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1EEADDD" w:rsidR="00DB32D3" w:rsidRDefault="00DD466D" w:rsidP="005726E3">
      <w:pPr>
        <w:pStyle w:val="Heading1"/>
      </w:pPr>
      <w:r>
        <w:t>1.ИМЕ НА ЛЕКАРСТВЕНИЯ ПРОДУКТ</w:t>
      </w:r>
    </w:p>
    <w:p w14:paraId="6C90DDEF" w14:textId="0C9F1456" w:rsidR="008023C2" w:rsidRDefault="008023C2" w:rsidP="008023C2"/>
    <w:p w14:paraId="33D7B8C5" w14:textId="77777777" w:rsidR="008023C2" w:rsidRDefault="008023C2" w:rsidP="008023C2">
      <w:pPr>
        <w:rPr>
          <w:lang w:eastAsia="bg-BG"/>
        </w:rPr>
      </w:pPr>
      <w:r w:rsidRPr="008023C2">
        <w:rPr>
          <w:lang w:eastAsia="bg-BG"/>
        </w:rPr>
        <w:t xml:space="preserve">Ропуидо </w:t>
      </w:r>
      <w:r w:rsidRPr="008023C2">
        <w:t xml:space="preserve">5 </w:t>
      </w:r>
      <w:r w:rsidRPr="008023C2">
        <w:rPr>
          <w:lang w:val="en-US"/>
        </w:rPr>
        <w:t>mg</w:t>
      </w:r>
      <w:r w:rsidRPr="008023C2">
        <w:t xml:space="preserve"> </w:t>
      </w:r>
      <w:r w:rsidRPr="008023C2">
        <w:rPr>
          <w:lang w:eastAsia="bg-BG"/>
        </w:rPr>
        <w:t xml:space="preserve">филмирани таблетки </w:t>
      </w:r>
    </w:p>
    <w:p w14:paraId="7F518ACD" w14:textId="77777777" w:rsidR="008023C2" w:rsidRDefault="008023C2" w:rsidP="008023C2">
      <w:pPr>
        <w:rPr>
          <w:lang w:val="en-US"/>
        </w:rPr>
      </w:pPr>
      <w:proofErr w:type="spellStart"/>
      <w:r w:rsidRPr="008023C2">
        <w:rPr>
          <w:lang w:val="en-US"/>
        </w:rPr>
        <w:t>Ropuido</w:t>
      </w:r>
      <w:proofErr w:type="spellEnd"/>
      <w:r w:rsidRPr="008023C2">
        <w:t xml:space="preserve"> </w:t>
      </w:r>
      <w:r w:rsidRPr="008023C2">
        <w:rPr>
          <w:lang w:eastAsia="bg-BG"/>
        </w:rPr>
        <w:t xml:space="preserve">5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p>
    <w:p w14:paraId="146B9130" w14:textId="77777777" w:rsidR="008023C2" w:rsidRDefault="008023C2" w:rsidP="008023C2">
      <w:pPr>
        <w:rPr>
          <w:lang w:eastAsia="bg-BG"/>
        </w:rPr>
      </w:pPr>
      <w:r w:rsidRPr="008023C2">
        <w:t xml:space="preserve"> </w:t>
      </w:r>
      <w:r w:rsidRPr="008023C2">
        <w:rPr>
          <w:lang w:eastAsia="bg-BG"/>
        </w:rPr>
        <w:t xml:space="preserve">Ропуидо </w:t>
      </w:r>
      <w:r w:rsidRPr="008023C2">
        <w:t xml:space="preserve">10 </w:t>
      </w:r>
      <w:r w:rsidRPr="008023C2">
        <w:rPr>
          <w:lang w:val="en-US"/>
        </w:rPr>
        <w:t>mg</w:t>
      </w:r>
      <w:r w:rsidRPr="008023C2">
        <w:t xml:space="preserve"> </w:t>
      </w:r>
      <w:r w:rsidRPr="008023C2">
        <w:rPr>
          <w:lang w:eastAsia="bg-BG"/>
        </w:rPr>
        <w:t xml:space="preserve">филмирани таблетки </w:t>
      </w:r>
    </w:p>
    <w:p w14:paraId="0827FFA6" w14:textId="77777777" w:rsidR="008023C2" w:rsidRDefault="008023C2" w:rsidP="008023C2">
      <w:proofErr w:type="spellStart"/>
      <w:r w:rsidRPr="008023C2">
        <w:rPr>
          <w:lang w:val="en-US"/>
        </w:rPr>
        <w:t>Ropuido</w:t>
      </w:r>
      <w:proofErr w:type="spellEnd"/>
      <w:r w:rsidRPr="008023C2">
        <w:t xml:space="preserve"> 10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r w:rsidRPr="008023C2">
        <w:t xml:space="preserve"> </w:t>
      </w:r>
    </w:p>
    <w:p w14:paraId="396A7E0E" w14:textId="77777777" w:rsidR="008023C2" w:rsidRDefault="008023C2" w:rsidP="008023C2">
      <w:pPr>
        <w:rPr>
          <w:lang w:eastAsia="bg-BG"/>
        </w:rPr>
      </w:pPr>
      <w:r w:rsidRPr="008023C2">
        <w:rPr>
          <w:lang w:eastAsia="bg-BG"/>
        </w:rPr>
        <w:t xml:space="preserve">Ропуидо </w:t>
      </w:r>
      <w:r w:rsidRPr="008023C2">
        <w:rPr>
          <w:i/>
          <w:iCs/>
        </w:rPr>
        <w:t>20</w:t>
      </w:r>
      <w:r w:rsidRPr="008023C2">
        <w:t xml:space="preserve"> </w:t>
      </w:r>
      <w:r w:rsidRPr="008023C2">
        <w:rPr>
          <w:lang w:val="en-US"/>
        </w:rPr>
        <w:t>mg</w:t>
      </w:r>
      <w:r w:rsidRPr="008023C2">
        <w:t xml:space="preserve"> </w:t>
      </w:r>
      <w:r w:rsidRPr="008023C2">
        <w:rPr>
          <w:lang w:eastAsia="bg-BG"/>
        </w:rPr>
        <w:t xml:space="preserve">филмирани таблетки </w:t>
      </w:r>
    </w:p>
    <w:p w14:paraId="5D60F6E7" w14:textId="77777777" w:rsidR="008023C2" w:rsidRDefault="008023C2" w:rsidP="008023C2">
      <w:proofErr w:type="spellStart"/>
      <w:r w:rsidRPr="008023C2">
        <w:rPr>
          <w:lang w:val="en-US"/>
        </w:rPr>
        <w:t>Ropuido</w:t>
      </w:r>
      <w:proofErr w:type="spellEnd"/>
      <w:r w:rsidRPr="008023C2">
        <w:t xml:space="preserve"> 20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r w:rsidRPr="008023C2">
        <w:t xml:space="preserve"> </w:t>
      </w:r>
    </w:p>
    <w:p w14:paraId="7CADED26" w14:textId="77777777" w:rsidR="008023C2" w:rsidRDefault="008023C2" w:rsidP="008023C2">
      <w:pPr>
        <w:rPr>
          <w:lang w:eastAsia="bg-BG"/>
        </w:rPr>
      </w:pPr>
      <w:r w:rsidRPr="008023C2">
        <w:rPr>
          <w:lang w:eastAsia="bg-BG"/>
        </w:rPr>
        <w:t xml:space="preserve">Ропуидо </w:t>
      </w:r>
      <w:r w:rsidRPr="008023C2">
        <w:t xml:space="preserve">40 </w:t>
      </w:r>
      <w:r w:rsidRPr="008023C2">
        <w:rPr>
          <w:lang w:val="en-US"/>
        </w:rPr>
        <w:t>mg</w:t>
      </w:r>
      <w:r w:rsidRPr="008023C2">
        <w:t xml:space="preserve"> </w:t>
      </w:r>
      <w:r w:rsidRPr="008023C2">
        <w:rPr>
          <w:lang w:eastAsia="bg-BG"/>
        </w:rPr>
        <w:t xml:space="preserve">филмирани таблетки </w:t>
      </w:r>
    </w:p>
    <w:p w14:paraId="5F2B19B9" w14:textId="6BECF633" w:rsidR="008023C2" w:rsidRPr="008023C2" w:rsidRDefault="008023C2" w:rsidP="008023C2">
      <w:pPr>
        <w:rPr>
          <w:sz w:val="24"/>
          <w:szCs w:val="24"/>
        </w:rPr>
      </w:pPr>
      <w:proofErr w:type="spellStart"/>
      <w:r w:rsidRPr="008023C2">
        <w:rPr>
          <w:lang w:val="en-US"/>
        </w:rPr>
        <w:t>Ropuido</w:t>
      </w:r>
      <w:proofErr w:type="spellEnd"/>
      <w:r w:rsidRPr="008023C2">
        <w:t xml:space="preserve"> 40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p>
    <w:p w14:paraId="4DDBDA1E" w14:textId="77777777" w:rsidR="008023C2" w:rsidRPr="008023C2" w:rsidRDefault="008023C2" w:rsidP="008023C2"/>
    <w:p w14:paraId="48E6CABE" w14:textId="376FB6ED" w:rsidR="00DB32D3" w:rsidRDefault="00DD466D" w:rsidP="005726E3">
      <w:pPr>
        <w:pStyle w:val="Heading1"/>
      </w:pPr>
      <w:r>
        <w:t>2. КАЧЕСТВЕН И КОЛИЧЕСТВЕН СЪСТАВ</w:t>
      </w:r>
    </w:p>
    <w:p w14:paraId="53C98022" w14:textId="7445709D" w:rsidR="008023C2" w:rsidRDefault="008023C2" w:rsidP="008023C2"/>
    <w:p w14:paraId="110E33FD"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съдържа 5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10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20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или 40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розувастатин </w:t>
      </w:r>
      <w:r w:rsidRPr="008023C2">
        <w:rPr>
          <w:rFonts w:eastAsia="Times New Roman" w:cs="Arial"/>
          <w:i/>
          <w:iCs/>
          <w:color w:val="000000"/>
          <w:szCs w:val="20"/>
        </w:rPr>
        <w:t>(</w:t>
      </w:r>
      <w:proofErr w:type="spellStart"/>
      <w:r w:rsidRPr="008023C2">
        <w:rPr>
          <w:rFonts w:eastAsia="Times New Roman" w:cs="Arial"/>
          <w:i/>
          <w:iCs/>
          <w:color w:val="000000"/>
          <w:szCs w:val="20"/>
          <w:lang w:val="en-US"/>
        </w:rPr>
        <w:t>rosuvastatin</w:t>
      </w:r>
      <w:proofErr w:type="spellEnd"/>
      <w:r w:rsidRPr="008023C2">
        <w:rPr>
          <w:rFonts w:eastAsia="Times New Roman" w:cs="Arial"/>
          <w:i/>
          <w:iCs/>
          <w:color w:val="000000"/>
          <w:szCs w:val="20"/>
        </w:rPr>
        <w:t xml:space="preserve"> </w:t>
      </w:r>
      <w:r w:rsidRPr="008023C2">
        <w:rPr>
          <w:rFonts w:eastAsia="Times New Roman" w:cs="Arial"/>
          <w:color w:val="000000"/>
          <w:szCs w:val="20"/>
          <w:lang w:eastAsia="bg-BG"/>
        </w:rPr>
        <w:t xml:space="preserve">(като розувастатин калций </w:t>
      </w:r>
      <w:r w:rsidRPr="008023C2">
        <w:rPr>
          <w:rFonts w:eastAsia="Times New Roman" w:cs="Arial"/>
          <w:i/>
          <w:iCs/>
          <w:color w:val="000000"/>
          <w:szCs w:val="20"/>
        </w:rPr>
        <w:t>(</w:t>
      </w:r>
      <w:proofErr w:type="spellStart"/>
      <w:r w:rsidRPr="008023C2">
        <w:rPr>
          <w:rFonts w:eastAsia="Times New Roman" w:cs="Arial"/>
          <w:i/>
          <w:iCs/>
          <w:color w:val="000000"/>
          <w:szCs w:val="20"/>
          <w:lang w:val="en-US"/>
        </w:rPr>
        <w:t>rosuvastatin</w:t>
      </w:r>
      <w:proofErr w:type="spellEnd"/>
      <w:r w:rsidRPr="008023C2">
        <w:rPr>
          <w:rFonts w:eastAsia="Times New Roman" w:cs="Arial"/>
          <w:i/>
          <w:iCs/>
          <w:color w:val="000000"/>
          <w:szCs w:val="20"/>
        </w:rPr>
        <w:t xml:space="preserve"> </w:t>
      </w:r>
      <w:r w:rsidRPr="008023C2">
        <w:rPr>
          <w:rFonts w:eastAsia="Times New Roman" w:cs="Arial"/>
          <w:i/>
          <w:iCs/>
          <w:color w:val="000000"/>
          <w:szCs w:val="20"/>
          <w:lang w:val="en-US"/>
        </w:rPr>
        <w:t>calcium</w:t>
      </w:r>
      <w:r w:rsidRPr="008023C2">
        <w:rPr>
          <w:rFonts w:eastAsia="Times New Roman" w:cs="Arial"/>
          <w:i/>
          <w:iCs/>
          <w:color w:val="000000"/>
          <w:szCs w:val="20"/>
        </w:rPr>
        <w:t>)).</w:t>
      </w:r>
    </w:p>
    <w:p w14:paraId="3519D691" w14:textId="77777777" w:rsidR="008023C2" w:rsidRPr="008023C2" w:rsidRDefault="008023C2" w:rsidP="008023C2">
      <w:pPr>
        <w:spacing w:line="240" w:lineRule="auto"/>
        <w:rPr>
          <w:rFonts w:eastAsia="Times New Roman" w:cs="Arial"/>
          <w:color w:val="000000"/>
          <w:szCs w:val="20"/>
          <w:u w:val="single"/>
          <w:lang w:eastAsia="bg-BG"/>
        </w:rPr>
      </w:pPr>
    </w:p>
    <w:p w14:paraId="68ED2669" w14:textId="09DB174F"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u w:val="single"/>
          <w:lang w:eastAsia="bg-BG"/>
        </w:rPr>
        <w:t>Помощно вещество с известно действие: лактоза монохидрат.</w:t>
      </w:r>
    </w:p>
    <w:p w14:paraId="034C0D88" w14:textId="77777777" w:rsidR="008023C2" w:rsidRPr="008023C2" w:rsidRDefault="008023C2" w:rsidP="008023C2">
      <w:pPr>
        <w:spacing w:line="240" w:lineRule="auto"/>
        <w:rPr>
          <w:rFonts w:eastAsia="Times New Roman" w:cs="Arial"/>
          <w:color w:val="000000"/>
          <w:szCs w:val="20"/>
          <w:lang w:eastAsia="bg-BG"/>
        </w:rPr>
      </w:pPr>
    </w:p>
    <w:p w14:paraId="6CE76F25" w14:textId="3B493A3D"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от 5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101,86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059FD8F4"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от 10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96,79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6052BB84"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от 20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193,57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26FE3631" w14:textId="60F09D9A" w:rsidR="008023C2" w:rsidRPr="008023C2" w:rsidRDefault="008023C2" w:rsidP="008023C2">
      <w:pPr>
        <w:rPr>
          <w:rFonts w:cs="Arial"/>
          <w:sz w:val="24"/>
        </w:rPr>
      </w:pPr>
      <w:r w:rsidRPr="008023C2">
        <w:rPr>
          <w:rFonts w:eastAsia="Times New Roman" w:cs="Arial"/>
          <w:color w:val="000000"/>
          <w:szCs w:val="20"/>
          <w:lang w:eastAsia="bg-BG"/>
        </w:rPr>
        <w:t xml:space="preserve">Всяка филмирана таблетка от 40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174,98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614984C4" w14:textId="16534BEA" w:rsidR="008A6AF2" w:rsidRDefault="00DD466D" w:rsidP="002C50EE">
      <w:pPr>
        <w:pStyle w:val="Heading1"/>
      </w:pPr>
      <w:r>
        <w:t>3. ЛЕКАРСТВЕНА ФОРМА</w:t>
      </w:r>
    </w:p>
    <w:p w14:paraId="149413D2" w14:textId="0FC92187" w:rsidR="008023C2" w:rsidRDefault="008023C2" w:rsidP="008023C2"/>
    <w:p w14:paraId="416002AA"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Филмирана таблетка.</w:t>
      </w:r>
    </w:p>
    <w:p w14:paraId="62EEDB8E" w14:textId="77777777" w:rsidR="008023C2" w:rsidRPr="008023C2" w:rsidRDefault="008023C2" w:rsidP="008023C2">
      <w:pPr>
        <w:spacing w:line="240" w:lineRule="auto"/>
        <w:rPr>
          <w:rFonts w:eastAsia="Times New Roman" w:cs="Arial"/>
          <w:color w:val="000000"/>
          <w:szCs w:val="20"/>
          <w:lang w:eastAsia="bg-BG"/>
        </w:rPr>
      </w:pPr>
    </w:p>
    <w:p w14:paraId="1B531A7D" w14:textId="254BAB14"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5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жълти кръгли,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над „5“ от едната страна, с диаметър 7 </w:t>
      </w:r>
      <w:r w:rsidRPr="008023C2">
        <w:rPr>
          <w:rFonts w:eastAsia="Times New Roman" w:cs="Arial"/>
          <w:color w:val="000000"/>
          <w:szCs w:val="20"/>
          <w:lang w:val="en-US"/>
        </w:rPr>
        <w:t>mm</w:t>
      </w:r>
      <w:r w:rsidRPr="008023C2">
        <w:rPr>
          <w:rFonts w:eastAsia="Times New Roman" w:cs="Arial"/>
          <w:color w:val="000000"/>
          <w:szCs w:val="20"/>
          <w:lang w:val="ru-RU"/>
        </w:rPr>
        <w:t>.</w:t>
      </w:r>
    </w:p>
    <w:p w14:paraId="74FAB0BA" w14:textId="77777777" w:rsidR="008023C2" w:rsidRPr="008023C2" w:rsidRDefault="008023C2" w:rsidP="008023C2">
      <w:pPr>
        <w:spacing w:line="240" w:lineRule="auto"/>
        <w:rPr>
          <w:rFonts w:eastAsia="Times New Roman" w:cs="Arial"/>
          <w:color w:val="000000"/>
          <w:szCs w:val="20"/>
          <w:lang w:eastAsia="bg-BG"/>
        </w:rPr>
      </w:pPr>
    </w:p>
    <w:p w14:paraId="5E2BE202" w14:textId="0069C6C2"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10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розови кръгли,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над „10“ от едната страна, с диаметър 7 </w:t>
      </w:r>
      <w:r w:rsidRPr="008023C2">
        <w:rPr>
          <w:rFonts w:eastAsia="Times New Roman" w:cs="Arial"/>
          <w:color w:val="000000"/>
          <w:szCs w:val="20"/>
          <w:lang w:val="en-US"/>
        </w:rPr>
        <w:t>mm</w:t>
      </w:r>
      <w:r w:rsidRPr="008023C2">
        <w:rPr>
          <w:rFonts w:eastAsia="Times New Roman" w:cs="Arial"/>
          <w:color w:val="000000"/>
          <w:szCs w:val="20"/>
          <w:lang w:val="ru-RU"/>
        </w:rPr>
        <w:t>.</w:t>
      </w:r>
    </w:p>
    <w:p w14:paraId="46BF409D" w14:textId="77777777" w:rsidR="008023C2" w:rsidRPr="008023C2" w:rsidRDefault="008023C2" w:rsidP="008023C2">
      <w:pPr>
        <w:spacing w:line="240" w:lineRule="auto"/>
        <w:rPr>
          <w:rFonts w:eastAsia="Times New Roman" w:cs="Arial"/>
          <w:color w:val="000000"/>
          <w:szCs w:val="20"/>
          <w:lang w:eastAsia="bg-BG"/>
        </w:rPr>
      </w:pPr>
    </w:p>
    <w:p w14:paraId="548A5432" w14:textId="505ACEE0"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20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розови кръгли,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над „20“ от едната страна, с диаметър 9 </w:t>
      </w:r>
      <w:r w:rsidRPr="008023C2">
        <w:rPr>
          <w:rFonts w:eastAsia="Times New Roman" w:cs="Arial"/>
          <w:color w:val="000000"/>
          <w:szCs w:val="20"/>
          <w:lang w:val="en-US"/>
        </w:rPr>
        <w:t>mm</w:t>
      </w:r>
      <w:r w:rsidRPr="008023C2">
        <w:rPr>
          <w:rFonts w:eastAsia="Times New Roman" w:cs="Arial"/>
          <w:color w:val="000000"/>
          <w:szCs w:val="20"/>
          <w:lang w:val="ru-RU"/>
        </w:rPr>
        <w:t>.</w:t>
      </w:r>
    </w:p>
    <w:p w14:paraId="5DFA0CEE" w14:textId="77777777" w:rsidR="008023C2" w:rsidRPr="008023C2" w:rsidRDefault="008023C2" w:rsidP="008023C2">
      <w:pPr>
        <w:spacing w:line="240" w:lineRule="auto"/>
        <w:rPr>
          <w:rFonts w:eastAsia="Times New Roman" w:cs="Arial"/>
          <w:color w:val="000000"/>
          <w:szCs w:val="20"/>
          <w:lang w:eastAsia="bg-BG"/>
        </w:rPr>
      </w:pPr>
    </w:p>
    <w:p w14:paraId="59CCEA77" w14:textId="321EADB0"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40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розови елипсовидни,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от едната страна и „40“ от другата, с размери 6,8 х 11,4 </w:t>
      </w:r>
      <w:r w:rsidRPr="008023C2">
        <w:rPr>
          <w:rFonts w:eastAsia="Times New Roman" w:cs="Arial"/>
          <w:color w:val="000000"/>
          <w:szCs w:val="20"/>
          <w:lang w:val="en-US"/>
        </w:rPr>
        <w:t>mm</w:t>
      </w:r>
      <w:r w:rsidRPr="008023C2">
        <w:rPr>
          <w:rFonts w:eastAsia="Times New Roman" w:cs="Arial"/>
          <w:color w:val="000000"/>
          <w:szCs w:val="20"/>
          <w:lang w:val="ru-RU"/>
        </w:rPr>
        <w:t>.</w:t>
      </w:r>
    </w:p>
    <w:p w14:paraId="32180166" w14:textId="77777777" w:rsidR="008023C2" w:rsidRPr="008023C2" w:rsidRDefault="008023C2" w:rsidP="008023C2"/>
    <w:p w14:paraId="490FC2C4" w14:textId="6899DE43" w:rsidR="002C50EE" w:rsidRDefault="002C50EE" w:rsidP="002C50EE">
      <w:pPr>
        <w:pStyle w:val="Heading1"/>
      </w:pPr>
      <w:r>
        <w:lastRenderedPageBreak/>
        <w:t>4. КЛИНИЧНИ ДАННИ</w:t>
      </w:r>
    </w:p>
    <w:p w14:paraId="0771830A" w14:textId="0FB3985E" w:rsidR="00DB32D3" w:rsidRDefault="002C50EE" w:rsidP="005726E3">
      <w:pPr>
        <w:pStyle w:val="Heading2"/>
      </w:pPr>
      <w:r>
        <w:t>4.1. Терапевтични показания</w:t>
      </w:r>
    </w:p>
    <w:p w14:paraId="77E9170D" w14:textId="442643CF" w:rsidR="00C25D90" w:rsidRDefault="00C25D90" w:rsidP="00C25D90"/>
    <w:p w14:paraId="0B04403B" w14:textId="7A518DFA" w:rsidR="00C25D90" w:rsidRPr="00C25D90" w:rsidRDefault="00C25D90" w:rsidP="00C25D90">
      <w:pPr>
        <w:rPr>
          <w:rFonts w:cs="Arial"/>
          <w:b/>
          <w:bCs/>
          <w:szCs w:val="20"/>
        </w:rPr>
      </w:pPr>
      <w:r w:rsidRPr="00C25D90">
        <w:rPr>
          <w:rFonts w:cs="Arial"/>
          <w:b/>
          <w:bCs/>
          <w:szCs w:val="20"/>
        </w:rPr>
        <w:t>Лечение на хиперхолестеролемия</w:t>
      </w:r>
    </w:p>
    <w:p w14:paraId="2AAB8F46"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Възрастни, юноши и деца на възраст 6 години или повече с първична хиперхолестеролемия (тип </w:t>
      </w:r>
      <w:r w:rsidRPr="00C25D90">
        <w:rPr>
          <w:rFonts w:eastAsia="Times New Roman" w:cs="Arial"/>
          <w:color w:val="000000"/>
          <w:szCs w:val="20"/>
          <w:lang w:val="en-US"/>
        </w:rPr>
        <w:t>II</w:t>
      </w:r>
      <w:r w:rsidRPr="00C25D90">
        <w:rPr>
          <w:rFonts w:eastAsia="Times New Roman" w:cs="Arial"/>
          <w:color w:val="000000"/>
          <w:szCs w:val="20"/>
          <w:lang w:eastAsia="bg-BG"/>
        </w:rPr>
        <w:t xml:space="preserve">а включително хетерозиготна фамилна хиперхолестеролемия) или смесена дислипидемия (тип </w:t>
      </w:r>
      <w:proofErr w:type="spellStart"/>
      <w:r w:rsidRPr="00C25D90">
        <w:rPr>
          <w:rFonts w:eastAsia="Times New Roman" w:cs="Arial"/>
          <w:color w:val="000000"/>
          <w:szCs w:val="20"/>
          <w:lang w:val="en-US"/>
        </w:rPr>
        <w:t>IIb</w:t>
      </w:r>
      <w:proofErr w:type="spellEnd"/>
      <w:r w:rsidRPr="00C25D90">
        <w:rPr>
          <w:rFonts w:eastAsia="Times New Roman" w:cs="Arial"/>
          <w:color w:val="000000"/>
          <w:szCs w:val="20"/>
          <w:lang w:eastAsia="bg-BG"/>
        </w:rPr>
        <w:t>) като допълнение към диетата, когато резултатът от диетата и други нефармакологични лечения (напр. физически упражнения, намаляване на теглото) не е задоволителен.</w:t>
      </w:r>
    </w:p>
    <w:p w14:paraId="7606FA29" w14:textId="77777777" w:rsidR="00C25D90" w:rsidRPr="00C25D90" w:rsidRDefault="00C25D90" w:rsidP="00C25D90">
      <w:pPr>
        <w:spacing w:line="240" w:lineRule="auto"/>
        <w:rPr>
          <w:rFonts w:eastAsia="Times New Roman" w:cs="Arial"/>
          <w:color w:val="000000"/>
          <w:szCs w:val="20"/>
          <w:lang w:eastAsia="bg-BG"/>
        </w:rPr>
      </w:pPr>
    </w:p>
    <w:p w14:paraId="12A438F7" w14:textId="1760C234"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Възрастни, юноши и деца на възраст 6 години или повече с хомозиготна фамилна хиперхолестеролемия като допълнение към диетата </w:t>
      </w:r>
      <w:r w:rsidRPr="00C25D90">
        <w:rPr>
          <w:rFonts w:eastAsia="Times New Roman" w:cs="Arial"/>
          <w:b/>
          <w:bCs/>
          <w:i/>
          <w:iCs/>
          <w:color w:val="000000"/>
          <w:szCs w:val="20"/>
          <w:lang w:eastAsia="bg-BG"/>
        </w:rPr>
        <w:t>и</w:t>
      </w:r>
      <w:r w:rsidRPr="00C25D90">
        <w:rPr>
          <w:rFonts w:eastAsia="Times New Roman" w:cs="Arial"/>
          <w:color w:val="000000"/>
          <w:szCs w:val="20"/>
          <w:lang w:eastAsia="bg-BG"/>
        </w:rPr>
        <w:t xml:space="preserve"> други липидо-понижаващи лечения (напр.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афереза) или когато това лечение не е подходящо.</w:t>
      </w:r>
    </w:p>
    <w:p w14:paraId="77371655" w14:textId="77777777" w:rsidR="00C25D90" w:rsidRPr="00C25D90" w:rsidRDefault="00C25D90" w:rsidP="00C25D90">
      <w:pPr>
        <w:spacing w:line="240" w:lineRule="auto"/>
        <w:rPr>
          <w:rFonts w:eastAsia="Times New Roman" w:cs="Arial"/>
          <w:b/>
          <w:bCs/>
          <w:color w:val="000000"/>
          <w:szCs w:val="20"/>
          <w:lang w:eastAsia="bg-BG"/>
        </w:rPr>
      </w:pPr>
      <w:bookmarkStart w:id="1" w:name="bookmark0"/>
    </w:p>
    <w:p w14:paraId="412A089D" w14:textId="08B086FC"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Предотвратяване на сърдечносъдови събития</w:t>
      </w:r>
      <w:bookmarkEnd w:id="1"/>
    </w:p>
    <w:p w14:paraId="0499414F"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Предотвратяване на сериозни сърдечносъдови събития при пациенти, за които е установен висок риск от първо сърдечносъдово събитие (вж. точка 5.1), като допълнение към коригирането на други рискови фактори.</w:t>
      </w:r>
    </w:p>
    <w:p w14:paraId="25C0B379" w14:textId="77777777" w:rsidR="00C25D90" w:rsidRPr="00C25D90" w:rsidRDefault="00C25D90" w:rsidP="00C25D90"/>
    <w:p w14:paraId="7647A102" w14:textId="09DEC362" w:rsidR="00DB32D3" w:rsidRDefault="002C50EE" w:rsidP="005726E3">
      <w:pPr>
        <w:pStyle w:val="Heading2"/>
      </w:pPr>
      <w:r>
        <w:t>4.2. Дозировка и начин на приложение</w:t>
      </w:r>
    </w:p>
    <w:p w14:paraId="41FA4F6F" w14:textId="3AC61E15" w:rsidR="00C25D90" w:rsidRDefault="00C25D90" w:rsidP="00C25D90"/>
    <w:p w14:paraId="01EFDBF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Преди започване на лечението пациентът трябва да бъде поставен на стандартна диета за понижаване на холестерола, която трябва да продължи по време на лечението. Дозата трябва да се определи индивидуално в зависимост от целта на лечението и повлияването на пациента, като се използват съвременните насоки на консенсуса.</w:t>
      </w:r>
    </w:p>
    <w:p w14:paraId="4D7ED6F6" w14:textId="77777777" w:rsidR="00C25D90" w:rsidRPr="00C25D90" w:rsidRDefault="00C25D90" w:rsidP="00C25D90">
      <w:pPr>
        <w:spacing w:line="240" w:lineRule="auto"/>
        <w:rPr>
          <w:rFonts w:eastAsia="Times New Roman" w:cs="Arial"/>
          <w:color w:val="000000"/>
          <w:lang w:eastAsia="bg-BG"/>
        </w:rPr>
      </w:pPr>
    </w:p>
    <w:p w14:paraId="69D59633" w14:textId="0E4FCA93" w:rsidR="00C25D90" w:rsidRPr="00C25D90" w:rsidRDefault="00C25D90" w:rsidP="00C25D90">
      <w:pPr>
        <w:spacing w:line="240" w:lineRule="auto"/>
        <w:rPr>
          <w:rFonts w:eastAsia="Times New Roman" w:cs="Arial"/>
        </w:rPr>
      </w:pPr>
      <w:r w:rsidRPr="00C25D90">
        <w:rPr>
          <w:rFonts w:eastAsia="Times New Roman" w:cs="Arial"/>
          <w:color w:val="000000"/>
          <w:lang w:eastAsia="bg-BG"/>
        </w:rPr>
        <w:t>Ропуидо може да се прилага по всяко време на деня със или без храна.</w:t>
      </w:r>
    </w:p>
    <w:p w14:paraId="77D1052F" w14:textId="77777777" w:rsidR="00C25D90" w:rsidRPr="00C25D90" w:rsidRDefault="00C25D90" w:rsidP="00C25D90">
      <w:pPr>
        <w:spacing w:line="240" w:lineRule="auto"/>
        <w:rPr>
          <w:rFonts w:eastAsia="Times New Roman" w:cs="Arial"/>
          <w:b/>
          <w:bCs/>
          <w:color w:val="000000"/>
          <w:lang w:eastAsia="bg-BG"/>
        </w:rPr>
      </w:pPr>
    </w:p>
    <w:p w14:paraId="41F000B7" w14:textId="261B13BD" w:rsidR="00C25D90" w:rsidRPr="00C25D90" w:rsidRDefault="00C25D90" w:rsidP="00C25D90">
      <w:pPr>
        <w:pStyle w:val="Heading3"/>
        <w:rPr>
          <w:rFonts w:eastAsia="Times New Roman"/>
          <w:b/>
          <w:u w:val="single"/>
        </w:rPr>
      </w:pPr>
      <w:r w:rsidRPr="00C25D90">
        <w:rPr>
          <w:rFonts w:eastAsia="Times New Roman"/>
          <w:b/>
          <w:u w:val="single"/>
          <w:lang w:eastAsia="bg-BG"/>
        </w:rPr>
        <w:t>Дозировка</w:t>
      </w:r>
    </w:p>
    <w:p w14:paraId="0A595B56" w14:textId="77777777" w:rsidR="00C25D90" w:rsidRPr="00C25D90" w:rsidRDefault="00C25D90" w:rsidP="00C25D90">
      <w:pPr>
        <w:spacing w:line="240" w:lineRule="auto"/>
        <w:rPr>
          <w:rFonts w:eastAsia="Times New Roman" w:cs="Arial"/>
          <w:b/>
          <w:bCs/>
          <w:color w:val="000000"/>
          <w:lang w:eastAsia="bg-BG"/>
        </w:rPr>
      </w:pPr>
    </w:p>
    <w:p w14:paraId="2F584353" w14:textId="28C0DFE0"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Лечение </w:t>
      </w:r>
      <w:r w:rsidRPr="00C25D90">
        <w:rPr>
          <w:rFonts w:eastAsia="Times New Roman" w:cs="Arial"/>
          <w:b/>
          <w:bCs/>
          <w:i/>
          <w:iCs/>
          <w:color w:val="000000"/>
          <w:lang w:eastAsia="bg-BG"/>
        </w:rPr>
        <w:t>на хиперхолестеролемия</w:t>
      </w:r>
    </w:p>
    <w:p w14:paraId="681B8EA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Препоръчителната начална доза е 5 или 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перорално веднъж дневно, както при пациенти, които не са приемали статини, така и при пациенти, преминали от друг ихибитор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При избора на начална доза трябва да се вземат предвид нивото на холестерола на всеки отделен пациент и бъдещия сърдечносъдов риск, както и потенциалния риск от нежелани реакции (вж. по-долу). При необходимост дозата може да се коригира, като се премине на следващото дозово ниво след 4 седмици (вж. точка 5.1). Предвид повишената честота на докладване на нежелани реакции при 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в сравнение с по-ниски дози (вж. точка 4.8), окончателно титриране до максималната 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трябва да се обмисля само при пациенти с тежка хиперхолестеролемия с висок сърдечносъдов риск (особено при тези с фамилна хиперхолестеролемия), които целта на лечението при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не се постига и при които ще се извършва рутинно проследяване (вж. точка 4.4). При започване на лечение с доза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се препоръчва постоянно наблюдение на пациента от специалист.</w:t>
      </w:r>
    </w:p>
    <w:p w14:paraId="3D23749C" w14:textId="77777777" w:rsidR="00C25D90" w:rsidRPr="00C25D90" w:rsidRDefault="00C25D90" w:rsidP="00C25D90">
      <w:pPr>
        <w:spacing w:line="240" w:lineRule="auto"/>
        <w:rPr>
          <w:rFonts w:eastAsia="Times New Roman" w:cs="Arial"/>
          <w:b/>
          <w:bCs/>
          <w:color w:val="000000"/>
          <w:lang w:eastAsia="bg-BG"/>
        </w:rPr>
      </w:pPr>
    </w:p>
    <w:p w14:paraId="043BC1A2" w14:textId="2111A63F"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Предотвратяване на сърдечносъдови събития</w:t>
      </w:r>
    </w:p>
    <w:p w14:paraId="03802318"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В проучването върху намаляване на риска от сърдечносъдови събития, използваната доза е била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дневно (вж. точка 5.1).</w:t>
      </w:r>
    </w:p>
    <w:p w14:paraId="12BB699E" w14:textId="77777777" w:rsidR="00C25D90" w:rsidRPr="00C25D90" w:rsidRDefault="00C25D90" w:rsidP="00C25D90">
      <w:pPr>
        <w:spacing w:line="240" w:lineRule="auto"/>
        <w:rPr>
          <w:rFonts w:eastAsia="Times New Roman" w:cs="Arial"/>
          <w:b/>
          <w:bCs/>
          <w:color w:val="000000"/>
          <w:lang w:eastAsia="bg-BG"/>
        </w:rPr>
      </w:pPr>
      <w:bookmarkStart w:id="2" w:name="bookmark2"/>
    </w:p>
    <w:p w14:paraId="65CF0EE2" w14:textId="143D6795"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lastRenderedPageBreak/>
        <w:t>Педиатрична популация</w:t>
      </w:r>
      <w:bookmarkEnd w:id="2"/>
    </w:p>
    <w:p w14:paraId="537AD2A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Използването в педиатричната популация трябва да се извършва само от специалисти.</w:t>
      </w:r>
    </w:p>
    <w:p w14:paraId="464154B2" w14:textId="77777777" w:rsidR="00C25D90" w:rsidRPr="00C25D90" w:rsidRDefault="00C25D90" w:rsidP="00C25D90">
      <w:pPr>
        <w:spacing w:line="240" w:lineRule="auto"/>
        <w:rPr>
          <w:rFonts w:eastAsia="Times New Roman" w:cs="Arial"/>
          <w:color w:val="000000"/>
          <w:u w:val="single"/>
          <w:lang w:eastAsia="bg-BG"/>
        </w:rPr>
      </w:pPr>
    </w:p>
    <w:p w14:paraId="29F08014" w14:textId="3ACF8580"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Деца и юноши от 6 до 17 години (етап &lt;</w:t>
      </w:r>
      <w:r w:rsidRPr="00C25D90">
        <w:rPr>
          <w:rFonts w:eastAsia="Times New Roman" w:cs="Arial"/>
          <w:color w:val="000000"/>
          <w:u w:val="single"/>
          <w:lang w:val="en-US"/>
        </w:rPr>
        <w:t>II</w:t>
      </w:r>
      <w:r w:rsidRPr="00C25D90">
        <w:rPr>
          <w:rFonts w:eastAsia="Times New Roman" w:cs="Arial"/>
          <w:color w:val="000000"/>
          <w:u w:val="single"/>
          <w:lang w:eastAsia="bg-BG"/>
        </w:rPr>
        <w:t xml:space="preserve">-V по </w:t>
      </w:r>
      <w:r w:rsidRPr="00C25D90">
        <w:rPr>
          <w:rFonts w:eastAsia="Times New Roman" w:cs="Arial"/>
          <w:color w:val="000000"/>
          <w:u w:val="single"/>
          <w:lang w:val="en-US"/>
        </w:rPr>
        <w:t>Tanner</w:t>
      </w:r>
      <w:r w:rsidRPr="00C25D90">
        <w:rPr>
          <w:rFonts w:eastAsia="Times New Roman" w:cs="Arial"/>
          <w:color w:val="000000"/>
          <w:u w:val="single"/>
          <w:lang w:val="ru-RU"/>
        </w:rPr>
        <w:t>)</w:t>
      </w:r>
    </w:p>
    <w:p w14:paraId="0A6E3B36"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Хетерозиготна фамилна хиперхолестеролемия</w:t>
      </w:r>
    </w:p>
    <w:p w14:paraId="41E24615"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деца и юноши с хетерозиготна фамилна хиперхолестеролемия обичайната начална доза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дневно.</w:t>
      </w:r>
    </w:p>
    <w:p w14:paraId="3A4003BE" w14:textId="77777777" w:rsidR="00C25D90" w:rsidRPr="00C25D90" w:rsidRDefault="00C25D90" w:rsidP="00C25D90">
      <w:pPr>
        <w:pStyle w:val="ListParagraph"/>
        <w:numPr>
          <w:ilvl w:val="0"/>
          <w:numId w:val="37"/>
        </w:numPr>
        <w:spacing w:line="240" w:lineRule="auto"/>
        <w:rPr>
          <w:rFonts w:eastAsia="Times New Roman" w:cs="Arial"/>
        </w:rPr>
      </w:pPr>
      <w:r w:rsidRPr="00C25D90">
        <w:rPr>
          <w:rFonts w:eastAsia="Times New Roman" w:cs="Arial"/>
          <w:color w:val="000000"/>
          <w:lang w:eastAsia="bg-BG"/>
        </w:rPr>
        <w:t>При деца на възраст от 6 до 9 години с хетерозиготна фамилна хиперхолестеролеми</w:t>
      </w:r>
      <w:r w:rsidRPr="00C25D90">
        <w:rPr>
          <w:rFonts w:eastAsia="Times New Roman" w:cs="Arial"/>
          <w:color w:val="000000"/>
          <w:u w:val="single"/>
          <w:lang w:eastAsia="bg-BG"/>
        </w:rPr>
        <w:t xml:space="preserve">я </w:t>
      </w:r>
      <w:r w:rsidRPr="00C25D90">
        <w:rPr>
          <w:rFonts w:eastAsia="Times New Roman" w:cs="Arial"/>
          <w:color w:val="000000"/>
          <w:lang w:eastAsia="bg-BG"/>
        </w:rPr>
        <w:t xml:space="preserve">обичайният дозов диапазон е 5-10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перорално веднъж дневно. Безопасността и ефикасността на дози по-големи от 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не са проучвани при тази популация.</w:t>
      </w:r>
    </w:p>
    <w:p w14:paraId="63396A76" w14:textId="5551B2AA" w:rsidR="00C25D90" w:rsidRPr="00C25D90" w:rsidRDefault="00C25D90" w:rsidP="00C25D90">
      <w:pPr>
        <w:pStyle w:val="ListParagraph"/>
        <w:numPr>
          <w:ilvl w:val="0"/>
          <w:numId w:val="37"/>
        </w:numPr>
        <w:spacing w:line="240" w:lineRule="auto"/>
        <w:rPr>
          <w:rFonts w:eastAsia="Times New Roman" w:cs="Arial"/>
        </w:rPr>
      </w:pPr>
      <w:r w:rsidRPr="00C25D90">
        <w:rPr>
          <w:rFonts w:eastAsia="Times New Roman" w:cs="Arial"/>
          <w:color w:val="000000"/>
          <w:lang w:eastAsia="bg-BG"/>
        </w:rPr>
        <w:t xml:space="preserve">При деца на възраст от 10 до 17 години с хетерозиготна фамилна хиперхолестеролемия обичайният дозов диапазон е 5-20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перорално веднъж дневно. Безопасността и ефикасността на дози по-големи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не са проучвани при тази популация.</w:t>
      </w:r>
    </w:p>
    <w:p w14:paraId="55018A09" w14:textId="77777777" w:rsidR="00C25D90" w:rsidRPr="00C25D90" w:rsidRDefault="00C25D90" w:rsidP="00C25D90">
      <w:pPr>
        <w:spacing w:line="240" w:lineRule="auto"/>
        <w:rPr>
          <w:rFonts w:eastAsia="Times New Roman" w:cs="Arial"/>
          <w:color w:val="000000"/>
          <w:lang w:eastAsia="bg-BG"/>
        </w:rPr>
      </w:pPr>
    </w:p>
    <w:p w14:paraId="2CB61413" w14:textId="44DC5DA6" w:rsidR="00C25D90" w:rsidRPr="00C25D90" w:rsidRDefault="00C25D90" w:rsidP="00C25D90">
      <w:pPr>
        <w:spacing w:line="240" w:lineRule="auto"/>
        <w:rPr>
          <w:rFonts w:eastAsia="Times New Roman" w:cs="Arial"/>
        </w:rPr>
      </w:pPr>
      <w:r w:rsidRPr="00C25D90">
        <w:rPr>
          <w:rFonts w:eastAsia="Times New Roman" w:cs="Arial"/>
          <w:color w:val="000000"/>
          <w:lang w:eastAsia="bg-BG"/>
        </w:rPr>
        <w:t>Увеличението на дозата трябва да се извършва в зависимост от индивидуалния отговор и поносимостта при педиатрични пациенти, както е препоръчано от препоръките за лечение на деца (вж. точка 4.4). Децата и юношите трябва да бъдат поставени на стандартна диета за понижаване на холестерола преди започване на лечението с розувастатин; тази диета трябва да продължи по време на лечението с розувастатин.</w:t>
      </w:r>
    </w:p>
    <w:p w14:paraId="64BFE3DD" w14:textId="77777777" w:rsidR="00C25D90" w:rsidRPr="00C25D90" w:rsidRDefault="00C25D90" w:rsidP="00C25D90">
      <w:pPr>
        <w:spacing w:line="240" w:lineRule="auto"/>
        <w:rPr>
          <w:rFonts w:eastAsia="Times New Roman" w:cs="Arial"/>
          <w:color w:val="000000"/>
          <w:u w:val="single"/>
          <w:lang w:eastAsia="bg-BG"/>
        </w:rPr>
      </w:pPr>
    </w:p>
    <w:p w14:paraId="602CE342" w14:textId="3719683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Хомозиготна фамилна хиперхолестеролемия</w:t>
      </w:r>
    </w:p>
    <w:p w14:paraId="35174A52" w14:textId="77777777"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 xml:space="preserve">При деца на възраст от 6 до 17 години с хомозиготна фамилна хиперхолестеролемия препоръчителната максимална доза е 20 </w:t>
      </w:r>
      <w:r w:rsidRPr="00C25D90">
        <w:rPr>
          <w:rFonts w:eastAsia="Times New Roman" w:cs="Arial"/>
          <w:i/>
          <w:iCs/>
          <w:color w:val="000000"/>
          <w:lang w:val="en-US"/>
        </w:rPr>
        <w:t>mg</w:t>
      </w:r>
      <w:r w:rsidRPr="00C25D90">
        <w:rPr>
          <w:rFonts w:eastAsia="Times New Roman" w:cs="Arial"/>
          <w:i/>
          <w:iCs/>
          <w:color w:val="000000"/>
          <w:lang w:val="ru-RU"/>
        </w:rPr>
        <w:t xml:space="preserve"> </w:t>
      </w:r>
      <w:r w:rsidRPr="00C25D90">
        <w:rPr>
          <w:rFonts w:eastAsia="Times New Roman" w:cs="Arial"/>
          <w:i/>
          <w:iCs/>
          <w:color w:val="000000"/>
          <w:lang w:eastAsia="bg-BG"/>
        </w:rPr>
        <w:t>веднъж дневно.</w:t>
      </w:r>
    </w:p>
    <w:p w14:paraId="7341A8DA" w14:textId="77777777" w:rsidR="00C25D90" w:rsidRPr="00C25D90" w:rsidRDefault="00C25D90" w:rsidP="00C25D90">
      <w:pPr>
        <w:spacing w:line="240" w:lineRule="auto"/>
        <w:rPr>
          <w:rFonts w:eastAsia="Times New Roman" w:cs="Arial"/>
          <w:color w:val="000000"/>
          <w:lang w:eastAsia="bg-BG"/>
        </w:rPr>
      </w:pPr>
    </w:p>
    <w:p w14:paraId="598B027B" w14:textId="309585FB"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Препоръчва се начална доза от 5 до 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веднъж дневно, в зависимост от възрастта, теглото и предишното използване на стативи. Увеличението до максималната доза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веднъж дневно трябва да се извършва в зависимост от индивидуалния отговор и поносимостта при педиатрични пациенти, както е препоръчано от препоръките за лечение на деца (вж. точка 4.4). Децата и юношите трябва да бъдат поставени на стандартна диета за понижаване на холестерола преди започване на лечението с розувастатин; тази диета трябва да продължи по време на лечението с розувастатин.</w:t>
      </w:r>
    </w:p>
    <w:p w14:paraId="44EB0898"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Опитът с други дози, различни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ограничен при тази популация.</w:t>
      </w:r>
    </w:p>
    <w:p w14:paraId="0D34F539" w14:textId="77777777" w:rsidR="00C25D90" w:rsidRPr="00C25D90" w:rsidRDefault="00C25D90" w:rsidP="00C25D90">
      <w:pPr>
        <w:spacing w:line="240" w:lineRule="auto"/>
        <w:rPr>
          <w:rFonts w:eastAsia="Times New Roman" w:cs="Arial"/>
          <w:color w:val="000000"/>
          <w:lang w:eastAsia="bg-BG"/>
        </w:rPr>
      </w:pPr>
    </w:p>
    <w:p w14:paraId="07B575E1" w14:textId="38F795A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Таблетката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не е подходяща за използване при педиатрични пациенти.</w:t>
      </w:r>
    </w:p>
    <w:p w14:paraId="5B71DFE0" w14:textId="77777777" w:rsidR="00C25D90" w:rsidRPr="00C25D90" w:rsidRDefault="00C25D90" w:rsidP="00C25D90">
      <w:pPr>
        <w:spacing w:line="240" w:lineRule="auto"/>
        <w:rPr>
          <w:rFonts w:eastAsia="Times New Roman" w:cs="Arial"/>
          <w:color w:val="000000"/>
          <w:u w:val="single"/>
          <w:lang w:eastAsia="bg-BG"/>
        </w:rPr>
      </w:pPr>
    </w:p>
    <w:p w14:paraId="5777F73A" w14:textId="43B03F1C"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Деца под 6-годишна възраст</w:t>
      </w:r>
    </w:p>
    <w:p w14:paraId="305458A5"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Безопасността и ефикасността при употреба при деца на възраст под 6 години не са проучени. Ето защо Ропуидо не се препоръчва за употреба при деца на възраст под 6 години.</w:t>
      </w:r>
    </w:p>
    <w:p w14:paraId="1E6BDF51" w14:textId="77777777" w:rsidR="00C25D90" w:rsidRPr="00C25D90" w:rsidRDefault="00C25D90" w:rsidP="00C25D90">
      <w:pPr>
        <w:spacing w:line="240" w:lineRule="auto"/>
        <w:rPr>
          <w:rFonts w:eastAsia="Times New Roman" w:cs="Arial"/>
          <w:b/>
          <w:bCs/>
          <w:color w:val="000000"/>
          <w:lang w:eastAsia="bg-BG"/>
        </w:rPr>
      </w:pPr>
    </w:p>
    <w:p w14:paraId="2ED96CFC" w14:textId="3AA671E3"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Употреба при пациенти в старческа възраст</w:t>
      </w:r>
    </w:p>
    <w:p w14:paraId="6636DE7B"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пациенти &gt; 70 години се препоръчва начална доза от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(вж. точка 4.4). Не е необходимо друго коригиране на дозата във връзка с възрастта.</w:t>
      </w:r>
    </w:p>
    <w:p w14:paraId="0E78B49D" w14:textId="77777777" w:rsidR="00C25D90" w:rsidRPr="00C25D90" w:rsidRDefault="00C25D90" w:rsidP="00C25D90">
      <w:pPr>
        <w:spacing w:line="240" w:lineRule="auto"/>
        <w:rPr>
          <w:rFonts w:eastAsia="Times New Roman" w:cs="Arial"/>
          <w:b/>
          <w:bCs/>
          <w:color w:val="000000"/>
          <w:lang w:eastAsia="bg-BG"/>
        </w:rPr>
      </w:pPr>
    </w:p>
    <w:p w14:paraId="6201F3D7" w14:textId="2B62F5B4"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Дозировка при пациенти с бъбречна недостатъчност</w:t>
      </w:r>
    </w:p>
    <w:p w14:paraId="7FF4732A"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Не е необходима корекция на дозата при пациенти с леко до умерено бъбречно увреждане. Препоръчителната начална доза при пациенти с умерено бъбречно увреждане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(креатининов клирънс &lt;60 </w:t>
      </w:r>
      <w:r w:rsidRPr="00C25D90">
        <w:rPr>
          <w:rFonts w:eastAsia="Times New Roman" w:cs="Arial"/>
          <w:color w:val="000000"/>
          <w:lang w:val="en-US"/>
        </w:rPr>
        <w:t>ml</w:t>
      </w:r>
      <w:r w:rsidRPr="00C25D90">
        <w:rPr>
          <w:rFonts w:eastAsia="Times New Roman" w:cs="Arial"/>
          <w:color w:val="000000"/>
          <w:lang w:val="ru-RU"/>
        </w:rPr>
        <w:t>/</w:t>
      </w:r>
      <w:r w:rsidRPr="00C25D90">
        <w:rPr>
          <w:rFonts w:eastAsia="Times New Roman" w:cs="Arial"/>
          <w:color w:val="000000"/>
          <w:lang w:val="en-US"/>
        </w:rPr>
        <w:t>min</w:t>
      </w:r>
      <w:r w:rsidRPr="00C25D90">
        <w:rPr>
          <w:rFonts w:eastAsia="Times New Roman" w:cs="Arial"/>
          <w:color w:val="000000"/>
          <w:lang w:val="ru-RU"/>
        </w:rPr>
        <w:t xml:space="preserve">). </w:t>
      </w:r>
      <w:r w:rsidRPr="00C25D90">
        <w:rPr>
          <w:rFonts w:eastAsia="Times New Roman" w:cs="Arial"/>
          <w:color w:val="000000"/>
          <w:lang w:eastAsia="bg-BG"/>
        </w:rPr>
        <w:t xml:space="preserve">Дозата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е противопоказана </w:t>
      </w:r>
      <w:r w:rsidRPr="00C25D90">
        <w:rPr>
          <w:rFonts w:eastAsia="Times New Roman" w:cs="Arial"/>
          <w:color w:val="000000"/>
          <w:lang w:eastAsia="bg-BG"/>
        </w:rPr>
        <w:lastRenderedPageBreak/>
        <w:t>при пациенти с умерено бъбречно увреждане. Използването на Ропуидо при пациенти с тежко бъбречно увреждане е противопоказано за всички дози (вж. точки 4.3 и 5.2).</w:t>
      </w:r>
    </w:p>
    <w:p w14:paraId="1E553057" w14:textId="77777777" w:rsidR="00C25D90" w:rsidRPr="00C25D90" w:rsidRDefault="00C25D90" w:rsidP="00C25D90">
      <w:pPr>
        <w:spacing w:line="240" w:lineRule="auto"/>
        <w:rPr>
          <w:rFonts w:eastAsia="Times New Roman" w:cs="Arial"/>
          <w:b/>
          <w:bCs/>
          <w:color w:val="000000"/>
          <w:lang w:eastAsia="bg-BG"/>
        </w:rPr>
      </w:pPr>
      <w:bookmarkStart w:id="3" w:name="bookmark4"/>
    </w:p>
    <w:p w14:paraId="5FF32052" w14:textId="47B5A3AE"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Дозировка при пациенти с чернодробно увреждане</w:t>
      </w:r>
      <w:bookmarkEnd w:id="3"/>
    </w:p>
    <w:p w14:paraId="0D2BD29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Не е наблюдавано увеличение на системната експозиция на розувастатин при пациенти с резултати от 7 или по-ниски по скалата на </w:t>
      </w:r>
      <w:r w:rsidRPr="00C25D90">
        <w:rPr>
          <w:rFonts w:eastAsia="Times New Roman" w:cs="Arial"/>
          <w:color w:val="000000"/>
          <w:lang w:val="en-US"/>
        </w:rPr>
        <w:t>Child</w:t>
      </w:r>
      <w:r w:rsidRPr="00C25D90">
        <w:rPr>
          <w:rFonts w:eastAsia="Times New Roman" w:cs="Arial"/>
          <w:color w:val="000000"/>
          <w:lang w:val="ru-RU"/>
        </w:rPr>
        <w:t>-</w:t>
      </w:r>
      <w:r w:rsidRPr="00C25D90">
        <w:rPr>
          <w:rFonts w:eastAsia="Times New Roman" w:cs="Arial"/>
          <w:color w:val="000000"/>
          <w:lang w:val="en-US"/>
        </w:rPr>
        <w:t>Pugh</w:t>
      </w:r>
      <w:r w:rsidRPr="00C25D90">
        <w:rPr>
          <w:rFonts w:eastAsia="Times New Roman" w:cs="Arial"/>
          <w:color w:val="000000"/>
          <w:lang w:val="ru-RU"/>
        </w:rPr>
        <w:t xml:space="preserve">. </w:t>
      </w:r>
      <w:r w:rsidRPr="00C25D90">
        <w:rPr>
          <w:rFonts w:eastAsia="Times New Roman" w:cs="Arial"/>
          <w:color w:val="000000"/>
          <w:lang w:eastAsia="bg-BG"/>
        </w:rPr>
        <w:t xml:space="preserve">Повишена системна експозиция обаче е наблюдавана при пациенти с резултати от 8 и 9 по скалата на </w:t>
      </w:r>
      <w:r w:rsidRPr="00C25D90">
        <w:rPr>
          <w:rFonts w:eastAsia="Times New Roman" w:cs="Arial"/>
          <w:color w:val="000000"/>
          <w:lang w:val="en-US"/>
        </w:rPr>
        <w:t>Child</w:t>
      </w:r>
      <w:r w:rsidRPr="00C25D90">
        <w:rPr>
          <w:rFonts w:eastAsia="Times New Roman" w:cs="Arial"/>
          <w:color w:val="000000"/>
          <w:lang w:val="ru-RU"/>
        </w:rPr>
        <w:t>-</w:t>
      </w:r>
      <w:r w:rsidRPr="00C25D90">
        <w:rPr>
          <w:rFonts w:eastAsia="Times New Roman" w:cs="Arial"/>
          <w:color w:val="000000"/>
          <w:lang w:val="en-US"/>
        </w:rPr>
        <w:t>Pugh</w:t>
      </w:r>
      <w:r w:rsidRPr="00C25D90">
        <w:rPr>
          <w:rFonts w:eastAsia="Times New Roman" w:cs="Arial"/>
          <w:color w:val="000000"/>
          <w:lang w:val="ru-RU"/>
        </w:rPr>
        <w:t xml:space="preserve"> </w:t>
      </w:r>
      <w:r w:rsidRPr="00C25D90">
        <w:rPr>
          <w:rFonts w:eastAsia="Times New Roman" w:cs="Arial"/>
          <w:color w:val="000000"/>
          <w:lang w:eastAsia="bg-BG"/>
        </w:rPr>
        <w:t xml:space="preserve">(вж. точка 5.2). При тези пациенти трябва да се има предвид оценката на бъбречната функция (вж. точка 4.4). Няма опит при пациенти с резултати над 9 по скалата на </w:t>
      </w:r>
      <w:r w:rsidRPr="00C25D90">
        <w:rPr>
          <w:rFonts w:eastAsia="Times New Roman" w:cs="Arial"/>
          <w:color w:val="000000"/>
          <w:lang w:val="en-US"/>
        </w:rPr>
        <w:t>Child</w:t>
      </w:r>
      <w:r w:rsidRPr="00C25D90">
        <w:rPr>
          <w:rFonts w:eastAsia="Times New Roman" w:cs="Arial"/>
          <w:color w:val="000000"/>
          <w:lang w:val="ru-RU"/>
        </w:rPr>
        <w:t>-</w:t>
      </w:r>
      <w:r w:rsidRPr="00C25D90">
        <w:rPr>
          <w:rFonts w:eastAsia="Times New Roman" w:cs="Arial"/>
          <w:color w:val="000000"/>
          <w:lang w:val="en-US"/>
        </w:rPr>
        <w:t>Pugh</w:t>
      </w:r>
      <w:r w:rsidRPr="00C25D90">
        <w:rPr>
          <w:rFonts w:eastAsia="Times New Roman" w:cs="Arial"/>
          <w:color w:val="000000"/>
          <w:lang w:val="ru-RU"/>
        </w:rPr>
        <w:t xml:space="preserve">. </w:t>
      </w:r>
      <w:r w:rsidRPr="00C25D90">
        <w:rPr>
          <w:rFonts w:eastAsia="Times New Roman" w:cs="Arial"/>
          <w:color w:val="000000"/>
          <w:lang w:eastAsia="bg-BG"/>
        </w:rPr>
        <w:t>Ропуидо е противопоказан при пациенти с активно чернодробно заболяване (вж. точка 4.3).</w:t>
      </w:r>
    </w:p>
    <w:p w14:paraId="4E1A4A26" w14:textId="77777777" w:rsidR="00C25D90" w:rsidRPr="00C25D90" w:rsidRDefault="00C25D90" w:rsidP="00C25D90">
      <w:pPr>
        <w:spacing w:line="240" w:lineRule="auto"/>
        <w:rPr>
          <w:rFonts w:eastAsia="Times New Roman" w:cs="Arial"/>
          <w:b/>
          <w:bCs/>
          <w:color w:val="000000"/>
          <w:lang w:eastAsia="bg-BG"/>
        </w:rPr>
      </w:pPr>
      <w:bookmarkStart w:id="4" w:name="bookmark6"/>
    </w:p>
    <w:p w14:paraId="653BAF4B" w14:textId="452C432F"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Раса</w:t>
      </w:r>
      <w:bookmarkEnd w:id="4"/>
    </w:p>
    <w:p w14:paraId="3DC0BD6B"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Повишена системна експозиция е наблюдавана при пациенти от азиатската раса (вж. точки 4.3, 4.4 и 5.2). Препоръчителната начална доза за пациенти от азиатски произход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противопоказана при тези пациенти.</w:t>
      </w:r>
    </w:p>
    <w:p w14:paraId="2481F0D4" w14:textId="77777777" w:rsidR="00C25D90" w:rsidRPr="00C25D90" w:rsidRDefault="00C25D90" w:rsidP="00C25D90">
      <w:pPr>
        <w:spacing w:line="240" w:lineRule="auto"/>
        <w:rPr>
          <w:rFonts w:eastAsia="Times New Roman" w:cs="Arial"/>
          <w:b/>
          <w:bCs/>
          <w:color w:val="000000"/>
          <w:lang w:eastAsia="bg-BG"/>
        </w:rPr>
      </w:pPr>
    </w:p>
    <w:p w14:paraId="262F7E4D" w14:textId="2800BDB3" w:rsidR="00C25D90" w:rsidRPr="00C25D90" w:rsidRDefault="00C25D90" w:rsidP="00C25D90">
      <w:pPr>
        <w:spacing w:line="240" w:lineRule="auto"/>
        <w:rPr>
          <w:rFonts w:eastAsia="Times New Roman" w:cs="Arial"/>
          <w:b/>
          <w:bCs/>
          <w:color w:val="000000"/>
          <w:lang w:eastAsia="bg-BG"/>
        </w:rPr>
      </w:pPr>
      <w:r w:rsidRPr="00C25D90">
        <w:rPr>
          <w:rFonts w:eastAsia="Times New Roman" w:cs="Arial"/>
          <w:b/>
          <w:bCs/>
          <w:color w:val="000000"/>
          <w:lang w:eastAsia="bg-BG"/>
        </w:rPr>
        <w:t>Генетични полиморфизми</w:t>
      </w:r>
    </w:p>
    <w:p w14:paraId="2D6A8A54"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Известни са специфични видове генетични полиморфизми, които могат да доведат до повишена експозиция на розувастатин (вж. точка 5.2). При пациенти, за които е известно, че имат такива специфични видове полиморфизми, се препоръчва по-ниска дневна доза на Ропуидо.</w:t>
      </w:r>
    </w:p>
    <w:p w14:paraId="33897DBB" w14:textId="77777777" w:rsidR="00C25D90" w:rsidRPr="00C25D90" w:rsidRDefault="00C25D90" w:rsidP="00C25D90">
      <w:pPr>
        <w:spacing w:line="240" w:lineRule="auto"/>
        <w:rPr>
          <w:rFonts w:eastAsia="Times New Roman" w:cs="Arial"/>
          <w:b/>
          <w:bCs/>
          <w:color w:val="000000"/>
          <w:lang w:eastAsia="bg-BG"/>
        </w:rPr>
      </w:pPr>
    </w:p>
    <w:p w14:paraId="6B498697" w14:textId="5467F75D"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Дозировка при пациенти с предразполагащи фактори за развитие на миопатия </w:t>
      </w:r>
      <w:r w:rsidRPr="00C25D90">
        <w:rPr>
          <w:rFonts w:eastAsia="Times New Roman" w:cs="Arial"/>
          <w:color w:val="000000"/>
          <w:lang w:eastAsia="bg-BG"/>
        </w:rPr>
        <w:t xml:space="preserve">Препоръчителната начална доза при пациенти с предразполагащи фактори за развитие на миопатия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(вж. точка 4.4).</w:t>
      </w:r>
    </w:p>
    <w:p w14:paraId="7EBD4A0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някои от тези пациенти дозата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противопоказана (вж. точка 4.3)</w:t>
      </w:r>
    </w:p>
    <w:p w14:paraId="45C9C08F" w14:textId="77777777" w:rsidR="00C25D90" w:rsidRPr="00C25D90" w:rsidRDefault="00C25D90" w:rsidP="00C25D90">
      <w:pPr>
        <w:spacing w:line="240" w:lineRule="auto"/>
        <w:rPr>
          <w:rFonts w:eastAsia="Times New Roman" w:cs="Arial"/>
          <w:b/>
          <w:bCs/>
          <w:color w:val="000000"/>
          <w:lang w:eastAsia="bg-BG"/>
        </w:rPr>
      </w:pPr>
    </w:p>
    <w:p w14:paraId="3ECE2CC9" w14:textId="3CA94BB2"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Едновременно лечение</w:t>
      </w:r>
    </w:p>
    <w:p w14:paraId="0698FC0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Розувастатин е субстрат на различни транспортни протеини (напр. ОАТР1В1 и </w:t>
      </w:r>
      <w:r w:rsidRPr="00C25D90">
        <w:rPr>
          <w:rFonts w:eastAsia="Times New Roman" w:cs="Arial"/>
          <w:color w:val="000000"/>
          <w:lang w:val="en-US"/>
        </w:rPr>
        <w:t>BCRP</w:t>
      </w:r>
      <w:r w:rsidRPr="00C25D90">
        <w:rPr>
          <w:rFonts w:eastAsia="Times New Roman" w:cs="Arial"/>
          <w:color w:val="000000"/>
          <w:lang w:val="ru-RU"/>
        </w:rPr>
        <w:t xml:space="preserve">). </w:t>
      </w:r>
      <w:r w:rsidRPr="00C25D90">
        <w:rPr>
          <w:rFonts w:eastAsia="Times New Roman" w:cs="Arial"/>
          <w:color w:val="000000"/>
          <w:lang w:eastAsia="bg-BG"/>
        </w:rPr>
        <w:t>Рискът от миопатия (включително рабдомиолиза) се увеличава, когато Ропуидо се прилага едновременно с някои лекарствени продукти, които могат да повишат плазмената концентрация на розувастатин поради взаимодействия с тези транспортни протеини (напр. циклоспорин и някои протеазни инхибитори, включително комбинации от ритонавир с атазанавир, лопинавир и/или типранавир; вж. точки 4.4 и 4.5). Когато е възможно, трябва да се обмисли приложението на алтернативни лекарства, и, ако е необходимо, да се помисли за временно преустановяване на лечението с Ропуидо. В ситуации, при които едновременно приложение на тези лекарствени продукти с Ропуидо е неизбежно, трябва да се обмислят внимателно ползата и рискът от едновременното лечение, както и коригиране на дозата на Ропуидо (вж. точка 4.5)</w:t>
      </w:r>
    </w:p>
    <w:p w14:paraId="0A288F61" w14:textId="77777777" w:rsidR="00C25D90" w:rsidRPr="00C25D90" w:rsidRDefault="00C25D90" w:rsidP="00C25D90">
      <w:pPr>
        <w:spacing w:line="240" w:lineRule="auto"/>
        <w:rPr>
          <w:rFonts w:eastAsia="Times New Roman" w:cs="Arial"/>
          <w:b/>
          <w:bCs/>
          <w:color w:val="000000"/>
          <w:u w:val="single"/>
          <w:lang w:eastAsia="bg-BG"/>
        </w:rPr>
      </w:pPr>
    </w:p>
    <w:p w14:paraId="360A612E" w14:textId="67ED0012" w:rsidR="00C25D90" w:rsidRPr="00C25D90" w:rsidRDefault="00C25D90" w:rsidP="00C25D90">
      <w:pPr>
        <w:pStyle w:val="Heading3"/>
        <w:rPr>
          <w:rFonts w:eastAsia="Times New Roman"/>
          <w:b/>
          <w:u w:val="single"/>
        </w:rPr>
      </w:pPr>
      <w:r w:rsidRPr="00C25D90">
        <w:rPr>
          <w:rFonts w:eastAsia="Times New Roman"/>
          <w:b/>
          <w:u w:val="single"/>
          <w:lang w:eastAsia="bg-BG"/>
        </w:rPr>
        <w:t>Начин на приложение</w:t>
      </w:r>
    </w:p>
    <w:p w14:paraId="473EEF1D"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За перорално приложение.</w:t>
      </w:r>
    </w:p>
    <w:p w14:paraId="3F7A36D9" w14:textId="77777777" w:rsidR="00C25D90" w:rsidRPr="00C25D90" w:rsidRDefault="00C25D90" w:rsidP="00C25D90">
      <w:pPr>
        <w:spacing w:line="240" w:lineRule="auto"/>
        <w:rPr>
          <w:rFonts w:ascii="Times New Roman" w:eastAsia="Times New Roman" w:hAnsi="Times New Roman" w:cs="Times New Roman"/>
          <w:sz w:val="24"/>
          <w:szCs w:val="24"/>
        </w:rPr>
      </w:pPr>
    </w:p>
    <w:p w14:paraId="0EA5C5B5" w14:textId="77777777" w:rsidR="00C25D90" w:rsidRPr="00C25D90" w:rsidRDefault="00C25D90" w:rsidP="00C25D90"/>
    <w:p w14:paraId="74903285" w14:textId="14CF0F2E" w:rsidR="00DB32D3" w:rsidRDefault="002C50EE" w:rsidP="005726E3">
      <w:pPr>
        <w:pStyle w:val="Heading2"/>
      </w:pPr>
      <w:r>
        <w:t>4.3. Противопоказания</w:t>
      </w:r>
    </w:p>
    <w:p w14:paraId="66861D8B" w14:textId="4228426D" w:rsidR="00C25D90" w:rsidRDefault="00C25D90" w:rsidP="00C25D90"/>
    <w:p w14:paraId="35336C41"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Ропуидо е противопоказан:</w:t>
      </w:r>
    </w:p>
    <w:p w14:paraId="33F409A0"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При пациенти със свръхчувствителност към активното вещество или към някое от помощните вещества, изброени в точка 6.1.</w:t>
      </w:r>
    </w:p>
    <w:p w14:paraId="2C1A839F"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lastRenderedPageBreak/>
        <w:t xml:space="preserve">При пациенти с активно чернодробно заболяване, включително неуточнено, персистиращо повишение на серумните трансаминази и всяко повишение на серумната трансаминаза над 3 пъти над горната граница на нормата </w:t>
      </w:r>
      <w:r w:rsidRPr="00C25D90">
        <w:rPr>
          <w:rFonts w:eastAsia="Times New Roman" w:cs="Arial"/>
          <w:color w:val="000000"/>
          <w:szCs w:val="20"/>
          <w:lang w:val="ru-RU"/>
        </w:rPr>
        <w:t>(</w:t>
      </w:r>
      <w:r w:rsidRPr="00C25D90">
        <w:rPr>
          <w:rFonts w:eastAsia="Times New Roman" w:cs="Arial"/>
          <w:color w:val="000000"/>
          <w:szCs w:val="20"/>
          <w:lang w:val="en-US"/>
        </w:rPr>
        <w:t>ULN</w:t>
      </w:r>
      <w:r w:rsidRPr="00C25D90">
        <w:rPr>
          <w:rFonts w:eastAsia="Times New Roman" w:cs="Arial"/>
          <w:color w:val="000000"/>
          <w:szCs w:val="20"/>
          <w:lang w:val="ru-RU"/>
        </w:rPr>
        <w:t>).</w:t>
      </w:r>
    </w:p>
    <w:p w14:paraId="50829610"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 xml:space="preserve">При пациенти с тежко бъбречно увреждане (креатининов клирънс &lt;30 </w:t>
      </w:r>
      <w:r w:rsidRPr="00C25D90">
        <w:rPr>
          <w:rFonts w:eastAsia="Times New Roman" w:cs="Arial"/>
          <w:color w:val="000000"/>
          <w:szCs w:val="20"/>
          <w:lang w:val="en-US"/>
        </w:rPr>
        <w:t>ml</w:t>
      </w:r>
      <w:r w:rsidRPr="00C25D90">
        <w:rPr>
          <w:rFonts w:eastAsia="Times New Roman" w:cs="Arial"/>
          <w:color w:val="000000"/>
          <w:szCs w:val="20"/>
          <w:lang w:val="ru-RU"/>
        </w:rPr>
        <w:t>/</w:t>
      </w:r>
      <w:r w:rsidRPr="00C25D90">
        <w:rPr>
          <w:rFonts w:eastAsia="Times New Roman" w:cs="Arial"/>
          <w:color w:val="000000"/>
          <w:szCs w:val="20"/>
          <w:lang w:val="en-US"/>
        </w:rPr>
        <w:t>min</w:t>
      </w:r>
      <w:r w:rsidRPr="00C25D90">
        <w:rPr>
          <w:rFonts w:eastAsia="Times New Roman" w:cs="Arial"/>
          <w:color w:val="000000"/>
          <w:szCs w:val="20"/>
          <w:lang w:val="ru-RU"/>
        </w:rPr>
        <w:t xml:space="preserve">). </w:t>
      </w:r>
      <w:r w:rsidRPr="00C25D90">
        <w:rPr>
          <w:rFonts w:eastAsia="Times New Roman" w:cs="Arial"/>
          <w:color w:val="000000"/>
          <w:szCs w:val="20"/>
          <w:lang w:eastAsia="bg-BG"/>
        </w:rPr>
        <w:t>При пациенти с миопатия.</w:t>
      </w:r>
    </w:p>
    <w:p w14:paraId="0969338D"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При пациенти, приемащи едновременно циклоспорин.</w:t>
      </w:r>
    </w:p>
    <w:p w14:paraId="404BCC19" w14:textId="5639FB44"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По време на бременност, кърмене и при жени с детероден потенциал, които не използват подходящи контрацептивни мерки.</w:t>
      </w:r>
    </w:p>
    <w:p w14:paraId="18A242C3" w14:textId="77777777" w:rsidR="00C25D90" w:rsidRPr="00C25D90" w:rsidRDefault="00C25D90" w:rsidP="00C25D90">
      <w:pPr>
        <w:spacing w:line="240" w:lineRule="auto"/>
        <w:rPr>
          <w:rFonts w:eastAsia="Times New Roman" w:cs="Arial"/>
          <w:color w:val="000000"/>
          <w:szCs w:val="20"/>
          <w:lang w:eastAsia="bg-BG"/>
        </w:rPr>
      </w:pPr>
    </w:p>
    <w:p w14:paraId="36E1B97E" w14:textId="23EB6584"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Дозата от 40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е противопоказана при пациенти с предразполагащи фактори за развитие на миопатия/рабдомиолиза. Такива фактори включват:</w:t>
      </w:r>
    </w:p>
    <w:p w14:paraId="007B3A05"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 xml:space="preserve">умерено бъбречно увреждане (креатининов клирънс &lt;60 </w:t>
      </w:r>
      <w:r w:rsidRPr="00C25D90">
        <w:rPr>
          <w:rFonts w:eastAsia="Times New Roman" w:cs="Arial"/>
          <w:color w:val="000000"/>
          <w:szCs w:val="20"/>
          <w:lang w:val="en-US"/>
        </w:rPr>
        <w:t>ml</w:t>
      </w:r>
      <w:r w:rsidRPr="00C25D90">
        <w:rPr>
          <w:rFonts w:eastAsia="Times New Roman" w:cs="Arial"/>
          <w:color w:val="000000"/>
          <w:szCs w:val="20"/>
          <w:lang w:val="ru-RU"/>
        </w:rPr>
        <w:t>/</w:t>
      </w:r>
      <w:r w:rsidRPr="00C25D90">
        <w:rPr>
          <w:rFonts w:eastAsia="Times New Roman" w:cs="Arial"/>
          <w:color w:val="000000"/>
          <w:szCs w:val="20"/>
          <w:lang w:val="en-US"/>
        </w:rPr>
        <w:t>min</w:t>
      </w:r>
      <w:r w:rsidRPr="00C25D90">
        <w:rPr>
          <w:rFonts w:eastAsia="Times New Roman" w:cs="Arial"/>
          <w:color w:val="000000"/>
          <w:szCs w:val="20"/>
          <w:lang w:val="ru-RU"/>
        </w:rPr>
        <w:t>)</w:t>
      </w:r>
    </w:p>
    <w:p w14:paraId="4AF8E97B"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хипотиреоидизъм</w:t>
      </w:r>
    </w:p>
    <w:p w14:paraId="2D5A9343"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персонална или фамилна анамнеза за наследствени мускулни заболявания</w:t>
      </w:r>
    </w:p>
    <w:p w14:paraId="0E8492D5"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 xml:space="preserve">анамнеза за мускулна токсичност с друг индуктор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редуктазата или фибрат -</w:t>
      </w:r>
      <w:r w:rsidRPr="00C25D90">
        <w:rPr>
          <w:rFonts w:eastAsia="Times New Roman" w:cs="Arial"/>
          <w:color w:val="000000"/>
          <w:szCs w:val="20"/>
          <w:lang w:eastAsia="bg-BG"/>
        </w:rPr>
        <w:tab/>
        <w:t>злоупотреба с алкохол</w:t>
      </w:r>
    </w:p>
    <w:p w14:paraId="331EBD91"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ситуации, при които може да възникне повишаване в плазмените нива</w:t>
      </w:r>
    </w:p>
    <w:p w14:paraId="291B7250" w14:textId="543FEAC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пациенти от азиатската раса</w:t>
      </w:r>
    </w:p>
    <w:p w14:paraId="3BB1A69B" w14:textId="62CE8D9C"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едновременна употреба на фибрати.</w:t>
      </w:r>
    </w:p>
    <w:p w14:paraId="29515D4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(вж. точки 4.4,4.5 и 5.2)</w:t>
      </w:r>
    </w:p>
    <w:p w14:paraId="1D891CC7" w14:textId="77777777" w:rsidR="00C25D90" w:rsidRPr="00C25D90" w:rsidRDefault="00C25D90" w:rsidP="00C25D90"/>
    <w:p w14:paraId="76DC8E58" w14:textId="133FBC0A" w:rsidR="00DB32D3" w:rsidRDefault="002C50EE" w:rsidP="005726E3">
      <w:pPr>
        <w:pStyle w:val="Heading2"/>
      </w:pPr>
      <w:r>
        <w:t>4.4. Специални предупреждения и предпазни мерки при употреба</w:t>
      </w:r>
    </w:p>
    <w:p w14:paraId="0F1D749F" w14:textId="780FB8F2" w:rsidR="00C25D90" w:rsidRDefault="00C25D90" w:rsidP="00C25D90"/>
    <w:p w14:paraId="5B50CA40"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Тежки кожни нежелани реакции</w:t>
      </w:r>
    </w:p>
    <w:p w14:paraId="0E371D2B" w14:textId="456BDC74" w:rsidR="00C25D90" w:rsidRPr="00C25D90" w:rsidRDefault="00C25D90" w:rsidP="00C25D90">
      <w:pPr>
        <w:rPr>
          <w:rFonts w:cs="Arial"/>
        </w:rPr>
      </w:pPr>
    </w:p>
    <w:p w14:paraId="024C80F1"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 xml:space="preserve">При лечение с розувастатин се съобщава за тежки кожни нежелани реакции, включващи синдром на </w:t>
      </w:r>
      <w:r w:rsidRPr="00C25D90">
        <w:rPr>
          <w:rFonts w:eastAsia="Times New Roman" w:cs="Arial"/>
          <w:color w:val="000000"/>
          <w:u w:val="single"/>
          <w:lang w:val="en-US"/>
        </w:rPr>
        <w:t>Stevens</w:t>
      </w:r>
      <w:r w:rsidRPr="00C25D90">
        <w:rPr>
          <w:rFonts w:eastAsia="Times New Roman" w:cs="Arial"/>
          <w:color w:val="000000"/>
          <w:u w:val="single"/>
          <w:lang w:val="ru-RU"/>
        </w:rPr>
        <w:t xml:space="preserve"> </w:t>
      </w:r>
      <w:r w:rsidRPr="00C25D90">
        <w:rPr>
          <w:rFonts w:eastAsia="Times New Roman" w:cs="Arial"/>
          <w:color w:val="000000"/>
          <w:u w:val="single"/>
          <w:lang w:val="en-US"/>
        </w:rPr>
        <w:t>Johnson</w:t>
      </w:r>
      <w:r w:rsidRPr="00C25D90">
        <w:rPr>
          <w:rFonts w:eastAsia="Times New Roman" w:cs="Arial"/>
          <w:color w:val="000000"/>
          <w:u w:val="single"/>
          <w:lang w:val="ru-RU"/>
        </w:rPr>
        <w:t xml:space="preserve"> (</w:t>
      </w:r>
      <w:r w:rsidRPr="00C25D90">
        <w:rPr>
          <w:rFonts w:eastAsia="Times New Roman" w:cs="Arial"/>
          <w:color w:val="000000"/>
          <w:u w:val="single"/>
          <w:lang w:val="en-US"/>
        </w:rPr>
        <w:t>SJS</w:t>
      </w:r>
      <w:r w:rsidRPr="00C25D90">
        <w:rPr>
          <w:rFonts w:eastAsia="Times New Roman" w:cs="Arial"/>
          <w:color w:val="000000"/>
          <w:u w:val="single"/>
          <w:lang w:val="ru-RU"/>
        </w:rPr>
        <w:t xml:space="preserve">) </w:t>
      </w:r>
      <w:r w:rsidRPr="00C25D90">
        <w:rPr>
          <w:rFonts w:eastAsia="Times New Roman" w:cs="Arial"/>
          <w:color w:val="000000"/>
          <w:u w:val="single"/>
          <w:lang w:eastAsia="bg-BG"/>
        </w:rPr>
        <w:t xml:space="preserve">и лекарствена реакция с еозинофилия и системни симптоми </w:t>
      </w:r>
      <w:r w:rsidRPr="00C25D90">
        <w:rPr>
          <w:rFonts w:eastAsia="Times New Roman" w:cs="Arial"/>
          <w:color w:val="000000"/>
          <w:u w:val="single"/>
          <w:lang w:val="ru-RU"/>
        </w:rPr>
        <w:t>(</w:t>
      </w:r>
      <w:r w:rsidRPr="00C25D90">
        <w:rPr>
          <w:rFonts w:eastAsia="Times New Roman" w:cs="Arial"/>
          <w:color w:val="000000"/>
          <w:u w:val="single"/>
          <w:lang w:val="en-US"/>
        </w:rPr>
        <w:t>DRESS</w:t>
      </w:r>
      <w:r w:rsidRPr="00C25D90">
        <w:rPr>
          <w:rFonts w:eastAsia="Times New Roman" w:cs="Arial"/>
          <w:color w:val="000000"/>
          <w:u w:val="single"/>
          <w:lang w:val="ru-RU"/>
        </w:rPr>
        <w:t xml:space="preserve">), </w:t>
      </w:r>
      <w:r w:rsidRPr="00C25D90">
        <w:rPr>
          <w:rFonts w:eastAsia="Times New Roman" w:cs="Arial"/>
          <w:color w:val="000000"/>
          <w:u w:val="single"/>
          <w:lang w:eastAsia="bg-BG"/>
        </w:rPr>
        <w:t>които може да са животозастрашаващи или с летален изход.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тази реакция, приложението на Ропуидо трябва незабавно да се преустанови и да се обмисли алтернативно лечение.</w:t>
      </w:r>
    </w:p>
    <w:p w14:paraId="4BFB4D6E"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 xml:space="preserve">Ако пациентът е развил сериозна реакция, като например </w:t>
      </w:r>
      <w:r w:rsidRPr="00C25D90">
        <w:rPr>
          <w:rFonts w:eastAsia="Times New Roman" w:cs="Arial"/>
          <w:color w:val="000000"/>
          <w:u w:val="single"/>
          <w:lang w:val="en-US"/>
        </w:rPr>
        <w:t>SJS</w:t>
      </w:r>
      <w:r w:rsidRPr="00C25D90">
        <w:rPr>
          <w:rFonts w:eastAsia="Times New Roman" w:cs="Arial"/>
          <w:color w:val="000000"/>
          <w:u w:val="single"/>
          <w:lang w:val="ru-RU"/>
        </w:rPr>
        <w:t xml:space="preserve"> </w:t>
      </w:r>
      <w:r w:rsidRPr="00C25D90">
        <w:rPr>
          <w:rFonts w:eastAsia="Times New Roman" w:cs="Arial"/>
          <w:color w:val="000000"/>
          <w:u w:val="single"/>
          <w:lang w:eastAsia="bg-BG"/>
        </w:rPr>
        <w:t xml:space="preserve">или </w:t>
      </w:r>
      <w:r w:rsidRPr="00C25D90">
        <w:rPr>
          <w:rFonts w:eastAsia="Times New Roman" w:cs="Arial"/>
          <w:color w:val="000000"/>
          <w:u w:val="single"/>
          <w:lang w:val="en-US"/>
        </w:rPr>
        <w:t>DRESS</w:t>
      </w:r>
      <w:r w:rsidRPr="00C25D90">
        <w:rPr>
          <w:rFonts w:eastAsia="Times New Roman" w:cs="Arial"/>
          <w:color w:val="000000"/>
          <w:u w:val="single"/>
          <w:lang w:val="ru-RU"/>
        </w:rPr>
        <w:t xml:space="preserve"> </w:t>
      </w:r>
      <w:r w:rsidRPr="00C25D90">
        <w:rPr>
          <w:rFonts w:eastAsia="Times New Roman" w:cs="Arial"/>
          <w:color w:val="000000"/>
          <w:u w:val="single"/>
          <w:lang w:eastAsia="bg-BG"/>
        </w:rPr>
        <w:t>при употребата на Ропуидо. лечението с Ропуидо не трябва никога да се подновява при този пациент.</w:t>
      </w:r>
    </w:p>
    <w:p w14:paraId="6F15C4C6" w14:textId="77777777" w:rsidR="00C25D90" w:rsidRPr="00C25D90" w:rsidRDefault="00C25D90" w:rsidP="00C25D90">
      <w:pPr>
        <w:spacing w:line="240" w:lineRule="auto"/>
        <w:rPr>
          <w:rFonts w:eastAsia="Times New Roman" w:cs="Arial"/>
          <w:color w:val="000000"/>
          <w:u w:val="single"/>
          <w:lang w:eastAsia="bg-BG"/>
        </w:rPr>
      </w:pPr>
    </w:p>
    <w:p w14:paraId="02D6516E" w14:textId="1EE916A0"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Ефекти върху бъбреците</w:t>
      </w:r>
    </w:p>
    <w:p w14:paraId="72FE929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пациенти, лекувани с високи дози Ропуидо, по-специално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е наблюдавана протеинурия, установена при изследване с тест-ленти, предимно от тубуларен произход, и, в повечето случаи, с преходен или интермитентен характер. Протеинурията не е доказана като прогностична за остро или прогресивно бъбречно заболяване (вж. точка 4.8). Съобщената честота на сериозни бъбречни събития в пост-маркетинговия период е по-висока при 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Трябва да се обмисли оценка на бъбречната функция по време на рутинно проследяване на пациентите, лекувани с доза от 40 </w:t>
      </w:r>
      <w:r w:rsidRPr="00C25D90">
        <w:rPr>
          <w:rFonts w:eastAsia="Times New Roman" w:cs="Arial"/>
          <w:color w:val="000000"/>
          <w:lang w:val="en-US"/>
        </w:rPr>
        <w:t>mg</w:t>
      </w:r>
      <w:r w:rsidRPr="00C25D90">
        <w:rPr>
          <w:rFonts w:eastAsia="Times New Roman" w:cs="Arial"/>
          <w:color w:val="000000"/>
          <w:lang w:val="ru-RU"/>
        </w:rPr>
        <w:t>.</w:t>
      </w:r>
    </w:p>
    <w:p w14:paraId="53D9F633" w14:textId="77777777" w:rsidR="00C25D90" w:rsidRPr="00C25D90" w:rsidRDefault="00C25D90" w:rsidP="00C25D90">
      <w:pPr>
        <w:spacing w:line="240" w:lineRule="auto"/>
        <w:rPr>
          <w:rFonts w:eastAsia="Times New Roman" w:cs="Arial"/>
          <w:color w:val="000000"/>
          <w:u w:val="single"/>
          <w:lang w:eastAsia="bg-BG"/>
        </w:rPr>
      </w:pPr>
    </w:p>
    <w:p w14:paraId="2B4BB74E" w14:textId="312AD92A"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Ефекти върху скелетната мускулатура</w:t>
      </w:r>
    </w:p>
    <w:p w14:paraId="12C3F824"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Ефекти върху скелетната мускулатура, например миалгия, миопатия и рядко рабдомиолиза, са съобщавани при пациенти, лекувани с Ропуидо с всички дози и по-</w:t>
      </w:r>
      <w:r w:rsidRPr="00C25D90">
        <w:rPr>
          <w:rFonts w:eastAsia="Times New Roman" w:cs="Arial"/>
          <w:color w:val="000000"/>
          <w:lang w:eastAsia="bg-BG"/>
        </w:rPr>
        <w:lastRenderedPageBreak/>
        <w:t xml:space="preserve">специално с дози &gt;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Много редки случаи на рабдомиолиза са съобщавани при употребата на езетимиб в комбинация с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Фармакодинамично взаимодействие не може да бъде изключено (вж. точка 4.5) и трябва да се внимава при комбинираната им употреба. 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съобщената честота на свързаната с Ропуидо рабдомиолиза в пост-маркетинговата употреба е по-висока при доза 40 </w:t>
      </w:r>
      <w:r w:rsidRPr="00C25D90">
        <w:rPr>
          <w:rFonts w:eastAsia="Times New Roman" w:cs="Arial"/>
          <w:color w:val="000000"/>
          <w:lang w:val="en-US"/>
        </w:rPr>
        <w:t>mg</w:t>
      </w:r>
      <w:r w:rsidRPr="00C25D90">
        <w:rPr>
          <w:rFonts w:eastAsia="Times New Roman" w:cs="Arial"/>
          <w:color w:val="000000"/>
          <w:lang w:val="ru-RU"/>
        </w:rPr>
        <w:t>.</w:t>
      </w:r>
    </w:p>
    <w:p w14:paraId="48F7DD30" w14:textId="77777777" w:rsidR="00C25D90" w:rsidRPr="00C25D90" w:rsidRDefault="00C25D90" w:rsidP="00C25D90">
      <w:pPr>
        <w:spacing w:line="240" w:lineRule="auto"/>
        <w:rPr>
          <w:rFonts w:eastAsia="Times New Roman" w:cs="Arial"/>
          <w:i/>
          <w:iCs/>
          <w:color w:val="000000"/>
          <w:lang w:eastAsia="bg-BG"/>
        </w:rPr>
      </w:pPr>
    </w:p>
    <w:p w14:paraId="03133787" w14:textId="6BC6E97A"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Измерване на креатин киназата</w:t>
      </w:r>
    </w:p>
    <w:p w14:paraId="1345DD3C"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Креатин киназата (СК) не трябва да се измерва след физическо натоварване или при наличието на друга вероятна причина за нейното увеличение, което може да затрудни тълкуването на резултатите. Ако нивата на СК са значително повишени в началото (&gt; 5 пъти горната граница на нормата) необходимо е да се извършва изследване за потвърждаване на резултата в рамките на 5-7 дни. Ако повторното изследване потвърди изходното ниво на СК &gt;5 пъти горната граница на нормата, лечението не трябва да се започва.</w:t>
      </w:r>
    </w:p>
    <w:p w14:paraId="17E0ACCB" w14:textId="77777777" w:rsidR="00C25D90" w:rsidRPr="00C25D90" w:rsidRDefault="00C25D90" w:rsidP="00C25D90">
      <w:pPr>
        <w:spacing w:line="240" w:lineRule="auto"/>
        <w:rPr>
          <w:rFonts w:eastAsia="Times New Roman" w:cs="Arial"/>
          <w:i/>
          <w:iCs/>
          <w:color w:val="000000"/>
          <w:lang w:eastAsia="bg-BG"/>
        </w:rPr>
      </w:pPr>
    </w:p>
    <w:p w14:paraId="7A44FA32" w14:textId="67ED5B9E"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Преди лечението</w:t>
      </w:r>
    </w:p>
    <w:p w14:paraId="433F583C"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Ропуидо, 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трябва да се предписва с повишено внимание при пациенти с предразполагащи фактори за развитие на миопатия/рабдомиолиза. Такива фактори включват:</w:t>
      </w:r>
    </w:p>
    <w:p w14:paraId="261231B8"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бъбречно увреждане</w:t>
      </w:r>
    </w:p>
    <w:p w14:paraId="1211A6CB"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хипотиреоидизъм</w:t>
      </w:r>
    </w:p>
    <w:p w14:paraId="48EF0C23"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персонална или фамилна анамнеза за наследствени мускулни заболявания</w:t>
      </w:r>
    </w:p>
    <w:p w14:paraId="2F9C25EC"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 xml:space="preserve">анамнеза за мускулна токсичност с друг индуктор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или фибрат •</w:t>
      </w:r>
      <w:r w:rsidRPr="00C25D90">
        <w:rPr>
          <w:rFonts w:eastAsia="Times New Roman" w:cs="Arial"/>
          <w:color w:val="000000"/>
          <w:lang w:eastAsia="bg-BG"/>
        </w:rPr>
        <w:tab/>
      </w:r>
    </w:p>
    <w:p w14:paraId="0AB5554A" w14:textId="6995B70C"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злоупотреба с алкохол</w:t>
      </w:r>
    </w:p>
    <w:p w14:paraId="142BDEA0"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възраст &gt;70 години</w:t>
      </w:r>
    </w:p>
    <w:p w14:paraId="34EA38B1"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ситуации, при които може да възникне повишаване в плазмените нива (вж. точки 4.2,4.5 и 5.2)</w:t>
      </w:r>
    </w:p>
    <w:p w14:paraId="7B9E62C7" w14:textId="49C8BC3C"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едновременна употреба на фибрати.</w:t>
      </w:r>
    </w:p>
    <w:p w14:paraId="0EE11A22" w14:textId="77777777" w:rsidR="00C25D90" w:rsidRPr="00C25D90" w:rsidRDefault="00C25D90" w:rsidP="00C25D90">
      <w:pPr>
        <w:spacing w:line="240" w:lineRule="auto"/>
        <w:rPr>
          <w:rFonts w:eastAsia="Times New Roman" w:cs="Arial"/>
          <w:color w:val="000000"/>
          <w:lang w:eastAsia="bg-BG"/>
        </w:rPr>
      </w:pPr>
    </w:p>
    <w:p w14:paraId="06406621" w14:textId="188DB18D" w:rsidR="00C25D90" w:rsidRPr="00C25D90" w:rsidRDefault="00C25D90" w:rsidP="00C25D90">
      <w:pPr>
        <w:spacing w:line="240" w:lineRule="auto"/>
        <w:rPr>
          <w:rFonts w:eastAsia="Times New Roman" w:cs="Arial"/>
        </w:rPr>
      </w:pPr>
      <w:r w:rsidRPr="00C25D90">
        <w:rPr>
          <w:rFonts w:eastAsia="Times New Roman" w:cs="Arial"/>
          <w:color w:val="000000"/>
          <w:lang w:eastAsia="bg-BG"/>
        </w:rPr>
        <w:t>При такива пациенти рискът от лечението трябва да се прецени спрямо възможните ползи и се препоръчва клинично проследяване. Ако нивата на СК са значително повишени (&gt; 5 пъти горната граница на нормата) при изходното ниво, лечението не трябва да започва.</w:t>
      </w:r>
    </w:p>
    <w:p w14:paraId="5C3E6275" w14:textId="77777777" w:rsidR="00C25D90" w:rsidRPr="00C25D90" w:rsidRDefault="00C25D90" w:rsidP="00C25D90">
      <w:pPr>
        <w:spacing w:line="240" w:lineRule="auto"/>
        <w:rPr>
          <w:rFonts w:eastAsia="Times New Roman" w:cs="Arial"/>
          <w:i/>
          <w:iCs/>
          <w:color w:val="000000"/>
          <w:lang w:eastAsia="bg-BG"/>
        </w:rPr>
      </w:pPr>
    </w:p>
    <w:p w14:paraId="6F9AC0F3" w14:textId="6CB44EC2"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По време на лечението</w:t>
      </w:r>
    </w:p>
    <w:p w14:paraId="3625523F"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Пациентите трябва да бъдат помолени да съобщават веднага необяснима мускулна болка, слабост или крампи, особено ако е свързано с неразположение или повишена температура. При тези пациенти трябва да се измерят нивата на СК. Лечението трябва да се преустанови, ако нивата на СК са значително повишени (&gt; 5 пъти горната граница на нормата) или ако мускулните симптоми са тежки и причиняват ежедневен дискомфорт (дори и ако нивата на СК са &lt; 5 пъти горната граница на нормата). Ако симптомите отшумят и нивата на СК се нормализират, може да се обмисли повторно въвеждане на Ропуидо или алтернативен инхибитор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при най-ниската доза с внимателно проследяване.</w:t>
      </w:r>
    </w:p>
    <w:p w14:paraId="50D10B4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Рутинно наблюдение на нивата на СК при асимптоматични пациенти не е оправдано. По време на или след лечение със статини, включително розувастатин, има много редки съобщения за имунно-медиирана некротизираща миопатия </w:t>
      </w:r>
      <w:r w:rsidRPr="00C25D90">
        <w:rPr>
          <w:rFonts w:eastAsia="Times New Roman" w:cs="Arial"/>
          <w:color w:val="000000"/>
          <w:lang w:val="ru-RU"/>
        </w:rPr>
        <w:t>(</w:t>
      </w:r>
      <w:r w:rsidRPr="00C25D90">
        <w:rPr>
          <w:rFonts w:eastAsia="Times New Roman" w:cs="Arial"/>
          <w:color w:val="000000"/>
          <w:lang w:val="en-US"/>
        </w:rPr>
        <w:t>IMNM</w:t>
      </w:r>
      <w:r w:rsidRPr="00C25D90">
        <w:rPr>
          <w:rFonts w:eastAsia="Times New Roman" w:cs="Arial"/>
          <w:color w:val="000000"/>
          <w:lang w:val="ru-RU"/>
        </w:rPr>
        <w:t>).</w:t>
      </w:r>
    </w:p>
    <w:p w14:paraId="45EF1A06" w14:textId="77777777" w:rsidR="00C25D90" w:rsidRPr="00C25D90" w:rsidRDefault="00C25D90" w:rsidP="00C25D90">
      <w:pPr>
        <w:spacing w:line="240" w:lineRule="auto"/>
        <w:rPr>
          <w:rFonts w:eastAsia="Times New Roman" w:cs="Arial"/>
          <w:color w:val="000000"/>
          <w:lang w:val="en-US"/>
        </w:rPr>
      </w:pPr>
    </w:p>
    <w:p w14:paraId="7EAAC589" w14:textId="3A4A0D5A" w:rsidR="00C25D90" w:rsidRPr="00C25D90" w:rsidRDefault="00C25D90" w:rsidP="00C25D90">
      <w:pPr>
        <w:spacing w:line="240" w:lineRule="auto"/>
        <w:rPr>
          <w:rFonts w:eastAsia="Times New Roman" w:cs="Arial"/>
        </w:rPr>
      </w:pPr>
      <w:r w:rsidRPr="00C25D90">
        <w:rPr>
          <w:rFonts w:eastAsia="Times New Roman" w:cs="Arial"/>
          <w:color w:val="000000"/>
          <w:lang w:val="en-US"/>
        </w:rPr>
        <w:lastRenderedPageBreak/>
        <w:t>IMNM</w:t>
      </w:r>
      <w:r w:rsidRPr="00C25D90">
        <w:rPr>
          <w:rFonts w:eastAsia="Times New Roman" w:cs="Arial"/>
          <w:color w:val="000000"/>
          <w:lang w:val="ru-RU"/>
        </w:rPr>
        <w:t xml:space="preserve"> </w:t>
      </w:r>
      <w:r w:rsidRPr="00C25D90">
        <w:rPr>
          <w:rFonts w:eastAsia="Times New Roman" w:cs="Arial"/>
          <w:color w:val="000000"/>
          <w:lang w:eastAsia="bg-BG"/>
        </w:rPr>
        <w:t>клинично се характеризира с проксимална мускулна слабост и повишени серумни нива на креатин киназата, които продължават да съществуват въпреки прекъсване на лечението със статини.</w:t>
      </w:r>
    </w:p>
    <w:p w14:paraId="4FB8CD22" w14:textId="77777777" w:rsidR="00C25D90" w:rsidRPr="00C25D90" w:rsidRDefault="00C25D90" w:rsidP="00C25D90">
      <w:pPr>
        <w:spacing w:line="240" w:lineRule="auto"/>
        <w:rPr>
          <w:rFonts w:eastAsia="Times New Roman" w:cs="Arial"/>
          <w:color w:val="000000"/>
          <w:lang w:eastAsia="bg-BG"/>
        </w:rPr>
      </w:pPr>
    </w:p>
    <w:p w14:paraId="786906B0" w14:textId="00C63A5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В клинични проучвания липсват данни за повишени ефекти върху скелетната мускулатура при малък брой от пациентите, лекувани с Ропуидо и съпътстващо лечение. Увеличение в честотата на миозит и миопатия обаче се наблюдава при пациенти, приемащи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заедно с производни на фибриновата киселина, включително гемфиброзил, циклоспорин, никотинова киселина, азолови противогъбични средства, протеазни инхибитори и макролидни антибиотици. Гемфиброзил повишава риска от миопатия, когато се прилага едновременно с някои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Следователно комбинацията на Ропуидо и гемфиброзил не се препоръчва. Ползата от по-нататъшни изменения в нивата на липидите от комбинираното използване на Ропуидо с фибрати или ниацин трябва да бъде внимателно преценена спрямо потенциалните рискове от тези комбинации. Дозата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противопоказана при едновременна употреба на фибрат (вж. точки 4.5 и 4.8).</w:t>
      </w:r>
    </w:p>
    <w:p w14:paraId="1555EFAC" w14:textId="77777777" w:rsidR="00C25D90" w:rsidRPr="00C25D90" w:rsidRDefault="00C25D90" w:rsidP="00C25D90">
      <w:pPr>
        <w:spacing w:line="240" w:lineRule="auto"/>
        <w:rPr>
          <w:rFonts w:eastAsia="Times New Roman" w:cs="Arial"/>
          <w:color w:val="000000"/>
          <w:lang w:eastAsia="bg-BG"/>
        </w:rPr>
      </w:pPr>
    </w:p>
    <w:p w14:paraId="703279C2" w14:textId="7FA26DA9" w:rsidR="00C25D90" w:rsidRPr="00C25D90" w:rsidRDefault="00C25D90" w:rsidP="00C25D90">
      <w:pPr>
        <w:spacing w:line="240" w:lineRule="auto"/>
        <w:rPr>
          <w:rFonts w:eastAsia="Times New Roman" w:cs="Arial"/>
        </w:rPr>
      </w:pPr>
      <w:r w:rsidRPr="00C25D90">
        <w:rPr>
          <w:rFonts w:eastAsia="Times New Roman" w:cs="Arial"/>
          <w:color w:val="000000"/>
          <w:lang w:eastAsia="bg-BG"/>
        </w:rPr>
        <w:t>Ропуидо не трябва да се прилага едновременно с формулировки на фузидовата киселина със системно действие или в рамките на 7 дни след спиране на лечението с фузидова киселина. При пациенти, при които употребата на фузидова киселина със системно действие се счита за съществена, лечението със статини трябва да се прекрати за цялото времетраене на лечението с фузидова киселина. Има съобщения за рабдомиолиза (включително смъртни случаи) при пациенти, получаващи комбинация от фузидова киселина и статини (вж. точка 4.5). Пациентите трябва да бъдат съветвани да потърсят незабавно медицинска помощ, ако получат някакви симптоми на мускулна слабост, болка или чувствителност. Лечението със статини може да бъде повторно въведено седем дни след последната доза фузидова киселина. При изключителни обстоятелства, когато е необходима продължителна системна експозиция на фузидова киселина, напр. за лечение на тежки инфекции, необходимостта от едновременно прилагане на Ропуидо и фузидова киселина трябва да се обмисля за всеки отделен случай и под строго медицинско наблюдение.</w:t>
      </w:r>
    </w:p>
    <w:p w14:paraId="32663B85" w14:textId="77777777" w:rsidR="00C25D90" w:rsidRPr="00C25D90" w:rsidRDefault="00C25D90" w:rsidP="00C25D90">
      <w:pPr>
        <w:spacing w:line="240" w:lineRule="auto"/>
        <w:rPr>
          <w:rFonts w:eastAsia="Times New Roman" w:cs="Arial"/>
          <w:color w:val="000000"/>
          <w:lang w:eastAsia="bg-BG"/>
        </w:rPr>
      </w:pPr>
    </w:p>
    <w:p w14:paraId="5B75F000" w14:textId="1CD855F4" w:rsidR="00C25D90" w:rsidRPr="00C25D90" w:rsidRDefault="00C25D90" w:rsidP="00C25D90">
      <w:pPr>
        <w:spacing w:line="240" w:lineRule="auto"/>
        <w:rPr>
          <w:rFonts w:eastAsia="Times New Roman" w:cs="Arial"/>
        </w:rPr>
      </w:pPr>
      <w:r w:rsidRPr="00C25D90">
        <w:rPr>
          <w:rFonts w:eastAsia="Times New Roman" w:cs="Arial"/>
          <w:color w:val="000000"/>
          <w:lang w:eastAsia="bg-BG"/>
        </w:rPr>
        <w:t>Ропуидо не трябва да се използва при пациенти с остро, тежко състояние, предполагащо миопатия или предразполагащо към развитие на бъбречна недостатъчност вследствие на рабдомиолиза (напр. сепсис, хипотензия, значителна оперативна интервенция, травма, тежки метаболитни, ендокринни и електролитни нарушения, или неконтролирани гърчове).</w:t>
      </w:r>
    </w:p>
    <w:p w14:paraId="650E84BC" w14:textId="77777777" w:rsidR="00C25D90" w:rsidRPr="00C25D90" w:rsidRDefault="00C25D90" w:rsidP="00C25D90">
      <w:pPr>
        <w:spacing w:line="240" w:lineRule="auto"/>
        <w:rPr>
          <w:rFonts w:eastAsia="Times New Roman" w:cs="Arial"/>
          <w:color w:val="000000"/>
          <w:u w:val="single"/>
          <w:lang w:eastAsia="bg-BG"/>
        </w:rPr>
      </w:pPr>
    </w:p>
    <w:p w14:paraId="568518D3" w14:textId="17063AE8"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Ефекти върху черния дроб</w:t>
      </w:r>
    </w:p>
    <w:p w14:paraId="4B1634E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Ропуидо трябва да се използва с повишено внимание при пациенти, които приемат прекомерни количества алкохол и/или имат анамнеза за чернодробно заболяване.</w:t>
      </w:r>
    </w:p>
    <w:p w14:paraId="1F433986" w14:textId="77777777" w:rsidR="00C25D90" w:rsidRPr="00C25D90" w:rsidRDefault="00C25D90" w:rsidP="00C25D90">
      <w:pPr>
        <w:rPr>
          <w:rFonts w:eastAsia="Times New Roman" w:cs="Arial"/>
          <w:color w:val="000000"/>
          <w:lang w:eastAsia="bg-BG"/>
        </w:rPr>
      </w:pPr>
    </w:p>
    <w:p w14:paraId="1B0F7C55" w14:textId="77777777" w:rsidR="00C25D90" w:rsidRPr="00C25D90" w:rsidRDefault="00C25D90" w:rsidP="00C25D90">
      <w:pPr>
        <w:rPr>
          <w:rFonts w:eastAsia="Times New Roman" w:cs="Arial"/>
        </w:rPr>
      </w:pPr>
      <w:r w:rsidRPr="00C25D90">
        <w:rPr>
          <w:rFonts w:eastAsia="Times New Roman" w:cs="Arial"/>
          <w:color w:val="000000"/>
          <w:lang w:eastAsia="bg-BG"/>
        </w:rPr>
        <w:t>Препоръчително е да се правят функционални чернодробни изследвания преди и 3 месеца след започване на лечението. Лечението с Ропуидо трябва да се преустанови или дозата да се</w:t>
      </w:r>
      <w:r w:rsidRPr="00C25D90">
        <w:rPr>
          <w:rFonts w:eastAsia="Times New Roman" w:cs="Arial"/>
          <w:color w:val="000000"/>
          <w:lang w:val="ru-RU" w:eastAsia="bg-BG"/>
        </w:rPr>
        <w:t xml:space="preserve"> </w:t>
      </w:r>
      <w:r w:rsidRPr="00C25D90">
        <w:rPr>
          <w:rFonts w:eastAsia="Times New Roman" w:cs="Arial"/>
          <w:color w:val="000000"/>
          <w:lang w:eastAsia="bg-BG"/>
        </w:rPr>
        <w:t xml:space="preserve">намали, ако нивото на серумните трансаминази превишава 3 пъти горната граница на нормата. Съобщаваната честота за сериозни чернодробни събития (състоящи се основно от повишени чернодробни трансаминази) в пост-маркетинговия период е по-висока при доза 40 </w:t>
      </w:r>
      <w:r w:rsidRPr="00C25D90">
        <w:rPr>
          <w:rFonts w:eastAsia="Times New Roman" w:cs="Arial"/>
          <w:color w:val="000000"/>
          <w:lang w:val="en-US"/>
        </w:rPr>
        <w:t>mg</w:t>
      </w:r>
      <w:r w:rsidRPr="00C25D90">
        <w:rPr>
          <w:rFonts w:eastAsia="Times New Roman" w:cs="Arial"/>
          <w:color w:val="000000"/>
          <w:lang w:val="ru-RU"/>
        </w:rPr>
        <w:t>.</w:t>
      </w:r>
    </w:p>
    <w:p w14:paraId="01C6C036" w14:textId="77777777" w:rsidR="00C25D90" w:rsidRPr="00C25D90" w:rsidRDefault="00C25D90" w:rsidP="00C25D90">
      <w:pPr>
        <w:spacing w:line="240" w:lineRule="auto"/>
        <w:rPr>
          <w:rFonts w:eastAsia="Times New Roman" w:cs="Arial"/>
          <w:color w:val="000000"/>
          <w:lang w:eastAsia="bg-BG"/>
        </w:rPr>
      </w:pPr>
    </w:p>
    <w:p w14:paraId="3C2196A8" w14:textId="4E0A7210" w:rsidR="00C25D90" w:rsidRPr="00C25D90" w:rsidRDefault="00C25D90" w:rsidP="00C25D90">
      <w:pPr>
        <w:spacing w:line="240" w:lineRule="auto"/>
        <w:rPr>
          <w:rFonts w:eastAsia="Times New Roman" w:cs="Arial"/>
        </w:rPr>
      </w:pPr>
      <w:r w:rsidRPr="00C25D90">
        <w:rPr>
          <w:rFonts w:eastAsia="Times New Roman" w:cs="Arial"/>
          <w:color w:val="000000"/>
          <w:lang w:eastAsia="bg-BG"/>
        </w:rPr>
        <w:lastRenderedPageBreak/>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Ропуидо.</w:t>
      </w:r>
    </w:p>
    <w:p w14:paraId="65738D16" w14:textId="77777777" w:rsidR="00C25D90" w:rsidRPr="00C25D90" w:rsidRDefault="00C25D90" w:rsidP="00C25D90">
      <w:pPr>
        <w:spacing w:line="240" w:lineRule="auto"/>
        <w:rPr>
          <w:rFonts w:eastAsia="Times New Roman" w:cs="Arial"/>
          <w:color w:val="000000"/>
          <w:u w:val="single"/>
          <w:lang w:eastAsia="bg-BG"/>
        </w:rPr>
      </w:pPr>
    </w:p>
    <w:p w14:paraId="6F9D7356" w14:textId="40C8766A"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Раса</w:t>
      </w:r>
    </w:p>
    <w:p w14:paraId="065E8EF3"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Фармакокинетични проучвания показват увеличение на експозицията при пациенти от азиатската раса в сравнение с представителите на бялата раса (вж. точки 4.2,4.3 и 5.2).</w:t>
      </w:r>
    </w:p>
    <w:p w14:paraId="00B6B368" w14:textId="77777777" w:rsidR="00C25D90" w:rsidRPr="00C25D90" w:rsidRDefault="00C25D90" w:rsidP="00C25D90">
      <w:pPr>
        <w:spacing w:line="240" w:lineRule="auto"/>
        <w:rPr>
          <w:rFonts w:eastAsia="Times New Roman" w:cs="Arial"/>
          <w:color w:val="000000"/>
          <w:u w:val="single"/>
          <w:lang w:eastAsia="bg-BG"/>
        </w:rPr>
      </w:pPr>
    </w:p>
    <w:p w14:paraId="749EB88C" w14:textId="1CF867E6"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Протеазни инхибитори</w:t>
      </w:r>
    </w:p>
    <w:p w14:paraId="081ABC83"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Повишена системна експозиция на розувастатин е наблюдавана при пациенти, получаващи розувастатин едновременно с различни протеазни инхибитори в комбинация с ритонавир. Трябва да се имат предвид ползата от понижаване на липидите чрез използване на Ропуидо при пациенти с </w:t>
      </w:r>
      <w:r w:rsidRPr="00C25D90">
        <w:rPr>
          <w:rFonts w:eastAsia="Times New Roman" w:cs="Arial"/>
          <w:color w:val="000000"/>
          <w:lang w:val="en-US"/>
        </w:rPr>
        <w:t>HIV</w:t>
      </w:r>
      <w:r w:rsidRPr="00C25D90">
        <w:rPr>
          <w:rFonts w:eastAsia="Times New Roman" w:cs="Arial"/>
          <w:color w:val="000000"/>
          <w:lang w:val="ru-RU"/>
        </w:rPr>
        <w:t xml:space="preserve">, </w:t>
      </w:r>
      <w:r w:rsidRPr="00C25D90">
        <w:rPr>
          <w:rFonts w:eastAsia="Times New Roman" w:cs="Arial"/>
          <w:color w:val="000000"/>
          <w:lang w:eastAsia="bg-BG"/>
        </w:rPr>
        <w:t>получаващи протеазни инхибитори, и потенциала за увеличаване на плазмените концентрации на розувастатин при започване и увеличаване на дозата на Ропуидо при пациенти, лекувани с протеазни инхибитори. Едновременното използване с някои протеазни инхибитори не се препоръчва, освен ако дозата на Ропуидо не се коригира. (Вж. точки 4.2 и 4.5).</w:t>
      </w:r>
    </w:p>
    <w:p w14:paraId="25BE664C" w14:textId="77777777" w:rsidR="00C25D90" w:rsidRPr="00C25D90" w:rsidRDefault="00C25D90" w:rsidP="00C25D90">
      <w:pPr>
        <w:spacing w:line="240" w:lineRule="auto"/>
        <w:rPr>
          <w:rFonts w:eastAsia="Times New Roman" w:cs="Arial"/>
          <w:color w:val="000000"/>
          <w:u w:val="single"/>
          <w:lang w:eastAsia="bg-BG"/>
        </w:rPr>
      </w:pPr>
    </w:p>
    <w:p w14:paraId="04BEA591" w14:textId="7C0D4FE1"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Лактозна непоносимост</w:t>
      </w:r>
    </w:p>
    <w:p w14:paraId="20E25317"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Пациенти с редки наследствени проблеми на галактозна непоносимост, пълен лактазен дефицит или глюкозо-галактозна малабсорбция не трябва да приемат това лекарство.</w:t>
      </w:r>
    </w:p>
    <w:p w14:paraId="58C957D4" w14:textId="77777777" w:rsidR="00C25D90" w:rsidRPr="00C25D90" w:rsidRDefault="00C25D90" w:rsidP="00C25D90">
      <w:pPr>
        <w:spacing w:line="240" w:lineRule="auto"/>
        <w:rPr>
          <w:rFonts w:eastAsia="Times New Roman" w:cs="Arial"/>
          <w:color w:val="000000"/>
          <w:u w:val="single"/>
          <w:lang w:eastAsia="bg-BG"/>
        </w:rPr>
      </w:pPr>
    </w:p>
    <w:p w14:paraId="259A61AA" w14:textId="146744DC"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Интерстициална белодробна болест</w:t>
      </w:r>
    </w:p>
    <w:p w14:paraId="2EA1751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Единични случаи на интерстициална белодробна болест са съобщени при употреба на някои статини, особено при продължително лечение (вж. точка 4.8). Заболяването се проявява с диспнея, непродуктивна кашлица и влошаване на общото здравословно състояние (умора, загуба на тегло и повишена температура). Ако има съмнение за развитие на интерстициална белодробна болест, лечението със статини трябва да се преустанови.</w:t>
      </w:r>
    </w:p>
    <w:p w14:paraId="60B0FB00" w14:textId="77777777" w:rsidR="00C25D90" w:rsidRPr="00C25D90" w:rsidRDefault="00C25D90" w:rsidP="00C25D90">
      <w:pPr>
        <w:spacing w:line="240" w:lineRule="auto"/>
        <w:rPr>
          <w:rFonts w:eastAsia="Times New Roman" w:cs="Arial"/>
          <w:color w:val="000000"/>
          <w:u w:val="single"/>
          <w:lang w:eastAsia="bg-BG"/>
        </w:rPr>
      </w:pPr>
    </w:p>
    <w:p w14:paraId="03161EB8" w14:textId="3F3B4ACA"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Захарен диабет</w:t>
      </w:r>
    </w:p>
    <w:p w14:paraId="02A53C2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Някои данни показват, че статините като клас повишават кръвната глюкоза и при някои пациенти, изложени на висок риск от развитие на диабет, може да доведе до ниво на хипергликемия, при което е подходящо прилагането на лечение за диабет. Този риск обаче се компенсира от намаляване на съдовия риск при приемане на статини и затова не трябва да бъде причина за спиране на лечението със статини. Пациентите, изложени на риск (глюкоза на гладно 5,6-6,9 </w:t>
      </w:r>
      <w:proofErr w:type="spellStart"/>
      <w:r w:rsidRPr="00C25D90">
        <w:rPr>
          <w:rFonts w:eastAsia="Times New Roman" w:cs="Arial"/>
          <w:color w:val="000000"/>
          <w:lang w:val="en-US"/>
        </w:rPr>
        <w:t>mmol</w:t>
      </w:r>
      <w:proofErr w:type="spellEnd"/>
      <w:r w:rsidRPr="00C25D90">
        <w:rPr>
          <w:rFonts w:eastAsia="Times New Roman" w:cs="Arial"/>
          <w:color w:val="000000"/>
          <w:lang w:val="ru-RU"/>
        </w:rPr>
        <w:t>/</w:t>
      </w:r>
      <w:r w:rsidRPr="00C25D90">
        <w:rPr>
          <w:rFonts w:eastAsia="Times New Roman" w:cs="Arial"/>
          <w:color w:val="000000"/>
          <w:lang w:val="en-US"/>
        </w:rPr>
        <w:t>l</w:t>
      </w:r>
      <w:r w:rsidRPr="00C25D90">
        <w:rPr>
          <w:rFonts w:eastAsia="Times New Roman" w:cs="Arial"/>
          <w:color w:val="000000"/>
          <w:lang w:val="ru-RU"/>
        </w:rPr>
        <w:t xml:space="preserve">, </w:t>
      </w:r>
      <w:r w:rsidRPr="00C25D90">
        <w:rPr>
          <w:rFonts w:eastAsia="Times New Roman" w:cs="Arial"/>
          <w:color w:val="000000"/>
          <w:lang w:eastAsia="bg-BG"/>
        </w:rPr>
        <w:t xml:space="preserve">ИТМ &gt;30 </w:t>
      </w:r>
      <w:r w:rsidRPr="00C25D90">
        <w:rPr>
          <w:rFonts w:eastAsia="Times New Roman" w:cs="Arial"/>
          <w:color w:val="000000"/>
          <w:lang w:val="en-US"/>
        </w:rPr>
        <w:t>kg</w:t>
      </w:r>
      <w:r w:rsidRPr="00C25D90">
        <w:rPr>
          <w:rFonts w:eastAsia="Times New Roman" w:cs="Arial"/>
          <w:color w:val="000000"/>
          <w:lang w:val="ru-RU"/>
        </w:rPr>
        <w:t>/</w:t>
      </w:r>
      <w:r w:rsidRPr="00C25D90">
        <w:rPr>
          <w:rFonts w:eastAsia="Times New Roman" w:cs="Arial"/>
          <w:color w:val="000000"/>
          <w:lang w:val="en-US"/>
        </w:rPr>
        <w:t>m</w:t>
      </w:r>
      <w:r w:rsidRPr="00C25D90">
        <w:rPr>
          <w:rFonts w:eastAsia="Times New Roman" w:cs="Arial"/>
          <w:color w:val="000000"/>
          <w:lang w:val="ru-RU"/>
        </w:rPr>
        <w:t xml:space="preserve">2 </w:t>
      </w:r>
      <w:r w:rsidRPr="00C25D90">
        <w:rPr>
          <w:rFonts w:eastAsia="Times New Roman" w:cs="Arial"/>
          <w:color w:val="000000"/>
          <w:lang w:eastAsia="bg-BG"/>
        </w:rPr>
        <w:t>повишено ниво на триглицериди, хипертония), трябва да се проследяват клинично и биохимично съгласно националните насоки.</w:t>
      </w:r>
    </w:p>
    <w:p w14:paraId="18009C2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В проучването </w:t>
      </w:r>
      <w:r w:rsidRPr="00C25D90">
        <w:rPr>
          <w:rFonts w:eastAsia="Times New Roman" w:cs="Arial"/>
          <w:color w:val="000000"/>
          <w:lang w:val="en-US"/>
        </w:rPr>
        <w:t>JUPITER</w:t>
      </w:r>
      <w:r w:rsidRPr="00C25D90">
        <w:rPr>
          <w:rFonts w:eastAsia="Times New Roman" w:cs="Arial"/>
          <w:color w:val="000000"/>
          <w:lang w:val="ru-RU"/>
        </w:rPr>
        <w:t xml:space="preserve"> </w:t>
      </w:r>
      <w:r w:rsidRPr="00C25D90">
        <w:rPr>
          <w:rFonts w:eastAsia="Times New Roman" w:cs="Arial"/>
          <w:color w:val="000000"/>
          <w:lang w:eastAsia="bg-BG"/>
        </w:rPr>
        <w:t xml:space="preserve">съобщаваната обща честота на захарен диабет е 2,8% при розувастатин и 2,3% при плацебо, най-вече при пациенти с глюкоза на гладно 5,6-6,9 </w:t>
      </w:r>
      <w:proofErr w:type="spellStart"/>
      <w:r w:rsidRPr="00C25D90">
        <w:rPr>
          <w:rFonts w:eastAsia="Times New Roman" w:cs="Arial"/>
          <w:color w:val="000000"/>
          <w:lang w:val="en-US"/>
        </w:rPr>
        <w:t>mmol</w:t>
      </w:r>
      <w:proofErr w:type="spellEnd"/>
      <w:r w:rsidRPr="00C25D90">
        <w:rPr>
          <w:rFonts w:eastAsia="Times New Roman" w:cs="Arial"/>
          <w:color w:val="000000"/>
          <w:lang w:val="ru-RU"/>
        </w:rPr>
        <w:t>/</w:t>
      </w:r>
      <w:r w:rsidRPr="00C25D90">
        <w:rPr>
          <w:rFonts w:eastAsia="Times New Roman" w:cs="Arial"/>
          <w:color w:val="000000"/>
          <w:lang w:val="en-US"/>
        </w:rPr>
        <w:t>l</w:t>
      </w:r>
      <w:r w:rsidRPr="00C25D90">
        <w:rPr>
          <w:rFonts w:eastAsia="Times New Roman" w:cs="Arial"/>
          <w:color w:val="000000"/>
          <w:lang w:val="ru-RU"/>
        </w:rPr>
        <w:t>.</w:t>
      </w:r>
    </w:p>
    <w:p w14:paraId="346842B4" w14:textId="77777777" w:rsidR="00C25D90" w:rsidRPr="00C25D90" w:rsidRDefault="00C25D90" w:rsidP="00C25D90">
      <w:pPr>
        <w:spacing w:line="240" w:lineRule="auto"/>
        <w:rPr>
          <w:rFonts w:eastAsia="Times New Roman" w:cs="Arial"/>
          <w:color w:val="000000"/>
          <w:u w:val="single"/>
          <w:lang w:eastAsia="bg-BG"/>
        </w:rPr>
      </w:pPr>
    </w:p>
    <w:p w14:paraId="6A74412F" w14:textId="009A241E"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Педиатрична популация</w:t>
      </w:r>
    </w:p>
    <w:p w14:paraId="08F58E4C"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Оценката на линеен растеж (височина), тегло, ИТМ (индекс на телесна маса) и вторични характеристики на половото съзряване по </w:t>
      </w:r>
      <w:r w:rsidRPr="00C25D90">
        <w:rPr>
          <w:rFonts w:eastAsia="Times New Roman" w:cs="Arial"/>
          <w:color w:val="000000"/>
          <w:lang w:val="en-US"/>
        </w:rPr>
        <w:t>Tanner</w:t>
      </w:r>
      <w:r w:rsidRPr="00C25D90">
        <w:rPr>
          <w:rFonts w:eastAsia="Times New Roman" w:cs="Arial"/>
          <w:color w:val="000000"/>
          <w:lang w:val="ru-RU"/>
        </w:rPr>
        <w:t xml:space="preserve"> </w:t>
      </w:r>
      <w:r w:rsidRPr="00C25D90">
        <w:rPr>
          <w:rFonts w:eastAsia="Times New Roman" w:cs="Arial"/>
          <w:color w:val="000000"/>
          <w:lang w:eastAsia="bg-BG"/>
        </w:rPr>
        <w:t>при педиатрични пациенти от 6- до 17- годишна възраст, приемащи розувастатин, е ограничена до период от две години. След две години на лечение в проучването не се наблюдава ефект върху растежа, теглото, ИТМ или половото съзряване (вж. точка 5.1).</w:t>
      </w:r>
    </w:p>
    <w:p w14:paraId="3DCE751C" w14:textId="77777777" w:rsidR="00C25D90" w:rsidRPr="00C25D90" w:rsidRDefault="00C25D90" w:rsidP="00C25D90">
      <w:pPr>
        <w:rPr>
          <w:rFonts w:eastAsia="Times New Roman" w:cs="Arial"/>
          <w:color w:val="000000"/>
          <w:lang w:eastAsia="bg-BG"/>
        </w:rPr>
      </w:pPr>
    </w:p>
    <w:p w14:paraId="55F53ADC" w14:textId="346F7DB0" w:rsidR="00C25D90" w:rsidRPr="00C25D90" w:rsidRDefault="00C25D90" w:rsidP="00C25D90">
      <w:pPr>
        <w:rPr>
          <w:rFonts w:eastAsia="Times New Roman" w:cs="Arial"/>
          <w:color w:val="000000"/>
          <w:lang w:eastAsia="bg-BG"/>
        </w:rPr>
      </w:pPr>
      <w:r w:rsidRPr="00C25D90">
        <w:rPr>
          <w:rFonts w:eastAsia="Times New Roman" w:cs="Arial"/>
          <w:color w:val="000000"/>
          <w:lang w:eastAsia="bg-BG"/>
        </w:rPr>
        <w:lastRenderedPageBreak/>
        <w:t>В клинично проучване на деца и юноши, получаващи розувастатин в продължение на</w:t>
      </w:r>
      <w:r w:rsidRPr="00C25D90">
        <w:rPr>
          <w:rFonts w:eastAsia="Times New Roman" w:cs="Arial"/>
          <w:color w:val="000000"/>
          <w:lang w:val="ru-RU"/>
        </w:rPr>
        <w:t xml:space="preserve"> 52</w:t>
      </w:r>
      <w:r w:rsidRPr="00C25D90">
        <w:rPr>
          <w:rFonts w:eastAsia="Times New Roman" w:cs="Arial"/>
          <w:color w:val="000000"/>
          <w:lang w:eastAsia="bg-BG"/>
        </w:rPr>
        <w:t xml:space="preserve"> седмици, повишение на СК &gt; 10 пъти горната граница на нормата и мускулни</w:t>
      </w:r>
      <w:r w:rsidRPr="00C25D90">
        <w:rPr>
          <w:rFonts w:eastAsia="Times New Roman" w:cs="Arial"/>
          <w:color w:val="000000"/>
          <w:lang w:val="ru-RU"/>
        </w:rPr>
        <w:t xml:space="preserve"> </w:t>
      </w:r>
      <w:r w:rsidRPr="00C25D90">
        <w:rPr>
          <w:rFonts w:eastAsia="Times New Roman" w:cs="Arial"/>
          <w:color w:val="000000"/>
          <w:lang w:eastAsia="bg-BG"/>
        </w:rPr>
        <w:t>симптоми след упражнения или повишена физическа активност се наблюдават по-често в сравнение с наблюдения в клинични проучвания при възрастни (вж. точка 4.8).</w:t>
      </w:r>
    </w:p>
    <w:p w14:paraId="3435A83F" w14:textId="77777777" w:rsidR="00C25D90" w:rsidRPr="00C25D90" w:rsidRDefault="00C25D90" w:rsidP="00C25D90">
      <w:pPr>
        <w:rPr>
          <w:lang w:val="ru-RU"/>
        </w:rPr>
      </w:pPr>
    </w:p>
    <w:p w14:paraId="62F27C9B" w14:textId="216F468D"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4F254E8" w14:textId="1FB01F46" w:rsidR="00C25D90" w:rsidRDefault="00C25D90" w:rsidP="00C25D90"/>
    <w:p w14:paraId="7422D902"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Въздействие на едновременно приложени лекарствени продукти върху розувастатин</w:t>
      </w:r>
    </w:p>
    <w:p w14:paraId="22782A06" w14:textId="77777777" w:rsidR="00C25D90" w:rsidRPr="00C25D90" w:rsidRDefault="00C25D90" w:rsidP="00C25D90">
      <w:pPr>
        <w:spacing w:line="240" w:lineRule="auto"/>
        <w:rPr>
          <w:rFonts w:eastAsia="Times New Roman" w:cs="Arial"/>
          <w:b/>
          <w:bCs/>
          <w:color w:val="000000"/>
          <w:szCs w:val="20"/>
          <w:lang w:eastAsia="bg-BG"/>
        </w:rPr>
      </w:pPr>
    </w:p>
    <w:p w14:paraId="77EC0D19" w14:textId="4906BC71"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Инхибитори на транспортните протеини: </w:t>
      </w:r>
      <w:r w:rsidRPr="00C25D90">
        <w:rPr>
          <w:rFonts w:eastAsia="Times New Roman" w:cs="Arial"/>
          <w:color w:val="000000"/>
          <w:szCs w:val="20"/>
          <w:lang w:eastAsia="bg-BG"/>
        </w:rPr>
        <w:t xml:space="preserve">Розувастатин е субстрат за някои транспортни протеини, включително транспортера на чернодробно захващане ОАТР1В1 и ефлуксния транспортер </w:t>
      </w:r>
      <w:r w:rsidRPr="00C25D90">
        <w:rPr>
          <w:rFonts w:eastAsia="Times New Roman" w:cs="Arial"/>
          <w:color w:val="000000"/>
          <w:szCs w:val="20"/>
          <w:lang w:val="en-US"/>
        </w:rPr>
        <w:t>BCRP</w:t>
      </w:r>
      <w:r w:rsidRPr="00C25D90">
        <w:rPr>
          <w:rFonts w:eastAsia="Times New Roman" w:cs="Arial"/>
          <w:color w:val="000000"/>
          <w:szCs w:val="20"/>
          <w:lang w:val="ru-RU"/>
        </w:rPr>
        <w:t xml:space="preserve">. </w:t>
      </w:r>
      <w:r w:rsidRPr="00C25D90">
        <w:rPr>
          <w:rFonts w:eastAsia="Times New Roman" w:cs="Arial"/>
          <w:color w:val="000000"/>
          <w:szCs w:val="20"/>
          <w:lang w:eastAsia="bg-BG"/>
        </w:rPr>
        <w:t>Едновременното приложение на Ропуидо с лекарствени продукти, които са инхибитори на тези транспортни протеини, може да доведе до повишени плазмени концентрации на розувастатин и повишен риск от миопатия (вж. точки 4.2,4.4 и 4.5 Таблица 1).</w:t>
      </w:r>
    </w:p>
    <w:p w14:paraId="1135ED0F" w14:textId="77777777" w:rsidR="00C25D90" w:rsidRPr="00C25D90" w:rsidRDefault="00C25D90" w:rsidP="00C25D90">
      <w:pPr>
        <w:spacing w:line="240" w:lineRule="auto"/>
        <w:rPr>
          <w:rFonts w:eastAsia="Times New Roman" w:cs="Arial"/>
          <w:i/>
          <w:iCs/>
          <w:color w:val="000000"/>
          <w:szCs w:val="20"/>
          <w:lang w:eastAsia="bg-BG"/>
        </w:rPr>
      </w:pPr>
    </w:p>
    <w:p w14:paraId="35BF5D29" w14:textId="76F0DC07" w:rsidR="00C25D90" w:rsidRPr="00C25D90" w:rsidRDefault="00C25D90" w:rsidP="00C25D90">
      <w:pPr>
        <w:spacing w:line="240" w:lineRule="auto"/>
        <w:rPr>
          <w:rFonts w:eastAsia="Times New Roman" w:cs="Arial"/>
          <w:sz w:val="28"/>
          <w:szCs w:val="24"/>
        </w:rPr>
      </w:pPr>
      <w:r w:rsidRPr="00C25D90">
        <w:rPr>
          <w:rFonts w:eastAsia="Times New Roman" w:cs="Arial"/>
          <w:i/>
          <w:iCs/>
          <w:color w:val="000000"/>
          <w:szCs w:val="20"/>
          <w:lang w:eastAsia="bg-BG"/>
        </w:rPr>
        <w:t>Циклоспорин:</w:t>
      </w:r>
      <w:r w:rsidRPr="00C25D90">
        <w:rPr>
          <w:rFonts w:eastAsia="Times New Roman" w:cs="Arial"/>
          <w:color w:val="000000"/>
          <w:szCs w:val="20"/>
          <w:lang w:eastAsia="bg-BG"/>
        </w:rPr>
        <w:t xml:space="preserve"> При едновременно лечение с Ропуидо и циклоспорин, стойностите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розувастатин са били средно 7 пъти по-високи от тези, наблюдавани при здрави доброволци (вж. Таблица 1). Ропуидо е противопоказан при пациенти, приемащи едновременно циклоспорин (вж. точка 4.3). Едновременното приложение не е повлияло на плазмените концентрации на циклоспорин.</w:t>
      </w:r>
    </w:p>
    <w:p w14:paraId="507536C4" w14:textId="77777777" w:rsidR="00C25D90" w:rsidRPr="00C25D90" w:rsidRDefault="00C25D90" w:rsidP="00C25D90">
      <w:pPr>
        <w:spacing w:line="240" w:lineRule="auto"/>
        <w:rPr>
          <w:rFonts w:eastAsia="Times New Roman" w:cs="Arial"/>
          <w:i/>
          <w:iCs/>
          <w:color w:val="000000"/>
          <w:szCs w:val="20"/>
          <w:lang w:eastAsia="bg-BG"/>
        </w:rPr>
      </w:pPr>
    </w:p>
    <w:p w14:paraId="0965C916" w14:textId="5CD41D4F" w:rsidR="00C25D90" w:rsidRPr="00C25D90" w:rsidRDefault="00C25D90" w:rsidP="00C25D90">
      <w:pPr>
        <w:spacing w:line="240" w:lineRule="auto"/>
        <w:rPr>
          <w:rFonts w:eastAsia="Times New Roman" w:cs="Arial"/>
          <w:sz w:val="28"/>
          <w:szCs w:val="24"/>
        </w:rPr>
      </w:pPr>
      <w:r w:rsidRPr="00C25D90">
        <w:rPr>
          <w:rFonts w:eastAsia="Times New Roman" w:cs="Arial"/>
          <w:i/>
          <w:iCs/>
          <w:color w:val="000000"/>
          <w:szCs w:val="20"/>
          <w:lang w:eastAsia="bg-BG"/>
        </w:rPr>
        <w:t>Протеазни инхибитори:</w:t>
      </w:r>
      <w:r w:rsidRPr="00C25D90">
        <w:rPr>
          <w:rFonts w:eastAsia="Times New Roman" w:cs="Arial"/>
          <w:color w:val="000000"/>
          <w:szCs w:val="20"/>
          <w:lang w:eastAsia="bg-BG"/>
        </w:rPr>
        <w:t xml:space="preserve"> Въпреки че точният механизъм на взаимодействие е неизвестен, едновременното приложение на протеазен инхибитор може силно да увеличи експозицията на розувастатин (вж. Таблица 1). Например във фармакокинетично проучване, едновременното приложение на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розувастатин и комбиниран продукт на два протеазни инхибитора (300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атазанавир/100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ритонавир) при здрави доброволци се свързва с приблизително три- и седемкратно увеличение съответно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и С</w:t>
      </w:r>
      <w:r w:rsidRPr="00C25D90">
        <w:rPr>
          <w:rFonts w:eastAsia="Times New Roman" w:cs="Arial"/>
          <w:color w:val="000000"/>
          <w:szCs w:val="20"/>
          <w:lang w:val="en-US"/>
        </w:rPr>
        <w:t>max</w:t>
      </w:r>
      <w:r w:rsidRPr="00C25D90">
        <w:rPr>
          <w:rFonts w:eastAsia="Times New Roman" w:cs="Arial"/>
          <w:color w:val="000000"/>
          <w:szCs w:val="20"/>
          <w:lang w:eastAsia="bg-BG"/>
        </w:rPr>
        <w:t xml:space="preserve"> на розувастатин. Едновременната употреба на Ропуидо и някои комбинации на протеазни инхибитори може да се обсъди след внимателна преценка на корекциите на дозата на Ропуидо въз основа на очакваното увеличение на експозицията на розувастатин (вж. точки 4.2, 4.4 и 4.5 Таблица 1).</w:t>
      </w:r>
    </w:p>
    <w:p w14:paraId="10239796" w14:textId="77777777" w:rsidR="00C25D90" w:rsidRPr="00C25D90" w:rsidRDefault="00C25D90" w:rsidP="00C25D90">
      <w:pPr>
        <w:spacing w:line="240" w:lineRule="auto"/>
        <w:rPr>
          <w:rFonts w:eastAsia="Times New Roman" w:cs="Arial"/>
          <w:b/>
          <w:bCs/>
          <w:color w:val="000000"/>
          <w:szCs w:val="20"/>
          <w:lang w:eastAsia="bg-BG"/>
        </w:rPr>
      </w:pPr>
    </w:p>
    <w:p w14:paraId="20E006A5" w14:textId="260E5D72"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Гемфиброзил и други липидопонижаващи продукти: </w:t>
      </w:r>
      <w:r w:rsidRPr="00C25D90">
        <w:rPr>
          <w:rFonts w:eastAsia="Times New Roman" w:cs="Arial"/>
          <w:color w:val="000000"/>
          <w:szCs w:val="20"/>
          <w:lang w:eastAsia="bg-BG"/>
        </w:rPr>
        <w:t>Едновременното приложение на Ропуидо и гемфиброзил е довело до двукратно увеличение на С</w:t>
      </w:r>
      <w:r w:rsidRPr="00C25D90">
        <w:rPr>
          <w:rFonts w:eastAsia="Times New Roman" w:cs="Arial"/>
          <w:color w:val="000000"/>
          <w:szCs w:val="20"/>
          <w:lang w:val="en-US"/>
        </w:rPr>
        <w:t>max</w:t>
      </w:r>
      <w:r w:rsidRPr="00C25D90">
        <w:rPr>
          <w:rFonts w:eastAsia="Times New Roman" w:cs="Arial"/>
          <w:color w:val="000000"/>
          <w:szCs w:val="20"/>
          <w:lang w:eastAsia="bg-BG"/>
        </w:rPr>
        <w:t xml:space="preserve"> и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розувастатин (вж. точка 4.4).</w:t>
      </w:r>
    </w:p>
    <w:p w14:paraId="4D6B9D84"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Въз основа на данните от проучвания на специфични взаимодействия, не се очаква значимо фармакокинетично взаимодействие с фенофибрат, въпреки че може да настъпи фармакодинамично взаимодействие. Гемфиброзил, фенофибрат, други фибрати и липидопонижаващи дози (&gt; или равна на 1 </w:t>
      </w:r>
      <w:r w:rsidRPr="00C25D90">
        <w:rPr>
          <w:rFonts w:eastAsia="Times New Roman" w:cs="Arial"/>
          <w:color w:val="000000"/>
          <w:szCs w:val="20"/>
          <w:lang w:val="en-US"/>
        </w:rPr>
        <w:t>g</w:t>
      </w:r>
      <w:r w:rsidRPr="00C25D90">
        <w:rPr>
          <w:rFonts w:eastAsia="Times New Roman" w:cs="Arial"/>
          <w:color w:val="000000"/>
          <w:szCs w:val="20"/>
          <w:lang w:eastAsia="bg-BG"/>
        </w:rPr>
        <w:t xml:space="preserve">/ден) на ниацин (никотинова киселина) увеличават риска от миопатия, когато се прилагат едновременно с инхибитори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редуктазата, вероятно защото могат да предизвикат миопатия, когато се прилагат самостоятелно. Дозата от 40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е противопоказана при едновременна употреба на фибрат (вж. точки 4.3 и 4.4). Тези пациенти също трябва да започнат с доза от 5 </w:t>
      </w:r>
      <w:r w:rsidRPr="00C25D90">
        <w:rPr>
          <w:rFonts w:eastAsia="Times New Roman" w:cs="Arial"/>
          <w:color w:val="000000"/>
          <w:szCs w:val="20"/>
          <w:lang w:val="en-US"/>
        </w:rPr>
        <w:t>mg</w:t>
      </w:r>
      <w:r w:rsidRPr="00C25D90">
        <w:rPr>
          <w:rFonts w:eastAsia="Times New Roman" w:cs="Arial"/>
          <w:color w:val="000000"/>
          <w:szCs w:val="20"/>
          <w:lang w:val="ru-RU"/>
        </w:rPr>
        <w:t>.</w:t>
      </w:r>
    </w:p>
    <w:p w14:paraId="4E7ADC94" w14:textId="77777777" w:rsidR="00C25D90" w:rsidRPr="00C25D90" w:rsidRDefault="00C25D90" w:rsidP="00C25D90">
      <w:pPr>
        <w:spacing w:line="240" w:lineRule="auto"/>
        <w:rPr>
          <w:rFonts w:eastAsia="Times New Roman" w:cs="Arial"/>
          <w:b/>
          <w:bCs/>
          <w:color w:val="000000"/>
          <w:szCs w:val="20"/>
          <w:lang w:eastAsia="bg-BG"/>
        </w:rPr>
      </w:pPr>
    </w:p>
    <w:p w14:paraId="3486A5EC" w14:textId="407B1FAC"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Езетимиб: </w:t>
      </w:r>
      <w:r w:rsidRPr="00C25D90">
        <w:rPr>
          <w:rFonts w:eastAsia="Times New Roman" w:cs="Arial"/>
          <w:color w:val="000000"/>
          <w:szCs w:val="20"/>
          <w:lang w:eastAsia="bg-BG"/>
        </w:rPr>
        <w:t xml:space="preserve">Едновременното използване на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Ропуидо и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езитимиб води до увеличение от 1,2 пъти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розувастатин при пациенти с хиперхолестеролемия (Таблица 1). Не може да се изключи обаче фармакодинамично взаимодействие между Ропуидо и езетимиб по отношение на нежеланите реакции (вж. точка 4.4).</w:t>
      </w:r>
    </w:p>
    <w:p w14:paraId="235115E2" w14:textId="77777777" w:rsidR="00C25D90" w:rsidRPr="00C25D90" w:rsidRDefault="00C25D90" w:rsidP="00C25D90">
      <w:pPr>
        <w:spacing w:line="240" w:lineRule="auto"/>
        <w:rPr>
          <w:rFonts w:eastAsia="Times New Roman" w:cs="Arial"/>
          <w:b/>
          <w:bCs/>
          <w:color w:val="000000"/>
          <w:szCs w:val="20"/>
          <w:lang w:eastAsia="bg-BG"/>
        </w:rPr>
      </w:pPr>
    </w:p>
    <w:p w14:paraId="2C9827D3" w14:textId="5A6D0476"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Антиациди: </w:t>
      </w:r>
      <w:r w:rsidRPr="00C25D90">
        <w:rPr>
          <w:rFonts w:eastAsia="Times New Roman" w:cs="Arial"/>
          <w:color w:val="000000"/>
          <w:szCs w:val="20"/>
          <w:lang w:eastAsia="bg-BG"/>
        </w:rPr>
        <w:t>Едновременното дозиране на Ропуидо с антиацидна суспензия, съдържаща алуминиев и магнезиев хидроксид, води до намаляване на плазмената концентрация на розувастатин с приблизително 50%. Този ефект отслабва, когато антиацид се дава 2 часа след Ропуидо. Клиничното значение на това взаимодействие не е проучвано.</w:t>
      </w:r>
    </w:p>
    <w:p w14:paraId="2B729340" w14:textId="77777777" w:rsidR="00C25D90" w:rsidRPr="00C25D90" w:rsidRDefault="00C25D90" w:rsidP="00C25D90">
      <w:pPr>
        <w:spacing w:line="240" w:lineRule="auto"/>
        <w:rPr>
          <w:rFonts w:eastAsia="Times New Roman" w:cs="Arial"/>
          <w:b/>
          <w:bCs/>
          <w:color w:val="000000"/>
          <w:szCs w:val="20"/>
          <w:lang w:eastAsia="bg-BG"/>
        </w:rPr>
      </w:pPr>
    </w:p>
    <w:p w14:paraId="643CA25E" w14:textId="78C151F8"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Еритромицин: </w:t>
      </w:r>
      <w:r w:rsidRPr="00C25D90">
        <w:rPr>
          <w:rFonts w:eastAsia="Times New Roman" w:cs="Arial"/>
          <w:color w:val="000000"/>
          <w:szCs w:val="20"/>
          <w:lang w:eastAsia="bg-BG"/>
        </w:rPr>
        <w:t xml:space="preserve">Едновременната употреба на Ропуидо и еритромицин води до намаление с 20%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и намаление с 30% на С</w:t>
      </w:r>
      <w:r w:rsidRPr="00C25D90">
        <w:rPr>
          <w:rFonts w:eastAsia="Times New Roman" w:cs="Arial"/>
          <w:color w:val="000000"/>
          <w:szCs w:val="20"/>
          <w:lang w:val="en-US"/>
        </w:rPr>
        <w:t>m</w:t>
      </w:r>
      <w:r w:rsidRPr="00C25D90">
        <w:rPr>
          <w:rFonts w:eastAsia="Times New Roman" w:cs="Arial"/>
          <w:color w:val="000000"/>
          <w:szCs w:val="20"/>
          <w:lang w:eastAsia="bg-BG"/>
        </w:rPr>
        <w:t>ах на розувастатин. Това взаимодействие може да се дължи на повишен чревен мотилитет, причинен от еритромицин.</w:t>
      </w:r>
    </w:p>
    <w:p w14:paraId="275CFD53" w14:textId="77777777" w:rsidR="00C25D90" w:rsidRPr="00C25D90" w:rsidRDefault="00C25D90" w:rsidP="00C25D90">
      <w:pPr>
        <w:spacing w:line="240" w:lineRule="auto"/>
        <w:rPr>
          <w:rFonts w:eastAsia="Times New Roman" w:cs="Arial"/>
          <w:b/>
          <w:bCs/>
          <w:color w:val="000000"/>
          <w:szCs w:val="20"/>
          <w:lang w:eastAsia="bg-BG"/>
        </w:rPr>
      </w:pPr>
    </w:p>
    <w:p w14:paraId="255A8DDB" w14:textId="77777777" w:rsidR="00C25D90" w:rsidRPr="00C25D90" w:rsidRDefault="00C25D90" w:rsidP="00C25D90">
      <w:pPr>
        <w:rPr>
          <w:rFonts w:eastAsia="Times New Roman" w:cs="Arial"/>
          <w:sz w:val="28"/>
          <w:szCs w:val="24"/>
        </w:rPr>
      </w:pPr>
      <w:r w:rsidRPr="00C25D90">
        <w:rPr>
          <w:rFonts w:eastAsia="Times New Roman" w:cs="Arial"/>
          <w:b/>
          <w:bCs/>
          <w:color w:val="000000"/>
          <w:szCs w:val="20"/>
          <w:lang w:eastAsia="bg-BG"/>
        </w:rPr>
        <w:t xml:space="preserve">Ензими на системата цитохром Р450: </w:t>
      </w:r>
      <w:r w:rsidRPr="00C25D90">
        <w:rPr>
          <w:rFonts w:eastAsia="Times New Roman" w:cs="Arial"/>
          <w:color w:val="000000"/>
          <w:szCs w:val="20"/>
          <w:lang w:eastAsia="bg-BG"/>
        </w:rPr>
        <w:t xml:space="preserve">Резултати от </w:t>
      </w:r>
      <w:r w:rsidRPr="00C25D90">
        <w:rPr>
          <w:rFonts w:eastAsia="Times New Roman" w:cs="Arial"/>
          <w:i/>
          <w:iCs/>
          <w:color w:val="000000"/>
          <w:szCs w:val="20"/>
          <w:lang w:val="en-US"/>
        </w:rPr>
        <w:t>in</w:t>
      </w:r>
      <w:r w:rsidRPr="00C25D90">
        <w:rPr>
          <w:rFonts w:eastAsia="Times New Roman" w:cs="Arial"/>
          <w:i/>
          <w:iCs/>
          <w:color w:val="000000"/>
          <w:szCs w:val="20"/>
          <w:lang w:val="ru-RU"/>
        </w:rPr>
        <w:t xml:space="preserve"> </w:t>
      </w:r>
      <w:r w:rsidRPr="00C25D90">
        <w:rPr>
          <w:rFonts w:eastAsia="Times New Roman" w:cs="Arial"/>
          <w:i/>
          <w:iCs/>
          <w:color w:val="000000"/>
          <w:szCs w:val="20"/>
          <w:lang w:val="en-US"/>
        </w:rPr>
        <w:t>vitro</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и </w:t>
      </w:r>
      <w:r w:rsidRPr="00C25D90">
        <w:rPr>
          <w:rFonts w:eastAsia="Times New Roman" w:cs="Arial"/>
          <w:i/>
          <w:iCs/>
          <w:color w:val="000000"/>
          <w:szCs w:val="20"/>
          <w:lang w:val="en-US"/>
        </w:rPr>
        <w:t>in</w:t>
      </w:r>
      <w:r w:rsidRPr="00C25D90">
        <w:rPr>
          <w:rFonts w:eastAsia="Times New Roman" w:cs="Arial"/>
          <w:i/>
          <w:iCs/>
          <w:color w:val="000000"/>
          <w:szCs w:val="20"/>
          <w:lang w:val="ru-RU"/>
        </w:rPr>
        <w:t xml:space="preserve"> </w:t>
      </w:r>
      <w:r w:rsidRPr="00C25D90">
        <w:rPr>
          <w:rFonts w:eastAsia="Times New Roman" w:cs="Arial"/>
          <w:i/>
          <w:iCs/>
          <w:color w:val="000000"/>
          <w:szCs w:val="20"/>
          <w:lang w:val="en-US"/>
        </w:rPr>
        <w:t>vivo</w:t>
      </w:r>
      <w:r w:rsidRPr="00C25D90">
        <w:rPr>
          <w:rFonts w:eastAsia="Times New Roman" w:cs="Arial"/>
          <w:color w:val="000000"/>
          <w:szCs w:val="20"/>
          <w:lang w:val="ru-RU"/>
        </w:rPr>
        <w:t xml:space="preserve"> </w:t>
      </w:r>
      <w:r w:rsidRPr="00C25D90">
        <w:rPr>
          <w:rFonts w:eastAsia="Times New Roman" w:cs="Arial"/>
          <w:color w:val="000000"/>
          <w:szCs w:val="20"/>
          <w:lang w:eastAsia="bg-BG"/>
        </w:rPr>
        <w:t>проучвания показват, че</w:t>
      </w:r>
      <w:r w:rsidRPr="00C25D90">
        <w:rPr>
          <w:rFonts w:eastAsia="Times New Roman" w:cs="Arial"/>
          <w:b/>
          <w:bCs/>
          <w:color w:val="000000"/>
          <w:szCs w:val="20"/>
          <w:lang w:eastAsia="bg-BG"/>
        </w:rPr>
        <w:t xml:space="preserve"> </w:t>
      </w:r>
      <w:r w:rsidRPr="00C25D90">
        <w:rPr>
          <w:rFonts w:eastAsia="Times New Roman" w:cs="Arial"/>
          <w:color w:val="000000"/>
          <w:szCs w:val="20"/>
          <w:lang w:eastAsia="bg-BG"/>
        </w:rPr>
        <w:t>розувастатин не е нито инхибитор, нито индуктор на цитохром Р450 изоензимите. В</w:t>
      </w:r>
      <w:r w:rsidRPr="00C25D90">
        <w:rPr>
          <w:rFonts w:eastAsia="Times New Roman" w:cs="Arial"/>
          <w:color w:val="000000"/>
          <w:szCs w:val="20"/>
          <w:lang w:val="ru-RU" w:eastAsia="bg-BG"/>
        </w:rPr>
        <w:t xml:space="preserve"> </w:t>
      </w:r>
      <w:r w:rsidRPr="00C25D90">
        <w:rPr>
          <w:rFonts w:eastAsia="Times New Roman" w:cs="Arial"/>
          <w:color w:val="000000"/>
          <w:szCs w:val="20"/>
          <w:lang w:eastAsia="bg-BG"/>
        </w:rPr>
        <w:t xml:space="preserve">допълнение, розувастатин е слаб субстрат за тези изоензими. Следователно не се очакват лекарствени взаимодействия, произтичащи от цитохром </w:t>
      </w:r>
      <w:r w:rsidRPr="00C25D90">
        <w:rPr>
          <w:rFonts w:eastAsia="Times New Roman" w:cs="Arial"/>
          <w:b/>
          <w:bCs/>
          <w:i/>
          <w:iCs/>
          <w:color w:val="000000"/>
          <w:szCs w:val="20"/>
          <w:lang w:eastAsia="bg-BG"/>
        </w:rPr>
        <w:t>Р450-медииран</w:t>
      </w:r>
      <w:r w:rsidRPr="00C25D90">
        <w:rPr>
          <w:rFonts w:eastAsia="Times New Roman" w:cs="Arial"/>
          <w:color w:val="000000"/>
          <w:szCs w:val="20"/>
          <w:lang w:eastAsia="bg-BG"/>
        </w:rPr>
        <w:t xml:space="preserve"> метаболизъм. Не са наблюдавани клинично значими взаимодействия между розувастатин и флуконазол (инхибитор на </w:t>
      </w:r>
      <w:r w:rsidRPr="00C25D90">
        <w:rPr>
          <w:rFonts w:eastAsia="Times New Roman" w:cs="Arial"/>
          <w:color w:val="000000"/>
          <w:szCs w:val="20"/>
          <w:lang w:val="en-US"/>
        </w:rPr>
        <w:t>CYP</w:t>
      </w:r>
      <w:r w:rsidRPr="00C25D90">
        <w:rPr>
          <w:rFonts w:eastAsia="Times New Roman" w:cs="Arial"/>
          <w:color w:val="000000"/>
          <w:szCs w:val="20"/>
          <w:lang w:val="ru-RU"/>
        </w:rPr>
        <w:t>2</w:t>
      </w:r>
      <w:r w:rsidRPr="00C25D90">
        <w:rPr>
          <w:rFonts w:eastAsia="Times New Roman" w:cs="Arial"/>
          <w:color w:val="000000"/>
          <w:szCs w:val="20"/>
          <w:lang w:val="en-US"/>
        </w:rPr>
        <w:t>C</w:t>
      </w:r>
      <w:r w:rsidRPr="00C25D90">
        <w:rPr>
          <w:rFonts w:eastAsia="Times New Roman" w:cs="Arial"/>
          <w:color w:val="000000"/>
          <w:szCs w:val="20"/>
          <w:lang w:val="ru-RU"/>
        </w:rPr>
        <w:t xml:space="preserve">9 </w:t>
      </w:r>
      <w:r w:rsidRPr="00C25D90">
        <w:rPr>
          <w:rFonts w:eastAsia="Times New Roman" w:cs="Arial"/>
          <w:color w:val="000000"/>
          <w:szCs w:val="20"/>
          <w:lang w:eastAsia="bg-BG"/>
        </w:rPr>
        <w:t xml:space="preserve">и </w:t>
      </w:r>
      <w:r w:rsidRPr="00C25D90">
        <w:rPr>
          <w:rFonts w:eastAsia="Times New Roman" w:cs="Arial"/>
          <w:color w:val="000000"/>
          <w:szCs w:val="20"/>
          <w:lang w:val="en-US"/>
        </w:rPr>
        <w:t>CYP</w:t>
      </w:r>
      <w:r w:rsidRPr="00C25D90">
        <w:rPr>
          <w:rFonts w:eastAsia="Times New Roman" w:cs="Arial"/>
          <w:color w:val="000000"/>
          <w:szCs w:val="20"/>
          <w:lang w:val="ru-RU"/>
        </w:rPr>
        <w:t>3</w:t>
      </w:r>
      <w:r w:rsidRPr="00C25D90">
        <w:rPr>
          <w:rFonts w:eastAsia="Times New Roman" w:cs="Arial"/>
          <w:color w:val="000000"/>
          <w:szCs w:val="20"/>
          <w:lang w:val="en-US"/>
        </w:rPr>
        <w:t>A</w:t>
      </w:r>
      <w:r w:rsidRPr="00C25D90">
        <w:rPr>
          <w:rFonts w:eastAsia="Times New Roman" w:cs="Arial"/>
          <w:color w:val="000000"/>
          <w:szCs w:val="20"/>
          <w:lang w:val="ru-RU"/>
        </w:rPr>
        <w:t xml:space="preserve">4) </w:t>
      </w:r>
      <w:r w:rsidRPr="00C25D90">
        <w:rPr>
          <w:rFonts w:eastAsia="Times New Roman" w:cs="Arial"/>
          <w:color w:val="000000"/>
          <w:szCs w:val="20"/>
          <w:lang w:eastAsia="bg-BG"/>
        </w:rPr>
        <w:t xml:space="preserve">или кетоконазол (инхибитор на </w:t>
      </w:r>
      <w:r w:rsidRPr="00C25D90">
        <w:rPr>
          <w:rFonts w:eastAsia="Times New Roman" w:cs="Arial"/>
          <w:color w:val="000000"/>
          <w:szCs w:val="20"/>
          <w:lang w:val="en-US"/>
        </w:rPr>
        <w:t>CYP</w:t>
      </w:r>
      <w:r w:rsidRPr="00C25D90">
        <w:rPr>
          <w:rFonts w:eastAsia="Times New Roman" w:cs="Arial"/>
          <w:color w:val="000000"/>
          <w:szCs w:val="20"/>
          <w:lang w:val="ru-RU"/>
        </w:rPr>
        <w:t>2</w:t>
      </w:r>
      <w:r w:rsidRPr="00C25D90">
        <w:rPr>
          <w:rFonts w:eastAsia="Times New Roman" w:cs="Arial"/>
          <w:color w:val="000000"/>
          <w:szCs w:val="20"/>
          <w:lang w:val="en-US"/>
        </w:rPr>
        <w:t>A</w:t>
      </w:r>
      <w:r w:rsidRPr="00C25D90">
        <w:rPr>
          <w:rFonts w:eastAsia="Times New Roman" w:cs="Arial"/>
          <w:color w:val="000000"/>
          <w:szCs w:val="20"/>
          <w:lang w:val="ru-RU"/>
        </w:rPr>
        <w:t xml:space="preserve">6 </w:t>
      </w:r>
      <w:r w:rsidRPr="00C25D90">
        <w:rPr>
          <w:rFonts w:eastAsia="Times New Roman" w:cs="Arial"/>
          <w:color w:val="000000"/>
          <w:szCs w:val="20"/>
          <w:lang w:eastAsia="bg-BG"/>
        </w:rPr>
        <w:t xml:space="preserve">и </w:t>
      </w:r>
      <w:r w:rsidRPr="00C25D90">
        <w:rPr>
          <w:rFonts w:eastAsia="Times New Roman" w:cs="Arial"/>
          <w:color w:val="000000"/>
          <w:szCs w:val="20"/>
          <w:lang w:val="en-US"/>
        </w:rPr>
        <w:t>CYP</w:t>
      </w:r>
      <w:r w:rsidRPr="00C25D90">
        <w:rPr>
          <w:rFonts w:eastAsia="Times New Roman" w:cs="Arial"/>
          <w:color w:val="000000"/>
          <w:szCs w:val="20"/>
          <w:lang w:val="ru-RU"/>
        </w:rPr>
        <w:t>3</w:t>
      </w:r>
      <w:r w:rsidRPr="00C25D90">
        <w:rPr>
          <w:rFonts w:eastAsia="Times New Roman" w:cs="Arial"/>
          <w:color w:val="000000"/>
          <w:szCs w:val="20"/>
          <w:lang w:val="en-US"/>
        </w:rPr>
        <w:t>A</w:t>
      </w:r>
      <w:r w:rsidRPr="00C25D90">
        <w:rPr>
          <w:rFonts w:eastAsia="Times New Roman" w:cs="Arial"/>
          <w:color w:val="000000"/>
          <w:szCs w:val="20"/>
          <w:lang w:val="ru-RU"/>
        </w:rPr>
        <w:t>4).</w:t>
      </w:r>
    </w:p>
    <w:p w14:paraId="32CA315B" w14:textId="77777777" w:rsidR="00C25D90" w:rsidRPr="00C25D90" w:rsidRDefault="00C25D90" w:rsidP="00C25D90">
      <w:pPr>
        <w:spacing w:line="240" w:lineRule="auto"/>
        <w:rPr>
          <w:rFonts w:eastAsia="Times New Roman" w:cs="Arial"/>
          <w:b/>
          <w:bCs/>
          <w:color w:val="000000"/>
          <w:szCs w:val="20"/>
          <w:lang w:eastAsia="bg-BG"/>
        </w:rPr>
      </w:pPr>
    </w:p>
    <w:p w14:paraId="1E00CF92" w14:textId="2027D2AE"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Взаимодействия, изискващи коригиране на дозата на розувастатин (вж. също Таблица 1): </w:t>
      </w:r>
      <w:r w:rsidRPr="00C25D90">
        <w:rPr>
          <w:rFonts w:eastAsia="Times New Roman" w:cs="Arial"/>
          <w:color w:val="000000"/>
          <w:szCs w:val="20"/>
          <w:lang w:eastAsia="bg-BG"/>
        </w:rPr>
        <w:t xml:space="preserve">Когато е необходимо едновременно приложение на Ропуидо с други лекарствени продукти, за които се знае, че увеличават експозицията на розувастатин, дозите на Ропуидо трябва да бъдат коригирани. Започнете с доза от 5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веднъж дневно на Ропуидо, ако очакваното увеличение на експозицията </w:t>
      </w:r>
      <w:r w:rsidRPr="00C25D90">
        <w:rPr>
          <w:rFonts w:eastAsia="Times New Roman" w:cs="Arial"/>
          <w:color w:val="000000"/>
          <w:szCs w:val="20"/>
          <w:lang w:val="ru-RU"/>
        </w:rPr>
        <w:t>(</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е приблизително 2-кратно или по-високо. Максималната дневна доза на Ропуидо трябва да се коригира така, че очакваната експозиция на розувастатин да не е вероятно да надвиши тази на дневна доза от 40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на Ропуидо, приета без взаимодействащи лекарствени продукти, например доза от 20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на Ропуидо с гемфиброзил (1,9-кратно увеличение) и доза от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Ропуидо в комбинация с ритонавир/атазанавир (3,1-кратно увеличение).</w:t>
      </w:r>
    </w:p>
    <w:p w14:paraId="052DCC64" w14:textId="356F0F07" w:rsidR="00C25D90" w:rsidRPr="00C25D90" w:rsidRDefault="00C25D90" w:rsidP="00C25D90">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42"/>
        <w:gridCol w:w="3101"/>
        <w:gridCol w:w="3107"/>
      </w:tblGrid>
      <w:tr w:rsidR="00C25D90" w14:paraId="08CACCD6" w14:textId="77777777" w:rsidTr="00C25D90">
        <w:tc>
          <w:tcPr>
            <w:tcW w:w="9576" w:type="dxa"/>
            <w:gridSpan w:val="3"/>
          </w:tcPr>
          <w:p w14:paraId="3BA01ECF" w14:textId="338CF1BE" w:rsidR="00C25D90" w:rsidRPr="00C25D90" w:rsidRDefault="00C25D90" w:rsidP="00C25D90">
            <w:pPr>
              <w:rPr>
                <w:b/>
              </w:rPr>
            </w:pPr>
            <w:r w:rsidRPr="00C25D90">
              <w:rPr>
                <w:b/>
                <w:lang w:eastAsia="bg-BG"/>
              </w:rPr>
              <w:t xml:space="preserve">Таблица 1 Влияние на едновременно прилагани лекарствени продукти върху експозицията на розувастатин </w:t>
            </w:r>
            <w:r w:rsidRPr="00C25D90">
              <w:rPr>
                <w:b/>
                <w:lang w:val="ru-RU"/>
              </w:rPr>
              <w:t>(</w:t>
            </w:r>
            <w:r w:rsidRPr="00C25D90">
              <w:rPr>
                <w:b/>
                <w:lang w:val="en-US"/>
              </w:rPr>
              <w:t>AUC</w:t>
            </w:r>
            <w:r w:rsidRPr="00C25D90">
              <w:rPr>
                <w:b/>
                <w:lang w:val="ru-RU"/>
              </w:rPr>
              <w:t xml:space="preserve">; </w:t>
            </w:r>
            <w:r w:rsidRPr="00C25D90">
              <w:rPr>
                <w:b/>
                <w:lang w:eastAsia="bg-BG"/>
              </w:rPr>
              <w:t>в низходящ ред по сила) от публикувани клинични проучвания</w:t>
            </w:r>
          </w:p>
        </w:tc>
      </w:tr>
      <w:tr w:rsidR="00C25D90" w14:paraId="2ABDB03D" w14:textId="77777777" w:rsidTr="00C25D90">
        <w:tc>
          <w:tcPr>
            <w:tcW w:w="3192" w:type="dxa"/>
            <w:vAlign w:val="bottom"/>
          </w:tcPr>
          <w:p w14:paraId="6720D4DA" w14:textId="78D5274B" w:rsidR="00C25D90" w:rsidRPr="00C25D90" w:rsidRDefault="00C25D90" w:rsidP="00C25D90">
            <w:r w:rsidRPr="00C25D90">
              <w:rPr>
                <w:szCs w:val="20"/>
              </w:rPr>
              <w:t>Дозов режим на взаимодействащото лекарство</w:t>
            </w:r>
          </w:p>
        </w:tc>
        <w:tc>
          <w:tcPr>
            <w:tcW w:w="3192" w:type="dxa"/>
          </w:tcPr>
          <w:p w14:paraId="7192A85A" w14:textId="2451727E" w:rsidR="00C25D90" w:rsidRPr="00C25D90" w:rsidRDefault="00C25D90" w:rsidP="00C25D90">
            <w:r w:rsidRPr="00C25D90">
              <w:rPr>
                <w:b/>
                <w:bCs/>
                <w:szCs w:val="20"/>
              </w:rPr>
              <w:t>Дозов режим на розувастатин</w:t>
            </w:r>
          </w:p>
        </w:tc>
        <w:tc>
          <w:tcPr>
            <w:tcW w:w="3192" w:type="dxa"/>
            <w:vAlign w:val="bottom"/>
          </w:tcPr>
          <w:p w14:paraId="225179E3" w14:textId="63A20431" w:rsidR="00C25D90" w:rsidRPr="00C25D90" w:rsidRDefault="00C25D90" w:rsidP="00C25D90">
            <w:r w:rsidRPr="00C25D90">
              <w:rPr>
                <w:b/>
                <w:bCs/>
                <w:szCs w:val="20"/>
              </w:rPr>
              <w:t xml:space="preserve">Промяна в </w:t>
            </w:r>
            <w:r w:rsidRPr="00C25D90">
              <w:rPr>
                <w:b/>
                <w:bCs/>
                <w:szCs w:val="20"/>
                <w:lang w:val="en-US"/>
              </w:rPr>
              <w:t>AUC</w:t>
            </w:r>
            <w:r w:rsidRPr="00C25D90">
              <w:rPr>
                <w:b/>
                <w:bCs/>
                <w:szCs w:val="20"/>
                <w:lang w:val="ru-RU"/>
              </w:rPr>
              <w:t xml:space="preserve"> </w:t>
            </w:r>
            <w:r w:rsidRPr="00C25D90">
              <w:rPr>
                <w:b/>
                <w:bCs/>
                <w:szCs w:val="20"/>
              </w:rPr>
              <w:t>на розувастатин"</w:t>
            </w:r>
          </w:p>
        </w:tc>
      </w:tr>
      <w:tr w:rsidR="00C25D90" w14:paraId="28087AB0" w14:textId="77777777" w:rsidTr="00C25D90">
        <w:tc>
          <w:tcPr>
            <w:tcW w:w="3192" w:type="dxa"/>
          </w:tcPr>
          <w:p w14:paraId="4A1EE588" w14:textId="5987C363" w:rsidR="00C25D90" w:rsidRPr="00C25D90" w:rsidRDefault="00C25D90" w:rsidP="00C25D90">
            <w:r w:rsidRPr="00C25D90">
              <w:rPr>
                <w:szCs w:val="20"/>
              </w:rPr>
              <w:t xml:space="preserve">Циклоспорин 75 </w:t>
            </w:r>
            <w:r w:rsidRPr="00C25D90">
              <w:rPr>
                <w:szCs w:val="20"/>
                <w:lang w:val="en-US"/>
              </w:rPr>
              <w:t>mg</w:t>
            </w:r>
            <w:r w:rsidRPr="00C25D90">
              <w:rPr>
                <w:szCs w:val="20"/>
              </w:rPr>
              <w:t xml:space="preserve"> </w:t>
            </w:r>
            <w:r w:rsidRPr="00C25D90">
              <w:rPr>
                <w:szCs w:val="20"/>
                <w:lang w:val="en-US"/>
              </w:rPr>
              <w:t>BID</w:t>
            </w:r>
            <w:r w:rsidRPr="00C25D90">
              <w:rPr>
                <w:szCs w:val="20"/>
              </w:rPr>
              <w:t xml:space="preserve"> до 200 </w:t>
            </w:r>
            <w:r w:rsidRPr="00C25D90">
              <w:rPr>
                <w:szCs w:val="20"/>
                <w:lang w:val="en-US"/>
              </w:rPr>
              <w:t>mg</w:t>
            </w:r>
            <w:r w:rsidRPr="00C25D90">
              <w:rPr>
                <w:szCs w:val="20"/>
              </w:rPr>
              <w:t xml:space="preserve"> </w:t>
            </w:r>
            <w:r w:rsidRPr="00C25D90">
              <w:rPr>
                <w:szCs w:val="20"/>
                <w:lang w:val="en-US"/>
              </w:rPr>
              <w:t>BID</w:t>
            </w:r>
            <w:r w:rsidRPr="00C25D90">
              <w:rPr>
                <w:szCs w:val="20"/>
              </w:rPr>
              <w:t>, 6  месеца</w:t>
            </w:r>
          </w:p>
        </w:tc>
        <w:tc>
          <w:tcPr>
            <w:tcW w:w="3192" w:type="dxa"/>
          </w:tcPr>
          <w:p w14:paraId="1E58764A" w14:textId="485F82E8" w:rsidR="00C25D90" w:rsidRPr="00C25D90" w:rsidRDefault="00C25D90" w:rsidP="00C25D90">
            <w:r w:rsidRPr="00C25D90">
              <w:rPr>
                <w:szCs w:val="20"/>
                <w:lang w:val="en-US"/>
              </w:rPr>
              <w:t xml:space="preserve">10 mg OD, </w:t>
            </w:r>
            <w:r w:rsidRPr="00C25D90">
              <w:rPr>
                <w:szCs w:val="20"/>
              </w:rPr>
              <w:t>10 дни</w:t>
            </w:r>
          </w:p>
        </w:tc>
        <w:tc>
          <w:tcPr>
            <w:tcW w:w="3192" w:type="dxa"/>
          </w:tcPr>
          <w:p w14:paraId="42BEAD3B" w14:textId="132DE53C" w:rsidR="00C25D90" w:rsidRPr="00C25D90" w:rsidRDefault="00C25D90" w:rsidP="00C25D90">
            <w:r w:rsidRPr="00C25D90">
              <w:rPr>
                <w:szCs w:val="20"/>
              </w:rPr>
              <w:t xml:space="preserve">7,1-кратно </w:t>
            </w:r>
            <w:r w:rsidRPr="00C25D90">
              <w:rPr>
                <w:szCs w:val="20"/>
                <w:lang w:val="en-US"/>
              </w:rPr>
              <w:t>↑</w:t>
            </w:r>
          </w:p>
        </w:tc>
      </w:tr>
      <w:tr w:rsidR="00C25D90" w14:paraId="58005F18" w14:textId="77777777" w:rsidTr="00C25D90">
        <w:tc>
          <w:tcPr>
            <w:tcW w:w="3192" w:type="dxa"/>
            <w:vAlign w:val="bottom"/>
          </w:tcPr>
          <w:p w14:paraId="68578C00" w14:textId="62BFF84D" w:rsidR="00C25D90" w:rsidRPr="00C25D90" w:rsidRDefault="00C25D90" w:rsidP="00C25D90">
            <w:r w:rsidRPr="00C25D90">
              <w:rPr>
                <w:szCs w:val="20"/>
              </w:rPr>
              <w:t xml:space="preserve">Регорафениб 160 </w:t>
            </w:r>
            <w:r w:rsidRPr="00C25D90">
              <w:rPr>
                <w:szCs w:val="20"/>
                <w:lang w:val="en-US"/>
              </w:rPr>
              <w:t xml:space="preserve">mg OD, </w:t>
            </w:r>
            <w:r w:rsidRPr="00C25D90">
              <w:rPr>
                <w:szCs w:val="20"/>
              </w:rPr>
              <w:t>14 дни</w:t>
            </w:r>
          </w:p>
        </w:tc>
        <w:tc>
          <w:tcPr>
            <w:tcW w:w="3192" w:type="dxa"/>
            <w:vAlign w:val="bottom"/>
          </w:tcPr>
          <w:p w14:paraId="01A2C295" w14:textId="79A58314" w:rsidR="00C25D90" w:rsidRPr="00C25D90" w:rsidRDefault="00C25D90" w:rsidP="00C25D90">
            <w:r w:rsidRPr="00C25D90">
              <w:rPr>
                <w:szCs w:val="20"/>
              </w:rPr>
              <w:t xml:space="preserve">5 </w:t>
            </w:r>
            <w:r w:rsidRPr="00C25D90">
              <w:rPr>
                <w:szCs w:val="20"/>
                <w:lang w:val="en-US"/>
              </w:rPr>
              <w:t xml:space="preserve">mg, </w:t>
            </w:r>
            <w:r w:rsidRPr="00C25D90">
              <w:rPr>
                <w:szCs w:val="20"/>
              </w:rPr>
              <w:t>еднократна доза</w:t>
            </w:r>
          </w:p>
        </w:tc>
        <w:tc>
          <w:tcPr>
            <w:tcW w:w="3192" w:type="dxa"/>
            <w:vAlign w:val="bottom"/>
          </w:tcPr>
          <w:p w14:paraId="5C0F74CA" w14:textId="5DA27FB0" w:rsidR="00C25D90" w:rsidRPr="00C25D90" w:rsidRDefault="00C25D90" w:rsidP="00C25D90">
            <w:r w:rsidRPr="00C25D90">
              <w:rPr>
                <w:szCs w:val="20"/>
              </w:rPr>
              <w:t xml:space="preserve">3,8-кратно </w:t>
            </w:r>
            <w:r w:rsidRPr="00C25D90">
              <w:rPr>
                <w:szCs w:val="20"/>
                <w:lang w:val="en-US"/>
              </w:rPr>
              <w:t>↑</w:t>
            </w:r>
          </w:p>
        </w:tc>
      </w:tr>
      <w:tr w:rsidR="00C25D90" w14:paraId="098C0387" w14:textId="77777777" w:rsidTr="00C25D90">
        <w:tc>
          <w:tcPr>
            <w:tcW w:w="3192" w:type="dxa"/>
            <w:vAlign w:val="bottom"/>
          </w:tcPr>
          <w:p w14:paraId="214D0EBC" w14:textId="3E0972A8" w:rsidR="00C25D90" w:rsidRPr="00C25D90" w:rsidRDefault="00C25D90" w:rsidP="00C25D90">
            <w:r w:rsidRPr="00C25D90">
              <w:rPr>
                <w:szCs w:val="20"/>
              </w:rPr>
              <w:t xml:space="preserve">Атазанавир 300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OD</w:t>
            </w:r>
            <w:r w:rsidRPr="00C25D90">
              <w:rPr>
                <w:szCs w:val="20"/>
              </w:rPr>
              <w:t>, 8 дни</w:t>
            </w:r>
          </w:p>
        </w:tc>
        <w:tc>
          <w:tcPr>
            <w:tcW w:w="3192" w:type="dxa"/>
          </w:tcPr>
          <w:p w14:paraId="243B152B" w14:textId="0B806A35"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09A7E86B" w14:textId="58771831" w:rsidR="00C25D90" w:rsidRPr="00C25D90" w:rsidRDefault="00C25D90" w:rsidP="00C25D90">
            <w:r w:rsidRPr="00C25D90">
              <w:rPr>
                <w:szCs w:val="20"/>
              </w:rPr>
              <w:t xml:space="preserve">3,1 -кратно </w:t>
            </w:r>
            <w:r w:rsidRPr="00C25D90">
              <w:rPr>
                <w:szCs w:val="20"/>
                <w:lang w:val="en-US"/>
              </w:rPr>
              <w:t>↑</w:t>
            </w:r>
          </w:p>
        </w:tc>
      </w:tr>
      <w:tr w:rsidR="00C25D90" w14:paraId="081A6961" w14:textId="77777777" w:rsidTr="00C25D90">
        <w:tc>
          <w:tcPr>
            <w:tcW w:w="3192" w:type="dxa"/>
            <w:vAlign w:val="bottom"/>
          </w:tcPr>
          <w:p w14:paraId="5B6FFD6D" w14:textId="6BE7FEB1" w:rsidR="00C25D90" w:rsidRPr="00C25D90" w:rsidRDefault="00C25D90" w:rsidP="00C25D90">
            <w:r w:rsidRPr="00C25D90">
              <w:rPr>
                <w:szCs w:val="20"/>
              </w:rPr>
              <w:t xml:space="preserve">Симепревир 150 </w:t>
            </w:r>
            <w:r w:rsidRPr="00C25D90">
              <w:rPr>
                <w:szCs w:val="20"/>
                <w:lang w:val="en-US"/>
              </w:rPr>
              <w:t xml:space="preserve">mg OD, </w:t>
            </w:r>
            <w:r w:rsidRPr="00C25D90">
              <w:rPr>
                <w:szCs w:val="20"/>
              </w:rPr>
              <w:t>7 дни</w:t>
            </w:r>
          </w:p>
        </w:tc>
        <w:tc>
          <w:tcPr>
            <w:tcW w:w="3192" w:type="dxa"/>
            <w:vAlign w:val="bottom"/>
          </w:tcPr>
          <w:p w14:paraId="725A1EF4" w14:textId="3E22C5E9"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0662671D" w14:textId="570F4DFD" w:rsidR="00C25D90" w:rsidRPr="00C25D90" w:rsidRDefault="00C25D90" w:rsidP="00C25D90">
            <w:r w:rsidRPr="00C25D90">
              <w:rPr>
                <w:szCs w:val="20"/>
              </w:rPr>
              <w:t xml:space="preserve">2,8-кратно </w:t>
            </w:r>
            <w:r w:rsidRPr="00C25D90">
              <w:rPr>
                <w:szCs w:val="20"/>
                <w:lang w:val="en-US"/>
              </w:rPr>
              <w:t>↑</w:t>
            </w:r>
          </w:p>
        </w:tc>
      </w:tr>
      <w:tr w:rsidR="00C25D90" w14:paraId="575B6FDC" w14:textId="77777777" w:rsidTr="00C25D90">
        <w:tc>
          <w:tcPr>
            <w:tcW w:w="3192" w:type="dxa"/>
            <w:vAlign w:val="bottom"/>
          </w:tcPr>
          <w:p w14:paraId="7849574C" w14:textId="012FD4A8" w:rsidR="00C25D90" w:rsidRPr="00C25D90" w:rsidRDefault="00C25D90" w:rsidP="00C25D90">
            <w:r w:rsidRPr="00C25D90">
              <w:rPr>
                <w:szCs w:val="20"/>
              </w:rPr>
              <w:t xml:space="preserve">Велпатасвир 100 </w:t>
            </w:r>
            <w:r w:rsidRPr="00C25D90">
              <w:rPr>
                <w:szCs w:val="20"/>
                <w:lang w:val="en-US"/>
              </w:rPr>
              <w:t>mg OD</w:t>
            </w:r>
          </w:p>
        </w:tc>
        <w:tc>
          <w:tcPr>
            <w:tcW w:w="3192" w:type="dxa"/>
            <w:vAlign w:val="bottom"/>
          </w:tcPr>
          <w:p w14:paraId="30A6ED21" w14:textId="22FDDA2B"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0EE3E1D5" w14:textId="7FA772BE" w:rsidR="00C25D90" w:rsidRPr="00C25D90" w:rsidRDefault="00C25D90" w:rsidP="00C25D90">
            <w:r w:rsidRPr="00C25D90">
              <w:rPr>
                <w:szCs w:val="20"/>
              </w:rPr>
              <w:t xml:space="preserve">2,7-кратно </w:t>
            </w:r>
            <w:r w:rsidRPr="00C25D90">
              <w:rPr>
                <w:szCs w:val="20"/>
                <w:lang w:val="en-US"/>
              </w:rPr>
              <w:t>↑</w:t>
            </w:r>
          </w:p>
        </w:tc>
      </w:tr>
      <w:tr w:rsidR="00C25D90" w14:paraId="0E800904" w14:textId="77777777" w:rsidTr="00C25D90">
        <w:tc>
          <w:tcPr>
            <w:tcW w:w="3192" w:type="dxa"/>
            <w:vAlign w:val="bottom"/>
          </w:tcPr>
          <w:p w14:paraId="69DF2FB3" w14:textId="55E9E788" w:rsidR="00C25D90" w:rsidRPr="00C25D90" w:rsidRDefault="00C25D90" w:rsidP="00C25D90">
            <w:r w:rsidRPr="00C25D90">
              <w:rPr>
                <w:szCs w:val="20"/>
              </w:rPr>
              <w:t xml:space="preserve">Омбитасвир 25 </w:t>
            </w:r>
            <w:r w:rsidRPr="00C25D90">
              <w:rPr>
                <w:szCs w:val="20"/>
                <w:lang w:val="en-US"/>
              </w:rPr>
              <w:t>mg</w:t>
            </w:r>
            <w:r w:rsidRPr="00C25D90">
              <w:rPr>
                <w:szCs w:val="20"/>
              </w:rPr>
              <w:t xml:space="preserve">/паритапревир 150 </w:t>
            </w:r>
            <w:r w:rsidRPr="00C25D90">
              <w:rPr>
                <w:szCs w:val="20"/>
                <w:lang w:val="en-US"/>
              </w:rPr>
              <w:t>mg</w:t>
            </w:r>
            <w:r w:rsidRPr="00C25D90">
              <w:rPr>
                <w:szCs w:val="20"/>
              </w:rPr>
              <w:t xml:space="preserve">/ Ритонавир 100 </w:t>
            </w:r>
            <w:r w:rsidRPr="00C25D90">
              <w:rPr>
                <w:szCs w:val="20"/>
                <w:lang w:val="en-US"/>
              </w:rPr>
              <w:t>mg</w:t>
            </w:r>
            <w:r w:rsidRPr="00C25D90">
              <w:rPr>
                <w:szCs w:val="20"/>
              </w:rPr>
              <w:t xml:space="preserve"> </w:t>
            </w:r>
            <w:r w:rsidRPr="00C25D90">
              <w:rPr>
                <w:szCs w:val="20"/>
                <w:lang w:val="en-US"/>
              </w:rPr>
              <w:lastRenderedPageBreak/>
              <w:t>OD</w:t>
            </w:r>
            <w:r w:rsidRPr="00C25D90">
              <w:rPr>
                <w:szCs w:val="20"/>
              </w:rPr>
              <w:t xml:space="preserve">/дасабувир 400 </w:t>
            </w:r>
            <w:r w:rsidRPr="00C25D90">
              <w:rPr>
                <w:szCs w:val="20"/>
                <w:lang w:val="en-US"/>
              </w:rPr>
              <w:t>mg</w:t>
            </w:r>
            <w:r w:rsidRPr="00C25D90">
              <w:rPr>
                <w:szCs w:val="20"/>
              </w:rPr>
              <w:t xml:space="preserve"> </w:t>
            </w:r>
            <w:r w:rsidRPr="00C25D90">
              <w:rPr>
                <w:szCs w:val="20"/>
                <w:lang w:val="en-US"/>
              </w:rPr>
              <w:t>BID</w:t>
            </w:r>
            <w:r w:rsidRPr="00C25D90">
              <w:rPr>
                <w:szCs w:val="20"/>
              </w:rPr>
              <w:t>, 14 дни</w:t>
            </w:r>
          </w:p>
        </w:tc>
        <w:tc>
          <w:tcPr>
            <w:tcW w:w="3192" w:type="dxa"/>
          </w:tcPr>
          <w:p w14:paraId="3235CBA2" w14:textId="0964426C" w:rsidR="00C25D90" w:rsidRPr="00C25D90" w:rsidRDefault="00C25D90" w:rsidP="00C25D90">
            <w:r w:rsidRPr="00C25D90">
              <w:rPr>
                <w:szCs w:val="20"/>
              </w:rPr>
              <w:lastRenderedPageBreak/>
              <w:t xml:space="preserve">5 </w:t>
            </w:r>
            <w:r w:rsidRPr="00C25D90">
              <w:rPr>
                <w:szCs w:val="20"/>
                <w:lang w:val="en-US"/>
              </w:rPr>
              <w:t xml:space="preserve">mg, </w:t>
            </w:r>
            <w:r w:rsidRPr="00C25D90">
              <w:rPr>
                <w:szCs w:val="20"/>
              </w:rPr>
              <w:t>еднократна доза</w:t>
            </w:r>
          </w:p>
        </w:tc>
        <w:tc>
          <w:tcPr>
            <w:tcW w:w="3192" w:type="dxa"/>
          </w:tcPr>
          <w:p w14:paraId="54D1C504" w14:textId="6654DFEE" w:rsidR="00C25D90" w:rsidRPr="00C25D90" w:rsidRDefault="00C25D90" w:rsidP="00C25D90">
            <w:r w:rsidRPr="00C25D90">
              <w:rPr>
                <w:szCs w:val="20"/>
              </w:rPr>
              <w:t xml:space="preserve">2,6-кратно </w:t>
            </w:r>
            <w:r w:rsidRPr="00C25D90">
              <w:rPr>
                <w:szCs w:val="20"/>
                <w:lang w:val="en-US"/>
              </w:rPr>
              <w:t>↑</w:t>
            </w:r>
          </w:p>
        </w:tc>
      </w:tr>
      <w:tr w:rsidR="00C25D90" w14:paraId="5106FD2D" w14:textId="77777777" w:rsidTr="00C25D90">
        <w:tc>
          <w:tcPr>
            <w:tcW w:w="3192" w:type="dxa"/>
          </w:tcPr>
          <w:p w14:paraId="60E69AC5" w14:textId="611F9E3A" w:rsidR="00C25D90" w:rsidRPr="00C25D90" w:rsidRDefault="00C25D90" w:rsidP="00C25D90">
            <w:r w:rsidRPr="00C25D90">
              <w:rPr>
                <w:szCs w:val="20"/>
              </w:rPr>
              <w:t xml:space="preserve">Гразопревир 200 </w:t>
            </w:r>
            <w:r w:rsidRPr="00C25D90">
              <w:rPr>
                <w:szCs w:val="20"/>
                <w:lang w:val="en-US"/>
              </w:rPr>
              <w:t>mg</w:t>
            </w:r>
            <w:r w:rsidRPr="00C25D90">
              <w:rPr>
                <w:szCs w:val="20"/>
              </w:rPr>
              <w:t xml:space="preserve">/елбасвир 50 </w:t>
            </w:r>
            <w:r w:rsidRPr="00C25D90">
              <w:rPr>
                <w:szCs w:val="20"/>
                <w:lang w:val="en-US"/>
              </w:rPr>
              <w:t>mg</w:t>
            </w:r>
            <w:r w:rsidRPr="00C25D90">
              <w:rPr>
                <w:szCs w:val="20"/>
              </w:rPr>
              <w:t xml:space="preserve"> </w:t>
            </w:r>
            <w:r w:rsidRPr="00C25D90">
              <w:rPr>
                <w:szCs w:val="20"/>
                <w:lang w:val="en-US"/>
              </w:rPr>
              <w:t>OD</w:t>
            </w:r>
            <w:r w:rsidRPr="00C25D90">
              <w:rPr>
                <w:szCs w:val="20"/>
              </w:rPr>
              <w:t>, 11 дни</w:t>
            </w:r>
          </w:p>
        </w:tc>
        <w:tc>
          <w:tcPr>
            <w:tcW w:w="3192" w:type="dxa"/>
          </w:tcPr>
          <w:p w14:paraId="1505FF13" w14:textId="77777777" w:rsidR="00C25D90" w:rsidRPr="00C25D90" w:rsidRDefault="00C25D90" w:rsidP="00C25D90"/>
          <w:p w14:paraId="09CC59E0" w14:textId="221733E0"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7FA0A5D6" w14:textId="6F2DE626" w:rsidR="00C25D90" w:rsidRPr="00C25D90" w:rsidRDefault="00C25D90" w:rsidP="00C25D90">
            <w:r w:rsidRPr="00C25D90">
              <w:rPr>
                <w:szCs w:val="20"/>
              </w:rPr>
              <w:t xml:space="preserve">2,3-кратно </w:t>
            </w:r>
            <w:r w:rsidRPr="00C25D90">
              <w:rPr>
                <w:szCs w:val="20"/>
                <w:lang w:val="en-US"/>
              </w:rPr>
              <w:t>↑</w:t>
            </w:r>
          </w:p>
        </w:tc>
      </w:tr>
      <w:tr w:rsidR="00C25D90" w14:paraId="28B4ED43" w14:textId="77777777" w:rsidTr="00C25D90">
        <w:tc>
          <w:tcPr>
            <w:tcW w:w="3192" w:type="dxa"/>
            <w:vAlign w:val="bottom"/>
          </w:tcPr>
          <w:p w14:paraId="4EE32E79" w14:textId="77777777" w:rsidR="00C25D90" w:rsidRPr="00C25D90" w:rsidRDefault="00C25D90" w:rsidP="00C25D90">
            <w:r w:rsidRPr="00C25D90">
              <w:rPr>
                <w:szCs w:val="20"/>
              </w:rPr>
              <w:t>Глекапревир 400</w:t>
            </w:r>
            <w:r w:rsidRPr="00C25D90">
              <w:rPr>
                <w:szCs w:val="20"/>
                <w:lang w:val="en-US"/>
              </w:rPr>
              <w:t>mg</w:t>
            </w:r>
            <w:r w:rsidRPr="00C25D90">
              <w:rPr>
                <w:szCs w:val="20"/>
              </w:rPr>
              <w:t xml:space="preserve">/пибрентасвир 120 </w:t>
            </w:r>
            <w:r w:rsidRPr="00C25D90">
              <w:rPr>
                <w:szCs w:val="20"/>
                <w:lang w:val="en-US"/>
              </w:rPr>
              <w:t>mg</w:t>
            </w:r>
          </w:p>
          <w:p w14:paraId="142B79B2" w14:textId="7C7ABCBB" w:rsidR="00C25D90" w:rsidRPr="00C25D90" w:rsidRDefault="00C25D90" w:rsidP="00C25D90">
            <w:r w:rsidRPr="00C25D90">
              <w:rPr>
                <w:szCs w:val="20"/>
                <w:lang w:val="en-US"/>
              </w:rPr>
              <w:t>OD</w:t>
            </w:r>
            <w:r w:rsidRPr="00C25D90">
              <w:rPr>
                <w:szCs w:val="20"/>
              </w:rPr>
              <w:t>, 7 дни</w:t>
            </w:r>
          </w:p>
        </w:tc>
        <w:tc>
          <w:tcPr>
            <w:tcW w:w="3192" w:type="dxa"/>
          </w:tcPr>
          <w:p w14:paraId="62E86D0A" w14:textId="0BA75DE7" w:rsidR="00C25D90" w:rsidRPr="00C25D90" w:rsidRDefault="00C25D90" w:rsidP="00C25D90">
            <w:r w:rsidRPr="00C25D90">
              <w:rPr>
                <w:szCs w:val="20"/>
              </w:rPr>
              <w:t xml:space="preserve">5 </w:t>
            </w:r>
            <w:r w:rsidRPr="00C25D90">
              <w:rPr>
                <w:szCs w:val="20"/>
                <w:lang w:val="en-US"/>
              </w:rPr>
              <w:t xml:space="preserve">mg OD, </w:t>
            </w:r>
            <w:r w:rsidRPr="00C25D90">
              <w:rPr>
                <w:szCs w:val="20"/>
              </w:rPr>
              <w:t>7 дни</w:t>
            </w:r>
          </w:p>
        </w:tc>
        <w:tc>
          <w:tcPr>
            <w:tcW w:w="3192" w:type="dxa"/>
          </w:tcPr>
          <w:p w14:paraId="09AC0E80" w14:textId="2ECA2615" w:rsidR="00C25D90" w:rsidRPr="00C25D90" w:rsidRDefault="00C25D90" w:rsidP="00C25D90">
            <w:r w:rsidRPr="00C25D90">
              <w:rPr>
                <w:szCs w:val="20"/>
              </w:rPr>
              <w:t xml:space="preserve">2,2-кратно </w:t>
            </w:r>
            <w:r w:rsidRPr="00C25D90">
              <w:rPr>
                <w:szCs w:val="20"/>
                <w:lang w:val="en-US"/>
              </w:rPr>
              <w:t>↑</w:t>
            </w:r>
          </w:p>
        </w:tc>
      </w:tr>
      <w:tr w:rsidR="00C25D90" w14:paraId="64400A08" w14:textId="77777777" w:rsidTr="00C25D90">
        <w:tc>
          <w:tcPr>
            <w:tcW w:w="3192" w:type="dxa"/>
          </w:tcPr>
          <w:p w14:paraId="3FFEF5FC" w14:textId="1C23D231" w:rsidR="00C25D90" w:rsidRPr="00C25D90" w:rsidRDefault="00C25D90" w:rsidP="00C25D90">
            <w:r w:rsidRPr="00C25D90">
              <w:rPr>
                <w:szCs w:val="20"/>
              </w:rPr>
              <w:t xml:space="preserve">Лопинавир 400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BID</w:t>
            </w:r>
            <w:r w:rsidRPr="00C25D90">
              <w:rPr>
                <w:szCs w:val="20"/>
              </w:rPr>
              <w:t>, 17 дни</w:t>
            </w:r>
          </w:p>
        </w:tc>
        <w:tc>
          <w:tcPr>
            <w:tcW w:w="3192" w:type="dxa"/>
          </w:tcPr>
          <w:p w14:paraId="332FABCD" w14:textId="25435E1F" w:rsidR="00C25D90" w:rsidRPr="00C25D90" w:rsidRDefault="00C25D90" w:rsidP="00C25D90">
            <w:r w:rsidRPr="00C25D90">
              <w:rPr>
                <w:szCs w:val="20"/>
              </w:rPr>
              <w:t xml:space="preserve">20 </w:t>
            </w:r>
            <w:r w:rsidRPr="00C25D90">
              <w:rPr>
                <w:szCs w:val="20"/>
                <w:lang w:val="en-US"/>
              </w:rPr>
              <w:t xml:space="preserve">mg OD, </w:t>
            </w:r>
            <w:r w:rsidRPr="00C25D90">
              <w:rPr>
                <w:szCs w:val="20"/>
              </w:rPr>
              <w:t>7 дни</w:t>
            </w:r>
          </w:p>
        </w:tc>
        <w:tc>
          <w:tcPr>
            <w:tcW w:w="3192" w:type="dxa"/>
          </w:tcPr>
          <w:p w14:paraId="46DE967D" w14:textId="247E8735" w:rsidR="00C25D90" w:rsidRPr="00C25D90" w:rsidRDefault="00C25D90" w:rsidP="00C25D90">
            <w:r w:rsidRPr="00C25D90">
              <w:rPr>
                <w:szCs w:val="20"/>
              </w:rPr>
              <w:t xml:space="preserve">2,1-кратно </w:t>
            </w:r>
            <w:r w:rsidRPr="00C25D90">
              <w:rPr>
                <w:szCs w:val="20"/>
                <w:lang w:val="en-US"/>
              </w:rPr>
              <w:t>↑</w:t>
            </w:r>
          </w:p>
        </w:tc>
      </w:tr>
      <w:tr w:rsidR="00C25D90" w14:paraId="191B4BA4" w14:textId="77777777" w:rsidTr="00C25D90">
        <w:tc>
          <w:tcPr>
            <w:tcW w:w="3192" w:type="dxa"/>
            <w:vAlign w:val="bottom"/>
          </w:tcPr>
          <w:p w14:paraId="07CDBFD5" w14:textId="5A73162F" w:rsidR="00C25D90" w:rsidRPr="00C25D90" w:rsidRDefault="00C25D90" w:rsidP="00C25D90">
            <w:r w:rsidRPr="00C25D90">
              <w:rPr>
                <w:szCs w:val="20"/>
              </w:rPr>
              <w:t xml:space="preserve">Клопидогрел 300 </w:t>
            </w:r>
            <w:r w:rsidRPr="00C25D90">
              <w:rPr>
                <w:szCs w:val="20"/>
                <w:lang w:val="en-US"/>
              </w:rPr>
              <w:t>mg</w:t>
            </w:r>
            <w:r w:rsidRPr="00C25D90">
              <w:rPr>
                <w:szCs w:val="20"/>
                <w:lang w:val="ru-RU"/>
              </w:rPr>
              <w:t xml:space="preserve"> </w:t>
            </w:r>
            <w:r w:rsidRPr="00C25D90">
              <w:rPr>
                <w:szCs w:val="20"/>
              </w:rPr>
              <w:t xml:space="preserve">натоварваща, последвана от 75 </w:t>
            </w:r>
            <w:r w:rsidRPr="00C25D90">
              <w:rPr>
                <w:szCs w:val="20"/>
                <w:lang w:val="en-US"/>
              </w:rPr>
              <w:t>mg</w:t>
            </w:r>
            <w:r w:rsidRPr="00C25D90">
              <w:rPr>
                <w:szCs w:val="20"/>
                <w:lang w:val="ru-RU"/>
              </w:rPr>
              <w:t xml:space="preserve"> </w:t>
            </w:r>
            <w:r w:rsidRPr="00C25D90">
              <w:rPr>
                <w:szCs w:val="20"/>
              </w:rPr>
              <w:t>след 24 часа</w:t>
            </w:r>
          </w:p>
        </w:tc>
        <w:tc>
          <w:tcPr>
            <w:tcW w:w="3192" w:type="dxa"/>
          </w:tcPr>
          <w:p w14:paraId="7B450992" w14:textId="0C26DEF2" w:rsidR="00C25D90" w:rsidRPr="00C25D90" w:rsidRDefault="00C25D90" w:rsidP="00C25D90">
            <w:r w:rsidRPr="00C25D90">
              <w:rPr>
                <w:szCs w:val="20"/>
              </w:rPr>
              <w:t xml:space="preserve">20 </w:t>
            </w:r>
            <w:r w:rsidRPr="00C25D90">
              <w:rPr>
                <w:szCs w:val="20"/>
                <w:lang w:val="en-US"/>
              </w:rPr>
              <w:t xml:space="preserve">mg, </w:t>
            </w:r>
            <w:r w:rsidRPr="00C25D90">
              <w:rPr>
                <w:szCs w:val="20"/>
              </w:rPr>
              <w:t>еднократна доза</w:t>
            </w:r>
          </w:p>
        </w:tc>
        <w:tc>
          <w:tcPr>
            <w:tcW w:w="3192" w:type="dxa"/>
          </w:tcPr>
          <w:p w14:paraId="228D12E9" w14:textId="4A43A389" w:rsidR="00C25D90" w:rsidRPr="00C25D90" w:rsidRDefault="00C25D90" w:rsidP="00C25D90">
            <w:r w:rsidRPr="00C25D90">
              <w:rPr>
                <w:szCs w:val="20"/>
              </w:rPr>
              <w:t xml:space="preserve">2-кратно </w:t>
            </w:r>
            <w:r w:rsidRPr="00C25D90">
              <w:rPr>
                <w:szCs w:val="20"/>
                <w:lang w:val="en-US"/>
              </w:rPr>
              <w:t>↑</w:t>
            </w:r>
          </w:p>
        </w:tc>
      </w:tr>
      <w:tr w:rsidR="00C25D90" w14:paraId="4DD34DE9" w14:textId="77777777" w:rsidTr="00C25D90">
        <w:tc>
          <w:tcPr>
            <w:tcW w:w="3192" w:type="dxa"/>
            <w:vAlign w:val="bottom"/>
          </w:tcPr>
          <w:p w14:paraId="473181A2" w14:textId="1FE58C66" w:rsidR="00C25D90" w:rsidRPr="00C25D90" w:rsidRDefault="00C25D90" w:rsidP="00C25D90">
            <w:r w:rsidRPr="00C25D90">
              <w:rPr>
                <w:szCs w:val="20"/>
              </w:rPr>
              <w:t xml:space="preserve">Гемфиброзил 600 </w:t>
            </w:r>
            <w:r w:rsidRPr="00C25D90">
              <w:rPr>
                <w:szCs w:val="20"/>
                <w:lang w:val="en-US"/>
              </w:rPr>
              <w:t xml:space="preserve">mg BID, </w:t>
            </w:r>
            <w:r w:rsidRPr="00C25D90">
              <w:rPr>
                <w:szCs w:val="20"/>
              </w:rPr>
              <w:t>7 дни</w:t>
            </w:r>
          </w:p>
        </w:tc>
        <w:tc>
          <w:tcPr>
            <w:tcW w:w="3192" w:type="dxa"/>
            <w:vAlign w:val="bottom"/>
          </w:tcPr>
          <w:p w14:paraId="51470063" w14:textId="4447DF6D" w:rsidR="00C25D90" w:rsidRPr="00C25D90" w:rsidRDefault="00C25D90" w:rsidP="00C25D90">
            <w:r w:rsidRPr="00C25D90">
              <w:rPr>
                <w:szCs w:val="20"/>
              </w:rPr>
              <w:t xml:space="preserve">80 </w:t>
            </w:r>
            <w:r w:rsidRPr="00C25D90">
              <w:rPr>
                <w:szCs w:val="20"/>
                <w:lang w:val="en-US"/>
              </w:rPr>
              <w:t xml:space="preserve">mg, </w:t>
            </w:r>
            <w:r w:rsidRPr="00C25D90">
              <w:rPr>
                <w:szCs w:val="20"/>
              </w:rPr>
              <w:t>еднократна доза</w:t>
            </w:r>
          </w:p>
        </w:tc>
        <w:tc>
          <w:tcPr>
            <w:tcW w:w="3192" w:type="dxa"/>
            <w:vAlign w:val="bottom"/>
          </w:tcPr>
          <w:p w14:paraId="2BE6BC52" w14:textId="14531F2F" w:rsidR="00C25D90" w:rsidRPr="00C25D90" w:rsidRDefault="00C25D90" w:rsidP="00C25D90">
            <w:r w:rsidRPr="00C25D90">
              <w:rPr>
                <w:szCs w:val="20"/>
              </w:rPr>
              <w:t xml:space="preserve">1,9-кратно </w:t>
            </w:r>
            <w:r w:rsidRPr="00C25D90">
              <w:rPr>
                <w:szCs w:val="20"/>
                <w:lang w:val="en-US"/>
              </w:rPr>
              <w:t>↑</w:t>
            </w:r>
          </w:p>
        </w:tc>
      </w:tr>
      <w:tr w:rsidR="00C25D90" w14:paraId="71C1A417" w14:textId="77777777" w:rsidTr="00C25D90">
        <w:tc>
          <w:tcPr>
            <w:tcW w:w="3192" w:type="dxa"/>
            <w:vAlign w:val="bottom"/>
          </w:tcPr>
          <w:p w14:paraId="3E60BF5B" w14:textId="53E00598" w:rsidR="00C25D90" w:rsidRPr="00C25D90" w:rsidRDefault="00C25D90" w:rsidP="00C25D90">
            <w:r w:rsidRPr="00C25D90">
              <w:rPr>
                <w:szCs w:val="20"/>
              </w:rPr>
              <w:t xml:space="preserve">Елтромбопаг 75 </w:t>
            </w:r>
            <w:r w:rsidRPr="00C25D90">
              <w:rPr>
                <w:szCs w:val="20"/>
                <w:lang w:val="en-US"/>
              </w:rPr>
              <w:t xml:space="preserve">mg OD, </w:t>
            </w:r>
            <w:r w:rsidRPr="00C25D90">
              <w:rPr>
                <w:szCs w:val="20"/>
              </w:rPr>
              <w:t>5 дни</w:t>
            </w:r>
          </w:p>
        </w:tc>
        <w:tc>
          <w:tcPr>
            <w:tcW w:w="3192" w:type="dxa"/>
            <w:vAlign w:val="bottom"/>
          </w:tcPr>
          <w:p w14:paraId="2099EC7D" w14:textId="544388E9"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4C123680" w14:textId="3DE833AD" w:rsidR="00C25D90" w:rsidRPr="00C25D90" w:rsidRDefault="00C25D90" w:rsidP="00C25D90">
            <w:r w:rsidRPr="00C25D90">
              <w:rPr>
                <w:szCs w:val="20"/>
              </w:rPr>
              <w:t xml:space="preserve">1,6-кратно </w:t>
            </w:r>
            <w:r w:rsidRPr="00C25D90">
              <w:rPr>
                <w:szCs w:val="20"/>
                <w:lang w:val="en-US"/>
              </w:rPr>
              <w:t>↑</w:t>
            </w:r>
          </w:p>
        </w:tc>
      </w:tr>
      <w:tr w:rsidR="00C25D90" w14:paraId="40E0DFA8" w14:textId="77777777" w:rsidTr="00C25D90">
        <w:tc>
          <w:tcPr>
            <w:tcW w:w="3192" w:type="dxa"/>
            <w:vAlign w:val="bottom"/>
          </w:tcPr>
          <w:p w14:paraId="2CC0ED29" w14:textId="1013564F" w:rsidR="00C25D90" w:rsidRPr="00C25D90" w:rsidRDefault="00C25D90" w:rsidP="00C25D90">
            <w:r w:rsidRPr="00C25D90">
              <w:rPr>
                <w:szCs w:val="20"/>
              </w:rPr>
              <w:t xml:space="preserve">Дарунавир 600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BID</w:t>
            </w:r>
            <w:r w:rsidRPr="00C25D90">
              <w:rPr>
                <w:szCs w:val="20"/>
              </w:rPr>
              <w:t>, 7 дни</w:t>
            </w:r>
          </w:p>
        </w:tc>
        <w:tc>
          <w:tcPr>
            <w:tcW w:w="3192" w:type="dxa"/>
          </w:tcPr>
          <w:p w14:paraId="0056F977" w14:textId="50E2BBBC" w:rsidR="00C25D90" w:rsidRPr="00C25D90" w:rsidRDefault="00C25D90" w:rsidP="00C25D90">
            <w:r w:rsidRPr="00C25D90">
              <w:rPr>
                <w:szCs w:val="20"/>
              </w:rPr>
              <w:t xml:space="preserve">10 </w:t>
            </w:r>
            <w:r w:rsidRPr="00C25D90">
              <w:rPr>
                <w:szCs w:val="20"/>
                <w:lang w:val="en-US"/>
              </w:rPr>
              <w:t xml:space="preserve">mg OD, </w:t>
            </w:r>
            <w:r w:rsidRPr="00C25D90">
              <w:rPr>
                <w:szCs w:val="20"/>
              </w:rPr>
              <w:t>7 дни</w:t>
            </w:r>
          </w:p>
        </w:tc>
        <w:tc>
          <w:tcPr>
            <w:tcW w:w="3192" w:type="dxa"/>
          </w:tcPr>
          <w:p w14:paraId="23AD0D38" w14:textId="25490D7D" w:rsidR="00C25D90" w:rsidRPr="00C25D90" w:rsidRDefault="00C25D90" w:rsidP="00C25D90">
            <w:r w:rsidRPr="00C25D90">
              <w:rPr>
                <w:szCs w:val="20"/>
              </w:rPr>
              <w:t xml:space="preserve">1,5-кратно </w:t>
            </w:r>
            <w:r w:rsidRPr="00C25D90">
              <w:rPr>
                <w:szCs w:val="20"/>
                <w:lang w:val="en-US"/>
              </w:rPr>
              <w:t>↑</w:t>
            </w:r>
          </w:p>
        </w:tc>
      </w:tr>
      <w:tr w:rsidR="00C25D90" w14:paraId="58C60249" w14:textId="77777777" w:rsidTr="00C25D90">
        <w:tc>
          <w:tcPr>
            <w:tcW w:w="3192" w:type="dxa"/>
            <w:vAlign w:val="bottom"/>
          </w:tcPr>
          <w:p w14:paraId="0DF10EBE" w14:textId="7E97475A" w:rsidR="00C25D90" w:rsidRPr="00C25D90" w:rsidRDefault="00C25D90" w:rsidP="00C25D90">
            <w:r w:rsidRPr="00C25D90">
              <w:rPr>
                <w:szCs w:val="20"/>
              </w:rPr>
              <w:t xml:space="preserve">Типранавир 500 </w:t>
            </w:r>
            <w:r w:rsidRPr="00C25D90">
              <w:rPr>
                <w:szCs w:val="20"/>
                <w:lang w:val="en-US"/>
              </w:rPr>
              <w:t>mg</w:t>
            </w:r>
            <w:r w:rsidRPr="00C25D90">
              <w:rPr>
                <w:szCs w:val="20"/>
              </w:rPr>
              <w:t xml:space="preserve">/ритонавир 200 </w:t>
            </w:r>
            <w:r w:rsidRPr="00C25D90">
              <w:rPr>
                <w:szCs w:val="20"/>
                <w:lang w:val="en-US"/>
              </w:rPr>
              <w:t>mg</w:t>
            </w:r>
            <w:r w:rsidRPr="00C25D90">
              <w:rPr>
                <w:szCs w:val="20"/>
              </w:rPr>
              <w:t xml:space="preserve"> </w:t>
            </w:r>
            <w:r w:rsidRPr="00C25D90">
              <w:rPr>
                <w:szCs w:val="20"/>
                <w:lang w:val="en-US"/>
              </w:rPr>
              <w:t>BID</w:t>
            </w:r>
            <w:r w:rsidRPr="00C25D90">
              <w:rPr>
                <w:szCs w:val="20"/>
              </w:rPr>
              <w:t>, 11 дни</w:t>
            </w:r>
          </w:p>
        </w:tc>
        <w:tc>
          <w:tcPr>
            <w:tcW w:w="3192" w:type="dxa"/>
          </w:tcPr>
          <w:p w14:paraId="73CF5946" w14:textId="0C994AD3"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74A0D2DB" w14:textId="6FD82F55" w:rsidR="00C25D90" w:rsidRPr="00C25D90" w:rsidRDefault="00C25D90" w:rsidP="00C25D90">
            <w:r w:rsidRPr="00C25D90">
              <w:rPr>
                <w:szCs w:val="20"/>
              </w:rPr>
              <w:t xml:space="preserve">1,4-кратно </w:t>
            </w:r>
            <w:r w:rsidRPr="00C25D90">
              <w:rPr>
                <w:szCs w:val="20"/>
                <w:lang w:val="en-US"/>
              </w:rPr>
              <w:t>↑</w:t>
            </w:r>
          </w:p>
        </w:tc>
      </w:tr>
      <w:tr w:rsidR="00C25D90" w14:paraId="26CAB4A5" w14:textId="77777777" w:rsidTr="00C25D90">
        <w:tc>
          <w:tcPr>
            <w:tcW w:w="3192" w:type="dxa"/>
            <w:vAlign w:val="bottom"/>
          </w:tcPr>
          <w:p w14:paraId="3F52858F" w14:textId="539CAFF0" w:rsidR="00C25D90" w:rsidRPr="00C25D90" w:rsidRDefault="00C25D90" w:rsidP="00C25D90">
            <w:r w:rsidRPr="00C25D90">
              <w:rPr>
                <w:szCs w:val="20"/>
              </w:rPr>
              <w:t xml:space="preserve">Дронедарон 400 </w:t>
            </w:r>
            <w:r w:rsidRPr="00C25D90">
              <w:rPr>
                <w:szCs w:val="20"/>
                <w:lang w:val="en-US"/>
              </w:rPr>
              <w:t>mg BID</w:t>
            </w:r>
          </w:p>
        </w:tc>
        <w:tc>
          <w:tcPr>
            <w:tcW w:w="3192" w:type="dxa"/>
            <w:vAlign w:val="bottom"/>
          </w:tcPr>
          <w:p w14:paraId="5BDA8D06" w14:textId="3D165EEF" w:rsidR="00C25D90" w:rsidRPr="00C25D90" w:rsidRDefault="00C25D90" w:rsidP="00C25D90">
            <w:r w:rsidRPr="00C25D90">
              <w:rPr>
                <w:szCs w:val="20"/>
              </w:rPr>
              <w:t>Не е налично</w:t>
            </w:r>
          </w:p>
        </w:tc>
        <w:tc>
          <w:tcPr>
            <w:tcW w:w="3192" w:type="dxa"/>
            <w:vAlign w:val="bottom"/>
          </w:tcPr>
          <w:p w14:paraId="6A61035B" w14:textId="1E44BB03" w:rsidR="00C25D90" w:rsidRPr="00C25D90" w:rsidRDefault="00C25D90" w:rsidP="00C25D90">
            <w:r w:rsidRPr="00C25D90">
              <w:rPr>
                <w:szCs w:val="20"/>
              </w:rPr>
              <w:t xml:space="preserve">1,4-кратно </w:t>
            </w:r>
            <w:r w:rsidRPr="00C25D90">
              <w:rPr>
                <w:szCs w:val="20"/>
                <w:lang w:val="en-US"/>
              </w:rPr>
              <w:t>↑</w:t>
            </w:r>
          </w:p>
        </w:tc>
      </w:tr>
      <w:tr w:rsidR="00C25D90" w14:paraId="1D883BCD" w14:textId="77777777" w:rsidTr="00C25D90">
        <w:tc>
          <w:tcPr>
            <w:tcW w:w="3192" w:type="dxa"/>
            <w:vAlign w:val="bottom"/>
          </w:tcPr>
          <w:p w14:paraId="4980D7B6" w14:textId="4DC720CE" w:rsidR="00C25D90" w:rsidRPr="00C25D90" w:rsidRDefault="00C25D90" w:rsidP="00C25D90">
            <w:r w:rsidRPr="00C25D90">
              <w:rPr>
                <w:szCs w:val="20"/>
              </w:rPr>
              <w:t xml:space="preserve">Итраконазол 200 </w:t>
            </w:r>
            <w:r w:rsidRPr="00C25D90">
              <w:rPr>
                <w:szCs w:val="20"/>
                <w:lang w:val="en-US"/>
              </w:rPr>
              <w:t xml:space="preserve">mg OD, </w:t>
            </w:r>
            <w:r w:rsidRPr="00C25D90">
              <w:rPr>
                <w:szCs w:val="20"/>
              </w:rPr>
              <w:t>5 дни</w:t>
            </w:r>
          </w:p>
        </w:tc>
        <w:tc>
          <w:tcPr>
            <w:tcW w:w="3192" w:type="dxa"/>
            <w:vAlign w:val="bottom"/>
          </w:tcPr>
          <w:p w14:paraId="6EE03CAD" w14:textId="6B4259F2"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2B84B7B4" w14:textId="6B819452" w:rsidR="00C25D90" w:rsidRPr="00C25D90" w:rsidRDefault="00C25D90" w:rsidP="00C25D90">
            <w:r w:rsidRPr="00C25D90">
              <w:rPr>
                <w:szCs w:val="20"/>
              </w:rPr>
              <w:t xml:space="preserve">**1,4-кратно </w:t>
            </w:r>
            <w:r w:rsidRPr="00C25D90">
              <w:rPr>
                <w:szCs w:val="20"/>
                <w:lang w:val="en-US"/>
              </w:rPr>
              <w:t>↑</w:t>
            </w:r>
          </w:p>
        </w:tc>
      </w:tr>
      <w:tr w:rsidR="00C25D90" w14:paraId="2266F518" w14:textId="77777777" w:rsidTr="00C25D90">
        <w:tc>
          <w:tcPr>
            <w:tcW w:w="3192" w:type="dxa"/>
            <w:vAlign w:val="bottom"/>
          </w:tcPr>
          <w:p w14:paraId="0E6ADEEC" w14:textId="6523EDEC" w:rsidR="00C25D90" w:rsidRPr="00C25D90" w:rsidRDefault="00C25D90" w:rsidP="00C25D90">
            <w:r w:rsidRPr="00C25D90">
              <w:rPr>
                <w:szCs w:val="20"/>
              </w:rPr>
              <w:t xml:space="preserve">Езетимиб 10 </w:t>
            </w:r>
            <w:r w:rsidRPr="00C25D90">
              <w:rPr>
                <w:szCs w:val="20"/>
                <w:lang w:val="en-US"/>
              </w:rPr>
              <w:t xml:space="preserve">mg OD, </w:t>
            </w:r>
            <w:r w:rsidRPr="00C25D90">
              <w:rPr>
                <w:szCs w:val="20"/>
              </w:rPr>
              <w:t>14 дни</w:t>
            </w:r>
          </w:p>
        </w:tc>
        <w:tc>
          <w:tcPr>
            <w:tcW w:w="3192" w:type="dxa"/>
            <w:vAlign w:val="bottom"/>
          </w:tcPr>
          <w:p w14:paraId="34F6C719" w14:textId="2E6B5260" w:rsidR="00C25D90" w:rsidRPr="00C25D90" w:rsidRDefault="00C25D90" w:rsidP="00C25D90">
            <w:r w:rsidRPr="00C25D90">
              <w:rPr>
                <w:szCs w:val="20"/>
                <w:lang w:val="en-US"/>
              </w:rPr>
              <w:t xml:space="preserve">10 mg OD, </w:t>
            </w:r>
            <w:r w:rsidRPr="00C25D90">
              <w:rPr>
                <w:szCs w:val="20"/>
              </w:rPr>
              <w:t>14 дни</w:t>
            </w:r>
          </w:p>
        </w:tc>
        <w:tc>
          <w:tcPr>
            <w:tcW w:w="3192" w:type="dxa"/>
            <w:vAlign w:val="bottom"/>
          </w:tcPr>
          <w:p w14:paraId="7A40C8DE" w14:textId="6643E5F8" w:rsidR="00C25D90" w:rsidRPr="00C25D90" w:rsidRDefault="00C25D90" w:rsidP="00C25D90">
            <w:r w:rsidRPr="00C25D90">
              <w:rPr>
                <w:szCs w:val="20"/>
              </w:rPr>
              <w:t>* *1,2</w:t>
            </w:r>
            <w:r w:rsidRPr="00C25D90">
              <w:rPr>
                <w:szCs w:val="20"/>
                <w:lang w:val="en-US"/>
              </w:rPr>
              <w:t xml:space="preserve"> </w:t>
            </w:r>
            <w:r w:rsidRPr="00C25D90">
              <w:rPr>
                <w:szCs w:val="20"/>
              </w:rPr>
              <w:t>кратно ↑</w:t>
            </w:r>
          </w:p>
        </w:tc>
      </w:tr>
      <w:tr w:rsidR="00C25D90" w14:paraId="74503D77" w14:textId="77777777" w:rsidTr="00C25D90">
        <w:tc>
          <w:tcPr>
            <w:tcW w:w="3192" w:type="dxa"/>
            <w:vAlign w:val="bottom"/>
          </w:tcPr>
          <w:p w14:paraId="62D56AB7" w14:textId="55DA44AB" w:rsidR="00C25D90" w:rsidRPr="00C25D90" w:rsidRDefault="00C25D90" w:rsidP="00C25D90">
            <w:r w:rsidRPr="00C25D90">
              <w:rPr>
                <w:szCs w:val="20"/>
              </w:rPr>
              <w:t xml:space="preserve">Фозампренавир 700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BID</w:t>
            </w:r>
            <w:r w:rsidRPr="00C25D90">
              <w:rPr>
                <w:szCs w:val="20"/>
              </w:rPr>
              <w:t>,</w:t>
            </w:r>
            <w:r w:rsidRPr="00C25D90">
              <w:rPr>
                <w:szCs w:val="20"/>
                <w:u w:val="single"/>
              </w:rPr>
              <w:t xml:space="preserve"> </w:t>
            </w:r>
            <w:r w:rsidRPr="00C25D90">
              <w:rPr>
                <w:szCs w:val="20"/>
              </w:rPr>
              <w:t>8 дни</w:t>
            </w:r>
          </w:p>
        </w:tc>
        <w:tc>
          <w:tcPr>
            <w:tcW w:w="3192" w:type="dxa"/>
          </w:tcPr>
          <w:p w14:paraId="306BD5E2" w14:textId="31892B57"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33F90C0E" w14:textId="76506C90" w:rsidR="00C25D90" w:rsidRPr="00C25D90" w:rsidRDefault="00C25D90" w:rsidP="00C25D90">
            <w:r w:rsidRPr="00C25D90">
              <w:rPr>
                <w:szCs w:val="20"/>
              </w:rPr>
              <w:t>↔</w:t>
            </w:r>
          </w:p>
        </w:tc>
      </w:tr>
      <w:tr w:rsidR="00C25D90" w14:paraId="57A87E1A" w14:textId="77777777" w:rsidTr="00C25D90">
        <w:tc>
          <w:tcPr>
            <w:tcW w:w="3192" w:type="dxa"/>
            <w:vAlign w:val="bottom"/>
          </w:tcPr>
          <w:p w14:paraId="4552E9E7" w14:textId="60025479" w:rsidR="00C25D90" w:rsidRPr="00C25D90" w:rsidRDefault="00C25D90" w:rsidP="00C25D90">
            <w:r w:rsidRPr="00C25D90">
              <w:rPr>
                <w:szCs w:val="20"/>
              </w:rPr>
              <w:t xml:space="preserve">Алеглитазар 0,3 </w:t>
            </w:r>
            <w:r w:rsidRPr="00C25D90">
              <w:rPr>
                <w:szCs w:val="20"/>
                <w:lang w:val="en-US"/>
              </w:rPr>
              <w:t xml:space="preserve">mg, </w:t>
            </w:r>
            <w:r w:rsidRPr="00C25D90">
              <w:rPr>
                <w:szCs w:val="20"/>
              </w:rPr>
              <w:t>7 дни</w:t>
            </w:r>
          </w:p>
        </w:tc>
        <w:tc>
          <w:tcPr>
            <w:tcW w:w="3192" w:type="dxa"/>
            <w:vAlign w:val="bottom"/>
          </w:tcPr>
          <w:p w14:paraId="18E41D82" w14:textId="546F912E" w:rsidR="00C25D90" w:rsidRPr="00C25D90" w:rsidRDefault="00C25D90" w:rsidP="00C25D90">
            <w:r w:rsidRPr="00C25D90">
              <w:rPr>
                <w:szCs w:val="20"/>
              </w:rPr>
              <w:t xml:space="preserve">40 </w:t>
            </w:r>
            <w:r w:rsidRPr="00C25D90">
              <w:rPr>
                <w:szCs w:val="20"/>
                <w:lang w:val="en-US"/>
              </w:rPr>
              <w:t xml:space="preserve">mg, </w:t>
            </w:r>
            <w:r w:rsidRPr="00C25D90">
              <w:rPr>
                <w:szCs w:val="20"/>
              </w:rPr>
              <w:t>7 дни</w:t>
            </w:r>
          </w:p>
        </w:tc>
        <w:tc>
          <w:tcPr>
            <w:tcW w:w="3192" w:type="dxa"/>
          </w:tcPr>
          <w:p w14:paraId="024CCEDC" w14:textId="572168C7" w:rsidR="00C25D90" w:rsidRPr="00C25D90" w:rsidRDefault="00C25D90" w:rsidP="00C25D90">
            <w:r w:rsidRPr="00C25D90">
              <w:rPr>
                <w:szCs w:val="20"/>
              </w:rPr>
              <w:t>↔</w:t>
            </w:r>
          </w:p>
        </w:tc>
      </w:tr>
      <w:tr w:rsidR="00C25D90" w14:paraId="0781F52C" w14:textId="77777777" w:rsidTr="00C25D90">
        <w:tc>
          <w:tcPr>
            <w:tcW w:w="3192" w:type="dxa"/>
            <w:vAlign w:val="bottom"/>
          </w:tcPr>
          <w:p w14:paraId="75FA7D6B" w14:textId="37BD76AE" w:rsidR="00C25D90" w:rsidRPr="00C25D90" w:rsidRDefault="00C25D90" w:rsidP="00C25D90">
            <w:r w:rsidRPr="00C25D90">
              <w:rPr>
                <w:szCs w:val="20"/>
              </w:rPr>
              <w:t xml:space="preserve">Силимарин 140 </w:t>
            </w:r>
            <w:r w:rsidRPr="00C25D90">
              <w:rPr>
                <w:szCs w:val="20"/>
                <w:lang w:val="en-US"/>
              </w:rPr>
              <w:t xml:space="preserve">mg TID, </w:t>
            </w:r>
            <w:r w:rsidRPr="00C25D90">
              <w:rPr>
                <w:szCs w:val="20"/>
              </w:rPr>
              <w:t>5 дни</w:t>
            </w:r>
          </w:p>
        </w:tc>
        <w:tc>
          <w:tcPr>
            <w:tcW w:w="3192" w:type="dxa"/>
            <w:vAlign w:val="bottom"/>
          </w:tcPr>
          <w:p w14:paraId="25AA57C7" w14:textId="7A7EC9A0"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12F621F8" w14:textId="6D09E5D9" w:rsidR="00C25D90" w:rsidRPr="00C25D90" w:rsidRDefault="00C25D90" w:rsidP="00C25D90">
            <w:r w:rsidRPr="00C25D90">
              <w:rPr>
                <w:szCs w:val="20"/>
              </w:rPr>
              <w:t>↔</w:t>
            </w:r>
          </w:p>
        </w:tc>
      </w:tr>
      <w:tr w:rsidR="00C25D90" w14:paraId="7C9325F5" w14:textId="77777777" w:rsidTr="00C25D90">
        <w:tc>
          <w:tcPr>
            <w:tcW w:w="3192" w:type="dxa"/>
            <w:vAlign w:val="bottom"/>
          </w:tcPr>
          <w:p w14:paraId="1FA756CD" w14:textId="2FC3B73C" w:rsidR="00C25D90" w:rsidRPr="00C25D90" w:rsidRDefault="00C25D90" w:rsidP="00C25D90">
            <w:r w:rsidRPr="00C25D90">
              <w:rPr>
                <w:szCs w:val="20"/>
              </w:rPr>
              <w:t xml:space="preserve">Фенофибрат 67 </w:t>
            </w:r>
            <w:r w:rsidRPr="00C25D90">
              <w:rPr>
                <w:szCs w:val="20"/>
                <w:lang w:val="en-US"/>
              </w:rPr>
              <w:t xml:space="preserve">mg TID, </w:t>
            </w:r>
            <w:r w:rsidRPr="00C25D90">
              <w:rPr>
                <w:szCs w:val="20"/>
              </w:rPr>
              <w:t>7 дни</w:t>
            </w:r>
          </w:p>
        </w:tc>
        <w:tc>
          <w:tcPr>
            <w:tcW w:w="3192" w:type="dxa"/>
            <w:vAlign w:val="bottom"/>
          </w:tcPr>
          <w:p w14:paraId="71B9CAB0" w14:textId="025946F4" w:rsidR="00C25D90" w:rsidRPr="00C25D90" w:rsidRDefault="00C25D90" w:rsidP="00C25D90">
            <w:r w:rsidRPr="00C25D90">
              <w:rPr>
                <w:szCs w:val="20"/>
              </w:rPr>
              <w:t xml:space="preserve">10 </w:t>
            </w:r>
            <w:r w:rsidRPr="00C25D90">
              <w:rPr>
                <w:szCs w:val="20"/>
                <w:lang w:val="en-US"/>
              </w:rPr>
              <w:t xml:space="preserve">mg, </w:t>
            </w:r>
            <w:r w:rsidRPr="00C25D90">
              <w:rPr>
                <w:szCs w:val="20"/>
              </w:rPr>
              <w:t>7 дни</w:t>
            </w:r>
          </w:p>
        </w:tc>
        <w:tc>
          <w:tcPr>
            <w:tcW w:w="3192" w:type="dxa"/>
          </w:tcPr>
          <w:p w14:paraId="7FA1C86E" w14:textId="36039D10" w:rsidR="00C25D90" w:rsidRPr="00C25D90" w:rsidRDefault="00C25D90" w:rsidP="00C25D90">
            <w:r w:rsidRPr="00C25D90">
              <w:rPr>
                <w:szCs w:val="20"/>
              </w:rPr>
              <w:t>↔</w:t>
            </w:r>
          </w:p>
        </w:tc>
      </w:tr>
      <w:tr w:rsidR="00C25D90" w14:paraId="22E8A617" w14:textId="77777777" w:rsidTr="00C25D90">
        <w:tc>
          <w:tcPr>
            <w:tcW w:w="3192" w:type="dxa"/>
          </w:tcPr>
          <w:p w14:paraId="34242DE7" w14:textId="49EDE7F3" w:rsidR="00C25D90" w:rsidRDefault="00C25D90" w:rsidP="00C25D90">
            <w:r>
              <w:t xml:space="preserve">Рифампин 450 </w:t>
            </w:r>
            <w:r>
              <w:rPr>
                <w:lang w:val="en-US"/>
              </w:rPr>
              <w:t xml:space="preserve">mg OD, </w:t>
            </w:r>
            <w:r>
              <w:t>7 дни</w:t>
            </w:r>
          </w:p>
        </w:tc>
        <w:tc>
          <w:tcPr>
            <w:tcW w:w="3192" w:type="dxa"/>
          </w:tcPr>
          <w:p w14:paraId="6B01C12B" w14:textId="525F9E42" w:rsidR="00C25D90" w:rsidRDefault="00C25D90" w:rsidP="00C25D90">
            <w:r>
              <w:t xml:space="preserve">20 </w:t>
            </w:r>
            <w:r>
              <w:rPr>
                <w:lang w:val="en-US"/>
              </w:rPr>
              <w:t xml:space="preserve">mg, </w:t>
            </w:r>
            <w:r>
              <w:t>еднократна доза</w:t>
            </w:r>
          </w:p>
        </w:tc>
        <w:tc>
          <w:tcPr>
            <w:tcW w:w="3192" w:type="dxa"/>
          </w:tcPr>
          <w:p w14:paraId="3D5C8F0C" w14:textId="66BA6E94" w:rsidR="00C25D90" w:rsidRDefault="00C25D90" w:rsidP="00C25D90">
            <w:r>
              <w:rPr>
                <w:sz w:val="20"/>
                <w:szCs w:val="20"/>
              </w:rPr>
              <w:t>↔</w:t>
            </w:r>
          </w:p>
        </w:tc>
      </w:tr>
      <w:tr w:rsidR="00C25D90" w14:paraId="31CD99CE" w14:textId="77777777" w:rsidTr="00C25D90">
        <w:tc>
          <w:tcPr>
            <w:tcW w:w="3192" w:type="dxa"/>
          </w:tcPr>
          <w:p w14:paraId="523874F4" w14:textId="2B9B65CE" w:rsidR="00C25D90" w:rsidRDefault="00C25D90" w:rsidP="00C25D90">
            <w:r>
              <w:t xml:space="preserve">Кетоконазол 200 </w:t>
            </w:r>
            <w:r>
              <w:rPr>
                <w:lang w:val="en-US"/>
              </w:rPr>
              <w:t xml:space="preserve">mg BID, </w:t>
            </w:r>
            <w:r>
              <w:t>7 дни</w:t>
            </w:r>
          </w:p>
        </w:tc>
        <w:tc>
          <w:tcPr>
            <w:tcW w:w="3192" w:type="dxa"/>
          </w:tcPr>
          <w:p w14:paraId="5AEBA21C" w14:textId="10AAF861" w:rsidR="00C25D90" w:rsidRPr="00C25D90" w:rsidRDefault="00C25D90" w:rsidP="00C25D90">
            <w:pPr>
              <w:rPr>
                <w:sz w:val="24"/>
                <w:szCs w:val="24"/>
              </w:rPr>
            </w:pPr>
            <w:r w:rsidRPr="00C25D90">
              <w:rPr>
                <w:lang w:eastAsia="bg-BG"/>
              </w:rPr>
              <w:t xml:space="preserve">80 </w:t>
            </w:r>
            <w:r w:rsidRPr="00C25D90">
              <w:rPr>
                <w:lang w:val="en-US"/>
              </w:rPr>
              <w:t xml:space="preserve">mg, </w:t>
            </w:r>
            <w:r w:rsidRPr="00C25D90">
              <w:rPr>
                <w:lang w:eastAsia="bg-BG"/>
              </w:rPr>
              <w:t>еднократна доза</w:t>
            </w:r>
          </w:p>
        </w:tc>
        <w:tc>
          <w:tcPr>
            <w:tcW w:w="3192" w:type="dxa"/>
          </w:tcPr>
          <w:p w14:paraId="1CB6F479" w14:textId="40C11B9A" w:rsidR="00C25D90" w:rsidRDefault="00C25D90" w:rsidP="00C25D90">
            <w:r>
              <w:rPr>
                <w:sz w:val="20"/>
                <w:szCs w:val="20"/>
              </w:rPr>
              <w:t>↔</w:t>
            </w:r>
          </w:p>
        </w:tc>
      </w:tr>
      <w:tr w:rsidR="00C25D90" w14:paraId="71BB8AB9" w14:textId="77777777" w:rsidTr="00C25D90">
        <w:tc>
          <w:tcPr>
            <w:tcW w:w="3192" w:type="dxa"/>
            <w:vAlign w:val="bottom"/>
          </w:tcPr>
          <w:p w14:paraId="37923121" w14:textId="5FA56220" w:rsidR="00C25D90" w:rsidRPr="00C25D90" w:rsidRDefault="00C25D90" w:rsidP="00C25D90">
            <w:r w:rsidRPr="00C25D90">
              <w:rPr>
                <w:szCs w:val="20"/>
              </w:rPr>
              <w:t xml:space="preserve">Флуконазол 200 </w:t>
            </w:r>
            <w:r w:rsidRPr="00C25D90">
              <w:rPr>
                <w:szCs w:val="20"/>
                <w:lang w:val="en-US"/>
              </w:rPr>
              <w:t xml:space="preserve">mg OD, </w:t>
            </w:r>
            <w:r w:rsidRPr="00C25D90">
              <w:rPr>
                <w:szCs w:val="20"/>
              </w:rPr>
              <w:t>11 дни</w:t>
            </w:r>
          </w:p>
        </w:tc>
        <w:tc>
          <w:tcPr>
            <w:tcW w:w="3192" w:type="dxa"/>
            <w:vAlign w:val="bottom"/>
          </w:tcPr>
          <w:p w14:paraId="7E7388CA" w14:textId="66B24F6C" w:rsidR="00C25D90" w:rsidRPr="00C25D90" w:rsidRDefault="00C25D90" w:rsidP="00C25D90">
            <w:r w:rsidRPr="00C25D90">
              <w:rPr>
                <w:szCs w:val="20"/>
              </w:rPr>
              <w:t xml:space="preserve">80 </w:t>
            </w:r>
            <w:r w:rsidRPr="00C25D90">
              <w:rPr>
                <w:szCs w:val="20"/>
                <w:lang w:val="en-US"/>
              </w:rPr>
              <w:t xml:space="preserve">mg, </w:t>
            </w:r>
            <w:r w:rsidRPr="00C25D90">
              <w:rPr>
                <w:szCs w:val="20"/>
              </w:rPr>
              <w:t>еднократна доза</w:t>
            </w:r>
          </w:p>
        </w:tc>
        <w:tc>
          <w:tcPr>
            <w:tcW w:w="3192" w:type="dxa"/>
            <w:vAlign w:val="bottom"/>
          </w:tcPr>
          <w:p w14:paraId="3153AA5D" w14:textId="619DD9D1" w:rsidR="00C25D90" w:rsidRPr="00C25D90" w:rsidRDefault="00C25D90" w:rsidP="00C25D90">
            <w:r w:rsidRPr="00C25D90">
              <w:rPr>
                <w:szCs w:val="20"/>
              </w:rPr>
              <w:t>↔</w:t>
            </w:r>
          </w:p>
        </w:tc>
      </w:tr>
      <w:tr w:rsidR="00C25D90" w14:paraId="40A167AD" w14:textId="77777777" w:rsidTr="00C25D90">
        <w:tc>
          <w:tcPr>
            <w:tcW w:w="3192" w:type="dxa"/>
            <w:vAlign w:val="bottom"/>
          </w:tcPr>
          <w:p w14:paraId="42C5CC59" w14:textId="7FBA233A" w:rsidR="00C25D90" w:rsidRPr="00C25D90" w:rsidRDefault="00C25D90" w:rsidP="00C25D90">
            <w:r w:rsidRPr="00C25D90">
              <w:rPr>
                <w:szCs w:val="20"/>
              </w:rPr>
              <w:t xml:space="preserve">Еритромицин 500 </w:t>
            </w:r>
            <w:r w:rsidRPr="00C25D90">
              <w:rPr>
                <w:szCs w:val="20"/>
                <w:lang w:val="en-US"/>
              </w:rPr>
              <w:t xml:space="preserve">mg QID, </w:t>
            </w:r>
            <w:r w:rsidRPr="00C25D90">
              <w:rPr>
                <w:szCs w:val="20"/>
              </w:rPr>
              <w:t>7 дни</w:t>
            </w:r>
          </w:p>
        </w:tc>
        <w:tc>
          <w:tcPr>
            <w:tcW w:w="3192" w:type="dxa"/>
            <w:vAlign w:val="bottom"/>
          </w:tcPr>
          <w:p w14:paraId="393D56F6" w14:textId="22E67563" w:rsidR="00C25D90" w:rsidRPr="00C25D90" w:rsidRDefault="00C25D90" w:rsidP="00C25D90">
            <w:r w:rsidRPr="00C25D90">
              <w:rPr>
                <w:szCs w:val="20"/>
              </w:rPr>
              <w:t xml:space="preserve">80 </w:t>
            </w:r>
            <w:r w:rsidRPr="00C25D90">
              <w:rPr>
                <w:szCs w:val="20"/>
                <w:lang w:val="en-US"/>
              </w:rPr>
              <w:t xml:space="preserve">mg, </w:t>
            </w:r>
            <w:r w:rsidRPr="00C25D90">
              <w:rPr>
                <w:szCs w:val="20"/>
              </w:rPr>
              <w:t>еднократна доза</w:t>
            </w:r>
          </w:p>
        </w:tc>
        <w:tc>
          <w:tcPr>
            <w:tcW w:w="3192" w:type="dxa"/>
            <w:vAlign w:val="bottom"/>
          </w:tcPr>
          <w:p w14:paraId="013DF30A" w14:textId="7E32209E" w:rsidR="00C25D90" w:rsidRPr="00C25D90" w:rsidRDefault="00C25D90" w:rsidP="00C25D90">
            <w:r w:rsidRPr="00C25D90">
              <w:rPr>
                <w:szCs w:val="20"/>
              </w:rPr>
              <w:t>20% ↓</w:t>
            </w:r>
          </w:p>
        </w:tc>
      </w:tr>
      <w:tr w:rsidR="00C25D90" w14:paraId="0F0B20AA" w14:textId="77777777" w:rsidTr="00C25D90">
        <w:tc>
          <w:tcPr>
            <w:tcW w:w="3192" w:type="dxa"/>
            <w:vAlign w:val="bottom"/>
          </w:tcPr>
          <w:p w14:paraId="27050A2A" w14:textId="641A3C71" w:rsidR="00C25D90" w:rsidRPr="00C25D90" w:rsidRDefault="00C25D90" w:rsidP="00C25D90">
            <w:r w:rsidRPr="00C25D90">
              <w:rPr>
                <w:szCs w:val="20"/>
              </w:rPr>
              <w:t xml:space="preserve">Байкалин 50 </w:t>
            </w:r>
            <w:r w:rsidRPr="00C25D90">
              <w:rPr>
                <w:szCs w:val="20"/>
                <w:lang w:val="en-US"/>
              </w:rPr>
              <w:t xml:space="preserve">mg TID, </w:t>
            </w:r>
            <w:r w:rsidRPr="00C25D90">
              <w:rPr>
                <w:szCs w:val="20"/>
              </w:rPr>
              <w:t>14 дни</w:t>
            </w:r>
          </w:p>
        </w:tc>
        <w:tc>
          <w:tcPr>
            <w:tcW w:w="3192" w:type="dxa"/>
            <w:vAlign w:val="bottom"/>
          </w:tcPr>
          <w:p w14:paraId="0763AE87" w14:textId="5D8D9C62" w:rsidR="00C25D90" w:rsidRPr="00C25D90" w:rsidRDefault="00C25D90" w:rsidP="00C25D90">
            <w:r w:rsidRPr="00C25D90">
              <w:rPr>
                <w:szCs w:val="20"/>
              </w:rPr>
              <w:t xml:space="preserve">20 </w:t>
            </w:r>
            <w:r w:rsidRPr="00C25D90">
              <w:rPr>
                <w:szCs w:val="20"/>
                <w:lang w:val="en-US"/>
              </w:rPr>
              <w:t xml:space="preserve">mg, </w:t>
            </w:r>
            <w:r w:rsidRPr="00C25D90">
              <w:rPr>
                <w:szCs w:val="20"/>
              </w:rPr>
              <w:t>еднократна доза</w:t>
            </w:r>
          </w:p>
        </w:tc>
        <w:tc>
          <w:tcPr>
            <w:tcW w:w="3192" w:type="dxa"/>
            <w:vAlign w:val="bottom"/>
          </w:tcPr>
          <w:p w14:paraId="162B1D2E" w14:textId="1CB53392" w:rsidR="00C25D90" w:rsidRPr="00C25D90" w:rsidRDefault="00C25D90" w:rsidP="00C25D90">
            <w:r w:rsidRPr="00C25D90">
              <w:rPr>
                <w:szCs w:val="20"/>
              </w:rPr>
              <w:t>47% ↓</w:t>
            </w:r>
          </w:p>
        </w:tc>
      </w:tr>
      <w:tr w:rsidR="00C25D90" w14:paraId="0ED645D8" w14:textId="77777777" w:rsidTr="00C25D90">
        <w:tc>
          <w:tcPr>
            <w:tcW w:w="9576" w:type="dxa"/>
            <w:gridSpan w:val="3"/>
            <w:vAlign w:val="bottom"/>
          </w:tcPr>
          <w:p w14:paraId="2FD1AD47" w14:textId="77777777"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eastAsia="bg-BG"/>
              </w:rPr>
              <w:lastRenderedPageBreak/>
              <w:t>*Данните, дадени като промяна х-кратно, представляват просто съотношение на едновременното и самостоятелното приложение на розувастатин. Данните, дадени като % промяна, представляват % разлика в сравнение с розувастатин самостоятелно.</w:t>
            </w:r>
          </w:p>
          <w:p w14:paraId="19F15C08" w14:textId="77777777"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eastAsia="bg-BG"/>
              </w:rPr>
              <w:t>Увеличението е показано с ,,↑" липсата на промяна с ,,↔" а намалението с ,,↓“.</w:t>
            </w:r>
          </w:p>
          <w:p w14:paraId="5B644D36" w14:textId="77777777"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eastAsia="bg-BG"/>
              </w:rPr>
              <w:t>**Проведени са няколко проучвания за взаимодействия при различни дози на Ропуидо, таблицата показва най-значимото съотношение</w:t>
            </w:r>
          </w:p>
          <w:p w14:paraId="6DE8962E" w14:textId="7660719F"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val="en-US"/>
              </w:rPr>
              <w:t>OD</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 веднъж дневно; </w:t>
            </w:r>
            <w:r w:rsidRPr="00C25D90">
              <w:rPr>
                <w:rFonts w:eastAsia="Times New Roman" w:cs="Arial"/>
                <w:color w:val="000000"/>
                <w:szCs w:val="20"/>
                <w:lang w:val="en-US"/>
              </w:rPr>
              <w:t>BID</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 два пъти дневно; </w:t>
            </w:r>
            <w:r w:rsidRPr="00C25D90">
              <w:rPr>
                <w:rFonts w:eastAsia="Times New Roman" w:cs="Arial"/>
                <w:color w:val="000000"/>
                <w:szCs w:val="20"/>
                <w:lang w:val="en-US"/>
              </w:rPr>
              <w:t>TID</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 три пъти дневно; </w:t>
            </w:r>
            <w:r w:rsidRPr="00C25D90">
              <w:rPr>
                <w:rFonts w:eastAsia="Times New Roman" w:cs="Arial"/>
                <w:color w:val="000000"/>
                <w:szCs w:val="20"/>
                <w:lang w:val="en-US"/>
              </w:rPr>
              <w:t>QID</w:t>
            </w:r>
            <w:r w:rsidRPr="00C25D90">
              <w:rPr>
                <w:rFonts w:eastAsia="Times New Roman" w:cs="Arial"/>
                <w:color w:val="000000"/>
                <w:szCs w:val="20"/>
                <w:lang w:val="ru-RU"/>
              </w:rPr>
              <w:t xml:space="preserve"> </w:t>
            </w:r>
            <w:r w:rsidRPr="00C25D90">
              <w:rPr>
                <w:rFonts w:eastAsia="Times New Roman" w:cs="Arial"/>
                <w:color w:val="000000"/>
                <w:szCs w:val="20"/>
                <w:lang w:eastAsia="bg-BG"/>
              </w:rPr>
              <w:t>= четири пъти дневно</w:t>
            </w:r>
          </w:p>
        </w:tc>
      </w:tr>
    </w:tbl>
    <w:p w14:paraId="59E4ECC6" w14:textId="6CF3D4E6" w:rsidR="00C25D90" w:rsidRDefault="00C25D90" w:rsidP="00C25D90"/>
    <w:p w14:paraId="4A827A9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Въздействие на розувастатин върху едновременно прилагани лекарствени продукти</w:t>
      </w:r>
    </w:p>
    <w:p w14:paraId="68B38AC5" w14:textId="77777777" w:rsidR="00C25D90" w:rsidRPr="00C25D90" w:rsidRDefault="00C25D90" w:rsidP="00C25D90">
      <w:pPr>
        <w:spacing w:line="240" w:lineRule="auto"/>
        <w:rPr>
          <w:rFonts w:eastAsia="Times New Roman" w:cs="Arial"/>
          <w:b/>
          <w:bCs/>
          <w:color w:val="000000"/>
          <w:szCs w:val="20"/>
          <w:lang w:eastAsia="bg-BG"/>
        </w:rPr>
      </w:pPr>
    </w:p>
    <w:p w14:paraId="0AA5E14E" w14:textId="608BA7DC"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Антагонисти на витамин К: </w:t>
      </w:r>
      <w:r w:rsidRPr="00C25D90">
        <w:rPr>
          <w:rFonts w:eastAsia="Times New Roman" w:cs="Arial"/>
          <w:color w:val="000000"/>
          <w:szCs w:val="20"/>
          <w:lang w:eastAsia="bg-BG"/>
        </w:rPr>
        <w:t xml:space="preserve">Както и при други инхибитори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редуктазата, започването на лечение или повишаване на дозата на Ропуидо при пациенти, лекувани едновременно с антагонисти на витамин К (напр. варфарин или друг кумаринов антикоагулант) може да доведе до увеличаване на международното нормализирано съотношение </w:t>
      </w:r>
      <w:r w:rsidRPr="00C25D90">
        <w:rPr>
          <w:rFonts w:eastAsia="Times New Roman" w:cs="Arial"/>
          <w:color w:val="000000"/>
          <w:szCs w:val="20"/>
          <w:lang w:val="ru-RU"/>
        </w:rPr>
        <w:t>(</w:t>
      </w:r>
      <w:r w:rsidRPr="00C25D90">
        <w:rPr>
          <w:rFonts w:eastAsia="Times New Roman" w:cs="Arial"/>
          <w:color w:val="000000"/>
          <w:szCs w:val="20"/>
          <w:lang w:val="en-US"/>
        </w:rPr>
        <w:t>INR</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Прекъсване на лечението или намаляване на дозата на Ропуидо може да доведе до намаляване на </w:t>
      </w:r>
      <w:r w:rsidRPr="00C25D90">
        <w:rPr>
          <w:rFonts w:eastAsia="Times New Roman" w:cs="Arial"/>
          <w:color w:val="000000"/>
          <w:szCs w:val="20"/>
          <w:lang w:val="en-US"/>
        </w:rPr>
        <w:t>INR</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В такива ситуации е желателно подходящо мониториране на </w:t>
      </w:r>
      <w:r w:rsidRPr="00C25D90">
        <w:rPr>
          <w:rFonts w:eastAsia="Times New Roman" w:cs="Arial"/>
          <w:color w:val="000000"/>
          <w:szCs w:val="20"/>
          <w:lang w:val="ru-RU"/>
        </w:rPr>
        <w:t>1</w:t>
      </w:r>
      <w:r w:rsidRPr="00C25D90">
        <w:rPr>
          <w:rFonts w:eastAsia="Times New Roman" w:cs="Arial"/>
          <w:color w:val="000000"/>
          <w:szCs w:val="20"/>
          <w:lang w:val="en-US"/>
        </w:rPr>
        <w:t>NR</w:t>
      </w:r>
      <w:r w:rsidRPr="00C25D90">
        <w:rPr>
          <w:rFonts w:eastAsia="Times New Roman" w:cs="Arial"/>
          <w:color w:val="000000"/>
          <w:szCs w:val="20"/>
          <w:lang w:val="ru-RU"/>
        </w:rPr>
        <w:t>.</w:t>
      </w:r>
    </w:p>
    <w:p w14:paraId="7FC9D288" w14:textId="77777777" w:rsidR="00C25D90" w:rsidRPr="00C25D90" w:rsidRDefault="00C25D90" w:rsidP="00C25D90">
      <w:pPr>
        <w:spacing w:line="240" w:lineRule="auto"/>
        <w:rPr>
          <w:rFonts w:eastAsia="Times New Roman" w:cs="Arial"/>
          <w:b/>
          <w:bCs/>
          <w:color w:val="000000"/>
          <w:szCs w:val="20"/>
          <w:lang w:eastAsia="bg-BG"/>
        </w:rPr>
      </w:pPr>
    </w:p>
    <w:p w14:paraId="18C116C6" w14:textId="4ADF9E54"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Перорални контрацептиви/хормонозаместваща терапия </w:t>
      </w:r>
      <w:r w:rsidRPr="00C25D90">
        <w:rPr>
          <w:rFonts w:eastAsia="Times New Roman" w:cs="Arial"/>
          <w:b/>
          <w:bCs/>
          <w:color w:val="000000"/>
          <w:szCs w:val="20"/>
          <w:lang w:val="ru-RU"/>
        </w:rPr>
        <w:t>(</w:t>
      </w:r>
      <w:r w:rsidRPr="00C25D90">
        <w:rPr>
          <w:rFonts w:eastAsia="Times New Roman" w:cs="Arial"/>
          <w:b/>
          <w:bCs/>
          <w:color w:val="000000"/>
          <w:szCs w:val="20"/>
          <w:lang w:val="en-US"/>
        </w:rPr>
        <w:t>HRT</w:t>
      </w:r>
      <w:r w:rsidRPr="00C25D90">
        <w:rPr>
          <w:rFonts w:eastAsia="Times New Roman" w:cs="Arial"/>
          <w:b/>
          <w:bCs/>
          <w:color w:val="000000"/>
          <w:szCs w:val="20"/>
          <w:lang w:val="ru-RU"/>
        </w:rPr>
        <w:t xml:space="preserve">): </w:t>
      </w:r>
      <w:r w:rsidRPr="00C25D90">
        <w:rPr>
          <w:rFonts w:eastAsia="Times New Roman" w:cs="Arial"/>
          <w:color w:val="000000"/>
          <w:szCs w:val="20"/>
          <w:lang w:eastAsia="bg-BG"/>
        </w:rPr>
        <w:t xml:space="preserve">Едновременното приложение на Ропуидо и перорални контрацептиви води до увеличение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на етинил естрадиол и норгестрел съответно с 26% и 34%. Тези повишени плазмени нива трябва да се вземат предвид при дозировката на перорални контрацептиви. Липсват фармакокинетични данни при пациенти, които приемат едновременно Ропуидо и </w:t>
      </w:r>
      <w:r w:rsidRPr="00C25D90">
        <w:rPr>
          <w:rFonts w:eastAsia="Times New Roman" w:cs="Arial"/>
          <w:color w:val="000000"/>
          <w:szCs w:val="20"/>
          <w:lang w:val="en-US"/>
        </w:rPr>
        <w:t>HRT</w:t>
      </w:r>
      <w:r w:rsidRPr="00C25D90">
        <w:rPr>
          <w:rFonts w:eastAsia="Times New Roman" w:cs="Arial"/>
          <w:color w:val="000000"/>
          <w:szCs w:val="20"/>
          <w:lang w:val="ru-RU"/>
        </w:rPr>
        <w:t xml:space="preserve">, </w:t>
      </w:r>
      <w:r w:rsidRPr="00C25D90">
        <w:rPr>
          <w:rFonts w:eastAsia="Times New Roman" w:cs="Arial"/>
          <w:color w:val="000000"/>
          <w:szCs w:val="20"/>
          <w:lang w:eastAsia="bg-BG"/>
        </w:rPr>
        <w:t>и следователно подобен ефект не може да се изключи. Въпреки това комбинацията е широко използвана при жени, участващи в клинични проучвания, и се понася добре.</w:t>
      </w:r>
    </w:p>
    <w:p w14:paraId="6B6CF0F9" w14:textId="77777777" w:rsidR="00C25D90" w:rsidRPr="00C25D90" w:rsidRDefault="00C25D90" w:rsidP="00C25D90">
      <w:pPr>
        <w:spacing w:line="240" w:lineRule="auto"/>
        <w:rPr>
          <w:rFonts w:eastAsia="Times New Roman" w:cs="Arial"/>
          <w:b/>
          <w:bCs/>
          <w:color w:val="000000"/>
          <w:szCs w:val="20"/>
          <w:lang w:eastAsia="bg-BG"/>
        </w:rPr>
      </w:pPr>
    </w:p>
    <w:p w14:paraId="42936E90" w14:textId="7C9E9953"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Други лекарствени продукти:</w:t>
      </w:r>
    </w:p>
    <w:p w14:paraId="2D0572D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Дигоксин:</w:t>
      </w:r>
      <w:r w:rsidRPr="00C25D90">
        <w:rPr>
          <w:rFonts w:eastAsia="Times New Roman" w:cs="Arial"/>
          <w:color w:val="000000"/>
          <w:szCs w:val="20"/>
          <w:lang w:eastAsia="bg-BG"/>
        </w:rPr>
        <w:t xml:space="preserve"> Въз основа на данните от проучвания за специфични взаимодействия, не се очаква клинично значимо взаимодействие с дигоксин.</w:t>
      </w:r>
    </w:p>
    <w:p w14:paraId="4513647E"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Фузидова киселина:</w:t>
      </w:r>
      <w:r w:rsidRPr="00C25D90">
        <w:rPr>
          <w:rFonts w:eastAsia="Times New Roman" w:cs="Arial"/>
          <w:color w:val="000000"/>
          <w:szCs w:val="20"/>
          <w:lang w:eastAsia="bg-BG"/>
        </w:rPr>
        <w:t xml:space="preserve"> Проучвания за взаимодействие на розувастатин и фузидова киселина </w:t>
      </w:r>
      <w:r w:rsidRPr="00C25D90">
        <w:rPr>
          <w:rFonts w:eastAsia="Times New Roman" w:cs="Arial"/>
          <w:i/>
          <w:iCs/>
          <w:color w:val="000000"/>
          <w:szCs w:val="20"/>
          <w:lang w:eastAsia="bg-BG"/>
        </w:rPr>
        <w:t xml:space="preserve">не са </w:t>
      </w:r>
      <w:r w:rsidRPr="00C25D90">
        <w:rPr>
          <w:rFonts w:eastAsia="Times New Roman" w:cs="Arial"/>
          <w:color w:val="000000"/>
          <w:szCs w:val="20"/>
          <w:lang w:eastAsia="bg-BG"/>
        </w:rPr>
        <w:t>провеждани. Рискът от миопатия, включително рабдомиолиза, може да се увеличи при едновременното приложение на фузидова киселина със системно действие и статини. Механизмът на това взаимодействие (независимо дали е фармакодинамичен, фармакокинетичен или и двата) все още не е известен. Има съобщения за рабдомиолиза (включително смъртни случаи) при пациенти, получаващи тази комбинация.</w:t>
      </w:r>
    </w:p>
    <w:p w14:paraId="46794E02" w14:textId="77777777" w:rsidR="00C25D90" w:rsidRPr="00C25D90" w:rsidRDefault="00C25D90" w:rsidP="00C25D90">
      <w:pPr>
        <w:spacing w:line="240" w:lineRule="auto"/>
        <w:rPr>
          <w:rFonts w:eastAsia="Times New Roman" w:cs="Arial"/>
          <w:color w:val="000000"/>
          <w:szCs w:val="20"/>
          <w:lang w:eastAsia="bg-BG"/>
        </w:rPr>
      </w:pPr>
    </w:p>
    <w:p w14:paraId="14030D11" w14:textId="4D6568FB"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Ако е необходимо лечение с фузидова киселина със системно действие, лечението с Ропуидо трябва да се преустанови по време на продължителността на лечението с фузидова киселина. </w:t>
      </w:r>
      <w:r w:rsidRPr="00C25D90">
        <w:rPr>
          <w:rFonts w:eastAsia="Times New Roman" w:cs="Arial"/>
          <w:b/>
          <w:bCs/>
          <w:color w:val="000000"/>
          <w:szCs w:val="20"/>
          <w:lang w:eastAsia="bg-BG"/>
        </w:rPr>
        <w:t>Вижте също точка 4.4.</w:t>
      </w:r>
    </w:p>
    <w:p w14:paraId="790B30B7" w14:textId="77777777" w:rsidR="00C25D90" w:rsidRPr="00C25D90" w:rsidRDefault="00C25D90" w:rsidP="00C25D90">
      <w:pPr>
        <w:rPr>
          <w:rFonts w:eastAsia="Times New Roman" w:cs="Arial"/>
          <w:b/>
          <w:bCs/>
          <w:color w:val="000000"/>
          <w:szCs w:val="20"/>
          <w:lang w:eastAsia="bg-BG"/>
        </w:rPr>
      </w:pPr>
    </w:p>
    <w:p w14:paraId="613B6A5F" w14:textId="29944B85" w:rsidR="00C25D90" w:rsidRDefault="00C25D90" w:rsidP="00C25D90">
      <w:pPr>
        <w:rPr>
          <w:rFonts w:eastAsia="Times New Roman" w:cs="Arial"/>
          <w:color w:val="000000"/>
          <w:szCs w:val="20"/>
          <w:lang w:eastAsia="bg-BG"/>
        </w:rPr>
      </w:pPr>
      <w:r w:rsidRPr="00C25D90">
        <w:rPr>
          <w:rFonts w:eastAsia="Times New Roman" w:cs="Arial"/>
          <w:b/>
          <w:bCs/>
          <w:color w:val="000000"/>
          <w:szCs w:val="20"/>
          <w:lang w:eastAsia="bg-BG"/>
        </w:rPr>
        <w:t xml:space="preserve">Педиатрична популация: </w:t>
      </w:r>
      <w:r w:rsidRPr="00C25D90">
        <w:rPr>
          <w:rFonts w:eastAsia="Times New Roman" w:cs="Arial"/>
          <w:color w:val="000000"/>
          <w:szCs w:val="20"/>
          <w:lang w:eastAsia="bg-BG"/>
        </w:rPr>
        <w:t>Проучвания на взаимодействията са провеждани само при възрастни. Степента на взаимодействие в педиатричната популация не е известна.</w:t>
      </w:r>
    </w:p>
    <w:p w14:paraId="3921FEC4" w14:textId="77777777" w:rsidR="00C25D90" w:rsidRPr="00C25D90" w:rsidRDefault="00C25D90" w:rsidP="00C25D90">
      <w:pPr>
        <w:rPr>
          <w:rFonts w:cs="Arial"/>
          <w:sz w:val="24"/>
        </w:rPr>
      </w:pPr>
    </w:p>
    <w:p w14:paraId="006BE4EC" w14:textId="11DBFADA" w:rsidR="00DB32D3" w:rsidRDefault="002C50EE" w:rsidP="005726E3">
      <w:pPr>
        <w:pStyle w:val="Heading2"/>
      </w:pPr>
      <w:r>
        <w:t>4.6. Фертилитет, бременност и кърмене</w:t>
      </w:r>
    </w:p>
    <w:p w14:paraId="3F332EB9" w14:textId="683769AF" w:rsidR="00C25D90" w:rsidRDefault="00C25D90" w:rsidP="00C25D90"/>
    <w:p w14:paraId="36DE7B8C"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Ропуидо е противопоказан по време на бременност и кърмене.</w:t>
      </w:r>
    </w:p>
    <w:p w14:paraId="103668E1"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Жени с детероден потенциал трябва да използват ефективна контрацепция.</w:t>
      </w:r>
    </w:p>
    <w:p w14:paraId="12622A00"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Тъй като холестеролът и други продукти на биосинтеза на холестерол са от съществено значение за развитието на плода, потенциалният риск от инхибиране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lastRenderedPageBreak/>
        <w:t>редуктазата надвишава предимството на лечението по време на бременност. Проучванията при животни са недостатъчни по отношение на репродуктивната токсичност (вж. точка 5.3). Ако пациентка забременее по време на употребата на този продукт, лечението трябва да бъде преустановено незабавно.</w:t>
      </w:r>
    </w:p>
    <w:p w14:paraId="5AF2068F"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Розувастатин се отделя в кърмата на плъхове. Няма данни по отношение на екскрецията в кърмата при хора (вж. точка 4.3).</w:t>
      </w:r>
    </w:p>
    <w:p w14:paraId="30DE5F87" w14:textId="77777777" w:rsidR="00C25D90" w:rsidRPr="00C25D90" w:rsidRDefault="00C25D90" w:rsidP="00C25D90"/>
    <w:p w14:paraId="128BA3A8" w14:textId="0DA1659F" w:rsidR="00DB32D3" w:rsidRDefault="002C50EE" w:rsidP="005726E3">
      <w:pPr>
        <w:pStyle w:val="Heading2"/>
      </w:pPr>
      <w:r>
        <w:t>4.7. Ефекти върху способността за шофиране и работа с машини</w:t>
      </w:r>
    </w:p>
    <w:p w14:paraId="03C44488" w14:textId="1B85B8A0" w:rsidR="00C25D90" w:rsidRDefault="00C25D90" w:rsidP="00C25D90"/>
    <w:p w14:paraId="12A0857A" w14:textId="77777777" w:rsidR="00C25D90" w:rsidRPr="00C25D90" w:rsidRDefault="00C25D90" w:rsidP="00C25D90">
      <w:pPr>
        <w:rPr>
          <w:sz w:val="24"/>
          <w:szCs w:val="24"/>
        </w:rPr>
      </w:pPr>
      <w:r w:rsidRPr="00C25D90">
        <w:rPr>
          <w:lang w:eastAsia="bg-BG"/>
        </w:rPr>
        <w:t>Не са провеждани проучвания за установяване на ефекта на Ропуидо върху способността за шофиране и работа с машини. Въпреки това, въз основа на фармакодинамичните си свойства, Ропуидо е малко вероятно да повлияе на тези способности. При шофиране или работа с машини трябва да се вземе предвид, че по време на лечението може да се появи световъртеж.</w:t>
      </w:r>
    </w:p>
    <w:p w14:paraId="740893D6" w14:textId="77777777" w:rsidR="00C25D90" w:rsidRPr="00C25D90" w:rsidRDefault="00C25D90" w:rsidP="00C25D90"/>
    <w:p w14:paraId="44CE30A3" w14:textId="332D666C" w:rsidR="007122AD" w:rsidRDefault="002C50EE" w:rsidP="00936AD0">
      <w:pPr>
        <w:pStyle w:val="Heading2"/>
      </w:pPr>
      <w:r>
        <w:t>4.8. Нежелани лекарствени реакции</w:t>
      </w:r>
    </w:p>
    <w:p w14:paraId="6FBF138D" w14:textId="105DEBA8" w:rsidR="00C25D90" w:rsidRDefault="00C25D90" w:rsidP="00C25D90"/>
    <w:p w14:paraId="606112CB" w14:textId="77777777" w:rsidR="00C25D90" w:rsidRPr="00C25D90" w:rsidRDefault="00C25D90" w:rsidP="00C25D90">
      <w:pPr>
        <w:rPr>
          <w:rFonts w:cs="Arial"/>
          <w:sz w:val="24"/>
        </w:rPr>
      </w:pPr>
      <w:r w:rsidRPr="00C25D90">
        <w:rPr>
          <w:rFonts w:cs="Arial"/>
          <w:szCs w:val="20"/>
        </w:rPr>
        <w:t>Нежеланите лекарствени реакции, наблюдавани при Ропуидо, обикновено са леки и преходни. В контролирани клинични проучвания по-малко от 4% от пациентите, лекувани с Ропуидо, са изтеглени поради нежелани реакции.</w:t>
      </w:r>
    </w:p>
    <w:p w14:paraId="02419ECA" w14:textId="77777777" w:rsidR="00C25D90" w:rsidRPr="00C25D90" w:rsidRDefault="00C25D90" w:rsidP="00C25D90">
      <w:pPr>
        <w:rPr>
          <w:rFonts w:cs="Arial"/>
          <w:szCs w:val="20"/>
          <w:u w:val="single"/>
        </w:rPr>
      </w:pPr>
    </w:p>
    <w:p w14:paraId="071AE099" w14:textId="651C1AEB" w:rsidR="00C25D90" w:rsidRPr="00C25D90" w:rsidRDefault="00C25D90" w:rsidP="00C25D90">
      <w:pPr>
        <w:rPr>
          <w:rFonts w:cs="Arial"/>
          <w:sz w:val="24"/>
        </w:rPr>
      </w:pPr>
      <w:r w:rsidRPr="00C25D90">
        <w:rPr>
          <w:rFonts w:cs="Arial"/>
          <w:szCs w:val="20"/>
          <w:u w:val="single"/>
        </w:rPr>
        <w:t>Табличен списък на нежеланите лекарствени реакции</w:t>
      </w:r>
    </w:p>
    <w:p w14:paraId="2D2701CF" w14:textId="77777777" w:rsidR="00C25D90" w:rsidRPr="00C25D90" w:rsidRDefault="00C25D90" w:rsidP="00C25D90">
      <w:pPr>
        <w:rPr>
          <w:rFonts w:cs="Arial"/>
          <w:sz w:val="24"/>
        </w:rPr>
      </w:pPr>
      <w:r w:rsidRPr="00C25D90">
        <w:rPr>
          <w:rFonts w:cs="Arial"/>
          <w:szCs w:val="20"/>
        </w:rPr>
        <w:t xml:space="preserve">Въз основа на данните от клинични проучвания и обширния пост-маркетингов опит, в следващата таблица е представен профилът на нежеланите реакции на розувастатин. Нежеланите реакции, изброени по-долу, са групирани по честота и системо-органни класове </w:t>
      </w:r>
      <w:r w:rsidRPr="00C25D90">
        <w:rPr>
          <w:rFonts w:cs="Arial"/>
          <w:szCs w:val="20"/>
          <w:lang w:val="ru-RU"/>
        </w:rPr>
        <w:t>(</w:t>
      </w:r>
      <w:r w:rsidRPr="00C25D90">
        <w:rPr>
          <w:rFonts w:cs="Arial"/>
          <w:szCs w:val="20"/>
          <w:lang w:val="en-US"/>
        </w:rPr>
        <w:t>SOC</w:t>
      </w:r>
      <w:r w:rsidRPr="00C25D90">
        <w:rPr>
          <w:rFonts w:cs="Arial"/>
          <w:szCs w:val="20"/>
          <w:lang w:val="ru-RU"/>
        </w:rPr>
        <w:t>).</w:t>
      </w:r>
    </w:p>
    <w:p w14:paraId="71A5A809" w14:textId="77777777" w:rsidR="00C25D90" w:rsidRPr="00C25D90" w:rsidRDefault="00C25D90" w:rsidP="00C25D90">
      <w:pPr>
        <w:rPr>
          <w:rFonts w:cs="Arial"/>
          <w:szCs w:val="20"/>
        </w:rPr>
      </w:pPr>
    </w:p>
    <w:p w14:paraId="4C7D2CD4" w14:textId="2A7550B3" w:rsidR="00C25D90" w:rsidRPr="00C25D90" w:rsidRDefault="00C25D90" w:rsidP="00C25D90">
      <w:pPr>
        <w:rPr>
          <w:rFonts w:cs="Arial"/>
          <w:sz w:val="24"/>
        </w:rPr>
      </w:pPr>
      <w:r w:rsidRPr="00C25D90">
        <w:rPr>
          <w:rFonts w:cs="Arial"/>
          <w:szCs w:val="20"/>
        </w:rPr>
        <w:t>Честотите на нежеланите лекарствени реакции са групирани съгласно следната конвенция: чести (от ≥1/100 до &lt;1/10); нечести (от ≥1/1000 до &lt;1/100); редки (от ≥1/10 000 до &lt;1/1000); много редки (&lt;1/10 000); с неизвестна честота (от наличните данни не може да бъде направена оценка).</w:t>
      </w:r>
    </w:p>
    <w:p w14:paraId="700337F2" w14:textId="77777777" w:rsidR="00C25D90" w:rsidRPr="00C25D90" w:rsidRDefault="00C25D90" w:rsidP="00C25D90">
      <w:pPr>
        <w:rPr>
          <w:rFonts w:cs="Arial"/>
          <w:b/>
          <w:bCs/>
          <w:szCs w:val="20"/>
        </w:rPr>
      </w:pPr>
    </w:p>
    <w:p w14:paraId="7E264101" w14:textId="4CCE0EC8" w:rsidR="00C25D90" w:rsidRDefault="00C25D90" w:rsidP="00C25D90">
      <w:pPr>
        <w:rPr>
          <w:rFonts w:cs="Arial"/>
          <w:b/>
          <w:bCs/>
          <w:szCs w:val="20"/>
        </w:rPr>
      </w:pPr>
      <w:r w:rsidRPr="00C25D90">
        <w:rPr>
          <w:rFonts w:cs="Arial"/>
          <w:b/>
          <w:bCs/>
          <w:szCs w:val="20"/>
        </w:rPr>
        <w:t>Таблица 2. Нежелани реакции на базата на данни от клинични проучвания и пост- маркетинговия опит</w:t>
      </w:r>
    </w:p>
    <w:tbl>
      <w:tblPr>
        <w:tblStyle w:val="TableGrid"/>
        <w:tblW w:w="0" w:type="auto"/>
        <w:tblLook w:val="04A0" w:firstRow="1" w:lastRow="0" w:firstColumn="1" w:lastColumn="0" w:noHBand="0" w:noVBand="1"/>
      </w:tblPr>
      <w:tblGrid>
        <w:gridCol w:w="2311"/>
        <w:gridCol w:w="960"/>
        <w:gridCol w:w="998"/>
        <w:gridCol w:w="1833"/>
        <w:gridCol w:w="1463"/>
        <w:gridCol w:w="1785"/>
      </w:tblGrid>
      <w:tr w:rsidR="00C25D90" w14:paraId="7D937DEE" w14:textId="77777777" w:rsidTr="00C25D90">
        <w:tc>
          <w:tcPr>
            <w:tcW w:w="2369" w:type="dxa"/>
            <w:vAlign w:val="bottom"/>
          </w:tcPr>
          <w:p w14:paraId="1242ADAB" w14:textId="15D7048F" w:rsidR="00C25D90" w:rsidRPr="00C25D90" w:rsidRDefault="00C25D90" w:rsidP="00C25D90">
            <w:pPr>
              <w:rPr>
                <w:rFonts w:cs="Arial"/>
                <w:b/>
                <w:bCs/>
                <w:szCs w:val="20"/>
              </w:rPr>
            </w:pPr>
            <w:r w:rsidRPr="00C25D90">
              <w:rPr>
                <w:b/>
                <w:bCs/>
                <w:szCs w:val="20"/>
              </w:rPr>
              <w:t>Системо-органен клас</w:t>
            </w:r>
          </w:p>
        </w:tc>
        <w:tc>
          <w:tcPr>
            <w:tcW w:w="981" w:type="dxa"/>
            <w:vAlign w:val="center"/>
          </w:tcPr>
          <w:p w14:paraId="230D21F6" w14:textId="74D6B052" w:rsidR="00C25D90" w:rsidRPr="00C25D90" w:rsidRDefault="00C25D90" w:rsidP="00C25D90">
            <w:pPr>
              <w:rPr>
                <w:rFonts w:cs="Arial"/>
                <w:b/>
                <w:bCs/>
                <w:szCs w:val="20"/>
              </w:rPr>
            </w:pPr>
            <w:r w:rsidRPr="00C25D90">
              <w:rPr>
                <w:b/>
                <w:bCs/>
                <w:szCs w:val="20"/>
              </w:rPr>
              <w:t>Чести</w:t>
            </w:r>
          </w:p>
        </w:tc>
        <w:tc>
          <w:tcPr>
            <w:tcW w:w="1020" w:type="dxa"/>
            <w:vAlign w:val="center"/>
          </w:tcPr>
          <w:p w14:paraId="49DC8D9E" w14:textId="6B3739D7" w:rsidR="00C25D90" w:rsidRPr="00C25D90" w:rsidRDefault="00C25D90" w:rsidP="00C25D90">
            <w:pPr>
              <w:rPr>
                <w:rFonts w:cs="Arial"/>
                <w:b/>
                <w:bCs/>
                <w:szCs w:val="20"/>
              </w:rPr>
            </w:pPr>
            <w:r w:rsidRPr="00C25D90">
              <w:rPr>
                <w:b/>
                <w:bCs/>
                <w:szCs w:val="20"/>
              </w:rPr>
              <w:t>Нечести</w:t>
            </w:r>
          </w:p>
        </w:tc>
        <w:tc>
          <w:tcPr>
            <w:tcW w:w="1879" w:type="dxa"/>
            <w:vAlign w:val="center"/>
          </w:tcPr>
          <w:p w14:paraId="2D31C988" w14:textId="40B2D747" w:rsidR="00C25D90" w:rsidRPr="00C25D90" w:rsidRDefault="00C25D90" w:rsidP="00C25D90">
            <w:pPr>
              <w:rPr>
                <w:rFonts w:cs="Arial"/>
                <w:b/>
                <w:bCs/>
                <w:szCs w:val="20"/>
              </w:rPr>
            </w:pPr>
            <w:r w:rsidRPr="00C25D90">
              <w:rPr>
                <w:b/>
                <w:bCs/>
                <w:szCs w:val="20"/>
              </w:rPr>
              <w:t>Редки</w:t>
            </w:r>
          </w:p>
        </w:tc>
        <w:tc>
          <w:tcPr>
            <w:tcW w:w="1498" w:type="dxa"/>
            <w:vAlign w:val="center"/>
          </w:tcPr>
          <w:p w14:paraId="6A0D25CB" w14:textId="27F9A778" w:rsidR="00C25D90" w:rsidRPr="00C25D90" w:rsidRDefault="00C25D90" w:rsidP="00C25D90">
            <w:pPr>
              <w:rPr>
                <w:rFonts w:cs="Arial"/>
                <w:b/>
                <w:bCs/>
                <w:szCs w:val="20"/>
              </w:rPr>
            </w:pPr>
            <w:r w:rsidRPr="00C25D90">
              <w:rPr>
                <w:b/>
                <w:bCs/>
                <w:szCs w:val="20"/>
              </w:rPr>
              <w:t>Много редки</w:t>
            </w:r>
          </w:p>
        </w:tc>
        <w:tc>
          <w:tcPr>
            <w:tcW w:w="1829" w:type="dxa"/>
            <w:vAlign w:val="bottom"/>
          </w:tcPr>
          <w:p w14:paraId="156FD037" w14:textId="2F9A76EB" w:rsidR="00C25D90" w:rsidRPr="00C25D90" w:rsidRDefault="00C25D90" w:rsidP="00C25D90">
            <w:pPr>
              <w:rPr>
                <w:rFonts w:cs="Arial"/>
                <w:b/>
                <w:bCs/>
                <w:szCs w:val="20"/>
              </w:rPr>
            </w:pPr>
            <w:r w:rsidRPr="00C25D90">
              <w:rPr>
                <w:b/>
                <w:bCs/>
                <w:szCs w:val="20"/>
              </w:rPr>
              <w:t>С неизвестна честота</w:t>
            </w:r>
          </w:p>
        </w:tc>
      </w:tr>
      <w:tr w:rsidR="00C25D90" w14:paraId="2A9B0AEE" w14:textId="77777777" w:rsidTr="00C25D90">
        <w:tc>
          <w:tcPr>
            <w:tcW w:w="2369" w:type="dxa"/>
            <w:vAlign w:val="bottom"/>
          </w:tcPr>
          <w:p w14:paraId="1E531D42" w14:textId="53D0E46B" w:rsidR="00C25D90" w:rsidRPr="00C25D90" w:rsidRDefault="00C25D90" w:rsidP="00C25D90">
            <w:pPr>
              <w:rPr>
                <w:rFonts w:cs="Arial"/>
                <w:b/>
                <w:bCs/>
                <w:szCs w:val="20"/>
              </w:rPr>
            </w:pPr>
            <w:r w:rsidRPr="00C25D90">
              <w:rPr>
                <w:i/>
                <w:iCs/>
                <w:szCs w:val="20"/>
              </w:rPr>
              <w:t>Нарушения на кръвта и лимфната система</w:t>
            </w:r>
          </w:p>
        </w:tc>
        <w:tc>
          <w:tcPr>
            <w:tcW w:w="981" w:type="dxa"/>
          </w:tcPr>
          <w:p w14:paraId="759621F3" w14:textId="77777777" w:rsidR="00C25D90" w:rsidRPr="00C25D90" w:rsidRDefault="00C25D90" w:rsidP="00C25D90">
            <w:pPr>
              <w:rPr>
                <w:rFonts w:cs="Arial"/>
                <w:b/>
                <w:bCs/>
                <w:szCs w:val="20"/>
              </w:rPr>
            </w:pPr>
          </w:p>
        </w:tc>
        <w:tc>
          <w:tcPr>
            <w:tcW w:w="1020" w:type="dxa"/>
          </w:tcPr>
          <w:p w14:paraId="1BA1513A" w14:textId="77777777" w:rsidR="00C25D90" w:rsidRPr="00C25D90" w:rsidRDefault="00C25D90" w:rsidP="00C25D90">
            <w:pPr>
              <w:rPr>
                <w:rFonts w:cs="Arial"/>
                <w:b/>
                <w:bCs/>
                <w:szCs w:val="20"/>
              </w:rPr>
            </w:pPr>
          </w:p>
        </w:tc>
        <w:tc>
          <w:tcPr>
            <w:tcW w:w="1879" w:type="dxa"/>
          </w:tcPr>
          <w:p w14:paraId="16B5F1EB" w14:textId="0FD7CEEA" w:rsidR="00C25D90" w:rsidRPr="00C25D90" w:rsidRDefault="00C25D90" w:rsidP="00C25D90">
            <w:pPr>
              <w:rPr>
                <w:rFonts w:cs="Arial"/>
                <w:b/>
                <w:bCs/>
                <w:szCs w:val="20"/>
              </w:rPr>
            </w:pPr>
            <w:r w:rsidRPr="00C25D90">
              <w:rPr>
                <w:szCs w:val="20"/>
              </w:rPr>
              <w:t>Тромбоцитопения</w:t>
            </w:r>
          </w:p>
        </w:tc>
        <w:tc>
          <w:tcPr>
            <w:tcW w:w="1498" w:type="dxa"/>
          </w:tcPr>
          <w:p w14:paraId="5D0E81A9" w14:textId="77777777" w:rsidR="00C25D90" w:rsidRPr="00C25D90" w:rsidRDefault="00C25D90" w:rsidP="00C25D90">
            <w:pPr>
              <w:rPr>
                <w:rFonts w:cs="Arial"/>
                <w:b/>
                <w:bCs/>
                <w:szCs w:val="20"/>
              </w:rPr>
            </w:pPr>
          </w:p>
        </w:tc>
        <w:tc>
          <w:tcPr>
            <w:tcW w:w="1829" w:type="dxa"/>
          </w:tcPr>
          <w:p w14:paraId="10912091" w14:textId="77777777" w:rsidR="00C25D90" w:rsidRPr="00C25D90" w:rsidRDefault="00C25D90" w:rsidP="00C25D90">
            <w:pPr>
              <w:rPr>
                <w:rFonts w:cs="Arial"/>
                <w:b/>
                <w:bCs/>
                <w:szCs w:val="20"/>
              </w:rPr>
            </w:pPr>
          </w:p>
        </w:tc>
      </w:tr>
      <w:tr w:rsidR="00C25D90" w14:paraId="68E453E9" w14:textId="77777777" w:rsidTr="00C25D90">
        <w:tc>
          <w:tcPr>
            <w:tcW w:w="2369" w:type="dxa"/>
          </w:tcPr>
          <w:p w14:paraId="18FF2567" w14:textId="6529AC04" w:rsidR="00C25D90" w:rsidRPr="00C25D90" w:rsidRDefault="00C25D90" w:rsidP="00C25D90">
            <w:pPr>
              <w:rPr>
                <w:rFonts w:cs="Arial"/>
                <w:b/>
                <w:bCs/>
                <w:szCs w:val="20"/>
              </w:rPr>
            </w:pPr>
            <w:r w:rsidRPr="00C25D90">
              <w:rPr>
                <w:i/>
                <w:iCs/>
                <w:szCs w:val="20"/>
              </w:rPr>
              <w:t>Нарушения на имунната система</w:t>
            </w:r>
          </w:p>
        </w:tc>
        <w:tc>
          <w:tcPr>
            <w:tcW w:w="981" w:type="dxa"/>
          </w:tcPr>
          <w:p w14:paraId="0F4AAB33" w14:textId="77777777" w:rsidR="00C25D90" w:rsidRPr="00C25D90" w:rsidRDefault="00C25D90" w:rsidP="00C25D90">
            <w:pPr>
              <w:rPr>
                <w:rFonts w:cs="Arial"/>
                <w:b/>
                <w:bCs/>
                <w:szCs w:val="20"/>
              </w:rPr>
            </w:pPr>
          </w:p>
        </w:tc>
        <w:tc>
          <w:tcPr>
            <w:tcW w:w="1020" w:type="dxa"/>
          </w:tcPr>
          <w:p w14:paraId="3E9681A5" w14:textId="77777777" w:rsidR="00C25D90" w:rsidRPr="00C25D90" w:rsidRDefault="00C25D90" w:rsidP="00C25D90">
            <w:pPr>
              <w:rPr>
                <w:rFonts w:cs="Arial"/>
                <w:b/>
                <w:bCs/>
                <w:szCs w:val="20"/>
              </w:rPr>
            </w:pPr>
          </w:p>
        </w:tc>
        <w:tc>
          <w:tcPr>
            <w:tcW w:w="1879" w:type="dxa"/>
            <w:vAlign w:val="bottom"/>
          </w:tcPr>
          <w:p w14:paraId="2EF860AC" w14:textId="0AB8FA76" w:rsidR="00C25D90" w:rsidRPr="00C25D90" w:rsidRDefault="00C25D90" w:rsidP="00C25D90">
            <w:pPr>
              <w:rPr>
                <w:rFonts w:cs="Arial"/>
                <w:b/>
                <w:bCs/>
                <w:szCs w:val="20"/>
              </w:rPr>
            </w:pPr>
            <w:r w:rsidRPr="00C25D90">
              <w:rPr>
                <w:szCs w:val="20"/>
              </w:rPr>
              <w:t>Реакции на свръхчувствител</w:t>
            </w:r>
            <w:r w:rsidRPr="00C25D90">
              <w:rPr>
                <w:szCs w:val="20"/>
              </w:rPr>
              <w:softHyphen/>
              <w:t>ност, включително ангиоедем</w:t>
            </w:r>
          </w:p>
        </w:tc>
        <w:tc>
          <w:tcPr>
            <w:tcW w:w="1498" w:type="dxa"/>
          </w:tcPr>
          <w:p w14:paraId="09A17623" w14:textId="77777777" w:rsidR="00C25D90" w:rsidRPr="00C25D90" w:rsidRDefault="00C25D90" w:rsidP="00C25D90">
            <w:pPr>
              <w:rPr>
                <w:rFonts w:cs="Arial"/>
                <w:b/>
                <w:bCs/>
                <w:szCs w:val="20"/>
              </w:rPr>
            </w:pPr>
          </w:p>
        </w:tc>
        <w:tc>
          <w:tcPr>
            <w:tcW w:w="1829" w:type="dxa"/>
          </w:tcPr>
          <w:p w14:paraId="123DD36A" w14:textId="77777777" w:rsidR="00C25D90" w:rsidRPr="00C25D90" w:rsidRDefault="00C25D90" w:rsidP="00C25D90">
            <w:pPr>
              <w:rPr>
                <w:rFonts w:cs="Arial"/>
                <w:b/>
                <w:bCs/>
                <w:szCs w:val="20"/>
              </w:rPr>
            </w:pPr>
          </w:p>
        </w:tc>
      </w:tr>
      <w:tr w:rsidR="00C25D90" w14:paraId="7CD044F3" w14:textId="77777777" w:rsidTr="00C25D90">
        <w:tc>
          <w:tcPr>
            <w:tcW w:w="2369" w:type="dxa"/>
            <w:vAlign w:val="bottom"/>
          </w:tcPr>
          <w:p w14:paraId="1A73F9A6" w14:textId="756D2EA5" w:rsidR="00C25D90" w:rsidRPr="00C25D90" w:rsidRDefault="00C25D90" w:rsidP="00C25D90">
            <w:pPr>
              <w:rPr>
                <w:rFonts w:cs="Arial"/>
                <w:b/>
                <w:bCs/>
                <w:szCs w:val="20"/>
              </w:rPr>
            </w:pPr>
            <w:r w:rsidRPr="00C25D90">
              <w:rPr>
                <w:i/>
                <w:iCs/>
                <w:szCs w:val="20"/>
              </w:rPr>
              <w:lastRenderedPageBreak/>
              <w:t>Нарушения на ендокринната система</w:t>
            </w:r>
          </w:p>
        </w:tc>
        <w:tc>
          <w:tcPr>
            <w:tcW w:w="981" w:type="dxa"/>
          </w:tcPr>
          <w:p w14:paraId="6E3D0D46" w14:textId="78A36F77" w:rsidR="00C25D90" w:rsidRPr="00C25D90" w:rsidRDefault="00C25D90" w:rsidP="00C25D90">
            <w:pPr>
              <w:rPr>
                <w:rFonts w:cs="Arial"/>
                <w:b/>
                <w:bCs/>
                <w:szCs w:val="20"/>
              </w:rPr>
            </w:pPr>
            <w:r w:rsidRPr="00C25D90">
              <w:rPr>
                <w:szCs w:val="20"/>
              </w:rPr>
              <w:t>Захарен диабет</w:t>
            </w:r>
            <w:r w:rsidRPr="00C25D90">
              <w:rPr>
                <w:szCs w:val="20"/>
                <w:vertAlign w:val="superscript"/>
              </w:rPr>
              <w:t>1</w:t>
            </w:r>
          </w:p>
        </w:tc>
        <w:tc>
          <w:tcPr>
            <w:tcW w:w="1020" w:type="dxa"/>
          </w:tcPr>
          <w:p w14:paraId="37332A92" w14:textId="77777777" w:rsidR="00C25D90" w:rsidRPr="00C25D90" w:rsidRDefault="00C25D90" w:rsidP="00C25D90">
            <w:pPr>
              <w:rPr>
                <w:rFonts w:cs="Arial"/>
                <w:b/>
                <w:bCs/>
                <w:szCs w:val="20"/>
              </w:rPr>
            </w:pPr>
          </w:p>
        </w:tc>
        <w:tc>
          <w:tcPr>
            <w:tcW w:w="1879" w:type="dxa"/>
          </w:tcPr>
          <w:p w14:paraId="40F4EB7F" w14:textId="77777777" w:rsidR="00C25D90" w:rsidRPr="00C25D90" w:rsidRDefault="00C25D90" w:rsidP="00C25D90">
            <w:pPr>
              <w:rPr>
                <w:rFonts w:cs="Arial"/>
                <w:b/>
                <w:bCs/>
                <w:szCs w:val="20"/>
              </w:rPr>
            </w:pPr>
          </w:p>
        </w:tc>
        <w:tc>
          <w:tcPr>
            <w:tcW w:w="1498" w:type="dxa"/>
          </w:tcPr>
          <w:p w14:paraId="0EFB336B" w14:textId="77777777" w:rsidR="00C25D90" w:rsidRPr="00C25D90" w:rsidRDefault="00C25D90" w:rsidP="00C25D90">
            <w:pPr>
              <w:rPr>
                <w:rFonts w:cs="Arial"/>
                <w:b/>
                <w:bCs/>
                <w:szCs w:val="20"/>
              </w:rPr>
            </w:pPr>
          </w:p>
        </w:tc>
        <w:tc>
          <w:tcPr>
            <w:tcW w:w="1829" w:type="dxa"/>
            <w:vAlign w:val="bottom"/>
          </w:tcPr>
          <w:p w14:paraId="55F03FE6" w14:textId="77777777" w:rsidR="00C25D90" w:rsidRPr="00C25D90" w:rsidRDefault="00C25D90" w:rsidP="00C25D90">
            <w:pPr>
              <w:rPr>
                <w:rFonts w:cs="Arial"/>
                <w:b/>
                <w:bCs/>
                <w:szCs w:val="20"/>
              </w:rPr>
            </w:pPr>
          </w:p>
        </w:tc>
      </w:tr>
      <w:tr w:rsidR="00C25D90" w14:paraId="4B9E2F9A" w14:textId="77777777" w:rsidTr="00C25D90">
        <w:tc>
          <w:tcPr>
            <w:tcW w:w="2369" w:type="dxa"/>
            <w:vAlign w:val="bottom"/>
          </w:tcPr>
          <w:p w14:paraId="5CF21BC8" w14:textId="30F82E6E" w:rsidR="00C25D90" w:rsidRPr="00C25D90" w:rsidRDefault="00C25D90" w:rsidP="00C25D90">
            <w:pPr>
              <w:rPr>
                <w:rFonts w:cs="Arial"/>
                <w:b/>
                <w:bCs/>
                <w:szCs w:val="20"/>
              </w:rPr>
            </w:pPr>
            <w:r w:rsidRPr="00C25D90">
              <w:rPr>
                <w:i/>
                <w:iCs/>
                <w:szCs w:val="20"/>
              </w:rPr>
              <w:t>Психични нарушения</w:t>
            </w:r>
          </w:p>
        </w:tc>
        <w:tc>
          <w:tcPr>
            <w:tcW w:w="981" w:type="dxa"/>
          </w:tcPr>
          <w:p w14:paraId="4F20AB16" w14:textId="77777777" w:rsidR="00C25D90" w:rsidRPr="00C25D90" w:rsidRDefault="00C25D90" w:rsidP="00C25D90">
            <w:pPr>
              <w:rPr>
                <w:rFonts w:cs="Arial"/>
                <w:b/>
                <w:bCs/>
                <w:szCs w:val="20"/>
              </w:rPr>
            </w:pPr>
          </w:p>
        </w:tc>
        <w:tc>
          <w:tcPr>
            <w:tcW w:w="1020" w:type="dxa"/>
          </w:tcPr>
          <w:p w14:paraId="33504642" w14:textId="77777777" w:rsidR="00C25D90" w:rsidRPr="00C25D90" w:rsidRDefault="00C25D90" w:rsidP="00C25D90">
            <w:pPr>
              <w:rPr>
                <w:rFonts w:cs="Arial"/>
                <w:b/>
                <w:bCs/>
                <w:szCs w:val="20"/>
              </w:rPr>
            </w:pPr>
          </w:p>
        </w:tc>
        <w:tc>
          <w:tcPr>
            <w:tcW w:w="1879" w:type="dxa"/>
          </w:tcPr>
          <w:p w14:paraId="29A40E98" w14:textId="77777777" w:rsidR="00C25D90" w:rsidRPr="00C25D90" w:rsidRDefault="00C25D90" w:rsidP="00C25D90">
            <w:pPr>
              <w:rPr>
                <w:rFonts w:cs="Arial"/>
                <w:b/>
                <w:bCs/>
                <w:szCs w:val="20"/>
              </w:rPr>
            </w:pPr>
          </w:p>
        </w:tc>
        <w:tc>
          <w:tcPr>
            <w:tcW w:w="1498" w:type="dxa"/>
          </w:tcPr>
          <w:p w14:paraId="15D0B50A" w14:textId="77777777" w:rsidR="00C25D90" w:rsidRPr="00C25D90" w:rsidRDefault="00C25D90" w:rsidP="00C25D90">
            <w:pPr>
              <w:rPr>
                <w:rFonts w:cs="Arial"/>
                <w:b/>
                <w:bCs/>
                <w:szCs w:val="20"/>
              </w:rPr>
            </w:pPr>
          </w:p>
        </w:tc>
        <w:tc>
          <w:tcPr>
            <w:tcW w:w="1829" w:type="dxa"/>
            <w:vAlign w:val="bottom"/>
          </w:tcPr>
          <w:p w14:paraId="02BDEF9E" w14:textId="3C19F1BA" w:rsidR="00C25D90" w:rsidRPr="00C25D90" w:rsidRDefault="00C25D90" w:rsidP="00C25D90">
            <w:pPr>
              <w:rPr>
                <w:rFonts w:cs="Arial"/>
                <w:b/>
                <w:bCs/>
                <w:szCs w:val="20"/>
              </w:rPr>
            </w:pPr>
            <w:r w:rsidRPr="00C25D90">
              <w:rPr>
                <w:szCs w:val="20"/>
              </w:rPr>
              <w:t>Депресия</w:t>
            </w:r>
          </w:p>
        </w:tc>
      </w:tr>
      <w:tr w:rsidR="00C25D90" w14:paraId="3A57B455" w14:textId="77777777" w:rsidTr="00C25D90">
        <w:tc>
          <w:tcPr>
            <w:tcW w:w="2369" w:type="dxa"/>
          </w:tcPr>
          <w:p w14:paraId="0E95116D" w14:textId="4A5B3626" w:rsidR="00C25D90" w:rsidRPr="00C25D90" w:rsidRDefault="00C25D90" w:rsidP="00C25D90">
            <w:pPr>
              <w:rPr>
                <w:rFonts w:cs="Arial"/>
                <w:b/>
                <w:bCs/>
                <w:szCs w:val="20"/>
              </w:rPr>
            </w:pPr>
            <w:r w:rsidRPr="00C25D90">
              <w:rPr>
                <w:i/>
                <w:iCs/>
                <w:szCs w:val="20"/>
              </w:rPr>
              <w:t>Нарушения на нервната система</w:t>
            </w:r>
          </w:p>
        </w:tc>
        <w:tc>
          <w:tcPr>
            <w:tcW w:w="981" w:type="dxa"/>
            <w:vAlign w:val="bottom"/>
          </w:tcPr>
          <w:p w14:paraId="07CA2AFD" w14:textId="6A5D9B29" w:rsidR="00C25D90" w:rsidRPr="00C25D90" w:rsidRDefault="00C25D90" w:rsidP="00C25D90">
            <w:pPr>
              <w:rPr>
                <w:rFonts w:cs="Arial"/>
                <w:b/>
                <w:bCs/>
                <w:szCs w:val="20"/>
              </w:rPr>
            </w:pPr>
            <w:r w:rsidRPr="00C25D90">
              <w:rPr>
                <w:szCs w:val="20"/>
              </w:rPr>
              <w:t>Главо</w:t>
            </w:r>
            <w:r w:rsidRPr="00C25D90">
              <w:rPr>
                <w:szCs w:val="20"/>
              </w:rPr>
              <w:softHyphen/>
              <w:t>болие Виене</w:t>
            </w:r>
            <w:r>
              <w:rPr>
                <w:szCs w:val="20"/>
                <w:lang w:val="en-US"/>
              </w:rPr>
              <w:t xml:space="preserve"> </w:t>
            </w:r>
            <w:proofErr w:type="spellStart"/>
            <w:r>
              <w:rPr>
                <w:szCs w:val="20"/>
                <w:lang w:val="en-US"/>
              </w:rPr>
              <w:t>на</w:t>
            </w:r>
            <w:proofErr w:type="spellEnd"/>
            <w:r>
              <w:rPr>
                <w:szCs w:val="20"/>
                <w:lang w:val="en-US"/>
              </w:rPr>
              <w:t xml:space="preserve"> </w:t>
            </w:r>
            <w:proofErr w:type="spellStart"/>
            <w:r>
              <w:rPr>
                <w:szCs w:val="20"/>
                <w:lang w:val="en-US"/>
              </w:rPr>
              <w:t>свят</w:t>
            </w:r>
            <w:proofErr w:type="spellEnd"/>
          </w:p>
        </w:tc>
        <w:tc>
          <w:tcPr>
            <w:tcW w:w="1020" w:type="dxa"/>
          </w:tcPr>
          <w:p w14:paraId="71DFDBB6" w14:textId="77777777" w:rsidR="00C25D90" w:rsidRPr="00C25D90" w:rsidRDefault="00C25D90" w:rsidP="00C25D90">
            <w:pPr>
              <w:rPr>
                <w:rFonts w:cs="Arial"/>
                <w:b/>
                <w:bCs/>
                <w:szCs w:val="20"/>
              </w:rPr>
            </w:pPr>
          </w:p>
        </w:tc>
        <w:tc>
          <w:tcPr>
            <w:tcW w:w="1879" w:type="dxa"/>
          </w:tcPr>
          <w:p w14:paraId="33FCD0FA" w14:textId="77777777" w:rsidR="00C25D90" w:rsidRPr="00C25D90" w:rsidRDefault="00C25D90" w:rsidP="00C25D90">
            <w:pPr>
              <w:rPr>
                <w:rFonts w:cs="Arial"/>
                <w:b/>
                <w:bCs/>
                <w:szCs w:val="20"/>
              </w:rPr>
            </w:pPr>
          </w:p>
        </w:tc>
        <w:tc>
          <w:tcPr>
            <w:tcW w:w="1498" w:type="dxa"/>
            <w:vAlign w:val="bottom"/>
          </w:tcPr>
          <w:p w14:paraId="04E9C40A" w14:textId="161AFBD6" w:rsidR="00C25D90" w:rsidRPr="00C25D90" w:rsidRDefault="00C25D90" w:rsidP="00C25D90">
            <w:pPr>
              <w:rPr>
                <w:rFonts w:cs="Arial"/>
                <w:b/>
                <w:bCs/>
              </w:rPr>
            </w:pPr>
            <w:r w:rsidRPr="00C25D90">
              <w:t>Полиневро- патия Загуба на памет</w:t>
            </w:r>
          </w:p>
        </w:tc>
        <w:tc>
          <w:tcPr>
            <w:tcW w:w="1829" w:type="dxa"/>
          </w:tcPr>
          <w:p w14:paraId="41D2A7A7" w14:textId="77777777" w:rsidR="00C25D90" w:rsidRPr="00C25D90" w:rsidRDefault="00C25D90" w:rsidP="00C25D90">
            <w:r w:rsidRPr="00C25D90">
              <w:t>Периферната невропатия</w:t>
            </w:r>
          </w:p>
          <w:p w14:paraId="17127679" w14:textId="344173A8" w:rsidR="00C25D90" w:rsidRPr="00C25D90" w:rsidRDefault="00C25D90" w:rsidP="00C25D90">
            <w:pPr>
              <w:rPr>
                <w:rFonts w:cs="Arial"/>
                <w:b/>
                <w:bCs/>
              </w:rPr>
            </w:pPr>
            <w:r w:rsidRPr="00C25D90">
              <w:t>Нарушения на съня (включително безсъние и кошмари)</w:t>
            </w:r>
          </w:p>
        </w:tc>
      </w:tr>
      <w:tr w:rsidR="00C25D90" w14:paraId="36BD4197" w14:textId="77777777" w:rsidTr="00C25D90">
        <w:tc>
          <w:tcPr>
            <w:tcW w:w="2369" w:type="dxa"/>
          </w:tcPr>
          <w:p w14:paraId="51ADF972" w14:textId="5C7F9960" w:rsidR="00C25D90" w:rsidRPr="00C25D90" w:rsidRDefault="00C25D90" w:rsidP="00C25D90">
            <w:pPr>
              <w:rPr>
                <w:rFonts w:cs="Arial"/>
                <w:b/>
                <w:bCs/>
                <w:szCs w:val="20"/>
              </w:rPr>
            </w:pPr>
            <w:r w:rsidRPr="00C25D90">
              <w:rPr>
                <w:i/>
                <w:iCs/>
                <w:szCs w:val="20"/>
              </w:rPr>
              <w:t>Респираторни, гръдни и медиастинални нарушения</w:t>
            </w:r>
          </w:p>
        </w:tc>
        <w:tc>
          <w:tcPr>
            <w:tcW w:w="981" w:type="dxa"/>
          </w:tcPr>
          <w:p w14:paraId="1A4758B7" w14:textId="77777777" w:rsidR="00C25D90" w:rsidRPr="00C25D90" w:rsidRDefault="00C25D90" w:rsidP="00C25D90">
            <w:pPr>
              <w:rPr>
                <w:rFonts w:cs="Arial"/>
                <w:b/>
                <w:bCs/>
                <w:szCs w:val="20"/>
              </w:rPr>
            </w:pPr>
          </w:p>
        </w:tc>
        <w:tc>
          <w:tcPr>
            <w:tcW w:w="1020" w:type="dxa"/>
          </w:tcPr>
          <w:p w14:paraId="3E233734" w14:textId="77777777" w:rsidR="00C25D90" w:rsidRPr="00C25D90" w:rsidRDefault="00C25D90" w:rsidP="00C25D90">
            <w:pPr>
              <w:rPr>
                <w:rFonts w:cs="Arial"/>
                <w:b/>
                <w:bCs/>
                <w:szCs w:val="20"/>
              </w:rPr>
            </w:pPr>
          </w:p>
        </w:tc>
        <w:tc>
          <w:tcPr>
            <w:tcW w:w="1879" w:type="dxa"/>
          </w:tcPr>
          <w:p w14:paraId="68098DBF" w14:textId="77777777" w:rsidR="00C25D90" w:rsidRPr="00C25D90" w:rsidRDefault="00C25D90" w:rsidP="00C25D90">
            <w:pPr>
              <w:rPr>
                <w:rFonts w:cs="Arial"/>
                <w:b/>
                <w:bCs/>
                <w:szCs w:val="20"/>
              </w:rPr>
            </w:pPr>
          </w:p>
        </w:tc>
        <w:tc>
          <w:tcPr>
            <w:tcW w:w="1498" w:type="dxa"/>
          </w:tcPr>
          <w:p w14:paraId="518FB9A5" w14:textId="77777777" w:rsidR="00C25D90" w:rsidRPr="00C25D90" w:rsidRDefault="00C25D90" w:rsidP="00C25D90">
            <w:pPr>
              <w:rPr>
                <w:rFonts w:cs="Arial"/>
                <w:b/>
                <w:bCs/>
                <w:szCs w:val="20"/>
              </w:rPr>
            </w:pPr>
          </w:p>
        </w:tc>
        <w:tc>
          <w:tcPr>
            <w:tcW w:w="1829" w:type="dxa"/>
          </w:tcPr>
          <w:p w14:paraId="262BE6B2" w14:textId="77777777" w:rsidR="00C25D90" w:rsidRPr="00C25D90" w:rsidRDefault="00C25D90" w:rsidP="00C25D90">
            <w:r w:rsidRPr="00C25D90">
              <w:rPr>
                <w:szCs w:val="20"/>
              </w:rPr>
              <w:t>Кашлица</w:t>
            </w:r>
          </w:p>
          <w:p w14:paraId="11D1BFF1" w14:textId="7D3E06F0" w:rsidR="00C25D90" w:rsidRPr="00C25D90" w:rsidRDefault="00C25D90" w:rsidP="00C25D90">
            <w:pPr>
              <w:rPr>
                <w:rFonts w:cs="Arial"/>
                <w:b/>
                <w:bCs/>
                <w:szCs w:val="20"/>
              </w:rPr>
            </w:pPr>
            <w:r w:rsidRPr="00C25D90">
              <w:rPr>
                <w:szCs w:val="20"/>
              </w:rPr>
              <w:t>Диспнея</w:t>
            </w:r>
          </w:p>
        </w:tc>
      </w:tr>
      <w:tr w:rsidR="00C25D90" w14:paraId="72652E43" w14:textId="77777777" w:rsidTr="00C25D90">
        <w:tc>
          <w:tcPr>
            <w:tcW w:w="2369" w:type="dxa"/>
          </w:tcPr>
          <w:p w14:paraId="158A0ACF" w14:textId="4F9D21F1" w:rsidR="00C25D90" w:rsidRPr="00C25D90" w:rsidRDefault="00C25D90" w:rsidP="00C25D90">
            <w:pPr>
              <w:rPr>
                <w:rFonts w:cs="Arial"/>
                <w:b/>
                <w:bCs/>
                <w:szCs w:val="20"/>
              </w:rPr>
            </w:pPr>
            <w:r w:rsidRPr="00C25D90">
              <w:rPr>
                <w:i/>
                <w:iCs/>
                <w:szCs w:val="20"/>
              </w:rPr>
              <w:t>Стомашно-чревни нарушения</w:t>
            </w:r>
          </w:p>
        </w:tc>
        <w:tc>
          <w:tcPr>
            <w:tcW w:w="981" w:type="dxa"/>
          </w:tcPr>
          <w:p w14:paraId="6BCD6F94" w14:textId="77777777" w:rsidR="00C25D90" w:rsidRPr="00C25D90" w:rsidRDefault="00C25D90" w:rsidP="00C25D90">
            <w:pPr>
              <w:rPr>
                <w:rFonts w:cs="Arial"/>
                <w:b/>
                <w:bCs/>
                <w:szCs w:val="20"/>
              </w:rPr>
            </w:pPr>
          </w:p>
        </w:tc>
        <w:tc>
          <w:tcPr>
            <w:tcW w:w="1020" w:type="dxa"/>
          </w:tcPr>
          <w:p w14:paraId="433E6C70" w14:textId="77777777" w:rsidR="00C25D90" w:rsidRPr="00C25D90" w:rsidRDefault="00C25D90" w:rsidP="00C25D90">
            <w:pPr>
              <w:rPr>
                <w:rFonts w:cs="Arial"/>
                <w:b/>
                <w:bCs/>
                <w:szCs w:val="20"/>
              </w:rPr>
            </w:pPr>
          </w:p>
        </w:tc>
        <w:tc>
          <w:tcPr>
            <w:tcW w:w="1879" w:type="dxa"/>
          </w:tcPr>
          <w:p w14:paraId="4CD2DF46" w14:textId="5A2C0506" w:rsidR="00C25D90" w:rsidRPr="00C25D90" w:rsidRDefault="00C25D90" w:rsidP="00C25D90">
            <w:pPr>
              <w:rPr>
                <w:rFonts w:cs="Arial"/>
                <w:b/>
                <w:bCs/>
                <w:szCs w:val="20"/>
              </w:rPr>
            </w:pPr>
            <w:r w:rsidRPr="00C25D90">
              <w:rPr>
                <w:szCs w:val="20"/>
              </w:rPr>
              <w:t>Панкреатит</w:t>
            </w:r>
          </w:p>
        </w:tc>
        <w:tc>
          <w:tcPr>
            <w:tcW w:w="1498" w:type="dxa"/>
          </w:tcPr>
          <w:p w14:paraId="50CC716C" w14:textId="77777777" w:rsidR="00C25D90" w:rsidRPr="00C25D90" w:rsidRDefault="00C25D90" w:rsidP="00C25D90">
            <w:pPr>
              <w:rPr>
                <w:rFonts w:cs="Arial"/>
                <w:b/>
                <w:bCs/>
                <w:szCs w:val="20"/>
              </w:rPr>
            </w:pPr>
          </w:p>
        </w:tc>
        <w:tc>
          <w:tcPr>
            <w:tcW w:w="1829" w:type="dxa"/>
          </w:tcPr>
          <w:p w14:paraId="4E2812C7" w14:textId="65C9954A" w:rsidR="00C25D90" w:rsidRPr="00C25D90" w:rsidRDefault="00C25D90" w:rsidP="00C25D90">
            <w:pPr>
              <w:rPr>
                <w:rFonts w:cs="Arial"/>
                <w:b/>
                <w:bCs/>
                <w:szCs w:val="20"/>
              </w:rPr>
            </w:pPr>
            <w:r w:rsidRPr="00C25D90">
              <w:rPr>
                <w:szCs w:val="20"/>
              </w:rPr>
              <w:t>Диария</w:t>
            </w:r>
          </w:p>
        </w:tc>
      </w:tr>
      <w:tr w:rsidR="00C25D90" w14:paraId="7C125957" w14:textId="77777777" w:rsidTr="00C25D90">
        <w:tc>
          <w:tcPr>
            <w:tcW w:w="2369" w:type="dxa"/>
          </w:tcPr>
          <w:p w14:paraId="2EACB59B" w14:textId="0171171F" w:rsidR="00C25D90" w:rsidRPr="00C25D90" w:rsidRDefault="00C25D90" w:rsidP="00C25D90">
            <w:pPr>
              <w:rPr>
                <w:rFonts w:cs="Arial"/>
                <w:b/>
                <w:bCs/>
                <w:szCs w:val="20"/>
              </w:rPr>
            </w:pPr>
            <w:r w:rsidRPr="00C25D90">
              <w:rPr>
                <w:i/>
                <w:iCs/>
                <w:szCs w:val="20"/>
              </w:rPr>
              <w:t>Хепатобилиарни нарушения</w:t>
            </w:r>
          </w:p>
        </w:tc>
        <w:tc>
          <w:tcPr>
            <w:tcW w:w="981" w:type="dxa"/>
          </w:tcPr>
          <w:p w14:paraId="32BFB920" w14:textId="77777777" w:rsidR="00C25D90" w:rsidRPr="00C25D90" w:rsidRDefault="00C25D90" w:rsidP="00C25D90">
            <w:pPr>
              <w:rPr>
                <w:rFonts w:cs="Arial"/>
                <w:b/>
                <w:bCs/>
                <w:szCs w:val="20"/>
              </w:rPr>
            </w:pPr>
          </w:p>
        </w:tc>
        <w:tc>
          <w:tcPr>
            <w:tcW w:w="1020" w:type="dxa"/>
          </w:tcPr>
          <w:p w14:paraId="002DD4D9" w14:textId="77777777" w:rsidR="00C25D90" w:rsidRPr="00C25D90" w:rsidRDefault="00C25D90" w:rsidP="00C25D90">
            <w:pPr>
              <w:rPr>
                <w:rFonts w:cs="Arial"/>
                <w:b/>
                <w:bCs/>
                <w:szCs w:val="20"/>
              </w:rPr>
            </w:pPr>
          </w:p>
        </w:tc>
        <w:tc>
          <w:tcPr>
            <w:tcW w:w="1879" w:type="dxa"/>
          </w:tcPr>
          <w:p w14:paraId="794B4299" w14:textId="6A90AE91" w:rsidR="00C25D90" w:rsidRPr="00C25D90" w:rsidRDefault="00C25D90" w:rsidP="00C25D90">
            <w:pPr>
              <w:rPr>
                <w:rFonts w:cs="Arial"/>
                <w:b/>
                <w:bCs/>
                <w:szCs w:val="20"/>
              </w:rPr>
            </w:pPr>
            <w:r w:rsidRPr="00C25D90">
              <w:rPr>
                <w:szCs w:val="20"/>
              </w:rPr>
              <w:t>Повишени стойности на чернодробните трансаминази</w:t>
            </w:r>
          </w:p>
        </w:tc>
        <w:tc>
          <w:tcPr>
            <w:tcW w:w="1498" w:type="dxa"/>
          </w:tcPr>
          <w:p w14:paraId="5746E982" w14:textId="4B85D442" w:rsidR="00C25D90" w:rsidRPr="00C25D90" w:rsidRDefault="00C25D90" w:rsidP="00C25D90">
            <w:pPr>
              <w:rPr>
                <w:rFonts w:cs="Arial"/>
                <w:b/>
                <w:bCs/>
                <w:szCs w:val="20"/>
              </w:rPr>
            </w:pPr>
            <w:r w:rsidRPr="00C25D90">
              <w:rPr>
                <w:szCs w:val="20"/>
              </w:rPr>
              <w:t>Жълтеница Хепатит</w:t>
            </w:r>
          </w:p>
        </w:tc>
        <w:tc>
          <w:tcPr>
            <w:tcW w:w="1829" w:type="dxa"/>
          </w:tcPr>
          <w:p w14:paraId="5679071A" w14:textId="77777777" w:rsidR="00C25D90" w:rsidRPr="00C25D90" w:rsidRDefault="00C25D90" w:rsidP="00C25D90">
            <w:pPr>
              <w:rPr>
                <w:rFonts w:cs="Arial"/>
                <w:b/>
                <w:bCs/>
                <w:szCs w:val="20"/>
              </w:rPr>
            </w:pPr>
          </w:p>
        </w:tc>
      </w:tr>
      <w:tr w:rsidR="00C25D90" w14:paraId="3991D4D8" w14:textId="77777777" w:rsidTr="00C25D90">
        <w:tc>
          <w:tcPr>
            <w:tcW w:w="2369" w:type="dxa"/>
          </w:tcPr>
          <w:p w14:paraId="66FA6A32" w14:textId="682CB646" w:rsidR="00C25D90" w:rsidRPr="00C25D90" w:rsidRDefault="00C25D90" w:rsidP="00C25D90">
            <w:pPr>
              <w:rPr>
                <w:rFonts w:cs="Arial"/>
                <w:b/>
                <w:bCs/>
                <w:szCs w:val="20"/>
              </w:rPr>
            </w:pPr>
            <w:r w:rsidRPr="00C25D90">
              <w:rPr>
                <w:i/>
                <w:iCs/>
                <w:szCs w:val="20"/>
              </w:rPr>
              <w:t>Нарушения на кожата и подкожната тъкан</w:t>
            </w:r>
          </w:p>
        </w:tc>
        <w:tc>
          <w:tcPr>
            <w:tcW w:w="981" w:type="dxa"/>
          </w:tcPr>
          <w:p w14:paraId="2FC8E94A" w14:textId="77777777" w:rsidR="00C25D90" w:rsidRPr="00C25D90" w:rsidRDefault="00C25D90" w:rsidP="00C25D90">
            <w:pPr>
              <w:rPr>
                <w:rFonts w:cs="Arial"/>
                <w:b/>
                <w:bCs/>
                <w:szCs w:val="20"/>
              </w:rPr>
            </w:pPr>
          </w:p>
        </w:tc>
        <w:tc>
          <w:tcPr>
            <w:tcW w:w="1020" w:type="dxa"/>
          </w:tcPr>
          <w:p w14:paraId="49AA8FA7" w14:textId="77777777" w:rsidR="00C25D90" w:rsidRPr="00C25D90" w:rsidRDefault="00C25D90" w:rsidP="00C25D90">
            <w:pPr>
              <w:rPr>
                <w:rFonts w:cs="Arial"/>
                <w:b/>
                <w:bCs/>
                <w:szCs w:val="20"/>
              </w:rPr>
            </w:pPr>
          </w:p>
        </w:tc>
        <w:tc>
          <w:tcPr>
            <w:tcW w:w="1879" w:type="dxa"/>
          </w:tcPr>
          <w:p w14:paraId="2F55D65B" w14:textId="77777777" w:rsidR="00C25D90" w:rsidRPr="00C25D90" w:rsidRDefault="00C25D90" w:rsidP="00C25D90">
            <w:pPr>
              <w:rPr>
                <w:rFonts w:cs="Arial"/>
                <w:b/>
                <w:bCs/>
                <w:szCs w:val="20"/>
              </w:rPr>
            </w:pPr>
          </w:p>
        </w:tc>
        <w:tc>
          <w:tcPr>
            <w:tcW w:w="1498" w:type="dxa"/>
          </w:tcPr>
          <w:p w14:paraId="0B0D2EFD" w14:textId="77777777" w:rsidR="00C25D90" w:rsidRPr="00C25D90" w:rsidRDefault="00C25D90" w:rsidP="00C25D90">
            <w:pPr>
              <w:rPr>
                <w:rFonts w:cs="Arial"/>
                <w:b/>
                <w:bCs/>
                <w:szCs w:val="20"/>
              </w:rPr>
            </w:pPr>
          </w:p>
        </w:tc>
        <w:tc>
          <w:tcPr>
            <w:tcW w:w="1829" w:type="dxa"/>
          </w:tcPr>
          <w:p w14:paraId="13D04FCB" w14:textId="16599484" w:rsidR="00C25D90" w:rsidRPr="00C25D90" w:rsidRDefault="00C25D90" w:rsidP="00C25D90">
            <w:pPr>
              <w:rPr>
                <w:rFonts w:cs="Arial"/>
                <w:b/>
                <w:bCs/>
                <w:szCs w:val="20"/>
              </w:rPr>
            </w:pPr>
            <w:r w:rsidRPr="00C25D90">
              <w:rPr>
                <w:szCs w:val="20"/>
              </w:rPr>
              <w:t xml:space="preserve">Синдром на </w:t>
            </w:r>
            <w:r w:rsidRPr="00C25D90">
              <w:rPr>
                <w:szCs w:val="20"/>
                <w:lang w:val="en-US"/>
              </w:rPr>
              <w:t>Stevens</w:t>
            </w:r>
            <w:r w:rsidRPr="00C25D90">
              <w:rPr>
                <w:szCs w:val="20"/>
                <w:lang w:val="ru-RU"/>
              </w:rPr>
              <w:t>-</w:t>
            </w:r>
            <w:r w:rsidRPr="00C25D90">
              <w:rPr>
                <w:szCs w:val="20"/>
                <w:lang w:val="en-US"/>
              </w:rPr>
              <w:t>Johnson</w:t>
            </w:r>
            <w:r w:rsidRPr="00C25D90">
              <w:rPr>
                <w:szCs w:val="20"/>
                <w:lang w:val="ru-RU"/>
              </w:rPr>
              <w:t xml:space="preserve"> </w:t>
            </w:r>
            <w:r w:rsidRPr="00C25D90">
              <w:rPr>
                <w:szCs w:val="20"/>
              </w:rPr>
              <w:t xml:space="preserve">Лекарствена реакция с еозинофилия и системни симптоми </w:t>
            </w:r>
            <w:r w:rsidRPr="00C25D90">
              <w:rPr>
                <w:szCs w:val="20"/>
                <w:lang w:val="ru-RU"/>
              </w:rPr>
              <w:t>(</w:t>
            </w:r>
            <w:r w:rsidRPr="00C25D90">
              <w:rPr>
                <w:szCs w:val="20"/>
                <w:lang w:val="en-US"/>
              </w:rPr>
              <w:t>DRESS</w:t>
            </w:r>
            <w:r w:rsidRPr="00C25D90">
              <w:rPr>
                <w:szCs w:val="20"/>
                <w:lang w:val="ru-RU"/>
              </w:rPr>
              <w:t>)</w:t>
            </w:r>
          </w:p>
        </w:tc>
      </w:tr>
      <w:tr w:rsidR="00C25D90" w14:paraId="136D8744" w14:textId="77777777" w:rsidTr="00C25D90">
        <w:tc>
          <w:tcPr>
            <w:tcW w:w="2369" w:type="dxa"/>
          </w:tcPr>
          <w:p w14:paraId="2A9F41DB" w14:textId="05A353D0" w:rsidR="00C25D90" w:rsidRPr="00C25D90" w:rsidRDefault="00C25D90" w:rsidP="00C25D90">
            <w:pPr>
              <w:rPr>
                <w:rFonts w:cs="Arial"/>
                <w:b/>
                <w:bCs/>
                <w:szCs w:val="20"/>
              </w:rPr>
            </w:pPr>
            <w:r w:rsidRPr="00C25D90">
              <w:rPr>
                <w:i/>
                <w:iCs/>
                <w:szCs w:val="20"/>
              </w:rPr>
              <w:t>Нарушения на Мускулно-скелетната система и съединителната тъкан</w:t>
            </w:r>
          </w:p>
        </w:tc>
        <w:tc>
          <w:tcPr>
            <w:tcW w:w="981" w:type="dxa"/>
          </w:tcPr>
          <w:p w14:paraId="3AAE2ACD" w14:textId="77777777" w:rsidR="00C25D90" w:rsidRPr="00C25D90" w:rsidRDefault="00C25D90" w:rsidP="00C25D90">
            <w:pPr>
              <w:rPr>
                <w:rFonts w:cs="Arial"/>
                <w:b/>
                <w:bCs/>
                <w:szCs w:val="20"/>
              </w:rPr>
            </w:pPr>
          </w:p>
        </w:tc>
        <w:tc>
          <w:tcPr>
            <w:tcW w:w="1020" w:type="dxa"/>
          </w:tcPr>
          <w:p w14:paraId="46ACD5CF" w14:textId="77777777" w:rsidR="00C25D90" w:rsidRPr="00C25D90" w:rsidRDefault="00C25D90" w:rsidP="00C25D90">
            <w:pPr>
              <w:rPr>
                <w:rFonts w:cs="Arial"/>
                <w:b/>
                <w:bCs/>
                <w:szCs w:val="20"/>
              </w:rPr>
            </w:pPr>
          </w:p>
        </w:tc>
        <w:tc>
          <w:tcPr>
            <w:tcW w:w="1879" w:type="dxa"/>
          </w:tcPr>
          <w:p w14:paraId="6F935025" w14:textId="65D30D74" w:rsidR="00C25D90" w:rsidRPr="00C25D90" w:rsidRDefault="00C25D90" w:rsidP="00C25D90">
            <w:pPr>
              <w:rPr>
                <w:rFonts w:cs="Arial"/>
                <w:b/>
                <w:bCs/>
                <w:szCs w:val="20"/>
              </w:rPr>
            </w:pPr>
            <w:r w:rsidRPr="00C25D90">
              <w:rPr>
                <w:szCs w:val="20"/>
              </w:rPr>
              <w:t>Миопатия (включително миозит) Рабдомиолиза Лупус-подобен синдром Разкъсване на мускулите</w:t>
            </w:r>
          </w:p>
        </w:tc>
        <w:tc>
          <w:tcPr>
            <w:tcW w:w="1498" w:type="dxa"/>
          </w:tcPr>
          <w:p w14:paraId="01769581" w14:textId="6CB81280" w:rsidR="00C25D90" w:rsidRPr="00C25D90" w:rsidRDefault="00C25D90" w:rsidP="00C25D90">
            <w:pPr>
              <w:rPr>
                <w:rFonts w:cs="Arial"/>
                <w:b/>
                <w:bCs/>
                <w:szCs w:val="20"/>
              </w:rPr>
            </w:pPr>
            <w:r w:rsidRPr="00C25D90">
              <w:rPr>
                <w:szCs w:val="20"/>
              </w:rPr>
              <w:t>Артралгия</w:t>
            </w:r>
          </w:p>
        </w:tc>
        <w:tc>
          <w:tcPr>
            <w:tcW w:w="1829" w:type="dxa"/>
          </w:tcPr>
          <w:p w14:paraId="3D52254B" w14:textId="6CAA9FE6" w:rsidR="00C25D90" w:rsidRPr="00C25D90" w:rsidRDefault="00C25D90" w:rsidP="00C25D90">
            <w:pPr>
              <w:rPr>
                <w:rFonts w:cs="Arial"/>
                <w:b/>
                <w:bCs/>
                <w:szCs w:val="20"/>
              </w:rPr>
            </w:pPr>
            <w:r w:rsidRPr="00C25D90">
              <w:rPr>
                <w:szCs w:val="20"/>
              </w:rPr>
              <w:t>Нараняване на сухожилие, понякога усложнено от разкъсване Имуномедиирана некротизираща миопатия</w:t>
            </w:r>
          </w:p>
        </w:tc>
      </w:tr>
      <w:tr w:rsidR="00C25D90" w14:paraId="2C46620F" w14:textId="77777777" w:rsidTr="00C25D90">
        <w:tc>
          <w:tcPr>
            <w:tcW w:w="2369" w:type="dxa"/>
          </w:tcPr>
          <w:p w14:paraId="6BEAF28C" w14:textId="68C52DDE" w:rsidR="00C25D90" w:rsidRPr="00C25D90" w:rsidRDefault="00C25D90" w:rsidP="00C25D90">
            <w:pPr>
              <w:rPr>
                <w:rFonts w:cs="Arial"/>
                <w:b/>
                <w:bCs/>
                <w:szCs w:val="20"/>
              </w:rPr>
            </w:pPr>
            <w:r w:rsidRPr="00C25D90">
              <w:rPr>
                <w:i/>
                <w:iCs/>
                <w:szCs w:val="20"/>
              </w:rPr>
              <w:t>Нарушения на бъбреците и пикочните пътища</w:t>
            </w:r>
          </w:p>
        </w:tc>
        <w:tc>
          <w:tcPr>
            <w:tcW w:w="981" w:type="dxa"/>
          </w:tcPr>
          <w:p w14:paraId="2F67E391" w14:textId="77777777" w:rsidR="00C25D90" w:rsidRPr="00C25D90" w:rsidRDefault="00C25D90" w:rsidP="00C25D90">
            <w:pPr>
              <w:rPr>
                <w:rFonts w:cs="Arial"/>
                <w:b/>
                <w:bCs/>
                <w:szCs w:val="20"/>
              </w:rPr>
            </w:pPr>
          </w:p>
        </w:tc>
        <w:tc>
          <w:tcPr>
            <w:tcW w:w="1020" w:type="dxa"/>
          </w:tcPr>
          <w:p w14:paraId="3F91EB25" w14:textId="77777777" w:rsidR="00C25D90" w:rsidRPr="00C25D90" w:rsidRDefault="00C25D90" w:rsidP="00C25D90">
            <w:pPr>
              <w:rPr>
                <w:rFonts w:cs="Arial"/>
                <w:b/>
                <w:bCs/>
                <w:szCs w:val="20"/>
              </w:rPr>
            </w:pPr>
          </w:p>
        </w:tc>
        <w:tc>
          <w:tcPr>
            <w:tcW w:w="1879" w:type="dxa"/>
          </w:tcPr>
          <w:p w14:paraId="5BF6D07E" w14:textId="77777777" w:rsidR="00C25D90" w:rsidRPr="00C25D90" w:rsidRDefault="00C25D90" w:rsidP="00C25D90">
            <w:pPr>
              <w:rPr>
                <w:rFonts w:cs="Arial"/>
                <w:b/>
                <w:bCs/>
                <w:szCs w:val="20"/>
              </w:rPr>
            </w:pPr>
          </w:p>
        </w:tc>
        <w:tc>
          <w:tcPr>
            <w:tcW w:w="1498" w:type="dxa"/>
          </w:tcPr>
          <w:p w14:paraId="26A95AC0" w14:textId="6F7D8C77" w:rsidR="00C25D90" w:rsidRPr="00C25D90" w:rsidRDefault="00C25D90" w:rsidP="00C25D90">
            <w:pPr>
              <w:rPr>
                <w:rFonts w:cs="Arial"/>
                <w:b/>
                <w:bCs/>
                <w:szCs w:val="20"/>
              </w:rPr>
            </w:pPr>
            <w:r w:rsidRPr="00C25D90">
              <w:rPr>
                <w:szCs w:val="20"/>
              </w:rPr>
              <w:t>Хематурия</w:t>
            </w:r>
          </w:p>
        </w:tc>
        <w:tc>
          <w:tcPr>
            <w:tcW w:w="1829" w:type="dxa"/>
          </w:tcPr>
          <w:p w14:paraId="4A0B3D95" w14:textId="77777777" w:rsidR="00C25D90" w:rsidRPr="00C25D90" w:rsidRDefault="00C25D90" w:rsidP="00C25D90">
            <w:pPr>
              <w:rPr>
                <w:rFonts w:cs="Arial"/>
                <w:b/>
                <w:bCs/>
                <w:szCs w:val="20"/>
              </w:rPr>
            </w:pPr>
          </w:p>
        </w:tc>
      </w:tr>
      <w:tr w:rsidR="00C25D90" w14:paraId="080CE3E2" w14:textId="77777777" w:rsidTr="00C25D90">
        <w:tc>
          <w:tcPr>
            <w:tcW w:w="2369" w:type="dxa"/>
          </w:tcPr>
          <w:p w14:paraId="232CA6A1" w14:textId="3E82A3DF" w:rsidR="00C25D90" w:rsidRPr="00C25D90" w:rsidRDefault="00C25D90" w:rsidP="00C25D90">
            <w:pPr>
              <w:rPr>
                <w:rFonts w:cs="Arial"/>
                <w:b/>
                <w:bCs/>
                <w:szCs w:val="20"/>
              </w:rPr>
            </w:pPr>
            <w:r w:rsidRPr="00C25D90">
              <w:rPr>
                <w:i/>
                <w:iCs/>
                <w:szCs w:val="20"/>
              </w:rPr>
              <w:t>Нарушения на възпроизводителн</w:t>
            </w:r>
            <w:r w:rsidRPr="00C25D90">
              <w:rPr>
                <w:i/>
                <w:iCs/>
                <w:szCs w:val="20"/>
              </w:rPr>
              <w:lastRenderedPageBreak/>
              <w:t>ата система и гърдата</w:t>
            </w:r>
          </w:p>
        </w:tc>
        <w:tc>
          <w:tcPr>
            <w:tcW w:w="981" w:type="dxa"/>
          </w:tcPr>
          <w:p w14:paraId="0301256A" w14:textId="77777777" w:rsidR="00C25D90" w:rsidRPr="00C25D90" w:rsidRDefault="00C25D90" w:rsidP="00C25D90">
            <w:pPr>
              <w:rPr>
                <w:rFonts w:cs="Arial"/>
                <w:b/>
                <w:bCs/>
                <w:szCs w:val="20"/>
              </w:rPr>
            </w:pPr>
          </w:p>
        </w:tc>
        <w:tc>
          <w:tcPr>
            <w:tcW w:w="1020" w:type="dxa"/>
          </w:tcPr>
          <w:p w14:paraId="5E050C74" w14:textId="77777777" w:rsidR="00C25D90" w:rsidRPr="00C25D90" w:rsidRDefault="00C25D90" w:rsidP="00C25D90">
            <w:pPr>
              <w:rPr>
                <w:rFonts w:cs="Arial"/>
                <w:b/>
                <w:bCs/>
                <w:szCs w:val="20"/>
              </w:rPr>
            </w:pPr>
          </w:p>
        </w:tc>
        <w:tc>
          <w:tcPr>
            <w:tcW w:w="1879" w:type="dxa"/>
          </w:tcPr>
          <w:p w14:paraId="02BB99C9" w14:textId="77777777" w:rsidR="00C25D90" w:rsidRPr="00C25D90" w:rsidRDefault="00C25D90" w:rsidP="00C25D90">
            <w:pPr>
              <w:rPr>
                <w:rFonts w:cs="Arial"/>
                <w:b/>
                <w:bCs/>
                <w:szCs w:val="20"/>
              </w:rPr>
            </w:pPr>
          </w:p>
        </w:tc>
        <w:tc>
          <w:tcPr>
            <w:tcW w:w="1498" w:type="dxa"/>
          </w:tcPr>
          <w:p w14:paraId="72075DC0" w14:textId="34D5788E" w:rsidR="00C25D90" w:rsidRPr="00C25D90" w:rsidRDefault="00C25D90" w:rsidP="00C25D90">
            <w:pPr>
              <w:rPr>
                <w:rFonts w:cs="Arial"/>
                <w:b/>
                <w:bCs/>
                <w:szCs w:val="20"/>
              </w:rPr>
            </w:pPr>
            <w:r w:rsidRPr="00C25D90">
              <w:rPr>
                <w:szCs w:val="20"/>
              </w:rPr>
              <w:t>Гинекомастия</w:t>
            </w:r>
          </w:p>
        </w:tc>
        <w:tc>
          <w:tcPr>
            <w:tcW w:w="1829" w:type="dxa"/>
          </w:tcPr>
          <w:p w14:paraId="1FA495A0" w14:textId="77777777" w:rsidR="00C25D90" w:rsidRPr="00C25D90" w:rsidRDefault="00C25D90" w:rsidP="00C25D90">
            <w:pPr>
              <w:rPr>
                <w:rFonts w:cs="Arial"/>
                <w:b/>
                <w:bCs/>
                <w:szCs w:val="20"/>
              </w:rPr>
            </w:pPr>
          </w:p>
        </w:tc>
      </w:tr>
      <w:tr w:rsidR="00C25D90" w14:paraId="39C353B8" w14:textId="77777777" w:rsidTr="00C25D90">
        <w:tc>
          <w:tcPr>
            <w:tcW w:w="2369" w:type="dxa"/>
          </w:tcPr>
          <w:p w14:paraId="718F16E3" w14:textId="7C7EB18E" w:rsidR="00C25D90" w:rsidRPr="00C25D90" w:rsidRDefault="00C25D90" w:rsidP="00C25D90">
            <w:pPr>
              <w:rPr>
                <w:rFonts w:cs="Arial"/>
                <w:b/>
                <w:bCs/>
                <w:szCs w:val="20"/>
              </w:rPr>
            </w:pPr>
            <w:r w:rsidRPr="00C25D90">
              <w:rPr>
                <w:i/>
                <w:iCs/>
                <w:szCs w:val="20"/>
              </w:rPr>
              <w:t>Общи нарушения и ефекти на мястото на приложение</w:t>
            </w:r>
          </w:p>
        </w:tc>
        <w:tc>
          <w:tcPr>
            <w:tcW w:w="981" w:type="dxa"/>
          </w:tcPr>
          <w:p w14:paraId="196DEEBD" w14:textId="77777777" w:rsidR="00C25D90" w:rsidRPr="00C25D90" w:rsidRDefault="00C25D90" w:rsidP="00C25D90">
            <w:pPr>
              <w:rPr>
                <w:rFonts w:cs="Arial"/>
                <w:b/>
                <w:bCs/>
                <w:szCs w:val="20"/>
              </w:rPr>
            </w:pPr>
          </w:p>
        </w:tc>
        <w:tc>
          <w:tcPr>
            <w:tcW w:w="1020" w:type="dxa"/>
          </w:tcPr>
          <w:p w14:paraId="296C8E45" w14:textId="77777777" w:rsidR="00C25D90" w:rsidRPr="00C25D90" w:rsidRDefault="00C25D90" w:rsidP="00C25D90">
            <w:pPr>
              <w:rPr>
                <w:rFonts w:cs="Arial"/>
                <w:b/>
                <w:bCs/>
                <w:szCs w:val="20"/>
              </w:rPr>
            </w:pPr>
          </w:p>
        </w:tc>
        <w:tc>
          <w:tcPr>
            <w:tcW w:w="1879" w:type="dxa"/>
          </w:tcPr>
          <w:p w14:paraId="449ABD17" w14:textId="77777777" w:rsidR="00C25D90" w:rsidRPr="00C25D90" w:rsidRDefault="00C25D90" w:rsidP="00C25D90">
            <w:pPr>
              <w:rPr>
                <w:rFonts w:cs="Arial"/>
                <w:b/>
                <w:bCs/>
                <w:szCs w:val="20"/>
              </w:rPr>
            </w:pPr>
          </w:p>
        </w:tc>
        <w:tc>
          <w:tcPr>
            <w:tcW w:w="1498" w:type="dxa"/>
          </w:tcPr>
          <w:p w14:paraId="7F54F4E4" w14:textId="77777777" w:rsidR="00C25D90" w:rsidRPr="00C25D90" w:rsidRDefault="00C25D90" w:rsidP="00C25D90">
            <w:pPr>
              <w:rPr>
                <w:rFonts w:cs="Arial"/>
                <w:b/>
                <w:bCs/>
                <w:szCs w:val="20"/>
              </w:rPr>
            </w:pPr>
          </w:p>
        </w:tc>
        <w:tc>
          <w:tcPr>
            <w:tcW w:w="1829" w:type="dxa"/>
          </w:tcPr>
          <w:p w14:paraId="7943D15A" w14:textId="236E89DA" w:rsidR="00C25D90" w:rsidRPr="00C25D90" w:rsidRDefault="00C25D90" w:rsidP="00C25D90">
            <w:pPr>
              <w:rPr>
                <w:rFonts w:cs="Arial"/>
                <w:b/>
                <w:bCs/>
                <w:szCs w:val="20"/>
              </w:rPr>
            </w:pPr>
            <w:r w:rsidRPr="00C25D90">
              <w:rPr>
                <w:szCs w:val="20"/>
              </w:rPr>
              <w:t>Оток</w:t>
            </w:r>
          </w:p>
        </w:tc>
      </w:tr>
      <w:tr w:rsidR="00C25D90" w14:paraId="298B76F5" w14:textId="77777777" w:rsidTr="00C25D90">
        <w:tc>
          <w:tcPr>
            <w:tcW w:w="9576" w:type="dxa"/>
            <w:gridSpan w:val="6"/>
          </w:tcPr>
          <w:p w14:paraId="28AA54FF" w14:textId="6E873A8A" w:rsidR="00C25D90" w:rsidRPr="00C25D90" w:rsidRDefault="00C25D90" w:rsidP="00C25D90">
            <w:pPr>
              <w:rPr>
                <w:sz w:val="24"/>
                <w:szCs w:val="24"/>
              </w:rPr>
            </w:pPr>
            <w:r w:rsidRPr="00C25D90">
              <w:rPr>
                <w:lang w:eastAsia="bg-BG"/>
              </w:rPr>
              <w:t>1Честотата ще зависи от наличието или липсата на рискови фактори (кръвна глюкоза на гладно</w:t>
            </w:r>
            <w:r>
              <w:rPr>
                <w:sz w:val="24"/>
                <w:szCs w:val="24"/>
              </w:rPr>
              <w:t xml:space="preserve"> </w:t>
            </w:r>
            <w:r w:rsidRPr="00C25D90">
              <w:rPr>
                <w:lang w:eastAsia="bg-BG"/>
              </w:rPr>
              <w:t xml:space="preserve">≥5,6 </w:t>
            </w:r>
            <w:proofErr w:type="spellStart"/>
            <w:r w:rsidRPr="00C25D90">
              <w:rPr>
                <w:lang w:val="en-US"/>
              </w:rPr>
              <w:t>mmol</w:t>
            </w:r>
            <w:proofErr w:type="spellEnd"/>
            <w:r w:rsidRPr="00C25D90">
              <w:rPr>
                <w:lang w:val="ru-RU"/>
              </w:rPr>
              <w:t>/</w:t>
            </w:r>
            <w:r w:rsidRPr="00C25D90">
              <w:rPr>
                <w:lang w:val="en-US"/>
              </w:rPr>
              <w:t>l</w:t>
            </w:r>
            <w:r w:rsidRPr="00C25D90">
              <w:rPr>
                <w:lang w:val="ru-RU"/>
              </w:rPr>
              <w:t xml:space="preserve">, </w:t>
            </w:r>
            <w:r w:rsidRPr="00C25D90">
              <w:rPr>
                <w:lang w:eastAsia="bg-BG"/>
              </w:rPr>
              <w:t xml:space="preserve">ИТМ&gt; 30 </w:t>
            </w:r>
            <w:r w:rsidRPr="00C25D90">
              <w:rPr>
                <w:lang w:val="en-US"/>
              </w:rPr>
              <w:t>kg</w:t>
            </w:r>
            <w:r w:rsidRPr="00C25D90">
              <w:rPr>
                <w:lang w:val="ru-RU"/>
              </w:rPr>
              <w:t>/</w:t>
            </w:r>
            <w:r w:rsidRPr="00C25D90">
              <w:rPr>
                <w:lang w:val="en-US"/>
              </w:rPr>
              <w:t>m</w:t>
            </w:r>
            <w:r w:rsidRPr="00C25D90">
              <w:rPr>
                <w:lang w:val="ru-RU"/>
              </w:rPr>
              <w:t xml:space="preserve">2, </w:t>
            </w:r>
            <w:r w:rsidRPr="00C25D90">
              <w:rPr>
                <w:lang w:eastAsia="bg-BG"/>
              </w:rPr>
              <w:t>повишено ниво на триглицеридите, анамнеза за хипертония).</w:t>
            </w:r>
          </w:p>
        </w:tc>
      </w:tr>
    </w:tbl>
    <w:p w14:paraId="1819FCBB" w14:textId="77777777" w:rsidR="00C25D90" w:rsidRPr="00C25D90" w:rsidRDefault="00C25D90" w:rsidP="00C25D90">
      <w:pPr>
        <w:rPr>
          <w:rFonts w:cs="Arial"/>
          <w:b/>
          <w:bCs/>
          <w:szCs w:val="20"/>
        </w:rPr>
      </w:pPr>
    </w:p>
    <w:p w14:paraId="635E98F7"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честотата на нежеланите лекарствени</w:t>
      </w:r>
    </w:p>
    <w:p w14:paraId="3F1F2C46"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реакции проявява тенденция да бъде зависима от дозата.</w:t>
      </w:r>
    </w:p>
    <w:p w14:paraId="614BA4E3" w14:textId="77777777" w:rsidR="00C25D90" w:rsidRPr="00C25D90" w:rsidRDefault="00C25D90" w:rsidP="00C25D90">
      <w:pPr>
        <w:rPr>
          <w:rFonts w:eastAsia="Times New Roman" w:cs="Arial"/>
          <w:b/>
          <w:bCs/>
          <w:color w:val="000000"/>
          <w:lang w:eastAsia="bg-BG"/>
        </w:rPr>
      </w:pPr>
    </w:p>
    <w:p w14:paraId="0D644D79" w14:textId="77777777" w:rsidR="00C25D90" w:rsidRPr="00C25D90" w:rsidRDefault="00C25D90" w:rsidP="00C25D90">
      <w:pPr>
        <w:rPr>
          <w:rFonts w:eastAsia="Times New Roman" w:cs="Arial"/>
        </w:rPr>
      </w:pPr>
      <w:r w:rsidRPr="00C25D90">
        <w:rPr>
          <w:rFonts w:eastAsia="Times New Roman" w:cs="Arial"/>
          <w:b/>
          <w:bCs/>
          <w:color w:val="000000"/>
          <w:lang w:eastAsia="bg-BG"/>
        </w:rPr>
        <w:t xml:space="preserve">Ефекти </w:t>
      </w:r>
      <w:r w:rsidRPr="00C25D90">
        <w:rPr>
          <w:rFonts w:eastAsia="Times New Roman" w:cs="Arial"/>
          <w:color w:val="000000"/>
          <w:lang w:eastAsia="bg-BG"/>
        </w:rPr>
        <w:t xml:space="preserve">върху </w:t>
      </w:r>
      <w:r w:rsidRPr="00C25D90">
        <w:rPr>
          <w:rFonts w:eastAsia="Times New Roman" w:cs="Arial"/>
          <w:b/>
          <w:bCs/>
          <w:color w:val="000000"/>
          <w:lang w:eastAsia="bg-BG"/>
        </w:rPr>
        <w:t xml:space="preserve">бъбреците: </w:t>
      </w:r>
      <w:r w:rsidRPr="00C25D90">
        <w:rPr>
          <w:rFonts w:eastAsia="Times New Roman" w:cs="Arial"/>
          <w:color w:val="000000"/>
          <w:lang w:eastAsia="bg-BG"/>
        </w:rPr>
        <w:t xml:space="preserve">При пациенти, лекувани с Ропуидо, е наблюдавана протеинурия, установена с изследване с тест-ленти и основно с тубуларен произход. В определени моменти от лечението при &lt;1 % от пациентите на 10 и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и при приблизително 3% от пациентите лекувани с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са наблюдавани промени в изследванията за протеин в урината от липса или следи до ++ или повече. При доза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наблюдавана незначителна промяна от липса или следи до + . В повечето случаи протеинурията намалява или изчезва спонтанно в хода на лечението. Преглед на данните от клинични проучвания и пост-маркетинговия опит до момента не установява причинно-следствена връзка между протеинурията и остро или прогресивно бъбречно заболяване.</w:t>
      </w:r>
    </w:p>
    <w:p w14:paraId="42B13444" w14:textId="77777777" w:rsidR="00C25D90" w:rsidRPr="00C25D90" w:rsidRDefault="00C25D90" w:rsidP="00C25D90">
      <w:pPr>
        <w:spacing w:line="240" w:lineRule="auto"/>
        <w:rPr>
          <w:rFonts w:eastAsia="Times New Roman" w:cs="Arial"/>
          <w:color w:val="000000"/>
          <w:lang w:eastAsia="bg-BG"/>
        </w:rPr>
      </w:pPr>
    </w:p>
    <w:p w14:paraId="5BFCDEFE" w14:textId="47C3EEE9" w:rsidR="00C25D90" w:rsidRPr="00C25D90" w:rsidRDefault="00C25D90" w:rsidP="00C25D90">
      <w:pPr>
        <w:spacing w:line="240" w:lineRule="auto"/>
        <w:rPr>
          <w:rFonts w:eastAsia="Times New Roman" w:cs="Arial"/>
        </w:rPr>
      </w:pPr>
      <w:r w:rsidRPr="00C25D90">
        <w:rPr>
          <w:rFonts w:eastAsia="Times New Roman" w:cs="Arial"/>
          <w:color w:val="000000"/>
          <w:lang w:eastAsia="bg-BG"/>
        </w:rPr>
        <w:t>Хематурия е наблюдавана при пациенти, лекувани с Ропуидо, и данните от клиничните проучвания показват, че появата е ниска.</w:t>
      </w:r>
    </w:p>
    <w:p w14:paraId="58D8AF4F" w14:textId="77777777" w:rsidR="00C25D90" w:rsidRPr="00C25D90" w:rsidRDefault="00C25D90" w:rsidP="00C25D90">
      <w:pPr>
        <w:spacing w:line="240" w:lineRule="auto"/>
        <w:rPr>
          <w:rFonts w:eastAsia="Times New Roman" w:cs="Arial"/>
          <w:b/>
          <w:bCs/>
          <w:color w:val="000000"/>
          <w:lang w:eastAsia="bg-BG"/>
        </w:rPr>
      </w:pPr>
    </w:p>
    <w:p w14:paraId="0F038D6B" w14:textId="232EE374"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Ефекти върху скелетната мускулатура: </w:t>
      </w:r>
      <w:r w:rsidRPr="00C25D90">
        <w:rPr>
          <w:rFonts w:eastAsia="Times New Roman" w:cs="Arial"/>
          <w:color w:val="000000"/>
          <w:lang w:eastAsia="bg-BG"/>
        </w:rPr>
        <w:t xml:space="preserve">Ефекти върху скелетната мускулатура, например миалгия, миопатия (включително миозит) и по-рядко рабдомиолиза със или без остра бъбречна недостатъчност, са съобщавани при пациенти, лекувани с Ропуидо с всички дози и по- специално с дози &gt; 20 </w:t>
      </w:r>
      <w:r w:rsidRPr="00C25D90">
        <w:rPr>
          <w:rFonts w:eastAsia="Times New Roman" w:cs="Arial"/>
          <w:color w:val="000000"/>
          <w:lang w:val="en-US"/>
        </w:rPr>
        <w:t>mg</w:t>
      </w:r>
      <w:r w:rsidRPr="00C25D90">
        <w:rPr>
          <w:rFonts w:eastAsia="Times New Roman" w:cs="Arial"/>
          <w:color w:val="000000"/>
          <w:lang w:val="ru-RU"/>
        </w:rPr>
        <w:t>.</w:t>
      </w:r>
    </w:p>
    <w:p w14:paraId="1654FED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Свързано с дозировката увеличение на нивата на СК е наблюдавано при пациенти, приемащи розувастатин; по-голямата част от случаите са леки, асимптоматични и преходни. Ако нивото на СК се повиши (&gt;5 пъти горната граница на нормата), лечението трябва да се преустанови (вж. точка 4.4).</w:t>
      </w:r>
    </w:p>
    <w:p w14:paraId="373DC2DB" w14:textId="77777777" w:rsidR="00C25D90" w:rsidRPr="00C25D90" w:rsidRDefault="00C25D90" w:rsidP="00C25D90">
      <w:pPr>
        <w:spacing w:line="240" w:lineRule="auto"/>
        <w:rPr>
          <w:rFonts w:eastAsia="Times New Roman" w:cs="Arial"/>
          <w:b/>
          <w:bCs/>
          <w:color w:val="000000"/>
          <w:lang w:eastAsia="bg-BG"/>
        </w:rPr>
      </w:pPr>
    </w:p>
    <w:p w14:paraId="08188A15" w14:textId="3075EE25" w:rsidR="00C25D90" w:rsidRPr="00C25D90" w:rsidRDefault="00C25D90" w:rsidP="00C25D90">
      <w:pPr>
        <w:spacing w:line="240" w:lineRule="auto"/>
        <w:rPr>
          <w:rFonts w:eastAsia="Times New Roman" w:cs="Arial"/>
          <w:color w:val="000000"/>
          <w:lang w:eastAsia="bg-BG"/>
        </w:rPr>
      </w:pPr>
      <w:r w:rsidRPr="00C25D90">
        <w:rPr>
          <w:rFonts w:eastAsia="Times New Roman" w:cs="Arial"/>
          <w:b/>
          <w:bCs/>
          <w:color w:val="000000"/>
          <w:lang w:eastAsia="bg-BG"/>
        </w:rPr>
        <w:t xml:space="preserve">Ефекти върху черния дроб: </w:t>
      </w:r>
      <w:r w:rsidRPr="00C25D90">
        <w:rPr>
          <w:rFonts w:eastAsia="Times New Roman" w:cs="Arial"/>
          <w:color w:val="000000"/>
          <w:lang w:eastAsia="bg-BG"/>
        </w:rPr>
        <w:t xml:space="preserve">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свързано с дозата </w:t>
      </w:r>
    </w:p>
    <w:p w14:paraId="55C23894" w14:textId="557517A2" w:rsidR="00C25D90" w:rsidRPr="00C25D90" w:rsidRDefault="00C25D90" w:rsidP="00C25D90">
      <w:pPr>
        <w:spacing w:line="240" w:lineRule="auto"/>
        <w:rPr>
          <w:rFonts w:eastAsia="Times New Roman" w:cs="Arial"/>
        </w:rPr>
      </w:pPr>
      <w:r w:rsidRPr="00C25D90">
        <w:rPr>
          <w:rFonts w:eastAsia="Times New Roman" w:cs="Arial"/>
          <w:color w:val="000000"/>
          <w:lang w:eastAsia="bg-BG"/>
        </w:rPr>
        <w:t>увеличение на трансаминазите се наблюдава при малък брой пациенти, приемащи розувастатин; по-голямата част от случаите са леки, асимптоматични и преходни. Следните нежелани реакции са съобщени при някои статини:</w:t>
      </w:r>
    </w:p>
    <w:p w14:paraId="698BA8A6" w14:textId="77777777" w:rsidR="00C25D90" w:rsidRPr="00C25D90" w:rsidRDefault="00C25D90" w:rsidP="00C25D90">
      <w:pPr>
        <w:pStyle w:val="ListParagraph"/>
        <w:numPr>
          <w:ilvl w:val="0"/>
          <w:numId w:val="39"/>
        </w:numPr>
        <w:spacing w:line="240" w:lineRule="auto"/>
        <w:rPr>
          <w:rFonts w:eastAsia="Times New Roman" w:cs="Arial"/>
          <w:color w:val="000000"/>
          <w:lang w:eastAsia="bg-BG"/>
        </w:rPr>
      </w:pPr>
      <w:r w:rsidRPr="00C25D90">
        <w:rPr>
          <w:rFonts w:eastAsia="Times New Roman" w:cs="Arial"/>
          <w:color w:val="000000"/>
          <w:lang w:eastAsia="bg-BG"/>
        </w:rPr>
        <w:t>Сексуална дисфункция.</w:t>
      </w:r>
    </w:p>
    <w:p w14:paraId="2CBA5817" w14:textId="3D6F1529" w:rsidR="00C25D90" w:rsidRPr="00C25D90" w:rsidRDefault="00C25D90" w:rsidP="00C25D90">
      <w:pPr>
        <w:pStyle w:val="ListParagraph"/>
        <w:numPr>
          <w:ilvl w:val="0"/>
          <w:numId w:val="39"/>
        </w:numPr>
        <w:spacing w:line="240" w:lineRule="auto"/>
        <w:rPr>
          <w:rFonts w:eastAsia="Times New Roman" w:cs="Arial"/>
          <w:color w:val="000000"/>
          <w:lang w:eastAsia="bg-BG"/>
        </w:rPr>
      </w:pPr>
      <w:r w:rsidRPr="00C25D90">
        <w:rPr>
          <w:rFonts w:eastAsia="Times New Roman" w:cs="Arial"/>
          <w:color w:val="000000"/>
          <w:lang w:eastAsia="bg-BG"/>
        </w:rPr>
        <w:t>Единични случаи на интерстициална белодробна болест, особено при продължително лечение (вж. точка 4.4).</w:t>
      </w:r>
    </w:p>
    <w:p w14:paraId="6561FC78" w14:textId="77777777" w:rsidR="00C25D90" w:rsidRPr="00C25D90" w:rsidRDefault="00C25D90" w:rsidP="00C25D90">
      <w:pPr>
        <w:spacing w:line="240" w:lineRule="auto"/>
        <w:rPr>
          <w:rFonts w:eastAsia="Times New Roman" w:cs="Arial"/>
          <w:color w:val="000000"/>
          <w:lang w:eastAsia="bg-BG"/>
        </w:rPr>
      </w:pPr>
    </w:p>
    <w:p w14:paraId="03D24339" w14:textId="2DD1D195"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Съобщаваните честоти за рабдомиолиза, сериозни бъбречни събития и сериозни чернодробни събития (състоящи се основно от повишени чернодробни трансаминази) са по-високи при доза от 40 </w:t>
      </w:r>
      <w:r w:rsidRPr="00C25D90">
        <w:rPr>
          <w:rFonts w:eastAsia="Times New Roman" w:cs="Arial"/>
          <w:color w:val="000000"/>
          <w:lang w:val="en-US"/>
        </w:rPr>
        <w:t>mg</w:t>
      </w:r>
      <w:r w:rsidRPr="00C25D90">
        <w:rPr>
          <w:rFonts w:eastAsia="Times New Roman" w:cs="Arial"/>
          <w:color w:val="000000"/>
          <w:lang w:val="ru-RU"/>
        </w:rPr>
        <w:t>.</w:t>
      </w:r>
    </w:p>
    <w:p w14:paraId="02DA7819" w14:textId="77777777" w:rsidR="00C25D90" w:rsidRPr="00C25D90" w:rsidRDefault="00C25D90" w:rsidP="00C25D90">
      <w:pPr>
        <w:spacing w:line="240" w:lineRule="auto"/>
        <w:rPr>
          <w:rFonts w:eastAsia="Times New Roman" w:cs="Arial"/>
          <w:b/>
          <w:bCs/>
          <w:color w:val="000000"/>
          <w:lang w:eastAsia="bg-BG"/>
        </w:rPr>
      </w:pPr>
    </w:p>
    <w:p w14:paraId="3469A585" w14:textId="7B1F8266"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Педиатрична популация: </w:t>
      </w:r>
      <w:r w:rsidRPr="00C25D90">
        <w:rPr>
          <w:rFonts w:eastAsia="Times New Roman" w:cs="Arial"/>
          <w:color w:val="000000"/>
          <w:lang w:eastAsia="bg-BG"/>
        </w:rPr>
        <w:t>Повишение на креатин киназата &gt; 10 пъти горната граница на нормата и мускулни симптоми след физически упражнения или повишена физическа активност са наблюдавани по-често при 52-седмично клинично проучване на деца и юноши в сравнение с възрастни (вж. точка 4.4). По отношение на останалите аспекти, профилът на безопасност на розувастатин е сходен при деца и юноши в сравнение с възрастни.</w:t>
      </w:r>
    </w:p>
    <w:p w14:paraId="6F9573BA" w14:textId="77777777" w:rsidR="00C25D90" w:rsidRPr="00C25D90" w:rsidRDefault="00C25D90" w:rsidP="00C25D90">
      <w:pPr>
        <w:spacing w:line="240" w:lineRule="auto"/>
        <w:rPr>
          <w:rFonts w:eastAsia="Times New Roman" w:cs="Arial"/>
          <w:b/>
          <w:bCs/>
          <w:color w:val="000000"/>
          <w:lang w:eastAsia="bg-BG"/>
        </w:rPr>
      </w:pPr>
    </w:p>
    <w:p w14:paraId="53FFA18D" w14:textId="123E0012"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Съобщаване на подозирани нежелани реакции</w:t>
      </w:r>
    </w:p>
    <w:p w14:paraId="10E58DF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18329B8"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Изпълнителна агенция по лекарствата</w:t>
      </w:r>
    </w:p>
    <w:p w14:paraId="2FE46983"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ул. „Дамян Груев” № 8</w:t>
      </w:r>
    </w:p>
    <w:p w14:paraId="68B08F1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1303 София</w:t>
      </w:r>
    </w:p>
    <w:p w14:paraId="586F6B8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Тел.: +359 2 8903417</w:t>
      </w:r>
    </w:p>
    <w:p w14:paraId="457C2C7F"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уебсайт: </w:t>
      </w:r>
      <w:r w:rsidRPr="00C25D90">
        <w:rPr>
          <w:rFonts w:eastAsia="Times New Roman" w:cs="Arial"/>
        </w:rPr>
        <w:fldChar w:fldCharType="begin"/>
      </w:r>
      <w:r w:rsidRPr="00C25D90">
        <w:rPr>
          <w:rFonts w:eastAsia="Times New Roman" w:cs="Arial"/>
        </w:rPr>
        <w:instrText xml:space="preserve"> HYPERLINK "http://www.bda.bg" </w:instrText>
      </w:r>
      <w:r w:rsidRPr="00C25D90">
        <w:rPr>
          <w:rFonts w:eastAsia="Times New Roman" w:cs="Arial"/>
        </w:rPr>
      </w:r>
      <w:r w:rsidRPr="00C25D90">
        <w:rPr>
          <w:rFonts w:eastAsia="Times New Roman" w:cs="Arial"/>
        </w:rPr>
        <w:fldChar w:fldCharType="separate"/>
      </w:r>
      <w:r w:rsidRPr="00C25D90">
        <w:rPr>
          <w:rFonts w:eastAsia="Times New Roman" w:cs="Arial"/>
          <w:color w:val="000000"/>
          <w:u w:val="single"/>
          <w:lang w:val="en-US"/>
        </w:rPr>
        <w:t>www</w:t>
      </w:r>
      <w:r w:rsidRPr="00C25D90">
        <w:rPr>
          <w:rFonts w:eastAsia="Times New Roman" w:cs="Arial"/>
          <w:color w:val="000000"/>
          <w:u w:val="single"/>
          <w:lang w:val="ru-RU"/>
        </w:rPr>
        <w:t>.</w:t>
      </w:r>
      <w:proofErr w:type="spellStart"/>
      <w:r w:rsidRPr="00C25D90">
        <w:rPr>
          <w:rFonts w:eastAsia="Times New Roman" w:cs="Arial"/>
          <w:color w:val="000000"/>
          <w:u w:val="single"/>
          <w:lang w:val="en-US"/>
        </w:rPr>
        <w:t>bda</w:t>
      </w:r>
      <w:proofErr w:type="spellEnd"/>
      <w:r w:rsidRPr="00C25D90">
        <w:rPr>
          <w:rFonts w:eastAsia="Times New Roman" w:cs="Arial"/>
          <w:color w:val="000000"/>
          <w:u w:val="single"/>
          <w:lang w:val="ru-RU"/>
        </w:rPr>
        <w:t>.</w:t>
      </w:r>
      <w:proofErr w:type="spellStart"/>
      <w:r w:rsidRPr="00C25D90">
        <w:rPr>
          <w:rFonts w:eastAsia="Times New Roman" w:cs="Arial"/>
          <w:color w:val="000000"/>
          <w:u w:val="single"/>
          <w:lang w:val="en-US"/>
        </w:rPr>
        <w:t>bg</w:t>
      </w:r>
      <w:proofErr w:type="spellEnd"/>
      <w:r w:rsidRPr="00C25D90">
        <w:rPr>
          <w:rFonts w:eastAsia="Times New Roman" w:cs="Arial"/>
        </w:rPr>
        <w:fldChar w:fldCharType="end"/>
      </w:r>
    </w:p>
    <w:p w14:paraId="22846972" w14:textId="2E0191B3" w:rsidR="00C25D90" w:rsidRPr="00C25D90" w:rsidRDefault="00C25D90" w:rsidP="00C25D90"/>
    <w:p w14:paraId="5A87DBA3" w14:textId="03C3D429" w:rsidR="007122AD" w:rsidRDefault="002C50EE" w:rsidP="00936AD0">
      <w:pPr>
        <w:pStyle w:val="Heading2"/>
      </w:pPr>
      <w:r>
        <w:t>4.9. Предозиране</w:t>
      </w:r>
    </w:p>
    <w:p w14:paraId="0AAED149" w14:textId="6F9F8D52" w:rsidR="00C25D90" w:rsidRDefault="00C25D90" w:rsidP="00C25D90"/>
    <w:p w14:paraId="63994D1F" w14:textId="77777777" w:rsidR="00C25D90" w:rsidRPr="00C25D90" w:rsidRDefault="00C25D90" w:rsidP="00C25D90">
      <w:pPr>
        <w:rPr>
          <w:sz w:val="24"/>
          <w:szCs w:val="24"/>
        </w:rPr>
      </w:pPr>
      <w:r w:rsidRPr="00C25D90">
        <w:rPr>
          <w:lang w:eastAsia="bg-BG"/>
        </w:rPr>
        <w:t>Няма специфично лечение в случай на предозиране. В случай на предозиране, пациентът трябва да се лекува симптоматично и при необходимост да се приложи под държащо лечение. Чернодробната функция и нивата на СК трябва да се наблюдават. Хемодиализата е малко вероятно да бъде от полза.</w:t>
      </w:r>
    </w:p>
    <w:p w14:paraId="56FD7EA5" w14:textId="77777777" w:rsidR="00C25D90" w:rsidRPr="00C25D90" w:rsidRDefault="00C25D90" w:rsidP="00C25D90"/>
    <w:p w14:paraId="02081B24" w14:textId="36FE76F4" w:rsidR="00395555" w:rsidRPr="00395555" w:rsidRDefault="002C50EE" w:rsidP="008A6AF2">
      <w:pPr>
        <w:pStyle w:val="Heading1"/>
      </w:pPr>
      <w:r>
        <w:t>5. ФАРМАКОЛОГИЧНИ СВОЙСТВА</w:t>
      </w:r>
    </w:p>
    <w:p w14:paraId="6339E404" w14:textId="0B3093D4" w:rsidR="00875EEC" w:rsidRDefault="002C50EE" w:rsidP="005726E3">
      <w:pPr>
        <w:pStyle w:val="Heading2"/>
      </w:pPr>
      <w:r>
        <w:t>5.1. Фармакодинамични свойства</w:t>
      </w:r>
    </w:p>
    <w:p w14:paraId="61A3DF44" w14:textId="66B916D5" w:rsidR="00C25D90" w:rsidRDefault="00C25D90" w:rsidP="00C25D90"/>
    <w:p w14:paraId="3D6F304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Фармакотерапевтична група: Лекарства, регулиращи липидите, инхибитори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редукгаза</w:t>
      </w:r>
    </w:p>
    <w:p w14:paraId="6D9BEB88"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АТС код: С10АА07</w:t>
      </w:r>
    </w:p>
    <w:p w14:paraId="74EE4546" w14:textId="77777777" w:rsidR="00C25D90" w:rsidRPr="00C25D90" w:rsidRDefault="00C25D90" w:rsidP="00C25D90">
      <w:pPr>
        <w:spacing w:line="240" w:lineRule="auto"/>
        <w:rPr>
          <w:rFonts w:eastAsia="Times New Roman" w:cs="Arial"/>
          <w:color w:val="000000"/>
          <w:szCs w:val="20"/>
          <w:u w:val="single"/>
          <w:lang w:eastAsia="bg-BG"/>
        </w:rPr>
      </w:pPr>
    </w:p>
    <w:p w14:paraId="11A7B526" w14:textId="142545AA"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Механизъм на действие</w:t>
      </w:r>
    </w:p>
    <w:p w14:paraId="69DD264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Розувастатин е селективен и конкурентен инхибитор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редуктазата, ензим, ограничаващ скоростта, който превръща З-хидрокси-З-метилглутарил коензим А в мевалонат, прекурсор на холестерола. Основното място на действие на розувастатин е черният дроб, целевият орган за понижаване на холестерола.</w:t>
      </w:r>
    </w:p>
    <w:p w14:paraId="217497B5" w14:textId="77777777" w:rsidR="00C25D90" w:rsidRPr="00C25D90" w:rsidRDefault="00C25D90" w:rsidP="00C25D90">
      <w:pPr>
        <w:spacing w:line="240" w:lineRule="auto"/>
        <w:rPr>
          <w:rFonts w:eastAsia="Times New Roman" w:cs="Arial"/>
          <w:color w:val="000000"/>
          <w:szCs w:val="20"/>
          <w:lang w:eastAsia="bg-BG"/>
        </w:rPr>
      </w:pPr>
    </w:p>
    <w:p w14:paraId="641269D4" w14:textId="73E4894F"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Розувастатин увеличава броя на чернодробните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рецептори върху клетъчната повърхност, като засилва поглъщането и катаболизма на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и инхибира чернодробната синтеза на </w:t>
      </w:r>
      <w:r w:rsidRPr="00C25D90">
        <w:rPr>
          <w:rFonts w:eastAsia="Times New Roman" w:cs="Arial"/>
          <w:color w:val="000000"/>
          <w:szCs w:val="20"/>
          <w:lang w:val="en-US"/>
        </w:rPr>
        <w:t>VLDL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като по този начин намалява общия брой на </w:t>
      </w:r>
      <w:r w:rsidRPr="00C25D90">
        <w:rPr>
          <w:rFonts w:eastAsia="Times New Roman" w:cs="Arial"/>
          <w:color w:val="000000"/>
          <w:szCs w:val="20"/>
          <w:lang w:val="en-US"/>
        </w:rPr>
        <w:t>VLDL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и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частиците.</w:t>
      </w:r>
    </w:p>
    <w:p w14:paraId="6671363D" w14:textId="77777777" w:rsidR="00C25D90" w:rsidRPr="00C25D90" w:rsidRDefault="00C25D90" w:rsidP="00C25D90">
      <w:pPr>
        <w:spacing w:line="240" w:lineRule="auto"/>
        <w:rPr>
          <w:rFonts w:eastAsia="Times New Roman" w:cs="Arial"/>
          <w:color w:val="000000"/>
          <w:szCs w:val="20"/>
          <w:u w:val="single"/>
          <w:lang w:eastAsia="bg-BG"/>
        </w:rPr>
      </w:pPr>
    </w:p>
    <w:p w14:paraId="3172C368" w14:textId="10ECC5E9"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Фармакодинамични ефекти</w:t>
      </w:r>
    </w:p>
    <w:p w14:paraId="1ABF3B02"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Ропуидо намалява повишения </w:t>
      </w:r>
      <w:r w:rsidRPr="00C25D90">
        <w:rPr>
          <w:rFonts w:eastAsia="Times New Roman" w:cs="Arial"/>
          <w:color w:val="000000"/>
          <w:szCs w:val="20"/>
          <w:lang w:val="en-US"/>
        </w:rPr>
        <w:t>LDL</w:t>
      </w:r>
      <w:r w:rsidRPr="00C25D90">
        <w:rPr>
          <w:rFonts w:eastAsia="Times New Roman" w:cs="Arial"/>
          <w:color w:val="000000"/>
          <w:szCs w:val="20"/>
          <w:lang w:eastAsia="bg-BG"/>
        </w:rPr>
        <w:t xml:space="preserve">-холестерол, общия холестерол и триглицеридите, и повишава </w:t>
      </w:r>
      <w:r w:rsidRPr="00C25D90">
        <w:rPr>
          <w:rFonts w:eastAsia="Times New Roman" w:cs="Arial"/>
          <w:color w:val="000000"/>
          <w:szCs w:val="20"/>
          <w:lang w:val="en-US"/>
        </w:rPr>
        <w:t>HDL</w:t>
      </w:r>
      <w:r w:rsidRPr="00C25D90">
        <w:rPr>
          <w:rFonts w:eastAsia="Times New Roman" w:cs="Arial"/>
          <w:color w:val="000000"/>
          <w:szCs w:val="20"/>
          <w:lang w:eastAsia="bg-BG"/>
        </w:rPr>
        <w:t xml:space="preserve">-холестерола. Той също понижава АроВ, </w:t>
      </w:r>
      <w:proofErr w:type="spellStart"/>
      <w:r w:rsidRPr="00C25D90">
        <w:rPr>
          <w:rFonts w:eastAsia="Times New Roman" w:cs="Arial"/>
          <w:color w:val="000000"/>
          <w:szCs w:val="20"/>
          <w:lang w:val="en-US"/>
        </w:rPr>
        <w:t>nonHDL</w:t>
      </w:r>
      <w:proofErr w:type="spellEnd"/>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val="en-US"/>
        </w:rPr>
        <w:t>VLDL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val="en-US"/>
        </w:rPr>
        <w:t>VLDL</w:t>
      </w:r>
      <w:r w:rsidRPr="00C25D90">
        <w:rPr>
          <w:rFonts w:eastAsia="Times New Roman" w:cs="Arial"/>
          <w:color w:val="000000"/>
          <w:szCs w:val="20"/>
        </w:rPr>
        <w:t>-</w:t>
      </w:r>
      <w:r w:rsidRPr="00C25D90">
        <w:rPr>
          <w:rFonts w:eastAsia="Times New Roman" w:cs="Arial"/>
          <w:color w:val="000000"/>
          <w:szCs w:val="20"/>
          <w:lang w:val="en-US"/>
        </w:rPr>
        <w:t>TG</w:t>
      </w:r>
      <w:r w:rsidRPr="00C25D90">
        <w:rPr>
          <w:rFonts w:eastAsia="Times New Roman" w:cs="Arial"/>
          <w:color w:val="000000"/>
          <w:szCs w:val="20"/>
        </w:rPr>
        <w:t xml:space="preserve"> </w:t>
      </w:r>
      <w:r w:rsidRPr="00C25D90">
        <w:rPr>
          <w:rFonts w:eastAsia="Times New Roman" w:cs="Arial"/>
          <w:color w:val="000000"/>
          <w:szCs w:val="20"/>
          <w:lang w:eastAsia="bg-BG"/>
        </w:rPr>
        <w:t>и повишава АроА</w:t>
      </w:r>
      <w:r w:rsidRPr="00C25D90">
        <w:rPr>
          <w:rFonts w:eastAsia="Times New Roman" w:cs="Arial"/>
          <w:color w:val="000000"/>
          <w:szCs w:val="20"/>
        </w:rPr>
        <w:t>-</w:t>
      </w:r>
      <w:r w:rsidRPr="00C25D90">
        <w:rPr>
          <w:rFonts w:eastAsia="Times New Roman" w:cs="Arial"/>
          <w:color w:val="000000"/>
          <w:szCs w:val="20"/>
          <w:lang w:val="en-US"/>
        </w:rPr>
        <w:t>I</w:t>
      </w:r>
      <w:r w:rsidRPr="00C25D90">
        <w:rPr>
          <w:rFonts w:eastAsia="Times New Roman" w:cs="Arial"/>
          <w:color w:val="000000"/>
          <w:szCs w:val="20"/>
        </w:rPr>
        <w:t xml:space="preserve"> </w:t>
      </w:r>
      <w:r w:rsidRPr="00C25D90">
        <w:rPr>
          <w:rFonts w:eastAsia="Times New Roman" w:cs="Arial"/>
          <w:color w:val="000000"/>
          <w:szCs w:val="20"/>
          <w:lang w:eastAsia="bg-BG"/>
        </w:rPr>
        <w:t xml:space="preserve">(вж. Таблица 3). Ропуидо също понижава </w:t>
      </w:r>
      <w:r w:rsidRPr="00C25D90">
        <w:rPr>
          <w:rFonts w:eastAsia="Times New Roman" w:cs="Arial"/>
          <w:color w:val="000000"/>
          <w:szCs w:val="20"/>
          <w:lang w:val="en-US"/>
        </w:rPr>
        <w:t>LDL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w:t>
      </w:r>
      <w:r w:rsidRPr="00C25D90">
        <w:rPr>
          <w:rFonts w:eastAsia="Times New Roman" w:cs="Arial"/>
          <w:color w:val="000000"/>
          <w:szCs w:val="20"/>
          <w:lang w:val="en-US"/>
        </w:rPr>
        <w:t>HDL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eastAsia="bg-BG"/>
        </w:rPr>
        <w:t xml:space="preserve">общия </w:t>
      </w:r>
      <w:r w:rsidRPr="00C25D90">
        <w:rPr>
          <w:rFonts w:eastAsia="Times New Roman" w:cs="Arial"/>
          <w:color w:val="000000"/>
          <w:szCs w:val="20"/>
          <w:lang w:val="en-US"/>
        </w:rPr>
        <w:t>C</w:t>
      </w:r>
      <w:r w:rsidRPr="00C25D90">
        <w:rPr>
          <w:rFonts w:eastAsia="Times New Roman" w:cs="Arial"/>
          <w:color w:val="000000"/>
          <w:szCs w:val="20"/>
        </w:rPr>
        <w:t>/</w:t>
      </w:r>
      <w:r w:rsidRPr="00C25D90">
        <w:rPr>
          <w:rFonts w:eastAsia="Times New Roman" w:cs="Arial"/>
          <w:color w:val="000000"/>
          <w:szCs w:val="20"/>
          <w:lang w:val="en-US"/>
        </w:rPr>
        <w:t>HDL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eastAsia="bg-BG"/>
        </w:rPr>
        <w:t xml:space="preserve">и съотношенията </w:t>
      </w:r>
      <w:proofErr w:type="spellStart"/>
      <w:r w:rsidRPr="00C25D90">
        <w:rPr>
          <w:rFonts w:eastAsia="Times New Roman" w:cs="Arial"/>
          <w:color w:val="000000"/>
          <w:szCs w:val="20"/>
          <w:lang w:val="en-US"/>
        </w:rPr>
        <w:t>nonHDL</w:t>
      </w:r>
      <w:proofErr w:type="spellEnd"/>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w:t>
      </w:r>
      <w:r w:rsidRPr="00C25D90">
        <w:rPr>
          <w:rFonts w:eastAsia="Times New Roman" w:cs="Arial"/>
          <w:color w:val="000000"/>
          <w:szCs w:val="20"/>
          <w:lang w:val="en-US"/>
        </w:rPr>
        <w:t>HDL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eastAsia="bg-BG"/>
        </w:rPr>
        <w:t>и АроВ/АроА</w:t>
      </w:r>
      <w:r w:rsidRPr="00C25D90">
        <w:rPr>
          <w:rFonts w:eastAsia="Times New Roman" w:cs="Arial"/>
          <w:color w:val="000000"/>
          <w:szCs w:val="20"/>
        </w:rPr>
        <w:t>-</w:t>
      </w:r>
      <w:r w:rsidRPr="00C25D90">
        <w:rPr>
          <w:rFonts w:eastAsia="Times New Roman" w:cs="Arial"/>
          <w:color w:val="000000"/>
          <w:szCs w:val="20"/>
          <w:lang w:val="en-US"/>
        </w:rPr>
        <w:t>I</w:t>
      </w:r>
      <w:r w:rsidRPr="00C25D90">
        <w:rPr>
          <w:rFonts w:eastAsia="Times New Roman" w:cs="Arial"/>
          <w:color w:val="000000"/>
          <w:szCs w:val="20"/>
        </w:rPr>
        <w:t>.</w:t>
      </w:r>
    </w:p>
    <w:p w14:paraId="03BEBAD5" w14:textId="77777777" w:rsidR="00C25D90" w:rsidRPr="00C25D90" w:rsidRDefault="00C25D90" w:rsidP="00C25D90">
      <w:pPr>
        <w:spacing w:line="240" w:lineRule="auto"/>
        <w:rPr>
          <w:rFonts w:eastAsia="Times New Roman" w:cs="Arial"/>
          <w:b/>
          <w:bCs/>
          <w:color w:val="000000"/>
          <w:szCs w:val="20"/>
          <w:lang w:eastAsia="bg-BG"/>
        </w:rPr>
      </w:pPr>
    </w:p>
    <w:p w14:paraId="3547877B" w14:textId="2EAE02E5"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Таблица 3 Отговор към дозата при пациенти с първична хиперхолестеролемия (т</w:t>
      </w:r>
      <w:r>
        <w:rPr>
          <w:rFonts w:eastAsia="Times New Roman" w:cs="Arial"/>
          <w:b/>
          <w:bCs/>
          <w:color w:val="000000"/>
          <w:szCs w:val="20"/>
          <w:lang w:eastAsia="bg-BG"/>
        </w:rPr>
        <w:t>ип II</w:t>
      </w:r>
      <w:r w:rsidRPr="00C25D90">
        <w:rPr>
          <w:rFonts w:eastAsia="Times New Roman" w:cs="Arial"/>
          <w:b/>
          <w:bCs/>
          <w:color w:val="000000"/>
          <w:szCs w:val="20"/>
          <w:lang w:eastAsia="bg-BG"/>
        </w:rPr>
        <w:t xml:space="preserve">а и </w:t>
      </w:r>
      <w:proofErr w:type="spellStart"/>
      <w:r>
        <w:rPr>
          <w:rFonts w:eastAsia="Times New Roman" w:cs="Arial"/>
          <w:b/>
          <w:bCs/>
          <w:color w:val="000000"/>
          <w:szCs w:val="20"/>
          <w:lang w:val="en-US"/>
        </w:rPr>
        <w:t>II</w:t>
      </w:r>
      <w:r w:rsidRPr="00C25D90">
        <w:rPr>
          <w:rFonts w:eastAsia="Times New Roman" w:cs="Arial"/>
          <w:b/>
          <w:bCs/>
          <w:color w:val="000000"/>
          <w:szCs w:val="20"/>
          <w:lang w:val="en-US"/>
        </w:rPr>
        <w:t>b</w:t>
      </w:r>
      <w:proofErr w:type="spellEnd"/>
      <w:r w:rsidRPr="00C25D90">
        <w:rPr>
          <w:rFonts w:eastAsia="Times New Roman" w:cs="Arial"/>
          <w:b/>
          <w:bCs/>
          <w:color w:val="000000"/>
          <w:szCs w:val="20"/>
          <w:lang w:val="ru-RU"/>
        </w:rPr>
        <w:t xml:space="preserve">) </w:t>
      </w:r>
      <w:r w:rsidRPr="00C25D90">
        <w:rPr>
          <w:rFonts w:eastAsia="Times New Roman" w:cs="Arial"/>
          <w:b/>
          <w:bCs/>
          <w:color w:val="000000"/>
          <w:szCs w:val="20"/>
          <w:lang w:eastAsia="bg-BG"/>
        </w:rPr>
        <w:t>(коригирана средна процентна промяна от изходното ниво)</w:t>
      </w:r>
    </w:p>
    <w:tbl>
      <w:tblPr>
        <w:tblStyle w:val="TableGrid"/>
        <w:tblW w:w="0" w:type="auto"/>
        <w:tblLook w:val="04A0" w:firstRow="1" w:lastRow="0" w:firstColumn="1" w:lastColumn="0" w:noHBand="0" w:noVBand="1"/>
      </w:tblPr>
      <w:tblGrid>
        <w:gridCol w:w="1110"/>
        <w:gridCol w:w="980"/>
        <w:gridCol w:w="1015"/>
        <w:gridCol w:w="1029"/>
        <w:gridCol w:w="1019"/>
        <w:gridCol w:w="988"/>
        <w:gridCol w:w="1145"/>
        <w:gridCol w:w="1027"/>
        <w:gridCol w:w="1037"/>
      </w:tblGrid>
      <w:tr w:rsidR="00C25D90" w14:paraId="1389558E" w14:textId="77777777" w:rsidTr="00444733">
        <w:tc>
          <w:tcPr>
            <w:tcW w:w="1110" w:type="dxa"/>
          </w:tcPr>
          <w:p w14:paraId="38A8582F" w14:textId="3FA87BFB" w:rsidR="00C25D90" w:rsidRPr="00C25D90" w:rsidRDefault="00C25D90" w:rsidP="00C25D90">
            <w:pPr>
              <w:rPr>
                <w:rFonts w:cs="Arial"/>
              </w:rPr>
            </w:pPr>
            <w:r w:rsidRPr="00C25D90">
              <w:rPr>
                <w:rFonts w:cs="Arial"/>
                <w:b/>
                <w:bCs/>
              </w:rPr>
              <w:t>Доза</w:t>
            </w:r>
          </w:p>
        </w:tc>
        <w:tc>
          <w:tcPr>
            <w:tcW w:w="1034" w:type="dxa"/>
          </w:tcPr>
          <w:p w14:paraId="2D4BD054" w14:textId="3DA93515" w:rsidR="00C25D90" w:rsidRPr="00C25D90" w:rsidRDefault="00C25D90" w:rsidP="00C25D90">
            <w:pPr>
              <w:rPr>
                <w:rFonts w:cs="Arial"/>
              </w:rPr>
            </w:pPr>
            <w:r w:rsidRPr="00C25D90">
              <w:rPr>
                <w:rFonts w:cs="Arial"/>
                <w:b/>
                <w:bCs/>
                <w:lang w:val="en-US"/>
              </w:rPr>
              <w:t>N</w:t>
            </w:r>
          </w:p>
        </w:tc>
        <w:tc>
          <w:tcPr>
            <w:tcW w:w="1046" w:type="dxa"/>
          </w:tcPr>
          <w:p w14:paraId="5083E468" w14:textId="1F664BDC" w:rsidR="00C25D90" w:rsidRPr="00C25D90" w:rsidRDefault="00C25D90" w:rsidP="00C25D90">
            <w:pPr>
              <w:rPr>
                <w:rFonts w:cs="Arial"/>
              </w:rPr>
            </w:pPr>
            <w:r w:rsidRPr="00C25D90">
              <w:rPr>
                <w:rFonts w:cs="Arial"/>
                <w:b/>
                <w:bCs/>
                <w:lang w:val="en-US"/>
              </w:rPr>
              <w:t>LDL-C</w:t>
            </w:r>
          </w:p>
        </w:tc>
        <w:tc>
          <w:tcPr>
            <w:tcW w:w="1051" w:type="dxa"/>
          </w:tcPr>
          <w:p w14:paraId="6EDE44F7" w14:textId="3278F99C" w:rsidR="00C25D90" w:rsidRPr="00C25D90" w:rsidRDefault="00C25D90" w:rsidP="00C25D90">
            <w:pPr>
              <w:rPr>
                <w:rFonts w:cs="Arial"/>
              </w:rPr>
            </w:pPr>
            <w:r w:rsidRPr="00C25D90">
              <w:rPr>
                <w:rFonts w:cs="Arial"/>
                <w:b/>
                <w:bCs/>
                <w:lang w:val="en-US"/>
              </w:rPr>
              <w:t>Total-C</w:t>
            </w:r>
          </w:p>
        </w:tc>
        <w:tc>
          <w:tcPr>
            <w:tcW w:w="1048" w:type="dxa"/>
          </w:tcPr>
          <w:p w14:paraId="6008BA1B" w14:textId="660CA279" w:rsidR="00C25D90" w:rsidRPr="00C25D90" w:rsidRDefault="00C25D90" w:rsidP="00C25D90">
            <w:pPr>
              <w:rPr>
                <w:rFonts w:cs="Arial"/>
              </w:rPr>
            </w:pPr>
            <w:r w:rsidRPr="00C25D90">
              <w:rPr>
                <w:rFonts w:cs="Arial"/>
                <w:b/>
                <w:bCs/>
                <w:lang w:val="en-US"/>
              </w:rPr>
              <w:t>HDL-C</w:t>
            </w:r>
          </w:p>
        </w:tc>
        <w:tc>
          <w:tcPr>
            <w:tcW w:w="1037" w:type="dxa"/>
          </w:tcPr>
          <w:p w14:paraId="49D879BF" w14:textId="0DC1DCC5" w:rsidR="00C25D90" w:rsidRPr="00C25D90" w:rsidRDefault="00C25D90" w:rsidP="00C25D90">
            <w:pPr>
              <w:rPr>
                <w:rFonts w:cs="Arial"/>
              </w:rPr>
            </w:pPr>
            <w:r w:rsidRPr="00C25D90">
              <w:rPr>
                <w:rFonts w:cs="Arial"/>
                <w:b/>
                <w:bCs/>
                <w:lang w:val="en-US"/>
              </w:rPr>
              <w:t>TG</w:t>
            </w:r>
          </w:p>
        </w:tc>
        <w:tc>
          <w:tcPr>
            <w:tcW w:w="1145" w:type="dxa"/>
          </w:tcPr>
          <w:p w14:paraId="10C3695C" w14:textId="613F18C1" w:rsidR="00C25D90" w:rsidRPr="00C25D90" w:rsidRDefault="00C25D90" w:rsidP="00C25D90">
            <w:pPr>
              <w:rPr>
                <w:rFonts w:cs="Arial"/>
              </w:rPr>
            </w:pPr>
            <w:proofErr w:type="spellStart"/>
            <w:r w:rsidRPr="00C25D90">
              <w:rPr>
                <w:rFonts w:cs="Arial"/>
                <w:b/>
                <w:bCs/>
                <w:lang w:val="en-US"/>
              </w:rPr>
              <w:t>nonHDL</w:t>
            </w:r>
            <w:proofErr w:type="spellEnd"/>
            <w:r w:rsidRPr="00C25D90">
              <w:rPr>
                <w:rFonts w:cs="Arial"/>
                <w:b/>
                <w:bCs/>
                <w:lang w:val="en-US"/>
              </w:rPr>
              <w:t>-C</w:t>
            </w:r>
          </w:p>
        </w:tc>
        <w:tc>
          <w:tcPr>
            <w:tcW w:w="1051" w:type="dxa"/>
          </w:tcPr>
          <w:p w14:paraId="33ADA126" w14:textId="4CA57DE0" w:rsidR="00C25D90" w:rsidRPr="00C25D90" w:rsidRDefault="00C25D90" w:rsidP="00C25D90">
            <w:pPr>
              <w:rPr>
                <w:rFonts w:cs="Arial"/>
              </w:rPr>
            </w:pPr>
            <w:r w:rsidRPr="00C25D90">
              <w:rPr>
                <w:rFonts w:cs="Arial"/>
                <w:b/>
                <w:bCs/>
              </w:rPr>
              <w:t>АроВ</w:t>
            </w:r>
          </w:p>
        </w:tc>
        <w:tc>
          <w:tcPr>
            <w:tcW w:w="1054" w:type="dxa"/>
          </w:tcPr>
          <w:p w14:paraId="270C0786" w14:textId="03DAEB72" w:rsidR="00C25D90" w:rsidRPr="00C25D90" w:rsidRDefault="00C25D90" w:rsidP="00C25D90">
            <w:pPr>
              <w:rPr>
                <w:rFonts w:cs="Arial"/>
              </w:rPr>
            </w:pPr>
            <w:r w:rsidRPr="00C25D90">
              <w:rPr>
                <w:rFonts w:cs="Arial"/>
                <w:b/>
                <w:bCs/>
              </w:rPr>
              <w:t>АроА-1</w:t>
            </w:r>
          </w:p>
        </w:tc>
      </w:tr>
      <w:tr w:rsidR="00C25D90" w14:paraId="18107E71" w14:textId="77777777" w:rsidTr="00444733">
        <w:tc>
          <w:tcPr>
            <w:tcW w:w="1110" w:type="dxa"/>
          </w:tcPr>
          <w:p w14:paraId="16A3F311" w14:textId="00872B91" w:rsidR="00C25D90" w:rsidRPr="00C25D90" w:rsidRDefault="00C25D90" w:rsidP="00C25D90">
            <w:pPr>
              <w:rPr>
                <w:rFonts w:cs="Arial"/>
              </w:rPr>
            </w:pPr>
            <w:r w:rsidRPr="00C25D90">
              <w:rPr>
                <w:rFonts w:cs="Arial"/>
              </w:rPr>
              <w:t>Плацсбо</w:t>
            </w:r>
          </w:p>
        </w:tc>
        <w:tc>
          <w:tcPr>
            <w:tcW w:w="1034" w:type="dxa"/>
          </w:tcPr>
          <w:p w14:paraId="2AB09BC8" w14:textId="5C9F0129" w:rsidR="00C25D90" w:rsidRPr="00C25D90" w:rsidRDefault="00C25D90" w:rsidP="00C25D90">
            <w:pPr>
              <w:rPr>
                <w:rFonts w:cs="Arial"/>
              </w:rPr>
            </w:pPr>
            <w:r w:rsidRPr="00C25D90">
              <w:rPr>
                <w:rFonts w:cs="Arial"/>
              </w:rPr>
              <w:t>13</w:t>
            </w:r>
          </w:p>
        </w:tc>
        <w:tc>
          <w:tcPr>
            <w:tcW w:w="1046" w:type="dxa"/>
          </w:tcPr>
          <w:p w14:paraId="545521DE" w14:textId="5AFC7788" w:rsidR="00C25D90" w:rsidRPr="00C25D90" w:rsidRDefault="00C25D90" w:rsidP="00C25D90">
            <w:pPr>
              <w:rPr>
                <w:rFonts w:cs="Arial"/>
              </w:rPr>
            </w:pPr>
            <w:r w:rsidRPr="00C25D90">
              <w:rPr>
                <w:rFonts w:cs="Arial"/>
              </w:rPr>
              <w:t>-7</w:t>
            </w:r>
          </w:p>
        </w:tc>
        <w:tc>
          <w:tcPr>
            <w:tcW w:w="1051" w:type="dxa"/>
          </w:tcPr>
          <w:p w14:paraId="61013629" w14:textId="22828874" w:rsidR="00C25D90" w:rsidRPr="00C25D90" w:rsidRDefault="00C25D90" w:rsidP="00C25D90">
            <w:pPr>
              <w:rPr>
                <w:rFonts w:cs="Arial"/>
              </w:rPr>
            </w:pPr>
            <w:r w:rsidRPr="00C25D90">
              <w:rPr>
                <w:rFonts w:cs="Arial"/>
              </w:rPr>
              <w:t>-5</w:t>
            </w:r>
          </w:p>
        </w:tc>
        <w:tc>
          <w:tcPr>
            <w:tcW w:w="1048" w:type="dxa"/>
          </w:tcPr>
          <w:p w14:paraId="0687AE0C" w14:textId="04B9A123" w:rsidR="00C25D90" w:rsidRPr="00C25D90" w:rsidRDefault="00C25D90" w:rsidP="00C25D90">
            <w:pPr>
              <w:rPr>
                <w:rFonts w:cs="Arial"/>
              </w:rPr>
            </w:pPr>
            <w:r w:rsidRPr="00C25D90">
              <w:rPr>
                <w:rFonts w:cs="Arial"/>
              </w:rPr>
              <w:t>3</w:t>
            </w:r>
          </w:p>
        </w:tc>
        <w:tc>
          <w:tcPr>
            <w:tcW w:w="1037" w:type="dxa"/>
          </w:tcPr>
          <w:p w14:paraId="1E2CAC19" w14:textId="60676AC5" w:rsidR="00C25D90" w:rsidRPr="00C25D90" w:rsidRDefault="00C25D90" w:rsidP="00C25D90">
            <w:pPr>
              <w:rPr>
                <w:rFonts w:cs="Arial"/>
              </w:rPr>
            </w:pPr>
            <w:r w:rsidRPr="00C25D90">
              <w:rPr>
                <w:rFonts w:cs="Arial"/>
              </w:rPr>
              <w:t>-3</w:t>
            </w:r>
          </w:p>
        </w:tc>
        <w:tc>
          <w:tcPr>
            <w:tcW w:w="1145" w:type="dxa"/>
          </w:tcPr>
          <w:p w14:paraId="32D2F53A" w14:textId="7A77E419" w:rsidR="00C25D90" w:rsidRPr="00C25D90" w:rsidRDefault="00C25D90" w:rsidP="00C25D90">
            <w:pPr>
              <w:rPr>
                <w:rFonts w:cs="Arial"/>
              </w:rPr>
            </w:pPr>
            <w:r w:rsidRPr="00C25D90">
              <w:rPr>
                <w:rFonts w:cs="Arial"/>
              </w:rPr>
              <w:t>-7</w:t>
            </w:r>
          </w:p>
        </w:tc>
        <w:tc>
          <w:tcPr>
            <w:tcW w:w="1051" w:type="dxa"/>
          </w:tcPr>
          <w:p w14:paraId="62168A1C" w14:textId="64769FCC" w:rsidR="00C25D90" w:rsidRPr="00C25D90" w:rsidRDefault="00C25D90" w:rsidP="00C25D90">
            <w:pPr>
              <w:rPr>
                <w:rFonts w:cs="Arial"/>
              </w:rPr>
            </w:pPr>
            <w:r w:rsidRPr="00C25D90">
              <w:rPr>
                <w:rFonts w:cs="Arial"/>
              </w:rPr>
              <w:t>-3</w:t>
            </w:r>
          </w:p>
        </w:tc>
        <w:tc>
          <w:tcPr>
            <w:tcW w:w="1054" w:type="dxa"/>
          </w:tcPr>
          <w:p w14:paraId="15BD3E6C" w14:textId="35DD33BF" w:rsidR="00C25D90" w:rsidRPr="00C25D90" w:rsidRDefault="00C25D90" w:rsidP="00C25D90">
            <w:pPr>
              <w:rPr>
                <w:rFonts w:cs="Arial"/>
              </w:rPr>
            </w:pPr>
            <w:r w:rsidRPr="00C25D90">
              <w:rPr>
                <w:rFonts w:cs="Arial"/>
              </w:rPr>
              <w:t>0</w:t>
            </w:r>
          </w:p>
        </w:tc>
      </w:tr>
      <w:tr w:rsidR="00C25D90" w14:paraId="732A3372" w14:textId="77777777" w:rsidTr="00444733">
        <w:tc>
          <w:tcPr>
            <w:tcW w:w="1110" w:type="dxa"/>
          </w:tcPr>
          <w:p w14:paraId="4BCF7A49" w14:textId="0216E9AD" w:rsidR="00C25D90" w:rsidRPr="00C25D90" w:rsidRDefault="00C25D90" w:rsidP="00C25D90">
            <w:pPr>
              <w:rPr>
                <w:rFonts w:cs="Arial"/>
              </w:rPr>
            </w:pPr>
            <w:r w:rsidRPr="00C25D90">
              <w:rPr>
                <w:rFonts w:cs="Arial"/>
              </w:rPr>
              <w:t>5</w:t>
            </w:r>
          </w:p>
        </w:tc>
        <w:tc>
          <w:tcPr>
            <w:tcW w:w="1034" w:type="dxa"/>
          </w:tcPr>
          <w:p w14:paraId="71931610" w14:textId="440F49AB" w:rsidR="00C25D90" w:rsidRPr="00C25D90" w:rsidRDefault="00C25D90" w:rsidP="00C25D90">
            <w:pPr>
              <w:rPr>
                <w:rFonts w:cs="Arial"/>
              </w:rPr>
            </w:pPr>
            <w:r w:rsidRPr="00C25D90">
              <w:rPr>
                <w:rFonts w:cs="Arial"/>
              </w:rPr>
              <w:t>17</w:t>
            </w:r>
          </w:p>
        </w:tc>
        <w:tc>
          <w:tcPr>
            <w:tcW w:w="1046" w:type="dxa"/>
          </w:tcPr>
          <w:p w14:paraId="32C251F5" w14:textId="198A0B54" w:rsidR="00C25D90" w:rsidRPr="00C25D90" w:rsidRDefault="00C25D90" w:rsidP="00C25D90">
            <w:pPr>
              <w:rPr>
                <w:rFonts w:cs="Arial"/>
              </w:rPr>
            </w:pPr>
            <w:r w:rsidRPr="00C25D90">
              <w:rPr>
                <w:rFonts w:cs="Arial"/>
              </w:rPr>
              <w:t>-45</w:t>
            </w:r>
          </w:p>
        </w:tc>
        <w:tc>
          <w:tcPr>
            <w:tcW w:w="1051" w:type="dxa"/>
          </w:tcPr>
          <w:p w14:paraId="63CEFE71" w14:textId="5FE156B4" w:rsidR="00C25D90" w:rsidRPr="00C25D90" w:rsidRDefault="00C25D90" w:rsidP="00C25D90">
            <w:pPr>
              <w:rPr>
                <w:rFonts w:cs="Arial"/>
              </w:rPr>
            </w:pPr>
            <w:r w:rsidRPr="00C25D90">
              <w:rPr>
                <w:rFonts w:cs="Arial"/>
              </w:rPr>
              <w:t>-33</w:t>
            </w:r>
          </w:p>
        </w:tc>
        <w:tc>
          <w:tcPr>
            <w:tcW w:w="1048" w:type="dxa"/>
          </w:tcPr>
          <w:p w14:paraId="1704181C" w14:textId="62C81247" w:rsidR="00C25D90" w:rsidRPr="00C25D90" w:rsidRDefault="00C25D90" w:rsidP="00C25D90">
            <w:pPr>
              <w:rPr>
                <w:rFonts w:cs="Arial"/>
              </w:rPr>
            </w:pPr>
            <w:r w:rsidRPr="00C25D90">
              <w:rPr>
                <w:rFonts w:cs="Arial"/>
              </w:rPr>
              <w:t>13</w:t>
            </w:r>
          </w:p>
        </w:tc>
        <w:tc>
          <w:tcPr>
            <w:tcW w:w="1037" w:type="dxa"/>
          </w:tcPr>
          <w:p w14:paraId="131DA299" w14:textId="3072144C" w:rsidR="00C25D90" w:rsidRPr="00C25D90" w:rsidRDefault="00C25D90" w:rsidP="00C25D90">
            <w:pPr>
              <w:rPr>
                <w:rFonts w:cs="Arial"/>
              </w:rPr>
            </w:pPr>
            <w:r w:rsidRPr="00C25D90">
              <w:rPr>
                <w:rFonts w:cs="Arial"/>
              </w:rPr>
              <w:t>-35</w:t>
            </w:r>
          </w:p>
        </w:tc>
        <w:tc>
          <w:tcPr>
            <w:tcW w:w="1145" w:type="dxa"/>
          </w:tcPr>
          <w:p w14:paraId="72F37270" w14:textId="23816DAB" w:rsidR="00C25D90" w:rsidRPr="00C25D90" w:rsidRDefault="00C25D90" w:rsidP="00C25D90">
            <w:pPr>
              <w:rPr>
                <w:rFonts w:cs="Arial"/>
              </w:rPr>
            </w:pPr>
            <w:r w:rsidRPr="00C25D90">
              <w:rPr>
                <w:rFonts w:cs="Arial"/>
              </w:rPr>
              <w:t>-44</w:t>
            </w:r>
          </w:p>
        </w:tc>
        <w:tc>
          <w:tcPr>
            <w:tcW w:w="1051" w:type="dxa"/>
          </w:tcPr>
          <w:p w14:paraId="007A2EFF" w14:textId="37590C98" w:rsidR="00C25D90" w:rsidRPr="00C25D90" w:rsidRDefault="00C25D90" w:rsidP="00C25D90">
            <w:pPr>
              <w:rPr>
                <w:rFonts w:cs="Arial"/>
              </w:rPr>
            </w:pPr>
            <w:r w:rsidRPr="00C25D90">
              <w:rPr>
                <w:rFonts w:cs="Arial"/>
              </w:rPr>
              <w:t>-38</w:t>
            </w:r>
          </w:p>
        </w:tc>
        <w:tc>
          <w:tcPr>
            <w:tcW w:w="1054" w:type="dxa"/>
          </w:tcPr>
          <w:p w14:paraId="6A69AD4C" w14:textId="6E44E407" w:rsidR="00C25D90" w:rsidRPr="00C25D90" w:rsidRDefault="00C25D90" w:rsidP="00C25D90">
            <w:pPr>
              <w:rPr>
                <w:rFonts w:cs="Arial"/>
              </w:rPr>
            </w:pPr>
            <w:r w:rsidRPr="00C25D90">
              <w:rPr>
                <w:rFonts w:cs="Arial"/>
              </w:rPr>
              <w:t>4</w:t>
            </w:r>
          </w:p>
        </w:tc>
      </w:tr>
      <w:tr w:rsidR="00C25D90" w14:paraId="773436B6" w14:textId="77777777" w:rsidTr="00444733">
        <w:tc>
          <w:tcPr>
            <w:tcW w:w="1110" w:type="dxa"/>
          </w:tcPr>
          <w:p w14:paraId="350484DD" w14:textId="63ECE550" w:rsidR="00C25D90" w:rsidRPr="00C25D90" w:rsidRDefault="00C25D90" w:rsidP="00C25D90">
            <w:pPr>
              <w:rPr>
                <w:rFonts w:cs="Arial"/>
              </w:rPr>
            </w:pPr>
            <w:r w:rsidRPr="00C25D90">
              <w:rPr>
                <w:rFonts w:cs="Arial"/>
              </w:rPr>
              <w:t>10</w:t>
            </w:r>
          </w:p>
        </w:tc>
        <w:tc>
          <w:tcPr>
            <w:tcW w:w="1034" w:type="dxa"/>
          </w:tcPr>
          <w:p w14:paraId="0969F438" w14:textId="1226292C" w:rsidR="00C25D90" w:rsidRPr="00C25D90" w:rsidRDefault="00C25D90" w:rsidP="00C25D90">
            <w:pPr>
              <w:rPr>
                <w:rFonts w:cs="Arial"/>
              </w:rPr>
            </w:pPr>
            <w:r w:rsidRPr="00C25D90">
              <w:rPr>
                <w:rFonts w:cs="Arial"/>
              </w:rPr>
              <w:t>17</w:t>
            </w:r>
          </w:p>
        </w:tc>
        <w:tc>
          <w:tcPr>
            <w:tcW w:w="1046" w:type="dxa"/>
          </w:tcPr>
          <w:p w14:paraId="40CACB54" w14:textId="5D06412B" w:rsidR="00C25D90" w:rsidRPr="00C25D90" w:rsidRDefault="00C25D90" w:rsidP="00C25D90">
            <w:pPr>
              <w:rPr>
                <w:rFonts w:cs="Arial"/>
              </w:rPr>
            </w:pPr>
            <w:r w:rsidRPr="00C25D90">
              <w:rPr>
                <w:rFonts w:cs="Arial"/>
              </w:rPr>
              <w:t>-52</w:t>
            </w:r>
          </w:p>
        </w:tc>
        <w:tc>
          <w:tcPr>
            <w:tcW w:w="1051" w:type="dxa"/>
          </w:tcPr>
          <w:p w14:paraId="3EE73E31" w14:textId="53FEF3B3" w:rsidR="00C25D90" w:rsidRPr="00C25D90" w:rsidRDefault="00C25D90" w:rsidP="00C25D90">
            <w:pPr>
              <w:rPr>
                <w:rFonts w:cs="Arial"/>
              </w:rPr>
            </w:pPr>
            <w:r w:rsidRPr="00C25D90">
              <w:rPr>
                <w:rFonts w:cs="Arial"/>
              </w:rPr>
              <w:t>-36</w:t>
            </w:r>
          </w:p>
        </w:tc>
        <w:tc>
          <w:tcPr>
            <w:tcW w:w="1048" w:type="dxa"/>
          </w:tcPr>
          <w:p w14:paraId="4849AE20" w14:textId="76D7F523" w:rsidR="00C25D90" w:rsidRPr="00C25D90" w:rsidRDefault="00C25D90" w:rsidP="00C25D90">
            <w:pPr>
              <w:rPr>
                <w:rFonts w:cs="Arial"/>
              </w:rPr>
            </w:pPr>
            <w:r w:rsidRPr="00C25D90">
              <w:rPr>
                <w:rFonts w:cs="Arial"/>
              </w:rPr>
              <w:t>14</w:t>
            </w:r>
          </w:p>
        </w:tc>
        <w:tc>
          <w:tcPr>
            <w:tcW w:w="1037" w:type="dxa"/>
          </w:tcPr>
          <w:p w14:paraId="4DA9D0AD" w14:textId="55E43B1F" w:rsidR="00C25D90" w:rsidRPr="00C25D90" w:rsidRDefault="00C25D90" w:rsidP="00C25D90">
            <w:pPr>
              <w:rPr>
                <w:rFonts w:cs="Arial"/>
              </w:rPr>
            </w:pPr>
            <w:r w:rsidRPr="00C25D90">
              <w:rPr>
                <w:rFonts w:cs="Arial"/>
              </w:rPr>
              <w:t>-10</w:t>
            </w:r>
          </w:p>
        </w:tc>
        <w:tc>
          <w:tcPr>
            <w:tcW w:w="1145" w:type="dxa"/>
          </w:tcPr>
          <w:p w14:paraId="06B74887" w14:textId="2FBCF465" w:rsidR="00C25D90" w:rsidRPr="00C25D90" w:rsidRDefault="00C25D90" w:rsidP="00C25D90">
            <w:pPr>
              <w:rPr>
                <w:rFonts w:cs="Arial"/>
              </w:rPr>
            </w:pPr>
            <w:r w:rsidRPr="00C25D90">
              <w:rPr>
                <w:rFonts w:cs="Arial"/>
              </w:rPr>
              <w:t>-48</w:t>
            </w:r>
          </w:p>
        </w:tc>
        <w:tc>
          <w:tcPr>
            <w:tcW w:w="1051" w:type="dxa"/>
          </w:tcPr>
          <w:p w14:paraId="4066280D" w14:textId="7EF8A240" w:rsidR="00C25D90" w:rsidRPr="00C25D90" w:rsidRDefault="00C25D90" w:rsidP="00C25D90">
            <w:pPr>
              <w:rPr>
                <w:rFonts w:cs="Arial"/>
              </w:rPr>
            </w:pPr>
            <w:r w:rsidRPr="00C25D90">
              <w:rPr>
                <w:rFonts w:cs="Arial"/>
              </w:rPr>
              <w:t>-42</w:t>
            </w:r>
          </w:p>
        </w:tc>
        <w:tc>
          <w:tcPr>
            <w:tcW w:w="1054" w:type="dxa"/>
          </w:tcPr>
          <w:p w14:paraId="2A1B5FBA" w14:textId="2375701B" w:rsidR="00C25D90" w:rsidRPr="00C25D90" w:rsidRDefault="00C25D90" w:rsidP="00C25D90">
            <w:pPr>
              <w:rPr>
                <w:rFonts w:cs="Arial"/>
              </w:rPr>
            </w:pPr>
            <w:r w:rsidRPr="00C25D90">
              <w:rPr>
                <w:rFonts w:cs="Arial"/>
              </w:rPr>
              <w:t>4</w:t>
            </w:r>
          </w:p>
        </w:tc>
      </w:tr>
      <w:tr w:rsidR="00C25D90" w14:paraId="513B1C08" w14:textId="77777777" w:rsidTr="00444733">
        <w:tc>
          <w:tcPr>
            <w:tcW w:w="1110" w:type="dxa"/>
          </w:tcPr>
          <w:p w14:paraId="2923E3A6" w14:textId="6B5A8337" w:rsidR="00C25D90" w:rsidRPr="00C25D90" w:rsidRDefault="00C25D90" w:rsidP="00C25D90">
            <w:pPr>
              <w:rPr>
                <w:rFonts w:cs="Arial"/>
              </w:rPr>
            </w:pPr>
            <w:r w:rsidRPr="00C25D90">
              <w:rPr>
                <w:rFonts w:cs="Arial"/>
              </w:rPr>
              <w:t>20</w:t>
            </w:r>
          </w:p>
        </w:tc>
        <w:tc>
          <w:tcPr>
            <w:tcW w:w="1034" w:type="dxa"/>
          </w:tcPr>
          <w:p w14:paraId="60E110C6" w14:textId="0A68B2CB" w:rsidR="00C25D90" w:rsidRPr="00C25D90" w:rsidRDefault="00C25D90" w:rsidP="00C25D90">
            <w:pPr>
              <w:rPr>
                <w:rFonts w:cs="Arial"/>
              </w:rPr>
            </w:pPr>
            <w:r w:rsidRPr="00C25D90">
              <w:rPr>
                <w:rFonts w:cs="Arial"/>
              </w:rPr>
              <w:t>17</w:t>
            </w:r>
          </w:p>
        </w:tc>
        <w:tc>
          <w:tcPr>
            <w:tcW w:w="1046" w:type="dxa"/>
          </w:tcPr>
          <w:p w14:paraId="354D61FC" w14:textId="6D9FD91B" w:rsidR="00C25D90" w:rsidRPr="00C25D90" w:rsidRDefault="00C25D90" w:rsidP="00C25D90">
            <w:pPr>
              <w:rPr>
                <w:rFonts w:cs="Arial"/>
              </w:rPr>
            </w:pPr>
            <w:r w:rsidRPr="00C25D90">
              <w:rPr>
                <w:rFonts w:cs="Arial"/>
              </w:rPr>
              <w:t>-55</w:t>
            </w:r>
          </w:p>
        </w:tc>
        <w:tc>
          <w:tcPr>
            <w:tcW w:w="1051" w:type="dxa"/>
          </w:tcPr>
          <w:p w14:paraId="74B4C328" w14:textId="2858C5F7" w:rsidR="00C25D90" w:rsidRPr="00C25D90" w:rsidRDefault="00C25D90" w:rsidP="00C25D90">
            <w:pPr>
              <w:rPr>
                <w:rFonts w:cs="Arial"/>
              </w:rPr>
            </w:pPr>
            <w:r w:rsidRPr="00C25D90">
              <w:rPr>
                <w:rFonts w:cs="Arial"/>
              </w:rPr>
              <w:t>-40</w:t>
            </w:r>
          </w:p>
        </w:tc>
        <w:tc>
          <w:tcPr>
            <w:tcW w:w="1048" w:type="dxa"/>
          </w:tcPr>
          <w:p w14:paraId="55AFC1BA" w14:textId="70AF5098" w:rsidR="00C25D90" w:rsidRPr="00C25D90" w:rsidRDefault="00C25D90" w:rsidP="00C25D90">
            <w:pPr>
              <w:rPr>
                <w:rFonts w:cs="Arial"/>
              </w:rPr>
            </w:pPr>
            <w:r w:rsidRPr="00C25D90">
              <w:rPr>
                <w:rFonts w:cs="Arial"/>
              </w:rPr>
              <w:t>8</w:t>
            </w:r>
          </w:p>
        </w:tc>
        <w:tc>
          <w:tcPr>
            <w:tcW w:w="1037" w:type="dxa"/>
          </w:tcPr>
          <w:p w14:paraId="52A7E17F" w14:textId="10B3DC72" w:rsidR="00C25D90" w:rsidRPr="00C25D90" w:rsidRDefault="00C25D90" w:rsidP="00C25D90">
            <w:pPr>
              <w:rPr>
                <w:rFonts w:cs="Arial"/>
              </w:rPr>
            </w:pPr>
            <w:r w:rsidRPr="00C25D90">
              <w:rPr>
                <w:rFonts w:cs="Arial"/>
              </w:rPr>
              <w:t>-23</w:t>
            </w:r>
          </w:p>
        </w:tc>
        <w:tc>
          <w:tcPr>
            <w:tcW w:w="1145" w:type="dxa"/>
          </w:tcPr>
          <w:p w14:paraId="0D82B8AE" w14:textId="5F1CB364" w:rsidR="00C25D90" w:rsidRPr="00C25D90" w:rsidRDefault="00C25D90" w:rsidP="00C25D90">
            <w:pPr>
              <w:rPr>
                <w:rFonts w:cs="Arial"/>
              </w:rPr>
            </w:pPr>
            <w:r w:rsidRPr="00C25D90">
              <w:rPr>
                <w:rFonts w:cs="Arial"/>
              </w:rPr>
              <w:t>-51</w:t>
            </w:r>
          </w:p>
        </w:tc>
        <w:tc>
          <w:tcPr>
            <w:tcW w:w="1051" w:type="dxa"/>
          </w:tcPr>
          <w:p w14:paraId="6AF3A222" w14:textId="6B1AE316" w:rsidR="00C25D90" w:rsidRPr="00C25D90" w:rsidRDefault="00C25D90" w:rsidP="00C25D90">
            <w:pPr>
              <w:rPr>
                <w:rFonts w:cs="Arial"/>
              </w:rPr>
            </w:pPr>
            <w:r w:rsidRPr="00C25D90">
              <w:rPr>
                <w:rFonts w:cs="Arial"/>
              </w:rPr>
              <w:t>-46</w:t>
            </w:r>
          </w:p>
        </w:tc>
        <w:tc>
          <w:tcPr>
            <w:tcW w:w="1054" w:type="dxa"/>
          </w:tcPr>
          <w:p w14:paraId="1F9FD1AA" w14:textId="0186A215" w:rsidR="00C25D90" w:rsidRPr="00C25D90" w:rsidRDefault="00C25D90" w:rsidP="00C25D90">
            <w:pPr>
              <w:rPr>
                <w:rFonts w:cs="Arial"/>
              </w:rPr>
            </w:pPr>
            <w:r w:rsidRPr="00C25D90">
              <w:rPr>
                <w:rFonts w:cs="Arial"/>
              </w:rPr>
              <w:t>5</w:t>
            </w:r>
          </w:p>
        </w:tc>
      </w:tr>
      <w:tr w:rsidR="00C25D90" w14:paraId="6C385997" w14:textId="77777777" w:rsidTr="00444733">
        <w:tc>
          <w:tcPr>
            <w:tcW w:w="1110" w:type="dxa"/>
          </w:tcPr>
          <w:p w14:paraId="63AF3E5D" w14:textId="2504A013" w:rsidR="00C25D90" w:rsidRPr="00C25D90" w:rsidRDefault="00C25D90" w:rsidP="00C25D90">
            <w:pPr>
              <w:rPr>
                <w:rFonts w:cs="Arial"/>
              </w:rPr>
            </w:pPr>
            <w:r w:rsidRPr="00C25D90">
              <w:rPr>
                <w:rFonts w:cs="Arial"/>
              </w:rPr>
              <w:t>40</w:t>
            </w:r>
          </w:p>
        </w:tc>
        <w:tc>
          <w:tcPr>
            <w:tcW w:w="1034" w:type="dxa"/>
          </w:tcPr>
          <w:p w14:paraId="54F85F5C" w14:textId="3D7DC555" w:rsidR="00C25D90" w:rsidRPr="00C25D90" w:rsidRDefault="00C25D90" w:rsidP="00C25D90">
            <w:pPr>
              <w:rPr>
                <w:rFonts w:cs="Arial"/>
              </w:rPr>
            </w:pPr>
            <w:r w:rsidRPr="00C25D90">
              <w:rPr>
                <w:rFonts w:cs="Arial"/>
              </w:rPr>
              <w:t>18</w:t>
            </w:r>
          </w:p>
        </w:tc>
        <w:tc>
          <w:tcPr>
            <w:tcW w:w="1046" w:type="dxa"/>
          </w:tcPr>
          <w:p w14:paraId="576F23A3" w14:textId="1D081759" w:rsidR="00C25D90" w:rsidRPr="00C25D90" w:rsidRDefault="00C25D90" w:rsidP="00C25D90">
            <w:pPr>
              <w:rPr>
                <w:rFonts w:cs="Arial"/>
              </w:rPr>
            </w:pPr>
            <w:r w:rsidRPr="00C25D90">
              <w:rPr>
                <w:rFonts w:cs="Arial"/>
              </w:rPr>
              <w:t>-63</w:t>
            </w:r>
          </w:p>
        </w:tc>
        <w:tc>
          <w:tcPr>
            <w:tcW w:w="1051" w:type="dxa"/>
          </w:tcPr>
          <w:p w14:paraId="5DB70E89" w14:textId="5A747BCF" w:rsidR="00C25D90" w:rsidRPr="00C25D90" w:rsidRDefault="00C25D90" w:rsidP="00C25D90">
            <w:pPr>
              <w:rPr>
                <w:rFonts w:cs="Arial"/>
              </w:rPr>
            </w:pPr>
            <w:r w:rsidRPr="00C25D90">
              <w:rPr>
                <w:rFonts w:cs="Arial"/>
              </w:rPr>
              <w:t>-46</w:t>
            </w:r>
          </w:p>
        </w:tc>
        <w:tc>
          <w:tcPr>
            <w:tcW w:w="1048" w:type="dxa"/>
          </w:tcPr>
          <w:p w14:paraId="52B5944E" w14:textId="41BEA32B" w:rsidR="00C25D90" w:rsidRPr="00C25D90" w:rsidRDefault="00C25D90" w:rsidP="00C25D90">
            <w:pPr>
              <w:rPr>
                <w:rFonts w:cs="Arial"/>
              </w:rPr>
            </w:pPr>
            <w:r w:rsidRPr="00C25D90">
              <w:rPr>
                <w:rFonts w:cs="Arial"/>
              </w:rPr>
              <w:t>10</w:t>
            </w:r>
          </w:p>
        </w:tc>
        <w:tc>
          <w:tcPr>
            <w:tcW w:w="1037" w:type="dxa"/>
          </w:tcPr>
          <w:p w14:paraId="1B075BD1" w14:textId="498682D6" w:rsidR="00C25D90" w:rsidRPr="00C25D90" w:rsidRDefault="00C25D90" w:rsidP="00C25D90">
            <w:pPr>
              <w:rPr>
                <w:rFonts w:cs="Arial"/>
              </w:rPr>
            </w:pPr>
            <w:r w:rsidRPr="00C25D90">
              <w:rPr>
                <w:rFonts w:cs="Arial"/>
              </w:rPr>
              <w:t>-28</w:t>
            </w:r>
          </w:p>
        </w:tc>
        <w:tc>
          <w:tcPr>
            <w:tcW w:w="1145" w:type="dxa"/>
          </w:tcPr>
          <w:p w14:paraId="045A0E7C" w14:textId="485619E4" w:rsidR="00C25D90" w:rsidRPr="00C25D90" w:rsidRDefault="00C25D90" w:rsidP="00C25D90">
            <w:pPr>
              <w:rPr>
                <w:rFonts w:cs="Arial"/>
              </w:rPr>
            </w:pPr>
            <w:r w:rsidRPr="00C25D90">
              <w:rPr>
                <w:rFonts w:cs="Arial"/>
              </w:rPr>
              <w:t>-60</w:t>
            </w:r>
          </w:p>
        </w:tc>
        <w:tc>
          <w:tcPr>
            <w:tcW w:w="1051" w:type="dxa"/>
          </w:tcPr>
          <w:p w14:paraId="0DEA6F4F" w14:textId="2A2C2AFA" w:rsidR="00C25D90" w:rsidRPr="00C25D90" w:rsidRDefault="00C25D90" w:rsidP="00C25D90">
            <w:pPr>
              <w:rPr>
                <w:rFonts w:cs="Arial"/>
              </w:rPr>
            </w:pPr>
            <w:r w:rsidRPr="00C25D90">
              <w:rPr>
                <w:rFonts w:cs="Arial"/>
              </w:rPr>
              <w:t>-54</w:t>
            </w:r>
          </w:p>
        </w:tc>
        <w:tc>
          <w:tcPr>
            <w:tcW w:w="1054" w:type="dxa"/>
          </w:tcPr>
          <w:p w14:paraId="75BCEF61" w14:textId="7B7988EA" w:rsidR="00C25D90" w:rsidRPr="00C25D90" w:rsidRDefault="00C25D90" w:rsidP="00C25D90">
            <w:pPr>
              <w:rPr>
                <w:rFonts w:cs="Arial"/>
              </w:rPr>
            </w:pPr>
            <w:r w:rsidRPr="00C25D90">
              <w:rPr>
                <w:rFonts w:cs="Arial"/>
              </w:rPr>
              <w:t>0</w:t>
            </w:r>
          </w:p>
        </w:tc>
      </w:tr>
    </w:tbl>
    <w:p w14:paraId="3BD27110"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Терапевтичен ефект се получава в рамките на 1 седмица след започване на лечението и 90% от максималния отговор се постига за 2 седмици. Максималният отговор обикновено се постига след 4 седмици и след това се поддържа.</w:t>
      </w:r>
    </w:p>
    <w:p w14:paraId="4B578438" w14:textId="77777777" w:rsidR="00444733" w:rsidRPr="00444733" w:rsidRDefault="00444733" w:rsidP="00444733">
      <w:pPr>
        <w:spacing w:line="240" w:lineRule="auto"/>
        <w:rPr>
          <w:rFonts w:eastAsia="Times New Roman" w:cs="Arial"/>
          <w:color w:val="000000"/>
          <w:u w:val="single"/>
          <w:lang w:eastAsia="bg-BG"/>
        </w:rPr>
      </w:pPr>
    </w:p>
    <w:p w14:paraId="134845C3" w14:textId="23C4AE18" w:rsidR="00444733" w:rsidRPr="00444733" w:rsidRDefault="00444733" w:rsidP="00444733">
      <w:pPr>
        <w:spacing w:line="240" w:lineRule="auto"/>
        <w:rPr>
          <w:rFonts w:eastAsia="Times New Roman" w:cs="Arial"/>
        </w:rPr>
      </w:pPr>
      <w:r w:rsidRPr="00444733">
        <w:rPr>
          <w:rFonts w:eastAsia="Times New Roman" w:cs="Arial"/>
          <w:color w:val="000000"/>
          <w:u w:val="single"/>
          <w:lang w:eastAsia="bg-BG"/>
        </w:rPr>
        <w:t>Клинична ефикасност и безопасност</w:t>
      </w:r>
    </w:p>
    <w:p w14:paraId="56A9003D"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Ропуидо е ефективен при възрастни хора с хиперхолестеролемия, със и без хипертриглицеридемия, независимо от раса, пол или възраст и при специални популации като диабетици или пациенти с фамилна хиперхолестеролемия.</w:t>
      </w:r>
    </w:p>
    <w:p w14:paraId="5763DB2E" w14:textId="77777777" w:rsidR="00444733" w:rsidRPr="00444733" w:rsidRDefault="00444733" w:rsidP="00444733">
      <w:pPr>
        <w:spacing w:line="240" w:lineRule="auto"/>
        <w:rPr>
          <w:rFonts w:eastAsia="Times New Roman" w:cs="Arial"/>
          <w:color w:val="000000"/>
          <w:lang w:eastAsia="bg-BG"/>
        </w:rPr>
      </w:pPr>
    </w:p>
    <w:p w14:paraId="2C7AF90E" w14:textId="7778265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Обобщени данни от фаза </w:t>
      </w:r>
      <w:r w:rsidRPr="00444733">
        <w:rPr>
          <w:rFonts w:eastAsia="Times New Roman" w:cs="Arial"/>
          <w:color w:val="000000"/>
          <w:lang w:val="en-US"/>
        </w:rPr>
        <w:t>III</w:t>
      </w:r>
      <w:r w:rsidRPr="00444733">
        <w:rPr>
          <w:rFonts w:eastAsia="Times New Roman" w:cs="Arial"/>
          <w:color w:val="000000"/>
          <w:lang w:eastAsia="bg-BG"/>
        </w:rPr>
        <w:t xml:space="preserve"> показват, че Ропуидо е ефективен при лечение на по-голямата част от пациентите с хиперхолестеролемия от тип </w:t>
      </w:r>
      <w:r w:rsidRPr="00444733">
        <w:rPr>
          <w:rFonts w:eastAsia="Times New Roman" w:cs="Arial"/>
          <w:color w:val="000000"/>
          <w:lang w:val="en-US"/>
        </w:rPr>
        <w:t>II</w:t>
      </w:r>
      <w:r w:rsidRPr="00444733">
        <w:rPr>
          <w:rFonts w:eastAsia="Times New Roman" w:cs="Arial"/>
          <w:color w:val="000000"/>
          <w:lang w:eastAsia="bg-BG"/>
        </w:rPr>
        <w:t xml:space="preserve">а и </w:t>
      </w:r>
      <w:proofErr w:type="spellStart"/>
      <w:r w:rsidRPr="00444733">
        <w:rPr>
          <w:rFonts w:eastAsia="Times New Roman" w:cs="Arial"/>
          <w:color w:val="000000"/>
          <w:lang w:val="en-US"/>
        </w:rPr>
        <w:t>IIb</w:t>
      </w:r>
      <w:proofErr w:type="spellEnd"/>
      <w:r w:rsidRPr="00444733">
        <w:rPr>
          <w:rFonts w:eastAsia="Times New Roman" w:cs="Arial"/>
          <w:color w:val="000000"/>
          <w:lang w:val="ru-RU"/>
        </w:rPr>
        <w:t xml:space="preserve"> </w:t>
      </w:r>
      <w:r w:rsidRPr="00444733">
        <w:rPr>
          <w:rFonts w:eastAsia="Times New Roman" w:cs="Arial"/>
          <w:color w:val="000000"/>
          <w:lang w:eastAsia="bg-BG"/>
        </w:rPr>
        <w:t xml:space="preserve">(средна изходна стойност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около 4,8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 xml:space="preserve">) </w:t>
      </w:r>
      <w:r w:rsidRPr="00444733">
        <w:rPr>
          <w:rFonts w:eastAsia="Times New Roman" w:cs="Arial"/>
          <w:color w:val="000000"/>
          <w:lang w:eastAsia="bg-BG"/>
        </w:rPr>
        <w:t xml:space="preserve">според приетите от Европейската общност по атеросклероза прицелни стойности </w:t>
      </w:r>
      <w:r w:rsidRPr="00444733">
        <w:rPr>
          <w:rFonts w:eastAsia="Times New Roman" w:cs="Arial"/>
          <w:color w:val="000000"/>
          <w:lang w:val="ru-RU"/>
        </w:rPr>
        <w:t>(</w:t>
      </w:r>
      <w:r w:rsidRPr="00444733">
        <w:rPr>
          <w:rFonts w:eastAsia="Times New Roman" w:cs="Arial"/>
          <w:color w:val="000000"/>
          <w:lang w:val="en-US"/>
        </w:rPr>
        <w:t>EAS</w:t>
      </w:r>
      <w:r w:rsidRPr="00444733">
        <w:rPr>
          <w:rFonts w:eastAsia="Times New Roman" w:cs="Arial"/>
          <w:color w:val="000000"/>
          <w:lang w:val="ru-RU"/>
        </w:rPr>
        <w:t xml:space="preserve">; </w:t>
      </w:r>
      <w:r w:rsidRPr="00444733">
        <w:rPr>
          <w:rFonts w:eastAsia="Times New Roman" w:cs="Arial"/>
          <w:color w:val="000000"/>
          <w:lang w:eastAsia="bg-BG"/>
        </w:rPr>
        <w:t xml:space="preserve">1998); около 80% от пациентите, лекувани с 10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са достигнали прицелните стойности на Е</w:t>
      </w:r>
      <w:r w:rsidRPr="00444733">
        <w:rPr>
          <w:rFonts w:eastAsia="Times New Roman" w:cs="Arial"/>
          <w:color w:val="000000"/>
          <w:lang w:val="en-US"/>
        </w:rPr>
        <w:t>AS</w:t>
      </w:r>
      <w:r w:rsidRPr="00444733">
        <w:rPr>
          <w:rFonts w:eastAsia="Times New Roman" w:cs="Arial"/>
          <w:color w:val="000000"/>
          <w:lang w:val="ru-RU"/>
        </w:rPr>
        <w:t xml:space="preserve"> </w:t>
      </w:r>
      <w:r w:rsidRPr="00444733">
        <w:rPr>
          <w:rFonts w:eastAsia="Times New Roman" w:cs="Arial"/>
          <w:color w:val="000000"/>
          <w:lang w:eastAsia="bg-BG"/>
        </w:rPr>
        <w:t xml:space="preserve">за нивата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(&lt;3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w:t>
      </w:r>
    </w:p>
    <w:p w14:paraId="1A5E6E7C" w14:textId="77777777" w:rsidR="00444733" w:rsidRPr="00444733" w:rsidRDefault="00444733" w:rsidP="00444733">
      <w:pPr>
        <w:rPr>
          <w:rFonts w:eastAsia="Times New Roman" w:cs="Arial"/>
          <w:color w:val="000000"/>
          <w:lang w:eastAsia="bg-BG"/>
        </w:rPr>
      </w:pPr>
    </w:p>
    <w:p w14:paraId="65ADCF21" w14:textId="33C143C5" w:rsidR="00C25D90" w:rsidRPr="00444733" w:rsidRDefault="00444733" w:rsidP="00444733">
      <w:pPr>
        <w:rPr>
          <w:rFonts w:eastAsia="Times New Roman" w:cs="Arial"/>
          <w:color w:val="000000"/>
          <w:lang w:val="ru-RU"/>
        </w:rPr>
      </w:pPr>
      <w:r w:rsidRPr="00444733">
        <w:rPr>
          <w:rFonts w:eastAsia="Times New Roman" w:cs="Arial"/>
          <w:color w:val="000000"/>
          <w:lang w:eastAsia="bg-BG"/>
        </w:rPr>
        <w:t xml:space="preserve">В голямо проучване на 435 пациенти с хетерозиготна фамилна хиперхолестеролемия са били дадени Ропуидо от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до 80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с форсирано титриране на дозата. Всички дози показват благоприятен ефект върху липидните параметри и лечението към прицелните цели. Сл</w:t>
      </w:r>
      <w:r w:rsidRPr="00444733">
        <w:rPr>
          <w:rFonts w:eastAsia="Times New Roman" w:cs="Arial"/>
          <w:color w:val="000000"/>
          <w:u w:val="single"/>
          <w:lang w:eastAsia="bg-BG"/>
        </w:rPr>
        <w:t xml:space="preserve">ед </w:t>
      </w:r>
      <w:r w:rsidRPr="00444733">
        <w:rPr>
          <w:rFonts w:eastAsia="Times New Roman" w:cs="Arial"/>
          <w:color w:val="000000"/>
          <w:lang w:eastAsia="bg-BG"/>
        </w:rPr>
        <w:t xml:space="preserve">титриране с дневна доза от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(12 седмици на лечение), понижението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е с 53% Тридесет и три процента (33%) от пациентите са постигнали насоките на Е</w:t>
      </w:r>
      <w:r w:rsidRPr="00444733">
        <w:rPr>
          <w:rFonts w:eastAsia="Times New Roman" w:cs="Arial"/>
          <w:color w:val="000000"/>
          <w:lang w:val="en-US"/>
        </w:rPr>
        <w:t>AS</w:t>
      </w:r>
      <w:r w:rsidRPr="00444733">
        <w:rPr>
          <w:rFonts w:eastAsia="Times New Roman" w:cs="Arial"/>
          <w:color w:val="000000"/>
          <w:lang w:val="ru-RU"/>
        </w:rPr>
        <w:t xml:space="preserve"> </w:t>
      </w:r>
      <w:r w:rsidRPr="00444733">
        <w:rPr>
          <w:rFonts w:eastAsia="Times New Roman" w:cs="Arial"/>
          <w:color w:val="000000"/>
          <w:lang w:eastAsia="bg-BG"/>
        </w:rPr>
        <w:t xml:space="preserve">за нива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i/>
          <w:iCs/>
          <w:color w:val="000000"/>
          <w:lang w:eastAsia="bg-BG"/>
        </w:rPr>
        <w:t xml:space="preserve"> </w:t>
      </w:r>
      <w:r w:rsidRPr="00444733">
        <w:rPr>
          <w:rFonts w:eastAsia="Times New Roman" w:cs="Arial"/>
          <w:color w:val="000000"/>
          <w:lang w:eastAsia="bg-BG"/>
        </w:rPr>
        <w:t xml:space="preserve">(&lt;3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w:t>
      </w:r>
    </w:p>
    <w:p w14:paraId="1851A34D" w14:textId="0EF2866F" w:rsidR="00444733" w:rsidRPr="00444733" w:rsidRDefault="00444733" w:rsidP="00444733">
      <w:pPr>
        <w:rPr>
          <w:rFonts w:eastAsia="Times New Roman" w:cs="Arial"/>
          <w:color w:val="000000"/>
          <w:lang w:val="ru-RU"/>
        </w:rPr>
      </w:pPr>
    </w:p>
    <w:p w14:paraId="001AA287"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отворено проучване с форсирано титриране на дозата при 42 пациенти (включително 8 педиатрични пациенти) с хомозиготна фамилна хиперхолестеролемия е оценен отговорът им на Ропуидо 20-40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В общата популация средното понижение на </w:t>
      </w:r>
      <w:r w:rsidRPr="00444733">
        <w:rPr>
          <w:rFonts w:eastAsia="Times New Roman" w:cs="Arial"/>
          <w:color w:val="000000"/>
          <w:lang w:val="en-US"/>
        </w:rPr>
        <w:t>LDL</w:t>
      </w:r>
      <w:r w:rsidRPr="00444733">
        <w:rPr>
          <w:rFonts w:eastAsia="Times New Roman" w:cs="Arial"/>
          <w:color w:val="000000"/>
          <w:lang w:eastAsia="bg-BG"/>
        </w:rPr>
        <w:t>-С е 22%.</w:t>
      </w:r>
    </w:p>
    <w:p w14:paraId="30B29C70" w14:textId="77777777" w:rsidR="00444733" w:rsidRPr="00444733" w:rsidRDefault="00444733" w:rsidP="00444733">
      <w:pPr>
        <w:spacing w:line="240" w:lineRule="auto"/>
        <w:rPr>
          <w:rFonts w:eastAsia="Times New Roman" w:cs="Arial"/>
          <w:color w:val="000000"/>
          <w:lang w:eastAsia="bg-BG"/>
        </w:rPr>
      </w:pPr>
    </w:p>
    <w:p w14:paraId="18D9C7C6" w14:textId="75D2BD3C"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клинични проучвания с ограничен брой пациенти, Ропуидо е показал, че има допълнителен ефект при понижаване на триглицеридите, когато се използва в комбинация с фенофибрат, и при повишаване на нивата на </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когато се използва в комбинация с ниацин (вж. точка 4.4).</w:t>
      </w:r>
    </w:p>
    <w:p w14:paraId="53A21908" w14:textId="77777777" w:rsidR="00444733" w:rsidRPr="00444733" w:rsidRDefault="00444733" w:rsidP="00444733">
      <w:pPr>
        <w:spacing w:line="240" w:lineRule="auto"/>
        <w:rPr>
          <w:rFonts w:eastAsia="Times New Roman" w:cs="Arial"/>
          <w:color w:val="000000"/>
          <w:lang w:eastAsia="bg-BG"/>
        </w:rPr>
      </w:pPr>
    </w:p>
    <w:p w14:paraId="75D1A948" w14:textId="4F282F0E"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мултицентрово, двойно-сляпо, плацебо-контролирано клинично проучване </w:t>
      </w:r>
      <w:r w:rsidRPr="00444733">
        <w:rPr>
          <w:rFonts w:eastAsia="Times New Roman" w:cs="Arial"/>
          <w:color w:val="000000"/>
          <w:lang w:val="ru-RU"/>
        </w:rPr>
        <w:t>(</w:t>
      </w:r>
      <w:r w:rsidRPr="00444733">
        <w:rPr>
          <w:rFonts w:eastAsia="Times New Roman" w:cs="Arial"/>
          <w:color w:val="000000"/>
          <w:lang w:val="en-US"/>
        </w:rPr>
        <w:t>METEOR</w:t>
      </w:r>
      <w:r w:rsidRPr="00444733">
        <w:rPr>
          <w:rFonts w:eastAsia="Times New Roman" w:cs="Arial"/>
          <w:color w:val="000000"/>
          <w:lang w:val="ru-RU"/>
        </w:rPr>
        <w:t xml:space="preserve">), </w:t>
      </w:r>
      <w:r w:rsidRPr="00444733">
        <w:rPr>
          <w:rFonts w:eastAsia="Times New Roman" w:cs="Arial"/>
          <w:color w:val="000000"/>
          <w:lang w:eastAsia="bg-BG"/>
        </w:rPr>
        <w:t xml:space="preserve">984 пациенти между 45- и 70-годишна възраст и с нисък риск за исхемична болест на сърцето (дефиниран като риск по </w:t>
      </w:r>
      <w:r w:rsidRPr="00444733">
        <w:rPr>
          <w:rFonts w:eastAsia="Times New Roman" w:cs="Arial"/>
          <w:color w:val="000000"/>
          <w:lang w:val="en-US"/>
        </w:rPr>
        <w:t>Framingham</w:t>
      </w:r>
      <w:r w:rsidRPr="00444733">
        <w:rPr>
          <w:rFonts w:eastAsia="Times New Roman" w:cs="Arial"/>
          <w:color w:val="000000"/>
          <w:lang w:val="ru-RU"/>
        </w:rPr>
        <w:t xml:space="preserve"> </w:t>
      </w:r>
      <w:r w:rsidRPr="00444733">
        <w:rPr>
          <w:rFonts w:eastAsia="Times New Roman" w:cs="Arial"/>
          <w:color w:val="000000"/>
          <w:lang w:eastAsia="bg-BG"/>
        </w:rPr>
        <w:t xml:space="preserve">&lt;10% в продължение на 10 години), със средна стойност на </w:t>
      </w:r>
      <w:r w:rsidRPr="00444733">
        <w:rPr>
          <w:rFonts w:eastAsia="Times New Roman" w:cs="Arial"/>
          <w:color w:val="000000"/>
          <w:lang w:val="en-US"/>
        </w:rPr>
        <w:t>LDL</w:t>
      </w:r>
      <w:r w:rsidRPr="00444733">
        <w:rPr>
          <w:rFonts w:eastAsia="Times New Roman" w:cs="Arial"/>
          <w:color w:val="000000"/>
          <w:lang w:eastAsia="bg-BG"/>
        </w:rPr>
        <w:t xml:space="preserve">-С от 4,0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 xml:space="preserve"> </w:t>
      </w:r>
      <w:r w:rsidRPr="00444733">
        <w:rPr>
          <w:rFonts w:eastAsia="Times New Roman" w:cs="Arial"/>
          <w:color w:val="000000"/>
          <w:lang w:eastAsia="bg-BG"/>
        </w:rPr>
        <w:t xml:space="preserve">(154,5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но със субклинична атеросклероза (открита чрез измерване на дебелината на коронарната интима-медия </w:t>
      </w:r>
      <w:r w:rsidRPr="00444733">
        <w:rPr>
          <w:rFonts w:eastAsia="Times New Roman" w:cs="Arial"/>
          <w:color w:val="000000"/>
          <w:lang w:val="ru-RU"/>
        </w:rPr>
        <w:t>(</w:t>
      </w:r>
      <w:r w:rsidRPr="00444733">
        <w:rPr>
          <w:rFonts w:eastAsia="Times New Roman" w:cs="Arial"/>
          <w:color w:val="000000"/>
          <w:lang w:val="en-US"/>
        </w:rPr>
        <w:t>CIMT</w:t>
      </w:r>
      <w:r w:rsidRPr="00444733">
        <w:rPr>
          <w:rFonts w:eastAsia="Times New Roman" w:cs="Arial"/>
          <w:color w:val="000000"/>
          <w:lang w:val="ru-RU"/>
        </w:rPr>
        <w:t xml:space="preserve">)) </w:t>
      </w:r>
      <w:r w:rsidRPr="00444733">
        <w:rPr>
          <w:rFonts w:eastAsia="Times New Roman" w:cs="Arial"/>
          <w:color w:val="000000"/>
          <w:lang w:eastAsia="bg-BG"/>
        </w:rPr>
        <w:t xml:space="preserve">са били рандомизирани на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розувастатин веднъж дневно или плацебо в продължение на 2 години. В сравнение с плацебо розувастатин значително забавя скоростта на прогресия </w:t>
      </w:r>
      <w:r w:rsidRPr="00444733">
        <w:rPr>
          <w:rFonts w:eastAsia="Times New Roman" w:cs="Arial"/>
          <w:color w:val="000000"/>
          <w:lang w:eastAsia="bg-BG"/>
        </w:rPr>
        <w:lastRenderedPageBreak/>
        <w:t xml:space="preserve">на максималната </w:t>
      </w:r>
      <w:r w:rsidRPr="00444733">
        <w:rPr>
          <w:rFonts w:eastAsia="Times New Roman" w:cs="Arial"/>
          <w:color w:val="000000"/>
          <w:lang w:val="en-US"/>
        </w:rPr>
        <w:t>CIMT</w:t>
      </w:r>
      <w:r w:rsidRPr="00444733">
        <w:rPr>
          <w:rFonts w:eastAsia="Times New Roman" w:cs="Arial"/>
          <w:color w:val="000000"/>
          <w:lang w:val="ru-RU"/>
        </w:rPr>
        <w:t xml:space="preserve"> </w:t>
      </w:r>
      <w:r w:rsidRPr="00444733">
        <w:rPr>
          <w:rFonts w:eastAsia="Times New Roman" w:cs="Arial"/>
          <w:color w:val="000000"/>
          <w:lang w:eastAsia="bg-BG"/>
        </w:rPr>
        <w:t xml:space="preserve">в 12 участъка на каротидната артерия от -0,0145 </w:t>
      </w:r>
      <w:r w:rsidRPr="00444733">
        <w:rPr>
          <w:rFonts w:eastAsia="Times New Roman" w:cs="Arial"/>
          <w:color w:val="000000"/>
          <w:lang w:val="en-US"/>
        </w:rPr>
        <w:t>mm</w:t>
      </w:r>
      <w:r w:rsidRPr="00444733">
        <w:rPr>
          <w:rFonts w:eastAsia="Times New Roman" w:cs="Arial"/>
          <w:color w:val="000000"/>
          <w:lang w:eastAsia="bg-BG"/>
        </w:rPr>
        <w:t xml:space="preserve">/година [95% доверен интервал -0,0196, -0,0093; р&lt;0,0001]. Промяната от изходното ниво е -0,0014 </w:t>
      </w:r>
      <w:r w:rsidRPr="00444733">
        <w:rPr>
          <w:rFonts w:eastAsia="Times New Roman" w:cs="Arial"/>
          <w:color w:val="000000"/>
          <w:lang w:val="en-US"/>
        </w:rPr>
        <w:t>mm</w:t>
      </w:r>
      <w:r w:rsidRPr="00444733">
        <w:rPr>
          <w:rFonts w:eastAsia="Times New Roman" w:cs="Arial"/>
          <w:color w:val="000000"/>
          <w:lang w:eastAsia="bg-BG"/>
        </w:rPr>
        <w:t>/година (-0,12%/година(незначимо)) за розувастатин в сравнение с прогресия от</w:t>
      </w:r>
      <w:r w:rsidRPr="00444733">
        <w:rPr>
          <w:rFonts w:eastAsia="Times New Roman" w:cs="Arial"/>
          <w:color w:val="000000"/>
          <w:lang w:val="ru-RU"/>
        </w:rPr>
        <w:t xml:space="preserve"> </w:t>
      </w:r>
      <w:r w:rsidRPr="00444733">
        <w:rPr>
          <w:rFonts w:eastAsia="Times New Roman" w:cs="Arial"/>
          <w:color w:val="000000"/>
          <w:lang w:eastAsia="bg-BG"/>
        </w:rPr>
        <w:t xml:space="preserve">+0,0131 </w:t>
      </w:r>
      <w:r w:rsidRPr="00444733">
        <w:rPr>
          <w:rFonts w:eastAsia="Times New Roman" w:cs="Arial"/>
          <w:color w:val="000000"/>
          <w:lang w:val="en-US"/>
        </w:rPr>
        <w:t>mm</w:t>
      </w:r>
      <w:r w:rsidRPr="00444733">
        <w:rPr>
          <w:rFonts w:eastAsia="Times New Roman" w:cs="Arial"/>
          <w:color w:val="000000"/>
          <w:lang w:eastAsia="bg-BG"/>
        </w:rPr>
        <w:t xml:space="preserve">/година (1,12%/година (р&lt;0,0001)) за плацебо. Все още не е доказана пряка корелация между намаляването на </w:t>
      </w:r>
      <w:r w:rsidRPr="00444733">
        <w:rPr>
          <w:rFonts w:eastAsia="Times New Roman" w:cs="Arial"/>
          <w:color w:val="000000"/>
          <w:lang w:val="en-US"/>
        </w:rPr>
        <w:t>CIMT</w:t>
      </w:r>
      <w:r w:rsidRPr="00444733">
        <w:rPr>
          <w:rFonts w:eastAsia="Times New Roman" w:cs="Arial"/>
          <w:color w:val="000000"/>
          <w:lang w:val="ru-RU"/>
        </w:rPr>
        <w:t xml:space="preserve"> </w:t>
      </w:r>
      <w:r w:rsidRPr="00444733">
        <w:rPr>
          <w:rFonts w:eastAsia="Times New Roman" w:cs="Arial"/>
          <w:color w:val="000000"/>
          <w:lang w:eastAsia="bg-BG"/>
        </w:rPr>
        <w:t xml:space="preserve">и намаляването на риска от сърдечносъдови събития. Наблюдаваната популация в </w:t>
      </w:r>
      <w:r w:rsidRPr="00444733">
        <w:rPr>
          <w:rFonts w:eastAsia="Times New Roman" w:cs="Arial"/>
          <w:color w:val="000000"/>
          <w:lang w:val="en-US"/>
        </w:rPr>
        <w:t>METEOR</w:t>
      </w:r>
      <w:r w:rsidRPr="00444733">
        <w:rPr>
          <w:rFonts w:eastAsia="Times New Roman" w:cs="Arial"/>
          <w:color w:val="000000"/>
          <w:lang w:val="ru-RU"/>
        </w:rPr>
        <w:t xml:space="preserve"> </w:t>
      </w:r>
      <w:r w:rsidRPr="00444733">
        <w:rPr>
          <w:rFonts w:eastAsia="Times New Roman" w:cs="Arial"/>
          <w:color w:val="000000"/>
          <w:lang w:eastAsia="bg-BG"/>
        </w:rPr>
        <w:t xml:space="preserve">е с нисък риск от исхемична болест на сърцето и не е представителна за целевата популация на Ропуидо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Дозата от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трябва да се предписва само на пациенти с тежка хиперхолестеролемия с висок сърдечносъдов риск (вж. точка 4.2).</w:t>
      </w:r>
    </w:p>
    <w:p w14:paraId="0361A714" w14:textId="77777777" w:rsidR="00444733" w:rsidRPr="00444733" w:rsidRDefault="00444733" w:rsidP="00444733">
      <w:pPr>
        <w:spacing w:line="240" w:lineRule="auto"/>
        <w:rPr>
          <w:rFonts w:eastAsia="Times New Roman" w:cs="Arial"/>
          <w:color w:val="000000"/>
          <w:lang w:eastAsia="bg-BG"/>
        </w:rPr>
      </w:pPr>
    </w:p>
    <w:p w14:paraId="075819C4" w14:textId="0CA725CB"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проучването „Обосновка на употребата на статини в първичната профилактика: интервенционално проучване за оценяване на розувастатин“ </w:t>
      </w:r>
      <w:r w:rsidRPr="00444733">
        <w:rPr>
          <w:rFonts w:eastAsia="Times New Roman" w:cs="Arial"/>
          <w:color w:val="000000"/>
        </w:rPr>
        <w:t>(</w:t>
      </w:r>
      <w:r w:rsidRPr="00444733">
        <w:rPr>
          <w:rFonts w:eastAsia="Times New Roman" w:cs="Arial"/>
          <w:color w:val="000000"/>
          <w:lang w:val="en-US"/>
        </w:rPr>
        <w:t>Justification</w:t>
      </w:r>
      <w:r w:rsidRPr="00444733">
        <w:rPr>
          <w:rFonts w:eastAsia="Times New Roman" w:cs="Arial"/>
          <w:color w:val="000000"/>
        </w:rPr>
        <w:t xml:space="preserve"> </w:t>
      </w:r>
      <w:r w:rsidRPr="00444733">
        <w:rPr>
          <w:rFonts w:eastAsia="Times New Roman" w:cs="Arial"/>
          <w:color w:val="000000"/>
          <w:lang w:val="en-US"/>
        </w:rPr>
        <w:t>for</w:t>
      </w:r>
      <w:r w:rsidRPr="00444733">
        <w:rPr>
          <w:rFonts w:eastAsia="Times New Roman" w:cs="Arial"/>
          <w:color w:val="000000"/>
        </w:rPr>
        <w:t xml:space="preserve"> </w:t>
      </w:r>
      <w:r w:rsidRPr="00444733">
        <w:rPr>
          <w:rFonts w:eastAsia="Times New Roman" w:cs="Arial"/>
          <w:color w:val="000000"/>
          <w:lang w:val="en-US"/>
        </w:rPr>
        <w:t>the</w:t>
      </w:r>
      <w:r w:rsidRPr="00444733">
        <w:rPr>
          <w:rFonts w:eastAsia="Times New Roman" w:cs="Arial"/>
          <w:color w:val="000000"/>
        </w:rPr>
        <w:t xml:space="preserve"> </w:t>
      </w:r>
      <w:r w:rsidRPr="00444733">
        <w:rPr>
          <w:rFonts w:eastAsia="Times New Roman" w:cs="Arial"/>
          <w:color w:val="000000"/>
          <w:lang w:val="en-US"/>
        </w:rPr>
        <w:t>Use</w:t>
      </w:r>
      <w:r w:rsidRPr="00444733">
        <w:rPr>
          <w:rFonts w:eastAsia="Times New Roman" w:cs="Arial"/>
          <w:color w:val="000000"/>
        </w:rPr>
        <w:t xml:space="preserve"> </w:t>
      </w:r>
      <w:r w:rsidRPr="00444733">
        <w:rPr>
          <w:rFonts w:eastAsia="Times New Roman" w:cs="Arial"/>
          <w:color w:val="000000"/>
          <w:lang w:val="en-US"/>
        </w:rPr>
        <w:t>of</w:t>
      </w:r>
      <w:r w:rsidRPr="00444733">
        <w:rPr>
          <w:rFonts w:eastAsia="Times New Roman" w:cs="Arial"/>
          <w:color w:val="000000"/>
        </w:rPr>
        <w:t xml:space="preserve"> </w:t>
      </w:r>
      <w:r w:rsidRPr="00444733">
        <w:rPr>
          <w:rFonts w:eastAsia="Times New Roman" w:cs="Arial"/>
          <w:color w:val="000000"/>
          <w:lang w:val="en-US"/>
        </w:rPr>
        <w:t>Statins</w:t>
      </w:r>
      <w:r w:rsidRPr="00444733">
        <w:rPr>
          <w:rFonts w:eastAsia="Times New Roman" w:cs="Arial"/>
          <w:color w:val="000000"/>
        </w:rPr>
        <w:t xml:space="preserve"> </w:t>
      </w:r>
      <w:r w:rsidRPr="00444733">
        <w:rPr>
          <w:rFonts w:eastAsia="Times New Roman" w:cs="Arial"/>
          <w:color w:val="000000"/>
          <w:lang w:val="en-US"/>
        </w:rPr>
        <w:t>in</w:t>
      </w:r>
      <w:r w:rsidRPr="00444733">
        <w:rPr>
          <w:rFonts w:eastAsia="Times New Roman" w:cs="Arial"/>
          <w:color w:val="000000"/>
        </w:rPr>
        <w:t xml:space="preserve"> </w:t>
      </w:r>
      <w:r w:rsidRPr="00444733">
        <w:rPr>
          <w:rFonts w:eastAsia="Times New Roman" w:cs="Arial"/>
          <w:color w:val="000000"/>
          <w:lang w:val="en-US"/>
        </w:rPr>
        <w:t>Primary</w:t>
      </w:r>
      <w:r w:rsidRPr="00444733">
        <w:rPr>
          <w:rFonts w:eastAsia="Times New Roman" w:cs="Arial"/>
          <w:color w:val="000000"/>
        </w:rPr>
        <w:t xml:space="preserve"> </w:t>
      </w:r>
      <w:r w:rsidRPr="00444733">
        <w:rPr>
          <w:rFonts w:eastAsia="Times New Roman" w:cs="Arial"/>
          <w:color w:val="000000"/>
          <w:lang w:val="en-US"/>
        </w:rPr>
        <w:t>Prevention</w:t>
      </w:r>
      <w:r w:rsidRPr="00444733">
        <w:rPr>
          <w:rFonts w:eastAsia="Times New Roman" w:cs="Arial"/>
          <w:color w:val="000000"/>
        </w:rPr>
        <w:t xml:space="preserve">: </w:t>
      </w:r>
      <w:r w:rsidRPr="00444733">
        <w:rPr>
          <w:rFonts w:eastAsia="Times New Roman" w:cs="Arial"/>
          <w:color w:val="000000"/>
          <w:lang w:val="en-US"/>
        </w:rPr>
        <w:t>An</w:t>
      </w:r>
      <w:r w:rsidRPr="00444733">
        <w:rPr>
          <w:rFonts w:eastAsia="Times New Roman" w:cs="Arial"/>
          <w:color w:val="000000"/>
        </w:rPr>
        <w:t xml:space="preserve"> </w:t>
      </w:r>
      <w:r w:rsidRPr="00444733">
        <w:rPr>
          <w:rFonts w:eastAsia="Times New Roman" w:cs="Arial"/>
          <w:color w:val="000000"/>
          <w:lang w:val="en-US"/>
        </w:rPr>
        <w:t>Intervention</w:t>
      </w:r>
      <w:r w:rsidRPr="00444733">
        <w:rPr>
          <w:rFonts w:eastAsia="Times New Roman" w:cs="Arial"/>
          <w:color w:val="000000"/>
        </w:rPr>
        <w:t xml:space="preserve"> </w:t>
      </w:r>
      <w:r w:rsidRPr="00444733">
        <w:rPr>
          <w:rFonts w:eastAsia="Times New Roman" w:cs="Arial"/>
          <w:color w:val="000000"/>
          <w:lang w:val="en-US"/>
        </w:rPr>
        <w:t>Trial</w:t>
      </w:r>
      <w:r w:rsidRPr="00444733">
        <w:rPr>
          <w:rFonts w:eastAsia="Times New Roman" w:cs="Arial"/>
          <w:color w:val="000000"/>
        </w:rPr>
        <w:t xml:space="preserve"> </w:t>
      </w:r>
      <w:r w:rsidRPr="00444733">
        <w:rPr>
          <w:rFonts w:eastAsia="Times New Roman" w:cs="Arial"/>
          <w:color w:val="000000"/>
          <w:lang w:val="en-US"/>
        </w:rPr>
        <w:t>Evaluating</w:t>
      </w:r>
      <w:r w:rsidRPr="00444733">
        <w:rPr>
          <w:rFonts w:eastAsia="Times New Roman" w:cs="Arial"/>
          <w:color w:val="000000"/>
        </w:rPr>
        <w:t xml:space="preserve"> </w:t>
      </w:r>
      <w:proofErr w:type="spellStart"/>
      <w:r w:rsidRPr="00444733">
        <w:rPr>
          <w:rFonts w:eastAsia="Times New Roman" w:cs="Arial"/>
          <w:color w:val="000000"/>
          <w:lang w:val="en-US"/>
        </w:rPr>
        <w:t>Rosuvastatin</w:t>
      </w:r>
      <w:proofErr w:type="spellEnd"/>
      <w:r w:rsidRPr="00444733">
        <w:rPr>
          <w:rFonts w:eastAsia="Times New Roman" w:cs="Arial"/>
          <w:color w:val="000000"/>
        </w:rPr>
        <w:t xml:space="preserve">, </w:t>
      </w:r>
      <w:r w:rsidRPr="00444733">
        <w:rPr>
          <w:rFonts w:eastAsia="Times New Roman" w:cs="Arial"/>
          <w:color w:val="000000"/>
          <w:lang w:val="en-US"/>
        </w:rPr>
        <w:t>JUPITER</w:t>
      </w:r>
      <w:r w:rsidRPr="00444733">
        <w:rPr>
          <w:rFonts w:eastAsia="Times New Roman" w:cs="Arial"/>
          <w:color w:val="000000"/>
        </w:rPr>
        <w:t xml:space="preserve">) </w:t>
      </w:r>
      <w:r w:rsidRPr="00444733">
        <w:rPr>
          <w:rFonts w:eastAsia="Times New Roman" w:cs="Arial"/>
          <w:color w:val="000000"/>
          <w:lang w:eastAsia="bg-BG"/>
        </w:rPr>
        <w:t>ефектът на розувастатин върху настъпването на значими атеросклеротични сърдечносъдови болестни събития е оценен при 17 802 мъже (≥50 години) и жени (≥60 години).</w:t>
      </w:r>
    </w:p>
    <w:p w14:paraId="59E11B64"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Участниците в проучването са били рандомизирани да получават плацебо (</w:t>
      </w:r>
      <w:r w:rsidRPr="00444733">
        <w:rPr>
          <w:rFonts w:eastAsia="Times New Roman" w:cs="Arial"/>
          <w:color w:val="000000"/>
          <w:lang w:val="en-US"/>
        </w:rPr>
        <w:t>n</w:t>
      </w:r>
      <w:r w:rsidRPr="00444733">
        <w:rPr>
          <w:rFonts w:eastAsia="Times New Roman" w:cs="Arial"/>
          <w:color w:val="000000"/>
          <w:lang w:eastAsia="bg-BG"/>
        </w:rPr>
        <w:t xml:space="preserve">=8901) или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 (</w:t>
      </w:r>
      <w:r w:rsidRPr="00444733">
        <w:rPr>
          <w:rFonts w:eastAsia="Times New Roman" w:cs="Arial"/>
          <w:color w:val="000000"/>
          <w:lang w:val="en-US"/>
        </w:rPr>
        <w:t>n</w:t>
      </w:r>
      <w:r w:rsidRPr="00444733">
        <w:rPr>
          <w:rFonts w:eastAsia="Times New Roman" w:cs="Arial"/>
          <w:color w:val="000000"/>
          <w:lang w:eastAsia="bg-BG"/>
        </w:rPr>
        <w:t>=8901) и са проследявани за средна продължителност от 2 години.</w:t>
      </w:r>
    </w:p>
    <w:p w14:paraId="2BE4A518"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Концентрацията на </w:t>
      </w:r>
      <w:r w:rsidRPr="00444733">
        <w:rPr>
          <w:rFonts w:eastAsia="Times New Roman" w:cs="Arial"/>
          <w:color w:val="000000"/>
          <w:lang w:val="en-US"/>
        </w:rPr>
        <w:t>LDL</w:t>
      </w:r>
      <w:r w:rsidRPr="00444733">
        <w:rPr>
          <w:rFonts w:eastAsia="Times New Roman" w:cs="Arial"/>
          <w:color w:val="000000"/>
          <w:lang w:eastAsia="bg-BG"/>
        </w:rPr>
        <w:t>-холестерола е била намалена с 45% (р&lt;0,001) в групата на розувастатин в сравнение с групата на плацебо.</w:t>
      </w:r>
    </w:p>
    <w:p w14:paraId="1E540748" w14:textId="77777777" w:rsidR="00444733" w:rsidRPr="00444733" w:rsidRDefault="00444733" w:rsidP="00444733">
      <w:pPr>
        <w:spacing w:line="240" w:lineRule="auto"/>
        <w:rPr>
          <w:rFonts w:eastAsia="Times New Roman" w:cs="Arial"/>
          <w:color w:val="000000"/>
          <w:lang w:eastAsia="bg-BG"/>
        </w:rPr>
      </w:pPr>
    </w:p>
    <w:p w14:paraId="7D9E546B" w14:textId="545364EF"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последващ анализ на високорискова подгрупа с пациенти с изходен резултат на риска по </w:t>
      </w:r>
      <w:r w:rsidRPr="00444733">
        <w:rPr>
          <w:rFonts w:eastAsia="Times New Roman" w:cs="Arial"/>
          <w:color w:val="000000"/>
          <w:lang w:val="en-US"/>
        </w:rPr>
        <w:t>Framingham</w:t>
      </w:r>
      <w:r w:rsidRPr="00444733">
        <w:rPr>
          <w:rFonts w:eastAsia="Times New Roman" w:cs="Arial"/>
          <w:color w:val="000000"/>
          <w:lang w:val="ru-RU"/>
        </w:rPr>
        <w:t xml:space="preserve"> </w:t>
      </w:r>
      <w:r w:rsidRPr="00444733">
        <w:rPr>
          <w:rFonts w:eastAsia="Times New Roman" w:cs="Arial"/>
          <w:color w:val="000000"/>
          <w:lang w:eastAsia="bg-BG"/>
        </w:rPr>
        <w:t xml:space="preserve">&gt; 20% (1558 пациенти) се наблюдава значително намаление в комбинираната крайна точка за сърдечносъдова смърт, инсулт и инфаркт на миокарда (р=0,028) при лечение с розувастатин спрямо плацебо. Абсолютното понижение на риска в честотата на събитията за 1000 пациенто-години е 8,8. Общата смъртност е непроменена в тази високорискова група (р=0,193). В последващ анализ на високорискова подгрупа с пациенти (общо 9302) с изходен резултат на риска по </w:t>
      </w:r>
      <w:r w:rsidRPr="00444733">
        <w:rPr>
          <w:rFonts w:eastAsia="Times New Roman" w:cs="Arial"/>
          <w:color w:val="000000"/>
          <w:lang w:val="en-US"/>
        </w:rPr>
        <w:t>SCORE</w:t>
      </w:r>
      <w:r w:rsidRPr="00444733">
        <w:rPr>
          <w:rFonts w:eastAsia="Times New Roman" w:cs="Arial"/>
          <w:color w:val="000000"/>
          <w:lang w:val="ru-RU"/>
        </w:rPr>
        <w:t xml:space="preserve"> </w:t>
      </w:r>
      <w:r w:rsidRPr="00444733">
        <w:rPr>
          <w:rFonts w:eastAsia="Times New Roman" w:cs="Arial"/>
          <w:color w:val="000000"/>
          <w:lang w:eastAsia="bg-BG"/>
        </w:rPr>
        <w:t>≥ 5% (екстраполирани така, че да включва пациенти над 65 години) се наблюдава значително намаление в комбинираната крайна точка за сърдечносъдова смърт, инсулт и инфаркт на миокарда (р- 0,0003) при лечение с розувастатин спрямо плацебо. Абсолютното понижение на риска в честотата на събитията за 1000 пациенто-години е 5,1. Общата смъртност е непроменена в тази високорискова група (р=0,076).</w:t>
      </w:r>
    </w:p>
    <w:p w14:paraId="054293C8" w14:textId="77777777" w:rsidR="00444733" w:rsidRPr="00444733" w:rsidRDefault="00444733" w:rsidP="00444733">
      <w:pPr>
        <w:spacing w:line="240" w:lineRule="auto"/>
        <w:rPr>
          <w:rFonts w:eastAsia="Times New Roman" w:cs="Arial"/>
          <w:color w:val="000000"/>
          <w:lang w:eastAsia="bg-BG"/>
        </w:rPr>
      </w:pPr>
    </w:p>
    <w:p w14:paraId="05E6BFEA" w14:textId="77777777" w:rsidR="00444733" w:rsidRPr="00444733" w:rsidRDefault="00444733" w:rsidP="00444733">
      <w:pPr>
        <w:rPr>
          <w:rFonts w:eastAsia="Times New Roman" w:cs="Arial"/>
        </w:rPr>
      </w:pPr>
      <w:r w:rsidRPr="00444733">
        <w:rPr>
          <w:rFonts w:eastAsia="Times New Roman" w:cs="Arial"/>
          <w:color w:val="000000"/>
          <w:lang w:eastAsia="bg-BG"/>
        </w:rPr>
        <w:t xml:space="preserve">В проучването </w:t>
      </w:r>
      <w:r w:rsidRPr="00444733">
        <w:rPr>
          <w:rFonts w:eastAsia="Times New Roman" w:cs="Arial"/>
          <w:color w:val="000000"/>
          <w:lang w:val="en-US"/>
        </w:rPr>
        <w:t>JUPITER</w:t>
      </w:r>
      <w:r w:rsidRPr="00444733">
        <w:rPr>
          <w:rFonts w:eastAsia="Times New Roman" w:cs="Arial"/>
          <w:color w:val="000000"/>
          <w:lang w:val="ru-RU"/>
        </w:rPr>
        <w:t xml:space="preserve"> </w:t>
      </w:r>
      <w:r w:rsidRPr="00444733">
        <w:rPr>
          <w:rFonts w:eastAsia="Times New Roman" w:cs="Arial"/>
          <w:color w:val="000000"/>
          <w:lang w:eastAsia="bg-BG"/>
        </w:rPr>
        <w:t>е имало 6,6% пациенти на розувастатин и 6,2% пациенти на плацебо, които са прекратили употребата на изпитваното лекарство поради нежелана реакция. Най- честите нежелани реакции, които са довели до прекратяване на лечението, са били: миалгия (0,3% розувастатин, 0,2% плацебо), коремна болка (0,03% розувастатин, 0,02% плацеб</w:t>
      </w:r>
      <w:r w:rsidRPr="00444733">
        <w:rPr>
          <w:rFonts w:eastAsia="Times New Roman" w:cs="Arial"/>
          <w:color w:val="000000"/>
          <w:u w:val="single"/>
          <w:lang w:eastAsia="bg-BG"/>
        </w:rPr>
        <w:t xml:space="preserve">о) и </w:t>
      </w:r>
      <w:r w:rsidRPr="00444733">
        <w:rPr>
          <w:rFonts w:eastAsia="Times New Roman" w:cs="Arial"/>
          <w:color w:val="000000"/>
          <w:lang w:eastAsia="bg-BG"/>
        </w:rPr>
        <w:t>обрив (0,02% розувастатин, 0,03% плацебо). Най-честите нежелани реакции с честота по- голяма от или равна на тази при плацебо са инфекции на пикочните пътища (8,7%</w:t>
      </w:r>
      <w:r w:rsidRPr="00444733">
        <w:rPr>
          <w:rFonts w:eastAsia="Times New Roman" w:cs="Arial"/>
          <w:color w:val="000000"/>
          <w:lang w:val="ru-RU" w:eastAsia="bg-BG"/>
        </w:rPr>
        <w:t xml:space="preserve"> </w:t>
      </w:r>
      <w:r w:rsidRPr="00444733">
        <w:rPr>
          <w:rFonts w:eastAsia="Times New Roman" w:cs="Arial"/>
          <w:color w:val="000000"/>
          <w:lang w:eastAsia="bg-BG"/>
        </w:rPr>
        <w:t>розувастатин, 8,6% плацебо), назофарингит (7,6% розувастатин, 7,2% плацебо), болки в гърба (7,6% розувастатин, 6,9% плацебо) и миалгия (7,6% розувастатин, 6,6% плацебо).</w:t>
      </w:r>
    </w:p>
    <w:p w14:paraId="69A44CC2" w14:textId="77777777" w:rsidR="00444733" w:rsidRPr="00444733" w:rsidRDefault="00444733" w:rsidP="00444733">
      <w:pPr>
        <w:spacing w:line="240" w:lineRule="auto"/>
        <w:rPr>
          <w:rFonts w:eastAsia="Times New Roman" w:cs="Arial"/>
          <w:color w:val="000000"/>
          <w:u w:val="single"/>
          <w:lang w:eastAsia="bg-BG"/>
        </w:rPr>
      </w:pPr>
    </w:p>
    <w:p w14:paraId="005D2697" w14:textId="55DF1137" w:rsidR="00444733" w:rsidRPr="00444733" w:rsidRDefault="00444733" w:rsidP="00444733">
      <w:pPr>
        <w:spacing w:line="240" w:lineRule="auto"/>
        <w:rPr>
          <w:rFonts w:eastAsia="Times New Roman" w:cs="Arial"/>
        </w:rPr>
      </w:pPr>
      <w:r w:rsidRPr="00444733">
        <w:rPr>
          <w:rFonts w:eastAsia="Times New Roman" w:cs="Arial"/>
          <w:color w:val="000000"/>
          <w:u w:val="single"/>
          <w:lang w:eastAsia="bg-BG"/>
        </w:rPr>
        <w:t>Педиатрична популация</w:t>
      </w:r>
    </w:p>
    <w:p w14:paraId="109E1346"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В двойно-сляпо, рандомизирано, мултицентрово, плацебо-контролирано, 12-седмично проучване (</w:t>
      </w:r>
      <w:r w:rsidRPr="00444733">
        <w:rPr>
          <w:rFonts w:eastAsia="Times New Roman" w:cs="Arial"/>
          <w:color w:val="000000"/>
          <w:lang w:val="en-US"/>
        </w:rPr>
        <w:t>n</w:t>
      </w:r>
      <w:r w:rsidRPr="00444733">
        <w:rPr>
          <w:rFonts w:eastAsia="Times New Roman" w:cs="Arial"/>
          <w:color w:val="000000"/>
          <w:lang w:val="ru-RU"/>
        </w:rPr>
        <w:t>=</w:t>
      </w:r>
      <w:r w:rsidRPr="00444733">
        <w:rPr>
          <w:rFonts w:eastAsia="Times New Roman" w:cs="Arial"/>
          <w:color w:val="000000"/>
          <w:lang w:eastAsia="bg-BG"/>
        </w:rPr>
        <w:t>176, 97 момчета и 79 момичета), последвано от 40-седмично (</w:t>
      </w:r>
      <w:r w:rsidRPr="00444733">
        <w:rPr>
          <w:rFonts w:eastAsia="Times New Roman" w:cs="Arial"/>
          <w:color w:val="000000"/>
          <w:lang w:val="en-US"/>
        </w:rPr>
        <w:t>n</w:t>
      </w:r>
      <w:r w:rsidRPr="00444733">
        <w:rPr>
          <w:rFonts w:eastAsia="Times New Roman" w:cs="Arial"/>
          <w:color w:val="000000"/>
          <w:lang w:eastAsia="bg-BG"/>
        </w:rPr>
        <w:t xml:space="preserve">=173, 96 момчета и 77 момичета), отворено, фаза на титриране на дозата розувастатин, пациенти на възраст 10-17 години (етап II-V по </w:t>
      </w:r>
      <w:r w:rsidRPr="00444733">
        <w:rPr>
          <w:rFonts w:eastAsia="Times New Roman" w:cs="Arial"/>
          <w:color w:val="000000"/>
          <w:lang w:val="en-US"/>
        </w:rPr>
        <w:t>Tanner</w:t>
      </w:r>
      <w:r w:rsidRPr="00444733">
        <w:rPr>
          <w:rFonts w:eastAsia="Times New Roman" w:cs="Arial"/>
          <w:color w:val="000000"/>
          <w:lang w:val="ru-RU"/>
        </w:rPr>
        <w:t xml:space="preserve">, </w:t>
      </w:r>
      <w:r w:rsidRPr="00444733">
        <w:rPr>
          <w:rFonts w:eastAsia="Times New Roman" w:cs="Arial"/>
          <w:color w:val="000000"/>
          <w:lang w:eastAsia="bg-BG"/>
        </w:rPr>
        <w:t xml:space="preserve">момичета поне една година след първата </w:t>
      </w:r>
      <w:r w:rsidRPr="00444733">
        <w:rPr>
          <w:rFonts w:eastAsia="Times New Roman" w:cs="Arial"/>
          <w:color w:val="000000"/>
          <w:lang w:eastAsia="bg-BG"/>
        </w:rPr>
        <w:lastRenderedPageBreak/>
        <w:t xml:space="preserve">менструация) с хетерозиготна фамилна хиперхолестеролемия получават розувастатин 5, 10 или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дневно или плацебо за 12 седмици и след това всички получават розувастатин дневно в продължение на 40 седмици. При включване в проучването около 30% от пациентите са били на 10-13 години и приблизително 17%, 18%, 40% и 25% са съответно етап II, </w:t>
      </w:r>
      <w:r w:rsidRPr="00444733">
        <w:rPr>
          <w:rFonts w:eastAsia="Times New Roman" w:cs="Arial"/>
          <w:color w:val="000000"/>
          <w:lang w:val="en-US"/>
        </w:rPr>
        <w:t>III</w:t>
      </w:r>
      <w:r w:rsidRPr="00444733">
        <w:rPr>
          <w:rFonts w:eastAsia="Times New Roman" w:cs="Arial"/>
          <w:color w:val="000000"/>
          <w:lang w:val="ru-RU"/>
        </w:rPr>
        <w:t xml:space="preserve">, </w:t>
      </w:r>
      <w:r w:rsidRPr="00444733">
        <w:rPr>
          <w:rFonts w:eastAsia="Times New Roman" w:cs="Arial"/>
          <w:color w:val="000000"/>
          <w:lang w:eastAsia="bg-BG"/>
        </w:rPr>
        <w:t xml:space="preserve">IV и V по </w:t>
      </w:r>
      <w:r w:rsidRPr="00444733">
        <w:rPr>
          <w:rFonts w:eastAsia="Times New Roman" w:cs="Arial"/>
          <w:color w:val="000000"/>
          <w:lang w:val="en-US"/>
        </w:rPr>
        <w:t>Tanner</w:t>
      </w:r>
      <w:r w:rsidRPr="00444733">
        <w:rPr>
          <w:rFonts w:eastAsia="Times New Roman" w:cs="Arial"/>
          <w:color w:val="000000"/>
          <w:lang w:val="ru-RU"/>
        </w:rPr>
        <w:t>.</w:t>
      </w:r>
    </w:p>
    <w:p w14:paraId="2A73782B" w14:textId="77777777" w:rsidR="00444733" w:rsidRPr="00444733" w:rsidRDefault="00444733" w:rsidP="00444733">
      <w:pPr>
        <w:spacing w:line="240" w:lineRule="auto"/>
        <w:rPr>
          <w:rFonts w:eastAsia="Times New Roman" w:cs="Arial"/>
          <w:color w:val="000000"/>
          <w:lang w:val="en-US"/>
        </w:rPr>
      </w:pPr>
    </w:p>
    <w:p w14:paraId="1B56228D" w14:textId="5F21B040" w:rsidR="00444733" w:rsidRPr="00444733" w:rsidRDefault="00444733" w:rsidP="00444733">
      <w:pPr>
        <w:spacing w:line="240" w:lineRule="auto"/>
        <w:rPr>
          <w:rFonts w:eastAsia="Times New Roman" w:cs="Arial"/>
        </w:rPr>
      </w:pP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е намален с 38,3%, 44,6% и 50,0% от розувастатин съответно 5, 10 и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 сравнение с 0,7% за плацебо.</w:t>
      </w:r>
    </w:p>
    <w:p w14:paraId="68FA2941" w14:textId="77777777" w:rsidR="00444733" w:rsidRPr="00444733" w:rsidRDefault="00444733" w:rsidP="00444733">
      <w:pPr>
        <w:spacing w:line="240" w:lineRule="auto"/>
        <w:rPr>
          <w:rFonts w:eastAsia="Times New Roman" w:cs="Arial"/>
          <w:color w:val="000000"/>
          <w:lang w:eastAsia="bg-BG"/>
        </w:rPr>
      </w:pPr>
    </w:p>
    <w:p w14:paraId="52782CF5" w14:textId="2AD5D932"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края на 40-седмичното, отворено, с титриране до целта, дозиране до максимум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веднъж дневно проучване 70 от 173 пациенти (40,5%) са постигнали целта за </w:t>
      </w:r>
      <w:r w:rsidRPr="00444733">
        <w:rPr>
          <w:rFonts w:eastAsia="Times New Roman" w:cs="Arial"/>
          <w:color w:val="000000"/>
          <w:lang w:val="en-US"/>
        </w:rPr>
        <w:t>LDL</w:t>
      </w:r>
      <w:r w:rsidRPr="00444733">
        <w:rPr>
          <w:rFonts w:eastAsia="Times New Roman" w:cs="Arial"/>
          <w:color w:val="000000"/>
          <w:lang w:eastAsia="bg-BG"/>
        </w:rPr>
        <w:t xml:space="preserve">-С от по-малко от 2,8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w:t>
      </w:r>
    </w:p>
    <w:p w14:paraId="69E46310" w14:textId="77777777" w:rsidR="00444733" w:rsidRPr="00444733" w:rsidRDefault="00444733" w:rsidP="00444733">
      <w:pPr>
        <w:spacing w:line="240" w:lineRule="auto"/>
        <w:rPr>
          <w:rFonts w:eastAsia="Times New Roman" w:cs="Arial"/>
          <w:color w:val="000000"/>
          <w:lang w:eastAsia="bg-BG"/>
        </w:rPr>
      </w:pPr>
    </w:p>
    <w:p w14:paraId="0479F121" w14:textId="55243A7B" w:rsidR="00444733" w:rsidRPr="00444733" w:rsidRDefault="00444733" w:rsidP="00444733">
      <w:pPr>
        <w:spacing w:line="240" w:lineRule="auto"/>
        <w:rPr>
          <w:rFonts w:eastAsia="Times New Roman" w:cs="Arial"/>
          <w:color w:val="000000"/>
          <w:lang w:eastAsia="bg-BG"/>
        </w:rPr>
      </w:pPr>
      <w:r w:rsidRPr="00444733">
        <w:rPr>
          <w:rFonts w:eastAsia="Times New Roman" w:cs="Arial"/>
          <w:color w:val="000000"/>
          <w:lang w:eastAsia="bg-BG"/>
        </w:rPr>
        <w:t xml:space="preserve">След 52 седмици на лечение в проучването не се наблюдава ефект върху растежа, теглото, ИТМ или </w:t>
      </w:r>
    </w:p>
    <w:p w14:paraId="676185B9" w14:textId="600D9780" w:rsidR="00444733" w:rsidRPr="00444733" w:rsidRDefault="00444733" w:rsidP="00444733">
      <w:pPr>
        <w:spacing w:line="240" w:lineRule="auto"/>
        <w:rPr>
          <w:rFonts w:eastAsia="Times New Roman" w:cs="Arial"/>
        </w:rPr>
      </w:pPr>
      <w:r w:rsidRPr="00444733">
        <w:rPr>
          <w:rFonts w:eastAsia="Times New Roman" w:cs="Arial"/>
          <w:color w:val="000000"/>
          <w:lang w:eastAsia="bg-BG"/>
        </w:rPr>
        <w:t>половото съзряване (вж. точка 4.4). Това проучване (</w:t>
      </w:r>
      <w:r w:rsidRPr="00444733">
        <w:rPr>
          <w:rFonts w:eastAsia="Times New Roman" w:cs="Arial"/>
          <w:color w:val="000000"/>
          <w:lang w:val="en-US"/>
        </w:rPr>
        <w:t>n</w:t>
      </w:r>
      <w:r w:rsidRPr="00444733">
        <w:rPr>
          <w:rFonts w:eastAsia="Times New Roman" w:cs="Arial"/>
          <w:color w:val="000000"/>
          <w:lang w:val="ru-RU"/>
        </w:rPr>
        <w:t>=</w:t>
      </w:r>
      <w:r w:rsidRPr="00444733">
        <w:rPr>
          <w:rFonts w:eastAsia="Times New Roman" w:cs="Arial"/>
          <w:color w:val="000000"/>
          <w:lang w:eastAsia="bg-BG"/>
        </w:rPr>
        <w:t>176) не е подходящо за сравняване на редки нежелани лекарствени реакции.</w:t>
      </w:r>
    </w:p>
    <w:p w14:paraId="5449B59F" w14:textId="77777777" w:rsidR="00444733" w:rsidRPr="00444733" w:rsidRDefault="00444733" w:rsidP="00444733">
      <w:pPr>
        <w:spacing w:line="240" w:lineRule="auto"/>
        <w:rPr>
          <w:rFonts w:eastAsia="Times New Roman" w:cs="Arial"/>
          <w:color w:val="000000"/>
          <w:lang w:eastAsia="bg-BG"/>
        </w:rPr>
      </w:pPr>
    </w:p>
    <w:p w14:paraId="2353F86E" w14:textId="79B9499B" w:rsidR="00444733" w:rsidRPr="00444733" w:rsidRDefault="00444733" w:rsidP="00444733">
      <w:pPr>
        <w:spacing w:line="240" w:lineRule="auto"/>
        <w:rPr>
          <w:rFonts w:eastAsia="Times New Roman" w:cs="Arial"/>
        </w:rPr>
      </w:pPr>
      <w:r w:rsidRPr="00444733">
        <w:rPr>
          <w:rFonts w:eastAsia="Times New Roman" w:cs="Arial"/>
          <w:color w:val="000000"/>
          <w:lang w:eastAsia="bg-BG"/>
        </w:rPr>
        <w:t>Розувастатин е проучен също и в 2-годишно отворено проучване с титриране до целта при 198 деца с хетерозиготна фамилна хиперхолестеролемия на възраст от 6 до 17 години (88 момчета и 110 момичета, етап &lt;</w:t>
      </w:r>
      <w:r w:rsidRPr="00444733">
        <w:rPr>
          <w:rFonts w:eastAsia="Times New Roman" w:cs="Arial"/>
          <w:color w:val="000000"/>
          <w:lang w:val="en-US"/>
        </w:rPr>
        <w:t>II</w:t>
      </w:r>
      <w:r w:rsidRPr="00444733">
        <w:rPr>
          <w:rFonts w:eastAsia="Times New Roman" w:cs="Arial"/>
          <w:color w:val="000000"/>
          <w:lang w:eastAsia="bg-BG"/>
        </w:rPr>
        <w:t xml:space="preserve">-V по </w:t>
      </w:r>
      <w:r w:rsidRPr="00444733">
        <w:rPr>
          <w:rFonts w:eastAsia="Times New Roman" w:cs="Arial"/>
          <w:color w:val="000000"/>
          <w:lang w:val="en-US"/>
        </w:rPr>
        <w:t>Tanner</w:t>
      </w:r>
      <w:r w:rsidRPr="00444733">
        <w:rPr>
          <w:rFonts w:eastAsia="Times New Roman" w:cs="Arial"/>
          <w:color w:val="000000"/>
          <w:lang w:val="ru-RU"/>
        </w:rPr>
        <w:t xml:space="preserve">). </w:t>
      </w:r>
      <w:r w:rsidRPr="00444733">
        <w:rPr>
          <w:rFonts w:eastAsia="Times New Roman" w:cs="Arial"/>
          <w:color w:val="000000"/>
          <w:lang w:eastAsia="bg-BG"/>
        </w:rPr>
        <w:t xml:space="preserve">Началната доза за всички пациенти е 5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розувастатин веднъж дневно. При пациентите на възраст от 6 до 9 години (</w:t>
      </w:r>
      <w:r w:rsidRPr="00444733">
        <w:rPr>
          <w:rFonts w:eastAsia="Times New Roman" w:cs="Arial"/>
          <w:color w:val="000000"/>
          <w:lang w:val="en-US"/>
        </w:rPr>
        <w:t>n</w:t>
      </w:r>
      <w:r w:rsidRPr="00444733">
        <w:rPr>
          <w:rFonts w:eastAsia="Times New Roman" w:cs="Arial"/>
          <w:color w:val="000000"/>
          <w:lang w:eastAsia="bg-BG"/>
        </w:rPr>
        <w:t xml:space="preserve">=64) дозата може да се увеличи до максимална доза от 10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 а при пациентите на възраст от 10 до 17 години (</w:t>
      </w:r>
      <w:r w:rsidRPr="00444733">
        <w:rPr>
          <w:rFonts w:eastAsia="Times New Roman" w:cs="Arial"/>
          <w:color w:val="000000"/>
          <w:lang w:val="en-US"/>
        </w:rPr>
        <w:t>n</w:t>
      </w:r>
      <w:r w:rsidRPr="00444733">
        <w:rPr>
          <w:rFonts w:eastAsia="Times New Roman" w:cs="Arial"/>
          <w:color w:val="000000"/>
          <w:lang w:eastAsia="bg-BG"/>
        </w:rPr>
        <w:t xml:space="preserve">=134) до максимална доза от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w:t>
      </w:r>
    </w:p>
    <w:p w14:paraId="0B90E809" w14:textId="77777777" w:rsidR="00444733" w:rsidRPr="00444733" w:rsidRDefault="00444733" w:rsidP="00444733">
      <w:pPr>
        <w:spacing w:line="240" w:lineRule="auto"/>
        <w:rPr>
          <w:rFonts w:eastAsia="Times New Roman" w:cs="Arial"/>
          <w:color w:val="000000"/>
          <w:lang w:eastAsia="bg-BG"/>
        </w:rPr>
      </w:pPr>
    </w:p>
    <w:p w14:paraId="676E4EDA" w14:textId="2AC96769"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След 24-месечно лечение с розувастатин средното процентно намаление на </w:t>
      </w:r>
      <w:r w:rsidRPr="00444733">
        <w:rPr>
          <w:rFonts w:eastAsia="Times New Roman" w:cs="Arial"/>
          <w:color w:val="000000"/>
          <w:lang w:val="en-US"/>
        </w:rPr>
        <w:t>LS</w:t>
      </w:r>
      <w:r w:rsidRPr="00444733">
        <w:rPr>
          <w:rFonts w:eastAsia="Times New Roman" w:cs="Arial"/>
          <w:color w:val="000000"/>
          <w:lang w:val="ru-RU"/>
        </w:rPr>
        <w:t xml:space="preserve"> </w:t>
      </w:r>
      <w:r w:rsidRPr="00444733">
        <w:rPr>
          <w:rFonts w:eastAsia="Times New Roman" w:cs="Arial"/>
          <w:color w:val="000000"/>
          <w:lang w:eastAsia="bg-BG"/>
        </w:rPr>
        <w:t xml:space="preserve">от изходната стойност при </w:t>
      </w:r>
      <w:r w:rsidRPr="00444733">
        <w:rPr>
          <w:rFonts w:eastAsia="Times New Roman" w:cs="Arial"/>
          <w:color w:val="000000"/>
          <w:lang w:val="en-US"/>
        </w:rPr>
        <w:t>LDL</w:t>
      </w:r>
      <w:r w:rsidRPr="00444733">
        <w:rPr>
          <w:rFonts w:eastAsia="Times New Roman" w:cs="Arial"/>
          <w:color w:val="000000"/>
          <w:lang w:eastAsia="bg-BG"/>
        </w:rPr>
        <w:t xml:space="preserve">-С е -43% (изходно ниво: 236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Месец 24: 133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За всяка възрастова група средното процентно намаление на </w:t>
      </w:r>
      <w:r w:rsidRPr="00444733">
        <w:rPr>
          <w:rFonts w:eastAsia="Times New Roman" w:cs="Arial"/>
          <w:color w:val="000000"/>
          <w:lang w:val="en-US"/>
        </w:rPr>
        <w:t>LS</w:t>
      </w:r>
      <w:r w:rsidRPr="00444733">
        <w:rPr>
          <w:rFonts w:eastAsia="Times New Roman" w:cs="Arial"/>
          <w:color w:val="000000"/>
          <w:lang w:val="ru-RU"/>
        </w:rPr>
        <w:t xml:space="preserve"> </w:t>
      </w:r>
      <w:r w:rsidRPr="00444733">
        <w:rPr>
          <w:rFonts w:eastAsia="Times New Roman" w:cs="Arial"/>
          <w:color w:val="000000"/>
          <w:lang w:eastAsia="bg-BG"/>
        </w:rPr>
        <w:t xml:space="preserve">от изходните стойности при </w:t>
      </w:r>
      <w:r w:rsidRPr="00444733">
        <w:rPr>
          <w:rFonts w:eastAsia="Times New Roman" w:cs="Arial"/>
          <w:color w:val="000000"/>
          <w:lang w:val="en-US"/>
        </w:rPr>
        <w:t>LDL</w:t>
      </w:r>
      <w:r w:rsidRPr="00444733">
        <w:rPr>
          <w:rFonts w:eastAsia="Times New Roman" w:cs="Arial"/>
          <w:color w:val="000000"/>
          <w:lang w:eastAsia="bg-BG"/>
        </w:rPr>
        <w:t xml:space="preserve">-С е - 43% (изходно ниво: 234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Месец 24: 124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-45% (изходно ниво: 234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124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и 35% (изходно ниво: 241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Месец 24: 153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съответно във възрастовите групи от 6 до &lt;10, от 10 до &lt;14 и от 14 до &lt;18.</w:t>
      </w:r>
    </w:p>
    <w:p w14:paraId="2ED4A125" w14:textId="77777777" w:rsidR="00444733" w:rsidRPr="00444733" w:rsidRDefault="00444733" w:rsidP="00444733">
      <w:pPr>
        <w:spacing w:line="240" w:lineRule="auto"/>
        <w:rPr>
          <w:rFonts w:eastAsia="Times New Roman" w:cs="Arial"/>
          <w:color w:val="000000"/>
          <w:lang w:eastAsia="bg-BG"/>
        </w:rPr>
      </w:pPr>
    </w:p>
    <w:p w14:paraId="0DD3F88F" w14:textId="51226049"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Розувастатин 5 </w:t>
      </w:r>
      <w:r w:rsidRPr="00444733">
        <w:rPr>
          <w:rFonts w:eastAsia="Times New Roman" w:cs="Arial"/>
          <w:color w:val="000000"/>
          <w:lang w:val="en-US"/>
        </w:rPr>
        <w:t>mg</w:t>
      </w:r>
      <w:r w:rsidRPr="00444733">
        <w:rPr>
          <w:rFonts w:eastAsia="Times New Roman" w:cs="Arial"/>
          <w:color w:val="000000"/>
        </w:rPr>
        <w:t xml:space="preserve">, </w:t>
      </w:r>
      <w:r w:rsidRPr="00444733">
        <w:rPr>
          <w:rFonts w:eastAsia="Times New Roman" w:cs="Arial"/>
          <w:color w:val="000000"/>
          <w:lang w:eastAsia="bg-BG"/>
        </w:rPr>
        <w:t xml:space="preserve">10 </w:t>
      </w:r>
      <w:r w:rsidRPr="00444733">
        <w:rPr>
          <w:rFonts w:eastAsia="Times New Roman" w:cs="Arial"/>
          <w:color w:val="000000"/>
          <w:lang w:val="en-US"/>
        </w:rPr>
        <w:t>mg</w:t>
      </w:r>
      <w:r w:rsidRPr="00444733">
        <w:rPr>
          <w:rFonts w:eastAsia="Times New Roman" w:cs="Arial"/>
          <w:color w:val="000000"/>
        </w:rPr>
        <w:t xml:space="preserve"> </w:t>
      </w:r>
      <w:r w:rsidRPr="00444733">
        <w:rPr>
          <w:rFonts w:eastAsia="Times New Roman" w:cs="Arial"/>
          <w:color w:val="000000"/>
          <w:lang w:eastAsia="bg-BG"/>
        </w:rPr>
        <w:t xml:space="preserve">и 20 </w:t>
      </w:r>
      <w:r w:rsidRPr="00444733">
        <w:rPr>
          <w:rFonts w:eastAsia="Times New Roman" w:cs="Arial"/>
          <w:color w:val="000000"/>
          <w:lang w:val="en-US"/>
        </w:rPr>
        <w:t>mg</w:t>
      </w:r>
      <w:r w:rsidRPr="00444733">
        <w:rPr>
          <w:rFonts w:eastAsia="Times New Roman" w:cs="Arial"/>
          <w:color w:val="000000"/>
        </w:rPr>
        <w:t xml:space="preserve"> </w:t>
      </w:r>
      <w:r w:rsidRPr="00444733">
        <w:rPr>
          <w:rFonts w:eastAsia="Times New Roman" w:cs="Arial"/>
          <w:color w:val="000000"/>
          <w:lang w:eastAsia="bg-BG"/>
        </w:rPr>
        <w:t xml:space="preserve">също постига статистически значими средни изменения спрямо изходните стойности за следните второстепенни липидни и липопротеинови променливи: </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eastAsia="bg-BG"/>
        </w:rPr>
        <w:t xml:space="preserve">ТС, </w:t>
      </w:r>
      <w:r w:rsidRPr="00444733">
        <w:rPr>
          <w:rFonts w:eastAsia="Times New Roman" w:cs="Arial"/>
          <w:color w:val="000000"/>
          <w:lang w:val="en-US"/>
        </w:rPr>
        <w:t>non</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LDL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TC</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TG</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non</w:t>
      </w:r>
      <w:r w:rsidRPr="00444733">
        <w:rPr>
          <w:rFonts w:eastAsia="Times New Roman" w:cs="Arial"/>
          <w:color w:val="000000"/>
        </w:rPr>
        <w:t xml:space="preserve"> </w:t>
      </w:r>
      <w:r w:rsidRPr="00444733">
        <w:rPr>
          <w:rFonts w:eastAsia="Times New Roman" w:cs="Arial"/>
          <w:color w:val="000000"/>
          <w:lang w:val="en-US"/>
        </w:rPr>
        <w:t>HDL</w:t>
      </w:r>
      <w:r w:rsidRPr="00444733">
        <w:rPr>
          <w:rFonts w:eastAsia="Times New Roman" w:cs="Arial"/>
          <w:color w:val="000000"/>
        </w:rPr>
        <w:t xml:space="preserve"> </w:t>
      </w:r>
      <w:r w:rsidRPr="00444733">
        <w:rPr>
          <w:rFonts w:eastAsia="Times New Roman" w:cs="Arial"/>
          <w:color w:val="000000"/>
          <w:lang w:val="en-US"/>
        </w:rPr>
        <w:t>C</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 xml:space="preserve">- </w:t>
      </w:r>
      <w:r w:rsidRPr="00444733">
        <w:rPr>
          <w:rFonts w:eastAsia="Times New Roman" w:cs="Arial"/>
          <w:color w:val="000000"/>
          <w:lang w:val="en-US"/>
        </w:rPr>
        <w:t>C</w:t>
      </w:r>
      <w:r w:rsidRPr="00444733">
        <w:rPr>
          <w:rFonts w:eastAsia="Times New Roman" w:cs="Arial"/>
          <w:color w:val="000000"/>
        </w:rPr>
        <w:t xml:space="preserve">, </w:t>
      </w:r>
      <w:proofErr w:type="spellStart"/>
      <w:r w:rsidRPr="00444733">
        <w:rPr>
          <w:rFonts w:eastAsia="Times New Roman" w:cs="Arial"/>
          <w:color w:val="000000"/>
          <w:lang w:val="en-US"/>
        </w:rPr>
        <w:t>ApoB</w:t>
      </w:r>
      <w:proofErr w:type="spellEnd"/>
      <w:r w:rsidRPr="00444733">
        <w:rPr>
          <w:rFonts w:eastAsia="Times New Roman" w:cs="Arial"/>
          <w:color w:val="000000"/>
        </w:rPr>
        <w:t xml:space="preserve">, </w:t>
      </w:r>
      <w:proofErr w:type="spellStart"/>
      <w:r w:rsidRPr="00444733">
        <w:rPr>
          <w:rFonts w:eastAsia="Times New Roman" w:cs="Arial"/>
          <w:color w:val="000000"/>
          <w:lang w:val="en-US"/>
        </w:rPr>
        <w:t>ApoB</w:t>
      </w:r>
      <w:proofErr w:type="spellEnd"/>
      <w:r w:rsidRPr="00444733">
        <w:rPr>
          <w:rFonts w:eastAsia="Times New Roman" w:cs="Arial"/>
          <w:color w:val="000000"/>
        </w:rPr>
        <w:t>/</w:t>
      </w:r>
      <w:proofErr w:type="spellStart"/>
      <w:r w:rsidRPr="00444733">
        <w:rPr>
          <w:rFonts w:eastAsia="Times New Roman" w:cs="Arial"/>
          <w:color w:val="000000"/>
          <w:lang w:val="en-US"/>
        </w:rPr>
        <w:t>ApoA</w:t>
      </w:r>
      <w:proofErr w:type="spellEnd"/>
      <w:r w:rsidRPr="00444733">
        <w:rPr>
          <w:rFonts w:eastAsia="Times New Roman" w:cs="Arial"/>
          <w:color w:val="000000"/>
        </w:rPr>
        <w:t xml:space="preserve">-1. </w:t>
      </w:r>
      <w:r w:rsidRPr="00444733">
        <w:rPr>
          <w:rFonts w:eastAsia="Times New Roman" w:cs="Arial"/>
          <w:color w:val="000000"/>
          <w:lang w:eastAsia="bg-BG"/>
        </w:rPr>
        <w:t>Тези промени са в посока на подобряване на липидните отговори и се задържат в продължение на 2 години.</w:t>
      </w:r>
    </w:p>
    <w:p w14:paraId="07635A8F" w14:textId="77777777" w:rsidR="00444733" w:rsidRPr="00444733" w:rsidRDefault="00444733" w:rsidP="00444733">
      <w:pPr>
        <w:spacing w:line="240" w:lineRule="auto"/>
        <w:rPr>
          <w:rFonts w:eastAsia="Times New Roman" w:cs="Arial"/>
          <w:color w:val="000000"/>
          <w:lang w:eastAsia="bg-BG"/>
        </w:rPr>
      </w:pPr>
    </w:p>
    <w:p w14:paraId="17F346FD" w14:textId="2E36CD01" w:rsidR="00444733" w:rsidRPr="00444733" w:rsidRDefault="00444733" w:rsidP="00444733">
      <w:pPr>
        <w:spacing w:line="240" w:lineRule="auto"/>
        <w:rPr>
          <w:rFonts w:eastAsia="Times New Roman" w:cs="Arial"/>
        </w:rPr>
      </w:pPr>
      <w:r w:rsidRPr="00444733">
        <w:rPr>
          <w:rFonts w:eastAsia="Times New Roman" w:cs="Arial"/>
          <w:color w:val="000000"/>
          <w:lang w:eastAsia="bg-BG"/>
        </w:rPr>
        <w:t>Не се наблюдава ефект върху растежа, теглото, ИТМ или половото съзряване след 24-месечно лечение (вж. точка 4.4).</w:t>
      </w:r>
    </w:p>
    <w:p w14:paraId="56B6ED6B" w14:textId="77777777" w:rsidR="00444733" w:rsidRPr="00444733" w:rsidRDefault="00444733" w:rsidP="00444733">
      <w:pPr>
        <w:spacing w:line="240" w:lineRule="auto"/>
        <w:rPr>
          <w:rFonts w:eastAsia="Times New Roman" w:cs="Arial"/>
          <w:color w:val="000000"/>
          <w:lang w:eastAsia="bg-BG"/>
        </w:rPr>
      </w:pPr>
    </w:p>
    <w:p w14:paraId="6AF724DC" w14:textId="0995E676"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Розувастатин е проучен в рандомизирано, двойно-сляпо, плацебо-контролирано, многоцентрово кръстосано проучване с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 спрямо плацебо при 14 деца и юноши (на възраст от 6 до 17 години) с хомозиготна фамилна хиперхолестеролемия.</w:t>
      </w:r>
    </w:p>
    <w:p w14:paraId="2DC1B6ED" w14:textId="2D7C3A84"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Проучването включва активна 4-седмична въвеждаща хранителна фаза, през която пациентите са лекувани с розувастатин 10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фаза на преход, състояща се от 6-седмичен период на</w:t>
      </w:r>
      <w:r w:rsidRPr="00444733">
        <w:rPr>
          <w:rFonts w:eastAsia="Times New Roman" w:cs="Arial"/>
          <w:lang w:val="ru-RU"/>
        </w:rPr>
        <w:t xml:space="preserve"> </w:t>
      </w:r>
      <w:r w:rsidRPr="00444733">
        <w:rPr>
          <w:rFonts w:eastAsia="Times New Roman" w:cs="Arial"/>
          <w:color w:val="000000"/>
          <w:lang w:eastAsia="bg-BG"/>
        </w:rPr>
        <w:t xml:space="preserve">лечение с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розувастатин, предшествана или последвана от 6-седмично лечени с плацебо, и 12-седмична поддържаща фаза, през която всички </w:t>
      </w:r>
      <w:r w:rsidRPr="00444733">
        <w:rPr>
          <w:rFonts w:eastAsia="Times New Roman" w:cs="Arial"/>
          <w:color w:val="000000"/>
          <w:lang w:eastAsia="bg-BG"/>
        </w:rPr>
        <w:lastRenderedPageBreak/>
        <w:t>пациенти са лекувани с розувасатин</w:t>
      </w:r>
      <w:r w:rsidRPr="00444733">
        <w:rPr>
          <w:rFonts w:eastAsia="Times New Roman" w:cs="Arial"/>
          <w:color w:val="000000"/>
          <w:lang w:val="ru-RU" w:eastAsia="bg-BG"/>
        </w:rPr>
        <w:t xml:space="preserve"> </w:t>
      </w:r>
      <w:r w:rsidRPr="00444733">
        <w:rPr>
          <w:rFonts w:eastAsia="Times New Roman" w:cs="Arial"/>
          <w:color w:val="000000"/>
          <w:lang w:eastAsia="bg-BG"/>
        </w:rPr>
        <w:t xml:space="preserve">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Пациентите, участващи в проучването с езетимиб или афереза, са продължили лечението през цялото проучване.</w:t>
      </w:r>
    </w:p>
    <w:p w14:paraId="3F3CE118" w14:textId="77777777" w:rsidR="00444733" w:rsidRPr="00444733" w:rsidRDefault="00444733" w:rsidP="00444733">
      <w:pPr>
        <w:spacing w:line="240" w:lineRule="auto"/>
        <w:rPr>
          <w:rFonts w:eastAsia="Times New Roman" w:cs="Arial"/>
          <w:color w:val="000000"/>
          <w:lang w:eastAsia="bg-BG"/>
        </w:rPr>
      </w:pPr>
    </w:p>
    <w:p w14:paraId="00F9A7EA" w14:textId="04AB6B37" w:rsidR="00444733" w:rsidRPr="00444733" w:rsidRDefault="00444733" w:rsidP="00444733">
      <w:pPr>
        <w:spacing w:line="240" w:lineRule="auto"/>
        <w:rPr>
          <w:rFonts w:eastAsia="Times New Roman" w:cs="Arial"/>
          <w:color w:val="000000"/>
          <w:lang w:eastAsia="bg-BG"/>
        </w:rPr>
      </w:pPr>
      <w:r w:rsidRPr="00444733">
        <w:rPr>
          <w:rFonts w:eastAsia="Times New Roman" w:cs="Arial"/>
          <w:color w:val="000000"/>
          <w:lang w:eastAsia="bg-BG"/>
        </w:rPr>
        <w:t xml:space="preserve">Наблюдава се статистически значимо (р=0,005) понижение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(22,3%, 85,4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или 2,2 </w:t>
      </w:r>
      <w:proofErr w:type="spellStart"/>
      <w:r w:rsidRPr="00444733">
        <w:rPr>
          <w:rFonts w:eastAsia="Times New Roman" w:cs="Arial"/>
          <w:color w:val="000000"/>
          <w:lang w:val="en-US"/>
        </w:rPr>
        <w:t>mmol</w:t>
      </w:r>
      <w:proofErr w:type="spellEnd"/>
      <w:r w:rsidRPr="00444733">
        <w:rPr>
          <w:rFonts w:eastAsia="Times New Roman" w:cs="Arial"/>
          <w:color w:val="000000"/>
          <w:lang w:eastAsia="bg-BG"/>
        </w:rPr>
        <w:t>/</w:t>
      </w:r>
      <w:r w:rsidRPr="00444733">
        <w:rPr>
          <w:rFonts w:eastAsia="Times New Roman" w:cs="Arial"/>
          <w:color w:val="000000"/>
          <w:lang w:val="en-US"/>
        </w:rPr>
        <w:t>l</w:t>
      </w:r>
      <w:r w:rsidRPr="00444733">
        <w:rPr>
          <w:rFonts w:eastAsia="Times New Roman" w:cs="Arial"/>
          <w:color w:val="000000"/>
          <w:lang w:eastAsia="bg-BG"/>
        </w:rPr>
        <w:t xml:space="preserve">) след </w:t>
      </w:r>
    </w:p>
    <w:p w14:paraId="7B937C28" w14:textId="11DDB1C6"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спрямо плацебо. Наблюдават се статистически значими понижения на </w:t>
      </w:r>
      <w:r w:rsidRPr="00444733">
        <w:rPr>
          <w:rFonts w:eastAsia="Times New Roman" w:cs="Arial"/>
          <w:color w:val="000000"/>
          <w:lang w:val="en-US"/>
        </w:rPr>
        <w:t>Total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(20,1%, р=0,003), </w:t>
      </w:r>
      <w:proofErr w:type="spellStart"/>
      <w:r w:rsidRPr="00444733">
        <w:rPr>
          <w:rFonts w:eastAsia="Times New Roman" w:cs="Arial"/>
          <w:color w:val="000000"/>
          <w:lang w:val="en-US"/>
        </w:rPr>
        <w:t>nonHDL</w:t>
      </w:r>
      <w:proofErr w:type="spellEnd"/>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(22,9%, р=0,003) и АроВ (17,1%, р=0,024). Понижения се наблюдават и в </w:t>
      </w:r>
      <w:r w:rsidRPr="00444733">
        <w:rPr>
          <w:rFonts w:eastAsia="Times New Roman" w:cs="Arial"/>
          <w:color w:val="000000"/>
          <w:lang w:val="en-US"/>
        </w:rPr>
        <w:t>TG</w:t>
      </w:r>
      <w:r w:rsidRPr="00444733">
        <w:rPr>
          <w:rFonts w:eastAsia="Times New Roman" w:cs="Arial"/>
          <w:color w:val="000000"/>
          <w:lang w:val="ru-RU"/>
        </w:rPr>
        <w:t xml:space="preserve">,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val="en-US"/>
        </w:rPr>
        <w:t>Total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proofErr w:type="spellStart"/>
      <w:r w:rsidRPr="00444733">
        <w:rPr>
          <w:rFonts w:eastAsia="Times New Roman" w:cs="Arial"/>
          <w:color w:val="000000"/>
          <w:lang w:val="en-US"/>
        </w:rPr>
        <w:t>nonHDL</w:t>
      </w:r>
      <w:proofErr w:type="spellEnd"/>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и АроВ/АроА-1 след 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спрямо плацебо. Понижението на </w:t>
      </w:r>
      <w:r w:rsidRPr="00444733">
        <w:rPr>
          <w:rFonts w:eastAsia="Times New Roman" w:cs="Arial"/>
          <w:color w:val="000000"/>
          <w:lang w:val="en-US"/>
        </w:rPr>
        <w:t>LDL</w:t>
      </w:r>
      <w:r w:rsidRPr="00444733">
        <w:rPr>
          <w:rFonts w:eastAsia="Times New Roman" w:cs="Arial"/>
          <w:color w:val="000000"/>
          <w:lang w:eastAsia="bg-BG"/>
        </w:rPr>
        <w:t xml:space="preserve">-С след 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след 6- седмично лечение с плацебо се запазва за 12 седмици непрекъснато лечение.</w:t>
      </w:r>
    </w:p>
    <w:p w14:paraId="558E7BA5" w14:textId="77777777" w:rsidR="00444733" w:rsidRPr="00444733" w:rsidRDefault="00444733" w:rsidP="00444733">
      <w:pPr>
        <w:spacing w:line="240" w:lineRule="auto"/>
        <w:rPr>
          <w:rFonts w:eastAsia="Times New Roman" w:cs="Arial"/>
          <w:color w:val="000000"/>
          <w:lang w:eastAsia="bg-BG"/>
        </w:rPr>
      </w:pPr>
    </w:p>
    <w:p w14:paraId="640F1778" w14:textId="1D9418F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Един пациент има последващо намаление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(8,0%), </w:t>
      </w:r>
      <w:r w:rsidRPr="00444733">
        <w:rPr>
          <w:rFonts w:eastAsia="Times New Roman" w:cs="Arial"/>
          <w:color w:val="000000"/>
          <w:lang w:val="en-US"/>
        </w:rPr>
        <w:t>Total</w:t>
      </w:r>
      <w:r w:rsidRPr="00444733">
        <w:rPr>
          <w:rFonts w:eastAsia="Times New Roman" w:cs="Arial"/>
          <w:color w:val="000000"/>
          <w:lang w:val="ru-RU"/>
        </w:rPr>
        <w:t xml:space="preserve"> </w:t>
      </w:r>
      <w:r w:rsidRPr="00444733">
        <w:rPr>
          <w:rFonts w:eastAsia="Times New Roman" w:cs="Arial"/>
          <w:color w:val="000000"/>
          <w:lang w:eastAsia="bg-BG"/>
        </w:rPr>
        <w:t xml:space="preserve">-С (6,7%) и </w:t>
      </w:r>
      <w:r w:rsidRPr="00444733">
        <w:rPr>
          <w:rFonts w:eastAsia="Times New Roman" w:cs="Arial"/>
          <w:color w:val="000000"/>
          <w:lang w:val="en-US"/>
        </w:rPr>
        <w:t>non</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(7,4%) след 6-седмично лечение с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започнато с титриране на дозата.</w:t>
      </w:r>
    </w:p>
    <w:p w14:paraId="32044A0F"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По време на отворено проучване, при удължено лечение с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розувастатин, за период до 90 седмици, при 9 от тези пациенти, намаляването на </w:t>
      </w:r>
      <w:r w:rsidRPr="00444733">
        <w:rPr>
          <w:rFonts w:eastAsia="Times New Roman" w:cs="Arial"/>
          <w:color w:val="000000"/>
          <w:lang w:val="en-US"/>
        </w:rPr>
        <w:t>LDL</w:t>
      </w:r>
      <w:r w:rsidRPr="00444733">
        <w:rPr>
          <w:rFonts w:eastAsia="Times New Roman" w:cs="Arial"/>
          <w:color w:val="000000"/>
          <w:lang w:eastAsia="bg-BG"/>
        </w:rPr>
        <w:t xml:space="preserve">-С се поддържа в границите от -12,1% до -21,3%. При 7-те деца и юноши (на възраст от 8 до 17 години), които могат да бъдат оценени, от отвореното проучване с форсирано титриране с хомозиготна фамилна хиперхолестеролемия (вж. по-горе), процентното намаление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(21,0%), </w:t>
      </w:r>
      <w:r w:rsidRPr="00444733">
        <w:rPr>
          <w:rFonts w:eastAsia="Times New Roman" w:cs="Arial"/>
          <w:color w:val="000000"/>
          <w:lang w:val="en-US"/>
        </w:rPr>
        <w:t>Total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(19,2%) и </w:t>
      </w:r>
      <w:r w:rsidRPr="00444733">
        <w:rPr>
          <w:rFonts w:eastAsia="Times New Roman" w:cs="Arial"/>
          <w:color w:val="000000"/>
          <w:lang w:val="en-US"/>
        </w:rPr>
        <w:t>non</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(21,0%) от изходното ниво след 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е в съответствие с това, наблюдавано в гореспоменатото проучване при деца и юноши с хомозиготна фамилна хиперхолестеролемия.</w:t>
      </w:r>
    </w:p>
    <w:p w14:paraId="2DF7A857" w14:textId="77777777" w:rsidR="00444733" w:rsidRPr="00444733" w:rsidRDefault="00444733" w:rsidP="00444733">
      <w:pPr>
        <w:spacing w:line="240" w:lineRule="auto"/>
        <w:rPr>
          <w:rFonts w:eastAsia="Times New Roman" w:cs="Arial"/>
          <w:color w:val="000000"/>
          <w:lang w:eastAsia="bg-BG"/>
        </w:rPr>
      </w:pPr>
    </w:p>
    <w:p w14:paraId="3E1990BF" w14:textId="562A4075" w:rsidR="00444733" w:rsidRPr="00444733" w:rsidRDefault="00444733" w:rsidP="00444733">
      <w:pPr>
        <w:spacing w:line="240" w:lineRule="auto"/>
        <w:rPr>
          <w:rFonts w:eastAsia="Times New Roman" w:cs="Arial"/>
          <w:lang w:val="ru-RU"/>
        </w:rPr>
      </w:pPr>
      <w:r w:rsidRPr="00444733">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във всички подгрупи на педиатричната популация при лечение на хомозиготна фамилна хиперхолестеролемия, първична комбинирана (смесена) дислипидемия и при предотвратяване на сърдечносъдови събития (вж. точка 4.2 за информация относно използването в педиатричната популация).</w:t>
      </w:r>
    </w:p>
    <w:p w14:paraId="091C126A" w14:textId="77777777" w:rsidR="00444733" w:rsidRPr="00444733" w:rsidRDefault="00444733" w:rsidP="00444733"/>
    <w:p w14:paraId="346B622B" w14:textId="433FB079" w:rsidR="00875EEC" w:rsidRDefault="002C50EE" w:rsidP="005726E3">
      <w:pPr>
        <w:pStyle w:val="Heading2"/>
      </w:pPr>
      <w:r>
        <w:t>5.2. Фармакокинетични свойства</w:t>
      </w:r>
    </w:p>
    <w:p w14:paraId="7D61ED97" w14:textId="30E4BFAE" w:rsidR="00444733" w:rsidRDefault="00444733" w:rsidP="00444733"/>
    <w:p w14:paraId="0B9AE519" w14:textId="77777777" w:rsidR="00444733" w:rsidRPr="00444733" w:rsidRDefault="00444733" w:rsidP="00444733">
      <w:pPr>
        <w:pStyle w:val="Heading3"/>
        <w:rPr>
          <w:rFonts w:eastAsia="Times New Roman"/>
          <w:sz w:val="28"/>
          <w:u w:val="single"/>
        </w:rPr>
      </w:pPr>
      <w:r w:rsidRPr="00444733">
        <w:rPr>
          <w:rFonts w:eastAsia="Times New Roman"/>
          <w:u w:val="single"/>
          <w:lang w:eastAsia="bg-BG"/>
        </w:rPr>
        <w:t>Абсорбция</w:t>
      </w:r>
    </w:p>
    <w:p w14:paraId="5053B7A3"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Максималните плазмени концентрации на розувастатин се достигат около 5 часа след перорално приложение. Абсолютната бионаличност е приблизително 20%.</w:t>
      </w:r>
    </w:p>
    <w:p w14:paraId="102C8ED5" w14:textId="77777777" w:rsidR="00444733" w:rsidRPr="00444733" w:rsidRDefault="00444733" w:rsidP="00444733">
      <w:pPr>
        <w:spacing w:line="240" w:lineRule="auto"/>
        <w:rPr>
          <w:rFonts w:eastAsia="Times New Roman" w:cs="Arial"/>
          <w:color w:val="000000"/>
          <w:szCs w:val="20"/>
          <w:u w:val="single"/>
          <w:lang w:eastAsia="bg-BG"/>
        </w:rPr>
      </w:pPr>
    </w:p>
    <w:p w14:paraId="36B8D3F6" w14:textId="03348059" w:rsidR="00444733" w:rsidRPr="00444733" w:rsidRDefault="00444733" w:rsidP="00444733">
      <w:pPr>
        <w:pStyle w:val="Heading3"/>
        <w:rPr>
          <w:rFonts w:eastAsia="Times New Roman"/>
          <w:sz w:val="28"/>
          <w:u w:val="single"/>
        </w:rPr>
      </w:pPr>
      <w:r w:rsidRPr="00444733">
        <w:rPr>
          <w:rFonts w:eastAsia="Times New Roman"/>
          <w:u w:val="single"/>
          <w:lang w:eastAsia="bg-BG"/>
        </w:rPr>
        <w:t>Разпределение</w:t>
      </w:r>
    </w:p>
    <w:p w14:paraId="6BA865D9"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 xml:space="preserve">Розувастатин се поема в значителна степен в черния дроб, което е основното място на синтезиране нахолестерол и отделяне на </w:t>
      </w:r>
      <w:r w:rsidRPr="00444733">
        <w:rPr>
          <w:rFonts w:eastAsia="Times New Roman" w:cs="Arial"/>
          <w:color w:val="000000"/>
          <w:szCs w:val="20"/>
          <w:lang w:val="en-US"/>
        </w:rPr>
        <w:t>LDL</w:t>
      </w:r>
      <w:r w:rsidRPr="00444733">
        <w:rPr>
          <w:rFonts w:eastAsia="Times New Roman" w:cs="Arial"/>
          <w:color w:val="000000"/>
          <w:szCs w:val="20"/>
          <w:lang w:eastAsia="bg-BG"/>
        </w:rPr>
        <w:t>-С. Обемът на разпределение на розувастатин е приблизително 134 1. Приблизително 90% от розувастатин се свързва с плазмените протеини, главно с албумин.</w:t>
      </w:r>
    </w:p>
    <w:p w14:paraId="23696115" w14:textId="77777777" w:rsidR="00444733" w:rsidRPr="00444733" w:rsidRDefault="00444733" w:rsidP="00444733">
      <w:pPr>
        <w:spacing w:line="240" w:lineRule="auto"/>
        <w:rPr>
          <w:rFonts w:eastAsia="Times New Roman" w:cs="Arial"/>
          <w:color w:val="000000"/>
          <w:szCs w:val="20"/>
          <w:u w:val="single"/>
          <w:lang w:eastAsia="bg-BG"/>
        </w:rPr>
      </w:pPr>
    </w:p>
    <w:p w14:paraId="36581BBC" w14:textId="18703336" w:rsidR="00444733" w:rsidRPr="00444733" w:rsidRDefault="00444733" w:rsidP="00444733">
      <w:pPr>
        <w:pStyle w:val="Heading3"/>
        <w:rPr>
          <w:rFonts w:eastAsia="Times New Roman"/>
          <w:sz w:val="28"/>
          <w:u w:val="single"/>
        </w:rPr>
      </w:pPr>
      <w:r w:rsidRPr="00444733">
        <w:rPr>
          <w:rFonts w:eastAsia="Times New Roman"/>
          <w:u w:val="single"/>
          <w:lang w:eastAsia="bg-BG"/>
        </w:rPr>
        <w:t>Биотрансформация</w:t>
      </w:r>
    </w:p>
    <w:p w14:paraId="6D2CD655"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 xml:space="preserve">Розувастатин претърпява ограничен метаболизъм (приблизително 10%). </w:t>
      </w:r>
      <w:r w:rsidRPr="00444733">
        <w:rPr>
          <w:rFonts w:eastAsia="Times New Roman" w:cs="Arial"/>
          <w:i/>
          <w:iCs/>
          <w:color w:val="000000"/>
          <w:szCs w:val="20"/>
          <w:lang w:val="en-US"/>
        </w:rPr>
        <w:t>In</w:t>
      </w:r>
      <w:r w:rsidRPr="00444733">
        <w:rPr>
          <w:rFonts w:eastAsia="Times New Roman" w:cs="Arial"/>
          <w:i/>
          <w:iCs/>
          <w:color w:val="000000"/>
          <w:szCs w:val="20"/>
          <w:lang w:val="ru-RU"/>
        </w:rPr>
        <w:t xml:space="preserve"> </w:t>
      </w:r>
      <w:r w:rsidRPr="00444733">
        <w:rPr>
          <w:rFonts w:eastAsia="Times New Roman" w:cs="Arial"/>
          <w:i/>
          <w:iCs/>
          <w:color w:val="000000"/>
          <w:szCs w:val="20"/>
          <w:lang w:val="en-US"/>
        </w:rPr>
        <w:t>vitro</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проучвания на метаболизма с използване на човешки хепатоцити показват, че розувастатин е слаб субстрат за цитохром Р450-обусловения метаболизъм. </w:t>
      </w:r>
      <w:r w:rsidRPr="00444733">
        <w:rPr>
          <w:rFonts w:eastAsia="Times New Roman" w:cs="Arial"/>
          <w:color w:val="000000"/>
          <w:szCs w:val="20"/>
          <w:lang w:val="en-US"/>
        </w:rPr>
        <w:t>CYP</w:t>
      </w:r>
      <w:r w:rsidRPr="00444733">
        <w:rPr>
          <w:rFonts w:eastAsia="Times New Roman" w:cs="Arial"/>
          <w:color w:val="000000"/>
          <w:szCs w:val="20"/>
          <w:lang w:val="ru-RU"/>
        </w:rPr>
        <w:t>2</w:t>
      </w:r>
      <w:r w:rsidRPr="00444733">
        <w:rPr>
          <w:rFonts w:eastAsia="Times New Roman" w:cs="Arial"/>
          <w:color w:val="000000"/>
          <w:szCs w:val="20"/>
          <w:lang w:val="en-US"/>
        </w:rPr>
        <w:t>C</w:t>
      </w:r>
      <w:r w:rsidRPr="00444733">
        <w:rPr>
          <w:rFonts w:eastAsia="Times New Roman" w:cs="Arial"/>
          <w:color w:val="000000"/>
          <w:szCs w:val="20"/>
          <w:lang w:val="ru-RU"/>
        </w:rPr>
        <w:t xml:space="preserve">9 </w:t>
      </w:r>
      <w:r w:rsidRPr="00444733">
        <w:rPr>
          <w:rFonts w:eastAsia="Times New Roman" w:cs="Arial"/>
          <w:color w:val="000000"/>
          <w:szCs w:val="20"/>
          <w:lang w:eastAsia="bg-BG"/>
        </w:rPr>
        <w:t xml:space="preserve">е основният участващ изоензим, </w:t>
      </w:r>
      <w:r w:rsidRPr="00444733">
        <w:rPr>
          <w:rFonts w:eastAsia="Times New Roman" w:cs="Arial"/>
          <w:color w:val="000000"/>
          <w:szCs w:val="20"/>
          <w:lang w:val="en-US"/>
        </w:rPr>
        <w:t>a</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2С19, 3А4 и </w:t>
      </w:r>
      <w:r w:rsidRPr="00444733">
        <w:rPr>
          <w:rFonts w:eastAsia="Times New Roman" w:cs="Arial"/>
          <w:color w:val="000000"/>
          <w:szCs w:val="20"/>
          <w:lang w:val="ru-RU"/>
        </w:rPr>
        <w:t>2</w:t>
      </w:r>
      <w:r w:rsidRPr="00444733">
        <w:rPr>
          <w:rFonts w:eastAsia="Times New Roman" w:cs="Arial"/>
          <w:color w:val="000000"/>
          <w:szCs w:val="20"/>
          <w:lang w:val="en-US"/>
        </w:rPr>
        <w:t>D</w:t>
      </w:r>
      <w:r w:rsidRPr="00444733">
        <w:rPr>
          <w:rFonts w:eastAsia="Times New Roman" w:cs="Arial"/>
          <w:color w:val="000000"/>
          <w:szCs w:val="20"/>
          <w:lang w:val="ru-RU"/>
        </w:rPr>
        <w:t xml:space="preserve">6 </w:t>
      </w:r>
      <w:r w:rsidRPr="00444733">
        <w:rPr>
          <w:rFonts w:eastAsia="Times New Roman" w:cs="Arial"/>
          <w:color w:val="000000"/>
          <w:szCs w:val="20"/>
          <w:lang w:eastAsia="bg-BG"/>
        </w:rPr>
        <w:t xml:space="preserve">участват в по-малка степен. Основните метаболити са </w:t>
      </w:r>
      <w:r w:rsidRPr="00444733">
        <w:rPr>
          <w:rFonts w:eastAsia="Times New Roman" w:cs="Arial"/>
          <w:color w:val="000000"/>
          <w:szCs w:val="20"/>
          <w:lang w:val="en-US"/>
        </w:rPr>
        <w:t>N</w:t>
      </w:r>
      <w:r w:rsidRPr="00444733">
        <w:rPr>
          <w:rFonts w:eastAsia="Times New Roman" w:cs="Arial"/>
          <w:color w:val="000000"/>
          <w:szCs w:val="20"/>
          <w:lang w:eastAsia="bg-BG"/>
        </w:rPr>
        <w:t xml:space="preserve">-дезметил и лактонови метаболити. Метаболитьт </w:t>
      </w:r>
      <w:r w:rsidRPr="00444733">
        <w:rPr>
          <w:rFonts w:eastAsia="Times New Roman" w:cs="Arial"/>
          <w:color w:val="000000"/>
          <w:szCs w:val="20"/>
          <w:lang w:val="en-US"/>
        </w:rPr>
        <w:t>N</w:t>
      </w:r>
      <w:r w:rsidRPr="00444733">
        <w:rPr>
          <w:rFonts w:eastAsia="Times New Roman" w:cs="Arial"/>
          <w:color w:val="000000"/>
          <w:szCs w:val="20"/>
          <w:lang w:eastAsia="bg-BG"/>
        </w:rPr>
        <w:t xml:space="preserve">-дезметил е приблизително 50% по-малко активен от розувастатин, докато формата на лактон се </w:t>
      </w:r>
      <w:r w:rsidRPr="00444733">
        <w:rPr>
          <w:rFonts w:eastAsia="Times New Roman" w:cs="Arial"/>
          <w:color w:val="000000"/>
          <w:szCs w:val="20"/>
          <w:lang w:eastAsia="bg-BG"/>
        </w:rPr>
        <w:lastRenderedPageBreak/>
        <w:t xml:space="preserve">счита за клинично неактивна. Розувастатин отделя повече от 90% от циркулиращия инхибитор на </w:t>
      </w:r>
      <w:r w:rsidRPr="00444733">
        <w:rPr>
          <w:rFonts w:eastAsia="Times New Roman" w:cs="Arial"/>
          <w:color w:val="000000"/>
          <w:szCs w:val="20"/>
          <w:lang w:val="en-US"/>
        </w:rPr>
        <w:t>HMG</w:t>
      </w:r>
      <w:r w:rsidRPr="00444733">
        <w:rPr>
          <w:rFonts w:eastAsia="Times New Roman" w:cs="Arial"/>
          <w:color w:val="000000"/>
          <w:szCs w:val="20"/>
          <w:lang w:val="ru-RU"/>
        </w:rPr>
        <w:t>-</w:t>
      </w:r>
      <w:r w:rsidRPr="00444733">
        <w:rPr>
          <w:rFonts w:eastAsia="Times New Roman" w:cs="Arial"/>
          <w:color w:val="000000"/>
          <w:szCs w:val="20"/>
          <w:lang w:val="en-US"/>
        </w:rPr>
        <w:t>CoA</w:t>
      </w:r>
      <w:r w:rsidRPr="00444733">
        <w:rPr>
          <w:rFonts w:eastAsia="Times New Roman" w:cs="Arial"/>
          <w:color w:val="000000"/>
          <w:szCs w:val="20"/>
          <w:lang w:val="ru-RU"/>
        </w:rPr>
        <w:t xml:space="preserve"> </w:t>
      </w:r>
      <w:r w:rsidRPr="00444733">
        <w:rPr>
          <w:rFonts w:eastAsia="Times New Roman" w:cs="Arial"/>
          <w:color w:val="000000"/>
          <w:szCs w:val="20"/>
          <w:lang w:eastAsia="bg-BG"/>
        </w:rPr>
        <w:t>редуктазата.</w:t>
      </w:r>
    </w:p>
    <w:p w14:paraId="440C73DA" w14:textId="77777777" w:rsidR="00444733" w:rsidRPr="00444733" w:rsidRDefault="00444733" w:rsidP="00444733">
      <w:pPr>
        <w:spacing w:line="240" w:lineRule="auto"/>
        <w:rPr>
          <w:rFonts w:eastAsia="Times New Roman" w:cs="Arial"/>
          <w:color w:val="000000"/>
          <w:szCs w:val="20"/>
          <w:u w:val="single"/>
          <w:lang w:eastAsia="bg-BG"/>
        </w:rPr>
      </w:pPr>
    </w:p>
    <w:p w14:paraId="6C276F51" w14:textId="1CBE1A87" w:rsidR="00444733" w:rsidRPr="00444733" w:rsidRDefault="00444733" w:rsidP="00444733">
      <w:pPr>
        <w:pStyle w:val="Heading3"/>
        <w:rPr>
          <w:rFonts w:eastAsia="Times New Roman"/>
          <w:sz w:val="28"/>
          <w:u w:val="single"/>
        </w:rPr>
      </w:pPr>
      <w:r w:rsidRPr="00444733">
        <w:rPr>
          <w:rFonts w:eastAsia="Times New Roman"/>
          <w:u w:val="single"/>
          <w:lang w:eastAsia="bg-BG"/>
        </w:rPr>
        <w:t>Елиминиране</w:t>
      </w:r>
    </w:p>
    <w:p w14:paraId="39E9E3B6" w14:textId="77777777" w:rsidR="00444733" w:rsidRPr="00444733" w:rsidRDefault="00444733" w:rsidP="00444733">
      <w:pPr>
        <w:rPr>
          <w:rFonts w:eastAsia="Times New Roman" w:cs="Arial"/>
          <w:sz w:val="28"/>
          <w:szCs w:val="24"/>
        </w:rPr>
      </w:pPr>
      <w:r w:rsidRPr="00444733">
        <w:rPr>
          <w:rFonts w:eastAsia="Times New Roman" w:cs="Arial"/>
          <w:color w:val="000000"/>
          <w:szCs w:val="20"/>
          <w:lang w:eastAsia="bg-BG"/>
        </w:rPr>
        <w:t>Приблизително 90% от дозата на розувастатин се екскретира непроменена във фекалиите (състоящо се от абсорбирано и неабсорбирано активно вещество), а останалата част урината. Приблизително 5% се екскретира в непроменен вид в урината. Елиминационният плазмен полуживот е около 19 часа. Елиминационният полуживот не се увеличава при по високи дози. Геометричният среден плазмен клирънс е приблизително 50 литра/час</w:t>
      </w:r>
      <w:r w:rsidRPr="00444733">
        <w:rPr>
          <w:rFonts w:eastAsia="Times New Roman" w:cs="Arial"/>
          <w:color w:val="000000"/>
          <w:szCs w:val="20"/>
          <w:lang w:val="ru-RU" w:eastAsia="bg-BG"/>
        </w:rPr>
        <w:t xml:space="preserve"> </w:t>
      </w:r>
      <w:r w:rsidRPr="00444733">
        <w:rPr>
          <w:rFonts w:eastAsia="Times New Roman" w:cs="Arial"/>
          <w:color w:val="000000"/>
          <w:szCs w:val="20"/>
          <w:lang w:eastAsia="bg-BG"/>
        </w:rPr>
        <w:t xml:space="preserve">(коефициент на вариация 21,7%). Както и при други инхибитори на </w:t>
      </w:r>
      <w:r w:rsidRPr="00444733">
        <w:rPr>
          <w:rFonts w:eastAsia="Times New Roman" w:cs="Arial"/>
          <w:color w:val="000000"/>
          <w:szCs w:val="20"/>
          <w:lang w:val="en-US"/>
        </w:rPr>
        <w:t>HMG</w:t>
      </w:r>
      <w:r w:rsidRPr="00444733">
        <w:rPr>
          <w:rFonts w:eastAsia="Times New Roman" w:cs="Arial"/>
          <w:color w:val="000000"/>
          <w:szCs w:val="20"/>
          <w:lang w:val="ru-RU"/>
        </w:rPr>
        <w:t>-</w:t>
      </w:r>
      <w:r w:rsidRPr="00444733">
        <w:rPr>
          <w:rFonts w:eastAsia="Times New Roman" w:cs="Arial"/>
          <w:color w:val="000000"/>
          <w:szCs w:val="20"/>
          <w:lang w:val="en-US"/>
        </w:rPr>
        <w:t>CoA</w:t>
      </w:r>
      <w:r w:rsidRPr="00444733">
        <w:rPr>
          <w:rFonts w:eastAsia="Times New Roman" w:cs="Arial"/>
          <w:color w:val="000000"/>
          <w:szCs w:val="20"/>
          <w:lang w:val="ru-RU"/>
        </w:rPr>
        <w:t xml:space="preserve"> </w:t>
      </w:r>
      <w:r w:rsidRPr="00444733">
        <w:rPr>
          <w:rFonts w:eastAsia="Times New Roman" w:cs="Arial"/>
          <w:color w:val="000000"/>
          <w:szCs w:val="20"/>
          <w:lang w:eastAsia="bg-BG"/>
        </w:rPr>
        <w:t>редуктазата, чернодробното захващане на розувастатин включва мембранния транспортер ОАТР-С. Този транспортер е важен за чернодробното елиминиране на розувастатин.</w:t>
      </w:r>
    </w:p>
    <w:p w14:paraId="250F017E" w14:textId="77777777" w:rsidR="00444733" w:rsidRPr="00444733" w:rsidRDefault="00444733" w:rsidP="00444733">
      <w:pPr>
        <w:spacing w:line="240" w:lineRule="auto"/>
        <w:rPr>
          <w:rFonts w:eastAsia="Times New Roman" w:cs="Arial"/>
          <w:color w:val="000000"/>
          <w:szCs w:val="20"/>
          <w:u w:val="single"/>
          <w:lang w:eastAsia="bg-BG"/>
        </w:rPr>
      </w:pPr>
    </w:p>
    <w:p w14:paraId="5CD18186" w14:textId="1EE3D27E" w:rsidR="00444733" w:rsidRPr="00444733" w:rsidRDefault="00444733" w:rsidP="00444733">
      <w:pPr>
        <w:pStyle w:val="Heading3"/>
        <w:rPr>
          <w:rFonts w:eastAsia="Times New Roman"/>
          <w:sz w:val="28"/>
          <w:u w:val="single"/>
        </w:rPr>
      </w:pPr>
      <w:r w:rsidRPr="00444733">
        <w:rPr>
          <w:rFonts w:eastAsia="Times New Roman"/>
          <w:u w:val="single"/>
          <w:lang w:eastAsia="bg-BG"/>
        </w:rPr>
        <w:t>Линейиост/нелинейност</w:t>
      </w:r>
    </w:p>
    <w:p w14:paraId="6C62EBA9"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Системната експозиция на розувастатин се увеличава пропорционално на дозата. Няма промяна във фармакокинетичните параметри след многократно ежедневно дозиране.</w:t>
      </w:r>
    </w:p>
    <w:p w14:paraId="15C71E29" w14:textId="77777777" w:rsidR="00444733" w:rsidRPr="00444733" w:rsidRDefault="00444733" w:rsidP="00444733">
      <w:pPr>
        <w:spacing w:line="240" w:lineRule="auto"/>
        <w:rPr>
          <w:rFonts w:eastAsia="Times New Roman" w:cs="Arial"/>
          <w:color w:val="000000"/>
          <w:szCs w:val="20"/>
          <w:u w:val="single"/>
          <w:lang w:eastAsia="bg-BG"/>
        </w:rPr>
      </w:pPr>
    </w:p>
    <w:p w14:paraId="29F7A782" w14:textId="4BB910D2"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u w:val="single"/>
          <w:lang w:eastAsia="bg-BG"/>
        </w:rPr>
        <w:t>Специални популации</w:t>
      </w:r>
    </w:p>
    <w:p w14:paraId="3A6BC994" w14:textId="77777777" w:rsidR="00444733" w:rsidRPr="00444733" w:rsidRDefault="00444733" w:rsidP="00444733">
      <w:pPr>
        <w:spacing w:line="240" w:lineRule="auto"/>
        <w:rPr>
          <w:rFonts w:eastAsia="Times New Roman" w:cs="Arial"/>
          <w:b/>
          <w:bCs/>
          <w:color w:val="000000"/>
          <w:szCs w:val="20"/>
          <w:lang w:eastAsia="bg-BG"/>
        </w:rPr>
      </w:pPr>
    </w:p>
    <w:p w14:paraId="1CE1FC79" w14:textId="12DCC484"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Възраст и пол: </w:t>
      </w:r>
      <w:r w:rsidRPr="00444733">
        <w:rPr>
          <w:rFonts w:eastAsia="Times New Roman" w:cs="Arial"/>
          <w:color w:val="000000"/>
          <w:szCs w:val="20"/>
          <w:lang w:eastAsia="bg-BG"/>
        </w:rPr>
        <w:t>Възрастта и полът нямат клинично значим ефект върху фармакокинетиката на розувастатин при възрастни. Експозицията при деца и юноши с хетерозиготна фамилна хиперхолестеролемия изглежда подобна или по-ниска от тази при възрастни пациенти с дислипидемия (вж. „Педиатрична популация“ по-долу).</w:t>
      </w:r>
    </w:p>
    <w:p w14:paraId="23D96549" w14:textId="77777777" w:rsidR="00444733" w:rsidRPr="00444733" w:rsidRDefault="00444733" w:rsidP="00444733">
      <w:pPr>
        <w:spacing w:line="240" w:lineRule="auto"/>
        <w:rPr>
          <w:rFonts w:eastAsia="Times New Roman" w:cs="Arial"/>
          <w:color w:val="000000"/>
          <w:szCs w:val="20"/>
          <w:lang w:eastAsia="bg-BG"/>
        </w:rPr>
      </w:pPr>
    </w:p>
    <w:p w14:paraId="249F640F" w14:textId="5A08EF83" w:rsidR="00444733" w:rsidRPr="00444733" w:rsidRDefault="00444733" w:rsidP="00444733">
      <w:pPr>
        <w:spacing w:line="240" w:lineRule="auto"/>
        <w:rPr>
          <w:rFonts w:eastAsia="Times New Roman" w:cs="Arial"/>
          <w:sz w:val="28"/>
          <w:szCs w:val="24"/>
        </w:rPr>
      </w:pPr>
      <w:r w:rsidRPr="00444733">
        <w:rPr>
          <w:rFonts w:eastAsia="Times New Roman" w:cs="Arial"/>
          <w:b/>
          <w:color w:val="000000"/>
          <w:szCs w:val="20"/>
          <w:lang w:eastAsia="bg-BG"/>
        </w:rPr>
        <w:t>Раса:</w:t>
      </w:r>
      <w:r w:rsidRPr="00444733">
        <w:rPr>
          <w:rFonts w:eastAsia="Times New Roman" w:cs="Arial"/>
          <w:color w:val="000000"/>
          <w:szCs w:val="20"/>
          <w:lang w:eastAsia="bg-BG"/>
        </w:rPr>
        <w:t xml:space="preserve"> Фармакокинетични проучвания показват приблизително 2-кратно увеличение на средните стойности на </w:t>
      </w:r>
      <w:r w:rsidRPr="00444733">
        <w:rPr>
          <w:rFonts w:eastAsia="Times New Roman" w:cs="Arial"/>
          <w:color w:val="000000"/>
          <w:szCs w:val="20"/>
          <w:lang w:val="en-US"/>
        </w:rPr>
        <w:t>AUC</w:t>
      </w:r>
      <w:r w:rsidRPr="00444733">
        <w:rPr>
          <w:rFonts w:eastAsia="Times New Roman" w:cs="Arial"/>
          <w:color w:val="000000"/>
          <w:szCs w:val="20"/>
          <w:lang w:val="ru-RU"/>
        </w:rPr>
        <w:t xml:space="preserve"> </w:t>
      </w:r>
      <w:r w:rsidRPr="00444733">
        <w:rPr>
          <w:rFonts w:eastAsia="Times New Roman" w:cs="Arial"/>
          <w:color w:val="000000"/>
          <w:szCs w:val="20"/>
          <w:lang w:eastAsia="bg-BG"/>
        </w:rPr>
        <w:t>и С</w:t>
      </w:r>
      <w:r w:rsidRPr="00444733">
        <w:rPr>
          <w:rFonts w:eastAsia="Times New Roman" w:cs="Arial"/>
          <w:color w:val="000000"/>
          <w:szCs w:val="20"/>
          <w:lang w:val="en-US"/>
        </w:rPr>
        <w:t>m</w:t>
      </w:r>
      <w:r w:rsidRPr="00444733">
        <w:rPr>
          <w:rFonts w:eastAsia="Times New Roman" w:cs="Arial"/>
          <w:color w:val="000000"/>
          <w:szCs w:val="20"/>
          <w:lang w:eastAsia="bg-BG"/>
        </w:rPr>
        <w:t xml:space="preserve">ах при азиатската раса (японци, китайци, филипинци, виетнамци и корейци) в сравнение с представителите на бялата раса; индийците показват приблизително 1,3-кратно увеличение на средните стойности на </w:t>
      </w:r>
      <w:r w:rsidRPr="00444733">
        <w:rPr>
          <w:rFonts w:eastAsia="Times New Roman" w:cs="Arial"/>
          <w:color w:val="000000"/>
          <w:szCs w:val="20"/>
          <w:lang w:val="en-US"/>
        </w:rPr>
        <w:t>AUC</w:t>
      </w:r>
      <w:r w:rsidRPr="00444733">
        <w:rPr>
          <w:rFonts w:eastAsia="Times New Roman" w:cs="Arial"/>
          <w:color w:val="000000"/>
          <w:szCs w:val="20"/>
          <w:lang w:val="ru-RU"/>
        </w:rPr>
        <w:t xml:space="preserve"> </w:t>
      </w:r>
      <w:r w:rsidRPr="00444733">
        <w:rPr>
          <w:rFonts w:eastAsia="Times New Roman" w:cs="Arial"/>
          <w:color w:val="000000"/>
          <w:szCs w:val="20"/>
          <w:lang w:eastAsia="bg-BG"/>
        </w:rPr>
        <w:t>и Стах. Популационен фармакокинетичен анализ показва, че между индивидите на белите и черните групи няма клинично значими различия във фармакокинетиката.</w:t>
      </w:r>
    </w:p>
    <w:p w14:paraId="13F5DC16" w14:textId="77777777" w:rsidR="00444733" w:rsidRPr="00444733" w:rsidRDefault="00444733" w:rsidP="00444733">
      <w:pPr>
        <w:spacing w:line="240" w:lineRule="auto"/>
        <w:rPr>
          <w:rFonts w:eastAsia="Times New Roman" w:cs="Arial"/>
          <w:b/>
          <w:bCs/>
          <w:color w:val="000000"/>
          <w:szCs w:val="20"/>
          <w:lang w:eastAsia="bg-BG"/>
        </w:rPr>
      </w:pPr>
    </w:p>
    <w:p w14:paraId="11CE4C79" w14:textId="5421137F"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Бъбречна недостатъчност: </w:t>
      </w:r>
      <w:r w:rsidRPr="00444733">
        <w:rPr>
          <w:rFonts w:eastAsia="Times New Roman" w:cs="Arial"/>
          <w:color w:val="000000"/>
          <w:szCs w:val="20"/>
          <w:lang w:eastAsia="bg-BG"/>
        </w:rPr>
        <w:t xml:space="preserve">В проучване при пациенти с различна степен на бъбречно увреждане, лекото до умерено бъбречно заболяване не е повлияло на плазмената концентрация на розувастатин или на метаболита </w:t>
      </w:r>
      <w:r w:rsidRPr="00444733">
        <w:rPr>
          <w:rFonts w:eastAsia="Times New Roman" w:cs="Arial"/>
          <w:color w:val="000000"/>
          <w:szCs w:val="20"/>
          <w:lang w:val="en-US"/>
        </w:rPr>
        <w:t>N</w:t>
      </w:r>
      <w:r w:rsidRPr="00444733">
        <w:rPr>
          <w:rFonts w:eastAsia="Times New Roman" w:cs="Arial"/>
          <w:color w:val="000000"/>
          <w:szCs w:val="20"/>
          <w:lang w:eastAsia="bg-BG"/>
        </w:rPr>
        <w:t>-дезметил. Пациенти с тежко увреждане (СгС</w:t>
      </w:r>
      <w:r w:rsidRPr="00444733">
        <w:rPr>
          <w:rFonts w:eastAsia="Times New Roman" w:cs="Arial"/>
          <w:color w:val="000000"/>
          <w:szCs w:val="20"/>
          <w:lang w:val="en-US"/>
        </w:rPr>
        <w:t>l</w:t>
      </w:r>
      <w:r w:rsidRPr="00444733">
        <w:rPr>
          <w:rFonts w:eastAsia="Times New Roman" w:cs="Arial"/>
          <w:color w:val="000000"/>
          <w:szCs w:val="20"/>
          <w:lang w:eastAsia="bg-BG"/>
        </w:rPr>
        <w:t xml:space="preserve"> &lt;30 </w:t>
      </w:r>
      <w:r w:rsidRPr="00444733">
        <w:rPr>
          <w:rFonts w:eastAsia="Times New Roman" w:cs="Arial"/>
          <w:color w:val="000000"/>
          <w:szCs w:val="20"/>
          <w:lang w:val="en-US"/>
        </w:rPr>
        <w:t>ml</w:t>
      </w:r>
      <w:r w:rsidRPr="00444733">
        <w:rPr>
          <w:rFonts w:eastAsia="Times New Roman" w:cs="Arial"/>
          <w:color w:val="000000"/>
          <w:szCs w:val="20"/>
          <w:lang w:val="ru-RU"/>
        </w:rPr>
        <w:t>/</w:t>
      </w:r>
      <w:r w:rsidRPr="00444733">
        <w:rPr>
          <w:rFonts w:eastAsia="Times New Roman" w:cs="Arial"/>
          <w:color w:val="000000"/>
          <w:szCs w:val="20"/>
          <w:lang w:val="en-US"/>
        </w:rPr>
        <w:t>min</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са имали 3-кратно повишаване на плазмената концентрация и 9-кратно повишаване на концентрацията на метаболита </w:t>
      </w:r>
      <w:r w:rsidRPr="00444733">
        <w:rPr>
          <w:rFonts w:eastAsia="Times New Roman" w:cs="Arial"/>
          <w:color w:val="000000"/>
          <w:szCs w:val="20"/>
          <w:lang w:val="en-US"/>
        </w:rPr>
        <w:t>N</w:t>
      </w:r>
      <w:r w:rsidRPr="00444733">
        <w:rPr>
          <w:rFonts w:eastAsia="Times New Roman" w:cs="Arial"/>
          <w:color w:val="000000"/>
          <w:szCs w:val="20"/>
          <w:lang w:eastAsia="bg-BG"/>
        </w:rPr>
        <w:t>-дезметил в сравнение със здрави доброволци. Стационарните плазмени концентрации на розувастатин при пациенти, подложени на хемодиализа, са приблизително 50% по-високи в сравнение със здрави доброволци.</w:t>
      </w:r>
    </w:p>
    <w:p w14:paraId="76507FE4" w14:textId="77777777" w:rsidR="00444733" w:rsidRPr="00444733" w:rsidRDefault="00444733" w:rsidP="00444733">
      <w:pPr>
        <w:spacing w:line="240" w:lineRule="auto"/>
        <w:rPr>
          <w:rFonts w:eastAsia="Times New Roman" w:cs="Arial"/>
          <w:b/>
          <w:bCs/>
          <w:color w:val="000000"/>
          <w:szCs w:val="20"/>
          <w:lang w:eastAsia="bg-BG"/>
        </w:rPr>
      </w:pPr>
    </w:p>
    <w:p w14:paraId="32587A33" w14:textId="660F5C30"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Чернодробна недостатъчност: В </w:t>
      </w:r>
      <w:r w:rsidRPr="00444733">
        <w:rPr>
          <w:rFonts w:eastAsia="Times New Roman" w:cs="Arial"/>
          <w:color w:val="000000"/>
          <w:szCs w:val="20"/>
          <w:lang w:eastAsia="bg-BG"/>
        </w:rPr>
        <w:t xml:space="preserve">проучване при пациенти с различна степен на чернодробно увреждане не са получени доказателства за повишена експозиция на розувастатин при пациенти с резултати от 7 или по-ниски по скалата на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Въпреки това, двама пациенти с резултати от 8 и 9 по скалата на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показват увеличение на системната експозиция най-малко 2 пъти в сравнение с пациенти с по-ниски резултати по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Няма опит при пациенти с резултати над 9 по скалата на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w:t>
      </w:r>
    </w:p>
    <w:p w14:paraId="0DAC3020" w14:textId="77777777" w:rsidR="00444733" w:rsidRPr="00444733" w:rsidRDefault="00444733" w:rsidP="00444733">
      <w:pPr>
        <w:spacing w:line="240" w:lineRule="auto"/>
        <w:rPr>
          <w:rFonts w:eastAsia="Times New Roman" w:cs="Arial"/>
          <w:b/>
          <w:bCs/>
          <w:color w:val="000000"/>
          <w:szCs w:val="20"/>
          <w:lang w:eastAsia="bg-BG"/>
        </w:rPr>
      </w:pPr>
    </w:p>
    <w:p w14:paraId="0754D1DE" w14:textId="09474199"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lastRenderedPageBreak/>
        <w:t xml:space="preserve">Генетични полиморфизми: </w:t>
      </w:r>
      <w:r w:rsidRPr="00444733">
        <w:rPr>
          <w:rFonts w:eastAsia="Times New Roman" w:cs="Arial"/>
          <w:color w:val="000000"/>
          <w:szCs w:val="20"/>
          <w:lang w:eastAsia="bg-BG"/>
        </w:rPr>
        <w:t xml:space="preserve">Разпределението на инхибитори на </w:t>
      </w:r>
      <w:r w:rsidRPr="00444733">
        <w:rPr>
          <w:rFonts w:eastAsia="Times New Roman" w:cs="Arial"/>
          <w:color w:val="000000"/>
          <w:szCs w:val="20"/>
          <w:lang w:val="en-US"/>
        </w:rPr>
        <w:t>HMG</w:t>
      </w:r>
      <w:r w:rsidRPr="00444733">
        <w:rPr>
          <w:rFonts w:eastAsia="Times New Roman" w:cs="Arial"/>
          <w:color w:val="000000"/>
          <w:szCs w:val="20"/>
          <w:lang w:val="ru-RU"/>
        </w:rPr>
        <w:t>-</w:t>
      </w:r>
      <w:r w:rsidRPr="00444733">
        <w:rPr>
          <w:rFonts w:eastAsia="Times New Roman" w:cs="Arial"/>
          <w:color w:val="000000"/>
          <w:szCs w:val="20"/>
          <w:lang w:val="en-US"/>
        </w:rPr>
        <w:t>CoA</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редуктазата, включително розувастатин, включва транспортните протеини ОАТР1В1 и </w:t>
      </w:r>
      <w:r w:rsidRPr="00444733">
        <w:rPr>
          <w:rFonts w:eastAsia="Times New Roman" w:cs="Arial"/>
          <w:color w:val="000000"/>
          <w:szCs w:val="20"/>
          <w:lang w:val="en-US"/>
        </w:rPr>
        <w:t>BCRP</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При пациенти с </w:t>
      </w:r>
      <w:r w:rsidRPr="00444733">
        <w:rPr>
          <w:rFonts w:eastAsia="Times New Roman" w:cs="Arial"/>
          <w:color w:val="000000"/>
          <w:szCs w:val="20"/>
          <w:lang w:val="en-US"/>
        </w:rPr>
        <w:t>SLCO</w:t>
      </w:r>
      <w:r w:rsidRPr="00444733">
        <w:rPr>
          <w:rFonts w:eastAsia="Times New Roman" w:cs="Arial"/>
          <w:color w:val="000000"/>
          <w:szCs w:val="20"/>
          <w:lang w:val="ru-RU"/>
        </w:rPr>
        <w:t>1</w:t>
      </w:r>
      <w:r w:rsidRPr="00444733">
        <w:rPr>
          <w:rFonts w:eastAsia="Times New Roman" w:cs="Arial"/>
          <w:color w:val="000000"/>
          <w:szCs w:val="20"/>
          <w:lang w:val="en-US"/>
        </w:rPr>
        <w:t>B</w:t>
      </w:r>
      <w:r w:rsidRPr="00444733">
        <w:rPr>
          <w:rFonts w:eastAsia="Times New Roman" w:cs="Arial"/>
          <w:color w:val="000000"/>
          <w:szCs w:val="20"/>
          <w:lang w:val="ru-RU"/>
        </w:rPr>
        <w:t xml:space="preserve">1 </w:t>
      </w:r>
      <w:r w:rsidRPr="00444733">
        <w:rPr>
          <w:rFonts w:eastAsia="Times New Roman" w:cs="Arial"/>
          <w:color w:val="000000"/>
          <w:szCs w:val="20"/>
          <w:lang w:eastAsia="bg-BG"/>
        </w:rPr>
        <w:t xml:space="preserve">(ОАТР1В1) и/или </w:t>
      </w:r>
      <w:r w:rsidRPr="00444733">
        <w:rPr>
          <w:rFonts w:eastAsia="Times New Roman" w:cs="Arial"/>
          <w:color w:val="000000"/>
          <w:szCs w:val="20"/>
          <w:lang w:val="en-US"/>
        </w:rPr>
        <w:t>ABCG</w:t>
      </w:r>
      <w:r w:rsidRPr="00444733">
        <w:rPr>
          <w:rFonts w:eastAsia="Times New Roman" w:cs="Arial"/>
          <w:color w:val="000000"/>
          <w:szCs w:val="20"/>
          <w:lang w:val="ru-RU"/>
        </w:rPr>
        <w:t>2 (</w:t>
      </w:r>
      <w:r w:rsidRPr="00444733">
        <w:rPr>
          <w:rFonts w:eastAsia="Times New Roman" w:cs="Arial"/>
          <w:color w:val="000000"/>
          <w:szCs w:val="20"/>
          <w:lang w:val="en-US"/>
        </w:rPr>
        <w:t>BCRP</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генетични полиморфизми съществува риск от повишена експозиция на розувастатин. Отделни полиморфизми на </w:t>
      </w:r>
      <w:r w:rsidRPr="00444733">
        <w:rPr>
          <w:rFonts w:eastAsia="Times New Roman" w:cs="Arial"/>
          <w:color w:val="000000"/>
          <w:szCs w:val="20"/>
          <w:lang w:val="en-US"/>
        </w:rPr>
        <w:t>SLCO</w:t>
      </w:r>
      <w:r w:rsidRPr="00444733">
        <w:rPr>
          <w:rFonts w:eastAsia="Times New Roman" w:cs="Arial"/>
          <w:color w:val="000000"/>
          <w:szCs w:val="20"/>
          <w:lang w:val="ru-RU"/>
        </w:rPr>
        <w:t>1</w:t>
      </w:r>
      <w:r w:rsidRPr="00444733">
        <w:rPr>
          <w:rFonts w:eastAsia="Times New Roman" w:cs="Arial"/>
          <w:color w:val="000000"/>
          <w:szCs w:val="20"/>
          <w:lang w:val="en-US"/>
        </w:rPr>
        <w:t>B</w:t>
      </w:r>
      <w:r w:rsidRPr="00444733">
        <w:rPr>
          <w:rFonts w:eastAsia="Times New Roman" w:cs="Arial"/>
          <w:color w:val="000000"/>
          <w:szCs w:val="20"/>
          <w:lang w:val="ru-RU"/>
        </w:rPr>
        <w:t xml:space="preserve">1 </w:t>
      </w:r>
      <w:r w:rsidRPr="00444733">
        <w:rPr>
          <w:rFonts w:eastAsia="Times New Roman" w:cs="Arial"/>
          <w:color w:val="000000"/>
          <w:szCs w:val="20"/>
          <w:lang w:eastAsia="bg-BG"/>
        </w:rPr>
        <w:t>с.52</w:t>
      </w:r>
      <w:r w:rsidRPr="00444733">
        <w:rPr>
          <w:rFonts w:eastAsia="Times New Roman" w:cs="Arial"/>
          <w:color w:val="000000"/>
          <w:szCs w:val="20"/>
          <w:lang w:val="en-US"/>
        </w:rPr>
        <w:t>ICC</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и </w:t>
      </w:r>
      <w:r w:rsidRPr="00444733">
        <w:rPr>
          <w:rFonts w:eastAsia="Times New Roman" w:cs="Arial"/>
          <w:color w:val="000000"/>
          <w:szCs w:val="20"/>
          <w:lang w:val="en-US"/>
        </w:rPr>
        <w:t>ABCG</w:t>
      </w:r>
      <w:r w:rsidRPr="00444733">
        <w:rPr>
          <w:rFonts w:eastAsia="Times New Roman" w:cs="Arial"/>
          <w:color w:val="000000"/>
          <w:szCs w:val="20"/>
          <w:lang w:val="ru-RU"/>
        </w:rPr>
        <w:t xml:space="preserve">2 </w:t>
      </w:r>
      <w:r w:rsidRPr="00444733">
        <w:rPr>
          <w:rFonts w:eastAsia="Times New Roman" w:cs="Arial"/>
          <w:color w:val="000000"/>
          <w:szCs w:val="20"/>
          <w:lang w:eastAsia="bg-BG"/>
        </w:rPr>
        <w:t xml:space="preserve">с.421 АА са свързани с по-висока експозиция на розувастатин </w:t>
      </w:r>
      <w:r w:rsidRPr="00444733">
        <w:rPr>
          <w:rFonts w:eastAsia="Times New Roman" w:cs="Arial"/>
          <w:color w:val="000000"/>
          <w:szCs w:val="20"/>
          <w:lang w:val="ru-RU"/>
        </w:rPr>
        <w:t>(</w:t>
      </w:r>
      <w:r w:rsidRPr="00444733">
        <w:rPr>
          <w:rFonts w:eastAsia="Times New Roman" w:cs="Arial"/>
          <w:color w:val="000000"/>
          <w:szCs w:val="20"/>
          <w:lang w:val="en-US"/>
        </w:rPr>
        <w:t>AUC</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в сравнение с генотипове </w:t>
      </w:r>
      <w:r w:rsidRPr="00444733">
        <w:rPr>
          <w:rFonts w:eastAsia="Times New Roman" w:cs="Arial"/>
          <w:color w:val="000000"/>
          <w:szCs w:val="20"/>
          <w:lang w:val="en-US"/>
        </w:rPr>
        <w:t>SLCO</w:t>
      </w:r>
      <w:r w:rsidRPr="00444733">
        <w:rPr>
          <w:rFonts w:eastAsia="Times New Roman" w:cs="Arial"/>
          <w:color w:val="000000"/>
          <w:szCs w:val="20"/>
          <w:lang w:val="ru-RU"/>
        </w:rPr>
        <w:t>1</w:t>
      </w:r>
      <w:r w:rsidRPr="00444733">
        <w:rPr>
          <w:rFonts w:eastAsia="Times New Roman" w:cs="Arial"/>
          <w:color w:val="000000"/>
          <w:szCs w:val="20"/>
          <w:lang w:val="en-US"/>
        </w:rPr>
        <w:t>B</w:t>
      </w:r>
      <w:r w:rsidRPr="00444733">
        <w:rPr>
          <w:rFonts w:eastAsia="Times New Roman" w:cs="Arial"/>
          <w:color w:val="000000"/>
          <w:szCs w:val="20"/>
          <w:lang w:val="ru-RU"/>
        </w:rPr>
        <w:t xml:space="preserve">1 </w:t>
      </w:r>
      <w:r w:rsidRPr="00444733">
        <w:rPr>
          <w:rFonts w:eastAsia="Times New Roman" w:cs="Arial"/>
          <w:color w:val="000000"/>
          <w:szCs w:val="20"/>
          <w:lang w:eastAsia="bg-BG"/>
        </w:rPr>
        <w:t xml:space="preserve">С.521ТТ или </w:t>
      </w:r>
      <w:r w:rsidRPr="00444733">
        <w:rPr>
          <w:rFonts w:eastAsia="Times New Roman" w:cs="Arial"/>
          <w:color w:val="000000"/>
          <w:szCs w:val="20"/>
          <w:lang w:val="en-US"/>
        </w:rPr>
        <w:t>ABCG</w:t>
      </w:r>
      <w:r w:rsidRPr="00444733">
        <w:rPr>
          <w:rFonts w:eastAsia="Times New Roman" w:cs="Arial"/>
          <w:color w:val="000000"/>
          <w:szCs w:val="20"/>
          <w:lang w:val="ru-RU"/>
        </w:rPr>
        <w:t xml:space="preserve">2 </w:t>
      </w:r>
      <w:r w:rsidRPr="00444733">
        <w:rPr>
          <w:rFonts w:eastAsia="Times New Roman" w:cs="Arial"/>
          <w:color w:val="000000"/>
          <w:szCs w:val="20"/>
          <w:lang w:val="en-US"/>
        </w:rPr>
        <w:t>C</w:t>
      </w:r>
      <w:r w:rsidRPr="00444733">
        <w:rPr>
          <w:rFonts w:eastAsia="Times New Roman" w:cs="Arial"/>
          <w:color w:val="000000"/>
          <w:szCs w:val="20"/>
          <w:lang w:val="ru-RU"/>
        </w:rPr>
        <w:t>.421</w:t>
      </w:r>
      <w:r w:rsidRPr="00444733">
        <w:rPr>
          <w:rFonts w:eastAsia="Times New Roman" w:cs="Arial"/>
          <w:color w:val="000000"/>
          <w:szCs w:val="20"/>
          <w:lang w:val="en-US"/>
        </w:rPr>
        <w:t>CC</w:t>
      </w:r>
      <w:r w:rsidRPr="00444733">
        <w:rPr>
          <w:rFonts w:eastAsia="Times New Roman" w:cs="Arial"/>
          <w:color w:val="000000"/>
          <w:szCs w:val="20"/>
          <w:lang w:val="ru-RU"/>
        </w:rPr>
        <w:t xml:space="preserve">. </w:t>
      </w:r>
      <w:r w:rsidRPr="00444733">
        <w:rPr>
          <w:rFonts w:eastAsia="Times New Roman" w:cs="Arial"/>
          <w:color w:val="000000"/>
          <w:szCs w:val="20"/>
          <w:lang w:eastAsia="bg-BG"/>
        </w:rPr>
        <w:t>Това специфично генотипиране не е установено в клиничната практика, но за пациенти, за които е известно, че имат тези видове полиморфизми, се препоръчва по-ниска дневна доза на Ропуидо.</w:t>
      </w:r>
    </w:p>
    <w:p w14:paraId="34EA69FD" w14:textId="77777777" w:rsidR="00444733" w:rsidRPr="00444733" w:rsidRDefault="00444733" w:rsidP="00444733">
      <w:pPr>
        <w:spacing w:line="240" w:lineRule="auto"/>
        <w:rPr>
          <w:rFonts w:eastAsia="Times New Roman" w:cs="Arial"/>
          <w:b/>
          <w:bCs/>
          <w:color w:val="000000"/>
          <w:szCs w:val="20"/>
          <w:lang w:eastAsia="bg-BG"/>
        </w:rPr>
      </w:pPr>
    </w:p>
    <w:p w14:paraId="529A3992" w14:textId="0DCA50DA" w:rsid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Педиатрична популация: </w:t>
      </w:r>
      <w:r w:rsidRPr="00444733">
        <w:rPr>
          <w:rFonts w:eastAsia="Times New Roman" w:cs="Arial"/>
          <w:color w:val="000000"/>
          <w:szCs w:val="20"/>
          <w:lang w:eastAsia="bg-BG"/>
        </w:rPr>
        <w:t>Две фармакокинетични проучвания с розувастатин (приложен под формата на таблетки) при педиатрични пациенти с хетерозиготна фамилна хиперхолестеролемия на възраст от 10 до 17 или от 6 до 17 години (общо 214 пациенти) показват, че експозицията при педиатрични пациенти изглежда сравнима или по-ниска от тази при възрастни пациенти. Експозицията на розувастатин е предвидима по отношение на дозата и времето за период от 2 години.</w:t>
      </w:r>
    </w:p>
    <w:p w14:paraId="258C6382" w14:textId="77777777" w:rsidR="00444733" w:rsidRPr="00444733" w:rsidRDefault="00444733" w:rsidP="00444733">
      <w:pPr>
        <w:spacing w:line="240" w:lineRule="auto"/>
        <w:rPr>
          <w:rFonts w:eastAsia="Times New Roman" w:cs="Arial"/>
          <w:sz w:val="28"/>
          <w:szCs w:val="24"/>
        </w:rPr>
      </w:pPr>
    </w:p>
    <w:p w14:paraId="4F31844C" w14:textId="15D2416E" w:rsidR="00875EEC" w:rsidRDefault="002C50EE" w:rsidP="005726E3">
      <w:pPr>
        <w:pStyle w:val="Heading2"/>
      </w:pPr>
      <w:r>
        <w:t>5.3. Предклинични данни за безопасност</w:t>
      </w:r>
    </w:p>
    <w:p w14:paraId="3E24CC36" w14:textId="24BB16C0" w:rsidR="00444733" w:rsidRDefault="00444733" w:rsidP="00444733"/>
    <w:p w14:paraId="7A276746" w14:textId="77777777" w:rsidR="00444733" w:rsidRPr="00444733" w:rsidRDefault="00444733" w:rsidP="00444733">
      <w:pPr>
        <w:rPr>
          <w:sz w:val="24"/>
          <w:szCs w:val="24"/>
        </w:rPr>
      </w:pPr>
      <w:r w:rsidRPr="00444733">
        <w:rPr>
          <w:lang w:eastAsia="bg-BG"/>
        </w:rPr>
        <w:t xml:space="preserve">Неклиничните данни не показват особен риск за хора на базата на конвенционалните фармакологични проучвания за безопасност, генотоксичност и канцерогенен потенциал. Специфични изследвания за въздействие върху </w:t>
      </w:r>
      <w:proofErr w:type="spellStart"/>
      <w:r w:rsidRPr="00444733">
        <w:rPr>
          <w:lang w:val="en-US"/>
        </w:rPr>
        <w:t>hERG</w:t>
      </w:r>
      <w:proofErr w:type="spellEnd"/>
      <w:r w:rsidRPr="00444733">
        <w:rPr>
          <w:lang w:val="ru-RU"/>
        </w:rPr>
        <w:t xml:space="preserve"> </w:t>
      </w:r>
      <w:r w:rsidRPr="00444733">
        <w:rPr>
          <w:lang w:eastAsia="bg-BG"/>
        </w:rPr>
        <w:t>не са оценявани. Нежеланите реакции, които не се наблюдават при клиничните проучвания, но се наблюдават при животни при нива на експозиция, подобни на нивата на клинична експозиция са, както следва: при проучвания за токсичност при многократно приложение са наблюдавани хистопатологични промени в черния дроб, които вероятно се дължат на фармакологичното действие на розувастатин, при мишки, плъхове и, в по-малка степен, с ефекти върху жлъчния мехур при кучета, но не и при маймуни. В допълнение, тестикуларна токсичност е наблюдавана при маймуни и кучета при по-високи дози. Репродуктивна токсичност е налице при плъхове, за което се съди по намалената големина на котилото, теглото на котилото и преживяемостта при новородените, наблюдавани при токсични за майката дози, при системни експозиции няколко пъти над нивото на терапевтичната експозиция.</w:t>
      </w:r>
    </w:p>
    <w:p w14:paraId="38648324" w14:textId="77777777" w:rsidR="00444733" w:rsidRPr="00444733" w:rsidRDefault="00444733" w:rsidP="00444733"/>
    <w:p w14:paraId="1BA6531D" w14:textId="54B1E230" w:rsidR="00B6672E" w:rsidRDefault="002C50EE" w:rsidP="00936AD0">
      <w:pPr>
        <w:pStyle w:val="Heading1"/>
      </w:pPr>
      <w:r>
        <w:t>7. ПРИТЕЖАТЕЛ НА РАЗРЕШЕНИЕТО ЗА УПОТРЕБА</w:t>
      </w:r>
    </w:p>
    <w:p w14:paraId="473F2BB8" w14:textId="5D7D1B57" w:rsidR="00444733" w:rsidRDefault="00444733" w:rsidP="00444733"/>
    <w:p w14:paraId="1349A1F0" w14:textId="77777777" w:rsidR="00444733" w:rsidRPr="00444733" w:rsidRDefault="00444733" w:rsidP="00444733">
      <w:pPr>
        <w:rPr>
          <w:sz w:val="24"/>
          <w:szCs w:val="24"/>
          <w:lang w:val="en-US"/>
        </w:rPr>
      </w:pPr>
      <w:r w:rsidRPr="00444733">
        <w:rPr>
          <w:lang w:val="en-US"/>
        </w:rPr>
        <w:t xml:space="preserve">ALKALOID-INT </w:t>
      </w:r>
      <w:proofErr w:type="spellStart"/>
      <w:r w:rsidRPr="00444733">
        <w:rPr>
          <w:lang w:val="en-US"/>
        </w:rPr>
        <w:t>d.o.o</w:t>
      </w:r>
      <w:proofErr w:type="spellEnd"/>
      <w:r w:rsidRPr="00444733">
        <w:rPr>
          <w:lang w:val="en-US"/>
        </w:rPr>
        <w:t>.</w:t>
      </w:r>
    </w:p>
    <w:p w14:paraId="0AD633A8" w14:textId="77777777" w:rsidR="00444733" w:rsidRPr="00444733" w:rsidRDefault="00444733" w:rsidP="00444733">
      <w:pPr>
        <w:rPr>
          <w:sz w:val="24"/>
          <w:szCs w:val="24"/>
          <w:lang w:val="en-US"/>
        </w:rPr>
      </w:pPr>
      <w:proofErr w:type="spellStart"/>
      <w:r w:rsidRPr="00444733">
        <w:rPr>
          <w:lang w:val="en-US"/>
        </w:rPr>
        <w:t>Slandrova</w:t>
      </w:r>
      <w:proofErr w:type="spellEnd"/>
      <w:r w:rsidRPr="00444733">
        <w:rPr>
          <w:lang w:val="en-US"/>
        </w:rPr>
        <w:t xml:space="preserve"> </w:t>
      </w:r>
      <w:proofErr w:type="spellStart"/>
      <w:r w:rsidRPr="00444733">
        <w:rPr>
          <w:lang w:val="en-US"/>
        </w:rPr>
        <w:t>ulica</w:t>
      </w:r>
      <w:proofErr w:type="spellEnd"/>
      <w:r w:rsidRPr="00444733">
        <w:rPr>
          <w:lang w:val="en-US"/>
        </w:rPr>
        <w:t xml:space="preserve"> </w:t>
      </w:r>
      <w:r w:rsidRPr="00444733">
        <w:rPr>
          <w:lang w:eastAsia="bg-BG"/>
        </w:rPr>
        <w:t>4</w:t>
      </w:r>
    </w:p>
    <w:p w14:paraId="568861BD" w14:textId="77777777" w:rsidR="00444733" w:rsidRPr="00444733" w:rsidRDefault="00444733" w:rsidP="00444733">
      <w:pPr>
        <w:rPr>
          <w:sz w:val="24"/>
          <w:szCs w:val="24"/>
          <w:lang w:val="en-US"/>
        </w:rPr>
      </w:pPr>
      <w:r w:rsidRPr="00444733">
        <w:rPr>
          <w:lang w:eastAsia="bg-BG"/>
        </w:rPr>
        <w:t xml:space="preserve">1231 </w:t>
      </w:r>
      <w:r w:rsidRPr="00444733">
        <w:rPr>
          <w:lang w:val="en-US"/>
        </w:rPr>
        <w:t>Ljubljana-</w:t>
      </w:r>
      <w:proofErr w:type="spellStart"/>
      <w:r w:rsidRPr="00444733">
        <w:rPr>
          <w:lang w:val="en-US"/>
        </w:rPr>
        <w:t>Crnuce</w:t>
      </w:r>
      <w:proofErr w:type="spellEnd"/>
      <w:r w:rsidRPr="00444733">
        <w:rPr>
          <w:lang w:val="en-US"/>
        </w:rPr>
        <w:t xml:space="preserve">, </w:t>
      </w:r>
      <w:r w:rsidRPr="00444733">
        <w:rPr>
          <w:lang w:eastAsia="bg-BG"/>
        </w:rPr>
        <w:t>Словения</w:t>
      </w:r>
    </w:p>
    <w:p w14:paraId="238ECF38" w14:textId="491A61DB" w:rsidR="00444733" w:rsidRPr="00444733" w:rsidRDefault="00444733" w:rsidP="00444733">
      <w:proofErr w:type="gramStart"/>
      <w:r w:rsidRPr="00444733">
        <w:rPr>
          <w:lang w:val="en-US"/>
        </w:rPr>
        <w:t>e-mail</w:t>
      </w:r>
      <w:proofErr w:type="gramEnd"/>
      <w:r w:rsidRPr="00444733">
        <w:rPr>
          <w:lang w:val="en-US"/>
        </w:rPr>
        <w:t xml:space="preserve">: </w:t>
      </w:r>
      <w:hyperlink r:id="rId5" w:history="1">
        <w:r w:rsidRPr="00444733">
          <w:rPr>
            <w:lang w:val="en-US"/>
          </w:rPr>
          <w:t>info@alkaloid.si</w:t>
        </w:r>
      </w:hyperlink>
    </w:p>
    <w:p w14:paraId="508F3A54" w14:textId="1428F25E" w:rsidR="00B6672E" w:rsidRDefault="00936AD0" w:rsidP="00936AD0">
      <w:pPr>
        <w:pStyle w:val="Heading1"/>
      </w:pPr>
      <w:r>
        <w:t>8.</w:t>
      </w:r>
      <w:r w:rsidR="002C50EE">
        <w:t>НОМЕР НА РАЗРЕШЕНИЕТО ЗА УПОТРЕБА</w:t>
      </w:r>
    </w:p>
    <w:p w14:paraId="01E6B188" w14:textId="0A35566C" w:rsidR="00444733" w:rsidRDefault="00444733" w:rsidP="00444733"/>
    <w:p w14:paraId="6D990614" w14:textId="77777777" w:rsidR="00444733" w:rsidRDefault="00444733" w:rsidP="00444733">
      <w:r>
        <w:t xml:space="preserve">Ропуидо 5 </w:t>
      </w:r>
      <w:r>
        <w:rPr>
          <w:lang w:val="en-US"/>
        </w:rPr>
        <w:t>mg</w:t>
      </w:r>
      <w:r w:rsidRPr="00444733">
        <w:t xml:space="preserve"> </w:t>
      </w:r>
      <w:r>
        <w:t xml:space="preserve">филмирани таблетки </w:t>
      </w:r>
      <w:r>
        <w:rPr>
          <w:lang w:val="en-US"/>
        </w:rPr>
        <w:t>Per</w:t>
      </w:r>
      <w:r w:rsidRPr="00444733">
        <w:t xml:space="preserve">. </w:t>
      </w:r>
      <w:r>
        <w:t xml:space="preserve">№ 20180344 </w:t>
      </w:r>
    </w:p>
    <w:p w14:paraId="4FEEEB41" w14:textId="77777777" w:rsidR="00444733" w:rsidRDefault="00444733" w:rsidP="00444733">
      <w:r>
        <w:t xml:space="preserve">Ропуидо 10 </w:t>
      </w:r>
      <w:r>
        <w:rPr>
          <w:lang w:val="en-US"/>
        </w:rPr>
        <w:t>mg</w:t>
      </w:r>
      <w:r w:rsidRPr="00444733">
        <w:t xml:space="preserve"> </w:t>
      </w:r>
      <w:r>
        <w:t xml:space="preserve">филмирани таблетки </w:t>
      </w:r>
      <w:r>
        <w:rPr>
          <w:lang w:val="en-US"/>
        </w:rPr>
        <w:t>Per</w:t>
      </w:r>
      <w:r w:rsidRPr="00444733">
        <w:t xml:space="preserve">. </w:t>
      </w:r>
      <w:r>
        <w:t xml:space="preserve">№20180345 </w:t>
      </w:r>
    </w:p>
    <w:p w14:paraId="49456121" w14:textId="77777777" w:rsidR="00444733" w:rsidRDefault="00444733" w:rsidP="00444733">
      <w:r>
        <w:t xml:space="preserve">Ропуидо 20 </w:t>
      </w:r>
      <w:r>
        <w:rPr>
          <w:lang w:val="en-US"/>
        </w:rPr>
        <w:t>mg</w:t>
      </w:r>
      <w:r w:rsidRPr="00444733">
        <w:rPr>
          <w:lang w:val="ru-RU"/>
        </w:rPr>
        <w:t xml:space="preserve"> </w:t>
      </w:r>
      <w:r>
        <w:t xml:space="preserve">филмирани таблетки </w:t>
      </w:r>
      <w:r>
        <w:rPr>
          <w:lang w:val="en-US"/>
        </w:rPr>
        <w:t>Per</w:t>
      </w:r>
      <w:r w:rsidRPr="00444733">
        <w:rPr>
          <w:lang w:val="ru-RU"/>
        </w:rPr>
        <w:t xml:space="preserve">. </w:t>
      </w:r>
      <w:r>
        <w:t xml:space="preserve">№ 20180346 </w:t>
      </w:r>
    </w:p>
    <w:p w14:paraId="3B412090" w14:textId="1BC4001F" w:rsidR="00444733" w:rsidRPr="00444733" w:rsidRDefault="00444733" w:rsidP="00444733">
      <w:r>
        <w:lastRenderedPageBreak/>
        <w:t xml:space="preserve">Ропуидо 40 </w:t>
      </w:r>
      <w:r>
        <w:rPr>
          <w:lang w:val="en-US"/>
        </w:rPr>
        <w:t>mg</w:t>
      </w:r>
      <w:r w:rsidRPr="00444733">
        <w:rPr>
          <w:lang w:val="ru-RU"/>
        </w:rPr>
        <w:t xml:space="preserve"> </w:t>
      </w:r>
      <w:r>
        <w:t xml:space="preserve">филмирани таблетки </w:t>
      </w:r>
      <w:r>
        <w:rPr>
          <w:lang w:val="en-US"/>
        </w:rPr>
        <w:t>Per</w:t>
      </w:r>
      <w:r w:rsidRPr="00444733">
        <w:rPr>
          <w:lang w:val="ru-RU"/>
        </w:rPr>
        <w:t xml:space="preserve">. </w:t>
      </w:r>
      <w:r>
        <w:t>№ 20180347</w:t>
      </w:r>
    </w:p>
    <w:p w14:paraId="3BC5EC53" w14:textId="05AC0DDA" w:rsidR="00875EEC" w:rsidRDefault="002C50EE" w:rsidP="005726E3">
      <w:pPr>
        <w:pStyle w:val="Heading1"/>
      </w:pPr>
      <w:r>
        <w:t>9. ДАТА НА ПЪРВО РАЗРЕШАВАНЕ/ПОДНОВЯВАНЕ НА РАЗРЕШЕНИЕТО ЗА УПОТРЕБА</w:t>
      </w:r>
    </w:p>
    <w:p w14:paraId="349C1606" w14:textId="6305B600" w:rsidR="00444733" w:rsidRDefault="00444733" w:rsidP="00444733"/>
    <w:p w14:paraId="39A542A5" w14:textId="77777777" w:rsidR="00444733" w:rsidRPr="00444733" w:rsidRDefault="00444733" w:rsidP="00444733">
      <w:pPr>
        <w:rPr>
          <w:sz w:val="24"/>
          <w:szCs w:val="24"/>
        </w:rPr>
      </w:pPr>
      <w:r w:rsidRPr="00444733">
        <w:rPr>
          <w:lang w:eastAsia="bg-BG"/>
        </w:rPr>
        <w:t>Дата на първо разрешаване: 18.12.2018г.</w:t>
      </w:r>
    </w:p>
    <w:p w14:paraId="13FA82D8" w14:textId="77777777" w:rsidR="00444733" w:rsidRPr="00444733" w:rsidRDefault="00444733" w:rsidP="00444733">
      <w:pPr>
        <w:rPr>
          <w:sz w:val="24"/>
          <w:szCs w:val="24"/>
        </w:rPr>
      </w:pPr>
      <w:r w:rsidRPr="00444733">
        <w:rPr>
          <w:lang w:eastAsia="bg-BG"/>
        </w:rPr>
        <w:t>Дата на последно подновяване:</w:t>
      </w:r>
    </w:p>
    <w:p w14:paraId="6D240553" w14:textId="77777777" w:rsidR="00444733" w:rsidRPr="00444733" w:rsidRDefault="00444733" w:rsidP="00444733"/>
    <w:p w14:paraId="43FB38A2" w14:textId="0C7A5637" w:rsidR="007C605B" w:rsidRDefault="002C50EE" w:rsidP="005726E3">
      <w:pPr>
        <w:pStyle w:val="Heading1"/>
      </w:pPr>
      <w:r>
        <w:t>10. ДАТА НА АКТУАЛИЗИРАНЕ НА ТЕКСТА</w:t>
      </w:r>
      <w:bookmarkEnd w:id="0"/>
    </w:p>
    <w:p w14:paraId="4C4A22DE" w14:textId="408D3310" w:rsidR="00444733" w:rsidRPr="00444733" w:rsidRDefault="00444733" w:rsidP="00444733">
      <w:r>
        <w:t>06/2021</w:t>
      </w:r>
      <w:bookmarkStart w:id="5" w:name="_GoBack"/>
      <w:bookmarkEnd w:id="5"/>
    </w:p>
    <w:sectPr w:rsidR="00444733" w:rsidRPr="0044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0B2CD5"/>
    <w:multiLevelType w:val="hybridMultilevel"/>
    <w:tmpl w:val="1FE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87556"/>
    <w:multiLevelType w:val="hybridMultilevel"/>
    <w:tmpl w:val="4DB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8" w15:restartNumberingAfterBreak="0">
    <w:nsid w:val="7F790BD7"/>
    <w:multiLevelType w:val="hybridMultilevel"/>
    <w:tmpl w:val="EE9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4"/>
  </w:num>
  <w:num w:numId="15">
    <w:abstractNumId w:val="32"/>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4"/>
  </w:num>
  <w:num w:numId="28">
    <w:abstractNumId w:val="6"/>
  </w:num>
  <w:num w:numId="29">
    <w:abstractNumId w:val="22"/>
  </w:num>
  <w:num w:numId="30">
    <w:abstractNumId w:val="37"/>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13"/>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187"/>
    <w:rsid w:val="001915B6"/>
    <w:rsid w:val="001D1B23"/>
    <w:rsid w:val="002B3C38"/>
    <w:rsid w:val="002B4DBB"/>
    <w:rsid w:val="002C50EE"/>
    <w:rsid w:val="00340A0A"/>
    <w:rsid w:val="003765DC"/>
    <w:rsid w:val="00395555"/>
    <w:rsid w:val="003E3126"/>
    <w:rsid w:val="00426E5F"/>
    <w:rsid w:val="00444733"/>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023C2"/>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25D90"/>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lkaloid.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8372</Words>
  <Characters>47726</Characters>
  <Application>Microsoft Office Word</Application>
  <DocSecurity>0</DocSecurity>
  <Lines>397</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2022-11-02T23:14:00Z</dcterms:created>
  <dcterms:modified xsi:type="dcterms:W3CDTF">2022-11-02T23:14:00Z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