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77D9E5A0" w:rsidR="00AA23EC" w:rsidRDefault="00DD466D" w:rsidP="00DD466D">
      <w:pPr>
        <w:pStyle w:val="Heading1"/>
      </w:pPr>
      <w:r>
        <w:t>1.ИМЕ НА ЛЕКАРСТВЕНИЯ ПРОДУКТ</w:t>
      </w:r>
    </w:p>
    <w:p w14:paraId="7D4B19DE" w14:textId="452C4578" w:rsidR="0004365C" w:rsidRDefault="0004365C" w:rsidP="0004365C"/>
    <w:p w14:paraId="5D73FCF8" w14:textId="77777777" w:rsidR="0004365C" w:rsidRDefault="0004365C" w:rsidP="0004365C">
      <w:pPr>
        <w:rPr>
          <w:lang w:eastAsia="bg-BG"/>
        </w:rPr>
      </w:pPr>
      <w:r w:rsidRPr="0004365C">
        <w:rPr>
          <w:lang w:eastAsia="bg-BG"/>
        </w:rPr>
        <w:t xml:space="preserve">Росста 10 </w:t>
      </w:r>
      <w:r w:rsidRPr="0004365C">
        <w:rPr>
          <w:lang w:val="en-US"/>
        </w:rPr>
        <w:t>mg</w:t>
      </w:r>
      <w:r w:rsidRPr="0004365C">
        <w:t xml:space="preserve"> </w:t>
      </w:r>
      <w:r w:rsidRPr="0004365C">
        <w:rPr>
          <w:lang w:eastAsia="bg-BG"/>
        </w:rPr>
        <w:t xml:space="preserve">филмирани таблетки </w:t>
      </w:r>
    </w:p>
    <w:p w14:paraId="16F4003D" w14:textId="52E2AF82" w:rsidR="0004365C" w:rsidRPr="0004365C" w:rsidRDefault="0004365C" w:rsidP="0004365C">
      <w:pPr>
        <w:rPr>
          <w:sz w:val="24"/>
          <w:szCs w:val="24"/>
        </w:rPr>
      </w:pPr>
      <w:proofErr w:type="spellStart"/>
      <w:r w:rsidRPr="0004365C">
        <w:rPr>
          <w:lang w:val="en-US"/>
        </w:rPr>
        <w:t>Rossta</w:t>
      </w:r>
      <w:proofErr w:type="spellEnd"/>
      <w:r w:rsidRPr="0004365C">
        <w:t xml:space="preserve"> </w:t>
      </w:r>
      <w:r w:rsidRPr="0004365C">
        <w:rPr>
          <w:lang w:eastAsia="bg-BG"/>
        </w:rPr>
        <w:t xml:space="preserve">10 </w:t>
      </w:r>
      <w:r w:rsidRPr="0004365C">
        <w:rPr>
          <w:lang w:val="en-US"/>
        </w:rPr>
        <w:t>mg</w:t>
      </w:r>
      <w:r w:rsidRPr="0004365C">
        <w:t xml:space="preserve"> </w:t>
      </w:r>
      <w:r w:rsidRPr="0004365C">
        <w:rPr>
          <w:lang w:val="en-US"/>
        </w:rPr>
        <w:t>film</w:t>
      </w:r>
      <w:r w:rsidRPr="0004365C">
        <w:t>-</w:t>
      </w:r>
      <w:r w:rsidRPr="0004365C">
        <w:rPr>
          <w:lang w:val="en-US"/>
        </w:rPr>
        <w:t>coated</w:t>
      </w:r>
      <w:r w:rsidRPr="0004365C">
        <w:t xml:space="preserve"> </w:t>
      </w:r>
      <w:r w:rsidRPr="0004365C">
        <w:rPr>
          <w:lang w:val="en-US"/>
        </w:rPr>
        <w:t>tablets</w:t>
      </w:r>
    </w:p>
    <w:p w14:paraId="10F645DB" w14:textId="77777777" w:rsidR="0004365C" w:rsidRDefault="0004365C" w:rsidP="0004365C">
      <w:pPr>
        <w:rPr>
          <w:lang w:eastAsia="bg-BG"/>
        </w:rPr>
      </w:pPr>
    </w:p>
    <w:p w14:paraId="29B9D889" w14:textId="6ED58904" w:rsidR="0004365C" w:rsidRPr="0004365C" w:rsidRDefault="0004365C" w:rsidP="0004365C">
      <w:pPr>
        <w:rPr>
          <w:sz w:val="24"/>
          <w:szCs w:val="24"/>
          <w:lang w:val="en-US"/>
        </w:rPr>
      </w:pPr>
      <w:r w:rsidRPr="0004365C">
        <w:rPr>
          <w:lang w:eastAsia="bg-BG"/>
        </w:rPr>
        <w:t xml:space="preserve">Росста </w:t>
      </w:r>
      <w:r w:rsidRPr="0004365C">
        <w:rPr>
          <w:lang w:val="en-US"/>
        </w:rPr>
        <w:t xml:space="preserve">20 mg </w:t>
      </w:r>
      <w:r w:rsidRPr="0004365C">
        <w:rPr>
          <w:lang w:eastAsia="bg-BG"/>
        </w:rPr>
        <w:t>филмирани таблетки</w:t>
      </w:r>
    </w:p>
    <w:p w14:paraId="59B4D855" w14:textId="77777777" w:rsidR="0004365C" w:rsidRPr="0004365C" w:rsidRDefault="0004365C" w:rsidP="0004365C">
      <w:pPr>
        <w:rPr>
          <w:sz w:val="24"/>
          <w:szCs w:val="24"/>
          <w:lang w:val="en-US"/>
        </w:rPr>
      </w:pPr>
      <w:proofErr w:type="spellStart"/>
      <w:r w:rsidRPr="0004365C">
        <w:rPr>
          <w:lang w:val="en-US"/>
        </w:rPr>
        <w:t>Rossta</w:t>
      </w:r>
      <w:proofErr w:type="spellEnd"/>
      <w:r w:rsidRPr="0004365C">
        <w:rPr>
          <w:lang w:val="en-US"/>
        </w:rPr>
        <w:t xml:space="preserve"> </w:t>
      </w:r>
      <w:r w:rsidRPr="0004365C">
        <w:rPr>
          <w:lang w:eastAsia="bg-BG"/>
        </w:rPr>
        <w:t xml:space="preserve">20 </w:t>
      </w:r>
      <w:r w:rsidRPr="0004365C">
        <w:rPr>
          <w:lang w:val="en-US"/>
        </w:rPr>
        <w:t>mg film-coated tablets</w:t>
      </w:r>
    </w:p>
    <w:p w14:paraId="51596DC9" w14:textId="77777777" w:rsidR="0004365C" w:rsidRDefault="0004365C" w:rsidP="0004365C">
      <w:pPr>
        <w:rPr>
          <w:lang w:eastAsia="bg-BG"/>
        </w:rPr>
      </w:pPr>
    </w:p>
    <w:p w14:paraId="09DC298C" w14:textId="543A0833" w:rsidR="0004365C" w:rsidRPr="0004365C" w:rsidRDefault="0004365C" w:rsidP="0004365C">
      <w:pPr>
        <w:rPr>
          <w:sz w:val="24"/>
          <w:szCs w:val="24"/>
        </w:rPr>
      </w:pPr>
      <w:r w:rsidRPr="0004365C">
        <w:rPr>
          <w:lang w:eastAsia="bg-BG"/>
        </w:rPr>
        <w:t xml:space="preserve">Росста </w:t>
      </w:r>
      <w:r w:rsidRPr="0004365C">
        <w:t xml:space="preserve">40 </w:t>
      </w:r>
      <w:r w:rsidRPr="0004365C">
        <w:rPr>
          <w:lang w:val="en-US"/>
        </w:rPr>
        <w:t>mg</w:t>
      </w:r>
      <w:r w:rsidRPr="0004365C">
        <w:t xml:space="preserve"> </w:t>
      </w:r>
      <w:r w:rsidRPr="0004365C">
        <w:rPr>
          <w:lang w:eastAsia="bg-BG"/>
        </w:rPr>
        <w:t>филмирани таблетки</w:t>
      </w:r>
    </w:p>
    <w:p w14:paraId="4E71F51E" w14:textId="5E328C37" w:rsidR="0004365C" w:rsidRPr="0004365C" w:rsidRDefault="0004365C" w:rsidP="0004365C">
      <w:proofErr w:type="spellStart"/>
      <w:r w:rsidRPr="0004365C">
        <w:rPr>
          <w:lang w:val="en-US"/>
        </w:rPr>
        <w:t>Rossta</w:t>
      </w:r>
      <w:proofErr w:type="spellEnd"/>
      <w:r w:rsidRPr="0004365C">
        <w:t xml:space="preserve"> 40 </w:t>
      </w:r>
      <w:r w:rsidRPr="0004365C">
        <w:rPr>
          <w:lang w:val="en-US"/>
        </w:rPr>
        <w:t>mg</w:t>
      </w:r>
      <w:r w:rsidRPr="0004365C">
        <w:t xml:space="preserve"> </w:t>
      </w:r>
      <w:r w:rsidRPr="0004365C">
        <w:rPr>
          <w:lang w:val="en-US"/>
        </w:rPr>
        <w:t>film</w:t>
      </w:r>
      <w:r w:rsidRPr="0004365C">
        <w:t>-</w:t>
      </w:r>
      <w:r w:rsidRPr="0004365C">
        <w:rPr>
          <w:lang w:val="en-US"/>
        </w:rPr>
        <w:t>coated</w:t>
      </w:r>
      <w:r w:rsidRPr="0004365C">
        <w:t xml:space="preserve"> </w:t>
      </w:r>
      <w:r w:rsidRPr="0004365C">
        <w:rPr>
          <w:lang w:val="en-US"/>
        </w:rPr>
        <w:t>tablets</w:t>
      </w:r>
    </w:p>
    <w:p w14:paraId="0A368469" w14:textId="45BCA1C4" w:rsidR="00C0049F" w:rsidRDefault="00DD466D" w:rsidP="009F1313">
      <w:pPr>
        <w:pStyle w:val="Heading1"/>
      </w:pPr>
      <w:r>
        <w:t>2. КАЧЕСТВЕН И КОЛИЧЕСТВЕН СЪСТАВ</w:t>
      </w:r>
    </w:p>
    <w:p w14:paraId="7096B6B7" w14:textId="60EC7481" w:rsidR="0004365C" w:rsidRDefault="0004365C" w:rsidP="0004365C"/>
    <w:p w14:paraId="4FF05BCC" w14:textId="77777777"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 xml:space="preserve">Росста 10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b/>
          <w:bCs/>
          <w:color w:val="000000"/>
          <w:szCs w:val="20"/>
          <w:lang w:eastAsia="bg-BG"/>
        </w:rPr>
        <w:t xml:space="preserve">филмирани таблетки: </w:t>
      </w:r>
      <w:r w:rsidRPr="0004365C">
        <w:rPr>
          <w:rFonts w:eastAsia="Times New Roman" w:cs="Arial"/>
          <w:color w:val="000000"/>
          <w:szCs w:val="20"/>
          <w:lang w:eastAsia="bg-BG"/>
        </w:rPr>
        <w:t xml:space="preserve">Всяка филмирана таблетка съдържа 10,40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розувастатин калций </w:t>
      </w:r>
      <w:r w:rsidRPr="0004365C">
        <w:rPr>
          <w:rFonts w:eastAsia="Times New Roman" w:cs="Arial"/>
          <w:color w:val="000000"/>
          <w:szCs w:val="20"/>
        </w:rPr>
        <w:t>(</w:t>
      </w:r>
      <w:proofErr w:type="spellStart"/>
      <w:r w:rsidRPr="0004365C">
        <w:rPr>
          <w:rFonts w:eastAsia="Times New Roman" w:cs="Arial"/>
          <w:color w:val="000000"/>
          <w:szCs w:val="20"/>
          <w:lang w:val="en-US"/>
        </w:rPr>
        <w:t>rosuvastatin</w:t>
      </w:r>
      <w:proofErr w:type="spellEnd"/>
      <w:r w:rsidRPr="0004365C">
        <w:rPr>
          <w:rFonts w:eastAsia="Times New Roman" w:cs="Arial"/>
          <w:color w:val="000000"/>
          <w:szCs w:val="20"/>
        </w:rPr>
        <w:t xml:space="preserve"> </w:t>
      </w:r>
      <w:r w:rsidRPr="0004365C">
        <w:rPr>
          <w:rFonts w:eastAsia="Times New Roman" w:cs="Arial"/>
          <w:color w:val="000000"/>
          <w:szCs w:val="20"/>
          <w:lang w:val="en-US"/>
        </w:rPr>
        <w:t>calcium</w:t>
      </w:r>
      <w:r w:rsidRPr="0004365C">
        <w:rPr>
          <w:rFonts w:eastAsia="Times New Roman" w:cs="Arial"/>
          <w:color w:val="000000"/>
          <w:szCs w:val="20"/>
        </w:rPr>
        <w:t xml:space="preserve">), </w:t>
      </w:r>
      <w:r w:rsidRPr="0004365C">
        <w:rPr>
          <w:rFonts w:eastAsia="Times New Roman" w:cs="Arial"/>
          <w:color w:val="000000"/>
          <w:szCs w:val="20"/>
          <w:lang w:eastAsia="bg-BG"/>
        </w:rPr>
        <w:t xml:space="preserve">равняващ се на 10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розувастатин </w:t>
      </w:r>
      <w:r w:rsidRPr="0004365C">
        <w:rPr>
          <w:rFonts w:eastAsia="Times New Roman" w:cs="Arial"/>
          <w:color w:val="000000"/>
          <w:szCs w:val="20"/>
        </w:rPr>
        <w:t>(</w:t>
      </w:r>
      <w:proofErr w:type="spellStart"/>
      <w:r w:rsidRPr="0004365C">
        <w:rPr>
          <w:rFonts w:eastAsia="Times New Roman" w:cs="Arial"/>
          <w:color w:val="000000"/>
          <w:szCs w:val="20"/>
          <w:lang w:val="en-US"/>
        </w:rPr>
        <w:t>rosuvastatin</w:t>
      </w:r>
      <w:proofErr w:type="spellEnd"/>
      <w:r w:rsidRPr="0004365C">
        <w:rPr>
          <w:rFonts w:eastAsia="Times New Roman" w:cs="Arial"/>
          <w:color w:val="000000"/>
          <w:szCs w:val="20"/>
        </w:rPr>
        <w:t>);</w:t>
      </w:r>
    </w:p>
    <w:p w14:paraId="52FE6F55" w14:textId="77777777"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 xml:space="preserve">Росста 20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b/>
          <w:bCs/>
          <w:color w:val="000000"/>
          <w:szCs w:val="20"/>
          <w:lang w:eastAsia="bg-BG"/>
        </w:rPr>
        <w:t xml:space="preserve">филмирани таблетки: </w:t>
      </w:r>
      <w:r w:rsidRPr="0004365C">
        <w:rPr>
          <w:rFonts w:eastAsia="Times New Roman" w:cs="Arial"/>
          <w:color w:val="000000"/>
          <w:szCs w:val="20"/>
          <w:lang w:eastAsia="bg-BG"/>
        </w:rPr>
        <w:t xml:space="preserve">Всяка филмирана таблетка съдържа 20,80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розувастатин калций </w:t>
      </w:r>
      <w:r w:rsidRPr="0004365C">
        <w:rPr>
          <w:rFonts w:eastAsia="Times New Roman" w:cs="Arial"/>
          <w:color w:val="000000"/>
          <w:szCs w:val="20"/>
        </w:rPr>
        <w:t>(</w:t>
      </w:r>
      <w:proofErr w:type="spellStart"/>
      <w:r w:rsidRPr="0004365C">
        <w:rPr>
          <w:rFonts w:eastAsia="Times New Roman" w:cs="Arial"/>
          <w:color w:val="000000"/>
          <w:szCs w:val="20"/>
          <w:lang w:val="en-US"/>
        </w:rPr>
        <w:t>rosuvastatin</w:t>
      </w:r>
      <w:proofErr w:type="spellEnd"/>
      <w:r w:rsidRPr="0004365C">
        <w:rPr>
          <w:rFonts w:eastAsia="Times New Roman" w:cs="Arial"/>
          <w:color w:val="000000"/>
          <w:szCs w:val="20"/>
        </w:rPr>
        <w:t xml:space="preserve"> </w:t>
      </w:r>
      <w:r w:rsidRPr="0004365C">
        <w:rPr>
          <w:rFonts w:eastAsia="Times New Roman" w:cs="Arial"/>
          <w:color w:val="000000"/>
          <w:szCs w:val="20"/>
          <w:lang w:val="en-US"/>
        </w:rPr>
        <w:t>calcium</w:t>
      </w:r>
      <w:r w:rsidRPr="0004365C">
        <w:rPr>
          <w:rFonts w:eastAsia="Times New Roman" w:cs="Arial"/>
          <w:color w:val="000000"/>
          <w:szCs w:val="20"/>
        </w:rPr>
        <w:t xml:space="preserve">), </w:t>
      </w:r>
      <w:r w:rsidRPr="0004365C">
        <w:rPr>
          <w:rFonts w:eastAsia="Times New Roman" w:cs="Arial"/>
          <w:color w:val="000000"/>
          <w:szCs w:val="20"/>
          <w:lang w:eastAsia="bg-BG"/>
        </w:rPr>
        <w:t xml:space="preserve">равняващ се на 20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розувастатин </w:t>
      </w:r>
      <w:r w:rsidRPr="0004365C">
        <w:rPr>
          <w:rFonts w:eastAsia="Times New Roman" w:cs="Arial"/>
          <w:color w:val="000000"/>
          <w:szCs w:val="20"/>
        </w:rPr>
        <w:t>(</w:t>
      </w:r>
      <w:proofErr w:type="spellStart"/>
      <w:r w:rsidRPr="0004365C">
        <w:rPr>
          <w:rFonts w:eastAsia="Times New Roman" w:cs="Arial"/>
          <w:color w:val="000000"/>
          <w:szCs w:val="20"/>
          <w:lang w:val="en-US"/>
        </w:rPr>
        <w:t>rosuvastatin</w:t>
      </w:r>
      <w:proofErr w:type="spellEnd"/>
      <w:r w:rsidRPr="0004365C">
        <w:rPr>
          <w:rFonts w:eastAsia="Times New Roman" w:cs="Arial"/>
          <w:color w:val="000000"/>
          <w:szCs w:val="20"/>
        </w:rPr>
        <w:t>);</w:t>
      </w:r>
    </w:p>
    <w:p w14:paraId="06020200" w14:textId="77777777"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 xml:space="preserve">Росста 40 </w:t>
      </w:r>
      <w:r w:rsidRPr="0004365C">
        <w:rPr>
          <w:rFonts w:eastAsia="Times New Roman" w:cs="Arial"/>
          <w:b/>
          <w:bCs/>
          <w:color w:val="000000"/>
          <w:szCs w:val="20"/>
          <w:lang w:val="en-US"/>
        </w:rPr>
        <w:t>mg</w:t>
      </w:r>
      <w:r w:rsidRPr="0004365C">
        <w:rPr>
          <w:rFonts w:eastAsia="Times New Roman" w:cs="Arial"/>
          <w:b/>
          <w:bCs/>
          <w:color w:val="000000"/>
          <w:szCs w:val="20"/>
        </w:rPr>
        <w:t xml:space="preserve"> </w:t>
      </w:r>
      <w:r w:rsidRPr="0004365C">
        <w:rPr>
          <w:rFonts w:eastAsia="Times New Roman" w:cs="Arial"/>
          <w:b/>
          <w:bCs/>
          <w:color w:val="000000"/>
          <w:szCs w:val="20"/>
          <w:lang w:eastAsia="bg-BG"/>
        </w:rPr>
        <w:t xml:space="preserve">филмирани таблетки: </w:t>
      </w:r>
      <w:r w:rsidRPr="0004365C">
        <w:rPr>
          <w:rFonts w:eastAsia="Times New Roman" w:cs="Arial"/>
          <w:color w:val="000000"/>
          <w:szCs w:val="20"/>
          <w:lang w:eastAsia="bg-BG"/>
        </w:rPr>
        <w:t xml:space="preserve">Всяка филмирана таблетка съдържа 41,60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розувастатин калций </w:t>
      </w:r>
      <w:r w:rsidRPr="0004365C">
        <w:rPr>
          <w:rFonts w:eastAsia="Times New Roman" w:cs="Arial"/>
          <w:color w:val="000000"/>
          <w:szCs w:val="20"/>
        </w:rPr>
        <w:t>(</w:t>
      </w:r>
      <w:proofErr w:type="spellStart"/>
      <w:r w:rsidRPr="0004365C">
        <w:rPr>
          <w:rFonts w:eastAsia="Times New Roman" w:cs="Arial"/>
          <w:color w:val="000000"/>
          <w:szCs w:val="20"/>
          <w:lang w:val="en-US"/>
        </w:rPr>
        <w:t>rosuvastatin</w:t>
      </w:r>
      <w:proofErr w:type="spellEnd"/>
      <w:r w:rsidRPr="0004365C">
        <w:rPr>
          <w:rFonts w:eastAsia="Times New Roman" w:cs="Arial"/>
          <w:color w:val="000000"/>
          <w:szCs w:val="20"/>
        </w:rPr>
        <w:t xml:space="preserve"> </w:t>
      </w:r>
      <w:r w:rsidRPr="0004365C">
        <w:rPr>
          <w:rFonts w:eastAsia="Times New Roman" w:cs="Arial"/>
          <w:color w:val="000000"/>
          <w:szCs w:val="20"/>
          <w:lang w:val="en-US"/>
        </w:rPr>
        <w:t>calcium</w:t>
      </w:r>
      <w:r w:rsidRPr="0004365C">
        <w:rPr>
          <w:rFonts w:eastAsia="Times New Roman" w:cs="Arial"/>
          <w:color w:val="000000"/>
          <w:szCs w:val="20"/>
        </w:rPr>
        <w:t xml:space="preserve">), </w:t>
      </w:r>
      <w:r w:rsidRPr="0004365C">
        <w:rPr>
          <w:rFonts w:eastAsia="Times New Roman" w:cs="Arial"/>
          <w:color w:val="000000"/>
          <w:szCs w:val="20"/>
          <w:lang w:eastAsia="bg-BG"/>
        </w:rPr>
        <w:t xml:space="preserve">равняващ се на 40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розувастатин </w:t>
      </w:r>
      <w:r w:rsidRPr="0004365C">
        <w:rPr>
          <w:rFonts w:eastAsia="Times New Roman" w:cs="Arial"/>
          <w:color w:val="000000"/>
          <w:szCs w:val="20"/>
        </w:rPr>
        <w:t>(</w:t>
      </w:r>
      <w:proofErr w:type="spellStart"/>
      <w:r w:rsidRPr="0004365C">
        <w:rPr>
          <w:rFonts w:eastAsia="Times New Roman" w:cs="Arial"/>
          <w:color w:val="000000"/>
          <w:szCs w:val="20"/>
          <w:lang w:val="en-US"/>
        </w:rPr>
        <w:t>rosuvastatin</w:t>
      </w:r>
      <w:proofErr w:type="spellEnd"/>
      <w:r w:rsidRPr="0004365C">
        <w:rPr>
          <w:rFonts w:eastAsia="Times New Roman" w:cs="Arial"/>
          <w:color w:val="000000"/>
          <w:szCs w:val="20"/>
        </w:rPr>
        <w:t>);</w:t>
      </w:r>
    </w:p>
    <w:p w14:paraId="24EB746E" w14:textId="77777777" w:rsidR="0004365C" w:rsidRPr="0004365C" w:rsidRDefault="0004365C" w:rsidP="0004365C">
      <w:pPr>
        <w:spacing w:line="240" w:lineRule="auto"/>
        <w:rPr>
          <w:rFonts w:eastAsia="Times New Roman" w:cs="Arial"/>
          <w:color w:val="000000"/>
          <w:szCs w:val="20"/>
          <w:u w:val="single"/>
          <w:lang w:eastAsia="bg-BG"/>
        </w:rPr>
      </w:pPr>
    </w:p>
    <w:p w14:paraId="16135F9E" w14:textId="0941306D"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u w:val="single"/>
          <w:lang w:eastAsia="bg-BG"/>
        </w:rPr>
        <w:t>Помощни вещества с известно действие:</w:t>
      </w:r>
    </w:p>
    <w:p w14:paraId="0047EAEC"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Всяка 10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филмирана таблетка съдържа 93,30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лактоза монохидрат, 0,057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алура червен АС алуминиев лак (Е 129), 0,0495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сънсет жълт </w:t>
      </w:r>
      <w:r w:rsidRPr="0004365C">
        <w:rPr>
          <w:rFonts w:eastAsia="Times New Roman" w:cs="Arial"/>
          <w:color w:val="000000"/>
          <w:szCs w:val="20"/>
          <w:lang w:val="en-US"/>
        </w:rPr>
        <w:t>FCF</w:t>
      </w:r>
      <w:r w:rsidRPr="0004365C">
        <w:rPr>
          <w:rFonts w:eastAsia="Times New Roman" w:cs="Arial"/>
          <w:color w:val="000000"/>
          <w:szCs w:val="20"/>
        </w:rPr>
        <w:t xml:space="preserve"> </w:t>
      </w:r>
      <w:r w:rsidRPr="0004365C">
        <w:rPr>
          <w:rFonts w:eastAsia="Times New Roman" w:cs="Arial"/>
          <w:color w:val="000000"/>
          <w:szCs w:val="20"/>
          <w:lang w:eastAsia="bg-BG"/>
        </w:rPr>
        <w:t xml:space="preserve">алуминиев лак (Е 110) и 0,1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лецитин (соя) (Е322) (виж точка 4.4).</w:t>
      </w:r>
    </w:p>
    <w:p w14:paraId="620C0DE3"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Всяка 20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филмирана таблетка съдържа 186,60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лактоза монохидрат, 0,114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алура червен АС алуминиев лак (Е 129), 0,099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сънсет жълт </w:t>
      </w:r>
      <w:r w:rsidRPr="0004365C">
        <w:rPr>
          <w:rFonts w:eastAsia="Times New Roman" w:cs="Arial"/>
          <w:color w:val="000000"/>
          <w:szCs w:val="20"/>
          <w:lang w:val="en-US"/>
        </w:rPr>
        <w:t>FCF</w:t>
      </w:r>
      <w:r w:rsidRPr="0004365C">
        <w:rPr>
          <w:rFonts w:eastAsia="Times New Roman" w:cs="Arial"/>
          <w:color w:val="000000"/>
          <w:szCs w:val="20"/>
        </w:rPr>
        <w:t xml:space="preserve"> </w:t>
      </w:r>
      <w:r w:rsidRPr="0004365C">
        <w:rPr>
          <w:rFonts w:eastAsia="Times New Roman" w:cs="Arial"/>
          <w:color w:val="000000"/>
          <w:szCs w:val="20"/>
          <w:lang w:eastAsia="bg-BG"/>
        </w:rPr>
        <w:t xml:space="preserve">алуминиев лак (Е 110) и 0,2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лецитин (соя) (Е322) (виж точка 4.4).</w:t>
      </w:r>
    </w:p>
    <w:p w14:paraId="037DB97A"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Всяка 40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филмирана таблетка съдържа 181,05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лактоза монохидрат, 0,114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алура червен АС алуминиев лак (Е 129), 0,099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 xml:space="preserve">сънсет жълт </w:t>
      </w:r>
      <w:r w:rsidRPr="0004365C">
        <w:rPr>
          <w:rFonts w:eastAsia="Times New Roman" w:cs="Arial"/>
          <w:color w:val="000000"/>
          <w:szCs w:val="20"/>
          <w:lang w:val="en-US"/>
        </w:rPr>
        <w:t>FCF</w:t>
      </w:r>
      <w:r w:rsidRPr="0004365C">
        <w:rPr>
          <w:rFonts w:eastAsia="Times New Roman" w:cs="Arial"/>
          <w:color w:val="000000"/>
          <w:szCs w:val="20"/>
        </w:rPr>
        <w:t xml:space="preserve"> </w:t>
      </w:r>
      <w:r w:rsidRPr="0004365C">
        <w:rPr>
          <w:rFonts w:eastAsia="Times New Roman" w:cs="Arial"/>
          <w:color w:val="000000"/>
          <w:szCs w:val="20"/>
          <w:lang w:eastAsia="bg-BG"/>
        </w:rPr>
        <w:t xml:space="preserve">алуминиев лак (Е 110) и 0,2 </w:t>
      </w:r>
      <w:r w:rsidRPr="0004365C">
        <w:rPr>
          <w:rFonts w:eastAsia="Times New Roman" w:cs="Arial"/>
          <w:color w:val="000000"/>
          <w:szCs w:val="20"/>
          <w:lang w:val="en-US"/>
        </w:rPr>
        <w:t>mg</w:t>
      </w:r>
      <w:r w:rsidRPr="0004365C">
        <w:rPr>
          <w:rFonts w:eastAsia="Times New Roman" w:cs="Arial"/>
          <w:color w:val="000000"/>
          <w:szCs w:val="20"/>
        </w:rPr>
        <w:t xml:space="preserve"> </w:t>
      </w:r>
      <w:r w:rsidRPr="0004365C">
        <w:rPr>
          <w:rFonts w:eastAsia="Times New Roman" w:cs="Arial"/>
          <w:color w:val="000000"/>
          <w:szCs w:val="20"/>
          <w:lang w:eastAsia="bg-BG"/>
        </w:rPr>
        <w:t>лецитин (соя) (Е322) (виж точка 4.4).</w:t>
      </w:r>
    </w:p>
    <w:p w14:paraId="6A3E5399" w14:textId="77777777" w:rsidR="0004365C" w:rsidRPr="0004365C" w:rsidRDefault="0004365C" w:rsidP="0004365C"/>
    <w:p w14:paraId="614984C4" w14:textId="7BB13548" w:rsidR="008A6AF2" w:rsidRDefault="00DD466D" w:rsidP="002C50EE">
      <w:pPr>
        <w:pStyle w:val="Heading1"/>
      </w:pPr>
      <w:r>
        <w:t>3. ЛЕКАРСТВЕНА ФОРМА</w:t>
      </w:r>
    </w:p>
    <w:p w14:paraId="585611BA" w14:textId="78F2EF19" w:rsidR="0004365C" w:rsidRDefault="0004365C" w:rsidP="0004365C"/>
    <w:p w14:paraId="0E215C9F" w14:textId="77777777" w:rsidR="0004365C" w:rsidRPr="0004365C" w:rsidRDefault="0004365C" w:rsidP="0004365C">
      <w:pPr>
        <w:rPr>
          <w:sz w:val="24"/>
          <w:szCs w:val="24"/>
        </w:rPr>
      </w:pPr>
      <w:r w:rsidRPr="0004365C">
        <w:rPr>
          <w:lang w:eastAsia="bg-BG"/>
        </w:rPr>
        <w:t>Филмирана таблетка.</w:t>
      </w:r>
    </w:p>
    <w:p w14:paraId="203A1CBF" w14:textId="77777777" w:rsidR="0004365C" w:rsidRDefault="0004365C" w:rsidP="0004365C">
      <w:pPr>
        <w:rPr>
          <w:lang w:eastAsia="bg-BG"/>
        </w:rPr>
      </w:pPr>
    </w:p>
    <w:p w14:paraId="30EAE9F3" w14:textId="171BCAA7" w:rsidR="0004365C" w:rsidRPr="0004365C" w:rsidRDefault="0004365C" w:rsidP="0004365C">
      <w:pPr>
        <w:rPr>
          <w:sz w:val="24"/>
          <w:szCs w:val="24"/>
        </w:rPr>
      </w:pPr>
      <w:r w:rsidRPr="0004365C">
        <w:rPr>
          <w:lang w:eastAsia="bg-BG"/>
        </w:rPr>
        <w:t>Росста 1</w:t>
      </w:r>
      <w:r w:rsidRPr="0004365C">
        <w:rPr>
          <w:lang w:val="ru-RU"/>
        </w:rPr>
        <w:t>0</w:t>
      </w:r>
      <w:r w:rsidRPr="0004365C">
        <w:rPr>
          <w:lang w:val="en-US"/>
        </w:rPr>
        <w:t>mg</w:t>
      </w:r>
      <w:r w:rsidRPr="0004365C">
        <w:rPr>
          <w:lang w:val="ru-RU"/>
        </w:rPr>
        <w:t xml:space="preserve"> </w:t>
      </w:r>
      <w:r w:rsidRPr="0004365C">
        <w:rPr>
          <w:lang w:eastAsia="bg-BG"/>
        </w:rPr>
        <w:t xml:space="preserve">филмирани таблетки са розови, с надпис 10 от едната страна, кръгли, двойноизпъкнали филмирани таблетки с диаметър 7,10 </w:t>
      </w:r>
      <w:r w:rsidRPr="0004365C">
        <w:rPr>
          <w:lang w:val="en-US"/>
        </w:rPr>
        <w:t>mm</w:t>
      </w:r>
      <w:r w:rsidRPr="0004365C">
        <w:rPr>
          <w:lang w:val="ru-RU"/>
        </w:rPr>
        <w:t xml:space="preserve"> </w:t>
      </w:r>
      <w:r w:rsidRPr="0004365C">
        <w:rPr>
          <w:lang w:eastAsia="bg-BG"/>
        </w:rPr>
        <w:t xml:space="preserve">(± 0,5 </w:t>
      </w:r>
      <w:r w:rsidRPr="0004365C">
        <w:rPr>
          <w:lang w:val="en-US"/>
        </w:rPr>
        <w:t>mm</w:t>
      </w:r>
      <w:r w:rsidRPr="0004365C">
        <w:rPr>
          <w:lang w:val="ru-RU"/>
        </w:rPr>
        <w:t>).</w:t>
      </w:r>
    </w:p>
    <w:p w14:paraId="3F1DCCDE" w14:textId="77777777" w:rsidR="0004365C" w:rsidRPr="0004365C" w:rsidRDefault="0004365C" w:rsidP="0004365C">
      <w:pPr>
        <w:rPr>
          <w:sz w:val="24"/>
          <w:szCs w:val="24"/>
        </w:rPr>
      </w:pPr>
      <w:r w:rsidRPr="0004365C">
        <w:rPr>
          <w:lang w:eastAsia="bg-BG"/>
        </w:rPr>
        <w:t xml:space="preserve">Росста </w:t>
      </w:r>
      <w:r w:rsidRPr="0004365C">
        <w:rPr>
          <w:lang w:val="ru-RU"/>
        </w:rPr>
        <w:t>20</w:t>
      </w:r>
      <w:r w:rsidRPr="0004365C">
        <w:rPr>
          <w:lang w:val="en-US"/>
        </w:rPr>
        <w:t>mg</w:t>
      </w:r>
      <w:r w:rsidRPr="0004365C">
        <w:rPr>
          <w:lang w:val="ru-RU"/>
        </w:rPr>
        <w:t xml:space="preserve"> </w:t>
      </w:r>
      <w:r w:rsidRPr="0004365C">
        <w:rPr>
          <w:lang w:eastAsia="bg-BG"/>
        </w:rPr>
        <w:t xml:space="preserve">филмирани таблетки са розови, с надпис 20 от едната страна, кръгли, двойноизпъкнали филмирани таблетки с диаметър 9,10 </w:t>
      </w:r>
      <w:r w:rsidRPr="0004365C">
        <w:rPr>
          <w:lang w:val="en-US"/>
        </w:rPr>
        <w:t>mm</w:t>
      </w:r>
      <w:r w:rsidRPr="0004365C">
        <w:rPr>
          <w:lang w:val="ru-RU"/>
        </w:rPr>
        <w:t xml:space="preserve"> </w:t>
      </w:r>
      <w:r w:rsidRPr="0004365C">
        <w:rPr>
          <w:lang w:eastAsia="bg-BG"/>
        </w:rPr>
        <w:t xml:space="preserve">(± 0,5 </w:t>
      </w:r>
      <w:r w:rsidRPr="0004365C">
        <w:rPr>
          <w:lang w:val="en-US"/>
        </w:rPr>
        <w:t>mm</w:t>
      </w:r>
      <w:r w:rsidRPr="0004365C">
        <w:rPr>
          <w:lang w:val="ru-RU"/>
        </w:rPr>
        <w:t>).</w:t>
      </w:r>
    </w:p>
    <w:p w14:paraId="1ACB8CD1" w14:textId="662E3205" w:rsidR="0004365C" w:rsidRDefault="0004365C" w:rsidP="0004365C">
      <w:pPr>
        <w:rPr>
          <w:lang w:eastAsia="bg-BG"/>
        </w:rPr>
      </w:pPr>
      <w:r w:rsidRPr="0004365C">
        <w:rPr>
          <w:lang w:eastAsia="bg-BG"/>
        </w:rPr>
        <w:lastRenderedPageBreak/>
        <w:t xml:space="preserve">Росста </w:t>
      </w:r>
      <w:r w:rsidRPr="0004365C">
        <w:rPr>
          <w:lang w:val="ru-RU"/>
        </w:rPr>
        <w:t>40</w:t>
      </w:r>
      <w:r w:rsidRPr="0004365C">
        <w:rPr>
          <w:lang w:val="en-US"/>
        </w:rPr>
        <w:t>mg</w:t>
      </w:r>
      <w:r w:rsidRPr="0004365C">
        <w:rPr>
          <w:lang w:val="ru-RU"/>
        </w:rPr>
        <w:t xml:space="preserve"> </w:t>
      </w:r>
      <w:r w:rsidRPr="0004365C">
        <w:rPr>
          <w:lang w:eastAsia="bg-BG"/>
        </w:rPr>
        <w:t xml:space="preserve">филмирани таблетки са розови, с надпис 40 от едната страна, елипсовидни, двойно изпъкнали, филмирани таблетки с размер 11,70 </w:t>
      </w:r>
      <w:r w:rsidRPr="0004365C">
        <w:rPr>
          <w:lang w:val="en-US"/>
        </w:rPr>
        <w:t>mm</w:t>
      </w:r>
      <w:r w:rsidRPr="0004365C">
        <w:rPr>
          <w:lang w:val="ru-RU"/>
        </w:rPr>
        <w:t xml:space="preserve"> </w:t>
      </w:r>
      <w:r w:rsidRPr="0004365C">
        <w:rPr>
          <w:lang w:eastAsia="bg-BG"/>
        </w:rPr>
        <w:t xml:space="preserve">(± 0,5 </w:t>
      </w:r>
      <w:r w:rsidRPr="0004365C">
        <w:rPr>
          <w:lang w:val="en-US"/>
        </w:rPr>
        <w:t>mm</w:t>
      </w:r>
      <w:r w:rsidRPr="0004365C">
        <w:rPr>
          <w:lang w:val="ru-RU"/>
        </w:rPr>
        <w:t xml:space="preserve">) </w:t>
      </w:r>
      <w:r w:rsidRPr="0004365C">
        <w:rPr>
          <w:lang w:eastAsia="bg-BG"/>
        </w:rPr>
        <w:t xml:space="preserve">на дължина и 7,10 </w:t>
      </w:r>
      <w:r w:rsidRPr="0004365C">
        <w:rPr>
          <w:lang w:val="en-US"/>
        </w:rPr>
        <w:t>mm</w:t>
      </w:r>
      <w:r w:rsidRPr="0004365C">
        <w:rPr>
          <w:lang w:val="ru-RU"/>
        </w:rPr>
        <w:t xml:space="preserve"> </w:t>
      </w:r>
      <w:r w:rsidRPr="0004365C">
        <w:rPr>
          <w:lang w:eastAsia="bg-BG"/>
        </w:rPr>
        <w:t xml:space="preserve">(± 0,5 </w:t>
      </w:r>
      <w:r w:rsidRPr="0004365C">
        <w:rPr>
          <w:lang w:val="en-US"/>
        </w:rPr>
        <w:t>mm</w:t>
      </w:r>
      <w:r w:rsidRPr="0004365C">
        <w:rPr>
          <w:lang w:val="ru-RU"/>
        </w:rPr>
        <w:t xml:space="preserve">) </w:t>
      </w:r>
      <w:r w:rsidRPr="0004365C">
        <w:rPr>
          <w:lang w:eastAsia="bg-BG"/>
        </w:rPr>
        <w:t>на ширина.</w:t>
      </w:r>
    </w:p>
    <w:p w14:paraId="1541C6BB" w14:textId="77777777" w:rsidR="0004365C" w:rsidRPr="0004365C" w:rsidRDefault="0004365C" w:rsidP="0004365C">
      <w:pPr>
        <w:rPr>
          <w:sz w:val="24"/>
          <w:szCs w:val="24"/>
        </w:rPr>
      </w:pPr>
    </w:p>
    <w:p w14:paraId="490FC2C4" w14:textId="32682B15" w:rsidR="002C50EE" w:rsidRDefault="002C50EE" w:rsidP="002C50EE">
      <w:pPr>
        <w:pStyle w:val="Heading1"/>
      </w:pPr>
      <w:r>
        <w:t>4. КЛИНИЧНИ ДАННИ</w:t>
      </w:r>
    </w:p>
    <w:p w14:paraId="754A29C8" w14:textId="1771B067" w:rsidR="00C0049F" w:rsidRDefault="002C50EE" w:rsidP="009F1313">
      <w:pPr>
        <w:pStyle w:val="Heading2"/>
      </w:pPr>
      <w:r>
        <w:t>4.1. Терапевтични показания</w:t>
      </w:r>
    </w:p>
    <w:p w14:paraId="7F89294B" w14:textId="4C022632" w:rsidR="0004365C" w:rsidRDefault="0004365C" w:rsidP="0004365C"/>
    <w:p w14:paraId="547B8568" w14:textId="77777777" w:rsidR="0004365C" w:rsidRPr="0004365C" w:rsidRDefault="0004365C" w:rsidP="0004365C">
      <w:pPr>
        <w:spacing w:line="240" w:lineRule="auto"/>
        <w:rPr>
          <w:rFonts w:eastAsia="Times New Roman" w:cs="Arial"/>
          <w:sz w:val="28"/>
          <w:szCs w:val="24"/>
        </w:rPr>
      </w:pPr>
      <w:bookmarkStart w:id="1" w:name="bookmark0"/>
      <w:r w:rsidRPr="0004365C">
        <w:rPr>
          <w:rFonts w:eastAsia="Times New Roman" w:cs="Arial"/>
          <w:b/>
          <w:bCs/>
          <w:color w:val="000000"/>
          <w:szCs w:val="20"/>
          <w:lang w:eastAsia="bg-BG"/>
        </w:rPr>
        <w:t>Лечение на хиперхолестеролемия</w:t>
      </w:r>
      <w:bookmarkEnd w:id="1"/>
    </w:p>
    <w:p w14:paraId="7707C7F1" w14:textId="77777777" w:rsidR="0004365C" w:rsidRPr="0004365C" w:rsidRDefault="0004365C" w:rsidP="0004365C">
      <w:pPr>
        <w:spacing w:line="240" w:lineRule="auto"/>
        <w:rPr>
          <w:rFonts w:eastAsia="Times New Roman" w:cs="Arial"/>
          <w:color w:val="000000"/>
          <w:szCs w:val="20"/>
          <w:lang w:eastAsia="bg-BG"/>
        </w:rPr>
      </w:pPr>
    </w:p>
    <w:p w14:paraId="21B9D8AD" w14:textId="0BCDF39F"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Възрастни, младежи и деца над 10-годишна възраст с първична хиперхолестеролемия (тип </w:t>
      </w:r>
      <w:proofErr w:type="spellStart"/>
      <w:r w:rsidRPr="0004365C">
        <w:rPr>
          <w:rFonts w:eastAsia="Times New Roman" w:cs="Arial"/>
          <w:color w:val="000000"/>
          <w:szCs w:val="20"/>
          <w:lang w:val="en-US"/>
        </w:rPr>
        <w:t>IIa</w:t>
      </w:r>
      <w:proofErr w:type="spellEnd"/>
      <w:r w:rsidRPr="0004365C">
        <w:rPr>
          <w:rFonts w:eastAsia="Times New Roman" w:cs="Arial"/>
          <w:color w:val="000000"/>
          <w:szCs w:val="20"/>
          <w:lang w:eastAsia="bg-BG"/>
        </w:rPr>
        <w:t xml:space="preserve"> включително хетерозиготна фамилна хиперхолестеролемия ) или смесена</w:t>
      </w:r>
      <w:r w:rsidRPr="0004365C">
        <w:rPr>
          <w:rFonts w:eastAsia="Times New Roman" w:cs="Arial"/>
          <w:color w:val="000000"/>
          <w:szCs w:val="20"/>
        </w:rPr>
        <w:t xml:space="preserve"> </w:t>
      </w:r>
      <w:r w:rsidRPr="0004365C">
        <w:rPr>
          <w:rFonts w:eastAsia="Times New Roman" w:cs="Arial"/>
          <w:color w:val="000000"/>
          <w:szCs w:val="20"/>
          <w:lang w:eastAsia="bg-BG"/>
        </w:rPr>
        <w:t xml:space="preserve">дислипидемия (тип </w:t>
      </w:r>
      <w:proofErr w:type="spellStart"/>
      <w:r w:rsidRPr="0004365C">
        <w:rPr>
          <w:rFonts w:eastAsia="Times New Roman" w:cs="Arial"/>
          <w:color w:val="000000"/>
          <w:szCs w:val="20"/>
          <w:lang w:val="en-US"/>
        </w:rPr>
        <w:t>IIb</w:t>
      </w:r>
      <w:proofErr w:type="spellEnd"/>
      <w:r w:rsidRPr="0004365C">
        <w:rPr>
          <w:rFonts w:eastAsia="Times New Roman" w:cs="Arial"/>
          <w:color w:val="000000"/>
          <w:szCs w:val="20"/>
        </w:rPr>
        <w:t xml:space="preserve">) </w:t>
      </w:r>
      <w:r w:rsidRPr="0004365C">
        <w:rPr>
          <w:rFonts w:eastAsia="Times New Roman" w:cs="Arial"/>
          <w:color w:val="000000"/>
          <w:szCs w:val="20"/>
          <w:lang w:eastAsia="bg-BG"/>
        </w:rPr>
        <w:t>като</w:t>
      </w:r>
    </w:p>
    <w:p w14:paraId="09802110" w14:textId="008E56B3" w:rsidR="0004365C" w:rsidRPr="0004365C" w:rsidRDefault="0004365C" w:rsidP="0004365C">
      <w:pPr>
        <w:rPr>
          <w:rFonts w:eastAsia="Times New Roman" w:cs="Arial"/>
          <w:color w:val="000000"/>
          <w:szCs w:val="20"/>
          <w:lang w:eastAsia="bg-BG"/>
        </w:rPr>
      </w:pPr>
      <w:r w:rsidRPr="0004365C">
        <w:rPr>
          <w:rFonts w:eastAsia="Times New Roman" w:cs="Arial"/>
          <w:color w:val="000000"/>
          <w:szCs w:val="20"/>
          <w:lang w:eastAsia="bg-BG"/>
        </w:rPr>
        <w:t>добавка към диетата, когато резултатът от диетата и други нефармакологични мерки (като физически упражнения, намаляване на теглото) не е задоволителен.</w:t>
      </w:r>
    </w:p>
    <w:p w14:paraId="6FA0C51A" w14:textId="05B65981" w:rsidR="0004365C" w:rsidRPr="0004365C" w:rsidRDefault="0004365C" w:rsidP="0004365C">
      <w:pPr>
        <w:rPr>
          <w:rFonts w:eastAsia="Times New Roman" w:cs="Arial"/>
          <w:color w:val="000000"/>
          <w:szCs w:val="20"/>
          <w:lang w:eastAsia="bg-BG"/>
        </w:rPr>
      </w:pPr>
    </w:p>
    <w:p w14:paraId="70CCFCD4"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Хомозиготна фамилна хиперхолестеролемия като добавка към диетата, както и с друго липидопонижаващо лечение (напр. </w:t>
      </w:r>
      <w:r w:rsidRPr="0004365C">
        <w:rPr>
          <w:rFonts w:eastAsia="Times New Roman" w:cs="Arial"/>
          <w:color w:val="000000"/>
          <w:szCs w:val="20"/>
          <w:lang w:val="en-US"/>
        </w:rPr>
        <w:t>LDL</w:t>
      </w:r>
      <w:r w:rsidRPr="0004365C">
        <w:rPr>
          <w:rFonts w:eastAsia="Times New Roman" w:cs="Arial"/>
          <w:color w:val="000000"/>
          <w:szCs w:val="20"/>
          <w:lang w:val="ru-RU"/>
        </w:rPr>
        <w:t xml:space="preserve"> </w:t>
      </w:r>
      <w:r w:rsidRPr="0004365C">
        <w:rPr>
          <w:rFonts w:eastAsia="Times New Roman" w:cs="Arial"/>
          <w:color w:val="000000"/>
          <w:szCs w:val="20"/>
          <w:lang w:eastAsia="bg-BG"/>
        </w:rPr>
        <w:t>афереза) или когато това лечение не е подходящо.</w:t>
      </w:r>
    </w:p>
    <w:p w14:paraId="15C14CD4" w14:textId="77777777" w:rsidR="0004365C" w:rsidRPr="0004365C" w:rsidRDefault="0004365C" w:rsidP="0004365C">
      <w:pPr>
        <w:spacing w:line="240" w:lineRule="auto"/>
        <w:rPr>
          <w:rFonts w:eastAsia="Times New Roman" w:cs="Arial"/>
          <w:b/>
          <w:bCs/>
          <w:color w:val="000000"/>
          <w:szCs w:val="20"/>
          <w:lang w:eastAsia="bg-BG"/>
        </w:rPr>
      </w:pPr>
    </w:p>
    <w:p w14:paraId="030C3772" w14:textId="54A33F54"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Превенция на сърдечно-съдовн събития</w:t>
      </w:r>
    </w:p>
    <w:p w14:paraId="3F946DD3" w14:textId="06B7CF95" w:rsidR="0004365C" w:rsidRPr="0004365C" w:rsidRDefault="0004365C" w:rsidP="0004365C">
      <w:pPr>
        <w:rPr>
          <w:rFonts w:cs="Arial"/>
          <w:sz w:val="24"/>
        </w:rPr>
      </w:pPr>
      <w:r w:rsidRPr="0004365C">
        <w:rPr>
          <w:rFonts w:eastAsia="Times New Roman" w:cs="Arial"/>
          <w:color w:val="000000"/>
          <w:szCs w:val="20"/>
          <w:lang w:eastAsia="bg-BG"/>
        </w:rPr>
        <w:t>Предотвратяване на големи сърдечно-съдови събития при пациенти, оценени с висок риск за първо сърдечно-съдово събитие (вж. точка 5.1) като допълнение към коригирането на други рискови фактори.</w:t>
      </w:r>
    </w:p>
    <w:p w14:paraId="1A864943" w14:textId="77777777" w:rsidR="00395555" w:rsidRPr="00395555" w:rsidRDefault="00395555" w:rsidP="00395555"/>
    <w:p w14:paraId="7C0CA5EB" w14:textId="65DA4303" w:rsidR="00C0049F" w:rsidRDefault="002C50EE" w:rsidP="009F1313">
      <w:pPr>
        <w:pStyle w:val="Heading2"/>
      </w:pPr>
      <w:r>
        <w:t>4.2. Дозировка и начин на приложение</w:t>
      </w:r>
    </w:p>
    <w:p w14:paraId="0149C4D4" w14:textId="06109A5D" w:rsidR="0004365C" w:rsidRDefault="0004365C" w:rsidP="0004365C"/>
    <w:p w14:paraId="43F4E6B2"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Преди започване на терапията, пациентът трябва да бъде поставен на стандартна диета за понижаване нивото на холестерола, която да продължи и по време на лечението. Изборът на дозировки зависи от индивидуалните терапевтични цели, определени от препоръки на съвременните консенсусни ръководства за контрол на холестеролемията.</w:t>
      </w:r>
    </w:p>
    <w:p w14:paraId="52D63BD6" w14:textId="77777777" w:rsidR="0004365C" w:rsidRPr="0004365C" w:rsidRDefault="0004365C" w:rsidP="0004365C">
      <w:pPr>
        <w:spacing w:line="240" w:lineRule="auto"/>
        <w:rPr>
          <w:rFonts w:eastAsia="Times New Roman" w:cs="Arial"/>
          <w:color w:val="000000"/>
          <w:szCs w:val="20"/>
          <w:lang w:eastAsia="bg-BG"/>
        </w:rPr>
      </w:pPr>
    </w:p>
    <w:p w14:paraId="25430CDD" w14:textId="3F0F8E63"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Розувастатин може да се приема по всяко време на деня, със или без храна.</w:t>
      </w:r>
    </w:p>
    <w:p w14:paraId="13D03F9A" w14:textId="77777777" w:rsidR="0004365C" w:rsidRPr="0004365C" w:rsidRDefault="0004365C" w:rsidP="0004365C">
      <w:pPr>
        <w:spacing w:line="240" w:lineRule="auto"/>
        <w:rPr>
          <w:rFonts w:eastAsia="Times New Roman" w:cs="Arial"/>
          <w:b/>
          <w:bCs/>
          <w:color w:val="000000"/>
          <w:szCs w:val="20"/>
          <w:u w:val="single"/>
          <w:lang w:eastAsia="bg-BG"/>
        </w:rPr>
      </w:pPr>
    </w:p>
    <w:p w14:paraId="185137BB" w14:textId="76FE45FF" w:rsidR="0004365C" w:rsidRPr="0004365C" w:rsidRDefault="0004365C" w:rsidP="0004365C">
      <w:pPr>
        <w:pStyle w:val="Heading3"/>
        <w:rPr>
          <w:rFonts w:eastAsia="Times New Roman"/>
          <w:sz w:val="28"/>
          <w:u w:val="single"/>
        </w:rPr>
      </w:pPr>
      <w:r w:rsidRPr="0004365C">
        <w:rPr>
          <w:rFonts w:eastAsia="Times New Roman"/>
          <w:u w:val="single"/>
          <w:lang w:eastAsia="bg-BG"/>
        </w:rPr>
        <w:t>Дозировка</w:t>
      </w:r>
    </w:p>
    <w:p w14:paraId="13910F95" w14:textId="77777777" w:rsidR="0004365C" w:rsidRPr="0004365C" w:rsidRDefault="0004365C" w:rsidP="0004365C">
      <w:pPr>
        <w:spacing w:line="240" w:lineRule="auto"/>
        <w:rPr>
          <w:rFonts w:eastAsia="Times New Roman" w:cs="Arial"/>
          <w:b/>
          <w:bCs/>
          <w:color w:val="000000"/>
          <w:szCs w:val="20"/>
          <w:lang w:eastAsia="bg-BG"/>
        </w:rPr>
      </w:pPr>
    </w:p>
    <w:p w14:paraId="7ED3B24F" w14:textId="3724A314"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Лечение на хиперхолестеролемия</w:t>
      </w:r>
    </w:p>
    <w:p w14:paraId="61B76E28" w14:textId="77777777" w:rsidR="0004365C" w:rsidRPr="0004365C" w:rsidRDefault="0004365C" w:rsidP="0004365C">
      <w:pPr>
        <w:spacing w:line="240" w:lineRule="auto"/>
        <w:rPr>
          <w:rFonts w:eastAsia="Times New Roman" w:cs="Arial"/>
          <w:color w:val="000000"/>
          <w:szCs w:val="20"/>
          <w:lang w:eastAsia="bg-BG"/>
        </w:rPr>
      </w:pPr>
    </w:p>
    <w:p w14:paraId="1A6C7571" w14:textId="7FC272B4"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Препоръчваната начална доза е 5 или 10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веднъж дневно както при пациенти, които не са приемали статини, така и при преминаване от друг инхибитор на </w:t>
      </w:r>
      <w:r w:rsidRPr="0004365C">
        <w:rPr>
          <w:rFonts w:eastAsia="Times New Roman" w:cs="Arial"/>
          <w:color w:val="000000"/>
          <w:szCs w:val="20"/>
          <w:lang w:val="en-US"/>
        </w:rPr>
        <w:t>HMG</w:t>
      </w:r>
      <w:r w:rsidRPr="0004365C">
        <w:rPr>
          <w:rFonts w:eastAsia="Times New Roman" w:cs="Arial"/>
          <w:color w:val="000000"/>
          <w:szCs w:val="20"/>
          <w:lang w:val="ru-RU"/>
        </w:rPr>
        <w:t>-</w:t>
      </w:r>
      <w:r w:rsidRPr="0004365C">
        <w:rPr>
          <w:rFonts w:eastAsia="Times New Roman" w:cs="Arial"/>
          <w:color w:val="000000"/>
          <w:szCs w:val="20"/>
          <w:lang w:val="en-US"/>
        </w:rPr>
        <w:t>CoA</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редуктазата. Изборът на началната доза от медикамента зависи от нивото на серумния холестерол, бъдещия сърдечно-съдов риск и риска от поява на нежелани реакции към лечението (виж по-долу). При необходимост дозата може да се коригира, като се премине на следващото дозово ниво след 4 седмици (вж. точка 5.1). В сравнение с по-ниските дози и предвид повишената честота на съобщаване на нежелани реакции при доза от 40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в сравнение с по-ниските (вж. точка 4.8), последното титриране до максималната доза от 40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трябва да се предприема само при пациенти с тежка хиперхолестеролемия, с висок сърдечно-съдов риск (особено тези с фамилна </w:t>
      </w:r>
      <w:r w:rsidRPr="0004365C">
        <w:rPr>
          <w:rFonts w:eastAsia="Times New Roman" w:cs="Arial"/>
          <w:color w:val="000000"/>
          <w:szCs w:val="20"/>
          <w:lang w:eastAsia="bg-BG"/>
        </w:rPr>
        <w:lastRenderedPageBreak/>
        <w:t xml:space="preserve">хиперхолестеролемия), които не постигат желаното ниво на холестерол при лечение с 20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и при които ще се прави рутинно проследяване в хода на лечението (вж. точка 4.4). При започване на лечение с 40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се препоръчва постоянно наблюдение на пациента от специалист.</w:t>
      </w:r>
    </w:p>
    <w:p w14:paraId="768949CC" w14:textId="77777777" w:rsidR="0004365C" w:rsidRPr="0004365C" w:rsidRDefault="0004365C" w:rsidP="0004365C">
      <w:pPr>
        <w:spacing w:line="240" w:lineRule="auto"/>
        <w:rPr>
          <w:rFonts w:eastAsia="Times New Roman" w:cs="Arial"/>
          <w:b/>
          <w:bCs/>
          <w:color w:val="000000"/>
          <w:szCs w:val="20"/>
          <w:lang w:eastAsia="bg-BG"/>
        </w:rPr>
      </w:pPr>
      <w:bookmarkStart w:id="2" w:name="bookmark3"/>
    </w:p>
    <w:p w14:paraId="4DE22387" w14:textId="5509DDA8"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Превенция на сърдечно-съдови събития</w:t>
      </w:r>
      <w:bookmarkEnd w:id="2"/>
    </w:p>
    <w:p w14:paraId="55B564E5" w14:textId="77777777" w:rsidR="0004365C" w:rsidRPr="0004365C" w:rsidRDefault="0004365C" w:rsidP="0004365C">
      <w:pPr>
        <w:spacing w:line="240" w:lineRule="auto"/>
        <w:rPr>
          <w:rFonts w:eastAsia="Times New Roman" w:cs="Arial"/>
          <w:color w:val="000000"/>
          <w:szCs w:val="20"/>
          <w:lang w:eastAsia="bg-BG"/>
        </w:rPr>
      </w:pPr>
    </w:p>
    <w:p w14:paraId="7779C3B6" w14:textId="0BE11A2A"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В проучването за понижаване на риска от сърдечно-съдови събития е използвана доза от 20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(вж. точка 5.1).</w:t>
      </w:r>
    </w:p>
    <w:p w14:paraId="4E5381C2" w14:textId="77777777" w:rsidR="0004365C" w:rsidRPr="0004365C" w:rsidRDefault="0004365C" w:rsidP="0004365C">
      <w:pPr>
        <w:spacing w:line="240" w:lineRule="auto"/>
        <w:rPr>
          <w:rFonts w:eastAsia="Times New Roman" w:cs="Arial"/>
          <w:b/>
          <w:bCs/>
          <w:color w:val="000000"/>
          <w:szCs w:val="20"/>
          <w:lang w:eastAsia="bg-BG"/>
        </w:rPr>
      </w:pPr>
      <w:bookmarkStart w:id="3" w:name="bookmark5"/>
    </w:p>
    <w:p w14:paraId="15561CDF" w14:textId="2AEC8267"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Педиатрична популация</w:t>
      </w:r>
      <w:bookmarkEnd w:id="3"/>
    </w:p>
    <w:p w14:paraId="180C0FE2" w14:textId="77777777" w:rsidR="0004365C" w:rsidRPr="0004365C" w:rsidRDefault="0004365C" w:rsidP="0004365C">
      <w:pPr>
        <w:spacing w:line="240" w:lineRule="auto"/>
        <w:rPr>
          <w:rFonts w:eastAsia="Times New Roman" w:cs="Arial"/>
          <w:color w:val="000000"/>
          <w:szCs w:val="20"/>
          <w:lang w:eastAsia="bg-BG"/>
        </w:rPr>
      </w:pPr>
    </w:p>
    <w:p w14:paraId="239E6550" w14:textId="74A5CF3B"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Употребата при деца трябва да се провежда само от специалисти.</w:t>
      </w:r>
    </w:p>
    <w:p w14:paraId="61041212" w14:textId="77777777" w:rsidR="0004365C" w:rsidRPr="0004365C" w:rsidRDefault="0004365C" w:rsidP="0004365C">
      <w:pPr>
        <w:spacing w:line="240" w:lineRule="auto"/>
        <w:rPr>
          <w:rFonts w:eastAsia="Times New Roman" w:cs="Arial"/>
          <w:color w:val="000000"/>
          <w:szCs w:val="20"/>
          <w:u w:val="single"/>
          <w:lang w:eastAsia="bg-BG"/>
        </w:rPr>
      </w:pPr>
    </w:p>
    <w:p w14:paraId="0EA180C9" w14:textId="21CA17E9"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u w:val="single"/>
          <w:lang w:eastAsia="bg-BG"/>
        </w:rPr>
        <w:t>Деца и младежи на възраст от 10 до 17 години (момчета в стадий II по Танер и нагоре и момичета, които са поне една година след началото на менструацията).</w:t>
      </w:r>
    </w:p>
    <w:p w14:paraId="45FE8EBE" w14:textId="2151201D" w:rsidR="0004365C" w:rsidRPr="0004365C" w:rsidRDefault="0004365C" w:rsidP="0004365C">
      <w:pPr>
        <w:rPr>
          <w:rFonts w:eastAsia="Times New Roman" w:cs="Arial"/>
          <w:color w:val="000000"/>
          <w:szCs w:val="20"/>
          <w:lang w:eastAsia="bg-BG"/>
        </w:rPr>
      </w:pPr>
      <w:r w:rsidRPr="0004365C">
        <w:rPr>
          <w:rFonts w:eastAsia="Times New Roman" w:cs="Arial"/>
          <w:color w:val="000000"/>
          <w:szCs w:val="20"/>
          <w:lang w:eastAsia="bg-BG"/>
        </w:rPr>
        <w:t xml:space="preserve">При деца и младежи е хетерозигочна фамилна хиперхолестеролемия обичайната начална доза е 5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дневно. Обичайният дозов диапазон е 5-20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орално, веднъж дневно. Титрирането трябва да се провежда съгласно индивидуалния отговор и поносимост на педиатричните пациенти, както е </w:t>
      </w:r>
      <w:r w:rsidRPr="0004365C">
        <w:rPr>
          <w:rFonts w:eastAsia="Times New Roman" w:cs="Arial"/>
          <w:color w:val="000000"/>
          <w:szCs w:val="20"/>
          <w:u w:val="single"/>
          <w:lang w:eastAsia="bg-BG"/>
        </w:rPr>
        <w:t>указа</w:t>
      </w:r>
      <w:r w:rsidRPr="0004365C">
        <w:rPr>
          <w:rFonts w:eastAsia="Times New Roman" w:cs="Arial"/>
          <w:color w:val="000000"/>
          <w:szCs w:val="20"/>
          <w:lang w:eastAsia="bg-BG"/>
        </w:rPr>
        <w:t xml:space="preserve">но в препоръките за лечение на деца (вж. точка 4.4). Децата и младежите трябва да се подложат на стандартна холестеролопонижаваща диета, преди да се започне лечение е розувастатин: диетата трябва да се продължи по време на лечението с Розувастатин. Безопасността и ефикасността на дози по-високи от 20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не са проучвани при тази популация. Концентрацията от 40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не е подходяща за приложение при педиатрични пациенти.</w:t>
      </w:r>
    </w:p>
    <w:p w14:paraId="4049CC15" w14:textId="6A270968" w:rsidR="0004365C" w:rsidRPr="0004365C" w:rsidRDefault="0004365C" w:rsidP="0004365C">
      <w:pPr>
        <w:rPr>
          <w:rFonts w:eastAsia="Times New Roman" w:cs="Arial"/>
          <w:color w:val="000000"/>
          <w:szCs w:val="20"/>
          <w:lang w:eastAsia="bg-BG"/>
        </w:rPr>
      </w:pPr>
    </w:p>
    <w:p w14:paraId="72CF233D"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u w:val="single"/>
          <w:lang w:eastAsia="bg-BG"/>
        </w:rPr>
        <w:t>Деца по-малки от 10 години</w:t>
      </w:r>
    </w:p>
    <w:p w14:paraId="0F87BFDE"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Опитът с деца под 10 години е ограничен до малък брой деца (на възраст между 8 и 10 години) с хомозиготна фамилна хиперхолестеролемия.</w:t>
      </w:r>
    </w:p>
    <w:p w14:paraId="79BD16D4" w14:textId="77777777" w:rsidR="0004365C" w:rsidRPr="0004365C" w:rsidRDefault="0004365C" w:rsidP="0004365C">
      <w:pPr>
        <w:spacing w:line="240" w:lineRule="auto"/>
        <w:rPr>
          <w:rFonts w:eastAsia="Times New Roman" w:cs="Arial"/>
          <w:color w:val="000000"/>
          <w:szCs w:val="20"/>
          <w:lang w:eastAsia="bg-BG"/>
        </w:rPr>
      </w:pPr>
    </w:p>
    <w:p w14:paraId="65D85FEB" w14:textId="6E13695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Следователно Розувастатин не се препоръчва за употреба при деца под 10-годишна възраст.</w:t>
      </w:r>
    </w:p>
    <w:p w14:paraId="38E4A405" w14:textId="77777777"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Употреба при пациенти в старческа възраст</w:t>
      </w:r>
    </w:p>
    <w:p w14:paraId="36753201"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Препоръчваната първоначална доза при пациенти над 70 години е 5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(вж. точка 4.4). Друго коригиране на дозировката в зависимост от възрастта не е необходимо.</w:t>
      </w:r>
    </w:p>
    <w:p w14:paraId="16F91E7D" w14:textId="77777777" w:rsidR="0004365C" w:rsidRPr="0004365C" w:rsidRDefault="0004365C" w:rsidP="0004365C">
      <w:pPr>
        <w:spacing w:line="240" w:lineRule="auto"/>
        <w:rPr>
          <w:rFonts w:eastAsia="Times New Roman" w:cs="Arial"/>
          <w:b/>
          <w:bCs/>
          <w:color w:val="000000"/>
          <w:szCs w:val="20"/>
          <w:lang w:eastAsia="bg-BG"/>
        </w:rPr>
      </w:pPr>
      <w:bookmarkStart w:id="4" w:name="bookmark2"/>
    </w:p>
    <w:p w14:paraId="490C1034" w14:textId="5CFAA782"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Дозиране при пациенти с бъбречна недостатъчност</w:t>
      </w:r>
      <w:bookmarkEnd w:id="4"/>
    </w:p>
    <w:p w14:paraId="6ED66B70"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При пациенти с леко до умерено бъбречно увреждане се прилагат обичайните дози. При пациенти с умерено бъбречно увреждане препоръчваната начална доза е 5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(креатининов клирънс под 60 </w:t>
      </w:r>
      <w:r w:rsidRPr="0004365C">
        <w:rPr>
          <w:rFonts w:eastAsia="Times New Roman" w:cs="Arial"/>
          <w:color w:val="000000"/>
          <w:szCs w:val="20"/>
          <w:lang w:val="en-US"/>
        </w:rPr>
        <w:t>ml</w:t>
      </w:r>
      <w:r w:rsidRPr="0004365C">
        <w:rPr>
          <w:rFonts w:eastAsia="Times New Roman" w:cs="Arial"/>
          <w:color w:val="000000"/>
          <w:szCs w:val="20"/>
          <w:lang w:val="ru-RU"/>
        </w:rPr>
        <w:t>/</w:t>
      </w:r>
      <w:r w:rsidRPr="0004365C">
        <w:rPr>
          <w:rFonts w:eastAsia="Times New Roman" w:cs="Arial"/>
          <w:color w:val="000000"/>
          <w:szCs w:val="20"/>
          <w:lang w:val="en-US"/>
        </w:rPr>
        <w:t>min</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Дозировката от 40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е противопоказана при пациенти е умерено бъбречно увреждане. При пациенти с тежко бъбречно увреждане употребата на розувастатин е противопоказна (вж. точка 4.3 и точка 5.2.).</w:t>
      </w:r>
    </w:p>
    <w:p w14:paraId="54CD2469" w14:textId="77777777" w:rsidR="0004365C" w:rsidRPr="0004365C" w:rsidRDefault="0004365C" w:rsidP="0004365C">
      <w:pPr>
        <w:spacing w:line="240" w:lineRule="auto"/>
        <w:rPr>
          <w:rFonts w:eastAsia="Times New Roman" w:cs="Arial"/>
          <w:b/>
          <w:bCs/>
          <w:color w:val="000000"/>
          <w:szCs w:val="20"/>
          <w:lang w:eastAsia="bg-BG"/>
        </w:rPr>
      </w:pPr>
      <w:bookmarkStart w:id="5" w:name="bookmark4"/>
    </w:p>
    <w:p w14:paraId="32E48BA5" w14:textId="162CEEAD"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Дозиране при пациенти е чернодробно увреждане</w:t>
      </w:r>
      <w:bookmarkEnd w:id="5"/>
    </w:p>
    <w:p w14:paraId="04CDF869"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Не е наблюдавана повишена системна експозиция на Розувастатин при пациенти с оценка по скалата на </w:t>
      </w:r>
      <w:r w:rsidRPr="0004365C">
        <w:rPr>
          <w:rFonts w:eastAsia="Times New Roman" w:cs="Arial"/>
          <w:color w:val="000000"/>
          <w:szCs w:val="20"/>
          <w:lang w:val="en-US"/>
        </w:rPr>
        <w:t>Child</w:t>
      </w:r>
      <w:r w:rsidRPr="0004365C">
        <w:rPr>
          <w:rFonts w:eastAsia="Times New Roman" w:cs="Arial"/>
          <w:color w:val="000000"/>
          <w:szCs w:val="20"/>
          <w:lang w:val="ru-RU"/>
        </w:rPr>
        <w:t>-</w:t>
      </w:r>
      <w:r w:rsidRPr="0004365C">
        <w:rPr>
          <w:rFonts w:eastAsia="Times New Roman" w:cs="Arial"/>
          <w:color w:val="000000"/>
          <w:szCs w:val="20"/>
          <w:lang w:val="en-US"/>
        </w:rPr>
        <w:t>Pugh</w:t>
      </w:r>
      <w:r w:rsidRPr="0004365C">
        <w:rPr>
          <w:rFonts w:eastAsia="Times New Roman" w:cs="Arial"/>
          <w:color w:val="000000"/>
          <w:szCs w:val="20"/>
          <w:lang w:val="ru-RU"/>
        </w:rPr>
        <w:t xml:space="preserve"> </w:t>
      </w:r>
      <w:r w:rsidRPr="0004365C">
        <w:rPr>
          <w:rFonts w:eastAsia="Times New Roman" w:cs="Arial"/>
          <w:i/>
          <w:iCs/>
          <w:color w:val="000000"/>
          <w:szCs w:val="20"/>
          <w:lang w:eastAsia="bg-BG"/>
        </w:rPr>
        <w:t>≤7 .</w:t>
      </w:r>
      <w:r w:rsidRPr="0004365C">
        <w:rPr>
          <w:rFonts w:eastAsia="Times New Roman" w:cs="Arial"/>
          <w:color w:val="000000"/>
          <w:szCs w:val="20"/>
          <w:lang w:eastAsia="bg-BG"/>
        </w:rPr>
        <w:t xml:space="preserve"> Въпреки това повишена системна експозиция е наблюдавана при пациенти с оценка по скалата на </w:t>
      </w:r>
      <w:r w:rsidRPr="0004365C">
        <w:rPr>
          <w:rFonts w:eastAsia="Times New Roman" w:cs="Arial"/>
          <w:color w:val="000000"/>
          <w:szCs w:val="20"/>
          <w:lang w:val="en-US"/>
        </w:rPr>
        <w:t>Child</w:t>
      </w:r>
      <w:r w:rsidRPr="0004365C">
        <w:rPr>
          <w:rFonts w:eastAsia="Times New Roman" w:cs="Arial"/>
          <w:color w:val="000000"/>
          <w:szCs w:val="20"/>
          <w:lang w:val="ru-RU"/>
        </w:rPr>
        <w:t>-</w:t>
      </w:r>
      <w:r w:rsidRPr="0004365C">
        <w:rPr>
          <w:rFonts w:eastAsia="Times New Roman" w:cs="Arial"/>
          <w:color w:val="000000"/>
          <w:szCs w:val="20"/>
          <w:lang w:val="en-US"/>
        </w:rPr>
        <w:t>Pugh</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8 и 9 (вж. точка 5.2). При тях трябва да се предприеме оценка на бъбречната функция (вж. точка 4.4). Няма данни за пациенти с оценка по скалата на </w:t>
      </w:r>
      <w:r w:rsidRPr="0004365C">
        <w:rPr>
          <w:rFonts w:eastAsia="Times New Roman" w:cs="Arial"/>
          <w:color w:val="000000"/>
          <w:szCs w:val="20"/>
          <w:lang w:val="en-US"/>
        </w:rPr>
        <w:t>Child</w:t>
      </w:r>
      <w:r w:rsidRPr="0004365C">
        <w:rPr>
          <w:rFonts w:eastAsia="Times New Roman" w:cs="Arial"/>
          <w:color w:val="000000"/>
          <w:szCs w:val="20"/>
          <w:lang w:val="ru-RU"/>
        </w:rPr>
        <w:t>-</w:t>
      </w:r>
      <w:proofErr w:type="spellStart"/>
      <w:r w:rsidRPr="0004365C">
        <w:rPr>
          <w:rFonts w:eastAsia="Times New Roman" w:cs="Arial"/>
          <w:color w:val="000000"/>
          <w:szCs w:val="20"/>
          <w:lang w:val="en-US"/>
        </w:rPr>
        <w:t>Plugh</w:t>
      </w:r>
      <w:proofErr w:type="spellEnd"/>
      <w:r w:rsidRPr="0004365C">
        <w:rPr>
          <w:rFonts w:eastAsia="Times New Roman" w:cs="Arial"/>
          <w:color w:val="000000"/>
          <w:szCs w:val="20"/>
          <w:lang w:val="ru-RU"/>
        </w:rPr>
        <w:t xml:space="preserve"> </w:t>
      </w:r>
      <w:r w:rsidRPr="0004365C">
        <w:rPr>
          <w:rFonts w:eastAsia="Times New Roman" w:cs="Arial"/>
          <w:color w:val="000000"/>
          <w:szCs w:val="20"/>
          <w:lang w:eastAsia="bg-BG"/>
        </w:rPr>
        <w:t>над 9. Розувастатин е противопоказан при пациенти с активно чернодробно увреждане (вж. точка 4.3).</w:t>
      </w:r>
    </w:p>
    <w:p w14:paraId="6B39743B" w14:textId="77777777" w:rsidR="0004365C" w:rsidRPr="0004365C" w:rsidRDefault="0004365C" w:rsidP="0004365C">
      <w:pPr>
        <w:spacing w:line="240" w:lineRule="auto"/>
        <w:rPr>
          <w:rFonts w:eastAsia="Times New Roman" w:cs="Arial"/>
          <w:b/>
          <w:bCs/>
          <w:color w:val="000000"/>
          <w:szCs w:val="20"/>
          <w:lang w:eastAsia="bg-BG"/>
        </w:rPr>
      </w:pPr>
      <w:bookmarkStart w:id="6" w:name="bookmark6"/>
    </w:p>
    <w:p w14:paraId="6CBF81D9" w14:textId="6341B7EA"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Раса</w:t>
      </w:r>
      <w:bookmarkEnd w:id="6"/>
    </w:p>
    <w:p w14:paraId="09E55A65"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При пациенти от азиатската раса се наблюдава повишена системна експозиция на медикамента (вж. точка 4.3, точка 4.4 и точка 5.2). Препоръчваната първоначална доза при пациенти от азиатски произход е 5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При тези пациенти е противопоказано приложение на доза от 40 </w:t>
      </w:r>
      <w:r w:rsidRPr="0004365C">
        <w:rPr>
          <w:rFonts w:eastAsia="Times New Roman" w:cs="Arial"/>
          <w:color w:val="000000"/>
          <w:szCs w:val="20"/>
          <w:lang w:val="en-US"/>
        </w:rPr>
        <w:t>mg</w:t>
      </w:r>
      <w:r w:rsidRPr="0004365C">
        <w:rPr>
          <w:rFonts w:eastAsia="Times New Roman" w:cs="Arial"/>
          <w:color w:val="000000"/>
          <w:szCs w:val="20"/>
          <w:lang w:val="ru-RU"/>
        </w:rPr>
        <w:t>.</w:t>
      </w:r>
    </w:p>
    <w:p w14:paraId="6E52382B" w14:textId="77777777" w:rsidR="0004365C" w:rsidRPr="0004365C" w:rsidRDefault="0004365C" w:rsidP="0004365C">
      <w:pPr>
        <w:spacing w:line="240" w:lineRule="auto"/>
        <w:rPr>
          <w:rFonts w:eastAsia="Times New Roman" w:cs="Arial"/>
          <w:b/>
          <w:bCs/>
          <w:color w:val="000000"/>
          <w:szCs w:val="20"/>
          <w:lang w:eastAsia="bg-BG"/>
        </w:rPr>
      </w:pPr>
      <w:bookmarkStart w:id="7" w:name="bookmark8"/>
    </w:p>
    <w:p w14:paraId="3EC99235" w14:textId="303B4EFE"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Дозиране при пациенти, предразположени към развитие на миопатия</w:t>
      </w:r>
      <w:bookmarkEnd w:id="7"/>
    </w:p>
    <w:p w14:paraId="55FAD9F6"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При пациенти с предразполагащи фактори за развитите на миопатия препоръчваната начална доза е 5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(вж. точка 4.4).</w:t>
      </w:r>
    </w:p>
    <w:p w14:paraId="1388A2FD"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При някои от тези пациенти е противопоказано приложението на доза от 40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(вж. точка 4.3).</w:t>
      </w:r>
    </w:p>
    <w:p w14:paraId="665D9C1F" w14:textId="77777777" w:rsidR="0004365C" w:rsidRPr="0004365C" w:rsidRDefault="0004365C" w:rsidP="0004365C">
      <w:pPr>
        <w:spacing w:line="240" w:lineRule="auto"/>
        <w:rPr>
          <w:rFonts w:eastAsia="Times New Roman" w:cs="Arial"/>
          <w:color w:val="000000"/>
          <w:szCs w:val="20"/>
          <w:lang w:eastAsia="bg-BG"/>
        </w:rPr>
      </w:pPr>
    </w:p>
    <w:p w14:paraId="7BE1779B" w14:textId="299F7BD0"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Този лекарствен продукт не е наличен в концентрация 5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обаче тази концентрация може да бъде налична от други притежатели на разрешения за употреба.</w:t>
      </w:r>
    </w:p>
    <w:p w14:paraId="16C89F99" w14:textId="77777777" w:rsidR="0004365C" w:rsidRPr="0004365C" w:rsidRDefault="0004365C" w:rsidP="0004365C">
      <w:pPr>
        <w:spacing w:line="240" w:lineRule="auto"/>
        <w:rPr>
          <w:rFonts w:eastAsia="Times New Roman" w:cs="Arial"/>
          <w:color w:val="000000"/>
          <w:szCs w:val="20"/>
          <w:u w:val="single"/>
          <w:lang w:eastAsia="bg-BG"/>
        </w:rPr>
      </w:pPr>
    </w:p>
    <w:p w14:paraId="13B68240" w14:textId="69D7CC61" w:rsidR="0004365C" w:rsidRPr="0004365C" w:rsidRDefault="0004365C" w:rsidP="0004365C">
      <w:pPr>
        <w:pStyle w:val="Heading3"/>
        <w:rPr>
          <w:rFonts w:eastAsia="Times New Roman"/>
          <w:sz w:val="28"/>
          <w:u w:val="single"/>
        </w:rPr>
      </w:pPr>
      <w:r w:rsidRPr="0004365C">
        <w:rPr>
          <w:rFonts w:eastAsia="Times New Roman"/>
          <w:u w:val="single"/>
          <w:lang w:eastAsia="bg-BG"/>
        </w:rPr>
        <w:t>Начин на приложение</w:t>
      </w:r>
    </w:p>
    <w:p w14:paraId="5BAF9E5A"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Росста може да се прилага по всяко време на деня, със или без храна.</w:t>
      </w:r>
    </w:p>
    <w:p w14:paraId="5B97C6CE" w14:textId="0493BF5A" w:rsidR="0004365C" w:rsidRPr="0004365C" w:rsidRDefault="0004365C" w:rsidP="0004365C"/>
    <w:p w14:paraId="62B13D0B" w14:textId="3320A082" w:rsidR="00395555" w:rsidRDefault="002C50EE" w:rsidP="008A6AF2">
      <w:pPr>
        <w:pStyle w:val="Heading2"/>
      </w:pPr>
      <w:r>
        <w:t>4.3. Противопоказания</w:t>
      </w:r>
    </w:p>
    <w:p w14:paraId="05BA79A4" w14:textId="5DD936F5" w:rsidR="0004365C" w:rsidRDefault="0004365C" w:rsidP="0004365C"/>
    <w:p w14:paraId="0CD175FE" w14:textId="77777777" w:rsidR="0004365C" w:rsidRPr="0004365C" w:rsidRDefault="0004365C" w:rsidP="0004365C">
      <w:pPr>
        <w:rPr>
          <w:sz w:val="24"/>
          <w:szCs w:val="24"/>
        </w:rPr>
      </w:pPr>
      <w:r w:rsidRPr="0004365C">
        <w:rPr>
          <w:lang w:eastAsia="bg-BG"/>
        </w:rPr>
        <w:t>Розувастатин е противопоказан:</w:t>
      </w:r>
    </w:p>
    <w:p w14:paraId="5AA84A71" w14:textId="77777777" w:rsidR="0004365C" w:rsidRPr="0004365C" w:rsidRDefault="0004365C" w:rsidP="0004365C">
      <w:pPr>
        <w:pStyle w:val="ListParagraph"/>
        <w:numPr>
          <w:ilvl w:val="0"/>
          <w:numId w:val="32"/>
        </w:numPr>
        <w:rPr>
          <w:sz w:val="24"/>
          <w:szCs w:val="24"/>
        </w:rPr>
      </w:pPr>
      <w:r w:rsidRPr="0004365C">
        <w:rPr>
          <w:lang w:eastAsia="bg-BG"/>
        </w:rPr>
        <w:t>при пациенти със свръхчувствителност към активното вещество, соя лецитин или някое от помощните вещества, описани в точка 6.1;</w:t>
      </w:r>
    </w:p>
    <w:p w14:paraId="053CC199" w14:textId="77777777" w:rsidR="0004365C" w:rsidRPr="0004365C" w:rsidRDefault="0004365C" w:rsidP="0004365C">
      <w:pPr>
        <w:pStyle w:val="ListParagraph"/>
        <w:numPr>
          <w:ilvl w:val="0"/>
          <w:numId w:val="32"/>
        </w:numPr>
        <w:rPr>
          <w:sz w:val="24"/>
          <w:szCs w:val="24"/>
        </w:rPr>
      </w:pPr>
      <w:r w:rsidRPr="0004365C">
        <w:rPr>
          <w:lang w:eastAsia="bg-BG"/>
        </w:rPr>
        <w:t xml:space="preserve">при пациенти с активно чернодробно заболяване, включително неуточнено, продължително покачване на серумните трансаминази и всяко покачване на серумната трансаминаза три пъти над горната граница на нормата; при пациенти с тежко бъбречно увреждане (креатинипов клирънс &lt; 30 </w:t>
      </w:r>
      <w:r w:rsidRPr="0004365C">
        <w:rPr>
          <w:lang w:val="en-US"/>
        </w:rPr>
        <w:t>ml</w:t>
      </w:r>
      <w:r w:rsidRPr="0004365C">
        <w:rPr>
          <w:lang w:val="ru-RU"/>
        </w:rPr>
        <w:t>/</w:t>
      </w:r>
      <w:r w:rsidRPr="0004365C">
        <w:rPr>
          <w:lang w:val="en-US"/>
        </w:rPr>
        <w:t>min</w:t>
      </w:r>
      <w:r w:rsidRPr="0004365C">
        <w:rPr>
          <w:lang w:val="ru-RU"/>
        </w:rPr>
        <w:t>):</w:t>
      </w:r>
    </w:p>
    <w:p w14:paraId="06DBB751" w14:textId="77777777" w:rsidR="0004365C" w:rsidRPr="0004365C" w:rsidRDefault="0004365C" w:rsidP="0004365C">
      <w:pPr>
        <w:pStyle w:val="ListParagraph"/>
        <w:numPr>
          <w:ilvl w:val="0"/>
          <w:numId w:val="32"/>
        </w:numPr>
        <w:rPr>
          <w:sz w:val="24"/>
          <w:szCs w:val="24"/>
        </w:rPr>
      </w:pPr>
      <w:r w:rsidRPr="0004365C">
        <w:rPr>
          <w:lang w:eastAsia="bg-BG"/>
        </w:rPr>
        <w:t>при пациенти с миопатия:</w:t>
      </w:r>
    </w:p>
    <w:p w14:paraId="361462C3" w14:textId="77777777" w:rsidR="0004365C" w:rsidRPr="0004365C" w:rsidRDefault="0004365C" w:rsidP="0004365C">
      <w:pPr>
        <w:pStyle w:val="ListParagraph"/>
        <w:numPr>
          <w:ilvl w:val="0"/>
          <w:numId w:val="32"/>
        </w:numPr>
        <w:rPr>
          <w:sz w:val="24"/>
          <w:szCs w:val="24"/>
        </w:rPr>
      </w:pPr>
      <w:r w:rsidRPr="0004365C">
        <w:rPr>
          <w:lang w:eastAsia="bg-BG"/>
        </w:rPr>
        <w:t>при пациенти, приемащи едновременно циклоспорин;</w:t>
      </w:r>
    </w:p>
    <w:p w14:paraId="711E3F8D" w14:textId="562D2514" w:rsidR="0004365C" w:rsidRPr="0004365C" w:rsidRDefault="0004365C" w:rsidP="0004365C">
      <w:pPr>
        <w:pStyle w:val="ListParagraph"/>
        <w:numPr>
          <w:ilvl w:val="0"/>
          <w:numId w:val="32"/>
        </w:numPr>
        <w:rPr>
          <w:sz w:val="24"/>
          <w:szCs w:val="24"/>
        </w:rPr>
      </w:pPr>
      <w:r w:rsidRPr="0004365C">
        <w:rPr>
          <w:lang w:eastAsia="bg-BG"/>
        </w:rPr>
        <w:t>по време на бременност, кърмене и при жени в детеродна възраст, които не използват подходящи</w:t>
      </w:r>
      <w:r>
        <w:rPr>
          <w:lang w:eastAsia="bg-BG"/>
        </w:rPr>
        <w:t xml:space="preserve"> </w:t>
      </w:r>
      <w:r w:rsidRPr="0004365C">
        <w:rPr>
          <w:lang w:eastAsia="bg-BG"/>
        </w:rPr>
        <w:t>контрацептивни мерки.</w:t>
      </w:r>
    </w:p>
    <w:p w14:paraId="1F9C6750" w14:textId="4E3439CF" w:rsidR="0004365C" w:rsidRDefault="0004365C" w:rsidP="0004365C">
      <w:pPr>
        <w:rPr>
          <w:lang w:eastAsia="bg-BG"/>
        </w:rPr>
      </w:pPr>
    </w:p>
    <w:p w14:paraId="135C4646" w14:textId="77777777" w:rsidR="0004365C" w:rsidRPr="0004365C" w:rsidRDefault="0004365C" w:rsidP="0004365C">
      <w:pPr>
        <w:rPr>
          <w:sz w:val="24"/>
          <w:szCs w:val="24"/>
        </w:rPr>
      </w:pPr>
      <w:r w:rsidRPr="0004365C">
        <w:rPr>
          <w:lang w:eastAsia="bg-BG"/>
        </w:rPr>
        <w:t xml:space="preserve">Дозата от 40 </w:t>
      </w:r>
      <w:r w:rsidRPr="0004365C">
        <w:rPr>
          <w:lang w:val="en-US"/>
        </w:rPr>
        <w:t>mg</w:t>
      </w:r>
      <w:r w:rsidRPr="0004365C">
        <w:rPr>
          <w:lang w:val="ru-RU"/>
        </w:rPr>
        <w:t xml:space="preserve"> </w:t>
      </w:r>
      <w:r w:rsidRPr="0004365C">
        <w:rPr>
          <w:lang w:eastAsia="bg-BG"/>
        </w:rPr>
        <w:t>е противопоказана при пациенти с предразполагащи фактори за развитие на миопатия/рабдомиолиза. Такива фактори са:</w:t>
      </w:r>
    </w:p>
    <w:p w14:paraId="56009FA7" w14:textId="77777777" w:rsidR="0004365C" w:rsidRPr="0004365C" w:rsidRDefault="0004365C" w:rsidP="0004365C">
      <w:pPr>
        <w:pStyle w:val="ListParagraph"/>
        <w:numPr>
          <w:ilvl w:val="0"/>
          <w:numId w:val="33"/>
        </w:numPr>
        <w:rPr>
          <w:sz w:val="24"/>
          <w:szCs w:val="24"/>
        </w:rPr>
      </w:pPr>
      <w:r w:rsidRPr="0004365C">
        <w:rPr>
          <w:lang w:eastAsia="bg-BG"/>
        </w:rPr>
        <w:t xml:space="preserve">умерено по степен бъбречно увреждане (креатининов клирънс под 60 </w:t>
      </w:r>
      <w:r w:rsidRPr="0004365C">
        <w:rPr>
          <w:lang w:val="en-US"/>
        </w:rPr>
        <w:t>ml</w:t>
      </w:r>
      <w:r w:rsidRPr="0004365C">
        <w:rPr>
          <w:lang w:val="ru-RU"/>
        </w:rPr>
        <w:t>/</w:t>
      </w:r>
      <w:r w:rsidRPr="0004365C">
        <w:rPr>
          <w:lang w:val="en-US"/>
        </w:rPr>
        <w:t>min</w:t>
      </w:r>
      <w:r w:rsidRPr="0004365C">
        <w:rPr>
          <w:lang w:val="ru-RU"/>
        </w:rPr>
        <w:t>):</w:t>
      </w:r>
    </w:p>
    <w:p w14:paraId="70F9BAA8" w14:textId="77777777" w:rsidR="0004365C" w:rsidRPr="0004365C" w:rsidRDefault="0004365C" w:rsidP="0004365C">
      <w:pPr>
        <w:pStyle w:val="ListParagraph"/>
        <w:numPr>
          <w:ilvl w:val="0"/>
          <w:numId w:val="33"/>
        </w:numPr>
        <w:rPr>
          <w:sz w:val="24"/>
          <w:szCs w:val="24"/>
        </w:rPr>
      </w:pPr>
      <w:r w:rsidRPr="0004365C">
        <w:rPr>
          <w:lang w:eastAsia="bg-BG"/>
        </w:rPr>
        <w:t>хипотиреоидизъм;</w:t>
      </w:r>
    </w:p>
    <w:p w14:paraId="377ABBF0" w14:textId="77777777" w:rsidR="0004365C" w:rsidRPr="0004365C" w:rsidRDefault="0004365C" w:rsidP="0004365C">
      <w:pPr>
        <w:pStyle w:val="ListParagraph"/>
        <w:numPr>
          <w:ilvl w:val="0"/>
          <w:numId w:val="33"/>
        </w:numPr>
        <w:rPr>
          <w:sz w:val="24"/>
          <w:szCs w:val="24"/>
        </w:rPr>
      </w:pPr>
      <w:r w:rsidRPr="0004365C">
        <w:rPr>
          <w:lang w:eastAsia="bg-BG"/>
        </w:rPr>
        <w:t>лична или фамилна анамнеза за наследствени мускулни заболявания;</w:t>
      </w:r>
    </w:p>
    <w:p w14:paraId="7A88B83B" w14:textId="77777777" w:rsidR="0004365C" w:rsidRPr="0004365C" w:rsidRDefault="0004365C" w:rsidP="0004365C">
      <w:pPr>
        <w:pStyle w:val="ListParagraph"/>
        <w:numPr>
          <w:ilvl w:val="0"/>
          <w:numId w:val="33"/>
        </w:numPr>
        <w:rPr>
          <w:sz w:val="24"/>
          <w:szCs w:val="24"/>
        </w:rPr>
      </w:pPr>
      <w:r w:rsidRPr="0004365C">
        <w:rPr>
          <w:lang w:eastAsia="bg-BG"/>
        </w:rPr>
        <w:t>анамнеза за поява на мускулно увреждане по време на лечение с друг медикамент от групата на инхибиторите на хидрокси-метил-глутарил-коензим А редуктазата или с фибрат;</w:t>
      </w:r>
    </w:p>
    <w:p w14:paraId="6A10ABAA" w14:textId="77777777" w:rsidR="0004365C" w:rsidRPr="0004365C" w:rsidRDefault="0004365C" w:rsidP="0004365C">
      <w:pPr>
        <w:pStyle w:val="ListParagraph"/>
        <w:numPr>
          <w:ilvl w:val="0"/>
          <w:numId w:val="33"/>
        </w:numPr>
        <w:rPr>
          <w:sz w:val="24"/>
          <w:szCs w:val="24"/>
        </w:rPr>
      </w:pPr>
      <w:r w:rsidRPr="0004365C">
        <w:rPr>
          <w:lang w:eastAsia="bg-BG"/>
        </w:rPr>
        <w:t>злоупотреба с алкохол</w:t>
      </w:r>
    </w:p>
    <w:p w14:paraId="1C9678E5" w14:textId="77777777" w:rsidR="0004365C" w:rsidRPr="0004365C" w:rsidRDefault="0004365C" w:rsidP="0004365C">
      <w:pPr>
        <w:pStyle w:val="ListParagraph"/>
        <w:numPr>
          <w:ilvl w:val="0"/>
          <w:numId w:val="33"/>
        </w:numPr>
        <w:rPr>
          <w:sz w:val="24"/>
          <w:szCs w:val="24"/>
        </w:rPr>
      </w:pPr>
      <w:r w:rsidRPr="0004365C">
        <w:rPr>
          <w:lang w:eastAsia="bg-BG"/>
        </w:rPr>
        <w:t>състояния, при които може да се повиши плазменото ниво на медикамента;</w:t>
      </w:r>
    </w:p>
    <w:p w14:paraId="53A89E64" w14:textId="77777777" w:rsidR="0004365C" w:rsidRPr="0004365C" w:rsidRDefault="0004365C" w:rsidP="0004365C">
      <w:pPr>
        <w:pStyle w:val="ListParagraph"/>
        <w:numPr>
          <w:ilvl w:val="0"/>
          <w:numId w:val="33"/>
        </w:numPr>
        <w:rPr>
          <w:sz w:val="24"/>
          <w:szCs w:val="24"/>
        </w:rPr>
      </w:pPr>
      <w:r w:rsidRPr="0004365C">
        <w:rPr>
          <w:lang w:eastAsia="bg-BG"/>
        </w:rPr>
        <w:t>лица от азиатската раса;</w:t>
      </w:r>
    </w:p>
    <w:p w14:paraId="449AA832" w14:textId="6DB070A2" w:rsidR="0004365C" w:rsidRDefault="0004365C" w:rsidP="0004365C">
      <w:pPr>
        <w:pStyle w:val="ListParagraph"/>
        <w:numPr>
          <w:ilvl w:val="0"/>
          <w:numId w:val="33"/>
        </w:numPr>
      </w:pPr>
      <w:r w:rsidRPr="0004365C">
        <w:rPr>
          <w:lang w:eastAsia="bg-BG"/>
        </w:rPr>
        <w:t>съпътстващо лечение с фибрати (вж. точка 4.4. точка 4.5 и точка 5.2).</w:t>
      </w:r>
    </w:p>
    <w:p w14:paraId="24DDE333" w14:textId="4F6BC5F9" w:rsidR="0004365C" w:rsidRDefault="0004365C" w:rsidP="0004365C"/>
    <w:p w14:paraId="7496D1EC" w14:textId="77777777" w:rsidR="0004365C" w:rsidRPr="0004365C" w:rsidRDefault="0004365C" w:rsidP="0004365C"/>
    <w:p w14:paraId="5A4AC413" w14:textId="06D13AD2" w:rsidR="00395555" w:rsidRDefault="002C50EE" w:rsidP="008A6AF2">
      <w:pPr>
        <w:pStyle w:val="Heading2"/>
      </w:pPr>
      <w:r>
        <w:lastRenderedPageBreak/>
        <w:t>4.4. Специални предупреждения и предпазни мерки при употреба</w:t>
      </w:r>
    </w:p>
    <w:p w14:paraId="651BE4D6" w14:textId="7A26E08C" w:rsidR="0004365C" w:rsidRDefault="0004365C" w:rsidP="0004365C"/>
    <w:p w14:paraId="470779AF" w14:textId="77777777" w:rsidR="0004365C" w:rsidRPr="0004365C" w:rsidRDefault="0004365C" w:rsidP="0004365C">
      <w:pPr>
        <w:spacing w:line="240" w:lineRule="auto"/>
        <w:rPr>
          <w:rFonts w:eastAsia="Times New Roman" w:cs="Arial"/>
          <w:sz w:val="28"/>
          <w:szCs w:val="24"/>
        </w:rPr>
      </w:pPr>
      <w:r w:rsidRPr="0004365C">
        <w:rPr>
          <w:rFonts w:eastAsia="Times New Roman" w:cs="Arial"/>
          <w:b/>
          <w:bCs/>
          <w:i/>
          <w:iCs/>
          <w:color w:val="000000"/>
          <w:szCs w:val="20"/>
          <w:lang w:eastAsia="bg-BG"/>
        </w:rPr>
        <w:t>Бъбречни ефекти</w:t>
      </w:r>
    </w:p>
    <w:p w14:paraId="04D40439"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При пациенти, лекувани с по-високи дози розувастатин - по-конкретно 40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е наблюдавана протеинурия, установена при изследване с тест-ленти, с предимно тубулен произход и в повенето случаи с преходен или интермитентен характер. Няма доказателства тя да предшества изявата на остро или прогресивно бъбречно заболяване, вследствие </w:t>
      </w:r>
      <w:r w:rsidRPr="0004365C">
        <w:rPr>
          <w:rFonts w:eastAsia="Times New Roman" w:cs="Arial"/>
          <w:i/>
          <w:iCs/>
          <w:color w:val="000000"/>
          <w:szCs w:val="20"/>
          <w:lang w:eastAsia="bg-BG"/>
        </w:rPr>
        <w:t>на</w:t>
      </w:r>
      <w:r w:rsidRPr="0004365C">
        <w:rPr>
          <w:rFonts w:eastAsia="Times New Roman" w:cs="Arial"/>
          <w:color w:val="000000"/>
          <w:szCs w:val="20"/>
          <w:lang w:eastAsia="bg-BG"/>
        </w:rPr>
        <w:t xml:space="preserve"> лекарствената употреба (вж. точка 4.8). Докладваната честота на сериозни бъбречни увреждания при постмаркетинговата употреба е по-висока при дозировка от 40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Оценка на бъбречната функция трябва да се направи по време на рутинно проследяване при пациенти, обичайно третирани с 40 </w:t>
      </w:r>
      <w:r w:rsidRPr="0004365C">
        <w:rPr>
          <w:rFonts w:eastAsia="Times New Roman" w:cs="Arial"/>
          <w:color w:val="000000"/>
          <w:szCs w:val="20"/>
          <w:lang w:val="en-US"/>
        </w:rPr>
        <w:t>mg</w:t>
      </w:r>
      <w:r w:rsidRPr="0004365C">
        <w:rPr>
          <w:rFonts w:eastAsia="Times New Roman" w:cs="Arial"/>
          <w:color w:val="000000"/>
          <w:szCs w:val="20"/>
          <w:lang w:val="ru-RU"/>
        </w:rPr>
        <w:t>.</w:t>
      </w:r>
    </w:p>
    <w:p w14:paraId="58E1698E" w14:textId="77777777" w:rsidR="0004365C" w:rsidRPr="0004365C" w:rsidRDefault="0004365C" w:rsidP="0004365C">
      <w:pPr>
        <w:spacing w:line="240" w:lineRule="auto"/>
        <w:rPr>
          <w:rFonts w:eastAsia="Times New Roman" w:cs="Arial"/>
          <w:b/>
          <w:bCs/>
          <w:i/>
          <w:iCs/>
          <w:color w:val="000000"/>
          <w:szCs w:val="20"/>
          <w:lang w:eastAsia="bg-BG"/>
        </w:rPr>
      </w:pPr>
    </w:p>
    <w:p w14:paraId="54B2A36C" w14:textId="07EE37DA" w:rsidR="0004365C" w:rsidRPr="0004365C" w:rsidRDefault="0004365C" w:rsidP="0004365C">
      <w:pPr>
        <w:spacing w:line="240" w:lineRule="auto"/>
        <w:rPr>
          <w:rFonts w:eastAsia="Times New Roman" w:cs="Arial"/>
          <w:sz w:val="28"/>
          <w:szCs w:val="24"/>
        </w:rPr>
      </w:pPr>
      <w:r w:rsidRPr="0004365C">
        <w:rPr>
          <w:rFonts w:eastAsia="Times New Roman" w:cs="Arial"/>
          <w:b/>
          <w:bCs/>
          <w:i/>
          <w:iCs/>
          <w:color w:val="000000"/>
          <w:szCs w:val="20"/>
          <w:lang w:eastAsia="bg-BG"/>
        </w:rPr>
        <w:t>Скелетна мускулатура</w:t>
      </w:r>
    </w:p>
    <w:p w14:paraId="64344039"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Ефекти върху скелетната мускулатура (миалгия, миопатия и по-рядко рабдомиолиза) са съобщавани при приложение на всички дозови режими, особено при дози над 20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Много редки случаи на рабдомиолиза са докладвани при използването на езетимиб в комбинация с </w:t>
      </w:r>
      <w:r w:rsidRPr="0004365C">
        <w:rPr>
          <w:rFonts w:eastAsia="Times New Roman" w:cs="Arial"/>
          <w:color w:val="000000"/>
          <w:szCs w:val="20"/>
          <w:lang w:val="en-US"/>
        </w:rPr>
        <w:t>HMG</w:t>
      </w:r>
      <w:r w:rsidRPr="0004365C">
        <w:rPr>
          <w:rFonts w:eastAsia="Times New Roman" w:cs="Arial"/>
          <w:color w:val="000000"/>
          <w:szCs w:val="20"/>
          <w:lang w:val="ru-RU"/>
        </w:rPr>
        <w:t>-</w:t>
      </w:r>
      <w:r w:rsidRPr="0004365C">
        <w:rPr>
          <w:rFonts w:eastAsia="Times New Roman" w:cs="Arial"/>
          <w:color w:val="000000"/>
          <w:szCs w:val="20"/>
          <w:lang w:val="en-US"/>
        </w:rPr>
        <w:t>CoA</w:t>
      </w:r>
      <w:r w:rsidRPr="0004365C">
        <w:rPr>
          <w:rFonts w:eastAsia="Times New Roman" w:cs="Arial"/>
          <w:color w:val="000000"/>
          <w:szCs w:val="20"/>
          <w:lang w:val="ru-RU"/>
        </w:rPr>
        <w:t xml:space="preserve"> </w:t>
      </w:r>
      <w:r w:rsidRPr="0004365C">
        <w:rPr>
          <w:rFonts w:eastAsia="Times New Roman" w:cs="Arial"/>
          <w:color w:val="000000"/>
          <w:szCs w:val="20"/>
          <w:lang w:eastAsia="bg-BG"/>
        </w:rPr>
        <w:t>редуктазни инхибитори. Не може да бъде изключено фармакодинамично взаимодействие (вж. точка 4.5) и е необходимо внимание при комбинираното им използване.</w:t>
      </w:r>
    </w:p>
    <w:p w14:paraId="4390AA51"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Както при другите </w:t>
      </w:r>
      <w:r w:rsidRPr="0004365C">
        <w:rPr>
          <w:rFonts w:eastAsia="Times New Roman" w:cs="Arial"/>
          <w:color w:val="000000"/>
          <w:szCs w:val="20"/>
          <w:lang w:val="en-US"/>
        </w:rPr>
        <w:t>HMG</w:t>
      </w:r>
      <w:r w:rsidRPr="0004365C">
        <w:rPr>
          <w:rFonts w:eastAsia="Times New Roman" w:cs="Arial"/>
          <w:color w:val="000000"/>
          <w:szCs w:val="20"/>
          <w:lang w:val="ru-RU"/>
        </w:rPr>
        <w:t>-</w:t>
      </w:r>
      <w:r w:rsidRPr="0004365C">
        <w:rPr>
          <w:rFonts w:eastAsia="Times New Roman" w:cs="Arial"/>
          <w:color w:val="000000"/>
          <w:szCs w:val="20"/>
          <w:lang w:val="en-US"/>
        </w:rPr>
        <w:t>CoA</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редуктазни инхибитори, докладваната честота на рабдомиолиза, асоциирана с постмаркетингова употреба на розувастатин, е по-висока при дозировка 40 </w:t>
      </w:r>
      <w:r w:rsidRPr="0004365C">
        <w:rPr>
          <w:rFonts w:eastAsia="Times New Roman" w:cs="Arial"/>
          <w:color w:val="000000"/>
          <w:szCs w:val="20"/>
          <w:lang w:val="en-US"/>
        </w:rPr>
        <w:t>mg</w:t>
      </w:r>
      <w:r w:rsidRPr="0004365C">
        <w:rPr>
          <w:rFonts w:eastAsia="Times New Roman" w:cs="Arial"/>
          <w:color w:val="000000"/>
          <w:szCs w:val="20"/>
          <w:lang w:val="ru-RU"/>
        </w:rPr>
        <w:t>.</w:t>
      </w:r>
    </w:p>
    <w:p w14:paraId="7C05DCA2" w14:textId="77777777" w:rsidR="0004365C" w:rsidRPr="0004365C" w:rsidRDefault="0004365C" w:rsidP="0004365C">
      <w:pPr>
        <w:spacing w:line="240" w:lineRule="auto"/>
        <w:rPr>
          <w:rFonts w:eastAsia="Times New Roman" w:cs="Arial"/>
          <w:b/>
          <w:bCs/>
          <w:i/>
          <w:iCs/>
          <w:color w:val="000000"/>
          <w:szCs w:val="20"/>
          <w:lang w:eastAsia="bg-BG"/>
        </w:rPr>
      </w:pPr>
    </w:p>
    <w:p w14:paraId="1FE2B693" w14:textId="225D9ABC" w:rsidR="0004365C" w:rsidRPr="0004365C" w:rsidRDefault="0004365C" w:rsidP="0004365C">
      <w:pPr>
        <w:spacing w:line="240" w:lineRule="auto"/>
        <w:rPr>
          <w:rFonts w:eastAsia="Times New Roman" w:cs="Arial"/>
          <w:sz w:val="28"/>
          <w:szCs w:val="24"/>
        </w:rPr>
      </w:pPr>
      <w:r w:rsidRPr="0004365C">
        <w:rPr>
          <w:rFonts w:eastAsia="Times New Roman" w:cs="Arial"/>
          <w:b/>
          <w:bCs/>
          <w:i/>
          <w:iCs/>
          <w:color w:val="000000"/>
          <w:szCs w:val="20"/>
          <w:lang w:eastAsia="bg-BG"/>
        </w:rPr>
        <w:t>Измерване па креатинкиназата</w:t>
      </w:r>
    </w:p>
    <w:p w14:paraId="5782F460"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Креатинкиназата (СК) не трябва да се измерва след усилени упражнения или при наличието на друг причинител на увеличение на СК, което може да затрудни тълкуването на резултата. Ако нивото на СК е значително повишено при изходно ниво (&gt; 5 пъти допустимата горна граница), тест за потвърждаване на резултата трябва да бъде направен в рамките на 5-7 дни. Ако повторното изследване потвърди изходно ниво на СК &gt; 5 пъти допустимата горна граница, не трябва да се започва лечение.</w:t>
      </w:r>
    </w:p>
    <w:p w14:paraId="0ECE7B51" w14:textId="77777777" w:rsidR="0004365C" w:rsidRPr="0004365C" w:rsidRDefault="0004365C" w:rsidP="0004365C">
      <w:pPr>
        <w:spacing w:line="240" w:lineRule="auto"/>
        <w:rPr>
          <w:rFonts w:eastAsia="Times New Roman" w:cs="Arial"/>
          <w:b/>
          <w:bCs/>
          <w:i/>
          <w:iCs/>
          <w:color w:val="000000"/>
          <w:szCs w:val="20"/>
          <w:lang w:eastAsia="bg-BG"/>
        </w:rPr>
      </w:pPr>
    </w:p>
    <w:p w14:paraId="55E5F1F2" w14:textId="3F753712" w:rsidR="0004365C" w:rsidRPr="0004365C" w:rsidRDefault="0004365C" w:rsidP="0004365C">
      <w:pPr>
        <w:spacing w:line="240" w:lineRule="auto"/>
        <w:rPr>
          <w:rFonts w:eastAsia="Times New Roman" w:cs="Arial"/>
          <w:sz w:val="28"/>
          <w:szCs w:val="24"/>
        </w:rPr>
      </w:pPr>
      <w:r w:rsidRPr="0004365C">
        <w:rPr>
          <w:rFonts w:eastAsia="Times New Roman" w:cs="Arial"/>
          <w:b/>
          <w:bCs/>
          <w:i/>
          <w:iCs/>
          <w:color w:val="000000"/>
          <w:szCs w:val="20"/>
          <w:lang w:eastAsia="bg-BG"/>
        </w:rPr>
        <w:t>Преди лечението</w:t>
      </w:r>
    </w:p>
    <w:p w14:paraId="717FC068"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Както и други инхибитори на </w:t>
      </w:r>
      <w:r w:rsidRPr="0004365C">
        <w:rPr>
          <w:rFonts w:eastAsia="Times New Roman" w:cs="Arial"/>
          <w:color w:val="000000"/>
          <w:szCs w:val="20"/>
          <w:lang w:val="en-US"/>
        </w:rPr>
        <w:t>HMG</w:t>
      </w:r>
      <w:r w:rsidRPr="0004365C">
        <w:rPr>
          <w:rFonts w:eastAsia="Times New Roman" w:cs="Arial"/>
          <w:color w:val="000000"/>
          <w:szCs w:val="20"/>
          <w:lang w:val="ru-RU"/>
        </w:rPr>
        <w:t>-</w:t>
      </w:r>
      <w:r w:rsidRPr="0004365C">
        <w:rPr>
          <w:rFonts w:eastAsia="Times New Roman" w:cs="Arial"/>
          <w:color w:val="000000"/>
          <w:szCs w:val="20"/>
          <w:lang w:val="en-US"/>
        </w:rPr>
        <w:t>CoA</w:t>
      </w:r>
      <w:r w:rsidRPr="0004365C">
        <w:rPr>
          <w:rFonts w:eastAsia="Times New Roman" w:cs="Arial"/>
          <w:color w:val="000000"/>
          <w:szCs w:val="20"/>
          <w:lang w:val="ru-RU"/>
        </w:rPr>
        <w:t xml:space="preserve"> </w:t>
      </w:r>
      <w:r w:rsidRPr="0004365C">
        <w:rPr>
          <w:rFonts w:eastAsia="Times New Roman" w:cs="Arial"/>
          <w:color w:val="000000"/>
          <w:szCs w:val="20"/>
          <w:lang w:eastAsia="bg-BG"/>
        </w:rPr>
        <w:t>редуктазата, розувастатин трябва да бъде предписван с особено внимание при пациенти, за които са налице фактори, предразполагащи развитие на миопатия, рабдомиолиза. Такива фактори са:</w:t>
      </w:r>
    </w:p>
    <w:p w14:paraId="4D053A69" w14:textId="15D78086" w:rsidR="0004365C" w:rsidRPr="0004365C" w:rsidRDefault="0004365C" w:rsidP="0004365C">
      <w:pPr>
        <w:pStyle w:val="ListParagraph"/>
        <w:numPr>
          <w:ilvl w:val="0"/>
          <w:numId w:val="34"/>
        </w:numPr>
        <w:spacing w:line="240" w:lineRule="auto"/>
        <w:rPr>
          <w:rFonts w:eastAsia="Times New Roman" w:cs="Arial"/>
          <w:sz w:val="28"/>
          <w:szCs w:val="24"/>
        </w:rPr>
      </w:pPr>
      <w:r w:rsidRPr="0004365C">
        <w:rPr>
          <w:rFonts w:eastAsia="Times New Roman" w:cs="Arial"/>
          <w:color w:val="000000"/>
          <w:szCs w:val="20"/>
          <w:lang w:eastAsia="bg-BG"/>
        </w:rPr>
        <w:t>бъбречно увреждане;</w:t>
      </w:r>
    </w:p>
    <w:p w14:paraId="5C9EA5E2" w14:textId="4EB222BC" w:rsidR="0004365C" w:rsidRPr="0004365C" w:rsidRDefault="0004365C" w:rsidP="0004365C">
      <w:pPr>
        <w:pStyle w:val="ListParagraph"/>
        <w:numPr>
          <w:ilvl w:val="0"/>
          <w:numId w:val="34"/>
        </w:numPr>
        <w:spacing w:line="240" w:lineRule="auto"/>
        <w:rPr>
          <w:rFonts w:eastAsia="Times New Roman" w:cs="Arial"/>
          <w:sz w:val="28"/>
          <w:szCs w:val="24"/>
        </w:rPr>
      </w:pPr>
      <w:r w:rsidRPr="0004365C">
        <w:rPr>
          <w:rFonts w:eastAsia="Times New Roman" w:cs="Arial"/>
          <w:color w:val="000000"/>
          <w:szCs w:val="20"/>
          <w:lang w:eastAsia="bg-BG"/>
        </w:rPr>
        <w:t>хипотиреоидизъм;</w:t>
      </w:r>
    </w:p>
    <w:p w14:paraId="4D4EC3D7" w14:textId="54BF49B7" w:rsidR="0004365C" w:rsidRPr="0004365C" w:rsidRDefault="0004365C" w:rsidP="0004365C">
      <w:pPr>
        <w:pStyle w:val="ListParagraph"/>
        <w:numPr>
          <w:ilvl w:val="0"/>
          <w:numId w:val="34"/>
        </w:numPr>
        <w:spacing w:line="240" w:lineRule="auto"/>
        <w:rPr>
          <w:rFonts w:eastAsia="Times New Roman" w:cs="Arial"/>
          <w:sz w:val="28"/>
          <w:szCs w:val="24"/>
        </w:rPr>
      </w:pPr>
      <w:r w:rsidRPr="0004365C">
        <w:rPr>
          <w:rFonts w:eastAsia="Times New Roman" w:cs="Arial"/>
          <w:color w:val="000000"/>
          <w:szCs w:val="20"/>
          <w:lang w:eastAsia="bg-BG"/>
        </w:rPr>
        <w:t>лична или фамилна анамнеза за наследствено мускулно заболяване;</w:t>
      </w:r>
    </w:p>
    <w:p w14:paraId="61BBE8CB" w14:textId="1B25F327" w:rsidR="0004365C" w:rsidRPr="0004365C" w:rsidRDefault="0004365C" w:rsidP="0004365C">
      <w:pPr>
        <w:pStyle w:val="ListParagraph"/>
        <w:numPr>
          <w:ilvl w:val="0"/>
          <w:numId w:val="34"/>
        </w:numPr>
        <w:spacing w:line="240" w:lineRule="auto"/>
        <w:rPr>
          <w:rFonts w:eastAsia="Times New Roman" w:cs="Arial"/>
          <w:sz w:val="28"/>
          <w:szCs w:val="24"/>
        </w:rPr>
      </w:pPr>
      <w:r w:rsidRPr="0004365C">
        <w:rPr>
          <w:rFonts w:eastAsia="Times New Roman" w:cs="Arial"/>
          <w:color w:val="000000"/>
          <w:szCs w:val="20"/>
          <w:lang w:eastAsia="bg-BG"/>
        </w:rPr>
        <w:t xml:space="preserve">установена мускулна токсичност към други </w:t>
      </w:r>
      <w:r w:rsidRPr="0004365C">
        <w:rPr>
          <w:rFonts w:eastAsia="Times New Roman" w:cs="Arial"/>
          <w:color w:val="000000"/>
          <w:szCs w:val="20"/>
          <w:lang w:val="en-US"/>
        </w:rPr>
        <w:t>HMG</w:t>
      </w:r>
      <w:r w:rsidRPr="0004365C">
        <w:rPr>
          <w:rFonts w:eastAsia="Times New Roman" w:cs="Arial"/>
          <w:color w:val="000000"/>
          <w:szCs w:val="20"/>
          <w:lang w:val="ru-RU"/>
        </w:rPr>
        <w:t>-</w:t>
      </w:r>
      <w:r w:rsidRPr="0004365C">
        <w:rPr>
          <w:rFonts w:eastAsia="Times New Roman" w:cs="Arial"/>
          <w:color w:val="000000"/>
          <w:szCs w:val="20"/>
          <w:lang w:val="en-US"/>
        </w:rPr>
        <w:t>CoA</w:t>
      </w:r>
      <w:r w:rsidRPr="0004365C">
        <w:rPr>
          <w:rFonts w:eastAsia="Times New Roman" w:cs="Arial"/>
          <w:color w:val="000000"/>
          <w:szCs w:val="20"/>
          <w:lang w:val="ru-RU"/>
        </w:rPr>
        <w:t xml:space="preserve"> </w:t>
      </w:r>
      <w:r w:rsidRPr="0004365C">
        <w:rPr>
          <w:rFonts w:eastAsia="Times New Roman" w:cs="Arial"/>
          <w:color w:val="000000"/>
          <w:szCs w:val="20"/>
          <w:lang w:eastAsia="bg-BG"/>
        </w:rPr>
        <w:t>инхибитори на редуктазата или фибрати;</w:t>
      </w:r>
    </w:p>
    <w:p w14:paraId="00DE9DD9" w14:textId="7C2B1059" w:rsidR="0004365C" w:rsidRPr="0004365C" w:rsidRDefault="0004365C" w:rsidP="0004365C">
      <w:pPr>
        <w:pStyle w:val="ListParagraph"/>
        <w:numPr>
          <w:ilvl w:val="0"/>
          <w:numId w:val="34"/>
        </w:numPr>
        <w:spacing w:line="240" w:lineRule="auto"/>
        <w:rPr>
          <w:rFonts w:eastAsia="Times New Roman" w:cs="Arial"/>
          <w:sz w:val="28"/>
          <w:szCs w:val="24"/>
        </w:rPr>
      </w:pPr>
      <w:r w:rsidRPr="0004365C">
        <w:rPr>
          <w:rFonts w:eastAsia="Times New Roman" w:cs="Arial"/>
          <w:color w:val="000000"/>
          <w:szCs w:val="20"/>
          <w:lang w:eastAsia="bg-BG"/>
        </w:rPr>
        <w:t>злоупотреба с алкохол;</w:t>
      </w:r>
    </w:p>
    <w:p w14:paraId="775A4919" w14:textId="179B449C" w:rsidR="0004365C" w:rsidRPr="0004365C" w:rsidRDefault="0004365C" w:rsidP="0004365C">
      <w:pPr>
        <w:pStyle w:val="ListParagraph"/>
        <w:numPr>
          <w:ilvl w:val="0"/>
          <w:numId w:val="34"/>
        </w:numPr>
        <w:spacing w:line="240" w:lineRule="auto"/>
        <w:rPr>
          <w:rFonts w:eastAsia="Times New Roman" w:cs="Arial"/>
          <w:sz w:val="28"/>
          <w:szCs w:val="24"/>
        </w:rPr>
      </w:pPr>
      <w:r w:rsidRPr="0004365C">
        <w:rPr>
          <w:rFonts w:eastAsia="Times New Roman" w:cs="Arial"/>
          <w:color w:val="000000"/>
          <w:szCs w:val="20"/>
          <w:lang w:eastAsia="bg-BG"/>
        </w:rPr>
        <w:t>пациенти на възраст над 70 години;</w:t>
      </w:r>
    </w:p>
    <w:p w14:paraId="40814FE6" w14:textId="79EAD5AC" w:rsidR="0004365C" w:rsidRPr="0004365C" w:rsidRDefault="0004365C" w:rsidP="0004365C">
      <w:pPr>
        <w:pStyle w:val="ListParagraph"/>
        <w:numPr>
          <w:ilvl w:val="0"/>
          <w:numId w:val="34"/>
        </w:numPr>
        <w:rPr>
          <w:rFonts w:cs="Arial"/>
          <w:sz w:val="24"/>
        </w:rPr>
      </w:pPr>
      <w:r w:rsidRPr="0004365C">
        <w:rPr>
          <w:rFonts w:eastAsia="Times New Roman" w:cs="Arial"/>
          <w:color w:val="000000"/>
          <w:szCs w:val="20"/>
          <w:lang w:eastAsia="bg-BG"/>
        </w:rPr>
        <w:t>състояния, при които може да се наблюдава покачване на плазмените нива на розувастатин (вж. точка 5.2);</w:t>
      </w:r>
    </w:p>
    <w:p w14:paraId="41141388" w14:textId="16EFF752" w:rsidR="0004365C" w:rsidRPr="0004365C" w:rsidRDefault="0004365C" w:rsidP="0004365C">
      <w:pPr>
        <w:pStyle w:val="ListParagraph"/>
        <w:numPr>
          <w:ilvl w:val="0"/>
          <w:numId w:val="34"/>
        </w:numPr>
        <w:rPr>
          <w:rFonts w:cs="Arial"/>
          <w:sz w:val="28"/>
        </w:rPr>
      </w:pPr>
      <w:r w:rsidRPr="0004365C">
        <w:rPr>
          <w:szCs w:val="20"/>
        </w:rPr>
        <w:t>едновременно приложение на фибрати.</w:t>
      </w:r>
    </w:p>
    <w:p w14:paraId="0EEFBF89" w14:textId="752415DE" w:rsidR="0004365C" w:rsidRDefault="0004365C" w:rsidP="0004365C">
      <w:pPr>
        <w:rPr>
          <w:rFonts w:cs="Arial"/>
          <w:sz w:val="28"/>
        </w:rPr>
      </w:pPr>
    </w:p>
    <w:p w14:paraId="078978EA" w14:textId="77777777" w:rsidR="0004365C" w:rsidRPr="0004365C" w:rsidRDefault="0004365C" w:rsidP="0004365C">
      <w:pPr>
        <w:spacing w:line="240" w:lineRule="auto"/>
        <w:rPr>
          <w:rFonts w:eastAsia="Times New Roman" w:cs="Arial"/>
          <w:sz w:val="28"/>
          <w:szCs w:val="24"/>
        </w:rPr>
      </w:pPr>
      <w:r w:rsidRPr="0004365C">
        <w:rPr>
          <w:lang w:eastAsia="bg-BG"/>
        </w:rPr>
        <w:lastRenderedPageBreak/>
        <w:t>Пр</w:t>
      </w:r>
      <w:r w:rsidRPr="0004365C">
        <w:rPr>
          <w:rFonts w:eastAsia="Times New Roman" w:cs="Arial"/>
          <w:color w:val="000000"/>
          <w:szCs w:val="20"/>
          <w:lang w:eastAsia="bg-BG"/>
        </w:rPr>
        <w:t>и подобни пациенти трябва да се предвиди отношението риск/полза и да бъдат поставени под клинично наблюдение. Ако изходното ниво на СК е значително повишено (&gt; 5 пъти горната граница на нормата), не трябва да се започва лечение.</w:t>
      </w:r>
    </w:p>
    <w:p w14:paraId="392A21F8" w14:textId="77777777" w:rsidR="0004365C" w:rsidRPr="0004365C" w:rsidRDefault="0004365C" w:rsidP="0004365C">
      <w:pPr>
        <w:spacing w:line="240" w:lineRule="auto"/>
        <w:rPr>
          <w:rFonts w:eastAsia="Times New Roman" w:cs="Arial"/>
          <w:b/>
          <w:bCs/>
          <w:i/>
          <w:iCs/>
          <w:color w:val="000000"/>
          <w:szCs w:val="20"/>
          <w:lang w:eastAsia="bg-BG"/>
        </w:rPr>
      </w:pPr>
    </w:p>
    <w:p w14:paraId="3FF057D7" w14:textId="0A1094D3" w:rsidR="0004365C" w:rsidRPr="0004365C" w:rsidRDefault="0004365C" w:rsidP="0004365C">
      <w:pPr>
        <w:spacing w:line="240" w:lineRule="auto"/>
        <w:rPr>
          <w:rFonts w:eastAsia="Times New Roman" w:cs="Arial"/>
          <w:sz w:val="28"/>
          <w:szCs w:val="24"/>
        </w:rPr>
      </w:pPr>
      <w:r w:rsidRPr="0004365C">
        <w:rPr>
          <w:rFonts w:eastAsia="Times New Roman" w:cs="Arial"/>
          <w:b/>
          <w:bCs/>
          <w:i/>
          <w:iCs/>
          <w:color w:val="000000"/>
          <w:szCs w:val="20"/>
          <w:lang w:eastAsia="bg-BG"/>
        </w:rPr>
        <w:t>По време на лечението</w:t>
      </w:r>
    </w:p>
    <w:p w14:paraId="0266B1BC"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Пациентите се уведомяват задължително веднага да докладват за появата на необясними мускулни болки, усещане за слабост или схващане, най-вече ако са свързани с неразположение или фебрилитет. При тези пациенти трябва да се измерят нивата на СК. Терапията трябва да се прекрати, ако нивото на СК е значително повишено (&gt; 5 пъти горната допустима граница) или мускулните симптоми са тежки и причиняват ежедневно неразположение (дори нивото на СК да е &lt; 5 пъти горната допустима граница). Ако симптомите изчезнат и нивото на СК се нормализира, може да се помисли за повторно лечение с розувастатин или с алтернативен </w:t>
      </w:r>
      <w:r w:rsidRPr="0004365C">
        <w:rPr>
          <w:rFonts w:eastAsia="Times New Roman" w:cs="Arial"/>
          <w:color w:val="000000"/>
          <w:szCs w:val="20"/>
          <w:lang w:val="en-US"/>
        </w:rPr>
        <w:t>HMG</w:t>
      </w:r>
      <w:r w:rsidRPr="0004365C">
        <w:rPr>
          <w:rFonts w:eastAsia="Times New Roman" w:cs="Arial"/>
          <w:color w:val="000000"/>
          <w:szCs w:val="20"/>
          <w:lang w:val="ru-RU"/>
        </w:rPr>
        <w:t>-</w:t>
      </w:r>
      <w:r w:rsidRPr="0004365C">
        <w:rPr>
          <w:rFonts w:eastAsia="Times New Roman" w:cs="Arial"/>
          <w:color w:val="000000"/>
          <w:szCs w:val="20"/>
          <w:lang w:val="en-US"/>
        </w:rPr>
        <w:t>CoA</w:t>
      </w:r>
      <w:r w:rsidRPr="0004365C">
        <w:rPr>
          <w:rFonts w:eastAsia="Times New Roman" w:cs="Arial"/>
          <w:color w:val="000000"/>
          <w:szCs w:val="20"/>
          <w:lang w:val="ru-RU"/>
        </w:rPr>
        <w:t xml:space="preserve"> </w:t>
      </w:r>
      <w:r w:rsidRPr="0004365C">
        <w:rPr>
          <w:rFonts w:eastAsia="Times New Roman" w:cs="Arial"/>
          <w:color w:val="000000"/>
          <w:szCs w:val="20"/>
          <w:lang w:eastAsia="bg-BG"/>
        </w:rPr>
        <w:t>инхибитор на редуктазата в най-ниска доза под наблюдение. Рутинно наблюдение на нивото на СК при пациенти без симптоми е неоснователно.</w:t>
      </w:r>
    </w:p>
    <w:p w14:paraId="014AA483" w14:textId="77777777" w:rsidR="0004365C" w:rsidRPr="0004365C" w:rsidRDefault="0004365C" w:rsidP="0004365C">
      <w:pPr>
        <w:spacing w:line="240" w:lineRule="auto"/>
        <w:rPr>
          <w:rFonts w:eastAsia="Times New Roman" w:cs="Arial"/>
          <w:color w:val="000000"/>
          <w:szCs w:val="20"/>
          <w:lang w:eastAsia="bg-BG"/>
        </w:rPr>
      </w:pPr>
    </w:p>
    <w:p w14:paraId="38BD2D4C" w14:textId="2065ED3B"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Има много редки доклади за имуномедиирана некротизираща миопатия, която клинично се характеризира с персистираща проксимална мускулна слабост и повишена креатинкиназа по време на лечението или след спиране на статините, включително розувастатин. Може да е необходмо допълнително нервномускулно или серологично изследване. Може да се наложи лечение с имуносупресиращи лекарства.</w:t>
      </w:r>
    </w:p>
    <w:p w14:paraId="3E7C92F1" w14:textId="77777777" w:rsidR="0004365C" w:rsidRPr="0004365C" w:rsidRDefault="0004365C" w:rsidP="0004365C">
      <w:pPr>
        <w:spacing w:line="240" w:lineRule="auto"/>
        <w:rPr>
          <w:rFonts w:eastAsia="Times New Roman" w:cs="Arial"/>
          <w:color w:val="000000"/>
          <w:szCs w:val="20"/>
          <w:lang w:eastAsia="bg-BG"/>
        </w:rPr>
      </w:pPr>
    </w:p>
    <w:p w14:paraId="4C7F98B3" w14:textId="2795F249"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При клиничните изпитания на розувастатин не са наблюдавани данни за повишени ефекти върху скелетната мускулатура в малката група пациенти, при които Розувастатин е прилаган с друго съпътстващо лечение. Увеличение на честотата на миозит и миопатия е наблюдавано обаче при пациенти, получаващи други инхибитори на </w:t>
      </w:r>
      <w:r w:rsidRPr="0004365C">
        <w:rPr>
          <w:rFonts w:eastAsia="Times New Roman" w:cs="Arial"/>
          <w:color w:val="000000"/>
          <w:szCs w:val="20"/>
          <w:lang w:val="en-US"/>
        </w:rPr>
        <w:t>HMG</w:t>
      </w:r>
      <w:r w:rsidRPr="0004365C">
        <w:rPr>
          <w:rFonts w:eastAsia="Times New Roman" w:cs="Arial"/>
          <w:color w:val="000000"/>
          <w:szCs w:val="20"/>
          <w:lang w:val="ru-RU"/>
        </w:rPr>
        <w:t>-</w:t>
      </w:r>
      <w:r w:rsidRPr="0004365C">
        <w:rPr>
          <w:rFonts w:eastAsia="Times New Roman" w:cs="Arial"/>
          <w:color w:val="000000"/>
          <w:szCs w:val="20"/>
          <w:lang w:val="en-US"/>
        </w:rPr>
        <w:t>CoA</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редуктазта заедно с циклоспорин, производни на фибриновата киселина, включително гемфиброзин, никотинова киселина, азолови антимикотици, протеазни инхибитори и макролидни антибиотици. Гемфиброзил повишава риска от миопатия, ако се приема едновременно </w:t>
      </w:r>
      <w:r w:rsidRPr="0004365C">
        <w:rPr>
          <w:rFonts w:eastAsia="Times New Roman" w:cs="Arial"/>
          <w:color w:val="000000"/>
          <w:szCs w:val="20"/>
          <w:lang w:val="en-US"/>
        </w:rPr>
        <w:t>HMG</w:t>
      </w:r>
      <w:r w:rsidRPr="0004365C">
        <w:rPr>
          <w:rFonts w:eastAsia="Times New Roman" w:cs="Arial"/>
          <w:color w:val="000000"/>
          <w:szCs w:val="20"/>
          <w:lang w:val="ru-RU"/>
        </w:rPr>
        <w:t>-</w:t>
      </w:r>
      <w:r w:rsidRPr="0004365C">
        <w:rPr>
          <w:rFonts w:eastAsia="Times New Roman" w:cs="Arial"/>
          <w:color w:val="000000"/>
          <w:szCs w:val="20"/>
          <w:lang w:val="en-US"/>
        </w:rPr>
        <w:t>CoA</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инхибитори на редуктазата. Поради това комбинацията между гемфиброзил и розувастатин не е препоръчителна. Ползата от допълнително понижаване на липидните нива в резултат от комбинираното приемане на розувастатин и фибрати или ниацин трябва да бъде внимателно изчислена спрямо потенциалния риск от подобни комбинации. При едновременно приложение на фибрати лечението с дози от 40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е противопоказано (вж. точка 4.5 и точка 4.8).</w:t>
      </w:r>
    </w:p>
    <w:p w14:paraId="211C3D6B" w14:textId="77777777" w:rsidR="0004365C" w:rsidRPr="0004365C" w:rsidRDefault="0004365C" w:rsidP="0004365C">
      <w:pPr>
        <w:spacing w:line="240" w:lineRule="auto"/>
        <w:rPr>
          <w:rFonts w:eastAsia="Times New Roman" w:cs="Arial"/>
          <w:color w:val="000000"/>
          <w:szCs w:val="20"/>
          <w:lang w:eastAsia="bg-BG"/>
        </w:rPr>
      </w:pPr>
    </w:p>
    <w:p w14:paraId="5611DE92" w14:textId="539BF53E"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Розувастатин не трябва да се употребява при пациенти с остри сериозни състояния, предполагащи миопатия или предразполагащи към развитие на бъбречна недостатъчност, вследствие на рабдомиолиза (напр. сепсис, хипотензия, голяма операция, травма, тежки метаболитни, ендокринни и електролитни нарушения или неконтролирани гърчове).</w:t>
      </w:r>
    </w:p>
    <w:p w14:paraId="3696D5FC" w14:textId="77777777" w:rsidR="0004365C" w:rsidRPr="0004365C" w:rsidRDefault="0004365C" w:rsidP="0004365C">
      <w:pPr>
        <w:spacing w:line="240" w:lineRule="auto"/>
        <w:rPr>
          <w:rFonts w:eastAsia="Times New Roman" w:cs="Arial"/>
          <w:color w:val="000000"/>
          <w:szCs w:val="20"/>
          <w:u w:val="single"/>
          <w:lang w:eastAsia="bg-BG"/>
        </w:rPr>
      </w:pPr>
    </w:p>
    <w:p w14:paraId="06947530" w14:textId="4C1E0446"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u w:val="single"/>
          <w:lang w:eastAsia="bg-BG"/>
        </w:rPr>
        <w:t>Влияние върху черния дроб</w:t>
      </w:r>
    </w:p>
    <w:p w14:paraId="0860665E"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Както при други инхибитори на </w:t>
      </w:r>
      <w:r w:rsidRPr="0004365C">
        <w:rPr>
          <w:rFonts w:eastAsia="Times New Roman" w:cs="Arial"/>
          <w:color w:val="000000"/>
          <w:szCs w:val="20"/>
          <w:lang w:val="en-US"/>
        </w:rPr>
        <w:t>HMG</w:t>
      </w:r>
      <w:r w:rsidRPr="0004365C">
        <w:rPr>
          <w:rFonts w:eastAsia="Times New Roman" w:cs="Arial"/>
          <w:color w:val="000000"/>
          <w:szCs w:val="20"/>
          <w:lang w:val="ru-RU"/>
        </w:rPr>
        <w:t>-</w:t>
      </w:r>
      <w:r w:rsidRPr="0004365C">
        <w:rPr>
          <w:rFonts w:eastAsia="Times New Roman" w:cs="Arial"/>
          <w:color w:val="000000"/>
          <w:szCs w:val="20"/>
          <w:lang w:val="en-US"/>
        </w:rPr>
        <w:t>CoA</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редуктазата и розувастатин трябва да се прилага с внимание при пациенти, приемащи голямо количество алкохол и/или имали заболяване на черния дроб. Препоръчително е да се направят изследвания на черния дроб преди и 3 месеца след започване на лечението. Розувастатин трябва да бъде преустановен или дозата трябва да се намали, ако нивото на серумните трансаминази надвишава три пъти горната граница на нормата. Докладваната честота за сериозни чернодробни увреждания (заключаващи се главно в увеличени чернодробни трансаминази) при постмаркетинговата употреба е по-висока при дозировка40 </w:t>
      </w:r>
      <w:r w:rsidRPr="0004365C">
        <w:rPr>
          <w:rFonts w:eastAsia="Times New Roman" w:cs="Arial"/>
          <w:color w:val="000000"/>
          <w:szCs w:val="20"/>
          <w:lang w:val="en-US"/>
        </w:rPr>
        <w:t>mg</w:t>
      </w:r>
      <w:r w:rsidRPr="0004365C">
        <w:rPr>
          <w:rFonts w:eastAsia="Times New Roman" w:cs="Arial"/>
          <w:color w:val="000000"/>
          <w:szCs w:val="20"/>
          <w:lang w:val="ru-RU"/>
        </w:rPr>
        <w:t>.</w:t>
      </w:r>
    </w:p>
    <w:p w14:paraId="5D254812" w14:textId="77777777" w:rsidR="0004365C" w:rsidRPr="0004365C" w:rsidRDefault="0004365C" w:rsidP="0004365C">
      <w:pPr>
        <w:spacing w:line="240" w:lineRule="auto"/>
        <w:rPr>
          <w:rFonts w:eastAsia="Times New Roman" w:cs="Arial"/>
          <w:color w:val="000000"/>
          <w:szCs w:val="20"/>
          <w:lang w:eastAsia="bg-BG"/>
        </w:rPr>
      </w:pPr>
    </w:p>
    <w:p w14:paraId="7543D2E7" w14:textId="43422F81"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При пациенти с вторична хиперхолестеролемия, причинена от хипотиреоидизъм синдром, основното заболяване трябва да се лекува преди започване па лечение е розувастатин.</w:t>
      </w:r>
    </w:p>
    <w:p w14:paraId="143152CD" w14:textId="77777777" w:rsidR="0004365C" w:rsidRPr="0004365C" w:rsidRDefault="0004365C" w:rsidP="0004365C">
      <w:pPr>
        <w:spacing w:line="240" w:lineRule="auto"/>
        <w:rPr>
          <w:rFonts w:eastAsia="Times New Roman" w:cs="Arial"/>
          <w:color w:val="000000"/>
          <w:szCs w:val="20"/>
          <w:u w:val="single"/>
          <w:lang w:eastAsia="bg-BG"/>
        </w:rPr>
      </w:pPr>
    </w:p>
    <w:p w14:paraId="45FECEF2" w14:textId="536CE8F1"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u w:val="single"/>
          <w:lang w:eastAsia="bg-BG"/>
        </w:rPr>
        <w:t>Раса</w:t>
      </w:r>
    </w:p>
    <w:p w14:paraId="5B55EA76"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Фармакокинетичните проучвания показват, че при пациентите от азиатската раса е налице по-висока</w:t>
      </w:r>
      <w:r w:rsidRPr="0004365C">
        <w:rPr>
          <w:rFonts w:eastAsia="Times New Roman" w:cs="Arial"/>
          <w:color w:val="000000"/>
          <w:szCs w:val="20"/>
          <w:vertAlign w:val="superscript"/>
          <w:lang w:eastAsia="bg-BG"/>
        </w:rPr>
        <w:t xml:space="preserve"> </w:t>
      </w:r>
      <w:r w:rsidRPr="0004365C">
        <w:rPr>
          <w:rFonts w:eastAsia="Times New Roman" w:cs="Arial"/>
          <w:color w:val="000000"/>
          <w:szCs w:val="20"/>
          <w:lang w:eastAsia="bg-BG"/>
        </w:rPr>
        <w:t>експозиция в сравнение е тези от кавказката (бялата) раса (вж. точка 4.2. точка 4.3 и точка 5.2).</w:t>
      </w:r>
    </w:p>
    <w:p w14:paraId="0467CC87" w14:textId="7A4ABD11" w:rsidR="0004365C" w:rsidRPr="0004365C" w:rsidRDefault="0004365C" w:rsidP="0004365C">
      <w:pPr>
        <w:rPr>
          <w:rFonts w:cs="Arial"/>
          <w:sz w:val="32"/>
        </w:rPr>
      </w:pPr>
    </w:p>
    <w:p w14:paraId="526DAB63"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u w:val="single"/>
          <w:lang w:eastAsia="bg-BG"/>
        </w:rPr>
        <w:t>Протеазни инхибитори</w:t>
      </w:r>
    </w:p>
    <w:p w14:paraId="5454DE2A"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Не се препоръчва едновременното приложение е протеазни инхибитори (вж. точка 4.5).</w:t>
      </w:r>
    </w:p>
    <w:p w14:paraId="52A1FF88" w14:textId="77777777" w:rsidR="0004365C" w:rsidRPr="0004365C" w:rsidRDefault="0004365C" w:rsidP="0004365C">
      <w:pPr>
        <w:spacing w:line="240" w:lineRule="auto"/>
        <w:rPr>
          <w:rFonts w:eastAsia="Times New Roman" w:cs="Arial"/>
          <w:color w:val="000000"/>
          <w:szCs w:val="20"/>
          <w:u w:val="single"/>
          <w:lang w:eastAsia="bg-BG"/>
        </w:rPr>
      </w:pPr>
    </w:p>
    <w:p w14:paraId="56DBCBFF" w14:textId="3322A1B2"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u w:val="single"/>
          <w:lang w:eastAsia="bg-BG"/>
        </w:rPr>
        <w:t>Интерстициална белодробна болест</w:t>
      </w:r>
    </w:p>
    <w:p w14:paraId="492DCE34"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Докладвани са изолирани случаи на интерстициална белодробна болест при приложение на някои статини, особено при продължителна терапия (вж. точка 4.8). Клиничните прояви могат да включват диспнея, непродуктивна кашлица и влошаване на общото състояние (умора, загуба на тегло и треска). Ако има подозрение, че пациентът е развил интерстициална белодробна болест, терапията със статии трябва да бъде преустановена.</w:t>
      </w:r>
    </w:p>
    <w:p w14:paraId="214A9DF5" w14:textId="77777777" w:rsidR="0004365C" w:rsidRPr="0004365C" w:rsidRDefault="0004365C" w:rsidP="0004365C">
      <w:pPr>
        <w:spacing w:line="240" w:lineRule="auto"/>
        <w:rPr>
          <w:rFonts w:eastAsia="Times New Roman" w:cs="Arial"/>
          <w:color w:val="000000"/>
          <w:szCs w:val="20"/>
          <w:u w:val="single"/>
          <w:lang w:eastAsia="bg-BG"/>
        </w:rPr>
      </w:pPr>
    </w:p>
    <w:p w14:paraId="7D4C6F30" w14:textId="2BD4E464"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u w:val="single"/>
          <w:lang w:eastAsia="bg-BG"/>
        </w:rPr>
        <w:t>Захарен диабет</w:t>
      </w:r>
    </w:p>
    <w:p w14:paraId="78527D85"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Някои доказателства предполагат, че статините като клас повишават кръвната глюкоза и при някои пациенти, с висок риск за развитие на диабет в бъдеще, могат да доведат до такова ниво на хипергликемия, при което е подходящо прилагането на редовната грижа, провеждана при диабет. Този риск обаче се надделява от редукцията на васкуларния риск със статини и следователно не трябва да бъде причина за спиране на статиновата терапия. Рисковите пациенти (глюкоза на гладно 5.6 до 6.9 </w:t>
      </w:r>
      <w:proofErr w:type="spellStart"/>
      <w:r w:rsidRPr="0004365C">
        <w:rPr>
          <w:rFonts w:eastAsia="Times New Roman" w:cs="Arial"/>
          <w:color w:val="000000"/>
          <w:szCs w:val="20"/>
          <w:lang w:val="en-US"/>
        </w:rPr>
        <w:t>mmol</w:t>
      </w:r>
      <w:proofErr w:type="spellEnd"/>
      <w:r w:rsidRPr="0004365C">
        <w:rPr>
          <w:rFonts w:eastAsia="Times New Roman" w:cs="Arial"/>
          <w:color w:val="000000"/>
          <w:szCs w:val="20"/>
          <w:lang w:val="ru-RU"/>
        </w:rPr>
        <w:t xml:space="preserve">/1, </w:t>
      </w:r>
      <w:r w:rsidRPr="0004365C">
        <w:rPr>
          <w:rFonts w:eastAsia="Times New Roman" w:cs="Arial"/>
          <w:color w:val="000000"/>
          <w:szCs w:val="20"/>
          <w:lang w:eastAsia="bg-BG"/>
        </w:rPr>
        <w:t xml:space="preserve">индекс на телесна маса &gt; 30 </w:t>
      </w:r>
      <w:r w:rsidRPr="0004365C">
        <w:rPr>
          <w:rFonts w:eastAsia="Times New Roman" w:cs="Arial"/>
          <w:color w:val="000000"/>
          <w:szCs w:val="20"/>
          <w:lang w:val="en-US"/>
        </w:rPr>
        <w:t>kg</w:t>
      </w:r>
      <w:r w:rsidRPr="0004365C">
        <w:rPr>
          <w:rFonts w:eastAsia="Times New Roman" w:cs="Arial"/>
          <w:color w:val="000000"/>
          <w:szCs w:val="20"/>
          <w:lang w:val="ru-RU"/>
        </w:rPr>
        <w:t>/</w:t>
      </w:r>
      <w:r w:rsidRPr="0004365C">
        <w:rPr>
          <w:rFonts w:eastAsia="Times New Roman" w:cs="Arial"/>
          <w:color w:val="000000"/>
          <w:szCs w:val="20"/>
          <w:lang w:val="en-US"/>
        </w:rPr>
        <w:t>m</w:t>
      </w:r>
      <w:r w:rsidRPr="0004365C">
        <w:rPr>
          <w:rFonts w:eastAsia="Times New Roman" w:cs="Arial"/>
          <w:color w:val="000000"/>
          <w:szCs w:val="20"/>
          <w:vertAlign w:val="superscript"/>
          <w:lang w:val="ru-RU"/>
        </w:rPr>
        <w:t>2</w:t>
      </w:r>
      <w:r w:rsidRPr="0004365C">
        <w:rPr>
          <w:rFonts w:eastAsia="Times New Roman" w:cs="Arial"/>
          <w:color w:val="000000"/>
          <w:szCs w:val="20"/>
          <w:lang w:val="ru-RU"/>
        </w:rPr>
        <w:t xml:space="preserve">, </w:t>
      </w:r>
      <w:r w:rsidRPr="0004365C">
        <w:rPr>
          <w:rFonts w:eastAsia="Times New Roman" w:cs="Arial"/>
          <w:color w:val="000000"/>
          <w:szCs w:val="20"/>
          <w:lang w:eastAsia="bg-BG"/>
        </w:rPr>
        <w:t>повишени стойности на триглицеридите, хипертония) трябва да се проследява клинично и биохимично съгласно националните ръководства.</w:t>
      </w:r>
    </w:p>
    <w:p w14:paraId="033767A9" w14:textId="77777777" w:rsidR="0004365C" w:rsidRPr="0004365C" w:rsidRDefault="0004365C" w:rsidP="0004365C">
      <w:pPr>
        <w:spacing w:line="240" w:lineRule="auto"/>
        <w:rPr>
          <w:rFonts w:eastAsia="Times New Roman" w:cs="Arial"/>
          <w:color w:val="000000"/>
          <w:szCs w:val="20"/>
          <w:lang w:eastAsia="bg-BG"/>
        </w:rPr>
      </w:pPr>
    </w:p>
    <w:p w14:paraId="0FA6458A" w14:textId="7D6E1563"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В проучването </w:t>
      </w:r>
      <w:r w:rsidRPr="0004365C">
        <w:rPr>
          <w:rFonts w:eastAsia="Times New Roman" w:cs="Arial"/>
          <w:color w:val="000000"/>
          <w:szCs w:val="20"/>
          <w:lang w:val="en-US"/>
        </w:rPr>
        <w:t>JUPITER</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съобщената обща честота на захарен диабет е 2,8% за розувастатин и 2.3% за плацебо, главно при пациенти с глюкоза на гладно 5,6 до 6.9 </w:t>
      </w:r>
      <w:proofErr w:type="spellStart"/>
      <w:r w:rsidRPr="0004365C">
        <w:rPr>
          <w:rFonts w:eastAsia="Times New Roman" w:cs="Arial"/>
          <w:color w:val="000000"/>
          <w:szCs w:val="20"/>
          <w:lang w:val="en-US"/>
        </w:rPr>
        <w:t>mmol</w:t>
      </w:r>
      <w:proofErr w:type="spellEnd"/>
      <w:r w:rsidRPr="0004365C">
        <w:rPr>
          <w:rFonts w:eastAsia="Times New Roman" w:cs="Arial"/>
          <w:color w:val="000000"/>
          <w:szCs w:val="20"/>
          <w:lang w:val="ru-RU"/>
        </w:rPr>
        <w:t>/1.</w:t>
      </w:r>
    </w:p>
    <w:p w14:paraId="2F557B75" w14:textId="77777777" w:rsidR="0004365C" w:rsidRPr="0004365C" w:rsidRDefault="0004365C" w:rsidP="0004365C">
      <w:pPr>
        <w:spacing w:line="240" w:lineRule="auto"/>
        <w:rPr>
          <w:rFonts w:eastAsia="Times New Roman" w:cs="Arial"/>
          <w:color w:val="000000"/>
          <w:szCs w:val="20"/>
          <w:u w:val="single"/>
          <w:lang w:eastAsia="bg-BG"/>
        </w:rPr>
      </w:pPr>
    </w:p>
    <w:p w14:paraId="78C67A19" w14:textId="469A7A5F"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u w:val="single"/>
          <w:lang w:eastAsia="bg-BG"/>
        </w:rPr>
        <w:t>Педиатрична популация</w:t>
      </w:r>
    </w:p>
    <w:p w14:paraId="71470F69"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Оценяването на линейното израстване (височина), тегло, </w:t>
      </w:r>
      <w:r w:rsidRPr="0004365C">
        <w:rPr>
          <w:rFonts w:eastAsia="Times New Roman" w:cs="Arial"/>
          <w:color w:val="000000"/>
          <w:szCs w:val="20"/>
          <w:lang w:val="en-US"/>
        </w:rPr>
        <w:t>BMI</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(индекс на телесната маса) и вторичните полови белези на половото съзряване по скалата на </w:t>
      </w:r>
      <w:r w:rsidRPr="0004365C">
        <w:rPr>
          <w:rFonts w:eastAsia="Times New Roman" w:cs="Arial"/>
          <w:color w:val="000000"/>
          <w:szCs w:val="20"/>
          <w:lang w:val="en-US"/>
        </w:rPr>
        <w:t>Tanner</w:t>
      </w:r>
      <w:r w:rsidRPr="0004365C">
        <w:rPr>
          <w:rFonts w:eastAsia="Times New Roman" w:cs="Arial"/>
          <w:color w:val="000000"/>
          <w:szCs w:val="20"/>
          <w:lang w:val="ru-RU"/>
        </w:rPr>
        <w:t xml:space="preserve"> </w:t>
      </w:r>
      <w:r w:rsidRPr="0004365C">
        <w:rPr>
          <w:rFonts w:eastAsia="Times New Roman" w:cs="Arial"/>
          <w:color w:val="000000"/>
          <w:szCs w:val="20"/>
          <w:lang w:eastAsia="bg-BG"/>
        </w:rPr>
        <w:t>при педиатрични пациенти на възраст 10 до 17 години, приемащи розувастатин, е ограничено до едногодишен период. След 52 седмици на третиране по време на проучването, не беше забелязан никакъв ефект върху растежа, теглото, ВМ1 или половото съзряване (вж. точка 5.1). Опитът от клинични проучвания с пациенти в детска и юношеска възраст е ограничен и дългосрочните ефекти на Розувастатин (1 година) върху пубертета не са известни.</w:t>
      </w:r>
    </w:p>
    <w:p w14:paraId="3BD61897" w14:textId="77777777" w:rsidR="0004365C" w:rsidRPr="0004365C" w:rsidRDefault="0004365C" w:rsidP="0004365C">
      <w:pPr>
        <w:spacing w:line="240" w:lineRule="auto"/>
        <w:rPr>
          <w:rFonts w:eastAsia="Times New Roman" w:cs="Arial"/>
          <w:color w:val="000000"/>
          <w:szCs w:val="20"/>
          <w:lang w:eastAsia="bg-BG"/>
        </w:rPr>
      </w:pPr>
    </w:p>
    <w:p w14:paraId="4E271293" w14:textId="4D18648B"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В клинично проучване на деца и младежи, приемащи Розувастатин за 52 седмици, повишаване на СК &gt; 10 х </w:t>
      </w:r>
      <w:r w:rsidRPr="0004365C">
        <w:rPr>
          <w:rFonts w:eastAsia="Times New Roman" w:cs="Arial"/>
          <w:color w:val="000000"/>
          <w:szCs w:val="20"/>
          <w:lang w:val="en-US"/>
        </w:rPr>
        <w:t>ULN</w:t>
      </w:r>
      <w:r w:rsidRPr="0004365C">
        <w:rPr>
          <w:rFonts w:eastAsia="Times New Roman" w:cs="Arial"/>
          <w:color w:val="000000"/>
          <w:szCs w:val="20"/>
          <w:lang w:val="ru-RU"/>
        </w:rPr>
        <w:t xml:space="preserve"> </w:t>
      </w:r>
      <w:r w:rsidRPr="0004365C">
        <w:rPr>
          <w:rFonts w:eastAsia="Times New Roman" w:cs="Arial"/>
          <w:color w:val="000000"/>
          <w:szCs w:val="20"/>
          <w:lang w:eastAsia="bg-BG"/>
        </w:rPr>
        <w:t>и мускулни симптоми след упражнения или повишена физическа активност са докладвани по- често в сравнение с наблюдения от клинични проучвания при възрастни (вж. точка 4.8).</w:t>
      </w:r>
    </w:p>
    <w:p w14:paraId="64813D45" w14:textId="77777777" w:rsidR="0004365C" w:rsidRPr="0004365C" w:rsidRDefault="0004365C" w:rsidP="0004365C">
      <w:pPr>
        <w:spacing w:line="240" w:lineRule="auto"/>
        <w:rPr>
          <w:rFonts w:eastAsia="Times New Roman" w:cs="Arial"/>
          <w:color w:val="000000"/>
          <w:szCs w:val="20"/>
          <w:u w:val="single"/>
          <w:lang w:eastAsia="bg-BG"/>
        </w:rPr>
      </w:pPr>
    </w:p>
    <w:p w14:paraId="4C006CBD" w14:textId="7F90790F"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u w:val="single"/>
          <w:lang w:eastAsia="bg-BG"/>
        </w:rPr>
        <w:t>Лактоза:</w:t>
      </w:r>
    </w:p>
    <w:p w14:paraId="4758789C"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lastRenderedPageBreak/>
        <w:t xml:space="preserve">Росувастатин съдържа лактоза. Пациенти с редки наследствени проблеми, като галактозна непоносимост, </w:t>
      </w:r>
      <w:r w:rsidRPr="0004365C">
        <w:rPr>
          <w:rFonts w:eastAsia="Times New Roman" w:cs="Arial"/>
          <w:color w:val="000000"/>
          <w:szCs w:val="20"/>
          <w:lang w:val="en-US"/>
        </w:rPr>
        <w:t>Lapp</w:t>
      </w:r>
      <w:r w:rsidRPr="0004365C">
        <w:rPr>
          <w:rFonts w:eastAsia="Times New Roman" w:cs="Arial"/>
          <w:color w:val="000000"/>
          <w:szCs w:val="20"/>
          <w:lang w:val="ru-RU"/>
        </w:rPr>
        <w:t xml:space="preserve"> </w:t>
      </w:r>
      <w:r w:rsidRPr="0004365C">
        <w:rPr>
          <w:rFonts w:eastAsia="Times New Roman" w:cs="Arial"/>
          <w:color w:val="000000"/>
          <w:szCs w:val="20"/>
          <w:lang w:eastAsia="bg-BG"/>
        </w:rPr>
        <w:t>лактазен дефицит или глюкозо-галактозна малабсорбция, не трябва да приемат това лекарство.</w:t>
      </w:r>
    </w:p>
    <w:p w14:paraId="2C70B9ED" w14:textId="77777777" w:rsidR="0004365C" w:rsidRPr="0004365C" w:rsidRDefault="0004365C" w:rsidP="0004365C">
      <w:pPr>
        <w:spacing w:line="240" w:lineRule="auto"/>
        <w:rPr>
          <w:rFonts w:eastAsia="Times New Roman" w:cs="Arial"/>
          <w:color w:val="000000"/>
          <w:szCs w:val="20"/>
          <w:u w:val="single"/>
          <w:lang w:eastAsia="bg-BG"/>
        </w:rPr>
      </w:pPr>
    </w:p>
    <w:p w14:paraId="2817CC5E" w14:textId="1F7A2882"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u w:val="single"/>
          <w:lang w:eastAsia="bg-BG"/>
        </w:rPr>
        <w:t>Лецитин (соя) (Е322)</w:t>
      </w:r>
    </w:p>
    <w:p w14:paraId="340807DE"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Този лекарствен продукт съдържа соев лецитин. Ако пациентът е алергичен към фъстъци или соя, не трябва да използва този лекарствен продукт (вж точка 4.3).</w:t>
      </w:r>
    </w:p>
    <w:p w14:paraId="20442FE9" w14:textId="77777777" w:rsidR="0004365C" w:rsidRPr="0004365C" w:rsidRDefault="0004365C" w:rsidP="0004365C">
      <w:pPr>
        <w:rPr>
          <w:rFonts w:cs="Arial"/>
          <w:sz w:val="28"/>
        </w:rPr>
      </w:pPr>
    </w:p>
    <w:p w14:paraId="1244F76A" w14:textId="5366869F" w:rsidR="00395555" w:rsidRDefault="002C50EE" w:rsidP="008A6AF2">
      <w:pPr>
        <w:pStyle w:val="Heading2"/>
      </w:pPr>
      <w:r>
        <w:t>4.5. Взаимодействие с други лекарствени продукти и други форми на взаимодействие</w:t>
      </w:r>
    </w:p>
    <w:p w14:paraId="1F47668B" w14:textId="1135A1BD" w:rsidR="0004365C" w:rsidRDefault="0004365C" w:rsidP="0004365C"/>
    <w:p w14:paraId="75C00969" w14:textId="77777777"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 xml:space="preserve">Циклоспорин: </w:t>
      </w:r>
      <w:r w:rsidRPr="0004365C">
        <w:rPr>
          <w:rFonts w:eastAsia="Times New Roman" w:cs="Arial"/>
          <w:color w:val="000000"/>
          <w:szCs w:val="20"/>
          <w:lang w:eastAsia="bg-BG"/>
        </w:rPr>
        <w:t xml:space="preserve">При едновременното приложение на Розувастатин с циклоспорин средните стойности на </w:t>
      </w:r>
      <w:r w:rsidRPr="0004365C">
        <w:rPr>
          <w:rFonts w:eastAsia="Times New Roman" w:cs="Arial"/>
          <w:color w:val="000000"/>
          <w:szCs w:val="20"/>
          <w:lang w:val="en-US"/>
        </w:rPr>
        <w:t>AUC</w:t>
      </w:r>
      <w:r w:rsidRPr="0004365C">
        <w:rPr>
          <w:rFonts w:eastAsia="Times New Roman" w:cs="Arial"/>
          <w:color w:val="000000"/>
          <w:szCs w:val="20"/>
          <w:lang w:val="ru-RU"/>
        </w:rPr>
        <w:t xml:space="preserve"> </w:t>
      </w:r>
      <w:r w:rsidRPr="0004365C">
        <w:rPr>
          <w:rFonts w:eastAsia="Times New Roman" w:cs="Arial"/>
          <w:color w:val="000000"/>
          <w:szCs w:val="20"/>
          <w:lang w:eastAsia="bg-BG"/>
        </w:rPr>
        <w:t>на Розувастатин са били средно 7 пъти по-високи от тези, наблюдавани при здрави доброволци, на които е приложена същата доза (вж. точка 4.3). Едновременното приложение не е повлияло плазмените концентрации на циклоспорин,</w:t>
      </w:r>
    </w:p>
    <w:p w14:paraId="4DFFC27D" w14:textId="77777777" w:rsidR="0004365C" w:rsidRPr="0004365C" w:rsidRDefault="0004365C" w:rsidP="0004365C">
      <w:pPr>
        <w:spacing w:line="240" w:lineRule="auto"/>
        <w:rPr>
          <w:rFonts w:eastAsia="Times New Roman" w:cs="Arial"/>
          <w:b/>
          <w:bCs/>
          <w:color w:val="000000"/>
          <w:szCs w:val="20"/>
          <w:lang w:eastAsia="bg-BG"/>
        </w:rPr>
      </w:pPr>
    </w:p>
    <w:p w14:paraId="6335E566" w14:textId="2C0EC747"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 xml:space="preserve">Антагонисти на витамин К: </w:t>
      </w:r>
      <w:r w:rsidRPr="0004365C">
        <w:rPr>
          <w:rFonts w:eastAsia="Times New Roman" w:cs="Arial"/>
          <w:color w:val="000000"/>
          <w:szCs w:val="20"/>
          <w:lang w:eastAsia="bg-BG"/>
        </w:rPr>
        <w:t xml:space="preserve">Подобно на други инхибитори на </w:t>
      </w:r>
      <w:r w:rsidRPr="0004365C">
        <w:rPr>
          <w:rFonts w:eastAsia="Times New Roman" w:cs="Arial"/>
          <w:color w:val="000000"/>
          <w:szCs w:val="20"/>
          <w:lang w:val="en-US"/>
        </w:rPr>
        <w:t>HMG</w:t>
      </w:r>
      <w:r w:rsidRPr="0004365C">
        <w:rPr>
          <w:rFonts w:eastAsia="Times New Roman" w:cs="Arial"/>
          <w:color w:val="000000"/>
          <w:szCs w:val="20"/>
          <w:lang w:val="ru-RU"/>
        </w:rPr>
        <w:t>-</w:t>
      </w:r>
      <w:r w:rsidRPr="0004365C">
        <w:rPr>
          <w:rFonts w:eastAsia="Times New Roman" w:cs="Arial"/>
          <w:color w:val="000000"/>
          <w:szCs w:val="20"/>
          <w:lang w:val="en-US"/>
        </w:rPr>
        <w:t>CoA</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редуктазата започването на лечение с Розувастатин или титрирането на дозата му при пациенти, приемащи антагонисти на витамин К (като варфаин или други кумаринови антикоагуланти) може да доведе до повишение на </w:t>
      </w:r>
      <w:r w:rsidRPr="0004365C">
        <w:rPr>
          <w:rFonts w:eastAsia="Times New Roman" w:cs="Arial"/>
          <w:color w:val="000000"/>
          <w:szCs w:val="20"/>
          <w:lang w:val="en-US"/>
        </w:rPr>
        <w:t>International</w:t>
      </w:r>
    </w:p>
    <w:p w14:paraId="056CB4C6" w14:textId="77777777" w:rsidR="0004365C" w:rsidRPr="0004365C" w:rsidRDefault="0004365C" w:rsidP="0004365C">
      <w:pPr>
        <w:rPr>
          <w:rFonts w:eastAsia="Times New Roman" w:cs="Arial"/>
          <w:sz w:val="28"/>
          <w:szCs w:val="24"/>
        </w:rPr>
      </w:pPr>
      <w:r w:rsidRPr="0004365C">
        <w:rPr>
          <w:rFonts w:eastAsia="Times New Roman" w:cs="Arial"/>
          <w:color w:val="000000"/>
          <w:szCs w:val="20"/>
          <w:lang w:val="en-US"/>
        </w:rPr>
        <w:t>Normalized</w:t>
      </w:r>
      <w:r w:rsidRPr="0004365C">
        <w:rPr>
          <w:rFonts w:eastAsia="Times New Roman" w:cs="Arial"/>
          <w:color w:val="000000"/>
          <w:szCs w:val="20"/>
          <w:lang w:val="ru-RU"/>
        </w:rPr>
        <w:t xml:space="preserve"> </w:t>
      </w:r>
      <w:r w:rsidRPr="0004365C">
        <w:rPr>
          <w:rFonts w:eastAsia="Times New Roman" w:cs="Arial"/>
          <w:color w:val="000000"/>
          <w:szCs w:val="20"/>
          <w:lang w:val="en-US"/>
        </w:rPr>
        <w:t>Ratio</w:t>
      </w:r>
      <w:r w:rsidRPr="0004365C">
        <w:rPr>
          <w:rFonts w:eastAsia="Times New Roman" w:cs="Arial"/>
          <w:color w:val="000000"/>
          <w:szCs w:val="20"/>
          <w:lang w:val="ru-RU"/>
        </w:rPr>
        <w:t xml:space="preserve"> (</w:t>
      </w:r>
      <w:r w:rsidRPr="0004365C">
        <w:rPr>
          <w:rFonts w:eastAsia="Times New Roman" w:cs="Arial"/>
          <w:color w:val="000000"/>
          <w:szCs w:val="20"/>
          <w:lang w:val="en-US"/>
        </w:rPr>
        <w:t>INR</w:t>
      </w:r>
      <w:r w:rsidRPr="0004365C">
        <w:rPr>
          <w:rFonts w:eastAsia="Times New Roman" w:cs="Arial"/>
          <w:color w:val="000000"/>
          <w:szCs w:val="20"/>
          <w:lang w:val="ru-RU"/>
        </w:rPr>
        <w:t xml:space="preserve">). </w:t>
      </w:r>
      <w:r w:rsidRPr="0004365C">
        <w:rPr>
          <w:rFonts w:eastAsia="Times New Roman" w:cs="Arial"/>
          <w:color w:val="000000"/>
          <w:szCs w:val="20"/>
          <w:lang w:eastAsia="bg-BG"/>
        </w:rPr>
        <w:t>Прекъсването на лечението или намаляване на дозата</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на титринране с розувастатин може да доведе до намаление на </w:t>
      </w:r>
      <w:r w:rsidRPr="0004365C">
        <w:rPr>
          <w:rFonts w:eastAsia="Times New Roman" w:cs="Arial"/>
          <w:color w:val="000000"/>
          <w:szCs w:val="20"/>
          <w:lang w:val="en-US"/>
        </w:rPr>
        <w:t>INR</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При подобни ситуации се препоръчва мониториране на </w:t>
      </w:r>
      <w:r w:rsidRPr="0004365C">
        <w:rPr>
          <w:rFonts w:eastAsia="Times New Roman" w:cs="Arial"/>
          <w:color w:val="000000"/>
          <w:szCs w:val="20"/>
          <w:lang w:val="en-US"/>
        </w:rPr>
        <w:t>INR</w:t>
      </w:r>
      <w:r w:rsidRPr="0004365C">
        <w:rPr>
          <w:rFonts w:eastAsia="Times New Roman" w:cs="Arial"/>
          <w:color w:val="000000"/>
          <w:szCs w:val="20"/>
          <w:lang w:val="ru-RU"/>
        </w:rPr>
        <w:t>.</w:t>
      </w:r>
    </w:p>
    <w:p w14:paraId="4893E44E" w14:textId="77777777" w:rsidR="0004365C" w:rsidRPr="0004365C" w:rsidRDefault="0004365C" w:rsidP="0004365C">
      <w:pPr>
        <w:spacing w:line="240" w:lineRule="auto"/>
        <w:rPr>
          <w:rFonts w:eastAsia="Times New Roman" w:cs="Arial"/>
          <w:b/>
          <w:bCs/>
          <w:color w:val="000000"/>
          <w:szCs w:val="20"/>
          <w:lang w:eastAsia="bg-BG"/>
        </w:rPr>
      </w:pPr>
    </w:p>
    <w:p w14:paraId="365FCBE0" w14:textId="1232F955"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 xml:space="preserve">Езетимиб: </w:t>
      </w:r>
      <w:r w:rsidRPr="0004365C">
        <w:rPr>
          <w:rFonts w:eastAsia="Times New Roman" w:cs="Arial"/>
          <w:color w:val="000000"/>
          <w:szCs w:val="20"/>
          <w:lang w:eastAsia="bg-BG"/>
        </w:rPr>
        <w:t xml:space="preserve">Едновременното му използване с розувастатин не води до промени в </w:t>
      </w:r>
      <w:r w:rsidRPr="0004365C">
        <w:rPr>
          <w:rFonts w:eastAsia="Times New Roman" w:cs="Arial"/>
          <w:color w:val="000000"/>
          <w:szCs w:val="20"/>
          <w:lang w:val="en-US"/>
        </w:rPr>
        <w:t>AUC</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или </w:t>
      </w:r>
      <w:proofErr w:type="spellStart"/>
      <w:r w:rsidRPr="0004365C">
        <w:rPr>
          <w:rFonts w:eastAsia="Times New Roman" w:cs="Arial"/>
          <w:color w:val="000000"/>
          <w:szCs w:val="20"/>
          <w:lang w:val="en-US"/>
        </w:rPr>
        <w:t>C</w:t>
      </w:r>
      <w:r w:rsidRPr="0004365C">
        <w:rPr>
          <w:rFonts w:eastAsia="Times New Roman" w:cs="Arial"/>
          <w:color w:val="000000"/>
          <w:szCs w:val="20"/>
          <w:vertAlign w:val="subscript"/>
          <w:lang w:val="en-US"/>
        </w:rPr>
        <w:t>max</w:t>
      </w:r>
      <w:proofErr w:type="spellEnd"/>
      <w:r w:rsidRPr="0004365C">
        <w:rPr>
          <w:rFonts w:eastAsia="Times New Roman" w:cs="Arial"/>
          <w:color w:val="000000"/>
          <w:szCs w:val="20"/>
          <w:lang w:val="ru-RU"/>
        </w:rPr>
        <w:t xml:space="preserve"> </w:t>
      </w:r>
      <w:r w:rsidRPr="0004365C">
        <w:rPr>
          <w:rFonts w:eastAsia="Times New Roman" w:cs="Arial"/>
          <w:color w:val="000000"/>
          <w:szCs w:val="20"/>
          <w:lang w:eastAsia="bg-BG"/>
        </w:rPr>
        <w:t>и при двата препарата. Въпреки това не може да се изключи фармакодинамично взаимодействие между тях, което да има за резултат нежелани реакции (вж. точка 4.4).</w:t>
      </w:r>
    </w:p>
    <w:p w14:paraId="31187450" w14:textId="77777777" w:rsidR="0004365C" w:rsidRPr="0004365C" w:rsidRDefault="0004365C" w:rsidP="0004365C">
      <w:pPr>
        <w:spacing w:line="240" w:lineRule="auto"/>
        <w:rPr>
          <w:rFonts w:eastAsia="Times New Roman" w:cs="Arial"/>
          <w:b/>
          <w:bCs/>
          <w:color w:val="000000"/>
          <w:szCs w:val="20"/>
          <w:lang w:eastAsia="bg-BG"/>
        </w:rPr>
      </w:pPr>
    </w:p>
    <w:p w14:paraId="141D0FD8" w14:textId="33391CF3"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 xml:space="preserve">Гемфиброзил и други липидопонижяващи продукти: </w:t>
      </w:r>
      <w:r w:rsidRPr="0004365C">
        <w:rPr>
          <w:rFonts w:eastAsia="Times New Roman" w:cs="Arial"/>
          <w:color w:val="000000"/>
          <w:szCs w:val="20"/>
          <w:lang w:eastAsia="bg-BG"/>
        </w:rPr>
        <w:t xml:space="preserve">Едновременно приложение на розувастатин и гемфиброзил е довело до двукратно повишение на </w:t>
      </w:r>
      <w:proofErr w:type="spellStart"/>
      <w:r w:rsidRPr="0004365C">
        <w:rPr>
          <w:rFonts w:eastAsia="Times New Roman" w:cs="Arial"/>
          <w:color w:val="000000"/>
          <w:szCs w:val="20"/>
          <w:lang w:val="en-US"/>
        </w:rPr>
        <w:t>C</w:t>
      </w:r>
      <w:r w:rsidRPr="0004365C">
        <w:rPr>
          <w:rFonts w:eastAsia="Times New Roman" w:cs="Arial"/>
          <w:color w:val="000000"/>
          <w:szCs w:val="20"/>
          <w:vertAlign w:val="subscript"/>
          <w:lang w:val="en-US"/>
        </w:rPr>
        <w:t>max</w:t>
      </w:r>
      <w:proofErr w:type="spellEnd"/>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и </w:t>
      </w:r>
      <w:r w:rsidRPr="0004365C">
        <w:rPr>
          <w:rFonts w:eastAsia="Times New Roman" w:cs="Arial"/>
          <w:color w:val="000000"/>
          <w:szCs w:val="20"/>
          <w:lang w:val="en-US"/>
        </w:rPr>
        <w:t>AUC</w:t>
      </w:r>
      <w:r w:rsidRPr="0004365C">
        <w:rPr>
          <w:rFonts w:eastAsia="Times New Roman" w:cs="Arial"/>
          <w:color w:val="000000"/>
          <w:szCs w:val="20"/>
          <w:lang w:val="ru-RU"/>
        </w:rPr>
        <w:t xml:space="preserve"> </w:t>
      </w:r>
      <w:r w:rsidRPr="0004365C">
        <w:rPr>
          <w:rFonts w:eastAsia="Times New Roman" w:cs="Arial"/>
          <w:color w:val="000000"/>
          <w:szCs w:val="20"/>
          <w:lang w:eastAsia="bg-BG"/>
        </w:rPr>
        <w:t>на розувастатин (вж. точка 4.4).</w:t>
      </w:r>
    </w:p>
    <w:p w14:paraId="39F57F2D"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Данните от фармакокинетичните проучвания, изследващи лекарствените взаимодействия, не показват взаимодействие с фенофибрат, но е възможна поява на фармакодинамични взаимодействия. Гемфиброзил, фенофибрат и останалите медикаменти от групата на фибратите и липидопонижаващите дози (в дози ≥ 1 </w:t>
      </w:r>
      <w:r w:rsidRPr="0004365C">
        <w:rPr>
          <w:rFonts w:eastAsia="Times New Roman" w:cs="Arial"/>
          <w:color w:val="000000"/>
          <w:szCs w:val="20"/>
          <w:lang w:val="en-US"/>
        </w:rPr>
        <w:t>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на ден) ниацин (никотинова киселина) повишават риска от поява на миопатия при комбиниране с инхибитори на хидрокси-метил-глутарил-коензим А редуктазата, най-вероятно поради факта, че последните могат да предизвикат появата на това усложнение и при монотерапия. Дозата от 40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е противопоказана при едновременен прием на фибрати (вж. точка 4.3 и точка 4.4). При тези пациенти лечението също трябва да започне с 5 </w:t>
      </w:r>
      <w:r w:rsidRPr="0004365C">
        <w:rPr>
          <w:rFonts w:eastAsia="Times New Roman" w:cs="Arial"/>
          <w:color w:val="000000"/>
          <w:szCs w:val="20"/>
          <w:lang w:val="en-US"/>
        </w:rPr>
        <w:t>mg</w:t>
      </w:r>
      <w:r w:rsidRPr="0004365C">
        <w:rPr>
          <w:rFonts w:eastAsia="Times New Roman" w:cs="Arial"/>
          <w:color w:val="000000"/>
          <w:szCs w:val="20"/>
          <w:lang w:val="ru-RU"/>
        </w:rPr>
        <w:t>.</w:t>
      </w:r>
    </w:p>
    <w:p w14:paraId="11EFAFD4" w14:textId="77777777" w:rsidR="0004365C" w:rsidRPr="0004365C" w:rsidRDefault="0004365C" w:rsidP="0004365C">
      <w:pPr>
        <w:spacing w:line="240" w:lineRule="auto"/>
        <w:rPr>
          <w:rFonts w:eastAsia="Times New Roman" w:cs="Arial"/>
          <w:b/>
          <w:bCs/>
          <w:color w:val="000000"/>
          <w:szCs w:val="20"/>
          <w:lang w:eastAsia="bg-BG"/>
        </w:rPr>
      </w:pPr>
    </w:p>
    <w:p w14:paraId="1A1CB38C" w14:textId="5A55356E"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 xml:space="preserve">Протеазни инхибитори: </w:t>
      </w:r>
      <w:r w:rsidRPr="0004365C">
        <w:rPr>
          <w:rFonts w:eastAsia="Times New Roman" w:cs="Arial"/>
          <w:color w:val="000000"/>
          <w:szCs w:val="20"/>
          <w:lang w:eastAsia="bg-BG"/>
        </w:rPr>
        <w:t xml:space="preserve">Въпреки че точният механизъм на взаимодействие не е известен, едновременното приложение с протеазни инхибитори може рязко да повиши експозицията на розувастатин. Едновременното приложение на 20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розувастатин и комбиниран продукт, състоящ се от два протеазни инхибитора (400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лопинавир/100 </w:t>
      </w:r>
      <w:r w:rsidRPr="0004365C">
        <w:rPr>
          <w:rFonts w:eastAsia="Times New Roman" w:cs="Arial"/>
          <w:color w:val="000000"/>
          <w:szCs w:val="20"/>
          <w:lang w:val="en-US"/>
        </w:rPr>
        <w:t>mg</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ритонавир) по време на едно фармакокинетично проучване при здрави доброволци, се асоциира с приблизително дву- и петкратно нарастване в равновесните </w:t>
      </w:r>
      <w:r w:rsidRPr="0004365C">
        <w:rPr>
          <w:rFonts w:eastAsia="Times New Roman" w:cs="Arial"/>
          <w:color w:val="000000"/>
          <w:szCs w:val="20"/>
          <w:lang w:val="en-US"/>
        </w:rPr>
        <w:t>AUC</w:t>
      </w:r>
      <w:r w:rsidRPr="0004365C">
        <w:rPr>
          <w:rFonts w:eastAsia="Times New Roman" w:cs="Arial"/>
          <w:color w:val="000000"/>
          <w:szCs w:val="20"/>
          <w:vertAlign w:val="subscript"/>
          <w:lang w:val="ru-RU"/>
        </w:rPr>
        <w:t>0-24</w:t>
      </w:r>
      <w:r w:rsidRPr="0004365C">
        <w:rPr>
          <w:rFonts w:eastAsia="Times New Roman" w:cs="Arial"/>
          <w:color w:val="000000"/>
          <w:szCs w:val="20"/>
          <w:lang w:val="ru-RU"/>
        </w:rPr>
        <w:t xml:space="preserve"> </w:t>
      </w:r>
      <w:r w:rsidRPr="0004365C">
        <w:rPr>
          <w:rFonts w:eastAsia="Times New Roman" w:cs="Arial"/>
          <w:color w:val="000000"/>
          <w:szCs w:val="20"/>
          <w:lang w:eastAsia="bg-BG"/>
        </w:rPr>
        <w:t>и С</w:t>
      </w:r>
      <w:r w:rsidRPr="0004365C">
        <w:rPr>
          <w:rFonts w:eastAsia="Times New Roman" w:cs="Arial"/>
          <w:color w:val="000000"/>
          <w:szCs w:val="20"/>
          <w:vertAlign w:val="subscript"/>
          <w:lang w:val="en-US"/>
        </w:rPr>
        <w:t>max</w:t>
      </w:r>
      <w:r w:rsidRPr="0004365C">
        <w:rPr>
          <w:rFonts w:eastAsia="Times New Roman" w:cs="Arial"/>
          <w:color w:val="000000"/>
          <w:szCs w:val="20"/>
          <w:lang w:eastAsia="bg-BG"/>
        </w:rPr>
        <w:t xml:space="preserve"> на розувастатин. Поради това не се препоръчва едновременното приложение на </w:t>
      </w:r>
      <w:r w:rsidRPr="0004365C">
        <w:rPr>
          <w:rFonts w:eastAsia="Times New Roman" w:cs="Arial"/>
          <w:color w:val="000000"/>
          <w:szCs w:val="20"/>
          <w:lang w:eastAsia="bg-BG"/>
        </w:rPr>
        <w:lastRenderedPageBreak/>
        <w:t>розувастатин при пациенти със СПИН, приемащи протеазни инхибитори (вж. също точка 4.4).</w:t>
      </w:r>
    </w:p>
    <w:p w14:paraId="559BF00E" w14:textId="77777777" w:rsidR="0004365C" w:rsidRPr="0004365C" w:rsidRDefault="0004365C" w:rsidP="0004365C">
      <w:pPr>
        <w:spacing w:line="240" w:lineRule="auto"/>
        <w:rPr>
          <w:rFonts w:eastAsia="Times New Roman" w:cs="Arial"/>
          <w:b/>
          <w:bCs/>
          <w:color w:val="000000"/>
          <w:szCs w:val="20"/>
          <w:lang w:eastAsia="bg-BG"/>
        </w:rPr>
      </w:pPr>
    </w:p>
    <w:p w14:paraId="5A20BF4D" w14:textId="52C7C9F7"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 xml:space="preserve">Антиациди: </w:t>
      </w:r>
      <w:r w:rsidRPr="0004365C">
        <w:rPr>
          <w:rFonts w:eastAsia="Times New Roman" w:cs="Arial"/>
          <w:color w:val="000000"/>
          <w:szCs w:val="20"/>
          <w:lang w:eastAsia="bg-BG"/>
        </w:rPr>
        <w:t>Едновременното приложение на розувастатин и антиацидна суспензия, съдържаща алуминиев и магнезиев хидроксид, е довело до намаляване на плазмената концентрация на розувастатин с приблизително 50%. Този ефект е бил отслабен, когато антиацидите са давани 2 часа след приема на розувастатин. Клиничното значение на това взаимодействие не е изследвано.</w:t>
      </w:r>
    </w:p>
    <w:p w14:paraId="55AC6C69" w14:textId="77777777" w:rsidR="0004365C" w:rsidRPr="0004365C" w:rsidRDefault="0004365C" w:rsidP="0004365C">
      <w:pPr>
        <w:spacing w:line="240" w:lineRule="auto"/>
        <w:rPr>
          <w:rFonts w:eastAsia="Times New Roman" w:cs="Arial"/>
          <w:b/>
          <w:bCs/>
          <w:color w:val="000000"/>
          <w:szCs w:val="20"/>
          <w:lang w:eastAsia="bg-BG"/>
        </w:rPr>
      </w:pPr>
    </w:p>
    <w:p w14:paraId="3557C4B7" w14:textId="4AE53198"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 xml:space="preserve">Еритромицин: </w:t>
      </w:r>
      <w:r w:rsidRPr="0004365C">
        <w:rPr>
          <w:rFonts w:eastAsia="Times New Roman" w:cs="Arial"/>
          <w:color w:val="000000"/>
          <w:szCs w:val="20"/>
          <w:lang w:eastAsia="bg-BG"/>
        </w:rPr>
        <w:t xml:space="preserve">Едновременният прием на розувастатин и еритромицин е довел до 20% намаление на </w:t>
      </w:r>
      <w:proofErr w:type="spellStart"/>
      <w:r w:rsidRPr="0004365C">
        <w:rPr>
          <w:rFonts w:eastAsia="Times New Roman" w:cs="Arial"/>
          <w:color w:val="000000"/>
          <w:szCs w:val="20"/>
          <w:lang w:val="en-US"/>
        </w:rPr>
        <w:t>AUQ</w:t>
      </w:r>
      <w:r w:rsidRPr="0004365C">
        <w:rPr>
          <w:rFonts w:eastAsia="Times New Roman" w:cs="Arial"/>
          <w:color w:val="000000"/>
          <w:szCs w:val="20"/>
          <w:vertAlign w:val="subscript"/>
          <w:lang w:val="en-US"/>
        </w:rPr>
        <w:t>o</w:t>
      </w:r>
      <w:proofErr w:type="spellEnd"/>
      <w:r w:rsidRPr="0004365C">
        <w:rPr>
          <w:rFonts w:eastAsia="Times New Roman" w:cs="Arial"/>
          <w:color w:val="000000"/>
          <w:szCs w:val="20"/>
          <w:vertAlign w:val="subscript"/>
          <w:lang w:val="ru-RU"/>
        </w:rPr>
        <w:t>-</w:t>
      </w:r>
      <w:r w:rsidRPr="0004365C">
        <w:rPr>
          <w:rFonts w:eastAsia="Times New Roman" w:cs="Arial"/>
          <w:color w:val="000000"/>
          <w:szCs w:val="20"/>
          <w:vertAlign w:val="subscript"/>
          <w:lang w:val="en-US"/>
        </w:rPr>
        <w:t>t</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и 30% намаление на </w:t>
      </w:r>
      <w:proofErr w:type="spellStart"/>
      <w:r w:rsidRPr="0004365C">
        <w:rPr>
          <w:rFonts w:eastAsia="Times New Roman" w:cs="Arial"/>
          <w:color w:val="000000"/>
          <w:szCs w:val="20"/>
          <w:lang w:val="en-US"/>
        </w:rPr>
        <w:t>C</w:t>
      </w:r>
      <w:r w:rsidRPr="0004365C">
        <w:rPr>
          <w:rFonts w:eastAsia="Times New Roman" w:cs="Arial"/>
          <w:color w:val="000000"/>
          <w:szCs w:val="20"/>
          <w:vertAlign w:val="subscript"/>
          <w:lang w:val="en-US"/>
        </w:rPr>
        <w:t>max</w:t>
      </w:r>
      <w:proofErr w:type="spellEnd"/>
      <w:r w:rsidRPr="0004365C">
        <w:rPr>
          <w:rFonts w:eastAsia="Times New Roman" w:cs="Arial"/>
          <w:color w:val="000000"/>
          <w:szCs w:val="20"/>
          <w:lang w:val="ru-RU"/>
        </w:rPr>
        <w:t xml:space="preserve"> </w:t>
      </w:r>
      <w:r w:rsidRPr="0004365C">
        <w:rPr>
          <w:rFonts w:eastAsia="Times New Roman" w:cs="Arial"/>
          <w:color w:val="000000"/>
          <w:szCs w:val="20"/>
          <w:lang w:eastAsia="bg-BG"/>
        </w:rPr>
        <w:t>на розувастатин. Взаимодействието може да е предизвикано от повишения чревен мотилитет, вследствие на приемането на еритромицин.</w:t>
      </w:r>
    </w:p>
    <w:p w14:paraId="34AF79EC" w14:textId="77777777" w:rsidR="0004365C" w:rsidRPr="0004365C" w:rsidRDefault="0004365C" w:rsidP="0004365C">
      <w:pPr>
        <w:spacing w:line="240" w:lineRule="auto"/>
        <w:rPr>
          <w:rFonts w:eastAsia="Times New Roman" w:cs="Arial"/>
          <w:b/>
          <w:bCs/>
          <w:color w:val="000000"/>
          <w:szCs w:val="20"/>
          <w:lang w:eastAsia="bg-BG"/>
        </w:rPr>
      </w:pPr>
    </w:p>
    <w:p w14:paraId="03226EDC" w14:textId="1B1FF966" w:rsidR="0004365C" w:rsidRPr="0004365C" w:rsidRDefault="0004365C" w:rsidP="0004365C">
      <w:pPr>
        <w:spacing w:line="240" w:lineRule="auto"/>
        <w:rPr>
          <w:rFonts w:eastAsia="Times New Roman" w:cs="Arial"/>
          <w:sz w:val="28"/>
          <w:szCs w:val="24"/>
        </w:rPr>
      </w:pPr>
      <w:r w:rsidRPr="0004365C">
        <w:rPr>
          <w:rFonts w:eastAsia="Times New Roman" w:cs="Arial"/>
          <w:b/>
          <w:bCs/>
          <w:color w:val="000000"/>
          <w:szCs w:val="20"/>
          <w:lang w:eastAsia="bg-BG"/>
        </w:rPr>
        <w:t xml:space="preserve">Перорални контрацептиви/хормонозаместваща терапия: </w:t>
      </w:r>
      <w:r w:rsidRPr="0004365C">
        <w:rPr>
          <w:rFonts w:eastAsia="Times New Roman" w:cs="Arial"/>
          <w:color w:val="000000"/>
          <w:szCs w:val="20"/>
          <w:lang w:eastAsia="bg-BG"/>
        </w:rPr>
        <w:t xml:space="preserve">Едновременният прием на розувастатин и перорални контрацептиви е довел до повишаване на </w:t>
      </w:r>
      <w:r w:rsidRPr="0004365C">
        <w:rPr>
          <w:rFonts w:eastAsia="Times New Roman" w:cs="Arial"/>
          <w:color w:val="000000"/>
          <w:szCs w:val="20"/>
          <w:lang w:val="en-US"/>
        </w:rPr>
        <w:t>AUC</w:t>
      </w:r>
      <w:r w:rsidRPr="0004365C">
        <w:rPr>
          <w:rFonts w:eastAsia="Times New Roman" w:cs="Arial"/>
          <w:color w:val="000000"/>
          <w:szCs w:val="20"/>
          <w:lang w:val="ru-RU"/>
        </w:rPr>
        <w:t xml:space="preserve"> </w:t>
      </w:r>
      <w:r w:rsidRPr="0004365C">
        <w:rPr>
          <w:rFonts w:eastAsia="Times New Roman" w:cs="Arial"/>
          <w:color w:val="000000"/>
          <w:szCs w:val="20"/>
          <w:lang w:eastAsia="bg-BG"/>
        </w:rPr>
        <w:t>на етинил естрадиол и норгестрел, съответно с 26% и 34%. Тези повишени плазмени концентрации трябва да се вземат под внимание, когато се определя дозировката на пероралните контрацептиви. Няма фармакокинетични данни за пациенти, които приемат едновременно розувастатин и хормонозаместваща терапия. Ето защо, взаимодействието описано по-горе не трябва да бъде изключено като вероятно. Въпреки това тази комбинация е била широко прилагана от жени в клинични изпитвания и е била толерирана добре.</w:t>
      </w:r>
    </w:p>
    <w:p w14:paraId="358DC735" w14:textId="77777777" w:rsidR="0004365C" w:rsidRPr="0004365C" w:rsidRDefault="0004365C" w:rsidP="0004365C">
      <w:pPr>
        <w:spacing w:line="240" w:lineRule="auto"/>
        <w:rPr>
          <w:rFonts w:eastAsia="Times New Roman" w:cs="Arial"/>
          <w:b/>
          <w:bCs/>
          <w:color w:val="000000"/>
          <w:szCs w:val="20"/>
          <w:lang w:eastAsia="bg-BG"/>
        </w:rPr>
      </w:pPr>
    </w:p>
    <w:p w14:paraId="474AF0DF" w14:textId="2107712E" w:rsidR="0004365C" w:rsidRPr="0004365C" w:rsidRDefault="0004365C" w:rsidP="0004365C">
      <w:pPr>
        <w:spacing w:line="240" w:lineRule="auto"/>
        <w:rPr>
          <w:rFonts w:eastAsia="Times New Roman" w:cs="Arial"/>
          <w:color w:val="000000"/>
          <w:szCs w:val="20"/>
          <w:lang w:eastAsia="bg-BG"/>
        </w:rPr>
      </w:pPr>
      <w:r w:rsidRPr="0004365C">
        <w:rPr>
          <w:rFonts w:eastAsia="Times New Roman" w:cs="Arial"/>
          <w:b/>
          <w:bCs/>
          <w:color w:val="000000"/>
          <w:szCs w:val="20"/>
          <w:lang w:eastAsia="bg-BG"/>
        </w:rPr>
        <w:t xml:space="preserve">Други лекарствени продукти: </w:t>
      </w:r>
      <w:r w:rsidRPr="0004365C">
        <w:rPr>
          <w:rFonts w:eastAsia="Times New Roman" w:cs="Arial"/>
          <w:color w:val="000000"/>
          <w:szCs w:val="20"/>
          <w:lang w:eastAsia="bg-BG"/>
        </w:rPr>
        <w:t xml:space="preserve">Въз основа на данните от специфични проучвания за изследване на </w:t>
      </w:r>
    </w:p>
    <w:p w14:paraId="5B03A13F" w14:textId="052A6AAC"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лекарствени взаимодействия, не се очаква клинично значимо взаимодействие с дигоксин.</w:t>
      </w:r>
    </w:p>
    <w:p w14:paraId="3F42EA7C" w14:textId="77777777" w:rsidR="0004365C" w:rsidRPr="0004365C" w:rsidRDefault="0004365C" w:rsidP="0004365C">
      <w:pPr>
        <w:spacing w:line="240" w:lineRule="auto"/>
        <w:rPr>
          <w:rFonts w:eastAsia="Times New Roman" w:cs="Arial"/>
          <w:b/>
          <w:bCs/>
          <w:color w:val="000000"/>
          <w:szCs w:val="20"/>
          <w:lang w:eastAsia="bg-BG"/>
        </w:rPr>
      </w:pPr>
    </w:p>
    <w:p w14:paraId="25AE5565" w14:textId="605305DA" w:rsidR="0004365C" w:rsidRPr="0004365C" w:rsidRDefault="0004365C" w:rsidP="0004365C">
      <w:pPr>
        <w:spacing w:line="240" w:lineRule="auto"/>
        <w:rPr>
          <w:rFonts w:eastAsia="Times New Roman" w:cs="Arial"/>
          <w:color w:val="000000"/>
          <w:szCs w:val="20"/>
          <w:lang w:eastAsia="bg-BG"/>
        </w:rPr>
      </w:pPr>
      <w:r w:rsidRPr="0004365C">
        <w:rPr>
          <w:rFonts w:eastAsia="Times New Roman" w:cs="Arial"/>
          <w:b/>
          <w:bCs/>
          <w:color w:val="000000"/>
          <w:szCs w:val="20"/>
          <w:lang w:eastAsia="bg-BG"/>
        </w:rPr>
        <w:t xml:space="preserve">Ензими от системата на цитохром Р450: </w:t>
      </w:r>
      <w:r w:rsidRPr="0004365C">
        <w:rPr>
          <w:rFonts w:eastAsia="Times New Roman" w:cs="Arial"/>
          <w:color w:val="000000"/>
          <w:szCs w:val="20"/>
          <w:lang w:eastAsia="bg-BG"/>
        </w:rPr>
        <w:t xml:space="preserve">Данните от </w:t>
      </w:r>
      <w:r w:rsidRPr="0004365C">
        <w:rPr>
          <w:rFonts w:eastAsia="Times New Roman" w:cs="Arial"/>
          <w:i/>
          <w:iCs/>
          <w:color w:val="000000"/>
          <w:szCs w:val="20"/>
          <w:lang w:val="en-US"/>
        </w:rPr>
        <w:t>in</w:t>
      </w:r>
      <w:r w:rsidRPr="0004365C">
        <w:rPr>
          <w:rFonts w:eastAsia="Times New Roman" w:cs="Arial"/>
          <w:i/>
          <w:iCs/>
          <w:color w:val="000000"/>
          <w:szCs w:val="20"/>
          <w:lang w:val="ru-RU"/>
        </w:rPr>
        <w:t xml:space="preserve"> </w:t>
      </w:r>
      <w:r w:rsidRPr="0004365C">
        <w:rPr>
          <w:rFonts w:eastAsia="Times New Roman" w:cs="Arial"/>
          <w:i/>
          <w:iCs/>
          <w:color w:val="000000"/>
          <w:szCs w:val="20"/>
          <w:lang w:val="en-US"/>
        </w:rPr>
        <w:t>vitro</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и </w:t>
      </w:r>
      <w:r w:rsidRPr="0004365C">
        <w:rPr>
          <w:rFonts w:eastAsia="Times New Roman" w:cs="Arial"/>
          <w:i/>
          <w:iCs/>
          <w:color w:val="000000"/>
          <w:szCs w:val="20"/>
          <w:lang w:val="en-US"/>
        </w:rPr>
        <w:t>in</w:t>
      </w:r>
      <w:r w:rsidRPr="0004365C">
        <w:rPr>
          <w:rFonts w:eastAsia="Times New Roman" w:cs="Arial"/>
          <w:i/>
          <w:iCs/>
          <w:color w:val="000000"/>
          <w:szCs w:val="20"/>
          <w:lang w:val="ru-RU"/>
        </w:rPr>
        <w:t xml:space="preserve"> </w:t>
      </w:r>
      <w:r w:rsidRPr="0004365C">
        <w:rPr>
          <w:rFonts w:eastAsia="Times New Roman" w:cs="Arial"/>
          <w:i/>
          <w:iCs/>
          <w:color w:val="000000"/>
          <w:szCs w:val="20"/>
          <w:lang w:val="en-US"/>
        </w:rPr>
        <w:t>vivo</w:t>
      </w:r>
      <w:r w:rsidRPr="0004365C">
        <w:rPr>
          <w:rFonts w:eastAsia="Times New Roman" w:cs="Arial"/>
          <w:color w:val="000000"/>
          <w:szCs w:val="20"/>
          <w:lang w:val="ru-RU"/>
        </w:rPr>
        <w:t xml:space="preserve"> </w:t>
      </w:r>
      <w:r w:rsidRPr="0004365C">
        <w:rPr>
          <w:rFonts w:eastAsia="Times New Roman" w:cs="Arial"/>
          <w:color w:val="000000"/>
          <w:szCs w:val="20"/>
          <w:lang w:eastAsia="bg-BG"/>
        </w:rPr>
        <w:t xml:space="preserve">проучвания показват, че Розувастатин не е нито инхибитор, нито индуктор на цитохром Р450 изоензимите. Розувастатин е слаб субстрат за тези изоензими. Не са наблюдавани клинично значими взаимодействия между розувастатин и флуконазол (инхибитор на </w:t>
      </w:r>
      <w:r w:rsidRPr="0004365C">
        <w:rPr>
          <w:rFonts w:eastAsia="Times New Roman" w:cs="Arial"/>
          <w:color w:val="000000"/>
          <w:szCs w:val="20"/>
          <w:lang w:val="en-US"/>
        </w:rPr>
        <w:t>CYP</w:t>
      </w:r>
      <w:r w:rsidRPr="0004365C">
        <w:rPr>
          <w:rFonts w:eastAsia="Times New Roman" w:cs="Arial"/>
          <w:color w:val="000000"/>
          <w:szCs w:val="20"/>
          <w:lang w:val="ru-RU"/>
        </w:rPr>
        <w:t>2</w:t>
      </w:r>
      <w:r w:rsidRPr="0004365C">
        <w:rPr>
          <w:rFonts w:eastAsia="Times New Roman" w:cs="Arial"/>
          <w:color w:val="000000"/>
          <w:szCs w:val="20"/>
          <w:lang w:val="en-US"/>
        </w:rPr>
        <w:t>C</w:t>
      </w:r>
      <w:r w:rsidRPr="0004365C">
        <w:rPr>
          <w:rFonts w:eastAsia="Times New Roman" w:cs="Arial"/>
          <w:color w:val="000000"/>
          <w:szCs w:val="20"/>
          <w:lang w:val="ru-RU"/>
        </w:rPr>
        <w:t xml:space="preserve">9 </w:t>
      </w:r>
      <w:r w:rsidRPr="0004365C">
        <w:rPr>
          <w:rFonts w:eastAsia="Times New Roman" w:cs="Arial"/>
          <w:color w:val="000000"/>
          <w:szCs w:val="20"/>
          <w:lang w:eastAsia="bg-BG"/>
        </w:rPr>
        <w:t xml:space="preserve">и </w:t>
      </w:r>
      <w:r w:rsidRPr="0004365C">
        <w:rPr>
          <w:rFonts w:eastAsia="Times New Roman" w:cs="Arial"/>
          <w:color w:val="000000"/>
          <w:szCs w:val="20"/>
          <w:lang w:val="en-US"/>
        </w:rPr>
        <w:t>CYP</w:t>
      </w:r>
      <w:r w:rsidRPr="0004365C">
        <w:rPr>
          <w:rFonts w:eastAsia="Times New Roman" w:cs="Arial"/>
          <w:color w:val="000000"/>
          <w:szCs w:val="20"/>
          <w:lang w:val="ru-RU"/>
        </w:rPr>
        <w:t>3</w:t>
      </w:r>
      <w:r w:rsidRPr="0004365C">
        <w:rPr>
          <w:rFonts w:eastAsia="Times New Roman" w:cs="Arial"/>
          <w:color w:val="000000"/>
          <w:szCs w:val="20"/>
          <w:lang w:val="en-US"/>
        </w:rPr>
        <w:t>A</w:t>
      </w:r>
      <w:r w:rsidRPr="0004365C">
        <w:rPr>
          <w:rFonts w:eastAsia="Times New Roman" w:cs="Arial"/>
          <w:color w:val="000000"/>
          <w:szCs w:val="20"/>
          <w:lang w:val="ru-RU"/>
        </w:rPr>
        <w:t xml:space="preserve">4) </w:t>
      </w:r>
      <w:r w:rsidRPr="0004365C">
        <w:rPr>
          <w:rFonts w:eastAsia="Times New Roman" w:cs="Arial"/>
          <w:i/>
          <w:iCs/>
          <w:color w:val="000000"/>
          <w:szCs w:val="20"/>
          <w:lang w:eastAsia="bg-BG"/>
        </w:rPr>
        <w:t>или</w:t>
      </w:r>
      <w:r w:rsidRPr="0004365C">
        <w:rPr>
          <w:rFonts w:eastAsia="Times New Roman" w:cs="Arial"/>
          <w:color w:val="000000"/>
          <w:szCs w:val="20"/>
          <w:lang w:eastAsia="bg-BG"/>
        </w:rPr>
        <w:t xml:space="preserve"> кетоконазол (инхибитор на</w:t>
      </w:r>
      <w:r w:rsidRPr="0004365C">
        <w:rPr>
          <w:rFonts w:eastAsia="Times New Roman" w:cs="Arial"/>
          <w:color w:val="000000"/>
          <w:szCs w:val="20"/>
          <w:lang w:val="ru-RU"/>
        </w:rPr>
        <w:t xml:space="preserve"> </w:t>
      </w:r>
      <w:r w:rsidRPr="0004365C">
        <w:rPr>
          <w:rFonts w:eastAsia="Times New Roman" w:cs="Arial"/>
          <w:color w:val="000000"/>
          <w:szCs w:val="20"/>
          <w:lang w:val="en-US"/>
        </w:rPr>
        <w:t>CYP</w:t>
      </w:r>
      <w:r w:rsidRPr="0004365C">
        <w:rPr>
          <w:rFonts w:eastAsia="Times New Roman" w:cs="Arial"/>
          <w:color w:val="000000"/>
          <w:szCs w:val="20"/>
          <w:lang w:val="ru-RU"/>
        </w:rPr>
        <w:t>2</w:t>
      </w:r>
      <w:r w:rsidRPr="0004365C">
        <w:rPr>
          <w:rFonts w:eastAsia="Times New Roman" w:cs="Arial"/>
          <w:color w:val="000000"/>
          <w:szCs w:val="20"/>
          <w:lang w:val="en-US"/>
        </w:rPr>
        <w:t>A</w:t>
      </w:r>
      <w:r w:rsidRPr="0004365C">
        <w:rPr>
          <w:rFonts w:eastAsia="Times New Roman" w:cs="Arial"/>
          <w:color w:val="000000"/>
          <w:szCs w:val="20"/>
          <w:lang w:val="ru-RU"/>
        </w:rPr>
        <w:t xml:space="preserve">6 </w:t>
      </w:r>
      <w:r w:rsidRPr="0004365C">
        <w:rPr>
          <w:rFonts w:eastAsia="Times New Roman" w:cs="Arial"/>
          <w:color w:val="000000"/>
          <w:szCs w:val="20"/>
          <w:lang w:eastAsia="bg-BG"/>
        </w:rPr>
        <w:t xml:space="preserve">и </w:t>
      </w:r>
      <w:r w:rsidRPr="0004365C">
        <w:rPr>
          <w:rFonts w:eastAsia="Times New Roman" w:cs="Arial"/>
          <w:color w:val="000000"/>
          <w:szCs w:val="20"/>
          <w:lang w:val="en-US"/>
        </w:rPr>
        <w:t>CYP</w:t>
      </w:r>
      <w:r w:rsidRPr="0004365C">
        <w:rPr>
          <w:rFonts w:eastAsia="Times New Roman" w:cs="Arial"/>
          <w:color w:val="000000"/>
          <w:szCs w:val="20"/>
          <w:lang w:val="ru-RU"/>
        </w:rPr>
        <w:t>3</w:t>
      </w:r>
      <w:r w:rsidRPr="0004365C">
        <w:rPr>
          <w:rFonts w:eastAsia="Times New Roman" w:cs="Arial"/>
          <w:color w:val="000000"/>
          <w:szCs w:val="20"/>
          <w:lang w:val="en-US"/>
        </w:rPr>
        <w:t>A</w:t>
      </w:r>
      <w:r w:rsidRPr="0004365C">
        <w:rPr>
          <w:rFonts w:eastAsia="Times New Roman" w:cs="Arial"/>
          <w:color w:val="000000"/>
          <w:szCs w:val="20"/>
          <w:lang w:val="ru-RU"/>
        </w:rPr>
        <w:t xml:space="preserve">4). </w:t>
      </w:r>
      <w:r w:rsidRPr="0004365C">
        <w:rPr>
          <w:rFonts w:eastAsia="Times New Roman" w:cs="Arial"/>
          <w:color w:val="000000"/>
          <w:szCs w:val="20"/>
          <w:lang w:eastAsia="bg-BG"/>
        </w:rPr>
        <w:t xml:space="preserve">Едновременният прием на итраконазол (инхибитор на </w:t>
      </w:r>
      <w:r w:rsidRPr="0004365C">
        <w:rPr>
          <w:rFonts w:eastAsia="Times New Roman" w:cs="Arial"/>
          <w:color w:val="000000"/>
          <w:szCs w:val="20"/>
          <w:lang w:val="en-US"/>
        </w:rPr>
        <w:t>CYP</w:t>
      </w:r>
      <w:r w:rsidRPr="0004365C">
        <w:rPr>
          <w:rFonts w:eastAsia="Times New Roman" w:cs="Arial"/>
          <w:color w:val="000000"/>
          <w:szCs w:val="20"/>
          <w:lang w:val="ru-RU"/>
        </w:rPr>
        <w:t>3</w:t>
      </w:r>
      <w:r w:rsidRPr="0004365C">
        <w:rPr>
          <w:rFonts w:eastAsia="Times New Roman" w:cs="Arial"/>
          <w:color w:val="000000"/>
          <w:szCs w:val="20"/>
          <w:lang w:val="en-US"/>
        </w:rPr>
        <w:t>A</w:t>
      </w:r>
      <w:r w:rsidRPr="0004365C">
        <w:rPr>
          <w:rFonts w:eastAsia="Times New Roman" w:cs="Arial"/>
          <w:color w:val="000000"/>
          <w:szCs w:val="20"/>
          <w:lang w:val="ru-RU"/>
        </w:rPr>
        <w:t xml:space="preserve">4) </w:t>
      </w:r>
      <w:r w:rsidRPr="0004365C">
        <w:rPr>
          <w:rFonts w:eastAsia="Times New Roman" w:cs="Arial"/>
          <w:color w:val="000000"/>
          <w:szCs w:val="20"/>
          <w:lang w:eastAsia="bg-BG"/>
        </w:rPr>
        <w:t>и розувастатин</w:t>
      </w:r>
      <w:r w:rsidRPr="0004365C">
        <w:rPr>
          <w:rFonts w:eastAsia="Times New Roman" w:cs="Arial"/>
          <w:color w:val="000000"/>
          <w:szCs w:val="20"/>
          <w:lang w:val="ru-RU"/>
        </w:rPr>
        <w:t xml:space="preserve"> </w:t>
      </w:r>
      <w:r w:rsidRPr="0004365C">
        <w:rPr>
          <w:rFonts w:eastAsia="Times New Roman" w:cs="Arial"/>
          <w:color w:val="000000"/>
          <w:szCs w:val="20"/>
          <w:lang w:eastAsia="bg-BG"/>
        </w:rPr>
        <w:t>води до 28% увеличение</w:t>
      </w:r>
      <w:r w:rsidRPr="0004365C">
        <w:rPr>
          <w:rFonts w:eastAsia="Times New Roman" w:cs="Arial"/>
          <w:b/>
          <w:bCs/>
          <w:color w:val="000000"/>
          <w:szCs w:val="20"/>
          <w:lang w:eastAsia="bg-BG"/>
        </w:rPr>
        <w:t xml:space="preserve"> </w:t>
      </w:r>
      <w:r w:rsidRPr="0004365C">
        <w:rPr>
          <w:rFonts w:eastAsia="Times New Roman" w:cs="Arial"/>
          <w:color w:val="000000"/>
          <w:szCs w:val="20"/>
          <w:lang w:eastAsia="bg-BG"/>
        </w:rPr>
        <w:t xml:space="preserve">па </w:t>
      </w:r>
      <w:r w:rsidRPr="0004365C">
        <w:rPr>
          <w:rFonts w:eastAsia="Times New Roman" w:cs="Arial"/>
          <w:color w:val="000000"/>
          <w:szCs w:val="20"/>
          <w:lang w:val="en-US"/>
        </w:rPr>
        <w:t>AUC</w:t>
      </w:r>
      <w:r w:rsidRPr="0004365C">
        <w:rPr>
          <w:rFonts w:eastAsia="Times New Roman" w:cs="Arial"/>
          <w:color w:val="000000"/>
          <w:szCs w:val="20"/>
          <w:lang w:val="ru-RU"/>
        </w:rPr>
        <w:t xml:space="preserve"> </w:t>
      </w:r>
      <w:r w:rsidRPr="0004365C">
        <w:rPr>
          <w:rFonts w:eastAsia="Times New Roman" w:cs="Arial"/>
          <w:color w:val="000000"/>
          <w:szCs w:val="20"/>
          <w:lang w:eastAsia="bg-BG"/>
        </w:rPr>
        <w:t>на розувастатин. Това леко увеличение не е клинично значимо. По тази причина лекарсвени взаимодействия вследствие на метаболизъм, медииран от цитохром Р450, не се очаква.</w:t>
      </w:r>
    </w:p>
    <w:p w14:paraId="6C146B9C" w14:textId="667143B2" w:rsidR="0004365C" w:rsidRPr="0004365C" w:rsidRDefault="0004365C" w:rsidP="0004365C">
      <w:pPr>
        <w:spacing w:line="240" w:lineRule="auto"/>
        <w:rPr>
          <w:rFonts w:eastAsia="Times New Roman" w:cs="Arial"/>
          <w:color w:val="000000"/>
          <w:szCs w:val="20"/>
          <w:lang w:eastAsia="bg-BG"/>
        </w:rPr>
      </w:pPr>
    </w:p>
    <w:p w14:paraId="542354FB" w14:textId="77777777"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Таблица 1</w:t>
      </w:r>
    </w:p>
    <w:p w14:paraId="223EDF9A" w14:textId="6A7FF1F4" w:rsidR="0004365C" w:rsidRPr="0004365C" w:rsidRDefault="0004365C" w:rsidP="0004365C">
      <w:pPr>
        <w:spacing w:line="240" w:lineRule="auto"/>
        <w:rPr>
          <w:rFonts w:eastAsia="Times New Roman" w:cs="Arial"/>
          <w:sz w:val="28"/>
          <w:szCs w:val="24"/>
        </w:rPr>
      </w:pPr>
      <w:r w:rsidRPr="0004365C">
        <w:rPr>
          <w:rFonts w:eastAsia="Times New Roman" w:cs="Arial"/>
          <w:color w:val="000000"/>
          <w:szCs w:val="20"/>
          <w:lang w:eastAsia="bg-BG"/>
        </w:rPr>
        <w:t xml:space="preserve">Ефект на едновременно прилагани лекарствени продукти върху експозицията на розувастатин </w:t>
      </w:r>
      <w:r w:rsidRPr="0004365C">
        <w:rPr>
          <w:rFonts w:eastAsia="Times New Roman" w:cs="Arial"/>
          <w:color w:val="000000"/>
          <w:szCs w:val="20"/>
          <w:lang w:val="ru-RU"/>
        </w:rPr>
        <w:t>(</w:t>
      </w:r>
      <w:r w:rsidRPr="0004365C">
        <w:rPr>
          <w:rFonts w:eastAsia="Times New Roman" w:cs="Arial"/>
          <w:color w:val="000000"/>
          <w:szCs w:val="20"/>
          <w:lang w:val="en-US"/>
        </w:rPr>
        <w:t>AUC</w:t>
      </w:r>
      <w:r w:rsidRPr="0004365C">
        <w:rPr>
          <w:rFonts w:eastAsia="Times New Roman" w:cs="Arial"/>
          <w:color w:val="000000"/>
          <w:szCs w:val="20"/>
          <w:lang w:val="ru-RU"/>
        </w:rPr>
        <w:t xml:space="preserve">; </w:t>
      </w:r>
      <w:r w:rsidRPr="0004365C">
        <w:rPr>
          <w:rFonts w:eastAsia="Times New Roman" w:cs="Arial"/>
          <w:color w:val="000000"/>
          <w:szCs w:val="20"/>
          <w:lang w:eastAsia="bg-BG"/>
        </w:rPr>
        <w:t>в низходящ ред) от публикуваните клинични изпитвания.</w:t>
      </w:r>
    </w:p>
    <w:tbl>
      <w:tblPr>
        <w:tblStyle w:val="TableGrid"/>
        <w:tblW w:w="0" w:type="auto"/>
        <w:tblLook w:val="04A0" w:firstRow="1" w:lastRow="0" w:firstColumn="1" w:lastColumn="0" w:noHBand="0" w:noVBand="1"/>
      </w:tblPr>
      <w:tblGrid>
        <w:gridCol w:w="3142"/>
        <w:gridCol w:w="3102"/>
        <w:gridCol w:w="3106"/>
      </w:tblGrid>
      <w:tr w:rsidR="0004365C" w14:paraId="24D8D122" w14:textId="77777777" w:rsidTr="006A0501">
        <w:tc>
          <w:tcPr>
            <w:tcW w:w="3192" w:type="dxa"/>
            <w:vAlign w:val="bottom"/>
          </w:tcPr>
          <w:p w14:paraId="64442F1F" w14:textId="6696F49D" w:rsidR="0004365C" w:rsidRPr="0004365C" w:rsidRDefault="0004365C" w:rsidP="0004365C">
            <w:r w:rsidRPr="0004365C">
              <w:rPr>
                <w:szCs w:val="20"/>
              </w:rPr>
              <w:t>Схема на прилагане на взаимодействащото лекарство</w:t>
            </w:r>
          </w:p>
        </w:tc>
        <w:tc>
          <w:tcPr>
            <w:tcW w:w="3192" w:type="dxa"/>
            <w:vAlign w:val="bottom"/>
          </w:tcPr>
          <w:p w14:paraId="26D0AC41" w14:textId="48331B94" w:rsidR="0004365C" w:rsidRPr="0004365C" w:rsidRDefault="0004365C" w:rsidP="0004365C">
            <w:r w:rsidRPr="0004365C">
              <w:rPr>
                <w:szCs w:val="20"/>
              </w:rPr>
              <w:t>Схема на прилагане на розувастатин</w:t>
            </w:r>
          </w:p>
        </w:tc>
        <w:tc>
          <w:tcPr>
            <w:tcW w:w="3192" w:type="dxa"/>
            <w:vAlign w:val="bottom"/>
          </w:tcPr>
          <w:p w14:paraId="2E6CF3FC" w14:textId="6BB5CFDC" w:rsidR="0004365C" w:rsidRPr="0004365C" w:rsidRDefault="0004365C" w:rsidP="0004365C">
            <w:r w:rsidRPr="0004365C">
              <w:rPr>
                <w:szCs w:val="20"/>
              </w:rPr>
              <w:t xml:space="preserve">Промяна в </w:t>
            </w:r>
            <w:r w:rsidRPr="0004365C">
              <w:rPr>
                <w:szCs w:val="20"/>
                <w:lang w:val="en-US"/>
              </w:rPr>
              <w:t>AUC</w:t>
            </w:r>
            <w:r w:rsidRPr="0004365C">
              <w:rPr>
                <w:szCs w:val="20"/>
                <w:lang w:val="ru-RU"/>
              </w:rPr>
              <w:t xml:space="preserve"> </w:t>
            </w:r>
            <w:r w:rsidRPr="0004365C">
              <w:rPr>
                <w:szCs w:val="20"/>
              </w:rPr>
              <w:t>на розувастатин*</w:t>
            </w:r>
          </w:p>
        </w:tc>
      </w:tr>
      <w:tr w:rsidR="0004365C" w14:paraId="57B262B0" w14:textId="77777777" w:rsidTr="006A0501">
        <w:tc>
          <w:tcPr>
            <w:tcW w:w="3192" w:type="dxa"/>
            <w:vAlign w:val="bottom"/>
          </w:tcPr>
          <w:p w14:paraId="2CDBBCE0" w14:textId="38F4159F" w:rsidR="0004365C" w:rsidRPr="0004365C" w:rsidRDefault="0004365C" w:rsidP="0004365C">
            <w:r w:rsidRPr="0004365C">
              <w:rPr>
                <w:b/>
                <w:bCs/>
                <w:i/>
                <w:iCs/>
                <w:szCs w:val="20"/>
                <w:u w:val="single"/>
              </w:rPr>
              <w:t xml:space="preserve">Регорафениб 160 </w:t>
            </w:r>
            <w:r w:rsidRPr="0004365C">
              <w:rPr>
                <w:b/>
                <w:bCs/>
                <w:i/>
                <w:iCs/>
                <w:szCs w:val="20"/>
                <w:u w:val="single"/>
                <w:lang w:val="en-US"/>
              </w:rPr>
              <w:t>mg</w:t>
            </w:r>
            <w:r w:rsidRPr="0004365C">
              <w:rPr>
                <w:b/>
                <w:bCs/>
                <w:i/>
                <w:iCs/>
                <w:szCs w:val="20"/>
                <w:u w:val="single"/>
              </w:rPr>
              <w:t xml:space="preserve">, веднъж </w:t>
            </w:r>
            <w:r w:rsidRPr="0004365C">
              <w:rPr>
                <w:b/>
                <w:bCs/>
                <w:i/>
                <w:iCs/>
                <w:szCs w:val="20"/>
              </w:rPr>
              <w:t>дневно, 14 дни</w:t>
            </w:r>
          </w:p>
        </w:tc>
        <w:tc>
          <w:tcPr>
            <w:tcW w:w="3192" w:type="dxa"/>
          </w:tcPr>
          <w:p w14:paraId="04E9A7B5" w14:textId="06EE416B" w:rsidR="0004365C" w:rsidRPr="0004365C" w:rsidRDefault="0004365C" w:rsidP="0004365C">
            <w:r w:rsidRPr="0004365C">
              <w:rPr>
                <w:b/>
                <w:bCs/>
                <w:szCs w:val="20"/>
                <w:u w:val="single"/>
              </w:rPr>
              <w:t xml:space="preserve">5 </w:t>
            </w:r>
            <w:r w:rsidRPr="0004365C">
              <w:rPr>
                <w:b/>
                <w:bCs/>
                <w:szCs w:val="20"/>
                <w:u w:val="single"/>
                <w:lang w:val="en-US"/>
              </w:rPr>
              <w:t>mg</w:t>
            </w:r>
            <w:r w:rsidRPr="0004365C">
              <w:rPr>
                <w:b/>
                <w:bCs/>
                <w:i/>
                <w:iCs/>
                <w:szCs w:val="20"/>
                <w:u w:val="single"/>
              </w:rPr>
              <w:t>, единична доза</w:t>
            </w:r>
          </w:p>
        </w:tc>
        <w:tc>
          <w:tcPr>
            <w:tcW w:w="3192" w:type="dxa"/>
          </w:tcPr>
          <w:p w14:paraId="12D3856D" w14:textId="7D505260" w:rsidR="0004365C" w:rsidRPr="0004365C" w:rsidRDefault="0004365C" w:rsidP="0004365C">
            <w:r w:rsidRPr="0004365C">
              <w:rPr>
                <w:b/>
                <w:bCs/>
                <w:i/>
                <w:iCs/>
                <w:szCs w:val="20"/>
                <w:u w:val="single"/>
              </w:rPr>
              <w:t>3,8 пъти</w:t>
            </w:r>
            <w:r w:rsidRPr="0004365C">
              <w:rPr>
                <w:b/>
                <w:bCs/>
                <w:szCs w:val="20"/>
                <w:u w:val="single"/>
              </w:rPr>
              <w:t xml:space="preserve"> </w:t>
            </w:r>
            <w:r w:rsidRPr="0004365C">
              <w:rPr>
                <w:b/>
                <w:bCs/>
                <w:szCs w:val="20"/>
                <w:u w:val="single"/>
                <w:lang w:val="en-US"/>
              </w:rPr>
              <w:t>↑</w:t>
            </w:r>
          </w:p>
        </w:tc>
      </w:tr>
      <w:tr w:rsidR="0004365C" w14:paraId="094E3CB9" w14:textId="77777777" w:rsidTr="006A0501">
        <w:tc>
          <w:tcPr>
            <w:tcW w:w="3192" w:type="dxa"/>
            <w:vAlign w:val="bottom"/>
          </w:tcPr>
          <w:p w14:paraId="7180EDB3" w14:textId="0D752909" w:rsidR="0004365C" w:rsidRPr="0004365C" w:rsidRDefault="0004365C" w:rsidP="0004365C">
            <w:r w:rsidRPr="0004365C">
              <w:rPr>
                <w:b/>
                <w:bCs/>
                <w:i/>
                <w:iCs/>
                <w:szCs w:val="20"/>
                <w:u w:val="single"/>
              </w:rPr>
              <w:t xml:space="preserve">Велпатасвир </w:t>
            </w:r>
            <w:r w:rsidRPr="0004365C">
              <w:rPr>
                <w:b/>
                <w:bCs/>
                <w:i/>
                <w:iCs/>
                <w:szCs w:val="20"/>
                <w:u w:val="single"/>
                <w:lang w:val="en-US"/>
              </w:rPr>
              <w:t xml:space="preserve">100 mg </w:t>
            </w:r>
            <w:r w:rsidRPr="0004365C">
              <w:rPr>
                <w:b/>
                <w:bCs/>
                <w:i/>
                <w:iCs/>
                <w:szCs w:val="20"/>
                <w:u w:val="single"/>
              </w:rPr>
              <w:t xml:space="preserve">веднъж </w:t>
            </w:r>
            <w:r w:rsidRPr="0004365C">
              <w:rPr>
                <w:b/>
                <w:bCs/>
                <w:i/>
                <w:iCs/>
                <w:szCs w:val="20"/>
              </w:rPr>
              <w:t>дневно</w:t>
            </w:r>
          </w:p>
        </w:tc>
        <w:tc>
          <w:tcPr>
            <w:tcW w:w="3192" w:type="dxa"/>
          </w:tcPr>
          <w:p w14:paraId="7A2BDE37" w14:textId="62B3F0FF" w:rsidR="0004365C" w:rsidRPr="0004365C" w:rsidRDefault="0004365C" w:rsidP="0004365C">
            <w:r w:rsidRPr="0004365C">
              <w:rPr>
                <w:b/>
                <w:bCs/>
                <w:i/>
                <w:iCs/>
                <w:szCs w:val="20"/>
                <w:u w:val="single"/>
              </w:rPr>
              <w:t>10</w:t>
            </w:r>
            <w:r w:rsidRPr="0004365C">
              <w:rPr>
                <w:b/>
                <w:bCs/>
                <w:i/>
                <w:iCs/>
                <w:szCs w:val="20"/>
                <w:u w:val="single"/>
                <w:lang w:val="en-US"/>
              </w:rPr>
              <w:t xml:space="preserve"> mg</w:t>
            </w:r>
            <w:r w:rsidRPr="0004365C">
              <w:rPr>
                <w:b/>
                <w:bCs/>
                <w:i/>
                <w:iCs/>
                <w:szCs w:val="20"/>
                <w:u w:val="single"/>
              </w:rPr>
              <w:t>, единична доза</w:t>
            </w:r>
          </w:p>
        </w:tc>
        <w:tc>
          <w:tcPr>
            <w:tcW w:w="3192" w:type="dxa"/>
          </w:tcPr>
          <w:p w14:paraId="7FF8DD49" w14:textId="2C313F5A" w:rsidR="0004365C" w:rsidRPr="0004365C" w:rsidRDefault="0004365C" w:rsidP="0004365C">
            <w:r w:rsidRPr="0004365C">
              <w:rPr>
                <w:b/>
                <w:bCs/>
                <w:i/>
                <w:iCs/>
                <w:szCs w:val="20"/>
                <w:u w:val="single"/>
              </w:rPr>
              <w:t>2,7 пъти</w:t>
            </w:r>
            <w:r w:rsidRPr="0004365C">
              <w:rPr>
                <w:b/>
                <w:bCs/>
                <w:szCs w:val="20"/>
                <w:u w:val="single"/>
              </w:rPr>
              <w:t xml:space="preserve"> </w:t>
            </w:r>
            <w:r w:rsidRPr="0004365C">
              <w:rPr>
                <w:b/>
                <w:bCs/>
                <w:szCs w:val="20"/>
                <w:u w:val="single"/>
                <w:lang w:val="en-US"/>
              </w:rPr>
              <w:t>↑</w:t>
            </w:r>
          </w:p>
        </w:tc>
      </w:tr>
      <w:tr w:rsidR="0004365C" w14:paraId="2A78D4B2" w14:textId="77777777" w:rsidTr="006A0501">
        <w:tc>
          <w:tcPr>
            <w:tcW w:w="3192" w:type="dxa"/>
            <w:vAlign w:val="bottom"/>
          </w:tcPr>
          <w:p w14:paraId="197C3AC9" w14:textId="78583BEE" w:rsidR="0004365C" w:rsidRPr="0004365C" w:rsidRDefault="0004365C" w:rsidP="0004365C">
            <w:r w:rsidRPr="0004365C">
              <w:rPr>
                <w:b/>
                <w:bCs/>
                <w:i/>
                <w:iCs/>
                <w:szCs w:val="20"/>
                <w:u w:val="single"/>
              </w:rPr>
              <w:t xml:space="preserve">Омбитасвир 25 </w:t>
            </w:r>
            <w:r w:rsidRPr="0004365C">
              <w:rPr>
                <w:b/>
                <w:bCs/>
                <w:i/>
                <w:iCs/>
                <w:szCs w:val="20"/>
                <w:u w:val="single"/>
                <w:lang w:val="en-US"/>
              </w:rPr>
              <w:t>mg</w:t>
            </w:r>
            <w:r w:rsidRPr="0004365C">
              <w:rPr>
                <w:b/>
                <w:bCs/>
                <w:i/>
                <w:iCs/>
                <w:szCs w:val="20"/>
                <w:u w:val="single"/>
              </w:rPr>
              <w:t xml:space="preserve">/паритапревир 150 </w:t>
            </w:r>
            <w:r w:rsidRPr="0004365C">
              <w:rPr>
                <w:b/>
                <w:bCs/>
                <w:i/>
                <w:iCs/>
                <w:szCs w:val="20"/>
                <w:u w:val="single"/>
                <w:lang w:val="en-US"/>
              </w:rPr>
              <w:t>mg</w:t>
            </w:r>
            <w:r w:rsidRPr="0004365C">
              <w:rPr>
                <w:b/>
                <w:bCs/>
                <w:i/>
                <w:iCs/>
                <w:szCs w:val="20"/>
                <w:u w:val="single"/>
              </w:rPr>
              <w:t xml:space="preserve">/ </w:t>
            </w:r>
            <w:r w:rsidRPr="0004365C">
              <w:rPr>
                <w:b/>
                <w:bCs/>
                <w:i/>
                <w:iCs/>
                <w:szCs w:val="20"/>
                <w:u w:val="single"/>
              </w:rPr>
              <w:lastRenderedPageBreak/>
              <w:t xml:space="preserve">ритонавир 100 </w:t>
            </w:r>
            <w:r w:rsidRPr="0004365C">
              <w:rPr>
                <w:b/>
                <w:bCs/>
                <w:i/>
                <w:iCs/>
                <w:szCs w:val="20"/>
                <w:u w:val="single"/>
                <w:lang w:val="en-US"/>
              </w:rPr>
              <w:t>mg</w:t>
            </w:r>
            <w:r w:rsidRPr="0004365C">
              <w:rPr>
                <w:b/>
                <w:bCs/>
                <w:i/>
                <w:iCs/>
                <w:szCs w:val="20"/>
                <w:u w:val="single"/>
              </w:rPr>
              <w:t xml:space="preserve"> веднъж дневно/дазабувир 400 </w:t>
            </w:r>
            <w:r w:rsidRPr="0004365C">
              <w:rPr>
                <w:b/>
                <w:bCs/>
                <w:i/>
                <w:iCs/>
                <w:szCs w:val="20"/>
                <w:u w:val="single"/>
                <w:lang w:val="en-US"/>
              </w:rPr>
              <w:t>mg</w:t>
            </w:r>
            <w:r w:rsidRPr="0004365C">
              <w:rPr>
                <w:b/>
                <w:bCs/>
                <w:i/>
                <w:iCs/>
                <w:szCs w:val="20"/>
                <w:u w:val="single"/>
              </w:rPr>
              <w:t xml:space="preserve"> 2 </w:t>
            </w:r>
            <w:r w:rsidRPr="0004365C">
              <w:rPr>
                <w:b/>
                <w:bCs/>
                <w:i/>
                <w:iCs/>
                <w:szCs w:val="20"/>
              </w:rPr>
              <w:t>пъти дневно, 14 дни</w:t>
            </w:r>
          </w:p>
        </w:tc>
        <w:tc>
          <w:tcPr>
            <w:tcW w:w="3192" w:type="dxa"/>
          </w:tcPr>
          <w:p w14:paraId="4DE7DFA0" w14:textId="6C000A4D" w:rsidR="0004365C" w:rsidRPr="0004365C" w:rsidRDefault="0004365C" w:rsidP="0004365C">
            <w:r w:rsidRPr="0004365C">
              <w:rPr>
                <w:b/>
                <w:bCs/>
                <w:i/>
                <w:iCs/>
                <w:szCs w:val="20"/>
                <w:u w:val="single"/>
              </w:rPr>
              <w:lastRenderedPageBreak/>
              <w:t xml:space="preserve">5 </w:t>
            </w:r>
            <w:r w:rsidRPr="0004365C">
              <w:rPr>
                <w:b/>
                <w:bCs/>
                <w:i/>
                <w:iCs/>
                <w:szCs w:val="20"/>
                <w:u w:val="single"/>
                <w:lang w:val="en-US"/>
              </w:rPr>
              <w:t>mg</w:t>
            </w:r>
            <w:r w:rsidRPr="0004365C">
              <w:rPr>
                <w:b/>
                <w:bCs/>
                <w:i/>
                <w:iCs/>
                <w:szCs w:val="20"/>
                <w:u w:val="single"/>
              </w:rPr>
              <w:t>, единична доза</w:t>
            </w:r>
          </w:p>
        </w:tc>
        <w:tc>
          <w:tcPr>
            <w:tcW w:w="3192" w:type="dxa"/>
          </w:tcPr>
          <w:p w14:paraId="537AD637" w14:textId="58981B17" w:rsidR="0004365C" w:rsidRPr="0004365C" w:rsidRDefault="0004365C" w:rsidP="0004365C">
            <w:r w:rsidRPr="0004365C">
              <w:rPr>
                <w:b/>
                <w:bCs/>
                <w:i/>
                <w:iCs/>
                <w:szCs w:val="20"/>
                <w:u w:val="single"/>
              </w:rPr>
              <w:t>2,6 пъти</w:t>
            </w:r>
            <w:r w:rsidRPr="0004365C">
              <w:rPr>
                <w:b/>
                <w:bCs/>
                <w:szCs w:val="20"/>
                <w:u w:val="single"/>
              </w:rPr>
              <w:t xml:space="preserve"> </w:t>
            </w:r>
            <w:r w:rsidRPr="0004365C">
              <w:rPr>
                <w:b/>
                <w:bCs/>
                <w:szCs w:val="20"/>
                <w:u w:val="single"/>
                <w:lang w:val="en-US"/>
              </w:rPr>
              <w:t>↑</w:t>
            </w:r>
          </w:p>
        </w:tc>
      </w:tr>
      <w:tr w:rsidR="0004365C" w14:paraId="5ADB7E59" w14:textId="77777777" w:rsidTr="006A0501">
        <w:tc>
          <w:tcPr>
            <w:tcW w:w="3192" w:type="dxa"/>
            <w:vAlign w:val="bottom"/>
          </w:tcPr>
          <w:p w14:paraId="78848CE6" w14:textId="5E542994" w:rsidR="0004365C" w:rsidRPr="0004365C" w:rsidRDefault="0004365C" w:rsidP="0004365C">
            <w:r w:rsidRPr="0004365C">
              <w:rPr>
                <w:b/>
                <w:bCs/>
                <w:i/>
                <w:iCs/>
                <w:szCs w:val="20"/>
                <w:u w:val="single"/>
              </w:rPr>
              <w:t xml:space="preserve">Гразопревир 200 </w:t>
            </w:r>
            <w:r w:rsidRPr="0004365C">
              <w:rPr>
                <w:b/>
                <w:bCs/>
                <w:i/>
                <w:iCs/>
                <w:szCs w:val="20"/>
                <w:u w:val="single"/>
                <w:lang w:val="en-US"/>
              </w:rPr>
              <w:t>mg</w:t>
            </w:r>
            <w:r w:rsidRPr="0004365C">
              <w:rPr>
                <w:b/>
                <w:bCs/>
                <w:i/>
                <w:iCs/>
                <w:szCs w:val="20"/>
                <w:u w:val="single"/>
              </w:rPr>
              <w:t xml:space="preserve">/елбасвир 50 </w:t>
            </w:r>
            <w:r w:rsidRPr="0004365C">
              <w:rPr>
                <w:b/>
                <w:bCs/>
                <w:i/>
                <w:iCs/>
                <w:szCs w:val="20"/>
                <w:u w:val="single"/>
                <w:lang w:val="en-US"/>
              </w:rPr>
              <w:t>mg</w:t>
            </w:r>
            <w:r w:rsidRPr="0004365C">
              <w:rPr>
                <w:b/>
                <w:bCs/>
                <w:i/>
                <w:iCs/>
                <w:szCs w:val="20"/>
              </w:rPr>
              <w:t xml:space="preserve"> веднъж дневно, 11 дни</w:t>
            </w:r>
          </w:p>
        </w:tc>
        <w:tc>
          <w:tcPr>
            <w:tcW w:w="3192" w:type="dxa"/>
          </w:tcPr>
          <w:p w14:paraId="101E4466" w14:textId="5DCC0601" w:rsidR="0004365C" w:rsidRPr="0004365C" w:rsidRDefault="0004365C" w:rsidP="0004365C">
            <w:r w:rsidRPr="0004365C">
              <w:rPr>
                <w:b/>
                <w:bCs/>
                <w:i/>
                <w:iCs/>
                <w:szCs w:val="20"/>
                <w:u w:val="single"/>
              </w:rPr>
              <w:t xml:space="preserve">10 </w:t>
            </w:r>
            <w:r w:rsidRPr="0004365C">
              <w:rPr>
                <w:b/>
                <w:bCs/>
                <w:i/>
                <w:iCs/>
                <w:szCs w:val="20"/>
                <w:u w:val="single"/>
                <w:lang w:val="en-US"/>
              </w:rPr>
              <w:t>mg</w:t>
            </w:r>
            <w:r w:rsidRPr="0004365C">
              <w:rPr>
                <w:b/>
                <w:bCs/>
                <w:i/>
                <w:iCs/>
                <w:szCs w:val="20"/>
                <w:u w:val="single"/>
              </w:rPr>
              <w:t>, единична доза</w:t>
            </w:r>
          </w:p>
        </w:tc>
        <w:tc>
          <w:tcPr>
            <w:tcW w:w="3192" w:type="dxa"/>
          </w:tcPr>
          <w:p w14:paraId="7432C5CF" w14:textId="770F3C23" w:rsidR="0004365C" w:rsidRPr="0004365C" w:rsidRDefault="0004365C" w:rsidP="0004365C">
            <w:r w:rsidRPr="0004365C">
              <w:rPr>
                <w:b/>
                <w:bCs/>
                <w:i/>
                <w:iCs/>
                <w:szCs w:val="20"/>
                <w:u w:val="single"/>
              </w:rPr>
              <w:t>2,3 пъти</w:t>
            </w:r>
            <w:r w:rsidRPr="0004365C">
              <w:rPr>
                <w:b/>
                <w:bCs/>
                <w:szCs w:val="20"/>
                <w:u w:val="single"/>
              </w:rPr>
              <w:t xml:space="preserve"> </w:t>
            </w:r>
            <w:r w:rsidRPr="0004365C">
              <w:rPr>
                <w:b/>
                <w:bCs/>
                <w:szCs w:val="20"/>
                <w:u w:val="single"/>
                <w:lang w:val="en-US"/>
              </w:rPr>
              <w:t>↑</w:t>
            </w:r>
          </w:p>
        </w:tc>
      </w:tr>
      <w:tr w:rsidR="0004365C" w14:paraId="06681CC0" w14:textId="77777777" w:rsidTr="006A0501">
        <w:tc>
          <w:tcPr>
            <w:tcW w:w="3192" w:type="dxa"/>
            <w:vAlign w:val="bottom"/>
          </w:tcPr>
          <w:p w14:paraId="318B08C1" w14:textId="1E82FA83" w:rsidR="0004365C" w:rsidRPr="0004365C" w:rsidRDefault="0004365C" w:rsidP="0004365C">
            <w:r w:rsidRPr="0004365C">
              <w:rPr>
                <w:b/>
                <w:bCs/>
                <w:i/>
                <w:iCs/>
                <w:szCs w:val="20"/>
                <w:u w:val="single"/>
              </w:rPr>
              <w:t xml:space="preserve">Глекапревир 400 те/пибрентасвир 120 </w:t>
            </w:r>
            <w:r w:rsidRPr="0004365C">
              <w:rPr>
                <w:b/>
                <w:bCs/>
                <w:i/>
                <w:iCs/>
                <w:szCs w:val="20"/>
                <w:u w:val="single"/>
                <w:lang w:val="en-US"/>
              </w:rPr>
              <w:t>mg</w:t>
            </w:r>
            <w:r w:rsidRPr="0004365C">
              <w:rPr>
                <w:b/>
                <w:bCs/>
                <w:i/>
                <w:iCs/>
                <w:szCs w:val="20"/>
                <w:u w:val="single"/>
              </w:rPr>
              <w:t xml:space="preserve"> </w:t>
            </w:r>
            <w:r w:rsidRPr="0004365C">
              <w:rPr>
                <w:b/>
                <w:bCs/>
                <w:i/>
                <w:iCs/>
                <w:szCs w:val="20"/>
              </w:rPr>
              <w:t>веднъж дневно,</w:t>
            </w:r>
            <w:r w:rsidRPr="0004365C">
              <w:rPr>
                <w:b/>
                <w:bCs/>
                <w:szCs w:val="20"/>
              </w:rPr>
              <w:t xml:space="preserve"> 7 </w:t>
            </w:r>
            <w:r w:rsidRPr="0004365C">
              <w:rPr>
                <w:b/>
                <w:bCs/>
                <w:i/>
                <w:iCs/>
                <w:szCs w:val="20"/>
              </w:rPr>
              <w:t>дни</w:t>
            </w:r>
          </w:p>
        </w:tc>
        <w:tc>
          <w:tcPr>
            <w:tcW w:w="3192" w:type="dxa"/>
          </w:tcPr>
          <w:p w14:paraId="3DDBA795" w14:textId="21D1275E" w:rsidR="0004365C" w:rsidRPr="0004365C" w:rsidRDefault="0004365C" w:rsidP="0004365C">
            <w:r w:rsidRPr="0004365C">
              <w:rPr>
                <w:b/>
                <w:bCs/>
                <w:i/>
                <w:iCs/>
                <w:szCs w:val="20"/>
                <w:u w:val="single"/>
              </w:rPr>
              <w:t xml:space="preserve">5 </w:t>
            </w:r>
            <w:r w:rsidRPr="0004365C">
              <w:rPr>
                <w:b/>
                <w:bCs/>
                <w:i/>
                <w:iCs/>
                <w:szCs w:val="20"/>
                <w:u w:val="single"/>
                <w:lang w:val="en-US"/>
              </w:rPr>
              <w:t>mg</w:t>
            </w:r>
            <w:r w:rsidRPr="0004365C">
              <w:rPr>
                <w:b/>
                <w:bCs/>
                <w:i/>
                <w:iCs/>
                <w:szCs w:val="20"/>
                <w:u w:val="single"/>
              </w:rPr>
              <w:t xml:space="preserve"> веднъж дневно, </w:t>
            </w:r>
            <w:r w:rsidRPr="0004365C">
              <w:rPr>
                <w:b/>
                <w:bCs/>
                <w:szCs w:val="20"/>
              </w:rPr>
              <w:t>2^4</w:t>
            </w:r>
          </w:p>
        </w:tc>
        <w:tc>
          <w:tcPr>
            <w:tcW w:w="3192" w:type="dxa"/>
          </w:tcPr>
          <w:p w14:paraId="2EB8E64E" w14:textId="6FE00854" w:rsidR="0004365C" w:rsidRPr="0004365C" w:rsidRDefault="0004365C" w:rsidP="0004365C">
            <w:r w:rsidRPr="0004365C">
              <w:rPr>
                <w:b/>
                <w:bCs/>
                <w:i/>
                <w:iCs/>
                <w:szCs w:val="20"/>
                <w:u w:val="single"/>
              </w:rPr>
              <w:t>2,2 пъти</w:t>
            </w:r>
            <w:r w:rsidRPr="0004365C">
              <w:rPr>
                <w:b/>
                <w:bCs/>
                <w:szCs w:val="20"/>
                <w:u w:val="single"/>
              </w:rPr>
              <w:t xml:space="preserve"> </w:t>
            </w:r>
            <w:r w:rsidRPr="0004365C">
              <w:rPr>
                <w:b/>
                <w:bCs/>
                <w:szCs w:val="20"/>
                <w:u w:val="single"/>
                <w:lang w:val="en-US"/>
              </w:rPr>
              <w:t>↑</w:t>
            </w:r>
          </w:p>
        </w:tc>
      </w:tr>
    </w:tbl>
    <w:p w14:paraId="518A8ED3" w14:textId="42FBA2B5" w:rsidR="0004365C" w:rsidRDefault="0004365C" w:rsidP="0004365C">
      <w:pPr>
        <w:rPr>
          <w:lang w:val="ru-RU"/>
        </w:rPr>
      </w:pPr>
      <w:r>
        <w:t>*Предоставените данни, като х-пъти е просто съотношение между едновременното приложение с розувастатин и розувастатин прилаган самостоятелно. Данните, предоставени като % промяна представляват разликата в % при самостоятелното прилагане на розувастатин. Растежът е обозначен с „</w:t>
      </w:r>
      <w:r w:rsidRPr="0004365C">
        <w:rPr>
          <w:lang w:val="ru-RU"/>
        </w:rPr>
        <w:t>↑</w:t>
      </w:r>
      <w:r>
        <w:t>,„ без промяна ,,</w:t>
      </w:r>
      <w:r w:rsidRPr="0004365C">
        <w:rPr>
          <w:lang w:val="ru-RU"/>
        </w:rPr>
        <w:t>↔,, ,</w:t>
      </w:r>
      <w:r>
        <w:t xml:space="preserve"> намаляването с ,,</w:t>
      </w:r>
      <w:r w:rsidRPr="0004365C">
        <w:rPr>
          <w:lang w:val="ru-RU"/>
        </w:rPr>
        <w:t>↓,,.</w:t>
      </w:r>
    </w:p>
    <w:p w14:paraId="4A9DE08E" w14:textId="77777777" w:rsidR="0004365C" w:rsidRPr="0004365C" w:rsidRDefault="0004365C" w:rsidP="0004365C">
      <w:pPr>
        <w:rPr>
          <w:lang w:val="ru-RU"/>
        </w:rPr>
      </w:pPr>
    </w:p>
    <w:p w14:paraId="6EADE4D6" w14:textId="2F47AF8A" w:rsidR="00395555" w:rsidRDefault="002C50EE" w:rsidP="008A6AF2">
      <w:pPr>
        <w:pStyle w:val="Heading2"/>
      </w:pPr>
      <w:r>
        <w:t>4.6. Фертилитет, бременност и кърмене</w:t>
      </w:r>
    </w:p>
    <w:p w14:paraId="6C260CCF" w14:textId="0AC64C93" w:rsidR="006A0501" w:rsidRDefault="006A0501" w:rsidP="006A0501"/>
    <w:p w14:paraId="47A840F4" w14:textId="77777777" w:rsidR="006A0501" w:rsidRPr="006A0501" w:rsidRDefault="006A0501" w:rsidP="006A0501">
      <w:pPr>
        <w:rPr>
          <w:sz w:val="24"/>
          <w:szCs w:val="24"/>
        </w:rPr>
      </w:pPr>
      <w:r w:rsidRPr="006A0501">
        <w:rPr>
          <w:lang w:eastAsia="bg-BG"/>
        </w:rPr>
        <w:t>Розувастатин е противопоказан по време на бременност и кърмене.</w:t>
      </w:r>
    </w:p>
    <w:p w14:paraId="2F28F962" w14:textId="77777777" w:rsidR="006A0501" w:rsidRDefault="006A0501" w:rsidP="006A0501">
      <w:pPr>
        <w:rPr>
          <w:u w:val="single"/>
          <w:lang w:eastAsia="bg-BG"/>
        </w:rPr>
      </w:pPr>
    </w:p>
    <w:p w14:paraId="1CD0B74B" w14:textId="15606C57" w:rsidR="006A0501" w:rsidRPr="006A0501" w:rsidRDefault="006A0501" w:rsidP="006A0501">
      <w:pPr>
        <w:pStyle w:val="Heading3"/>
        <w:rPr>
          <w:rFonts w:eastAsia="Times New Roman"/>
          <w:u w:val="single"/>
        </w:rPr>
      </w:pPr>
      <w:r w:rsidRPr="006A0501">
        <w:rPr>
          <w:rFonts w:eastAsia="Times New Roman"/>
          <w:u w:val="single"/>
          <w:lang w:eastAsia="bg-BG"/>
        </w:rPr>
        <w:t>Бременност</w:t>
      </w:r>
    </w:p>
    <w:p w14:paraId="0E148C3E" w14:textId="77777777" w:rsidR="006A0501" w:rsidRPr="006A0501" w:rsidRDefault="006A0501" w:rsidP="006A0501">
      <w:pPr>
        <w:rPr>
          <w:sz w:val="24"/>
          <w:szCs w:val="24"/>
        </w:rPr>
      </w:pPr>
      <w:r w:rsidRPr="006A0501">
        <w:rPr>
          <w:lang w:eastAsia="bg-BG"/>
        </w:rPr>
        <w:t xml:space="preserve">Холестеролът и други продукти на холестероловия биосинтез са важни за развитието на плода. Ето защо, потенциалният риск от инхибиране на </w:t>
      </w:r>
      <w:r w:rsidRPr="006A0501">
        <w:rPr>
          <w:lang w:val="en-US"/>
        </w:rPr>
        <w:t>HMG</w:t>
      </w:r>
      <w:r w:rsidRPr="006A0501">
        <w:rPr>
          <w:lang w:val="ru-RU"/>
        </w:rPr>
        <w:t>-</w:t>
      </w:r>
      <w:r w:rsidRPr="006A0501">
        <w:rPr>
          <w:lang w:val="en-US"/>
        </w:rPr>
        <w:t>CoA</w:t>
      </w:r>
      <w:r w:rsidRPr="006A0501">
        <w:rPr>
          <w:lang w:val="ru-RU"/>
        </w:rPr>
        <w:t xml:space="preserve"> </w:t>
      </w:r>
      <w:r w:rsidRPr="006A0501">
        <w:rPr>
          <w:lang w:eastAsia="bg-BG"/>
        </w:rPr>
        <w:t>редуктазата е по-голям в сравнение с ползата от лечението по време на бременност. Изследванията върху животни осигуряват ограничени данни за репродуктивна токсичност (вж. точка 5.3). Ако пациентка забременее по време на лечение с това лекарство, приемът трябва да бъде незабавно преустановен.</w:t>
      </w:r>
    </w:p>
    <w:p w14:paraId="2B953008" w14:textId="77777777" w:rsidR="006A0501" w:rsidRDefault="006A0501" w:rsidP="006A0501">
      <w:pPr>
        <w:rPr>
          <w:u w:val="single"/>
          <w:lang w:eastAsia="bg-BG"/>
        </w:rPr>
      </w:pPr>
    </w:p>
    <w:p w14:paraId="4554F1C0" w14:textId="0CEE4336" w:rsidR="006A0501" w:rsidRPr="006A0501" w:rsidRDefault="006A0501" w:rsidP="006A0501">
      <w:pPr>
        <w:pStyle w:val="Heading3"/>
        <w:rPr>
          <w:rFonts w:eastAsia="Times New Roman"/>
          <w:u w:val="single"/>
        </w:rPr>
      </w:pPr>
      <w:r w:rsidRPr="006A0501">
        <w:rPr>
          <w:rFonts w:eastAsia="Times New Roman"/>
          <w:u w:val="single"/>
          <w:lang w:eastAsia="bg-BG"/>
        </w:rPr>
        <w:t>Кърмене</w:t>
      </w:r>
    </w:p>
    <w:p w14:paraId="66CB3AAC" w14:textId="77777777" w:rsidR="006A0501" w:rsidRPr="006A0501" w:rsidRDefault="006A0501" w:rsidP="006A0501">
      <w:pPr>
        <w:rPr>
          <w:sz w:val="24"/>
          <w:szCs w:val="24"/>
        </w:rPr>
      </w:pPr>
      <w:r w:rsidRPr="006A0501">
        <w:rPr>
          <w:lang w:eastAsia="bg-BG"/>
        </w:rPr>
        <w:t>Розувастатин се отделя в млякото на плъхове. Няма установени данни за отделяне в млякото при хората (вж. точка 4.3).</w:t>
      </w:r>
    </w:p>
    <w:p w14:paraId="2FA2A059" w14:textId="77777777" w:rsidR="006A0501" w:rsidRDefault="006A0501" w:rsidP="006A0501">
      <w:pPr>
        <w:rPr>
          <w:u w:val="single"/>
          <w:lang w:eastAsia="bg-BG"/>
        </w:rPr>
      </w:pPr>
    </w:p>
    <w:p w14:paraId="1D96D637" w14:textId="537AF8AB" w:rsidR="006A0501" w:rsidRPr="006A0501" w:rsidRDefault="006A0501" w:rsidP="006A0501">
      <w:pPr>
        <w:pStyle w:val="Heading3"/>
        <w:rPr>
          <w:rFonts w:eastAsia="Times New Roman"/>
          <w:u w:val="single"/>
        </w:rPr>
      </w:pPr>
      <w:r w:rsidRPr="006A0501">
        <w:rPr>
          <w:rFonts w:eastAsia="Times New Roman"/>
          <w:u w:val="single"/>
          <w:lang w:eastAsia="bg-BG"/>
        </w:rPr>
        <w:t>Фертилитет</w:t>
      </w:r>
    </w:p>
    <w:p w14:paraId="7474621D" w14:textId="1A12C1D3" w:rsidR="006A0501" w:rsidRDefault="006A0501" w:rsidP="006A0501">
      <w:pPr>
        <w:rPr>
          <w:lang w:eastAsia="bg-BG"/>
        </w:rPr>
      </w:pPr>
      <w:r w:rsidRPr="006A0501">
        <w:rPr>
          <w:lang w:eastAsia="bg-BG"/>
        </w:rPr>
        <w:t>Жени в детеродна възраст трябва да използват ефективни методи за контрацепция.</w:t>
      </w:r>
    </w:p>
    <w:p w14:paraId="5CA27951" w14:textId="77777777" w:rsidR="006A0501" w:rsidRPr="006A0501" w:rsidRDefault="006A0501" w:rsidP="006A0501"/>
    <w:p w14:paraId="5766770B" w14:textId="51F3EBC8" w:rsidR="00395555" w:rsidRDefault="002C50EE" w:rsidP="008A6AF2">
      <w:pPr>
        <w:pStyle w:val="Heading2"/>
      </w:pPr>
      <w:r>
        <w:t>4.7. Ефекти върху способността за шофиране и работа с машини</w:t>
      </w:r>
    </w:p>
    <w:p w14:paraId="15A946ED" w14:textId="60150512" w:rsidR="006A0501" w:rsidRDefault="006A0501" w:rsidP="006A0501"/>
    <w:p w14:paraId="0E649A5E" w14:textId="77777777" w:rsidR="006A0501" w:rsidRPr="006A0501" w:rsidRDefault="006A0501" w:rsidP="006A0501">
      <w:pPr>
        <w:rPr>
          <w:sz w:val="24"/>
          <w:szCs w:val="24"/>
        </w:rPr>
      </w:pPr>
      <w:r w:rsidRPr="006A0501">
        <w:rPr>
          <w:lang w:eastAsia="bg-BG"/>
        </w:rPr>
        <w:t>Не са провеждани проучвания за установяване на влиянието на розувастатин върху способността за шофиране и работа с машини. Въз основа на фармакодинамичните свойства не се очаква розувастатин да повлияе неблагоприятно тези способности. При шофиране или работа с машини трябва</w:t>
      </w:r>
      <w:r w:rsidRPr="006A0501">
        <w:rPr>
          <w:lang w:val="ru-RU"/>
        </w:rPr>
        <w:t xml:space="preserve"> </w:t>
      </w:r>
      <w:r w:rsidRPr="006A0501">
        <w:rPr>
          <w:lang w:eastAsia="bg-BG"/>
        </w:rPr>
        <w:t>да се има предвид, че приемането на лекарството може да предизвика световъртеж.</w:t>
      </w:r>
    </w:p>
    <w:p w14:paraId="21706BEB" w14:textId="77777777" w:rsidR="006A0501" w:rsidRPr="006A0501" w:rsidRDefault="006A0501" w:rsidP="006A0501"/>
    <w:p w14:paraId="4FE16E21" w14:textId="4482D2B4" w:rsidR="00395555" w:rsidRDefault="002C50EE" w:rsidP="008A6AF2">
      <w:pPr>
        <w:pStyle w:val="Heading2"/>
      </w:pPr>
      <w:r>
        <w:t>4.8. Нежелани лекарствени реакции</w:t>
      </w:r>
    </w:p>
    <w:p w14:paraId="69DA12F6" w14:textId="6E1663D2" w:rsidR="006A0501" w:rsidRDefault="006A0501" w:rsidP="006A0501"/>
    <w:p w14:paraId="1C948D9D" w14:textId="77777777" w:rsidR="006A0501" w:rsidRPr="006A0501" w:rsidRDefault="006A0501" w:rsidP="006A0501">
      <w:pPr>
        <w:rPr>
          <w:sz w:val="24"/>
          <w:szCs w:val="24"/>
        </w:rPr>
      </w:pPr>
      <w:r w:rsidRPr="006A0501">
        <w:rPr>
          <w:lang w:eastAsia="bg-BG"/>
        </w:rPr>
        <w:lastRenderedPageBreak/>
        <w:t>Нежеланите лекарствени реакции, наблюдавани при употребата на розувастатин, обикновено са леки и преходни. При контролираните клинични изпитвания под 4% от пациентите, лекувани с розувастатин, са прекъснали лечението поради нежелани събития.</w:t>
      </w:r>
    </w:p>
    <w:p w14:paraId="0A096EA5" w14:textId="77777777" w:rsidR="006A0501" w:rsidRPr="006A0501" w:rsidRDefault="006A0501" w:rsidP="006A0501">
      <w:pPr>
        <w:rPr>
          <w:sz w:val="24"/>
          <w:szCs w:val="24"/>
        </w:rPr>
      </w:pPr>
      <w:r w:rsidRPr="006A0501">
        <w:rPr>
          <w:lang w:eastAsia="bg-BG"/>
        </w:rPr>
        <w:t>Честотата на нежеланите събития е съобразена със следната скала: чести (&gt; 1/100, &lt; 1/10); нечести (&gt; 1/1000, &lt; 1/100); редки (&gt; 1/10 000, &lt; 1/1000); много редки (&lt; 1/10 000). неустановена честота (не може да бъде оценена от наличните данни).</w:t>
      </w:r>
    </w:p>
    <w:p w14:paraId="6C00642D" w14:textId="5CE1EFF2" w:rsidR="006A0501" w:rsidRDefault="006A0501" w:rsidP="006A0501"/>
    <w:tbl>
      <w:tblPr>
        <w:tblStyle w:val="TableGrid"/>
        <w:tblW w:w="0" w:type="auto"/>
        <w:tblLook w:val="04A0" w:firstRow="1" w:lastRow="0" w:firstColumn="1" w:lastColumn="0" w:noHBand="0" w:noVBand="1"/>
      </w:tblPr>
      <w:tblGrid>
        <w:gridCol w:w="3151"/>
        <w:gridCol w:w="3054"/>
        <w:gridCol w:w="3145"/>
      </w:tblGrid>
      <w:tr w:rsidR="006A0501" w14:paraId="09A3044B" w14:textId="77777777" w:rsidTr="006A0501">
        <w:tc>
          <w:tcPr>
            <w:tcW w:w="3192" w:type="dxa"/>
          </w:tcPr>
          <w:p w14:paraId="7EB2869C" w14:textId="77777777" w:rsidR="006A0501" w:rsidRPr="006A0501" w:rsidRDefault="006A0501" w:rsidP="006A0501">
            <w:proofErr w:type="spellStart"/>
            <w:r w:rsidRPr="006A0501">
              <w:rPr>
                <w:b/>
                <w:bCs/>
                <w:szCs w:val="20"/>
                <w:lang w:val="en-US"/>
              </w:rPr>
              <w:t>MedDRA</w:t>
            </w:r>
            <w:proofErr w:type="spellEnd"/>
          </w:p>
          <w:p w14:paraId="3D03CD1F" w14:textId="21E309C8" w:rsidR="006A0501" w:rsidRPr="006A0501" w:rsidRDefault="006A0501" w:rsidP="006A0501">
            <w:r w:rsidRPr="006A0501">
              <w:rPr>
                <w:b/>
                <w:bCs/>
                <w:szCs w:val="20"/>
              </w:rPr>
              <w:t xml:space="preserve">Системно-органен </w:t>
            </w:r>
            <w:r w:rsidRPr="006A0501">
              <w:rPr>
                <w:b/>
                <w:bCs/>
                <w:i/>
                <w:iCs/>
                <w:szCs w:val="20"/>
              </w:rPr>
              <w:t>клас</w:t>
            </w:r>
          </w:p>
        </w:tc>
        <w:tc>
          <w:tcPr>
            <w:tcW w:w="3192" w:type="dxa"/>
          </w:tcPr>
          <w:p w14:paraId="55E0FCE5" w14:textId="1DFB01EB" w:rsidR="006A0501" w:rsidRPr="006A0501" w:rsidRDefault="006A0501" w:rsidP="006A0501">
            <w:r w:rsidRPr="006A0501">
              <w:rPr>
                <w:b/>
                <w:bCs/>
                <w:szCs w:val="20"/>
              </w:rPr>
              <w:t>Честота</w:t>
            </w:r>
          </w:p>
        </w:tc>
        <w:tc>
          <w:tcPr>
            <w:tcW w:w="3192" w:type="dxa"/>
          </w:tcPr>
          <w:p w14:paraId="3352C6D7" w14:textId="41855A0E" w:rsidR="006A0501" w:rsidRPr="006A0501" w:rsidRDefault="006A0501" w:rsidP="006A0501">
            <w:r w:rsidRPr="006A0501">
              <w:rPr>
                <w:b/>
                <w:bCs/>
                <w:szCs w:val="20"/>
              </w:rPr>
              <w:t>Нежелана реакция</w:t>
            </w:r>
          </w:p>
        </w:tc>
      </w:tr>
      <w:tr w:rsidR="006A0501" w14:paraId="3B126CAC" w14:textId="77777777" w:rsidTr="006A0501">
        <w:tc>
          <w:tcPr>
            <w:tcW w:w="3192" w:type="dxa"/>
          </w:tcPr>
          <w:p w14:paraId="4DE87116" w14:textId="33DCA214" w:rsidR="006A0501" w:rsidRPr="006A0501" w:rsidRDefault="006A0501" w:rsidP="006A0501">
            <w:r w:rsidRPr="006A0501">
              <w:rPr>
                <w:i/>
                <w:iCs/>
                <w:szCs w:val="20"/>
              </w:rPr>
              <w:t>Нарушения на имунната система</w:t>
            </w:r>
          </w:p>
        </w:tc>
        <w:tc>
          <w:tcPr>
            <w:tcW w:w="3192" w:type="dxa"/>
          </w:tcPr>
          <w:p w14:paraId="6947298A" w14:textId="3242AEAF" w:rsidR="006A0501" w:rsidRPr="006A0501" w:rsidRDefault="006A0501" w:rsidP="006A0501">
            <w:r w:rsidRPr="006A0501">
              <w:rPr>
                <w:szCs w:val="20"/>
              </w:rPr>
              <w:t>Редки</w:t>
            </w:r>
          </w:p>
        </w:tc>
        <w:tc>
          <w:tcPr>
            <w:tcW w:w="3192" w:type="dxa"/>
          </w:tcPr>
          <w:p w14:paraId="6A117716" w14:textId="43344C1C" w:rsidR="006A0501" w:rsidRPr="006A0501" w:rsidRDefault="006A0501" w:rsidP="006A0501">
            <w:r w:rsidRPr="006A0501">
              <w:rPr>
                <w:szCs w:val="20"/>
              </w:rPr>
              <w:t>Реакции на свръхчувствителност, включително ангиоедем</w:t>
            </w:r>
          </w:p>
        </w:tc>
      </w:tr>
      <w:tr w:rsidR="006A0501" w14:paraId="53AFFBE5" w14:textId="77777777" w:rsidTr="006A0501">
        <w:tc>
          <w:tcPr>
            <w:tcW w:w="3192" w:type="dxa"/>
          </w:tcPr>
          <w:p w14:paraId="4CDFC89E" w14:textId="4858B486" w:rsidR="006A0501" w:rsidRPr="006A0501" w:rsidRDefault="006A0501" w:rsidP="006A0501">
            <w:r w:rsidRPr="006A0501">
              <w:rPr>
                <w:i/>
                <w:iCs/>
                <w:szCs w:val="20"/>
              </w:rPr>
              <w:t>Нарушения на ендокринната система</w:t>
            </w:r>
          </w:p>
        </w:tc>
        <w:tc>
          <w:tcPr>
            <w:tcW w:w="3192" w:type="dxa"/>
          </w:tcPr>
          <w:p w14:paraId="40202FD6" w14:textId="0E12572B" w:rsidR="006A0501" w:rsidRPr="006A0501" w:rsidRDefault="006A0501" w:rsidP="006A0501">
            <w:r w:rsidRPr="006A0501">
              <w:rPr>
                <w:szCs w:val="20"/>
              </w:rPr>
              <w:t>Чести</w:t>
            </w:r>
          </w:p>
        </w:tc>
        <w:tc>
          <w:tcPr>
            <w:tcW w:w="3192" w:type="dxa"/>
          </w:tcPr>
          <w:p w14:paraId="2DD807CC" w14:textId="70A6C1F8" w:rsidR="006A0501" w:rsidRPr="006A0501" w:rsidRDefault="006A0501" w:rsidP="006A0501">
            <w:r w:rsidRPr="006A0501">
              <w:rPr>
                <w:szCs w:val="20"/>
              </w:rPr>
              <w:t>Захарен диабет</w:t>
            </w:r>
            <w:r w:rsidRPr="006A0501">
              <w:rPr>
                <w:szCs w:val="20"/>
                <w:vertAlign w:val="superscript"/>
              </w:rPr>
              <w:t>1</w:t>
            </w:r>
          </w:p>
        </w:tc>
      </w:tr>
      <w:tr w:rsidR="006A0501" w14:paraId="14B03671" w14:textId="77777777" w:rsidTr="006A0501">
        <w:tc>
          <w:tcPr>
            <w:tcW w:w="3192" w:type="dxa"/>
          </w:tcPr>
          <w:p w14:paraId="215F516A" w14:textId="486C2D85" w:rsidR="006A0501" w:rsidRPr="006A0501" w:rsidRDefault="006A0501" w:rsidP="006A0501">
            <w:r w:rsidRPr="006A0501">
              <w:rPr>
                <w:i/>
                <w:iCs/>
                <w:szCs w:val="20"/>
              </w:rPr>
              <w:t>Нарушения на нервна система</w:t>
            </w:r>
          </w:p>
        </w:tc>
        <w:tc>
          <w:tcPr>
            <w:tcW w:w="3192" w:type="dxa"/>
          </w:tcPr>
          <w:p w14:paraId="60C32573" w14:textId="791B2CD7" w:rsidR="006A0501" w:rsidRPr="006A0501" w:rsidRDefault="006A0501" w:rsidP="006A0501">
            <w:r w:rsidRPr="006A0501">
              <w:rPr>
                <w:szCs w:val="20"/>
              </w:rPr>
              <w:t>Чести</w:t>
            </w:r>
          </w:p>
        </w:tc>
        <w:tc>
          <w:tcPr>
            <w:tcW w:w="3192" w:type="dxa"/>
          </w:tcPr>
          <w:p w14:paraId="398093BB" w14:textId="22943908" w:rsidR="006A0501" w:rsidRPr="006A0501" w:rsidRDefault="006A0501" w:rsidP="006A0501">
            <w:r w:rsidRPr="006A0501">
              <w:rPr>
                <w:szCs w:val="20"/>
              </w:rPr>
              <w:t>Главоболие, световъртеж</w:t>
            </w:r>
          </w:p>
        </w:tc>
      </w:tr>
      <w:tr w:rsidR="006A0501" w14:paraId="17805A0F" w14:textId="77777777" w:rsidTr="006A0501">
        <w:tc>
          <w:tcPr>
            <w:tcW w:w="3192" w:type="dxa"/>
            <w:vMerge w:val="restart"/>
          </w:tcPr>
          <w:p w14:paraId="472547CB" w14:textId="2B5CA460" w:rsidR="006A0501" w:rsidRPr="006A0501" w:rsidRDefault="006A0501" w:rsidP="006A0501">
            <w:r w:rsidRPr="006A0501">
              <w:rPr>
                <w:i/>
                <w:iCs/>
                <w:szCs w:val="20"/>
              </w:rPr>
              <w:t>Гастроинтестинални нарушения</w:t>
            </w:r>
          </w:p>
        </w:tc>
        <w:tc>
          <w:tcPr>
            <w:tcW w:w="3192" w:type="dxa"/>
          </w:tcPr>
          <w:p w14:paraId="7C40202B" w14:textId="1C1AC0C2" w:rsidR="006A0501" w:rsidRPr="006A0501" w:rsidRDefault="006A0501" w:rsidP="006A0501">
            <w:r w:rsidRPr="006A0501">
              <w:rPr>
                <w:szCs w:val="20"/>
              </w:rPr>
              <w:t>Чести</w:t>
            </w:r>
          </w:p>
        </w:tc>
        <w:tc>
          <w:tcPr>
            <w:tcW w:w="3192" w:type="dxa"/>
          </w:tcPr>
          <w:p w14:paraId="431F0144" w14:textId="496189B3" w:rsidR="006A0501" w:rsidRPr="006A0501" w:rsidRDefault="006A0501" w:rsidP="006A0501">
            <w:r w:rsidRPr="006A0501">
              <w:rPr>
                <w:szCs w:val="20"/>
              </w:rPr>
              <w:t>Констипация, гадене, абдоминални болки</w:t>
            </w:r>
          </w:p>
        </w:tc>
      </w:tr>
      <w:tr w:rsidR="006A0501" w14:paraId="0F9A55C3" w14:textId="77777777" w:rsidTr="006A0501">
        <w:tc>
          <w:tcPr>
            <w:tcW w:w="3192" w:type="dxa"/>
            <w:vMerge/>
          </w:tcPr>
          <w:p w14:paraId="320BA873" w14:textId="77777777" w:rsidR="006A0501" w:rsidRPr="006A0501" w:rsidRDefault="006A0501" w:rsidP="006A0501"/>
        </w:tc>
        <w:tc>
          <w:tcPr>
            <w:tcW w:w="3192" w:type="dxa"/>
          </w:tcPr>
          <w:p w14:paraId="044A03B2" w14:textId="3DEC6CD9" w:rsidR="006A0501" w:rsidRPr="006A0501" w:rsidRDefault="006A0501" w:rsidP="006A0501">
            <w:r w:rsidRPr="006A0501">
              <w:rPr>
                <w:szCs w:val="20"/>
              </w:rPr>
              <w:t>Редки</w:t>
            </w:r>
          </w:p>
        </w:tc>
        <w:tc>
          <w:tcPr>
            <w:tcW w:w="3192" w:type="dxa"/>
          </w:tcPr>
          <w:p w14:paraId="267C74D2" w14:textId="32188BFC" w:rsidR="006A0501" w:rsidRPr="006A0501" w:rsidRDefault="006A0501" w:rsidP="006A0501">
            <w:r w:rsidRPr="006A0501">
              <w:rPr>
                <w:szCs w:val="20"/>
              </w:rPr>
              <w:t>Панкреатит</w:t>
            </w:r>
          </w:p>
        </w:tc>
      </w:tr>
      <w:tr w:rsidR="006A0501" w14:paraId="402A973C" w14:textId="77777777" w:rsidTr="006A0501">
        <w:tc>
          <w:tcPr>
            <w:tcW w:w="3192" w:type="dxa"/>
          </w:tcPr>
          <w:p w14:paraId="2ED8D988" w14:textId="3EE34A17" w:rsidR="006A0501" w:rsidRPr="006A0501" w:rsidRDefault="006A0501" w:rsidP="006A0501">
            <w:r w:rsidRPr="006A0501">
              <w:rPr>
                <w:i/>
                <w:iCs/>
                <w:szCs w:val="20"/>
              </w:rPr>
              <w:t>Нарушения на кожата и подкожната тъкан</w:t>
            </w:r>
          </w:p>
        </w:tc>
        <w:tc>
          <w:tcPr>
            <w:tcW w:w="3192" w:type="dxa"/>
          </w:tcPr>
          <w:p w14:paraId="501DF904" w14:textId="309E1791" w:rsidR="006A0501" w:rsidRPr="006A0501" w:rsidRDefault="006A0501" w:rsidP="006A0501">
            <w:r w:rsidRPr="006A0501">
              <w:rPr>
                <w:szCs w:val="20"/>
              </w:rPr>
              <w:t>Нечести</w:t>
            </w:r>
          </w:p>
        </w:tc>
        <w:tc>
          <w:tcPr>
            <w:tcW w:w="3192" w:type="dxa"/>
          </w:tcPr>
          <w:p w14:paraId="28E6FAA7" w14:textId="3BFAECE5" w:rsidR="006A0501" w:rsidRPr="006A0501" w:rsidRDefault="006A0501" w:rsidP="006A0501">
            <w:r w:rsidRPr="006A0501">
              <w:rPr>
                <w:szCs w:val="20"/>
              </w:rPr>
              <w:t>Сърбеж, обриви, уртикария</w:t>
            </w:r>
          </w:p>
        </w:tc>
      </w:tr>
      <w:tr w:rsidR="006A0501" w14:paraId="05901E85" w14:textId="77777777" w:rsidTr="006A0501">
        <w:tc>
          <w:tcPr>
            <w:tcW w:w="3192" w:type="dxa"/>
            <w:vMerge w:val="restart"/>
          </w:tcPr>
          <w:p w14:paraId="3CF8A5F9" w14:textId="245ED127" w:rsidR="006A0501" w:rsidRPr="006A0501" w:rsidRDefault="006A0501" w:rsidP="006A0501">
            <w:r w:rsidRPr="006A0501">
              <w:rPr>
                <w:i/>
                <w:iCs/>
                <w:szCs w:val="20"/>
              </w:rPr>
              <w:t>Нарушения на скелетната мускулатура, съединителна тъкан и костите</w:t>
            </w:r>
          </w:p>
        </w:tc>
        <w:tc>
          <w:tcPr>
            <w:tcW w:w="3192" w:type="dxa"/>
          </w:tcPr>
          <w:p w14:paraId="2A041EBF" w14:textId="648A9557" w:rsidR="006A0501" w:rsidRPr="006A0501" w:rsidRDefault="006A0501" w:rsidP="006A0501">
            <w:r w:rsidRPr="006A0501">
              <w:rPr>
                <w:szCs w:val="20"/>
              </w:rPr>
              <w:t>Чести</w:t>
            </w:r>
          </w:p>
        </w:tc>
        <w:tc>
          <w:tcPr>
            <w:tcW w:w="3192" w:type="dxa"/>
          </w:tcPr>
          <w:p w14:paraId="7B1C3E54" w14:textId="33901215" w:rsidR="006A0501" w:rsidRPr="006A0501" w:rsidRDefault="006A0501" w:rsidP="006A0501">
            <w:r w:rsidRPr="006A0501">
              <w:rPr>
                <w:szCs w:val="20"/>
              </w:rPr>
              <w:t>Миалгия</w:t>
            </w:r>
          </w:p>
        </w:tc>
      </w:tr>
      <w:tr w:rsidR="006A0501" w14:paraId="7BEA4A0C" w14:textId="77777777" w:rsidTr="006A0501">
        <w:tc>
          <w:tcPr>
            <w:tcW w:w="3192" w:type="dxa"/>
            <w:vMerge/>
          </w:tcPr>
          <w:p w14:paraId="04EF8D7E" w14:textId="77777777" w:rsidR="006A0501" w:rsidRPr="006A0501" w:rsidRDefault="006A0501" w:rsidP="006A0501"/>
        </w:tc>
        <w:tc>
          <w:tcPr>
            <w:tcW w:w="3192" w:type="dxa"/>
          </w:tcPr>
          <w:p w14:paraId="7513BE96" w14:textId="3912838D" w:rsidR="006A0501" w:rsidRPr="006A0501" w:rsidRDefault="006A0501" w:rsidP="006A0501">
            <w:r w:rsidRPr="006A0501">
              <w:rPr>
                <w:szCs w:val="20"/>
              </w:rPr>
              <w:t>Редки</w:t>
            </w:r>
          </w:p>
        </w:tc>
        <w:tc>
          <w:tcPr>
            <w:tcW w:w="3192" w:type="dxa"/>
          </w:tcPr>
          <w:p w14:paraId="118379F4" w14:textId="164D7C7C" w:rsidR="006A0501" w:rsidRPr="006A0501" w:rsidRDefault="006A0501" w:rsidP="006A0501">
            <w:r w:rsidRPr="006A0501">
              <w:rPr>
                <w:szCs w:val="20"/>
              </w:rPr>
              <w:t>Миопатия (вкл. миозит) и рабдомиолиза</w:t>
            </w:r>
          </w:p>
        </w:tc>
      </w:tr>
      <w:tr w:rsidR="006A0501" w14:paraId="64462395" w14:textId="77777777" w:rsidTr="006A0501">
        <w:tc>
          <w:tcPr>
            <w:tcW w:w="3192" w:type="dxa"/>
          </w:tcPr>
          <w:p w14:paraId="6627A857" w14:textId="35AD66BB" w:rsidR="006A0501" w:rsidRPr="006A0501" w:rsidRDefault="006A0501" w:rsidP="006A0501">
            <w:r w:rsidRPr="006A0501">
              <w:rPr>
                <w:i/>
                <w:iCs/>
                <w:szCs w:val="20"/>
              </w:rPr>
              <w:t>Нарушения на репродуктивната система и гърдата</w:t>
            </w:r>
          </w:p>
        </w:tc>
        <w:tc>
          <w:tcPr>
            <w:tcW w:w="3192" w:type="dxa"/>
          </w:tcPr>
          <w:p w14:paraId="1A7206B9" w14:textId="584AEAED" w:rsidR="006A0501" w:rsidRPr="006A0501" w:rsidRDefault="006A0501" w:rsidP="006A0501">
            <w:r w:rsidRPr="006A0501">
              <w:rPr>
                <w:szCs w:val="20"/>
              </w:rPr>
              <w:t>Много редки</w:t>
            </w:r>
          </w:p>
        </w:tc>
        <w:tc>
          <w:tcPr>
            <w:tcW w:w="3192" w:type="dxa"/>
          </w:tcPr>
          <w:p w14:paraId="23789703" w14:textId="4D235B84" w:rsidR="006A0501" w:rsidRPr="006A0501" w:rsidRDefault="006A0501" w:rsidP="006A0501">
            <w:r w:rsidRPr="006A0501">
              <w:rPr>
                <w:szCs w:val="20"/>
              </w:rPr>
              <w:t>Гинекомастия</w:t>
            </w:r>
          </w:p>
        </w:tc>
      </w:tr>
      <w:tr w:rsidR="006A0501" w14:paraId="7BFDBE78" w14:textId="77777777" w:rsidTr="006A0501">
        <w:tc>
          <w:tcPr>
            <w:tcW w:w="3192" w:type="dxa"/>
          </w:tcPr>
          <w:p w14:paraId="71CFEEA2" w14:textId="607AB37D" w:rsidR="006A0501" w:rsidRPr="006A0501" w:rsidRDefault="006A0501" w:rsidP="006A0501">
            <w:r w:rsidRPr="006A0501">
              <w:rPr>
                <w:i/>
                <w:iCs/>
                <w:szCs w:val="20"/>
              </w:rPr>
              <w:t>Общи неразположения</w:t>
            </w:r>
          </w:p>
        </w:tc>
        <w:tc>
          <w:tcPr>
            <w:tcW w:w="3192" w:type="dxa"/>
          </w:tcPr>
          <w:p w14:paraId="51029F15" w14:textId="5E44A8C3" w:rsidR="006A0501" w:rsidRPr="006A0501" w:rsidRDefault="006A0501" w:rsidP="006A0501">
            <w:r w:rsidRPr="006A0501">
              <w:rPr>
                <w:szCs w:val="20"/>
              </w:rPr>
              <w:t>Чести</w:t>
            </w:r>
          </w:p>
        </w:tc>
        <w:tc>
          <w:tcPr>
            <w:tcW w:w="3192" w:type="dxa"/>
          </w:tcPr>
          <w:p w14:paraId="6C9DC790" w14:textId="0B0B1F54" w:rsidR="006A0501" w:rsidRPr="006A0501" w:rsidRDefault="006A0501" w:rsidP="006A0501">
            <w:r w:rsidRPr="006A0501">
              <w:rPr>
                <w:szCs w:val="20"/>
              </w:rPr>
              <w:t>Астения</w:t>
            </w:r>
          </w:p>
        </w:tc>
      </w:tr>
    </w:tbl>
    <w:p w14:paraId="25536F94" w14:textId="77777777"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vertAlign w:val="superscript"/>
          <w:lang w:eastAsia="bg-BG"/>
        </w:rPr>
        <w:t>1</w:t>
      </w:r>
      <w:r w:rsidRPr="006A0501">
        <w:rPr>
          <w:rFonts w:eastAsia="Times New Roman" w:cs="Arial"/>
          <w:color w:val="000000"/>
          <w:szCs w:val="20"/>
          <w:lang w:eastAsia="bg-BG"/>
        </w:rPr>
        <w:t xml:space="preserve"> Честотата зависи от наличието или отсъствието на рискови фактори (глюкоза на гладно ≥ 5,6 </w:t>
      </w:r>
      <w:proofErr w:type="spellStart"/>
      <w:r w:rsidRPr="006A0501">
        <w:rPr>
          <w:rFonts w:eastAsia="Times New Roman" w:cs="Arial"/>
          <w:color w:val="000000"/>
          <w:szCs w:val="20"/>
          <w:lang w:val="en-US"/>
        </w:rPr>
        <w:t>mmol</w:t>
      </w:r>
      <w:proofErr w:type="spellEnd"/>
      <w:r w:rsidRPr="006A0501">
        <w:rPr>
          <w:rFonts w:eastAsia="Times New Roman" w:cs="Arial"/>
          <w:color w:val="000000"/>
          <w:szCs w:val="20"/>
          <w:lang w:val="ru-RU"/>
        </w:rPr>
        <w:t xml:space="preserve">/1, </w:t>
      </w:r>
      <w:r w:rsidRPr="006A0501">
        <w:rPr>
          <w:rFonts w:eastAsia="Times New Roman" w:cs="Arial"/>
          <w:color w:val="000000"/>
          <w:szCs w:val="20"/>
          <w:lang w:eastAsia="bg-BG"/>
        </w:rPr>
        <w:t xml:space="preserve">индекс на телесна маса &gt; 30 </w:t>
      </w:r>
      <w:r w:rsidRPr="006A0501">
        <w:rPr>
          <w:rFonts w:eastAsia="Times New Roman" w:cs="Arial"/>
          <w:color w:val="000000"/>
          <w:szCs w:val="20"/>
          <w:lang w:val="en-US"/>
        </w:rPr>
        <w:t>kg</w:t>
      </w:r>
      <w:r w:rsidRPr="006A0501">
        <w:rPr>
          <w:rFonts w:eastAsia="Times New Roman" w:cs="Arial"/>
          <w:color w:val="000000"/>
          <w:szCs w:val="20"/>
          <w:lang w:val="ru-RU"/>
        </w:rPr>
        <w:t>/</w:t>
      </w:r>
      <w:r w:rsidRPr="006A0501">
        <w:rPr>
          <w:rFonts w:eastAsia="Times New Roman" w:cs="Arial"/>
          <w:color w:val="000000"/>
          <w:szCs w:val="20"/>
          <w:lang w:val="en-US"/>
        </w:rPr>
        <w:t>m</w:t>
      </w:r>
      <w:r w:rsidRPr="006A0501">
        <w:rPr>
          <w:rFonts w:eastAsia="Times New Roman" w:cs="Arial"/>
          <w:color w:val="000000"/>
          <w:szCs w:val="20"/>
          <w:vertAlign w:val="superscript"/>
          <w:lang w:val="ru-RU"/>
        </w:rPr>
        <w:t>2</w:t>
      </w:r>
      <w:r w:rsidRPr="006A0501">
        <w:rPr>
          <w:rFonts w:eastAsia="Times New Roman" w:cs="Arial"/>
          <w:color w:val="000000"/>
          <w:szCs w:val="20"/>
          <w:lang w:val="ru-RU"/>
        </w:rPr>
        <w:t xml:space="preserve">, </w:t>
      </w:r>
      <w:r w:rsidRPr="006A0501">
        <w:rPr>
          <w:rFonts w:eastAsia="Times New Roman" w:cs="Arial"/>
          <w:color w:val="000000"/>
          <w:szCs w:val="20"/>
          <w:lang w:eastAsia="bg-BG"/>
        </w:rPr>
        <w:t>повишени стойности на триглицеридите. анамнеза за хипертония).</w:t>
      </w:r>
    </w:p>
    <w:p w14:paraId="0CEC43AE" w14:textId="77777777"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t xml:space="preserve">Както при други инхибитори на </w:t>
      </w:r>
      <w:r w:rsidRPr="006A0501">
        <w:rPr>
          <w:rFonts w:eastAsia="Times New Roman" w:cs="Arial"/>
          <w:color w:val="000000"/>
          <w:szCs w:val="20"/>
          <w:lang w:val="en-US"/>
        </w:rPr>
        <w:t>HMG</w:t>
      </w:r>
      <w:r w:rsidRPr="006A0501">
        <w:rPr>
          <w:rFonts w:eastAsia="Times New Roman" w:cs="Arial"/>
          <w:color w:val="000000"/>
          <w:szCs w:val="20"/>
          <w:lang w:val="ru-RU"/>
        </w:rPr>
        <w:t>-</w:t>
      </w:r>
      <w:r w:rsidRPr="006A0501">
        <w:rPr>
          <w:rFonts w:eastAsia="Times New Roman" w:cs="Arial"/>
          <w:color w:val="000000"/>
          <w:szCs w:val="20"/>
          <w:lang w:val="en-US"/>
        </w:rPr>
        <w:t>CoA</w:t>
      </w:r>
      <w:r w:rsidRPr="006A0501">
        <w:rPr>
          <w:rFonts w:eastAsia="Times New Roman" w:cs="Arial"/>
          <w:color w:val="000000"/>
          <w:szCs w:val="20"/>
          <w:lang w:val="ru-RU"/>
        </w:rPr>
        <w:t xml:space="preserve"> </w:t>
      </w:r>
      <w:r w:rsidRPr="006A0501">
        <w:rPr>
          <w:rFonts w:eastAsia="Times New Roman" w:cs="Arial"/>
          <w:color w:val="000000"/>
          <w:szCs w:val="20"/>
          <w:lang w:eastAsia="bg-BG"/>
        </w:rPr>
        <w:t>редуктазата, честотата на нежеланите лекарствени реакции зависи от лекарствената доза.</w:t>
      </w:r>
    </w:p>
    <w:p w14:paraId="23A71797" w14:textId="77777777" w:rsidR="006A0501" w:rsidRPr="006A0501" w:rsidRDefault="006A0501" w:rsidP="006A0501">
      <w:pPr>
        <w:spacing w:line="240" w:lineRule="auto"/>
        <w:rPr>
          <w:rFonts w:eastAsia="Times New Roman" w:cs="Arial"/>
          <w:b/>
          <w:bCs/>
          <w:color w:val="000000"/>
          <w:szCs w:val="20"/>
          <w:lang w:eastAsia="bg-BG"/>
        </w:rPr>
      </w:pPr>
    </w:p>
    <w:p w14:paraId="5EED258D" w14:textId="339CDBC0" w:rsidR="006A0501" w:rsidRPr="006A0501" w:rsidRDefault="006A0501" w:rsidP="006A0501">
      <w:pPr>
        <w:spacing w:line="240" w:lineRule="auto"/>
        <w:rPr>
          <w:rFonts w:eastAsia="Times New Roman" w:cs="Arial"/>
          <w:sz w:val="28"/>
          <w:szCs w:val="24"/>
        </w:rPr>
      </w:pPr>
      <w:r w:rsidRPr="006A0501">
        <w:rPr>
          <w:rFonts w:eastAsia="Times New Roman" w:cs="Arial"/>
          <w:b/>
          <w:bCs/>
          <w:color w:val="000000"/>
          <w:szCs w:val="20"/>
          <w:lang w:eastAsia="bg-BG"/>
        </w:rPr>
        <w:t>Ефекти върху бъбреците</w:t>
      </w:r>
    </w:p>
    <w:p w14:paraId="4AC68D08" w14:textId="77777777"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t xml:space="preserve">При пациенти, лекувани с Розувастатин, е наблюдавана протеинурия, установена при изследване с тест- лентички и която е с предимно тубулен произход. В определени моменти от лечението при &lt;1% от пациентите на 10 </w:t>
      </w:r>
      <w:r w:rsidRPr="006A0501">
        <w:rPr>
          <w:rFonts w:eastAsia="Times New Roman" w:cs="Arial"/>
          <w:color w:val="000000"/>
          <w:szCs w:val="20"/>
          <w:lang w:val="en-US"/>
        </w:rPr>
        <w:t>mg</w:t>
      </w:r>
      <w:r w:rsidRPr="006A0501">
        <w:rPr>
          <w:rFonts w:eastAsia="Times New Roman" w:cs="Arial"/>
          <w:color w:val="000000"/>
          <w:szCs w:val="20"/>
          <w:lang w:val="ru-RU"/>
        </w:rPr>
        <w:t xml:space="preserve"> </w:t>
      </w:r>
      <w:r w:rsidRPr="006A0501">
        <w:rPr>
          <w:rFonts w:eastAsia="Times New Roman" w:cs="Arial"/>
          <w:color w:val="000000"/>
          <w:szCs w:val="20"/>
          <w:lang w:eastAsia="bg-BG"/>
        </w:rPr>
        <w:t xml:space="preserve">и 20 </w:t>
      </w:r>
      <w:r w:rsidRPr="006A0501">
        <w:rPr>
          <w:rFonts w:eastAsia="Times New Roman" w:cs="Arial"/>
          <w:color w:val="000000"/>
          <w:szCs w:val="20"/>
          <w:lang w:val="en-US"/>
        </w:rPr>
        <w:t>mg</w:t>
      </w:r>
      <w:r w:rsidRPr="006A0501">
        <w:rPr>
          <w:rFonts w:eastAsia="Times New Roman" w:cs="Arial"/>
          <w:color w:val="000000"/>
          <w:szCs w:val="20"/>
          <w:lang w:val="ru-RU"/>
        </w:rPr>
        <w:t xml:space="preserve">, </w:t>
      </w:r>
      <w:r w:rsidRPr="006A0501">
        <w:rPr>
          <w:rFonts w:eastAsia="Times New Roman" w:cs="Arial"/>
          <w:color w:val="000000"/>
          <w:szCs w:val="20"/>
          <w:lang w:eastAsia="bg-BG"/>
        </w:rPr>
        <w:t xml:space="preserve">и при приблизително 3% от пациентите, лекувани е 40 </w:t>
      </w:r>
      <w:r w:rsidRPr="006A0501">
        <w:rPr>
          <w:rFonts w:eastAsia="Times New Roman" w:cs="Arial"/>
          <w:color w:val="000000"/>
          <w:szCs w:val="20"/>
          <w:lang w:val="en-US"/>
        </w:rPr>
        <w:t>mg</w:t>
      </w:r>
      <w:r w:rsidRPr="006A0501">
        <w:rPr>
          <w:rFonts w:eastAsia="Times New Roman" w:cs="Arial"/>
          <w:color w:val="000000"/>
          <w:szCs w:val="20"/>
          <w:lang w:val="ru-RU"/>
        </w:rPr>
        <w:t xml:space="preserve">, </w:t>
      </w:r>
      <w:r w:rsidRPr="006A0501">
        <w:rPr>
          <w:rFonts w:eastAsia="Times New Roman" w:cs="Arial"/>
          <w:color w:val="000000"/>
          <w:szCs w:val="20"/>
          <w:lang w:eastAsia="bg-BG"/>
        </w:rPr>
        <w:t xml:space="preserve">са наблюдавани промени в изследванията за протеин в урината от отрицателен резултат или следи до ++. Незначително отклонение в посока от отрицателен резултат или следи към + е наблюдавано при доза 20 </w:t>
      </w:r>
      <w:r w:rsidRPr="006A0501">
        <w:rPr>
          <w:rFonts w:eastAsia="Times New Roman" w:cs="Arial"/>
          <w:color w:val="000000"/>
          <w:szCs w:val="20"/>
          <w:lang w:val="en-US"/>
        </w:rPr>
        <w:t>mg</w:t>
      </w:r>
      <w:r w:rsidRPr="006A0501">
        <w:rPr>
          <w:rFonts w:eastAsia="Times New Roman" w:cs="Arial"/>
          <w:color w:val="000000"/>
          <w:szCs w:val="20"/>
          <w:lang w:val="ru-RU"/>
        </w:rPr>
        <w:t xml:space="preserve">. </w:t>
      </w:r>
      <w:r w:rsidRPr="006A0501">
        <w:rPr>
          <w:rFonts w:eastAsia="Times New Roman" w:cs="Arial"/>
          <w:color w:val="000000"/>
          <w:szCs w:val="20"/>
          <w:lang w:eastAsia="bg-BG"/>
        </w:rPr>
        <w:t>В повечето случаи протеинурията намалява или изчезва спонтанно в процеса на лечението и не е доказано да предшества остро и прогресивно бъбречно заболяване. От прегледа на данните при клиничните опити и постмаркетинговите проучвания, досега не е идентифицирана причинна връзка между протеинурията и остро или прогресивно бъбречно заболяване.</w:t>
      </w:r>
    </w:p>
    <w:p w14:paraId="59D0A027" w14:textId="77777777" w:rsidR="006A0501" w:rsidRPr="006A0501" w:rsidRDefault="006A0501" w:rsidP="006A0501">
      <w:pPr>
        <w:spacing w:line="240" w:lineRule="auto"/>
        <w:rPr>
          <w:rFonts w:eastAsia="Times New Roman" w:cs="Arial"/>
          <w:color w:val="000000"/>
          <w:szCs w:val="20"/>
          <w:lang w:eastAsia="bg-BG"/>
        </w:rPr>
      </w:pPr>
    </w:p>
    <w:p w14:paraId="3E1D3A95" w14:textId="2407C9AC"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lastRenderedPageBreak/>
        <w:t>При пациенти, третирани с Розувастатин, е наблюдавана хематурия, но клиничните данни сочат, че честотата и е ниска.</w:t>
      </w:r>
    </w:p>
    <w:p w14:paraId="10F50D31" w14:textId="77777777" w:rsidR="006A0501" w:rsidRPr="006A0501" w:rsidRDefault="006A0501" w:rsidP="006A0501">
      <w:pPr>
        <w:spacing w:line="240" w:lineRule="auto"/>
        <w:rPr>
          <w:rFonts w:eastAsia="Times New Roman" w:cs="Arial"/>
          <w:b/>
          <w:bCs/>
          <w:color w:val="000000"/>
          <w:szCs w:val="20"/>
          <w:lang w:eastAsia="bg-BG"/>
        </w:rPr>
      </w:pPr>
    </w:p>
    <w:p w14:paraId="025D3555" w14:textId="246D5225" w:rsidR="006A0501" w:rsidRPr="006A0501" w:rsidRDefault="006A0501" w:rsidP="006A0501">
      <w:pPr>
        <w:spacing w:line="240" w:lineRule="auto"/>
        <w:rPr>
          <w:rFonts w:eastAsia="Times New Roman" w:cs="Arial"/>
          <w:sz w:val="28"/>
          <w:szCs w:val="24"/>
        </w:rPr>
      </w:pPr>
      <w:r w:rsidRPr="006A0501">
        <w:rPr>
          <w:rFonts w:eastAsia="Times New Roman" w:cs="Arial"/>
          <w:b/>
          <w:bCs/>
          <w:color w:val="000000"/>
          <w:szCs w:val="20"/>
          <w:lang w:eastAsia="bg-BG"/>
        </w:rPr>
        <w:t>Ефекти върху скелетната мускулатура</w:t>
      </w:r>
    </w:p>
    <w:p w14:paraId="4CD3B121" w14:textId="77777777"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t xml:space="preserve">Както при други инхибитори на </w:t>
      </w:r>
      <w:r w:rsidRPr="006A0501">
        <w:rPr>
          <w:rFonts w:eastAsia="Times New Roman" w:cs="Arial"/>
          <w:color w:val="000000"/>
          <w:szCs w:val="20"/>
          <w:lang w:val="en-US"/>
        </w:rPr>
        <w:t>HMG</w:t>
      </w:r>
      <w:r w:rsidRPr="006A0501">
        <w:rPr>
          <w:rFonts w:eastAsia="Times New Roman" w:cs="Arial"/>
          <w:color w:val="000000"/>
          <w:szCs w:val="20"/>
          <w:lang w:val="ru-RU"/>
        </w:rPr>
        <w:t>-</w:t>
      </w:r>
      <w:r w:rsidRPr="006A0501">
        <w:rPr>
          <w:rFonts w:eastAsia="Times New Roman" w:cs="Arial"/>
          <w:color w:val="000000"/>
          <w:szCs w:val="20"/>
          <w:lang w:val="en-US"/>
        </w:rPr>
        <w:t>CoA</w:t>
      </w:r>
      <w:r w:rsidRPr="006A0501">
        <w:rPr>
          <w:rFonts w:eastAsia="Times New Roman" w:cs="Arial"/>
          <w:color w:val="000000"/>
          <w:szCs w:val="20"/>
          <w:lang w:val="ru-RU"/>
        </w:rPr>
        <w:t xml:space="preserve"> </w:t>
      </w:r>
      <w:r w:rsidRPr="006A0501">
        <w:rPr>
          <w:rFonts w:eastAsia="Times New Roman" w:cs="Arial"/>
          <w:color w:val="000000"/>
          <w:szCs w:val="20"/>
          <w:lang w:eastAsia="bg-BG"/>
        </w:rPr>
        <w:t xml:space="preserve">редуктазата, въздействия върху скелетната мускулатура като неусложнена миалгия, миопатия (включително миозит) и рабдомиолиза установени при пациенти, лекувани е Розувастатин - във всички терапевтични дози, особено над 20 </w:t>
      </w:r>
      <w:r w:rsidRPr="006A0501">
        <w:rPr>
          <w:rFonts w:eastAsia="Times New Roman" w:cs="Arial"/>
          <w:color w:val="000000"/>
          <w:szCs w:val="20"/>
          <w:lang w:val="en-US"/>
        </w:rPr>
        <w:t>mg</w:t>
      </w:r>
      <w:r w:rsidRPr="006A0501">
        <w:rPr>
          <w:rFonts w:eastAsia="Times New Roman" w:cs="Arial"/>
          <w:color w:val="000000"/>
          <w:szCs w:val="20"/>
          <w:lang w:val="ru-RU"/>
        </w:rPr>
        <w:t>.</w:t>
      </w:r>
    </w:p>
    <w:p w14:paraId="703F221E" w14:textId="77777777"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t>Увеличение на нивото на СК вследствие на увеличение на дозата е наблюдавано при по-малък борй пациенти на розувастатин: множество от случаите са леки, преходни и асимптоматична. Ако нивото на СК се повиши (&gt; 5 пъти горната граница на нормата) лечението трябва временно да се преустаниву (вж.</w:t>
      </w:r>
    </w:p>
    <w:p w14:paraId="62BEF878" w14:textId="5C40B03B" w:rsidR="006A0501" w:rsidRPr="006A0501" w:rsidRDefault="006A0501" w:rsidP="006A0501">
      <w:pPr>
        <w:rPr>
          <w:rFonts w:eastAsia="Times New Roman" w:cs="Arial"/>
          <w:color w:val="000000"/>
          <w:szCs w:val="20"/>
          <w:lang w:eastAsia="bg-BG"/>
        </w:rPr>
      </w:pPr>
      <w:r w:rsidRPr="006A0501">
        <w:rPr>
          <w:rFonts w:eastAsia="Times New Roman" w:cs="Arial"/>
          <w:color w:val="000000"/>
          <w:szCs w:val="20"/>
          <w:lang w:eastAsia="bg-BG"/>
        </w:rPr>
        <w:t>точка 4.4).</w:t>
      </w:r>
    </w:p>
    <w:p w14:paraId="38B5A000" w14:textId="2AC7EE4D" w:rsidR="006A0501" w:rsidRPr="006A0501" w:rsidRDefault="006A0501" w:rsidP="006A0501">
      <w:pPr>
        <w:rPr>
          <w:rFonts w:eastAsia="Times New Roman" w:cs="Arial"/>
          <w:color w:val="000000"/>
          <w:szCs w:val="20"/>
          <w:lang w:eastAsia="bg-BG"/>
        </w:rPr>
      </w:pPr>
    </w:p>
    <w:p w14:paraId="23AD0C4D" w14:textId="77777777" w:rsidR="006A0501" w:rsidRPr="006A0501" w:rsidRDefault="006A0501" w:rsidP="006A0501">
      <w:pPr>
        <w:spacing w:line="240" w:lineRule="auto"/>
        <w:rPr>
          <w:rFonts w:eastAsia="Times New Roman" w:cs="Arial"/>
          <w:sz w:val="28"/>
          <w:szCs w:val="24"/>
        </w:rPr>
      </w:pPr>
      <w:r w:rsidRPr="006A0501">
        <w:rPr>
          <w:rFonts w:eastAsia="Times New Roman" w:cs="Arial"/>
          <w:b/>
          <w:bCs/>
          <w:color w:val="000000"/>
          <w:szCs w:val="20"/>
          <w:lang w:eastAsia="bg-BG"/>
        </w:rPr>
        <w:t>Ефект върху черния дроб</w:t>
      </w:r>
    </w:p>
    <w:p w14:paraId="40BDA596" w14:textId="77777777"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t xml:space="preserve">Както при други инхибитори на </w:t>
      </w:r>
      <w:r w:rsidRPr="006A0501">
        <w:rPr>
          <w:rFonts w:eastAsia="Times New Roman" w:cs="Arial"/>
          <w:color w:val="000000"/>
          <w:szCs w:val="20"/>
          <w:lang w:val="en-US"/>
        </w:rPr>
        <w:t>HMG</w:t>
      </w:r>
      <w:r w:rsidRPr="006A0501">
        <w:rPr>
          <w:rFonts w:eastAsia="Times New Roman" w:cs="Arial"/>
          <w:color w:val="000000"/>
          <w:szCs w:val="20"/>
          <w:lang w:val="ru-RU"/>
        </w:rPr>
        <w:t>-</w:t>
      </w:r>
      <w:r w:rsidRPr="006A0501">
        <w:rPr>
          <w:rFonts w:eastAsia="Times New Roman" w:cs="Arial"/>
          <w:color w:val="000000"/>
          <w:szCs w:val="20"/>
          <w:lang w:val="en-US"/>
        </w:rPr>
        <w:t>CoA</w:t>
      </w:r>
      <w:r w:rsidRPr="006A0501">
        <w:rPr>
          <w:rFonts w:eastAsia="Times New Roman" w:cs="Arial"/>
          <w:color w:val="000000"/>
          <w:szCs w:val="20"/>
          <w:lang w:val="ru-RU"/>
        </w:rPr>
        <w:t xml:space="preserve"> </w:t>
      </w:r>
      <w:r w:rsidRPr="006A0501">
        <w:rPr>
          <w:rFonts w:eastAsia="Times New Roman" w:cs="Arial"/>
          <w:color w:val="000000"/>
          <w:szCs w:val="20"/>
          <w:lang w:eastAsia="bg-BG"/>
        </w:rPr>
        <w:t>редуктазата, увеличение на трансаминазите, свързано е дозировката, е наблюдавано при малък брой пациенти на розувастатин; по-голяма част от случаите са леки, асимптоматични и преходни.</w:t>
      </w:r>
    </w:p>
    <w:p w14:paraId="2584245D" w14:textId="77777777" w:rsidR="006A0501" w:rsidRPr="006A0501" w:rsidRDefault="006A0501" w:rsidP="006A0501">
      <w:pPr>
        <w:spacing w:line="240" w:lineRule="auto"/>
        <w:rPr>
          <w:rFonts w:eastAsia="Times New Roman" w:cs="Arial"/>
          <w:b/>
          <w:bCs/>
          <w:color w:val="000000"/>
          <w:szCs w:val="20"/>
          <w:lang w:eastAsia="bg-BG"/>
        </w:rPr>
      </w:pPr>
    </w:p>
    <w:p w14:paraId="46864D80" w14:textId="2DD6D3B2" w:rsidR="006A0501" w:rsidRPr="006A0501" w:rsidRDefault="006A0501" w:rsidP="006A0501">
      <w:pPr>
        <w:spacing w:line="240" w:lineRule="auto"/>
        <w:rPr>
          <w:rFonts w:eastAsia="Times New Roman" w:cs="Arial"/>
          <w:sz w:val="28"/>
          <w:szCs w:val="24"/>
        </w:rPr>
      </w:pPr>
      <w:r w:rsidRPr="006A0501">
        <w:rPr>
          <w:rFonts w:eastAsia="Times New Roman" w:cs="Arial"/>
          <w:b/>
          <w:bCs/>
          <w:color w:val="000000"/>
          <w:szCs w:val="20"/>
          <w:lang w:eastAsia="bg-BG"/>
        </w:rPr>
        <w:t>Постмаркетингов опит</w:t>
      </w:r>
    </w:p>
    <w:p w14:paraId="2957F175" w14:textId="77777777" w:rsidR="006A0501" w:rsidRPr="006A0501" w:rsidRDefault="006A0501" w:rsidP="006A0501">
      <w:pPr>
        <w:spacing w:line="240" w:lineRule="auto"/>
        <w:rPr>
          <w:rFonts w:ascii="Times New Roman" w:eastAsia="Times New Roman" w:hAnsi="Times New Roman" w:cs="Times New Roman"/>
          <w:sz w:val="24"/>
          <w:szCs w:val="24"/>
        </w:rPr>
      </w:pPr>
      <w:r w:rsidRPr="006A0501">
        <w:rPr>
          <w:rFonts w:eastAsia="Times New Roman" w:cs="Arial"/>
          <w:color w:val="000000"/>
          <w:szCs w:val="20"/>
          <w:lang w:eastAsia="bg-BG"/>
        </w:rPr>
        <w:t xml:space="preserve">Наред с описаните по-горе нежелани реакции, в постмаркетинговия опит с розувастатин са описани </w:t>
      </w:r>
      <w:r w:rsidRPr="006A0501">
        <w:rPr>
          <w:rFonts w:eastAsia="Times New Roman" w:cs="Arial"/>
          <w:i/>
          <w:iCs/>
          <w:color w:val="000000"/>
          <w:szCs w:val="20"/>
          <w:lang w:eastAsia="bg-BG"/>
        </w:rPr>
        <w:t xml:space="preserve">и </w:t>
      </w:r>
      <w:r w:rsidRPr="006A0501">
        <w:rPr>
          <w:rFonts w:eastAsia="Times New Roman" w:cs="Arial"/>
          <w:color w:val="000000"/>
          <w:szCs w:val="20"/>
          <w:lang w:eastAsia="bg-BG"/>
        </w:rPr>
        <w:t>следните нежелани реакции при лечение с розувастатин:</w:t>
      </w:r>
    </w:p>
    <w:tbl>
      <w:tblPr>
        <w:tblStyle w:val="TableGrid"/>
        <w:tblW w:w="0" w:type="auto"/>
        <w:tblLook w:val="04A0" w:firstRow="1" w:lastRow="0" w:firstColumn="1" w:lastColumn="0" w:noHBand="0" w:noVBand="1"/>
      </w:tblPr>
      <w:tblGrid>
        <w:gridCol w:w="3128"/>
        <w:gridCol w:w="3095"/>
        <w:gridCol w:w="3127"/>
      </w:tblGrid>
      <w:tr w:rsidR="006A0501" w14:paraId="3238C9AB" w14:textId="77777777" w:rsidTr="006A0501">
        <w:tc>
          <w:tcPr>
            <w:tcW w:w="3192" w:type="dxa"/>
          </w:tcPr>
          <w:p w14:paraId="02D5B701" w14:textId="2475524E" w:rsidR="006A0501" w:rsidRPr="006A0501" w:rsidRDefault="006A0501" w:rsidP="006A0501">
            <w:proofErr w:type="spellStart"/>
            <w:r w:rsidRPr="006A0501">
              <w:rPr>
                <w:b/>
                <w:bCs/>
                <w:szCs w:val="20"/>
                <w:lang w:val="en-US"/>
              </w:rPr>
              <w:t>MedDRA</w:t>
            </w:r>
            <w:proofErr w:type="spellEnd"/>
            <w:r w:rsidRPr="006A0501">
              <w:rPr>
                <w:b/>
                <w:bCs/>
                <w:szCs w:val="20"/>
                <w:lang w:val="en-US"/>
              </w:rPr>
              <w:t xml:space="preserve"> </w:t>
            </w:r>
            <w:r w:rsidRPr="006A0501">
              <w:rPr>
                <w:b/>
                <w:bCs/>
                <w:szCs w:val="20"/>
              </w:rPr>
              <w:t>Снстемно-органеи клас</w:t>
            </w:r>
          </w:p>
        </w:tc>
        <w:tc>
          <w:tcPr>
            <w:tcW w:w="3192" w:type="dxa"/>
          </w:tcPr>
          <w:p w14:paraId="5BDA4F5E" w14:textId="43E33DEC" w:rsidR="006A0501" w:rsidRPr="006A0501" w:rsidRDefault="006A0501" w:rsidP="006A0501">
            <w:r w:rsidRPr="006A0501">
              <w:rPr>
                <w:b/>
                <w:bCs/>
                <w:szCs w:val="20"/>
              </w:rPr>
              <w:t>Честота</w:t>
            </w:r>
          </w:p>
        </w:tc>
        <w:tc>
          <w:tcPr>
            <w:tcW w:w="3192" w:type="dxa"/>
          </w:tcPr>
          <w:p w14:paraId="6123B738" w14:textId="7FCB5A6D" w:rsidR="006A0501" w:rsidRPr="006A0501" w:rsidRDefault="006A0501" w:rsidP="006A0501">
            <w:r w:rsidRPr="006A0501">
              <w:rPr>
                <w:b/>
                <w:bCs/>
                <w:szCs w:val="20"/>
              </w:rPr>
              <w:t>Нежелана реакция</w:t>
            </w:r>
          </w:p>
        </w:tc>
      </w:tr>
      <w:tr w:rsidR="006A0501" w14:paraId="4ABE7C3F" w14:textId="77777777" w:rsidTr="006A0501">
        <w:tc>
          <w:tcPr>
            <w:tcW w:w="3192" w:type="dxa"/>
          </w:tcPr>
          <w:p w14:paraId="479D754B" w14:textId="375903AE" w:rsidR="006A0501" w:rsidRPr="006A0501" w:rsidRDefault="006A0501" w:rsidP="006A0501">
            <w:r w:rsidRPr="006A0501">
              <w:rPr>
                <w:i/>
                <w:iCs/>
                <w:szCs w:val="20"/>
              </w:rPr>
              <w:t>Респираторни, гръдни и медиастинапни нарушения</w:t>
            </w:r>
          </w:p>
        </w:tc>
        <w:tc>
          <w:tcPr>
            <w:tcW w:w="3192" w:type="dxa"/>
          </w:tcPr>
          <w:p w14:paraId="7EA9A5B8" w14:textId="6CEEFC41" w:rsidR="006A0501" w:rsidRPr="006A0501" w:rsidRDefault="006A0501" w:rsidP="006A0501">
            <w:r w:rsidRPr="006A0501">
              <w:rPr>
                <w:szCs w:val="20"/>
              </w:rPr>
              <w:t>Неизвестна честота</w:t>
            </w:r>
          </w:p>
        </w:tc>
        <w:tc>
          <w:tcPr>
            <w:tcW w:w="3192" w:type="dxa"/>
          </w:tcPr>
          <w:p w14:paraId="4D477E20" w14:textId="275045D9" w:rsidR="006A0501" w:rsidRPr="006A0501" w:rsidRDefault="006A0501" w:rsidP="006A0501">
            <w:r w:rsidRPr="006A0501">
              <w:rPr>
                <w:szCs w:val="20"/>
              </w:rPr>
              <w:t>Кашлица, диспнея</w:t>
            </w:r>
          </w:p>
        </w:tc>
      </w:tr>
      <w:tr w:rsidR="006A0501" w14:paraId="62235E81" w14:textId="77777777" w:rsidTr="006A0501">
        <w:tc>
          <w:tcPr>
            <w:tcW w:w="3192" w:type="dxa"/>
          </w:tcPr>
          <w:p w14:paraId="08B168F0" w14:textId="4D944F9A" w:rsidR="006A0501" w:rsidRPr="006A0501" w:rsidRDefault="006A0501" w:rsidP="006A0501">
            <w:r w:rsidRPr="006A0501">
              <w:rPr>
                <w:i/>
                <w:iCs/>
                <w:szCs w:val="20"/>
              </w:rPr>
              <w:t>Стомашно-чревни нарушения</w:t>
            </w:r>
          </w:p>
        </w:tc>
        <w:tc>
          <w:tcPr>
            <w:tcW w:w="3192" w:type="dxa"/>
          </w:tcPr>
          <w:p w14:paraId="19136FD2" w14:textId="4DBEA282" w:rsidR="006A0501" w:rsidRPr="006A0501" w:rsidRDefault="006A0501" w:rsidP="006A0501">
            <w:r w:rsidRPr="006A0501">
              <w:rPr>
                <w:szCs w:val="20"/>
              </w:rPr>
              <w:t>Неизвестна честота</w:t>
            </w:r>
          </w:p>
        </w:tc>
        <w:tc>
          <w:tcPr>
            <w:tcW w:w="3192" w:type="dxa"/>
          </w:tcPr>
          <w:p w14:paraId="19B57A59" w14:textId="256D2DB8" w:rsidR="006A0501" w:rsidRPr="006A0501" w:rsidRDefault="006A0501" w:rsidP="006A0501">
            <w:r w:rsidRPr="006A0501">
              <w:rPr>
                <w:szCs w:val="20"/>
              </w:rPr>
              <w:t>Диария</w:t>
            </w:r>
          </w:p>
        </w:tc>
      </w:tr>
      <w:tr w:rsidR="006A0501" w14:paraId="3120EBF9" w14:textId="77777777" w:rsidTr="006A0501">
        <w:tc>
          <w:tcPr>
            <w:tcW w:w="3192" w:type="dxa"/>
            <w:vMerge w:val="restart"/>
          </w:tcPr>
          <w:p w14:paraId="01ED6138" w14:textId="687FB32C" w:rsidR="006A0501" w:rsidRPr="006A0501" w:rsidRDefault="006A0501" w:rsidP="006A0501">
            <w:r w:rsidRPr="006A0501">
              <w:rPr>
                <w:i/>
                <w:iCs/>
                <w:szCs w:val="20"/>
              </w:rPr>
              <w:t>Хепатобилиарни нарушения</w:t>
            </w:r>
          </w:p>
        </w:tc>
        <w:tc>
          <w:tcPr>
            <w:tcW w:w="3192" w:type="dxa"/>
          </w:tcPr>
          <w:p w14:paraId="0AB75978" w14:textId="06099C32" w:rsidR="006A0501" w:rsidRPr="006A0501" w:rsidRDefault="006A0501" w:rsidP="006A0501">
            <w:r w:rsidRPr="006A0501">
              <w:rPr>
                <w:szCs w:val="20"/>
              </w:rPr>
              <w:t>Редки</w:t>
            </w:r>
          </w:p>
        </w:tc>
        <w:tc>
          <w:tcPr>
            <w:tcW w:w="3192" w:type="dxa"/>
          </w:tcPr>
          <w:p w14:paraId="36F005F2" w14:textId="39B9CB48" w:rsidR="006A0501" w:rsidRPr="006A0501" w:rsidRDefault="006A0501" w:rsidP="006A0501">
            <w:r w:rsidRPr="006A0501">
              <w:rPr>
                <w:szCs w:val="20"/>
              </w:rPr>
              <w:t>Покачване на чернодробните трансаминази</w:t>
            </w:r>
          </w:p>
        </w:tc>
      </w:tr>
      <w:tr w:rsidR="006A0501" w14:paraId="0597079E" w14:textId="77777777" w:rsidTr="006A0501">
        <w:tc>
          <w:tcPr>
            <w:tcW w:w="3192" w:type="dxa"/>
            <w:vMerge/>
          </w:tcPr>
          <w:p w14:paraId="57097C8F" w14:textId="77777777" w:rsidR="006A0501" w:rsidRPr="006A0501" w:rsidRDefault="006A0501" w:rsidP="006A0501"/>
        </w:tc>
        <w:tc>
          <w:tcPr>
            <w:tcW w:w="3192" w:type="dxa"/>
          </w:tcPr>
          <w:p w14:paraId="21FC5045" w14:textId="27B86DF0" w:rsidR="006A0501" w:rsidRPr="006A0501" w:rsidRDefault="006A0501" w:rsidP="006A0501">
            <w:r w:rsidRPr="006A0501">
              <w:rPr>
                <w:szCs w:val="20"/>
              </w:rPr>
              <w:t>Много редки</w:t>
            </w:r>
          </w:p>
        </w:tc>
        <w:tc>
          <w:tcPr>
            <w:tcW w:w="3192" w:type="dxa"/>
          </w:tcPr>
          <w:p w14:paraId="67A02422" w14:textId="695E4F6D" w:rsidR="006A0501" w:rsidRPr="006A0501" w:rsidRDefault="006A0501" w:rsidP="006A0501">
            <w:r w:rsidRPr="006A0501">
              <w:rPr>
                <w:szCs w:val="20"/>
              </w:rPr>
              <w:t>Жълтеница, хепатит</w:t>
            </w:r>
          </w:p>
        </w:tc>
      </w:tr>
      <w:tr w:rsidR="006A0501" w14:paraId="68AE0FC9" w14:textId="77777777" w:rsidTr="006A0501">
        <w:tc>
          <w:tcPr>
            <w:tcW w:w="3192" w:type="dxa"/>
          </w:tcPr>
          <w:p w14:paraId="0E0BF505" w14:textId="34189C9A" w:rsidR="006A0501" w:rsidRPr="006A0501" w:rsidRDefault="006A0501" w:rsidP="006A0501">
            <w:r w:rsidRPr="006A0501">
              <w:rPr>
                <w:i/>
                <w:iCs/>
                <w:szCs w:val="20"/>
              </w:rPr>
              <w:t>Нарушения на мускулно- скелетната система</w:t>
            </w:r>
          </w:p>
        </w:tc>
        <w:tc>
          <w:tcPr>
            <w:tcW w:w="3192" w:type="dxa"/>
          </w:tcPr>
          <w:p w14:paraId="7BC37244" w14:textId="2F3C8435" w:rsidR="006A0501" w:rsidRPr="006A0501" w:rsidRDefault="006A0501" w:rsidP="006A0501">
            <w:r w:rsidRPr="006A0501">
              <w:rPr>
                <w:szCs w:val="20"/>
              </w:rPr>
              <w:t>Много редки</w:t>
            </w:r>
          </w:p>
        </w:tc>
        <w:tc>
          <w:tcPr>
            <w:tcW w:w="3192" w:type="dxa"/>
          </w:tcPr>
          <w:p w14:paraId="1403966A" w14:textId="3FA8AAF0" w:rsidR="006A0501" w:rsidRPr="006A0501" w:rsidRDefault="006A0501" w:rsidP="006A0501">
            <w:r w:rsidRPr="006A0501">
              <w:rPr>
                <w:szCs w:val="20"/>
              </w:rPr>
              <w:t>Артралгии (болки по ставите)</w:t>
            </w:r>
          </w:p>
        </w:tc>
      </w:tr>
      <w:tr w:rsidR="006A0501" w14:paraId="4AD0C6A4" w14:textId="77777777" w:rsidTr="006A0501">
        <w:tc>
          <w:tcPr>
            <w:tcW w:w="3192" w:type="dxa"/>
          </w:tcPr>
          <w:p w14:paraId="78A08375" w14:textId="44B2902E" w:rsidR="006A0501" w:rsidRPr="006A0501" w:rsidRDefault="006A0501" w:rsidP="006A0501">
            <w:r w:rsidRPr="006A0501">
              <w:rPr>
                <w:i/>
                <w:iCs/>
                <w:szCs w:val="20"/>
              </w:rPr>
              <w:t>Нарушения на нервната система</w:t>
            </w:r>
          </w:p>
        </w:tc>
        <w:tc>
          <w:tcPr>
            <w:tcW w:w="3192" w:type="dxa"/>
          </w:tcPr>
          <w:p w14:paraId="40E01FDB" w14:textId="11520A22" w:rsidR="006A0501" w:rsidRPr="006A0501" w:rsidRDefault="006A0501" w:rsidP="006A0501">
            <w:r w:rsidRPr="006A0501">
              <w:rPr>
                <w:szCs w:val="20"/>
              </w:rPr>
              <w:t>Много редки</w:t>
            </w:r>
          </w:p>
        </w:tc>
        <w:tc>
          <w:tcPr>
            <w:tcW w:w="3192" w:type="dxa"/>
          </w:tcPr>
          <w:p w14:paraId="7132F43D" w14:textId="135B7087" w:rsidR="006A0501" w:rsidRPr="006A0501" w:rsidRDefault="006A0501" w:rsidP="006A0501">
            <w:r w:rsidRPr="006A0501">
              <w:rPr>
                <w:szCs w:val="20"/>
              </w:rPr>
              <w:t>Полиневропатия, загуба на памет</w:t>
            </w:r>
          </w:p>
        </w:tc>
      </w:tr>
      <w:tr w:rsidR="006A0501" w14:paraId="0F11F424" w14:textId="77777777" w:rsidTr="006A0501">
        <w:tc>
          <w:tcPr>
            <w:tcW w:w="3192" w:type="dxa"/>
          </w:tcPr>
          <w:p w14:paraId="46614C6E" w14:textId="35F8AB08" w:rsidR="006A0501" w:rsidRPr="006A0501" w:rsidRDefault="006A0501" w:rsidP="006A0501">
            <w:r w:rsidRPr="006A0501">
              <w:rPr>
                <w:i/>
                <w:iCs/>
                <w:szCs w:val="20"/>
              </w:rPr>
              <w:t>Нарушения на бъбреците</w:t>
            </w:r>
          </w:p>
        </w:tc>
        <w:tc>
          <w:tcPr>
            <w:tcW w:w="3192" w:type="dxa"/>
          </w:tcPr>
          <w:p w14:paraId="1DBE0369" w14:textId="1FC63065" w:rsidR="006A0501" w:rsidRPr="006A0501" w:rsidRDefault="006A0501" w:rsidP="006A0501">
            <w:r w:rsidRPr="006A0501">
              <w:rPr>
                <w:szCs w:val="20"/>
              </w:rPr>
              <w:t>Много редки</w:t>
            </w:r>
          </w:p>
        </w:tc>
        <w:tc>
          <w:tcPr>
            <w:tcW w:w="3192" w:type="dxa"/>
          </w:tcPr>
          <w:p w14:paraId="1D9598C1" w14:textId="113B480B" w:rsidR="006A0501" w:rsidRPr="006A0501" w:rsidRDefault="006A0501" w:rsidP="006A0501">
            <w:r w:rsidRPr="006A0501">
              <w:rPr>
                <w:szCs w:val="20"/>
              </w:rPr>
              <w:t>Хематурия</w:t>
            </w:r>
          </w:p>
        </w:tc>
      </w:tr>
      <w:tr w:rsidR="006A0501" w14:paraId="5F639990" w14:textId="77777777" w:rsidTr="006A0501">
        <w:tc>
          <w:tcPr>
            <w:tcW w:w="3192" w:type="dxa"/>
          </w:tcPr>
          <w:p w14:paraId="3ECFBC41" w14:textId="2A478E10" w:rsidR="006A0501" w:rsidRPr="006A0501" w:rsidRDefault="006A0501" w:rsidP="006A0501">
            <w:r w:rsidRPr="006A0501">
              <w:rPr>
                <w:i/>
                <w:iCs/>
                <w:szCs w:val="20"/>
              </w:rPr>
              <w:t>Нарушения на кожата и подкожната тъкан</w:t>
            </w:r>
          </w:p>
        </w:tc>
        <w:tc>
          <w:tcPr>
            <w:tcW w:w="3192" w:type="dxa"/>
          </w:tcPr>
          <w:p w14:paraId="4275E5C6" w14:textId="1621BAE8" w:rsidR="006A0501" w:rsidRPr="006A0501" w:rsidRDefault="006A0501" w:rsidP="006A0501">
            <w:r w:rsidRPr="006A0501">
              <w:rPr>
                <w:szCs w:val="20"/>
              </w:rPr>
              <w:t>Неизвестна честота</w:t>
            </w:r>
          </w:p>
        </w:tc>
        <w:tc>
          <w:tcPr>
            <w:tcW w:w="3192" w:type="dxa"/>
          </w:tcPr>
          <w:p w14:paraId="3FFCC6CE" w14:textId="270C0783" w:rsidR="006A0501" w:rsidRPr="006A0501" w:rsidRDefault="006A0501" w:rsidP="006A0501">
            <w:r w:rsidRPr="006A0501">
              <w:rPr>
                <w:szCs w:val="20"/>
              </w:rPr>
              <w:t xml:space="preserve">Синдром на </w:t>
            </w:r>
            <w:r w:rsidRPr="006A0501">
              <w:rPr>
                <w:szCs w:val="20"/>
                <w:lang w:val="en-US"/>
              </w:rPr>
              <w:t>Stevens-Johnson</w:t>
            </w:r>
          </w:p>
        </w:tc>
      </w:tr>
      <w:tr w:rsidR="006A0501" w14:paraId="74EBC35C" w14:textId="77777777" w:rsidTr="006A0501">
        <w:tc>
          <w:tcPr>
            <w:tcW w:w="3192" w:type="dxa"/>
          </w:tcPr>
          <w:p w14:paraId="0B070328" w14:textId="1388ED08" w:rsidR="006A0501" w:rsidRPr="006A0501" w:rsidRDefault="006A0501" w:rsidP="006A0501">
            <w:r w:rsidRPr="006A0501">
              <w:rPr>
                <w:i/>
                <w:iCs/>
                <w:szCs w:val="20"/>
              </w:rPr>
              <w:t>Общи нарушения и ефекти на мястото на приложение</w:t>
            </w:r>
          </w:p>
        </w:tc>
        <w:tc>
          <w:tcPr>
            <w:tcW w:w="3192" w:type="dxa"/>
          </w:tcPr>
          <w:p w14:paraId="2710C0D7" w14:textId="06FA077A" w:rsidR="006A0501" w:rsidRPr="006A0501" w:rsidRDefault="006A0501" w:rsidP="006A0501">
            <w:r w:rsidRPr="006A0501">
              <w:rPr>
                <w:szCs w:val="20"/>
              </w:rPr>
              <w:t>Неизвестна честота</w:t>
            </w:r>
          </w:p>
        </w:tc>
        <w:tc>
          <w:tcPr>
            <w:tcW w:w="3192" w:type="dxa"/>
          </w:tcPr>
          <w:p w14:paraId="48C2D17F" w14:textId="40FD964E" w:rsidR="006A0501" w:rsidRPr="006A0501" w:rsidRDefault="006A0501" w:rsidP="006A0501">
            <w:r w:rsidRPr="006A0501">
              <w:rPr>
                <w:szCs w:val="20"/>
              </w:rPr>
              <w:t>Оток</w:t>
            </w:r>
          </w:p>
        </w:tc>
      </w:tr>
    </w:tbl>
    <w:p w14:paraId="5E5E353B" w14:textId="77777777"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t>Следните нежелани реакции са докладвани при някои статини:</w:t>
      </w:r>
    </w:p>
    <w:p w14:paraId="1F8B36EF" w14:textId="77777777" w:rsidR="006A0501" w:rsidRDefault="006A0501" w:rsidP="006A0501">
      <w:pPr>
        <w:pStyle w:val="ListParagraph"/>
        <w:numPr>
          <w:ilvl w:val="0"/>
          <w:numId w:val="2"/>
        </w:numPr>
        <w:spacing w:line="240" w:lineRule="auto"/>
        <w:rPr>
          <w:rFonts w:eastAsia="Times New Roman" w:cs="Arial"/>
          <w:color w:val="000000"/>
          <w:szCs w:val="20"/>
          <w:lang w:eastAsia="bg-BG"/>
        </w:rPr>
      </w:pPr>
      <w:r w:rsidRPr="006A0501">
        <w:rPr>
          <w:rFonts w:eastAsia="Times New Roman" w:cs="Arial"/>
          <w:color w:val="000000"/>
          <w:szCs w:val="20"/>
          <w:lang w:eastAsia="bg-BG"/>
        </w:rPr>
        <w:t>Депресия</w:t>
      </w:r>
    </w:p>
    <w:p w14:paraId="4CD37B71" w14:textId="77777777" w:rsidR="006A0501" w:rsidRDefault="006A0501" w:rsidP="006A0501">
      <w:pPr>
        <w:pStyle w:val="ListParagraph"/>
        <w:numPr>
          <w:ilvl w:val="0"/>
          <w:numId w:val="2"/>
        </w:numPr>
        <w:spacing w:line="240" w:lineRule="auto"/>
        <w:rPr>
          <w:rFonts w:eastAsia="Times New Roman" w:cs="Arial"/>
          <w:color w:val="000000"/>
          <w:szCs w:val="20"/>
          <w:lang w:eastAsia="bg-BG"/>
        </w:rPr>
      </w:pPr>
      <w:r w:rsidRPr="006A0501">
        <w:rPr>
          <w:rFonts w:eastAsia="Times New Roman" w:cs="Arial"/>
          <w:color w:val="000000"/>
          <w:szCs w:val="20"/>
          <w:lang w:eastAsia="bg-BG"/>
        </w:rPr>
        <w:t>Нарушения на съня, включително инсомния и кошмари. Сексуална дисфункция</w:t>
      </w:r>
    </w:p>
    <w:p w14:paraId="463A67C3" w14:textId="77777777" w:rsidR="006A0501" w:rsidRDefault="006A0501" w:rsidP="006A0501">
      <w:pPr>
        <w:pStyle w:val="ListParagraph"/>
        <w:numPr>
          <w:ilvl w:val="0"/>
          <w:numId w:val="2"/>
        </w:numPr>
        <w:spacing w:line="240" w:lineRule="auto"/>
        <w:rPr>
          <w:rFonts w:eastAsia="Times New Roman" w:cs="Arial"/>
          <w:color w:val="000000"/>
          <w:szCs w:val="20"/>
          <w:lang w:eastAsia="bg-BG"/>
        </w:rPr>
      </w:pPr>
      <w:r w:rsidRPr="006A0501">
        <w:rPr>
          <w:rFonts w:eastAsia="Times New Roman" w:cs="Arial"/>
          <w:color w:val="000000"/>
          <w:szCs w:val="20"/>
          <w:lang w:eastAsia="bg-BG"/>
        </w:rPr>
        <w:t>Изолирани случаи на интерстициална белодробна болест, особено при продължителна терапия (вж. точка 4.4)</w:t>
      </w:r>
    </w:p>
    <w:p w14:paraId="3130E55D" w14:textId="055C6FD1" w:rsidR="006A0501" w:rsidRPr="006A0501" w:rsidRDefault="006A0501" w:rsidP="006A0501">
      <w:pPr>
        <w:pStyle w:val="ListParagraph"/>
        <w:numPr>
          <w:ilvl w:val="0"/>
          <w:numId w:val="2"/>
        </w:numPr>
        <w:spacing w:line="240" w:lineRule="auto"/>
        <w:rPr>
          <w:rFonts w:eastAsia="Times New Roman" w:cs="Arial"/>
          <w:color w:val="000000"/>
          <w:szCs w:val="20"/>
          <w:lang w:eastAsia="bg-BG"/>
        </w:rPr>
      </w:pPr>
      <w:r w:rsidRPr="006A0501">
        <w:rPr>
          <w:rFonts w:eastAsia="Times New Roman" w:cs="Arial"/>
          <w:color w:val="000000"/>
          <w:szCs w:val="20"/>
          <w:lang w:eastAsia="bg-BG"/>
        </w:rPr>
        <w:t>Нарушения на сухожилията, понякога усложнени от руптура.</w:t>
      </w:r>
    </w:p>
    <w:p w14:paraId="3BDBFF1F" w14:textId="77777777"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lastRenderedPageBreak/>
        <w:t xml:space="preserve">Докладваната честота на рабдомиолиза, сериозни чернодробни увреди, (основно - увеличени чернодробни трансаминази) е по-висока при дозировка 40 </w:t>
      </w:r>
      <w:r w:rsidRPr="006A0501">
        <w:rPr>
          <w:rFonts w:eastAsia="Times New Roman" w:cs="Arial"/>
          <w:color w:val="000000"/>
          <w:szCs w:val="20"/>
          <w:lang w:val="en-US"/>
        </w:rPr>
        <w:t>mg</w:t>
      </w:r>
      <w:r w:rsidRPr="006A0501">
        <w:rPr>
          <w:rFonts w:eastAsia="Times New Roman" w:cs="Arial"/>
          <w:color w:val="000000"/>
          <w:szCs w:val="20"/>
          <w:lang w:val="ru-RU"/>
        </w:rPr>
        <w:t>.</w:t>
      </w:r>
    </w:p>
    <w:p w14:paraId="31AE4240" w14:textId="77777777" w:rsidR="006A0501" w:rsidRPr="006A0501" w:rsidRDefault="006A0501" w:rsidP="006A0501">
      <w:pPr>
        <w:spacing w:line="240" w:lineRule="auto"/>
        <w:rPr>
          <w:rFonts w:eastAsia="Times New Roman" w:cs="Arial"/>
          <w:b/>
          <w:bCs/>
          <w:color w:val="000000"/>
          <w:szCs w:val="20"/>
          <w:lang w:eastAsia="bg-BG"/>
        </w:rPr>
      </w:pPr>
    </w:p>
    <w:p w14:paraId="01D7160B" w14:textId="1C5CDD9B" w:rsidR="006A0501" w:rsidRPr="006A0501" w:rsidRDefault="006A0501" w:rsidP="006A0501">
      <w:pPr>
        <w:spacing w:line="240" w:lineRule="auto"/>
        <w:rPr>
          <w:rFonts w:eastAsia="Times New Roman" w:cs="Arial"/>
          <w:sz w:val="28"/>
          <w:szCs w:val="24"/>
        </w:rPr>
      </w:pPr>
      <w:r w:rsidRPr="006A0501">
        <w:rPr>
          <w:rFonts w:eastAsia="Times New Roman" w:cs="Arial"/>
          <w:b/>
          <w:bCs/>
          <w:color w:val="000000"/>
          <w:szCs w:val="20"/>
          <w:lang w:eastAsia="bg-BG"/>
        </w:rPr>
        <w:t xml:space="preserve">Педиатрична популация: </w:t>
      </w:r>
      <w:r w:rsidRPr="006A0501">
        <w:rPr>
          <w:rFonts w:eastAsia="Times New Roman" w:cs="Arial"/>
          <w:color w:val="000000"/>
          <w:szCs w:val="20"/>
          <w:lang w:eastAsia="bg-BG"/>
        </w:rPr>
        <w:t xml:space="preserve">В едно 52-седмично клинично проучване повишаване на креатинкиназата &gt; 10 х </w:t>
      </w:r>
      <w:r w:rsidRPr="006A0501">
        <w:rPr>
          <w:rFonts w:eastAsia="Times New Roman" w:cs="Arial"/>
          <w:color w:val="000000"/>
          <w:szCs w:val="20"/>
          <w:lang w:val="en-US"/>
        </w:rPr>
        <w:t>ULN</w:t>
      </w:r>
      <w:r w:rsidRPr="006A0501">
        <w:rPr>
          <w:rFonts w:eastAsia="Times New Roman" w:cs="Arial"/>
          <w:color w:val="000000"/>
          <w:szCs w:val="20"/>
          <w:lang w:val="ru-RU"/>
        </w:rPr>
        <w:t xml:space="preserve"> </w:t>
      </w:r>
      <w:r w:rsidRPr="006A0501">
        <w:rPr>
          <w:rFonts w:eastAsia="Times New Roman" w:cs="Arial"/>
          <w:color w:val="000000"/>
          <w:szCs w:val="20"/>
          <w:lang w:eastAsia="bg-BG"/>
        </w:rPr>
        <w:t>и мускулни симптоми след упражнения или повишена физическа активност са наблюдавани по-често при деца и младежи, в сравнение с възрастните (вж. точка 4.4). В друг аспект, профилът на безопасност на розувастатин е сходен при деца и младежи в сравнение с възрастните.</w:t>
      </w:r>
    </w:p>
    <w:p w14:paraId="59228533" w14:textId="77777777" w:rsidR="006A0501" w:rsidRPr="006A0501" w:rsidRDefault="006A0501" w:rsidP="006A0501">
      <w:pPr>
        <w:spacing w:line="240" w:lineRule="auto"/>
        <w:rPr>
          <w:rFonts w:eastAsia="Times New Roman" w:cs="Arial"/>
          <w:color w:val="000000"/>
          <w:szCs w:val="20"/>
          <w:u w:val="single"/>
          <w:lang w:eastAsia="bg-BG"/>
        </w:rPr>
      </w:pPr>
    </w:p>
    <w:p w14:paraId="337545F1" w14:textId="2183D22B"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u w:val="single"/>
          <w:lang w:eastAsia="bg-BG"/>
        </w:rPr>
        <w:t>Съобщаване на подозирани нежелани реакции</w:t>
      </w:r>
    </w:p>
    <w:p w14:paraId="3508ECE5" w14:textId="77777777"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съоотношението полза/риск за лекарствения продукт. От медицинските специалисти се изисква да съобщават всяка подозирана</w:t>
      </w:r>
    </w:p>
    <w:p w14:paraId="3274DC77" w14:textId="77777777"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t>нежелана реакция чрез националната система за съобщаване на Изпълнителната агенция по лекарствата</w:t>
      </w:r>
    </w:p>
    <w:p w14:paraId="483AA1D0" w14:textId="77777777" w:rsidR="006A0501" w:rsidRPr="006A0501" w:rsidRDefault="006A0501" w:rsidP="006A0501">
      <w:pPr>
        <w:spacing w:line="240" w:lineRule="auto"/>
        <w:rPr>
          <w:rFonts w:eastAsia="Times New Roman" w:cs="Arial"/>
          <w:sz w:val="28"/>
          <w:szCs w:val="24"/>
        </w:rPr>
      </w:pPr>
    </w:p>
    <w:p w14:paraId="530DD2B1" w14:textId="49AB7E94" w:rsidR="006A0501" w:rsidRDefault="006A0501" w:rsidP="006A0501">
      <w:pPr>
        <w:rPr>
          <w:rFonts w:eastAsia="Times New Roman" w:cs="Arial"/>
          <w:b/>
          <w:bCs/>
          <w:color w:val="000000"/>
          <w:szCs w:val="20"/>
          <w:lang w:eastAsia="bg-BG"/>
        </w:rPr>
      </w:pPr>
      <w:r w:rsidRPr="006A0501">
        <w:rPr>
          <w:rFonts w:eastAsia="Times New Roman" w:cs="Arial"/>
          <w:b/>
          <w:bCs/>
          <w:color w:val="000000"/>
          <w:szCs w:val="20"/>
          <w:lang w:eastAsia="bg-BG"/>
        </w:rPr>
        <w:t>Контакти:</w:t>
      </w:r>
    </w:p>
    <w:p w14:paraId="05CF6EF4" w14:textId="77777777" w:rsidR="006A0501" w:rsidRPr="006A0501" w:rsidRDefault="006A0501" w:rsidP="006A0501">
      <w:pPr>
        <w:spacing w:line="240" w:lineRule="auto"/>
        <w:rPr>
          <w:rFonts w:eastAsia="Times New Roman" w:cs="Arial"/>
        </w:rPr>
      </w:pPr>
      <w:r w:rsidRPr="006A0501">
        <w:rPr>
          <w:rFonts w:eastAsia="Times New Roman" w:cs="Arial"/>
          <w:color w:val="000000"/>
          <w:lang w:eastAsia="bg-BG"/>
        </w:rPr>
        <w:t>Изпълнителна агенция по лекарствата.</w:t>
      </w:r>
    </w:p>
    <w:p w14:paraId="01E0321A" w14:textId="77777777" w:rsidR="006A0501" w:rsidRPr="006A0501" w:rsidRDefault="006A0501" w:rsidP="006A0501">
      <w:pPr>
        <w:spacing w:line="240" w:lineRule="auto"/>
        <w:rPr>
          <w:rFonts w:eastAsia="Times New Roman" w:cs="Arial"/>
        </w:rPr>
      </w:pPr>
      <w:r w:rsidRPr="006A0501">
        <w:rPr>
          <w:rFonts w:eastAsia="Times New Roman" w:cs="Arial"/>
          <w:b/>
          <w:bCs/>
          <w:color w:val="000000"/>
          <w:lang w:eastAsia="bg-BG"/>
        </w:rPr>
        <w:t>България</w:t>
      </w:r>
    </w:p>
    <w:p w14:paraId="10EED069" w14:textId="77777777" w:rsidR="006A0501" w:rsidRPr="006A0501" w:rsidRDefault="006A0501" w:rsidP="006A0501">
      <w:pPr>
        <w:spacing w:line="240" w:lineRule="auto"/>
        <w:rPr>
          <w:rFonts w:eastAsia="Times New Roman" w:cs="Arial"/>
        </w:rPr>
      </w:pPr>
      <w:r w:rsidRPr="006A0501">
        <w:rPr>
          <w:rFonts w:eastAsia="Times New Roman" w:cs="Arial"/>
          <w:color w:val="000000"/>
          <w:lang w:eastAsia="bg-BG"/>
        </w:rPr>
        <w:t>ул. .Дамян Груев” № 8</w:t>
      </w:r>
    </w:p>
    <w:p w14:paraId="34BE1222" w14:textId="77777777" w:rsidR="006A0501" w:rsidRPr="006A0501" w:rsidRDefault="006A0501" w:rsidP="006A0501">
      <w:pPr>
        <w:spacing w:line="240" w:lineRule="auto"/>
        <w:rPr>
          <w:rFonts w:eastAsia="Times New Roman" w:cs="Arial"/>
        </w:rPr>
      </w:pPr>
      <w:r w:rsidRPr="006A0501">
        <w:rPr>
          <w:rFonts w:eastAsia="Times New Roman" w:cs="Arial"/>
          <w:color w:val="000000"/>
          <w:lang w:eastAsia="bg-BG"/>
        </w:rPr>
        <w:t>1303 София</w:t>
      </w:r>
    </w:p>
    <w:p w14:paraId="7ACA5F7D" w14:textId="77777777" w:rsidR="006A0501" w:rsidRPr="006A0501" w:rsidRDefault="006A0501" w:rsidP="006A0501">
      <w:pPr>
        <w:spacing w:line="240" w:lineRule="auto"/>
        <w:rPr>
          <w:rFonts w:eastAsia="Times New Roman" w:cs="Arial"/>
        </w:rPr>
      </w:pPr>
      <w:r w:rsidRPr="006A0501">
        <w:rPr>
          <w:rFonts w:eastAsia="Times New Roman" w:cs="Arial"/>
          <w:color w:val="000000"/>
          <w:lang w:eastAsia="bg-BG"/>
        </w:rPr>
        <w:t>Тел.: +35 928903417</w:t>
      </w:r>
    </w:p>
    <w:p w14:paraId="40BE4701" w14:textId="77777777" w:rsidR="006A0501" w:rsidRPr="006A0501" w:rsidRDefault="006A0501" w:rsidP="006A0501">
      <w:pPr>
        <w:spacing w:line="240" w:lineRule="auto"/>
        <w:rPr>
          <w:rFonts w:eastAsia="Times New Roman" w:cs="Arial"/>
        </w:rPr>
      </w:pPr>
      <w:r w:rsidRPr="006A0501">
        <w:rPr>
          <w:rFonts w:eastAsia="Times New Roman" w:cs="Arial"/>
          <w:color w:val="000000"/>
          <w:lang w:eastAsia="bg-BG"/>
        </w:rPr>
        <w:t xml:space="preserve">уебсайт: </w:t>
      </w:r>
      <w:r w:rsidRPr="006A0501">
        <w:rPr>
          <w:rFonts w:eastAsia="Times New Roman" w:cs="Arial"/>
        </w:rPr>
        <w:fldChar w:fldCharType="begin"/>
      </w:r>
      <w:r w:rsidRPr="006A0501">
        <w:rPr>
          <w:rFonts w:eastAsia="Times New Roman" w:cs="Arial"/>
        </w:rPr>
        <w:instrText xml:space="preserve"> HYPERLINK "http://www.bda.bg" </w:instrText>
      </w:r>
      <w:r w:rsidRPr="006A0501">
        <w:rPr>
          <w:rFonts w:eastAsia="Times New Roman" w:cs="Arial"/>
        </w:rPr>
      </w:r>
      <w:r w:rsidRPr="006A0501">
        <w:rPr>
          <w:rFonts w:eastAsia="Times New Roman" w:cs="Arial"/>
        </w:rPr>
        <w:fldChar w:fldCharType="separate"/>
      </w:r>
      <w:r w:rsidRPr="006A0501">
        <w:rPr>
          <w:rFonts w:eastAsia="Times New Roman" w:cs="Arial"/>
          <w:color w:val="000000"/>
          <w:lang w:val="en-US"/>
        </w:rPr>
        <w:t>www</w:t>
      </w:r>
      <w:r w:rsidRPr="006A0501">
        <w:rPr>
          <w:rFonts w:eastAsia="Times New Roman" w:cs="Arial"/>
          <w:color w:val="000000"/>
          <w:lang w:val="ru-RU"/>
        </w:rPr>
        <w:t>.</w:t>
      </w:r>
      <w:proofErr w:type="spellStart"/>
      <w:r w:rsidRPr="006A0501">
        <w:rPr>
          <w:rFonts w:eastAsia="Times New Roman" w:cs="Arial"/>
          <w:color w:val="000000"/>
          <w:lang w:val="en-US"/>
        </w:rPr>
        <w:t>bda</w:t>
      </w:r>
      <w:proofErr w:type="spellEnd"/>
      <w:r w:rsidRPr="006A0501">
        <w:rPr>
          <w:rFonts w:eastAsia="Times New Roman" w:cs="Arial"/>
          <w:color w:val="000000"/>
          <w:lang w:val="ru-RU"/>
        </w:rPr>
        <w:t>.</w:t>
      </w:r>
      <w:proofErr w:type="spellStart"/>
      <w:r w:rsidRPr="006A0501">
        <w:rPr>
          <w:rFonts w:eastAsia="Times New Roman" w:cs="Arial"/>
          <w:color w:val="000000"/>
          <w:lang w:val="en-US"/>
        </w:rPr>
        <w:t>bg</w:t>
      </w:r>
      <w:proofErr w:type="spellEnd"/>
      <w:r w:rsidRPr="006A0501">
        <w:rPr>
          <w:rFonts w:eastAsia="Times New Roman" w:cs="Arial"/>
        </w:rPr>
        <w:fldChar w:fldCharType="end"/>
      </w:r>
    </w:p>
    <w:p w14:paraId="5323CC54" w14:textId="77777777" w:rsidR="006A0501" w:rsidRPr="006A0501" w:rsidRDefault="006A0501" w:rsidP="006A0501">
      <w:pPr>
        <w:rPr>
          <w:rFonts w:cs="Arial"/>
          <w:sz w:val="24"/>
        </w:rPr>
      </w:pPr>
    </w:p>
    <w:p w14:paraId="4ED30546" w14:textId="244E2AD4" w:rsidR="007C605B" w:rsidRDefault="002C50EE" w:rsidP="009F1313">
      <w:pPr>
        <w:pStyle w:val="Heading2"/>
      </w:pPr>
      <w:r>
        <w:t>4.9. Предозиране</w:t>
      </w:r>
    </w:p>
    <w:p w14:paraId="65CDD371" w14:textId="24357A62" w:rsidR="006A0501" w:rsidRDefault="006A0501" w:rsidP="006A0501"/>
    <w:p w14:paraId="6F6412D5" w14:textId="23458E1D" w:rsidR="006A0501" w:rsidRDefault="006A0501" w:rsidP="006A0501">
      <w:pPr>
        <w:rPr>
          <w:lang w:eastAsia="bg-BG"/>
        </w:rPr>
      </w:pPr>
      <w:r w:rsidRPr="006A0501">
        <w:rPr>
          <w:lang w:eastAsia="bg-BG"/>
        </w:rPr>
        <w:t>Няма специфично лечение в случай на предозиране. При предозиране пациентът трябва да се лекува симптоматично и да се започнат поддържащи мерки според нуждата. Чернодробната функция и нивата на СК трябва да се следят. Малко е вероятно</w:t>
      </w:r>
      <w:r>
        <w:rPr>
          <w:lang w:eastAsia="bg-BG"/>
        </w:rPr>
        <w:t xml:space="preserve"> хемодиализата да бъде от полза.</w:t>
      </w:r>
    </w:p>
    <w:p w14:paraId="3E69BC63" w14:textId="77777777" w:rsidR="006A0501" w:rsidRPr="006A0501" w:rsidRDefault="006A0501" w:rsidP="006A0501">
      <w:pPr>
        <w:rPr>
          <w:sz w:val="24"/>
          <w:szCs w:val="24"/>
        </w:rPr>
      </w:pPr>
    </w:p>
    <w:p w14:paraId="02081B24" w14:textId="1F46E296" w:rsidR="00395555" w:rsidRPr="00395555" w:rsidRDefault="002C50EE" w:rsidP="008A6AF2">
      <w:pPr>
        <w:pStyle w:val="Heading1"/>
      </w:pPr>
      <w:r>
        <w:t>5. ФАРМАКОЛОГИЧНИ СВОЙСТВА</w:t>
      </w:r>
    </w:p>
    <w:p w14:paraId="5350637D" w14:textId="372BCA9A" w:rsidR="00395555" w:rsidRDefault="002C50EE" w:rsidP="008A6AF2">
      <w:pPr>
        <w:pStyle w:val="Heading2"/>
      </w:pPr>
      <w:r>
        <w:t>5.1. Фармакодинамични свойства</w:t>
      </w:r>
    </w:p>
    <w:p w14:paraId="260856C1" w14:textId="796CF13C" w:rsidR="006A0501" w:rsidRDefault="006A0501" w:rsidP="006A0501"/>
    <w:p w14:paraId="75AFAE94" w14:textId="77777777" w:rsidR="006A0501" w:rsidRPr="006A0501" w:rsidRDefault="006A0501" w:rsidP="006A0501">
      <w:pPr>
        <w:spacing w:line="240" w:lineRule="auto"/>
        <w:rPr>
          <w:rFonts w:eastAsia="Times New Roman" w:cs="Arial"/>
          <w:sz w:val="28"/>
          <w:szCs w:val="24"/>
        </w:rPr>
      </w:pPr>
      <w:r w:rsidRPr="006A0501">
        <w:rPr>
          <w:rFonts w:eastAsia="Times New Roman" w:cs="Arial"/>
          <w:b/>
          <w:bCs/>
          <w:color w:val="000000"/>
          <w:szCs w:val="20"/>
          <w:lang w:eastAsia="bg-BG"/>
        </w:rPr>
        <w:t xml:space="preserve">Фармакотерапевтнчна група: </w:t>
      </w:r>
      <w:r w:rsidRPr="006A0501">
        <w:rPr>
          <w:rFonts w:eastAsia="Times New Roman" w:cs="Arial"/>
          <w:color w:val="000000"/>
          <w:szCs w:val="20"/>
          <w:lang w:eastAsia="bg-BG"/>
        </w:rPr>
        <w:t xml:space="preserve">инхибитори на </w:t>
      </w:r>
      <w:r w:rsidRPr="006A0501">
        <w:rPr>
          <w:rFonts w:eastAsia="Times New Roman" w:cs="Arial"/>
          <w:color w:val="000000"/>
          <w:szCs w:val="20"/>
          <w:lang w:val="en-US"/>
        </w:rPr>
        <w:t>HMG</w:t>
      </w:r>
      <w:r w:rsidRPr="006A0501">
        <w:rPr>
          <w:rFonts w:eastAsia="Times New Roman" w:cs="Arial"/>
          <w:color w:val="000000"/>
          <w:szCs w:val="20"/>
          <w:lang w:val="ru-RU"/>
        </w:rPr>
        <w:t>-</w:t>
      </w:r>
      <w:r w:rsidRPr="006A0501">
        <w:rPr>
          <w:rFonts w:eastAsia="Times New Roman" w:cs="Arial"/>
          <w:color w:val="000000"/>
          <w:szCs w:val="20"/>
          <w:lang w:val="en-US"/>
        </w:rPr>
        <w:t>CoA</w:t>
      </w:r>
      <w:r w:rsidRPr="006A0501">
        <w:rPr>
          <w:rFonts w:eastAsia="Times New Roman" w:cs="Arial"/>
          <w:color w:val="000000"/>
          <w:szCs w:val="20"/>
          <w:lang w:val="ru-RU"/>
        </w:rPr>
        <w:t xml:space="preserve"> </w:t>
      </w:r>
      <w:r w:rsidRPr="006A0501">
        <w:rPr>
          <w:rFonts w:eastAsia="Times New Roman" w:cs="Arial"/>
          <w:color w:val="000000"/>
          <w:szCs w:val="20"/>
          <w:lang w:eastAsia="bg-BG"/>
        </w:rPr>
        <w:t>редуктазата</w:t>
      </w:r>
    </w:p>
    <w:p w14:paraId="6FC94F5C" w14:textId="77777777" w:rsidR="006A0501" w:rsidRPr="006A0501" w:rsidRDefault="006A0501" w:rsidP="006A0501">
      <w:pPr>
        <w:spacing w:line="240" w:lineRule="auto"/>
        <w:rPr>
          <w:rFonts w:eastAsia="Times New Roman" w:cs="Arial"/>
          <w:sz w:val="28"/>
          <w:szCs w:val="24"/>
        </w:rPr>
      </w:pPr>
      <w:r w:rsidRPr="006A0501">
        <w:rPr>
          <w:rFonts w:eastAsia="Times New Roman" w:cs="Arial"/>
          <w:b/>
          <w:bCs/>
          <w:color w:val="000000"/>
          <w:szCs w:val="20"/>
          <w:lang w:eastAsia="bg-BG"/>
        </w:rPr>
        <w:t>Терапевтична класификации</w:t>
      </w:r>
    </w:p>
    <w:p w14:paraId="18F67655" w14:textId="77777777"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t>АТС код:С10АА07</w:t>
      </w:r>
    </w:p>
    <w:p w14:paraId="284D4B13" w14:textId="77777777" w:rsidR="006A0501" w:rsidRPr="006A0501" w:rsidRDefault="006A0501" w:rsidP="006A0501">
      <w:pPr>
        <w:spacing w:line="240" w:lineRule="auto"/>
        <w:rPr>
          <w:rFonts w:eastAsia="Times New Roman" w:cs="Arial"/>
          <w:b/>
          <w:bCs/>
          <w:color w:val="000000"/>
          <w:szCs w:val="20"/>
          <w:lang w:eastAsia="bg-BG"/>
        </w:rPr>
      </w:pPr>
    </w:p>
    <w:p w14:paraId="422662BC" w14:textId="65026799" w:rsidR="006A0501" w:rsidRPr="006A0501" w:rsidRDefault="006A0501" w:rsidP="006A0501">
      <w:pPr>
        <w:spacing w:line="240" w:lineRule="auto"/>
        <w:rPr>
          <w:rFonts w:eastAsia="Times New Roman" w:cs="Arial"/>
          <w:sz w:val="28"/>
          <w:szCs w:val="24"/>
        </w:rPr>
      </w:pPr>
      <w:r w:rsidRPr="006A0501">
        <w:rPr>
          <w:rFonts w:eastAsia="Times New Roman" w:cs="Arial"/>
          <w:b/>
          <w:bCs/>
          <w:color w:val="000000"/>
          <w:szCs w:val="20"/>
          <w:lang w:eastAsia="bg-BG"/>
        </w:rPr>
        <w:t>Механизъм на действие:</w:t>
      </w:r>
    </w:p>
    <w:p w14:paraId="55A6A78E" w14:textId="77777777"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t xml:space="preserve">Розувастатин е селективен и конкурентен инхибитор на </w:t>
      </w:r>
      <w:r w:rsidRPr="006A0501">
        <w:rPr>
          <w:rFonts w:eastAsia="Times New Roman" w:cs="Arial"/>
          <w:color w:val="000000"/>
          <w:szCs w:val="20"/>
          <w:lang w:val="en-US"/>
        </w:rPr>
        <w:t>HMG</w:t>
      </w:r>
      <w:r w:rsidRPr="006A0501">
        <w:rPr>
          <w:rFonts w:eastAsia="Times New Roman" w:cs="Arial"/>
          <w:color w:val="000000"/>
          <w:szCs w:val="20"/>
          <w:lang w:val="ru-RU"/>
        </w:rPr>
        <w:t>-</w:t>
      </w:r>
      <w:r w:rsidRPr="006A0501">
        <w:rPr>
          <w:rFonts w:eastAsia="Times New Roman" w:cs="Arial"/>
          <w:color w:val="000000"/>
          <w:szCs w:val="20"/>
          <w:lang w:val="en-US"/>
        </w:rPr>
        <w:t>CoA</w:t>
      </w:r>
      <w:r w:rsidRPr="006A0501">
        <w:rPr>
          <w:rFonts w:eastAsia="Times New Roman" w:cs="Arial"/>
          <w:color w:val="000000"/>
          <w:szCs w:val="20"/>
          <w:lang w:val="ru-RU"/>
        </w:rPr>
        <w:t xml:space="preserve"> </w:t>
      </w:r>
      <w:r w:rsidRPr="006A0501">
        <w:rPr>
          <w:rFonts w:eastAsia="Times New Roman" w:cs="Arial"/>
          <w:color w:val="000000"/>
          <w:szCs w:val="20"/>
          <w:lang w:eastAsia="bg-BG"/>
        </w:rPr>
        <w:t>редуктазата, скорост-ограничаващия ензим, който превръща З-хидрокси-З-метилглутарил коензим А в мевалонат, прекурсор на холестерола. Основно въздействие Розувастатин оказва върху черния дроб, органът, в който се извършва намаляване нивото на холестерол.</w:t>
      </w:r>
    </w:p>
    <w:p w14:paraId="6AA55D8A" w14:textId="77777777" w:rsidR="006A0501" w:rsidRPr="006A0501" w:rsidRDefault="006A0501" w:rsidP="006A0501">
      <w:pPr>
        <w:spacing w:line="240" w:lineRule="auto"/>
        <w:rPr>
          <w:rFonts w:eastAsia="Times New Roman" w:cs="Arial"/>
          <w:color w:val="000000"/>
          <w:szCs w:val="20"/>
          <w:lang w:eastAsia="bg-BG"/>
        </w:rPr>
      </w:pPr>
    </w:p>
    <w:p w14:paraId="7576C395" w14:textId="145060FC"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lastRenderedPageBreak/>
        <w:t xml:space="preserve">Розувастатин увеличава броя на чернодробните </w:t>
      </w:r>
      <w:r w:rsidRPr="006A0501">
        <w:rPr>
          <w:rFonts w:eastAsia="Times New Roman" w:cs="Arial"/>
          <w:color w:val="000000"/>
          <w:szCs w:val="20"/>
          <w:lang w:val="en-US"/>
        </w:rPr>
        <w:t>LDL</w:t>
      </w:r>
      <w:r w:rsidRPr="006A0501">
        <w:rPr>
          <w:rFonts w:eastAsia="Times New Roman" w:cs="Arial"/>
          <w:color w:val="000000"/>
          <w:szCs w:val="20"/>
          <w:lang w:val="ru-RU"/>
        </w:rPr>
        <w:t xml:space="preserve"> </w:t>
      </w:r>
      <w:r w:rsidRPr="006A0501">
        <w:rPr>
          <w:rFonts w:eastAsia="Times New Roman" w:cs="Arial"/>
          <w:color w:val="000000"/>
          <w:szCs w:val="20"/>
          <w:lang w:eastAsia="bg-BG"/>
        </w:rPr>
        <w:t xml:space="preserve">рецептори върху клетъчната повърхност, като засилва поемането и катаболизма на </w:t>
      </w:r>
      <w:r w:rsidRPr="006A0501">
        <w:rPr>
          <w:rFonts w:eastAsia="Times New Roman" w:cs="Arial"/>
          <w:color w:val="000000"/>
          <w:szCs w:val="20"/>
          <w:lang w:val="en-US"/>
        </w:rPr>
        <w:t>LDL</w:t>
      </w:r>
      <w:r w:rsidRPr="006A0501">
        <w:rPr>
          <w:rFonts w:eastAsia="Times New Roman" w:cs="Arial"/>
          <w:color w:val="000000"/>
          <w:szCs w:val="20"/>
          <w:lang w:val="ru-RU"/>
        </w:rPr>
        <w:t xml:space="preserve"> </w:t>
      </w:r>
      <w:r w:rsidRPr="006A0501">
        <w:rPr>
          <w:rFonts w:eastAsia="Times New Roman" w:cs="Arial"/>
          <w:color w:val="000000"/>
          <w:szCs w:val="20"/>
          <w:lang w:eastAsia="bg-BG"/>
        </w:rPr>
        <w:t xml:space="preserve">и инхибира чернодробния синтез на </w:t>
      </w:r>
      <w:r w:rsidRPr="006A0501">
        <w:rPr>
          <w:rFonts w:eastAsia="Times New Roman" w:cs="Arial"/>
          <w:color w:val="000000"/>
          <w:szCs w:val="20"/>
          <w:lang w:val="en-US"/>
        </w:rPr>
        <w:t>VLDL</w:t>
      </w:r>
      <w:r w:rsidRPr="006A0501">
        <w:rPr>
          <w:rFonts w:eastAsia="Times New Roman" w:cs="Arial"/>
          <w:color w:val="000000"/>
          <w:szCs w:val="20"/>
          <w:lang w:val="ru-RU"/>
        </w:rPr>
        <w:t xml:space="preserve">, </w:t>
      </w:r>
      <w:r w:rsidRPr="006A0501">
        <w:rPr>
          <w:rFonts w:eastAsia="Times New Roman" w:cs="Arial"/>
          <w:color w:val="000000"/>
          <w:szCs w:val="20"/>
          <w:lang w:eastAsia="bg-BG"/>
        </w:rPr>
        <w:t xml:space="preserve">като по този начин намалява общия брой на </w:t>
      </w:r>
      <w:r w:rsidRPr="006A0501">
        <w:rPr>
          <w:rFonts w:eastAsia="Times New Roman" w:cs="Arial"/>
          <w:color w:val="000000"/>
          <w:szCs w:val="20"/>
          <w:lang w:val="en-US"/>
        </w:rPr>
        <w:t>VLDL</w:t>
      </w:r>
      <w:r w:rsidRPr="006A0501">
        <w:rPr>
          <w:rFonts w:eastAsia="Times New Roman" w:cs="Arial"/>
          <w:color w:val="000000"/>
          <w:szCs w:val="20"/>
          <w:lang w:val="ru-RU"/>
        </w:rPr>
        <w:t xml:space="preserve"> </w:t>
      </w:r>
      <w:r w:rsidRPr="006A0501">
        <w:rPr>
          <w:rFonts w:eastAsia="Times New Roman" w:cs="Arial"/>
          <w:color w:val="000000"/>
          <w:szCs w:val="20"/>
          <w:lang w:eastAsia="bg-BG"/>
        </w:rPr>
        <w:t xml:space="preserve">и </w:t>
      </w:r>
      <w:r w:rsidRPr="006A0501">
        <w:rPr>
          <w:rFonts w:eastAsia="Times New Roman" w:cs="Arial"/>
          <w:color w:val="000000"/>
          <w:szCs w:val="20"/>
          <w:lang w:val="en-US"/>
        </w:rPr>
        <w:t>LDL</w:t>
      </w:r>
      <w:r w:rsidRPr="006A0501">
        <w:rPr>
          <w:rFonts w:eastAsia="Times New Roman" w:cs="Arial"/>
          <w:color w:val="000000"/>
          <w:szCs w:val="20"/>
          <w:lang w:val="ru-RU"/>
        </w:rPr>
        <w:t xml:space="preserve"> </w:t>
      </w:r>
      <w:r w:rsidRPr="006A0501">
        <w:rPr>
          <w:rFonts w:eastAsia="Times New Roman" w:cs="Arial"/>
          <w:color w:val="000000"/>
          <w:szCs w:val="20"/>
          <w:lang w:eastAsia="bg-BG"/>
        </w:rPr>
        <w:t>частици.</w:t>
      </w:r>
    </w:p>
    <w:p w14:paraId="380AE06C" w14:textId="77777777" w:rsidR="006A0501" w:rsidRPr="006A0501" w:rsidRDefault="006A0501" w:rsidP="006A0501">
      <w:pPr>
        <w:spacing w:line="240" w:lineRule="auto"/>
        <w:rPr>
          <w:rFonts w:eastAsia="Times New Roman" w:cs="Arial"/>
          <w:b/>
          <w:bCs/>
          <w:color w:val="000000"/>
          <w:szCs w:val="20"/>
          <w:lang w:eastAsia="bg-BG"/>
        </w:rPr>
      </w:pPr>
    </w:p>
    <w:p w14:paraId="683A1287" w14:textId="7F95FCA9" w:rsidR="006A0501" w:rsidRPr="006A0501" w:rsidRDefault="006A0501" w:rsidP="006A0501">
      <w:pPr>
        <w:spacing w:line="240" w:lineRule="auto"/>
        <w:rPr>
          <w:rFonts w:eastAsia="Times New Roman" w:cs="Arial"/>
          <w:sz w:val="28"/>
          <w:szCs w:val="24"/>
        </w:rPr>
      </w:pPr>
      <w:r w:rsidRPr="006A0501">
        <w:rPr>
          <w:rFonts w:eastAsia="Times New Roman" w:cs="Arial"/>
          <w:b/>
          <w:bCs/>
          <w:color w:val="000000"/>
          <w:szCs w:val="20"/>
          <w:lang w:eastAsia="bg-BG"/>
        </w:rPr>
        <w:t>Фармакодинамичнн ефекти</w:t>
      </w:r>
    </w:p>
    <w:p w14:paraId="16E5B85C" w14:textId="77777777" w:rsidR="006A0501" w:rsidRPr="006A0501" w:rsidRDefault="006A0501" w:rsidP="006A0501">
      <w:pPr>
        <w:spacing w:line="240" w:lineRule="auto"/>
        <w:rPr>
          <w:rFonts w:eastAsia="Times New Roman" w:cs="Arial"/>
          <w:sz w:val="28"/>
          <w:szCs w:val="24"/>
        </w:rPr>
      </w:pPr>
      <w:r w:rsidRPr="006A0501">
        <w:rPr>
          <w:rFonts w:eastAsia="Times New Roman" w:cs="Arial"/>
          <w:color w:val="000000"/>
          <w:szCs w:val="20"/>
          <w:lang w:eastAsia="bg-BG"/>
        </w:rPr>
        <w:t xml:space="preserve">Розувастатин намалява повишения </w:t>
      </w:r>
      <w:r w:rsidRPr="006A0501">
        <w:rPr>
          <w:rFonts w:eastAsia="Times New Roman" w:cs="Arial"/>
          <w:color w:val="000000"/>
          <w:szCs w:val="20"/>
          <w:lang w:val="en-US"/>
        </w:rPr>
        <w:t>LDL</w:t>
      </w:r>
      <w:r w:rsidRPr="006A0501">
        <w:rPr>
          <w:rFonts w:eastAsia="Times New Roman" w:cs="Arial"/>
          <w:color w:val="000000"/>
          <w:szCs w:val="20"/>
          <w:lang w:val="ru-RU"/>
        </w:rPr>
        <w:t xml:space="preserve"> </w:t>
      </w:r>
      <w:r w:rsidRPr="006A0501">
        <w:rPr>
          <w:rFonts w:eastAsia="Times New Roman" w:cs="Arial"/>
          <w:color w:val="000000"/>
          <w:szCs w:val="20"/>
          <w:lang w:eastAsia="bg-BG"/>
        </w:rPr>
        <w:t xml:space="preserve">холестерол, общия холестерол и триглицеридите и повишава </w:t>
      </w:r>
      <w:r w:rsidRPr="006A0501">
        <w:rPr>
          <w:rFonts w:eastAsia="Times New Roman" w:cs="Arial"/>
          <w:color w:val="000000"/>
          <w:szCs w:val="20"/>
          <w:lang w:val="en-US"/>
        </w:rPr>
        <w:t>HDL</w:t>
      </w:r>
      <w:r w:rsidRPr="006A0501">
        <w:rPr>
          <w:rFonts w:eastAsia="Times New Roman" w:cs="Arial"/>
          <w:color w:val="000000"/>
          <w:szCs w:val="20"/>
          <w:lang w:val="ru-RU"/>
        </w:rPr>
        <w:t xml:space="preserve"> </w:t>
      </w:r>
      <w:r w:rsidRPr="006A0501">
        <w:rPr>
          <w:rFonts w:eastAsia="Times New Roman" w:cs="Arial"/>
          <w:color w:val="000000"/>
          <w:szCs w:val="20"/>
          <w:lang w:eastAsia="bg-BG"/>
        </w:rPr>
        <w:t xml:space="preserve">холестерола. Той също понижава АроВ на </w:t>
      </w:r>
      <w:r w:rsidRPr="006A0501">
        <w:rPr>
          <w:rFonts w:eastAsia="Times New Roman" w:cs="Arial"/>
          <w:color w:val="000000"/>
          <w:szCs w:val="20"/>
          <w:lang w:val="en-US"/>
        </w:rPr>
        <w:t>HDL</w:t>
      </w:r>
      <w:r w:rsidRPr="006A0501">
        <w:rPr>
          <w:rFonts w:eastAsia="Times New Roman" w:cs="Arial"/>
          <w:color w:val="000000"/>
          <w:szCs w:val="20"/>
          <w:lang w:val="ru-RU"/>
        </w:rPr>
        <w:t>-</w:t>
      </w:r>
      <w:r w:rsidRPr="006A0501">
        <w:rPr>
          <w:rFonts w:eastAsia="Times New Roman" w:cs="Arial"/>
          <w:color w:val="000000"/>
          <w:szCs w:val="20"/>
          <w:lang w:val="en-US"/>
        </w:rPr>
        <w:t>C</w:t>
      </w:r>
      <w:r w:rsidRPr="006A0501">
        <w:rPr>
          <w:rFonts w:eastAsia="Times New Roman" w:cs="Arial"/>
          <w:color w:val="000000"/>
          <w:szCs w:val="20"/>
          <w:lang w:val="ru-RU"/>
        </w:rPr>
        <w:t xml:space="preserve">, </w:t>
      </w:r>
      <w:r w:rsidRPr="006A0501">
        <w:rPr>
          <w:rFonts w:eastAsia="Times New Roman" w:cs="Arial"/>
          <w:color w:val="000000"/>
          <w:szCs w:val="20"/>
          <w:lang w:val="en-US"/>
        </w:rPr>
        <w:t>VLDL</w:t>
      </w:r>
      <w:r w:rsidRPr="006A0501">
        <w:rPr>
          <w:rFonts w:eastAsia="Times New Roman" w:cs="Arial"/>
          <w:color w:val="000000"/>
          <w:szCs w:val="20"/>
          <w:lang w:val="ru-RU"/>
        </w:rPr>
        <w:t>-</w:t>
      </w:r>
      <w:r w:rsidRPr="006A0501">
        <w:rPr>
          <w:rFonts w:eastAsia="Times New Roman" w:cs="Arial"/>
          <w:color w:val="000000"/>
          <w:szCs w:val="20"/>
          <w:lang w:val="en-US"/>
        </w:rPr>
        <w:t>C</w:t>
      </w:r>
      <w:r w:rsidRPr="006A0501">
        <w:rPr>
          <w:rFonts w:eastAsia="Times New Roman" w:cs="Arial"/>
          <w:color w:val="000000"/>
          <w:szCs w:val="20"/>
          <w:lang w:val="ru-RU"/>
        </w:rPr>
        <w:t xml:space="preserve">, </w:t>
      </w:r>
      <w:r w:rsidRPr="006A0501">
        <w:rPr>
          <w:rFonts w:eastAsia="Times New Roman" w:cs="Arial"/>
          <w:color w:val="000000"/>
          <w:szCs w:val="20"/>
          <w:lang w:val="en-US"/>
        </w:rPr>
        <w:t>VLDL</w:t>
      </w:r>
      <w:r w:rsidRPr="006A0501">
        <w:rPr>
          <w:rFonts w:eastAsia="Times New Roman" w:cs="Arial"/>
          <w:color w:val="000000"/>
          <w:szCs w:val="20"/>
          <w:lang w:val="ru-RU"/>
        </w:rPr>
        <w:t>-</w:t>
      </w:r>
      <w:r w:rsidRPr="006A0501">
        <w:rPr>
          <w:rFonts w:eastAsia="Times New Roman" w:cs="Arial"/>
          <w:color w:val="000000"/>
          <w:szCs w:val="20"/>
          <w:lang w:val="en-US"/>
        </w:rPr>
        <w:t>TG</w:t>
      </w:r>
      <w:r w:rsidRPr="006A0501">
        <w:rPr>
          <w:rFonts w:eastAsia="Times New Roman" w:cs="Arial"/>
          <w:color w:val="000000"/>
          <w:szCs w:val="20"/>
          <w:lang w:val="ru-RU"/>
        </w:rPr>
        <w:t xml:space="preserve"> </w:t>
      </w:r>
      <w:r w:rsidRPr="006A0501">
        <w:rPr>
          <w:rFonts w:eastAsia="Times New Roman" w:cs="Arial"/>
          <w:color w:val="000000"/>
          <w:szCs w:val="20"/>
          <w:lang w:eastAsia="bg-BG"/>
        </w:rPr>
        <w:t>и увеличава АроА</w:t>
      </w:r>
      <w:r w:rsidRPr="006A0501">
        <w:rPr>
          <w:rFonts w:eastAsia="Times New Roman" w:cs="Arial"/>
          <w:color w:val="000000"/>
          <w:szCs w:val="20"/>
          <w:lang w:val="ru-RU"/>
        </w:rPr>
        <w:t>-</w:t>
      </w:r>
      <w:r w:rsidRPr="006A0501">
        <w:rPr>
          <w:rFonts w:eastAsia="Times New Roman" w:cs="Arial"/>
          <w:color w:val="000000"/>
          <w:szCs w:val="20"/>
          <w:lang w:val="en-US"/>
        </w:rPr>
        <w:t>I</w:t>
      </w:r>
      <w:r w:rsidRPr="006A0501">
        <w:rPr>
          <w:rFonts w:eastAsia="Times New Roman" w:cs="Arial"/>
          <w:color w:val="000000"/>
          <w:szCs w:val="20"/>
          <w:lang w:val="ru-RU"/>
        </w:rPr>
        <w:t xml:space="preserve"> </w:t>
      </w:r>
      <w:r w:rsidRPr="006A0501">
        <w:rPr>
          <w:rFonts w:eastAsia="Times New Roman" w:cs="Arial"/>
          <w:color w:val="000000"/>
          <w:szCs w:val="20"/>
          <w:lang w:eastAsia="bg-BG"/>
        </w:rPr>
        <w:t xml:space="preserve">(вж. таблица 1). Розувастатин понижава и съотношенията на </w:t>
      </w:r>
      <w:r w:rsidRPr="006A0501">
        <w:rPr>
          <w:rFonts w:eastAsia="Times New Roman" w:cs="Arial"/>
          <w:color w:val="000000"/>
          <w:szCs w:val="20"/>
          <w:lang w:val="en-US"/>
        </w:rPr>
        <w:t>LDL</w:t>
      </w:r>
      <w:r w:rsidRPr="006A0501">
        <w:rPr>
          <w:rFonts w:eastAsia="Times New Roman" w:cs="Arial"/>
          <w:color w:val="000000"/>
          <w:szCs w:val="20"/>
          <w:lang w:val="ru-RU"/>
        </w:rPr>
        <w:t>-</w:t>
      </w:r>
      <w:r w:rsidRPr="006A0501">
        <w:rPr>
          <w:rFonts w:eastAsia="Times New Roman" w:cs="Arial"/>
          <w:color w:val="000000"/>
          <w:szCs w:val="20"/>
          <w:lang w:val="en-US"/>
        </w:rPr>
        <w:t>C</w:t>
      </w:r>
      <w:r w:rsidRPr="006A0501">
        <w:rPr>
          <w:rFonts w:eastAsia="Times New Roman" w:cs="Arial"/>
          <w:color w:val="000000"/>
          <w:szCs w:val="20"/>
          <w:lang w:val="ru-RU"/>
        </w:rPr>
        <w:t>/</w:t>
      </w:r>
      <w:r w:rsidRPr="006A0501">
        <w:rPr>
          <w:rFonts w:eastAsia="Times New Roman" w:cs="Arial"/>
          <w:color w:val="000000"/>
          <w:szCs w:val="20"/>
          <w:lang w:val="en-US"/>
        </w:rPr>
        <w:t>HDL</w:t>
      </w:r>
      <w:r w:rsidRPr="006A0501">
        <w:rPr>
          <w:rFonts w:eastAsia="Times New Roman" w:cs="Arial"/>
          <w:color w:val="000000"/>
          <w:szCs w:val="20"/>
          <w:lang w:val="ru-RU"/>
        </w:rPr>
        <w:t>-</w:t>
      </w:r>
      <w:r w:rsidRPr="006A0501">
        <w:rPr>
          <w:rFonts w:eastAsia="Times New Roman" w:cs="Arial"/>
          <w:color w:val="000000"/>
          <w:szCs w:val="20"/>
          <w:lang w:val="en-US"/>
        </w:rPr>
        <w:t>C</w:t>
      </w:r>
      <w:r w:rsidRPr="006A0501">
        <w:rPr>
          <w:rFonts w:eastAsia="Times New Roman" w:cs="Arial"/>
          <w:color w:val="000000"/>
          <w:szCs w:val="20"/>
          <w:lang w:val="ru-RU"/>
        </w:rPr>
        <w:t xml:space="preserve">, </w:t>
      </w:r>
      <w:r w:rsidRPr="006A0501">
        <w:rPr>
          <w:rFonts w:eastAsia="Times New Roman" w:cs="Arial"/>
          <w:color w:val="000000"/>
          <w:szCs w:val="20"/>
          <w:lang w:eastAsia="bg-BG"/>
        </w:rPr>
        <w:t xml:space="preserve">общ </w:t>
      </w:r>
      <w:r w:rsidRPr="006A0501">
        <w:rPr>
          <w:rFonts w:eastAsia="Times New Roman" w:cs="Arial"/>
          <w:color w:val="000000"/>
          <w:szCs w:val="20"/>
          <w:lang w:val="en-US"/>
        </w:rPr>
        <w:t>C</w:t>
      </w:r>
      <w:r w:rsidRPr="006A0501">
        <w:rPr>
          <w:rFonts w:eastAsia="Times New Roman" w:cs="Arial"/>
          <w:color w:val="000000"/>
          <w:szCs w:val="20"/>
          <w:lang w:val="ru-RU"/>
        </w:rPr>
        <w:t>/</w:t>
      </w:r>
      <w:r w:rsidRPr="006A0501">
        <w:rPr>
          <w:rFonts w:eastAsia="Times New Roman" w:cs="Arial"/>
          <w:color w:val="000000"/>
          <w:szCs w:val="20"/>
          <w:lang w:val="en-US"/>
        </w:rPr>
        <w:t>HDL</w:t>
      </w:r>
      <w:r w:rsidRPr="006A0501">
        <w:rPr>
          <w:rFonts w:eastAsia="Times New Roman" w:cs="Arial"/>
          <w:color w:val="000000"/>
          <w:szCs w:val="20"/>
          <w:lang w:val="ru-RU"/>
        </w:rPr>
        <w:t>-</w:t>
      </w:r>
      <w:r w:rsidRPr="006A0501">
        <w:rPr>
          <w:rFonts w:eastAsia="Times New Roman" w:cs="Arial"/>
          <w:color w:val="000000"/>
          <w:szCs w:val="20"/>
          <w:lang w:val="en-US"/>
        </w:rPr>
        <w:t>C</w:t>
      </w:r>
      <w:r w:rsidRPr="006A0501">
        <w:rPr>
          <w:rFonts w:eastAsia="Times New Roman" w:cs="Arial"/>
          <w:color w:val="000000"/>
          <w:szCs w:val="20"/>
          <w:lang w:val="ru-RU"/>
        </w:rPr>
        <w:t xml:space="preserve"> </w:t>
      </w:r>
      <w:r w:rsidRPr="006A0501">
        <w:rPr>
          <w:rFonts w:eastAsia="Times New Roman" w:cs="Arial"/>
          <w:color w:val="000000"/>
          <w:szCs w:val="20"/>
          <w:lang w:eastAsia="bg-BG"/>
        </w:rPr>
        <w:t>и не</w:t>
      </w:r>
      <w:r w:rsidRPr="006A0501">
        <w:rPr>
          <w:rFonts w:eastAsia="Times New Roman" w:cs="Arial"/>
          <w:color w:val="000000"/>
          <w:szCs w:val="20"/>
          <w:lang w:val="ru-RU"/>
        </w:rPr>
        <w:t>-</w:t>
      </w:r>
      <w:r w:rsidRPr="006A0501">
        <w:rPr>
          <w:rFonts w:eastAsia="Times New Roman" w:cs="Arial"/>
          <w:color w:val="000000"/>
          <w:szCs w:val="20"/>
          <w:lang w:val="en-US"/>
        </w:rPr>
        <w:t>HDL</w:t>
      </w:r>
      <w:r w:rsidRPr="006A0501">
        <w:rPr>
          <w:rFonts w:eastAsia="Times New Roman" w:cs="Arial"/>
          <w:color w:val="000000"/>
          <w:szCs w:val="20"/>
          <w:lang w:val="ru-RU"/>
        </w:rPr>
        <w:t>-</w:t>
      </w:r>
      <w:r w:rsidRPr="006A0501">
        <w:rPr>
          <w:rFonts w:eastAsia="Times New Roman" w:cs="Arial"/>
          <w:color w:val="000000"/>
          <w:szCs w:val="20"/>
          <w:lang w:val="en-US"/>
        </w:rPr>
        <w:t>C</w:t>
      </w:r>
      <w:r w:rsidRPr="006A0501">
        <w:rPr>
          <w:rFonts w:eastAsia="Times New Roman" w:cs="Arial"/>
          <w:color w:val="000000"/>
          <w:szCs w:val="20"/>
          <w:lang w:val="ru-RU"/>
        </w:rPr>
        <w:t>/</w:t>
      </w:r>
      <w:r w:rsidRPr="006A0501">
        <w:rPr>
          <w:rFonts w:eastAsia="Times New Roman" w:cs="Arial"/>
          <w:color w:val="000000"/>
          <w:szCs w:val="20"/>
          <w:lang w:val="en-US"/>
        </w:rPr>
        <w:t>HDL</w:t>
      </w:r>
      <w:r w:rsidRPr="006A0501">
        <w:rPr>
          <w:rFonts w:eastAsia="Times New Roman" w:cs="Arial"/>
          <w:color w:val="000000"/>
          <w:szCs w:val="20"/>
          <w:lang w:val="ru-RU"/>
        </w:rPr>
        <w:t xml:space="preserve">- </w:t>
      </w:r>
      <w:r w:rsidRPr="006A0501">
        <w:rPr>
          <w:rFonts w:eastAsia="Times New Roman" w:cs="Arial"/>
          <w:color w:val="000000"/>
          <w:szCs w:val="20"/>
          <w:lang w:eastAsia="bg-BG"/>
        </w:rPr>
        <w:t>С и АроВ/АроА-</w:t>
      </w:r>
      <w:r w:rsidRPr="006A0501">
        <w:rPr>
          <w:rFonts w:eastAsia="Times New Roman" w:cs="Arial"/>
          <w:color w:val="000000"/>
          <w:szCs w:val="20"/>
          <w:lang w:val="en-US"/>
        </w:rPr>
        <w:t>I</w:t>
      </w:r>
      <w:r w:rsidRPr="006A0501">
        <w:rPr>
          <w:rFonts w:eastAsia="Times New Roman" w:cs="Arial"/>
          <w:color w:val="000000"/>
          <w:szCs w:val="20"/>
          <w:lang w:eastAsia="bg-BG"/>
        </w:rPr>
        <w:t>,</w:t>
      </w:r>
    </w:p>
    <w:p w14:paraId="1A6A6AF5" w14:textId="77777777" w:rsidR="006A0501" w:rsidRPr="006A0501" w:rsidRDefault="006A0501" w:rsidP="006A0501">
      <w:pPr>
        <w:spacing w:line="240" w:lineRule="auto"/>
        <w:rPr>
          <w:rFonts w:eastAsia="Times New Roman" w:cs="Arial"/>
          <w:color w:val="000000"/>
          <w:szCs w:val="20"/>
          <w:lang w:eastAsia="bg-BG"/>
        </w:rPr>
      </w:pPr>
    </w:p>
    <w:p w14:paraId="05DE69CE" w14:textId="408DC925" w:rsidR="006A0501" w:rsidRPr="006A0501" w:rsidRDefault="006A0501" w:rsidP="006A0501">
      <w:pPr>
        <w:spacing w:line="240" w:lineRule="auto"/>
        <w:rPr>
          <w:rFonts w:ascii="Times New Roman" w:eastAsia="Times New Roman" w:hAnsi="Times New Roman" w:cs="Times New Roman"/>
          <w:sz w:val="24"/>
          <w:szCs w:val="24"/>
        </w:rPr>
      </w:pPr>
      <w:r w:rsidRPr="006A0501">
        <w:rPr>
          <w:rFonts w:eastAsia="Times New Roman" w:cs="Arial"/>
          <w:color w:val="000000"/>
          <w:szCs w:val="20"/>
          <w:lang w:eastAsia="bg-BG"/>
        </w:rPr>
        <w:t xml:space="preserve">Таблица 1. Отговор на дозата при пациенти с първична хиперхолестеролемия (тип </w:t>
      </w:r>
      <w:proofErr w:type="spellStart"/>
      <w:r w:rsidRPr="006A0501">
        <w:rPr>
          <w:rFonts w:eastAsia="Times New Roman" w:cs="Arial"/>
          <w:color w:val="000000"/>
          <w:szCs w:val="20"/>
          <w:lang w:val="en-US"/>
        </w:rPr>
        <w:t>IIa</w:t>
      </w:r>
      <w:proofErr w:type="spellEnd"/>
      <w:r w:rsidRPr="006A0501">
        <w:rPr>
          <w:rFonts w:eastAsia="Times New Roman" w:cs="Arial"/>
          <w:color w:val="000000"/>
          <w:szCs w:val="20"/>
          <w:lang w:val="ru-RU"/>
        </w:rPr>
        <w:t xml:space="preserve"> </w:t>
      </w:r>
      <w:r w:rsidRPr="006A0501">
        <w:rPr>
          <w:rFonts w:eastAsia="Times New Roman" w:cs="Arial"/>
          <w:color w:val="000000"/>
          <w:szCs w:val="20"/>
          <w:lang w:eastAsia="bg-BG"/>
        </w:rPr>
        <w:t xml:space="preserve">и </w:t>
      </w:r>
      <w:proofErr w:type="spellStart"/>
      <w:r w:rsidRPr="006A0501">
        <w:rPr>
          <w:rFonts w:eastAsia="Times New Roman" w:cs="Arial"/>
          <w:color w:val="000000"/>
          <w:szCs w:val="20"/>
          <w:lang w:val="en-US"/>
        </w:rPr>
        <w:t>IIb</w:t>
      </w:r>
      <w:proofErr w:type="spellEnd"/>
      <w:r w:rsidRPr="006A0501">
        <w:rPr>
          <w:rFonts w:eastAsia="Times New Roman" w:cs="Arial"/>
          <w:color w:val="000000"/>
          <w:szCs w:val="20"/>
          <w:lang w:eastAsia="bg-BG"/>
        </w:rPr>
        <w:t>) (коригиран среден процент на промяна от изходното ниво).</w:t>
      </w:r>
    </w:p>
    <w:tbl>
      <w:tblPr>
        <w:tblStyle w:val="TableGrid"/>
        <w:tblW w:w="0" w:type="auto"/>
        <w:tblLook w:val="04A0" w:firstRow="1" w:lastRow="0" w:firstColumn="1" w:lastColumn="0" w:noHBand="0" w:noVBand="1"/>
      </w:tblPr>
      <w:tblGrid>
        <w:gridCol w:w="1123"/>
        <w:gridCol w:w="1004"/>
        <w:gridCol w:w="1030"/>
        <w:gridCol w:w="1036"/>
        <w:gridCol w:w="1032"/>
        <w:gridCol w:w="1010"/>
        <w:gridCol w:w="1032"/>
        <w:gridCol w:w="1038"/>
        <w:gridCol w:w="1045"/>
      </w:tblGrid>
      <w:tr w:rsidR="006A0501" w14:paraId="45D35B62" w14:textId="77777777" w:rsidTr="006A0501">
        <w:tc>
          <w:tcPr>
            <w:tcW w:w="1123" w:type="dxa"/>
          </w:tcPr>
          <w:p w14:paraId="0A27EA8C" w14:textId="1CE36130" w:rsidR="006A0501" w:rsidRPr="006A0501" w:rsidRDefault="006A0501" w:rsidP="006A0501">
            <w:pPr>
              <w:jc w:val="right"/>
            </w:pPr>
            <w:r w:rsidRPr="006A0501">
              <w:rPr>
                <w:b/>
                <w:bCs/>
              </w:rPr>
              <w:t>Доза</w:t>
            </w:r>
          </w:p>
        </w:tc>
        <w:tc>
          <w:tcPr>
            <w:tcW w:w="1052" w:type="dxa"/>
          </w:tcPr>
          <w:p w14:paraId="385DC28B" w14:textId="5A143000" w:rsidR="006A0501" w:rsidRPr="006A0501" w:rsidRDefault="006A0501" w:rsidP="006A0501">
            <w:pPr>
              <w:jc w:val="right"/>
            </w:pPr>
            <w:r w:rsidRPr="006A0501">
              <w:rPr>
                <w:b/>
                <w:bCs/>
                <w:lang w:val="en-US"/>
              </w:rPr>
              <w:t>N</w:t>
            </w:r>
          </w:p>
        </w:tc>
        <w:tc>
          <w:tcPr>
            <w:tcW w:w="1057" w:type="dxa"/>
          </w:tcPr>
          <w:p w14:paraId="7FFD257C" w14:textId="5382475E" w:rsidR="006A0501" w:rsidRPr="006A0501" w:rsidRDefault="006A0501" w:rsidP="006A0501">
            <w:pPr>
              <w:jc w:val="right"/>
            </w:pPr>
            <w:r w:rsidRPr="006A0501">
              <w:rPr>
                <w:b/>
                <w:bCs/>
                <w:lang w:val="en-US"/>
              </w:rPr>
              <w:t>LDL-C</w:t>
            </w:r>
          </w:p>
        </w:tc>
        <w:tc>
          <w:tcPr>
            <w:tcW w:w="1058" w:type="dxa"/>
          </w:tcPr>
          <w:p w14:paraId="2D9401D4" w14:textId="47F8B30B" w:rsidR="006A0501" w:rsidRPr="006A0501" w:rsidRDefault="006A0501" w:rsidP="006A0501">
            <w:pPr>
              <w:jc w:val="right"/>
            </w:pPr>
            <w:r w:rsidRPr="006A0501">
              <w:rPr>
                <w:b/>
                <w:bCs/>
              </w:rPr>
              <w:t>Общ-С</w:t>
            </w:r>
          </w:p>
        </w:tc>
        <w:tc>
          <w:tcPr>
            <w:tcW w:w="1057" w:type="dxa"/>
          </w:tcPr>
          <w:p w14:paraId="2216FE8E" w14:textId="2AF99B4B" w:rsidR="006A0501" w:rsidRPr="006A0501" w:rsidRDefault="006A0501" w:rsidP="006A0501">
            <w:pPr>
              <w:jc w:val="right"/>
            </w:pPr>
            <w:r w:rsidRPr="006A0501">
              <w:rPr>
                <w:b/>
                <w:bCs/>
                <w:lang w:val="en-US"/>
              </w:rPr>
              <w:t>HDL-C</w:t>
            </w:r>
          </w:p>
        </w:tc>
        <w:tc>
          <w:tcPr>
            <w:tcW w:w="1053" w:type="dxa"/>
          </w:tcPr>
          <w:p w14:paraId="67304D93" w14:textId="44C74E1C" w:rsidR="006A0501" w:rsidRPr="006A0501" w:rsidRDefault="006A0501" w:rsidP="006A0501">
            <w:pPr>
              <w:jc w:val="right"/>
            </w:pPr>
            <w:r w:rsidRPr="006A0501">
              <w:rPr>
                <w:b/>
                <w:bCs/>
                <w:lang w:val="en-US"/>
              </w:rPr>
              <w:t>TG</w:t>
            </w:r>
          </w:p>
        </w:tc>
        <w:tc>
          <w:tcPr>
            <w:tcW w:w="1057" w:type="dxa"/>
          </w:tcPr>
          <w:p w14:paraId="431CDEE3" w14:textId="2D0C550D" w:rsidR="006A0501" w:rsidRPr="006A0501" w:rsidRDefault="006A0501" w:rsidP="006A0501">
            <w:pPr>
              <w:jc w:val="right"/>
            </w:pPr>
            <w:r w:rsidRPr="006A0501">
              <w:rPr>
                <w:b/>
                <w:bCs/>
                <w:lang w:val="en-US"/>
              </w:rPr>
              <w:t>He-HDL-C</w:t>
            </w:r>
          </w:p>
        </w:tc>
        <w:tc>
          <w:tcPr>
            <w:tcW w:w="1059" w:type="dxa"/>
          </w:tcPr>
          <w:p w14:paraId="459F862D" w14:textId="4D279522" w:rsidR="006A0501" w:rsidRPr="006A0501" w:rsidRDefault="006A0501" w:rsidP="006A0501">
            <w:pPr>
              <w:jc w:val="right"/>
            </w:pPr>
            <w:r w:rsidRPr="006A0501">
              <w:rPr>
                <w:b/>
                <w:bCs/>
              </w:rPr>
              <w:t>АроВ</w:t>
            </w:r>
          </w:p>
        </w:tc>
        <w:tc>
          <w:tcPr>
            <w:tcW w:w="1060" w:type="dxa"/>
          </w:tcPr>
          <w:p w14:paraId="13EB52C7" w14:textId="02912926" w:rsidR="006A0501" w:rsidRPr="006A0501" w:rsidRDefault="006A0501" w:rsidP="006A0501">
            <w:pPr>
              <w:jc w:val="right"/>
            </w:pPr>
            <w:r w:rsidRPr="006A0501">
              <w:rPr>
                <w:b/>
                <w:bCs/>
              </w:rPr>
              <w:t>АроА-1</w:t>
            </w:r>
          </w:p>
        </w:tc>
      </w:tr>
      <w:tr w:rsidR="006A0501" w14:paraId="07B6BCF6" w14:textId="77777777" w:rsidTr="006A0501">
        <w:tc>
          <w:tcPr>
            <w:tcW w:w="1123" w:type="dxa"/>
          </w:tcPr>
          <w:p w14:paraId="58659631" w14:textId="15E44A95" w:rsidR="006A0501" w:rsidRPr="006A0501" w:rsidRDefault="006A0501" w:rsidP="006A0501">
            <w:pPr>
              <w:jc w:val="right"/>
            </w:pPr>
            <w:r w:rsidRPr="006A0501">
              <w:t>Плацебо</w:t>
            </w:r>
          </w:p>
        </w:tc>
        <w:tc>
          <w:tcPr>
            <w:tcW w:w="1052" w:type="dxa"/>
          </w:tcPr>
          <w:p w14:paraId="4C3FBC9A" w14:textId="720DFD4F" w:rsidR="006A0501" w:rsidRPr="006A0501" w:rsidRDefault="006A0501" w:rsidP="006A0501">
            <w:pPr>
              <w:jc w:val="right"/>
            </w:pPr>
            <w:r w:rsidRPr="006A0501">
              <w:t>13</w:t>
            </w:r>
          </w:p>
        </w:tc>
        <w:tc>
          <w:tcPr>
            <w:tcW w:w="1057" w:type="dxa"/>
          </w:tcPr>
          <w:p w14:paraId="443341E0" w14:textId="1DBBC5F9" w:rsidR="006A0501" w:rsidRPr="006A0501" w:rsidRDefault="006A0501" w:rsidP="006A0501">
            <w:pPr>
              <w:jc w:val="right"/>
            </w:pPr>
            <w:r w:rsidRPr="006A0501">
              <w:t>-7</w:t>
            </w:r>
          </w:p>
        </w:tc>
        <w:tc>
          <w:tcPr>
            <w:tcW w:w="1058" w:type="dxa"/>
          </w:tcPr>
          <w:p w14:paraId="7D7317B9" w14:textId="47A6A81D" w:rsidR="006A0501" w:rsidRPr="006A0501" w:rsidRDefault="006A0501" w:rsidP="006A0501">
            <w:pPr>
              <w:jc w:val="right"/>
            </w:pPr>
            <w:r w:rsidRPr="006A0501">
              <w:t>-5</w:t>
            </w:r>
          </w:p>
        </w:tc>
        <w:tc>
          <w:tcPr>
            <w:tcW w:w="1057" w:type="dxa"/>
          </w:tcPr>
          <w:p w14:paraId="4361FCE2" w14:textId="5F8C4563" w:rsidR="006A0501" w:rsidRPr="006A0501" w:rsidRDefault="006A0501" w:rsidP="006A0501">
            <w:pPr>
              <w:jc w:val="right"/>
            </w:pPr>
            <w:r w:rsidRPr="006A0501">
              <w:t>-3</w:t>
            </w:r>
          </w:p>
        </w:tc>
        <w:tc>
          <w:tcPr>
            <w:tcW w:w="1053" w:type="dxa"/>
          </w:tcPr>
          <w:p w14:paraId="212F3A80" w14:textId="234ED38A" w:rsidR="006A0501" w:rsidRPr="006A0501" w:rsidRDefault="006A0501" w:rsidP="006A0501">
            <w:pPr>
              <w:jc w:val="right"/>
            </w:pPr>
            <w:r w:rsidRPr="006A0501">
              <w:t>-3</w:t>
            </w:r>
          </w:p>
        </w:tc>
        <w:tc>
          <w:tcPr>
            <w:tcW w:w="1057" w:type="dxa"/>
          </w:tcPr>
          <w:p w14:paraId="2BE41685" w14:textId="2216102E" w:rsidR="006A0501" w:rsidRPr="006A0501" w:rsidRDefault="006A0501" w:rsidP="006A0501">
            <w:pPr>
              <w:jc w:val="right"/>
            </w:pPr>
            <w:r w:rsidRPr="006A0501">
              <w:t>-7</w:t>
            </w:r>
          </w:p>
        </w:tc>
        <w:tc>
          <w:tcPr>
            <w:tcW w:w="1059" w:type="dxa"/>
          </w:tcPr>
          <w:p w14:paraId="6840B3DF" w14:textId="43776D48" w:rsidR="006A0501" w:rsidRPr="006A0501" w:rsidRDefault="006A0501" w:rsidP="006A0501">
            <w:pPr>
              <w:jc w:val="right"/>
            </w:pPr>
            <w:r w:rsidRPr="006A0501">
              <w:t>-3</w:t>
            </w:r>
          </w:p>
        </w:tc>
        <w:tc>
          <w:tcPr>
            <w:tcW w:w="1060" w:type="dxa"/>
          </w:tcPr>
          <w:p w14:paraId="15415DC3" w14:textId="57A84250" w:rsidR="006A0501" w:rsidRPr="006A0501" w:rsidRDefault="006A0501" w:rsidP="006A0501">
            <w:pPr>
              <w:jc w:val="right"/>
            </w:pPr>
            <w:r w:rsidRPr="006A0501">
              <w:t>0</w:t>
            </w:r>
          </w:p>
        </w:tc>
      </w:tr>
      <w:tr w:rsidR="006A0501" w14:paraId="223D02B0" w14:textId="77777777" w:rsidTr="006A0501">
        <w:tc>
          <w:tcPr>
            <w:tcW w:w="1123" w:type="dxa"/>
          </w:tcPr>
          <w:p w14:paraId="087BE8E9" w14:textId="6D04EB20" w:rsidR="006A0501" w:rsidRPr="006A0501" w:rsidRDefault="006A0501" w:rsidP="006A0501">
            <w:pPr>
              <w:jc w:val="right"/>
            </w:pPr>
            <w:r w:rsidRPr="006A0501">
              <w:t>5</w:t>
            </w:r>
          </w:p>
        </w:tc>
        <w:tc>
          <w:tcPr>
            <w:tcW w:w="1052" w:type="dxa"/>
          </w:tcPr>
          <w:p w14:paraId="14A2E752" w14:textId="70BD1253" w:rsidR="006A0501" w:rsidRPr="006A0501" w:rsidRDefault="006A0501" w:rsidP="006A0501">
            <w:pPr>
              <w:jc w:val="right"/>
            </w:pPr>
            <w:r w:rsidRPr="006A0501">
              <w:t>17</w:t>
            </w:r>
          </w:p>
        </w:tc>
        <w:tc>
          <w:tcPr>
            <w:tcW w:w="1057" w:type="dxa"/>
          </w:tcPr>
          <w:p w14:paraId="489102DD" w14:textId="2074E2FB" w:rsidR="006A0501" w:rsidRPr="006A0501" w:rsidRDefault="006A0501" w:rsidP="006A0501">
            <w:pPr>
              <w:jc w:val="right"/>
            </w:pPr>
            <w:r w:rsidRPr="006A0501">
              <w:t>-45</w:t>
            </w:r>
          </w:p>
        </w:tc>
        <w:tc>
          <w:tcPr>
            <w:tcW w:w="1058" w:type="dxa"/>
          </w:tcPr>
          <w:p w14:paraId="7E27BC76" w14:textId="3F346F28" w:rsidR="006A0501" w:rsidRPr="006A0501" w:rsidRDefault="006A0501" w:rsidP="006A0501">
            <w:pPr>
              <w:jc w:val="right"/>
            </w:pPr>
            <w:r w:rsidRPr="006A0501">
              <w:t>-33</w:t>
            </w:r>
          </w:p>
        </w:tc>
        <w:tc>
          <w:tcPr>
            <w:tcW w:w="1057" w:type="dxa"/>
          </w:tcPr>
          <w:p w14:paraId="5575F573" w14:textId="59991F4E" w:rsidR="006A0501" w:rsidRPr="006A0501" w:rsidRDefault="006A0501" w:rsidP="006A0501">
            <w:pPr>
              <w:jc w:val="right"/>
            </w:pPr>
            <w:r w:rsidRPr="006A0501">
              <w:t>13</w:t>
            </w:r>
          </w:p>
        </w:tc>
        <w:tc>
          <w:tcPr>
            <w:tcW w:w="1053" w:type="dxa"/>
          </w:tcPr>
          <w:p w14:paraId="29561CE9" w14:textId="6252E201" w:rsidR="006A0501" w:rsidRPr="006A0501" w:rsidRDefault="006A0501" w:rsidP="006A0501">
            <w:pPr>
              <w:jc w:val="right"/>
            </w:pPr>
            <w:r w:rsidRPr="006A0501">
              <w:t>-35</w:t>
            </w:r>
          </w:p>
        </w:tc>
        <w:tc>
          <w:tcPr>
            <w:tcW w:w="1057" w:type="dxa"/>
          </w:tcPr>
          <w:p w14:paraId="679FF234" w14:textId="20B52512" w:rsidR="006A0501" w:rsidRPr="006A0501" w:rsidRDefault="006A0501" w:rsidP="006A0501">
            <w:pPr>
              <w:jc w:val="right"/>
            </w:pPr>
            <w:r w:rsidRPr="006A0501">
              <w:t>-44</w:t>
            </w:r>
          </w:p>
        </w:tc>
        <w:tc>
          <w:tcPr>
            <w:tcW w:w="1059" w:type="dxa"/>
          </w:tcPr>
          <w:p w14:paraId="7E1BB3BE" w14:textId="605BDBCF" w:rsidR="006A0501" w:rsidRPr="006A0501" w:rsidRDefault="006A0501" w:rsidP="006A0501">
            <w:pPr>
              <w:jc w:val="right"/>
            </w:pPr>
            <w:r w:rsidRPr="006A0501">
              <w:t>-38</w:t>
            </w:r>
          </w:p>
        </w:tc>
        <w:tc>
          <w:tcPr>
            <w:tcW w:w="1060" w:type="dxa"/>
          </w:tcPr>
          <w:p w14:paraId="07CB6DB9" w14:textId="3F0C7DD9" w:rsidR="006A0501" w:rsidRPr="006A0501" w:rsidRDefault="006A0501" w:rsidP="006A0501">
            <w:pPr>
              <w:jc w:val="right"/>
            </w:pPr>
            <w:r w:rsidRPr="006A0501">
              <w:t>4</w:t>
            </w:r>
          </w:p>
        </w:tc>
      </w:tr>
      <w:tr w:rsidR="006A0501" w14:paraId="2CF1D45F" w14:textId="77777777" w:rsidTr="006A0501">
        <w:tc>
          <w:tcPr>
            <w:tcW w:w="1123" w:type="dxa"/>
          </w:tcPr>
          <w:p w14:paraId="199CE16C" w14:textId="5D44CC04" w:rsidR="006A0501" w:rsidRPr="006A0501" w:rsidRDefault="006A0501" w:rsidP="006A0501">
            <w:pPr>
              <w:jc w:val="right"/>
            </w:pPr>
            <w:r w:rsidRPr="006A0501">
              <w:t>10</w:t>
            </w:r>
          </w:p>
        </w:tc>
        <w:tc>
          <w:tcPr>
            <w:tcW w:w="1052" w:type="dxa"/>
          </w:tcPr>
          <w:p w14:paraId="3280AAA7" w14:textId="33539BA8" w:rsidR="006A0501" w:rsidRPr="006A0501" w:rsidRDefault="006A0501" w:rsidP="006A0501">
            <w:pPr>
              <w:jc w:val="right"/>
            </w:pPr>
            <w:r w:rsidRPr="006A0501">
              <w:t>17</w:t>
            </w:r>
          </w:p>
        </w:tc>
        <w:tc>
          <w:tcPr>
            <w:tcW w:w="1057" w:type="dxa"/>
          </w:tcPr>
          <w:p w14:paraId="0D1F87E9" w14:textId="29874C95" w:rsidR="006A0501" w:rsidRPr="006A0501" w:rsidRDefault="006A0501" w:rsidP="006A0501">
            <w:pPr>
              <w:jc w:val="right"/>
            </w:pPr>
            <w:r w:rsidRPr="006A0501">
              <w:t>-52</w:t>
            </w:r>
          </w:p>
        </w:tc>
        <w:tc>
          <w:tcPr>
            <w:tcW w:w="1058" w:type="dxa"/>
          </w:tcPr>
          <w:p w14:paraId="0DADB4D0" w14:textId="4691ADB8" w:rsidR="006A0501" w:rsidRPr="006A0501" w:rsidRDefault="006A0501" w:rsidP="006A0501">
            <w:pPr>
              <w:jc w:val="right"/>
            </w:pPr>
            <w:r w:rsidRPr="006A0501">
              <w:t>-36</w:t>
            </w:r>
          </w:p>
        </w:tc>
        <w:tc>
          <w:tcPr>
            <w:tcW w:w="1057" w:type="dxa"/>
          </w:tcPr>
          <w:p w14:paraId="5BFE47C2" w14:textId="5DC25185" w:rsidR="006A0501" w:rsidRPr="006A0501" w:rsidRDefault="006A0501" w:rsidP="006A0501">
            <w:pPr>
              <w:jc w:val="right"/>
            </w:pPr>
            <w:r w:rsidRPr="006A0501">
              <w:t>14</w:t>
            </w:r>
          </w:p>
        </w:tc>
        <w:tc>
          <w:tcPr>
            <w:tcW w:w="1053" w:type="dxa"/>
          </w:tcPr>
          <w:p w14:paraId="4513C028" w14:textId="02BE47D1" w:rsidR="006A0501" w:rsidRPr="006A0501" w:rsidRDefault="006A0501" w:rsidP="006A0501">
            <w:pPr>
              <w:jc w:val="right"/>
            </w:pPr>
            <w:r w:rsidRPr="006A0501">
              <w:t>-10</w:t>
            </w:r>
          </w:p>
        </w:tc>
        <w:tc>
          <w:tcPr>
            <w:tcW w:w="1057" w:type="dxa"/>
          </w:tcPr>
          <w:p w14:paraId="21BFA0D7" w14:textId="58D5D100" w:rsidR="006A0501" w:rsidRPr="006A0501" w:rsidRDefault="006A0501" w:rsidP="006A0501">
            <w:pPr>
              <w:jc w:val="right"/>
            </w:pPr>
            <w:r w:rsidRPr="006A0501">
              <w:t>-48</w:t>
            </w:r>
          </w:p>
        </w:tc>
        <w:tc>
          <w:tcPr>
            <w:tcW w:w="1059" w:type="dxa"/>
          </w:tcPr>
          <w:p w14:paraId="4F8A1792" w14:textId="1DBFD00F" w:rsidR="006A0501" w:rsidRPr="006A0501" w:rsidRDefault="006A0501" w:rsidP="006A0501">
            <w:pPr>
              <w:jc w:val="right"/>
            </w:pPr>
            <w:r w:rsidRPr="006A0501">
              <w:t>-42</w:t>
            </w:r>
          </w:p>
        </w:tc>
        <w:tc>
          <w:tcPr>
            <w:tcW w:w="1060" w:type="dxa"/>
          </w:tcPr>
          <w:p w14:paraId="7FB7101B" w14:textId="629D9EDF" w:rsidR="006A0501" w:rsidRPr="006A0501" w:rsidRDefault="006A0501" w:rsidP="006A0501">
            <w:pPr>
              <w:jc w:val="right"/>
            </w:pPr>
            <w:r w:rsidRPr="006A0501">
              <w:t>4</w:t>
            </w:r>
          </w:p>
        </w:tc>
      </w:tr>
      <w:tr w:rsidR="006A0501" w14:paraId="26F07713" w14:textId="77777777" w:rsidTr="006A0501">
        <w:tc>
          <w:tcPr>
            <w:tcW w:w="1123" w:type="dxa"/>
          </w:tcPr>
          <w:p w14:paraId="546CFE07" w14:textId="7EC71778" w:rsidR="006A0501" w:rsidRPr="006A0501" w:rsidRDefault="006A0501" w:rsidP="006A0501">
            <w:pPr>
              <w:jc w:val="right"/>
            </w:pPr>
            <w:r w:rsidRPr="006A0501">
              <w:t>20</w:t>
            </w:r>
          </w:p>
        </w:tc>
        <w:tc>
          <w:tcPr>
            <w:tcW w:w="1052" w:type="dxa"/>
          </w:tcPr>
          <w:p w14:paraId="745A3140" w14:textId="36DC4856" w:rsidR="006A0501" w:rsidRPr="006A0501" w:rsidRDefault="006A0501" w:rsidP="006A0501">
            <w:pPr>
              <w:jc w:val="right"/>
            </w:pPr>
            <w:r w:rsidRPr="006A0501">
              <w:t>17</w:t>
            </w:r>
          </w:p>
        </w:tc>
        <w:tc>
          <w:tcPr>
            <w:tcW w:w="1057" w:type="dxa"/>
          </w:tcPr>
          <w:p w14:paraId="432054DE" w14:textId="3BCFDAE4" w:rsidR="006A0501" w:rsidRPr="006A0501" w:rsidRDefault="006A0501" w:rsidP="006A0501">
            <w:pPr>
              <w:jc w:val="right"/>
            </w:pPr>
            <w:r w:rsidRPr="006A0501">
              <w:t>-55</w:t>
            </w:r>
          </w:p>
        </w:tc>
        <w:tc>
          <w:tcPr>
            <w:tcW w:w="1058" w:type="dxa"/>
          </w:tcPr>
          <w:p w14:paraId="4A64A2C9" w14:textId="300D39E4" w:rsidR="006A0501" w:rsidRPr="006A0501" w:rsidRDefault="006A0501" w:rsidP="006A0501">
            <w:pPr>
              <w:jc w:val="right"/>
            </w:pPr>
            <w:r w:rsidRPr="006A0501">
              <w:t>-40</w:t>
            </w:r>
          </w:p>
        </w:tc>
        <w:tc>
          <w:tcPr>
            <w:tcW w:w="1057" w:type="dxa"/>
          </w:tcPr>
          <w:p w14:paraId="11C5E691" w14:textId="0672AA3C" w:rsidR="006A0501" w:rsidRPr="006A0501" w:rsidRDefault="006A0501" w:rsidP="006A0501">
            <w:pPr>
              <w:jc w:val="right"/>
            </w:pPr>
            <w:r w:rsidRPr="006A0501">
              <w:t>8</w:t>
            </w:r>
          </w:p>
        </w:tc>
        <w:tc>
          <w:tcPr>
            <w:tcW w:w="1053" w:type="dxa"/>
          </w:tcPr>
          <w:p w14:paraId="702B1194" w14:textId="77F9816E" w:rsidR="006A0501" w:rsidRPr="006A0501" w:rsidRDefault="006A0501" w:rsidP="006A0501">
            <w:pPr>
              <w:jc w:val="right"/>
            </w:pPr>
            <w:r w:rsidRPr="006A0501">
              <w:t>-23</w:t>
            </w:r>
          </w:p>
        </w:tc>
        <w:tc>
          <w:tcPr>
            <w:tcW w:w="1057" w:type="dxa"/>
          </w:tcPr>
          <w:p w14:paraId="3F4E50DA" w14:textId="39E75DA9" w:rsidR="006A0501" w:rsidRPr="006A0501" w:rsidRDefault="006A0501" w:rsidP="006A0501">
            <w:pPr>
              <w:jc w:val="right"/>
            </w:pPr>
            <w:r w:rsidRPr="006A0501">
              <w:t>-51</w:t>
            </w:r>
          </w:p>
        </w:tc>
        <w:tc>
          <w:tcPr>
            <w:tcW w:w="1059" w:type="dxa"/>
          </w:tcPr>
          <w:p w14:paraId="3A809F3A" w14:textId="7C00EA3E" w:rsidR="006A0501" w:rsidRPr="006A0501" w:rsidRDefault="006A0501" w:rsidP="006A0501">
            <w:pPr>
              <w:jc w:val="right"/>
            </w:pPr>
            <w:r w:rsidRPr="006A0501">
              <w:t>-46</w:t>
            </w:r>
          </w:p>
        </w:tc>
        <w:tc>
          <w:tcPr>
            <w:tcW w:w="1060" w:type="dxa"/>
          </w:tcPr>
          <w:p w14:paraId="73693A5A" w14:textId="4A274229" w:rsidR="006A0501" w:rsidRPr="006A0501" w:rsidRDefault="006A0501" w:rsidP="006A0501">
            <w:pPr>
              <w:jc w:val="right"/>
            </w:pPr>
            <w:r w:rsidRPr="006A0501">
              <w:t>5</w:t>
            </w:r>
          </w:p>
        </w:tc>
      </w:tr>
      <w:tr w:rsidR="006A0501" w14:paraId="7261FB94" w14:textId="77777777" w:rsidTr="006A0501">
        <w:tc>
          <w:tcPr>
            <w:tcW w:w="1123" w:type="dxa"/>
          </w:tcPr>
          <w:p w14:paraId="7214C86D" w14:textId="5F21FFA0" w:rsidR="006A0501" w:rsidRPr="006A0501" w:rsidRDefault="006A0501" w:rsidP="006A0501">
            <w:pPr>
              <w:jc w:val="right"/>
            </w:pPr>
            <w:r w:rsidRPr="006A0501">
              <w:t>40</w:t>
            </w:r>
          </w:p>
        </w:tc>
        <w:tc>
          <w:tcPr>
            <w:tcW w:w="1052" w:type="dxa"/>
          </w:tcPr>
          <w:p w14:paraId="2259E41A" w14:textId="36588A12" w:rsidR="006A0501" w:rsidRPr="006A0501" w:rsidRDefault="006A0501" w:rsidP="006A0501">
            <w:pPr>
              <w:jc w:val="right"/>
            </w:pPr>
            <w:r w:rsidRPr="006A0501">
              <w:t>18</w:t>
            </w:r>
          </w:p>
        </w:tc>
        <w:tc>
          <w:tcPr>
            <w:tcW w:w="1057" w:type="dxa"/>
          </w:tcPr>
          <w:p w14:paraId="6D907F80" w14:textId="7DB5B26C" w:rsidR="006A0501" w:rsidRPr="006A0501" w:rsidRDefault="006A0501" w:rsidP="006A0501">
            <w:pPr>
              <w:jc w:val="right"/>
            </w:pPr>
            <w:r w:rsidRPr="006A0501">
              <w:t>-63</w:t>
            </w:r>
          </w:p>
        </w:tc>
        <w:tc>
          <w:tcPr>
            <w:tcW w:w="1058" w:type="dxa"/>
          </w:tcPr>
          <w:p w14:paraId="5B784B55" w14:textId="3E8AC9ED" w:rsidR="006A0501" w:rsidRPr="006A0501" w:rsidRDefault="006A0501" w:rsidP="006A0501">
            <w:pPr>
              <w:jc w:val="right"/>
            </w:pPr>
            <w:r w:rsidRPr="006A0501">
              <w:t>-46</w:t>
            </w:r>
          </w:p>
        </w:tc>
        <w:tc>
          <w:tcPr>
            <w:tcW w:w="1057" w:type="dxa"/>
          </w:tcPr>
          <w:p w14:paraId="30EEE335" w14:textId="6D716A21" w:rsidR="006A0501" w:rsidRPr="006A0501" w:rsidRDefault="006A0501" w:rsidP="006A0501">
            <w:pPr>
              <w:jc w:val="right"/>
            </w:pPr>
            <w:r w:rsidRPr="006A0501">
              <w:t>10</w:t>
            </w:r>
          </w:p>
        </w:tc>
        <w:tc>
          <w:tcPr>
            <w:tcW w:w="1053" w:type="dxa"/>
          </w:tcPr>
          <w:p w14:paraId="578F2E3C" w14:textId="33015672" w:rsidR="006A0501" w:rsidRPr="006A0501" w:rsidRDefault="006A0501" w:rsidP="006A0501">
            <w:pPr>
              <w:jc w:val="right"/>
            </w:pPr>
            <w:r w:rsidRPr="006A0501">
              <w:t>-28</w:t>
            </w:r>
          </w:p>
        </w:tc>
        <w:tc>
          <w:tcPr>
            <w:tcW w:w="1057" w:type="dxa"/>
          </w:tcPr>
          <w:p w14:paraId="2AEDA6AA" w14:textId="555E20F7" w:rsidR="006A0501" w:rsidRPr="006A0501" w:rsidRDefault="006A0501" w:rsidP="006A0501">
            <w:pPr>
              <w:jc w:val="right"/>
            </w:pPr>
            <w:r w:rsidRPr="006A0501">
              <w:t>-60</w:t>
            </w:r>
          </w:p>
        </w:tc>
        <w:tc>
          <w:tcPr>
            <w:tcW w:w="1059" w:type="dxa"/>
          </w:tcPr>
          <w:p w14:paraId="7A1F8CB0" w14:textId="17237D7F" w:rsidR="006A0501" w:rsidRPr="006A0501" w:rsidRDefault="006A0501" w:rsidP="006A0501">
            <w:pPr>
              <w:jc w:val="right"/>
            </w:pPr>
            <w:r w:rsidRPr="006A0501">
              <w:t>-54</w:t>
            </w:r>
          </w:p>
        </w:tc>
        <w:tc>
          <w:tcPr>
            <w:tcW w:w="1060" w:type="dxa"/>
          </w:tcPr>
          <w:p w14:paraId="27654056" w14:textId="47923BD7" w:rsidR="006A0501" w:rsidRPr="006A0501" w:rsidRDefault="006A0501" w:rsidP="006A0501">
            <w:pPr>
              <w:jc w:val="right"/>
            </w:pPr>
            <w:r w:rsidRPr="006A0501">
              <w:t>0</w:t>
            </w:r>
          </w:p>
        </w:tc>
      </w:tr>
    </w:tbl>
    <w:p w14:paraId="202951F7" w14:textId="77777777" w:rsidR="006A0501" w:rsidRDefault="006A0501" w:rsidP="006A0501">
      <w:pPr>
        <w:spacing w:line="240" w:lineRule="auto"/>
        <w:rPr>
          <w:rFonts w:ascii="Times New Roman" w:eastAsia="Times New Roman" w:hAnsi="Times New Roman" w:cs="Times New Roman"/>
          <w:color w:val="000000"/>
          <w:sz w:val="20"/>
          <w:szCs w:val="20"/>
          <w:lang w:eastAsia="bg-BG"/>
        </w:rPr>
      </w:pPr>
    </w:p>
    <w:p w14:paraId="0C59B497" w14:textId="03EFC370" w:rsidR="006A0501" w:rsidRPr="00013F85" w:rsidRDefault="006A0501" w:rsidP="006A0501">
      <w:pPr>
        <w:spacing w:line="240" w:lineRule="auto"/>
        <w:rPr>
          <w:rFonts w:eastAsia="Times New Roman" w:cs="Arial"/>
          <w:sz w:val="28"/>
          <w:szCs w:val="24"/>
        </w:rPr>
      </w:pPr>
      <w:r w:rsidRPr="00013F85">
        <w:rPr>
          <w:rFonts w:eastAsia="Times New Roman" w:cs="Arial"/>
          <w:color w:val="000000"/>
          <w:szCs w:val="20"/>
          <w:lang w:eastAsia="bg-BG"/>
        </w:rPr>
        <w:t>Терапевтичният отговор към лечението с розувастатин се забелязва до 1 седмица от началото на терапията и 90% от максималния отговор се постига до 2 седмици. Максималният отговор обикновено се постига към 4-ата седмица и се поддържа след това.</w:t>
      </w:r>
    </w:p>
    <w:p w14:paraId="7E7C5C59" w14:textId="77777777" w:rsidR="006A0501" w:rsidRPr="00013F85" w:rsidRDefault="006A0501" w:rsidP="006A0501">
      <w:pPr>
        <w:spacing w:line="240" w:lineRule="auto"/>
        <w:rPr>
          <w:rFonts w:eastAsia="Times New Roman" w:cs="Arial"/>
          <w:b/>
          <w:bCs/>
          <w:color w:val="000000"/>
          <w:szCs w:val="20"/>
          <w:lang w:eastAsia="bg-BG"/>
        </w:rPr>
      </w:pPr>
    </w:p>
    <w:p w14:paraId="6871AD3D" w14:textId="3A58DF54" w:rsidR="006A0501" w:rsidRPr="00013F85" w:rsidRDefault="006A0501" w:rsidP="006A0501">
      <w:pPr>
        <w:spacing w:line="240" w:lineRule="auto"/>
        <w:rPr>
          <w:rFonts w:eastAsia="Times New Roman" w:cs="Arial"/>
          <w:sz w:val="28"/>
          <w:szCs w:val="24"/>
        </w:rPr>
      </w:pPr>
      <w:r w:rsidRPr="00013F85">
        <w:rPr>
          <w:rFonts w:eastAsia="Times New Roman" w:cs="Arial"/>
          <w:b/>
          <w:bCs/>
          <w:color w:val="000000"/>
          <w:szCs w:val="20"/>
          <w:lang w:eastAsia="bg-BG"/>
        </w:rPr>
        <w:t>Клинична ефикасност:</w:t>
      </w:r>
    </w:p>
    <w:p w14:paraId="6C0FF9B0" w14:textId="77777777" w:rsidR="006A0501" w:rsidRPr="00013F85" w:rsidRDefault="006A0501" w:rsidP="006A0501">
      <w:pPr>
        <w:spacing w:line="240" w:lineRule="auto"/>
        <w:rPr>
          <w:rFonts w:eastAsia="Times New Roman" w:cs="Arial"/>
          <w:sz w:val="28"/>
          <w:szCs w:val="24"/>
        </w:rPr>
      </w:pPr>
      <w:r w:rsidRPr="00013F85">
        <w:rPr>
          <w:rFonts w:eastAsia="Times New Roman" w:cs="Arial"/>
          <w:color w:val="000000"/>
          <w:szCs w:val="20"/>
          <w:lang w:eastAsia="bg-BG"/>
        </w:rPr>
        <w:t>Розувастатин е ефективен при възрастни хора, страдащи от хиперхолестеролемия, със или без хипертриглицеридемия, независимо от расова принадлежност, пол или възраст, и при специални групи</w:t>
      </w:r>
    </w:p>
    <w:p w14:paraId="32621180" w14:textId="6C3A45FF" w:rsidR="006A0501" w:rsidRPr="00013F85" w:rsidRDefault="006A0501" w:rsidP="006A0501">
      <w:pPr>
        <w:rPr>
          <w:rFonts w:eastAsia="Times New Roman" w:cs="Arial"/>
          <w:color w:val="000000"/>
          <w:szCs w:val="20"/>
          <w:lang w:eastAsia="bg-BG"/>
        </w:rPr>
      </w:pPr>
      <w:r w:rsidRPr="00013F85">
        <w:rPr>
          <w:rFonts w:eastAsia="Times New Roman" w:cs="Arial"/>
          <w:color w:val="000000"/>
          <w:szCs w:val="20"/>
          <w:lang w:eastAsia="bg-BG"/>
        </w:rPr>
        <w:t>като диабетици или пациенти е фамилна хиперхолестеролемия.</w:t>
      </w:r>
    </w:p>
    <w:p w14:paraId="129C3C9A" w14:textId="0ECDA841" w:rsidR="006A0501" w:rsidRPr="00013F85" w:rsidRDefault="006A0501" w:rsidP="006A0501">
      <w:pPr>
        <w:rPr>
          <w:rFonts w:eastAsia="Times New Roman" w:cs="Arial"/>
          <w:color w:val="000000"/>
          <w:szCs w:val="20"/>
          <w:lang w:eastAsia="bg-BG"/>
        </w:rPr>
      </w:pPr>
    </w:p>
    <w:p w14:paraId="705FE629" w14:textId="77777777" w:rsidR="006A0501" w:rsidRPr="00013F85" w:rsidRDefault="006A0501" w:rsidP="006A0501">
      <w:pPr>
        <w:spacing w:line="240" w:lineRule="auto"/>
        <w:rPr>
          <w:rFonts w:eastAsia="Times New Roman" w:cs="Arial"/>
          <w:sz w:val="28"/>
          <w:szCs w:val="24"/>
        </w:rPr>
      </w:pPr>
      <w:r w:rsidRPr="00013F85">
        <w:rPr>
          <w:rFonts w:eastAsia="Times New Roman" w:cs="Arial"/>
          <w:color w:val="000000"/>
          <w:szCs w:val="20"/>
          <w:lang w:eastAsia="bg-BG"/>
        </w:rPr>
        <w:t xml:space="preserve">Обобщените данни от III фаза на клиничните проучвания показват, че розувастатин е ефективен при лечение на голяма част от пациенти с тип </w:t>
      </w:r>
      <w:r w:rsidRPr="00013F85">
        <w:rPr>
          <w:rFonts w:eastAsia="Times New Roman" w:cs="Arial"/>
          <w:color w:val="000000"/>
          <w:szCs w:val="20"/>
          <w:lang w:val="en-US"/>
        </w:rPr>
        <w:t>II</w:t>
      </w:r>
      <w:r w:rsidRPr="00013F85">
        <w:rPr>
          <w:rFonts w:eastAsia="Times New Roman" w:cs="Arial"/>
          <w:color w:val="000000"/>
          <w:szCs w:val="20"/>
          <w:lang w:eastAsia="bg-BG"/>
        </w:rPr>
        <w:t xml:space="preserve">а и </w:t>
      </w:r>
      <w:proofErr w:type="spellStart"/>
      <w:r w:rsidRPr="00013F85">
        <w:rPr>
          <w:rFonts w:eastAsia="Times New Roman" w:cs="Arial"/>
          <w:color w:val="000000"/>
          <w:szCs w:val="20"/>
          <w:lang w:val="en-US"/>
        </w:rPr>
        <w:t>IIb</w:t>
      </w:r>
      <w:proofErr w:type="spellEnd"/>
      <w:r w:rsidRPr="00013F85">
        <w:rPr>
          <w:rFonts w:eastAsia="Times New Roman" w:cs="Arial"/>
          <w:color w:val="000000"/>
          <w:szCs w:val="20"/>
          <w:lang w:eastAsia="bg-BG"/>
        </w:rPr>
        <w:t xml:space="preserve"> хиперхолестеролемия (средна изходна стойност на </w:t>
      </w:r>
      <w:r w:rsidRPr="00013F85">
        <w:rPr>
          <w:rFonts w:eastAsia="Times New Roman" w:cs="Arial"/>
          <w:color w:val="000000"/>
          <w:szCs w:val="20"/>
          <w:lang w:val="en-US"/>
        </w:rPr>
        <w:t>LDL</w:t>
      </w:r>
      <w:r w:rsidRPr="00013F85">
        <w:rPr>
          <w:rFonts w:eastAsia="Times New Roman" w:cs="Arial"/>
          <w:color w:val="000000"/>
          <w:szCs w:val="20"/>
          <w:lang w:eastAsia="bg-BG"/>
        </w:rPr>
        <w:t xml:space="preserve">-С около 4.8 </w:t>
      </w:r>
      <w:proofErr w:type="spellStart"/>
      <w:r w:rsidRPr="00013F85">
        <w:rPr>
          <w:rFonts w:eastAsia="Times New Roman" w:cs="Arial"/>
          <w:color w:val="000000"/>
          <w:szCs w:val="20"/>
          <w:lang w:val="en-US"/>
        </w:rPr>
        <w:t>mmol</w:t>
      </w:r>
      <w:proofErr w:type="spellEnd"/>
      <w:r w:rsidRPr="00013F85">
        <w:rPr>
          <w:rFonts w:eastAsia="Times New Roman" w:cs="Arial"/>
          <w:color w:val="000000"/>
          <w:szCs w:val="20"/>
          <w:lang w:val="ru-RU"/>
        </w:rPr>
        <w:t>/</w:t>
      </w:r>
      <w:r w:rsidRPr="00013F85">
        <w:rPr>
          <w:rFonts w:eastAsia="Times New Roman" w:cs="Arial"/>
          <w:color w:val="000000"/>
          <w:szCs w:val="20"/>
          <w:lang w:val="en-US"/>
        </w:rPr>
        <w:t>l</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според определените от Европейската общност по атеросклероза прицелни стойности </w:t>
      </w:r>
      <w:r w:rsidRPr="00013F85">
        <w:rPr>
          <w:rFonts w:eastAsia="Times New Roman" w:cs="Arial"/>
          <w:color w:val="000000"/>
          <w:szCs w:val="20"/>
          <w:lang w:val="ru-RU"/>
        </w:rPr>
        <w:t>(</w:t>
      </w:r>
      <w:r w:rsidRPr="00013F85">
        <w:rPr>
          <w:rFonts w:eastAsia="Times New Roman" w:cs="Arial"/>
          <w:color w:val="000000"/>
          <w:szCs w:val="20"/>
          <w:lang w:val="en-US"/>
        </w:rPr>
        <w:t>EAS</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1998). Около 80% от пациентите на 10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са достигнали желаните стойности на </w:t>
      </w:r>
      <w:r w:rsidRPr="00013F85">
        <w:rPr>
          <w:rFonts w:eastAsia="Times New Roman" w:cs="Arial"/>
          <w:color w:val="000000"/>
          <w:szCs w:val="20"/>
          <w:lang w:val="en-US"/>
        </w:rPr>
        <w:t>LDL</w:t>
      </w:r>
      <w:r w:rsidRPr="00013F85">
        <w:rPr>
          <w:rFonts w:eastAsia="Times New Roman" w:cs="Arial"/>
          <w:color w:val="000000"/>
          <w:szCs w:val="20"/>
          <w:lang w:val="ru-RU"/>
        </w:rPr>
        <w:t>-</w:t>
      </w:r>
      <w:r w:rsidRPr="00013F85">
        <w:rPr>
          <w:rFonts w:eastAsia="Times New Roman" w:cs="Arial"/>
          <w:color w:val="000000"/>
          <w:szCs w:val="20"/>
          <w:lang w:val="en-US"/>
        </w:rPr>
        <w:t>C</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(&lt; 3 </w:t>
      </w:r>
      <w:proofErr w:type="spellStart"/>
      <w:r w:rsidRPr="00013F85">
        <w:rPr>
          <w:rFonts w:eastAsia="Times New Roman" w:cs="Arial"/>
          <w:color w:val="000000"/>
          <w:szCs w:val="20"/>
          <w:lang w:val="en-US"/>
        </w:rPr>
        <w:t>mmol</w:t>
      </w:r>
      <w:proofErr w:type="spellEnd"/>
      <w:r w:rsidRPr="00013F85">
        <w:rPr>
          <w:rFonts w:eastAsia="Times New Roman" w:cs="Arial"/>
          <w:color w:val="000000"/>
          <w:szCs w:val="20"/>
          <w:lang w:val="ru-RU"/>
        </w:rPr>
        <w:t xml:space="preserve">/1) </w:t>
      </w:r>
      <w:r w:rsidRPr="00013F85">
        <w:rPr>
          <w:rFonts w:eastAsia="Times New Roman" w:cs="Arial"/>
          <w:color w:val="000000"/>
          <w:szCs w:val="20"/>
          <w:lang w:eastAsia="bg-BG"/>
        </w:rPr>
        <w:t xml:space="preserve">според </w:t>
      </w:r>
      <w:r w:rsidRPr="00013F85">
        <w:rPr>
          <w:rFonts w:eastAsia="Times New Roman" w:cs="Arial"/>
          <w:color w:val="000000"/>
          <w:szCs w:val="20"/>
          <w:lang w:val="en-US"/>
        </w:rPr>
        <w:t>EAS</w:t>
      </w:r>
      <w:r w:rsidRPr="00013F85">
        <w:rPr>
          <w:rFonts w:eastAsia="Times New Roman" w:cs="Arial"/>
          <w:color w:val="000000"/>
          <w:szCs w:val="20"/>
          <w:lang w:val="ru-RU"/>
        </w:rPr>
        <w:t>.</w:t>
      </w:r>
    </w:p>
    <w:p w14:paraId="56D88188" w14:textId="77777777" w:rsidR="00013F85" w:rsidRPr="00013F85" w:rsidRDefault="006A0501" w:rsidP="006A0501">
      <w:pPr>
        <w:spacing w:line="240" w:lineRule="auto"/>
        <w:rPr>
          <w:rFonts w:eastAsia="Times New Roman" w:cs="Arial"/>
          <w:color w:val="000000"/>
          <w:szCs w:val="20"/>
          <w:lang w:eastAsia="bg-BG"/>
        </w:rPr>
      </w:pPr>
      <w:r w:rsidRPr="00013F85">
        <w:rPr>
          <w:rFonts w:eastAsia="Times New Roman" w:cs="Arial"/>
          <w:color w:val="000000"/>
          <w:szCs w:val="20"/>
          <w:lang w:eastAsia="bg-BG"/>
        </w:rPr>
        <w:t xml:space="preserve">В мащабно проучване с форсирано титриране на дозата, 435 пациенти с хетерозиготна фамилна хиперхолестеролемия са лекувани с 20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до 80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Всички дозировки показват положителен резултат върху липидните показатели. След достигане на дневна доза от 40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(12-седмично лечение), </w:t>
      </w:r>
      <w:r w:rsidRPr="00013F85">
        <w:rPr>
          <w:rFonts w:eastAsia="Times New Roman" w:cs="Arial"/>
          <w:color w:val="000000"/>
          <w:szCs w:val="20"/>
          <w:lang w:val="en-US"/>
        </w:rPr>
        <w:t>LDL</w:t>
      </w:r>
      <w:r w:rsidRPr="00013F85">
        <w:rPr>
          <w:rFonts w:eastAsia="Times New Roman" w:cs="Arial"/>
          <w:color w:val="000000"/>
          <w:szCs w:val="20"/>
          <w:lang w:val="ru-RU"/>
        </w:rPr>
        <w:t>-</w:t>
      </w:r>
      <w:r w:rsidRPr="00013F85">
        <w:rPr>
          <w:rFonts w:eastAsia="Times New Roman" w:cs="Arial"/>
          <w:color w:val="000000"/>
          <w:szCs w:val="20"/>
          <w:lang w:val="en-US"/>
        </w:rPr>
        <w:t>C</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намалява с 53%. 33% от пациентите достигат стойностите на </w:t>
      </w:r>
      <w:r w:rsidRPr="00013F85">
        <w:rPr>
          <w:rFonts w:eastAsia="Times New Roman" w:cs="Arial"/>
          <w:color w:val="000000"/>
          <w:szCs w:val="20"/>
          <w:lang w:val="en-US"/>
        </w:rPr>
        <w:t>LDL</w:t>
      </w:r>
      <w:r w:rsidRPr="00013F85">
        <w:rPr>
          <w:rFonts w:eastAsia="Times New Roman" w:cs="Arial"/>
          <w:color w:val="000000"/>
          <w:szCs w:val="20"/>
          <w:lang w:eastAsia="bg-BG"/>
        </w:rPr>
        <w:t xml:space="preserve">-С според </w:t>
      </w:r>
      <w:r w:rsidRPr="00013F85">
        <w:rPr>
          <w:rFonts w:eastAsia="Times New Roman" w:cs="Arial"/>
          <w:color w:val="000000"/>
          <w:szCs w:val="20"/>
          <w:lang w:val="en-US"/>
        </w:rPr>
        <w:t>EAS</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(&lt; 3 </w:t>
      </w:r>
      <w:proofErr w:type="spellStart"/>
      <w:r w:rsidRPr="00013F85">
        <w:rPr>
          <w:rFonts w:eastAsia="Times New Roman" w:cs="Arial"/>
          <w:color w:val="000000"/>
          <w:szCs w:val="20"/>
          <w:lang w:val="en-US"/>
        </w:rPr>
        <w:t>mmol</w:t>
      </w:r>
      <w:proofErr w:type="spellEnd"/>
      <w:r w:rsidRPr="00013F85">
        <w:rPr>
          <w:rFonts w:eastAsia="Times New Roman" w:cs="Arial"/>
          <w:color w:val="000000"/>
          <w:szCs w:val="20"/>
          <w:lang w:val="ru-RU"/>
        </w:rPr>
        <w:t>/1</w:t>
      </w:r>
      <w:r w:rsidRPr="00013F85">
        <w:rPr>
          <w:rFonts w:eastAsia="Times New Roman" w:cs="Arial"/>
          <w:color w:val="000000"/>
          <w:szCs w:val="20"/>
          <w:lang w:eastAsia="bg-BG"/>
        </w:rPr>
        <w:t>).</w:t>
      </w:r>
    </w:p>
    <w:p w14:paraId="2E32D762" w14:textId="77777777" w:rsidR="00013F85" w:rsidRPr="00013F85" w:rsidRDefault="00013F85" w:rsidP="006A0501">
      <w:pPr>
        <w:spacing w:line="240" w:lineRule="auto"/>
        <w:rPr>
          <w:rFonts w:eastAsia="Times New Roman" w:cs="Arial"/>
          <w:color w:val="000000"/>
          <w:szCs w:val="20"/>
          <w:lang w:eastAsia="bg-BG"/>
        </w:rPr>
      </w:pPr>
    </w:p>
    <w:p w14:paraId="67B9D923" w14:textId="4AEE2CA0" w:rsidR="006A0501" w:rsidRPr="00013F85" w:rsidRDefault="006A0501" w:rsidP="006A0501">
      <w:pPr>
        <w:spacing w:line="240" w:lineRule="auto"/>
        <w:rPr>
          <w:rFonts w:eastAsia="Times New Roman" w:cs="Arial"/>
          <w:sz w:val="28"/>
          <w:szCs w:val="24"/>
        </w:rPr>
      </w:pPr>
      <w:r w:rsidRPr="00013F85">
        <w:rPr>
          <w:rFonts w:eastAsia="Times New Roman" w:cs="Arial"/>
          <w:color w:val="000000"/>
          <w:szCs w:val="20"/>
          <w:lang w:eastAsia="bg-BG"/>
        </w:rPr>
        <w:t xml:space="preserve">В отворено проучване с форсирано титриране на дозата при 42-ма пациента с хомозиготна фамилна хиперхолестеролемия са отчетени резултатите от приемане на 20-40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розувастатин. В общата популация средното понижение на </w:t>
      </w:r>
      <w:r w:rsidRPr="00013F85">
        <w:rPr>
          <w:rFonts w:eastAsia="Times New Roman" w:cs="Arial"/>
          <w:color w:val="000000"/>
          <w:szCs w:val="20"/>
          <w:lang w:val="en-US"/>
        </w:rPr>
        <w:t>LDL</w:t>
      </w:r>
      <w:r w:rsidRPr="00013F85">
        <w:rPr>
          <w:rFonts w:eastAsia="Times New Roman" w:cs="Arial"/>
          <w:color w:val="000000"/>
          <w:szCs w:val="20"/>
          <w:lang w:eastAsia="bg-BG"/>
        </w:rPr>
        <w:t>-С е 22%.</w:t>
      </w:r>
    </w:p>
    <w:p w14:paraId="40C723FC" w14:textId="77777777" w:rsidR="00013F85" w:rsidRPr="00013F85" w:rsidRDefault="00013F85" w:rsidP="006A0501">
      <w:pPr>
        <w:spacing w:line="240" w:lineRule="auto"/>
        <w:rPr>
          <w:rFonts w:eastAsia="Times New Roman" w:cs="Arial"/>
          <w:color w:val="000000"/>
          <w:szCs w:val="20"/>
          <w:lang w:eastAsia="bg-BG"/>
        </w:rPr>
      </w:pPr>
    </w:p>
    <w:p w14:paraId="5FCC1258" w14:textId="6F7D9B99" w:rsidR="006A0501" w:rsidRPr="00013F85" w:rsidRDefault="006A0501" w:rsidP="006A0501">
      <w:pPr>
        <w:spacing w:line="240" w:lineRule="auto"/>
        <w:rPr>
          <w:rFonts w:eastAsia="Times New Roman" w:cs="Arial"/>
          <w:sz w:val="28"/>
          <w:szCs w:val="24"/>
        </w:rPr>
      </w:pPr>
      <w:r w:rsidRPr="00013F85">
        <w:rPr>
          <w:rFonts w:eastAsia="Times New Roman" w:cs="Arial"/>
          <w:color w:val="000000"/>
          <w:szCs w:val="20"/>
          <w:lang w:eastAsia="bg-BG"/>
        </w:rPr>
        <w:t xml:space="preserve">При клинични изпитвания с ограничен брой пациенти розувастатин показва адитивна ефективност при намаляване на триглицеридите, когато е приеман в комбинация с фенофибрат и увеличение на нивото на </w:t>
      </w:r>
      <w:r w:rsidRPr="00013F85">
        <w:rPr>
          <w:rFonts w:eastAsia="Times New Roman" w:cs="Arial"/>
          <w:color w:val="000000"/>
          <w:szCs w:val="20"/>
          <w:lang w:val="en-US"/>
        </w:rPr>
        <w:t>HDL</w:t>
      </w:r>
      <w:r w:rsidRPr="00013F85">
        <w:rPr>
          <w:rFonts w:eastAsia="Times New Roman" w:cs="Arial"/>
          <w:color w:val="000000"/>
          <w:szCs w:val="20"/>
          <w:lang w:val="ru-RU"/>
        </w:rPr>
        <w:t>-</w:t>
      </w:r>
      <w:r w:rsidRPr="00013F85">
        <w:rPr>
          <w:rFonts w:eastAsia="Times New Roman" w:cs="Arial"/>
          <w:color w:val="000000"/>
          <w:szCs w:val="20"/>
          <w:lang w:val="en-US"/>
        </w:rPr>
        <w:t>C</w:t>
      </w:r>
      <w:r w:rsidRPr="00013F85">
        <w:rPr>
          <w:rFonts w:eastAsia="Times New Roman" w:cs="Arial"/>
          <w:color w:val="000000"/>
          <w:szCs w:val="20"/>
          <w:lang w:val="ru-RU"/>
        </w:rPr>
        <w:t xml:space="preserve"> </w:t>
      </w:r>
      <w:r w:rsidRPr="00013F85">
        <w:rPr>
          <w:rFonts w:eastAsia="Times New Roman" w:cs="Arial"/>
          <w:color w:val="000000"/>
          <w:szCs w:val="20"/>
          <w:lang w:eastAsia="bg-BG"/>
        </w:rPr>
        <w:t>в комбинация с ниацин (вж, точка 4.4).</w:t>
      </w:r>
    </w:p>
    <w:p w14:paraId="7C0FC1E1" w14:textId="77777777" w:rsidR="00013F85" w:rsidRPr="00013F85" w:rsidRDefault="00013F85" w:rsidP="006A0501">
      <w:pPr>
        <w:spacing w:line="240" w:lineRule="auto"/>
        <w:rPr>
          <w:rFonts w:eastAsia="Times New Roman" w:cs="Arial"/>
          <w:color w:val="000000"/>
          <w:szCs w:val="20"/>
          <w:lang w:eastAsia="bg-BG"/>
        </w:rPr>
      </w:pPr>
    </w:p>
    <w:p w14:paraId="32E892C3" w14:textId="32BC4780" w:rsidR="006A0501" w:rsidRPr="00013F85" w:rsidRDefault="006A0501" w:rsidP="006A0501">
      <w:pPr>
        <w:spacing w:line="240" w:lineRule="auto"/>
        <w:rPr>
          <w:rFonts w:eastAsia="Times New Roman" w:cs="Arial"/>
          <w:sz w:val="28"/>
          <w:szCs w:val="24"/>
        </w:rPr>
      </w:pPr>
      <w:r w:rsidRPr="00013F85">
        <w:rPr>
          <w:rFonts w:eastAsia="Times New Roman" w:cs="Arial"/>
          <w:color w:val="000000"/>
          <w:szCs w:val="20"/>
          <w:lang w:eastAsia="bg-BG"/>
        </w:rPr>
        <w:t xml:space="preserve">В мултицентрово, двойносляпо, плацебо-контролирано клинично проучване </w:t>
      </w:r>
      <w:r w:rsidRPr="00013F85">
        <w:rPr>
          <w:rFonts w:eastAsia="Times New Roman" w:cs="Arial"/>
          <w:color w:val="000000"/>
          <w:szCs w:val="20"/>
        </w:rPr>
        <w:t>(</w:t>
      </w:r>
      <w:r w:rsidRPr="00013F85">
        <w:rPr>
          <w:rFonts w:eastAsia="Times New Roman" w:cs="Arial"/>
          <w:color w:val="000000"/>
          <w:szCs w:val="20"/>
          <w:lang w:val="en-US"/>
        </w:rPr>
        <w:t>METEOR</w:t>
      </w:r>
      <w:r w:rsidRPr="00013F85">
        <w:rPr>
          <w:rFonts w:eastAsia="Times New Roman" w:cs="Arial"/>
          <w:color w:val="000000"/>
          <w:szCs w:val="20"/>
        </w:rPr>
        <w:t xml:space="preserve">) </w:t>
      </w:r>
      <w:r w:rsidRPr="00013F85">
        <w:rPr>
          <w:rFonts w:eastAsia="Times New Roman" w:cs="Arial"/>
          <w:color w:val="000000"/>
          <w:szCs w:val="20"/>
          <w:lang w:eastAsia="bg-BG"/>
        </w:rPr>
        <w:t xml:space="preserve">984 пациенти - между 45 и 70 години с нисък риск за исхемична болест на сърцето (дефинирано като </w:t>
      </w:r>
      <w:r w:rsidRPr="00013F85">
        <w:rPr>
          <w:rFonts w:eastAsia="Times New Roman" w:cs="Arial"/>
          <w:color w:val="000000"/>
          <w:szCs w:val="20"/>
          <w:lang w:val="en-US"/>
        </w:rPr>
        <w:t>Framingham</w:t>
      </w:r>
      <w:r w:rsidRPr="00013F85">
        <w:rPr>
          <w:rFonts w:eastAsia="Times New Roman" w:cs="Arial"/>
          <w:color w:val="000000"/>
          <w:szCs w:val="20"/>
        </w:rPr>
        <w:t xml:space="preserve"> </w:t>
      </w:r>
      <w:r w:rsidRPr="00013F85">
        <w:rPr>
          <w:rFonts w:eastAsia="Times New Roman" w:cs="Arial"/>
          <w:color w:val="000000"/>
          <w:szCs w:val="20"/>
          <w:lang w:eastAsia="bg-BG"/>
        </w:rPr>
        <w:t xml:space="preserve">риск &lt; 10% за Юг) и със средни </w:t>
      </w:r>
      <w:r w:rsidRPr="00013F85">
        <w:rPr>
          <w:rFonts w:eastAsia="Times New Roman" w:cs="Arial"/>
          <w:color w:val="000000"/>
          <w:szCs w:val="20"/>
          <w:lang w:val="en-US"/>
        </w:rPr>
        <w:t>LDL</w:t>
      </w:r>
      <w:r w:rsidRPr="00013F85">
        <w:rPr>
          <w:rFonts w:eastAsia="Times New Roman" w:cs="Arial"/>
          <w:color w:val="000000"/>
          <w:szCs w:val="20"/>
        </w:rPr>
        <w:t>-</w:t>
      </w:r>
      <w:r w:rsidRPr="00013F85">
        <w:rPr>
          <w:rFonts w:eastAsia="Times New Roman" w:cs="Arial"/>
          <w:color w:val="000000"/>
          <w:szCs w:val="20"/>
          <w:lang w:val="en-US"/>
        </w:rPr>
        <w:t>C</w:t>
      </w:r>
      <w:r w:rsidRPr="00013F85">
        <w:rPr>
          <w:rFonts w:eastAsia="Times New Roman" w:cs="Arial"/>
          <w:color w:val="000000"/>
          <w:szCs w:val="20"/>
        </w:rPr>
        <w:t xml:space="preserve"> </w:t>
      </w:r>
      <w:r w:rsidRPr="00013F85">
        <w:rPr>
          <w:rFonts w:eastAsia="Times New Roman" w:cs="Arial"/>
          <w:color w:val="000000"/>
          <w:szCs w:val="20"/>
          <w:lang w:eastAsia="bg-BG"/>
        </w:rPr>
        <w:t xml:space="preserve">4,0 </w:t>
      </w:r>
      <w:proofErr w:type="spellStart"/>
      <w:r w:rsidRPr="00013F85">
        <w:rPr>
          <w:rFonts w:eastAsia="Times New Roman" w:cs="Arial"/>
          <w:color w:val="000000"/>
          <w:szCs w:val="20"/>
          <w:lang w:val="en-US"/>
        </w:rPr>
        <w:t>mmol</w:t>
      </w:r>
      <w:proofErr w:type="spellEnd"/>
      <w:r w:rsidRPr="00013F85">
        <w:rPr>
          <w:rFonts w:eastAsia="Times New Roman" w:cs="Arial"/>
          <w:color w:val="000000"/>
          <w:szCs w:val="20"/>
        </w:rPr>
        <w:t xml:space="preserve">/1 </w:t>
      </w:r>
      <w:r w:rsidRPr="00013F85">
        <w:rPr>
          <w:rFonts w:eastAsia="Times New Roman" w:cs="Arial"/>
          <w:color w:val="000000"/>
          <w:szCs w:val="20"/>
          <w:lang w:eastAsia="bg-BG"/>
        </w:rPr>
        <w:t xml:space="preserve">(154,5 </w:t>
      </w:r>
      <w:r w:rsidRPr="00013F85">
        <w:rPr>
          <w:rFonts w:eastAsia="Times New Roman" w:cs="Arial"/>
          <w:color w:val="000000"/>
          <w:szCs w:val="20"/>
          <w:lang w:val="en-US"/>
        </w:rPr>
        <w:t>mg</w:t>
      </w:r>
      <w:r w:rsidRPr="00013F85">
        <w:rPr>
          <w:rFonts w:eastAsia="Times New Roman" w:cs="Arial"/>
          <w:color w:val="000000"/>
          <w:szCs w:val="20"/>
        </w:rPr>
        <w:t>/</w:t>
      </w:r>
      <w:r w:rsidRPr="00013F85">
        <w:rPr>
          <w:rFonts w:eastAsia="Times New Roman" w:cs="Arial"/>
          <w:color w:val="000000"/>
          <w:szCs w:val="20"/>
          <w:lang w:val="en-US"/>
        </w:rPr>
        <w:t>dl</w:t>
      </w:r>
      <w:r w:rsidRPr="00013F85">
        <w:rPr>
          <w:rFonts w:eastAsia="Times New Roman" w:cs="Arial"/>
          <w:color w:val="000000"/>
          <w:szCs w:val="20"/>
        </w:rPr>
        <w:t xml:space="preserve">), </w:t>
      </w:r>
      <w:r w:rsidRPr="00013F85">
        <w:rPr>
          <w:rFonts w:eastAsia="Times New Roman" w:cs="Arial"/>
          <w:color w:val="000000"/>
          <w:szCs w:val="20"/>
          <w:lang w:eastAsia="bg-BG"/>
        </w:rPr>
        <w:t xml:space="preserve">но със субклинична атеросклероза, установена чрез измерване на ОМТ </w:t>
      </w:r>
      <w:r w:rsidRPr="00013F85">
        <w:rPr>
          <w:rFonts w:eastAsia="Times New Roman" w:cs="Arial"/>
          <w:color w:val="000000"/>
          <w:szCs w:val="20"/>
        </w:rPr>
        <w:t>(</w:t>
      </w:r>
      <w:r w:rsidRPr="00013F85">
        <w:rPr>
          <w:rFonts w:eastAsia="Times New Roman" w:cs="Arial"/>
          <w:color w:val="000000"/>
          <w:szCs w:val="20"/>
          <w:lang w:val="en-US"/>
        </w:rPr>
        <w:t>Carotid</w:t>
      </w:r>
      <w:r w:rsidRPr="00013F85">
        <w:rPr>
          <w:rFonts w:eastAsia="Times New Roman" w:cs="Arial"/>
          <w:color w:val="000000"/>
          <w:szCs w:val="20"/>
        </w:rPr>
        <w:t xml:space="preserve"> </w:t>
      </w:r>
      <w:r w:rsidRPr="00013F85">
        <w:rPr>
          <w:rFonts w:eastAsia="Times New Roman" w:cs="Arial"/>
          <w:color w:val="000000"/>
          <w:szCs w:val="20"/>
          <w:lang w:val="en-US"/>
        </w:rPr>
        <w:t>ultima</w:t>
      </w:r>
      <w:r w:rsidRPr="00013F85">
        <w:rPr>
          <w:rFonts w:eastAsia="Times New Roman" w:cs="Arial"/>
          <w:color w:val="000000"/>
          <w:szCs w:val="20"/>
        </w:rPr>
        <w:t xml:space="preserve"> </w:t>
      </w:r>
      <w:r w:rsidRPr="00013F85">
        <w:rPr>
          <w:rFonts w:eastAsia="Times New Roman" w:cs="Arial"/>
          <w:color w:val="000000"/>
          <w:szCs w:val="20"/>
          <w:lang w:val="en-US"/>
        </w:rPr>
        <w:t>Media</w:t>
      </w:r>
      <w:r w:rsidRPr="00013F85">
        <w:rPr>
          <w:rFonts w:eastAsia="Times New Roman" w:cs="Arial"/>
          <w:color w:val="000000"/>
          <w:szCs w:val="20"/>
        </w:rPr>
        <w:t xml:space="preserve"> </w:t>
      </w:r>
      <w:r w:rsidRPr="00013F85">
        <w:rPr>
          <w:rFonts w:eastAsia="Times New Roman" w:cs="Arial"/>
          <w:color w:val="000000"/>
          <w:szCs w:val="20"/>
          <w:lang w:val="en-US"/>
        </w:rPr>
        <w:t>Thickness</w:t>
      </w:r>
      <w:r w:rsidRPr="00013F85">
        <w:rPr>
          <w:rFonts w:eastAsia="Times New Roman" w:cs="Arial"/>
          <w:color w:val="000000"/>
          <w:szCs w:val="20"/>
        </w:rPr>
        <w:t xml:space="preserve">), </w:t>
      </w:r>
      <w:r w:rsidRPr="00013F85">
        <w:rPr>
          <w:rFonts w:eastAsia="Times New Roman" w:cs="Arial"/>
          <w:color w:val="000000"/>
          <w:szCs w:val="20"/>
          <w:lang w:eastAsia="bg-BG"/>
        </w:rPr>
        <w:t xml:space="preserve">са рандомизирани на 40 </w:t>
      </w:r>
      <w:r w:rsidRPr="00013F85">
        <w:rPr>
          <w:rFonts w:eastAsia="Times New Roman" w:cs="Arial"/>
          <w:color w:val="000000"/>
          <w:szCs w:val="20"/>
          <w:lang w:val="en-US"/>
        </w:rPr>
        <w:t>mg</w:t>
      </w:r>
      <w:r w:rsidRPr="00013F85">
        <w:rPr>
          <w:rFonts w:eastAsia="Times New Roman" w:cs="Arial"/>
          <w:color w:val="000000"/>
          <w:szCs w:val="20"/>
        </w:rPr>
        <w:t xml:space="preserve"> </w:t>
      </w:r>
      <w:r w:rsidRPr="00013F85">
        <w:rPr>
          <w:rFonts w:eastAsia="Times New Roman" w:cs="Arial"/>
          <w:color w:val="000000"/>
          <w:szCs w:val="20"/>
          <w:lang w:eastAsia="bg-BG"/>
        </w:rPr>
        <w:t xml:space="preserve">розувастатин веднъж дневно или плацебо за 2 години. Розувастатин значително забави прогресията на максималното </w:t>
      </w:r>
      <w:r w:rsidRPr="00013F85">
        <w:rPr>
          <w:rFonts w:eastAsia="Times New Roman" w:cs="Arial"/>
          <w:color w:val="000000"/>
          <w:szCs w:val="20"/>
          <w:lang w:val="en-US"/>
        </w:rPr>
        <w:t>CIMT</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на всички 12 места на каротидните артерии в сравнение с плацебо -0.0145 </w:t>
      </w:r>
      <w:r w:rsidRPr="00013F85">
        <w:rPr>
          <w:rFonts w:eastAsia="Times New Roman" w:cs="Arial"/>
          <w:color w:val="000000"/>
          <w:szCs w:val="20"/>
          <w:lang w:val="en-US"/>
        </w:rPr>
        <w:t>mm</w:t>
      </w:r>
      <w:r w:rsidRPr="00013F85">
        <w:rPr>
          <w:rFonts w:eastAsia="Times New Roman" w:cs="Arial"/>
          <w:color w:val="000000"/>
          <w:szCs w:val="20"/>
          <w:lang w:eastAsia="bg-BG"/>
        </w:rPr>
        <w:t xml:space="preserve">/година (95% </w:t>
      </w:r>
      <w:r w:rsidRPr="00013F85">
        <w:rPr>
          <w:rFonts w:eastAsia="Times New Roman" w:cs="Arial"/>
          <w:color w:val="000000"/>
          <w:szCs w:val="20"/>
          <w:lang w:val="en-US"/>
        </w:rPr>
        <w:t>CI</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- 0,0196. -0.0093; р&lt;0,0001). Промяната спрямо изходните стойности на групата на розувастатин е -0.0014 </w:t>
      </w:r>
      <w:r w:rsidRPr="00013F85">
        <w:rPr>
          <w:rFonts w:eastAsia="Times New Roman" w:cs="Arial"/>
          <w:color w:val="000000"/>
          <w:szCs w:val="20"/>
          <w:lang w:val="en-US"/>
        </w:rPr>
        <w:t>mm</w:t>
      </w:r>
      <w:r w:rsidRPr="00013F85">
        <w:rPr>
          <w:rFonts w:eastAsia="Times New Roman" w:cs="Arial"/>
          <w:color w:val="000000"/>
          <w:szCs w:val="20"/>
          <w:lang w:eastAsia="bg-BG"/>
        </w:rPr>
        <w:t xml:space="preserve">/година (-12%/година - несигнификантно) в сравнение с плацебо-групата с прогресия +0.0131 </w:t>
      </w:r>
      <w:r w:rsidRPr="00013F85">
        <w:rPr>
          <w:rFonts w:eastAsia="Times New Roman" w:cs="Arial"/>
          <w:color w:val="000000"/>
          <w:szCs w:val="20"/>
          <w:lang w:val="en-US"/>
        </w:rPr>
        <w:t>mm</w:t>
      </w:r>
      <w:r w:rsidRPr="00013F85">
        <w:rPr>
          <w:rFonts w:eastAsia="Times New Roman" w:cs="Arial"/>
          <w:color w:val="000000"/>
          <w:szCs w:val="20"/>
          <w:lang w:eastAsia="bg-BG"/>
        </w:rPr>
        <w:t xml:space="preserve">/година (1,12/година; р &lt; 0.0001). Не е демонстрирана директна взаимовръзка между понижението на </w:t>
      </w:r>
      <w:r w:rsidRPr="00013F85">
        <w:rPr>
          <w:rFonts w:eastAsia="Times New Roman" w:cs="Arial"/>
          <w:color w:val="000000"/>
          <w:szCs w:val="20"/>
          <w:lang w:val="en-US"/>
        </w:rPr>
        <w:t>CIMT</w:t>
      </w:r>
      <w:r w:rsidRPr="00013F85">
        <w:rPr>
          <w:rFonts w:eastAsia="Times New Roman" w:cs="Arial"/>
          <w:color w:val="000000"/>
          <w:szCs w:val="20"/>
          <w:lang w:val="ru-RU"/>
        </w:rPr>
        <w:t xml:space="preserve"> </w:t>
      </w:r>
      <w:r w:rsidRPr="00013F85">
        <w:rPr>
          <w:rFonts w:eastAsia="Times New Roman" w:cs="Arial"/>
          <w:color w:val="000000"/>
          <w:szCs w:val="20"/>
          <w:lang w:eastAsia="bg-BG"/>
        </w:rPr>
        <w:t>нивата и понижения риск от сърдечно-съдови събития.</w:t>
      </w:r>
    </w:p>
    <w:p w14:paraId="701B56BB" w14:textId="77777777" w:rsidR="00013F85" w:rsidRPr="00013F85" w:rsidRDefault="00013F85" w:rsidP="006A0501">
      <w:pPr>
        <w:spacing w:line="240" w:lineRule="auto"/>
        <w:rPr>
          <w:rFonts w:eastAsia="Times New Roman" w:cs="Arial"/>
          <w:color w:val="000000"/>
          <w:szCs w:val="20"/>
          <w:lang w:eastAsia="bg-BG"/>
        </w:rPr>
      </w:pPr>
    </w:p>
    <w:p w14:paraId="1F52FFAF" w14:textId="038DC06A" w:rsidR="006A0501" w:rsidRPr="00013F85" w:rsidRDefault="006A0501" w:rsidP="006A0501">
      <w:pPr>
        <w:spacing w:line="240" w:lineRule="auto"/>
        <w:rPr>
          <w:rFonts w:eastAsia="Times New Roman" w:cs="Arial"/>
          <w:sz w:val="28"/>
          <w:szCs w:val="24"/>
        </w:rPr>
      </w:pPr>
      <w:r w:rsidRPr="00013F85">
        <w:rPr>
          <w:rFonts w:eastAsia="Times New Roman" w:cs="Arial"/>
          <w:color w:val="000000"/>
          <w:szCs w:val="20"/>
          <w:lang w:eastAsia="bg-BG"/>
        </w:rPr>
        <w:t xml:space="preserve">Популацията в проучването </w:t>
      </w:r>
      <w:r w:rsidRPr="00013F85">
        <w:rPr>
          <w:rFonts w:eastAsia="Times New Roman" w:cs="Arial"/>
          <w:color w:val="000000"/>
          <w:szCs w:val="20"/>
          <w:lang w:val="en-US"/>
        </w:rPr>
        <w:t>METEOR</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е с нисък риск от исхемична болест на сърцето и не е представителна за таргетната популация на Розувастатин 40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Дозировката от 40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трябва да се предписва само при пациенти с тежка хиперхолестеролемия с висок сърдечно-съдов риск (вж. точка 4.2).</w:t>
      </w:r>
    </w:p>
    <w:p w14:paraId="6B8A3EA3" w14:textId="77777777" w:rsidR="00013F85" w:rsidRPr="00013F85" w:rsidRDefault="00013F85" w:rsidP="006A0501">
      <w:pPr>
        <w:spacing w:line="240" w:lineRule="auto"/>
        <w:rPr>
          <w:rFonts w:eastAsia="Times New Roman" w:cs="Arial"/>
          <w:color w:val="000000"/>
          <w:szCs w:val="20"/>
          <w:lang w:eastAsia="bg-BG"/>
        </w:rPr>
      </w:pPr>
    </w:p>
    <w:p w14:paraId="4E27A2EE" w14:textId="63DB34EC" w:rsidR="006A0501" w:rsidRPr="00013F85" w:rsidRDefault="006A0501" w:rsidP="006A0501">
      <w:pPr>
        <w:spacing w:line="240" w:lineRule="auto"/>
        <w:rPr>
          <w:rFonts w:eastAsia="Times New Roman" w:cs="Arial"/>
          <w:sz w:val="28"/>
          <w:szCs w:val="24"/>
        </w:rPr>
      </w:pPr>
      <w:r w:rsidRPr="00013F85">
        <w:rPr>
          <w:rFonts w:eastAsia="Times New Roman" w:cs="Arial"/>
          <w:color w:val="000000"/>
          <w:szCs w:val="20"/>
          <w:lang w:eastAsia="bg-BG"/>
        </w:rPr>
        <w:t xml:space="preserve">Проучването </w:t>
      </w:r>
      <w:r w:rsidRPr="00013F85">
        <w:rPr>
          <w:rFonts w:eastAsia="Times New Roman" w:cs="Arial"/>
          <w:color w:val="000000"/>
          <w:szCs w:val="20"/>
          <w:lang w:val="en-US"/>
        </w:rPr>
        <w:t>JUPITER</w:t>
      </w:r>
      <w:r w:rsidRPr="00013F85">
        <w:rPr>
          <w:rFonts w:eastAsia="Times New Roman" w:cs="Arial"/>
          <w:color w:val="000000"/>
          <w:szCs w:val="20"/>
        </w:rPr>
        <w:t xml:space="preserve"> (</w:t>
      </w:r>
      <w:r w:rsidRPr="00013F85">
        <w:rPr>
          <w:rFonts w:eastAsia="Times New Roman" w:cs="Arial"/>
          <w:color w:val="000000"/>
          <w:szCs w:val="20"/>
          <w:lang w:val="en-US"/>
        </w:rPr>
        <w:t>the</w:t>
      </w:r>
      <w:r w:rsidRPr="00013F85">
        <w:rPr>
          <w:rFonts w:eastAsia="Times New Roman" w:cs="Arial"/>
          <w:color w:val="000000"/>
          <w:szCs w:val="20"/>
        </w:rPr>
        <w:t xml:space="preserve"> </w:t>
      </w:r>
      <w:r w:rsidRPr="00013F85">
        <w:rPr>
          <w:rFonts w:eastAsia="Times New Roman" w:cs="Arial"/>
          <w:color w:val="000000"/>
          <w:szCs w:val="20"/>
          <w:lang w:val="en-US"/>
        </w:rPr>
        <w:t>Justification</w:t>
      </w:r>
      <w:r w:rsidRPr="00013F85">
        <w:rPr>
          <w:rFonts w:eastAsia="Times New Roman" w:cs="Arial"/>
          <w:color w:val="000000"/>
          <w:szCs w:val="20"/>
        </w:rPr>
        <w:t xml:space="preserve"> </w:t>
      </w:r>
      <w:r w:rsidRPr="00013F85">
        <w:rPr>
          <w:rFonts w:eastAsia="Times New Roman" w:cs="Arial"/>
          <w:color w:val="000000"/>
          <w:szCs w:val="20"/>
          <w:lang w:val="en-US"/>
        </w:rPr>
        <w:t>for</w:t>
      </w:r>
      <w:r w:rsidRPr="00013F85">
        <w:rPr>
          <w:rFonts w:eastAsia="Times New Roman" w:cs="Arial"/>
          <w:color w:val="000000"/>
          <w:szCs w:val="20"/>
        </w:rPr>
        <w:t xml:space="preserve"> </w:t>
      </w:r>
      <w:r w:rsidRPr="00013F85">
        <w:rPr>
          <w:rFonts w:eastAsia="Times New Roman" w:cs="Arial"/>
          <w:color w:val="000000"/>
          <w:szCs w:val="20"/>
          <w:lang w:val="en-US"/>
        </w:rPr>
        <w:t>the</w:t>
      </w:r>
      <w:r w:rsidRPr="00013F85">
        <w:rPr>
          <w:rFonts w:eastAsia="Times New Roman" w:cs="Arial"/>
          <w:color w:val="000000"/>
          <w:szCs w:val="20"/>
        </w:rPr>
        <w:t xml:space="preserve"> </w:t>
      </w:r>
      <w:r w:rsidRPr="00013F85">
        <w:rPr>
          <w:rFonts w:eastAsia="Times New Roman" w:cs="Arial"/>
          <w:color w:val="000000"/>
          <w:szCs w:val="20"/>
          <w:lang w:val="en-US"/>
        </w:rPr>
        <w:t>Use</w:t>
      </w:r>
      <w:r w:rsidRPr="00013F85">
        <w:rPr>
          <w:rFonts w:eastAsia="Times New Roman" w:cs="Arial"/>
          <w:color w:val="000000"/>
          <w:szCs w:val="20"/>
        </w:rPr>
        <w:t xml:space="preserve"> </w:t>
      </w:r>
      <w:r w:rsidRPr="00013F85">
        <w:rPr>
          <w:rFonts w:eastAsia="Times New Roman" w:cs="Arial"/>
          <w:color w:val="000000"/>
          <w:szCs w:val="20"/>
          <w:lang w:val="en-US"/>
        </w:rPr>
        <w:t>of</w:t>
      </w:r>
      <w:r w:rsidRPr="00013F85">
        <w:rPr>
          <w:rFonts w:eastAsia="Times New Roman" w:cs="Arial"/>
          <w:color w:val="000000"/>
          <w:szCs w:val="20"/>
        </w:rPr>
        <w:t xml:space="preserve"> </w:t>
      </w:r>
      <w:r w:rsidRPr="00013F85">
        <w:rPr>
          <w:rFonts w:eastAsia="Times New Roman" w:cs="Arial"/>
          <w:color w:val="000000"/>
          <w:szCs w:val="20"/>
          <w:lang w:val="en-US"/>
        </w:rPr>
        <w:t>Statins</w:t>
      </w:r>
      <w:r w:rsidRPr="00013F85">
        <w:rPr>
          <w:rFonts w:eastAsia="Times New Roman" w:cs="Arial"/>
          <w:color w:val="000000"/>
          <w:szCs w:val="20"/>
        </w:rPr>
        <w:t xml:space="preserve"> </w:t>
      </w:r>
      <w:r w:rsidRPr="00013F85">
        <w:rPr>
          <w:rFonts w:eastAsia="Times New Roman" w:cs="Arial"/>
          <w:color w:val="000000"/>
          <w:szCs w:val="20"/>
          <w:lang w:val="en-US"/>
        </w:rPr>
        <w:t>in</w:t>
      </w:r>
      <w:r w:rsidRPr="00013F85">
        <w:rPr>
          <w:rFonts w:eastAsia="Times New Roman" w:cs="Arial"/>
          <w:color w:val="000000"/>
          <w:szCs w:val="20"/>
        </w:rPr>
        <w:t xml:space="preserve"> </w:t>
      </w:r>
      <w:r w:rsidRPr="00013F85">
        <w:rPr>
          <w:rFonts w:eastAsia="Times New Roman" w:cs="Arial"/>
          <w:color w:val="000000"/>
          <w:szCs w:val="20"/>
          <w:lang w:val="en-US"/>
        </w:rPr>
        <w:t>Primary</w:t>
      </w:r>
      <w:r w:rsidRPr="00013F85">
        <w:rPr>
          <w:rFonts w:eastAsia="Times New Roman" w:cs="Arial"/>
          <w:color w:val="000000"/>
          <w:szCs w:val="20"/>
        </w:rPr>
        <w:t xml:space="preserve"> </w:t>
      </w:r>
      <w:r w:rsidRPr="00013F85">
        <w:rPr>
          <w:rFonts w:eastAsia="Times New Roman" w:cs="Arial"/>
          <w:color w:val="000000"/>
          <w:szCs w:val="20"/>
          <w:lang w:val="en-US"/>
        </w:rPr>
        <w:t>Prevention</w:t>
      </w:r>
      <w:r w:rsidRPr="00013F85">
        <w:rPr>
          <w:rFonts w:eastAsia="Times New Roman" w:cs="Arial"/>
          <w:color w:val="000000"/>
          <w:szCs w:val="20"/>
        </w:rPr>
        <w:t xml:space="preserve">: </w:t>
      </w:r>
      <w:r w:rsidRPr="00013F85">
        <w:rPr>
          <w:rFonts w:eastAsia="Times New Roman" w:cs="Arial"/>
          <w:color w:val="000000"/>
          <w:szCs w:val="20"/>
          <w:lang w:val="en-US"/>
        </w:rPr>
        <w:t>An</w:t>
      </w:r>
      <w:r w:rsidRPr="00013F85">
        <w:rPr>
          <w:rFonts w:eastAsia="Times New Roman" w:cs="Arial"/>
          <w:color w:val="000000"/>
          <w:szCs w:val="20"/>
        </w:rPr>
        <w:t xml:space="preserve"> </w:t>
      </w:r>
      <w:r w:rsidRPr="00013F85">
        <w:rPr>
          <w:rFonts w:eastAsia="Times New Roman" w:cs="Arial"/>
          <w:color w:val="000000"/>
          <w:szCs w:val="20"/>
          <w:lang w:val="en-US"/>
        </w:rPr>
        <w:t>Intervention</w:t>
      </w:r>
      <w:r w:rsidRPr="00013F85">
        <w:rPr>
          <w:rFonts w:eastAsia="Times New Roman" w:cs="Arial"/>
          <w:color w:val="000000"/>
          <w:szCs w:val="20"/>
        </w:rPr>
        <w:t xml:space="preserve"> </w:t>
      </w:r>
      <w:r w:rsidRPr="00013F85">
        <w:rPr>
          <w:rFonts w:eastAsia="Times New Roman" w:cs="Arial"/>
          <w:color w:val="000000"/>
          <w:szCs w:val="20"/>
          <w:lang w:val="en-US"/>
        </w:rPr>
        <w:t>Trial</w:t>
      </w:r>
      <w:r w:rsidRPr="00013F85">
        <w:rPr>
          <w:rFonts w:eastAsia="Times New Roman" w:cs="Arial"/>
          <w:color w:val="000000"/>
          <w:szCs w:val="20"/>
        </w:rPr>
        <w:t xml:space="preserve"> </w:t>
      </w:r>
      <w:r w:rsidRPr="00013F85">
        <w:rPr>
          <w:rFonts w:eastAsia="Times New Roman" w:cs="Arial"/>
          <w:color w:val="000000"/>
          <w:szCs w:val="20"/>
          <w:lang w:val="en-US"/>
        </w:rPr>
        <w:t>Evaluating</w:t>
      </w:r>
      <w:r w:rsidRPr="00013F85">
        <w:rPr>
          <w:rFonts w:eastAsia="Times New Roman" w:cs="Arial"/>
          <w:color w:val="000000"/>
          <w:szCs w:val="20"/>
        </w:rPr>
        <w:t xml:space="preserve"> </w:t>
      </w:r>
      <w:proofErr w:type="spellStart"/>
      <w:r w:rsidRPr="00013F85">
        <w:rPr>
          <w:rFonts w:eastAsia="Times New Roman" w:cs="Arial"/>
          <w:color w:val="000000"/>
          <w:szCs w:val="20"/>
          <w:lang w:val="en-US"/>
        </w:rPr>
        <w:t>Rosuvastatin</w:t>
      </w:r>
      <w:proofErr w:type="spellEnd"/>
      <w:r w:rsidRPr="00013F85">
        <w:rPr>
          <w:rFonts w:eastAsia="Times New Roman" w:cs="Arial"/>
          <w:color w:val="000000"/>
          <w:szCs w:val="20"/>
        </w:rPr>
        <w:t xml:space="preserve">) </w:t>
      </w:r>
      <w:r w:rsidRPr="00013F85">
        <w:rPr>
          <w:rFonts w:eastAsia="Times New Roman" w:cs="Arial"/>
          <w:color w:val="000000"/>
          <w:szCs w:val="20"/>
          <w:lang w:eastAsia="bg-BG"/>
        </w:rPr>
        <w:t>изследва ефекта на розувастатин (розувастатин калций) върху появата на големи атеросклеротични сърдечно-съдови събития при 17 802 мъже (&gt; 50 години) и жени (&gt; 60 години).</w:t>
      </w:r>
    </w:p>
    <w:p w14:paraId="61A273CD" w14:textId="7B1BFC1B" w:rsidR="006A0501" w:rsidRPr="00013F85" w:rsidRDefault="006A0501" w:rsidP="006A0501">
      <w:pPr>
        <w:spacing w:line="240" w:lineRule="auto"/>
        <w:rPr>
          <w:rFonts w:eastAsia="Times New Roman" w:cs="Arial"/>
          <w:sz w:val="28"/>
          <w:szCs w:val="24"/>
        </w:rPr>
      </w:pPr>
      <w:r w:rsidRPr="00013F85">
        <w:rPr>
          <w:rFonts w:eastAsia="Times New Roman" w:cs="Arial"/>
          <w:color w:val="000000"/>
          <w:szCs w:val="20"/>
          <w:lang w:eastAsia="bg-BG"/>
        </w:rPr>
        <w:t>Участниците в проучването са рандомизирани на плацебо (</w:t>
      </w:r>
      <w:r w:rsidRPr="00013F85">
        <w:rPr>
          <w:rFonts w:eastAsia="Times New Roman" w:cs="Arial"/>
          <w:color w:val="000000"/>
          <w:szCs w:val="20"/>
          <w:lang w:val="en-US"/>
        </w:rPr>
        <w:t>n</w:t>
      </w:r>
      <w:r w:rsidRPr="00013F85">
        <w:rPr>
          <w:rFonts w:eastAsia="Times New Roman" w:cs="Arial"/>
          <w:color w:val="000000"/>
          <w:szCs w:val="20"/>
          <w:lang w:eastAsia="bg-BG"/>
        </w:rPr>
        <w:t xml:space="preserve"> = 8901) или на розувастатин 20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веднъж дневно (п = 8901) и са проследени за среден период от 2 години.</w:t>
      </w:r>
    </w:p>
    <w:p w14:paraId="4AEC60CA" w14:textId="77777777" w:rsidR="00013F85" w:rsidRPr="00013F85" w:rsidRDefault="00013F85" w:rsidP="006A0501">
      <w:pPr>
        <w:spacing w:line="240" w:lineRule="auto"/>
        <w:rPr>
          <w:rFonts w:eastAsia="Times New Roman" w:cs="Arial"/>
          <w:color w:val="000000"/>
          <w:szCs w:val="20"/>
          <w:lang w:eastAsia="bg-BG"/>
        </w:rPr>
      </w:pPr>
    </w:p>
    <w:p w14:paraId="30417C87" w14:textId="7BA3832D" w:rsidR="006A0501" w:rsidRPr="00013F85" w:rsidRDefault="006A0501" w:rsidP="006A0501">
      <w:pPr>
        <w:spacing w:line="240" w:lineRule="auto"/>
        <w:rPr>
          <w:rFonts w:eastAsia="Times New Roman" w:cs="Arial"/>
          <w:sz w:val="28"/>
          <w:szCs w:val="24"/>
        </w:rPr>
      </w:pPr>
      <w:r w:rsidRPr="00013F85">
        <w:rPr>
          <w:rFonts w:eastAsia="Times New Roman" w:cs="Arial"/>
          <w:color w:val="000000"/>
          <w:szCs w:val="20"/>
          <w:lang w:eastAsia="bg-BG"/>
        </w:rPr>
        <w:t xml:space="preserve">Концентрациите на </w:t>
      </w:r>
      <w:r w:rsidRPr="00013F85">
        <w:rPr>
          <w:rFonts w:eastAsia="Times New Roman" w:cs="Arial"/>
          <w:color w:val="000000"/>
          <w:szCs w:val="20"/>
          <w:lang w:val="en-US"/>
        </w:rPr>
        <w:t>LDL</w:t>
      </w:r>
      <w:r w:rsidRPr="00013F85">
        <w:rPr>
          <w:rFonts w:eastAsia="Times New Roman" w:cs="Arial"/>
          <w:color w:val="000000"/>
          <w:szCs w:val="20"/>
          <w:lang w:val="ru-RU"/>
        </w:rPr>
        <w:t xml:space="preserve"> </w:t>
      </w:r>
      <w:r w:rsidRPr="00013F85">
        <w:rPr>
          <w:rFonts w:eastAsia="Times New Roman" w:cs="Arial"/>
          <w:color w:val="000000"/>
          <w:szCs w:val="20"/>
          <w:lang w:eastAsia="bg-BG"/>
        </w:rPr>
        <w:t>холестерола са понижени с 45% (р &lt; 0,001) в групата на розувастатин в сравнение с плацебо-групата.</w:t>
      </w:r>
    </w:p>
    <w:p w14:paraId="5704BD0D" w14:textId="77777777" w:rsidR="00013F85" w:rsidRPr="00013F85" w:rsidRDefault="00013F85" w:rsidP="006A0501">
      <w:pPr>
        <w:spacing w:line="240" w:lineRule="auto"/>
        <w:rPr>
          <w:rFonts w:eastAsia="Times New Roman" w:cs="Arial"/>
          <w:color w:val="000000"/>
          <w:szCs w:val="20"/>
          <w:lang w:eastAsia="bg-BG"/>
        </w:rPr>
      </w:pPr>
    </w:p>
    <w:p w14:paraId="5B5326F3" w14:textId="694A0091" w:rsidR="006A0501" w:rsidRPr="00013F85" w:rsidRDefault="006A0501" w:rsidP="006A0501">
      <w:pPr>
        <w:spacing w:line="240" w:lineRule="auto"/>
        <w:rPr>
          <w:rFonts w:eastAsia="Times New Roman" w:cs="Arial"/>
          <w:sz w:val="28"/>
          <w:szCs w:val="24"/>
        </w:rPr>
      </w:pPr>
      <w:r w:rsidRPr="00013F85">
        <w:rPr>
          <w:rFonts w:eastAsia="Times New Roman" w:cs="Arial"/>
          <w:color w:val="000000"/>
          <w:szCs w:val="20"/>
          <w:lang w:eastAsia="bg-BG"/>
        </w:rPr>
        <w:t xml:space="preserve">При </w:t>
      </w:r>
      <w:r w:rsidRPr="00013F85">
        <w:rPr>
          <w:rFonts w:eastAsia="Times New Roman" w:cs="Arial"/>
          <w:color w:val="000000"/>
          <w:szCs w:val="20"/>
          <w:lang w:val="en-US"/>
        </w:rPr>
        <w:t>post</w:t>
      </w:r>
      <w:r w:rsidRPr="00013F85">
        <w:rPr>
          <w:rFonts w:eastAsia="Times New Roman" w:cs="Arial"/>
          <w:color w:val="000000"/>
          <w:szCs w:val="20"/>
          <w:lang w:val="ru-RU"/>
        </w:rPr>
        <w:t>-</w:t>
      </w:r>
      <w:r w:rsidRPr="00013F85">
        <w:rPr>
          <w:rFonts w:eastAsia="Times New Roman" w:cs="Arial"/>
          <w:color w:val="000000"/>
          <w:szCs w:val="20"/>
          <w:lang w:val="en-US"/>
        </w:rPr>
        <w:t>hoc</w:t>
      </w:r>
      <w:r w:rsidRPr="00013F85">
        <w:rPr>
          <w:rFonts w:eastAsia="Times New Roman" w:cs="Arial"/>
          <w:color w:val="000000"/>
          <w:szCs w:val="20"/>
          <w:lang w:val="ru-RU"/>
        </w:rPr>
        <w:t xml:space="preserve"> </w:t>
      </w:r>
      <w:r w:rsidRPr="00013F85">
        <w:rPr>
          <w:rFonts w:eastAsia="Times New Roman" w:cs="Arial"/>
          <w:color w:val="000000"/>
          <w:szCs w:val="20"/>
          <w:lang w:eastAsia="bg-BG"/>
        </w:rPr>
        <w:t>анализ на високорискова група лица с базисен риск по Фрамингам &gt; 20% (1558 лица) се наблюдава значителна редукция в комбинираната крайна точка от сърдечно-съдова смърт, инсулт и миокарден инфаркт (р = 0,028) при лечение с розувастатин спрямо плацебо. Абсолютната редукция на риска в нивото на събитията за 1000 пациенто-години е 8,8. Тоталната смъртност е непроменена в тази високорискова група (р = 0,193).</w:t>
      </w:r>
    </w:p>
    <w:p w14:paraId="775C635C" w14:textId="77777777" w:rsidR="00013F85" w:rsidRPr="00013F85" w:rsidRDefault="00013F85" w:rsidP="006A0501">
      <w:pPr>
        <w:rPr>
          <w:rFonts w:eastAsia="Times New Roman" w:cs="Arial"/>
          <w:color w:val="000000"/>
          <w:szCs w:val="20"/>
          <w:lang w:eastAsia="bg-BG"/>
        </w:rPr>
      </w:pPr>
    </w:p>
    <w:p w14:paraId="3FC69AF2" w14:textId="77777777" w:rsidR="00013F85" w:rsidRPr="00013F85" w:rsidRDefault="006A0501" w:rsidP="00013F85">
      <w:pPr>
        <w:rPr>
          <w:rFonts w:eastAsia="Times New Roman" w:cs="Arial"/>
          <w:sz w:val="28"/>
          <w:szCs w:val="24"/>
        </w:rPr>
      </w:pPr>
      <w:r w:rsidRPr="00013F85">
        <w:rPr>
          <w:rFonts w:eastAsia="Times New Roman" w:cs="Arial"/>
          <w:color w:val="000000"/>
          <w:szCs w:val="20"/>
          <w:lang w:eastAsia="bg-BG"/>
        </w:rPr>
        <w:t xml:space="preserve">При </w:t>
      </w:r>
      <w:r w:rsidRPr="00013F85">
        <w:rPr>
          <w:rFonts w:eastAsia="Times New Roman" w:cs="Arial"/>
          <w:color w:val="000000"/>
          <w:szCs w:val="20"/>
          <w:lang w:val="en-US"/>
        </w:rPr>
        <w:t>post</w:t>
      </w:r>
      <w:r w:rsidRPr="00013F85">
        <w:rPr>
          <w:rFonts w:eastAsia="Times New Roman" w:cs="Arial"/>
          <w:color w:val="000000"/>
          <w:szCs w:val="20"/>
          <w:lang w:val="ru-RU"/>
        </w:rPr>
        <w:t>-</w:t>
      </w:r>
      <w:r w:rsidRPr="00013F85">
        <w:rPr>
          <w:rFonts w:eastAsia="Times New Roman" w:cs="Arial"/>
          <w:color w:val="000000"/>
          <w:szCs w:val="20"/>
          <w:lang w:val="en-US"/>
        </w:rPr>
        <w:t>hoc</w:t>
      </w:r>
      <w:r w:rsidRPr="00013F85">
        <w:rPr>
          <w:rFonts w:eastAsia="Times New Roman" w:cs="Arial"/>
          <w:color w:val="000000"/>
          <w:szCs w:val="20"/>
          <w:lang w:val="ru-RU"/>
        </w:rPr>
        <w:t xml:space="preserve"> </w:t>
      </w:r>
      <w:r w:rsidRPr="00013F85">
        <w:rPr>
          <w:rFonts w:eastAsia="Times New Roman" w:cs="Arial"/>
          <w:color w:val="000000"/>
          <w:szCs w:val="20"/>
          <w:lang w:eastAsia="bg-BG"/>
        </w:rPr>
        <w:t>анализ на високорискова подгрупа лица (9302 лица общо) с изходна</w:t>
      </w:r>
      <w:r w:rsidRPr="00013F85">
        <w:rPr>
          <w:rFonts w:eastAsia="Times New Roman" w:cs="Arial"/>
          <w:color w:val="000000"/>
          <w:szCs w:val="20"/>
          <w:lang w:val="ru-RU"/>
        </w:rPr>
        <w:t xml:space="preserve"> </w:t>
      </w:r>
      <w:r w:rsidRPr="00013F85">
        <w:rPr>
          <w:rFonts w:eastAsia="Times New Roman" w:cs="Arial"/>
          <w:color w:val="000000"/>
          <w:szCs w:val="20"/>
          <w:lang w:eastAsia="bg-BG"/>
        </w:rPr>
        <w:t>оценка на риска &gt;5% (екстраполиран да включи лица над 65 години) се констатира значителна редукция в комбинираната крайна точка от сърдечно-съдова смърт, инсулт и миокарден инфаркт (р=0.0003) при лечението с</w:t>
      </w:r>
      <w:r w:rsidR="00013F85" w:rsidRPr="00013F85">
        <w:rPr>
          <w:rFonts w:eastAsia="Times New Roman" w:cs="Arial"/>
          <w:color w:val="000000"/>
          <w:szCs w:val="20"/>
          <w:lang w:eastAsia="bg-BG"/>
        </w:rPr>
        <w:t xml:space="preserve"> розувастатин спрямо плацебо. Абсолютната редукция на риска в нивото на събитията е 5,1 за 1000 пациенто-години. Тоталната смъртност е непроменена в тази високорискова група (р = 0.076).</w:t>
      </w:r>
    </w:p>
    <w:p w14:paraId="7F2EA46F" w14:textId="77777777" w:rsidR="00013F85" w:rsidRPr="00013F85" w:rsidRDefault="00013F85" w:rsidP="00013F85">
      <w:pPr>
        <w:spacing w:line="240" w:lineRule="auto"/>
        <w:rPr>
          <w:rFonts w:eastAsia="Times New Roman" w:cs="Arial"/>
          <w:color w:val="000000"/>
          <w:szCs w:val="20"/>
          <w:lang w:eastAsia="bg-BG"/>
        </w:rPr>
      </w:pPr>
    </w:p>
    <w:p w14:paraId="4132FCB9" w14:textId="385DBD29" w:rsidR="00013F85" w:rsidRPr="00013F85" w:rsidRDefault="00013F85" w:rsidP="00013F85">
      <w:pPr>
        <w:spacing w:line="240" w:lineRule="auto"/>
        <w:rPr>
          <w:rFonts w:eastAsia="Times New Roman" w:cs="Arial"/>
          <w:sz w:val="28"/>
          <w:szCs w:val="24"/>
        </w:rPr>
      </w:pPr>
      <w:r w:rsidRPr="00013F85">
        <w:rPr>
          <w:rFonts w:eastAsia="Times New Roman" w:cs="Arial"/>
          <w:color w:val="000000"/>
          <w:szCs w:val="20"/>
          <w:lang w:eastAsia="bg-BG"/>
        </w:rPr>
        <w:t xml:space="preserve">В проучването </w:t>
      </w:r>
      <w:r w:rsidRPr="00013F85">
        <w:rPr>
          <w:rFonts w:eastAsia="Times New Roman" w:cs="Arial"/>
          <w:color w:val="000000"/>
          <w:szCs w:val="20"/>
          <w:lang w:val="en-US"/>
        </w:rPr>
        <w:t>JUPITER</w:t>
      </w:r>
      <w:r w:rsidRPr="00013F85">
        <w:rPr>
          <w:rFonts w:eastAsia="Times New Roman" w:cs="Arial"/>
          <w:color w:val="000000"/>
          <w:szCs w:val="20"/>
          <w:lang w:val="ru-RU"/>
        </w:rPr>
        <w:t xml:space="preserve"> </w:t>
      </w:r>
      <w:r w:rsidRPr="00013F85">
        <w:rPr>
          <w:rFonts w:eastAsia="Times New Roman" w:cs="Arial"/>
          <w:color w:val="000000"/>
          <w:szCs w:val="20"/>
          <w:lang w:eastAsia="bg-BG"/>
        </w:rPr>
        <w:t>6.6% от лицата на розувастатин и 6.2% от с плацебо-групата прекратяват приема на изследваното лекарство поради нежелано събитие. Най-честите нежелани събития, водещи до спиране на лечението са: миалгия (0.3% розувастатин, 0.2% плацебо), коремна болка (0.03% розувастатин, 0.02% плацебо) и обрив (0,02% розувастатин, 0,03% плацебо).</w:t>
      </w:r>
    </w:p>
    <w:p w14:paraId="5C1611A2" w14:textId="77777777" w:rsidR="00013F85" w:rsidRPr="00013F85" w:rsidRDefault="00013F85" w:rsidP="00013F85">
      <w:pPr>
        <w:spacing w:line="240" w:lineRule="auto"/>
        <w:rPr>
          <w:rFonts w:eastAsia="Times New Roman" w:cs="Arial"/>
          <w:sz w:val="28"/>
          <w:szCs w:val="24"/>
        </w:rPr>
      </w:pPr>
      <w:r w:rsidRPr="00013F85">
        <w:rPr>
          <w:rFonts w:eastAsia="Times New Roman" w:cs="Arial"/>
          <w:color w:val="000000"/>
          <w:szCs w:val="20"/>
          <w:lang w:eastAsia="bg-BG"/>
        </w:rPr>
        <w:t xml:space="preserve">Най-честите нежелани събития с ниво по-голямо и равно на плацебо са инфекции на пикочните пътища (8,7% розувастатин, 8.6% плацебо), назофарингит (7.6% розувастатин, </w:t>
      </w:r>
      <w:r w:rsidRPr="00013F85">
        <w:rPr>
          <w:rFonts w:eastAsia="Times New Roman" w:cs="Arial"/>
          <w:color w:val="000000"/>
          <w:szCs w:val="20"/>
          <w:lang w:eastAsia="bg-BG"/>
        </w:rPr>
        <w:lastRenderedPageBreak/>
        <w:t>7,2% плацебо), болка в гърба (7.6% розувастатин, 6,9% плацебо) и миалгия (7,6% розувастатин, 6,6% плацебо).</w:t>
      </w:r>
    </w:p>
    <w:p w14:paraId="315F8428" w14:textId="77777777" w:rsidR="00013F85" w:rsidRPr="00013F85" w:rsidRDefault="00013F85" w:rsidP="00013F85">
      <w:pPr>
        <w:spacing w:line="240" w:lineRule="auto"/>
        <w:rPr>
          <w:rFonts w:eastAsia="Times New Roman" w:cs="Arial"/>
          <w:b/>
          <w:bCs/>
          <w:color w:val="000000"/>
          <w:szCs w:val="20"/>
          <w:lang w:eastAsia="bg-BG"/>
        </w:rPr>
      </w:pPr>
    </w:p>
    <w:p w14:paraId="55AF582E" w14:textId="44EF74C5" w:rsidR="00013F85" w:rsidRPr="00013F85" w:rsidRDefault="00013F85" w:rsidP="00013F85">
      <w:pPr>
        <w:spacing w:line="240" w:lineRule="auto"/>
        <w:rPr>
          <w:rFonts w:eastAsia="Times New Roman" w:cs="Arial"/>
          <w:sz w:val="28"/>
          <w:szCs w:val="24"/>
        </w:rPr>
      </w:pPr>
      <w:r w:rsidRPr="00013F85">
        <w:rPr>
          <w:rFonts w:eastAsia="Times New Roman" w:cs="Arial"/>
          <w:b/>
          <w:bCs/>
          <w:color w:val="000000"/>
          <w:szCs w:val="20"/>
          <w:lang w:eastAsia="bg-BG"/>
        </w:rPr>
        <w:t>Педиатрична популация</w:t>
      </w:r>
    </w:p>
    <w:p w14:paraId="0075D873" w14:textId="77777777" w:rsidR="00013F85" w:rsidRPr="00013F85" w:rsidRDefault="00013F85" w:rsidP="00013F85">
      <w:pPr>
        <w:spacing w:line="240" w:lineRule="auto"/>
        <w:rPr>
          <w:rFonts w:eastAsia="Times New Roman" w:cs="Arial"/>
          <w:color w:val="000000"/>
          <w:szCs w:val="20"/>
          <w:lang w:eastAsia="bg-BG"/>
        </w:rPr>
      </w:pPr>
    </w:p>
    <w:p w14:paraId="42D6BEDE" w14:textId="3B672EA9" w:rsidR="00013F85" w:rsidRPr="00013F85" w:rsidRDefault="00013F85" w:rsidP="00013F85">
      <w:pPr>
        <w:spacing w:line="240" w:lineRule="auto"/>
        <w:rPr>
          <w:rFonts w:eastAsia="Times New Roman" w:cs="Arial"/>
          <w:sz w:val="28"/>
          <w:szCs w:val="24"/>
        </w:rPr>
      </w:pPr>
      <w:r w:rsidRPr="00013F85">
        <w:rPr>
          <w:rFonts w:eastAsia="Times New Roman" w:cs="Arial"/>
          <w:color w:val="000000"/>
          <w:szCs w:val="20"/>
          <w:lang w:eastAsia="bg-BG"/>
        </w:rPr>
        <w:t>При проведено двойносляпо, рандомизирано, мултицентрово, плацебо-контролирано 12-седмично проучване (</w:t>
      </w:r>
      <w:r w:rsidRPr="00013F85">
        <w:rPr>
          <w:rFonts w:eastAsia="Times New Roman" w:cs="Arial"/>
          <w:color w:val="000000"/>
          <w:szCs w:val="20"/>
          <w:lang w:val="en-US"/>
        </w:rPr>
        <w:t>n</w:t>
      </w:r>
      <w:r w:rsidRPr="00013F85">
        <w:rPr>
          <w:rFonts w:eastAsia="Times New Roman" w:cs="Arial"/>
          <w:color w:val="000000"/>
          <w:szCs w:val="20"/>
          <w:lang w:eastAsia="bg-BG"/>
        </w:rPr>
        <w:t xml:space="preserve"> = 176, 97 от мъжки пол и 79 от женски пол) са обхванати пациенти на възраст 10-17 години (стадий </w:t>
      </w:r>
      <w:r w:rsidRPr="00013F85">
        <w:rPr>
          <w:rFonts w:eastAsia="Times New Roman" w:cs="Arial"/>
          <w:color w:val="000000"/>
          <w:szCs w:val="20"/>
          <w:lang w:val="en-US"/>
        </w:rPr>
        <w:t>II</w:t>
      </w:r>
      <w:r w:rsidRPr="00013F85">
        <w:rPr>
          <w:rFonts w:eastAsia="Times New Roman" w:cs="Arial"/>
          <w:color w:val="000000"/>
          <w:szCs w:val="20"/>
          <w:lang w:val="ru-RU"/>
        </w:rPr>
        <w:t>-</w:t>
      </w:r>
      <w:r w:rsidRPr="00013F85">
        <w:rPr>
          <w:rFonts w:eastAsia="Times New Roman" w:cs="Arial"/>
          <w:color w:val="000000"/>
          <w:szCs w:val="20"/>
          <w:lang w:val="en-US"/>
        </w:rPr>
        <w:t>IV</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по Танер, момичета поне 1 година след началото менструацията) с хетерозиготна фамилна хиперхолестеролемия. 12 седмици участниците получават дневни дози розувастатин 5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10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20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или плацебо. В началото на проучването около 30% от пациентите са 10-13-годишни и приблизително 17%, 18%, 40% и 25% са съответно в стадии II, </w:t>
      </w:r>
      <w:r w:rsidRPr="00013F85">
        <w:rPr>
          <w:rFonts w:eastAsia="Times New Roman" w:cs="Arial"/>
          <w:color w:val="000000"/>
          <w:szCs w:val="20"/>
          <w:lang w:val="en-US"/>
        </w:rPr>
        <w:t>III</w:t>
      </w:r>
      <w:r w:rsidRPr="00013F85">
        <w:rPr>
          <w:rFonts w:eastAsia="Times New Roman" w:cs="Arial"/>
          <w:color w:val="000000"/>
          <w:szCs w:val="20"/>
          <w:lang w:val="ru-RU"/>
        </w:rPr>
        <w:t xml:space="preserve">, </w:t>
      </w:r>
      <w:r w:rsidRPr="00013F85">
        <w:rPr>
          <w:rFonts w:eastAsia="Times New Roman" w:cs="Arial"/>
          <w:color w:val="000000"/>
          <w:szCs w:val="20"/>
          <w:lang w:eastAsia="bg-BG"/>
        </w:rPr>
        <w:t>IV и V по Танер. Последвано е от 40-седмично (</w:t>
      </w:r>
      <w:r w:rsidRPr="00013F85">
        <w:rPr>
          <w:rFonts w:eastAsia="Times New Roman" w:cs="Arial"/>
          <w:color w:val="000000"/>
          <w:szCs w:val="20"/>
          <w:lang w:val="en-US"/>
        </w:rPr>
        <w:t>n</w:t>
      </w:r>
      <w:r w:rsidRPr="00013F85">
        <w:rPr>
          <w:rFonts w:eastAsia="Times New Roman" w:cs="Arial"/>
          <w:color w:val="000000"/>
          <w:szCs w:val="20"/>
          <w:lang w:eastAsia="bg-BG"/>
        </w:rPr>
        <w:t>=173, 96 от мъжки пол и 77 от женски пол), открито, фаза титриране на дозата на розувастатин проучване. В продължение на 40 седмици всички участници получават дневна доза розувастатин.</w:t>
      </w:r>
    </w:p>
    <w:p w14:paraId="694FB2BA" w14:textId="77777777" w:rsidR="00013F85" w:rsidRPr="00013F85" w:rsidRDefault="00013F85" w:rsidP="00013F85">
      <w:pPr>
        <w:spacing w:line="240" w:lineRule="auto"/>
        <w:rPr>
          <w:rFonts w:eastAsia="Times New Roman" w:cs="Arial"/>
          <w:color w:val="000000"/>
          <w:szCs w:val="20"/>
          <w:lang w:val="en-US"/>
        </w:rPr>
      </w:pPr>
    </w:p>
    <w:p w14:paraId="4365228A" w14:textId="43FD5917" w:rsidR="00013F85" w:rsidRPr="00013F85" w:rsidRDefault="00013F85" w:rsidP="00013F85">
      <w:pPr>
        <w:spacing w:line="240" w:lineRule="auto"/>
        <w:rPr>
          <w:rFonts w:eastAsia="Times New Roman" w:cs="Arial"/>
          <w:sz w:val="28"/>
          <w:szCs w:val="24"/>
        </w:rPr>
      </w:pPr>
      <w:r w:rsidRPr="00013F85">
        <w:rPr>
          <w:rFonts w:eastAsia="Times New Roman" w:cs="Arial"/>
          <w:color w:val="000000"/>
          <w:szCs w:val="20"/>
          <w:lang w:val="en-US"/>
        </w:rPr>
        <w:t>LDL</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холестеролът се понижава съответно с 38,3%, 44,6% и 50,0% от розувастатин 5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10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и 20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в сравнение с 0,7% за плацебо.</w:t>
      </w:r>
    </w:p>
    <w:p w14:paraId="19EAE472" w14:textId="77777777" w:rsidR="00013F85" w:rsidRPr="00013F85" w:rsidRDefault="00013F85" w:rsidP="00013F85">
      <w:pPr>
        <w:spacing w:line="240" w:lineRule="auto"/>
        <w:rPr>
          <w:rFonts w:eastAsia="Times New Roman" w:cs="Arial"/>
          <w:sz w:val="28"/>
          <w:szCs w:val="24"/>
        </w:rPr>
      </w:pPr>
      <w:r w:rsidRPr="00013F85">
        <w:rPr>
          <w:rFonts w:eastAsia="Times New Roman" w:cs="Arial"/>
          <w:color w:val="000000"/>
          <w:szCs w:val="20"/>
          <w:lang w:eastAsia="bg-BG"/>
        </w:rPr>
        <w:t xml:space="preserve">В края на 40-седмичното, открито, целящо титриране, проучване, при дози до максимум 20 </w:t>
      </w:r>
      <w:r w:rsidRPr="00013F85">
        <w:rPr>
          <w:rFonts w:eastAsia="Times New Roman" w:cs="Arial"/>
          <w:color w:val="000000"/>
          <w:szCs w:val="20"/>
          <w:lang w:val="en-US"/>
        </w:rPr>
        <w:t>mg</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веднъж дневно, 70 от 173 пациенти (40,5%) постигат целта за </w:t>
      </w:r>
      <w:r w:rsidRPr="00013F85">
        <w:rPr>
          <w:rFonts w:eastAsia="Times New Roman" w:cs="Arial"/>
          <w:color w:val="000000"/>
          <w:szCs w:val="20"/>
          <w:lang w:val="en-US"/>
        </w:rPr>
        <w:t>LDL</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холестерол под 2,8 </w:t>
      </w:r>
      <w:proofErr w:type="spellStart"/>
      <w:r w:rsidRPr="00013F85">
        <w:rPr>
          <w:rFonts w:eastAsia="Times New Roman" w:cs="Arial"/>
          <w:color w:val="000000"/>
          <w:szCs w:val="20"/>
          <w:lang w:val="en-US"/>
        </w:rPr>
        <w:t>mmol</w:t>
      </w:r>
      <w:proofErr w:type="spellEnd"/>
      <w:r w:rsidRPr="00013F85">
        <w:rPr>
          <w:rFonts w:eastAsia="Times New Roman" w:cs="Arial"/>
          <w:color w:val="000000"/>
          <w:szCs w:val="20"/>
          <w:lang w:val="ru-RU"/>
        </w:rPr>
        <w:t>/1.</w:t>
      </w:r>
    </w:p>
    <w:p w14:paraId="5BBE9DC2" w14:textId="77777777" w:rsidR="00013F85" w:rsidRPr="00013F85" w:rsidRDefault="00013F85" w:rsidP="00013F85">
      <w:pPr>
        <w:spacing w:line="240" w:lineRule="auto"/>
        <w:rPr>
          <w:rFonts w:eastAsia="Times New Roman" w:cs="Arial"/>
          <w:color w:val="000000"/>
          <w:szCs w:val="20"/>
          <w:lang w:eastAsia="bg-BG"/>
        </w:rPr>
      </w:pPr>
    </w:p>
    <w:p w14:paraId="634ABADC" w14:textId="31887A0A" w:rsidR="00013F85" w:rsidRPr="00013F85" w:rsidRDefault="00013F85" w:rsidP="00013F85">
      <w:pPr>
        <w:spacing w:line="240" w:lineRule="auto"/>
        <w:rPr>
          <w:rFonts w:eastAsia="Times New Roman" w:cs="Arial"/>
          <w:sz w:val="28"/>
          <w:szCs w:val="24"/>
        </w:rPr>
      </w:pPr>
      <w:r w:rsidRPr="00013F85">
        <w:rPr>
          <w:rFonts w:eastAsia="Times New Roman" w:cs="Arial"/>
          <w:color w:val="000000"/>
          <w:szCs w:val="20"/>
          <w:lang w:eastAsia="bg-BG"/>
        </w:rPr>
        <w:t xml:space="preserve">След 52 седмици спазване на изследваното лечение не е установен никакъв ефект върху растежа, теглото, </w:t>
      </w:r>
      <w:r w:rsidRPr="00013F85">
        <w:rPr>
          <w:rFonts w:eastAsia="Times New Roman" w:cs="Arial"/>
          <w:color w:val="000000"/>
          <w:szCs w:val="20"/>
          <w:lang w:val="en-US"/>
        </w:rPr>
        <w:t>BMI</w:t>
      </w:r>
      <w:r w:rsidRPr="00013F85">
        <w:rPr>
          <w:rFonts w:eastAsia="Times New Roman" w:cs="Arial"/>
          <w:color w:val="000000"/>
          <w:szCs w:val="20"/>
          <w:lang w:val="ru-RU"/>
        </w:rPr>
        <w:t xml:space="preserve"> </w:t>
      </w:r>
      <w:r w:rsidRPr="00013F85">
        <w:rPr>
          <w:rFonts w:eastAsia="Times New Roman" w:cs="Arial"/>
          <w:color w:val="000000"/>
          <w:szCs w:val="20"/>
          <w:lang w:eastAsia="bg-BG"/>
        </w:rPr>
        <w:t>или половото съзряване (вж. точка 4.4). Опитът от клинични проучвания с пациенти в детска и юношеска възраст е ограничен и дългосрочните ефекти на розувастатин (&gt; 1 година) върху пубертета са неизвестни. Това проучване (</w:t>
      </w:r>
      <w:r w:rsidRPr="00013F85">
        <w:rPr>
          <w:rFonts w:eastAsia="Times New Roman" w:cs="Arial"/>
          <w:color w:val="000000"/>
          <w:szCs w:val="20"/>
          <w:lang w:val="en-US"/>
        </w:rPr>
        <w:t>n</w:t>
      </w:r>
      <w:r w:rsidRPr="00013F85">
        <w:rPr>
          <w:rFonts w:eastAsia="Times New Roman" w:cs="Arial"/>
          <w:color w:val="000000"/>
          <w:szCs w:val="20"/>
          <w:lang w:eastAsia="bg-BG"/>
        </w:rPr>
        <w:t>=176) не беше предназначено за сравняване на редки нежелани лекарствени реакции.</w:t>
      </w:r>
    </w:p>
    <w:p w14:paraId="02BC83F5" w14:textId="2E5CC007" w:rsidR="006A0501" w:rsidRPr="006A0501" w:rsidRDefault="006A0501" w:rsidP="006A0501"/>
    <w:p w14:paraId="26535098" w14:textId="3C0AC7DC" w:rsidR="00395555" w:rsidRDefault="002C50EE" w:rsidP="008A6AF2">
      <w:pPr>
        <w:pStyle w:val="Heading2"/>
      </w:pPr>
      <w:r>
        <w:t>5.2. Фармакокинетични свойства</w:t>
      </w:r>
    </w:p>
    <w:p w14:paraId="04A206F6" w14:textId="56F1BC25" w:rsidR="00013F85" w:rsidRDefault="00013F85" w:rsidP="00013F85"/>
    <w:p w14:paraId="7C38993E" w14:textId="77777777" w:rsidR="00013F85" w:rsidRPr="00013F85" w:rsidRDefault="00013F85" w:rsidP="00013F85">
      <w:pPr>
        <w:spacing w:line="240" w:lineRule="auto"/>
        <w:rPr>
          <w:rFonts w:eastAsia="Times New Roman" w:cs="Arial"/>
          <w:sz w:val="28"/>
          <w:szCs w:val="24"/>
        </w:rPr>
      </w:pPr>
      <w:r w:rsidRPr="00013F85">
        <w:rPr>
          <w:rFonts w:eastAsia="Times New Roman" w:cs="Arial"/>
          <w:b/>
          <w:bCs/>
          <w:color w:val="000000"/>
          <w:szCs w:val="20"/>
          <w:lang w:eastAsia="bg-BG"/>
        </w:rPr>
        <w:t xml:space="preserve">Абсорбция: </w:t>
      </w:r>
      <w:r w:rsidRPr="00013F85">
        <w:rPr>
          <w:rFonts w:eastAsia="Times New Roman" w:cs="Arial"/>
          <w:color w:val="000000"/>
          <w:szCs w:val="20"/>
          <w:lang w:eastAsia="bg-BG"/>
        </w:rPr>
        <w:t>Максимални плазмени нива се достигат 5 часа след перорално приемане. Абсолютната бионаличност е приблизително 20%.</w:t>
      </w:r>
    </w:p>
    <w:p w14:paraId="3C2DB9FF" w14:textId="77777777" w:rsidR="00013F85" w:rsidRPr="00013F85" w:rsidRDefault="00013F85" w:rsidP="00013F85">
      <w:pPr>
        <w:spacing w:line="240" w:lineRule="auto"/>
        <w:rPr>
          <w:rFonts w:eastAsia="Times New Roman" w:cs="Arial"/>
          <w:b/>
          <w:bCs/>
          <w:color w:val="000000"/>
          <w:szCs w:val="20"/>
          <w:lang w:eastAsia="bg-BG"/>
        </w:rPr>
      </w:pPr>
    </w:p>
    <w:p w14:paraId="225BDB88" w14:textId="7C113BBD" w:rsidR="00013F85" w:rsidRPr="00013F85" w:rsidRDefault="00013F85" w:rsidP="00013F85">
      <w:pPr>
        <w:spacing w:line="240" w:lineRule="auto"/>
        <w:rPr>
          <w:rFonts w:eastAsia="Times New Roman" w:cs="Arial"/>
          <w:sz w:val="28"/>
          <w:szCs w:val="24"/>
        </w:rPr>
      </w:pPr>
      <w:r w:rsidRPr="00013F85">
        <w:rPr>
          <w:rFonts w:eastAsia="Times New Roman" w:cs="Arial"/>
          <w:b/>
          <w:bCs/>
          <w:color w:val="000000"/>
          <w:szCs w:val="20"/>
          <w:lang w:eastAsia="bg-BG"/>
        </w:rPr>
        <w:t xml:space="preserve">Разпространение: </w:t>
      </w:r>
      <w:r w:rsidRPr="00013F85">
        <w:rPr>
          <w:rFonts w:eastAsia="Times New Roman" w:cs="Arial"/>
          <w:color w:val="000000"/>
          <w:szCs w:val="20"/>
          <w:lang w:eastAsia="bg-BG"/>
        </w:rPr>
        <w:t xml:space="preserve">Розувастатин се поема основно от черния дроб, който е основното място на синтезиране на холестерола и отделяне на </w:t>
      </w:r>
      <w:r w:rsidRPr="00013F85">
        <w:rPr>
          <w:rFonts w:eastAsia="Times New Roman" w:cs="Arial"/>
          <w:color w:val="000000"/>
          <w:szCs w:val="20"/>
          <w:lang w:val="en-US"/>
        </w:rPr>
        <w:t>LDL</w:t>
      </w:r>
      <w:r w:rsidRPr="00013F85">
        <w:rPr>
          <w:rFonts w:eastAsia="Times New Roman" w:cs="Arial"/>
          <w:color w:val="000000"/>
          <w:szCs w:val="20"/>
          <w:lang w:eastAsia="bg-BG"/>
        </w:rPr>
        <w:t>-С. Обемът на разпределение на розувастатин е приблизително 134 л. Розувастатин се свързва с плазмените протеини, предимно албумина, приблизително в 90%.</w:t>
      </w:r>
    </w:p>
    <w:p w14:paraId="1F64E0D0" w14:textId="77777777" w:rsidR="00013F85" w:rsidRPr="00013F85" w:rsidRDefault="00013F85" w:rsidP="00013F85">
      <w:pPr>
        <w:spacing w:line="240" w:lineRule="auto"/>
        <w:rPr>
          <w:rFonts w:eastAsia="Times New Roman" w:cs="Arial"/>
          <w:b/>
          <w:bCs/>
          <w:color w:val="000000"/>
          <w:szCs w:val="20"/>
          <w:lang w:eastAsia="bg-BG"/>
        </w:rPr>
      </w:pPr>
    </w:p>
    <w:p w14:paraId="3901BB8F" w14:textId="78B6FF16" w:rsidR="00013F85" w:rsidRPr="00013F85" w:rsidRDefault="00013F85" w:rsidP="00013F85">
      <w:pPr>
        <w:spacing w:line="240" w:lineRule="auto"/>
        <w:rPr>
          <w:rFonts w:eastAsia="Times New Roman" w:cs="Arial"/>
          <w:sz w:val="28"/>
          <w:szCs w:val="24"/>
        </w:rPr>
      </w:pPr>
      <w:r w:rsidRPr="00013F85">
        <w:rPr>
          <w:rFonts w:eastAsia="Times New Roman" w:cs="Arial"/>
          <w:b/>
          <w:bCs/>
          <w:color w:val="000000"/>
          <w:szCs w:val="20"/>
          <w:lang w:eastAsia="bg-BG"/>
        </w:rPr>
        <w:t xml:space="preserve">Метаболизъм: </w:t>
      </w:r>
      <w:r w:rsidRPr="00013F85">
        <w:rPr>
          <w:rFonts w:eastAsia="Times New Roman" w:cs="Arial"/>
          <w:color w:val="000000"/>
          <w:szCs w:val="20"/>
          <w:lang w:eastAsia="bg-BG"/>
        </w:rPr>
        <w:t xml:space="preserve">Метаболизмът на розувастатин е ограничен (около 10%). </w:t>
      </w:r>
      <w:r w:rsidRPr="00013F85">
        <w:rPr>
          <w:rFonts w:eastAsia="Times New Roman" w:cs="Arial"/>
          <w:i/>
          <w:iCs/>
          <w:color w:val="000000"/>
          <w:szCs w:val="20"/>
          <w:lang w:val="en-US"/>
        </w:rPr>
        <w:t>In</w:t>
      </w:r>
      <w:r w:rsidRPr="00013F85">
        <w:rPr>
          <w:rFonts w:eastAsia="Times New Roman" w:cs="Arial"/>
          <w:i/>
          <w:iCs/>
          <w:color w:val="000000"/>
          <w:szCs w:val="20"/>
          <w:lang w:val="ru-RU"/>
        </w:rPr>
        <w:t xml:space="preserve"> </w:t>
      </w:r>
      <w:r w:rsidRPr="00013F85">
        <w:rPr>
          <w:rFonts w:eastAsia="Times New Roman" w:cs="Arial"/>
          <w:i/>
          <w:iCs/>
          <w:color w:val="000000"/>
          <w:szCs w:val="20"/>
          <w:lang w:val="en-US"/>
        </w:rPr>
        <w:t>vitro</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проучвания на метаболизма с използване на човешки хепатоцити показват, че розувастатин е слаб субстрат за цитохром Р450 обусловен метаболизъм. </w:t>
      </w:r>
      <w:r w:rsidRPr="00013F85">
        <w:rPr>
          <w:rFonts w:eastAsia="Times New Roman" w:cs="Arial"/>
          <w:color w:val="000000"/>
          <w:szCs w:val="20"/>
          <w:lang w:val="en-US"/>
        </w:rPr>
        <w:t>CYP</w:t>
      </w:r>
      <w:r w:rsidRPr="00013F85">
        <w:rPr>
          <w:rFonts w:eastAsia="Times New Roman" w:cs="Arial"/>
          <w:color w:val="000000"/>
          <w:szCs w:val="20"/>
          <w:lang w:val="ru-RU"/>
        </w:rPr>
        <w:t>2</w:t>
      </w:r>
      <w:r w:rsidRPr="00013F85">
        <w:rPr>
          <w:rFonts w:eastAsia="Times New Roman" w:cs="Arial"/>
          <w:color w:val="000000"/>
          <w:szCs w:val="20"/>
          <w:lang w:val="en-US"/>
        </w:rPr>
        <w:t>C</w:t>
      </w:r>
      <w:r w:rsidRPr="00013F85">
        <w:rPr>
          <w:rFonts w:eastAsia="Times New Roman" w:cs="Arial"/>
          <w:color w:val="000000"/>
          <w:szCs w:val="20"/>
          <w:lang w:val="ru-RU"/>
        </w:rPr>
        <w:t xml:space="preserve">9 </w:t>
      </w:r>
      <w:r w:rsidRPr="00013F85">
        <w:rPr>
          <w:rFonts w:eastAsia="Times New Roman" w:cs="Arial"/>
          <w:color w:val="000000"/>
          <w:szCs w:val="20"/>
          <w:lang w:eastAsia="bg-BG"/>
        </w:rPr>
        <w:t xml:space="preserve">е основният изоензим, участващ в метаболизма на розувастатин, а 2С19, ЗА4 и </w:t>
      </w:r>
      <w:r w:rsidRPr="00013F85">
        <w:rPr>
          <w:rFonts w:eastAsia="Times New Roman" w:cs="Arial"/>
          <w:color w:val="000000"/>
          <w:szCs w:val="20"/>
          <w:lang w:val="ru-RU"/>
        </w:rPr>
        <w:t>2</w:t>
      </w:r>
      <w:r w:rsidRPr="00013F85">
        <w:rPr>
          <w:rFonts w:eastAsia="Times New Roman" w:cs="Arial"/>
          <w:color w:val="000000"/>
          <w:szCs w:val="20"/>
          <w:lang w:val="en-US"/>
        </w:rPr>
        <w:t>D</w:t>
      </w:r>
      <w:r w:rsidRPr="00013F85">
        <w:rPr>
          <w:rFonts w:eastAsia="Times New Roman" w:cs="Arial"/>
          <w:color w:val="000000"/>
          <w:szCs w:val="20"/>
          <w:lang w:val="ru-RU"/>
        </w:rPr>
        <w:t xml:space="preserve">6 </w:t>
      </w:r>
      <w:r w:rsidRPr="00013F85">
        <w:rPr>
          <w:rFonts w:eastAsia="Times New Roman" w:cs="Arial"/>
          <w:color w:val="000000"/>
          <w:szCs w:val="20"/>
          <w:lang w:eastAsia="bg-BG"/>
        </w:rPr>
        <w:t xml:space="preserve">участват в по-малка степен. Основните метаболити са </w:t>
      </w:r>
      <w:r w:rsidRPr="00013F85">
        <w:rPr>
          <w:rFonts w:eastAsia="Times New Roman" w:cs="Arial"/>
          <w:color w:val="000000"/>
          <w:szCs w:val="20"/>
          <w:lang w:val="en-US"/>
        </w:rPr>
        <w:t>N</w:t>
      </w:r>
      <w:r w:rsidRPr="00013F85">
        <w:rPr>
          <w:rFonts w:eastAsia="Times New Roman" w:cs="Arial"/>
          <w:color w:val="000000"/>
          <w:szCs w:val="20"/>
          <w:lang w:eastAsia="bg-BG"/>
        </w:rPr>
        <w:t xml:space="preserve">-десметил и лактон. </w:t>
      </w:r>
      <w:r w:rsidRPr="00013F85">
        <w:rPr>
          <w:rFonts w:eastAsia="Times New Roman" w:cs="Arial"/>
          <w:color w:val="000000"/>
          <w:szCs w:val="20"/>
          <w:lang w:val="en-US"/>
        </w:rPr>
        <w:t>N</w:t>
      </w:r>
      <w:r w:rsidRPr="00013F85">
        <w:rPr>
          <w:rFonts w:eastAsia="Times New Roman" w:cs="Arial"/>
          <w:color w:val="000000"/>
          <w:szCs w:val="20"/>
          <w:lang w:eastAsia="bg-BG"/>
        </w:rPr>
        <w:t xml:space="preserve">-десметил е около 50% по-малко активен в сравнение с розувастатин, докато лактон се счита за клинично неактивен. Розувастатин определя повече от 90% от активността на циркулиращия инхибитор на </w:t>
      </w:r>
      <w:r w:rsidRPr="00013F85">
        <w:rPr>
          <w:rFonts w:eastAsia="Times New Roman" w:cs="Arial"/>
          <w:color w:val="000000"/>
          <w:szCs w:val="20"/>
          <w:lang w:val="en-US"/>
        </w:rPr>
        <w:t>HMG</w:t>
      </w:r>
      <w:r w:rsidRPr="00013F85">
        <w:rPr>
          <w:rFonts w:eastAsia="Times New Roman" w:cs="Arial"/>
          <w:color w:val="000000"/>
          <w:szCs w:val="20"/>
          <w:lang w:val="ru-RU"/>
        </w:rPr>
        <w:t>-</w:t>
      </w:r>
      <w:r w:rsidRPr="00013F85">
        <w:rPr>
          <w:rFonts w:eastAsia="Times New Roman" w:cs="Arial"/>
          <w:color w:val="000000"/>
          <w:szCs w:val="20"/>
          <w:lang w:eastAsia="bg-BG"/>
        </w:rPr>
        <w:t xml:space="preserve"> СоА редуктазата.</w:t>
      </w:r>
    </w:p>
    <w:p w14:paraId="17E93D9E" w14:textId="77777777" w:rsidR="00013F85" w:rsidRPr="00013F85" w:rsidRDefault="00013F85" w:rsidP="00013F85">
      <w:pPr>
        <w:spacing w:line="240" w:lineRule="auto"/>
        <w:rPr>
          <w:rFonts w:eastAsia="Times New Roman" w:cs="Arial"/>
          <w:b/>
          <w:bCs/>
          <w:color w:val="000000"/>
          <w:szCs w:val="20"/>
          <w:lang w:eastAsia="bg-BG"/>
        </w:rPr>
      </w:pPr>
    </w:p>
    <w:p w14:paraId="12853DE9" w14:textId="41453AB0" w:rsidR="00013F85" w:rsidRPr="00013F85" w:rsidRDefault="00013F85" w:rsidP="00013F85">
      <w:pPr>
        <w:spacing w:line="240" w:lineRule="auto"/>
        <w:rPr>
          <w:rFonts w:eastAsia="Times New Roman" w:cs="Arial"/>
          <w:sz w:val="28"/>
          <w:szCs w:val="24"/>
        </w:rPr>
      </w:pPr>
      <w:r w:rsidRPr="00013F85">
        <w:rPr>
          <w:rFonts w:eastAsia="Times New Roman" w:cs="Arial"/>
          <w:b/>
          <w:bCs/>
          <w:color w:val="000000"/>
          <w:szCs w:val="20"/>
          <w:lang w:eastAsia="bg-BG"/>
        </w:rPr>
        <w:t xml:space="preserve">Екскреция: </w:t>
      </w:r>
      <w:r w:rsidRPr="00013F85">
        <w:rPr>
          <w:rFonts w:eastAsia="Times New Roman" w:cs="Arial"/>
          <w:color w:val="000000"/>
          <w:szCs w:val="20"/>
          <w:lang w:eastAsia="bg-BG"/>
        </w:rPr>
        <w:t>Приблизително 90% от розувастатин се елиминират като непроменено лекарство с фекалиите (абсорбирано и неабсорбирано лекарствено вещество), като останалата част се екскретира с</w:t>
      </w:r>
    </w:p>
    <w:p w14:paraId="12CBBACD" w14:textId="5B6FC9C9" w:rsidR="00013F85" w:rsidRPr="00013F85" w:rsidRDefault="00013F85" w:rsidP="00013F85">
      <w:pPr>
        <w:rPr>
          <w:rFonts w:eastAsia="Times New Roman" w:cs="Arial"/>
          <w:color w:val="000000"/>
          <w:szCs w:val="20"/>
          <w:lang w:eastAsia="bg-BG"/>
        </w:rPr>
      </w:pPr>
      <w:r w:rsidRPr="00013F85">
        <w:rPr>
          <w:rFonts w:eastAsia="Times New Roman" w:cs="Arial"/>
          <w:color w:val="000000"/>
          <w:szCs w:val="20"/>
          <w:lang w:eastAsia="bg-BG"/>
        </w:rPr>
        <w:lastRenderedPageBreak/>
        <w:t xml:space="preserve">урината. Около 5% се екскретира непроменен в урината. Плазменият полуживот е около 19 часа </w:t>
      </w:r>
    </w:p>
    <w:p w14:paraId="39D6E4A0" w14:textId="77777777" w:rsidR="00013F85" w:rsidRPr="00013F85" w:rsidRDefault="00013F85" w:rsidP="00013F85">
      <w:pPr>
        <w:spacing w:line="240" w:lineRule="auto"/>
        <w:rPr>
          <w:rFonts w:eastAsia="Times New Roman" w:cs="Arial"/>
          <w:sz w:val="28"/>
          <w:szCs w:val="24"/>
        </w:rPr>
      </w:pPr>
      <w:r w:rsidRPr="00013F85">
        <w:rPr>
          <w:rFonts w:eastAsia="Times New Roman" w:cs="Arial"/>
          <w:color w:val="000000"/>
          <w:szCs w:val="20"/>
          <w:lang w:eastAsia="bg-BG"/>
        </w:rPr>
        <w:t>Плазменият полуживот не се увеличава с увеличаване на дозата. Средният плазмен клирънс е приблизително 50 литра на час (коефициент на вариабилност 21,7%). Както при други инхибитори на редуктазата чернодробното поемане на розувастатин включва мембранния преносител ОАТР-С. Този преносител е важен за чернодробното елиминиране на розувастатин.</w:t>
      </w:r>
    </w:p>
    <w:p w14:paraId="37C5CDBE" w14:textId="77777777" w:rsidR="00013F85" w:rsidRPr="00013F85" w:rsidRDefault="00013F85" w:rsidP="00013F85">
      <w:pPr>
        <w:spacing w:line="240" w:lineRule="auto"/>
        <w:rPr>
          <w:rFonts w:eastAsia="Times New Roman" w:cs="Arial"/>
          <w:b/>
          <w:bCs/>
          <w:color w:val="000000"/>
          <w:szCs w:val="20"/>
          <w:lang w:eastAsia="bg-BG"/>
        </w:rPr>
      </w:pPr>
    </w:p>
    <w:p w14:paraId="040D99BB" w14:textId="4C88D0F9" w:rsidR="00013F85" w:rsidRPr="00013F85" w:rsidRDefault="00013F85" w:rsidP="00013F85">
      <w:pPr>
        <w:spacing w:line="240" w:lineRule="auto"/>
        <w:rPr>
          <w:rFonts w:eastAsia="Times New Roman" w:cs="Arial"/>
          <w:sz w:val="28"/>
          <w:szCs w:val="24"/>
        </w:rPr>
      </w:pPr>
      <w:r w:rsidRPr="00013F85">
        <w:rPr>
          <w:rFonts w:eastAsia="Times New Roman" w:cs="Arial"/>
          <w:b/>
          <w:bCs/>
          <w:color w:val="000000"/>
          <w:szCs w:val="20"/>
          <w:lang w:eastAsia="bg-BG"/>
        </w:rPr>
        <w:t xml:space="preserve">Линейна кинетика: </w:t>
      </w:r>
      <w:r w:rsidRPr="00013F85">
        <w:rPr>
          <w:rFonts w:eastAsia="Times New Roman" w:cs="Arial"/>
          <w:color w:val="000000"/>
          <w:szCs w:val="20"/>
          <w:lang w:eastAsia="bg-BG"/>
        </w:rPr>
        <w:t>Системната експозиция на розувастатин се увеличава пропорционално на приеманата доза. Няма промяна във фармакокинетичните параметри при многократно дозиране.</w:t>
      </w:r>
    </w:p>
    <w:p w14:paraId="0104755E" w14:textId="77777777" w:rsidR="00013F85" w:rsidRPr="00013F85" w:rsidRDefault="00013F85" w:rsidP="00013F85">
      <w:pPr>
        <w:spacing w:line="240" w:lineRule="auto"/>
        <w:rPr>
          <w:rFonts w:eastAsia="Times New Roman" w:cs="Arial"/>
          <w:b/>
          <w:bCs/>
          <w:color w:val="000000"/>
          <w:szCs w:val="20"/>
          <w:lang w:eastAsia="bg-BG"/>
        </w:rPr>
      </w:pPr>
    </w:p>
    <w:p w14:paraId="18CF58FA" w14:textId="73222C25" w:rsidR="00013F85" w:rsidRPr="00013F85" w:rsidRDefault="00013F85" w:rsidP="00013F85">
      <w:pPr>
        <w:spacing w:line="240" w:lineRule="auto"/>
        <w:rPr>
          <w:rFonts w:eastAsia="Times New Roman" w:cs="Arial"/>
          <w:sz w:val="28"/>
          <w:szCs w:val="24"/>
        </w:rPr>
      </w:pPr>
      <w:r w:rsidRPr="00013F85">
        <w:rPr>
          <w:rFonts w:eastAsia="Times New Roman" w:cs="Arial"/>
          <w:b/>
          <w:bCs/>
          <w:color w:val="000000"/>
          <w:szCs w:val="20"/>
          <w:lang w:eastAsia="bg-BG"/>
        </w:rPr>
        <w:t>Специални популации:</w:t>
      </w:r>
    </w:p>
    <w:p w14:paraId="65953194" w14:textId="2317363F" w:rsidR="00013F85" w:rsidRPr="00013F85" w:rsidRDefault="00013F85" w:rsidP="00013F85">
      <w:pPr>
        <w:spacing w:line="240" w:lineRule="auto"/>
        <w:rPr>
          <w:rFonts w:eastAsia="Times New Roman" w:cs="Arial"/>
          <w:sz w:val="28"/>
          <w:szCs w:val="24"/>
        </w:rPr>
      </w:pPr>
      <w:r w:rsidRPr="00013F85">
        <w:rPr>
          <w:rFonts w:eastAsia="Times New Roman" w:cs="Arial"/>
          <w:b/>
          <w:bCs/>
          <w:color w:val="000000"/>
          <w:szCs w:val="20"/>
          <w:lang w:eastAsia="bg-BG"/>
        </w:rPr>
        <w:t xml:space="preserve">Възраст и пол: </w:t>
      </w:r>
      <w:r w:rsidRPr="00013F85">
        <w:rPr>
          <w:rFonts w:eastAsia="Times New Roman" w:cs="Arial"/>
          <w:color w:val="000000"/>
          <w:szCs w:val="20"/>
          <w:lang w:eastAsia="bg-BG"/>
        </w:rPr>
        <w:t>Възрастта или пола нямат клинично значим ефект върху фармакокинетиката на Розувастатин при възрастни. Фармакокинетиката на розувастатин при подрастващи и деца с хетерозиготна фамилна хиперхолестеролемия е сходна с тази на възрастните доброволци (вж. „Педиатрична популация” по-долу).</w:t>
      </w:r>
    </w:p>
    <w:p w14:paraId="11D67DB4" w14:textId="77777777" w:rsidR="00013F85" w:rsidRPr="00013F85" w:rsidRDefault="00013F85" w:rsidP="00013F85">
      <w:pPr>
        <w:spacing w:line="240" w:lineRule="auto"/>
        <w:rPr>
          <w:rFonts w:eastAsia="Times New Roman" w:cs="Arial"/>
          <w:b/>
          <w:bCs/>
          <w:color w:val="000000"/>
          <w:szCs w:val="20"/>
          <w:lang w:eastAsia="bg-BG"/>
        </w:rPr>
      </w:pPr>
    </w:p>
    <w:p w14:paraId="279BF4E7" w14:textId="19B36280" w:rsidR="00013F85" w:rsidRPr="00013F85" w:rsidRDefault="00013F85" w:rsidP="00013F85">
      <w:pPr>
        <w:spacing w:line="240" w:lineRule="auto"/>
        <w:rPr>
          <w:rFonts w:eastAsia="Times New Roman" w:cs="Arial"/>
          <w:sz w:val="28"/>
          <w:szCs w:val="24"/>
        </w:rPr>
      </w:pPr>
      <w:r w:rsidRPr="00013F85">
        <w:rPr>
          <w:rFonts w:eastAsia="Times New Roman" w:cs="Arial"/>
          <w:b/>
          <w:bCs/>
          <w:color w:val="000000"/>
          <w:szCs w:val="20"/>
          <w:lang w:eastAsia="bg-BG"/>
        </w:rPr>
        <w:t xml:space="preserve">Раса: </w:t>
      </w:r>
      <w:r w:rsidRPr="00013F85">
        <w:rPr>
          <w:rFonts w:eastAsia="Times New Roman" w:cs="Arial"/>
          <w:color w:val="000000"/>
          <w:szCs w:val="20"/>
          <w:lang w:eastAsia="bg-BG"/>
        </w:rPr>
        <w:t xml:space="preserve">Фармакокинетичните проучвания показват, че при индивиди от азиатската раса (японци, китайци, филипинци, виетнамци и корейци) се наблюдава двукратно повишаване в средната </w:t>
      </w:r>
      <w:r w:rsidRPr="00013F85">
        <w:rPr>
          <w:rFonts w:eastAsia="Times New Roman" w:cs="Arial"/>
          <w:color w:val="000000"/>
          <w:szCs w:val="20"/>
          <w:lang w:val="en-US"/>
        </w:rPr>
        <w:t>AUC</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и </w:t>
      </w:r>
      <w:proofErr w:type="spellStart"/>
      <w:r w:rsidRPr="00013F85">
        <w:rPr>
          <w:rFonts w:eastAsia="Times New Roman" w:cs="Arial"/>
          <w:color w:val="000000"/>
          <w:szCs w:val="20"/>
          <w:lang w:val="en-US"/>
        </w:rPr>
        <w:t>C</w:t>
      </w:r>
      <w:r w:rsidRPr="00013F85">
        <w:rPr>
          <w:rFonts w:eastAsia="Times New Roman" w:cs="Arial"/>
          <w:color w:val="000000"/>
          <w:szCs w:val="20"/>
          <w:vertAlign w:val="subscript"/>
          <w:lang w:val="en-US"/>
        </w:rPr>
        <w:t>max</w:t>
      </w:r>
      <w:proofErr w:type="spellEnd"/>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сравнено с индивиди от кавказката раса. При индийци е налице повишаване на </w:t>
      </w:r>
      <w:r w:rsidRPr="00013F85">
        <w:rPr>
          <w:rFonts w:eastAsia="Times New Roman" w:cs="Arial"/>
          <w:color w:val="000000"/>
          <w:szCs w:val="20"/>
          <w:lang w:val="en-US"/>
        </w:rPr>
        <w:t>AUC</w:t>
      </w:r>
      <w:r w:rsidRPr="00013F85">
        <w:rPr>
          <w:rFonts w:eastAsia="Times New Roman" w:cs="Arial"/>
          <w:color w:val="000000"/>
          <w:szCs w:val="20"/>
          <w:lang w:val="ru-RU"/>
        </w:rPr>
        <w:t xml:space="preserve"> </w:t>
      </w:r>
      <w:r w:rsidRPr="00013F85">
        <w:rPr>
          <w:rFonts w:eastAsia="Times New Roman" w:cs="Arial"/>
          <w:color w:val="000000"/>
          <w:szCs w:val="20"/>
          <w:lang w:eastAsia="bg-BG"/>
        </w:rPr>
        <w:t>и С</w:t>
      </w:r>
      <w:r w:rsidRPr="00013F85">
        <w:rPr>
          <w:rFonts w:eastAsia="Times New Roman" w:cs="Arial"/>
          <w:color w:val="000000"/>
          <w:szCs w:val="20"/>
          <w:vertAlign w:val="subscript"/>
          <w:lang w:val="en-US"/>
        </w:rPr>
        <w:t>max</w:t>
      </w:r>
      <w:r w:rsidRPr="00013F85">
        <w:rPr>
          <w:rFonts w:eastAsia="Times New Roman" w:cs="Arial"/>
          <w:color w:val="000000"/>
          <w:szCs w:val="20"/>
          <w:lang w:eastAsia="bg-BG"/>
        </w:rPr>
        <w:t xml:space="preserve"> 1,3 пъти. Не е известно какво е значението на факторите на околната среда и на генетичните фактори за появата на тези разлики. Един популационен фармакокинетичен анализ показва, че между индивидите от кавказката и от черната раса няма клинично значими различия.</w:t>
      </w:r>
    </w:p>
    <w:p w14:paraId="04676D44" w14:textId="77777777" w:rsidR="00013F85" w:rsidRPr="00013F85" w:rsidRDefault="00013F85" w:rsidP="00013F85">
      <w:pPr>
        <w:spacing w:line="240" w:lineRule="auto"/>
        <w:rPr>
          <w:rFonts w:eastAsia="Times New Roman" w:cs="Arial"/>
          <w:b/>
          <w:bCs/>
          <w:color w:val="000000"/>
          <w:szCs w:val="20"/>
          <w:lang w:eastAsia="bg-BG"/>
        </w:rPr>
      </w:pPr>
    </w:p>
    <w:p w14:paraId="250EF83E" w14:textId="2EA20C02" w:rsidR="00013F85" w:rsidRPr="00013F85" w:rsidRDefault="00013F85" w:rsidP="00013F85">
      <w:pPr>
        <w:spacing w:line="240" w:lineRule="auto"/>
        <w:rPr>
          <w:rFonts w:eastAsia="Times New Roman" w:cs="Arial"/>
          <w:sz w:val="28"/>
          <w:szCs w:val="24"/>
        </w:rPr>
      </w:pPr>
      <w:r w:rsidRPr="00013F85">
        <w:rPr>
          <w:rFonts w:eastAsia="Times New Roman" w:cs="Arial"/>
          <w:b/>
          <w:bCs/>
          <w:color w:val="000000"/>
          <w:szCs w:val="20"/>
          <w:lang w:eastAsia="bg-BG"/>
        </w:rPr>
        <w:t xml:space="preserve">Бъбречна недостатъчност: </w:t>
      </w:r>
      <w:r w:rsidRPr="00013F85">
        <w:rPr>
          <w:rFonts w:eastAsia="Times New Roman" w:cs="Arial"/>
          <w:bCs/>
          <w:color w:val="000000"/>
          <w:szCs w:val="20"/>
          <w:lang w:eastAsia="bg-BG"/>
        </w:rPr>
        <w:t>В</w:t>
      </w:r>
      <w:r w:rsidRPr="00013F85">
        <w:rPr>
          <w:rFonts w:eastAsia="Times New Roman" w:cs="Arial"/>
          <w:b/>
          <w:bCs/>
          <w:color w:val="000000"/>
          <w:szCs w:val="20"/>
          <w:lang w:eastAsia="bg-BG"/>
        </w:rPr>
        <w:t xml:space="preserve"> </w:t>
      </w:r>
      <w:r w:rsidRPr="00013F85">
        <w:rPr>
          <w:rFonts w:eastAsia="Times New Roman" w:cs="Arial"/>
          <w:color w:val="000000"/>
          <w:szCs w:val="20"/>
          <w:lang w:eastAsia="bg-BG"/>
        </w:rPr>
        <w:t xml:space="preserve">едно проучване на лица с различна степен на бъбречно увреждане лекото до умерено бъбречно заболяване не е повлияло плазмените концентрации на розувастатин или на неговия </w:t>
      </w:r>
      <w:r w:rsidRPr="00013F85">
        <w:rPr>
          <w:rFonts w:eastAsia="Times New Roman" w:cs="Arial"/>
          <w:color w:val="000000"/>
          <w:szCs w:val="20"/>
          <w:lang w:val="en-US"/>
        </w:rPr>
        <w:t>N</w:t>
      </w:r>
      <w:r w:rsidRPr="00013F85">
        <w:rPr>
          <w:rFonts w:eastAsia="Times New Roman" w:cs="Arial"/>
          <w:color w:val="000000"/>
          <w:szCs w:val="20"/>
          <w:lang w:eastAsia="bg-BG"/>
        </w:rPr>
        <w:t xml:space="preserve">-десметил метаболит. Лица с тежко увреждане обаче (креатининов клирънс &lt; 30 </w:t>
      </w:r>
      <w:r w:rsidRPr="00013F85">
        <w:rPr>
          <w:rFonts w:eastAsia="Times New Roman" w:cs="Arial"/>
          <w:color w:val="000000"/>
          <w:szCs w:val="20"/>
          <w:lang w:val="en-US"/>
        </w:rPr>
        <w:t>ml</w:t>
      </w:r>
      <w:r w:rsidRPr="00013F85">
        <w:rPr>
          <w:rFonts w:eastAsia="Times New Roman" w:cs="Arial"/>
          <w:color w:val="000000"/>
          <w:szCs w:val="20"/>
          <w:lang w:val="ru-RU"/>
        </w:rPr>
        <w:t>/</w:t>
      </w:r>
      <w:r w:rsidRPr="00013F85">
        <w:rPr>
          <w:rFonts w:eastAsia="Times New Roman" w:cs="Arial"/>
          <w:color w:val="000000"/>
          <w:szCs w:val="20"/>
          <w:lang w:val="en-US"/>
        </w:rPr>
        <w:t>min</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са имали трикратно увеличение на плазмената концентрация в сравнение със здрави доброволци и девет пъти по- висока концентрация на </w:t>
      </w:r>
      <w:r w:rsidRPr="00013F85">
        <w:rPr>
          <w:rFonts w:eastAsia="Times New Roman" w:cs="Arial"/>
          <w:color w:val="000000"/>
          <w:szCs w:val="20"/>
          <w:lang w:val="en-US"/>
        </w:rPr>
        <w:t>N</w:t>
      </w:r>
      <w:r w:rsidRPr="00013F85">
        <w:rPr>
          <w:rFonts w:eastAsia="Times New Roman" w:cs="Arial"/>
          <w:color w:val="000000"/>
          <w:szCs w:val="20"/>
          <w:lang w:eastAsia="bg-BG"/>
        </w:rPr>
        <w:t>-десметил метаболита. Равновесните плазмени концентрации на розувастатин при пациенти на хемодиализа са приблизително 50% по-високи в сравнение със здрави доброволци.</w:t>
      </w:r>
    </w:p>
    <w:p w14:paraId="303894FB" w14:textId="77777777" w:rsidR="00013F85" w:rsidRPr="00013F85" w:rsidRDefault="00013F85" w:rsidP="00013F85">
      <w:pPr>
        <w:spacing w:line="240" w:lineRule="auto"/>
        <w:rPr>
          <w:rFonts w:eastAsia="Times New Roman" w:cs="Arial"/>
          <w:b/>
          <w:bCs/>
          <w:color w:val="000000"/>
          <w:szCs w:val="20"/>
          <w:lang w:eastAsia="bg-BG"/>
        </w:rPr>
      </w:pPr>
    </w:p>
    <w:p w14:paraId="4A563073" w14:textId="573F3DF4" w:rsidR="00013F85" w:rsidRPr="00013F85" w:rsidRDefault="00013F85" w:rsidP="00013F85">
      <w:pPr>
        <w:spacing w:line="240" w:lineRule="auto"/>
        <w:rPr>
          <w:rFonts w:eastAsia="Times New Roman" w:cs="Arial"/>
          <w:sz w:val="28"/>
          <w:szCs w:val="24"/>
        </w:rPr>
      </w:pPr>
      <w:r w:rsidRPr="00013F85">
        <w:rPr>
          <w:rFonts w:eastAsia="Times New Roman" w:cs="Arial"/>
          <w:b/>
          <w:bCs/>
          <w:color w:val="000000"/>
          <w:szCs w:val="20"/>
          <w:lang w:eastAsia="bg-BG"/>
        </w:rPr>
        <w:t xml:space="preserve">Чернодробна недостатъчност: </w:t>
      </w:r>
      <w:r w:rsidRPr="00013F85">
        <w:rPr>
          <w:rFonts w:eastAsia="Times New Roman" w:cs="Arial"/>
          <w:bCs/>
          <w:color w:val="000000"/>
          <w:szCs w:val="20"/>
          <w:lang w:eastAsia="bg-BG"/>
        </w:rPr>
        <w:t>В</w:t>
      </w:r>
      <w:r w:rsidRPr="00013F85">
        <w:rPr>
          <w:rFonts w:eastAsia="Times New Roman" w:cs="Arial"/>
          <w:b/>
          <w:bCs/>
          <w:color w:val="000000"/>
          <w:szCs w:val="20"/>
          <w:lang w:eastAsia="bg-BG"/>
        </w:rPr>
        <w:t xml:space="preserve"> </w:t>
      </w:r>
      <w:r w:rsidRPr="00013F85">
        <w:rPr>
          <w:rFonts w:eastAsia="Times New Roman" w:cs="Arial"/>
          <w:color w:val="000000"/>
          <w:szCs w:val="20"/>
          <w:lang w:eastAsia="bg-BG"/>
        </w:rPr>
        <w:t xml:space="preserve">едно проучване на лица с различна степен на чернодробно увреждане не са получени данни за повишена експозиция на Розувастатин при пациенти с резултат по </w:t>
      </w:r>
      <w:r w:rsidRPr="00013F85">
        <w:rPr>
          <w:rFonts w:eastAsia="Times New Roman" w:cs="Arial"/>
          <w:color w:val="000000"/>
          <w:szCs w:val="20"/>
          <w:lang w:val="en-US"/>
        </w:rPr>
        <w:t>Child</w:t>
      </w:r>
      <w:r w:rsidRPr="00013F85">
        <w:rPr>
          <w:rFonts w:eastAsia="Times New Roman" w:cs="Arial"/>
          <w:color w:val="000000"/>
          <w:szCs w:val="20"/>
          <w:lang w:val="ru-RU"/>
        </w:rPr>
        <w:t>-</w:t>
      </w:r>
      <w:r w:rsidRPr="00013F85">
        <w:rPr>
          <w:rFonts w:eastAsia="Times New Roman" w:cs="Arial"/>
          <w:color w:val="000000"/>
          <w:szCs w:val="20"/>
          <w:lang w:val="en-US"/>
        </w:rPr>
        <w:t>Pugh</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7 или по-нисък. При двама пациенти с тежко чернодробно увреждане (резултат по </w:t>
      </w:r>
      <w:r w:rsidRPr="00013F85">
        <w:rPr>
          <w:rFonts w:eastAsia="Times New Roman" w:cs="Arial"/>
          <w:color w:val="000000"/>
          <w:szCs w:val="20"/>
          <w:lang w:val="en-US"/>
        </w:rPr>
        <w:t>Child</w:t>
      </w:r>
      <w:r w:rsidRPr="00013F85">
        <w:rPr>
          <w:rFonts w:eastAsia="Times New Roman" w:cs="Arial"/>
          <w:color w:val="000000"/>
          <w:szCs w:val="20"/>
          <w:lang w:val="ru-RU"/>
        </w:rPr>
        <w:t>-</w:t>
      </w:r>
      <w:r w:rsidRPr="00013F85">
        <w:rPr>
          <w:rFonts w:eastAsia="Times New Roman" w:cs="Arial"/>
          <w:color w:val="000000"/>
          <w:szCs w:val="20"/>
          <w:lang w:val="en-US"/>
        </w:rPr>
        <w:t>Pugh</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8 и 9) системната експозиция е била увеличена най-малко два пъти в сравнение с лица с по-нисък резултат по </w:t>
      </w:r>
      <w:r w:rsidRPr="00013F85">
        <w:rPr>
          <w:rFonts w:eastAsia="Times New Roman" w:cs="Arial"/>
          <w:color w:val="000000"/>
          <w:szCs w:val="20"/>
          <w:lang w:val="en-US"/>
        </w:rPr>
        <w:t>Child</w:t>
      </w:r>
      <w:r w:rsidRPr="00013F85">
        <w:rPr>
          <w:rFonts w:eastAsia="Times New Roman" w:cs="Arial"/>
          <w:color w:val="000000"/>
          <w:szCs w:val="20"/>
          <w:lang w:val="ru-RU"/>
        </w:rPr>
        <w:t>-</w:t>
      </w:r>
      <w:r w:rsidRPr="00013F85">
        <w:rPr>
          <w:rFonts w:eastAsia="Times New Roman" w:cs="Arial"/>
          <w:color w:val="000000"/>
          <w:szCs w:val="20"/>
          <w:lang w:val="en-US"/>
        </w:rPr>
        <w:t>Pugh</w:t>
      </w:r>
      <w:r w:rsidRPr="00013F85">
        <w:rPr>
          <w:rFonts w:eastAsia="Times New Roman" w:cs="Arial"/>
          <w:color w:val="000000"/>
          <w:szCs w:val="20"/>
          <w:lang w:val="ru-RU"/>
        </w:rPr>
        <w:t xml:space="preserve">. </w:t>
      </w:r>
      <w:r w:rsidRPr="00013F85">
        <w:rPr>
          <w:rFonts w:eastAsia="Times New Roman" w:cs="Arial"/>
          <w:color w:val="000000"/>
          <w:szCs w:val="20"/>
          <w:lang w:eastAsia="bg-BG"/>
        </w:rPr>
        <w:t xml:space="preserve">Няма данни за пациенти е резултат по </w:t>
      </w:r>
      <w:r w:rsidRPr="00013F85">
        <w:rPr>
          <w:rFonts w:eastAsia="Times New Roman" w:cs="Arial"/>
          <w:color w:val="000000"/>
          <w:szCs w:val="20"/>
          <w:lang w:val="en-US"/>
        </w:rPr>
        <w:t>Child</w:t>
      </w:r>
      <w:r w:rsidRPr="00013F85">
        <w:rPr>
          <w:rFonts w:eastAsia="Times New Roman" w:cs="Arial"/>
          <w:color w:val="000000"/>
          <w:szCs w:val="20"/>
          <w:lang w:val="ru-RU"/>
        </w:rPr>
        <w:t>-</w:t>
      </w:r>
      <w:r w:rsidRPr="00013F85">
        <w:rPr>
          <w:rFonts w:eastAsia="Times New Roman" w:cs="Arial"/>
          <w:color w:val="000000"/>
          <w:szCs w:val="20"/>
          <w:lang w:val="en-US"/>
        </w:rPr>
        <w:t>Pugh</w:t>
      </w:r>
      <w:r w:rsidRPr="00013F85">
        <w:rPr>
          <w:rFonts w:eastAsia="Times New Roman" w:cs="Arial"/>
          <w:color w:val="000000"/>
          <w:szCs w:val="20"/>
          <w:lang w:val="ru-RU"/>
        </w:rPr>
        <w:t xml:space="preserve"> </w:t>
      </w:r>
      <w:r w:rsidRPr="00013F85">
        <w:rPr>
          <w:rFonts w:eastAsia="Times New Roman" w:cs="Arial"/>
          <w:color w:val="000000"/>
          <w:szCs w:val="20"/>
          <w:lang w:eastAsia="bg-BG"/>
        </w:rPr>
        <w:t>над 9.</w:t>
      </w:r>
    </w:p>
    <w:p w14:paraId="3946412D" w14:textId="77777777" w:rsidR="00013F85" w:rsidRPr="00013F85" w:rsidRDefault="00013F85" w:rsidP="00013F85">
      <w:pPr>
        <w:rPr>
          <w:rFonts w:eastAsia="Times New Roman" w:cs="Arial"/>
          <w:b/>
          <w:bCs/>
          <w:color w:val="000000"/>
          <w:szCs w:val="20"/>
          <w:lang w:eastAsia="bg-BG"/>
        </w:rPr>
      </w:pPr>
    </w:p>
    <w:p w14:paraId="6A9CF829" w14:textId="3A72B5C2" w:rsidR="00013F85" w:rsidRDefault="00013F85" w:rsidP="00013F85">
      <w:pPr>
        <w:rPr>
          <w:rFonts w:ascii="Times New Roman" w:eastAsia="Times New Roman" w:hAnsi="Times New Roman" w:cs="Times New Roman"/>
          <w:color w:val="000000"/>
          <w:sz w:val="20"/>
          <w:szCs w:val="20"/>
          <w:lang w:eastAsia="bg-BG"/>
        </w:rPr>
      </w:pPr>
      <w:r w:rsidRPr="00013F85">
        <w:rPr>
          <w:rFonts w:eastAsia="Times New Roman" w:cs="Arial"/>
          <w:b/>
          <w:bCs/>
          <w:color w:val="000000"/>
          <w:szCs w:val="20"/>
          <w:lang w:eastAsia="bg-BG"/>
        </w:rPr>
        <w:t xml:space="preserve">Педиатрична популации: </w:t>
      </w:r>
      <w:r w:rsidRPr="00013F85">
        <w:rPr>
          <w:rFonts w:eastAsia="Times New Roman" w:cs="Arial"/>
          <w:color w:val="000000"/>
          <w:szCs w:val="20"/>
          <w:lang w:eastAsia="bg-BG"/>
        </w:rPr>
        <w:t>Фармакокинетичните параметри при педиатрични пациенти с хетерозиготна фамилна хиперхолестеролемия на възраст 10 до 17 години не са напълно характеризирани. Малко фармакокинетично проучване с розувастатин (приет като таблетки) при 18 педиатрични пациенти показа, че експозицията при педиатрични пациенти е сравнима с експозицията при възрастни пациенти. В допълнение резултатите показват, че не се очакват големи отклонения от дозовата пропорционалност.</w:t>
      </w:r>
    </w:p>
    <w:p w14:paraId="5DB3B51B" w14:textId="77777777" w:rsidR="00013F85" w:rsidRPr="00013F85" w:rsidRDefault="00013F85" w:rsidP="00013F85"/>
    <w:p w14:paraId="028E658A" w14:textId="5237C0A6" w:rsidR="00395555" w:rsidRDefault="002C50EE" w:rsidP="008A6AF2">
      <w:pPr>
        <w:pStyle w:val="Heading2"/>
      </w:pPr>
      <w:r>
        <w:lastRenderedPageBreak/>
        <w:t>5.3. Предклинични данни за безопасност</w:t>
      </w:r>
    </w:p>
    <w:p w14:paraId="3FE6731A" w14:textId="06DA7B46" w:rsidR="00013F85" w:rsidRDefault="00013F85" w:rsidP="00013F85"/>
    <w:p w14:paraId="44C3B9B3" w14:textId="77777777" w:rsidR="00013F85" w:rsidRPr="00013F85" w:rsidRDefault="00013F85" w:rsidP="00013F85">
      <w:pPr>
        <w:rPr>
          <w:sz w:val="24"/>
          <w:szCs w:val="24"/>
        </w:rPr>
      </w:pPr>
      <w:r w:rsidRPr="00013F85">
        <w:rPr>
          <w:lang w:eastAsia="bg-BG"/>
        </w:rPr>
        <w:t xml:space="preserve">Предклиничните данни не са показали специален риск при хора въз основа на стандартните проучвания за безопасност върху основните системи, генотоксичност, канцерогенен потенциал. Не са провеждани специфични изследвания, оценяващи ефектите върху </w:t>
      </w:r>
      <w:proofErr w:type="spellStart"/>
      <w:r w:rsidRPr="00013F85">
        <w:rPr>
          <w:lang w:val="en-US"/>
        </w:rPr>
        <w:t>hERG</w:t>
      </w:r>
      <w:proofErr w:type="spellEnd"/>
      <w:r w:rsidRPr="00013F85">
        <w:rPr>
          <w:lang w:val="ru-RU"/>
        </w:rPr>
        <w:t xml:space="preserve">. </w:t>
      </w:r>
      <w:r w:rsidRPr="00013F85">
        <w:rPr>
          <w:lang w:eastAsia="bg-BG"/>
        </w:rPr>
        <w:t>Нежеланите реакции, които не са наблюдавани в клинични проучвания, но са наблюдавани при животни при нива на експозиция близки до клиничните, са следните: в изпитвания за токсичност след многократно приложение се наблюдават хистопатологични чернодробни изменения, вследствие на фармакологичното действие на розувастатин при мишки, плъхове и в по-ниска степен в жлъчния мехур при кучета, но не и</w:t>
      </w:r>
      <w:r w:rsidRPr="00013F85">
        <w:rPr>
          <w:lang w:val="ru-RU"/>
        </w:rPr>
        <w:t xml:space="preserve"> </w:t>
      </w:r>
      <w:r w:rsidRPr="00013F85">
        <w:rPr>
          <w:lang w:eastAsia="bg-BG"/>
        </w:rPr>
        <w:t>при маймуни. В допълнение се наблюдава токсичност, засягаща тестисите при маймуни и кучета при по-викси дози.</w:t>
      </w:r>
    </w:p>
    <w:p w14:paraId="06B7E335" w14:textId="23B7D07C" w:rsidR="00013F85" w:rsidRPr="00013F85" w:rsidRDefault="00013F85" w:rsidP="00013F85">
      <w:r w:rsidRPr="00013F85">
        <w:rPr>
          <w:lang w:eastAsia="bg-BG"/>
        </w:rPr>
        <w:t>Репродуктивна токсичност при плъхове, за която се съди по намалените големина, тегло и превияемост на малките, се наблюдава при матернотоксични дози на системна експозиция няколко пъти над нивото на терапевтична експозиция.</w:t>
      </w:r>
    </w:p>
    <w:p w14:paraId="6A7820AB" w14:textId="3EAE753C" w:rsidR="008A6AF2" w:rsidRDefault="002C50EE" w:rsidP="00395555">
      <w:pPr>
        <w:pStyle w:val="Heading1"/>
      </w:pPr>
      <w:r>
        <w:t>7. ПРИТЕЖАТЕЛ НА РАЗРЕШЕНИЕТО ЗА УПОТРЕБА</w:t>
      </w:r>
    </w:p>
    <w:p w14:paraId="45D45317" w14:textId="7D848074" w:rsidR="00013F85" w:rsidRDefault="00013F85" w:rsidP="00013F85"/>
    <w:p w14:paraId="02F7E03F" w14:textId="77777777" w:rsidR="00013F85" w:rsidRPr="00013F85" w:rsidRDefault="00013F85" w:rsidP="00013F85">
      <w:pPr>
        <w:rPr>
          <w:sz w:val="24"/>
          <w:szCs w:val="24"/>
        </w:rPr>
      </w:pPr>
      <w:r w:rsidRPr="00013F85">
        <w:rPr>
          <w:lang w:eastAsia="bg-BG"/>
        </w:rPr>
        <w:t>Чайкафарма Висококачествените Лекарства” АД</w:t>
      </w:r>
    </w:p>
    <w:p w14:paraId="7A6287F5" w14:textId="77777777" w:rsidR="00013F85" w:rsidRPr="00013F85" w:rsidRDefault="00013F85" w:rsidP="00013F85">
      <w:pPr>
        <w:rPr>
          <w:sz w:val="24"/>
          <w:szCs w:val="24"/>
        </w:rPr>
      </w:pPr>
      <w:r w:rsidRPr="00013F85">
        <w:rPr>
          <w:lang w:eastAsia="bg-BG"/>
        </w:rPr>
        <w:t>Бул. ”Г. М. Димитров” № 1, гр. София 1172, България</w:t>
      </w:r>
    </w:p>
    <w:p w14:paraId="3106AF41" w14:textId="77777777" w:rsidR="00013F85" w:rsidRPr="00013F85" w:rsidRDefault="00013F85" w:rsidP="00013F85">
      <w:pPr>
        <w:rPr>
          <w:sz w:val="24"/>
          <w:szCs w:val="24"/>
        </w:rPr>
      </w:pPr>
      <w:r w:rsidRPr="00013F85">
        <w:rPr>
          <w:lang w:eastAsia="bg-BG"/>
        </w:rPr>
        <w:t>тел.: +359 2 962 54 54</w:t>
      </w:r>
    </w:p>
    <w:p w14:paraId="687E14B9" w14:textId="77777777" w:rsidR="00013F85" w:rsidRPr="00013F85" w:rsidRDefault="00013F85" w:rsidP="00013F85">
      <w:pPr>
        <w:rPr>
          <w:sz w:val="24"/>
          <w:szCs w:val="24"/>
        </w:rPr>
      </w:pPr>
      <w:r w:rsidRPr="00013F85">
        <w:rPr>
          <w:lang w:eastAsia="bg-BG"/>
        </w:rPr>
        <w:t>факс:+359 2 9603 703</w:t>
      </w:r>
    </w:p>
    <w:p w14:paraId="5F40DFF2" w14:textId="47EDDB51" w:rsidR="00013F85" w:rsidRPr="00013F85" w:rsidRDefault="00013F85" w:rsidP="00013F85">
      <w:proofErr w:type="gramStart"/>
      <w:r w:rsidRPr="00013F85">
        <w:rPr>
          <w:lang w:val="en-US"/>
        </w:rPr>
        <w:t>e</w:t>
      </w:r>
      <w:r w:rsidRPr="00013F85">
        <w:rPr>
          <w:lang w:val="ru-RU"/>
        </w:rPr>
        <w:t>-</w:t>
      </w:r>
      <w:r w:rsidRPr="00013F85">
        <w:rPr>
          <w:lang w:val="en-US"/>
        </w:rPr>
        <w:t>mail</w:t>
      </w:r>
      <w:proofErr w:type="gramEnd"/>
      <w:r w:rsidRPr="00013F85">
        <w:rPr>
          <w:lang w:val="ru-RU"/>
        </w:rPr>
        <w:t xml:space="preserve">: </w:t>
      </w:r>
      <w:hyperlink r:id="rId5" w:history="1">
        <w:r w:rsidRPr="00013F85">
          <w:rPr>
            <w:lang w:val="en-US"/>
          </w:rPr>
          <w:t>info</w:t>
        </w:r>
        <w:r w:rsidRPr="00013F85">
          <w:rPr>
            <w:lang w:val="ru-RU"/>
          </w:rPr>
          <w:t>@</w:t>
        </w:r>
        <w:proofErr w:type="spellStart"/>
        <w:r w:rsidRPr="00013F85">
          <w:rPr>
            <w:lang w:val="en-US"/>
          </w:rPr>
          <w:t>tchaikapharma</w:t>
        </w:r>
        <w:proofErr w:type="spellEnd"/>
        <w:r w:rsidRPr="00013F85">
          <w:rPr>
            <w:lang w:val="ru-RU"/>
          </w:rPr>
          <w:t>.</w:t>
        </w:r>
        <w:r w:rsidRPr="00013F85">
          <w:rPr>
            <w:lang w:val="en-US"/>
          </w:rPr>
          <w:t>com</w:t>
        </w:r>
      </w:hyperlink>
    </w:p>
    <w:p w14:paraId="04840D59" w14:textId="0B0391AA" w:rsidR="002C50EE" w:rsidRDefault="002C50EE" w:rsidP="00395555">
      <w:pPr>
        <w:pStyle w:val="Heading1"/>
      </w:pPr>
      <w:r>
        <w:t>8. НОМЕР НА РАЗРЕШЕНИЕТО ЗА УПОТРЕБА</w:t>
      </w:r>
    </w:p>
    <w:p w14:paraId="22F7D511" w14:textId="18B5AA65" w:rsidR="00013F85" w:rsidRDefault="00013F85" w:rsidP="00013F85"/>
    <w:p w14:paraId="0C56A788" w14:textId="588561E6" w:rsidR="00013F85" w:rsidRDefault="00013F85" w:rsidP="00013F85">
      <w:r>
        <w:t xml:space="preserve">Росста 10 </w:t>
      </w:r>
      <w:r>
        <w:rPr>
          <w:lang w:val="en-US"/>
        </w:rPr>
        <w:t>mg</w:t>
      </w:r>
      <w:r w:rsidRPr="00013F85">
        <w:rPr>
          <w:lang w:val="ru-RU"/>
        </w:rPr>
        <w:t xml:space="preserve"> </w:t>
      </w:r>
      <w:r>
        <w:t xml:space="preserve">- </w:t>
      </w:r>
      <w:r>
        <w:rPr>
          <w:lang w:val="en-US"/>
        </w:rPr>
        <w:t>Per</w:t>
      </w:r>
      <w:r w:rsidRPr="00013F85">
        <w:rPr>
          <w:lang w:val="ru-RU"/>
        </w:rPr>
        <w:t xml:space="preserve">. </w:t>
      </w:r>
      <w:r>
        <w:t>№: 20150123</w:t>
      </w:r>
    </w:p>
    <w:p w14:paraId="1454D352" w14:textId="77777777" w:rsidR="00013F85" w:rsidRPr="00013F85" w:rsidRDefault="00013F85" w:rsidP="00013F85">
      <w:pPr>
        <w:rPr>
          <w:sz w:val="24"/>
          <w:szCs w:val="24"/>
          <w:lang w:val="ru-RU"/>
        </w:rPr>
      </w:pPr>
      <w:r w:rsidRPr="00013F85">
        <w:rPr>
          <w:lang w:eastAsia="bg-BG"/>
        </w:rPr>
        <w:t xml:space="preserve">Росста 20 </w:t>
      </w:r>
      <w:r w:rsidRPr="00013F85">
        <w:rPr>
          <w:lang w:val="en-US"/>
        </w:rPr>
        <w:t>mg</w:t>
      </w:r>
      <w:r w:rsidRPr="00013F85">
        <w:rPr>
          <w:lang w:val="ru-RU"/>
        </w:rPr>
        <w:t xml:space="preserve"> </w:t>
      </w:r>
      <w:r w:rsidRPr="00013F85">
        <w:rPr>
          <w:lang w:eastAsia="bg-BG"/>
        </w:rPr>
        <w:t xml:space="preserve">- </w:t>
      </w:r>
      <w:r w:rsidRPr="00013F85">
        <w:rPr>
          <w:lang w:val="en-US"/>
        </w:rPr>
        <w:t>Per</w:t>
      </w:r>
      <w:r w:rsidRPr="00013F85">
        <w:rPr>
          <w:lang w:val="ru-RU"/>
        </w:rPr>
        <w:t>. №: 20150124</w:t>
      </w:r>
    </w:p>
    <w:p w14:paraId="1009A387" w14:textId="153BAADD" w:rsidR="00013F85" w:rsidRPr="00013F85" w:rsidRDefault="00013F85" w:rsidP="00013F85">
      <w:pPr>
        <w:rPr>
          <w:lang w:val="ru-RU"/>
        </w:rPr>
      </w:pPr>
      <w:r w:rsidRPr="00013F85">
        <w:rPr>
          <w:lang w:eastAsia="bg-BG"/>
        </w:rPr>
        <w:t xml:space="preserve">Росста </w:t>
      </w:r>
      <w:r w:rsidRPr="00013F85">
        <w:rPr>
          <w:lang w:val="ru-RU"/>
        </w:rPr>
        <w:t xml:space="preserve">40 </w:t>
      </w:r>
      <w:r w:rsidRPr="00013F85">
        <w:rPr>
          <w:lang w:val="en-US"/>
        </w:rPr>
        <w:t>mg</w:t>
      </w:r>
      <w:r w:rsidRPr="00013F85">
        <w:rPr>
          <w:lang w:val="ru-RU"/>
        </w:rPr>
        <w:t xml:space="preserve"> - </w:t>
      </w:r>
      <w:r w:rsidRPr="00013F85">
        <w:rPr>
          <w:lang w:val="en-US"/>
        </w:rPr>
        <w:t>Per</w:t>
      </w:r>
      <w:r w:rsidRPr="00013F85">
        <w:rPr>
          <w:lang w:val="ru-RU"/>
        </w:rPr>
        <w:t>. №: 20150125</w:t>
      </w:r>
    </w:p>
    <w:p w14:paraId="2CCB5832" w14:textId="0B19C8DC" w:rsidR="007C605B" w:rsidRDefault="002C50EE" w:rsidP="007C605B">
      <w:pPr>
        <w:pStyle w:val="Heading1"/>
      </w:pPr>
      <w:r>
        <w:t>9. ДАТА НА ПЪРВО РАЗРЕШАВАНЕ/ПОДНОВЯВАНЕ НА РАЗРЕШЕНИЕТО ЗА УПОТРЕБА</w:t>
      </w:r>
    </w:p>
    <w:p w14:paraId="773B4994" w14:textId="3882B2AB" w:rsidR="00013F85" w:rsidRDefault="00013F85" w:rsidP="00013F85"/>
    <w:p w14:paraId="090D265D" w14:textId="72B3CDFD" w:rsidR="00013F85" w:rsidRDefault="00013F85" w:rsidP="00013F85">
      <w:pPr>
        <w:rPr>
          <w:lang w:eastAsia="bg-BG"/>
        </w:rPr>
      </w:pPr>
      <w:r w:rsidRPr="00013F85">
        <w:rPr>
          <w:lang w:eastAsia="bg-BG"/>
        </w:rPr>
        <w:t>Дата на първо разрешение за употреба: 21.04.2015</w:t>
      </w:r>
    </w:p>
    <w:p w14:paraId="76F2662E" w14:textId="77777777" w:rsidR="00013F85" w:rsidRPr="00013F85" w:rsidRDefault="00013F85" w:rsidP="00013F85">
      <w:pPr>
        <w:rPr>
          <w:sz w:val="24"/>
          <w:szCs w:val="24"/>
        </w:rPr>
      </w:pPr>
    </w:p>
    <w:p w14:paraId="0E9D0119" w14:textId="0245C6D7" w:rsidR="002C50EE" w:rsidRDefault="002C50EE" w:rsidP="002C50EE">
      <w:pPr>
        <w:pStyle w:val="Heading1"/>
      </w:pPr>
      <w:r>
        <w:t>10. ДАТА НА АКТУАЛИЗИРАНЕ НА ТЕКСТА</w:t>
      </w:r>
    </w:p>
    <w:bookmarkEnd w:id="0"/>
    <w:p w14:paraId="43FB38A2" w14:textId="5021C6B8" w:rsidR="007C605B" w:rsidRPr="00013F85" w:rsidRDefault="00013F85" w:rsidP="00013F85">
      <w:pPr>
        <w:rPr>
          <w:lang w:val="en-US"/>
        </w:rPr>
      </w:pPr>
      <w:r>
        <w:t>Юни, 2020</w:t>
      </w:r>
      <w:bookmarkStart w:id="8" w:name="_GoBack"/>
      <w:bookmarkEnd w:id="8"/>
    </w:p>
    <w:sectPr w:rsidR="007C605B" w:rsidRPr="0001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FE235D"/>
    <w:multiLevelType w:val="hybridMultilevel"/>
    <w:tmpl w:val="BF2A558A"/>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D3DF7"/>
    <w:multiLevelType w:val="hybridMultilevel"/>
    <w:tmpl w:val="C470904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0474E"/>
    <w:multiLevelType w:val="hybridMultilevel"/>
    <w:tmpl w:val="843C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20"/>
  </w:num>
  <w:num w:numId="14">
    <w:abstractNumId w:val="12"/>
  </w:num>
  <w:num w:numId="15">
    <w:abstractNumId w:val="30"/>
  </w:num>
  <w:num w:numId="16">
    <w:abstractNumId w:val="10"/>
  </w:num>
  <w:num w:numId="17">
    <w:abstractNumId w:val="26"/>
  </w:num>
  <w:num w:numId="18">
    <w:abstractNumId w:val="8"/>
  </w:num>
  <w:num w:numId="19">
    <w:abstractNumId w:val="28"/>
  </w:num>
  <w:num w:numId="20">
    <w:abstractNumId w:val="25"/>
  </w:num>
  <w:num w:numId="21">
    <w:abstractNumId w:val="17"/>
  </w:num>
  <w:num w:numId="22">
    <w:abstractNumId w:val="27"/>
  </w:num>
  <w:num w:numId="23">
    <w:abstractNumId w:val="18"/>
  </w:num>
  <w:num w:numId="24">
    <w:abstractNumId w:val="9"/>
  </w:num>
  <w:num w:numId="25">
    <w:abstractNumId w:val="24"/>
  </w:num>
  <w:num w:numId="26">
    <w:abstractNumId w:val="23"/>
  </w:num>
  <w:num w:numId="27">
    <w:abstractNumId w:val="32"/>
  </w:num>
  <w:num w:numId="28">
    <w:abstractNumId w:val="6"/>
  </w:num>
  <w:num w:numId="29">
    <w:abstractNumId w:val="22"/>
  </w:num>
  <w:num w:numId="30">
    <w:abstractNumId w:val="33"/>
  </w:num>
  <w:num w:numId="31">
    <w:abstractNumId w:val="5"/>
  </w:num>
  <w:num w:numId="32">
    <w:abstractNumId w:val="19"/>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13F85"/>
    <w:rsid w:val="0004365C"/>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6A0501"/>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6639</Words>
  <Characters>37847</Characters>
  <Application>Microsoft Office Word</Application>
  <DocSecurity>0</DocSecurity>
  <Lines>315</Lines>
  <Paragraphs>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2022-01-26T14:49:00Z</dcterms:created>
  <dcterms:modified xsi:type="dcterms:W3CDTF">2022-01-26T14:49:00Z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