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Pr="001B0E7E" w:rsidRDefault="0091385D" w:rsidP="0091385D">
      <w:pPr>
        <w:rPr>
          <w:rFonts w:ascii="Times New Roman" w:hAnsi="Times New Roman" w:cs="Times New Roman"/>
        </w:rPr>
      </w:pPr>
    </w:p>
    <w:p w14:paraId="529F9789" w14:textId="77777777" w:rsidR="001B0E7E" w:rsidRPr="001B0E7E" w:rsidRDefault="001B0E7E" w:rsidP="001B0E7E">
      <w:pPr>
        <w:spacing w:line="240" w:lineRule="auto"/>
        <w:rPr>
          <w:rFonts w:eastAsia="Times New Roman" w:cs="Arial"/>
          <w:lang w:val="en-US" w:eastAsia="bg-BG"/>
        </w:rPr>
      </w:pPr>
      <w:r w:rsidRPr="001B0E7E">
        <w:rPr>
          <w:rFonts w:eastAsia="Times New Roman" w:cs="Arial"/>
          <w:color w:val="000000"/>
          <w:lang w:eastAsia="bg-BG"/>
        </w:rPr>
        <w:t xml:space="preserve">Росста 10 </w:t>
      </w:r>
      <w:r w:rsidRPr="001B0E7E">
        <w:rPr>
          <w:rFonts w:eastAsia="Times New Roman" w:cs="Arial"/>
          <w:color w:val="000000"/>
          <w:lang w:val="en-US"/>
        </w:rPr>
        <w:t xml:space="preserve">mg </w:t>
      </w:r>
      <w:r w:rsidRPr="001B0E7E">
        <w:rPr>
          <w:rFonts w:eastAsia="Times New Roman" w:cs="Arial"/>
          <w:color w:val="000000"/>
          <w:lang w:eastAsia="bg-BG"/>
        </w:rPr>
        <w:t>филмирани таблетки</w:t>
      </w:r>
    </w:p>
    <w:p w14:paraId="4F854586" w14:textId="77777777" w:rsidR="001B0E7E" w:rsidRPr="001B0E7E" w:rsidRDefault="001B0E7E" w:rsidP="001B0E7E">
      <w:pPr>
        <w:spacing w:line="240" w:lineRule="auto"/>
        <w:rPr>
          <w:rFonts w:eastAsia="Times New Roman" w:cs="Arial"/>
          <w:lang w:val="en-US" w:eastAsia="bg-BG"/>
        </w:rPr>
      </w:pPr>
      <w:proofErr w:type="spellStart"/>
      <w:r w:rsidRPr="001B0E7E">
        <w:rPr>
          <w:rFonts w:eastAsia="Times New Roman" w:cs="Arial"/>
          <w:color w:val="000000"/>
          <w:lang w:val="en-US"/>
        </w:rPr>
        <w:t>Rossta</w:t>
      </w:r>
      <w:proofErr w:type="spellEnd"/>
      <w:r w:rsidRPr="001B0E7E">
        <w:rPr>
          <w:rFonts w:eastAsia="Times New Roman" w:cs="Arial"/>
          <w:color w:val="000000"/>
          <w:lang w:val="en-US"/>
        </w:rPr>
        <w:t xml:space="preserve"> </w:t>
      </w:r>
      <w:r w:rsidRPr="001B0E7E">
        <w:rPr>
          <w:rFonts w:eastAsia="Times New Roman" w:cs="Arial"/>
          <w:color w:val="000000"/>
          <w:lang w:eastAsia="bg-BG"/>
        </w:rPr>
        <w:t xml:space="preserve">10 </w:t>
      </w:r>
      <w:r w:rsidRPr="001B0E7E">
        <w:rPr>
          <w:rFonts w:eastAsia="Times New Roman" w:cs="Arial"/>
          <w:color w:val="000000"/>
          <w:lang w:val="en-US"/>
        </w:rPr>
        <w:t>mg film-coated tablets</w:t>
      </w:r>
    </w:p>
    <w:p w14:paraId="2564547A" w14:textId="77777777" w:rsidR="001B0E7E" w:rsidRPr="001B0E7E" w:rsidRDefault="001B0E7E" w:rsidP="001B0E7E">
      <w:pPr>
        <w:spacing w:line="240" w:lineRule="auto"/>
        <w:rPr>
          <w:rFonts w:eastAsia="Times New Roman" w:cs="Arial"/>
          <w:color w:val="000000"/>
          <w:lang w:eastAsia="bg-BG"/>
        </w:rPr>
      </w:pPr>
    </w:p>
    <w:p w14:paraId="46C90EF4" w14:textId="2BDBAC0E" w:rsidR="001B0E7E" w:rsidRPr="001B0E7E" w:rsidRDefault="001B0E7E" w:rsidP="001B0E7E">
      <w:pPr>
        <w:spacing w:line="240" w:lineRule="auto"/>
        <w:rPr>
          <w:rFonts w:eastAsia="Times New Roman" w:cs="Arial"/>
          <w:lang w:val="en-US" w:eastAsia="bg-BG"/>
        </w:rPr>
      </w:pPr>
      <w:r w:rsidRPr="001B0E7E">
        <w:rPr>
          <w:rFonts w:eastAsia="Times New Roman" w:cs="Arial"/>
          <w:color w:val="000000"/>
          <w:lang w:eastAsia="bg-BG"/>
        </w:rPr>
        <w:t xml:space="preserve">Росста </w:t>
      </w:r>
      <w:r w:rsidRPr="001B0E7E">
        <w:rPr>
          <w:rFonts w:eastAsia="Times New Roman" w:cs="Arial"/>
          <w:color w:val="000000"/>
          <w:lang w:val="en-US"/>
        </w:rPr>
        <w:t xml:space="preserve">20 mg </w:t>
      </w:r>
      <w:r w:rsidRPr="001B0E7E">
        <w:rPr>
          <w:rFonts w:eastAsia="Times New Roman" w:cs="Arial"/>
          <w:color w:val="000000"/>
          <w:lang w:eastAsia="bg-BG"/>
        </w:rPr>
        <w:t>филмирани таблетки</w:t>
      </w:r>
    </w:p>
    <w:p w14:paraId="2A4F8859" w14:textId="77777777" w:rsidR="001B0E7E" w:rsidRPr="001B0E7E" w:rsidRDefault="001B0E7E" w:rsidP="001B0E7E">
      <w:pPr>
        <w:spacing w:line="240" w:lineRule="auto"/>
        <w:rPr>
          <w:rFonts w:eastAsia="Times New Roman" w:cs="Arial"/>
          <w:lang w:val="en-US" w:eastAsia="bg-BG"/>
        </w:rPr>
      </w:pPr>
      <w:proofErr w:type="spellStart"/>
      <w:r w:rsidRPr="001B0E7E">
        <w:rPr>
          <w:rFonts w:eastAsia="Times New Roman" w:cs="Arial"/>
          <w:color w:val="000000"/>
          <w:lang w:val="en-US"/>
        </w:rPr>
        <w:t>Rossta</w:t>
      </w:r>
      <w:proofErr w:type="spellEnd"/>
      <w:r w:rsidRPr="001B0E7E">
        <w:rPr>
          <w:rFonts w:eastAsia="Times New Roman" w:cs="Arial"/>
          <w:color w:val="000000"/>
          <w:lang w:val="en-US"/>
        </w:rPr>
        <w:t xml:space="preserve"> </w:t>
      </w:r>
      <w:r w:rsidRPr="001B0E7E">
        <w:rPr>
          <w:rFonts w:eastAsia="Times New Roman" w:cs="Arial"/>
          <w:color w:val="000000"/>
          <w:lang w:eastAsia="bg-BG"/>
        </w:rPr>
        <w:t xml:space="preserve">20 </w:t>
      </w:r>
      <w:r w:rsidRPr="001B0E7E">
        <w:rPr>
          <w:rFonts w:eastAsia="Times New Roman" w:cs="Arial"/>
          <w:color w:val="000000"/>
          <w:lang w:val="en-US"/>
        </w:rPr>
        <w:t>mg film-coated tablets</w:t>
      </w:r>
    </w:p>
    <w:p w14:paraId="34C605DD" w14:textId="77777777" w:rsidR="001B0E7E" w:rsidRPr="001B0E7E" w:rsidRDefault="001B0E7E" w:rsidP="001B0E7E">
      <w:pPr>
        <w:spacing w:line="240" w:lineRule="auto"/>
        <w:rPr>
          <w:rFonts w:eastAsia="Times New Roman" w:cs="Arial"/>
          <w:color w:val="000000"/>
          <w:lang w:eastAsia="bg-BG"/>
        </w:rPr>
      </w:pPr>
    </w:p>
    <w:p w14:paraId="482E92C7" w14:textId="49C8BB4B" w:rsidR="001B0E7E" w:rsidRPr="001B0E7E" w:rsidRDefault="001B0E7E" w:rsidP="001B0E7E">
      <w:pPr>
        <w:spacing w:line="240" w:lineRule="auto"/>
        <w:rPr>
          <w:rFonts w:eastAsia="Times New Roman" w:cs="Arial"/>
          <w:lang w:val="en-US" w:eastAsia="bg-BG"/>
        </w:rPr>
      </w:pPr>
      <w:r w:rsidRPr="001B0E7E">
        <w:rPr>
          <w:rFonts w:eastAsia="Times New Roman" w:cs="Arial"/>
          <w:color w:val="000000"/>
          <w:lang w:eastAsia="bg-BG"/>
        </w:rPr>
        <w:t xml:space="preserve">Росста </w:t>
      </w:r>
      <w:r w:rsidRPr="001B0E7E">
        <w:rPr>
          <w:rFonts w:eastAsia="Times New Roman" w:cs="Arial"/>
          <w:color w:val="000000"/>
          <w:lang w:val="en-US"/>
        </w:rPr>
        <w:t xml:space="preserve">40 mg </w:t>
      </w:r>
      <w:r w:rsidRPr="001B0E7E">
        <w:rPr>
          <w:rFonts w:eastAsia="Times New Roman" w:cs="Arial"/>
          <w:color w:val="000000"/>
          <w:lang w:eastAsia="bg-BG"/>
        </w:rPr>
        <w:t>филмирани таблетки</w:t>
      </w:r>
    </w:p>
    <w:p w14:paraId="69AC8148" w14:textId="3DC1AAF8" w:rsidR="00EC41ED" w:rsidRPr="001B0E7E" w:rsidRDefault="001B0E7E" w:rsidP="001B0E7E">
      <w:pPr>
        <w:rPr>
          <w:rFonts w:cs="Arial"/>
        </w:rPr>
      </w:pPr>
      <w:proofErr w:type="spellStart"/>
      <w:r w:rsidRPr="001B0E7E">
        <w:rPr>
          <w:rFonts w:eastAsia="Times New Roman" w:cs="Arial"/>
          <w:color w:val="000000"/>
          <w:lang w:val="en-US"/>
        </w:rPr>
        <w:t>Rossta</w:t>
      </w:r>
      <w:proofErr w:type="spellEnd"/>
      <w:r w:rsidRPr="001B0E7E">
        <w:rPr>
          <w:rFonts w:eastAsia="Times New Roman" w:cs="Arial"/>
          <w:color w:val="000000"/>
          <w:lang w:val="en-US"/>
        </w:rPr>
        <w:t xml:space="preserve"> 40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58F79F90" w14:textId="77777777"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 xml:space="preserve">Росста 10 </w:t>
      </w:r>
      <w:r w:rsidRPr="001B0E7E">
        <w:rPr>
          <w:rFonts w:eastAsia="Times New Roman" w:cs="Arial"/>
          <w:b/>
          <w:bCs/>
          <w:color w:val="000000"/>
          <w:lang w:val="en-US"/>
        </w:rPr>
        <w:t xml:space="preserve">mg </w:t>
      </w:r>
      <w:r w:rsidRPr="001B0E7E">
        <w:rPr>
          <w:rFonts w:eastAsia="Times New Roman" w:cs="Arial"/>
          <w:b/>
          <w:bCs/>
          <w:color w:val="000000"/>
          <w:lang w:eastAsia="bg-BG"/>
        </w:rPr>
        <w:t xml:space="preserve">филмирани таблетки: </w:t>
      </w:r>
      <w:r w:rsidRPr="001B0E7E">
        <w:rPr>
          <w:rFonts w:eastAsia="Times New Roman" w:cs="Arial"/>
          <w:color w:val="000000"/>
          <w:lang w:eastAsia="bg-BG"/>
        </w:rPr>
        <w:t xml:space="preserve">Всяка филмирана таблетка съдържа 10,40 </w:t>
      </w:r>
      <w:r w:rsidRPr="001B0E7E">
        <w:rPr>
          <w:rFonts w:eastAsia="Times New Roman" w:cs="Arial"/>
          <w:color w:val="000000"/>
          <w:lang w:val="en-US"/>
        </w:rPr>
        <w:t xml:space="preserve">mg </w:t>
      </w:r>
      <w:r w:rsidRPr="001B0E7E">
        <w:rPr>
          <w:rFonts w:eastAsia="Times New Roman" w:cs="Arial"/>
          <w:color w:val="000000"/>
          <w:lang w:eastAsia="bg-BG"/>
        </w:rPr>
        <w:t xml:space="preserve">розувастатин калций </w:t>
      </w:r>
      <w:r w:rsidRPr="001B0E7E">
        <w:rPr>
          <w:rFonts w:eastAsia="Times New Roman" w:cs="Arial"/>
          <w:color w:val="000000"/>
          <w:lang w:val="en-US"/>
        </w:rPr>
        <w:t>(</w:t>
      </w:r>
      <w:proofErr w:type="spellStart"/>
      <w:r w:rsidRPr="001B0E7E">
        <w:rPr>
          <w:rFonts w:eastAsia="Times New Roman" w:cs="Arial"/>
          <w:color w:val="000000"/>
          <w:lang w:val="en-US"/>
        </w:rPr>
        <w:t>rosuvastatin</w:t>
      </w:r>
      <w:proofErr w:type="spellEnd"/>
      <w:r w:rsidRPr="001B0E7E">
        <w:rPr>
          <w:rFonts w:eastAsia="Times New Roman" w:cs="Arial"/>
          <w:color w:val="000000"/>
          <w:lang w:val="en-US"/>
        </w:rPr>
        <w:t xml:space="preserve"> calcium), </w:t>
      </w:r>
      <w:r w:rsidRPr="001B0E7E">
        <w:rPr>
          <w:rFonts w:eastAsia="Times New Roman" w:cs="Arial"/>
          <w:color w:val="000000"/>
          <w:lang w:eastAsia="bg-BG"/>
        </w:rPr>
        <w:t xml:space="preserve">равняващ се на 10 </w:t>
      </w:r>
      <w:r w:rsidRPr="001B0E7E">
        <w:rPr>
          <w:rFonts w:eastAsia="Times New Roman" w:cs="Arial"/>
          <w:color w:val="000000"/>
          <w:lang w:val="en-US"/>
        </w:rPr>
        <w:t xml:space="preserve">mg </w:t>
      </w:r>
      <w:r w:rsidRPr="001B0E7E">
        <w:rPr>
          <w:rFonts w:eastAsia="Times New Roman" w:cs="Arial"/>
          <w:color w:val="000000"/>
          <w:lang w:eastAsia="bg-BG"/>
        </w:rPr>
        <w:t xml:space="preserve">розувастатин </w:t>
      </w:r>
      <w:r w:rsidRPr="001B0E7E">
        <w:rPr>
          <w:rFonts w:eastAsia="Times New Roman" w:cs="Arial"/>
          <w:color w:val="000000"/>
          <w:lang w:val="en-US"/>
        </w:rPr>
        <w:t>(</w:t>
      </w:r>
      <w:proofErr w:type="spellStart"/>
      <w:r w:rsidRPr="001B0E7E">
        <w:rPr>
          <w:rFonts w:eastAsia="Times New Roman" w:cs="Arial"/>
          <w:color w:val="000000"/>
          <w:lang w:val="en-US"/>
        </w:rPr>
        <w:t>rosuvastatin</w:t>
      </w:r>
      <w:proofErr w:type="spellEnd"/>
      <w:r w:rsidRPr="001B0E7E">
        <w:rPr>
          <w:rFonts w:eastAsia="Times New Roman" w:cs="Arial"/>
          <w:color w:val="000000"/>
          <w:lang w:val="en-US"/>
        </w:rPr>
        <w:t>);</w:t>
      </w:r>
    </w:p>
    <w:p w14:paraId="2EB12D8E" w14:textId="77777777"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 xml:space="preserve">Росста 20 </w:t>
      </w:r>
      <w:r w:rsidRPr="001B0E7E">
        <w:rPr>
          <w:rFonts w:eastAsia="Times New Roman" w:cs="Arial"/>
          <w:b/>
          <w:bCs/>
          <w:color w:val="000000"/>
          <w:lang w:val="en-US"/>
        </w:rPr>
        <w:t xml:space="preserve">mg </w:t>
      </w:r>
      <w:r w:rsidRPr="001B0E7E">
        <w:rPr>
          <w:rFonts w:eastAsia="Times New Roman" w:cs="Arial"/>
          <w:b/>
          <w:bCs/>
          <w:color w:val="000000"/>
          <w:lang w:eastAsia="bg-BG"/>
        </w:rPr>
        <w:t xml:space="preserve">филмирани таблетки: </w:t>
      </w:r>
      <w:r w:rsidRPr="001B0E7E">
        <w:rPr>
          <w:rFonts w:eastAsia="Times New Roman" w:cs="Arial"/>
          <w:color w:val="000000"/>
          <w:lang w:eastAsia="bg-BG"/>
        </w:rPr>
        <w:t xml:space="preserve">Всяка филмирана таблетка съдържа 20,80 </w:t>
      </w:r>
      <w:r w:rsidRPr="001B0E7E">
        <w:rPr>
          <w:rFonts w:eastAsia="Times New Roman" w:cs="Arial"/>
          <w:color w:val="000000"/>
          <w:lang w:val="en-US"/>
        </w:rPr>
        <w:t xml:space="preserve">mg </w:t>
      </w:r>
      <w:r w:rsidRPr="001B0E7E">
        <w:rPr>
          <w:rFonts w:eastAsia="Times New Roman" w:cs="Arial"/>
          <w:color w:val="000000"/>
          <w:lang w:eastAsia="bg-BG"/>
        </w:rPr>
        <w:t xml:space="preserve">розувастатин калций </w:t>
      </w:r>
      <w:r w:rsidRPr="001B0E7E">
        <w:rPr>
          <w:rFonts w:eastAsia="Times New Roman" w:cs="Arial"/>
          <w:color w:val="000000"/>
          <w:lang w:val="en-US"/>
        </w:rPr>
        <w:t>(</w:t>
      </w:r>
      <w:proofErr w:type="spellStart"/>
      <w:r w:rsidRPr="001B0E7E">
        <w:rPr>
          <w:rFonts w:eastAsia="Times New Roman" w:cs="Arial"/>
          <w:color w:val="000000"/>
          <w:lang w:val="en-US"/>
        </w:rPr>
        <w:t>rosuvastatin</w:t>
      </w:r>
      <w:proofErr w:type="spellEnd"/>
      <w:r w:rsidRPr="001B0E7E">
        <w:rPr>
          <w:rFonts w:eastAsia="Times New Roman" w:cs="Arial"/>
          <w:color w:val="000000"/>
          <w:lang w:val="en-US"/>
        </w:rPr>
        <w:t xml:space="preserve"> calcium), </w:t>
      </w:r>
      <w:r w:rsidRPr="001B0E7E">
        <w:rPr>
          <w:rFonts w:eastAsia="Times New Roman" w:cs="Arial"/>
          <w:color w:val="000000"/>
          <w:lang w:eastAsia="bg-BG"/>
        </w:rPr>
        <w:t xml:space="preserve">равняващ се на 20 </w:t>
      </w:r>
      <w:r w:rsidRPr="001B0E7E">
        <w:rPr>
          <w:rFonts w:eastAsia="Times New Roman" w:cs="Arial"/>
          <w:color w:val="000000"/>
          <w:lang w:val="en-US"/>
        </w:rPr>
        <w:t xml:space="preserve">mg </w:t>
      </w:r>
      <w:r w:rsidRPr="001B0E7E">
        <w:rPr>
          <w:rFonts w:eastAsia="Times New Roman" w:cs="Arial"/>
          <w:color w:val="000000"/>
          <w:lang w:eastAsia="bg-BG"/>
        </w:rPr>
        <w:t xml:space="preserve">розувастатин </w:t>
      </w:r>
      <w:r w:rsidRPr="001B0E7E">
        <w:rPr>
          <w:rFonts w:eastAsia="Times New Roman" w:cs="Arial"/>
          <w:color w:val="000000"/>
          <w:lang w:val="en-US"/>
        </w:rPr>
        <w:t>(</w:t>
      </w:r>
      <w:proofErr w:type="spellStart"/>
      <w:r w:rsidRPr="001B0E7E">
        <w:rPr>
          <w:rFonts w:eastAsia="Times New Roman" w:cs="Arial"/>
          <w:color w:val="000000"/>
          <w:lang w:val="en-US"/>
        </w:rPr>
        <w:t>rosuvastatin</w:t>
      </w:r>
      <w:proofErr w:type="spellEnd"/>
      <w:r w:rsidRPr="001B0E7E">
        <w:rPr>
          <w:rFonts w:eastAsia="Times New Roman" w:cs="Arial"/>
          <w:color w:val="000000"/>
          <w:lang w:val="en-US"/>
        </w:rPr>
        <w:t>);</w:t>
      </w:r>
    </w:p>
    <w:p w14:paraId="5E2D7D0C" w14:textId="77777777"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 xml:space="preserve">Росста 40 </w:t>
      </w:r>
      <w:r w:rsidRPr="001B0E7E">
        <w:rPr>
          <w:rFonts w:eastAsia="Times New Roman" w:cs="Arial"/>
          <w:b/>
          <w:bCs/>
          <w:color w:val="000000"/>
          <w:lang w:val="en-US"/>
        </w:rPr>
        <w:t xml:space="preserve">mg </w:t>
      </w:r>
      <w:r w:rsidRPr="001B0E7E">
        <w:rPr>
          <w:rFonts w:eastAsia="Times New Roman" w:cs="Arial"/>
          <w:b/>
          <w:bCs/>
          <w:color w:val="000000"/>
          <w:lang w:eastAsia="bg-BG"/>
        </w:rPr>
        <w:t xml:space="preserve">филмирани таблетки: </w:t>
      </w:r>
      <w:r w:rsidRPr="001B0E7E">
        <w:rPr>
          <w:rFonts w:eastAsia="Times New Roman" w:cs="Arial"/>
          <w:color w:val="000000"/>
          <w:lang w:eastAsia="bg-BG"/>
        </w:rPr>
        <w:t xml:space="preserve">Всяка филмирана таблетка съдържа 41,6 </w:t>
      </w:r>
      <w:r w:rsidRPr="001B0E7E">
        <w:rPr>
          <w:rFonts w:eastAsia="Times New Roman" w:cs="Arial"/>
          <w:color w:val="000000"/>
          <w:lang w:val="en-US"/>
        </w:rPr>
        <w:t xml:space="preserve">mg </w:t>
      </w:r>
      <w:r w:rsidRPr="001B0E7E">
        <w:rPr>
          <w:rFonts w:eastAsia="Times New Roman" w:cs="Arial"/>
          <w:color w:val="000000"/>
          <w:lang w:eastAsia="bg-BG"/>
        </w:rPr>
        <w:t xml:space="preserve">розувастатин калций </w:t>
      </w:r>
      <w:r w:rsidRPr="001B0E7E">
        <w:rPr>
          <w:rFonts w:eastAsia="Times New Roman" w:cs="Arial"/>
          <w:color w:val="000000"/>
          <w:lang w:val="en-US"/>
        </w:rPr>
        <w:t>(</w:t>
      </w:r>
      <w:proofErr w:type="spellStart"/>
      <w:r w:rsidRPr="001B0E7E">
        <w:rPr>
          <w:rFonts w:eastAsia="Times New Roman" w:cs="Arial"/>
          <w:color w:val="000000"/>
          <w:lang w:val="en-US"/>
        </w:rPr>
        <w:t>rosuvastatin</w:t>
      </w:r>
      <w:proofErr w:type="spellEnd"/>
      <w:r w:rsidRPr="001B0E7E">
        <w:rPr>
          <w:rFonts w:eastAsia="Times New Roman" w:cs="Arial"/>
          <w:color w:val="000000"/>
          <w:lang w:val="en-US"/>
        </w:rPr>
        <w:t xml:space="preserve"> calcium), </w:t>
      </w:r>
      <w:r w:rsidRPr="001B0E7E">
        <w:rPr>
          <w:rFonts w:eastAsia="Times New Roman" w:cs="Arial"/>
          <w:color w:val="000000"/>
          <w:lang w:eastAsia="bg-BG"/>
        </w:rPr>
        <w:t xml:space="preserve">равняващ се на 40 </w:t>
      </w:r>
      <w:r w:rsidRPr="001B0E7E">
        <w:rPr>
          <w:rFonts w:eastAsia="Times New Roman" w:cs="Arial"/>
          <w:color w:val="000000"/>
          <w:lang w:val="en-US"/>
        </w:rPr>
        <w:t xml:space="preserve">mg </w:t>
      </w:r>
      <w:r w:rsidRPr="001B0E7E">
        <w:rPr>
          <w:rFonts w:eastAsia="Times New Roman" w:cs="Arial"/>
          <w:color w:val="000000"/>
          <w:lang w:eastAsia="bg-BG"/>
        </w:rPr>
        <w:t xml:space="preserve">розувастатин </w:t>
      </w:r>
      <w:r w:rsidRPr="001B0E7E">
        <w:rPr>
          <w:rFonts w:eastAsia="Times New Roman" w:cs="Arial"/>
          <w:color w:val="000000"/>
          <w:lang w:val="en-US"/>
        </w:rPr>
        <w:t>(</w:t>
      </w:r>
      <w:proofErr w:type="spellStart"/>
      <w:r w:rsidRPr="001B0E7E">
        <w:rPr>
          <w:rFonts w:eastAsia="Times New Roman" w:cs="Arial"/>
          <w:color w:val="000000"/>
          <w:lang w:val="en-US"/>
        </w:rPr>
        <w:t>rosuvastatin</w:t>
      </w:r>
      <w:proofErr w:type="spellEnd"/>
      <w:r w:rsidRPr="001B0E7E">
        <w:rPr>
          <w:rFonts w:eastAsia="Times New Roman" w:cs="Arial"/>
          <w:color w:val="000000"/>
          <w:lang w:val="en-US"/>
        </w:rPr>
        <w:t>);</w:t>
      </w:r>
    </w:p>
    <w:p w14:paraId="6ECC18BD" w14:textId="77777777" w:rsidR="001B0E7E" w:rsidRPr="001B0E7E" w:rsidRDefault="001B0E7E" w:rsidP="001B0E7E">
      <w:pPr>
        <w:spacing w:line="240" w:lineRule="auto"/>
        <w:rPr>
          <w:rFonts w:eastAsia="Times New Roman" w:cs="Arial"/>
          <w:color w:val="000000"/>
          <w:u w:val="single"/>
          <w:lang w:eastAsia="bg-BG"/>
        </w:rPr>
      </w:pPr>
    </w:p>
    <w:p w14:paraId="122314BF" w14:textId="0DCF8FCB" w:rsidR="001B0E7E" w:rsidRPr="001B0E7E" w:rsidRDefault="001B0E7E" w:rsidP="001B0E7E">
      <w:pPr>
        <w:spacing w:line="240" w:lineRule="auto"/>
        <w:rPr>
          <w:rFonts w:eastAsia="Times New Roman" w:cs="Arial"/>
          <w:lang w:eastAsia="bg-BG"/>
        </w:rPr>
      </w:pPr>
      <w:r w:rsidRPr="001B0E7E">
        <w:rPr>
          <w:rFonts w:eastAsia="Times New Roman" w:cs="Arial"/>
          <w:color w:val="000000"/>
          <w:u w:val="single"/>
          <w:lang w:eastAsia="bg-BG"/>
        </w:rPr>
        <w:t>Помощни вещества с известно действие:</w:t>
      </w:r>
    </w:p>
    <w:p w14:paraId="66DF9FA1"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Всяка 10 </w:t>
      </w:r>
      <w:r w:rsidRPr="001B0E7E">
        <w:rPr>
          <w:rFonts w:eastAsia="Times New Roman" w:cs="Arial"/>
          <w:color w:val="000000"/>
          <w:lang w:val="en-US"/>
        </w:rPr>
        <w:t xml:space="preserve">mg </w:t>
      </w:r>
      <w:r w:rsidRPr="001B0E7E">
        <w:rPr>
          <w:rFonts w:eastAsia="Times New Roman" w:cs="Arial"/>
          <w:color w:val="000000"/>
          <w:lang w:eastAsia="bg-BG"/>
        </w:rPr>
        <w:t xml:space="preserve">филмирана таблетка съдържа 93,30 </w:t>
      </w:r>
      <w:r w:rsidRPr="001B0E7E">
        <w:rPr>
          <w:rFonts w:eastAsia="Times New Roman" w:cs="Arial"/>
          <w:color w:val="000000"/>
          <w:lang w:val="en-US"/>
        </w:rPr>
        <w:t xml:space="preserve">mg </w:t>
      </w:r>
      <w:r w:rsidRPr="001B0E7E">
        <w:rPr>
          <w:rFonts w:eastAsia="Times New Roman" w:cs="Arial"/>
          <w:color w:val="000000"/>
          <w:lang w:eastAsia="bg-BG"/>
        </w:rPr>
        <w:t xml:space="preserve">лактоза монохидрат, 0,057 </w:t>
      </w:r>
      <w:r w:rsidRPr="001B0E7E">
        <w:rPr>
          <w:rFonts w:eastAsia="Times New Roman" w:cs="Arial"/>
          <w:color w:val="000000"/>
          <w:lang w:val="en-US"/>
        </w:rPr>
        <w:t xml:space="preserve">mg </w:t>
      </w:r>
      <w:r w:rsidRPr="001B0E7E">
        <w:rPr>
          <w:rFonts w:eastAsia="Times New Roman" w:cs="Arial"/>
          <w:color w:val="000000"/>
          <w:lang w:eastAsia="bg-BG"/>
        </w:rPr>
        <w:t xml:space="preserve">алура червен АС алуминиев лак (Е129), 0,0495 </w:t>
      </w:r>
      <w:r w:rsidRPr="001B0E7E">
        <w:rPr>
          <w:rFonts w:eastAsia="Times New Roman" w:cs="Arial"/>
          <w:color w:val="000000"/>
          <w:lang w:val="en-US"/>
        </w:rPr>
        <w:t xml:space="preserve">mg </w:t>
      </w:r>
      <w:r w:rsidRPr="001B0E7E">
        <w:rPr>
          <w:rFonts w:eastAsia="Times New Roman" w:cs="Arial"/>
          <w:color w:val="000000"/>
          <w:lang w:eastAsia="bg-BG"/>
        </w:rPr>
        <w:t xml:space="preserve">сънсет жълт </w:t>
      </w:r>
      <w:r w:rsidRPr="001B0E7E">
        <w:rPr>
          <w:rFonts w:eastAsia="Times New Roman" w:cs="Arial"/>
          <w:color w:val="000000"/>
          <w:lang w:val="en-US"/>
        </w:rPr>
        <w:t xml:space="preserve">FCF </w:t>
      </w:r>
      <w:r w:rsidRPr="001B0E7E">
        <w:rPr>
          <w:rFonts w:eastAsia="Times New Roman" w:cs="Arial"/>
          <w:color w:val="000000"/>
          <w:lang w:eastAsia="bg-BG"/>
        </w:rPr>
        <w:t xml:space="preserve">алуминиев лак (Е110) и 0,1 </w:t>
      </w:r>
      <w:r w:rsidRPr="001B0E7E">
        <w:rPr>
          <w:rFonts w:eastAsia="Times New Roman" w:cs="Arial"/>
          <w:color w:val="000000"/>
          <w:lang w:val="en-US"/>
        </w:rPr>
        <w:t xml:space="preserve">mg </w:t>
      </w:r>
      <w:r w:rsidRPr="001B0E7E">
        <w:rPr>
          <w:rFonts w:eastAsia="Times New Roman" w:cs="Arial"/>
          <w:color w:val="000000"/>
          <w:lang w:eastAsia="bg-BG"/>
        </w:rPr>
        <w:t>лецитин (соя) (Е322) (виж точка 4.4).</w:t>
      </w:r>
    </w:p>
    <w:p w14:paraId="2BFBBED4"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Всяка 20 </w:t>
      </w:r>
      <w:r w:rsidRPr="001B0E7E">
        <w:rPr>
          <w:rFonts w:eastAsia="Times New Roman" w:cs="Arial"/>
          <w:color w:val="000000"/>
          <w:lang w:val="en-US"/>
        </w:rPr>
        <w:t xml:space="preserve">mg </w:t>
      </w:r>
      <w:r w:rsidRPr="001B0E7E">
        <w:rPr>
          <w:rFonts w:eastAsia="Times New Roman" w:cs="Arial"/>
          <w:color w:val="000000"/>
          <w:lang w:eastAsia="bg-BG"/>
        </w:rPr>
        <w:t xml:space="preserve">филмирана таблетка съдържа 186,60 </w:t>
      </w:r>
      <w:r w:rsidRPr="001B0E7E">
        <w:rPr>
          <w:rFonts w:eastAsia="Times New Roman" w:cs="Arial"/>
          <w:color w:val="000000"/>
          <w:lang w:val="en-US"/>
        </w:rPr>
        <w:t xml:space="preserve">mg </w:t>
      </w:r>
      <w:r w:rsidRPr="001B0E7E">
        <w:rPr>
          <w:rFonts w:eastAsia="Times New Roman" w:cs="Arial"/>
          <w:color w:val="000000"/>
          <w:lang w:eastAsia="bg-BG"/>
        </w:rPr>
        <w:t xml:space="preserve">лактоза монохидрат, 0,114 </w:t>
      </w:r>
      <w:r w:rsidRPr="001B0E7E">
        <w:rPr>
          <w:rFonts w:eastAsia="Times New Roman" w:cs="Arial"/>
          <w:color w:val="000000"/>
          <w:lang w:val="en-US"/>
        </w:rPr>
        <w:t xml:space="preserve">mg </w:t>
      </w:r>
      <w:r w:rsidRPr="001B0E7E">
        <w:rPr>
          <w:rFonts w:eastAsia="Times New Roman" w:cs="Arial"/>
          <w:color w:val="000000"/>
          <w:lang w:eastAsia="bg-BG"/>
        </w:rPr>
        <w:t xml:space="preserve">алура червен АС алуминиев лак (Е 129), 0,099 </w:t>
      </w:r>
      <w:r w:rsidRPr="001B0E7E">
        <w:rPr>
          <w:rFonts w:eastAsia="Times New Roman" w:cs="Arial"/>
          <w:color w:val="000000"/>
          <w:lang w:val="en-US"/>
        </w:rPr>
        <w:t xml:space="preserve">mg </w:t>
      </w:r>
      <w:r w:rsidRPr="001B0E7E">
        <w:rPr>
          <w:rFonts w:eastAsia="Times New Roman" w:cs="Arial"/>
          <w:color w:val="000000"/>
          <w:lang w:eastAsia="bg-BG"/>
        </w:rPr>
        <w:t xml:space="preserve">сънсет жълт </w:t>
      </w:r>
      <w:r w:rsidRPr="001B0E7E">
        <w:rPr>
          <w:rFonts w:eastAsia="Times New Roman" w:cs="Arial"/>
          <w:color w:val="000000"/>
          <w:lang w:val="en-US"/>
        </w:rPr>
        <w:t xml:space="preserve">FCF </w:t>
      </w:r>
      <w:r w:rsidRPr="001B0E7E">
        <w:rPr>
          <w:rFonts w:eastAsia="Times New Roman" w:cs="Arial"/>
          <w:color w:val="000000"/>
          <w:lang w:eastAsia="bg-BG"/>
        </w:rPr>
        <w:t xml:space="preserve">алуминиев лак (Е110) и 0,2 </w:t>
      </w:r>
      <w:r w:rsidRPr="001B0E7E">
        <w:rPr>
          <w:rFonts w:eastAsia="Times New Roman" w:cs="Arial"/>
          <w:color w:val="000000"/>
          <w:lang w:val="en-US"/>
        </w:rPr>
        <w:t xml:space="preserve">mg </w:t>
      </w:r>
      <w:r w:rsidRPr="001B0E7E">
        <w:rPr>
          <w:rFonts w:eastAsia="Times New Roman" w:cs="Arial"/>
          <w:color w:val="000000"/>
          <w:lang w:eastAsia="bg-BG"/>
        </w:rPr>
        <w:t>лецитин (соя) (Е322) (виж точка 4.4).</w:t>
      </w:r>
    </w:p>
    <w:p w14:paraId="73D48E99"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Всяка 40 </w:t>
      </w:r>
      <w:r w:rsidRPr="001B0E7E">
        <w:rPr>
          <w:rFonts w:eastAsia="Times New Roman" w:cs="Arial"/>
          <w:color w:val="000000"/>
          <w:lang w:val="en-US"/>
        </w:rPr>
        <w:t xml:space="preserve">mg </w:t>
      </w:r>
      <w:r w:rsidRPr="001B0E7E">
        <w:rPr>
          <w:rFonts w:eastAsia="Times New Roman" w:cs="Arial"/>
          <w:color w:val="000000"/>
          <w:lang w:eastAsia="bg-BG"/>
        </w:rPr>
        <w:t xml:space="preserve">филмирана таблетка съдържа 181,05 </w:t>
      </w:r>
      <w:r w:rsidRPr="001B0E7E">
        <w:rPr>
          <w:rFonts w:eastAsia="Times New Roman" w:cs="Arial"/>
          <w:color w:val="000000"/>
          <w:lang w:val="en-US"/>
        </w:rPr>
        <w:t xml:space="preserve">mg </w:t>
      </w:r>
      <w:r w:rsidRPr="001B0E7E">
        <w:rPr>
          <w:rFonts w:eastAsia="Times New Roman" w:cs="Arial"/>
          <w:color w:val="000000"/>
          <w:lang w:eastAsia="bg-BG"/>
        </w:rPr>
        <w:t xml:space="preserve">лактоза монохидрат, 0,114 </w:t>
      </w:r>
      <w:r w:rsidRPr="001B0E7E">
        <w:rPr>
          <w:rFonts w:eastAsia="Times New Roman" w:cs="Arial"/>
          <w:color w:val="000000"/>
          <w:lang w:val="en-US"/>
        </w:rPr>
        <w:t xml:space="preserve">mg </w:t>
      </w:r>
      <w:r w:rsidRPr="001B0E7E">
        <w:rPr>
          <w:rFonts w:eastAsia="Times New Roman" w:cs="Arial"/>
          <w:color w:val="000000"/>
          <w:lang w:eastAsia="bg-BG"/>
        </w:rPr>
        <w:t xml:space="preserve">алура червен АС алуминиев лак (Е129), 0,099 </w:t>
      </w:r>
      <w:r w:rsidRPr="001B0E7E">
        <w:rPr>
          <w:rFonts w:eastAsia="Times New Roman" w:cs="Arial"/>
          <w:color w:val="000000"/>
          <w:lang w:val="en-US"/>
        </w:rPr>
        <w:t xml:space="preserve">mg </w:t>
      </w:r>
      <w:r w:rsidRPr="001B0E7E">
        <w:rPr>
          <w:rFonts w:eastAsia="Times New Roman" w:cs="Arial"/>
          <w:color w:val="000000"/>
          <w:lang w:eastAsia="bg-BG"/>
        </w:rPr>
        <w:t xml:space="preserve">сънсет жълт </w:t>
      </w:r>
      <w:r w:rsidRPr="001B0E7E">
        <w:rPr>
          <w:rFonts w:eastAsia="Times New Roman" w:cs="Arial"/>
          <w:color w:val="000000"/>
          <w:lang w:val="en-US"/>
        </w:rPr>
        <w:t xml:space="preserve">FCF </w:t>
      </w:r>
      <w:r w:rsidRPr="001B0E7E">
        <w:rPr>
          <w:rFonts w:eastAsia="Times New Roman" w:cs="Arial"/>
          <w:color w:val="000000"/>
          <w:lang w:eastAsia="bg-BG"/>
        </w:rPr>
        <w:t xml:space="preserve">алуминиев лак (Е110) и 0,2 </w:t>
      </w:r>
      <w:r w:rsidRPr="001B0E7E">
        <w:rPr>
          <w:rFonts w:eastAsia="Times New Roman" w:cs="Arial"/>
          <w:color w:val="000000"/>
          <w:lang w:val="en-US"/>
        </w:rPr>
        <w:t xml:space="preserve">mg </w:t>
      </w:r>
      <w:r w:rsidRPr="001B0E7E">
        <w:rPr>
          <w:rFonts w:eastAsia="Times New Roman" w:cs="Arial"/>
          <w:color w:val="000000"/>
          <w:lang w:eastAsia="bg-BG"/>
        </w:rPr>
        <w:t>лецитин (соя) (Е322) (виж точка 4.4).</w:t>
      </w:r>
    </w:p>
    <w:p w14:paraId="0B1A5F88" w14:textId="77777777" w:rsidR="001B0E7E" w:rsidRPr="001B0E7E" w:rsidRDefault="001B0E7E" w:rsidP="001B0E7E">
      <w:pPr>
        <w:rPr>
          <w:rFonts w:eastAsia="Times New Roman" w:cs="Arial"/>
          <w:color w:val="000000"/>
          <w:lang w:eastAsia="bg-BG"/>
        </w:rPr>
      </w:pPr>
    </w:p>
    <w:p w14:paraId="54632B43" w14:textId="1C33D260" w:rsidR="00EC41ED" w:rsidRPr="001B0E7E" w:rsidRDefault="001B0E7E" w:rsidP="001B0E7E">
      <w:pPr>
        <w:rPr>
          <w:rFonts w:cs="Arial"/>
        </w:rPr>
      </w:pPr>
      <w:r w:rsidRPr="001B0E7E">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063D2681"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Филмирана таблетка.</w:t>
      </w:r>
    </w:p>
    <w:p w14:paraId="2BCDFB5F" w14:textId="77777777" w:rsidR="001B0E7E" w:rsidRDefault="001B0E7E" w:rsidP="001B0E7E">
      <w:pPr>
        <w:spacing w:line="240" w:lineRule="auto"/>
        <w:rPr>
          <w:rFonts w:ascii="Times New Roman" w:eastAsia="Times New Roman" w:hAnsi="Times New Roman" w:cs="Times New Roman"/>
          <w:color w:val="000000"/>
          <w:sz w:val="20"/>
          <w:szCs w:val="20"/>
          <w:lang w:eastAsia="bg-BG"/>
        </w:rPr>
      </w:pPr>
    </w:p>
    <w:p w14:paraId="72FACB8C" w14:textId="6F5505D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Росста 10 </w:t>
      </w:r>
      <w:r w:rsidRPr="001B0E7E">
        <w:rPr>
          <w:rFonts w:eastAsia="Times New Roman" w:cs="Arial"/>
          <w:color w:val="000000"/>
          <w:lang w:val="en-US"/>
        </w:rPr>
        <w:t xml:space="preserve">mg </w:t>
      </w:r>
      <w:r w:rsidRPr="001B0E7E">
        <w:rPr>
          <w:rFonts w:eastAsia="Times New Roman" w:cs="Arial"/>
          <w:color w:val="000000"/>
          <w:lang w:eastAsia="bg-BG"/>
        </w:rPr>
        <w:t xml:space="preserve">филмирани таблетки са розови, с надпис 10 от едната страна, кръгли, двойноизпъкнали филмирани таблетки с диаметър 7,10 </w:t>
      </w:r>
      <w:r w:rsidRPr="001B0E7E">
        <w:rPr>
          <w:rFonts w:eastAsia="Times New Roman" w:cs="Arial"/>
          <w:color w:val="000000"/>
          <w:lang w:val="en-US"/>
        </w:rPr>
        <w:t xml:space="preserve">mm </w:t>
      </w:r>
      <w:r w:rsidRPr="001B0E7E">
        <w:rPr>
          <w:rFonts w:eastAsia="Times New Roman" w:cs="Arial"/>
          <w:color w:val="000000"/>
          <w:lang w:eastAsia="bg-BG"/>
        </w:rPr>
        <w:t xml:space="preserve">(± 0,5 </w:t>
      </w:r>
      <w:r w:rsidRPr="001B0E7E">
        <w:rPr>
          <w:rFonts w:eastAsia="Times New Roman" w:cs="Arial"/>
          <w:color w:val="000000"/>
          <w:lang w:val="en-US"/>
        </w:rPr>
        <w:t>mm).</w:t>
      </w:r>
    </w:p>
    <w:p w14:paraId="1A5FABE7"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lastRenderedPageBreak/>
        <w:t xml:space="preserve">Росста 20 </w:t>
      </w:r>
      <w:r w:rsidRPr="001B0E7E">
        <w:rPr>
          <w:rFonts w:eastAsia="Times New Roman" w:cs="Arial"/>
          <w:color w:val="000000"/>
          <w:lang w:val="en-US"/>
        </w:rPr>
        <w:t xml:space="preserve">mg </w:t>
      </w:r>
      <w:r w:rsidRPr="001B0E7E">
        <w:rPr>
          <w:rFonts w:eastAsia="Times New Roman" w:cs="Arial"/>
          <w:color w:val="000000"/>
          <w:lang w:eastAsia="bg-BG"/>
        </w:rPr>
        <w:t xml:space="preserve">филмирани таблетки са розови, с надпис 20 от едната страна, кръгли, двойноизпъкнали филмирани таблетки с диаметър 9,10 </w:t>
      </w:r>
      <w:r w:rsidRPr="001B0E7E">
        <w:rPr>
          <w:rFonts w:eastAsia="Times New Roman" w:cs="Arial"/>
          <w:color w:val="000000"/>
          <w:lang w:val="en-US"/>
        </w:rPr>
        <w:t xml:space="preserve">mm </w:t>
      </w:r>
      <w:r w:rsidRPr="001B0E7E">
        <w:rPr>
          <w:rFonts w:eastAsia="Times New Roman" w:cs="Arial"/>
          <w:color w:val="000000"/>
          <w:lang w:eastAsia="bg-BG"/>
        </w:rPr>
        <w:t xml:space="preserve">(± 0,5 </w:t>
      </w:r>
      <w:r w:rsidRPr="001B0E7E">
        <w:rPr>
          <w:rFonts w:eastAsia="Times New Roman" w:cs="Arial"/>
          <w:color w:val="000000"/>
          <w:lang w:val="en-US"/>
        </w:rPr>
        <w:t>mm).</w:t>
      </w:r>
    </w:p>
    <w:p w14:paraId="743244F0" w14:textId="63528213" w:rsidR="00EC41ED" w:rsidRPr="001B0E7E" w:rsidRDefault="001B0E7E" w:rsidP="001B0E7E">
      <w:pPr>
        <w:rPr>
          <w:rFonts w:cs="Arial"/>
        </w:rPr>
      </w:pPr>
      <w:r w:rsidRPr="001B0E7E">
        <w:rPr>
          <w:rFonts w:eastAsia="Times New Roman" w:cs="Arial"/>
          <w:color w:val="000000"/>
          <w:lang w:eastAsia="bg-BG"/>
        </w:rPr>
        <w:t xml:space="preserve">Росста 40 </w:t>
      </w:r>
      <w:r w:rsidRPr="001B0E7E">
        <w:rPr>
          <w:rFonts w:eastAsia="Times New Roman" w:cs="Arial"/>
          <w:color w:val="000000"/>
          <w:lang w:val="en-US"/>
        </w:rPr>
        <w:t xml:space="preserve">mg </w:t>
      </w:r>
      <w:r w:rsidRPr="001B0E7E">
        <w:rPr>
          <w:rFonts w:eastAsia="Times New Roman" w:cs="Arial"/>
          <w:color w:val="000000"/>
          <w:lang w:eastAsia="bg-BG"/>
        </w:rPr>
        <w:t xml:space="preserve">филмирани таблетки са розови, с надпис 40 от едната страна, елипсовидни, двойно изпъкнали, филмирани таблетки с размер 11,70 </w:t>
      </w:r>
      <w:r w:rsidRPr="001B0E7E">
        <w:rPr>
          <w:rFonts w:eastAsia="Times New Roman" w:cs="Arial"/>
          <w:color w:val="000000"/>
          <w:lang w:val="en-US"/>
        </w:rPr>
        <w:t xml:space="preserve">mm </w:t>
      </w:r>
      <w:r w:rsidRPr="001B0E7E">
        <w:rPr>
          <w:rFonts w:eastAsia="Times New Roman" w:cs="Arial"/>
          <w:color w:val="000000"/>
          <w:lang w:eastAsia="bg-BG"/>
        </w:rPr>
        <w:t xml:space="preserve">(± 0,5 </w:t>
      </w:r>
      <w:r w:rsidRPr="001B0E7E">
        <w:rPr>
          <w:rFonts w:eastAsia="Times New Roman" w:cs="Arial"/>
          <w:color w:val="000000"/>
          <w:lang w:val="en-US"/>
        </w:rPr>
        <w:t xml:space="preserve">mm) </w:t>
      </w:r>
      <w:r w:rsidRPr="001B0E7E">
        <w:rPr>
          <w:rFonts w:eastAsia="Times New Roman" w:cs="Arial"/>
          <w:color w:val="000000"/>
          <w:lang w:eastAsia="bg-BG"/>
        </w:rPr>
        <w:t xml:space="preserve">на дължина и 7,10 </w:t>
      </w:r>
      <w:r w:rsidRPr="001B0E7E">
        <w:rPr>
          <w:rFonts w:eastAsia="Times New Roman" w:cs="Arial"/>
          <w:color w:val="000000"/>
          <w:lang w:val="en-US"/>
        </w:rPr>
        <w:t xml:space="preserve">mm </w:t>
      </w:r>
      <w:r w:rsidRPr="001B0E7E">
        <w:rPr>
          <w:rFonts w:eastAsia="Times New Roman" w:cs="Arial"/>
          <w:color w:val="000000"/>
          <w:lang w:eastAsia="bg-BG"/>
        </w:rPr>
        <w:t xml:space="preserve">(± 0,5 </w:t>
      </w:r>
      <w:r w:rsidRPr="001B0E7E">
        <w:rPr>
          <w:rFonts w:eastAsia="Times New Roman" w:cs="Arial"/>
          <w:color w:val="000000"/>
          <w:lang w:val="en-US"/>
        </w:rPr>
        <w:t xml:space="preserve">mm) </w:t>
      </w:r>
      <w:r w:rsidRPr="001B0E7E">
        <w:rPr>
          <w:rFonts w:eastAsia="Times New Roman" w:cs="Arial"/>
          <w:color w:val="000000"/>
          <w:lang w:eastAsia="bg-BG"/>
        </w:rPr>
        <w:t>на ширина.</w:t>
      </w:r>
    </w:p>
    <w:p w14:paraId="7D287A22" w14:textId="1AD3B93B"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6EB2F2F" w14:textId="77777777" w:rsidR="001B0E7E" w:rsidRPr="001B0E7E" w:rsidRDefault="001B0E7E" w:rsidP="001B0E7E">
      <w:pPr>
        <w:spacing w:line="240" w:lineRule="auto"/>
        <w:rPr>
          <w:rFonts w:eastAsia="Times New Roman" w:cs="Arial"/>
          <w:lang w:eastAsia="bg-BG"/>
        </w:rPr>
      </w:pPr>
      <w:bookmarkStart w:id="1" w:name="bookmark0"/>
      <w:bookmarkEnd w:id="1"/>
      <w:r w:rsidRPr="001B0E7E">
        <w:rPr>
          <w:rFonts w:eastAsia="Times New Roman" w:cs="Arial"/>
          <w:b/>
          <w:bCs/>
          <w:color w:val="000000"/>
          <w:lang w:eastAsia="bg-BG"/>
        </w:rPr>
        <w:t>Лечение на хиперхолестеролемия</w:t>
      </w:r>
      <w:r w:rsidRPr="001B0E7E">
        <w:rPr>
          <w:rFonts w:eastAsia="Times New Roman" w:cs="Arial"/>
          <w:b/>
          <w:bCs/>
          <w:color w:val="000000"/>
          <w:lang w:eastAsia="bg-BG"/>
        </w:rPr>
        <w:tab/>
      </w:r>
    </w:p>
    <w:p w14:paraId="577DE88D"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Възрастни, юноши и деца над 6-годишна възраст с първична хиперхолестеролемия (тип II</w:t>
      </w:r>
      <w:r w:rsidRPr="001B0E7E">
        <w:rPr>
          <w:rFonts w:eastAsia="Times New Roman" w:cs="Arial"/>
          <w:color w:val="000000"/>
          <w:lang w:val="en-US"/>
        </w:rPr>
        <w:t>a</w:t>
      </w:r>
    </w:p>
    <w:p w14:paraId="2D7FC626" w14:textId="77777777" w:rsidR="001B0E7E" w:rsidRPr="001B0E7E" w:rsidRDefault="001B0E7E" w:rsidP="001B0E7E">
      <w:pPr>
        <w:rPr>
          <w:rFonts w:eastAsia="Times New Roman" w:cs="Arial"/>
          <w:lang w:eastAsia="bg-BG"/>
        </w:rPr>
      </w:pPr>
      <w:r w:rsidRPr="001B0E7E">
        <w:rPr>
          <w:rFonts w:eastAsia="Times New Roman" w:cs="Arial"/>
          <w:color w:val="000000"/>
          <w:lang w:eastAsia="bg-BG"/>
        </w:rPr>
        <w:t>включително хетерозиготна фамилна хиперхолестеролемия) или смесена дислипидемия</w:t>
      </w:r>
      <w:r w:rsidRPr="001B0E7E">
        <w:rPr>
          <w:rFonts w:eastAsia="Times New Roman" w:cs="Arial"/>
          <w:color w:val="000000"/>
          <w:lang w:val="en-US"/>
        </w:rPr>
        <w:t xml:space="preserve"> (</w:t>
      </w:r>
      <w:r w:rsidRPr="001B0E7E">
        <w:rPr>
          <w:rFonts w:eastAsia="Times New Roman" w:cs="Arial"/>
          <w:color w:val="000000"/>
          <w:lang w:eastAsia="bg-BG"/>
        </w:rPr>
        <w:t>тип II</w:t>
      </w:r>
      <w:r w:rsidRPr="001B0E7E">
        <w:rPr>
          <w:rFonts w:eastAsia="Times New Roman" w:cs="Arial"/>
          <w:color w:val="000000"/>
          <w:lang w:val="en-US"/>
        </w:rPr>
        <w:t>b</w:t>
      </w:r>
      <w:r w:rsidRPr="001B0E7E">
        <w:rPr>
          <w:rFonts w:eastAsia="Times New Roman" w:cs="Arial"/>
          <w:color w:val="000000"/>
          <w:lang w:eastAsia="bg-BG"/>
        </w:rPr>
        <w:t>) като добавка към диетата, когато резултатът от диетата и други нефармакологични мерки (като физически упражнения, намаляване на теглото) не е задоволителен.</w:t>
      </w:r>
    </w:p>
    <w:p w14:paraId="2B7BCCF6" w14:textId="77777777" w:rsidR="001B0E7E" w:rsidRPr="001B0E7E" w:rsidRDefault="001B0E7E" w:rsidP="001B0E7E">
      <w:pPr>
        <w:spacing w:line="240" w:lineRule="auto"/>
        <w:rPr>
          <w:rFonts w:eastAsia="Times New Roman" w:cs="Arial"/>
          <w:color w:val="000000"/>
          <w:lang w:eastAsia="bg-BG"/>
        </w:rPr>
      </w:pPr>
    </w:p>
    <w:p w14:paraId="19E17B4B" w14:textId="22A4E898"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Възрастни, юноши и деца на или над 6-годишна възраст с хомозиготна фамилна хиперхолестеролемия като добавка към диетата, и друго липидопоиижаващо лечение (напр. </w:t>
      </w:r>
      <w:r w:rsidRPr="001B0E7E">
        <w:rPr>
          <w:rFonts w:eastAsia="Times New Roman" w:cs="Arial"/>
          <w:color w:val="000000"/>
          <w:lang w:val="en-US"/>
        </w:rPr>
        <w:t xml:space="preserve">LDL </w:t>
      </w:r>
      <w:r w:rsidRPr="001B0E7E">
        <w:rPr>
          <w:rFonts w:eastAsia="Times New Roman" w:cs="Arial"/>
          <w:color w:val="000000"/>
          <w:lang w:eastAsia="bg-BG"/>
        </w:rPr>
        <w:t>афереза) или когато това лечение не е подходящо.</w:t>
      </w:r>
    </w:p>
    <w:p w14:paraId="0A4F6366" w14:textId="77777777" w:rsidR="001B0E7E" w:rsidRPr="001B0E7E" w:rsidRDefault="001B0E7E" w:rsidP="001B0E7E">
      <w:pPr>
        <w:spacing w:line="240" w:lineRule="auto"/>
        <w:rPr>
          <w:rFonts w:eastAsia="Times New Roman" w:cs="Arial"/>
          <w:b/>
          <w:bCs/>
          <w:color w:val="000000"/>
          <w:lang w:eastAsia="bg-BG"/>
        </w:rPr>
      </w:pPr>
    </w:p>
    <w:p w14:paraId="7A43BDC4" w14:textId="462B685C"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Превенция на сърдечно-съдови събития</w:t>
      </w:r>
    </w:p>
    <w:p w14:paraId="6DFA4B9D" w14:textId="13D3FA06" w:rsidR="0091385D" w:rsidRPr="001B0E7E" w:rsidRDefault="001B0E7E" w:rsidP="001B0E7E">
      <w:pPr>
        <w:rPr>
          <w:rFonts w:cs="Arial"/>
        </w:rPr>
      </w:pPr>
      <w:r w:rsidRPr="001B0E7E">
        <w:rPr>
          <w:rFonts w:eastAsia="Times New Roman" w:cs="Arial"/>
          <w:color w:val="000000"/>
          <w:lang w:eastAsia="bg-BG"/>
        </w:rPr>
        <w:t>Предотвратяване на големи сърдечно-съдови събития при пациенти, оценени с висок риск за първо сърдечно-съдово събитие (вж. точка 5.1) като допълнение към коригирането на други рискови фактори.</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311FDEE8"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Преди започване на терапията, пациентът трябва да бъде поставен на стандартна диета за понижаване нивото на холестерола, която да продължи и по време на лечението. Изборът на дозировки зависи от индивидуалните терапевтични цели, определени от препоръки на съвременните консенсусни ръководства за контрол на холестеролемията.</w:t>
      </w:r>
    </w:p>
    <w:p w14:paraId="618DEDBA" w14:textId="77777777" w:rsidR="001B0E7E" w:rsidRPr="001B0E7E" w:rsidRDefault="001B0E7E" w:rsidP="001B0E7E">
      <w:pPr>
        <w:spacing w:line="240" w:lineRule="auto"/>
        <w:rPr>
          <w:rFonts w:eastAsia="Times New Roman" w:cs="Arial"/>
          <w:color w:val="000000"/>
          <w:u w:val="single"/>
          <w:lang w:eastAsia="bg-BG"/>
        </w:rPr>
      </w:pPr>
    </w:p>
    <w:p w14:paraId="2EB7435F" w14:textId="69C26447" w:rsidR="001B0E7E" w:rsidRPr="001B0E7E" w:rsidRDefault="001B0E7E" w:rsidP="001B0E7E">
      <w:pPr>
        <w:pStyle w:val="Heading3"/>
        <w:rPr>
          <w:rFonts w:eastAsia="Times New Roman"/>
          <w:u w:val="single"/>
          <w:lang w:eastAsia="bg-BG"/>
        </w:rPr>
      </w:pPr>
      <w:r w:rsidRPr="001B0E7E">
        <w:rPr>
          <w:rFonts w:eastAsia="Times New Roman"/>
          <w:u w:val="single"/>
          <w:lang w:eastAsia="bg-BG"/>
        </w:rPr>
        <w:t>Дозировка</w:t>
      </w:r>
    </w:p>
    <w:p w14:paraId="3CF5DC11" w14:textId="77777777" w:rsidR="001B0E7E" w:rsidRPr="001B0E7E" w:rsidRDefault="001B0E7E" w:rsidP="001B0E7E">
      <w:pPr>
        <w:spacing w:line="240" w:lineRule="auto"/>
        <w:rPr>
          <w:rFonts w:eastAsia="Times New Roman" w:cs="Arial"/>
          <w:b/>
          <w:bCs/>
          <w:color w:val="000000"/>
          <w:lang w:eastAsia="bg-BG"/>
        </w:rPr>
      </w:pPr>
    </w:p>
    <w:p w14:paraId="47A06C3A" w14:textId="1CE5F507"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Лечение на хиперхолестеролемия</w:t>
      </w:r>
    </w:p>
    <w:p w14:paraId="7064C94E" w14:textId="6BEC82E0"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Препоръчваната начална доза е 5 или 10 </w:t>
      </w:r>
      <w:r w:rsidRPr="001B0E7E">
        <w:rPr>
          <w:rFonts w:eastAsia="Times New Roman" w:cs="Arial"/>
          <w:color w:val="000000"/>
          <w:lang w:val="en-US"/>
        </w:rPr>
        <w:t xml:space="preserve">mg </w:t>
      </w:r>
      <w:r w:rsidRPr="001B0E7E">
        <w:rPr>
          <w:rFonts w:eastAsia="Times New Roman" w:cs="Arial"/>
          <w:color w:val="000000"/>
          <w:lang w:eastAsia="bg-BG"/>
        </w:rPr>
        <w:t xml:space="preserve">веднъж дневно както при пациенти, които не са приемали статини, така и при преминаване от друг инхибитор на </w:t>
      </w:r>
      <w:r w:rsidRPr="001B0E7E">
        <w:rPr>
          <w:rFonts w:eastAsia="Times New Roman" w:cs="Arial"/>
          <w:color w:val="000000"/>
          <w:lang w:val="en-US"/>
        </w:rPr>
        <w:t xml:space="preserve">HMG-CoA </w:t>
      </w:r>
      <w:r w:rsidRPr="001B0E7E">
        <w:rPr>
          <w:rFonts w:eastAsia="Times New Roman" w:cs="Arial"/>
          <w:color w:val="000000"/>
          <w:lang w:eastAsia="bg-BG"/>
        </w:rPr>
        <w:t xml:space="preserve">редуктазата. Изборът на началната доза от медикамента зависи от нивото на серумния холестерол, бъдещия сърдечно-съдов риск и риска от поява на нежелани реакции към лечението (виж по-долу). При необходимост дозата може да се коригира, като се премине на следващото дозово ниво след 4 седмици (вж. точка 5.1). В сравнение с по-ниските дози и предвид повишената честота на съобщаване на нежелани реакции при доза от 40 </w:t>
      </w:r>
      <w:r w:rsidRPr="001B0E7E">
        <w:rPr>
          <w:rFonts w:eastAsia="Times New Roman" w:cs="Arial"/>
          <w:color w:val="000000"/>
          <w:lang w:val="en-US"/>
        </w:rPr>
        <w:t xml:space="preserve">mg, </w:t>
      </w:r>
      <w:r w:rsidRPr="001B0E7E">
        <w:rPr>
          <w:rFonts w:eastAsia="Times New Roman" w:cs="Arial"/>
          <w:color w:val="000000"/>
          <w:lang w:eastAsia="bg-BG"/>
        </w:rPr>
        <w:t xml:space="preserve">в сравнение с по-ниските (вж. точка 4.8), последното титриране до максималната доза от 40 </w:t>
      </w:r>
      <w:r w:rsidRPr="001B0E7E">
        <w:rPr>
          <w:rFonts w:eastAsia="Times New Roman" w:cs="Arial"/>
          <w:color w:val="000000"/>
          <w:lang w:val="en-US"/>
        </w:rPr>
        <w:t xml:space="preserve">mg </w:t>
      </w:r>
      <w:r w:rsidRPr="001B0E7E">
        <w:rPr>
          <w:rFonts w:eastAsia="Times New Roman" w:cs="Arial"/>
          <w:color w:val="000000"/>
          <w:lang w:eastAsia="bg-BG"/>
        </w:rPr>
        <w:t>трябва да се предп</w:t>
      </w:r>
      <w:r>
        <w:rPr>
          <w:rFonts w:eastAsia="Times New Roman" w:cs="Arial"/>
          <w:color w:val="000000"/>
          <w:lang w:eastAsia="bg-BG"/>
        </w:rPr>
        <w:t xml:space="preserve">риема само при пациенти с тежка </w:t>
      </w:r>
      <w:r w:rsidRPr="001B0E7E">
        <w:rPr>
          <w:rFonts w:eastAsia="Times New Roman" w:cs="Arial"/>
          <w:color w:val="000000"/>
          <w:lang w:eastAsia="bg-BG"/>
        </w:rPr>
        <w:t xml:space="preserve">хиперхолестеролемия, с висок сърдечно-съдов риск (особено тези с фамилна </w:t>
      </w:r>
      <w:r w:rsidRPr="001B0E7E">
        <w:rPr>
          <w:rFonts w:eastAsia="Times New Roman" w:cs="Arial"/>
          <w:color w:val="000000"/>
          <w:lang w:eastAsia="bg-BG"/>
        </w:rPr>
        <w:lastRenderedPageBreak/>
        <w:t xml:space="preserve">хиперхолестеролемия), които не постигат желаното ниво на холестерол при лечение с 20 </w:t>
      </w:r>
      <w:r w:rsidRPr="001B0E7E">
        <w:rPr>
          <w:rFonts w:eastAsia="Times New Roman" w:cs="Arial"/>
          <w:color w:val="000000"/>
          <w:lang w:val="en-US"/>
        </w:rPr>
        <w:t xml:space="preserve">mg </w:t>
      </w:r>
      <w:r w:rsidRPr="001B0E7E">
        <w:rPr>
          <w:rFonts w:eastAsia="Times New Roman" w:cs="Arial"/>
          <w:color w:val="000000"/>
          <w:lang w:eastAsia="bg-BG"/>
        </w:rPr>
        <w:t xml:space="preserve">и при които ще се прави рутинно проследяване в хода на лечението (вж. точка 4.4). При започване на лечение с 40 </w:t>
      </w:r>
      <w:r w:rsidRPr="001B0E7E">
        <w:rPr>
          <w:rFonts w:eastAsia="Times New Roman" w:cs="Arial"/>
          <w:color w:val="000000"/>
          <w:lang w:val="en-US"/>
        </w:rPr>
        <w:t xml:space="preserve">mg </w:t>
      </w:r>
      <w:r w:rsidRPr="001B0E7E">
        <w:rPr>
          <w:rFonts w:eastAsia="Times New Roman" w:cs="Arial"/>
          <w:color w:val="000000"/>
          <w:lang w:eastAsia="bg-BG"/>
        </w:rPr>
        <w:t>се препоръчва постоянно наблюдение на пациента от специалист.</w:t>
      </w:r>
    </w:p>
    <w:p w14:paraId="03FBB103" w14:textId="77777777" w:rsidR="001B0E7E" w:rsidRPr="001B0E7E" w:rsidRDefault="001B0E7E" w:rsidP="001B0E7E">
      <w:pPr>
        <w:spacing w:line="240" w:lineRule="auto"/>
        <w:rPr>
          <w:rFonts w:eastAsia="Times New Roman" w:cs="Arial"/>
          <w:b/>
          <w:bCs/>
          <w:color w:val="000000"/>
          <w:lang w:eastAsia="bg-BG"/>
        </w:rPr>
      </w:pPr>
      <w:bookmarkStart w:id="2" w:name="bookmark2"/>
    </w:p>
    <w:p w14:paraId="658BA62D" w14:textId="7A64B188"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Превенция на сърдечно-съдови събития</w:t>
      </w:r>
      <w:bookmarkEnd w:id="2"/>
    </w:p>
    <w:p w14:paraId="3972FB78"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В проучването за понижаване на риска от сърдечно-съдови събития е използвана доза от 20 </w:t>
      </w:r>
      <w:r w:rsidRPr="001B0E7E">
        <w:rPr>
          <w:rFonts w:eastAsia="Times New Roman" w:cs="Arial"/>
          <w:color w:val="000000"/>
          <w:lang w:val="en-US"/>
        </w:rPr>
        <w:t xml:space="preserve">mg </w:t>
      </w:r>
      <w:r w:rsidRPr="001B0E7E">
        <w:rPr>
          <w:rFonts w:eastAsia="Times New Roman" w:cs="Arial"/>
          <w:color w:val="000000"/>
          <w:lang w:eastAsia="bg-BG"/>
        </w:rPr>
        <w:t>(вж. точка 5.1).</w:t>
      </w:r>
    </w:p>
    <w:p w14:paraId="3F501D54" w14:textId="77777777" w:rsidR="001B0E7E" w:rsidRPr="001B0E7E" w:rsidRDefault="001B0E7E" w:rsidP="001B0E7E">
      <w:pPr>
        <w:spacing w:line="240" w:lineRule="auto"/>
        <w:rPr>
          <w:rFonts w:eastAsia="Times New Roman" w:cs="Arial"/>
          <w:i/>
          <w:iCs/>
          <w:color w:val="000000"/>
          <w:lang w:eastAsia="bg-BG"/>
        </w:rPr>
      </w:pPr>
    </w:p>
    <w:p w14:paraId="0B25EC62" w14:textId="3F085FCD" w:rsidR="001B0E7E" w:rsidRPr="001B0E7E" w:rsidRDefault="001B0E7E" w:rsidP="001B0E7E">
      <w:pPr>
        <w:spacing w:line="240" w:lineRule="auto"/>
        <w:rPr>
          <w:rFonts w:eastAsia="Times New Roman" w:cs="Arial"/>
          <w:lang w:eastAsia="bg-BG"/>
        </w:rPr>
      </w:pPr>
      <w:r w:rsidRPr="001B0E7E">
        <w:rPr>
          <w:rFonts w:eastAsia="Times New Roman" w:cs="Arial"/>
          <w:i/>
          <w:iCs/>
          <w:color w:val="000000"/>
          <w:lang w:eastAsia="bg-BG"/>
        </w:rPr>
        <w:t>Педиатрична популация</w:t>
      </w:r>
    </w:p>
    <w:p w14:paraId="398F9AFD" w14:textId="77777777" w:rsidR="001B0E7E" w:rsidRPr="001B0E7E" w:rsidRDefault="001B0E7E" w:rsidP="001B0E7E">
      <w:pPr>
        <w:spacing w:line="240" w:lineRule="auto"/>
        <w:rPr>
          <w:rFonts w:eastAsia="Times New Roman" w:cs="Arial"/>
          <w:color w:val="000000"/>
          <w:lang w:eastAsia="bg-BG"/>
        </w:rPr>
      </w:pPr>
    </w:p>
    <w:p w14:paraId="48EA3182" w14:textId="7F8201E5"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Употребата при деца трябва да се провежда само от специалисти.</w:t>
      </w:r>
    </w:p>
    <w:p w14:paraId="2082E97F" w14:textId="77777777" w:rsidR="001B0E7E" w:rsidRPr="001B0E7E" w:rsidRDefault="001B0E7E" w:rsidP="001B0E7E">
      <w:pPr>
        <w:spacing w:line="240" w:lineRule="auto"/>
        <w:rPr>
          <w:rFonts w:eastAsia="Times New Roman" w:cs="Arial"/>
          <w:i/>
          <w:iCs/>
          <w:color w:val="000000"/>
          <w:u w:val="single"/>
          <w:lang w:eastAsia="bg-BG"/>
        </w:rPr>
      </w:pPr>
    </w:p>
    <w:p w14:paraId="5B7A341F" w14:textId="5539ABDC" w:rsidR="001B0E7E" w:rsidRPr="001B0E7E" w:rsidRDefault="001B0E7E" w:rsidP="001B0E7E">
      <w:pPr>
        <w:spacing w:line="240" w:lineRule="auto"/>
        <w:rPr>
          <w:rFonts w:eastAsia="Times New Roman" w:cs="Arial"/>
          <w:lang w:eastAsia="bg-BG"/>
        </w:rPr>
      </w:pPr>
      <w:r w:rsidRPr="001B0E7E">
        <w:rPr>
          <w:rFonts w:eastAsia="Times New Roman" w:cs="Arial"/>
          <w:i/>
          <w:iCs/>
          <w:color w:val="000000"/>
          <w:u w:val="single"/>
          <w:lang w:eastAsia="bg-BG"/>
        </w:rPr>
        <w:t>Деца и юноши на възраст от 6 до 17 години (стадий &lt;II-V по Танер)</w:t>
      </w:r>
    </w:p>
    <w:p w14:paraId="30326D96" w14:textId="77777777" w:rsidR="001B0E7E" w:rsidRPr="001B0E7E" w:rsidRDefault="001B0E7E" w:rsidP="001B0E7E">
      <w:pPr>
        <w:spacing w:line="240" w:lineRule="auto"/>
        <w:rPr>
          <w:rFonts w:eastAsia="Times New Roman" w:cs="Arial"/>
          <w:i/>
          <w:iCs/>
          <w:color w:val="000000"/>
          <w:u w:val="single"/>
          <w:lang w:eastAsia="bg-BG"/>
        </w:rPr>
      </w:pPr>
    </w:p>
    <w:p w14:paraId="7A2E78AD" w14:textId="5944670E" w:rsidR="001B0E7E" w:rsidRPr="001B0E7E" w:rsidRDefault="001B0E7E" w:rsidP="001B0E7E">
      <w:pPr>
        <w:spacing w:line="240" w:lineRule="auto"/>
        <w:rPr>
          <w:rFonts w:eastAsia="Times New Roman" w:cs="Arial"/>
          <w:lang w:eastAsia="bg-BG"/>
        </w:rPr>
      </w:pPr>
      <w:r w:rsidRPr="001B0E7E">
        <w:rPr>
          <w:rFonts w:eastAsia="Times New Roman" w:cs="Arial"/>
          <w:i/>
          <w:iCs/>
          <w:color w:val="000000"/>
          <w:u w:val="single"/>
          <w:lang w:eastAsia="bg-BG"/>
        </w:rPr>
        <w:t>Хетерозиготна фамилна хиперхолестеролемия</w:t>
      </w:r>
    </w:p>
    <w:p w14:paraId="1907B81B" w14:textId="77777777" w:rsidR="001B0E7E" w:rsidRPr="001B0E7E" w:rsidRDefault="001B0E7E" w:rsidP="001B0E7E">
      <w:pPr>
        <w:spacing w:line="240" w:lineRule="auto"/>
        <w:rPr>
          <w:rFonts w:eastAsia="Times New Roman" w:cs="Arial"/>
          <w:color w:val="000000"/>
          <w:lang w:eastAsia="bg-BG"/>
        </w:rPr>
      </w:pPr>
    </w:p>
    <w:p w14:paraId="63D888DF" w14:textId="19A2E3BE"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При деца и юноши с хетерозиготна фамилна хиперхолестеролемия обичайната начална доза е 5 </w:t>
      </w:r>
      <w:r w:rsidRPr="001B0E7E">
        <w:rPr>
          <w:rFonts w:eastAsia="Times New Roman" w:cs="Arial"/>
          <w:color w:val="000000"/>
          <w:lang w:val="en-US"/>
        </w:rPr>
        <w:t xml:space="preserve">mg </w:t>
      </w:r>
      <w:r w:rsidRPr="001B0E7E">
        <w:rPr>
          <w:rFonts w:eastAsia="Times New Roman" w:cs="Arial"/>
          <w:color w:val="000000"/>
          <w:lang w:eastAsia="bg-BG"/>
        </w:rPr>
        <w:t>дневно.</w:t>
      </w:r>
    </w:p>
    <w:p w14:paraId="25847302" w14:textId="77777777" w:rsidR="001B0E7E" w:rsidRPr="001B0E7E" w:rsidRDefault="001B0E7E" w:rsidP="001B0E7E">
      <w:pPr>
        <w:pStyle w:val="ListParagraph"/>
        <w:numPr>
          <w:ilvl w:val="0"/>
          <w:numId w:val="36"/>
        </w:numPr>
        <w:spacing w:line="240" w:lineRule="auto"/>
        <w:rPr>
          <w:rFonts w:eastAsia="Times New Roman" w:cs="Arial"/>
          <w:color w:val="000000"/>
          <w:lang w:eastAsia="bg-BG"/>
        </w:rPr>
      </w:pPr>
      <w:r w:rsidRPr="001B0E7E">
        <w:rPr>
          <w:rFonts w:eastAsia="Times New Roman" w:cs="Arial"/>
          <w:color w:val="000000"/>
          <w:lang w:eastAsia="bg-BG"/>
        </w:rPr>
        <w:t xml:space="preserve">При деца на възраст 6 до 9 години с хетерозиготна фамилна хиперхолестеролемия обичайният дозов диапазон е 5-10 </w:t>
      </w:r>
      <w:r w:rsidRPr="001B0E7E">
        <w:rPr>
          <w:rFonts w:eastAsia="Times New Roman" w:cs="Arial"/>
          <w:color w:val="000000"/>
          <w:lang w:val="en-US"/>
        </w:rPr>
        <w:t xml:space="preserve">mg </w:t>
      </w:r>
      <w:r w:rsidRPr="001B0E7E">
        <w:rPr>
          <w:rFonts w:eastAsia="Times New Roman" w:cs="Arial"/>
          <w:color w:val="000000"/>
          <w:lang w:eastAsia="bg-BG"/>
        </w:rPr>
        <w:t>перорално веднъж дневно. Безопасността и</w:t>
      </w:r>
      <w:r w:rsidRPr="001B0E7E">
        <w:rPr>
          <w:rFonts w:eastAsia="Times New Roman" w:cs="Arial"/>
          <w:color w:val="000000"/>
          <w:u w:val="single"/>
          <w:lang w:eastAsia="bg-BG"/>
        </w:rPr>
        <w:t xml:space="preserve"> </w:t>
      </w:r>
      <w:r w:rsidRPr="001B0E7E">
        <w:rPr>
          <w:rFonts w:eastAsia="Times New Roman" w:cs="Arial"/>
          <w:color w:val="000000"/>
          <w:lang w:eastAsia="bg-BG"/>
        </w:rPr>
        <w:t xml:space="preserve">ефикасността на дози по-високи от 10 </w:t>
      </w:r>
      <w:r w:rsidRPr="001B0E7E">
        <w:rPr>
          <w:rFonts w:eastAsia="Times New Roman" w:cs="Arial"/>
          <w:color w:val="000000"/>
          <w:lang w:val="en-US"/>
        </w:rPr>
        <w:t xml:space="preserve">mg </w:t>
      </w:r>
      <w:r w:rsidRPr="001B0E7E">
        <w:rPr>
          <w:rFonts w:eastAsia="Times New Roman" w:cs="Arial"/>
          <w:color w:val="000000"/>
          <w:lang w:eastAsia="bg-BG"/>
        </w:rPr>
        <w:t>не са проучвани при тази популация.</w:t>
      </w:r>
    </w:p>
    <w:p w14:paraId="7FBF1BCE" w14:textId="332BBCFA" w:rsidR="00EC41ED" w:rsidRPr="001B0E7E" w:rsidRDefault="001B0E7E" w:rsidP="001B0E7E">
      <w:pPr>
        <w:pStyle w:val="ListParagraph"/>
        <w:numPr>
          <w:ilvl w:val="0"/>
          <w:numId w:val="36"/>
        </w:numPr>
        <w:spacing w:line="240" w:lineRule="auto"/>
        <w:rPr>
          <w:rFonts w:eastAsia="Times New Roman" w:cs="Arial"/>
          <w:color w:val="000000"/>
          <w:lang w:eastAsia="bg-BG"/>
        </w:rPr>
      </w:pPr>
      <w:r w:rsidRPr="001B0E7E">
        <w:rPr>
          <w:rFonts w:eastAsia="Times New Roman" w:cs="Arial"/>
          <w:color w:val="000000"/>
          <w:lang w:eastAsia="bg-BG"/>
        </w:rPr>
        <w:t xml:space="preserve">При деца на възраст 10 до 17 години с хатерозиготна фамилна хиперхолестеролемия обичайният дозов диапазон е 5-20 </w:t>
      </w:r>
      <w:r w:rsidRPr="001B0E7E">
        <w:rPr>
          <w:rFonts w:eastAsia="Times New Roman" w:cs="Arial"/>
          <w:color w:val="000000"/>
          <w:lang w:val="en-US"/>
        </w:rPr>
        <w:t xml:space="preserve">mg </w:t>
      </w:r>
      <w:r w:rsidRPr="001B0E7E">
        <w:rPr>
          <w:rFonts w:eastAsia="Times New Roman" w:cs="Arial"/>
          <w:color w:val="000000"/>
          <w:lang w:eastAsia="bg-BG"/>
        </w:rPr>
        <w:t xml:space="preserve">перорално веднъж дневно. Безопастността и ефикасността на дози по-високи от 20 </w:t>
      </w:r>
      <w:r w:rsidRPr="001B0E7E">
        <w:rPr>
          <w:rFonts w:eastAsia="Times New Roman" w:cs="Arial"/>
          <w:color w:val="000000"/>
          <w:lang w:val="en-US"/>
        </w:rPr>
        <w:t xml:space="preserve">mg </w:t>
      </w:r>
      <w:r w:rsidRPr="001B0E7E">
        <w:rPr>
          <w:rFonts w:eastAsia="Times New Roman" w:cs="Arial"/>
          <w:color w:val="000000"/>
          <w:lang w:eastAsia="bg-BG"/>
        </w:rPr>
        <w:t>не са проучвани при тази популация.</w:t>
      </w:r>
    </w:p>
    <w:p w14:paraId="132F3111" w14:textId="032A153E" w:rsidR="005B0F27" w:rsidRDefault="005B0F27" w:rsidP="0091385D"/>
    <w:p w14:paraId="1F1D4DCD"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Титрирането трябва да се провежда съгласно индивидуалния отговор и поносимост на педиатричните пациенти, както е указано в препоръките за лечение на деца (вж. точка 4.4). Децата и юношите трябва да се подложат на стандартна холестеролопонижаваща диета, преди да се започне лечение е розувастатин: диетата трябва да се продължи по време на лечението с розувастатин.</w:t>
      </w:r>
    </w:p>
    <w:p w14:paraId="1C08B504" w14:textId="77777777" w:rsidR="001B0E7E" w:rsidRPr="001B0E7E" w:rsidRDefault="001B0E7E" w:rsidP="001B0E7E">
      <w:pPr>
        <w:spacing w:line="240" w:lineRule="auto"/>
        <w:rPr>
          <w:rFonts w:eastAsia="Times New Roman" w:cs="Arial"/>
          <w:i/>
          <w:iCs/>
          <w:color w:val="000000"/>
          <w:u w:val="single"/>
          <w:lang w:eastAsia="bg-BG"/>
        </w:rPr>
      </w:pPr>
    </w:p>
    <w:p w14:paraId="423E853E" w14:textId="0CF1319B" w:rsidR="001B0E7E" w:rsidRPr="001B0E7E" w:rsidRDefault="001B0E7E" w:rsidP="001B0E7E">
      <w:pPr>
        <w:spacing w:line="240" w:lineRule="auto"/>
        <w:rPr>
          <w:rFonts w:eastAsia="Times New Roman" w:cs="Arial"/>
          <w:lang w:eastAsia="bg-BG"/>
        </w:rPr>
      </w:pPr>
      <w:r w:rsidRPr="001B0E7E">
        <w:rPr>
          <w:rFonts w:eastAsia="Times New Roman" w:cs="Arial"/>
          <w:i/>
          <w:iCs/>
          <w:color w:val="000000"/>
          <w:u w:val="single"/>
          <w:lang w:eastAsia="bg-BG"/>
        </w:rPr>
        <w:t>Хомозиготна фамилна хиперхолестеролемия</w:t>
      </w:r>
    </w:p>
    <w:p w14:paraId="738A7835"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При деца на възраст 6 до 17 години с хомозиготна фамилна хиперхолестеролемия, препоръчителната максимална доза е 20 </w:t>
      </w:r>
      <w:r w:rsidRPr="001B0E7E">
        <w:rPr>
          <w:rFonts w:eastAsia="Times New Roman" w:cs="Arial"/>
          <w:color w:val="000000"/>
          <w:lang w:val="en-US"/>
        </w:rPr>
        <w:t xml:space="preserve">mg </w:t>
      </w:r>
      <w:r w:rsidRPr="001B0E7E">
        <w:rPr>
          <w:rFonts w:eastAsia="Times New Roman" w:cs="Arial"/>
          <w:color w:val="000000"/>
          <w:lang w:eastAsia="bg-BG"/>
        </w:rPr>
        <w:t>веднъж дневно.</w:t>
      </w:r>
    </w:p>
    <w:p w14:paraId="685EC01B" w14:textId="77777777" w:rsidR="001B0E7E" w:rsidRPr="001B0E7E" w:rsidRDefault="001B0E7E" w:rsidP="001B0E7E">
      <w:pPr>
        <w:spacing w:line="240" w:lineRule="auto"/>
        <w:rPr>
          <w:rFonts w:eastAsia="Times New Roman" w:cs="Arial"/>
          <w:color w:val="000000"/>
          <w:lang w:eastAsia="bg-BG"/>
        </w:rPr>
      </w:pPr>
    </w:p>
    <w:p w14:paraId="22327D8B" w14:textId="15152CA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Препоръчва се начална доза от 5 до 10 </w:t>
      </w:r>
      <w:r w:rsidRPr="001B0E7E">
        <w:rPr>
          <w:rFonts w:eastAsia="Times New Roman" w:cs="Arial"/>
          <w:color w:val="000000"/>
          <w:lang w:val="en-US"/>
        </w:rPr>
        <w:t xml:space="preserve">mg </w:t>
      </w:r>
      <w:r w:rsidRPr="001B0E7E">
        <w:rPr>
          <w:rFonts w:eastAsia="Times New Roman" w:cs="Arial"/>
          <w:color w:val="000000"/>
          <w:lang w:eastAsia="bg-BG"/>
        </w:rPr>
        <w:t xml:space="preserve">веднъж дневно, в зависимост от възрастта, теглото и предшестващата употреба на статини. Титрирането до максималната доза от 20 </w:t>
      </w:r>
      <w:r w:rsidRPr="001B0E7E">
        <w:rPr>
          <w:rFonts w:eastAsia="Times New Roman" w:cs="Arial"/>
          <w:color w:val="000000"/>
          <w:lang w:val="en-US"/>
        </w:rPr>
        <w:t xml:space="preserve">mg </w:t>
      </w:r>
      <w:r w:rsidRPr="001B0E7E">
        <w:rPr>
          <w:rFonts w:eastAsia="Times New Roman" w:cs="Arial"/>
          <w:color w:val="000000"/>
          <w:lang w:eastAsia="bg-BG"/>
        </w:rPr>
        <w:t xml:space="preserve">веднъж дневно трябва да се извършва съобразно индивидуалния отговор и поносимостта </w:t>
      </w:r>
      <w:r w:rsidRPr="001B0E7E">
        <w:rPr>
          <w:rFonts w:eastAsia="Times New Roman" w:cs="Arial"/>
          <w:i/>
          <w:iCs/>
          <w:color w:val="000000"/>
          <w:lang w:eastAsia="bg-BG"/>
        </w:rPr>
        <w:t xml:space="preserve">при </w:t>
      </w:r>
      <w:r w:rsidRPr="001B0E7E">
        <w:rPr>
          <w:rFonts w:eastAsia="Times New Roman" w:cs="Arial"/>
          <w:color w:val="000000"/>
          <w:lang w:eastAsia="bg-BG"/>
        </w:rPr>
        <w:t>педиатрични пациенти, както се препоръчва в препоръките за лечение на деца (вж. точка 4.4). Децата и юношите трябва да се подложат на стандартна холестерол-понижаваща диета преди да се започне лечение с розувастатин; диетата трябва да се продължи по време на лечението с розувастатин.</w:t>
      </w:r>
    </w:p>
    <w:p w14:paraId="1DDAE463" w14:textId="77777777" w:rsidR="001B0E7E" w:rsidRPr="001B0E7E" w:rsidRDefault="001B0E7E" w:rsidP="001B0E7E">
      <w:pPr>
        <w:spacing w:line="240" w:lineRule="auto"/>
        <w:rPr>
          <w:rFonts w:eastAsia="Times New Roman" w:cs="Arial"/>
          <w:color w:val="000000"/>
          <w:lang w:eastAsia="bg-BG"/>
        </w:rPr>
      </w:pPr>
    </w:p>
    <w:p w14:paraId="060713BE" w14:textId="15FCC9EA"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Има ограничен опит с дози различни от 20 </w:t>
      </w:r>
      <w:r w:rsidRPr="001B0E7E">
        <w:rPr>
          <w:rFonts w:eastAsia="Times New Roman" w:cs="Arial"/>
          <w:color w:val="000000"/>
          <w:lang w:val="en-US"/>
        </w:rPr>
        <w:t xml:space="preserve">mg </w:t>
      </w:r>
      <w:r w:rsidRPr="001B0E7E">
        <w:rPr>
          <w:rFonts w:eastAsia="Times New Roman" w:cs="Arial"/>
          <w:color w:val="000000"/>
          <w:lang w:eastAsia="bg-BG"/>
        </w:rPr>
        <w:t>при тази популация.</w:t>
      </w:r>
    </w:p>
    <w:p w14:paraId="319FC9FC" w14:textId="77777777" w:rsidR="001B0E7E" w:rsidRPr="001B0E7E" w:rsidRDefault="001B0E7E" w:rsidP="001B0E7E">
      <w:pPr>
        <w:spacing w:line="240" w:lineRule="auto"/>
        <w:rPr>
          <w:rFonts w:eastAsia="Times New Roman" w:cs="Arial"/>
          <w:color w:val="000000"/>
          <w:lang w:eastAsia="bg-BG"/>
        </w:rPr>
      </w:pPr>
    </w:p>
    <w:p w14:paraId="588D161F" w14:textId="71785D4A"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Концентрацията от 40 </w:t>
      </w:r>
      <w:r w:rsidRPr="001B0E7E">
        <w:rPr>
          <w:rFonts w:eastAsia="Times New Roman" w:cs="Arial"/>
          <w:color w:val="000000"/>
          <w:lang w:val="en-US"/>
        </w:rPr>
        <w:t xml:space="preserve">mg </w:t>
      </w:r>
      <w:r w:rsidRPr="001B0E7E">
        <w:rPr>
          <w:rFonts w:eastAsia="Times New Roman" w:cs="Arial"/>
          <w:color w:val="000000"/>
          <w:lang w:eastAsia="bg-BG"/>
        </w:rPr>
        <w:t>не е подходяща за приложение при педиатрични пациенти.</w:t>
      </w:r>
    </w:p>
    <w:p w14:paraId="5FEC727E" w14:textId="77777777" w:rsidR="001B0E7E" w:rsidRPr="001B0E7E" w:rsidRDefault="001B0E7E" w:rsidP="001B0E7E">
      <w:pPr>
        <w:spacing w:line="240" w:lineRule="auto"/>
        <w:rPr>
          <w:rFonts w:eastAsia="Times New Roman" w:cs="Arial"/>
          <w:i/>
          <w:iCs/>
          <w:color w:val="000000"/>
          <w:u w:val="single"/>
          <w:lang w:eastAsia="bg-BG"/>
        </w:rPr>
      </w:pPr>
    </w:p>
    <w:p w14:paraId="379682A5" w14:textId="6D4A8C12" w:rsidR="001B0E7E" w:rsidRPr="001B0E7E" w:rsidRDefault="001B0E7E" w:rsidP="001B0E7E">
      <w:pPr>
        <w:spacing w:line="240" w:lineRule="auto"/>
        <w:rPr>
          <w:rFonts w:eastAsia="Times New Roman" w:cs="Arial"/>
          <w:lang w:eastAsia="bg-BG"/>
        </w:rPr>
      </w:pPr>
      <w:r w:rsidRPr="001B0E7E">
        <w:rPr>
          <w:rFonts w:eastAsia="Times New Roman" w:cs="Arial"/>
          <w:i/>
          <w:iCs/>
          <w:color w:val="000000"/>
          <w:u w:val="single"/>
          <w:lang w:eastAsia="bg-BG"/>
        </w:rPr>
        <w:t>Деца по-малки от 6 години</w:t>
      </w:r>
    </w:p>
    <w:p w14:paraId="241ED68D"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lastRenderedPageBreak/>
        <w:t>Безопасността и ефикасността на употреба при деца по-малки от 6 години не са проучвани. Следователно Росста не се препоръчва за употреба при деца под 6-годишна възраст.</w:t>
      </w:r>
    </w:p>
    <w:p w14:paraId="09065CE8" w14:textId="77777777" w:rsidR="001B0E7E" w:rsidRPr="001B0E7E" w:rsidRDefault="001B0E7E" w:rsidP="001B0E7E">
      <w:pPr>
        <w:spacing w:line="240" w:lineRule="auto"/>
        <w:rPr>
          <w:rFonts w:eastAsia="Times New Roman" w:cs="Arial"/>
          <w:b/>
          <w:bCs/>
          <w:color w:val="000000"/>
          <w:lang w:eastAsia="bg-BG"/>
        </w:rPr>
      </w:pPr>
    </w:p>
    <w:p w14:paraId="4E199432" w14:textId="2E0B77F9"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Старческа възраст</w:t>
      </w:r>
    </w:p>
    <w:p w14:paraId="46572C1D"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Препоръчваната първоначална доза при пациенти над 70 години е 5 </w:t>
      </w:r>
      <w:r w:rsidRPr="001B0E7E">
        <w:rPr>
          <w:rFonts w:eastAsia="Times New Roman" w:cs="Arial"/>
          <w:color w:val="000000"/>
          <w:lang w:val="en-US"/>
        </w:rPr>
        <w:t xml:space="preserve">mg </w:t>
      </w:r>
      <w:r w:rsidRPr="001B0E7E">
        <w:rPr>
          <w:rFonts w:eastAsia="Times New Roman" w:cs="Arial"/>
          <w:color w:val="000000"/>
          <w:lang w:eastAsia="bg-BG"/>
        </w:rPr>
        <w:t>(вж. точка 4.4). Друго коригиране на дозировката в зависимост от възрастта не е необходимо.</w:t>
      </w:r>
    </w:p>
    <w:p w14:paraId="6011B666" w14:textId="77777777" w:rsidR="001B0E7E" w:rsidRPr="001B0E7E" w:rsidRDefault="001B0E7E" w:rsidP="001B0E7E">
      <w:pPr>
        <w:spacing w:line="240" w:lineRule="auto"/>
        <w:rPr>
          <w:rFonts w:eastAsia="Times New Roman" w:cs="Arial"/>
          <w:b/>
          <w:bCs/>
          <w:color w:val="000000"/>
          <w:lang w:eastAsia="bg-BG"/>
        </w:rPr>
      </w:pPr>
    </w:p>
    <w:p w14:paraId="1944283C" w14:textId="5A1483D0"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Бъбречно увреждане</w:t>
      </w:r>
    </w:p>
    <w:p w14:paraId="66C83526"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При пациенти с леко до умерено бъбречно увреждане се прилагат обичайните дози. При пациенти с умерено бъбречно увреждане препоръчваната начална доза е 5 </w:t>
      </w:r>
      <w:r w:rsidRPr="001B0E7E">
        <w:rPr>
          <w:rFonts w:eastAsia="Times New Roman" w:cs="Arial"/>
          <w:color w:val="000000"/>
          <w:lang w:val="en-US"/>
        </w:rPr>
        <w:t xml:space="preserve">mg </w:t>
      </w:r>
      <w:r w:rsidRPr="001B0E7E">
        <w:rPr>
          <w:rFonts w:eastAsia="Times New Roman" w:cs="Arial"/>
          <w:color w:val="000000"/>
          <w:lang w:eastAsia="bg-BG"/>
        </w:rPr>
        <w:t xml:space="preserve">(креатининов клирънс под 60 </w:t>
      </w:r>
      <w:r w:rsidRPr="001B0E7E">
        <w:rPr>
          <w:rFonts w:eastAsia="Times New Roman" w:cs="Arial"/>
          <w:color w:val="000000"/>
          <w:lang w:val="en-US"/>
        </w:rPr>
        <w:t xml:space="preserve">ml/min). </w:t>
      </w:r>
      <w:r w:rsidRPr="001B0E7E">
        <w:rPr>
          <w:rFonts w:eastAsia="Times New Roman" w:cs="Arial"/>
          <w:color w:val="000000"/>
          <w:lang w:eastAsia="bg-BG"/>
        </w:rPr>
        <w:t xml:space="preserve">Дозировката от 40 </w:t>
      </w:r>
      <w:r w:rsidRPr="001B0E7E">
        <w:rPr>
          <w:rFonts w:eastAsia="Times New Roman" w:cs="Arial"/>
          <w:color w:val="000000"/>
          <w:lang w:val="en-US"/>
        </w:rPr>
        <w:t xml:space="preserve">mg </w:t>
      </w:r>
      <w:r w:rsidRPr="001B0E7E">
        <w:rPr>
          <w:rFonts w:eastAsia="Times New Roman" w:cs="Arial"/>
          <w:color w:val="000000"/>
          <w:lang w:eastAsia="bg-BG"/>
        </w:rPr>
        <w:t>е противопоказана при пациенти с умерено бъбречно увреждане. При пациенти с тежко бъбречно увреждане употребата на розувастатин е противопоказна (вж. точка 4.3 и точка 5.2.).</w:t>
      </w:r>
    </w:p>
    <w:p w14:paraId="716AECCD" w14:textId="77777777" w:rsidR="001B0E7E" w:rsidRPr="001B0E7E" w:rsidRDefault="001B0E7E" w:rsidP="001B0E7E">
      <w:pPr>
        <w:spacing w:line="240" w:lineRule="auto"/>
        <w:rPr>
          <w:rFonts w:eastAsia="Times New Roman" w:cs="Arial"/>
          <w:b/>
          <w:bCs/>
          <w:color w:val="000000"/>
          <w:lang w:eastAsia="bg-BG"/>
        </w:rPr>
      </w:pPr>
      <w:bookmarkStart w:id="3" w:name="bookmark4"/>
    </w:p>
    <w:p w14:paraId="29ABEB37" w14:textId="228F6037"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Чернодробно увреждане</w:t>
      </w:r>
      <w:bookmarkEnd w:id="3"/>
    </w:p>
    <w:p w14:paraId="436B72D9"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Не е наблюдавана повишена системна експозиция на розувастатин при пациенти с оценка по скалата на </w:t>
      </w:r>
      <w:r w:rsidRPr="001B0E7E">
        <w:rPr>
          <w:rFonts w:eastAsia="Times New Roman" w:cs="Arial"/>
          <w:color w:val="000000"/>
          <w:lang w:val="en-US"/>
        </w:rPr>
        <w:t xml:space="preserve">Child-Pugh </w:t>
      </w:r>
      <w:r w:rsidRPr="001B0E7E">
        <w:rPr>
          <w:rFonts w:eastAsia="Times New Roman" w:cs="Arial"/>
          <w:color w:val="000000"/>
          <w:lang w:eastAsia="bg-BG"/>
        </w:rPr>
        <w:t xml:space="preserve">&lt; 7. Въпреки това повишена системна експозиция е наблюдавана при пациенти с оценка по скалата на </w:t>
      </w:r>
      <w:r w:rsidRPr="001B0E7E">
        <w:rPr>
          <w:rFonts w:eastAsia="Times New Roman" w:cs="Arial"/>
          <w:color w:val="000000"/>
          <w:lang w:val="en-US"/>
        </w:rPr>
        <w:t xml:space="preserve">Child-Pugh </w:t>
      </w:r>
      <w:r w:rsidRPr="001B0E7E">
        <w:rPr>
          <w:rFonts w:eastAsia="Times New Roman" w:cs="Arial"/>
          <w:color w:val="000000"/>
          <w:lang w:eastAsia="bg-BG"/>
        </w:rPr>
        <w:t xml:space="preserve">8 и 9 (вж. точка 5.2). При тях трябва да се предприеме оценка на бъбречната функция (вж. точка 4.4). Няма данни за пациенти с оценка по скалата на </w:t>
      </w:r>
      <w:r w:rsidRPr="001B0E7E">
        <w:rPr>
          <w:rFonts w:eastAsia="Times New Roman" w:cs="Arial"/>
          <w:color w:val="000000"/>
          <w:lang w:val="en-US"/>
        </w:rPr>
        <w:t>Child-</w:t>
      </w:r>
      <w:proofErr w:type="spellStart"/>
      <w:r w:rsidRPr="001B0E7E">
        <w:rPr>
          <w:rFonts w:eastAsia="Times New Roman" w:cs="Arial"/>
          <w:color w:val="000000"/>
          <w:lang w:val="en-US"/>
        </w:rPr>
        <w:t>Plugh</w:t>
      </w:r>
      <w:proofErr w:type="spellEnd"/>
      <w:r w:rsidRPr="001B0E7E">
        <w:rPr>
          <w:rFonts w:eastAsia="Times New Roman" w:cs="Arial"/>
          <w:color w:val="000000"/>
          <w:lang w:val="en-US"/>
        </w:rPr>
        <w:t xml:space="preserve"> </w:t>
      </w:r>
      <w:r w:rsidRPr="001B0E7E">
        <w:rPr>
          <w:rFonts w:eastAsia="Times New Roman" w:cs="Arial"/>
          <w:color w:val="000000"/>
          <w:lang w:eastAsia="bg-BG"/>
        </w:rPr>
        <w:t>над 9. Розувастатин е противопоказан при пациенти с активно чернодробно увреждане (вж. точка 4.3).</w:t>
      </w:r>
    </w:p>
    <w:p w14:paraId="7588DDCA" w14:textId="77777777" w:rsidR="001B0E7E" w:rsidRPr="001B0E7E" w:rsidRDefault="001B0E7E" w:rsidP="001B0E7E">
      <w:pPr>
        <w:spacing w:line="240" w:lineRule="auto"/>
        <w:rPr>
          <w:rFonts w:eastAsia="Times New Roman" w:cs="Arial"/>
          <w:b/>
          <w:bCs/>
          <w:color w:val="000000"/>
          <w:lang w:eastAsia="bg-BG"/>
        </w:rPr>
      </w:pPr>
      <w:bookmarkStart w:id="4" w:name="bookmark6"/>
    </w:p>
    <w:p w14:paraId="0C21CED2" w14:textId="5426F4C4"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Раса</w:t>
      </w:r>
      <w:bookmarkEnd w:id="4"/>
    </w:p>
    <w:p w14:paraId="0807F58E"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При пациенти от азиатската раса се наблюдава повишена системна експозиция на медикамента (вж. точки 4.3,4.4 и 5.2). Препоръчваната първоначална доза при пациенти от азиатски произход е 5 </w:t>
      </w:r>
      <w:r w:rsidRPr="001B0E7E">
        <w:rPr>
          <w:rFonts w:eastAsia="Times New Roman" w:cs="Arial"/>
          <w:color w:val="000000"/>
          <w:lang w:val="en-US"/>
        </w:rPr>
        <w:t xml:space="preserve">mg. </w:t>
      </w:r>
      <w:r w:rsidRPr="001B0E7E">
        <w:rPr>
          <w:rFonts w:eastAsia="Times New Roman" w:cs="Arial"/>
          <w:color w:val="000000"/>
          <w:lang w:eastAsia="bg-BG"/>
        </w:rPr>
        <w:t xml:space="preserve">При тези пациенти е противопоказано приложение на доза от 40 </w:t>
      </w:r>
      <w:r w:rsidRPr="001B0E7E">
        <w:rPr>
          <w:rFonts w:eastAsia="Times New Roman" w:cs="Arial"/>
          <w:color w:val="000000"/>
          <w:lang w:val="en-US"/>
        </w:rPr>
        <w:t>mg.</w:t>
      </w:r>
    </w:p>
    <w:p w14:paraId="1A705C6B" w14:textId="77777777" w:rsidR="001B0E7E" w:rsidRPr="001B0E7E" w:rsidRDefault="001B0E7E" w:rsidP="001B0E7E">
      <w:pPr>
        <w:spacing w:line="240" w:lineRule="auto"/>
        <w:rPr>
          <w:rFonts w:eastAsia="Times New Roman" w:cs="Arial"/>
          <w:b/>
          <w:bCs/>
          <w:color w:val="000000"/>
          <w:lang w:eastAsia="bg-BG"/>
        </w:rPr>
      </w:pPr>
      <w:bookmarkStart w:id="5" w:name="bookmark8"/>
    </w:p>
    <w:p w14:paraId="346402F5" w14:textId="1EB17F61"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Генетичен полиморфизъм</w:t>
      </w:r>
      <w:bookmarkEnd w:id="5"/>
    </w:p>
    <w:p w14:paraId="7BD23795"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Известно е, че специфични видове генетичен полиморфизъм могат да доведат до повишаване  на експозицията на розувастатин (вж. точка 5.2). За пациентите, за които е известно, че имат такъв специфичен вид полиморфизъм, се препоръчва по-ниска дневна доза розувастатин.</w:t>
      </w:r>
    </w:p>
    <w:p w14:paraId="17289B5F" w14:textId="77777777" w:rsidR="001B0E7E" w:rsidRPr="001B0E7E" w:rsidRDefault="001B0E7E" w:rsidP="001B0E7E">
      <w:pPr>
        <w:rPr>
          <w:rFonts w:eastAsia="Times New Roman" w:cs="Arial"/>
          <w:b/>
          <w:bCs/>
          <w:color w:val="000000"/>
          <w:lang w:eastAsia="bg-BG"/>
        </w:rPr>
      </w:pPr>
    </w:p>
    <w:p w14:paraId="007DA11A" w14:textId="639646D7" w:rsidR="001B0E7E" w:rsidRPr="001B0E7E" w:rsidRDefault="001B0E7E" w:rsidP="001B0E7E">
      <w:pPr>
        <w:rPr>
          <w:rFonts w:cs="Arial"/>
        </w:rPr>
      </w:pPr>
      <w:r w:rsidRPr="001B0E7E">
        <w:rPr>
          <w:rFonts w:eastAsia="Times New Roman" w:cs="Arial"/>
          <w:b/>
          <w:bCs/>
          <w:color w:val="000000"/>
          <w:lang w:eastAsia="bg-BG"/>
        </w:rPr>
        <w:t>Дозиране при пациенти, предразположени към развитие на миопатия</w:t>
      </w:r>
    </w:p>
    <w:p w14:paraId="72281CF2"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При пациенти с предразполагащи фактори за развитите на миопатия препоръчваната начална доза е 5 </w:t>
      </w:r>
      <w:r w:rsidRPr="001B0E7E">
        <w:rPr>
          <w:rFonts w:eastAsia="Times New Roman" w:cs="Arial"/>
          <w:color w:val="000000"/>
          <w:lang w:val="en-US"/>
        </w:rPr>
        <w:t xml:space="preserve">mg </w:t>
      </w:r>
      <w:r w:rsidRPr="001B0E7E">
        <w:rPr>
          <w:rFonts w:eastAsia="Times New Roman" w:cs="Arial"/>
          <w:color w:val="000000"/>
          <w:lang w:eastAsia="bg-BG"/>
        </w:rPr>
        <w:t>(вж. точка 4.4).</w:t>
      </w:r>
    </w:p>
    <w:p w14:paraId="07EB5F09"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При някои от тези пациенти е противопоказано приложението на доза от 40 </w:t>
      </w:r>
      <w:r w:rsidRPr="001B0E7E">
        <w:rPr>
          <w:rFonts w:eastAsia="Times New Roman" w:cs="Arial"/>
          <w:color w:val="000000"/>
          <w:lang w:val="en-US"/>
        </w:rPr>
        <w:t xml:space="preserve">mg </w:t>
      </w:r>
      <w:r w:rsidRPr="001B0E7E">
        <w:rPr>
          <w:rFonts w:eastAsia="Times New Roman" w:cs="Arial"/>
          <w:color w:val="000000"/>
          <w:lang w:eastAsia="bg-BG"/>
        </w:rPr>
        <w:t>(вж. точка 4.3).</w:t>
      </w:r>
    </w:p>
    <w:p w14:paraId="0B342D0A" w14:textId="77777777" w:rsidR="001B0E7E" w:rsidRPr="001B0E7E" w:rsidRDefault="001B0E7E" w:rsidP="001B0E7E">
      <w:pPr>
        <w:spacing w:line="240" w:lineRule="auto"/>
        <w:rPr>
          <w:rFonts w:eastAsia="Times New Roman" w:cs="Arial"/>
          <w:color w:val="000000"/>
          <w:lang w:eastAsia="bg-BG"/>
        </w:rPr>
      </w:pPr>
    </w:p>
    <w:p w14:paraId="6BA99E21" w14:textId="5543201F"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Този лекарствен продукт не е наличен в концентрация 5 </w:t>
      </w:r>
      <w:r w:rsidRPr="001B0E7E">
        <w:rPr>
          <w:rFonts w:eastAsia="Times New Roman" w:cs="Arial"/>
          <w:color w:val="000000"/>
          <w:lang w:val="en-US"/>
        </w:rPr>
        <w:t xml:space="preserve">mg, </w:t>
      </w:r>
      <w:r w:rsidRPr="001B0E7E">
        <w:rPr>
          <w:rFonts w:eastAsia="Times New Roman" w:cs="Arial"/>
          <w:color w:val="000000"/>
          <w:lang w:eastAsia="bg-BG"/>
        </w:rPr>
        <w:t>обаче тази концентрация може да бъде налична от други притежатели на разрешения за употреба.</w:t>
      </w:r>
    </w:p>
    <w:p w14:paraId="333A0E4B" w14:textId="77777777" w:rsidR="001B0E7E" w:rsidRPr="001B0E7E" w:rsidRDefault="001B0E7E" w:rsidP="001B0E7E">
      <w:pPr>
        <w:spacing w:line="240" w:lineRule="auto"/>
        <w:rPr>
          <w:rFonts w:eastAsia="Times New Roman" w:cs="Arial"/>
          <w:b/>
          <w:bCs/>
          <w:color w:val="000000"/>
          <w:lang w:eastAsia="bg-BG"/>
        </w:rPr>
      </w:pPr>
    </w:p>
    <w:p w14:paraId="65244B3A" w14:textId="15031B46" w:rsidR="001B0E7E" w:rsidRPr="001B0E7E" w:rsidRDefault="001B0E7E" w:rsidP="001B0E7E">
      <w:pPr>
        <w:spacing w:line="240" w:lineRule="auto"/>
        <w:rPr>
          <w:rFonts w:eastAsia="Times New Roman" w:cs="Arial"/>
          <w:lang w:eastAsia="bg-BG"/>
        </w:rPr>
      </w:pPr>
      <w:r w:rsidRPr="001B0E7E">
        <w:rPr>
          <w:rFonts w:eastAsia="Times New Roman" w:cs="Arial"/>
          <w:b/>
          <w:bCs/>
          <w:color w:val="000000"/>
          <w:lang w:eastAsia="bg-BG"/>
        </w:rPr>
        <w:t>Съпътстваща терапия</w:t>
      </w:r>
    </w:p>
    <w:p w14:paraId="3C66D7FF"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Розувастатин е субстрат на различни транспортерни протеини (напр. ОАТР1В1 и </w:t>
      </w:r>
      <w:r w:rsidRPr="001B0E7E">
        <w:rPr>
          <w:rFonts w:eastAsia="Times New Roman" w:cs="Arial"/>
          <w:color w:val="000000"/>
          <w:lang w:val="en-US"/>
        </w:rPr>
        <w:t xml:space="preserve">BCRP). </w:t>
      </w:r>
      <w:r w:rsidRPr="001B0E7E">
        <w:rPr>
          <w:rFonts w:eastAsia="Times New Roman" w:cs="Arial"/>
          <w:color w:val="000000"/>
          <w:lang w:eastAsia="bg-BG"/>
        </w:rPr>
        <w:t xml:space="preserve">Рискът от миопатия (включително рабдомиолиза) се повишава, когато розувастатин се прилага едновременно с определени лекарствени продукти, които могат да повишат плазмената концентрация на розувастатин, поради взаимодействия с тези транспортерни протеини (напр. циклоспорин и някои протеазни инхибитори, включително комбинации на ритонавир с атазанавир, лопинавир и/или типранавир; вж. точки 4.4 и 4.5). Когато е </w:t>
      </w:r>
      <w:r w:rsidRPr="001B0E7E">
        <w:rPr>
          <w:rFonts w:eastAsia="Times New Roman" w:cs="Arial"/>
          <w:color w:val="000000"/>
          <w:lang w:eastAsia="bg-BG"/>
        </w:rPr>
        <w:lastRenderedPageBreak/>
        <w:t>възможно, трябва да се имат предвид алтернативни лекарства и, ако е необходимо, да се има предвид временно прекъсване на терапията с Росста. В ситуации, когато едновременното приложение на тези лекарствени продукти с Росста е неизбежно, ползата и риска от съпътстващата терапия и корекции на дозата на розувастатин трябва внимателно да се обмислят (вж. точка 4.5).</w:t>
      </w:r>
    </w:p>
    <w:p w14:paraId="724619F3" w14:textId="77777777" w:rsidR="001B0E7E" w:rsidRPr="001B0E7E" w:rsidRDefault="001B0E7E" w:rsidP="001B0E7E">
      <w:pPr>
        <w:spacing w:line="240" w:lineRule="auto"/>
        <w:rPr>
          <w:rFonts w:eastAsia="Times New Roman" w:cs="Arial"/>
          <w:color w:val="000000"/>
          <w:u w:val="single"/>
          <w:lang w:eastAsia="bg-BG"/>
        </w:rPr>
      </w:pPr>
    </w:p>
    <w:p w14:paraId="50792901" w14:textId="6BB0A20F" w:rsidR="001B0E7E" w:rsidRPr="001B0E7E" w:rsidRDefault="001B0E7E" w:rsidP="001B0E7E">
      <w:pPr>
        <w:pStyle w:val="Heading3"/>
        <w:rPr>
          <w:rFonts w:eastAsia="Times New Roman"/>
          <w:u w:val="single"/>
          <w:lang w:eastAsia="bg-BG"/>
        </w:rPr>
      </w:pPr>
      <w:r w:rsidRPr="001B0E7E">
        <w:rPr>
          <w:rFonts w:eastAsia="Times New Roman"/>
          <w:u w:val="single"/>
          <w:lang w:eastAsia="bg-BG"/>
        </w:rPr>
        <w:t>Начин на приложение</w:t>
      </w:r>
    </w:p>
    <w:p w14:paraId="278D0FD0" w14:textId="5326DD42" w:rsidR="001B0E7E" w:rsidRPr="001B0E7E" w:rsidRDefault="001B0E7E" w:rsidP="001B0E7E">
      <w:pPr>
        <w:rPr>
          <w:rFonts w:cs="Arial"/>
        </w:rPr>
      </w:pPr>
      <w:r w:rsidRPr="001B0E7E">
        <w:rPr>
          <w:rFonts w:eastAsia="Times New Roman" w:cs="Arial"/>
          <w:color w:val="000000"/>
          <w:lang w:eastAsia="bg-BG"/>
        </w:rPr>
        <w:t>Росста може да се прилага по всяко време на деня, със или без храна.</w:t>
      </w:r>
    </w:p>
    <w:p w14:paraId="43500FDD" w14:textId="77777777" w:rsidR="001B0E7E" w:rsidRPr="0091385D" w:rsidRDefault="001B0E7E"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0100A8C9" w14:textId="77777777"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Росста е противопоказан:</w:t>
      </w:r>
    </w:p>
    <w:p w14:paraId="0DBC5BE9" w14:textId="77777777" w:rsidR="001B0E7E" w:rsidRPr="001B0E7E" w:rsidRDefault="001B0E7E" w:rsidP="001B0E7E">
      <w:pPr>
        <w:pStyle w:val="ListParagraph"/>
        <w:numPr>
          <w:ilvl w:val="0"/>
          <w:numId w:val="38"/>
        </w:numPr>
        <w:spacing w:line="240" w:lineRule="auto"/>
        <w:rPr>
          <w:rFonts w:eastAsia="Times New Roman" w:cs="Arial"/>
          <w:lang w:eastAsia="bg-BG"/>
        </w:rPr>
      </w:pPr>
      <w:r w:rsidRPr="001B0E7E">
        <w:rPr>
          <w:rFonts w:eastAsia="Times New Roman" w:cs="Arial"/>
          <w:color w:val="000000"/>
          <w:lang w:eastAsia="bg-BG"/>
        </w:rPr>
        <w:t>при пациенти със свръхчувствителност към розувастатин, лецитин (соя) или някое от помощните вещества, описани в точка 6.1;</w:t>
      </w:r>
    </w:p>
    <w:p w14:paraId="22F71611" w14:textId="77777777" w:rsidR="001B0E7E" w:rsidRPr="001B0E7E" w:rsidRDefault="001B0E7E" w:rsidP="001B0E7E">
      <w:pPr>
        <w:pStyle w:val="ListParagraph"/>
        <w:numPr>
          <w:ilvl w:val="0"/>
          <w:numId w:val="38"/>
        </w:numPr>
        <w:spacing w:line="240" w:lineRule="auto"/>
        <w:rPr>
          <w:rFonts w:eastAsia="Times New Roman" w:cs="Arial"/>
          <w:lang w:eastAsia="bg-BG"/>
        </w:rPr>
      </w:pPr>
      <w:r w:rsidRPr="001B0E7E">
        <w:rPr>
          <w:rFonts w:eastAsia="Times New Roman" w:cs="Arial"/>
          <w:color w:val="000000"/>
          <w:lang w:eastAsia="bg-BG"/>
        </w:rPr>
        <w:t xml:space="preserve">при пациенти </w:t>
      </w:r>
      <w:r w:rsidRPr="001B0E7E">
        <w:rPr>
          <w:rFonts w:eastAsia="Times New Roman" w:cs="Arial"/>
          <w:i/>
          <w:iCs/>
          <w:color w:val="000000"/>
          <w:lang w:eastAsia="bg-BG"/>
        </w:rPr>
        <w:t>с</w:t>
      </w:r>
      <w:r w:rsidRPr="001B0E7E">
        <w:rPr>
          <w:rFonts w:eastAsia="Times New Roman" w:cs="Arial"/>
          <w:color w:val="000000"/>
          <w:lang w:eastAsia="bg-BG"/>
        </w:rPr>
        <w:t xml:space="preserve"> активно чернодробно заболяване, включително неуточнено, продължително покачване на серумните трансаминази и всяко покачване на серумната трансаминаза три пъти над горната граница на нормата;</w:t>
      </w:r>
    </w:p>
    <w:p w14:paraId="126511EE" w14:textId="77777777" w:rsidR="001B0E7E" w:rsidRPr="001B0E7E" w:rsidRDefault="001B0E7E" w:rsidP="001B0E7E">
      <w:pPr>
        <w:pStyle w:val="ListParagraph"/>
        <w:numPr>
          <w:ilvl w:val="0"/>
          <w:numId w:val="38"/>
        </w:numPr>
        <w:spacing w:line="240" w:lineRule="auto"/>
        <w:rPr>
          <w:rFonts w:eastAsia="Times New Roman" w:cs="Arial"/>
          <w:lang w:eastAsia="bg-BG"/>
        </w:rPr>
      </w:pPr>
      <w:r w:rsidRPr="001B0E7E">
        <w:rPr>
          <w:rFonts w:eastAsia="Times New Roman" w:cs="Arial"/>
          <w:color w:val="000000"/>
          <w:lang w:eastAsia="bg-BG"/>
        </w:rPr>
        <w:t xml:space="preserve">при пациенти с тежко бъбречно увреждане (креатинипов клирънс &lt; 30 </w:t>
      </w:r>
      <w:r w:rsidRPr="001B0E7E">
        <w:rPr>
          <w:rFonts w:eastAsia="Times New Roman" w:cs="Arial"/>
          <w:color w:val="000000"/>
          <w:lang w:val="en-US"/>
        </w:rPr>
        <w:t>ml/min):</w:t>
      </w:r>
    </w:p>
    <w:p w14:paraId="5314AC06" w14:textId="77777777" w:rsidR="001B0E7E" w:rsidRPr="001B0E7E" w:rsidRDefault="001B0E7E" w:rsidP="001B0E7E">
      <w:pPr>
        <w:pStyle w:val="ListParagraph"/>
        <w:numPr>
          <w:ilvl w:val="0"/>
          <w:numId w:val="38"/>
        </w:numPr>
        <w:spacing w:line="240" w:lineRule="auto"/>
        <w:rPr>
          <w:rFonts w:eastAsia="Times New Roman" w:cs="Arial"/>
          <w:lang w:eastAsia="bg-BG"/>
        </w:rPr>
      </w:pPr>
      <w:r w:rsidRPr="001B0E7E">
        <w:rPr>
          <w:rFonts w:eastAsia="Times New Roman" w:cs="Arial"/>
          <w:color w:val="000000"/>
          <w:lang w:eastAsia="bg-BG"/>
        </w:rPr>
        <w:t>при пациенти с миопатия:</w:t>
      </w:r>
    </w:p>
    <w:p w14:paraId="6BEAF403" w14:textId="77777777" w:rsidR="001B0E7E" w:rsidRPr="001B0E7E" w:rsidRDefault="001B0E7E" w:rsidP="001B0E7E">
      <w:pPr>
        <w:pStyle w:val="ListParagraph"/>
        <w:numPr>
          <w:ilvl w:val="0"/>
          <w:numId w:val="38"/>
        </w:numPr>
        <w:spacing w:line="240" w:lineRule="auto"/>
        <w:rPr>
          <w:rFonts w:eastAsia="Times New Roman" w:cs="Arial"/>
          <w:lang w:eastAsia="bg-BG"/>
        </w:rPr>
      </w:pPr>
      <w:r w:rsidRPr="001B0E7E">
        <w:rPr>
          <w:rFonts w:eastAsia="Times New Roman" w:cs="Arial"/>
          <w:color w:val="000000"/>
          <w:lang w:eastAsia="bg-BG"/>
        </w:rPr>
        <w:t>при пациенти, приемащи едновременно циклоспорин;</w:t>
      </w:r>
    </w:p>
    <w:p w14:paraId="55B77E59" w14:textId="389FF79C" w:rsidR="001B0E7E" w:rsidRPr="001B0E7E" w:rsidRDefault="001B0E7E" w:rsidP="001B0E7E">
      <w:pPr>
        <w:pStyle w:val="ListParagraph"/>
        <w:numPr>
          <w:ilvl w:val="0"/>
          <w:numId w:val="38"/>
        </w:numPr>
        <w:spacing w:line="240" w:lineRule="auto"/>
        <w:rPr>
          <w:rFonts w:eastAsia="Times New Roman" w:cs="Arial"/>
          <w:lang w:eastAsia="bg-BG"/>
        </w:rPr>
      </w:pPr>
      <w:r w:rsidRPr="001B0E7E">
        <w:rPr>
          <w:rFonts w:eastAsia="Times New Roman" w:cs="Arial"/>
          <w:color w:val="000000"/>
          <w:lang w:eastAsia="bg-BG"/>
        </w:rPr>
        <w:t>по време на бременност, кърмене и при жени в детеродна възраст, които не използват подходящи контрацептивни мерки.</w:t>
      </w:r>
    </w:p>
    <w:p w14:paraId="2B83B902" w14:textId="77777777" w:rsidR="001B0E7E" w:rsidRPr="001B0E7E" w:rsidRDefault="001B0E7E" w:rsidP="001B0E7E">
      <w:pPr>
        <w:spacing w:line="240" w:lineRule="auto"/>
        <w:rPr>
          <w:rFonts w:eastAsia="Times New Roman" w:cs="Arial"/>
          <w:color w:val="000000"/>
          <w:lang w:eastAsia="bg-BG"/>
        </w:rPr>
      </w:pPr>
    </w:p>
    <w:p w14:paraId="7B770B86" w14:textId="640B95EE" w:rsidR="001B0E7E" w:rsidRPr="001B0E7E" w:rsidRDefault="001B0E7E" w:rsidP="001B0E7E">
      <w:pPr>
        <w:spacing w:line="240" w:lineRule="auto"/>
        <w:rPr>
          <w:rFonts w:eastAsia="Times New Roman" w:cs="Arial"/>
          <w:lang w:eastAsia="bg-BG"/>
        </w:rPr>
      </w:pPr>
      <w:r w:rsidRPr="001B0E7E">
        <w:rPr>
          <w:rFonts w:eastAsia="Times New Roman" w:cs="Arial"/>
          <w:color w:val="000000"/>
          <w:lang w:eastAsia="bg-BG"/>
        </w:rPr>
        <w:t xml:space="preserve">Дозата от 40 </w:t>
      </w:r>
      <w:r w:rsidRPr="001B0E7E">
        <w:rPr>
          <w:rFonts w:eastAsia="Times New Roman" w:cs="Arial"/>
          <w:color w:val="000000"/>
          <w:lang w:val="en-US"/>
        </w:rPr>
        <w:t xml:space="preserve">mg </w:t>
      </w:r>
      <w:r w:rsidRPr="001B0E7E">
        <w:rPr>
          <w:rFonts w:eastAsia="Times New Roman" w:cs="Arial"/>
          <w:color w:val="000000"/>
          <w:lang w:eastAsia="bg-BG"/>
        </w:rPr>
        <w:t>е противопоказана при пациенти с предразполагащи фактори за развитие на миопатия/рабдомиолиза. Такива фактори са:</w:t>
      </w:r>
    </w:p>
    <w:p w14:paraId="3F63A7F7" w14:textId="77777777" w:rsidR="001B0E7E" w:rsidRPr="001B0E7E" w:rsidRDefault="001B0E7E" w:rsidP="001B0E7E">
      <w:pPr>
        <w:pStyle w:val="ListParagraph"/>
        <w:numPr>
          <w:ilvl w:val="0"/>
          <w:numId w:val="39"/>
        </w:numPr>
        <w:spacing w:line="240" w:lineRule="auto"/>
        <w:rPr>
          <w:rFonts w:eastAsia="Times New Roman" w:cs="Arial"/>
          <w:lang w:eastAsia="bg-BG"/>
        </w:rPr>
      </w:pPr>
      <w:r w:rsidRPr="001B0E7E">
        <w:rPr>
          <w:rFonts w:eastAsia="Times New Roman" w:cs="Arial"/>
          <w:color w:val="000000"/>
          <w:lang w:eastAsia="bg-BG"/>
        </w:rPr>
        <w:t xml:space="preserve">умерено по степен бъбречно увреждане (креатининов клирънс под 60 </w:t>
      </w:r>
      <w:r w:rsidRPr="001B0E7E">
        <w:rPr>
          <w:rFonts w:eastAsia="Times New Roman" w:cs="Arial"/>
          <w:color w:val="000000"/>
          <w:lang w:val="en-US"/>
        </w:rPr>
        <w:t xml:space="preserve">ml/min); </w:t>
      </w:r>
    </w:p>
    <w:p w14:paraId="26DD12A1" w14:textId="1C9FF416" w:rsidR="001B0E7E" w:rsidRPr="001B0E7E" w:rsidRDefault="001B0E7E" w:rsidP="001B0E7E">
      <w:pPr>
        <w:pStyle w:val="ListParagraph"/>
        <w:numPr>
          <w:ilvl w:val="0"/>
          <w:numId w:val="39"/>
        </w:numPr>
        <w:spacing w:line="240" w:lineRule="auto"/>
        <w:rPr>
          <w:rFonts w:eastAsia="Times New Roman" w:cs="Arial"/>
          <w:lang w:eastAsia="bg-BG"/>
        </w:rPr>
      </w:pPr>
      <w:r w:rsidRPr="001B0E7E">
        <w:rPr>
          <w:rFonts w:eastAsia="Times New Roman" w:cs="Arial"/>
          <w:color w:val="000000"/>
          <w:lang w:eastAsia="bg-BG"/>
        </w:rPr>
        <w:t>хипотиреоидизъм;</w:t>
      </w:r>
    </w:p>
    <w:p w14:paraId="63C764C7" w14:textId="77777777" w:rsidR="001B0E7E" w:rsidRPr="001B0E7E" w:rsidRDefault="001B0E7E" w:rsidP="001B0E7E">
      <w:pPr>
        <w:pStyle w:val="ListParagraph"/>
        <w:numPr>
          <w:ilvl w:val="0"/>
          <w:numId w:val="39"/>
        </w:numPr>
        <w:spacing w:line="240" w:lineRule="auto"/>
        <w:rPr>
          <w:rFonts w:eastAsia="Times New Roman" w:cs="Arial"/>
          <w:lang w:eastAsia="bg-BG"/>
        </w:rPr>
      </w:pPr>
      <w:r w:rsidRPr="001B0E7E">
        <w:rPr>
          <w:rFonts w:eastAsia="Times New Roman" w:cs="Arial"/>
          <w:color w:val="000000"/>
          <w:lang w:eastAsia="bg-BG"/>
        </w:rPr>
        <w:t>лична или фамилна анамнеза за наследствени мускулни заболявания;</w:t>
      </w:r>
    </w:p>
    <w:p w14:paraId="391BF501" w14:textId="77777777" w:rsidR="001B0E7E" w:rsidRPr="001B0E7E" w:rsidRDefault="001B0E7E" w:rsidP="001B0E7E">
      <w:pPr>
        <w:pStyle w:val="ListParagraph"/>
        <w:numPr>
          <w:ilvl w:val="0"/>
          <w:numId w:val="39"/>
        </w:numPr>
        <w:spacing w:line="240" w:lineRule="auto"/>
        <w:rPr>
          <w:rFonts w:eastAsia="Times New Roman" w:cs="Arial"/>
          <w:lang w:eastAsia="bg-BG"/>
        </w:rPr>
      </w:pPr>
      <w:r w:rsidRPr="001B0E7E">
        <w:rPr>
          <w:rFonts w:eastAsia="Times New Roman" w:cs="Arial"/>
          <w:color w:val="000000"/>
          <w:lang w:eastAsia="bg-BG"/>
        </w:rPr>
        <w:t>анамнеза за поява на мускулно увреждане по време на лечение с друг медикамент от групата на инхибиторите на хидрокси-метил-глутарил-коензим А редуктазата или с фибрат;</w:t>
      </w:r>
    </w:p>
    <w:p w14:paraId="702765AD" w14:textId="77777777" w:rsidR="001B0E7E" w:rsidRPr="001B0E7E" w:rsidRDefault="001B0E7E" w:rsidP="001B0E7E">
      <w:pPr>
        <w:pStyle w:val="ListParagraph"/>
        <w:numPr>
          <w:ilvl w:val="0"/>
          <w:numId w:val="39"/>
        </w:numPr>
        <w:spacing w:line="240" w:lineRule="auto"/>
        <w:rPr>
          <w:rFonts w:eastAsia="Times New Roman" w:cs="Arial"/>
          <w:lang w:eastAsia="bg-BG"/>
        </w:rPr>
      </w:pPr>
      <w:r w:rsidRPr="001B0E7E">
        <w:rPr>
          <w:rFonts w:eastAsia="Times New Roman" w:cs="Arial"/>
          <w:color w:val="000000"/>
          <w:lang w:eastAsia="bg-BG"/>
        </w:rPr>
        <w:t xml:space="preserve">злоупотреба с алкохол </w:t>
      </w:r>
    </w:p>
    <w:p w14:paraId="26CC5B90" w14:textId="77777777" w:rsidR="001B0E7E" w:rsidRPr="001B0E7E" w:rsidRDefault="001B0E7E" w:rsidP="001B0E7E">
      <w:pPr>
        <w:pStyle w:val="ListParagraph"/>
        <w:numPr>
          <w:ilvl w:val="0"/>
          <w:numId w:val="39"/>
        </w:numPr>
        <w:spacing w:line="240" w:lineRule="auto"/>
        <w:rPr>
          <w:rFonts w:eastAsia="Times New Roman" w:cs="Arial"/>
          <w:lang w:eastAsia="bg-BG"/>
        </w:rPr>
      </w:pPr>
      <w:r w:rsidRPr="001B0E7E">
        <w:rPr>
          <w:rFonts w:eastAsia="Times New Roman" w:cs="Arial"/>
          <w:color w:val="000000"/>
          <w:lang w:eastAsia="bg-BG"/>
        </w:rPr>
        <w:t xml:space="preserve">състояния, при които може да се повиши плазменото ниво на медикамента; </w:t>
      </w:r>
    </w:p>
    <w:p w14:paraId="4906C1D2" w14:textId="5EDEDCE0" w:rsidR="001B0E7E" w:rsidRPr="001B0E7E" w:rsidRDefault="001B0E7E" w:rsidP="001B0E7E">
      <w:pPr>
        <w:pStyle w:val="ListParagraph"/>
        <w:numPr>
          <w:ilvl w:val="0"/>
          <w:numId w:val="39"/>
        </w:numPr>
        <w:spacing w:line="240" w:lineRule="auto"/>
        <w:rPr>
          <w:rFonts w:eastAsia="Times New Roman" w:cs="Arial"/>
          <w:lang w:eastAsia="bg-BG"/>
        </w:rPr>
      </w:pPr>
      <w:r w:rsidRPr="001B0E7E">
        <w:rPr>
          <w:rFonts w:eastAsia="Times New Roman" w:cs="Arial"/>
          <w:color w:val="000000"/>
          <w:lang w:eastAsia="bg-BG"/>
        </w:rPr>
        <w:t>лица от азиатската раса;</w:t>
      </w:r>
    </w:p>
    <w:p w14:paraId="030B6A4D" w14:textId="62F0C01B" w:rsidR="00EC41ED" w:rsidRPr="001B0E7E" w:rsidRDefault="001B0E7E" w:rsidP="001B0E7E">
      <w:pPr>
        <w:pStyle w:val="ListParagraph"/>
        <w:numPr>
          <w:ilvl w:val="0"/>
          <w:numId w:val="39"/>
        </w:numPr>
        <w:spacing w:line="240" w:lineRule="auto"/>
        <w:rPr>
          <w:rFonts w:eastAsia="Times New Roman" w:cs="Arial"/>
          <w:lang w:eastAsia="bg-BG"/>
        </w:rPr>
      </w:pPr>
      <w:r w:rsidRPr="001B0E7E">
        <w:rPr>
          <w:rFonts w:eastAsia="Times New Roman" w:cs="Arial"/>
          <w:color w:val="000000"/>
          <w:lang w:eastAsia="bg-BG"/>
        </w:rPr>
        <w:t>съпътстващо лечение с фибрати (вж. точка 4.4, точка 4.5 и точка 5.2).</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6684C128" w14:textId="77777777" w:rsidR="001B0E7E" w:rsidRPr="001B0E7E" w:rsidRDefault="001B0E7E" w:rsidP="001B0E7E">
      <w:pPr>
        <w:rPr>
          <w:rFonts w:cs="Arial"/>
        </w:rPr>
      </w:pPr>
      <w:r w:rsidRPr="001B0E7E">
        <w:rPr>
          <w:rFonts w:cs="Arial"/>
          <w:u w:val="single"/>
        </w:rPr>
        <w:t>Бъбречни ефекти</w:t>
      </w:r>
    </w:p>
    <w:p w14:paraId="0DF306FB" w14:textId="77777777" w:rsidR="001B0E7E" w:rsidRPr="001B0E7E" w:rsidRDefault="001B0E7E" w:rsidP="001B0E7E">
      <w:pPr>
        <w:rPr>
          <w:rFonts w:cs="Arial"/>
        </w:rPr>
      </w:pPr>
      <w:r w:rsidRPr="001B0E7E">
        <w:rPr>
          <w:rFonts w:cs="Arial"/>
        </w:rPr>
        <w:t xml:space="preserve">При пациенти, лекувани с по-високи дози розувастатин - по-конкретно 40 </w:t>
      </w:r>
      <w:r w:rsidRPr="001B0E7E">
        <w:rPr>
          <w:rFonts w:cs="Arial"/>
          <w:lang w:val="en-US"/>
        </w:rPr>
        <w:t xml:space="preserve">mg, </w:t>
      </w:r>
      <w:r w:rsidRPr="001B0E7E">
        <w:rPr>
          <w:rFonts w:cs="Arial"/>
        </w:rPr>
        <w:t>е наблюдавана</w:t>
      </w:r>
    </w:p>
    <w:p w14:paraId="6F49EE3D" w14:textId="77777777" w:rsidR="001B0E7E" w:rsidRPr="001B0E7E" w:rsidRDefault="001B0E7E" w:rsidP="001B0E7E">
      <w:pPr>
        <w:rPr>
          <w:rFonts w:eastAsia="Times New Roman" w:cs="Arial"/>
          <w:sz w:val="24"/>
          <w:szCs w:val="24"/>
          <w:lang w:eastAsia="bg-BG"/>
        </w:rPr>
      </w:pPr>
      <w:r w:rsidRPr="001B0E7E">
        <w:rPr>
          <w:rFonts w:cs="Arial"/>
        </w:rPr>
        <w:t xml:space="preserve">протеинурия, установена при изследване с тест-ленти, с предимно тубулен произход и в  повечето случаи с преходен или интермитентен характер. Няма доказателства тя да предшества изявата на остро или прогресивно бъбречно заболяване, вследствие на лекарствената употреба (вж. точка 4.8). Докладваната честота на сериозни бъбречни увреждания при </w:t>
      </w:r>
      <w:r w:rsidRPr="001B0E7E">
        <w:rPr>
          <w:rFonts w:eastAsia="Times New Roman" w:cs="Arial"/>
          <w:color w:val="000000"/>
          <w:lang w:eastAsia="bg-BG"/>
        </w:rPr>
        <w:t xml:space="preserve">постмаркетинговата употреба е по-висока при дозировка от 40 </w:t>
      </w:r>
      <w:r w:rsidRPr="001B0E7E">
        <w:rPr>
          <w:rFonts w:eastAsia="Times New Roman" w:cs="Arial"/>
          <w:color w:val="000000"/>
          <w:lang w:val="en-US"/>
        </w:rPr>
        <w:t xml:space="preserve">mg. </w:t>
      </w:r>
      <w:r w:rsidRPr="001B0E7E">
        <w:rPr>
          <w:rFonts w:eastAsia="Times New Roman" w:cs="Arial"/>
          <w:color w:val="000000"/>
          <w:lang w:eastAsia="bg-BG"/>
        </w:rPr>
        <w:t xml:space="preserve">Оценка на бъбречната функция трябва да се направи по време на рутинно проследяване при пациенти, обичайно третирани с 40 </w:t>
      </w:r>
      <w:r w:rsidRPr="001B0E7E">
        <w:rPr>
          <w:rFonts w:eastAsia="Times New Roman" w:cs="Arial"/>
          <w:color w:val="000000"/>
          <w:lang w:val="en-US"/>
        </w:rPr>
        <w:t>mg.</w:t>
      </w:r>
    </w:p>
    <w:p w14:paraId="79B07ECB" w14:textId="77777777" w:rsidR="001B0E7E" w:rsidRPr="001B0E7E" w:rsidRDefault="001B0E7E" w:rsidP="001B0E7E">
      <w:pPr>
        <w:spacing w:line="240" w:lineRule="auto"/>
        <w:rPr>
          <w:rFonts w:eastAsia="Times New Roman" w:cs="Arial"/>
          <w:color w:val="000000"/>
          <w:u w:val="single"/>
          <w:lang w:eastAsia="bg-BG"/>
        </w:rPr>
      </w:pPr>
    </w:p>
    <w:p w14:paraId="02459173" w14:textId="70A15E6D" w:rsidR="001B0E7E" w:rsidRPr="001B0E7E" w:rsidRDefault="001B0E7E" w:rsidP="001B0E7E">
      <w:pPr>
        <w:spacing w:line="240" w:lineRule="auto"/>
        <w:rPr>
          <w:rFonts w:eastAsia="Times New Roman" w:cs="Arial"/>
          <w:sz w:val="24"/>
          <w:szCs w:val="24"/>
          <w:lang w:eastAsia="bg-BG"/>
        </w:rPr>
      </w:pPr>
      <w:r w:rsidRPr="001B0E7E">
        <w:rPr>
          <w:rFonts w:eastAsia="Times New Roman" w:cs="Arial"/>
          <w:color w:val="000000"/>
          <w:u w:val="single"/>
          <w:lang w:eastAsia="bg-BG"/>
        </w:rPr>
        <w:t>Скедетна мускулатура</w:t>
      </w:r>
    </w:p>
    <w:p w14:paraId="41E9A2D9" w14:textId="77777777" w:rsidR="001B0E7E" w:rsidRPr="001B0E7E" w:rsidRDefault="001B0E7E" w:rsidP="001B0E7E">
      <w:pPr>
        <w:spacing w:line="240" w:lineRule="auto"/>
        <w:rPr>
          <w:rFonts w:eastAsia="Times New Roman" w:cs="Arial"/>
          <w:sz w:val="24"/>
          <w:szCs w:val="24"/>
          <w:lang w:eastAsia="bg-BG"/>
        </w:rPr>
      </w:pPr>
      <w:r w:rsidRPr="001B0E7E">
        <w:rPr>
          <w:rFonts w:eastAsia="Times New Roman" w:cs="Arial"/>
          <w:color w:val="000000"/>
          <w:lang w:eastAsia="bg-BG"/>
        </w:rPr>
        <w:t xml:space="preserve">Ефекти върху скелетната мускулатура (миалгия, миопатия и по-рядко рабдомиолиза) са съобщавани при приложение на всички дозови режими, особено при дози над 20 </w:t>
      </w:r>
      <w:r w:rsidRPr="001B0E7E">
        <w:rPr>
          <w:rFonts w:eastAsia="Times New Roman" w:cs="Arial"/>
          <w:color w:val="000000"/>
          <w:lang w:val="en-US"/>
        </w:rPr>
        <w:t xml:space="preserve">mg. </w:t>
      </w:r>
      <w:r w:rsidRPr="001B0E7E">
        <w:rPr>
          <w:rFonts w:eastAsia="Times New Roman" w:cs="Arial"/>
          <w:color w:val="000000"/>
          <w:lang w:eastAsia="bg-BG"/>
        </w:rPr>
        <w:t xml:space="preserve">Много редки случаи на рабдомиолиза са докладвани при използването на езетимиб в комбинация с </w:t>
      </w:r>
      <w:r w:rsidRPr="001B0E7E">
        <w:rPr>
          <w:rFonts w:eastAsia="Times New Roman" w:cs="Arial"/>
          <w:color w:val="000000"/>
          <w:lang w:val="en-US"/>
        </w:rPr>
        <w:t xml:space="preserve">HMG-CoA </w:t>
      </w:r>
      <w:r w:rsidRPr="001B0E7E">
        <w:rPr>
          <w:rFonts w:eastAsia="Times New Roman" w:cs="Arial"/>
          <w:color w:val="000000"/>
          <w:lang w:eastAsia="bg-BG"/>
        </w:rPr>
        <w:t xml:space="preserve">редуктазни инхибитори. Не може да бъде изключено фармакодинамично взаимодействие (вж. точка 4.5) и е необходимо внимание при комбинираното им използване. Както при другите </w:t>
      </w:r>
      <w:r w:rsidRPr="001B0E7E">
        <w:rPr>
          <w:rFonts w:eastAsia="Times New Roman" w:cs="Arial"/>
          <w:color w:val="000000"/>
          <w:lang w:val="en-US"/>
        </w:rPr>
        <w:t xml:space="preserve">HMG-CoA </w:t>
      </w:r>
      <w:r w:rsidRPr="001B0E7E">
        <w:rPr>
          <w:rFonts w:eastAsia="Times New Roman" w:cs="Arial"/>
          <w:color w:val="000000"/>
          <w:lang w:eastAsia="bg-BG"/>
        </w:rPr>
        <w:t xml:space="preserve">редуктазни инхибитори, докладваната честота на рабдомиолиза, асоциирана с постмаркетингова употреба на розувастатин, е по-висока при дозировка 40 </w:t>
      </w:r>
      <w:r w:rsidRPr="001B0E7E">
        <w:rPr>
          <w:rFonts w:eastAsia="Times New Roman" w:cs="Arial"/>
          <w:color w:val="000000"/>
          <w:lang w:val="en-US"/>
        </w:rPr>
        <w:t>mg.</w:t>
      </w:r>
    </w:p>
    <w:p w14:paraId="305931EB" w14:textId="77777777" w:rsidR="001B0E7E" w:rsidRPr="001B0E7E" w:rsidRDefault="001B0E7E" w:rsidP="001B0E7E">
      <w:pPr>
        <w:spacing w:line="240" w:lineRule="auto"/>
        <w:rPr>
          <w:rFonts w:eastAsia="Times New Roman" w:cs="Arial"/>
          <w:color w:val="000000"/>
          <w:u w:val="single"/>
          <w:lang w:eastAsia="bg-BG"/>
        </w:rPr>
      </w:pPr>
    </w:p>
    <w:p w14:paraId="3B192FE8" w14:textId="0E0D53EC" w:rsidR="001B0E7E" w:rsidRPr="001B0E7E" w:rsidRDefault="001B0E7E" w:rsidP="001B0E7E">
      <w:pPr>
        <w:spacing w:line="240" w:lineRule="auto"/>
        <w:rPr>
          <w:rFonts w:eastAsia="Times New Roman" w:cs="Arial"/>
          <w:sz w:val="24"/>
          <w:szCs w:val="24"/>
          <w:lang w:eastAsia="bg-BG"/>
        </w:rPr>
      </w:pPr>
      <w:r w:rsidRPr="001B0E7E">
        <w:rPr>
          <w:rFonts w:eastAsia="Times New Roman" w:cs="Arial"/>
          <w:color w:val="000000"/>
          <w:u w:val="single"/>
          <w:lang w:eastAsia="bg-BG"/>
        </w:rPr>
        <w:t>Измерване па креатинкиназата</w:t>
      </w:r>
    </w:p>
    <w:p w14:paraId="504FB64A" w14:textId="2F84A07B" w:rsidR="001B0E7E" w:rsidRPr="001B0E7E" w:rsidRDefault="001B0E7E" w:rsidP="001B0E7E">
      <w:pPr>
        <w:spacing w:line="240" w:lineRule="auto"/>
        <w:rPr>
          <w:rFonts w:eastAsia="Times New Roman" w:cs="Arial"/>
          <w:sz w:val="24"/>
          <w:szCs w:val="24"/>
          <w:lang w:eastAsia="bg-BG"/>
        </w:rPr>
      </w:pPr>
      <w:r w:rsidRPr="001B0E7E">
        <w:rPr>
          <w:rFonts w:eastAsia="Times New Roman" w:cs="Arial"/>
          <w:color w:val="000000"/>
          <w:lang w:eastAsia="bg-BG"/>
        </w:rPr>
        <w:t>Креатинкиназата (СК) не трябва да се измерва след усилени упражнения или при наличието на друг причинител на увеличение на СК, което може да затрудни тълкуването на резултата. Ако нивото на СК е значително повишено при изходно ниво (&gt; 5 пъти допустима горна граница), тест за потвърждаване на резултата трябва да бъде направен в рамките на 5-7 дни. Ако повторното изследване потвърди изходно ниво на СК &gt; 5 пъти допустима горна граница, не трябва да се започва лечение.</w:t>
      </w:r>
    </w:p>
    <w:p w14:paraId="7990CE74" w14:textId="77777777" w:rsidR="001B0E7E" w:rsidRPr="001B0E7E" w:rsidRDefault="001B0E7E" w:rsidP="001B0E7E">
      <w:pPr>
        <w:spacing w:line="240" w:lineRule="auto"/>
        <w:rPr>
          <w:rFonts w:eastAsia="Times New Roman" w:cs="Arial"/>
          <w:i/>
          <w:iCs/>
          <w:color w:val="000000"/>
          <w:lang w:eastAsia="bg-BG"/>
        </w:rPr>
      </w:pPr>
    </w:p>
    <w:p w14:paraId="1D111B03" w14:textId="68DCCC26" w:rsidR="001B0E7E" w:rsidRPr="001B0E7E" w:rsidRDefault="001B0E7E" w:rsidP="001B0E7E">
      <w:pPr>
        <w:spacing w:line="240" w:lineRule="auto"/>
        <w:rPr>
          <w:rFonts w:eastAsia="Times New Roman" w:cs="Arial"/>
          <w:sz w:val="24"/>
          <w:szCs w:val="24"/>
          <w:lang w:eastAsia="bg-BG"/>
        </w:rPr>
      </w:pPr>
      <w:r w:rsidRPr="001B0E7E">
        <w:rPr>
          <w:rFonts w:eastAsia="Times New Roman" w:cs="Arial"/>
          <w:i/>
          <w:iCs/>
          <w:color w:val="000000"/>
          <w:lang w:eastAsia="bg-BG"/>
        </w:rPr>
        <w:t>Преди лечението</w:t>
      </w:r>
    </w:p>
    <w:p w14:paraId="259A9E43" w14:textId="77777777" w:rsidR="001B0E7E" w:rsidRDefault="001B0E7E" w:rsidP="001B0E7E">
      <w:pPr>
        <w:spacing w:line="240" w:lineRule="auto"/>
        <w:rPr>
          <w:rFonts w:eastAsia="Times New Roman" w:cs="Arial"/>
          <w:color w:val="000000"/>
          <w:lang w:eastAsia="bg-BG"/>
        </w:rPr>
      </w:pPr>
      <w:r w:rsidRPr="001B0E7E">
        <w:rPr>
          <w:rFonts w:eastAsia="Times New Roman" w:cs="Arial"/>
          <w:color w:val="000000"/>
          <w:lang w:eastAsia="bg-BG"/>
        </w:rPr>
        <w:t xml:space="preserve">Както и други инхибитори на </w:t>
      </w:r>
      <w:r w:rsidRPr="001B0E7E">
        <w:rPr>
          <w:rFonts w:eastAsia="Times New Roman" w:cs="Arial"/>
          <w:color w:val="000000"/>
          <w:lang w:val="en-US"/>
        </w:rPr>
        <w:t xml:space="preserve">HMG-CoA </w:t>
      </w:r>
      <w:r w:rsidRPr="001B0E7E">
        <w:rPr>
          <w:rFonts w:eastAsia="Times New Roman" w:cs="Arial"/>
          <w:color w:val="000000"/>
          <w:lang w:eastAsia="bg-BG"/>
        </w:rPr>
        <w:t>редуктазата, розувастатин трябва да бъде предписван с особено внимание при пациенти, за които са налице фактори, предразполагащи развитие на миопатия, раб</w:t>
      </w:r>
      <w:r>
        <w:rPr>
          <w:rFonts w:eastAsia="Times New Roman" w:cs="Arial"/>
          <w:color w:val="000000"/>
          <w:lang w:eastAsia="bg-BG"/>
        </w:rPr>
        <w:t xml:space="preserve">домиолиза. Такива фактори са: </w:t>
      </w:r>
    </w:p>
    <w:p w14:paraId="66077DC0" w14:textId="77777777" w:rsidR="001B0E7E" w:rsidRPr="001B0E7E" w:rsidRDefault="001B0E7E" w:rsidP="001B0E7E">
      <w:pPr>
        <w:pStyle w:val="ListParagraph"/>
        <w:numPr>
          <w:ilvl w:val="0"/>
          <w:numId w:val="40"/>
        </w:numPr>
        <w:spacing w:line="240" w:lineRule="auto"/>
        <w:rPr>
          <w:rFonts w:eastAsia="Times New Roman" w:cs="Arial"/>
          <w:sz w:val="24"/>
          <w:szCs w:val="24"/>
          <w:lang w:eastAsia="bg-BG"/>
        </w:rPr>
      </w:pPr>
      <w:r w:rsidRPr="001B0E7E">
        <w:rPr>
          <w:rFonts w:eastAsia="Times New Roman" w:cs="Arial"/>
          <w:color w:val="000000"/>
          <w:lang w:eastAsia="bg-BG"/>
        </w:rPr>
        <w:t>бъбречно увреждане;</w:t>
      </w:r>
    </w:p>
    <w:p w14:paraId="71E31CBE" w14:textId="77777777" w:rsidR="001B0E7E" w:rsidRPr="001B0E7E" w:rsidRDefault="001B0E7E" w:rsidP="001B0E7E">
      <w:pPr>
        <w:pStyle w:val="ListParagraph"/>
        <w:numPr>
          <w:ilvl w:val="0"/>
          <w:numId w:val="40"/>
        </w:numPr>
        <w:spacing w:line="240" w:lineRule="auto"/>
        <w:rPr>
          <w:rFonts w:eastAsia="Times New Roman" w:cs="Arial"/>
          <w:sz w:val="24"/>
          <w:szCs w:val="24"/>
          <w:lang w:eastAsia="bg-BG"/>
        </w:rPr>
      </w:pPr>
      <w:r w:rsidRPr="001B0E7E">
        <w:rPr>
          <w:rFonts w:eastAsia="Times New Roman" w:cs="Arial"/>
          <w:color w:val="000000"/>
          <w:lang w:eastAsia="bg-BG"/>
        </w:rPr>
        <w:t>хипотиреоидизъм;</w:t>
      </w:r>
    </w:p>
    <w:p w14:paraId="59DE87E2" w14:textId="77777777" w:rsidR="001B0E7E" w:rsidRPr="001B0E7E" w:rsidRDefault="001B0E7E" w:rsidP="001B0E7E">
      <w:pPr>
        <w:pStyle w:val="ListParagraph"/>
        <w:numPr>
          <w:ilvl w:val="0"/>
          <w:numId w:val="40"/>
        </w:numPr>
        <w:spacing w:line="240" w:lineRule="auto"/>
        <w:rPr>
          <w:rFonts w:eastAsia="Times New Roman" w:cs="Arial"/>
          <w:sz w:val="24"/>
          <w:szCs w:val="24"/>
          <w:lang w:eastAsia="bg-BG"/>
        </w:rPr>
      </w:pPr>
      <w:r w:rsidRPr="001B0E7E">
        <w:rPr>
          <w:rFonts w:eastAsia="Times New Roman" w:cs="Arial"/>
          <w:color w:val="000000"/>
          <w:lang w:eastAsia="bg-BG"/>
        </w:rPr>
        <w:t>лична или фамилна анамнеза за наследствено мускулно заболяване;</w:t>
      </w:r>
    </w:p>
    <w:p w14:paraId="530E9F4E" w14:textId="77777777" w:rsidR="001B0E7E" w:rsidRPr="001B0E7E" w:rsidRDefault="001B0E7E" w:rsidP="001B0E7E">
      <w:pPr>
        <w:pStyle w:val="ListParagraph"/>
        <w:numPr>
          <w:ilvl w:val="0"/>
          <w:numId w:val="40"/>
        </w:numPr>
        <w:spacing w:line="240" w:lineRule="auto"/>
        <w:rPr>
          <w:rFonts w:eastAsia="Times New Roman" w:cs="Arial"/>
          <w:sz w:val="24"/>
          <w:szCs w:val="24"/>
          <w:lang w:eastAsia="bg-BG"/>
        </w:rPr>
      </w:pPr>
      <w:r w:rsidRPr="001B0E7E">
        <w:rPr>
          <w:rFonts w:eastAsia="Times New Roman" w:cs="Arial"/>
          <w:color w:val="000000"/>
          <w:lang w:eastAsia="bg-BG"/>
        </w:rPr>
        <w:t xml:space="preserve">установена мускулна токсичност към други </w:t>
      </w:r>
      <w:r w:rsidRPr="001B0E7E">
        <w:rPr>
          <w:rFonts w:eastAsia="Times New Roman" w:cs="Arial"/>
          <w:color w:val="000000"/>
          <w:lang w:val="en-US"/>
        </w:rPr>
        <w:t xml:space="preserve">HMG-CoA </w:t>
      </w:r>
      <w:r w:rsidRPr="001B0E7E">
        <w:rPr>
          <w:rFonts w:eastAsia="Times New Roman" w:cs="Arial"/>
          <w:color w:val="000000"/>
          <w:lang w:eastAsia="bg-BG"/>
        </w:rPr>
        <w:t>инхибитори на редуктазата или</w:t>
      </w:r>
      <w:r>
        <w:rPr>
          <w:rFonts w:eastAsia="Times New Roman" w:cs="Arial"/>
          <w:color w:val="000000"/>
          <w:lang w:eastAsia="bg-BG"/>
        </w:rPr>
        <w:t xml:space="preserve"> </w:t>
      </w:r>
      <w:r w:rsidRPr="001B0E7E">
        <w:rPr>
          <w:rFonts w:eastAsia="Times New Roman" w:cs="Arial"/>
          <w:color w:val="000000"/>
          <w:lang w:eastAsia="bg-BG"/>
        </w:rPr>
        <w:t>фибрати;</w:t>
      </w:r>
    </w:p>
    <w:p w14:paraId="51BE66EC" w14:textId="77777777" w:rsidR="001B0E7E" w:rsidRPr="001B0E7E" w:rsidRDefault="001B0E7E" w:rsidP="001B0E7E">
      <w:pPr>
        <w:pStyle w:val="ListParagraph"/>
        <w:numPr>
          <w:ilvl w:val="0"/>
          <w:numId w:val="40"/>
        </w:numPr>
        <w:spacing w:line="240" w:lineRule="auto"/>
        <w:rPr>
          <w:rFonts w:eastAsia="Times New Roman" w:cs="Arial"/>
          <w:sz w:val="24"/>
          <w:szCs w:val="24"/>
          <w:lang w:eastAsia="bg-BG"/>
        </w:rPr>
      </w:pPr>
      <w:r w:rsidRPr="001B0E7E">
        <w:rPr>
          <w:rFonts w:eastAsia="Times New Roman" w:cs="Arial"/>
          <w:color w:val="000000"/>
          <w:lang w:eastAsia="bg-BG"/>
        </w:rPr>
        <w:t>злоупотреба с алкохол;</w:t>
      </w:r>
    </w:p>
    <w:p w14:paraId="3503D3CE" w14:textId="77777777" w:rsidR="001B0E7E" w:rsidRPr="001B0E7E" w:rsidRDefault="001B0E7E" w:rsidP="001B0E7E">
      <w:pPr>
        <w:pStyle w:val="ListParagraph"/>
        <w:numPr>
          <w:ilvl w:val="0"/>
          <w:numId w:val="40"/>
        </w:numPr>
        <w:spacing w:line="240" w:lineRule="auto"/>
        <w:rPr>
          <w:rFonts w:eastAsia="Times New Roman" w:cs="Arial"/>
          <w:sz w:val="24"/>
          <w:szCs w:val="24"/>
          <w:lang w:eastAsia="bg-BG"/>
        </w:rPr>
      </w:pPr>
      <w:r w:rsidRPr="001B0E7E">
        <w:rPr>
          <w:rFonts w:eastAsia="Times New Roman" w:cs="Arial"/>
          <w:color w:val="000000"/>
          <w:lang w:eastAsia="bg-BG"/>
        </w:rPr>
        <w:t>пациенти на възраст над</w:t>
      </w:r>
      <w:r w:rsidRPr="001B0E7E">
        <w:rPr>
          <w:rFonts w:eastAsia="Times New Roman" w:cs="Arial"/>
          <w:color w:val="000000"/>
          <w:lang w:eastAsia="bg-BG"/>
        </w:rPr>
        <w:tab/>
        <w:t>70 години;</w:t>
      </w:r>
    </w:p>
    <w:p w14:paraId="3C4EDCD5" w14:textId="77777777" w:rsidR="001B0E7E" w:rsidRPr="001B0E7E" w:rsidRDefault="001B0E7E" w:rsidP="001B0E7E">
      <w:pPr>
        <w:pStyle w:val="ListParagraph"/>
        <w:numPr>
          <w:ilvl w:val="0"/>
          <w:numId w:val="40"/>
        </w:numPr>
        <w:spacing w:line="240" w:lineRule="auto"/>
        <w:rPr>
          <w:rFonts w:eastAsia="Times New Roman" w:cs="Arial"/>
          <w:sz w:val="24"/>
          <w:szCs w:val="24"/>
          <w:lang w:eastAsia="bg-BG"/>
        </w:rPr>
      </w:pPr>
      <w:r w:rsidRPr="001B0E7E">
        <w:rPr>
          <w:rFonts w:eastAsia="Times New Roman" w:cs="Arial"/>
          <w:color w:val="000000"/>
          <w:lang w:eastAsia="bg-BG"/>
        </w:rPr>
        <w:t>състояния, при които може да се наблюдава покачване на плазмените нива на розувастатин (вж. точки 4.2, 4.5 и 5.2);</w:t>
      </w:r>
    </w:p>
    <w:p w14:paraId="15235769" w14:textId="25DA21C9" w:rsidR="001B0E7E" w:rsidRPr="001B0E7E" w:rsidRDefault="001B0E7E" w:rsidP="001B0E7E">
      <w:pPr>
        <w:pStyle w:val="ListParagraph"/>
        <w:numPr>
          <w:ilvl w:val="0"/>
          <w:numId w:val="40"/>
        </w:numPr>
        <w:spacing w:line="240" w:lineRule="auto"/>
        <w:rPr>
          <w:rFonts w:eastAsia="Times New Roman" w:cs="Arial"/>
          <w:sz w:val="24"/>
          <w:szCs w:val="24"/>
          <w:lang w:eastAsia="bg-BG"/>
        </w:rPr>
      </w:pPr>
      <w:r w:rsidRPr="001B0E7E">
        <w:rPr>
          <w:rFonts w:eastAsia="Times New Roman" w:cs="Arial"/>
          <w:color w:val="000000"/>
          <w:lang w:eastAsia="bg-BG"/>
        </w:rPr>
        <w:t>едновременно приложение на фибрати.</w:t>
      </w:r>
    </w:p>
    <w:p w14:paraId="03C241CB" w14:textId="77777777" w:rsidR="001B0E7E" w:rsidRPr="001B0E7E" w:rsidRDefault="001B0E7E" w:rsidP="001B0E7E">
      <w:pPr>
        <w:spacing w:line="240" w:lineRule="auto"/>
        <w:rPr>
          <w:rFonts w:eastAsia="Times New Roman" w:cs="Arial"/>
          <w:color w:val="000000"/>
          <w:lang w:eastAsia="bg-BG"/>
        </w:rPr>
      </w:pPr>
    </w:p>
    <w:p w14:paraId="07DD22FA" w14:textId="434D339F" w:rsidR="001B0E7E" w:rsidRPr="001B0E7E" w:rsidRDefault="001B0E7E" w:rsidP="001B0E7E">
      <w:pPr>
        <w:spacing w:line="240" w:lineRule="auto"/>
        <w:rPr>
          <w:rFonts w:eastAsia="Times New Roman" w:cs="Arial"/>
          <w:sz w:val="24"/>
          <w:szCs w:val="24"/>
          <w:lang w:eastAsia="bg-BG"/>
        </w:rPr>
      </w:pPr>
      <w:r w:rsidRPr="001B0E7E">
        <w:rPr>
          <w:rFonts w:eastAsia="Times New Roman" w:cs="Arial"/>
          <w:color w:val="000000"/>
          <w:lang w:eastAsia="bg-BG"/>
        </w:rPr>
        <w:t>При подобни пациенти трябва да се предвиди отношението риск/полза и да бъдат поставени под клинично наблюдение. Ако изходното ниво на СК е значително повишено (&gt; 5 пъти горна граница на нормата), не трябва да се започва лечение.</w:t>
      </w:r>
    </w:p>
    <w:p w14:paraId="3B74588C" w14:textId="77777777" w:rsidR="001B0E7E" w:rsidRPr="001B0E7E" w:rsidRDefault="001B0E7E" w:rsidP="001B0E7E">
      <w:pPr>
        <w:spacing w:line="240" w:lineRule="auto"/>
        <w:rPr>
          <w:rFonts w:eastAsia="Times New Roman" w:cs="Arial"/>
          <w:i/>
          <w:iCs/>
          <w:color w:val="000000"/>
          <w:lang w:eastAsia="bg-BG"/>
        </w:rPr>
      </w:pPr>
    </w:p>
    <w:p w14:paraId="49937D67" w14:textId="4E62B2DB" w:rsidR="001B0E7E" w:rsidRPr="001B0E7E" w:rsidRDefault="001B0E7E" w:rsidP="001B0E7E">
      <w:pPr>
        <w:spacing w:line="240" w:lineRule="auto"/>
        <w:rPr>
          <w:rFonts w:eastAsia="Times New Roman" w:cs="Arial"/>
          <w:sz w:val="24"/>
          <w:szCs w:val="24"/>
          <w:lang w:eastAsia="bg-BG"/>
        </w:rPr>
      </w:pPr>
      <w:r w:rsidRPr="001B0E7E">
        <w:rPr>
          <w:rFonts w:eastAsia="Times New Roman" w:cs="Arial"/>
          <w:i/>
          <w:iCs/>
          <w:color w:val="000000"/>
          <w:lang w:eastAsia="bg-BG"/>
        </w:rPr>
        <w:t>По време на лечението</w:t>
      </w:r>
    </w:p>
    <w:p w14:paraId="3A3EB52E" w14:textId="77777777" w:rsidR="001B0E7E" w:rsidRPr="001B0E7E" w:rsidRDefault="001B0E7E" w:rsidP="001B0E7E">
      <w:pPr>
        <w:spacing w:line="240" w:lineRule="auto"/>
        <w:rPr>
          <w:rFonts w:eastAsia="Times New Roman" w:cs="Arial"/>
          <w:sz w:val="24"/>
          <w:szCs w:val="24"/>
          <w:lang w:eastAsia="bg-BG"/>
        </w:rPr>
      </w:pPr>
      <w:r w:rsidRPr="001B0E7E">
        <w:rPr>
          <w:rFonts w:eastAsia="Times New Roman" w:cs="Arial"/>
          <w:color w:val="000000"/>
          <w:lang w:eastAsia="bg-BG"/>
        </w:rPr>
        <w:t xml:space="preserve">Пациентите се уведомяват задължително веднага да докладват за появата на необясними мускулни болки, усещане за слабост или схващане, най-вече ако са свързани с неразположение или фебрилитет. При тези пациенти трябва да се измерят нивата на СК. Терапията трябва да се прекрати, ако нивото на СК е значително повишено (&gt; 5 пъти горна допустима граница) или мускулните симптоми са тежки и причиняват ежедневно неразположение (дори нивото на СК да е  ≤ 5 пъти горна допустима граница). Ако симптомите изчезнат и нивото на СК се нормализира, може да се помисли за повторно лечение с розувастатин или с алтернативен </w:t>
      </w:r>
      <w:r w:rsidRPr="001B0E7E">
        <w:rPr>
          <w:rFonts w:eastAsia="Times New Roman" w:cs="Arial"/>
          <w:color w:val="000000"/>
          <w:lang w:val="en-US"/>
        </w:rPr>
        <w:t xml:space="preserve">HMG-CoA </w:t>
      </w:r>
      <w:r w:rsidRPr="001B0E7E">
        <w:rPr>
          <w:rFonts w:eastAsia="Times New Roman" w:cs="Arial"/>
          <w:color w:val="000000"/>
          <w:lang w:eastAsia="bg-BG"/>
        </w:rPr>
        <w:t>инхибитор на редуктазата в най-ниска доза под наблюдение. Рутинно наблюдение на нивото на СК при пациенти без симптоми е неоснователно.</w:t>
      </w:r>
    </w:p>
    <w:p w14:paraId="33DF475E" w14:textId="77777777" w:rsidR="001B0E7E" w:rsidRPr="001B0E7E" w:rsidRDefault="001B0E7E" w:rsidP="001B0E7E">
      <w:pPr>
        <w:rPr>
          <w:rFonts w:eastAsia="Times New Roman" w:cs="Arial"/>
          <w:color w:val="000000"/>
          <w:lang w:eastAsia="bg-BG"/>
        </w:rPr>
      </w:pPr>
    </w:p>
    <w:p w14:paraId="0E28BBDE" w14:textId="7975B64B" w:rsidR="007A2185" w:rsidRPr="001B0E7E" w:rsidRDefault="001B0E7E" w:rsidP="001B0E7E">
      <w:pPr>
        <w:rPr>
          <w:rFonts w:cs="Arial"/>
        </w:rPr>
      </w:pPr>
      <w:r w:rsidRPr="001B0E7E">
        <w:rPr>
          <w:rFonts w:eastAsia="Times New Roman" w:cs="Arial"/>
          <w:color w:val="000000"/>
          <w:lang w:eastAsia="bg-BG"/>
        </w:rPr>
        <w:lastRenderedPageBreak/>
        <w:t>Има много редки доклади за имуномедиирана некротизираща миопатия (ИМНМ) по време на или след лечение със статини, включително розувастатин. ИМНМ клинично се характеризира с проксимална мускулна слабост и повишена серумна креатинкиназа, които продължават въпреки прекратяване на лечението със статини.</w:t>
      </w:r>
    </w:p>
    <w:p w14:paraId="24E3E82F" w14:textId="387AB5CA" w:rsidR="0091385D" w:rsidRDefault="0091385D" w:rsidP="0091385D"/>
    <w:p w14:paraId="1F867ADA" w14:textId="10E49F3C"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 xml:space="preserve">При клиничните изпитания на розувастатин не са наблюдавани данни за повишени ефекти върху скелетната мускулатура в малката група пациенти, при които розувастатин е прилаган с друго съпътстващо лечение. Увеличение на честотата на миозит и миопатия е наблюдавано обаче при пациенти, получаващи други инхибитори на </w:t>
      </w:r>
      <w:r w:rsidRPr="001B0E7E">
        <w:rPr>
          <w:rFonts w:eastAsia="Times New Roman" w:cs="Arial"/>
          <w:color w:val="000000"/>
          <w:szCs w:val="20"/>
          <w:lang w:val="en-US"/>
        </w:rPr>
        <w:t xml:space="preserve">HMG-CoA </w:t>
      </w:r>
      <w:r w:rsidRPr="001B0E7E">
        <w:rPr>
          <w:rFonts w:eastAsia="Times New Roman" w:cs="Arial"/>
          <w:color w:val="000000"/>
          <w:szCs w:val="20"/>
          <w:lang w:eastAsia="bg-BG"/>
        </w:rPr>
        <w:t xml:space="preserve">редуктазта заедно с циклоспорин, производни на фибриновата киселина, включително гемфиброзин, никотинова киселина, азолови антамикотици, протеазни инхибитори и макролидни антибиотици. Гемфиброзил повишава риска от миопатия, ако се приема едновременно </w:t>
      </w:r>
      <w:r w:rsidRPr="001B0E7E">
        <w:rPr>
          <w:rFonts w:eastAsia="Times New Roman" w:cs="Arial"/>
          <w:color w:val="000000"/>
          <w:szCs w:val="20"/>
          <w:lang w:val="en-US"/>
        </w:rPr>
        <w:t xml:space="preserve">HMG-CoA </w:t>
      </w:r>
      <w:r w:rsidRPr="001B0E7E">
        <w:rPr>
          <w:rFonts w:eastAsia="Times New Roman" w:cs="Arial"/>
          <w:color w:val="000000"/>
          <w:szCs w:val="20"/>
          <w:lang w:eastAsia="bg-BG"/>
        </w:rPr>
        <w:t xml:space="preserve">инхибитори на редуктазата. Поради това комбинацията между гемфиброзил и розувастатин не е препоръчителна. Ползата от допълнително понижаване на липидните нива в резултат от комбинираното приемане на розувастатин и фибрата или ниацин трябва да бъде внимателно изчислена спрямо потенциалния риск от подобни комбинации. При едновременно приложение на фибрата лечението с дози от 40 </w:t>
      </w:r>
      <w:r w:rsidRPr="001B0E7E">
        <w:rPr>
          <w:rFonts w:eastAsia="Times New Roman" w:cs="Arial"/>
          <w:color w:val="000000"/>
          <w:szCs w:val="20"/>
          <w:lang w:val="en-US"/>
        </w:rPr>
        <w:t xml:space="preserve">mg </w:t>
      </w:r>
      <w:r w:rsidRPr="001B0E7E">
        <w:rPr>
          <w:rFonts w:eastAsia="Times New Roman" w:cs="Arial"/>
          <w:color w:val="000000"/>
          <w:szCs w:val="20"/>
          <w:lang w:eastAsia="bg-BG"/>
        </w:rPr>
        <w:t>е против</w:t>
      </w:r>
      <w:r w:rsidR="00F62124">
        <w:rPr>
          <w:rFonts w:eastAsia="Times New Roman" w:cs="Arial"/>
          <w:color w:val="000000"/>
          <w:szCs w:val="20"/>
          <w:lang w:eastAsia="bg-BG"/>
        </w:rPr>
        <w:t>опоказано (вж. точки 4.5 и 4.8).</w:t>
      </w:r>
    </w:p>
    <w:p w14:paraId="24863C04" w14:textId="77777777" w:rsidR="001B0E7E" w:rsidRPr="00F62124" w:rsidRDefault="001B0E7E" w:rsidP="001B0E7E">
      <w:pPr>
        <w:spacing w:line="240" w:lineRule="auto"/>
        <w:rPr>
          <w:rFonts w:eastAsia="Times New Roman" w:cs="Arial"/>
          <w:color w:val="000000"/>
          <w:szCs w:val="20"/>
          <w:lang w:eastAsia="bg-BG"/>
        </w:rPr>
      </w:pPr>
    </w:p>
    <w:p w14:paraId="0523C7FA" w14:textId="443E4913"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Росста не трябва да се прилага едновременно с фузидова киселина за системно приложение или в рамкие на 7 дни след спиране на лечението с фузидова киселина. При пациенти, при които използването на фузидова киселина за системно приложение, се счита за основно лечението със статини, трябва да бъде преустановено през целия период на лечение с фузидова киселина. Има съобщения за рабдомиолиза (включително няколко с фатален изход) при пациенти, приемащи фузидова киселина и статини в комбинация (вж. точка 4.5). Пациентите трябва да бъдат посъветвани да потърсят незабавно медицинска помощ, ако изпитват симптоми на мускулна слабост, болка или болезненост. Лечението със статини може да бъде подновено седем дни след последната доза на фузидова киселина. При извънредни обстоятелства, когато е необходима продължителна употреба на фузидова киселина, за системно приложение, напр. за лечение на тежки инфекции, необходимостта от едновременно приложение на Росста и физидова киселина, трябва да се прецени индивидуално, и под строг медицински контрол.</w:t>
      </w:r>
    </w:p>
    <w:p w14:paraId="74CD2AD2" w14:textId="77777777" w:rsidR="001B0E7E" w:rsidRPr="00F62124" w:rsidRDefault="001B0E7E" w:rsidP="001B0E7E">
      <w:pPr>
        <w:spacing w:line="240" w:lineRule="auto"/>
        <w:rPr>
          <w:rFonts w:eastAsia="Times New Roman" w:cs="Arial"/>
          <w:color w:val="000000"/>
          <w:szCs w:val="20"/>
          <w:lang w:eastAsia="bg-BG"/>
        </w:rPr>
      </w:pPr>
    </w:p>
    <w:p w14:paraId="48BB7FF0" w14:textId="4CB91E53"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Росста не трябва да се употребява при пациенти с остри сериозни състояния, предполагащи миопатия или предразполагащи към развитие на бъбречна недостатъчност, вследствие на рабдомиолиза (напр. сепсис, хипотензия, голяма операция, травма, тежки метаболитни, ендокринни и електролитни нарушения или неконтролирани гърчове).</w:t>
      </w:r>
    </w:p>
    <w:p w14:paraId="12E536ED" w14:textId="77777777" w:rsidR="001B0E7E" w:rsidRPr="00F62124" w:rsidRDefault="001B0E7E" w:rsidP="001B0E7E">
      <w:pPr>
        <w:spacing w:line="240" w:lineRule="auto"/>
        <w:rPr>
          <w:rFonts w:eastAsia="Times New Roman" w:cs="Arial"/>
          <w:color w:val="000000"/>
          <w:szCs w:val="20"/>
          <w:lang w:eastAsia="bg-BG"/>
        </w:rPr>
      </w:pPr>
    </w:p>
    <w:p w14:paraId="5C27E3EA" w14:textId="7DF09DDE"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Тежки кожни нежелани реакции</w:t>
      </w:r>
    </w:p>
    <w:p w14:paraId="015F7E06"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 xml:space="preserve">При лечение с розувастатин се съобщава за тежки кожни нежелани реакции, включващи синдром на </w:t>
      </w:r>
      <w:r w:rsidRPr="001B0E7E">
        <w:rPr>
          <w:rFonts w:eastAsia="Times New Roman" w:cs="Arial"/>
          <w:color w:val="000000"/>
          <w:szCs w:val="20"/>
          <w:lang w:val="en-US"/>
        </w:rPr>
        <w:t xml:space="preserve">Stevens Johnson (SJS) </w:t>
      </w:r>
      <w:r w:rsidRPr="001B0E7E">
        <w:rPr>
          <w:rFonts w:eastAsia="Times New Roman" w:cs="Arial"/>
          <w:color w:val="000000"/>
          <w:szCs w:val="20"/>
          <w:lang w:eastAsia="bg-BG"/>
        </w:rPr>
        <w:t xml:space="preserve">и лекарствена реакция с еозинофилия и системни симптоми </w:t>
      </w:r>
      <w:r w:rsidRPr="001B0E7E">
        <w:rPr>
          <w:rFonts w:eastAsia="Times New Roman" w:cs="Arial"/>
          <w:color w:val="000000"/>
          <w:szCs w:val="20"/>
          <w:lang w:val="en-US"/>
        </w:rPr>
        <w:t xml:space="preserve">(DRESS), </w:t>
      </w:r>
      <w:r w:rsidRPr="001B0E7E">
        <w:rPr>
          <w:rFonts w:eastAsia="Times New Roman" w:cs="Arial"/>
          <w:color w:val="000000"/>
          <w:szCs w:val="20"/>
          <w:lang w:eastAsia="bg-BG"/>
        </w:rPr>
        <w:t>които може да са животозастрашаващи или с летален изход.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тази реакция, приложението на Росста трябва незабавно да се преустанови и да се обмисли алтернативно лечение.</w:t>
      </w:r>
    </w:p>
    <w:p w14:paraId="7DD6EC5D" w14:textId="77777777" w:rsidR="001B0E7E" w:rsidRPr="00F62124" w:rsidRDefault="001B0E7E" w:rsidP="001B0E7E">
      <w:pPr>
        <w:spacing w:line="240" w:lineRule="auto"/>
        <w:rPr>
          <w:rFonts w:eastAsia="Times New Roman" w:cs="Arial"/>
          <w:color w:val="000000"/>
          <w:szCs w:val="20"/>
          <w:lang w:eastAsia="bg-BG"/>
        </w:rPr>
      </w:pPr>
    </w:p>
    <w:p w14:paraId="477262E1" w14:textId="7E78DD83"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lastRenderedPageBreak/>
        <w:t xml:space="preserve">Ако пациентът е развил сериозна реакция, като например </w:t>
      </w:r>
      <w:r w:rsidRPr="001B0E7E">
        <w:rPr>
          <w:rFonts w:eastAsia="Times New Roman" w:cs="Arial"/>
          <w:color w:val="000000"/>
          <w:szCs w:val="20"/>
          <w:lang w:val="en-US"/>
        </w:rPr>
        <w:t xml:space="preserve">SJS </w:t>
      </w:r>
      <w:r w:rsidRPr="001B0E7E">
        <w:rPr>
          <w:rFonts w:eastAsia="Times New Roman" w:cs="Arial"/>
          <w:color w:val="000000"/>
          <w:szCs w:val="20"/>
          <w:lang w:eastAsia="bg-BG"/>
        </w:rPr>
        <w:t xml:space="preserve">или </w:t>
      </w:r>
      <w:r w:rsidRPr="001B0E7E">
        <w:rPr>
          <w:rFonts w:eastAsia="Times New Roman" w:cs="Arial"/>
          <w:color w:val="000000"/>
          <w:szCs w:val="20"/>
          <w:lang w:val="en-US"/>
        </w:rPr>
        <w:t xml:space="preserve">DRESS </w:t>
      </w:r>
      <w:r w:rsidRPr="001B0E7E">
        <w:rPr>
          <w:rFonts w:eastAsia="Times New Roman" w:cs="Arial"/>
          <w:color w:val="000000"/>
          <w:szCs w:val="20"/>
          <w:lang w:eastAsia="bg-BG"/>
        </w:rPr>
        <w:t>при употребата на Росста, лечението с Росста не трябва никога да се подновява при този пациент.</w:t>
      </w:r>
    </w:p>
    <w:p w14:paraId="1E447B63" w14:textId="77777777" w:rsidR="001B0E7E" w:rsidRPr="00F62124" w:rsidRDefault="001B0E7E" w:rsidP="001B0E7E">
      <w:pPr>
        <w:spacing w:line="240" w:lineRule="auto"/>
        <w:rPr>
          <w:rFonts w:eastAsia="Times New Roman" w:cs="Arial"/>
          <w:color w:val="000000"/>
          <w:szCs w:val="20"/>
          <w:u w:val="single"/>
          <w:lang w:eastAsia="bg-BG"/>
        </w:rPr>
      </w:pPr>
    </w:p>
    <w:p w14:paraId="0A481C26" w14:textId="1E181E06"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u w:val="single"/>
          <w:lang w:eastAsia="bg-BG"/>
        </w:rPr>
        <w:t>Влияние върху черния дроб</w:t>
      </w:r>
    </w:p>
    <w:p w14:paraId="0B6C848C"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 xml:space="preserve">Както при други инхибитори на </w:t>
      </w:r>
      <w:r w:rsidRPr="001B0E7E">
        <w:rPr>
          <w:rFonts w:eastAsia="Times New Roman" w:cs="Arial"/>
          <w:color w:val="000000"/>
          <w:szCs w:val="20"/>
          <w:lang w:val="en-US"/>
        </w:rPr>
        <w:t xml:space="preserve">HMG-CoA </w:t>
      </w:r>
      <w:r w:rsidRPr="001B0E7E">
        <w:rPr>
          <w:rFonts w:eastAsia="Times New Roman" w:cs="Arial"/>
          <w:color w:val="000000"/>
          <w:szCs w:val="20"/>
          <w:lang w:eastAsia="bg-BG"/>
        </w:rPr>
        <w:t>редуктазата и розувастатин трябва да се прилага с внимание при пациенти, приемащи голямо количество алкохол и/или имали заболяване на черния дроб. Препоръчително е да се направят изследвания на черния дроб преди и 3 месеца след започване на лечението. Росста трябва да бъде преустановен или дозата трябва да се намали, ако нивото на серумните трансаминази надвишава три пъти горната граница на</w:t>
      </w:r>
      <w:r w:rsidRPr="001B0E7E">
        <w:rPr>
          <w:rFonts w:eastAsia="Times New Roman" w:cs="Arial"/>
          <w:color w:val="000000"/>
          <w:szCs w:val="20"/>
          <w:u w:val="single"/>
          <w:lang w:eastAsia="bg-BG"/>
        </w:rPr>
        <w:t xml:space="preserve"> </w:t>
      </w:r>
      <w:r w:rsidRPr="001B0E7E">
        <w:rPr>
          <w:rFonts w:eastAsia="Times New Roman" w:cs="Arial"/>
          <w:color w:val="000000"/>
          <w:szCs w:val="20"/>
          <w:lang w:eastAsia="bg-BG"/>
        </w:rPr>
        <w:t xml:space="preserve">нормата. Докладваната честота за сериозни чернодробни увреждания (заключаващи се главно в увеличени чернодробни трансаминази) при постмаркетинговата употреба е по-висока при дозировка 40 </w:t>
      </w:r>
      <w:r w:rsidRPr="001B0E7E">
        <w:rPr>
          <w:rFonts w:eastAsia="Times New Roman" w:cs="Arial"/>
          <w:color w:val="000000"/>
          <w:szCs w:val="20"/>
          <w:lang w:val="en-US"/>
        </w:rPr>
        <w:t>mg.</w:t>
      </w:r>
    </w:p>
    <w:p w14:paraId="074A74FF" w14:textId="1E96E691" w:rsidR="001B0E7E" w:rsidRPr="001B0E7E" w:rsidRDefault="001B0E7E" w:rsidP="001B0E7E">
      <w:pPr>
        <w:spacing w:line="240" w:lineRule="auto"/>
        <w:rPr>
          <w:rFonts w:eastAsia="Times New Roman" w:cs="Arial"/>
          <w:sz w:val="28"/>
          <w:szCs w:val="24"/>
          <w:lang w:eastAsia="bg-BG"/>
        </w:rPr>
      </w:pPr>
    </w:p>
    <w:p w14:paraId="569CDB20" w14:textId="4238DD10" w:rsidR="001B0E7E" w:rsidRPr="00F62124" w:rsidRDefault="001B0E7E" w:rsidP="00F62124">
      <w:pPr>
        <w:spacing w:line="240" w:lineRule="auto"/>
        <w:rPr>
          <w:rFonts w:eastAsia="Times New Roman" w:cs="Arial"/>
          <w:sz w:val="28"/>
          <w:szCs w:val="24"/>
          <w:lang w:eastAsia="bg-BG"/>
        </w:rPr>
      </w:pPr>
      <w:r w:rsidRPr="001B0E7E">
        <w:rPr>
          <w:rFonts w:eastAsia="Times New Roman" w:cs="Arial"/>
          <w:color w:val="000000"/>
          <w:szCs w:val="20"/>
          <w:lang w:eastAsia="bg-BG"/>
        </w:rPr>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w:t>
      </w:r>
      <w:r w:rsidR="00F62124">
        <w:rPr>
          <w:rFonts w:eastAsia="Times New Roman" w:cs="Arial"/>
          <w:sz w:val="28"/>
          <w:szCs w:val="24"/>
          <w:lang w:eastAsia="bg-BG"/>
        </w:rPr>
        <w:t xml:space="preserve"> </w:t>
      </w:r>
      <w:r w:rsidRPr="00F62124">
        <w:rPr>
          <w:rFonts w:eastAsia="Times New Roman" w:cs="Arial"/>
          <w:color w:val="000000"/>
          <w:szCs w:val="20"/>
          <w:lang w:eastAsia="bg-BG"/>
        </w:rPr>
        <w:t>розувастатин.</w:t>
      </w:r>
    </w:p>
    <w:p w14:paraId="455D8E10" w14:textId="39369CB4" w:rsidR="001B0E7E" w:rsidRPr="00F62124" w:rsidRDefault="001B0E7E" w:rsidP="0091385D">
      <w:pPr>
        <w:rPr>
          <w:rFonts w:cs="Arial"/>
          <w:sz w:val="24"/>
        </w:rPr>
      </w:pPr>
    </w:p>
    <w:p w14:paraId="00856AD8"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u w:val="single"/>
          <w:lang w:eastAsia="bg-BG"/>
        </w:rPr>
        <w:t>Раса</w:t>
      </w:r>
    </w:p>
    <w:p w14:paraId="1960844A"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Фармакокинетичните проучвания показват, че при пациентите от азиатската раса е налице по- висока експозиция в сравнение е тези от кавказката (бялата) раса (вж. точки 4.2, 4.3 и 5.2).</w:t>
      </w:r>
    </w:p>
    <w:p w14:paraId="55975B3C" w14:textId="77777777" w:rsidR="001B0E7E" w:rsidRPr="00F62124" w:rsidRDefault="001B0E7E" w:rsidP="001B0E7E">
      <w:pPr>
        <w:spacing w:line="240" w:lineRule="auto"/>
        <w:rPr>
          <w:rFonts w:eastAsia="Times New Roman" w:cs="Arial"/>
          <w:color w:val="000000"/>
          <w:szCs w:val="20"/>
          <w:u w:val="single"/>
          <w:lang w:eastAsia="bg-BG"/>
        </w:rPr>
      </w:pPr>
    </w:p>
    <w:p w14:paraId="26BFB79E" w14:textId="1ACA1514"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u w:val="single"/>
          <w:lang w:eastAsia="bg-BG"/>
        </w:rPr>
        <w:t>Протеазни инхибитори</w:t>
      </w:r>
    </w:p>
    <w:p w14:paraId="23F3F83D"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 xml:space="preserve">Повишена системна експозиция на розувастатин е наблюдаввана при пациенти, приемащи розувастатин едновременно с различни протеазни инхибитори, в комбинация с ритонавир. Трябва да се прецени както ползата от понижаване на липидите чрез употреба на розувастатин при пациенти с </w:t>
      </w:r>
      <w:r w:rsidRPr="001B0E7E">
        <w:rPr>
          <w:rFonts w:eastAsia="Times New Roman" w:cs="Arial"/>
          <w:color w:val="000000"/>
          <w:szCs w:val="20"/>
          <w:lang w:val="en-US"/>
        </w:rPr>
        <w:t xml:space="preserve">HIV, </w:t>
      </w:r>
      <w:r w:rsidRPr="001B0E7E">
        <w:rPr>
          <w:rFonts w:eastAsia="Times New Roman" w:cs="Arial"/>
          <w:color w:val="000000"/>
          <w:szCs w:val="20"/>
          <w:lang w:eastAsia="bg-BG"/>
        </w:rPr>
        <w:t>които приемат протеазни инхибитори, така и потенциала за повишена концентрация на розувастатин, когато се започва терапията и се повишава дозата на розувастатин при пациенти, лекувани с протеазни инхибитори. Едновременното приложение с определени протеазни инхибитори не се препоръчва, освен ако дозата на розувастатин не се коригира (вж. точки 4.2 и 4.5).</w:t>
      </w:r>
    </w:p>
    <w:p w14:paraId="55362F86" w14:textId="77777777" w:rsidR="001B0E7E" w:rsidRPr="00F62124" w:rsidRDefault="001B0E7E" w:rsidP="001B0E7E">
      <w:pPr>
        <w:spacing w:line="240" w:lineRule="auto"/>
        <w:rPr>
          <w:rFonts w:eastAsia="Times New Roman" w:cs="Arial"/>
          <w:color w:val="000000"/>
          <w:szCs w:val="20"/>
          <w:u w:val="single"/>
          <w:lang w:eastAsia="bg-BG"/>
        </w:rPr>
      </w:pPr>
    </w:p>
    <w:p w14:paraId="6186F118" w14:textId="36F44CE1"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u w:val="single"/>
          <w:lang w:eastAsia="bg-BG"/>
        </w:rPr>
        <w:t>Интерстициална белодробна болест</w:t>
      </w:r>
    </w:p>
    <w:p w14:paraId="10DC1F5E"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Докладвани са изолирани случаи на интерстициална белодробна болест при приложение на някои статини, особено при продължителна терапия (вж. точка 4.8). Клиничните прояви могат да включват диспнея, непродуктивна кашлица и влошаване на общото състояние (умора, загуба на тегло и треска). Ако има подозрение, че пациентът е развил интерстициална белодробна болест, терапията със статии трябва да бъде преустановена.</w:t>
      </w:r>
    </w:p>
    <w:p w14:paraId="67B8C898" w14:textId="77777777" w:rsidR="001B0E7E" w:rsidRPr="00F62124" w:rsidRDefault="001B0E7E" w:rsidP="001B0E7E">
      <w:pPr>
        <w:spacing w:line="240" w:lineRule="auto"/>
        <w:rPr>
          <w:rFonts w:eastAsia="Times New Roman" w:cs="Arial"/>
          <w:color w:val="000000"/>
          <w:szCs w:val="20"/>
          <w:u w:val="single"/>
          <w:lang w:eastAsia="bg-BG"/>
        </w:rPr>
      </w:pPr>
    </w:p>
    <w:p w14:paraId="67AC1BAF" w14:textId="327FB112"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u w:val="single"/>
          <w:lang w:eastAsia="bg-BG"/>
        </w:rPr>
        <w:t>Захарен диабет</w:t>
      </w:r>
    </w:p>
    <w:p w14:paraId="50AEEDCD"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 xml:space="preserve">Някои доказателства предполагат, че статините като клас повишават кръвната глюкоза и при някои пациенти, с висок риск за развитие на диабет в бъдеще, могат да доведат до такова ниво на хипергликемия, при което е подходящо прилагането на редовната грижа, провеждана при диабет. Този риск обаче се надделява от редукцията на васкуларния риск със статини и следователно не трябва да бъде причина за спиране на статиновата терапия. Рисковите пациенти (глюкоза на гладно 5.6 до 6.9 </w:t>
      </w:r>
      <w:proofErr w:type="spellStart"/>
      <w:r w:rsidRPr="001B0E7E">
        <w:rPr>
          <w:rFonts w:eastAsia="Times New Roman" w:cs="Arial"/>
          <w:color w:val="000000"/>
          <w:szCs w:val="20"/>
          <w:lang w:val="en-US"/>
        </w:rPr>
        <w:t>mmol</w:t>
      </w:r>
      <w:proofErr w:type="spellEnd"/>
      <w:r w:rsidRPr="001B0E7E">
        <w:rPr>
          <w:rFonts w:eastAsia="Times New Roman" w:cs="Arial"/>
          <w:color w:val="000000"/>
          <w:szCs w:val="20"/>
          <w:lang w:val="en-US"/>
        </w:rPr>
        <w:t xml:space="preserve">/l, </w:t>
      </w:r>
      <w:r w:rsidRPr="001B0E7E">
        <w:rPr>
          <w:rFonts w:eastAsia="Times New Roman" w:cs="Arial"/>
          <w:color w:val="000000"/>
          <w:szCs w:val="20"/>
          <w:lang w:eastAsia="bg-BG"/>
        </w:rPr>
        <w:t xml:space="preserve">индекс на телесна маса &gt; 30 </w:t>
      </w:r>
      <w:r w:rsidRPr="001B0E7E">
        <w:rPr>
          <w:rFonts w:eastAsia="Times New Roman" w:cs="Arial"/>
          <w:color w:val="000000"/>
          <w:szCs w:val="20"/>
          <w:lang w:val="en-US"/>
        </w:rPr>
        <w:t>kg/m</w:t>
      </w:r>
      <w:r w:rsidRPr="001B0E7E">
        <w:rPr>
          <w:rFonts w:eastAsia="Times New Roman" w:cs="Arial"/>
          <w:color w:val="000000"/>
          <w:szCs w:val="20"/>
          <w:vertAlign w:val="superscript"/>
          <w:lang w:val="en-US"/>
        </w:rPr>
        <w:t>2</w:t>
      </w:r>
      <w:r w:rsidRPr="001B0E7E">
        <w:rPr>
          <w:rFonts w:eastAsia="Times New Roman" w:cs="Arial"/>
          <w:color w:val="000000"/>
          <w:szCs w:val="20"/>
          <w:lang w:val="en-US"/>
        </w:rPr>
        <w:t xml:space="preserve">, </w:t>
      </w:r>
      <w:r w:rsidRPr="001B0E7E">
        <w:rPr>
          <w:rFonts w:eastAsia="Times New Roman" w:cs="Arial"/>
          <w:color w:val="000000"/>
          <w:szCs w:val="20"/>
          <w:lang w:eastAsia="bg-BG"/>
        </w:rPr>
        <w:t>повишени стойности на триглицеридите, хипертония) трябва да се проследява клинично и биохимично съгласно националните ръководства.</w:t>
      </w:r>
    </w:p>
    <w:p w14:paraId="718FBE2D" w14:textId="77777777" w:rsidR="001B0E7E" w:rsidRPr="00F62124" w:rsidRDefault="001B0E7E" w:rsidP="001B0E7E">
      <w:pPr>
        <w:spacing w:line="240" w:lineRule="auto"/>
        <w:rPr>
          <w:rFonts w:eastAsia="Times New Roman" w:cs="Arial"/>
          <w:color w:val="000000"/>
          <w:szCs w:val="20"/>
          <w:lang w:eastAsia="bg-BG"/>
        </w:rPr>
      </w:pPr>
    </w:p>
    <w:p w14:paraId="61E5BA85" w14:textId="721D854D"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lastRenderedPageBreak/>
        <w:t xml:space="preserve">В проучването </w:t>
      </w:r>
      <w:r w:rsidRPr="001B0E7E">
        <w:rPr>
          <w:rFonts w:eastAsia="Times New Roman" w:cs="Arial"/>
          <w:color w:val="000000"/>
          <w:szCs w:val="20"/>
          <w:lang w:val="en-US"/>
        </w:rPr>
        <w:t xml:space="preserve">JUPITER </w:t>
      </w:r>
      <w:r w:rsidRPr="001B0E7E">
        <w:rPr>
          <w:rFonts w:eastAsia="Times New Roman" w:cs="Arial"/>
          <w:color w:val="000000"/>
          <w:szCs w:val="20"/>
          <w:lang w:eastAsia="bg-BG"/>
        </w:rPr>
        <w:t xml:space="preserve">съобщената обща честота на захарен диабет е 2,8% за розувастатин и 2.3% за плацебо, главно при пациенти с глюкоза на гладно 5,6 до 6.9 </w:t>
      </w:r>
      <w:proofErr w:type="spellStart"/>
      <w:r w:rsidRPr="001B0E7E">
        <w:rPr>
          <w:rFonts w:eastAsia="Times New Roman" w:cs="Arial"/>
          <w:color w:val="000000"/>
          <w:szCs w:val="20"/>
          <w:lang w:val="en-US"/>
        </w:rPr>
        <w:t>mmol</w:t>
      </w:r>
      <w:proofErr w:type="spellEnd"/>
      <w:r w:rsidRPr="001B0E7E">
        <w:rPr>
          <w:rFonts w:eastAsia="Times New Roman" w:cs="Arial"/>
          <w:color w:val="000000"/>
          <w:szCs w:val="20"/>
          <w:lang w:val="en-US"/>
        </w:rPr>
        <w:t>/l.</w:t>
      </w:r>
    </w:p>
    <w:p w14:paraId="5005305F" w14:textId="77777777" w:rsidR="001B0E7E" w:rsidRPr="00F62124" w:rsidRDefault="001B0E7E" w:rsidP="001B0E7E">
      <w:pPr>
        <w:spacing w:line="240" w:lineRule="auto"/>
        <w:rPr>
          <w:rFonts w:eastAsia="Times New Roman" w:cs="Arial"/>
          <w:color w:val="000000"/>
          <w:szCs w:val="20"/>
          <w:u w:val="single"/>
          <w:lang w:eastAsia="bg-BG"/>
        </w:rPr>
      </w:pPr>
    </w:p>
    <w:p w14:paraId="4531737B" w14:textId="7800C151"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u w:val="single"/>
          <w:lang w:eastAsia="bg-BG"/>
        </w:rPr>
        <w:t>Педиатрична популация</w:t>
      </w:r>
    </w:p>
    <w:p w14:paraId="1528167E"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 xml:space="preserve">Оценяването на линейното израстване (височина), тегло, </w:t>
      </w:r>
      <w:r w:rsidRPr="001B0E7E">
        <w:rPr>
          <w:rFonts w:eastAsia="Times New Roman" w:cs="Arial"/>
          <w:color w:val="000000"/>
          <w:szCs w:val="20"/>
          <w:lang w:val="en-US"/>
        </w:rPr>
        <w:t xml:space="preserve">BMI </w:t>
      </w:r>
      <w:r w:rsidRPr="001B0E7E">
        <w:rPr>
          <w:rFonts w:eastAsia="Times New Roman" w:cs="Arial"/>
          <w:color w:val="000000"/>
          <w:szCs w:val="20"/>
          <w:lang w:eastAsia="bg-BG"/>
        </w:rPr>
        <w:t xml:space="preserve">(индекс на телесната маса) и вторичните полови белези на половото съзряване по скалата на </w:t>
      </w:r>
      <w:r w:rsidRPr="001B0E7E">
        <w:rPr>
          <w:rFonts w:eastAsia="Times New Roman" w:cs="Arial"/>
          <w:color w:val="000000"/>
          <w:szCs w:val="20"/>
          <w:lang w:val="en-US"/>
        </w:rPr>
        <w:t xml:space="preserve">Tanner </w:t>
      </w:r>
      <w:r w:rsidRPr="001B0E7E">
        <w:rPr>
          <w:rFonts w:eastAsia="Times New Roman" w:cs="Arial"/>
          <w:color w:val="000000"/>
          <w:szCs w:val="20"/>
          <w:lang w:eastAsia="bg-BG"/>
        </w:rPr>
        <w:t xml:space="preserve">при педиатрични пациенти на възраст 6 до 17 години, приемащи розувастатин, е ограничено до двугодишен период. След две години на третиране по време на проучването, не е бил забелязан никакъв ефект върху растежа, теглото, </w:t>
      </w:r>
      <w:r w:rsidRPr="001B0E7E">
        <w:rPr>
          <w:rFonts w:eastAsia="Times New Roman" w:cs="Arial"/>
          <w:color w:val="000000"/>
          <w:szCs w:val="20"/>
          <w:lang w:val="en-US"/>
        </w:rPr>
        <w:t xml:space="preserve">BMI </w:t>
      </w:r>
      <w:r w:rsidRPr="001B0E7E">
        <w:rPr>
          <w:rFonts w:eastAsia="Times New Roman" w:cs="Arial"/>
          <w:color w:val="000000"/>
          <w:szCs w:val="20"/>
          <w:lang w:eastAsia="bg-BG"/>
        </w:rPr>
        <w:t>или половото съзряване (вж. точка 5.1).</w:t>
      </w:r>
    </w:p>
    <w:p w14:paraId="3DF3AD53"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 xml:space="preserve">В клинично проучване на деца и юноши, приемащи Розувастатин за 52 седмици, повишаване на СК &gt; 10 х </w:t>
      </w:r>
      <w:r w:rsidRPr="001B0E7E">
        <w:rPr>
          <w:rFonts w:eastAsia="Times New Roman" w:cs="Arial"/>
          <w:color w:val="000000"/>
          <w:szCs w:val="20"/>
          <w:lang w:val="en-US"/>
        </w:rPr>
        <w:t xml:space="preserve">ULN </w:t>
      </w:r>
      <w:r w:rsidRPr="001B0E7E">
        <w:rPr>
          <w:rFonts w:eastAsia="Times New Roman" w:cs="Arial"/>
          <w:color w:val="000000"/>
          <w:szCs w:val="20"/>
          <w:lang w:eastAsia="bg-BG"/>
        </w:rPr>
        <w:t>и мускулни симптоми след упражнения или повишена физическа активност са докладвани по-често в сравнение с наблюдения от клинични проучвания при възрастни (вж. точка 4.8).</w:t>
      </w:r>
    </w:p>
    <w:p w14:paraId="02AB12E6" w14:textId="77777777" w:rsidR="001B0E7E" w:rsidRPr="00F62124" w:rsidRDefault="001B0E7E" w:rsidP="001B0E7E">
      <w:pPr>
        <w:spacing w:line="240" w:lineRule="auto"/>
        <w:rPr>
          <w:rFonts w:eastAsia="Times New Roman" w:cs="Arial"/>
          <w:color w:val="000000"/>
          <w:szCs w:val="20"/>
          <w:u w:val="single"/>
          <w:lang w:eastAsia="bg-BG"/>
        </w:rPr>
      </w:pPr>
    </w:p>
    <w:p w14:paraId="484D22EB" w14:textId="70B59F3E"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u w:val="single"/>
          <w:lang w:eastAsia="bg-BG"/>
        </w:rPr>
        <w:t>Непоносимост към лактоза</w:t>
      </w:r>
    </w:p>
    <w:p w14:paraId="52415C13"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lang w:eastAsia="bg-BG"/>
        </w:rPr>
        <w:t>Росста съдържа лактоза. Пациенти с редки наследствени проблеми на непоносимост към галактоза, пълен лактазен дефицит или глюкозо- галактозна малабсорбция, не трябва да приемат това лекарство.</w:t>
      </w:r>
    </w:p>
    <w:p w14:paraId="3076226A" w14:textId="77777777" w:rsidR="001B0E7E" w:rsidRPr="001B0E7E" w:rsidRDefault="001B0E7E" w:rsidP="001B0E7E">
      <w:pPr>
        <w:spacing w:line="240" w:lineRule="auto"/>
        <w:rPr>
          <w:rFonts w:eastAsia="Times New Roman" w:cs="Arial"/>
          <w:sz w:val="28"/>
          <w:szCs w:val="24"/>
          <w:lang w:eastAsia="bg-BG"/>
        </w:rPr>
      </w:pPr>
    </w:p>
    <w:p w14:paraId="3F130A5C" w14:textId="77777777" w:rsidR="001B0E7E" w:rsidRPr="001B0E7E" w:rsidRDefault="001B0E7E" w:rsidP="001B0E7E">
      <w:pPr>
        <w:spacing w:line="240" w:lineRule="auto"/>
        <w:rPr>
          <w:rFonts w:eastAsia="Times New Roman" w:cs="Arial"/>
          <w:sz w:val="28"/>
          <w:szCs w:val="24"/>
          <w:lang w:eastAsia="bg-BG"/>
        </w:rPr>
      </w:pPr>
      <w:r w:rsidRPr="001B0E7E">
        <w:rPr>
          <w:rFonts w:eastAsia="Times New Roman" w:cs="Arial"/>
          <w:color w:val="000000"/>
          <w:szCs w:val="20"/>
          <w:u w:val="single"/>
          <w:lang w:eastAsia="bg-BG"/>
        </w:rPr>
        <w:t>Лецитин (соя)</w:t>
      </w:r>
    </w:p>
    <w:p w14:paraId="7F267509" w14:textId="58813AB2" w:rsidR="001B0E7E" w:rsidRPr="00F62124" w:rsidRDefault="001B0E7E" w:rsidP="001B0E7E">
      <w:pPr>
        <w:rPr>
          <w:rFonts w:cs="Arial"/>
          <w:sz w:val="24"/>
        </w:rPr>
      </w:pPr>
      <w:r w:rsidRPr="00F62124">
        <w:rPr>
          <w:rFonts w:eastAsia="Times New Roman" w:cs="Arial"/>
          <w:color w:val="000000"/>
          <w:szCs w:val="20"/>
          <w:lang w:eastAsia="bg-BG"/>
        </w:rPr>
        <w:t>Този лекарствен продукт съдържа соев лецитин. Ако пациентът е алергичен</w:t>
      </w:r>
      <w:r w:rsidRPr="00F62124">
        <w:rPr>
          <w:rFonts w:eastAsia="Times New Roman" w:cs="Arial"/>
          <w:color w:val="000000"/>
          <w:szCs w:val="20"/>
          <w:lang w:val="en-US"/>
        </w:rPr>
        <w:t xml:space="preserve"> </w:t>
      </w:r>
      <w:r w:rsidRPr="00F62124">
        <w:rPr>
          <w:rFonts w:eastAsia="Times New Roman" w:cs="Arial"/>
          <w:color w:val="000000"/>
          <w:szCs w:val="20"/>
          <w:lang w:eastAsia="bg-BG"/>
        </w:rPr>
        <w:t>към фъстъци или соя, не трябва да използва този лекарствен продукт (вж точка 4.3).</w:t>
      </w:r>
    </w:p>
    <w:p w14:paraId="1599C038" w14:textId="77777777" w:rsidR="001B0E7E" w:rsidRPr="0091385D" w:rsidRDefault="001B0E7E"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4DDA979C" w14:textId="77777777" w:rsidR="00F62124" w:rsidRPr="00F62124" w:rsidRDefault="00F62124" w:rsidP="00F62124">
      <w:pPr>
        <w:rPr>
          <w:rFonts w:cs="Arial"/>
          <w:sz w:val="24"/>
        </w:rPr>
      </w:pPr>
      <w:r w:rsidRPr="00F62124">
        <w:rPr>
          <w:rFonts w:cs="Arial"/>
          <w:szCs w:val="20"/>
          <w:u w:val="single"/>
        </w:rPr>
        <w:t>Ефект на едновременно прилагани лекарствени продукти върху розувастатин</w:t>
      </w:r>
    </w:p>
    <w:p w14:paraId="033E9863" w14:textId="77777777" w:rsidR="00F62124" w:rsidRPr="00F62124" w:rsidRDefault="00F62124" w:rsidP="00F62124">
      <w:pPr>
        <w:rPr>
          <w:rFonts w:cs="Arial"/>
          <w:b/>
          <w:bCs/>
          <w:szCs w:val="20"/>
        </w:rPr>
      </w:pPr>
    </w:p>
    <w:p w14:paraId="55F71DAD" w14:textId="70478823" w:rsidR="00F62124" w:rsidRPr="00F62124" w:rsidRDefault="00F62124" w:rsidP="00F62124">
      <w:pPr>
        <w:rPr>
          <w:rFonts w:cs="Arial"/>
          <w:sz w:val="24"/>
        </w:rPr>
      </w:pPr>
      <w:r w:rsidRPr="00F62124">
        <w:rPr>
          <w:rFonts w:cs="Arial"/>
          <w:b/>
          <w:bCs/>
          <w:szCs w:val="20"/>
        </w:rPr>
        <w:t>Инхибитори на транспортните протеини</w:t>
      </w:r>
    </w:p>
    <w:p w14:paraId="043A662B" w14:textId="77777777" w:rsidR="00F62124" w:rsidRPr="00F62124" w:rsidRDefault="00F62124" w:rsidP="00F62124">
      <w:pPr>
        <w:rPr>
          <w:rFonts w:cs="Arial"/>
          <w:sz w:val="24"/>
        </w:rPr>
      </w:pPr>
      <w:r w:rsidRPr="00F62124">
        <w:rPr>
          <w:rFonts w:cs="Arial"/>
          <w:szCs w:val="20"/>
        </w:rPr>
        <w:t xml:space="preserve">Розувастатин е субстрат на определени транспортни протеини, включително чернодробния ъптейк транспортер ОАТР1В1 и ефлукс транспортер </w:t>
      </w:r>
      <w:r w:rsidRPr="00F62124">
        <w:rPr>
          <w:rFonts w:cs="Arial"/>
          <w:szCs w:val="20"/>
          <w:lang w:val="en-US"/>
        </w:rPr>
        <w:t xml:space="preserve">BCRP. </w:t>
      </w:r>
      <w:r w:rsidRPr="00F62124">
        <w:rPr>
          <w:rFonts w:cs="Arial"/>
          <w:szCs w:val="20"/>
        </w:rPr>
        <w:t>Едновременното приложение на розувастатин с лекарствени продукти, които са инхибитори на тези транспортерни протеини, може да доведе до повишаване на плазмената концентрация на розувастатин и повишен риск от миопатия (вж. точки 4.2, 4.4 и 4.5 Таблица 1)</w:t>
      </w:r>
    </w:p>
    <w:p w14:paraId="35614958" w14:textId="77777777" w:rsidR="00F62124" w:rsidRPr="00F62124" w:rsidRDefault="00F62124" w:rsidP="00F62124">
      <w:pPr>
        <w:rPr>
          <w:rFonts w:cs="Arial"/>
          <w:b/>
          <w:bCs/>
          <w:szCs w:val="20"/>
        </w:rPr>
      </w:pPr>
    </w:p>
    <w:p w14:paraId="4F6E3DD0" w14:textId="29B8E621" w:rsidR="00F62124" w:rsidRPr="00F62124" w:rsidRDefault="00F62124" w:rsidP="00F62124">
      <w:pPr>
        <w:rPr>
          <w:rFonts w:cs="Arial"/>
          <w:sz w:val="24"/>
        </w:rPr>
      </w:pPr>
      <w:r w:rsidRPr="00F62124">
        <w:rPr>
          <w:rFonts w:cs="Arial"/>
          <w:b/>
          <w:bCs/>
          <w:szCs w:val="20"/>
        </w:rPr>
        <w:t>Циклоспорин</w:t>
      </w:r>
    </w:p>
    <w:p w14:paraId="53462542" w14:textId="77777777" w:rsidR="00F62124" w:rsidRPr="00F62124" w:rsidRDefault="00F62124" w:rsidP="00F62124">
      <w:pPr>
        <w:rPr>
          <w:rFonts w:cs="Arial"/>
          <w:sz w:val="24"/>
        </w:rPr>
      </w:pPr>
      <w:r w:rsidRPr="00F62124">
        <w:rPr>
          <w:rFonts w:cs="Arial"/>
          <w:szCs w:val="20"/>
        </w:rPr>
        <w:t xml:space="preserve">При едновременното приложение на розувастатин с циклоспорин средните стойности на </w:t>
      </w:r>
      <w:r w:rsidRPr="00F62124">
        <w:rPr>
          <w:rFonts w:cs="Arial"/>
          <w:szCs w:val="20"/>
          <w:lang w:val="en-US"/>
        </w:rPr>
        <w:t xml:space="preserve">AUC </w:t>
      </w:r>
      <w:r w:rsidRPr="00F62124">
        <w:rPr>
          <w:rFonts w:cs="Arial"/>
          <w:szCs w:val="20"/>
        </w:rPr>
        <w:t>на розувастатин са били средно 7 пъти по-високи от тези, наблюдавани при здрави доброволци, на които е приложена същата доза (вж. Таблица 1). Росста е противопоказен при пациенти, които едновременно получават циклоспорин (вж. точка 4.3). Едновременното приложение не е повлияло плазмените концентрации на циклоспорин.</w:t>
      </w:r>
    </w:p>
    <w:p w14:paraId="79F43C44" w14:textId="77777777" w:rsidR="00F62124" w:rsidRPr="00F62124" w:rsidRDefault="00F62124" w:rsidP="00F62124">
      <w:pPr>
        <w:rPr>
          <w:rFonts w:cs="Arial"/>
          <w:b/>
          <w:bCs/>
          <w:szCs w:val="20"/>
        </w:rPr>
      </w:pPr>
    </w:p>
    <w:p w14:paraId="451046DE" w14:textId="7725A33C" w:rsidR="00F62124" w:rsidRPr="00F62124" w:rsidRDefault="00F62124" w:rsidP="00F62124">
      <w:pPr>
        <w:rPr>
          <w:rFonts w:cs="Arial"/>
          <w:sz w:val="24"/>
        </w:rPr>
      </w:pPr>
      <w:r w:rsidRPr="00F62124">
        <w:rPr>
          <w:rFonts w:cs="Arial"/>
          <w:b/>
          <w:bCs/>
          <w:szCs w:val="20"/>
        </w:rPr>
        <w:t>Протеазни инхибитори</w:t>
      </w:r>
    </w:p>
    <w:p w14:paraId="1C7B9016" w14:textId="77777777" w:rsidR="00F62124" w:rsidRPr="00F62124" w:rsidRDefault="00F62124" w:rsidP="00F62124">
      <w:pPr>
        <w:rPr>
          <w:rFonts w:cs="Arial"/>
          <w:sz w:val="24"/>
        </w:rPr>
      </w:pPr>
      <w:r w:rsidRPr="00F62124">
        <w:rPr>
          <w:rFonts w:cs="Arial"/>
          <w:szCs w:val="20"/>
        </w:rPr>
        <w:t xml:space="preserve">Въпреки че точният механизъм на взаимодействие не е известен, едновременното приложение с протеазни инхибитори, може рязко да повиши експозицията на </w:t>
      </w:r>
      <w:r w:rsidRPr="00F62124">
        <w:rPr>
          <w:rFonts w:cs="Arial"/>
          <w:szCs w:val="20"/>
        </w:rPr>
        <w:lastRenderedPageBreak/>
        <w:t xml:space="preserve">розувастатин (вж. Таблица 1). Например едновременното приложение на 10 </w:t>
      </w:r>
      <w:r w:rsidRPr="00F62124">
        <w:rPr>
          <w:rFonts w:cs="Arial"/>
          <w:szCs w:val="20"/>
          <w:lang w:val="en-US"/>
        </w:rPr>
        <w:t xml:space="preserve">mg </w:t>
      </w:r>
      <w:r w:rsidRPr="00F62124">
        <w:rPr>
          <w:rFonts w:cs="Arial"/>
          <w:szCs w:val="20"/>
        </w:rPr>
        <w:t xml:space="preserve">розувастатин и комбиниран продукт, състоящ се от два протеазни инхибитора (300 </w:t>
      </w:r>
      <w:r w:rsidRPr="00F62124">
        <w:rPr>
          <w:rFonts w:cs="Arial"/>
          <w:szCs w:val="20"/>
          <w:lang w:val="en-US"/>
        </w:rPr>
        <w:t xml:space="preserve">mg </w:t>
      </w:r>
      <w:r w:rsidRPr="00F62124">
        <w:rPr>
          <w:rFonts w:cs="Arial"/>
          <w:szCs w:val="20"/>
        </w:rPr>
        <w:t xml:space="preserve">атазанавир/100 </w:t>
      </w:r>
      <w:r w:rsidRPr="00F62124">
        <w:rPr>
          <w:rFonts w:cs="Arial"/>
          <w:szCs w:val="20"/>
          <w:lang w:val="en-US"/>
        </w:rPr>
        <w:t xml:space="preserve">mg </w:t>
      </w:r>
      <w:r w:rsidRPr="00F62124">
        <w:rPr>
          <w:rFonts w:cs="Arial"/>
          <w:szCs w:val="20"/>
        </w:rPr>
        <w:t xml:space="preserve">ритонавир) по време на едно фармакокинетично проучване при здрави доброволци, се асоциира с приблизително три- и седемкратно нарастване съответно на </w:t>
      </w:r>
      <w:r w:rsidRPr="00F62124">
        <w:rPr>
          <w:rFonts w:cs="Arial"/>
          <w:szCs w:val="20"/>
          <w:lang w:val="en-US"/>
        </w:rPr>
        <w:t xml:space="preserve">AUC </w:t>
      </w:r>
      <w:r w:rsidRPr="00F62124">
        <w:rPr>
          <w:rFonts w:cs="Arial"/>
          <w:szCs w:val="20"/>
        </w:rPr>
        <w:t>и С</w:t>
      </w:r>
      <w:r w:rsidRPr="00F62124">
        <w:rPr>
          <w:rFonts w:cs="Arial"/>
          <w:szCs w:val="20"/>
          <w:lang w:val="en-US"/>
        </w:rPr>
        <w:t>m</w:t>
      </w:r>
      <w:r w:rsidRPr="00F62124">
        <w:rPr>
          <w:rFonts w:cs="Arial"/>
          <w:szCs w:val="20"/>
        </w:rPr>
        <w:t>ах на розувастатин. Едновременното приложение на розувастатин и някои комбинации от протеазни инхибитори, може да се има предвид след внимателно преценяване на корекциите на дозата на розувастатин, на база очакваното повишение на експозицията на розувастатин (вж. точки 4.2,</w:t>
      </w:r>
      <w:r w:rsidRPr="00F62124">
        <w:rPr>
          <w:rFonts w:cs="Arial"/>
          <w:szCs w:val="20"/>
          <w:lang w:val="en-US"/>
        </w:rPr>
        <w:t xml:space="preserve"> </w:t>
      </w:r>
      <w:r w:rsidRPr="00F62124">
        <w:rPr>
          <w:rFonts w:cs="Arial"/>
          <w:szCs w:val="20"/>
        </w:rPr>
        <w:t>4.4 и 4.5, Таблица 1).</w:t>
      </w:r>
    </w:p>
    <w:p w14:paraId="69FBACEB" w14:textId="77777777" w:rsidR="00F62124" w:rsidRPr="00F62124" w:rsidRDefault="00F62124" w:rsidP="00F62124">
      <w:pPr>
        <w:rPr>
          <w:rFonts w:cs="Arial"/>
          <w:b/>
          <w:bCs/>
          <w:szCs w:val="20"/>
        </w:rPr>
      </w:pPr>
    </w:p>
    <w:p w14:paraId="4B5362E0" w14:textId="6F389D69" w:rsidR="00F62124" w:rsidRPr="00F62124" w:rsidRDefault="00F62124" w:rsidP="00F62124">
      <w:pPr>
        <w:rPr>
          <w:rFonts w:cs="Arial"/>
          <w:sz w:val="24"/>
        </w:rPr>
      </w:pPr>
      <w:r w:rsidRPr="00F62124">
        <w:rPr>
          <w:rFonts w:cs="Arial"/>
          <w:b/>
          <w:bCs/>
          <w:szCs w:val="20"/>
        </w:rPr>
        <w:t>Гемфиброзил и други липидопонижаващн продукти</w:t>
      </w:r>
    </w:p>
    <w:p w14:paraId="5904FEC5" w14:textId="77777777" w:rsidR="00F62124" w:rsidRPr="00F62124" w:rsidRDefault="00F62124" w:rsidP="00F62124">
      <w:pPr>
        <w:rPr>
          <w:rFonts w:cs="Arial"/>
          <w:sz w:val="24"/>
        </w:rPr>
      </w:pPr>
      <w:r w:rsidRPr="00F62124">
        <w:rPr>
          <w:rFonts w:cs="Arial"/>
          <w:szCs w:val="20"/>
        </w:rPr>
        <w:t>Едновременно приложение на розувастатин и гемфиброзил е довело до двукратно повишение на С</w:t>
      </w:r>
      <w:r w:rsidRPr="00F62124">
        <w:rPr>
          <w:rFonts w:cs="Arial"/>
          <w:szCs w:val="20"/>
          <w:lang w:val="en-US"/>
        </w:rPr>
        <w:t>m</w:t>
      </w:r>
      <w:r w:rsidRPr="00F62124">
        <w:rPr>
          <w:rFonts w:cs="Arial"/>
          <w:szCs w:val="20"/>
        </w:rPr>
        <w:t xml:space="preserve">ах и </w:t>
      </w:r>
      <w:r w:rsidRPr="00F62124">
        <w:rPr>
          <w:rFonts w:cs="Arial"/>
          <w:szCs w:val="20"/>
          <w:lang w:val="en-US"/>
        </w:rPr>
        <w:t xml:space="preserve">AUC </w:t>
      </w:r>
      <w:r w:rsidRPr="00F62124">
        <w:rPr>
          <w:rFonts w:cs="Arial"/>
          <w:szCs w:val="20"/>
        </w:rPr>
        <w:t xml:space="preserve">на розувастатин (вж. точка 4.4). Данните от фармакокинетичните проучвания, изследващи лекарствените взаимодействия, не показват взаимодействие с фенофибрат, но е възможна поява на фармакодинамични взаимодействия. Гемфиброзил, фенофибрат и останалите медикаменти от групата на фибратите и липидопонижаващите дози (в дози ≥ 1 </w:t>
      </w:r>
      <w:r w:rsidRPr="00F62124">
        <w:rPr>
          <w:rFonts w:cs="Arial"/>
          <w:szCs w:val="20"/>
          <w:lang w:val="en-US"/>
        </w:rPr>
        <w:t xml:space="preserve">g </w:t>
      </w:r>
      <w:r w:rsidRPr="00F62124">
        <w:rPr>
          <w:rFonts w:cs="Arial"/>
          <w:szCs w:val="20"/>
        </w:rPr>
        <w:t xml:space="preserve">на ден), ниацин (никотинова киселина), повишават риска от поява на миопатия при комбиниране с инхибитори на хидрокси-метил-глутарил-коензим А редуктазата, най-вероятно поради факта, че последните могат да предизвикат появата на това усложнение и при монотерапия. Дозата от 40 </w:t>
      </w:r>
      <w:r w:rsidRPr="00F62124">
        <w:rPr>
          <w:rFonts w:cs="Arial"/>
          <w:szCs w:val="20"/>
          <w:lang w:val="en-US"/>
        </w:rPr>
        <w:t xml:space="preserve">mg </w:t>
      </w:r>
      <w:r w:rsidRPr="00F62124">
        <w:rPr>
          <w:rFonts w:cs="Arial"/>
          <w:szCs w:val="20"/>
        </w:rPr>
        <w:t xml:space="preserve">е противопоказана при едновременен прием на фибрати (вж. точка 4.3 и точка 4.4). При тези пациенти лечението също трябва да започне с 5 </w:t>
      </w:r>
      <w:r w:rsidRPr="00F62124">
        <w:rPr>
          <w:rFonts w:cs="Arial"/>
          <w:szCs w:val="20"/>
          <w:lang w:val="en-US"/>
        </w:rPr>
        <w:t>mg.</w:t>
      </w:r>
    </w:p>
    <w:p w14:paraId="145DD81D" w14:textId="77777777" w:rsidR="00F62124" w:rsidRPr="00F62124" w:rsidRDefault="00F62124" w:rsidP="00F62124">
      <w:pPr>
        <w:rPr>
          <w:rFonts w:cs="Arial"/>
          <w:b/>
          <w:bCs/>
          <w:szCs w:val="20"/>
        </w:rPr>
      </w:pPr>
    </w:p>
    <w:p w14:paraId="2FAEABC7" w14:textId="690F8B3F" w:rsidR="00F62124" w:rsidRPr="00F62124" w:rsidRDefault="00F62124" w:rsidP="00F62124">
      <w:pPr>
        <w:rPr>
          <w:rFonts w:cs="Arial"/>
          <w:sz w:val="24"/>
        </w:rPr>
      </w:pPr>
      <w:r w:rsidRPr="00F62124">
        <w:rPr>
          <w:rFonts w:cs="Arial"/>
          <w:b/>
          <w:bCs/>
          <w:szCs w:val="20"/>
        </w:rPr>
        <w:t>Езетимиб</w:t>
      </w:r>
    </w:p>
    <w:p w14:paraId="5B00AD76" w14:textId="77777777" w:rsidR="00F62124" w:rsidRPr="00F62124" w:rsidRDefault="00F62124" w:rsidP="00F62124">
      <w:pPr>
        <w:rPr>
          <w:rFonts w:cs="Arial"/>
          <w:sz w:val="24"/>
        </w:rPr>
      </w:pPr>
      <w:r w:rsidRPr="00F62124">
        <w:rPr>
          <w:rFonts w:cs="Arial"/>
          <w:szCs w:val="20"/>
        </w:rPr>
        <w:t xml:space="preserve">Едновременният прием на 10 </w:t>
      </w:r>
      <w:r w:rsidRPr="00F62124">
        <w:rPr>
          <w:rFonts w:cs="Arial"/>
          <w:szCs w:val="20"/>
          <w:lang w:val="en-US"/>
        </w:rPr>
        <w:t xml:space="preserve">mg </w:t>
      </w:r>
      <w:r w:rsidRPr="00F62124">
        <w:rPr>
          <w:rFonts w:cs="Arial"/>
          <w:szCs w:val="20"/>
        </w:rPr>
        <w:t xml:space="preserve">розувастатин и 10 </w:t>
      </w:r>
      <w:r w:rsidRPr="00F62124">
        <w:rPr>
          <w:rFonts w:cs="Arial"/>
          <w:szCs w:val="20"/>
          <w:lang w:val="en-US"/>
        </w:rPr>
        <w:t xml:space="preserve">mg </w:t>
      </w:r>
      <w:r w:rsidRPr="00F62124">
        <w:rPr>
          <w:rFonts w:cs="Arial"/>
          <w:szCs w:val="20"/>
        </w:rPr>
        <w:t xml:space="preserve">езетимиб води до 1,2 пъти повишение на </w:t>
      </w:r>
      <w:r w:rsidRPr="00F62124">
        <w:rPr>
          <w:rFonts w:cs="Arial"/>
          <w:szCs w:val="20"/>
          <w:lang w:val="en-US"/>
        </w:rPr>
        <w:t xml:space="preserve">AUC </w:t>
      </w:r>
      <w:r w:rsidRPr="00F62124">
        <w:rPr>
          <w:rFonts w:cs="Arial"/>
          <w:szCs w:val="20"/>
        </w:rPr>
        <w:t>на розувастатин при пациенти с хиперхолестеролемия (Таблица 1). Не може да се изключи фармакодинамично взаимодействие между розувастатин и езетимиб, което да има за резултат нежелани реакции (вж. точка 4.4).</w:t>
      </w:r>
    </w:p>
    <w:p w14:paraId="7872D984" w14:textId="77777777" w:rsidR="00F62124" w:rsidRPr="00F62124" w:rsidRDefault="00F62124" w:rsidP="00F62124">
      <w:pPr>
        <w:rPr>
          <w:rFonts w:cs="Arial"/>
          <w:b/>
          <w:bCs/>
          <w:szCs w:val="20"/>
        </w:rPr>
      </w:pPr>
      <w:bookmarkStart w:id="6" w:name="bookmark10"/>
    </w:p>
    <w:p w14:paraId="440B5C3D" w14:textId="36F88E2B" w:rsidR="00F62124" w:rsidRPr="00F62124" w:rsidRDefault="00F62124" w:rsidP="00F62124">
      <w:pPr>
        <w:rPr>
          <w:rFonts w:cs="Arial"/>
          <w:sz w:val="24"/>
        </w:rPr>
      </w:pPr>
      <w:r w:rsidRPr="00F62124">
        <w:rPr>
          <w:rFonts w:cs="Arial"/>
          <w:b/>
          <w:bCs/>
          <w:szCs w:val="20"/>
        </w:rPr>
        <w:t>Антиациди</w:t>
      </w:r>
      <w:bookmarkEnd w:id="6"/>
    </w:p>
    <w:p w14:paraId="02DE57DF" w14:textId="77777777" w:rsidR="00F62124" w:rsidRPr="00F62124" w:rsidRDefault="00F62124" w:rsidP="00F62124">
      <w:pPr>
        <w:rPr>
          <w:rFonts w:cs="Arial"/>
          <w:sz w:val="24"/>
        </w:rPr>
      </w:pPr>
      <w:r w:rsidRPr="00F62124">
        <w:rPr>
          <w:rFonts w:cs="Arial"/>
          <w:szCs w:val="20"/>
        </w:rPr>
        <w:t>Едновременното приложение на розувастатин и антиацидна суспензия, съдържаща алуминиев и магнезиев хидроксид, е довело до намаляване на плазмената концентрация на розувастатин с приблизително 50%. Този ефект е бил отслабен, когато антиацидите са давани 2 часа след приема на розувастатин. Клиничното значение на това взаимодействие не е изследвано.</w:t>
      </w:r>
    </w:p>
    <w:p w14:paraId="5691EB31" w14:textId="77777777" w:rsidR="00F62124" w:rsidRPr="00F62124" w:rsidRDefault="00F62124" w:rsidP="00F62124">
      <w:pPr>
        <w:rPr>
          <w:rFonts w:cs="Arial"/>
          <w:b/>
          <w:bCs/>
          <w:szCs w:val="20"/>
        </w:rPr>
      </w:pPr>
    </w:p>
    <w:p w14:paraId="26DDB2F8" w14:textId="34E1D415" w:rsidR="00F62124" w:rsidRPr="00F62124" w:rsidRDefault="00F62124" w:rsidP="00F62124">
      <w:pPr>
        <w:rPr>
          <w:rFonts w:cs="Arial"/>
          <w:sz w:val="24"/>
        </w:rPr>
      </w:pPr>
      <w:r w:rsidRPr="00F62124">
        <w:rPr>
          <w:rFonts w:cs="Arial"/>
          <w:b/>
          <w:bCs/>
          <w:szCs w:val="20"/>
        </w:rPr>
        <w:t>Еритромицин</w:t>
      </w:r>
    </w:p>
    <w:p w14:paraId="5B2761C5" w14:textId="4301A166" w:rsidR="0091385D" w:rsidRPr="00F62124" w:rsidRDefault="00F62124" w:rsidP="00F62124">
      <w:pPr>
        <w:rPr>
          <w:rFonts w:cs="Arial"/>
          <w:sz w:val="24"/>
        </w:rPr>
      </w:pPr>
      <w:r w:rsidRPr="00F62124">
        <w:rPr>
          <w:rFonts w:cs="Arial"/>
          <w:szCs w:val="20"/>
        </w:rPr>
        <w:t xml:space="preserve">Едновременният прием на розувастатин и еритромицин е довел до 20% намаление на </w:t>
      </w:r>
      <w:r w:rsidRPr="00F62124">
        <w:rPr>
          <w:rFonts w:cs="Arial"/>
          <w:szCs w:val="20"/>
          <w:lang w:val="en-US"/>
        </w:rPr>
        <w:t xml:space="preserve">AUC </w:t>
      </w:r>
      <w:r w:rsidRPr="00F62124">
        <w:rPr>
          <w:rFonts w:cs="Arial"/>
          <w:szCs w:val="20"/>
        </w:rPr>
        <w:t>и</w:t>
      </w:r>
      <w:r>
        <w:rPr>
          <w:rFonts w:cs="Arial"/>
          <w:sz w:val="24"/>
        </w:rPr>
        <w:t xml:space="preserve"> </w:t>
      </w:r>
      <w:r w:rsidRPr="00F62124">
        <w:rPr>
          <w:rFonts w:cs="Arial"/>
          <w:szCs w:val="20"/>
        </w:rPr>
        <w:t>30% намаление на С</w:t>
      </w:r>
      <w:r w:rsidRPr="00F62124">
        <w:rPr>
          <w:rFonts w:cs="Arial"/>
          <w:szCs w:val="20"/>
          <w:vertAlign w:val="subscript"/>
          <w:lang w:val="en-US"/>
        </w:rPr>
        <w:t>max</w:t>
      </w:r>
      <w:r w:rsidRPr="00F62124">
        <w:rPr>
          <w:rFonts w:cs="Arial"/>
          <w:szCs w:val="20"/>
        </w:rPr>
        <w:t xml:space="preserve"> на розувастатин. Взаимодействието може да е предизвикано от</w:t>
      </w:r>
      <w:r>
        <w:rPr>
          <w:rFonts w:cs="Arial"/>
          <w:sz w:val="24"/>
        </w:rPr>
        <w:t xml:space="preserve"> </w:t>
      </w:r>
      <w:r w:rsidRPr="00F62124">
        <w:rPr>
          <w:rFonts w:cs="Arial"/>
          <w:szCs w:val="20"/>
        </w:rPr>
        <w:t>повишения чревен мотилитет, вследствие на приемането на еритромицин.</w:t>
      </w:r>
    </w:p>
    <w:p w14:paraId="0395BD2E" w14:textId="323CBB79" w:rsidR="007A2185" w:rsidRPr="00F62124" w:rsidRDefault="00F62124" w:rsidP="00F62124">
      <w:pPr>
        <w:tabs>
          <w:tab w:val="left" w:pos="6525"/>
        </w:tabs>
        <w:rPr>
          <w:rFonts w:cs="Arial"/>
          <w:sz w:val="24"/>
        </w:rPr>
      </w:pPr>
      <w:r w:rsidRPr="00F62124">
        <w:rPr>
          <w:rFonts w:cs="Arial"/>
          <w:sz w:val="24"/>
        </w:rPr>
        <w:tab/>
      </w:r>
    </w:p>
    <w:p w14:paraId="44E2E01D" w14:textId="77777777" w:rsidR="00F62124" w:rsidRPr="00F62124" w:rsidRDefault="00F62124" w:rsidP="00F62124">
      <w:pPr>
        <w:spacing w:line="240" w:lineRule="auto"/>
        <w:rPr>
          <w:rFonts w:eastAsia="Times New Roman" w:cs="Arial"/>
          <w:sz w:val="28"/>
          <w:szCs w:val="24"/>
          <w:lang w:eastAsia="bg-BG"/>
        </w:rPr>
      </w:pPr>
      <w:r w:rsidRPr="00F62124">
        <w:rPr>
          <w:rFonts w:eastAsia="Times New Roman" w:cs="Arial"/>
          <w:b/>
          <w:bCs/>
          <w:color w:val="000000"/>
          <w:szCs w:val="20"/>
          <w:lang w:eastAsia="bg-BG"/>
        </w:rPr>
        <w:t>Тикагрелор</w:t>
      </w:r>
    </w:p>
    <w:p w14:paraId="4EBCA45B" w14:textId="77777777" w:rsidR="00F62124" w:rsidRPr="00F62124" w:rsidRDefault="00F62124" w:rsidP="00F62124">
      <w:pPr>
        <w:spacing w:line="240" w:lineRule="auto"/>
        <w:rPr>
          <w:rFonts w:eastAsia="Times New Roman" w:cs="Arial"/>
          <w:sz w:val="28"/>
          <w:szCs w:val="24"/>
          <w:lang w:eastAsia="bg-BG"/>
        </w:rPr>
      </w:pPr>
      <w:r w:rsidRPr="00F62124">
        <w:rPr>
          <w:rFonts w:eastAsia="Times New Roman" w:cs="Arial"/>
          <w:color w:val="000000"/>
          <w:szCs w:val="20"/>
          <w:lang w:eastAsia="bg-BG"/>
        </w:rPr>
        <w:t>Тикагрелор може да повлияе бъбречната екскреция на росувастатин, увеличавайки риска от кумулиране на росувастатин. Въпреки че точният механизъм не е известен, в някои случаи едновременното приложение на тикагрелор и розувастатин води до намаляване на бъбречната функция, повишено ниво на СРК и рабдомиолиза.</w:t>
      </w:r>
    </w:p>
    <w:p w14:paraId="35782E3C" w14:textId="77777777" w:rsidR="00F62124" w:rsidRPr="00F62124" w:rsidRDefault="00F62124" w:rsidP="00F62124">
      <w:pPr>
        <w:spacing w:line="240" w:lineRule="auto"/>
        <w:rPr>
          <w:rFonts w:eastAsia="Times New Roman" w:cs="Arial"/>
          <w:b/>
          <w:bCs/>
          <w:color w:val="000000"/>
          <w:szCs w:val="20"/>
          <w:lang w:eastAsia="bg-BG"/>
        </w:rPr>
      </w:pPr>
    </w:p>
    <w:p w14:paraId="35FA1F82" w14:textId="45D5C876" w:rsidR="00F62124" w:rsidRPr="00F62124" w:rsidRDefault="00F62124" w:rsidP="00F62124">
      <w:pPr>
        <w:spacing w:line="240" w:lineRule="auto"/>
        <w:rPr>
          <w:rFonts w:eastAsia="Times New Roman" w:cs="Arial"/>
          <w:sz w:val="28"/>
          <w:szCs w:val="24"/>
          <w:lang w:eastAsia="bg-BG"/>
        </w:rPr>
      </w:pPr>
      <w:r w:rsidRPr="00F62124">
        <w:rPr>
          <w:rFonts w:eastAsia="Times New Roman" w:cs="Arial"/>
          <w:b/>
          <w:bCs/>
          <w:color w:val="000000"/>
          <w:szCs w:val="20"/>
          <w:lang w:eastAsia="bg-BG"/>
        </w:rPr>
        <w:t>Ензими от системата на цитохром Р450</w:t>
      </w:r>
    </w:p>
    <w:p w14:paraId="5797A002" w14:textId="7C7A98FE" w:rsidR="00F62124" w:rsidRPr="00F62124" w:rsidRDefault="00F62124" w:rsidP="00F62124">
      <w:pPr>
        <w:spacing w:line="240" w:lineRule="auto"/>
        <w:rPr>
          <w:rFonts w:eastAsia="Times New Roman" w:cs="Arial"/>
          <w:sz w:val="28"/>
          <w:szCs w:val="24"/>
          <w:lang w:eastAsia="bg-BG"/>
        </w:rPr>
      </w:pPr>
      <w:r w:rsidRPr="00F62124">
        <w:rPr>
          <w:rFonts w:eastAsia="Times New Roman" w:cs="Arial"/>
          <w:color w:val="000000"/>
          <w:szCs w:val="20"/>
          <w:lang w:eastAsia="bg-BG"/>
        </w:rPr>
        <w:lastRenderedPageBreak/>
        <w:t xml:space="preserve">Данните от </w:t>
      </w:r>
      <w:r w:rsidRPr="00F62124">
        <w:rPr>
          <w:rFonts w:eastAsia="Times New Roman" w:cs="Arial"/>
          <w:i/>
          <w:iCs/>
          <w:color w:val="000000"/>
          <w:szCs w:val="20"/>
          <w:lang w:val="en-US"/>
        </w:rPr>
        <w:t>in vitro</w:t>
      </w:r>
      <w:r w:rsidRPr="00F62124">
        <w:rPr>
          <w:rFonts w:eastAsia="Times New Roman" w:cs="Arial"/>
          <w:color w:val="000000"/>
          <w:szCs w:val="20"/>
          <w:lang w:val="en-US"/>
        </w:rPr>
        <w:t xml:space="preserve"> </w:t>
      </w:r>
      <w:r w:rsidRPr="00F62124">
        <w:rPr>
          <w:rFonts w:eastAsia="Times New Roman" w:cs="Arial"/>
          <w:color w:val="000000"/>
          <w:szCs w:val="20"/>
          <w:lang w:eastAsia="bg-BG"/>
        </w:rPr>
        <w:t xml:space="preserve">и </w:t>
      </w:r>
      <w:r w:rsidRPr="00F62124">
        <w:rPr>
          <w:rFonts w:eastAsia="Times New Roman" w:cs="Arial"/>
          <w:i/>
          <w:iCs/>
          <w:color w:val="000000"/>
          <w:szCs w:val="20"/>
          <w:lang w:val="en-US"/>
        </w:rPr>
        <w:t>in vivo</w:t>
      </w:r>
      <w:r w:rsidRPr="00F62124">
        <w:rPr>
          <w:rFonts w:eastAsia="Times New Roman" w:cs="Arial"/>
          <w:color w:val="000000"/>
          <w:szCs w:val="20"/>
          <w:lang w:val="en-US"/>
        </w:rPr>
        <w:t xml:space="preserve"> </w:t>
      </w:r>
      <w:r w:rsidRPr="00F62124">
        <w:rPr>
          <w:rFonts w:eastAsia="Times New Roman" w:cs="Arial"/>
          <w:color w:val="000000"/>
          <w:szCs w:val="20"/>
          <w:lang w:eastAsia="bg-BG"/>
        </w:rPr>
        <w:t>проучвания показват, че Розувастатин не е нито инхибитор</w:t>
      </w:r>
      <w:r>
        <w:rPr>
          <w:rFonts w:eastAsia="Times New Roman" w:cs="Arial"/>
          <w:color w:val="000000"/>
          <w:szCs w:val="20"/>
          <w:lang w:eastAsia="bg-BG"/>
        </w:rPr>
        <w:t>, нито индуктор на цитохром Р450</w:t>
      </w:r>
      <w:r w:rsidRPr="00F62124">
        <w:rPr>
          <w:rFonts w:eastAsia="Times New Roman" w:cs="Arial"/>
          <w:color w:val="000000"/>
          <w:szCs w:val="20"/>
          <w:lang w:eastAsia="bg-BG"/>
        </w:rPr>
        <w:t xml:space="preserve"> изоензимите. Розувастатин е слаб субстрат за тези изоензими. Следователно, лекарствени взаимодействия, резултат от цитохром Р450-медииран метаболизъм, не се очакват. Не са наблюдавани клинично значими взаимодействия между розувастатин и флуконазол (инхибитор на </w:t>
      </w:r>
      <w:r w:rsidRPr="00F62124">
        <w:rPr>
          <w:rFonts w:eastAsia="Times New Roman" w:cs="Arial"/>
          <w:color w:val="000000"/>
          <w:szCs w:val="20"/>
          <w:lang w:val="en-US"/>
        </w:rPr>
        <w:t xml:space="preserve">CYP2C9 </w:t>
      </w:r>
      <w:r w:rsidRPr="00F62124">
        <w:rPr>
          <w:rFonts w:eastAsia="Times New Roman" w:cs="Arial"/>
          <w:color w:val="000000"/>
          <w:szCs w:val="20"/>
          <w:lang w:eastAsia="bg-BG"/>
        </w:rPr>
        <w:t xml:space="preserve">и </w:t>
      </w:r>
      <w:r w:rsidRPr="00F62124">
        <w:rPr>
          <w:rFonts w:eastAsia="Times New Roman" w:cs="Arial"/>
          <w:color w:val="000000"/>
          <w:szCs w:val="20"/>
          <w:lang w:val="en-US"/>
        </w:rPr>
        <w:t>CYP3</w:t>
      </w:r>
      <w:r w:rsidRPr="00F62124">
        <w:rPr>
          <w:rFonts w:eastAsia="Times New Roman" w:cs="Arial"/>
          <w:color w:val="000000"/>
          <w:szCs w:val="20"/>
          <w:lang w:eastAsia="bg-BG"/>
        </w:rPr>
        <w:t xml:space="preserve">А4) или кетоконазол (инхибитор на </w:t>
      </w:r>
      <w:r w:rsidRPr="00F62124">
        <w:rPr>
          <w:rFonts w:eastAsia="Times New Roman" w:cs="Arial"/>
          <w:color w:val="000000"/>
          <w:szCs w:val="20"/>
          <w:lang w:val="en-US"/>
        </w:rPr>
        <w:t xml:space="preserve">CYP2A6 </w:t>
      </w:r>
      <w:r w:rsidRPr="00F62124">
        <w:rPr>
          <w:rFonts w:eastAsia="Times New Roman" w:cs="Arial"/>
          <w:color w:val="000000"/>
          <w:szCs w:val="20"/>
          <w:lang w:eastAsia="bg-BG"/>
        </w:rPr>
        <w:t xml:space="preserve">и </w:t>
      </w:r>
      <w:r w:rsidRPr="00F62124">
        <w:rPr>
          <w:rFonts w:eastAsia="Times New Roman" w:cs="Arial"/>
          <w:color w:val="000000"/>
          <w:szCs w:val="20"/>
          <w:lang w:val="en-US"/>
        </w:rPr>
        <w:t>CYP3A4).</w:t>
      </w:r>
    </w:p>
    <w:p w14:paraId="1F7E281E" w14:textId="77777777" w:rsidR="00F62124" w:rsidRPr="00F62124" w:rsidRDefault="00F62124" w:rsidP="00F62124">
      <w:pPr>
        <w:spacing w:line="240" w:lineRule="auto"/>
        <w:rPr>
          <w:rFonts w:eastAsia="Times New Roman" w:cs="Arial"/>
          <w:b/>
          <w:bCs/>
          <w:color w:val="000000"/>
          <w:szCs w:val="20"/>
          <w:lang w:eastAsia="bg-BG"/>
        </w:rPr>
      </w:pPr>
    </w:p>
    <w:p w14:paraId="6EE24823" w14:textId="5A30DC3E" w:rsidR="00F62124" w:rsidRPr="00F62124" w:rsidRDefault="00F62124" w:rsidP="00F62124">
      <w:pPr>
        <w:spacing w:line="240" w:lineRule="auto"/>
        <w:rPr>
          <w:rFonts w:eastAsia="Times New Roman" w:cs="Arial"/>
          <w:sz w:val="28"/>
          <w:szCs w:val="24"/>
          <w:lang w:eastAsia="bg-BG"/>
        </w:rPr>
      </w:pPr>
      <w:r w:rsidRPr="00F62124">
        <w:rPr>
          <w:rFonts w:eastAsia="Times New Roman" w:cs="Arial"/>
          <w:b/>
          <w:bCs/>
          <w:color w:val="000000"/>
          <w:szCs w:val="20"/>
          <w:lang w:eastAsia="bg-BG"/>
        </w:rPr>
        <w:t>Взаимодействия, които изискват корекция на дозата на розувастатин (вж. също Таблица 1)</w:t>
      </w:r>
    </w:p>
    <w:p w14:paraId="79F657A1" w14:textId="77777777" w:rsidR="00F62124" w:rsidRPr="00F62124" w:rsidRDefault="00F62124" w:rsidP="00F62124">
      <w:pPr>
        <w:spacing w:line="240" w:lineRule="auto"/>
        <w:rPr>
          <w:rFonts w:eastAsia="Times New Roman" w:cs="Arial"/>
          <w:sz w:val="28"/>
          <w:szCs w:val="24"/>
          <w:lang w:eastAsia="bg-BG"/>
        </w:rPr>
      </w:pPr>
      <w:r w:rsidRPr="00F62124">
        <w:rPr>
          <w:rFonts w:eastAsia="Times New Roman" w:cs="Arial"/>
          <w:color w:val="000000"/>
          <w:szCs w:val="20"/>
          <w:lang w:eastAsia="bg-BG"/>
        </w:rPr>
        <w:t xml:space="preserve">Когато е необходимо да се прилага Росста едновременно с други лекарствени продукти, за които е известно, че повишават експозицията на розувастатин, дозите на Росста трябва да се коригират. Започва се с доза на розувастатин от 5 </w:t>
      </w:r>
      <w:r w:rsidRPr="00F62124">
        <w:rPr>
          <w:rFonts w:eastAsia="Times New Roman" w:cs="Arial"/>
          <w:color w:val="000000"/>
          <w:szCs w:val="20"/>
          <w:lang w:val="en-US"/>
        </w:rPr>
        <w:t xml:space="preserve">mg </w:t>
      </w:r>
      <w:r w:rsidRPr="00F62124">
        <w:rPr>
          <w:rFonts w:eastAsia="Times New Roman" w:cs="Arial"/>
          <w:color w:val="000000"/>
          <w:szCs w:val="20"/>
          <w:lang w:eastAsia="bg-BG"/>
        </w:rPr>
        <w:t xml:space="preserve">веднъж дневно, ако очакваното повишение на експозицията </w:t>
      </w:r>
      <w:r w:rsidRPr="00F62124">
        <w:rPr>
          <w:rFonts w:eastAsia="Times New Roman" w:cs="Arial"/>
          <w:color w:val="000000"/>
          <w:szCs w:val="20"/>
          <w:lang w:val="en-US"/>
        </w:rPr>
        <w:t xml:space="preserve">(AUC) </w:t>
      </w:r>
      <w:r w:rsidRPr="00F62124">
        <w:rPr>
          <w:rFonts w:eastAsia="Times New Roman" w:cs="Arial"/>
          <w:color w:val="000000"/>
          <w:szCs w:val="20"/>
          <w:lang w:eastAsia="bg-BG"/>
        </w:rPr>
        <w:t xml:space="preserve">е приблизително двукратно или по-голямо. Максималната дневна доза на Росста трябва да се коригира, така че очакваната експозиция на розувастатин няма вероятност да надвиши тази на 40 </w:t>
      </w:r>
      <w:r w:rsidRPr="00F62124">
        <w:rPr>
          <w:rFonts w:eastAsia="Times New Roman" w:cs="Arial"/>
          <w:color w:val="000000"/>
          <w:szCs w:val="20"/>
          <w:lang w:val="en-US"/>
        </w:rPr>
        <w:t xml:space="preserve">mg </w:t>
      </w:r>
      <w:r w:rsidRPr="00F62124">
        <w:rPr>
          <w:rFonts w:eastAsia="Times New Roman" w:cs="Arial"/>
          <w:color w:val="000000"/>
          <w:szCs w:val="20"/>
          <w:lang w:eastAsia="bg-BG"/>
        </w:rPr>
        <w:t xml:space="preserve">дневна доза Росста, приет без взаимодействащи лекарствени продукти, напр. доза от 20 </w:t>
      </w:r>
      <w:r w:rsidRPr="00F62124">
        <w:rPr>
          <w:rFonts w:eastAsia="Times New Roman" w:cs="Arial"/>
          <w:color w:val="000000"/>
          <w:szCs w:val="20"/>
          <w:lang w:val="en-US"/>
        </w:rPr>
        <w:t xml:space="preserve">mg </w:t>
      </w:r>
      <w:r w:rsidRPr="00F62124">
        <w:rPr>
          <w:rFonts w:eastAsia="Times New Roman" w:cs="Arial"/>
          <w:color w:val="000000"/>
          <w:szCs w:val="20"/>
          <w:lang w:eastAsia="bg-BG"/>
        </w:rPr>
        <w:t xml:space="preserve">Росста с гемфиброзил (1,9 пъти повишение) до доза от 10 </w:t>
      </w:r>
      <w:r w:rsidRPr="00F62124">
        <w:rPr>
          <w:rFonts w:eastAsia="Times New Roman" w:cs="Arial"/>
          <w:color w:val="000000"/>
          <w:szCs w:val="20"/>
          <w:lang w:val="en-US"/>
        </w:rPr>
        <w:t xml:space="preserve">mg </w:t>
      </w:r>
      <w:r w:rsidRPr="00F62124">
        <w:rPr>
          <w:rFonts w:eastAsia="Times New Roman" w:cs="Arial"/>
          <w:color w:val="000000"/>
          <w:szCs w:val="20"/>
          <w:lang w:eastAsia="bg-BG"/>
        </w:rPr>
        <w:t>Росста с комбинация ритонавир/атазанавир (3,1 пъти повишение).</w:t>
      </w:r>
    </w:p>
    <w:p w14:paraId="5D8F36A9" w14:textId="77777777" w:rsidR="00F62124" w:rsidRPr="00F62124" w:rsidRDefault="00F62124" w:rsidP="00F62124">
      <w:pPr>
        <w:tabs>
          <w:tab w:val="left" w:pos="6525"/>
        </w:tabs>
        <w:rPr>
          <w:rFonts w:eastAsia="Times New Roman" w:cs="Arial"/>
          <w:b/>
          <w:bCs/>
          <w:color w:val="000000"/>
          <w:szCs w:val="20"/>
          <w:lang w:eastAsia="bg-BG"/>
        </w:rPr>
      </w:pPr>
    </w:p>
    <w:p w14:paraId="5EF0CFBF" w14:textId="028258A4" w:rsidR="00F62124" w:rsidRPr="00F62124" w:rsidRDefault="00F62124" w:rsidP="00F62124">
      <w:pPr>
        <w:tabs>
          <w:tab w:val="left" w:pos="6525"/>
        </w:tabs>
        <w:rPr>
          <w:rFonts w:cs="Arial"/>
          <w:sz w:val="24"/>
        </w:rPr>
      </w:pPr>
      <w:r w:rsidRPr="00F62124">
        <w:rPr>
          <w:rFonts w:eastAsia="Times New Roman" w:cs="Arial"/>
          <w:b/>
          <w:bCs/>
          <w:color w:val="000000"/>
          <w:szCs w:val="20"/>
          <w:lang w:eastAsia="bg-BG"/>
        </w:rPr>
        <w:t xml:space="preserve">Таблица Ефект на едновременно прилагани лекарствени продукти върху експозицията на розувастатин </w:t>
      </w:r>
      <w:r w:rsidRPr="00F62124">
        <w:rPr>
          <w:rFonts w:eastAsia="Times New Roman" w:cs="Arial"/>
          <w:b/>
          <w:bCs/>
          <w:color w:val="000000"/>
          <w:szCs w:val="20"/>
          <w:lang w:val="en-US"/>
        </w:rPr>
        <w:t xml:space="preserve">(AUC; </w:t>
      </w:r>
      <w:r w:rsidRPr="00F62124">
        <w:rPr>
          <w:rFonts w:eastAsia="Times New Roman" w:cs="Arial"/>
          <w:b/>
          <w:bCs/>
          <w:color w:val="000000"/>
          <w:szCs w:val="20"/>
          <w:lang w:eastAsia="bg-BG"/>
        </w:rPr>
        <w:t>в низходящ ред) от публикуваните клинични изпитвания.</w:t>
      </w:r>
    </w:p>
    <w:tbl>
      <w:tblPr>
        <w:tblStyle w:val="TableGrid"/>
        <w:tblW w:w="0" w:type="auto"/>
        <w:tblLook w:val="04A0" w:firstRow="1" w:lastRow="0" w:firstColumn="1" w:lastColumn="0" w:noHBand="0" w:noVBand="1"/>
      </w:tblPr>
      <w:tblGrid>
        <w:gridCol w:w="3116"/>
        <w:gridCol w:w="3117"/>
        <w:gridCol w:w="3117"/>
      </w:tblGrid>
      <w:tr w:rsidR="00F62124" w14:paraId="6CFEBF97" w14:textId="77777777" w:rsidTr="00F62124">
        <w:tc>
          <w:tcPr>
            <w:tcW w:w="3116" w:type="dxa"/>
          </w:tcPr>
          <w:p w14:paraId="64DEB8CC" w14:textId="12893D7D" w:rsidR="00F62124" w:rsidRPr="00F62124" w:rsidRDefault="00F62124" w:rsidP="00F62124">
            <w:pPr>
              <w:tabs>
                <w:tab w:val="left" w:pos="6525"/>
              </w:tabs>
            </w:pPr>
            <w:r w:rsidRPr="00F62124">
              <w:rPr>
                <w:b/>
                <w:bCs/>
                <w:szCs w:val="20"/>
              </w:rPr>
              <w:t>Дозов режим на взаимодействащото лекарство</w:t>
            </w:r>
          </w:p>
        </w:tc>
        <w:tc>
          <w:tcPr>
            <w:tcW w:w="3117" w:type="dxa"/>
          </w:tcPr>
          <w:p w14:paraId="4F646644" w14:textId="3608B2C9" w:rsidR="00F62124" w:rsidRPr="00F62124" w:rsidRDefault="00F62124" w:rsidP="00F62124">
            <w:pPr>
              <w:tabs>
                <w:tab w:val="left" w:pos="6525"/>
              </w:tabs>
            </w:pPr>
            <w:r w:rsidRPr="00F62124">
              <w:rPr>
                <w:b/>
                <w:bCs/>
                <w:szCs w:val="20"/>
              </w:rPr>
              <w:t>Дозов режим на розувастатин</w:t>
            </w:r>
          </w:p>
        </w:tc>
        <w:tc>
          <w:tcPr>
            <w:tcW w:w="3117" w:type="dxa"/>
          </w:tcPr>
          <w:p w14:paraId="59B417B7" w14:textId="06BFA2B6" w:rsidR="00F62124" w:rsidRPr="00F62124" w:rsidRDefault="00F62124" w:rsidP="00F62124">
            <w:pPr>
              <w:tabs>
                <w:tab w:val="left" w:pos="6525"/>
              </w:tabs>
            </w:pPr>
            <w:r w:rsidRPr="00F62124">
              <w:rPr>
                <w:b/>
                <w:bCs/>
                <w:szCs w:val="20"/>
              </w:rPr>
              <w:t xml:space="preserve">Промяна в </w:t>
            </w:r>
            <w:r w:rsidRPr="00F62124">
              <w:rPr>
                <w:b/>
                <w:bCs/>
                <w:szCs w:val="20"/>
                <w:lang w:val="en-US"/>
              </w:rPr>
              <w:t xml:space="preserve">AUC </w:t>
            </w:r>
            <w:r w:rsidRPr="00F62124">
              <w:rPr>
                <w:b/>
                <w:bCs/>
                <w:szCs w:val="20"/>
              </w:rPr>
              <w:t>на розувастатин*</w:t>
            </w:r>
          </w:p>
        </w:tc>
      </w:tr>
      <w:tr w:rsidR="00F62124" w14:paraId="64BEB57F" w14:textId="77777777" w:rsidTr="00F62124">
        <w:tc>
          <w:tcPr>
            <w:tcW w:w="3116" w:type="dxa"/>
          </w:tcPr>
          <w:p w14:paraId="0408E438" w14:textId="00D1E3DB" w:rsidR="00F62124" w:rsidRPr="00F62124" w:rsidRDefault="00F62124" w:rsidP="00F62124">
            <w:pPr>
              <w:tabs>
                <w:tab w:val="left" w:pos="6525"/>
              </w:tabs>
            </w:pPr>
            <w:r w:rsidRPr="00F62124">
              <w:rPr>
                <w:szCs w:val="20"/>
              </w:rPr>
              <w:t xml:space="preserve">Циклоспорин 75 </w:t>
            </w:r>
            <w:r w:rsidRPr="00F62124">
              <w:rPr>
                <w:szCs w:val="20"/>
                <w:lang w:val="en-US"/>
              </w:rPr>
              <w:t xml:space="preserve">mg </w:t>
            </w:r>
            <w:r w:rsidRPr="00F62124">
              <w:rPr>
                <w:szCs w:val="20"/>
              </w:rPr>
              <w:t xml:space="preserve">два пъти на ден до 200 </w:t>
            </w:r>
            <w:r w:rsidRPr="00F62124">
              <w:rPr>
                <w:szCs w:val="20"/>
                <w:lang w:val="en-US"/>
              </w:rPr>
              <w:t xml:space="preserve">mg </w:t>
            </w:r>
            <w:r w:rsidRPr="00F62124">
              <w:rPr>
                <w:szCs w:val="20"/>
              </w:rPr>
              <w:t>два пъти на ден, 6 месеца</w:t>
            </w:r>
          </w:p>
        </w:tc>
        <w:tc>
          <w:tcPr>
            <w:tcW w:w="3117" w:type="dxa"/>
          </w:tcPr>
          <w:p w14:paraId="6427DC3C" w14:textId="0F1F03D5"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веднъж дневно, 10 дни</w:t>
            </w:r>
          </w:p>
        </w:tc>
        <w:tc>
          <w:tcPr>
            <w:tcW w:w="3117" w:type="dxa"/>
          </w:tcPr>
          <w:p w14:paraId="6838C3DC" w14:textId="33E2A97E" w:rsidR="00F62124" w:rsidRPr="00F62124" w:rsidRDefault="00F62124" w:rsidP="00F62124">
            <w:pPr>
              <w:tabs>
                <w:tab w:val="left" w:pos="6525"/>
              </w:tabs>
            </w:pPr>
            <w:r w:rsidRPr="00F62124">
              <w:rPr>
                <w:szCs w:val="20"/>
              </w:rPr>
              <w:t xml:space="preserve">7,1 пъти </w:t>
            </w:r>
            <w:r w:rsidRPr="00F62124">
              <w:rPr>
                <w:szCs w:val="20"/>
                <w:lang w:val="en-US"/>
              </w:rPr>
              <w:t>↑</w:t>
            </w:r>
          </w:p>
        </w:tc>
      </w:tr>
      <w:tr w:rsidR="00F62124" w14:paraId="3E91A6A1" w14:textId="77777777" w:rsidTr="00F62124">
        <w:tc>
          <w:tcPr>
            <w:tcW w:w="3116" w:type="dxa"/>
          </w:tcPr>
          <w:p w14:paraId="0345BC88" w14:textId="198D2513" w:rsidR="00F62124" w:rsidRPr="00F62124" w:rsidRDefault="00F62124" w:rsidP="00F62124">
            <w:pPr>
              <w:tabs>
                <w:tab w:val="left" w:pos="6525"/>
              </w:tabs>
            </w:pPr>
            <w:r w:rsidRPr="00F62124">
              <w:rPr>
                <w:szCs w:val="20"/>
              </w:rPr>
              <w:t xml:space="preserve">Регорафениб 160 </w:t>
            </w:r>
            <w:r w:rsidRPr="00F62124">
              <w:rPr>
                <w:szCs w:val="20"/>
                <w:lang w:val="en-US"/>
              </w:rPr>
              <w:t xml:space="preserve">mg, </w:t>
            </w:r>
            <w:r w:rsidRPr="00F62124">
              <w:rPr>
                <w:szCs w:val="20"/>
              </w:rPr>
              <w:t>веднъж дневно, 14 дни</w:t>
            </w:r>
          </w:p>
        </w:tc>
        <w:tc>
          <w:tcPr>
            <w:tcW w:w="3117" w:type="dxa"/>
          </w:tcPr>
          <w:p w14:paraId="255E5665" w14:textId="56D40103" w:rsidR="00F62124" w:rsidRPr="00F62124" w:rsidRDefault="00F62124" w:rsidP="00F62124">
            <w:pPr>
              <w:tabs>
                <w:tab w:val="left" w:pos="6525"/>
              </w:tabs>
            </w:pPr>
            <w:r w:rsidRPr="00F62124">
              <w:rPr>
                <w:szCs w:val="20"/>
              </w:rPr>
              <w:t xml:space="preserve">5 </w:t>
            </w:r>
            <w:r w:rsidRPr="00F62124">
              <w:rPr>
                <w:szCs w:val="20"/>
                <w:lang w:val="en-US"/>
              </w:rPr>
              <w:t xml:space="preserve">mg, </w:t>
            </w:r>
            <w:r w:rsidRPr="00F62124">
              <w:rPr>
                <w:szCs w:val="20"/>
              </w:rPr>
              <w:t>единична доза</w:t>
            </w:r>
          </w:p>
        </w:tc>
        <w:tc>
          <w:tcPr>
            <w:tcW w:w="3117" w:type="dxa"/>
          </w:tcPr>
          <w:p w14:paraId="2F2521E2" w14:textId="1E37ADA4" w:rsidR="00F62124" w:rsidRPr="00F62124" w:rsidRDefault="00F62124" w:rsidP="00F62124">
            <w:pPr>
              <w:tabs>
                <w:tab w:val="left" w:pos="6525"/>
              </w:tabs>
            </w:pPr>
            <w:r w:rsidRPr="00F62124">
              <w:rPr>
                <w:szCs w:val="20"/>
              </w:rPr>
              <w:t xml:space="preserve">3,8 пъти </w:t>
            </w:r>
            <w:r w:rsidRPr="00F62124">
              <w:rPr>
                <w:szCs w:val="20"/>
                <w:lang w:val="en-US"/>
              </w:rPr>
              <w:t>↑</w:t>
            </w:r>
          </w:p>
        </w:tc>
      </w:tr>
      <w:tr w:rsidR="00F62124" w14:paraId="11BB0ECB" w14:textId="77777777" w:rsidTr="00F62124">
        <w:tc>
          <w:tcPr>
            <w:tcW w:w="3116" w:type="dxa"/>
          </w:tcPr>
          <w:p w14:paraId="74B24BEC" w14:textId="590D2AC4" w:rsidR="00F62124" w:rsidRPr="00F62124" w:rsidRDefault="00F62124" w:rsidP="00F62124">
            <w:pPr>
              <w:tabs>
                <w:tab w:val="left" w:pos="6525"/>
              </w:tabs>
            </w:pPr>
            <w:r w:rsidRPr="00F62124">
              <w:rPr>
                <w:szCs w:val="20"/>
              </w:rPr>
              <w:t xml:space="preserve">Атазанавир 300 </w:t>
            </w:r>
            <w:r w:rsidRPr="00F62124">
              <w:rPr>
                <w:szCs w:val="20"/>
                <w:lang w:val="en-US"/>
              </w:rPr>
              <w:t>mg</w:t>
            </w:r>
            <w:r w:rsidRPr="00F62124">
              <w:rPr>
                <w:szCs w:val="20"/>
              </w:rPr>
              <w:t xml:space="preserve">/ритонавир 100 </w:t>
            </w:r>
            <w:r w:rsidRPr="00F62124">
              <w:rPr>
                <w:szCs w:val="20"/>
                <w:lang w:val="en-US"/>
              </w:rPr>
              <w:t xml:space="preserve">mg </w:t>
            </w:r>
            <w:r w:rsidRPr="00F62124">
              <w:rPr>
                <w:szCs w:val="20"/>
              </w:rPr>
              <w:t>веднъж дневно, 8 дни</w:t>
            </w:r>
          </w:p>
        </w:tc>
        <w:tc>
          <w:tcPr>
            <w:tcW w:w="3117" w:type="dxa"/>
          </w:tcPr>
          <w:p w14:paraId="692E9843" w14:textId="77777777" w:rsidR="00F62124" w:rsidRPr="00F62124" w:rsidRDefault="00F62124" w:rsidP="00F62124">
            <w:r w:rsidRPr="00F62124">
              <w:rPr>
                <w:szCs w:val="20"/>
              </w:rPr>
              <w:tab/>
            </w:r>
          </w:p>
          <w:p w14:paraId="771789FA" w14:textId="3B94343B"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еднократна доза</w:t>
            </w:r>
          </w:p>
        </w:tc>
        <w:tc>
          <w:tcPr>
            <w:tcW w:w="3117" w:type="dxa"/>
          </w:tcPr>
          <w:p w14:paraId="5D1535BA" w14:textId="3FA498DF" w:rsidR="00F62124" w:rsidRPr="00F62124" w:rsidRDefault="00F62124" w:rsidP="00F62124">
            <w:pPr>
              <w:tabs>
                <w:tab w:val="left" w:pos="6525"/>
              </w:tabs>
            </w:pPr>
            <w:r w:rsidRPr="00F62124">
              <w:rPr>
                <w:szCs w:val="20"/>
              </w:rPr>
              <w:t xml:space="preserve">3,1 пъти </w:t>
            </w:r>
            <w:r w:rsidRPr="00F62124">
              <w:rPr>
                <w:szCs w:val="20"/>
                <w:lang w:val="en-US"/>
              </w:rPr>
              <w:t>↑</w:t>
            </w:r>
          </w:p>
        </w:tc>
      </w:tr>
      <w:tr w:rsidR="00F62124" w14:paraId="393FD1CA" w14:textId="77777777" w:rsidTr="00F62124">
        <w:tc>
          <w:tcPr>
            <w:tcW w:w="3116" w:type="dxa"/>
          </w:tcPr>
          <w:p w14:paraId="50333CA4" w14:textId="288969E5" w:rsidR="00F62124" w:rsidRPr="00F62124" w:rsidRDefault="00F62124" w:rsidP="00F62124">
            <w:pPr>
              <w:tabs>
                <w:tab w:val="left" w:pos="6525"/>
              </w:tabs>
            </w:pPr>
            <w:r w:rsidRPr="00F62124">
              <w:rPr>
                <w:szCs w:val="20"/>
              </w:rPr>
              <w:t xml:space="preserve">Велпатасвир 100 </w:t>
            </w:r>
            <w:r w:rsidRPr="00F62124">
              <w:rPr>
                <w:szCs w:val="20"/>
                <w:lang w:val="en-US"/>
              </w:rPr>
              <w:t xml:space="preserve">mg </w:t>
            </w:r>
            <w:r w:rsidRPr="00F62124">
              <w:rPr>
                <w:szCs w:val="20"/>
              </w:rPr>
              <w:t>веднъж дневно</w:t>
            </w:r>
          </w:p>
        </w:tc>
        <w:tc>
          <w:tcPr>
            <w:tcW w:w="3117" w:type="dxa"/>
          </w:tcPr>
          <w:p w14:paraId="58AA3093" w14:textId="3AB04996"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единична доза</w:t>
            </w:r>
          </w:p>
        </w:tc>
        <w:tc>
          <w:tcPr>
            <w:tcW w:w="3117" w:type="dxa"/>
          </w:tcPr>
          <w:p w14:paraId="14165ECE" w14:textId="1803DFB4" w:rsidR="00F62124" w:rsidRPr="00F62124" w:rsidRDefault="00F62124" w:rsidP="00F62124">
            <w:pPr>
              <w:tabs>
                <w:tab w:val="left" w:pos="6525"/>
              </w:tabs>
            </w:pPr>
            <w:r w:rsidRPr="00F62124">
              <w:rPr>
                <w:szCs w:val="20"/>
              </w:rPr>
              <w:t xml:space="preserve">2,7 пъти </w:t>
            </w:r>
            <w:r w:rsidRPr="00F62124">
              <w:rPr>
                <w:szCs w:val="20"/>
                <w:lang w:val="en-US"/>
              </w:rPr>
              <w:t>↑</w:t>
            </w:r>
          </w:p>
        </w:tc>
      </w:tr>
      <w:tr w:rsidR="00F62124" w14:paraId="00200179" w14:textId="77777777" w:rsidTr="00F62124">
        <w:tc>
          <w:tcPr>
            <w:tcW w:w="3116" w:type="dxa"/>
          </w:tcPr>
          <w:p w14:paraId="605FFAC3" w14:textId="67A9B88E" w:rsidR="00F62124" w:rsidRPr="00F62124" w:rsidRDefault="00F62124" w:rsidP="00F62124">
            <w:pPr>
              <w:tabs>
                <w:tab w:val="left" w:pos="6525"/>
              </w:tabs>
            </w:pPr>
            <w:r w:rsidRPr="00F62124">
              <w:rPr>
                <w:szCs w:val="20"/>
              </w:rPr>
              <w:t xml:space="preserve">Омбитасвир 25 </w:t>
            </w:r>
            <w:r w:rsidRPr="00F62124">
              <w:rPr>
                <w:szCs w:val="20"/>
                <w:lang w:val="en-US"/>
              </w:rPr>
              <w:t>mg</w:t>
            </w:r>
            <w:r w:rsidRPr="00F62124">
              <w:rPr>
                <w:szCs w:val="20"/>
              </w:rPr>
              <w:t xml:space="preserve">/паритапревир 150 </w:t>
            </w:r>
            <w:r w:rsidRPr="00F62124">
              <w:rPr>
                <w:szCs w:val="20"/>
                <w:lang w:val="en-US"/>
              </w:rPr>
              <w:t xml:space="preserve">mg/ </w:t>
            </w:r>
            <w:r w:rsidRPr="00F62124">
              <w:rPr>
                <w:szCs w:val="20"/>
              </w:rPr>
              <w:t xml:space="preserve">ритонавир 100 </w:t>
            </w:r>
            <w:r w:rsidRPr="00F62124">
              <w:rPr>
                <w:szCs w:val="20"/>
                <w:lang w:val="en-US"/>
              </w:rPr>
              <w:t xml:space="preserve">mg </w:t>
            </w:r>
            <w:r w:rsidRPr="00F62124">
              <w:rPr>
                <w:szCs w:val="20"/>
              </w:rPr>
              <w:t xml:space="preserve">веднъж дневно/дазабувир 400 </w:t>
            </w:r>
            <w:r w:rsidRPr="00F62124">
              <w:rPr>
                <w:szCs w:val="20"/>
                <w:lang w:val="en-US"/>
              </w:rPr>
              <w:t xml:space="preserve">mg </w:t>
            </w:r>
            <w:r w:rsidRPr="00F62124">
              <w:rPr>
                <w:szCs w:val="20"/>
              </w:rPr>
              <w:t>2 пъти дневно, 14 дни</w:t>
            </w:r>
          </w:p>
        </w:tc>
        <w:tc>
          <w:tcPr>
            <w:tcW w:w="3117" w:type="dxa"/>
          </w:tcPr>
          <w:p w14:paraId="5D23F683" w14:textId="751A1A51" w:rsidR="00F62124" w:rsidRPr="00F62124" w:rsidRDefault="00F62124" w:rsidP="00F62124">
            <w:pPr>
              <w:tabs>
                <w:tab w:val="left" w:pos="6525"/>
              </w:tabs>
            </w:pPr>
            <w:r w:rsidRPr="00F62124">
              <w:rPr>
                <w:szCs w:val="20"/>
              </w:rPr>
              <w:t xml:space="preserve">5 </w:t>
            </w:r>
            <w:r w:rsidRPr="00F62124">
              <w:rPr>
                <w:szCs w:val="20"/>
                <w:lang w:val="en-US"/>
              </w:rPr>
              <w:t xml:space="preserve">mg, </w:t>
            </w:r>
            <w:r w:rsidRPr="00F62124">
              <w:rPr>
                <w:szCs w:val="20"/>
              </w:rPr>
              <w:t>единична доза</w:t>
            </w:r>
          </w:p>
        </w:tc>
        <w:tc>
          <w:tcPr>
            <w:tcW w:w="3117" w:type="dxa"/>
          </w:tcPr>
          <w:p w14:paraId="47B4DA1A" w14:textId="05708380" w:rsidR="00F62124" w:rsidRPr="00F62124" w:rsidRDefault="00F62124" w:rsidP="00F62124">
            <w:pPr>
              <w:tabs>
                <w:tab w:val="left" w:pos="6525"/>
              </w:tabs>
            </w:pPr>
            <w:r w:rsidRPr="00F62124">
              <w:rPr>
                <w:szCs w:val="20"/>
              </w:rPr>
              <w:t xml:space="preserve">2,6 пъти </w:t>
            </w:r>
            <w:r w:rsidRPr="00F62124">
              <w:rPr>
                <w:szCs w:val="20"/>
                <w:lang w:val="en-US"/>
              </w:rPr>
              <w:t>↑</w:t>
            </w:r>
          </w:p>
        </w:tc>
      </w:tr>
      <w:tr w:rsidR="00F62124" w14:paraId="53FA492B" w14:textId="77777777" w:rsidTr="00F62124">
        <w:tc>
          <w:tcPr>
            <w:tcW w:w="3116" w:type="dxa"/>
          </w:tcPr>
          <w:p w14:paraId="66E53341" w14:textId="48717288" w:rsidR="00F62124" w:rsidRPr="00F62124" w:rsidRDefault="00F62124" w:rsidP="00F62124">
            <w:pPr>
              <w:tabs>
                <w:tab w:val="left" w:pos="6525"/>
              </w:tabs>
            </w:pPr>
            <w:r w:rsidRPr="00F62124">
              <w:rPr>
                <w:szCs w:val="20"/>
              </w:rPr>
              <w:t xml:space="preserve">Гразопревир 200 </w:t>
            </w:r>
            <w:r w:rsidRPr="00F62124">
              <w:rPr>
                <w:szCs w:val="20"/>
                <w:lang w:val="en-US"/>
              </w:rPr>
              <w:t>mg</w:t>
            </w:r>
            <w:r w:rsidRPr="00F62124">
              <w:rPr>
                <w:szCs w:val="20"/>
              </w:rPr>
              <w:t xml:space="preserve">/елбасвир 50 </w:t>
            </w:r>
            <w:r w:rsidRPr="00F62124">
              <w:rPr>
                <w:szCs w:val="20"/>
                <w:lang w:val="en-US"/>
              </w:rPr>
              <w:t xml:space="preserve">mg </w:t>
            </w:r>
            <w:r w:rsidRPr="00F62124">
              <w:rPr>
                <w:szCs w:val="20"/>
              </w:rPr>
              <w:t>веднъж дневно, 11 дни</w:t>
            </w:r>
          </w:p>
        </w:tc>
        <w:tc>
          <w:tcPr>
            <w:tcW w:w="3117" w:type="dxa"/>
          </w:tcPr>
          <w:p w14:paraId="01EC3C94" w14:textId="4343AB9D"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единична доза</w:t>
            </w:r>
          </w:p>
        </w:tc>
        <w:tc>
          <w:tcPr>
            <w:tcW w:w="3117" w:type="dxa"/>
          </w:tcPr>
          <w:p w14:paraId="5EDCB435" w14:textId="161B8892" w:rsidR="00F62124" w:rsidRPr="00F62124" w:rsidRDefault="00F62124" w:rsidP="00F62124">
            <w:pPr>
              <w:tabs>
                <w:tab w:val="left" w:pos="6525"/>
              </w:tabs>
            </w:pPr>
            <w:r w:rsidRPr="00F62124">
              <w:rPr>
                <w:szCs w:val="20"/>
              </w:rPr>
              <w:t xml:space="preserve">2,3 пъти </w:t>
            </w:r>
            <w:r w:rsidRPr="00F62124">
              <w:rPr>
                <w:szCs w:val="20"/>
                <w:lang w:val="en-US"/>
              </w:rPr>
              <w:t>↑</w:t>
            </w:r>
          </w:p>
        </w:tc>
      </w:tr>
      <w:tr w:rsidR="00F62124" w14:paraId="7EB05BF3" w14:textId="77777777" w:rsidTr="00F62124">
        <w:tc>
          <w:tcPr>
            <w:tcW w:w="3116" w:type="dxa"/>
          </w:tcPr>
          <w:p w14:paraId="43D5E763" w14:textId="6CCBFF1E" w:rsidR="00F62124" w:rsidRPr="00F62124" w:rsidRDefault="00F62124" w:rsidP="00F62124">
            <w:pPr>
              <w:tabs>
                <w:tab w:val="left" w:pos="6525"/>
              </w:tabs>
            </w:pPr>
            <w:r w:rsidRPr="00F62124">
              <w:rPr>
                <w:szCs w:val="20"/>
              </w:rPr>
              <w:t xml:space="preserve">Глекапревир 400 </w:t>
            </w:r>
            <w:r w:rsidRPr="00F62124">
              <w:rPr>
                <w:szCs w:val="20"/>
                <w:lang w:val="en-US"/>
              </w:rPr>
              <w:t>mg</w:t>
            </w:r>
            <w:r w:rsidRPr="00F62124">
              <w:rPr>
                <w:szCs w:val="20"/>
              </w:rPr>
              <w:t xml:space="preserve">/пибрентасвир 120 </w:t>
            </w:r>
            <w:r w:rsidRPr="00F62124">
              <w:rPr>
                <w:szCs w:val="20"/>
                <w:lang w:val="en-US"/>
              </w:rPr>
              <w:t xml:space="preserve">mg </w:t>
            </w:r>
            <w:r w:rsidRPr="00F62124">
              <w:rPr>
                <w:szCs w:val="20"/>
              </w:rPr>
              <w:t>веднъж дневно, 7 дни</w:t>
            </w:r>
          </w:p>
        </w:tc>
        <w:tc>
          <w:tcPr>
            <w:tcW w:w="3117" w:type="dxa"/>
          </w:tcPr>
          <w:p w14:paraId="001AA8F8" w14:textId="6907149D" w:rsidR="00F62124" w:rsidRPr="00F62124" w:rsidRDefault="00F62124" w:rsidP="00F62124">
            <w:pPr>
              <w:tabs>
                <w:tab w:val="left" w:pos="6525"/>
              </w:tabs>
            </w:pPr>
            <w:r w:rsidRPr="00F62124">
              <w:rPr>
                <w:szCs w:val="20"/>
              </w:rPr>
              <w:t xml:space="preserve">5 </w:t>
            </w:r>
            <w:r w:rsidRPr="00F62124">
              <w:rPr>
                <w:szCs w:val="20"/>
                <w:lang w:val="en-US"/>
              </w:rPr>
              <w:t xml:space="preserve">mg </w:t>
            </w:r>
            <w:r w:rsidRPr="00F62124">
              <w:rPr>
                <w:szCs w:val="20"/>
              </w:rPr>
              <w:t>веднъж дневно, 7 дни</w:t>
            </w:r>
          </w:p>
        </w:tc>
        <w:tc>
          <w:tcPr>
            <w:tcW w:w="3117" w:type="dxa"/>
          </w:tcPr>
          <w:p w14:paraId="19D0EA11" w14:textId="4FAEA878" w:rsidR="00F62124" w:rsidRPr="00F62124" w:rsidRDefault="00F62124" w:rsidP="00F62124">
            <w:pPr>
              <w:tabs>
                <w:tab w:val="left" w:pos="6525"/>
              </w:tabs>
            </w:pPr>
            <w:r w:rsidRPr="00F62124">
              <w:rPr>
                <w:szCs w:val="20"/>
              </w:rPr>
              <w:t xml:space="preserve">2,2 пъти </w:t>
            </w:r>
            <w:r w:rsidRPr="00F62124">
              <w:rPr>
                <w:szCs w:val="20"/>
                <w:lang w:val="en-US"/>
              </w:rPr>
              <w:t>↑</w:t>
            </w:r>
          </w:p>
        </w:tc>
      </w:tr>
      <w:tr w:rsidR="00F62124" w14:paraId="338610E9" w14:textId="77777777" w:rsidTr="00F62124">
        <w:tc>
          <w:tcPr>
            <w:tcW w:w="3116" w:type="dxa"/>
          </w:tcPr>
          <w:p w14:paraId="7A81F0D6" w14:textId="77777777" w:rsidR="00F62124" w:rsidRPr="00F62124" w:rsidRDefault="00F62124" w:rsidP="00F62124">
            <w:r w:rsidRPr="00F62124">
              <w:rPr>
                <w:szCs w:val="20"/>
              </w:rPr>
              <w:lastRenderedPageBreak/>
              <w:t xml:space="preserve">Лопинавир 400 </w:t>
            </w:r>
            <w:r w:rsidRPr="00F62124">
              <w:rPr>
                <w:szCs w:val="20"/>
                <w:lang w:val="en-US"/>
              </w:rPr>
              <w:t>mg</w:t>
            </w:r>
            <w:r w:rsidRPr="00F62124">
              <w:rPr>
                <w:szCs w:val="20"/>
              </w:rPr>
              <w:t xml:space="preserve">/ритонавир 100 </w:t>
            </w:r>
            <w:r w:rsidRPr="00F62124">
              <w:rPr>
                <w:szCs w:val="20"/>
                <w:lang w:val="en-US"/>
              </w:rPr>
              <w:t xml:space="preserve">mg </w:t>
            </w:r>
            <w:r w:rsidRPr="00F62124">
              <w:rPr>
                <w:szCs w:val="20"/>
              </w:rPr>
              <w:t>два пъти на ден, 17</w:t>
            </w:r>
          </w:p>
          <w:p w14:paraId="4EC47650" w14:textId="66013B80" w:rsidR="00F62124" w:rsidRPr="00F62124" w:rsidRDefault="00F62124" w:rsidP="00F62124">
            <w:pPr>
              <w:tabs>
                <w:tab w:val="left" w:pos="6525"/>
              </w:tabs>
            </w:pPr>
            <w:r w:rsidRPr="00F62124">
              <w:rPr>
                <w:szCs w:val="20"/>
              </w:rPr>
              <w:t>дни.</w:t>
            </w:r>
          </w:p>
        </w:tc>
        <w:tc>
          <w:tcPr>
            <w:tcW w:w="3117" w:type="dxa"/>
          </w:tcPr>
          <w:p w14:paraId="61FBC2D6" w14:textId="58547DC8" w:rsidR="00F62124" w:rsidRPr="00F62124" w:rsidRDefault="00F62124" w:rsidP="00F62124">
            <w:pPr>
              <w:tabs>
                <w:tab w:val="left" w:pos="6525"/>
              </w:tabs>
            </w:pPr>
            <w:r w:rsidRPr="00F62124">
              <w:rPr>
                <w:szCs w:val="20"/>
              </w:rPr>
              <w:t xml:space="preserve">20 </w:t>
            </w:r>
            <w:r w:rsidRPr="00F62124">
              <w:rPr>
                <w:szCs w:val="20"/>
                <w:lang w:val="en-US"/>
              </w:rPr>
              <w:t xml:space="preserve">mg </w:t>
            </w:r>
            <w:r w:rsidRPr="00F62124">
              <w:rPr>
                <w:szCs w:val="20"/>
              </w:rPr>
              <w:t>веднъж дневно, 7 дни</w:t>
            </w:r>
          </w:p>
        </w:tc>
        <w:tc>
          <w:tcPr>
            <w:tcW w:w="3117" w:type="dxa"/>
          </w:tcPr>
          <w:p w14:paraId="3C6A4B28" w14:textId="77777777" w:rsidR="00F62124" w:rsidRPr="00F62124" w:rsidRDefault="00F62124" w:rsidP="00F62124"/>
          <w:p w14:paraId="126E7B8A" w14:textId="54D20DC7" w:rsidR="00F62124" w:rsidRPr="00F62124" w:rsidRDefault="00F62124" w:rsidP="00F62124">
            <w:pPr>
              <w:tabs>
                <w:tab w:val="left" w:pos="6525"/>
              </w:tabs>
            </w:pPr>
            <w:r w:rsidRPr="00F62124">
              <w:rPr>
                <w:szCs w:val="20"/>
              </w:rPr>
              <w:t xml:space="preserve">2,1 пъти </w:t>
            </w:r>
            <w:r w:rsidRPr="00F62124">
              <w:rPr>
                <w:szCs w:val="20"/>
                <w:lang w:val="en-US"/>
              </w:rPr>
              <w:t>↑</w:t>
            </w:r>
          </w:p>
        </w:tc>
      </w:tr>
      <w:tr w:rsidR="00F62124" w14:paraId="3D79FF89" w14:textId="77777777" w:rsidTr="00F62124">
        <w:tc>
          <w:tcPr>
            <w:tcW w:w="3116" w:type="dxa"/>
          </w:tcPr>
          <w:p w14:paraId="394381D4" w14:textId="196779BD" w:rsidR="00F62124" w:rsidRPr="00F62124" w:rsidRDefault="00F62124" w:rsidP="00F62124">
            <w:pPr>
              <w:tabs>
                <w:tab w:val="left" w:pos="6525"/>
              </w:tabs>
            </w:pPr>
            <w:r w:rsidRPr="00F62124">
              <w:rPr>
                <w:szCs w:val="20"/>
              </w:rPr>
              <w:t xml:space="preserve">Клопидогрел 300 </w:t>
            </w:r>
            <w:r w:rsidRPr="00F62124">
              <w:rPr>
                <w:szCs w:val="20"/>
                <w:lang w:val="en-US"/>
              </w:rPr>
              <w:t xml:space="preserve">mg </w:t>
            </w:r>
            <w:r w:rsidRPr="00F62124">
              <w:rPr>
                <w:szCs w:val="20"/>
              </w:rPr>
              <w:t xml:space="preserve">натоварваща доза, последвана от 75 </w:t>
            </w:r>
            <w:r w:rsidRPr="00F62124">
              <w:rPr>
                <w:szCs w:val="20"/>
                <w:lang w:val="en-US"/>
              </w:rPr>
              <w:t xml:space="preserve">mg </w:t>
            </w:r>
            <w:r w:rsidRPr="00F62124">
              <w:rPr>
                <w:szCs w:val="20"/>
              </w:rPr>
              <w:t>на 24 часа</w:t>
            </w:r>
          </w:p>
        </w:tc>
        <w:tc>
          <w:tcPr>
            <w:tcW w:w="3117" w:type="dxa"/>
          </w:tcPr>
          <w:p w14:paraId="6DD86AEB" w14:textId="31B61776" w:rsidR="00F62124" w:rsidRPr="00F62124" w:rsidRDefault="00F62124" w:rsidP="00F62124">
            <w:pPr>
              <w:tabs>
                <w:tab w:val="left" w:pos="6525"/>
              </w:tabs>
            </w:pPr>
            <w:r w:rsidRPr="00F62124">
              <w:rPr>
                <w:szCs w:val="20"/>
              </w:rPr>
              <w:t xml:space="preserve">20 </w:t>
            </w:r>
            <w:r w:rsidRPr="00F62124">
              <w:rPr>
                <w:szCs w:val="20"/>
                <w:lang w:val="en-US"/>
              </w:rPr>
              <w:t xml:space="preserve">mg, </w:t>
            </w:r>
            <w:r w:rsidRPr="00F62124">
              <w:rPr>
                <w:szCs w:val="20"/>
              </w:rPr>
              <w:t>еднократна доза</w:t>
            </w:r>
          </w:p>
        </w:tc>
        <w:tc>
          <w:tcPr>
            <w:tcW w:w="3117" w:type="dxa"/>
          </w:tcPr>
          <w:p w14:paraId="228AAF76" w14:textId="31AECE81" w:rsidR="00F62124" w:rsidRPr="00F62124" w:rsidRDefault="00F62124" w:rsidP="00F62124">
            <w:pPr>
              <w:tabs>
                <w:tab w:val="left" w:pos="6525"/>
              </w:tabs>
            </w:pPr>
            <w:r w:rsidRPr="00F62124">
              <w:rPr>
                <w:szCs w:val="20"/>
              </w:rPr>
              <w:t>2</w:t>
            </w:r>
            <w:r w:rsidRPr="00F62124">
              <w:rPr>
                <w:szCs w:val="20"/>
                <w:lang w:val="en-US"/>
              </w:rPr>
              <w:t xml:space="preserve"> </w:t>
            </w:r>
            <w:r w:rsidRPr="00F62124">
              <w:rPr>
                <w:szCs w:val="20"/>
              </w:rPr>
              <w:t xml:space="preserve">пъти </w:t>
            </w:r>
            <w:r w:rsidRPr="00F62124">
              <w:rPr>
                <w:szCs w:val="20"/>
                <w:lang w:val="en-US"/>
              </w:rPr>
              <w:t>↑</w:t>
            </w:r>
          </w:p>
        </w:tc>
      </w:tr>
      <w:tr w:rsidR="00F62124" w14:paraId="7F0E6DB9" w14:textId="77777777" w:rsidTr="00F62124">
        <w:tc>
          <w:tcPr>
            <w:tcW w:w="3116" w:type="dxa"/>
          </w:tcPr>
          <w:p w14:paraId="0C4CF10E" w14:textId="48891857" w:rsidR="00F62124" w:rsidRPr="00F62124" w:rsidRDefault="00F62124" w:rsidP="00F62124">
            <w:pPr>
              <w:tabs>
                <w:tab w:val="left" w:pos="6525"/>
              </w:tabs>
            </w:pPr>
            <w:r w:rsidRPr="00F62124">
              <w:rPr>
                <w:szCs w:val="20"/>
              </w:rPr>
              <w:t xml:space="preserve">Гемфиброзил 600 </w:t>
            </w:r>
            <w:r w:rsidRPr="00F62124">
              <w:rPr>
                <w:szCs w:val="20"/>
                <w:lang w:val="en-US"/>
              </w:rPr>
              <w:t xml:space="preserve">mg </w:t>
            </w:r>
            <w:r w:rsidRPr="00F62124">
              <w:rPr>
                <w:szCs w:val="20"/>
              </w:rPr>
              <w:t>два пъти на ден, 7 дни</w:t>
            </w:r>
          </w:p>
        </w:tc>
        <w:tc>
          <w:tcPr>
            <w:tcW w:w="3117" w:type="dxa"/>
          </w:tcPr>
          <w:p w14:paraId="7EC86818" w14:textId="4E7797B3" w:rsidR="00F62124" w:rsidRPr="00F62124" w:rsidRDefault="00F62124" w:rsidP="00F62124">
            <w:pPr>
              <w:tabs>
                <w:tab w:val="left" w:pos="6525"/>
              </w:tabs>
            </w:pPr>
            <w:r w:rsidRPr="00F62124">
              <w:rPr>
                <w:szCs w:val="20"/>
              </w:rPr>
              <w:t xml:space="preserve">80 </w:t>
            </w:r>
            <w:r w:rsidRPr="00F62124">
              <w:rPr>
                <w:szCs w:val="20"/>
                <w:lang w:val="en-US"/>
              </w:rPr>
              <w:t xml:space="preserve">mg, </w:t>
            </w:r>
            <w:r w:rsidRPr="00F62124">
              <w:rPr>
                <w:szCs w:val="20"/>
              </w:rPr>
              <w:t>еднократна доза</w:t>
            </w:r>
          </w:p>
        </w:tc>
        <w:tc>
          <w:tcPr>
            <w:tcW w:w="3117" w:type="dxa"/>
          </w:tcPr>
          <w:p w14:paraId="694E61E5" w14:textId="5D037C8D" w:rsidR="00F62124" w:rsidRPr="00F62124" w:rsidRDefault="00F62124" w:rsidP="00F62124">
            <w:pPr>
              <w:tabs>
                <w:tab w:val="left" w:pos="6525"/>
              </w:tabs>
            </w:pPr>
            <w:r w:rsidRPr="00F62124">
              <w:rPr>
                <w:szCs w:val="20"/>
              </w:rPr>
              <w:t>1,9 пъти ↑</w:t>
            </w:r>
          </w:p>
        </w:tc>
      </w:tr>
      <w:tr w:rsidR="00F62124" w14:paraId="403F390E" w14:textId="77777777" w:rsidTr="00F62124">
        <w:tc>
          <w:tcPr>
            <w:tcW w:w="3116" w:type="dxa"/>
          </w:tcPr>
          <w:p w14:paraId="679442BF" w14:textId="69CE14D9" w:rsidR="00F62124" w:rsidRPr="00F62124" w:rsidRDefault="00F62124" w:rsidP="00F62124">
            <w:pPr>
              <w:tabs>
                <w:tab w:val="left" w:pos="6525"/>
              </w:tabs>
            </w:pPr>
            <w:r w:rsidRPr="00F62124">
              <w:rPr>
                <w:szCs w:val="20"/>
              </w:rPr>
              <w:t xml:space="preserve">Елтромбопаг 75 </w:t>
            </w:r>
            <w:r w:rsidRPr="00F62124">
              <w:rPr>
                <w:szCs w:val="20"/>
                <w:lang w:val="en-US"/>
              </w:rPr>
              <w:t xml:space="preserve">mg </w:t>
            </w:r>
            <w:r w:rsidRPr="00F62124">
              <w:rPr>
                <w:szCs w:val="20"/>
              </w:rPr>
              <w:t>веднъж дневно, 5 дни</w:t>
            </w:r>
          </w:p>
        </w:tc>
        <w:tc>
          <w:tcPr>
            <w:tcW w:w="3117" w:type="dxa"/>
          </w:tcPr>
          <w:p w14:paraId="3DD192FF" w14:textId="2202AAB1"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еднократна доза</w:t>
            </w:r>
          </w:p>
        </w:tc>
        <w:tc>
          <w:tcPr>
            <w:tcW w:w="3117" w:type="dxa"/>
          </w:tcPr>
          <w:p w14:paraId="2C0112E9" w14:textId="5B5B0451" w:rsidR="00F62124" w:rsidRPr="00F62124" w:rsidRDefault="00F62124" w:rsidP="00F62124">
            <w:pPr>
              <w:tabs>
                <w:tab w:val="left" w:pos="6525"/>
              </w:tabs>
            </w:pPr>
            <w:r w:rsidRPr="00F62124">
              <w:rPr>
                <w:szCs w:val="20"/>
              </w:rPr>
              <w:t>1,6 пъти ↑</w:t>
            </w:r>
          </w:p>
        </w:tc>
      </w:tr>
      <w:tr w:rsidR="00F62124" w14:paraId="5266AA66" w14:textId="77777777" w:rsidTr="00F62124">
        <w:tc>
          <w:tcPr>
            <w:tcW w:w="3116" w:type="dxa"/>
          </w:tcPr>
          <w:p w14:paraId="547CA1B4" w14:textId="5BCD861A" w:rsidR="00F62124" w:rsidRPr="00F62124" w:rsidRDefault="00F62124" w:rsidP="00F62124">
            <w:pPr>
              <w:tabs>
                <w:tab w:val="left" w:pos="6525"/>
              </w:tabs>
            </w:pPr>
            <w:r w:rsidRPr="00F62124">
              <w:rPr>
                <w:szCs w:val="20"/>
              </w:rPr>
              <w:t xml:space="preserve">Дуранавир 600 </w:t>
            </w:r>
            <w:r w:rsidRPr="00F62124">
              <w:rPr>
                <w:szCs w:val="20"/>
                <w:lang w:val="en-US"/>
              </w:rPr>
              <w:t>mg</w:t>
            </w:r>
            <w:r w:rsidRPr="00F62124">
              <w:rPr>
                <w:szCs w:val="20"/>
              </w:rPr>
              <w:t xml:space="preserve">/ритонавир 100 </w:t>
            </w:r>
            <w:r w:rsidRPr="00F62124">
              <w:rPr>
                <w:szCs w:val="20"/>
                <w:lang w:val="en-US"/>
              </w:rPr>
              <w:t xml:space="preserve">mg </w:t>
            </w:r>
            <w:r w:rsidRPr="00F62124">
              <w:rPr>
                <w:szCs w:val="20"/>
              </w:rPr>
              <w:t>два пъти на ден, 7 дни</w:t>
            </w:r>
          </w:p>
        </w:tc>
        <w:tc>
          <w:tcPr>
            <w:tcW w:w="3117" w:type="dxa"/>
          </w:tcPr>
          <w:p w14:paraId="4C546B81" w14:textId="769E6CD5"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веднъж дневно, 7 дни</w:t>
            </w:r>
          </w:p>
        </w:tc>
        <w:tc>
          <w:tcPr>
            <w:tcW w:w="3117" w:type="dxa"/>
          </w:tcPr>
          <w:p w14:paraId="5DAD0A08" w14:textId="36C21BF8" w:rsidR="00F62124" w:rsidRPr="00F62124" w:rsidRDefault="00F62124" w:rsidP="00F62124">
            <w:pPr>
              <w:tabs>
                <w:tab w:val="left" w:pos="6525"/>
              </w:tabs>
            </w:pPr>
            <w:r w:rsidRPr="00F62124">
              <w:rPr>
                <w:szCs w:val="20"/>
              </w:rPr>
              <w:t>1,5 пъти ↑</w:t>
            </w:r>
          </w:p>
        </w:tc>
      </w:tr>
      <w:tr w:rsidR="00F62124" w14:paraId="55670661" w14:textId="77777777" w:rsidTr="00F62124">
        <w:tc>
          <w:tcPr>
            <w:tcW w:w="3116" w:type="dxa"/>
          </w:tcPr>
          <w:p w14:paraId="47A3EE8F" w14:textId="4FB7C4D8" w:rsidR="00F62124" w:rsidRPr="00F62124" w:rsidRDefault="00F62124" w:rsidP="00F62124">
            <w:pPr>
              <w:tabs>
                <w:tab w:val="left" w:pos="6525"/>
              </w:tabs>
            </w:pPr>
            <w:r w:rsidRPr="00F62124">
              <w:rPr>
                <w:szCs w:val="20"/>
              </w:rPr>
              <w:t xml:space="preserve">Типранавир 500 </w:t>
            </w:r>
            <w:r w:rsidRPr="00F62124">
              <w:rPr>
                <w:szCs w:val="20"/>
                <w:lang w:val="en-US"/>
              </w:rPr>
              <w:t>mg</w:t>
            </w:r>
            <w:r w:rsidRPr="00F62124">
              <w:rPr>
                <w:szCs w:val="20"/>
              </w:rPr>
              <w:t xml:space="preserve">/ритонавир 200 </w:t>
            </w:r>
            <w:r w:rsidRPr="00F62124">
              <w:rPr>
                <w:szCs w:val="20"/>
                <w:lang w:val="en-US"/>
              </w:rPr>
              <w:t xml:space="preserve">mg </w:t>
            </w:r>
            <w:r w:rsidRPr="00F62124">
              <w:rPr>
                <w:szCs w:val="20"/>
              </w:rPr>
              <w:t>два пъти на ден, 11 дни</w:t>
            </w:r>
          </w:p>
        </w:tc>
        <w:tc>
          <w:tcPr>
            <w:tcW w:w="3117" w:type="dxa"/>
          </w:tcPr>
          <w:p w14:paraId="7703C62D" w14:textId="580784CF"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еднократна доза</w:t>
            </w:r>
          </w:p>
        </w:tc>
        <w:tc>
          <w:tcPr>
            <w:tcW w:w="3117" w:type="dxa"/>
          </w:tcPr>
          <w:p w14:paraId="66D6B191" w14:textId="337EDA15" w:rsidR="00F62124" w:rsidRPr="00F62124" w:rsidRDefault="00F62124" w:rsidP="00F62124">
            <w:pPr>
              <w:tabs>
                <w:tab w:val="left" w:pos="6525"/>
              </w:tabs>
            </w:pPr>
            <w:r w:rsidRPr="00F62124">
              <w:rPr>
                <w:szCs w:val="20"/>
              </w:rPr>
              <w:t>1,4 пъти ↑</w:t>
            </w:r>
          </w:p>
        </w:tc>
      </w:tr>
      <w:tr w:rsidR="00F62124" w14:paraId="4DAF50E1" w14:textId="77777777" w:rsidTr="00F62124">
        <w:tc>
          <w:tcPr>
            <w:tcW w:w="3116" w:type="dxa"/>
          </w:tcPr>
          <w:p w14:paraId="6C6C96FF" w14:textId="24812C26" w:rsidR="00F62124" w:rsidRPr="00F62124" w:rsidRDefault="00F62124" w:rsidP="00F62124">
            <w:pPr>
              <w:tabs>
                <w:tab w:val="left" w:pos="6525"/>
              </w:tabs>
            </w:pPr>
            <w:r w:rsidRPr="00F62124">
              <w:rPr>
                <w:szCs w:val="20"/>
              </w:rPr>
              <w:t xml:space="preserve">Дронедарон 400 </w:t>
            </w:r>
            <w:r w:rsidRPr="00F62124">
              <w:rPr>
                <w:szCs w:val="20"/>
                <w:lang w:val="en-US"/>
              </w:rPr>
              <w:t xml:space="preserve">mg </w:t>
            </w:r>
            <w:r w:rsidRPr="00F62124">
              <w:rPr>
                <w:szCs w:val="20"/>
              </w:rPr>
              <w:t>два пъти на ден</w:t>
            </w:r>
          </w:p>
        </w:tc>
        <w:tc>
          <w:tcPr>
            <w:tcW w:w="3117" w:type="dxa"/>
          </w:tcPr>
          <w:p w14:paraId="1CE993B9" w14:textId="0A878374" w:rsidR="00F62124" w:rsidRPr="00F62124" w:rsidRDefault="00F62124" w:rsidP="00F62124">
            <w:pPr>
              <w:tabs>
                <w:tab w:val="left" w:pos="6525"/>
              </w:tabs>
            </w:pPr>
            <w:r w:rsidRPr="00F62124">
              <w:rPr>
                <w:szCs w:val="20"/>
              </w:rPr>
              <w:t>Не е наличен</w:t>
            </w:r>
          </w:p>
        </w:tc>
        <w:tc>
          <w:tcPr>
            <w:tcW w:w="3117" w:type="dxa"/>
          </w:tcPr>
          <w:p w14:paraId="47D4E704" w14:textId="0BCA9DDC" w:rsidR="00F62124" w:rsidRPr="00F62124" w:rsidRDefault="00F62124" w:rsidP="00F62124">
            <w:pPr>
              <w:tabs>
                <w:tab w:val="left" w:pos="6525"/>
              </w:tabs>
            </w:pPr>
            <w:r w:rsidRPr="00F62124">
              <w:rPr>
                <w:szCs w:val="20"/>
              </w:rPr>
              <w:t>1,4 пъти ↑</w:t>
            </w:r>
          </w:p>
        </w:tc>
      </w:tr>
      <w:tr w:rsidR="00F62124" w14:paraId="6FD9DFE1" w14:textId="77777777" w:rsidTr="00F62124">
        <w:tc>
          <w:tcPr>
            <w:tcW w:w="3116" w:type="dxa"/>
          </w:tcPr>
          <w:p w14:paraId="59BEAC11" w14:textId="7716B48B" w:rsidR="00F62124" w:rsidRPr="00F62124" w:rsidRDefault="00F62124" w:rsidP="00F62124">
            <w:pPr>
              <w:tabs>
                <w:tab w:val="left" w:pos="6525"/>
              </w:tabs>
            </w:pPr>
            <w:r w:rsidRPr="00F62124">
              <w:rPr>
                <w:szCs w:val="20"/>
              </w:rPr>
              <w:t xml:space="preserve">Итраконазол 200 </w:t>
            </w:r>
            <w:r w:rsidRPr="00F62124">
              <w:rPr>
                <w:szCs w:val="20"/>
                <w:lang w:val="en-US"/>
              </w:rPr>
              <w:t xml:space="preserve">mg </w:t>
            </w:r>
            <w:r w:rsidRPr="00F62124">
              <w:rPr>
                <w:szCs w:val="20"/>
              </w:rPr>
              <w:t>веднъж дневно, 5 дни</w:t>
            </w:r>
          </w:p>
        </w:tc>
        <w:tc>
          <w:tcPr>
            <w:tcW w:w="3117" w:type="dxa"/>
          </w:tcPr>
          <w:p w14:paraId="02DBEA56" w14:textId="3D193E78"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еднократна доза</w:t>
            </w:r>
          </w:p>
        </w:tc>
        <w:tc>
          <w:tcPr>
            <w:tcW w:w="3117" w:type="dxa"/>
          </w:tcPr>
          <w:p w14:paraId="49B996C5" w14:textId="0C7E52BF" w:rsidR="00F62124" w:rsidRPr="00F62124" w:rsidRDefault="00F62124" w:rsidP="00F62124">
            <w:pPr>
              <w:tabs>
                <w:tab w:val="left" w:pos="6525"/>
              </w:tabs>
            </w:pPr>
            <w:r w:rsidRPr="00F62124">
              <w:rPr>
                <w:szCs w:val="20"/>
              </w:rPr>
              <w:t>1,4 пъти ↑</w:t>
            </w:r>
            <w:r w:rsidRPr="00F62124">
              <w:rPr>
                <w:szCs w:val="20"/>
                <w:lang w:val="en-US"/>
              </w:rPr>
              <w:t>**</w:t>
            </w:r>
          </w:p>
        </w:tc>
      </w:tr>
      <w:tr w:rsidR="00F62124" w14:paraId="6613ADF6" w14:textId="77777777" w:rsidTr="00F62124">
        <w:tc>
          <w:tcPr>
            <w:tcW w:w="3116" w:type="dxa"/>
          </w:tcPr>
          <w:p w14:paraId="146EA331" w14:textId="653911FF" w:rsidR="00F62124" w:rsidRPr="00F62124" w:rsidRDefault="00F62124" w:rsidP="00F62124">
            <w:pPr>
              <w:tabs>
                <w:tab w:val="left" w:pos="6525"/>
              </w:tabs>
            </w:pPr>
            <w:r w:rsidRPr="00F62124">
              <w:rPr>
                <w:szCs w:val="20"/>
              </w:rPr>
              <w:t xml:space="preserve">Езетимиб 10 </w:t>
            </w:r>
            <w:r w:rsidRPr="00F62124">
              <w:rPr>
                <w:szCs w:val="20"/>
                <w:lang w:val="en-US"/>
              </w:rPr>
              <w:t xml:space="preserve">mg </w:t>
            </w:r>
            <w:r w:rsidRPr="00F62124">
              <w:rPr>
                <w:szCs w:val="20"/>
              </w:rPr>
              <w:t>веднъж дневно, 14 дни</w:t>
            </w:r>
          </w:p>
        </w:tc>
        <w:tc>
          <w:tcPr>
            <w:tcW w:w="3117" w:type="dxa"/>
          </w:tcPr>
          <w:p w14:paraId="73774A5E" w14:textId="59744EB5"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веднъж дневно, 14 дни</w:t>
            </w:r>
          </w:p>
        </w:tc>
        <w:tc>
          <w:tcPr>
            <w:tcW w:w="3117" w:type="dxa"/>
          </w:tcPr>
          <w:p w14:paraId="426CE17F" w14:textId="5DFC653F" w:rsidR="00F62124" w:rsidRPr="00F62124" w:rsidRDefault="00F62124" w:rsidP="00F62124">
            <w:pPr>
              <w:tabs>
                <w:tab w:val="left" w:pos="6525"/>
              </w:tabs>
            </w:pPr>
            <w:r w:rsidRPr="00F62124">
              <w:rPr>
                <w:szCs w:val="20"/>
              </w:rPr>
              <w:t>1,2 пъти ↑**</w:t>
            </w:r>
          </w:p>
        </w:tc>
      </w:tr>
      <w:tr w:rsidR="00F62124" w14:paraId="5537F099" w14:textId="77777777" w:rsidTr="00F62124">
        <w:tc>
          <w:tcPr>
            <w:tcW w:w="3116" w:type="dxa"/>
          </w:tcPr>
          <w:p w14:paraId="1C0594A1" w14:textId="36C50684" w:rsidR="00F62124" w:rsidRPr="00F62124" w:rsidRDefault="00F62124" w:rsidP="00F62124">
            <w:pPr>
              <w:tabs>
                <w:tab w:val="left" w:pos="6525"/>
              </w:tabs>
            </w:pPr>
            <w:r w:rsidRPr="00F62124">
              <w:rPr>
                <w:szCs w:val="20"/>
              </w:rPr>
              <w:t xml:space="preserve">Фосампренавир 700 </w:t>
            </w:r>
            <w:r w:rsidRPr="00F62124">
              <w:rPr>
                <w:szCs w:val="20"/>
                <w:lang w:val="en-US"/>
              </w:rPr>
              <w:t>mg</w:t>
            </w:r>
            <w:r w:rsidRPr="00F62124">
              <w:rPr>
                <w:szCs w:val="20"/>
              </w:rPr>
              <w:t xml:space="preserve">/ритонавир 100 </w:t>
            </w:r>
            <w:r w:rsidRPr="00F62124">
              <w:rPr>
                <w:szCs w:val="20"/>
                <w:lang w:val="en-US"/>
              </w:rPr>
              <w:t xml:space="preserve">mg </w:t>
            </w:r>
            <w:r w:rsidRPr="00F62124">
              <w:rPr>
                <w:szCs w:val="20"/>
              </w:rPr>
              <w:t>два пъти на ден, 8 дни</w:t>
            </w:r>
          </w:p>
        </w:tc>
        <w:tc>
          <w:tcPr>
            <w:tcW w:w="3117" w:type="dxa"/>
          </w:tcPr>
          <w:p w14:paraId="1D23AB4C" w14:textId="3F97CD9F"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еднократна доза</w:t>
            </w:r>
          </w:p>
        </w:tc>
        <w:tc>
          <w:tcPr>
            <w:tcW w:w="3117" w:type="dxa"/>
          </w:tcPr>
          <w:p w14:paraId="7C6F4F08" w14:textId="3DB8142B" w:rsidR="00F62124" w:rsidRPr="00F62124" w:rsidRDefault="00F62124" w:rsidP="00F62124">
            <w:pPr>
              <w:tabs>
                <w:tab w:val="left" w:pos="6525"/>
              </w:tabs>
            </w:pPr>
            <w:r w:rsidRPr="00F62124">
              <w:rPr>
                <w:szCs w:val="20"/>
              </w:rPr>
              <w:t>↔</w:t>
            </w:r>
          </w:p>
        </w:tc>
      </w:tr>
      <w:tr w:rsidR="00F62124" w14:paraId="454E876B" w14:textId="77777777" w:rsidTr="00F62124">
        <w:tc>
          <w:tcPr>
            <w:tcW w:w="3116" w:type="dxa"/>
          </w:tcPr>
          <w:p w14:paraId="5E15FFD0" w14:textId="59EA936E" w:rsidR="00F62124" w:rsidRPr="00F62124" w:rsidRDefault="00F62124" w:rsidP="00F62124">
            <w:pPr>
              <w:tabs>
                <w:tab w:val="left" w:pos="6525"/>
              </w:tabs>
            </w:pPr>
            <w:r w:rsidRPr="00F62124">
              <w:rPr>
                <w:szCs w:val="20"/>
              </w:rPr>
              <w:t xml:space="preserve">Алеглитазар 0,3 </w:t>
            </w:r>
            <w:r w:rsidRPr="00F62124">
              <w:rPr>
                <w:szCs w:val="20"/>
                <w:lang w:val="en-US"/>
              </w:rPr>
              <w:t xml:space="preserve">mg, </w:t>
            </w:r>
            <w:r w:rsidRPr="00F62124">
              <w:rPr>
                <w:szCs w:val="20"/>
              </w:rPr>
              <w:t>7 дни</w:t>
            </w:r>
          </w:p>
        </w:tc>
        <w:tc>
          <w:tcPr>
            <w:tcW w:w="3117" w:type="dxa"/>
          </w:tcPr>
          <w:p w14:paraId="0D03AD6D" w14:textId="1726CCB0" w:rsidR="00F62124" w:rsidRPr="00F62124" w:rsidRDefault="00F62124" w:rsidP="00F62124">
            <w:pPr>
              <w:tabs>
                <w:tab w:val="left" w:pos="6525"/>
              </w:tabs>
            </w:pPr>
            <w:r w:rsidRPr="00F62124">
              <w:rPr>
                <w:szCs w:val="20"/>
              </w:rPr>
              <w:t xml:space="preserve">40 </w:t>
            </w:r>
            <w:r w:rsidRPr="00F62124">
              <w:rPr>
                <w:szCs w:val="20"/>
                <w:lang w:val="en-US"/>
              </w:rPr>
              <w:t xml:space="preserve">mg, </w:t>
            </w:r>
            <w:r w:rsidRPr="00F62124">
              <w:rPr>
                <w:szCs w:val="20"/>
              </w:rPr>
              <w:t>7 дни</w:t>
            </w:r>
          </w:p>
        </w:tc>
        <w:tc>
          <w:tcPr>
            <w:tcW w:w="3117" w:type="dxa"/>
          </w:tcPr>
          <w:p w14:paraId="6120E06C" w14:textId="46873ABA" w:rsidR="00F62124" w:rsidRPr="00F62124" w:rsidRDefault="00F62124" w:rsidP="00F62124">
            <w:pPr>
              <w:tabs>
                <w:tab w:val="left" w:pos="6525"/>
              </w:tabs>
            </w:pPr>
            <w:r w:rsidRPr="00F62124">
              <w:rPr>
                <w:szCs w:val="20"/>
              </w:rPr>
              <w:t>↔</w:t>
            </w:r>
          </w:p>
        </w:tc>
      </w:tr>
      <w:tr w:rsidR="00F62124" w14:paraId="31F93465" w14:textId="77777777" w:rsidTr="00F62124">
        <w:tc>
          <w:tcPr>
            <w:tcW w:w="3116" w:type="dxa"/>
          </w:tcPr>
          <w:p w14:paraId="70ADFB32" w14:textId="72BDA7ED" w:rsidR="00F62124" w:rsidRPr="00F62124" w:rsidRDefault="00F62124" w:rsidP="00F62124">
            <w:pPr>
              <w:tabs>
                <w:tab w:val="left" w:pos="6525"/>
              </w:tabs>
            </w:pPr>
            <w:r w:rsidRPr="00F62124">
              <w:rPr>
                <w:szCs w:val="20"/>
              </w:rPr>
              <w:t xml:space="preserve">Силимарин 140 </w:t>
            </w:r>
            <w:r w:rsidRPr="00F62124">
              <w:rPr>
                <w:szCs w:val="20"/>
                <w:lang w:val="en-US"/>
              </w:rPr>
              <w:t xml:space="preserve">mg </w:t>
            </w:r>
            <w:r w:rsidRPr="00F62124">
              <w:rPr>
                <w:szCs w:val="20"/>
              </w:rPr>
              <w:t>три пъти на ден, 5 дни</w:t>
            </w:r>
          </w:p>
        </w:tc>
        <w:tc>
          <w:tcPr>
            <w:tcW w:w="3117" w:type="dxa"/>
          </w:tcPr>
          <w:p w14:paraId="5D8A9982" w14:textId="70E034FE"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еднократна доза</w:t>
            </w:r>
          </w:p>
        </w:tc>
        <w:tc>
          <w:tcPr>
            <w:tcW w:w="3117" w:type="dxa"/>
          </w:tcPr>
          <w:p w14:paraId="2930033E" w14:textId="645DE4E4" w:rsidR="00F62124" w:rsidRPr="00F62124" w:rsidRDefault="00F62124" w:rsidP="00F62124">
            <w:pPr>
              <w:tabs>
                <w:tab w:val="left" w:pos="6525"/>
              </w:tabs>
            </w:pPr>
            <w:r w:rsidRPr="00F62124">
              <w:rPr>
                <w:szCs w:val="20"/>
              </w:rPr>
              <w:t>↔</w:t>
            </w:r>
          </w:p>
        </w:tc>
      </w:tr>
      <w:tr w:rsidR="00F62124" w14:paraId="1D61F34F" w14:textId="77777777" w:rsidTr="00F62124">
        <w:tc>
          <w:tcPr>
            <w:tcW w:w="3116" w:type="dxa"/>
          </w:tcPr>
          <w:p w14:paraId="405BDC7C" w14:textId="0122D8F9" w:rsidR="00F62124" w:rsidRPr="00F62124" w:rsidRDefault="00F62124" w:rsidP="00F62124">
            <w:pPr>
              <w:tabs>
                <w:tab w:val="left" w:pos="6525"/>
              </w:tabs>
            </w:pPr>
            <w:r w:rsidRPr="00F62124">
              <w:rPr>
                <w:szCs w:val="20"/>
              </w:rPr>
              <w:t xml:space="preserve">Фенофибрат 67 </w:t>
            </w:r>
            <w:r w:rsidRPr="00F62124">
              <w:rPr>
                <w:szCs w:val="20"/>
                <w:lang w:val="en-US"/>
              </w:rPr>
              <w:t xml:space="preserve">mg </w:t>
            </w:r>
            <w:r w:rsidRPr="00F62124">
              <w:rPr>
                <w:szCs w:val="20"/>
              </w:rPr>
              <w:t>три пъти на ден, 7 дни</w:t>
            </w:r>
          </w:p>
        </w:tc>
        <w:tc>
          <w:tcPr>
            <w:tcW w:w="3117" w:type="dxa"/>
          </w:tcPr>
          <w:p w14:paraId="1F265A10" w14:textId="30EA6947" w:rsidR="00F62124" w:rsidRPr="00F62124" w:rsidRDefault="00F62124" w:rsidP="00F62124">
            <w:pPr>
              <w:tabs>
                <w:tab w:val="left" w:pos="6525"/>
              </w:tabs>
            </w:pPr>
            <w:r w:rsidRPr="00F62124">
              <w:rPr>
                <w:szCs w:val="20"/>
              </w:rPr>
              <w:t xml:space="preserve">10 </w:t>
            </w:r>
            <w:r w:rsidRPr="00F62124">
              <w:rPr>
                <w:szCs w:val="20"/>
                <w:lang w:val="en-US"/>
              </w:rPr>
              <w:t xml:space="preserve">mg, </w:t>
            </w:r>
            <w:r w:rsidRPr="00F62124">
              <w:rPr>
                <w:szCs w:val="20"/>
              </w:rPr>
              <w:t>7 дни -</w:t>
            </w:r>
          </w:p>
        </w:tc>
        <w:tc>
          <w:tcPr>
            <w:tcW w:w="3117" w:type="dxa"/>
          </w:tcPr>
          <w:p w14:paraId="1D59E990" w14:textId="2BD591B3" w:rsidR="00F62124" w:rsidRPr="00F62124" w:rsidRDefault="00F62124" w:rsidP="00F62124">
            <w:pPr>
              <w:tabs>
                <w:tab w:val="left" w:pos="6525"/>
              </w:tabs>
            </w:pPr>
            <w:r w:rsidRPr="00F62124">
              <w:rPr>
                <w:szCs w:val="20"/>
              </w:rPr>
              <w:t>↔</w:t>
            </w:r>
          </w:p>
        </w:tc>
      </w:tr>
      <w:tr w:rsidR="00F62124" w14:paraId="327516B7" w14:textId="77777777" w:rsidTr="00F62124">
        <w:tc>
          <w:tcPr>
            <w:tcW w:w="3116" w:type="dxa"/>
          </w:tcPr>
          <w:p w14:paraId="51BFE7CD" w14:textId="3B435B41" w:rsidR="00F62124" w:rsidRPr="00F62124" w:rsidRDefault="00F62124" w:rsidP="00F62124">
            <w:pPr>
              <w:tabs>
                <w:tab w:val="left" w:pos="6525"/>
              </w:tabs>
            </w:pPr>
            <w:r w:rsidRPr="00F62124">
              <w:rPr>
                <w:szCs w:val="20"/>
              </w:rPr>
              <w:t xml:space="preserve">Рифампин 450 </w:t>
            </w:r>
            <w:r w:rsidRPr="00F62124">
              <w:rPr>
                <w:szCs w:val="20"/>
                <w:lang w:val="en-US"/>
              </w:rPr>
              <w:t xml:space="preserve">mg </w:t>
            </w:r>
            <w:r w:rsidRPr="00F62124">
              <w:rPr>
                <w:szCs w:val="20"/>
              </w:rPr>
              <w:t>веднъж дневно, 7 дни</w:t>
            </w:r>
          </w:p>
        </w:tc>
        <w:tc>
          <w:tcPr>
            <w:tcW w:w="3117" w:type="dxa"/>
          </w:tcPr>
          <w:p w14:paraId="4A2C95F6" w14:textId="221098EE" w:rsidR="00F62124" w:rsidRPr="00F62124" w:rsidRDefault="00F62124" w:rsidP="00F62124">
            <w:pPr>
              <w:tabs>
                <w:tab w:val="left" w:pos="6525"/>
              </w:tabs>
            </w:pPr>
            <w:r w:rsidRPr="00F62124">
              <w:rPr>
                <w:szCs w:val="20"/>
              </w:rPr>
              <w:t xml:space="preserve">20 </w:t>
            </w:r>
            <w:r w:rsidRPr="00F62124">
              <w:rPr>
                <w:szCs w:val="20"/>
                <w:lang w:val="en-US"/>
              </w:rPr>
              <w:t xml:space="preserve">mg, </w:t>
            </w:r>
            <w:r w:rsidRPr="00F62124">
              <w:rPr>
                <w:szCs w:val="20"/>
              </w:rPr>
              <w:t>еднократна доза</w:t>
            </w:r>
          </w:p>
        </w:tc>
        <w:tc>
          <w:tcPr>
            <w:tcW w:w="3117" w:type="dxa"/>
          </w:tcPr>
          <w:p w14:paraId="2B81ED30" w14:textId="71C7A931" w:rsidR="00F62124" w:rsidRPr="00F62124" w:rsidRDefault="00F62124" w:rsidP="00F62124">
            <w:pPr>
              <w:tabs>
                <w:tab w:val="left" w:pos="6525"/>
              </w:tabs>
            </w:pPr>
            <w:r w:rsidRPr="00F62124">
              <w:rPr>
                <w:szCs w:val="20"/>
              </w:rPr>
              <w:t>↔</w:t>
            </w:r>
          </w:p>
        </w:tc>
      </w:tr>
      <w:tr w:rsidR="00F62124" w14:paraId="183737F4" w14:textId="77777777" w:rsidTr="00F62124">
        <w:tc>
          <w:tcPr>
            <w:tcW w:w="3116" w:type="dxa"/>
          </w:tcPr>
          <w:p w14:paraId="50F540DF" w14:textId="13B2A8A0" w:rsidR="00F62124" w:rsidRPr="00F62124" w:rsidRDefault="00F62124" w:rsidP="00F62124">
            <w:pPr>
              <w:tabs>
                <w:tab w:val="left" w:pos="6525"/>
              </w:tabs>
            </w:pPr>
            <w:r w:rsidRPr="00F62124">
              <w:rPr>
                <w:szCs w:val="20"/>
              </w:rPr>
              <w:t xml:space="preserve">Кетоконазол 200 </w:t>
            </w:r>
            <w:r w:rsidRPr="00F62124">
              <w:rPr>
                <w:szCs w:val="20"/>
                <w:lang w:val="en-US"/>
              </w:rPr>
              <w:t xml:space="preserve">mg </w:t>
            </w:r>
            <w:r w:rsidRPr="00F62124">
              <w:rPr>
                <w:szCs w:val="20"/>
              </w:rPr>
              <w:t>два пъти на ден, 7 дни</w:t>
            </w:r>
          </w:p>
        </w:tc>
        <w:tc>
          <w:tcPr>
            <w:tcW w:w="3117" w:type="dxa"/>
          </w:tcPr>
          <w:p w14:paraId="6BC69568" w14:textId="47FBC449" w:rsidR="00F62124" w:rsidRPr="00F62124" w:rsidRDefault="00F62124" w:rsidP="00F62124">
            <w:pPr>
              <w:tabs>
                <w:tab w:val="left" w:pos="6525"/>
              </w:tabs>
            </w:pPr>
            <w:r w:rsidRPr="00F62124">
              <w:rPr>
                <w:szCs w:val="20"/>
              </w:rPr>
              <w:t xml:space="preserve">80 </w:t>
            </w:r>
            <w:r w:rsidRPr="00F62124">
              <w:rPr>
                <w:szCs w:val="20"/>
                <w:lang w:val="en-US"/>
              </w:rPr>
              <w:t xml:space="preserve">mg, </w:t>
            </w:r>
            <w:r w:rsidRPr="00F62124">
              <w:rPr>
                <w:szCs w:val="20"/>
              </w:rPr>
              <w:t>еднократна доза</w:t>
            </w:r>
          </w:p>
        </w:tc>
        <w:tc>
          <w:tcPr>
            <w:tcW w:w="3117" w:type="dxa"/>
          </w:tcPr>
          <w:p w14:paraId="3C5EB449" w14:textId="20A60D46" w:rsidR="00F62124" w:rsidRPr="00F62124" w:rsidRDefault="00F62124" w:rsidP="00F62124">
            <w:pPr>
              <w:tabs>
                <w:tab w:val="left" w:pos="6525"/>
              </w:tabs>
            </w:pPr>
            <w:r w:rsidRPr="00F62124">
              <w:rPr>
                <w:szCs w:val="20"/>
              </w:rPr>
              <w:t>↔</w:t>
            </w:r>
          </w:p>
        </w:tc>
      </w:tr>
      <w:tr w:rsidR="00F62124" w14:paraId="02F3DB0B" w14:textId="77777777" w:rsidTr="00F62124">
        <w:tc>
          <w:tcPr>
            <w:tcW w:w="3116" w:type="dxa"/>
          </w:tcPr>
          <w:p w14:paraId="196A408B" w14:textId="1D57E75C" w:rsidR="00F62124" w:rsidRPr="00F62124" w:rsidRDefault="00F62124" w:rsidP="00F62124">
            <w:pPr>
              <w:tabs>
                <w:tab w:val="left" w:pos="6525"/>
              </w:tabs>
            </w:pPr>
            <w:r w:rsidRPr="00F62124">
              <w:rPr>
                <w:szCs w:val="20"/>
              </w:rPr>
              <w:t xml:space="preserve">Флуконазол 200 </w:t>
            </w:r>
            <w:r w:rsidRPr="00F62124">
              <w:rPr>
                <w:szCs w:val="20"/>
                <w:lang w:val="en-US"/>
              </w:rPr>
              <w:t xml:space="preserve">mg </w:t>
            </w:r>
            <w:r w:rsidRPr="00F62124">
              <w:rPr>
                <w:szCs w:val="20"/>
              </w:rPr>
              <w:t>веднъж дневно, 11 дни</w:t>
            </w:r>
          </w:p>
        </w:tc>
        <w:tc>
          <w:tcPr>
            <w:tcW w:w="3117" w:type="dxa"/>
          </w:tcPr>
          <w:p w14:paraId="1C3AD11E" w14:textId="50537F59" w:rsidR="00F62124" w:rsidRPr="00F62124" w:rsidRDefault="00F62124" w:rsidP="00F62124">
            <w:pPr>
              <w:tabs>
                <w:tab w:val="left" w:pos="6525"/>
              </w:tabs>
            </w:pPr>
            <w:r w:rsidRPr="00F62124">
              <w:rPr>
                <w:szCs w:val="20"/>
              </w:rPr>
              <w:t xml:space="preserve">80 </w:t>
            </w:r>
            <w:r w:rsidRPr="00F62124">
              <w:rPr>
                <w:szCs w:val="20"/>
                <w:lang w:val="en-US"/>
              </w:rPr>
              <w:t xml:space="preserve">mg, </w:t>
            </w:r>
            <w:r w:rsidRPr="00F62124">
              <w:rPr>
                <w:szCs w:val="20"/>
              </w:rPr>
              <w:t>еднократна доза</w:t>
            </w:r>
          </w:p>
        </w:tc>
        <w:tc>
          <w:tcPr>
            <w:tcW w:w="3117" w:type="dxa"/>
          </w:tcPr>
          <w:p w14:paraId="17751D5B" w14:textId="2E496BC0" w:rsidR="00F62124" w:rsidRPr="00F62124" w:rsidRDefault="00F62124" w:rsidP="00F62124">
            <w:pPr>
              <w:tabs>
                <w:tab w:val="left" w:pos="6525"/>
              </w:tabs>
            </w:pPr>
            <w:r w:rsidRPr="00F62124">
              <w:rPr>
                <w:szCs w:val="20"/>
              </w:rPr>
              <w:t>↔</w:t>
            </w:r>
          </w:p>
        </w:tc>
      </w:tr>
      <w:tr w:rsidR="00F62124" w14:paraId="2BBDEAB4" w14:textId="77777777" w:rsidTr="00F62124">
        <w:tc>
          <w:tcPr>
            <w:tcW w:w="3116" w:type="dxa"/>
          </w:tcPr>
          <w:p w14:paraId="6026E433" w14:textId="51B7663D" w:rsidR="00F62124" w:rsidRPr="00F62124" w:rsidRDefault="00F62124" w:rsidP="00F62124">
            <w:pPr>
              <w:tabs>
                <w:tab w:val="left" w:pos="6525"/>
              </w:tabs>
            </w:pPr>
            <w:r w:rsidRPr="00F62124">
              <w:rPr>
                <w:szCs w:val="20"/>
              </w:rPr>
              <w:t xml:space="preserve">Еритромицин 500 </w:t>
            </w:r>
            <w:r w:rsidRPr="00F62124">
              <w:rPr>
                <w:szCs w:val="20"/>
                <w:lang w:val="en-US"/>
              </w:rPr>
              <w:t xml:space="preserve">mg </w:t>
            </w:r>
            <w:r w:rsidRPr="00F62124">
              <w:rPr>
                <w:szCs w:val="20"/>
              </w:rPr>
              <w:t>четири пъти на ден, 7 дни</w:t>
            </w:r>
          </w:p>
        </w:tc>
        <w:tc>
          <w:tcPr>
            <w:tcW w:w="3117" w:type="dxa"/>
          </w:tcPr>
          <w:p w14:paraId="4F0D6301" w14:textId="03DA0290" w:rsidR="00F62124" w:rsidRPr="00F62124" w:rsidRDefault="00F62124" w:rsidP="00F62124">
            <w:pPr>
              <w:tabs>
                <w:tab w:val="left" w:pos="6525"/>
              </w:tabs>
            </w:pPr>
            <w:r w:rsidRPr="00F62124">
              <w:rPr>
                <w:szCs w:val="20"/>
              </w:rPr>
              <w:t xml:space="preserve">80 </w:t>
            </w:r>
            <w:r w:rsidRPr="00F62124">
              <w:rPr>
                <w:szCs w:val="20"/>
                <w:lang w:val="en-US"/>
              </w:rPr>
              <w:t xml:space="preserve">mg, </w:t>
            </w:r>
            <w:r w:rsidRPr="00F62124">
              <w:rPr>
                <w:szCs w:val="20"/>
              </w:rPr>
              <w:t>еднократна доза</w:t>
            </w:r>
          </w:p>
        </w:tc>
        <w:tc>
          <w:tcPr>
            <w:tcW w:w="3117" w:type="dxa"/>
          </w:tcPr>
          <w:p w14:paraId="4F9BEC1D" w14:textId="5DA0FDF7" w:rsidR="00F62124" w:rsidRPr="00F62124" w:rsidRDefault="00F62124" w:rsidP="00F62124">
            <w:pPr>
              <w:tabs>
                <w:tab w:val="left" w:pos="6525"/>
              </w:tabs>
            </w:pPr>
            <w:r w:rsidRPr="00F62124">
              <w:rPr>
                <w:szCs w:val="20"/>
              </w:rPr>
              <w:t xml:space="preserve">20% </w:t>
            </w:r>
            <w:r w:rsidRPr="00F62124">
              <w:rPr>
                <w:szCs w:val="20"/>
                <w:lang w:val="en-US"/>
              </w:rPr>
              <w:t>↓</w:t>
            </w:r>
          </w:p>
        </w:tc>
      </w:tr>
      <w:tr w:rsidR="00F62124" w14:paraId="788351FD" w14:textId="77777777" w:rsidTr="00F62124">
        <w:tc>
          <w:tcPr>
            <w:tcW w:w="3116" w:type="dxa"/>
          </w:tcPr>
          <w:p w14:paraId="2FE1D0E3" w14:textId="043BDAA7" w:rsidR="00F62124" w:rsidRPr="00F62124" w:rsidRDefault="00F62124" w:rsidP="00F62124">
            <w:pPr>
              <w:tabs>
                <w:tab w:val="left" w:pos="6525"/>
              </w:tabs>
            </w:pPr>
            <w:r w:rsidRPr="00F62124">
              <w:rPr>
                <w:szCs w:val="20"/>
              </w:rPr>
              <w:t xml:space="preserve">Баикалин 50 </w:t>
            </w:r>
            <w:r w:rsidRPr="00F62124">
              <w:rPr>
                <w:szCs w:val="20"/>
                <w:lang w:val="en-US"/>
              </w:rPr>
              <w:t xml:space="preserve">mg </w:t>
            </w:r>
            <w:r w:rsidRPr="00F62124">
              <w:rPr>
                <w:szCs w:val="20"/>
              </w:rPr>
              <w:t>три пъти на ден, 14 дни</w:t>
            </w:r>
          </w:p>
        </w:tc>
        <w:tc>
          <w:tcPr>
            <w:tcW w:w="3117" w:type="dxa"/>
          </w:tcPr>
          <w:p w14:paraId="0517519C" w14:textId="073FFE0E" w:rsidR="00F62124" w:rsidRPr="00F62124" w:rsidRDefault="00F62124" w:rsidP="00F62124">
            <w:pPr>
              <w:tabs>
                <w:tab w:val="left" w:pos="6525"/>
              </w:tabs>
            </w:pPr>
            <w:r w:rsidRPr="00F62124">
              <w:rPr>
                <w:szCs w:val="20"/>
              </w:rPr>
              <w:t xml:space="preserve">20 </w:t>
            </w:r>
            <w:r w:rsidRPr="00F62124">
              <w:rPr>
                <w:szCs w:val="20"/>
                <w:lang w:val="en-US"/>
              </w:rPr>
              <w:t xml:space="preserve">mg, </w:t>
            </w:r>
            <w:r w:rsidRPr="00F62124">
              <w:rPr>
                <w:szCs w:val="20"/>
              </w:rPr>
              <w:t>еднократна доза</w:t>
            </w:r>
          </w:p>
        </w:tc>
        <w:tc>
          <w:tcPr>
            <w:tcW w:w="3117" w:type="dxa"/>
          </w:tcPr>
          <w:p w14:paraId="6AA2898A" w14:textId="3D021A34" w:rsidR="00F62124" w:rsidRPr="00F62124" w:rsidRDefault="00F62124" w:rsidP="00F62124">
            <w:pPr>
              <w:tabs>
                <w:tab w:val="left" w:pos="6525"/>
              </w:tabs>
            </w:pPr>
            <w:r w:rsidRPr="00F62124">
              <w:rPr>
                <w:szCs w:val="20"/>
              </w:rPr>
              <w:t xml:space="preserve">47% </w:t>
            </w:r>
            <w:r w:rsidRPr="00F62124">
              <w:rPr>
                <w:szCs w:val="20"/>
                <w:lang w:val="en-US"/>
              </w:rPr>
              <w:t>↓</w:t>
            </w:r>
          </w:p>
        </w:tc>
      </w:tr>
    </w:tbl>
    <w:p w14:paraId="06D66A44" w14:textId="77777777" w:rsidR="00F62124" w:rsidRPr="00F62124" w:rsidRDefault="00F62124" w:rsidP="00F62124">
      <w:pPr>
        <w:spacing w:line="240" w:lineRule="auto"/>
        <w:rPr>
          <w:rFonts w:eastAsia="Times New Roman" w:cs="Arial"/>
          <w:sz w:val="28"/>
          <w:szCs w:val="24"/>
          <w:lang w:eastAsia="bg-BG"/>
        </w:rPr>
      </w:pPr>
      <w:r w:rsidRPr="00F62124">
        <w:rPr>
          <w:rFonts w:eastAsia="Times New Roman" w:cs="Arial"/>
          <w:color w:val="000000"/>
          <w:szCs w:val="20"/>
          <w:lang w:eastAsia="bg-BG"/>
        </w:rPr>
        <w:t>* Предоставените данни, като х-пъти е просто съотношение между едновременното приложение с розувастатин и розувастатин, прилаган самостоятелно. Данните, предоставени като % промяна представляват разликата в % при самостоятелното прилагане на розувастатин.</w:t>
      </w:r>
    </w:p>
    <w:p w14:paraId="6AB75B3D" w14:textId="4DCB6D36" w:rsidR="00F62124" w:rsidRPr="00F62124" w:rsidRDefault="00F62124" w:rsidP="00F62124">
      <w:pPr>
        <w:spacing w:line="240" w:lineRule="auto"/>
        <w:rPr>
          <w:rFonts w:eastAsia="Times New Roman" w:cs="Arial"/>
          <w:sz w:val="28"/>
          <w:szCs w:val="24"/>
          <w:lang w:eastAsia="bg-BG"/>
        </w:rPr>
      </w:pPr>
      <w:r w:rsidRPr="00F62124">
        <w:rPr>
          <w:rFonts w:eastAsia="Times New Roman" w:cs="Arial"/>
          <w:color w:val="000000"/>
          <w:szCs w:val="20"/>
          <w:lang w:eastAsia="bg-BG"/>
        </w:rPr>
        <w:t>Растежът е обозначен с „</w:t>
      </w:r>
      <w:r w:rsidRPr="00F62124">
        <w:rPr>
          <w:rFonts w:eastAsia="Times New Roman" w:cs="Arial"/>
          <w:color w:val="000000"/>
          <w:szCs w:val="20"/>
          <w:lang w:val="en-US"/>
        </w:rPr>
        <w:t>↑</w:t>
      </w:r>
      <w:r w:rsidRPr="00F62124">
        <w:rPr>
          <w:rFonts w:eastAsia="Times New Roman" w:cs="Arial"/>
          <w:color w:val="000000"/>
          <w:szCs w:val="20"/>
          <w:lang w:eastAsia="bg-BG"/>
        </w:rPr>
        <w:t>“ без промяна с „</w:t>
      </w:r>
      <w:r w:rsidRPr="00F62124">
        <w:rPr>
          <w:rFonts w:eastAsia="Times New Roman" w:cs="Arial"/>
          <w:color w:val="000000"/>
          <w:szCs w:val="20"/>
          <w:lang w:val="en-US"/>
        </w:rPr>
        <w:t>↔</w:t>
      </w:r>
      <w:r w:rsidRPr="00F62124">
        <w:rPr>
          <w:rFonts w:eastAsia="Times New Roman" w:cs="Arial"/>
          <w:color w:val="000000"/>
          <w:szCs w:val="20"/>
          <w:lang w:eastAsia="bg-BG"/>
        </w:rPr>
        <w:t>“, намаляването с ,</w:t>
      </w:r>
      <w:r w:rsidRPr="00F62124">
        <w:rPr>
          <w:rFonts w:eastAsia="Times New Roman" w:cs="Arial"/>
          <w:color w:val="000000"/>
          <w:szCs w:val="20"/>
          <w:lang w:val="en-US"/>
        </w:rPr>
        <w:t>↓</w:t>
      </w:r>
      <w:r w:rsidRPr="00F62124">
        <w:rPr>
          <w:rFonts w:eastAsia="Times New Roman" w:cs="Arial"/>
          <w:color w:val="000000"/>
          <w:szCs w:val="20"/>
          <w:lang w:eastAsia="bg-BG"/>
        </w:rPr>
        <w:t>“.</w:t>
      </w:r>
    </w:p>
    <w:p w14:paraId="17341744" w14:textId="77777777" w:rsidR="00F62124" w:rsidRPr="00F62124" w:rsidRDefault="00F62124" w:rsidP="00F62124">
      <w:pPr>
        <w:spacing w:line="240" w:lineRule="auto"/>
        <w:rPr>
          <w:rFonts w:eastAsia="Times New Roman" w:cs="Arial"/>
          <w:sz w:val="28"/>
          <w:szCs w:val="24"/>
          <w:lang w:eastAsia="bg-BG"/>
        </w:rPr>
      </w:pPr>
      <w:r w:rsidRPr="00F62124">
        <w:rPr>
          <w:rFonts w:eastAsia="Times New Roman" w:cs="Arial"/>
          <w:color w:val="000000"/>
          <w:szCs w:val="20"/>
          <w:lang w:eastAsia="bg-BG"/>
        </w:rPr>
        <w:lastRenderedPageBreak/>
        <w:t>**Няколко проучвания за взаимодействие са проведени с различни дозировки розувастатин, таблицата представя най-значимото съотношение.</w:t>
      </w:r>
    </w:p>
    <w:p w14:paraId="7C9BC8DE" w14:textId="77777777" w:rsidR="00F62124" w:rsidRPr="00F62124" w:rsidRDefault="00F62124" w:rsidP="00F62124">
      <w:pPr>
        <w:spacing w:line="240" w:lineRule="auto"/>
        <w:rPr>
          <w:rFonts w:eastAsia="Times New Roman" w:cs="Arial"/>
          <w:color w:val="000000"/>
          <w:szCs w:val="20"/>
          <w:u w:val="single"/>
          <w:lang w:eastAsia="bg-BG"/>
        </w:rPr>
      </w:pPr>
    </w:p>
    <w:p w14:paraId="446D58F4" w14:textId="59932268" w:rsidR="00F62124" w:rsidRPr="00F62124" w:rsidRDefault="00F62124" w:rsidP="00F62124">
      <w:pPr>
        <w:spacing w:line="240" w:lineRule="auto"/>
        <w:rPr>
          <w:rFonts w:eastAsia="Times New Roman" w:cs="Arial"/>
          <w:sz w:val="28"/>
          <w:szCs w:val="24"/>
          <w:lang w:eastAsia="bg-BG"/>
        </w:rPr>
      </w:pPr>
      <w:r w:rsidRPr="00F62124">
        <w:rPr>
          <w:rFonts w:eastAsia="Times New Roman" w:cs="Arial"/>
          <w:color w:val="000000"/>
          <w:szCs w:val="20"/>
          <w:u w:val="single"/>
          <w:lang w:eastAsia="bg-BG"/>
        </w:rPr>
        <w:t>Ефект на розувастатин върху едновременно прилагани лекарствени продукти</w:t>
      </w:r>
    </w:p>
    <w:p w14:paraId="69E11ACE" w14:textId="77777777" w:rsidR="00F62124" w:rsidRPr="00F62124" w:rsidRDefault="00F62124" w:rsidP="00F62124">
      <w:pPr>
        <w:spacing w:line="240" w:lineRule="auto"/>
        <w:rPr>
          <w:rFonts w:eastAsia="Times New Roman" w:cs="Arial"/>
          <w:b/>
          <w:bCs/>
          <w:color w:val="000000"/>
          <w:szCs w:val="20"/>
          <w:lang w:eastAsia="bg-BG"/>
        </w:rPr>
      </w:pPr>
    </w:p>
    <w:p w14:paraId="31FA6CE5" w14:textId="7F75EBB9" w:rsidR="00F62124" w:rsidRPr="00F62124" w:rsidRDefault="00F62124" w:rsidP="00F62124">
      <w:pPr>
        <w:spacing w:line="240" w:lineRule="auto"/>
        <w:rPr>
          <w:rFonts w:eastAsia="Times New Roman" w:cs="Arial"/>
          <w:sz w:val="28"/>
          <w:szCs w:val="24"/>
          <w:lang w:eastAsia="bg-BG"/>
        </w:rPr>
      </w:pPr>
      <w:r w:rsidRPr="00F62124">
        <w:rPr>
          <w:rFonts w:eastAsia="Times New Roman" w:cs="Arial"/>
          <w:b/>
          <w:bCs/>
          <w:color w:val="000000"/>
          <w:szCs w:val="20"/>
          <w:lang w:eastAsia="bg-BG"/>
        </w:rPr>
        <w:t>Антагонисти на витамин К</w:t>
      </w:r>
    </w:p>
    <w:p w14:paraId="6F306860" w14:textId="77777777" w:rsidR="00F62124" w:rsidRPr="00F62124" w:rsidRDefault="00F62124" w:rsidP="00F62124">
      <w:pPr>
        <w:spacing w:line="240" w:lineRule="auto"/>
        <w:rPr>
          <w:rFonts w:eastAsia="Times New Roman" w:cs="Arial"/>
          <w:sz w:val="28"/>
          <w:szCs w:val="24"/>
          <w:lang w:eastAsia="bg-BG"/>
        </w:rPr>
      </w:pPr>
      <w:r w:rsidRPr="00F62124">
        <w:rPr>
          <w:rFonts w:eastAsia="Times New Roman" w:cs="Arial"/>
          <w:color w:val="000000"/>
          <w:szCs w:val="20"/>
          <w:lang w:eastAsia="bg-BG"/>
        </w:rPr>
        <w:t xml:space="preserve">Подобно на други инхибитори на </w:t>
      </w:r>
      <w:r w:rsidRPr="00F62124">
        <w:rPr>
          <w:rFonts w:eastAsia="Times New Roman" w:cs="Arial"/>
          <w:color w:val="000000"/>
          <w:szCs w:val="20"/>
          <w:lang w:val="en-US"/>
        </w:rPr>
        <w:t xml:space="preserve">HMG-CoA </w:t>
      </w:r>
      <w:r w:rsidRPr="00F62124">
        <w:rPr>
          <w:rFonts w:eastAsia="Times New Roman" w:cs="Arial"/>
          <w:color w:val="000000"/>
          <w:szCs w:val="20"/>
          <w:lang w:eastAsia="bg-BG"/>
        </w:rPr>
        <w:t xml:space="preserve">редуктазата, започването на лечение с розувастатин или титрирането на дозата му при пациенти, приемащи антагонисти на витамин К (като варфаин или други кумаринови антикоагуланти) може да доведе до повишение на международното нормализирано съотношение </w:t>
      </w:r>
      <w:r w:rsidRPr="00F62124">
        <w:rPr>
          <w:rFonts w:eastAsia="Times New Roman" w:cs="Arial"/>
          <w:color w:val="000000"/>
          <w:szCs w:val="20"/>
          <w:lang w:val="en-US"/>
        </w:rPr>
        <w:t xml:space="preserve">(International Normalized Ratio, INR). </w:t>
      </w:r>
      <w:r w:rsidRPr="00F62124">
        <w:rPr>
          <w:rFonts w:eastAsia="Times New Roman" w:cs="Arial"/>
          <w:color w:val="000000"/>
          <w:szCs w:val="20"/>
          <w:lang w:eastAsia="bg-BG"/>
        </w:rPr>
        <w:t xml:space="preserve">Прекъсването на лечението или намаляване на дозата на титриране с розувастатин може да доведе до намаление на </w:t>
      </w:r>
      <w:r w:rsidRPr="00F62124">
        <w:rPr>
          <w:rFonts w:eastAsia="Times New Roman" w:cs="Arial"/>
          <w:color w:val="000000"/>
          <w:szCs w:val="20"/>
          <w:lang w:val="en-US"/>
        </w:rPr>
        <w:t xml:space="preserve">INR. </w:t>
      </w:r>
      <w:r w:rsidRPr="00F62124">
        <w:rPr>
          <w:rFonts w:eastAsia="Times New Roman" w:cs="Arial"/>
          <w:color w:val="000000"/>
          <w:szCs w:val="20"/>
          <w:lang w:eastAsia="bg-BG"/>
        </w:rPr>
        <w:t xml:space="preserve">При подобни ситуации се препоръчва мониториране на </w:t>
      </w:r>
      <w:r w:rsidRPr="00F62124">
        <w:rPr>
          <w:rFonts w:eastAsia="Times New Roman" w:cs="Arial"/>
          <w:color w:val="000000"/>
          <w:szCs w:val="20"/>
          <w:lang w:val="en-US"/>
        </w:rPr>
        <w:t>INR</w:t>
      </w:r>
    </w:p>
    <w:p w14:paraId="32BD58B0" w14:textId="77777777" w:rsidR="00F62124" w:rsidRPr="00F62124" w:rsidRDefault="00F62124" w:rsidP="00F62124">
      <w:pPr>
        <w:spacing w:line="240" w:lineRule="auto"/>
        <w:rPr>
          <w:rFonts w:eastAsia="Times New Roman" w:cs="Arial"/>
          <w:b/>
          <w:bCs/>
          <w:color w:val="000000"/>
          <w:szCs w:val="20"/>
          <w:lang w:eastAsia="bg-BG"/>
        </w:rPr>
      </w:pPr>
    </w:p>
    <w:p w14:paraId="2F212D40" w14:textId="7BCE41C0" w:rsidR="00F62124" w:rsidRPr="00F62124" w:rsidRDefault="00F62124" w:rsidP="00F62124">
      <w:pPr>
        <w:spacing w:line="240" w:lineRule="auto"/>
        <w:rPr>
          <w:rFonts w:eastAsia="Times New Roman" w:cs="Arial"/>
          <w:sz w:val="28"/>
          <w:szCs w:val="24"/>
          <w:lang w:eastAsia="bg-BG"/>
        </w:rPr>
      </w:pPr>
      <w:r w:rsidRPr="00F62124">
        <w:rPr>
          <w:rFonts w:eastAsia="Times New Roman" w:cs="Arial"/>
          <w:b/>
          <w:bCs/>
          <w:color w:val="000000"/>
          <w:szCs w:val="20"/>
          <w:lang w:eastAsia="bg-BG"/>
        </w:rPr>
        <w:t>Перорални контрацептиви/хормонозаместваща терапия</w:t>
      </w:r>
    </w:p>
    <w:p w14:paraId="1BD34D31" w14:textId="77777777" w:rsidR="00B41917" w:rsidRPr="00B41917" w:rsidRDefault="00F62124" w:rsidP="00B41917">
      <w:pPr>
        <w:rPr>
          <w:rFonts w:eastAsia="Times New Roman" w:cs="Arial"/>
          <w:lang w:eastAsia="bg-BG"/>
        </w:rPr>
      </w:pPr>
      <w:r w:rsidRPr="00F62124">
        <w:rPr>
          <w:rFonts w:eastAsia="Times New Roman" w:cs="Arial"/>
          <w:color w:val="000000"/>
          <w:szCs w:val="20"/>
          <w:lang w:eastAsia="bg-BG"/>
        </w:rPr>
        <w:t xml:space="preserve">Едновременният прием на розувастатин и перорални контрацептиви е довел до повищаване на </w:t>
      </w:r>
      <w:r w:rsidRPr="00F62124">
        <w:rPr>
          <w:rFonts w:eastAsia="Times New Roman" w:cs="Arial"/>
          <w:color w:val="000000"/>
          <w:szCs w:val="20"/>
          <w:lang w:val="en-US"/>
        </w:rPr>
        <w:t xml:space="preserve">AUC </w:t>
      </w:r>
      <w:r w:rsidRPr="00F62124">
        <w:rPr>
          <w:rFonts w:eastAsia="Times New Roman" w:cs="Arial"/>
          <w:color w:val="000000"/>
          <w:szCs w:val="20"/>
          <w:lang w:eastAsia="bg-BG"/>
        </w:rPr>
        <w:t xml:space="preserve">на етинил естрадиол и норгестрел, съответно с 26% и 34%, Тези повишени плазмени концентрации трябва да се вземат под внимание, когато се определя </w:t>
      </w:r>
      <w:r w:rsidRPr="00B41917">
        <w:rPr>
          <w:rFonts w:eastAsia="Times New Roman" w:cs="Arial"/>
          <w:color w:val="000000"/>
          <w:lang w:eastAsia="bg-BG"/>
        </w:rPr>
        <w:t xml:space="preserve">дозировката на пероралните контрацептиви. Няма фармакокинетични данни за пациенти, които приемат едновременно розувастатин и хормонозаместваща терапия. Ето защо, взаимодействието </w:t>
      </w:r>
      <w:r w:rsidR="00B41917" w:rsidRPr="00B41917">
        <w:rPr>
          <w:rFonts w:eastAsia="Times New Roman" w:cs="Arial"/>
          <w:color w:val="000000"/>
          <w:lang w:eastAsia="bg-BG"/>
        </w:rPr>
        <w:t>описано по-горе, не трябва да бъде изключено като вероятно. Въпреки това тази комбинация е широко прилагана при жени в клинични изпитвания и е била толерирана добре.</w:t>
      </w:r>
    </w:p>
    <w:p w14:paraId="50DE8AB8" w14:textId="77777777" w:rsidR="00B41917" w:rsidRPr="00B41917" w:rsidRDefault="00B41917" w:rsidP="00B41917">
      <w:pPr>
        <w:spacing w:line="240" w:lineRule="auto"/>
        <w:rPr>
          <w:rFonts w:eastAsia="Times New Roman" w:cs="Arial"/>
          <w:b/>
          <w:bCs/>
          <w:color w:val="000000"/>
          <w:u w:val="single"/>
          <w:lang w:eastAsia="bg-BG"/>
        </w:rPr>
      </w:pPr>
    </w:p>
    <w:p w14:paraId="144523F9" w14:textId="4A2A3921" w:rsidR="00B41917" w:rsidRPr="00B41917" w:rsidRDefault="00B41917" w:rsidP="00B41917">
      <w:pPr>
        <w:spacing w:line="240" w:lineRule="auto"/>
        <w:rPr>
          <w:rFonts w:eastAsia="Times New Roman" w:cs="Arial"/>
          <w:lang w:eastAsia="bg-BG"/>
        </w:rPr>
      </w:pPr>
      <w:r w:rsidRPr="00B41917">
        <w:rPr>
          <w:rFonts w:eastAsia="Times New Roman" w:cs="Arial"/>
          <w:b/>
          <w:bCs/>
          <w:color w:val="000000"/>
          <w:u w:val="single"/>
          <w:lang w:eastAsia="bg-BG"/>
        </w:rPr>
        <w:t>Други лекарствени продукти</w:t>
      </w:r>
    </w:p>
    <w:p w14:paraId="4AE4E4CC" w14:textId="77777777" w:rsidR="00B41917" w:rsidRPr="00B41917" w:rsidRDefault="00B41917" w:rsidP="00B41917">
      <w:pPr>
        <w:spacing w:line="240" w:lineRule="auto"/>
        <w:rPr>
          <w:rFonts w:eastAsia="Times New Roman" w:cs="Arial"/>
          <w:color w:val="000000"/>
          <w:u w:val="single"/>
          <w:lang w:eastAsia="bg-BG"/>
        </w:rPr>
      </w:pPr>
    </w:p>
    <w:p w14:paraId="3B81D2C3" w14:textId="547FEE46" w:rsidR="00B41917" w:rsidRPr="00B41917" w:rsidRDefault="00B41917" w:rsidP="00B41917">
      <w:pPr>
        <w:spacing w:line="240" w:lineRule="auto"/>
        <w:rPr>
          <w:rFonts w:eastAsia="Times New Roman" w:cs="Arial"/>
          <w:lang w:eastAsia="bg-BG"/>
        </w:rPr>
      </w:pPr>
      <w:r w:rsidRPr="00B41917">
        <w:rPr>
          <w:rFonts w:eastAsia="Times New Roman" w:cs="Arial"/>
          <w:color w:val="000000"/>
          <w:u w:val="single"/>
          <w:lang w:eastAsia="bg-BG"/>
        </w:rPr>
        <w:t>Дигоксин</w:t>
      </w:r>
      <w:r w:rsidRPr="00B41917">
        <w:rPr>
          <w:rFonts w:eastAsia="Times New Roman" w:cs="Arial"/>
          <w:color w:val="000000"/>
          <w:lang w:eastAsia="bg-BG"/>
        </w:rPr>
        <w:t>: Въз основа на данните от специфични проучвания за изследване на лекарствени взаимодействия, не се очаква клинично значимо взаимодействие с дигоксин.</w:t>
      </w:r>
    </w:p>
    <w:p w14:paraId="381ED0E5" w14:textId="77777777" w:rsidR="00B41917" w:rsidRPr="00B41917" w:rsidRDefault="00B41917" w:rsidP="00B41917">
      <w:pPr>
        <w:spacing w:line="240" w:lineRule="auto"/>
        <w:rPr>
          <w:rFonts w:eastAsia="Times New Roman" w:cs="Arial"/>
          <w:color w:val="000000"/>
          <w:u w:val="single"/>
          <w:lang w:eastAsia="bg-BG"/>
        </w:rPr>
      </w:pPr>
    </w:p>
    <w:p w14:paraId="7E7F4B5E" w14:textId="047C859F" w:rsidR="00B41917" w:rsidRPr="00B41917" w:rsidRDefault="00B41917" w:rsidP="00B41917">
      <w:pPr>
        <w:spacing w:line="240" w:lineRule="auto"/>
        <w:rPr>
          <w:rFonts w:eastAsia="Times New Roman" w:cs="Arial"/>
          <w:lang w:eastAsia="bg-BG"/>
        </w:rPr>
      </w:pPr>
      <w:r w:rsidRPr="00B41917">
        <w:rPr>
          <w:rFonts w:eastAsia="Times New Roman" w:cs="Arial"/>
          <w:color w:val="000000"/>
          <w:u w:val="single"/>
          <w:lang w:eastAsia="bg-BG"/>
        </w:rPr>
        <w:t>Фузидова киселина:</w:t>
      </w:r>
      <w:r w:rsidRPr="00B41917">
        <w:rPr>
          <w:rFonts w:eastAsia="Times New Roman" w:cs="Arial"/>
          <w:color w:val="000000"/>
          <w:lang w:eastAsia="bg-BG"/>
        </w:rPr>
        <w:t xml:space="preserve"> Не са провеждани проучвания за лекарствени взаимодействия с розувастатин. Рискът от миопатия, включително рабдомиолиза, може да се увеличи при едновременната употреба на фузидова киселина за системно приложение и статини. Механизмът на това взаимодействие (фармакодинамично или фармакокинетично, или и двете) е все още неизвестен. Има съобщения за рабдомиолиза (включително няколко с фатален изход) при пациенти, приемащи тази комбинация.</w:t>
      </w:r>
    </w:p>
    <w:p w14:paraId="7B3FD47B" w14:textId="77777777" w:rsidR="00B41917" w:rsidRPr="00B41917" w:rsidRDefault="00B41917" w:rsidP="00B41917">
      <w:pPr>
        <w:spacing w:line="240" w:lineRule="auto"/>
        <w:rPr>
          <w:rFonts w:eastAsia="Times New Roman" w:cs="Arial"/>
          <w:color w:val="000000"/>
          <w:lang w:eastAsia="bg-BG"/>
        </w:rPr>
      </w:pPr>
    </w:p>
    <w:p w14:paraId="747B4EC1" w14:textId="1140BA82" w:rsidR="00B41917" w:rsidRPr="00B41917" w:rsidRDefault="00B41917" w:rsidP="00B41917">
      <w:pPr>
        <w:spacing w:line="240" w:lineRule="auto"/>
        <w:rPr>
          <w:rFonts w:eastAsia="Times New Roman" w:cs="Arial"/>
          <w:lang w:eastAsia="bg-BG"/>
        </w:rPr>
      </w:pPr>
      <w:r w:rsidRPr="00B41917">
        <w:rPr>
          <w:rFonts w:eastAsia="Times New Roman" w:cs="Arial"/>
          <w:color w:val="000000"/>
          <w:lang w:eastAsia="bg-BG"/>
        </w:rPr>
        <w:t>Ако терапията с фузидова киселина за системно приложение е необходима, лечението с розувастатин трябва да бъде прекъснато по време на периода на лечение с фузидова киселина (вж. точка 4.4).</w:t>
      </w:r>
    </w:p>
    <w:p w14:paraId="68D3FAD8" w14:textId="77777777" w:rsidR="00B41917" w:rsidRPr="00B41917" w:rsidRDefault="00B41917" w:rsidP="00B41917">
      <w:pPr>
        <w:spacing w:line="240" w:lineRule="auto"/>
        <w:rPr>
          <w:rFonts w:eastAsia="Times New Roman" w:cs="Arial"/>
          <w:color w:val="000000"/>
          <w:u w:val="single"/>
          <w:lang w:eastAsia="bg-BG"/>
        </w:rPr>
      </w:pPr>
    </w:p>
    <w:p w14:paraId="39893AD3" w14:textId="380D1463" w:rsidR="00B41917" w:rsidRPr="00B41917" w:rsidRDefault="00B41917" w:rsidP="00B41917">
      <w:pPr>
        <w:spacing w:line="240" w:lineRule="auto"/>
        <w:rPr>
          <w:rFonts w:eastAsia="Times New Roman" w:cs="Arial"/>
          <w:lang w:eastAsia="bg-BG"/>
        </w:rPr>
      </w:pPr>
      <w:r w:rsidRPr="00B41917">
        <w:rPr>
          <w:rFonts w:eastAsia="Times New Roman" w:cs="Arial"/>
          <w:color w:val="000000"/>
          <w:u w:val="single"/>
          <w:lang w:eastAsia="bg-BG"/>
        </w:rPr>
        <w:t>Педиатрична популация</w:t>
      </w:r>
    </w:p>
    <w:p w14:paraId="2F10F17D" w14:textId="77777777" w:rsidR="00B41917" w:rsidRPr="00B41917" w:rsidRDefault="00B41917" w:rsidP="00B41917">
      <w:pPr>
        <w:tabs>
          <w:tab w:val="left" w:pos="6525"/>
        </w:tabs>
        <w:rPr>
          <w:rFonts w:eastAsia="Times New Roman" w:cs="Arial"/>
          <w:color w:val="000000"/>
          <w:lang w:eastAsia="bg-BG"/>
        </w:rPr>
      </w:pPr>
    </w:p>
    <w:p w14:paraId="673E3084" w14:textId="5AC768EB" w:rsidR="00F62124" w:rsidRPr="00B41917" w:rsidRDefault="00B41917" w:rsidP="00B41917">
      <w:pPr>
        <w:tabs>
          <w:tab w:val="left" w:pos="6525"/>
        </w:tabs>
        <w:rPr>
          <w:rFonts w:cs="Arial"/>
          <w:lang w:val="en-US"/>
        </w:rPr>
      </w:pPr>
      <w:r w:rsidRPr="00B41917">
        <w:rPr>
          <w:rFonts w:eastAsia="Times New Roman" w:cs="Arial"/>
          <w:color w:val="000000"/>
          <w:lang w:eastAsia="bg-BG"/>
        </w:rPr>
        <w:t>Проучвания за взаимодействия са провеждани само при възрастни. Степента на взаимодействията в педиатрична популация не е известна.</w:t>
      </w:r>
    </w:p>
    <w:p w14:paraId="34461F56" w14:textId="77777777" w:rsidR="00F62124" w:rsidRPr="0091385D" w:rsidRDefault="00F62124" w:rsidP="00F62124">
      <w:pPr>
        <w:tabs>
          <w:tab w:val="left" w:pos="6525"/>
        </w:tabs>
      </w:pPr>
    </w:p>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4D51E3A5" w14:textId="77777777" w:rsidR="00B41917" w:rsidRPr="00B41917" w:rsidRDefault="00B41917" w:rsidP="00B41917">
      <w:pPr>
        <w:spacing w:line="240" w:lineRule="auto"/>
        <w:rPr>
          <w:rFonts w:eastAsia="Times New Roman" w:cs="Arial"/>
          <w:lang w:eastAsia="bg-BG"/>
        </w:rPr>
      </w:pPr>
      <w:r w:rsidRPr="00B41917">
        <w:rPr>
          <w:rFonts w:eastAsia="Times New Roman" w:cs="Arial"/>
          <w:color w:val="000000"/>
          <w:lang w:eastAsia="bg-BG"/>
        </w:rPr>
        <w:t>Росста е противопоказан по време на бременност и кърмене.</w:t>
      </w:r>
    </w:p>
    <w:p w14:paraId="20A32DFB" w14:textId="77777777" w:rsidR="00B41917" w:rsidRDefault="00B41917" w:rsidP="00B41917">
      <w:pPr>
        <w:spacing w:line="240" w:lineRule="auto"/>
        <w:rPr>
          <w:rFonts w:ascii="Times New Roman" w:eastAsia="Times New Roman" w:hAnsi="Times New Roman" w:cs="Times New Roman"/>
          <w:color w:val="000000"/>
          <w:sz w:val="20"/>
          <w:szCs w:val="20"/>
          <w:u w:val="single"/>
          <w:lang w:eastAsia="bg-BG"/>
        </w:rPr>
      </w:pPr>
    </w:p>
    <w:p w14:paraId="59972202" w14:textId="295E45A9" w:rsidR="00B41917" w:rsidRPr="00AF43A0" w:rsidRDefault="00B41917" w:rsidP="00AF43A0">
      <w:pPr>
        <w:pStyle w:val="Heading3"/>
        <w:rPr>
          <w:rFonts w:eastAsia="Times New Roman"/>
          <w:u w:val="single"/>
          <w:lang w:eastAsia="bg-BG"/>
        </w:rPr>
      </w:pPr>
      <w:r w:rsidRPr="00AF43A0">
        <w:rPr>
          <w:rFonts w:eastAsia="Times New Roman"/>
          <w:u w:val="single"/>
          <w:lang w:eastAsia="bg-BG"/>
        </w:rPr>
        <w:lastRenderedPageBreak/>
        <w:t>Бременност</w:t>
      </w:r>
    </w:p>
    <w:p w14:paraId="1600843D" w14:textId="77777777" w:rsidR="00B41917" w:rsidRPr="00B41917" w:rsidRDefault="00B41917" w:rsidP="00B41917">
      <w:pPr>
        <w:spacing w:line="240" w:lineRule="auto"/>
        <w:rPr>
          <w:rFonts w:eastAsia="Times New Roman" w:cs="Arial"/>
          <w:lang w:eastAsia="bg-BG"/>
        </w:rPr>
      </w:pPr>
      <w:r w:rsidRPr="00B41917">
        <w:rPr>
          <w:rFonts w:eastAsia="Times New Roman" w:cs="Arial"/>
          <w:color w:val="000000"/>
          <w:lang w:eastAsia="bg-BG"/>
        </w:rPr>
        <w:t xml:space="preserve">Холестеролът и други продукти на холестероловия биосинтез са важни за развитието на плода. Ето защо, потенциалният риск от инхибиране на </w:t>
      </w:r>
      <w:r w:rsidRPr="00B41917">
        <w:rPr>
          <w:rFonts w:eastAsia="Times New Roman" w:cs="Arial"/>
          <w:color w:val="000000"/>
          <w:lang w:val="en-US"/>
        </w:rPr>
        <w:t xml:space="preserve">HMG-CoA </w:t>
      </w:r>
      <w:r w:rsidRPr="00B41917">
        <w:rPr>
          <w:rFonts w:eastAsia="Times New Roman" w:cs="Arial"/>
          <w:color w:val="000000"/>
          <w:lang w:eastAsia="bg-BG"/>
        </w:rPr>
        <w:t>редуктазата, е по-голям в сравнение с ползата от лечението по време на бременност. Изследванията върху животни осигуряват ограничени данни за репродуктивна токсичност (вж. точка 5.3). Ако пациентка забременее по време на лечение с това лекарство, приемът трябва да бъде незабавно преустановен.</w:t>
      </w:r>
    </w:p>
    <w:p w14:paraId="1F796C02" w14:textId="77777777" w:rsidR="00B41917" w:rsidRPr="00B41917" w:rsidRDefault="00B41917" w:rsidP="00B41917">
      <w:pPr>
        <w:spacing w:line="240" w:lineRule="auto"/>
        <w:rPr>
          <w:rFonts w:eastAsia="Times New Roman" w:cs="Arial"/>
          <w:color w:val="000000"/>
          <w:u w:val="single"/>
          <w:lang w:eastAsia="bg-BG"/>
        </w:rPr>
      </w:pPr>
    </w:p>
    <w:p w14:paraId="2CDDE603" w14:textId="2F27A889" w:rsidR="00B41917" w:rsidRPr="00AF43A0" w:rsidRDefault="00B41917" w:rsidP="00AF43A0">
      <w:pPr>
        <w:pStyle w:val="Heading3"/>
        <w:rPr>
          <w:rFonts w:eastAsia="Times New Roman"/>
          <w:u w:val="single"/>
          <w:lang w:eastAsia="bg-BG"/>
        </w:rPr>
      </w:pPr>
      <w:r w:rsidRPr="00AF43A0">
        <w:rPr>
          <w:rFonts w:eastAsia="Times New Roman"/>
          <w:u w:val="single"/>
          <w:lang w:eastAsia="bg-BG"/>
        </w:rPr>
        <w:t>Кърмене</w:t>
      </w:r>
    </w:p>
    <w:p w14:paraId="57CDD05D" w14:textId="77777777" w:rsidR="00B41917" w:rsidRPr="00B41917" w:rsidRDefault="00B41917" w:rsidP="00B41917">
      <w:pPr>
        <w:spacing w:line="240" w:lineRule="auto"/>
        <w:rPr>
          <w:rFonts w:eastAsia="Times New Roman" w:cs="Arial"/>
          <w:lang w:eastAsia="bg-BG"/>
        </w:rPr>
      </w:pPr>
      <w:r w:rsidRPr="00B41917">
        <w:rPr>
          <w:rFonts w:eastAsia="Times New Roman" w:cs="Arial"/>
          <w:color w:val="000000"/>
          <w:lang w:eastAsia="bg-BG"/>
        </w:rPr>
        <w:t>Розувастатин се отделя в млякото на плъхове. Няма установени данни за отделяне в млякото при хората (вж. точка 4.3).</w:t>
      </w:r>
    </w:p>
    <w:p w14:paraId="4F51E0DC" w14:textId="77777777" w:rsidR="00B41917" w:rsidRPr="00B41917" w:rsidRDefault="00B41917" w:rsidP="00B41917">
      <w:pPr>
        <w:spacing w:line="240" w:lineRule="auto"/>
        <w:rPr>
          <w:rFonts w:eastAsia="Times New Roman" w:cs="Arial"/>
          <w:color w:val="000000"/>
          <w:u w:val="single"/>
          <w:lang w:eastAsia="bg-BG"/>
        </w:rPr>
      </w:pPr>
    </w:p>
    <w:p w14:paraId="0DBF605F" w14:textId="10315335" w:rsidR="00B41917" w:rsidRPr="00AF43A0" w:rsidRDefault="00B41917" w:rsidP="00AF43A0">
      <w:pPr>
        <w:pStyle w:val="Heading3"/>
        <w:rPr>
          <w:rFonts w:eastAsia="Times New Roman"/>
          <w:u w:val="single"/>
          <w:lang w:eastAsia="bg-BG"/>
        </w:rPr>
      </w:pPr>
      <w:r w:rsidRPr="00AF43A0">
        <w:rPr>
          <w:rFonts w:eastAsia="Times New Roman"/>
          <w:u w:val="single"/>
          <w:lang w:eastAsia="bg-BG"/>
        </w:rPr>
        <w:t>Фертилитет</w:t>
      </w:r>
    </w:p>
    <w:p w14:paraId="102F0D07" w14:textId="01E0D529" w:rsidR="007A2185" w:rsidRPr="00B41917" w:rsidRDefault="00B41917" w:rsidP="00B41917">
      <w:pPr>
        <w:rPr>
          <w:rFonts w:cs="Arial"/>
        </w:rPr>
      </w:pPr>
      <w:r w:rsidRPr="00B41917">
        <w:rPr>
          <w:rFonts w:eastAsia="Times New Roman" w:cs="Arial"/>
          <w:color w:val="000000"/>
          <w:lang w:eastAsia="bg-BG"/>
        </w:rPr>
        <w:t>Жени в детеродна възраст трябва да използват ефективни методи за контрацепция.</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4025671D" w:rsidR="007A2185" w:rsidRPr="00B41917" w:rsidRDefault="00B41917" w:rsidP="0091385D">
      <w:pPr>
        <w:rPr>
          <w:rFonts w:cs="Arial"/>
        </w:rPr>
      </w:pPr>
      <w:r w:rsidRPr="00B41917">
        <w:rPr>
          <w:rFonts w:cs="Arial"/>
        </w:rPr>
        <w:t>Не са провеждани проучвания за установяване на влиянието на розувастатин върху способността за шофиране и работа с машини. Въз основа на фармакодинамичните свойства не се очаква Росста да повлияе неблагоприятно тези способности. При шофиране или работа с машини трябва да се има предвид, че приемането на лекарството може да предизвика световъртеж.</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0254AACC" w14:textId="240EF36D" w:rsidR="007A2185" w:rsidRDefault="00B41917" w:rsidP="0091385D">
      <w:pPr>
        <w:rPr>
          <w:rFonts w:cs="Arial"/>
        </w:rPr>
      </w:pPr>
      <w:r w:rsidRPr="00B41917">
        <w:rPr>
          <w:rFonts w:cs="Arial"/>
        </w:rPr>
        <w:t xml:space="preserve">Нежеланите лекарствени реакции, наблюдавани при употребата на </w:t>
      </w:r>
      <w:r w:rsidRPr="00B41917">
        <w:rPr>
          <w:rFonts w:cs="Arial"/>
          <w:lang w:val="en-US"/>
        </w:rPr>
        <w:t>posy</w:t>
      </w:r>
      <w:r w:rsidRPr="00B41917">
        <w:rPr>
          <w:rFonts w:cs="Arial"/>
        </w:rPr>
        <w:t>вастатин, обикновено са леки и преходни. При контролираните клинични изпитвания под 4% от пациентите, лекувани с розувастатин, са прекъснали лечението поради нежелани събития.</w:t>
      </w:r>
    </w:p>
    <w:p w14:paraId="6C9D5BD6" w14:textId="6BD90645" w:rsidR="00AF43A0" w:rsidRDefault="00AF43A0" w:rsidP="0091385D">
      <w:pPr>
        <w:rPr>
          <w:rFonts w:cs="Arial"/>
        </w:rPr>
      </w:pPr>
    </w:p>
    <w:p w14:paraId="369FCA49"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u w:val="single"/>
          <w:lang w:eastAsia="bg-BG"/>
        </w:rPr>
        <w:t>Табличен списък на нежеланите реакции</w:t>
      </w:r>
    </w:p>
    <w:p w14:paraId="2A600707" w14:textId="77777777" w:rsidR="00AF43A0" w:rsidRPr="00AF43A0" w:rsidRDefault="00AF43A0" w:rsidP="00AF43A0">
      <w:pPr>
        <w:spacing w:line="240" w:lineRule="auto"/>
        <w:rPr>
          <w:rFonts w:eastAsia="Times New Roman" w:cs="Arial"/>
          <w:color w:val="000000"/>
          <w:lang w:eastAsia="bg-BG"/>
        </w:rPr>
      </w:pPr>
    </w:p>
    <w:p w14:paraId="2B201C8D" w14:textId="7863DE9C"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Базирана на данни от клинични проучвания и обширен постмаркетионгов опит, следната таблица представя профила на розувастатин по отношение на нежелани лекарствени реакци. Нежеланите реакции, изброени по-долу са класифицирани по честота и системо-органен клас (СОК).</w:t>
      </w:r>
    </w:p>
    <w:p w14:paraId="380C0A84" w14:textId="77777777" w:rsidR="00AF43A0" w:rsidRPr="00AF43A0" w:rsidRDefault="00AF43A0" w:rsidP="00AF43A0">
      <w:pPr>
        <w:spacing w:line="240" w:lineRule="auto"/>
        <w:rPr>
          <w:rFonts w:eastAsia="Times New Roman" w:cs="Arial"/>
          <w:color w:val="000000"/>
          <w:lang w:eastAsia="bg-BG"/>
        </w:rPr>
      </w:pPr>
    </w:p>
    <w:p w14:paraId="09F41263" w14:textId="4EEB6845"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Честотата на нежеланите събития е съобразена със следната скала: чести (&gt; 1/100, &lt; 1/10); нечести (&gt; 1/1000, &lt; 1/100); редки (&gt; 1/10 000, &lt; 1/1000); много редки (&lt; 1/10 000). неустановена честота (не може да бъде оценена от наличните данни).</w:t>
      </w:r>
    </w:p>
    <w:p w14:paraId="5DFD0666" w14:textId="77777777" w:rsidR="00AF43A0" w:rsidRPr="00AF43A0" w:rsidRDefault="00AF43A0" w:rsidP="00AF43A0">
      <w:pPr>
        <w:rPr>
          <w:rFonts w:eastAsia="Times New Roman" w:cs="Arial"/>
          <w:b/>
          <w:bCs/>
          <w:color w:val="000000"/>
          <w:lang w:eastAsia="bg-BG"/>
        </w:rPr>
      </w:pPr>
    </w:p>
    <w:p w14:paraId="7FD263B3" w14:textId="40FA50DD" w:rsidR="00AF43A0" w:rsidRPr="00AF43A0" w:rsidRDefault="00AF43A0" w:rsidP="00AF43A0">
      <w:pPr>
        <w:rPr>
          <w:rFonts w:cs="Arial"/>
        </w:rPr>
      </w:pPr>
      <w:r w:rsidRPr="00AF43A0">
        <w:rPr>
          <w:rFonts w:eastAsia="Times New Roman" w:cs="Arial"/>
          <w:b/>
          <w:bCs/>
          <w:color w:val="000000"/>
          <w:lang w:eastAsia="bg-BG"/>
        </w:rPr>
        <w:t>Таблица 2. Нежелани реакции въз основа на данни от клинични проучвания и опит след пускане на пазара</w:t>
      </w:r>
    </w:p>
    <w:tbl>
      <w:tblPr>
        <w:tblStyle w:val="TableGrid"/>
        <w:tblW w:w="0" w:type="auto"/>
        <w:tblLook w:val="04A0" w:firstRow="1" w:lastRow="0" w:firstColumn="1" w:lastColumn="0" w:noHBand="0" w:noVBand="1"/>
      </w:tblPr>
      <w:tblGrid>
        <w:gridCol w:w="2029"/>
        <w:gridCol w:w="1333"/>
        <w:gridCol w:w="1042"/>
        <w:gridCol w:w="1931"/>
        <w:gridCol w:w="1601"/>
        <w:gridCol w:w="1414"/>
      </w:tblGrid>
      <w:tr w:rsidR="00AF43A0" w:rsidRPr="00AF43A0" w14:paraId="3836619F" w14:textId="77777777" w:rsidTr="00AF43A0">
        <w:tc>
          <w:tcPr>
            <w:tcW w:w="2043" w:type="dxa"/>
          </w:tcPr>
          <w:p w14:paraId="5494698A" w14:textId="4E2D90D7" w:rsidR="00AF43A0" w:rsidRPr="00AF43A0" w:rsidRDefault="00AF43A0" w:rsidP="00AF43A0">
            <w:pPr>
              <w:rPr>
                <w:rFonts w:cs="Arial"/>
              </w:rPr>
            </w:pPr>
            <w:r w:rsidRPr="00AF43A0">
              <w:rPr>
                <w:b/>
                <w:bCs/>
                <w:szCs w:val="20"/>
              </w:rPr>
              <w:t>Системо-органен клас</w:t>
            </w:r>
          </w:p>
        </w:tc>
        <w:tc>
          <w:tcPr>
            <w:tcW w:w="1341" w:type="dxa"/>
          </w:tcPr>
          <w:p w14:paraId="5CA1B9B5" w14:textId="451A6E88" w:rsidR="00AF43A0" w:rsidRPr="00AF43A0" w:rsidRDefault="00AF43A0" w:rsidP="00AF43A0">
            <w:pPr>
              <w:rPr>
                <w:rFonts w:cs="Arial"/>
              </w:rPr>
            </w:pPr>
            <w:r w:rsidRPr="00AF43A0">
              <w:rPr>
                <w:b/>
                <w:bCs/>
                <w:szCs w:val="20"/>
              </w:rPr>
              <w:t>Чести</w:t>
            </w:r>
          </w:p>
        </w:tc>
        <w:tc>
          <w:tcPr>
            <w:tcW w:w="997" w:type="dxa"/>
          </w:tcPr>
          <w:p w14:paraId="435E4825" w14:textId="220F3CDC" w:rsidR="00AF43A0" w:rsidRPr="00AF43A0" w:rsidRDefault="00AF43A0" w:rsidP="00AF43A0">
            <w:pPr>
              <w:rPr>
                <w:rFonts w:cs="Arial"/>
              </w:rPr>
            </w:pPr>
            <w:r w:rsidRPr="00AF43A0">
              <w:rPr>
                <w:b/>
                <w:bCs/>
                <w:szCs w:val="20"/>
              </w:rPr>
              <w:t>Нечести</w:t>
            </w:r>
          </w:p>
        </w:tc>
        <w:tc>
          <w:tcPr>
            <w:tcW w:w="1943" w:type="dxa"/>
          </w:tcPr>
          <w:p w14:paraId="3D9E9B83" w14:textId="77777777" w:rsidR="00AF43A0" w:rsidRPr="00AF43A0" w:rsidRDefault="00AF43A0" w:rsidP="00AF43A0">
            <w:r w:rsidRPr="00AF43A0">
              <w:rPr>
                <w:b/>
                <w:bCs/>
                <w:szCs w:val="20"/>
              </w:rPr>
              <w:t>Редки</w:t>
            </w:r>
          </w:p>
          <w:p w14:paraId="130282CB" w14:textId="08C0D765" w:rsidR="00AF43A0" w:rsidRPr="00AF43A0" w:rsidRDefault="00AF43A0" w:rsidP="00AF43A0">
            <w:pPr>
              <w:rPr>
                <w:rFonts w:cs="Arial"/>
              </w:rPr>
            </w:pPr>
            <w:r w:rsidRPr="00AF43A0">
              <w:rPr>
                <w:b/>
                <w:bCs/>
                <w:szCs w:val="20"/>
              </w:rPr>
              <w:t>..</w:t>
            </w:r>
          </w:p>
        </w:tc>
        <w:tc>
          <w:tcPr>
            <w:tcW w:w="1611" w:type="dxa"/>
          </w:tcPr>
          <w:p w14:paraId="626066EF" w14:textId="6913F942" w:rsidR="00AF43A0" w:rsidRPr="00AF43A0" w:rsidRDefault="00AF43A0" w:rsidP="00AF43A0">
            <w:pPr>
              <w:rPr>
                <w:rFonts w:cs="Arial"/>
              </w:rPr>
            </w:pPr>
            <w:r w:rsidRPr="00AF43A0">
              <w:rPr>
                <w:b/>
                <w:bCs/>
                <w:szCs w:val="20"/>
              </w:rPr>
              <w:t>Много редки</w:t>
            </w:r>
          </w:p>
        </w:tc>
        <w:tc>
          <w:tcPr>
            <w:tcW w:w="1415" w:type="dxa"/>
          </w:tcPr>
          <w:p w14:paraId="2759B9B7" w14:textId="3E4E4253" w:rsidR="00AF43A0" w:rsidRPr="00AF43A0" w:rsidRDefault="00AF43A0" w:rsidP="00AF43A0">
            <w:pPr>
              <w:rPr>
                <w:rFonts w:cs="Arial"/>
              </w:rPr>
            </w:pPr>
            <w:r w:rsidRPr="00AF43A0">
              <w:rPr>
                <w:b/>
                <w:bCs/>
                <w:szCs w:val="20"/>
              </w:rPr>
              <w:t>С неизвестна честота</w:t>
            </w:r>
          </w:p>
        </w:tc>
      </w:tr>
      <w:tr w:rsidR="00AF43A0" w:rsidRPr="00AF43A0" w14:paraId="7F75E881" w14:textId="77777777" w:rsidTr="00AF43A0">
        <w:tc>
          <w:tcPr>
            <w:tcW w:w="2043" w:type="dxa"/>
          </w:tcPr>
          <w:p w14:paraId="194BD6D3" w14:textId="5B5352D3" w:rsidR="00AF43A0" w:rsidRPr="00AF43A0" w:rsidRDefault="00AF43A0" w:rsidP="00AF43A0">
            <w:pPr>
              <w:rPr>
                <w:rFonts w:cs="Arial"/>
              </w:rPr>
            </w:pPr>
            <w:r w:rsidRPr="00AF43A0">
              <w:rPr>
                <w:i/>
                <w:iCs/>
                <w:szCs w:val="20"/>
              </w:rPr>
              <w:lastRenderedPageBreak/>
              <w:t>Нарушения на кръвта и лимфната система</w:t>
            </w:r>
          </w:p>
        </w:tc>
        <w:tc>
          <w:tcPr>
            <w:tcW w:w="1341" w:type="dxa"/>
          </w:tcPr>
          <w:p w14:paraId="0D7D09C3" w14:textId="77777777" w:rsidR="00AF43A0" w:rsidRPr="00AF43A0" w:rsidRDefault="00AF43A0" w:rsidP="00AF43A0">
            <w:pPr>
              <w:rPr>
                <w:rFonts w:cs="Arial"/>
              </w:rPr>
            </w:pPr>
          </w:p>
        </w:tc>
        <w:tc>
          <w:tcPr>
            <w:tcW w:w="997" w:type="dxa"/>
          </w:tcPr>
          <w:p w14:paraId="10EC3EA8" w14:textId="77777777" w:rsidR="00AF43A0" w:rsidRPr="00AF43A0" w:rsidRDefault="00AF43A0" w:rsidP="00AF43A0">
            <w:pPr>
              <w:rPr>
                <w:rFonts w:cs="Arial"/>
              </w:rPr>
            </w:pPr>
          </w:p>
        </w:tc>
        <w:tc>
          <w:tcPr>
            <w:tcW w:w="1943" w:type="dxa"/>
          </w:tcPr>
          <w:p w14:paraId="522C6B14" w14:textId="269D5F57" w:rsidR="00AF43A0" w:rsidRPr="00AF43A0" w:rsidRDefault="00AF43A0" w:rsidP="00AF43A0">
            <w:pPr>
              <w:rPr>
                <w:rFonts w:cs="Arial"/>
              </w:rPr>
            </w:pPr>
            <w:r w:rsidRPr="00AF43A0">
              <w:rPr>
                <w:szCs w:val="20"/>
              </w:rPr>
              <w:t>Тромбоцито ления</w:t>
            </w:r>
          </w:p>
        </w:tc>
        <w:tc>
          <w:tcPr>
            <w:tcW w:w="1611" w:type="dxa"/>
          </w:tcPr>
          <w:p w14:paraId="0D14B303" w14:textId="77777777" w:rsidR="00AF43A0" w:rsidRPr="00AF43A0" w:rsidRDefault="00AF43A0" w:rsidP="00AF43A0">
            <w:pPr>
              <w:rPr>
                <w:rFonts w:cs="Arial"/>
              </w:rPr>
            </w:pPr>
          </w:p>
        </w:tc>
        <w:tc>
          <w:tcPr>
            <w:tcW w:w="1415" w:type="dxa"/>
          </w:tcPr>
          <w:p w14:paraId="6E243E46" w14:textId="77777777" w:rsidR="00AF43A0" w:rsidRPr="00AF43A0" w:rsidRDefault="00AF43A0" w:rsidP="00AF43A0">
            <w:pPr>
              <w:rPr>
                <w:rFonts w:cs="Arial"/>
              </w:rPr>
            </w:pPr>
          </w:p>
        </w:tc>
      </w:tr>
      <w:tr w:rsidR="00AF43A0" w:rsidRPr="00AF43A0" w14:paraId="1C0DF498" w14:textId="77777777" w:rsidTr="00AF43A0">
        <w:tc>
          <w:tcPr>
            <w:tcW w:w="2043" w:type="dxa"/>
          </w:tcPr>
          <w:p w14:paraId="69659E69" w14:textId="7E5F5BA7" w:rsidR="00AF43A0" w:rsidRPr="00AF43A0" w:rsidRDefault="00AF43A0" w:rsidP="00AF43A0">
            <w:pPr>
              <w:rPr>
                <w:rFonts w:cs="Arial"/>
              </w:rPr>
            </w:pPr>
            <w:r w:rsidRPr="00AF43A0">
              <w:rPr>
                <w:i/>
                <w:iCs/>
                <w:szCs w:val="20"/>
              </w:rPr>
              <w:t>Нарушения на имунната система</w:t>
            </w:r>
          </w:p>
        </w:tc>
        <w:tc>
          <w:tcPr>
            <w:tcW w:w="1341" w:type="dxa"/>
          </w:tcPr>
          <w:p w14:paraId="7A7B2497" w14:textId="77777777" w:rsidR="00AF43A0" w:rsidRPr="00AF43A0" w:rsidRDefault="00AF43A0" w:rsidP="00AF43A0">
            <w:pPr>
              <w:rPr>
                <w:rFonts w:cs="Arial"/>
              </w:rPr>
            </w:pPr>
          </w:p>
        </w:tc>
        <w:tc>
          <w:tcPr>
            <w:tcW w:w="997" w:type="dxa"/>
          </w:tcPr>
          <w:p w14:paraId="6137BE1F" w14:textId="77777777" w:rsidR="00AF43A0" w:rsidRPr="00AF43A0" w:rsidRDefault="00AF43A0" w:rsidP="00AF43A0">
            <w:pPr>
              <w:rPr>
                <w:rFonts w:cs="Arial"/>
              </w:rPr>
            </w:pPr>
          </w:p>
        </w:tc>
        <w:tc>
          <w:tcPr>
            <w:tcW w:w="1943" w:type="dxa"/>
          </w:tcPr>
          <w:p w14:paraId="3285A279" w14:textId="2B4C07B6" w:rsidR="00AF43A0" w:rsidRPr="00AF43A0" w:rsidRDefault="00AF43A0" w:rsidP="00AF43A0">
            <w:pPr>
              <w:rPr>
                <w:rFonts w:cs="Arial"/>
              </w:rPr>
            </w:pPr>
            <w:r w:rsidRPr="00AF43A0">
              <w:rPr>
                <w:szCs w:val="20"/>
              </w:rPr>
              <w:t>Реакция на свръхчувствително ст, включително ангиоедем</w:t>
            </w:r>
          </w:p>
        </w:tc>
        <w:tc>
          <w:tcPr>
            <w:tcW w:w="1611" w:type="dxa"/>
          </w:tcPr>
          <w:p w14:paraId="4BB6D56C" w14:textId="77777777" w:rsidR="00AF43A0" w:rsidRPr="00AF43A0" w:rsidRDefault="00AF43A0" w:rsidP="00AF43A0">
            <w:pPr>
              <w:rPr>
                <w:rFonts w:cs="Arial"/>
              </w:rPr>
            </w:pPr>
          </w:p>
        </w:tc>
        <w:tc>
          <w:tcPr>
            <w:tcW w:w="1415" w:type="dxa"/>
          </w:tcPr>
          <w:p w14:paraId="4026656E" w14:textId="77777777" w:rsidR="00AF43A0" w:rsidRPr="00AF43A0" w:rsidRDefault="00AF43A0" w:rsidP="00AF43A0">
            <w:pPr>
              <w:rPr>
                <w:rFonts w:cs="Arial"/>
              </w:rPr>
            </w:pPr>
          </w:p>
        </w:tc>
      </w:tr>
      <w:tr w:rsidR="00AF43A0" w:rsidRPr="00AF43A0" w14:paraId="76CEDAE8" w14:textId="77777777" w:rsidTr="00AF43A0">
        <w:tc>
          <w:tcPr>
            <w:tcW w:w="2043" w:type="dxa"/>
          </w:tcPr>
          <w:p w14:paraId="5E6D3792" w14:textId="1ED09647" w:rsidR="00AF43A0" w:rsidRPr="00AF43A0" w:rsidRDefault="00AF43A0" w:rsidP="00AF43A0">
            <w:pPr>
              <w:rPr>
                <w:rFonts w:cs="Arial"/>
              </w:rPr>
            </w:pPr>
            <w:r w:rsidRPr="00AF43A0">
              <w:rPr>
                <w:i/>
                <w:iCs/>
                <w:szCs w:val="20"/>
              </w:rPr>
              <w:t>Нарушения на ендокринната система</w:t>
            </w:r>
          </w:p>
        </w:tc>
        <w:tc>
          <w:tcPr>
            <w:tcW w:w="1341" w:type="dxa"/>
          </w:tcPr>
          <w:p w14:paraId="1EF9B967" w14:textId="4321EE5F" w:rsidR="00AF43A0" w:rsidRPr="00AF43A0" w:rsidRDefault="00AF43A0" w:rsidP="00AF43A0">
            <w:pPr>
              <w:rPr>
                <w:rFonts w:cs="Arial"/>
              </w:rPr>
            </w:pPr>
            <w:r w:rsidRPr="00AF43A0">
              <w:rPr>
                <w:szCs w:val="20"/>
              </w:rPr>
              <w:t>Захарен диабет</w:t>
            </w:r>
            <w:r w:rsidRPr="00AF43A0">
              <w:rPr>
                <w:szCs w:val="20"/>
                <w:vertAlign w:val="superscript"/>
              </w:rPr>
              <w:t>1</w:t>
            </w:r>
          </w:p>
        </w:tc>
        <w:tc>
          <w:tcPr>
            <w:tcW w:w="997" w:type="dxa"/>
          </w:tcPr>
          <w:p w14:paraId="6D4A6454" w14:textId="77777777" w:rsidR="00AF43A0" w:rsidRPr="00AF43A0" w:rsidRDefault="00AF43A0" w:rsidP="00AF43A0">
            <w:pPr>
              <w:rPr>
                <w:rFonts w:cs="Arial"/>
              </w:rPr>
            </w:pPr>
          </w:p>
        </w:tc>
        <w:tc>
          <w:tcPr>
            <w:tcW w:w="1943" w:type="dxa"/>
          </w:tcPr>
          <w:p w14:paraId="59F7E865" w14:textId="77777777" w:rsidR="00AF43A0" w:rsidRPr="00AF43A0" w:rsidRDefault="00AF43A0" w:rsidP="00AF43A0">
            <w:pPr>
              <w:rPr>
                <w:rFonts w:cs="Arial"/>
              </w:rPr>
            </w:pPr>
          </w:p>
        </w:tc>
        <w:tc>
          <w:tcPr>
            <w:tcW w:w="1611" w:type="dxa"/>
          </w:tcPr>
          <w:p w14:paraId="169B4A87" w14:textId="77777777" w:rsidR="00AF43A0" w:rsidRPr="00AF43A0" w:rsidRDefault="00AF43A0" w:rsidP="00AF43A0">
            <w:pPr>
              <w:rPr>
                <w:rFonts w:cs="Arial"/>
              </w:rPr>
            </w:pPr>
          </w:p>
        </w:tc>
        <w:tc>
          <w:tcPr>
            <w:tcW w:w="1415" w:type="dxa"/>
          </w:tcPr>
          <w:p w14:paraId="5E86DCBB" w14:textId="77777777" w:rsidR="00AF43A0" w:rsidRPr="00AF43A0" w:rsidRDefault="00AF43A0" w:rsidP="00AF43A0">
            <w:pPr>
              <w:rPr>
                <w:rFonts w:cs="Arial"/>
              </w:rPr>
            </w:pPr>
          </w:p>
        </w:tc>
      </w:tr>
      <w:tr w:rsidR="00AF43A0" w:rsidRPr="00AF43A0" w14:paraId="43CB285B" w14:textId="77777777" w:rsidTr="00AF43A0">
        <w:tc>
          <w:tcPr>
            <w:tcW w:w="2043" w:type="dxa"/>
          </w:tcPr>
          <w:p w14:paraId="78B0E279" w14:textId="07C27E6B" w:rsidR="00AF43A0" w:rsidRPr="00AF43A0" w:rsidRDefault="00AF43A0" w:rsidP="00AF43A0">
            <w:pPr>
              <w:rPr>
                <w:rFonts w:cs="Arial"/>
              </w:rPr>
            </w:pPr>
            <w:r w:rsidRPr="00AF43A0">
              <w:rPr>
                <w:i/>
                <w:iCs/>
                <w:szCs w:val="20"/>
              </w:rPr>
              <w:t>Психиатрични нарушения</w:t>
            </w:r>
          </w:p>
        </w:tc>
        <w:tc>
          <w:tcPr>
            <w:tcW w:w="1341" w:type="dxa"/>
          </w:tcPr>
          <w:p w14:paraId="34ED4740" w14:textId="77777777" w:rsidR="00AF43A0" w:rsidRPr="00AF43A0" w:rsidRDefault="00AF43A0" w:rsidP="00AF43A0">
            <w:pPr>
              <w:rPr>
                <w:rFonts w:cs="Arial"/>
              </w:rPr>
            </w:pPr>
          </w:p>
        </w:tc>
        <w:tc>
          <w:tcPr>
            <w:tcW w:w="997" w:type="dxa"/>
          </w:tcPr>
          <w:p w14:paraId="0DD32F81" w14:textId="77777777" w:rsidR="00AF43A0" w:rsidRPr="00AF43A0" w:rsidRDefault="00AF43A0" w:rsidP="00AF43A0">
            <w:pPr>
              <w:rPr>
                <w:rFonts w:cs="Arial"/>
              </w:rPr>
            </w:pPr>
          </w:p>
        </w:tc>
        <w:tc>
          <w:tcPr>
            <w:tcW w:w="1943" w:type="dxa"/>
          </w:tcPr>
          <w:p w14:paraId="79D225C0" w14:textId="77777777" w:rsidR="00AF43A0" w:rsidRPr="00AF43A0" w:rsidRDefault="00AF43A0" w:rsidP="00AF43A0">
            <w:pPr>
              <w:rPr>
                <w:rFonts w:cs="Arial"/>
              </w:rPr>
            </w:pPr>
          </w:p>
        </w:tc>
        <w:tc>
          <w:tcPr>
            <w:tcW w:w="1611" w:type="dxa"/>
          </w:tcPr>
          <w:p w14:paraId="0DFF384E" w14:textId="77777777" w:rsidR="00AF43A0" w:rsidRPr="00AF43A0" w:rsidRDefault="00AF43A0" w:rsidP="00AF43A0">
            <w:pPr>
              <w:rPr>
                <w:rFonts w:cs="Arial"/>
              </w:rPr>
            </w:pPr>
          </w:p>
        </w:tc>
        <w:tc>
          <w:tcPr>
            <w:tcW w:w="1415" w:type="dxa"/>
          </w:tcPr>
          <w:p w14:paraId="131FBE10" w14:textId="4B78826C" w:rsidR="00AF43A0" w:rsidRPr="00AF43A0" w:rsidRDefault="00AF43A0" w:rsidP="00AF43A0">
            <w:pPr>
              <w:rPr>
                <w:rFonts w:cs="Arial"/>
              </w:rPr>
            </w:pPr>
            <w:r w:rsidRPr="00AF43A0">
              <w:rPr>
                <w:szCs w:val="20"/>
              </w:rPr>
              <w:t>Депресия</w:t>
            </w:r>
          </w:p>
        </w:tc>
      </w:tr>
      <w:tr w:rsidR="00AF43A0" w:rsidRPr="00AF43A0" w14:paraId="14F6A061" w14:textId="77777777" w:rsidTr="00AF43A0">
        <w:tc>
          <w:tcPr>
            <w:tcW w:w="2043" w:type="dxa"/>
          </w:tcPr>
          <w:p w14:paraId="63D7FBE8" w14:textId="693041DF" w:rsidR="00AF43A0" w:rsidRPr="00AF43A0" w:rsidRDefault="00AF43A0" w:rsidP="00AF43A0">
            <w:pPr>
              <w:rPr>
                <w:rFonts w:cs="Arial"/>
              </w:rPr>
            </w:pPr>
            <w:r w:rsidRPr="00AF43A0">
              <w:rPr>
                <w:i/>
                <w:iCs/>
                <w:szCs w:val="20"/>
              </w:rPr>
              <w:t>Нарушения на нервната система</w:t>
            </w:r>
          </w:p>
        </w:tc>
        <w:tc>
          <w:tcPr>
            <w:tcW w:w="1341" w:type="dxa"/>
          </w:tcPr>
          <w:p w14:paraId="6FE7CCBE" w14:textId="7B5C03A4" w:rsidR="00AF43A0" w:rsidRPr="00AF43A0" w:rsidRDefault="00AF43A0" w:rsidP="00AF43A0">
            <w:pPr>
              <w:rPr>
                <w:rFonts w:cs="Arial"/>
              </w:rPr>
            </w:pPr>
            <w:r w:rsidRPr="00AF43A0">
              <w:rPr>
                <w:szCs w:val="20"/>
              </w:rPr>
              <w:t>Главоболие, Замайване</w:t>
            </w:r>
          </w:p>
        </w:tc>
        <w:tc>
          <w:tcPr>
            <w:tcW w:w="997" w:type="dxa"/>
          </w:tcPr>
          <w:p w14:paraId="2AA69095" w14:textId="77777777" w:rsidR="00AF43A0" w:rsidRPr="00AF43A0" w:rsidRDefault="00AF43A0" w:rsidP="00AF43A0">
            <w:pPr>
              <w:rPr>
                <w:rFonts w:cs="Arial"/>
              </w:rPr>
            </w:pPr>
          </w:p>
        </w:tc>
        <w:tc>
          <w:tcPr>
            <w:tcW w:w="1943" w:type="dxa"/>
          </w:tcPr>
          <w:p w14:paraId="53056BD6" w14:textId="77777777" w:rsidR="00AF43A0" w:rsidRPr="00AF43A0" w:rsidRDefault="00AF43A0" w:rsidP="00AF43A0">
            <w:pPr>
              <w:rPr>
                <w:rFonts w:cs="Arial"/>
              </w:rPr>
            </w:pPr>
          </w:p>
        </w:tc>
        <w:tc>
          <w:tcPr>
            <w:tcW w:w="1611" w:type="dxa"/>
          </w:tcPr>
          <w:p w14:paraId="1206C411" w14:textId="14049F8B" w:rsidR="00AF43A0" w:rsidRPr="00AF43A0" w:rsidRDefault="00AF43A0" w:rsidP="00AF43A0">
            <w:pPr>
              <w:rPr>
                <w:rFonts w:cs="Arial"/>
              </w:rPr>
            </w:pPr>
            <w:r w:rsidRPr="00AF43A0">
              <w:rPr>
                <w:szCs w:val="20"/>
              </w:rPr>
              <w:t>Полиневропати я, Загуба на памет</w:t>
            </w:r>
          </w:p>
        </w:tc>
        <w:tc>
          <w:tcPr>
            <w:tcW w:w="1415" w:type="dxa"/>
          </w:tcPr>
          <w:p w14:paraId="289C730E" w14:textId="10695FCE" w:rsidR="00AF43A0" w:rsidRPr="00AF43A0" w:rsidRDefault="00AF43A0" w:rsidP="00AF43A0">
            <w:pPr>
              <w:rPr>
                <w:rFonts w:cs="Arial"/>
              </w:rPr>
            </w:pPr>
            <w:r w:rsidRPr="00AF43A0">
              <w:rPr>
                <w:szCs w:val="20"/>
              </w:rPr>
              <w:t>Периферна невропатия, Нарушения на съня (вкл. инсомния и кошмари)</w:t>
            </w:r>
          </w:p>
        </w:tc>
      </w:tr>
      <w:tr w:rsidR="00AF43A0" w:rsidRPr="00AF43A0" w14:paraId="01B90DDB" w14:textId="77777777" w:rsidTr="00AF43A0">
        <w:tc>
          <w:tcPr>
            <w:tcW w:w="2043" w:type="dxa"/>
          </w:tcPr>
          <w:p w14:paraId="547356DE" w14:textId="1C43D561" w:rsidR="00AF43A0" w:rsidRPr="00AF43A0" w:rsidRDefault="00AF43A0" w:rsidP="00AF43A0">
            <w:pPr>
              <w:rPr>
                <w:rFonts w:cs="Arial"/>
              </w:rPr>
            </w:pPr>
            <w:r w:rsidRPr="00AF43A0">
              <w:rPr>
                <w:i/>
                <w:iCs/>
                <w:szCs w:val="20"/>
              </w:rPr>
              <w:t>Респираторни, гръдни и медиастинални нарушения</w:t>
            </w:r>
          </w:p>
        </w:tc>
        <w:tc>
          <w:tcPr>
            <w:tcW w:w="1341" w:type="dxa"/>
          </w:tcPr>
          <w:p w14:paraId="67D8743D" w14:textId="77777777" w:rsidR="00AF43A0" w:rsidRPr="00AF43A0" w:rsidRDefault="00AF43A0" w:rsidP="00AF43A0">
            <w:pPr>
              <w:rPr>
                <w:rFonts w:cs="Arial"/>
              </w:rPr>
            </w:pPr>
          </w:p>
        </w:tc>
        <w:tc>
          <w:tcPr>
            <w:tcW w:w="997" w:type="dxa"/>
          </w:tcPr>
          <w:p w14:paraId="75F03015" w14:textId="77777777" w:rsidR="00AF43A0" w:rsidRPr="00AF43A0" w:rsidRDefault="00AF43A0" w:rsidP="00AF43A0">
            <w:pPr>
              <w:rPr>
                <w:rFonts w:cs="Arial"/>
              </w:rPr>
            </w:pPr>
          </w:p>
        </w:tc>
        <w:tc>
          <w:tcPr>
            <w:tcW w:w="1943" w:type="dxa"/>
          </w:tcPr>
          <w:p w14:paraId="1A71935C" w14:textId="77777777" w:rsidR="00AF43A0" w:rsidRPr="00AF43A0" w:rsidRDefault="00AF43A0" w:rsidP="00AF43A0">
            <w:pPr>
              <w:rPr>
                <w:rFonts w:cs="Arial"/>
              </w:rPr>
            </w:pPr>
          </w:p>
        </w:tc>
        <w:tc>
          <w:tcPr>
            <w:tcW w:w="1611" w:type="dxa"/>
          </w:tcPr>
          <w:p w14:paraId="122F0279" w14:textId="77777777" w:rsidR="00AF43A0" w:rsidRPr="00AF43A0" w:rsidRDefault="00AF43A0" w:rsidP="00AF43A0">
            <w:pPr>
              <w:rPr>
                <w:rFonts w:cs="Arial"/>
              </w:rPr>
            </w:pPr>
          </w:p>
        </w:tc>
        <w:tc>
          <w:tcPr>
            <w:tcW w:w="1415" w:type="dxa"/>
          </w:tcPr>
          <w:p w14:paraId="307E8B76" w14:textId="715D9C96" w:rsidR="00AF43A0" w:rsidRPr="00AF43A0" w:rsidRDefault="00AF43A0" w:rsidP="00AF43A0">
            <w:pPr>
              <w:rPr>
                <w:rFonts w:cs="Arial"/>
              </w:rPr>
            </w:pPr>
            <w:r w:rsidRPr="00AF43A0">
              <w:rPr>
                <w:szCs w:val="20"/>
              </w:rPr>
              <w:t>Кашлица, Диспнея</w:t>
            </w:r>
          </w:p>
        </w:tc>
      </w:tr>
      <w:tr w:rsidR="00AF43A0" w:rsidRPr="00AF43A0" w14:paraId="6CE65461" w14:textId="77777777" w:rsidTr="00AF43A0">
        <w:tc>
          <w:tcPr>
            <w:tcW w:w="2043" w:type="dxa"/>
          </w:tcPr>
          <w:p w14:paraId="335531D2" w14:textId="2F4D2918" w:rsidR="00AF43A0" w:rsidRPr="00AF43A0" w:rsidRDefault="00AF43A0" w:rsidP="00AF43A0">
            <w:pPr>
              <w:rPr>
                <w:rFonts w:cs="Arial"/>
              </w:rPr>
            </w:pPr>
            <w:r w:rsidRPr="00AF43A0">
              <w:rPr>
                <w:i/>
                <w:iCs/>
                <w:szCs w:val="20"/>
              </w:rPr>
              <w:t>Стомашно-чревни нарушения</w:t>
            </w:r>
          </w:p>
        </w:tc>
        <w:tc>
          <w:tcPr>
            <w:tcW w:w="1341" w:type="dxa"/>
          </w:tcPr>
          <w:p w14:paraId="66652606" w14:textId="3E2E4846" w:rsidR="00AF43A0" w:rsidRPr="00AF43A0" w:rsidRDefault="00AF43A0" w:rsidP="00AF43A0">
            <w:pPr>
              <w:rPr>
                <w:rFonts w:cs="Arial"/>
              </w:rPr>
            </w:pPr>
            <w:r w:rsidRPr="00AF43A0">
              <w:rPr>
                <w:szCs w:val="20"/>
              </w:rPr>
              <w:t>Констипаци я, Гадене, Коремна болка</w:t>
            </w:r>
          </w:p>
        </w:tc>
        <w:tc>
          <w:tcPr>
            <w:tcW w:w="997" w:type="dxa"/>
          </w:tcPr>
          <w:p w14:paraId="517091C4" w14:textId="77777777" w:rsidR="00AF43A0" w:rsidRPr="00AF43A0" w:rsidRDefault="00AF43A0" w:rsidP="00AF43A0">
            <w:pPr>
              <w:rPr>
                <w:rFonts w:cs="Arial"/>
              </w:rPr>
            </w:pPr>
          </w:p>
        </w:tc>
        <w:tc>
          <w:tcPr>
            <w:tcW w:w="1943" w:type="dxa"/>
          </w:tcPr>
          <w:p w14:paraId="6694E105" w14:textId="10977502" w:rsidR="00AF43A0" w:rsidRPr="00AF43A0" w:rsidRDefault="00AF43A0" w:rsidP="00AF43A0">
            <w:pPr>
              <w:rPr>
                <w:rFonts w:cs="Arial"/>
              </w:rPr>
            </w:pPr>
            <w:r w:rsidRPr="00AF43A0">
              <w:rPr>
                <w:szCs w:val="20"/>
              </w:rPr>
              <w:t>Панкреатит</w:t>
            </w:r>
          </w:p>
        </w:tc>
        <w:tc>
          <w:tcPr>
            <w:tcW w:w="1611" w:type="dxa"/>
          </w:tcPr>
          <w:p w14:paraId="78896E54" w14:textId="77777777" w:rsidR="00AF43A0" w:rsidRPr="00AF43A0" w:rsidRDefault="00AF43A0" w:rsidP="00AF43A0">
            <w:pPr>
              <w:rPr>
                <w:rFonts w:cs="Arial"/>
              </w:rPr>
            </w:pPr>
          </w:p>
        </w:tc>
        <w:tc>
          <w:tcPr>
            <w:tcW w:w="1415" w:type="dxa"/>
          </w:tcPr>
          <w:p w14:paraId="4B5A93D6" w14:textId="1D707D75" w:rsidR="00AF43A0" w:rsidRPr="00AF43A0" w:rsidRDefault="00AF43A0" w:rsidP="00AF43A0">
            <w:pPr>
              <w:rPr>
                <w:rFonts w:cs="Arial"/>
              </w:rPr>
            </w:pPr>
            <w:r w:rsidRPr="00AF43A0">
              <w:rPr>
                <w:szCs w:val="20"/>
              </w:rPr>
              <w:t>Диария</w:t>
            </w:r>
          </w:p>
        </w:tc>
      </w:tr>
      <w:tr w:rsidR="00AF43A0" w:rsidRPr="00AF43A0" w14:paraId="1E15AA99" w14:textId="77777777" w:rsidTr="00AF43A0">
        <w:tc>
          <w:tcPr>
            <w:tcW w:w="2043" w:type="dxa"/>
          </w:tcPr>
          <w:p w14:paraId="5B3FECB2" w14:textId="7F89C006" w:rsidR="00AF43A0" w:rsidRPr="00AF43A0" w:rsidRDefault="00AF43A0" w:rsidP="00AF43A0">
            <w:pPr>
              <w:rPr>
                <w:rFonts w:cs="Arial"/>
              </w:rPr>
            </w:pPr>
            <w:r w:rsidRPr="00AF43A0">
              <w:rPr>
                <w:i/>
                <w:iCs/>
                <w:szCs w:val="20"/>
              </w:rPr>
              <w:t>Хепатобилиарни нарушения</w:t>
            </w:r>
          </w:p>
        </w:tc>
        <w:tc>
          <w:tcPr>
            <w:tcW w:w="1341" w:type="dxa"/>
          </w:tcPr>
          <w:p w14:paraId="3E685263" w14:textId="77777777" w:rsidR="00AF43A0" w:rsidRPr="00AF43A0" w:rsidRDefault="00AF43A0" w:rsidP="00AF43A0">
            <w:pPr>
              <w:rPr>
                <w:rFonts w:cs="Arial"/>
              </w:rPr>
            </w:pPr>
          </w:p>
        </w:tc>
        <w:tc>
          <w:tcPr>
            <w:tcW w:w="997" w:type="dxa"/>
          </w:tcPr>
          <w:p w14:paraId="432D851E" w14:textId="77777777" w:rsidR="00AF43A0" w:rsidRPr="00AF43A0" w:rsidRDefault="00AF43A0" w:rsidP="00AF43A0">
            <w:pPr>
              <w:rPr>
                <w:rFonts w:cs="Arial"/>
              </w:rPr>
            </w:pPr>
          </w:p>
        </w:tc>
        <w:tc>
          <w:tcPr>
            <w:tcW w:w="1943" w:type="dxa"/>
          </w:tcPr>
          <w:p w14:paraId="4458B1FB" w14:textId="6298B42B" w:rsidR="00AF43A0" w:rsidRPr="00AF43A0" w:rsidRDefault="00AF43A0" w:rsidP="00AF43A0">
            <w:pPr>
              <w:rPr>
                <w:rFonts w:cs="Arial"/>
              </w:rPr>
            </w:pPr>
            <w:r w:rsidRPr="00AF43A0">
              <w:rPr>
                <w:szCs w:val="20"/>
              </w:rPr>
              <w:t>Повишени чернодробни трансаминази</w:t>
            </w:r>
          </w:p>
        </w:tc>
        <w:tc>
          <w:tcPr>
            <w:tcW w:w="1611" w:type="dxa"/>
          </w:tcPr>
          <w:p w14:paraId="19B0BB1C" w14:textId="1744B78E" w:rsidR="00AF43A0" w:rsidRPr="00AF43A0" w:rsidRDefault="00AF43A0" w:rsidP="00AF43A0">
            <w:pPr>
              <w:rPr>
                <w:rFonts w:cs="Arial"/>
              </w:rPr>
            </w:pPr>
            <w:r w:rsidRPr="00AF43A0">
              <w:rPr>
                <w:szCs w:val="20"/>
              </w:rPr>
              <w:t>Жълтеница, Хепатит</w:t>
            </w:r>
          </w:p>
        </w:tc>
        <w:tc>
          <w:tcPr>
            <w:tcW w:w="1415" w:type="dxa"/>
          </w:tcPr>
          <w:p w14:paraId="2C06DB3E" w14:textId="77777777" w:rsidR="00AF43A0" w:rsidRPr="00AF43A0" w:rsidRDefault="00AF43A0" w:rsidP="00AF43A0">
            <w:pPr>
              <w:rPr>
                <w:rFonts w:cs="Arial"/>
              </w:rPr>
            </w:pPr>
          </w:p>
        </w:tc>
      </w:tr>
      <w:tr w:rsidR="00AF43A0" w:rsidRPr="00AF43A0" w14:paraId="49678F08" w14:textId="77777777" w:rsidTr="00AF43A0">
        <w:tc>
          <w:tcPr>
            <w:tcW w:w="2043" w:type="dxa"/>
          </w:tcPr>
          <w:p w14:paraId="403E7797" w14:textId="42428592" w:rsidR="00AF43A0" w:rsidRPr="00AF43A0" w:rsidRDefault="00AF43A0" w:rsidP="00AF43A0">
            <w:pPr>
              <w:rPr>
                <w:rFonts w:cs="Arial"/>
              </w:rPr>
            </w:pPr>
            <w:r w:rsidRPr="00AF43A0">
              <w:rPr>
                <w:i/>
                <w:iCs/>
                <w:szCs w:val="20"/>
              </w:rPr>
              <w:t>Нарушения на кожата и подкожната тъкан</w:t>
            </w:r>
          </w:p>
        </w:tc>
        <w:tc>
          <w:tcPr>
            <w:tcW w:w="1341" w:type="dxa"/>
          </w:tcPr>
          <w:p w14:paraId="377EA4B0" w14:textId="77777777" w:rsidR="00AF43A0" w:rsidRPr="00AF43A0" w:rsidRDefault="00AF43A0" w:rsidP="00AF43A0">
            <w:pPr>
              <w:rPr>
                <w:rFonts w:cs="Arial"/>
              </w:rPr>
            </w:pPr>
          </w:p>
        </w:tc>
        <w:tc>
          <w:tcPr>
            <w:tcW w:w="997" w:type="dxa"/>
          </w:tcPr>
          <w:p w14:paraId="1080BCB2" w14:textId="0D0B1AB8" w:rsidR="00AF43A0" w:rsidRPr="00AF43A0" w:rsidRDefault="00AF43A0" w:rsidP="00AF43A0">
            <w:pPr>
              <w:rPr>
                <w:rFonts w:cs="Arial"/>
              </w:rPr>
            </w:pPr>
            <w:r w:rsidRPr="00AF43A0">
              <w:rPr>
                <w:szCs w:val="20"/>
              </w:rPr>
              <w:t>Пруратус , Обрив, Уртикари я</w:t>
            </w:r>
          </w:p>
        </w:tc>
        <w:tc>
          <w:tcPr>
            <w:tcW w:w="1943" w:type="dxa"/>
          </w:tcPr>
          <w:p w14:paraId="35D3BA74" w14:textId="77777777" w:rsidR="00AF43A0" w:rsidRPr="00AF43A0" w:rsidRDefault="00AF43A0" w:rsidP="00AF43A0">
            <w:pPr>
              <w:rPr>
                <w:rFonts w:cs="Arial"/>
              </w:rPr>
            </w:pPr>
          </w:p>
        </w:tc>
        <w:tc>
          <w:tcPr>
            <w:tcW w:w="1611" w:type="dxa"/>
          </w:tcPr>
          <w:p w14:paraId="16A4BA0D" w14:textId="77777777" w:rsidR="00AF43A0" w:rsidRPr="00AF43A0" w:rsidRDefault="00AF43A0" w:rsidP="00AF43A0">
            <w:pPr>
              <w:rPr>
                <w:rFonts w:cs="Arial"/>
              </w:rPr>
            </w:pPr>
          </w:p>
        </w:tc>
        <w:tc>
          <w:tcPr>
            <w:tcW w:w="1415" w:type="dxa"/>
          </w:tcPr>
          <w:p w14:paraId="7E0CAECD" w14:textId="77777777" w:rsidR="00AF43A0" w:rsidRPr="00AF43A0" w:rsidRDefault="00AF43A0" w:rsidP="00AF43A0">
            <w:r w:rsidRPr="00AF43A0">
              <w:rPr>
                <w:szCs w:val="20"/>
              </w:rPr>
              <w:t xml:space="preserve">Синдром на </w:t>
            </w:r>
            <w:r w:rsidRPr="00AF43A0">
              <w:rPr>
                <w:szCs w:val="20"/>
                <w:lang w:val="en-US"/>
              </w:rPr>
              <w:t xml:space="preserve">Stevens- Johnson, </w:t>
            </w:r>
            <w:r w:rsidRPr="00AF43A0">
              <w:rPr>
                <w:szCs w:val="20"/>
              </w:rPr>
              <w:t>Лекарствена</w:t>
            </w:r>
          </w:p>
          <w:p w14:paraId="479AE3E3" w14:textId="77777777" w:rsidR="00AF43A0" w:rsidRPr="00AF43A0" w:rsidRDefault="00AF43A0" w:rsidP="00AF43A0">
            <w:r w:rsidRPr="00AF43A0">
              <w:rPr>
                <w:szCs w:val="20"/>
              </w:rPr>
              <w:t>реакция с</w:t>
            </w:r>
          </w:p>
          <w:p w14:paraId="1C254738" w14:textId="77777777" w:rsidR="00AF43A0" w:rsidRPr="00AF43A0" w:rsidRDefault="00AF43A0" w:rsidP="00AF43A0">
            <w:r w:rsidRPr="00AF43A0">
              <w:rPr>
                <w:szCs w:val="20"/>
              </w:rPr>
              <w:t>еозинофилия</w:t>
            </w:r>
          </w:p>
          <w:p w14:paraId="5D29FB52" w14:textId="77777777" w:rsidR="00AF43A0" w:rsidRPr="00AF43A0" w:rsidRDefault="00AF43A0" w:rsidP="00AF43A0">
            <w:r w:rsidRPr="00AF43A0">
              <w:rPr>
                <w:szCs w:val="20"/>
              </w:rPr>
              <w:t>и системни</w:t>
            </w:r>
          </w:p>
          <w:p w14:paraId="2E9B59AC" w14:textId="77777777" w:rsidR="00AF43A0" w:rsidRPr="00AF43A0" w:rsidRDefault="00AF43A0" w:rsidP="00AF43A0">
            <w:r w:rsidRPr="00AF43A0">
              <w:rPr>
                <w:szCs w:val="20"/>
              </w:rPr>
              <w:t>симптоми</w:t>
            </w:r>
          </w:p>
          <w:p w14:paraId="48824A42" w14:textId="18CBF002" w:rsidR="00AF43A0" w:rsidRPr="00AF43A0" w:rsidRDefault="00AF43A0" w:rsidP="00AF43A0">
            <w:pPr>
              <w:rPr>
                <w:rFonts w:cs="Arial"/>
              </w:rPr>
            </w:pPr>
            <w:r w:rsidRPr="00AF43A0">
              <w:rPr>
                <w:szCs w:val="20"/>
              </w:rPr>
              <w:t>(</w:t>
            </w:r>
            <w:r w:rsidRPr="00AF43A0">
              <w:rPr>
                <w:szCs w:val="20"/>
                <w:lang w:val="en-US"/>
              </w:rPr>
              <w:t>DRESS</w:t>
            </w:r>
            <w:r w:rsidRPr="00AF43A0">
              <w:rPr>
                <w:szCs w:val="20"/>
              </w:rPr>
              <w:t>)</w:t>
            </w:r>
          </w:p>
        </w:tc>
      </w:tr>
      <w:tr w:rsidR="00AF43A0" w:rsidRPr="00AF43A0" w14:paraId="0D903985" w14:textId="77777777" w:rsidTr="00AF43A0">
        <w:tc>
          <w:tcPr>
            <w:tcW w:w="2043" w:type="dxa"/>
          </w:tcPr>
          <w:p w14:paraId="24E70392" w14:textId="06D335D6" w:rsidR="00AF43A0" w:rsidRPr="00AF43A0" w:rsidRDefault="00AF43A0" w:rsidP="00AF43A0">
            <w:pPr>
              <w:rPr>
                <w:rFonts w:cs="Arial"/>
              </w:rPr>
            </w:pPr>
            <w:r w:rsidRPr="00AF43A0">
              <w:rPr>
                <w:i/>
                <w:iCs/>
                <w:szCs w:val="20"/>
              </w:rPr>
              <w:t xml:space="preserve">Нарушения на мускулно- </w:t>
            </w:r>
            <w:r w:rsidRPr="00AF43A0">
              <w:rPr>
                <w:i/>
                <w:iCs/>
                <w:szCs w:val="20"/>
              </w:rPr>
              <w:lastRenderedPageBreak/>
              <w:t>скелетната система и съединителната тъкан</w:t>
            </w:r>
          </w:p>
        </w:tc>
        <w:tc>
          <w:tcPr>
            <w:tcW w:w="1341" w:type="dxa"/>
          </w:tcPr>
          <w:p w14:paraId="4D80AD76" w14:textId="6FC5192C" w:rsidR="00AF43A0" w:rsidRPr="00AF43A0" w:rsidRDefault="00AF43A0" w:rsidP="00AF43A0">
            <w:pPr>
              <w:rPr>
                <w:rFonts w:cs="Arial"/>
              </w:rPr>
            </w:pPr>
            <w:r w:rsidRPr="00AF43A0">
              <w:rPr>
                <w:szCs w:val="20"/>
              </w:rPr>
              <w:lastRenderedPageBreak/>
              <w:t>Миалгия</w:t>
            </w:r>
          </w:p>
        </w:tc>
        <w:tc>
          <w:tcPr>
            <w:tcW w:w="997" w:type="dxa"/>
          </w:tcPr>
          <w:p w14:paraId="5C8B7543" w14:textId="77777777" w:rsidR="00AF43A0" w:rsidRPr="00AF43A0" w:rsidRDefault="00AF43A0" w:rsidP="00AF43A0">
            <w:pPr>
              <w:rPr>
                <w:rFonts w:cs="Arial"/>
              </w:rPr>
            </w:pPr>
          </w:p>
        </w:tc>
        <w:tc>
          <w:tcPr>
            <w:tcW w:w="1943" w:type="dxa"/>
          </w:tcPr>
          <w:p w14:paraId="6D1E6CAB" w14:textId="7763A34B" w:rsidR="00AF43A0" w:rsidRPr="00AF43A0" w:rsidRDefault="00AF43A0" w:rsidP="00AF43A0">
            <w:pPr>
              <w:rPr>
                <w:rFonts w:cs="Arial"/>
              </w:rPr>
            </w:pPr>
            <w:r w:rsidRPr="00AF43A0">
              <w:rPr>
                <w:szCs w:val="20"/>
              </w:rPr>
              <w:t xml:space="preserve">Миопатия (включиелно </w:t>
            </w:r>
            <w:r w:rsidRPr="00AF43A0">
              <w:rPr>
                <w:szCs w:val="20"/>
              </w:rPr>
              <w:lastRenderedPageBreak/>
              <w:t>миозит), Рабдомиолиза, Лупус-подобен синдром, Руптура на мускула</w:t>
            </w:r>
          </w:p>
        </w:tc>
        <w:tc>
          <w:tcPr>
            <w:tcW w:w="1611" w:type="dxa"/>
          </w:tcPr>
          <w:p w14:paraId="433BDA73" w14:textId="447C6D41" w:rsidR="00AF43A0" w:rsidRPr="00AF43A0" w:rsidRDefault="00AF43A0" w:rsidP="00AF43A0">
            <w:pPr>
              <w:rPr>
                <w:rFonts w:cs="Arial"/>
              </w:rPr>
            </w:pPr>
            <w:r w:rsidRPr="00AF43A0">
              <w:rPr>
                <w:szCs w:val="20"/>
              </w:rPr>
              <w:lastRenderedPageBreak/>
              <w:t>Артралгия</w:t>
            </w:r>
          </w:p>
        </w:tc>
        <w:tc>
          <w:tcPr>
            <w:tcW w:w="1415" w:type="dxa"/>
          </w:tcPr>
          <w:p w14:paraId="6A385134" w14:textId="74783DF0" w:rsidR="00AF43A0" w:rsidRPr="00AF43A0" w:rsidRDefault="00AF43A0" w:rsidP="00AF43A0">
            <w:pPr>
              <w:rPr>
                <w:rFonts w:cs="Arial"/>
              </w:rPr>
            </w:pPr>
            <w:r w:rsidRPr="00AF43A0">
              <w:rPr>
                <w:szCs w:val="20"/>
              </w:rPr>
              <w:t xml:space="preserve">Нарушения на </w:t>
            </w:r>
            <w:r w:rsidRPr="00AF43A0">
              <w:rPr>
                <w:szCs w:val="20"/>
              </w:rPr>
              <w:lastRenderedPageBreak/>
              <w:t>сухожилията, понякога усложнени от руптура, Имунно- медиирана некротизира ща миопатия</w:t>
            </w:r>
          </w:p>
        </w:tc>
      </w:tr>
      <w:tr w:rsidR="00AF43A0" w:rsidRPr="00AF43A0" w14:paraId="718A5530" w14:textId="77777777" w:rsidTr="00AF43A0">
        <w:tc>
          <w:tcPr>
            <w:tcW w:w="2043" w:type="dxa"/>
          </w:tcPr>
          <w:p w14:paraId="70FB5FEE" w14:textId="43ED0C89" w:rsidR="00AF43A0" w:rsidRPr="00AF43A0" w:rsidRDefault="00AF43A0" w:rsidP="00AF43A0">
            <w:pPr>
              <w:rPr>
                <w:rFonts w:cs="Arial"/>
              </w:rPr>
            </w:pPr>
            <w:r w:rsidRPr="00AF43A0">
              <w:rPr>
                <w:i/>
                <w:iCs/>
                <w:szCs w:val="20"/>
              </w:rPr>
              <w:lastRenderedPageBreak/>
              <w:t>Нарушения на бъбреците и пикочните пътища</w:t>
            </w:r>
          </w:p>
        </w:tc>
        <w:tc>
          <w:tcPr>
            <w:tcW w:w="1341" w:type="dxa"/>
          </w:tcPr>
          <w:p w14:paraId="769C2BA3" w14:textId="77777777" w:rsidR="00AF43A0" w:rsidRPr="00AF43A0" w:rsidRDefault="00AF43A0" w:rsidP="00AF43A0">
            <w:pPr>
              <w:rPr>
                <w:rFonts w:cs="Arial"/>
              </w:rPr>
            </w:pPr>
          </w:p>
        </w:tc>
        <w:tc>
          <w:tcPr>
            <w:tcW w:w="997" w:type="dxa"/>
          </w:tcPr>
          <w:p w14:paraId="604307EB" w14:textId="77777777" w:rsidR="00AF43A0" w:rsidRPr="00AF43A0" w:rsidRDefault="00AF43A0" w:rsidP="00AF43A0">
            <w:pPr>
              <w:rPr>
                <w:rFonts w:cs="Arial"/>
              </w:rPr>
            </w:pPr>
          </w:p>
        </w:tc>
        <w:tc>
          <w:tcPr>
            <w:tcW w:w="1943" w:type="dxa"/>
          </w:tcPr>
          <w:p w14:paraId="0693BE62" w14:textId="77777777" w:rsidR="00AF43A0" w:rsidRPr="00AF43A0" w:rsidRDefault="00AF43A0" w:rsidP="00AF43A0">
            <w:pPr>
              <w:rPr>
                <w:rFonts w:cs="Arial"/>
              </w:rPr>
            </w:pPr>
          </w:p>
        </w:tc>
        <w:tc>
          <w:tcPr>
            <w:tcW w:w="1611" w:type="dxa"/>
          </w:tcPr>
          <w:p w14:paraId="6CFB5A50" w14:textId="7806B06B" w:rsidR="00AF43A0" w:rsidRPr="00AF43A0" w:rsidRDefault="00AF43A0" w:rsidP="00AF43A0">
            <w:pPr>
              <w:rPr>
                <w:rFonts w:cs="Arial"/>
              </w:rPr>
            </w:pPr>
            <w:r w:rsidRPr="00AF43A0">
              <w:rPr>
                <w:szCs w:val="20"/>
              </w:rPr>
              <w:t>Хематурия</w:t>
            </w:r>
          </w:p>
        </w:tc>
        <w:tc>
          <w:tcPr>
            <w:tcW w:w="1415" w:type="dxa"/>
          </w:tcPr>
          <w:p w14:paraId="01C4AF6B" w14:textId="77777777" w:rsidR="00AF43A0" w:rsidRPr="00AF43A0" w:rsidRDefault="00AF43A0" w:rsidP="00AF43A0">
            <w:pPr>
              <w:rPr>
                <w:rFonts w:cs="Arial"/>
              </w:rPr>
            </w:pPr>
          </w:p>
        </w:tc>
      </w:tr>
      <w:tr w:rsidR="00AF43A0" w:rsidRPr="00AF43A0" w14:paraId="401455E5" w14:textId="77777777" w:rsidTr="00AF43A0">
        <w:tc>
          <w:tcPr>
            <w:tcW w:w="2043" w:type="dxa"/>
          </w:tcPr>
          <w:p w14:paraId="62F310EB" w14:textId="33AAF21B" w:rsidR="00AF43A0" w:rsidRPr="00AF43A0" w:rsidRDefault="00AF43A0" w:rsidP="00AF43A0">
            <w:pPr>
              <w:rPr>
                <w:rFonts w:cs="Arial"/>
              </w:rPr>
            </w:pPr>
            <w:r w:rsidRPr="00AF43A0">
              <w:rPr>
                <w:i/>
                <w:iCs/>
                <w:szCs w:val="20"/>
              </w:rPr>
              <w:t>Нарушения на възпроизводителна та система и гърдата</w:t>
            </w:r>
          </w:p>
        </w:tc>
        <w:tc>
          <w:tcPr>
            <w:tcW w:w="1341" w:type="dxa"/>
          </w:tcPr>
          <w:p w14:paraId="21DCE94E" w14:textId="77777777" w:rsidR="00AF43A0" w:rsidRPr="00AF43A0" w:rsidRDefault="00AF43A0" w:rsidP="00AF43A0">
            <w:pPr>
              <w:rPr>
                <w:rFonts w:cs="Arial"/>
              </w:rPr>
            </w:pPr>
          </w:p>
        </w:tc>
        <w:tc>
          <w:tcPr>
            <w:tcW w:w="997" w:type="dxa"/>
          </w:tcPr>
          <w:p w14:paraId="32EF1853" w14:textId="77777777" w:rsidR="00AF43A0" w:rsidRPr="00AF43A0" w:rsidRDefault="00AF43A0" w:rsidP="00AF43A0">
            <w:pPr>
              <w:rPr>
                <w:rFonts w:cs="Arial"/>
              </w:rPr>
            </w:pPr>
          </w:p>
        </w:tc>
        <w:tc>
          <w:tcPr>
            <w:tcW w:w="1943" w:type="dxa"/>
          </w:tcPr>
          <w:p w14:paraId="1984EA77" w14:textId="77777777" w:rsidR="00AF43A0" w:rsidRPr="00AF43A0" w:rsidRDefault="00AF43A0" w:rsidP="00AF43A0">
            <w:pPr>
              <w:rPr>
                <w:rFonts w:cs="Arial"/>
              </w:rPr>
            </w:pPr>
          </w:p>
        </w:tc>
        <w:tc>
          <w:tcPr>
            <w:tcW w:w="1611" w:type="dxa"/>
          </w:tcPr>
          <w:p w14:paraId="1B23A78E" w14:textId="4016CBC0" w:rsidR="00AF43A0" w:rsidRPr="00AF43A0" w:rsidRDefault="00AF43A0" w:rsidP="00AF43A0">
            <w:pPr>
              <w:rPr>
                <w:rFonts w:cs="Arial"/>
              </w:rPr>
            </w:pPr>
            <w:r w:rsidRPr="00AF43A0">
              <w:rPr>
                <w:szCs w:val="20"/>
              </w:rPr>
              <w:t>Гинекомастия</w:t>
            </w:r>
          </w:p>
        </w:tc>
        <w:tc>
          <w:tcPr>
            <w:tcW w:w="1415" w:type="dxa"/>
          </w:tcPr>
          <w:p w14:paraId="41DFC1A3" w14:textId="77777777" w:rsidR="00AF43A0" w:rsidRPr="00AF43A0" w:rsidRDefault="00AF43A0" w:rsidP="00AF43A0">
            <w:pPr>
              <w:rPr>
                <w:rFonts w:cs="Arial"/>
              </w:rPr>
            </w:pPr>
          </w:p>
        </w:tc>
      </w:tr>
      <w:tr w:rsidR="00AF43A0" w:rsidRPr="00AF43A0" w14:paraId="40EA0A17" w14:textId="77777777" w:rsidTr="00AF43A0">
        <w:tc>
          <w:tcPr>
            <w:tcW w:w="2043" w:type="dxa"/>
          </w:tcPr>
          <w:p w14:paraId="672FF733" w14:textId="45936BB4" w:rsidR="00AF43A0" w:rsidRPr="00AF43A0" w:rsidRDefault="00AF43A0" w:rsidP="00AF43A0">
            <w:pPr>
              <w:rPr>
                <w:rFonts w:cs="Arial"/>
              </w:rPr>
            </w:pPr>
            <w:r w:rsidRPr="00AF43A0">
              <w:rPr>
                <w:i/>
                <w:iCs/>
                <w:szCs w:val="20"/>
              </w:rPr>
              <w:t>Общи нарушения и ефекти на мястото на приложение</w:t>
            </w:r>
          </w:p>
        </w:tc>
        <w:tc>
          <w:tcPr>
            <w:tcW w:w="1341" w:type="dxa"/>
          </w:tcPr>
          <w:p w14:paraId="362B4488" w14:textId="4397A1E5" w:rsidR="00AF43A0" w:rsidRPr="00AF43A0" w:rsidRDefault="00AF43A0" w:rsidP="00AF43A0">
            <w:pPr>
              <w:rPr>
                <w:rFonts w:cs="Arial"/>
              </w:rPr>
            </w:pPr>
            <w:r w:rsidRPr="00AF43A0">
              <w:rPr>
                <w:szCs w:val="20"/>
              </w:rPr>
              <w:t>Астения</w:t>
            </w:r>
          </w:p>
        </w:tc>
        <w:tc>
          <w:tcPr>
            <w:tcW w:w="997" w:type="dxa"/>
          </w:tcPr>
          <w:p w14:paraId="34F0E98D" w14:textId="77777777" w:rsidR="00AF43A0" w:rsidRPr="00AF43A0" w:rsidRDefault="00AF43A0" w:rsidP="00AF43A0">
            <w:pPr>
              <w:rPr>
                <w:rFonts w:cs="Arial"/>
              </w:rPr>
            </w:pPr>
          </w:p>
        </w:tc>
        <w:tc>
          <w:tcPr>
            <w:tcW w:w="1943" w:type="dxa"/>
          </w:tcPr>
          <w:p w14:paraId="193C9F64" w14:textId="77777777" w:rsidR="00AF43A0" w:rsidRPr="00AF43A0" w:rsidRDefault="00AF43A0" w:rsidP="00AF43A0">
            <w:pPr>
              <w:rPr>
                <w:rFonts w:cs="Arial"/>
              </w:rPr>
            </w:pPr>
          </w:p>
        </w:tc>
        <w:tc>
          <w:tcPr>
            <w:tcW w:w="1611" w:type="dxa"/>
          </w:tcPr>
          <w:p w14:paraId="45BB78A6" w14:textId="77777777" w:rsidR="00AF43A0" w:rsidRPr="00AF43A0" w:rsidRDefault="00AF43A0" w:rsidP="00AF43A0">
            <w:pPr>
              <w:rPr>
                <w:rFonts w:cs="Arial"/>
              </w:rPr>
            </w:pPr>
          </w:p>
        </w:tc>
        <w:tc>
          <w:tcPr>
            <w:tcW w:w="1415" w:type="dxa"/>
          </w:tcPr>
          <w:p w14:paraId="4410506C" w14:textId="2B2AAF4D" w:rsidR="00AF43A0" w:rsidRPr="00AF43A0" w:rsidRDefault="00AF43A0" w:rsidP="00AF43A0">
            <w:pPr>
              <w:rPr>
                <w:rFonts w:cs="Arial"/>
              </w:rPr>
            </w:pPr>
            <w:r w:rsidRPr="00AF43A0">
              <w:rPr>
                <w:szCs w:val="20"/>
              </w:rPr>
              <w:t>Едем</w:t>
            </w:r>
          </w:p>
        </w:tc>
      </w:tr>
      <w:tr w:rsidR="00AF43A0" w:rsidRPr="00AF43A0" w14:paraId="61C2D7B6" w14:textId="77777777" w:rsidTr="00AE2C14">
        <w:tc>
          <w:tcPr>
            <w:tcW w:w="9350" w:type="dxa"/>
            <w:gridSpan w:val="6"/>
          </w:tcPr>
          <w:p w14:paraId="3D041C6A" w14:textId="570BFE1A" w:rsidR="00AF43A0" w:rsidRPr="00AF43A0" w:rsidRDefault="00AF43A0" w:rsidP="0091385D">
            <w:pPr>
              <w:rPr>
                <w:rFonts w:cs="Arial"/>
              </w:rPr>
            </w:pPr>
            <w:r w:rsidRPr="00AF43A0">
              <w:rPr>
                <w:szCs w:val="20"/>
                <w:vertAlign w:val="superscript"/>
              </w:rPr>
              <w:t>1</w:t>
            </w:r>
            <w:r w:rsidRPr="00AF43A0">
              <w:rPr>
                <w:szCs w:val="20"/>
              </w:rPr>
              <w:t xml:space="preserve"> Честотата зависи от наличието или отсъствието на рискови фактори (глюкоза на гладно ≥</w:t>
            </w:r>
            <w:r w:rsidRPr="00AF43A0">
              <w:rPr>
                <w:szCs w:val="20"/>
                <w:lang w:val="en-US"/>
              </w:rPr>
              <w:t xml:space="preserve"> </w:t>
            </w:r>
            <w:r w:rsidRPr="00AF43A0">
              <w:rPr>
                <w:szCs w:val="20"/>
              </w:rPr>
              <w:t xml:space="preserve">5,6 </w:t>
            </w:r>
            <w:proofErr w:type="spellStart"/>
            <w:r w:rsidRPr="00AF43A0">
              <w:rPr>
                <w:szCs w:val="20"/>
                <w:lang w:val="en-US"/>
              </w:rPr>
              <w:t>mmol</w:t>
            </w:r>
            <w:proofErr w:type="spellEnd"/>
            <w:r w:rsidRPr="00AF43A0">
              <w:rPr>
                <w:szCs w:val="20"/>
                <w:lang w:val="en-US"/>
              </w:rPr>
              <w:t xml:space="preserve">/1, </w:t>
            </w:r>
            <w:r w:rsidRPr="00AF43A0">
              <w:rPr>
                <w:szCs w:val="20"/>
              </w:rPr>
              <w:t xml:space="preserve">индекс на телесна маса &gt; 30 </w:t>
            </w:r>
            <w:r w:rsidRPr="00AF43A0">
              <w:rPr>
                <w:szCs w:val="20"/>
                <w:lang w:val="en-US"/>
              </w:rPr>
              <w:t>kg/m</w:t>
            </w:r>
            <w:r w:rsidRPr="00AF43A0">
              <w:rPr>
                <w:szCs w:val="20"/>
                <w:vertAlign w:val="superscript"/>
                <w:lang w:val="en-US"/>
              </w:rPr>
              <w:t>2</w:t>
            </w:r>
            <w:r w:rsidRPr="00AF43A0">
              <w:rPr>
                <w:szCs w:val="20"/>
                <w:lang w:val="en-US"/>
              </w:rPr>
              <w:t xml:space="preserve">, </w:t>
            </w:r>
            <w:r w:rsidRPr="00AF43A0">
              <w:rPr>
                <w:szCs w:val="20"/>
              </w:rPr>
              <w:t>повишени стойности на триглицеридите. анамнеза за хипертония).</w:t>
            </w:r>
          </w:p>
        </w:tc>
      </w:tr>
    </w:tbl>
    <w:p w14:paraId="443BC107" w14:textId="61215F2E" w:rsidR="005B0F27" w:rsidRPr="00AF43A0" w:rsidRDefault="005B0F27" w:rsidP="0091385D">
      <w:pPr>
        <w:rPr>
          <w:rFonts w:cs="Arial"/>
        </w:rPr>
      </w:pPr>
    </w:p>
    <w:p w14:paraId="104AA2F1"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 xml:space="preserve">Както при други инхибитори на </w:t>
      </w:r>
      <w:r w:rsidRPr="00AF43A0">
        <w:rPr>
          <w:rFonts w:eastAsia="Times New Roman" w:cs="Arial"/>
          <w:color w:val="000000"/>
          <w:lang w:val="en-US"/>
        </w:rPr>
        <w:t xml:space="preserve">HMG-CoA </w:t>
      </w:r>
      <w:r w:rsidRPr="00AF43A0">
        <w:rPr>
          <w:rFonts w:eastAsia="Times New Roman" w:cs="Arial"/>
          <w:color w:val="000000"/>
          <w:lang w:eastAsia="bg-BG"/>
        </w:rPr>
        <w:t>редуктазата, честотата на нежеланите лекарствени реакции зависи от лекарствената доза.</w:t>
      </w:r>
    </w:p>
    <w:p w14:paraId="2826531F" w14:textId="77777777" w:rsidR="00AF43A0" w:rsidRPr="00AF43A0" w:rsidRDefault="00AF43A0" w:rsidP="00AF43A0">
      <w:pPr>
        <w:spacing w:line="240" w:lineRule="auto"/>
        <w:rPr>
          <w:rFonts w:eastAsia="Times New Roman" w:cs="Arial"/>
          <w:b/>
          <w:bCs/>
          <w:color w:val="000000"/>
          <w:lang w:eastAsia="bg-BG"/>
        </w:rPr>
      </w:pPr>
    </w:p>
    <w:p w14:paraId="1A59A2A3" w14:textId="13BF2CCC" w:rsidR="00AF43A0" w:rsidRPr="00AF43A0" w:rsidRDefault="00AF43A0" w:rsidP="00AF43A0">
      <w:pPr>
        <w:spacing w:line="240" w:lineRule="auto"/>
        <w:rPr>
          <w:rFonts w:eastAsia="Times New Roman" w:cs="Arial"/>
          <w:lang w:eastAsia="bg-BG"/>
        </w:rPr>
      </w:pPr>
      <w:r w:rsidRPr="00AF43A0">
        <w:rPr>
          <w:rFonts w:eastAsia="Times New Roman" w:cs="Arial"/>
          <w:b/>
          <w:bCs/>
          <w:color w:val="000000"/>
          <w:lang w:eastAsia="bg-BG"/>
        </w:rPr>
        <w:t>Ефекти върху бъбреците</w:t>
      </w:r>
    </w:p>
    <w:p w14:paraId="7BC10BB2" w14:textId="1C8D02FB"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При пациенти, лекувани с розувастатин, е наблюдавана яротеинурия, установена при изследване с тест-лентички и която е с предимно тубулен произход.</w:t>
      </w:r>
    </w:p>
    <w:p w14:paraId="37EAAC9E"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 xml:space="preserve">В определени моменти от лечението при &lt;1 % от пациентите на 10 </w:t>
      </w:r>
      <w:r w:rsidRPr="00AF43A0">
        <w:rPr>
          <w:rFonts w:eastAsia="Times New Roman" w:cs="Arial"/>
          <w:color w:val="000000"/>
          <w:lang w:val="en-US"/>
        </w:rPr>
        <w:t xml:space="preserve">mg </w:t>
      </w:r>
      <w:r w:rsidRPr="00AF43A0">
        <w:rPr>
          <w:rFonts w:eastAsia="Times New Roman" w:cs="Arial"/>
          <w:color w:val="000000"/>
          <w:lang w:eastAsia="bg-BG"/>
        </w:rPr>
        <w:t xml:space="preserve">и 20 </w:t>
      </w:r>
      <w:r w:rsidRPr="00AF43A0">
        <w:rPr>
          <w:rFonts w:eastAsia="Times New Roman" w:cs="Arial"/>
          <w:color w:val="000000"/>
          <w:lang w:val="en-US"/>
        </w:rPr>
        <w:t xml:space="preserve">mg, </w:t>
      </w:r>
      <w:r w:rsidRPr="00AF43A0">
        <w:rPr>
          <w:rFonts w:eastAsia="Times New Roman" w:cs="Arial"/>
          <w:color w:val="000000"/>
          <w:lang w:eastAsia="bg-BG"/>
        </w:rPr>
        <w:t xml:space="preserve">и при приблизително 3% от пациентите, лекувани е 40 </w:t>
      </w:r>
      <w:r w:rsidRPr="00AF43A0">
        <w:rPr>
          <w:rFonts w:eastAsia="Times New Roman" w:cs="Arial"/>
          <w:color w:val="000000"/>
          <w:lang w:val="en-US"/>
        </w:rPr>
        <w:t xml:space="preserve">mg, </w:t>
      </w:r>
      <w:r w:rsidRPr="00AF43A0">
        <w:rPr>
          <w:rFonts w:eastAsia="Times New Roman" w:cs="Arial"/>
          <w:color w:val="000000"/>
          <w:lang w:eastAsia="bg-BG"/>
        </w:rPr>
        <w:t xml:space="preserve">са наблюдавани промени в изследванията за протеин в урината от отрицателен резултат или следи до ++. Незначително отклонение в посока от отрицателен резултат или следи към + е наблюдавано при доза 20 </w:t>
      </w:r>
      <w:r w:rsidRPr="00AF43A0">
        <w:rPr>
          <w:rFonts w:eastAsia="Times New Roman" w:cs="Arial"/>
          <w:color w:val="000000"/>
          <w:lang w:val="en-US"/>
        </w:rPr>
        <w:t xml:space="preserve">mg. </w:t>
      </w:r>
      <w:r w:rsidRPr="00AF43A0">
        <w:rPr>
          <w:rFonts w:eastAsia="Times New Roman" w:cs="Arial"/>
          <w:color w:val="000000"/>
          <w:lang w:eastAsia="bg-BG"/>
        </w:rPr>
        <w:t>В повечето случаи протеинурията намалява или изчезва спонтанно в процеса на лечението и не е доказано да предшества остро и прогресивно бъбречно заболяване. От прегледа на данните при клиничните опити и постмаркетинговите проучвания, досега не е идентифицирана причинна връзка между протеинурията и остро или прогресивно бъбречно заболяване.</w:t>
      </w:r>
    </w:p>
    <w:p w14:paraId="785DFCFA" w14:textId="77777777" w:rsidR="00AF43A0" w:rsidRPr="00AF43A0" w:rsidRDefault="00AF43A0" w:rsidP="00AF43A0">
      <w:pPr>
        <w:spacing w:line="240" w:lineRule="auto"/>
        <w:rPr>
          <w:rFonts w:eastAsia="Times New Roman" w:cs="Arial"/>
          <w:color w:val="000000"/>
          <w:lang w:eastAsia="bg-BG"/>
        </w:rPr>
      </w:pPr>
    </w:p>
    <w:p w14:paraId="40ECF41A" w14:textId="68B81080"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При пациенти, третирани с розувастатин, е наблюдавана хематурия, но клиничните данни сочат, че честотата и е ниска.</w:t>
      </w:r>
    </w:p>
    <w:p w14:paraId="15EBD7B6" w14:textId="77777777" w:rsidR="00AF43A0" w:rsidRPr="00AF43A0" w:rsidRDefault="00AF43A0" w:rsidP="00AF43A0">
      <w:pPr>
        <w:spacing w:line="240" w:lineRule="auto"/>
        <w:rPr>
          <w:rFonts w:eastAsia="Times New Roman" w:cs="Arial"/>
          <w:b/>
          <w:bCs/>
          <w:color w:val="000000"/>
          <w:lang w:eastAsia="bg-BG"/>
        </w:rPr>
      </w:pPr>
    </w:p>
    <w:p w14:paraId="5D5D66F4" w14:textId="09762EBE" w:rsidR="00AF43A0" w:rsidRPr="00AF43A0" w:rsidRDefault="00AF43A0" w:rsidP="00AF43A0">
      <w:pPr>
        <w:spacing w:line="240" w:lineRule="auto"/>
        <w:rPr>
          <w:rFonts w:eastAsia="Times New Roman" w:cs="Arial"/>
          <w:lang w:eastAsia="bg-BG"/>
        </w:rPr>
      </w:pPr>
      <w:r w:rsidRPr="00AF43A0">
        <w:rPr>
          <w:rFonts w:eastAsia="Times New Roman" w:cs="Arial"/>
          <w:b/>
          <w:bCs/>
          <w:color w:val="000000"/>
          <w:lang w:eastAsia="bg-BG"/>
        </w:rPr>
        <w:t>Ефекти върху скелетната мускулатура</w:t>
      </w:r>
    </w:p>
    <w:p w14:paraId="60A4E8CA" w14:textId="77777777" w:rsidR="00AF43A0" w:rsidRPr="00AF43A0" w:rsidRDefault="00AF43A0" w:rsidP="00AF43A0">
      <w:pPr>
        <w:spacing w:line="240" w:lineRule="auto"/>
        <w:rPr>
          <w:rFonts w:eastAsia="Times New Roman" w:cs="Arial"/>
          <w:color w:val="000000"/>
          <w:lang w:eastAsia="bg-BG"/>
        </w:rPr>
      </w:pPr>
    </w:p>
    <w:p w14:paraId="634392DA" w14:textId="48BEF409"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 xml:space="preserve">Както при други инхибитори на </w:t>
      </w:r>
      <w:r w:rsidRPr="00AF43A0">
        <w:rPr>
          <w:rFonts w:eastAsia="Times New Roman" w:cs="Arial"/>
          <w:color w:val="000000"/>
          <w:lang w:val="en-US"/>
        </w:rPr>
        <w:t xml:space="preserve">HMG-CoA </w:t>
      </w:r>
      <w:r w:rsidRPr="00AF43A0">
        <w:rPr>
          <w:rFonts w:eastAsia="Times New Roman" w:cs="Arial"/>
          <w:color w:val="000000"/>
          <w:lang w:eastAsia="bg-BG"/>
        </w:rPr>
        <w:t xml:space="preserve">редуктазата, въздействия върху скелетната мускулатура като неусложнена миалгия, миопатия (включително миозит) и рабдомиолиза, </w:t>
      </w:r>
      <w:r w:rsidRPr="00AF43A0">
        <w:rPr>
          <w:rFonts w:eastAsia="Times New Roman" w:cs="Arial"/>
          <w:color w:val="000000"/>
          <w:lang w:eastAsia="bg-BG"/>
        </w:rPr>
        <w:lastRenderedPageBreak/>
        <w:t xml:space="preserve">са установени при пациенти, лекувани с розувастатин - във всички терапевтични дози, особено над 20 </w:t>
      </w:r>
      <w:r w:rsidRPr="00AF43A0">
        <w:rPr>
          <w:rFonts w:eastAsia="Times New Roman" w:cs="Arial"/>
          <w:color w:val="000000"/>
          <w:lang w:val="en-US"/>
        </w:rPr>
        <w:t>mg.</w:t>
      </w:r>
    </w:p>
    <w:p w14:paraId="1CDEBC0F" w14:textId="77777777" w:rsidR="00AF43A0" w:rsidRPr="00AF43A0" w:rsidRDefault="00AF43A0" w:rsidP="00AF43A0">
      <w:pPr>
        <w:spacing w:line="240" w:lineRule="auto"/>
        <w:rPr>
          <w:rFonts w:eastAsia="Times New Roman" w:cs="Arial"/>
          <w:color w:val="000000"/>
          <w:lang w:eastAsia="bg-BG"/>
        </w:rPr>
      </w:pPr>
    </w:p>
    <w:p w14:paraId="01578DF7" w14:textId="57109FD3"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Увеличение на нивото на СК вследствие на увеличение на дозата е наблюдавано при малък брой пациенти на розувастатин: множество от случаите са леки, преходни и асимптоматични. Ако нивото на СК се повиши (&gt; 5 пъти горната граница на нормата) лечението трябва временно</w:t>
      </w:r>
      <w:r>
        <w:rPr>
          <w:rFonts w:eastAsia="Times New Roman" w:cs="Arial"/>
          <w:lang w:val="en-US" w:eastAsia="bg-BG"/>
        </w:rPr>
        <w:t xml:space="preserve"> </w:t>
      </w:r>
      <w:r w:rsidRPr="00AF43A0">
        <w:rPr>
          <w:rFonts w:eastAsia="Times New Roman" w:cs="Arial"/>
          <w:color w:val="000000"/>
          <w:lang w:eastAsia="bg-BG"/>
        </w:rPr>
        <w:t>да се преустанови (вж. точка 4.4).</w:t>
      </w:r>
    </w:p>
    <w:p w14:paraId="7A82DD71" w14:textId="77777777" w:rsidR="00AF43A0" w:rsidRPr="00AF43A0" w:rsidRDefault="00AF43A0" w:rsidP="00AF43A0">
      <w:pPr>
        <w:rPr>
          <w:rFonts w:eastAsia="Times New Roman" w:cs="Arial"/>
          <w:b/>
          <w:bCs/>
          <w:color w:val="000000"/>
          <w:lang w:eastAsia="bg-BG"/>
        </w:rPr>
      </w:pPr>
    </w:p>
    <w:p w14:paraId="584D6404" w14:textId="5767585B" w:rsidR="00AF43A0" w:rsidRPr="00AF43A0" w:rsidRDefault="00AF43A0" w:rsidP="00AF43A0">
      <w:pPr>
        <w:rPr>
          <w:rFonts w:cs="Arial"/>
        </w:rPr>
      </w:pPr>
      <w:r w:rsidRPr="00AF43A0">
        <w:rPr>
          <w:rFonts w:eastAsia="Times New Roman" w:cs="Arial"/>
          <w:b/>
          <w:bCs/>
          <w:color w:val="000000"/>
          <w:lang w:eastAsia="bg-BG"/>
        </w:rPr>
        <w:t>Ефект върху черния дроб</w:t>
      </w:r>
    </w:p>
    <w:p w14:paraId="6214F08A"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 xml:space="preserve">Както при други инхибитори на </w:t>
      </w:r>
      <w:r w:rsidRPr="00AF43A0">
        <w:rPr>
          <w:rFonts w:eastAsia="Times New Roman" w:cs="Arial"/>
          <w:color w:val="000000"/>
          <w:lang w:val="en-US"/>
        </w:rPr>
        <w:t xml:space="preserve">HMG-CoA </w:t>
      </w:r>
      <w:r w:rsidRPr="00AF43A0">
        <w:rPr>
          <w:rFonts w:eastAsia="Times New Roman" w:cs="Arial"/>
          <w:color w:val="000000"/>
          <w:lang w:eastAsia="bg-BG"/>
        </w:rPr>
        <w:t>редуктазата, увеличение на трансаминазите, свързано е дозировката, е наблюдавано при малък брой пациенти на розувастатин; по-голяма част от случаите са леки, асимптоматични и преходни.</w:t>
      </w:r>
    </w:p>
    <w:p w14:paraId="08FA6D4A" w14:textId="77777777" w:rsidR="00AF43A0" w:rsidRPr="00AF43A0" w:rsidRDefault="00AF43A0" w:rsidP="00AF43A0">
      <w:pPr>
        <w:spacing w:line="240" w:lineRule="auto"/>
        <w:rPr>
          <w:rFonts w:eastAsia="Times New Roman" w:cs="Arial"/>
          <w:color w:val="000000"/>
          <w:lang w:eastAsia="bg-BG"/>
        </w:rPr>
      </w:pPr>
    </w:p>
    <w:p w14:paraId="585CBB7E" w14:textId="3C61A4C2"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Следните нежелани реакции са докладвани при някои статини:</w:t>
      </w:r>
    </w:p>
    <w:p w14:paraId="571B7A2E" w14:textId="77777777" w:rsidR="00AF43A0" w:rsidRPr="00AF43A0" w:rsidRDefault="00AF43A0" w:rsidP="00AF43A0">
      <w:pPr>
        <w:pStyle w:val="ListParagraph"/>
        <w:numPr>
          <w:ilvl w:val="0"/>
          <w:numId w:val="41"/>
        </w:numPr>
        <w:spacing w:line="240" w:lineRule="auto"/>
        <w:rPr>
          <w:rFonts w:eastAsia="Times New Roman" w:cs="Arial"/>
          <w:color w:val="000000"/>
          <w:lang w:eastAsia="bg-BG"/>
        </w:rPr>
      </w:pPr>
      <w:r w:rsidRPr="00AF43A0">
        <w:rPr>
          <w:rFonts w:eastAsia="Times New Roman" w:cs="Arial"/>
          <w:color w:val="000000"/>
          <w:lang w:eastAsia="bg-BG"/>
        </w:rPr>
        <w:t>Сексуална дисфункция;</w:t>
      </w:r>
    </w:p>
    <w:p w14:paraId="68F514FE" w14:textId="306D6671" w:rsidR="00AF43A0" w:rsidRPr="00AF43A0" w:rsidRDefault="00AF43A0" w:rsidP="00AF43A0">
      <w:pPr>
        <w:pStyle w:val="ListParagraph"/>
        <w:numPr>
          <w:ilvl w:val="0"/>
          <w:numId w:val="41"/>
        </w:numPr>
        <w:spacing w:line="240" w:lineRule="auto"/>
        <w:rPr>
          <w:rFonts w:eastAsia="Times New Roman" w:cs="Arial"/>
          <w:color w:val="000000"/>
          <w:lang w:eastAsia="bg-BG"/>
        </w:rPr>
      </w:pPr>
      <w:r w:rsidRPr="00AF43A0">
        <w:rPr>
          <w:rFonts w:eastAsia="Times New Roman" w:cs="Arial"/>
          <w:color w:val="000000"/>
          <w:lang w:eastAsia="bg-BG"/>
        </w:rPr>
        <w:t>Изолирани случаи на интерстициална белодробна болест, особено при</w:t>
      </w:r>
      <w:r w:rsidRPr="00AF43A0">
        <w:rPr>
          <w:rFonts w:eastAsia="Times New Roman" w:cs="Arial"/>
          <w:color w:val="000000"/>
          <w:lang w:val="en-US" w:eastAsia="bg-BG"/>
        </w:rPr>
        <w:t xml:space="preserve"> </w:t>
      </w:r>
      <w:r w:rsidRPr="00AF43A0">
        <w:rPr>
          <w:rFonts w:eastAsia="Times New Roman" w:cs="Arial"/>
          <w:color w:val="000000"/>
          <w:lang w:eastAsia="bg-BG"/>
        </w:rPr>
        <w:t>продължителна терапия (вж. точка 4.4).</w:t>
      </w:r>
    </w:p>
    <w:p w14:paraId="381C9A8B" w14:textId="77777777" w:rsidR="00AF43A0" w:rsidRPr="00AF43A0" w:rsidRDefault="00AF43A0" w:rsidP="00AF43A0">
      <w:pPr>
        <w:spacing w:line="240" w:lineRule="auto"/>
        <w:rPr>
          <w:rFonts w:eastAsia="Times New Roman" w:cs="Arial"/>
          <w:color w:val="000000"/>
          <w:lang w:eastAsia="bg-BG"/>
        </w:rPr>
      </w:pPr>
    </w:p>
    <w:p w14:paraId="1D333A54" w14:textId="3728ED19"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 xml:space="preserve">Докладваната честота на рабдомиолиза, сериозни чернодробни увреди, (основно - увеличени чернодробни трансаминази) е по-висока при дозировка 40 </w:t>
      </w:r>
      <w:r w:rsidRPr="00AF43A0">
        <w:rPr>
          <w:rFonts w:eastAsia="Times New Roman" w:cs="Arial"/>
          <w:color w:val="000000"/>
          <w:lang w:val="en-US"/>
        </w:rPr>
        <w:t>mg.</w:t>
      </w:r>
    </w:p>
    <w:p w14:paraId="711469BA" w14:textId="77777777" w:rsidR="00AF43A0" w:rsidRPr="00AF43A0" w:rsidRDefault="00AF43A0" w:rsidP="00AF43A0">
      <w:pPr>
        <w:spacing w:line="240" w:lineRule="auto"/>
        <w:rPr>
          <w:rFonts w:eastAsia="Times New Roman" w:cs="Arial"/>
          <w:color w:val="000000"/>
          <w:u w:val="single"/>
          <w:lang w:eastAsia="bg-BG"/>
        </w:rPr>
      </w:pPr>
    </w:p>
    <w:p w14:paraId="51516B20" w14:textId="50EEB7F7" w:rsidR="00AF43A0" w:rsidRPr="00AF43A0" w:rsidRDefault="00AF43A0" w:rsidP="00AF43A0">
      <w:pPr>
        <w:spacing w:line="240" w:lineRule="auto"/>
        <w:rPr>
          <w:rFonts w:eastAsia="Times New Roman" w:cs="Arial"/>
          <w:lang w:eastAsia="bg-BG"/>
        </w:rPr>
      </w:pPr>
      <w:r w:rsidRPr="00AF43A0">
        <w:rPr>
          <w:rFonts w:eastAsia="Times New Roman" w:cs="Arial"/>
          <w:color w:val="000000"/>
          <w:u w:val="single"/>
          <w:lang w:eastAsia="bg-BG"/>
        </w:rPr>
        <w:t>Педиатрична популация</w:t>
      </w:r>
    </w:p>
    <w:p w14:paraId="3B8796D2"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 xml:space="preserve">В едно 52-седмично клинично проучване повишаване на креатинкиназата &gt; 10 х </w:t>
      </w:r>
      <w:r w:rsidRPr="00AF43A0">
        <w:rPr>
          <w:rFonts w:eastAsia="Times New Roman" w:cs="Arial"/>
          <w:color w:val="000000"/>
          <w:lang w:val="en-US"/>
        </w:rPr>
        <w:t xml:space="preserve">ULN </w:t>
      </w:r>
      <w:r w:rsidRPr="00AF43A0">
        <w:rPr>
          <w:rFonts w:eastAsia="Times New Roman" w:cs="Arial"/>
          <w:color w:val="000000"/>
          <w:lang w:eastAsia="bg-BG"/>
        </w:rPr>
        <w:t>и мускулни симптоми след упражнения или повишена физическа активност са наблюдавани по- често при деца и юноши, в сравнение с възрастните (вж. точка 4.4). В друг аспект, профилът на безопасност на розувастатин е сходен при деца и юноши в сравнение с възрастните.</w:t>
      </w:r>
    </w:p>
    <w:p w14:paraId="156B5027" w14:textId="77777777" w:rsidR="00AF43A0" w:rsidRPr="00AF43A0" w:rsidRDefault="00AF43A0" w:rsidP="00AF43A0">
      <w:pPr>
        <w:spacing w:line="240" w:lineRule="auto"/>
        <w:rPr>
          <w:rFonts w:eastAsia="Times New Roman" w:cs="Arial"/>
          <w:color w:val="000000"/>
          <w:u w:val="single"/>
          <w:lang w:eastAsia="bg-BG"/>
        </w:rPr>
      </w:pPr>
    </w:p>
    <w:p w14:paraId="5BB1DB37" w14:textId="25C1C33A" w:rsidR="00AF43A0" w:rsidRPr="00AF43A0" w:rsidRDefault="00AF43A0" w:rsidP="00AF43A0">
      <w:pPr>
        <w:spacing w:line="240" w:lineRule="auto"/>
        <w:rPr>
          <w:rFonts w:eastAsia="Times New Roman" w:cs="Arial"/>
          <w:lang w:eastAsia="bg-BG"/>
        </w:rPr>
      </w:pPr>
      <w:r w:rsidRPr="00AF43A0">
        <w:rPr>
          <w:rFonts w:eastAsia="Times New Roman" w:cs="Arial"/>
          <w:color w:val="000000"/>
          <w:u w:val="single"/>
          <w:lang w:eastAsia="bg-BG"/>
        </w:rPr>
        <w:t>Съобщаване на подозирани нежелани реакции</w:t>
      </w:r>
    </w:p>
    <w:p w14:paraId="5133C085"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10A85B43" w14:textId="77777777" w:rsidR="00AF43A0" w:rsidRPr="00AF43A0" w:rsidRDefault="00AF43A0" w:rsidP="00AF43A0">
      <w:pPr>
        <w:spacing w:line="240" w:lineRule="auto"/>
        <w:rPr>
          <w:rFonts w:eastAsia="Times New Roman" w:cs="Arial"/>
          <w:color w:val="000000"/>
          <w:lang w:eastAsia="bg-BG"/>
        </w:rPr>
      </w:pPr>
    </w:p>
    <w:p w14:paraId="496D8B9A" w14:textId="7D5067BB"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Изпълнителна агенция по лекарствата.</w:t>
      </w:r>
    </w:p>
    <w:p w14:paraId="0A917242"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ул. „Дамян Груев” № 8</w:t>
      </w:r>
    </w:p>
    <w:p w14:paraId="08D90341"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1303 София</w:t>
      </w:r>
    </w:p>
    <w:p w14:paraId="085E8DB6"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Тел.:4-35 928903417</w:t>
      </w:r>
    </w:p>
    <w:p w14:paraId="25B97756" w14:textId="2E6F4254" w:rsidR="00AF43A0" w:rsidRPr="00AF43A0" w:rsidRDefault="00AF43A0" w:rsidP="00AF43A0">
      <w:pPr>
        <w:rPr>
          <w:rFonts w:cs="Arial"/>
        </w:rPr>
      </w:pPr>
      <w:r w:rsidRPr="00AF43A0">
        <w:rPr>
          <w:rFonts w:eastAsia="Times New Roman" w:cs="Arial"/>
          <w:color w:val="000000"/>
          <w:lang w:eastAsia="bg-BG"/>
        </w:rPr>
        <w:t xml:space="preserve">уебсайт: </w:t>
      </w:r>
      <w:hyperlink r:id="rId5" w:history="1">
        <w:r w:rsidRPr="00AF43A0">
          <w:rPr>
            <w:rFonts w:eastAsia="Times New Roman" w:cs="Arial"/>
            <w:color w:val="000000"/>
            <w:lang w:val="en-US"/>
          </w:rPr>
          <w:t>www.bda.bg</w:t>
        </w:r>
      </w:hyperlink>
    </w:p>
    <w:p w14:paraId="79D344E0" w14:textId="77777777" w:rsidR="00AF43A0" w:rsidRPr="0091385D" w:rsidRDefault="00AF43A0"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6A43B8F3" w14:textId="2BE0AE15" w:rsidR="007A2185" w:rsidRPr="00AF43A0" w:rsidRDefault="00AF43A0" w:rsidP="0091385D">
      <w:pPr>
        <w:rPr>
          <w:rFonts w:cs="Arial"/>
        </w:rPr>
      </w:pPr>
      <w:r w:rsidRPr="00AF43A0">
        <w:rPr>
          <w:rFonts w:cs="Arial"/>
        </w:rPr>
        <w:t xml:space="preserve">Няма специфично лечение в случай на предозиране. При предозиране пациентът трябва да се лекува симптоматично и да се започнат поддържащи мерки според нуждата. Чернодробната функция и нивата на </w:t>
      </w:r>
      <w:r w:rsidR="00B17B98">
        <w:rPr>
          <w:rFonts w:cs="Arial"/>
        </w:rPr>
        <w:t xml:space="preserve">СК трябва да се следят. Малко е </w:t>
      </w:r>
      <w:r w:rsidRPr="00AF43A0">
        <w:rPr>
          <w:rFonts w:cs="Arial"/>
        </w:rPr>
        <w:t>вероягнохемодиализата да бъде от полза.</w:t>
      </w:r>
    </w:p>
    <w:p w14:paraId="48FF1584" w14:textId="77777777"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54E3734D"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 xml:space="preserve">Фармакотерапевтнчна група: инхибитори на </w:t>
      </w:r>
      <w:r w:rsidRPr="00AF43A0">
        <w:rPr>
          <w:rFonts w:eastAsia="Times New Roman" w:cs="Arial"/>
          <w:color w:val="000000"/>
          <w:lang w:val="en-US"/>
        </w:rPr>
        <w:t xml:space="preserve">HMG-CoA </w:t>
      </w:r>
      <w:r w:rsidRPr="00AF43A0">
        <w:rPr>
          <w:rFonts w:eastAsia="Times New Roman" w:cs="Arial"/>
          <w:color w:val="000000"/>
          <w:lang w:eastAsia="bg-BG"/>
        </w:rPr>
        <w:t>редуктазата, АТС код: С10АА07</w:t>
      </w:r>
    </w:p>
    <w:p w14:paraId="050079CA" w14:textId="77777777" w:rsidR="00AF43A0" w:rsidRPr="00AF43A0" w:rsidRDefault="00AF43A0" w:rsidP="00AF43A0">
      <w:pPr>
        <w:spacing w:line="240" w:lineRule="auto"/>
        <w:rPr>
          <w:rFonts w:eastAsia="Times New Roman" w:cs="Arial"/>
          <w:color w:val="000000"/>
          <w:u w:val="single"/>
          <w:lang w:eastAsia="bg-BG"/>
        </w:rPr>
      </w:pPr>
    </w:p>
    <w:p w14:paraId="34CB2485" w14:textId="06FBCD52" w:rsidR="00AF43A0" w:rsidRPr="00AF43A0" w:rsidRDefault="00AF43A0" w:rsidP="00AF43A0">
      <w:pPr>
        <w:spacing w:line="240" w:lineRule="auto"/>
        <w:rPr>
          <w:rFonts w:eastAsia="Times New Roman" w:cs="Arial"/>
          <w:lang w:eastAsia="bg-BG"/>
        </w:rPr>
      </w:pPr>
      <w:r w:rsidRPr="00AF43A0">
        <w:rPr>
          <w:rFonts w:eastAsia="Times New Roman" w:cs="Arial"/>
          <w:color w:val="000000"/>
          <w:u w:val="single"/>
          <w:lang w:eastAsia="bg-BG"/>
        </w:rPr>
        <w:t>Механизъм на действие</w:t>
      </w:r>
    </w:p>
    <w:p w14:paraId="7044CA18" w14:textId="77777777"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 xml:space="preserve">Розувастатин е селективен и конкурентен инхибитор на </w:t>
      </w:r>
      <w:r w:rsidRPr="00AF43A0">
        <w:rPr>
          <w:rFonts w:eastAsia="Times New Roman" w:cs="Arial"/>
          <w:color w:val="000000"/>
          <w:lang w:val="en-US"/>
        </w:rPr>
        <w:t xml:space="preserve">HMG-CoA </w:t>
      </w:r>
      <w:r w:rsidRPr="00AF43A0">
        <w:rPr>
          <w:rFonts w:eastAsia="Times New Roman" w:cs="Arial"/>
          <w:color w:val="000000"/>
          <w:lang w:eastAsia="bg-BG"/>
        </w:rPr>
        <w:t>редуктазата, скорост- ограничаващия ензим, който превръща З-хидрокси-З-метилглутарил коензим А в мевалонат, прекурсор на холестерола. Основно въздействие розувастатин оказва върху черния дроб, органът, в който се извършва намаляване нивото на холестерол.</w:t>
      </w:r>
    </w:p>
    <w:p w14:paraId="6751C28E" w14:textId="77777777" w:rsidR="00AF43A0" w:rsidRPr="00AF43A0" w:rsidRDefault="00AF43A0" w:rsidP="00AF43A0">
      <w:pPr>
        <w:spacing w:line="240" w:lineRule="auto"/>
        <w:rPr>
          <w:rFonts w:eastAsia="Times New Roman" w:cs="Arial"/>
          <w:color w:val="000000"/>
          <w:lang w:eastAsia="bg-BG"/>
        </w:rPr>
      </w:pPr>
    </w:p>
    <w:p w14:paraId="1A09FB60" w14:textId="10A36476"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 xml:space="preserve">Розувастатин увеличава броя на чернодробните </w:t>
      </w:r>
      <w:r w:rsidRPr="00AF43A0">
        <w:rPr>
          <w:rFonts w:eastAsia="Times New Roman" w:cs="Arial"/>
          <w:color w:val="000000"/>
          <w:lang w:val="en-US"/>
        </w:rPr>
        <w:t xml:space="preserve">LDL </w:t>
      </w:r>
      <w:r w:rsidRPr="00AF43A0">
        <w:rPr>
          <w:rFonts w:eastAsia="Times New Roman" w:cs="Arial"/>
          <w:color w:val="000000"/>
          <w:lang w:eastAsia="bg-BG"/>
        </w:rPr>
        <w:t xml:space="preserve">рецептори върху клетъчната повърхност, като засилва поемането и катаболизма на </w:t>
      </w:r>
      <w:r w:rsidRPr="00AF43A0">
        <w:rPr>
          <w:rFonts w:eastAsia="Times New Roman" w:cs="Arial"/>
          <w:color w:val="000000"/>
          <w:lang w:val="en-US"/>
        </w:rPr>
        <w:t xml:space="preserve">LDL </w:t>
      </w:r>
      <w:r w:rsidRPr="00AF43A0">
        <w:rPr>
          <w:rFonts w:eastAsia="Times New Roman" w:cs="Arial"/>
          <w:color w:val="000000"/>
          <w:lang w:eastAsia="bg-BG"/>
        </w:rPr>
        <w:t xml:space="preserve">и инхибира чернодробния синтез на </w:t>
      </w:r>
      <w:r w:rsidRPr="00AF43A0">
        <w:rPr>
          <w:rFonts w:eastAsia="Times New Roman" w:cs="Arial"/>
          <w:color w:val="000000"/>
          <w:lang w:val="en-US"/>
        </w:rPr>
        <w:t xml:space="preserve">VLDL, </w:t>
      </w:r>
      <w:r w:rsidRPr="00AF43A0">
        <w:rPr>
          <w:rFonts w:eastAsia="Times New Roman" w:cs="Arial"/>
          <w:color w:val="000000"/>
          <w:lang w:eastAsia="bg-BG"/>
        </w:rPr>
        <w:t>като</w:t>
      </w:r>
      <w:r w:rsidRPr="00AF43A0">
        <w:rPr>
          <w:rFonts w:eastAsia="Times New Roman" w:cs="Arial"/>
          <w:color w:val="000000"/>
          <w:u w:val="single"/>
          <w:lang w:eastAsia="bg-BG"/>
        </w:rPr>
        <w:t xml:space="preserve"> </w:t>
      </w:r>
      <w:r w:rsidRPr="00AF43A0">
        <w:rPr>
          <w:rFonts w:eastAsia="Times New Roman" w:cs="Arial"/>
          <w:color w:val="000000"/>
          <w:lang w:eastAsia="bg-BG"/>
        </w:rPr>
        <w:t xml:space="preserve">по този начин намалява общия брой на </w:t>
      </w:r>
      <w:r w:rsidRPr="00AF43A0">
        <w:rPr>
          <w:rFonts w:eastAsia="Times New Roman" w:cs="Arial"/>
          <w:color w:val="000000"/>
          <w:lang w:val="en-US"/>
        </w:rPr>
        <w:t xml:space="preserve">VLDL </w:t>
      </w:r>
      <w:r w:rsidRPr="00AF43A0">
        <w:rPr>
          <w:rFonts w:eastAsia="Times New Roman" w:cs="Arial"/>
          <w:color w:val="000000"/>
          <w:lang w:eastAsia="bg-BG"/>
        </w:rPr>
        <w:t xml:space="preserve">и </w:t>
      </w:r>
      <w:r w:rsidRPr="00AF43A0">
        <w:rPr>
          <w:rFonts w:eastAsia="Times New Roman" w:cs="Arial"/>
          <w:color w:val="000000"/>
          <w:lang w:val="en-US"/>
        </w:rPr>
        <w:t xml:space="preserve">LDL </w:t>
      </w:r>
      <w:r w:rsidRPr="00AF43A0">
        <w:rPr>
          <w:rFonts w:eastAsia="Times New Roman" w:cs="Arial"/>
          <w:color w:val="000000"/>
          <w:lang w:eastAsia="bg-BG"/>
        </w:rPr>
        <w:t>частици.</w:t>
      </w:r>
    </w:p>
    <w:p w14:paraId="6A2B0D20" w14:textId="77777777" w:rsidR="00AF43A0" w:rsidRPr="00AF43A0" w:rsidRDefault="00AF43A0" w:rsidP="00AF43A0">
      <w:pPr>
        <w:spacing w:line="240" w:lineRule="auto"/>
        <w:rPr>
          <w:rFonts w:eastAsia="Times New Roman" w:cs="Arial"/>
          <w:color w:val="000000"/>
          <w:u w:val="single"/>
          <w:lang w:eastAsia="bg-BG"/>
        </w:rPr>
      </w:pPr>
    </w:p>
    <w:p w14:paraId="0BFD40B5" w14:textId="7E4CFA4B" w:rsidR="00AF43A0" w:rsidRPr="00AF43A0" w:rsidRDefault="00AF43A0" w:rsidP="00AF43A0">
      <w:pPr>
        <w:spacing w:line="240" w:lineRule="auto"/>
        <w:rPr>
          <w:rFonts w:eastAsia="Times New Roman" w:cs="Arial"/>
          <w:lang w:eastAsia="bg-BG"/>
        </w:rPr>
      </w:pPr>
      <w:r w:rsidRPr="00AF43A0">
        <w:rPr>
          <w:rFonts w:eastAsia="Times New Roman" w:cs="Arial"/>
          <w:color w:val="000000"/>
          <w:u w:val="single"/>
          <w:lang w:eastAsia="bg-BG"/>
        </w:rPr>
        <w:t>Фармакодинамични ефекти</w:t>
      </w:r>
    </w:p>
    <w:p w14:paraId="6AC08B1E" w14:textId="77777777" w:rsidR="00AF43A0" w:rsidRPr="00AF43A0" w:rsidRDefault="00AF43A0" w:rsidP="00AF43A0">
      <w:pPr>
        <w:rPr>
          <w:rFonts w:eastAsia="Times New Roman" w:cs="Arial"/>
          <w:lang w:eastAsia="bg-BG"/>
        </w:rPr>
      </w:pPr>
      <w:r w:rsidRPr="00AF43A0">
        <w:rPr>
          <w:rFonts w:eastAsia="Times New Roman" w:cs="Arial"/>
          <w:color w:val="000000"/>
          <w:lang w:eastAsia="bg-BG"/>
        </w:rPr>
        <w:t xml:space="preserve">Розувастатин намалява повишения </w:t>
      </w:r>
      <w:r w:rsidRPr="00AF43A0">
        <w:rPr>
          <w:rFonts w:eastAsia="Times New Roman" w:cs="Arial"/>
          <w:color w:val="000000"/>
          <w:lang w:val="en-US"/>
        </w:rPr>
        <w:t xml:space="preserve">LDL </w:t>
      </w:r>
      <w:r w:rsidRPr="00AF43A0">
        <w:rPr>
          <w:rFonts w:eastAsia="Times New Roman" w:cs="Arial"/>
          <w:color w:val="000000"/>
          <w:lang w:eastAsia="bg-BG"/>
        </w:rPr>
        <w:t xml:space="preserve">холестерол, общия холестерол и триглицеридите и повишава </w:t>
      </w:r>
      <w:r w:rsidRPr="00AF43A0">
        <w:rPr>
          <w:rFonts w:eastAsia="Times New Roman" w:cs="Arial"/>
          <w:color w:val="000000"/>
          <w:lang w:val="en-US"/>
        </w:rPr>
        <w:t xml:space="preserve">HDL </w:t>
      </w:r>
      <w:r w:rsidRPr="00AF43A0">
        <w:rPr>
          <w:rFonts w:eastAsia="Times New Roman" w:cs="Arial"/>
          <w:color w:val="000000"/>
          <w:lang w:eastAsia="bg-BG"/>
        </w:rPr>
        <w:t xml:space="preserve">холестерола. Той също понижава АроВ на </w:t>
      </w:r>
      <w:r w:rsidRPr="00AF43A0">
        <w:rPr>
          <w:rFonts w:eastAsia="Times New Roman" w:cs="Arial"/>
          <w:color w:val="000000"/>
          <w:lang w:val="en-US"/>
        </w:rPr>
        <w:t xml:space="preserve">HDL-C, VLDL-C, VLDL-TG </w:t>
      </w:r>
      <w:r w:rsidRPr="00AF43A0">
        <w:rPr>
          <w:rFonts w:eastAsia="Times New Roman" w:cs="Arial"/>
          <w:color w:val="000000"/>
          <w:lang w:eastAsia="bg-BG"/>
        </w:rPr>
        <w:t>и</w:t>
      </w:r>
      <w:r w:rsidRPr="00AF43A0">
        <w:rPr>
          <w:rFonts w:eastAsia="Times New Roman" w:cs="Arial"/>
          <w:color w:val="000000"/>
          <w:lang w:val="en-US" w:eastAsia="bg-BG"/>
        </w:rPr>
        <w:t xml:space="preserve"> </w:t>
      </w:r>
      <w:r w:rsidRPr="00AF43A0">
        <w:rPr>
          <w:rFonts w:eastAsia="Times New Roman" w:cs="Arial"/>
          <w:color w:val="000000"/>
          <w:lang w:eastAsia="bg-BG"/>
        </w:rPr>
        <w:t>увеличава АроА</w:t>
      </w:r>
      <w:r w:rsidRPr="00AF43A0">
        <w:rPr>
          <w:rFonts w:eastAsia="Times New Roman" w:cs="Arial"/>
          <w:color w:val="000000"/>
          <w:lang w:val="en-US"/>
        </w:rPr>
        <w:t xml:space="preserve">-I </w:t>
      </w:r>
      <w:r w:rsidRPr="00AF43A0">
        <w:rPr>
          <w:rFonts w:eastAsia="Times New Roman" w:cs="Arial"/>
          <w:color w:val="000000"/>
          <w:lang w:eastAsia="bg-BG"/>
        </w:rPr>
        <w:t xml:space="preserve">(вж. Таблица 1). Розувастатин понижава и съотношенията на </w:t>
      </w:r>
      <w:r w:rsidRPr="00AF43A0">
        <w:rPr>
          <w:rFonts w:eastAsia="Times New Roman" w:cs="Arial"/>
          <w:color w:val="000000"/>
          <w:lang w:val="en-US"/>
        </w:rPr>
        <w:t xml:space="preserve">LDL-C/HDL-C, </w:t>
      </w:r>
      <w:r w:rsidRPr="00AF43A0">
        <w:rPr>
          <w:rFonts w:eastAsia="Times New Roman" w:cs="Arial"/>
          <w:color w:val="000000"/>
          <w:lang w:eastAsia="bg-BG"/>
        </w:rPr>
        <w:t xml:space="preserve">общ </w:t>
      </w:r>
      <w:r w:rsidRPr="00AF43A0">
        <w:rPr>
          <w:rFonts w:eastAsia="Times New Roman" w:cs="Arial"/>
          <w:color w:val="000000"/>
          <w:lang w:val="en-US"/>
        </w:rPr>
        <w:t xml:space="preserve">C/HDL-C </w:t>
      </w:r>
      <w:r w:rsidRPr="00AF43A0">
        <w:rPr>
          <w:rFonts w:eastAsia="Times New Roman" w:cs="Arial"/>
          <w:color w:val="000000"/>
          <w:lang w:eastAsia="bg-BG"/>
        </w:rPr>
        <w:t>и не</w:t>
      </w:r>
      <w:r w:rsidRPr="00AF43A0">
        <w:rPr>
          <w:rFonts w:eastAsia="Times New Roman" w:cs="Arial"/>
          <w:color w:val="000000"/>
          <w:lang w:val="en-US"/>
        </w:rPr>
        <w:t xml:space="preserve">-HDL-C/HDL-C </w:t>
      </w:r>
      <w:r w:rsidRPr="00AF43A0">
        <w:rPr>
          <w:rFonts w:eastAsia="Times New Roman" w:cs="Arial"/>
          <w:color w:val="000000"/>
          <w:lang w:eastAsia="bg-BG"/>
        </w:rPr>
        <w:t>и АроВ/АроА-</w:t>
      </w:r>
      <w:r w:rsidRPr="00AF43A0">
        <w:rPr>
          <w:rFonts w:eastAsia="Times New Roman" w:cs="Arial"/>
          <w:color w:val="000000"/>
          <w:lang w:val="en-US"/>
        </w:rPr>
        <w:t>I</w:t>
      </w:r>
      <w:r w:rsidRPr="00AF43A0">
        <w:rPr>
          <w:rFonts w:eastAsia="Times New Roman" w:cs="Arial"/>
          <w:color w:val="000000"/>
          <w:lang w:eastAsia="bg-BG"/>
        </w:rPr>
        <w:t>.</w:t>
      </w:r>
    </w:p>
    <w:p w14:paraId="601C404C" w14:textId="77777777" w:rsidR="00AF43A0" w:rsidRPr="00AF43A0" w:rsidRDefault="00AF43A0" w:rsidP="00AF43A0">
      <w:pPr>
        <w:rPr>
          <w:rFonts w:eastAsia="Times New Roman" w:cs="Arial"/>
          <w:b/>
          <w:bCs/>
          <w:color w:val="000000"/>
          <w:lang w:eastAsia="bg-BG"/>
        </w:rPr>
      </w:pPr>
    </w:p>
    <w:p w14:paraId="038F692B" w14:textId="412E5015" w:rsidR="007A2185" w:rsidRPr="00AF43A0" w:rsidRDefault="00AF43A0" w:rsidP="00AF43A0">
      <w:pPr>
        <w:rPr>
          <w:rFonts w:eastAsia="Times New Roman" w:cs="Arial"/>
          <w:b/>
          <w:bCs/>
          <w:color w:val="000000"/>
          <w:lang w:eastAsia="bg-BG"/>
        </w:rPr>
      </w:pPr>
      <w:r w:rsidRPr="00AF43A0">
        <w:rPr>
          <w:rFonts w:eastAsia="Times New Roman" w:cs="Arial"/>
          <w:b/>
          <w:bCs/>
          <w:color w:val="000000"/>
          <w:lang w:eastAsia="bg-BG"/>
        </w:rPr>
        <w:t xml:space="preserve">Таблица 3. Отговор на дозата при пациенти с първична хиперхолестеролемня (тип </w:t>
      </w:r>
      <w:r w:rsidRPr="00AF43A0">
        <w:rPr>
          <w:rFonts w:cs="Arial"/>
          <w:b/>
          <w:color w:val="333333"/>
          <w:shd w:val="clear" w:color="auto" w:fill="FFFFFF"/>
        </w:rPr>
        <w:t>II</w:t>
      </w:r>
      <w:r w:rsidRPr="00AF43A0">
        <w:rPr>
          <w:rFonts w:eastAsia="Times New Roman" w:cs="Arial"/>
          <w:b/>
          <w:bCs/>
          <w:color w:val="000000"/>
          <w:lang w:eastAsia="bg-BG"/>
        </w:rPr>
        <w:t xml:space="preserve">а и </w:t>
      </w:r>
      <w:r w:rsidRPr="00AF43A0">
        <w:rPr>
          <w:rFonts w:cs="Arial"/>
          <w:b/>
          <w:color w:val="333333"/>
          <w:shd w:val="clear" w:color="auto" w:fill="FFFFFF"/>
        </w:rPr>
        <w:t>II</w:t>
      </w:r>
      <w:r w:rsidRPr="00AF43A0">
        <w:rPr>
          <w:rFonts w:cs="Arial"/>
          <w:b/>
          <w:color w:val="333333"/>
          <w:shd w:val="clear" w:color="auto" w:fill="FFFFFF"/>
          <w:lang w:val="en-US"/>
        </w:rPr>
        <w:t>b</w:t>
      </w:r>
      <w:r w:rsidRPr="00AF43A0">
        <w:rPr>
          <w:rFonts w:eastAsia="Times New Roman" w:cs="Arial"/>
          <w:b/>
          <w:bCs/>
          <w:color w:val="000000"/>
          <w:lang w:eastAsia="bg-BG"/>
        </w:rPr>
        <w:t>) (коригиран среден процент на промяна от изходното ниво).</w:t>
      </w:r>
    </w:p>
    <w:tbl>
      <w:tblPr>
        <w:tblStyle w:val="TableGrid"/>
        <w:tblW w:w="0" w:type="auto"/>
        <w:tblLook w:val="04A0" w:firstRow="1" w:lastRow="0" w:firstColumn="1" w:lastColumn="0" w:noHBand="0" w:noVBand="1"/>
      </w:tblPr>
      <w:tblGrid>
        <w:gridCol w:w="1122"/>
        <w:gridCol w:w="1020"/>
        <w:gridCol w:w="1028"/>
        <w:gridCol w:w="1031"/>
        <w:gridCol w:w="1030"/>
        <w:gridCol w:w="1023"/>
        <w:gridCol w:w="1030"/>
        <w:gridCol w:w="1032"/>
        <w:gridCol w:w="1034"/>
      </w:tblGrid>
      <w:tr w:rsidR="00AF43A0" w14:paraId="51FC2024" w14:textId="77777777" w:rsidTr="00AF43A0">
        <w:tc>
          <w:tcPr>
            <w:tcW w:w="1038" w:type="dxa"/>
          </w:tcPr>
          <w:p w14:paraId="4AF24E80" w14:textId="1B89DCDE" w:rsidR="00AF43A0" w:rsidRPr="00AF43A0" w:rsidRDefault="00AF43A0" w:rsidP="00AF43A0">
            <w:pPr>
              <w:rPr>
                <w:lang w:val="en-US"/>
              </w:rPr>
            </w:pPr>
            <w:r w:rsidRPr="00AF43A0">
              <w:rPr>
                <w:b/>
                <w:bCs/>
              </w:rPr>
              <w:t>Доза</w:t>
            </w:r>
          </w:p>
        </w:tc>
        <w:tc>
          <w:tcPr>
            <w:tcW w:w="1039" w:type="dxa"/>
          </w:tcPr>
          <w:p w14:paraId="4CBA574C" w14:textId="12EAE567" w:rsidR="00AF43A0" w:rsidRPr="00AF43A0" w:rsidRDefault="00AF43A0" w:rsidP="00AF43A0">
            <w:pPr>
              <w:rPr>
                <w:lang w:val="en-US"/>
              </w:rPr>
            </w:pPr>
            <w:r w:rsidRPr="00AF43A0">
              <w:rPr>
                <w:b/>
                <w:bCs/>
                <w:lang w:val="en-US"/>
              </w:rPr>
              <w:t>N</w:t>
            </w:r>
          </w:p>
        </w:tc>
        <w:tc>
          <w:tcPr>
            <w:tcW w:w="1039" w:type="dxa"/>
          </w:tcPr>
          <w:p w14:paraId="23B3CD70" w14:textId="586F4F19" w:rsidR="00AF43A0" w:rsidRPr="00AF43A0" w:rsidRDefault="00AF43A0" w:rsidP="00AF43A0">
            <w:pPr>
              <w:rPr>
                <w:lang w:val="en-US"/>
              </w:rPr>
            </w:pPr>
            <w:r w:rsidRPr="00AF43A0">
              <w:rPr>
                <w:b/>
                <w:bCs/>
                <w:lang w:val="en-US"/>
              </w:rPr>
              <w:t>LDL-C</w:t>
            </w:r>
          </w:p>
        </w:tc>
        <w:tc>
          <w:tcPr>
            <w:tcW w:w="1039" w:type="dxa"/>
          </w:tcPr>
          <w:p w14:paraId="43DCF876" w14:textId="413A5224" w:rsidR="00AF43A0" w:rsidRPr="00AF43A0" w:rsidRDefault="00AF43A0" w:rsidP="00AF43A0">
            <w:pPr>
              <w:rPr>
                <w:lang w:val="en-US"/>
              </w:rPr>
            </w:pPr>
            <w:r w:rsidRPr="00AF43A0">
              <w:rPr>
                <w:b/>
                <w:bCs/>
              </w:rPr>
              <w:t>Общ-С</w:t>
            </w:r>
          </w:p>
        </w:tc>
        <w:tc>
          <w:tcPr>
            <w:tcW w:w="1039" w:type="dxa"/>
          </w:tcPr>
          <w:p w14:paraId="0F34983E" w14:textId="756E03AB" w:rsidR="00AF43A0" w:rsidRPr="00AF43A0" w:rsidRDefault="00AF43A0" w:rsidP="00AF43A0">
            <w:pPr>
              <w:rPr>
                <w:lang w:val="en-US"/>
              </w:rPr>
            </w:pPr>
            <w:r w:rsidRPr="00AF43A0">
              <w:rPr>
                <w:b/>
                <w:bCs/>
                <w:lang w:val="en-US"/>
              </w:rPr>
              <w:t>HDL-C</w:t>
            </w:r>
          </w:p>
        </w:tc>
        <w:tc>
          <w:tcPr>
            <w:tcW w:w="1039" w:type="dxa"/>
          </w:tcPr>
          <w:p w14:paraId="6FC14009" w14:textId="188FBA19" w:rsidR="00AF43A0" w:rsidRPr="00AF43A0" w:rsidRDefault="00AF43A0" w:rsidP="00AF43A0">
            <w:pPr>
              <w:rPr>
                <w:lang w:val="en-US"/>
              </w:rPr>
            </w:pPr>
            <w:r w:rsidRPr="00AF43A0">
              <w:rPr>
                <w:b/>
                <w:bCs/>
                <w:lang w:val="en-US"/>
              </w:rPr>
              <w:t>TG</w:t>
            </w:r>
          </w:p>
        </w:tc>
        <w:tc>
          <w:tcPr>
            <w:tcW w:w="1039" w:type="dxa"/>
          </w:tcPr>
          <w:p w14:paraId="63C29E57" w14:textId="5CE3180A" w:rsidR="00AF43A0" w:rsidRPr="00AF43A0" w:rsidRDefault="00AF43A0" w:rsidP="00AF43A0">
            <w:pPr>
              <w:rPr>
                <w:lang w:val="en-US"/>
              </w:rPr>
            </w:pPr>
            <w:r w:rsidRPr="00AF43A0">
              <w:rPr>
                <w:b/>
                <w:bCs/>
                <w:lang w:val="en-US"/>
              </w:rPr>
              <w:t>He-HDL-C</w:t>
            </w:r>
          </w:p>
        </w:tc>
        <w:tc>
          <w:tcPr>
            <w:tcW w:w="1039" w:type="dxa"/>
          </w:tcPr>
          <w:p w14:paraId="3C416039" w14:textId="0F1E1200" w:rsidR="00AF43A0" w:rsidRPr="00AF43A0" w:rsidRDefault="00AF43A0" w:rsidP="00AF43A0">
            <w:pPr>
              <w:rPr>
                <w:lang w:val="en-US"/>
              </w:rPr>
            </w:pPr>
            <w:r w:rsidRPr="00AF43A0">
              <w:rPr>
                <w:b/>
                <w:bCs/>
              </w:rPr>
              <w:t>АроВ</w:t>
            </w:r>
          </w:p>
        </w:tc>
        <w:tc>
          <w:tcPr>
            <w:tcW w:w="1039" w:type="dxa"/>
          </w:tcPr>
          <w:p w14:paraId="331544C6" w14:textId="0FA53FBA" w:rsidR="00AF43A0" w:rsidRPr="00AF43A0" w:rsidRDefault="00AF43A0" w:rsidP="00AF43A0">
            <w:pPr>
              <w:rPr>
                <w:lang w:val="en-US"/>
              </w:rPr>
            </w:pPr>
            <w:r w:rsidRPr="00AF43A0">
              <w:rPr>
                <w:b/>
                <w:bCs/>
              </w:rPr>
              <w:t>АроА-1</w:t>
            </w:r>
          </w:p>
        </w:tc>
      </w:tr>
      <w:tr w:rsidR="00AF43A0" w14:paraId="71B264D4" w14:textId="77777777" w:rsidTr="00AF43A0">
        <w:tc>
          <w:tcPr>
            <w:tcW w:w="1038" w:type="dxa"/>
          </w:tcPr>
          <w:p w14:paraId="5069F878" w14:textId="518A7F1D" w:rsidR="00AF43A0" w:rsidRPr="00AF43A0" w:rsidRDefault="00AF43A0" w:rsidP="00AF43A0">
            <w:pPr>
              <w:rPr>
                <w:lang w:val="en-US"/>
              </w:rPr>
            </w:pPr>
            <w:r w:rsidRPr="00AF43A0">
              <w:t>Плацебо</w:t>
            </w:r>
          </w:p>
        </w:tc>
        <w:tc>
          <w:tcPr>
            <w:tcW w:w="1039" w:type="dxa"/>
          </w:tcPr>
          <w:p w14:paraId="0C6DE2F2" w14:textId="493B4C62" w:rsidR="00AF43A0" w:rsidRPr="00AF43A0" w:rsidRDefault="00AF43A0" w:rsidP="00AF43A0">
            <w:pPr>
              <w:rPr>
                <w:lang w:val="en-US"/>
              </w:rPr>
            </w:pPr>
            <w:r w:rsidRPr="00AF43A0">
              <w:t>13</w:t>
            </w:r>
          </w:p>
        </w:tc>
        <w:tc>
          <w:tcPr>
            <w:tcW w:w="1039" w:type="dxa"/>
          </w:tcPr>
          <w:p w14:paraId="6EA81F19" w14:textId="02EE2512" w:rsidR="00AF43A0" w:rsidRPr="00AF43A0" w:rsidRDefault="00AF43A0" w:rsidP="00AF43A0">
            <w:pPr>
              <w:rPr>
                <w:lang w:val="en-US"/>
              </w:rPr>
            </w:pPr>
            <w:r w:rsidRPr="00AF43A0">
              <w:t>-7</w:t>
            </w:r>
          </w:p>
        </w:tc>
        <w:tc>
          <w:tcPr>
            <w:tcW w:w="1039" w:type="dxa"/>
          </w:tcPr>
          <w:p w14:paraId="42BE0355" w14:textId="0510D260" w:rsidR="00AF43A0" w:rsidRPr="00AF43A0" w:rsidRDefault="00AF43A0" w:rsidP="00AF43A0">
            <w:pPr>
              <w:rPr>
                <w:lang w:val="en-US"/>
              </w:rPr>
            </w:pPr>
            <w:r w:rsidRPr="00AF43A0">
              <w:t>-5</w:t>
            </w:r>
          </w:p>
        </w:tc>
        <w:tc>
          <w:tcPr>
            <w:tcW w:w="1039" w:type="dxa"/>
          </w:tcPr>
          <w:p w14:paraId="0E92BA76" w14:textId="71634E25" w:rsidR="00AF43A0" w:rsidRPr="00AF43A0" w:rsidRDefault="00AF43A0" w:rsidP="00AF43A0">
            <w:pPr>
              <w:rPr>
                <w:lang w:val="en-US"/>
              </w:rPr>
            </w:pPr>
            <w:r w:rsidRPr="00AF43A0">
              <w:t>3</w:t>
            </w:r>
          </w:p>
        </w:tc>
        <w:tc>
          <w:tcPr>
            <w:tcW w:w="1039" w:type="dxa"/>
          </w:tcPr>
          <w:p w14:paraId="2E07E788" w14:textId="09B9C4CA" w:rsidR="00AF43A0" w:rsidRPr="00AF43A0" w:rsidRDefault="00AF43A0" w:rsidP="00AF43A0">
            <w:pPr>
              <w:rPr>
                <w:lang w:val="en-US"/>
              </w:rPr>
            </w:pPr>
            <w:r w:rsidRPr="00AF43A0">
              <w:t>-3</w:t>
            </w:r>
          </w:p>
        </w:tc>
        <w:tc>
          <w:tcPr>
            <w:tcW w:w="1039" w:type="dxa"/>
          </w:tcPr>
          <w:p w14:paraId="004A1BC2" w14:textId="36BF3E8B" w:rsidR="00AF43A0" w:rsidRPr="00AF43A0" w:rsidRDefault="00AF43A0" w:rsidP="00AF43A0">
            <w:pPr>
              <w:rPr>
                <w:lang w:val="en-US"/>
              </w:rPr>
            </w:pPr>
            <w:r w:rsidRPr="00AF43A0">
              <w:t>-7</w:t>
            </w:r>
          </w:p>
        </w:tc>
        <w:tc>
          <w:tcPr>
            <w:tcW w:w="1039" w:type="dxa"/>
          </w:tcPr>
          <w:p w14:paraId="3617A2AA" w14:textId="61CF2712" w:rsidR="00AF43A0" w:rsidRPr="00AF43A0" w:rsidRDefault="00AF43A0" w:rsidP="00AF43A0">
            <w:pPr>
              <w:rPr>
                <w:lang w:val="en-US"/>
              </w:rPr>
            </w:pPr>
            <w:r w:rsidRPr="00AF43A0">
              <w:t>-3</w:t>
            </w:r>
          </w:p>
        </w:tc>
        <w:tc>
          <w:tcPr>
            <w:tcW w:w="1039" w:type="dxa"/>
          </w:tcPr>
          <w:p w14:paraId="43C82EA6" w14:textId="631ACFCE" w:rsidR="00AF43A0" w:rsidRPr="00AF43A0" w:rsidRDefault="00AF43A0" w:rsidP="00AF43A0">
            <w:pPr>
              <w:rPr>
                <w:lang w:val="en-US"/>
              </w:rPr>
            </w:pPr>
            <w:r w:rsidRPr="00AF43A0">
              <w:t>0</w:t>
            </w:r>
          </w:p>
        </w:tc>
      </w:tr>
      <w:tr w:rsidR="00AF43A0" w14:paraId="3DDEA2AA" w14:textId="77777777" w:rsidTr="00AF43A0">
        <w:tc>
          <w:tcPr>
            <w:tcW w:w="1038" w:type="dxa"/>
          </w:tcPr>
          <w:p w14:paraId="63D300A4" w14:textId="16A2EBC1" w:rsidR="00AF43A0" w:rsidRPr="00AF43A0" w:rsidRDefault="00AF43A0" w:rsidP="00AF43A0">
            <w:pPr>
              <w:rPr>
                <w:lang w:val="en-US"/>
              </w:rPr>
            </w:pPr>
            <w:r w:rsidRPr="00AF43A0">
              <w:t>5</w:t>
            </w:r>
          </w:p>
        </w:tc>
        <w:tc>
          <w:tcPr>
            <w:tcW w:w="1039" w:type="dxa"/>
          </w:tcPr>
          <w:p w14:paraId="30CC7583" w14:textId="033AFD65" w:rsidR="00AF43A0" w:rsidRPr="00AF43A0" w:rsidRDefault="00AF43A0" w:rsidP="00AF43A0">
            <w:pPr>
              <w:rPr>
                <w:lang w:val="en-US"/>
              </w:rPr>
            </w:pPr>
            <w:r w:rsidRPr="00AF43A0">
              <w:t>17</w:t>
            </w:r>
          </w:p>
        </w:tc>
        <w:tc>
          <w:tcPr>
            <w:tcW w:w="1039" w:type="dxa"/>
          </w:tcPr>
          <w:p w14:paraId="2EC4E594" w14:textId="0917BA9A" w:rsidR="00AF43A0" w:rsidRPr="00AF43A0" w:rsidRDefault="00AF43A0" w:rsidP="00AF43A0">
            <w:pPr>
              <w:rPr>
                <w:lang w:val="en-US"/>
              </w:rPr>
            </w:pPr>
            <w:r w:rsidRPr="00AF43A0">
              <w:t>-45</w:t>
            </w:r>
          </w:p>
        </w:tc>
        <w:tc>
          <w:tcPr>
            <w:tcW w:w="1039" w:type="dxa"/>
          </w:tcPr>
          <w:p w14:paraId="52A82114" w14:textId="6E5E4E2F" w:rsidR="00AF43A0" w:rsidRPr="00AF43A0" w:rsidRDefault="00AF43A0" w:rsidP="00AF43A0">
            <w:pPr>
              <w:rPr>
                <w:lang w:val="en-US"/>
              </w:rPr>
            </w:pPr>
            <w:r w:rsidRPr="00AF43A0">
              <w:t>-33</w:t>
            </w:r>
          </w:p>
        </w:tc>
        <w:tc>
          <w:tcPr>
            <w:tcW w:w="1039" w:type="dxa"/>
          </w:tcPr>
          <w:p w14:paraId="1709CC97" w14:textId="32EA404D" w:rsidR="00AF43A0" w:rsidRPr="00AF43A0" w:rsidRDefault="00AF43A0" w:rsidP="00AF43A0">
            <w:pPr>
              <w:rPr>
                <w:lang w:val="en-US"/>
              </w:rPr>
            </w:pPr>
            <w:r w:rsidRPr="00AF43A0">
              <w:t>13</w:t>
            </w:r>
          </w:p>
        </w:tc>
        <w:tc>
          <w:tcPr>
            <w:tcW w:w="1039" w:type="dxa"/>
          </w:tcPr>
          <w:p w14:paraId="6DFA8BE7" w14:textId="5FB18F6E" w:rsidR="00AF43A0" w:rsidRPr="00AF43A0" w:rsidRDefault="00AF43A0" w:rsidP="00AF43A0">
            <w:pPr>
              <w:rPr>
                <w:lang w:val="en-US"/>
              </w:rPr>
            </w:pPr>
            <w:r w:rsidRPr="00AF43A0">
              <w:t>-35</w:t>
            </w:r>
          </w:p>
        </w:tc>
        <w:tc>
          <w:tcPr>
            <w:tcW w:w="1039" w:type="dxa"/>
          </w:tcPr>
          <w:p w14:paraId="3FD60EF6" w14:textId="39D85769" w:rsidR="00AF43A0" w:rsidRPr="00AF43A0" w:rsidRDefault="00AF43A0" w:rsidP="00AF43A0">
            <w:pPr>
              <w:rPr>
                <w:lang w:val="en-US"/>
              </w:rPr>
            </w:pPr>
            <w:r w:rsidRPr="00AF43A0">
              <w:t>-44</w:t>
            </w:r>
          </w:p>
        </w:tc>
        <w:tc>
          <w:tcPr>
            <w:tcW w:w="1039" w:type="dxa"/>
          </w:tcPr>
          <w:p w14:paraId="1208B887" w14:textId="3B9E38ED" w:rsidR="00AF43A0" w:rsidRPr="00AF43A0" w:rsidRDefault="00AF43A0" w:rsidP="00AF43A0">
            <w:pPr>
              <w:rPr>
                <w:lang w:val="en-US"/>
              </w:rPr>
            </w:pPr>
            <w:r w:rsidRPr="00AF43A0">
              <w:t>-38</w:t>
            </w:r>
          </w:p>
        </w:tc>
        <w:tc>
          <w:tcPr>
            <w:tcW w:w="1039" w:type="dxa"/>
          </w:tcPr>
          <w:p w14:paraId="739BDF9E" w14:textId="3FFAB783" w:rsidR="00AF43A0" w:rsidRPr="00AF43A0" w:rsidRDefault="00AF43A0" w:rsidP="00AF43A0">
            <w:pPr>
              <w:rPr>
                <w:lang w:val="en-US"/>
              </w:rPr>
            </w:pPr>
            <w:r w:rsidRPr="00AF43A0">
              <w:t>4</w:t>
            </w:r>
          </w:p>
        </w:tc>
      </w:tr>
      <w:tr w:rsidR="00AF43A0" w14:paraId="33ADC97D" w14:textId="77777777" w:rsidTr="00AF43A0">
        <w:tc>
          <w:tcPr>
            <w:tcW w:w="1038" w:type="dxa"/>
          </w:tcPr>
          <w:p w14:paraId="21132DC0" w14:textId="105EE726" w:rsidR="00AF43A0" w:rsidRPr="00AF43A0" w:rsidRDefault="00AF43A0" w:rsidP="00AF43A0">
            <w:pPr>
              <w:rPr>
                <w:lang w:val="en-US"/>
              </w:rPr>
            </w:pPr>
            <w:r w:rsidRPr="00AF43A0">
              <w:t>10</w:t>
            </w:r>
          </w:p>
        </w:tc>
        <w:tc>
          <w:tcPr>
            <w:tcW w:w="1039" w:type="dxa"/>
          </w:tcPr>
          <w:p w14:paraId="77CED7FE" w14:textId="23D64604" w:rsidR="00AF43A0" w:rsidRPr="00AF43A0" w:rsidRDefault="00AF43A0" w:rsidP="00AF43A0">
            <w:pPr>
              <w:rPr>
                <w:lang w:val="en-US"/>
              </w:rPr>
            </w:pPr>
            <w:r w:rsidRPr="00AF43A0">
              <w:t>17</w:t>
            </w:r>
          </w:p>
        </w:tc>
        <w:tc>
          <w:tcPr>
            <w:tcW w:w="1039" w:type="dxa"/>
          </w:tcPr>
          <w:p w14:paraId="554122C8" w14:textId="6E48DD8B" w:rsidR="00AF43A0" w:rsidRPr="00AF43A0" w:rsidRDefault="00AF43A0" w:rsidP="00AF43A0">
            <w:pPr>
              <w:rPr>
                <w:lang w:val="en-US"/>
              </w:rPr>
            </w:pPr>
            <w:r w:rsidRPr="00AF43A0">
              <w:t>-52</w:t>
            </w:r>
          </w:p>
        </w:tc>
        <w:tc>
          <w:tcPr>
            <w:tcW w:w="1039" w:type="dxa"/>
          </w:tcPr>
          <w:p w14:paraId="3EE04812" w14:textId="7C681262" w:rsidR="00AF43A0" w:rsidRPr="00AF43A0" w:rsidRDefault="00AF43A0" w:rsidP="00AF43A0">
            <w:pPr>
              <w:rPr>
                <w:lang w:val="en-US"/>
              </w:rPr>
            </w:pPr>
            <w:r w:rsidRPr="00AF43A0">
              <w:t>-36</w:t>
            </w:r>
          </w:p>
        </w:tc>
        <w:tc>
          <w:tcPr>
            <w:tcW w:w="1039" w:type="dxa"/>
          </w:tcPr>
          <w:p w14:paraId="3D39A638" w14:textId="3F96213A" w:rsidR="00AF43A0" w:rsidRPr="00AF43A0" w:rsidRDefault="00AF43A0" w:rsidP="00AF43A0">
            <w:pPr>
              <w:rPr>
                <w:lang w:val="en-US"/>
              </w:rPr>
            </w:pPr>
            <w:r w:rsidRPr="00AF43A0">
              <w:t>14</w:t>
            </w:r>
          </w:p>
        </w:tc>
        <w:tc>
          <w:tcPr>
            <w:tcW w:w="1039" w:type="dxa"/>
          </w:tcPr>
          <w:p w14:paraId="67AA775A" w14:textId="7D859000" w:rsidR="00AF43A0" w:rsidRPr="00AF43A0" w:rsidRDefault="00AF43A0" w:rsidP="00AF43A0">
            <w:pPr>
              <w:rPr>
                <w:lang w:val="en-US"/>
              </w:rPr>
            </w:pPr>
            <w:r w:rsidRPr="00AF43A0">
              <w:t>-10</w:t>
            </w:r>
          </w:p>
        </w:tc>
        <w:tc>
          <w:tcPr>
            <w:tcW w:w="1039" w:type="dxa"/>
          </w:tcPr>
          <w:p w14:paraId="11B19CB4" w14:textId="07F2395A" w:rsidR="00AF43A0" w:rsidRPr="00AF43A0" w:rsidRDefault="00AF43A0" w:rsidP="00AF43A0">
            <w:pPr>
              <w:rPr>
                <w:lang w:val="en-US"/>
              </w:rPr>
            </w:pPr>
            <w:r w:rsidRPr="00AF43A0">
              <w:t>-48</w:t>
            </w:r>
          </w:p>
        </w:tc>
        <w:tc>
          <w:tcPr>
            <w:tcW w:w="1039" w:type="dxa"/>
          </w:tcPr>
          <w:p w14:paraId="65D5532B" w14:textId="728EF427" w:rsidR="00AF43A0" w:rsidRPr="00AF43A0" w:rsidRDefault="00AF43A0" w:rsidP="00AF43A0">
            <w:pPr>
              <w:rPr>
                <w:lang w:val="en-US"/>
              </w:rPr>
            </w:pPr>
            <w:r w:rsidRPr="00AF43A0">
              <w:t>-42</w:t>
            </w:r>
          </w:p>
        </w:tc>
        <w:tc>
          <w:tcPr>
            <w:tcW w:w="1039" w:type="dxa"/>
          </w:tcPr>
          <w:p w14:paraId="43E49826" w14:textId="713980CA" w:rsidR="00AF43A0" w:rsidRPr="00AF43A0" w:rsidRDefault="00AF43A0" w:rsidP="00AF43A0">
            <w:pPr>
              <w:rPr>
                <w:lang w:val="en-US"/>
              </w:rPr>
            </w:pPr>
            <w:r w:rsidRPr="00AF43A0">
              <w:t>4</w:t>
            </w:r>
          </w:p>
        </w:tc>
      </w:tr>
      <w:tr w:rsidR="00AF43A0" w14:paraId="11A6760B" w14:textId="77777777" w:rsidTr="00AF43A0">
        <w:tc>
          <w:tcPr>
            <w:tcW w:w="1038" w:type="dxa"/>
          </w:tcPr>
          <w:p w14:paraId="2D179887" w14:textId="460EB2B4" w:rsidR="00AF43A0" w:rsidRPr="00AF43A0" w:rsidRDefault="00AF43A0" w:rsidP="00AF43A0">
            <w:pPr>
              <w:rPr>
                <w:lang w:val="en-US"/>
              </w:rPr>
            </w:pPr>
            <w:r w:rsidRPr="00AF43A0">
              <w:t>20</w:t>
            </w:r>
          </w:p>
        </w:tc>
        <w:tc>
          <w:tcPr>
            <w:tcW w:w="1039" w:type="dxa"/>
          </w:tcPr>
          <w:p w14:paraId="7D433DE5" w14:textId="3CEA7DD4" w:rsidR="00AF43A0" w:rsidRPr="00AF43A0" w:rsidRDefault="00AF43A0" w:rsidP="00AF43A0">
            <w:pPr>
              <w:rPr>
                <w:lang w:val="en-US"/>
              </w:rPr>
            </w:pPr>
            <w:r w:rsidRPr="00AF43A0">
              <w:t>17</w:t>
            </w:r>
          </w:p>
        </w:tc>
        <w:tc>
          <w:tcPr>
            <w:tcW w:w="1039" w:type="dxa"/>
          </w:tcPr>
          <w:p w14:paraId="17AA65A4" w14:textId="0AEA1113" w:rsidR="00AF43A0" w:rsidRPr="00AF43A0" w:rsidRDefault="00AF43A0" w:rsidP="00AF43A0">
            <w:pPr>
              <w:rPr>
                <w:lang w:val="en-US"/>
              </w:rPr>
            </w:pPr>
            <w:r w:rsidRPr="00AF43A0">
              <w:t>-55</w:t>
            </w:r>
          </w:p>
        </w:tc>
        <w:tc>
          <w:tcPr>
            <w:tcW w:w="1039" w:type="dxa"/>
          </w:tcPr>
          <w:p w14:paraId="7F0A0A55" w14:textId="509DBE53" w:rsidR="00AF43A0" w:rsidRPr="00AF43A0" w:rsidRDefault="00AF43A0" w:rsidP="00AF43A0">
            <w:pPr>
              <w:rPr>
                <w:lang w:val="en-US"/>
              </w:rPr>
            </w:pPr>
            <w:r w:rsidRPr="00AF43A0">
              <w:t>-40</w:t>
            </w:r>
          </w:p>
        </w:tc>
        <w:tc>
          <w:tcPr>
            <w:tcW w:w="1039" w:type="dxa"/>
          </w:tcPr>
          <w:p w14:paraId="3F3B6334" w14:textId="4E9B4760" w:rsidR="00AF43A0" w:rsidRPr="00AF43A0" w:rsidRDefault="00AF43A0" w:rsidP="00AF43A0">
            <w:pPr>
              <w:rPr>
                <w:lang w:val="en-US"/>
              </w:rPr>
            </w:pPr>
            <w:r w:rsidRPr="00AF43A0">
              <w:t>8</w:t>
            </w:r>
          </w:p>
        </w:tc>
        <w:tc>
          <w:tcPr>
            <w:tcW w:w="1039" w:type="dxa"/>
          </w:tcPr>
          <w:p w14:paraId="64599356" w14:textId="360E03D2" w:rsidR="00AF43A0" w:rsidRPr="00AF43A0" w:rsidRDefault="00AF43A0" w:rsidP="00AF43A0">
            <w:pPr>
              <w:rPr>
                <w:lang w:val="en-US"/>
              </w:rPr>
            </w:pPr>
            <w:r w:rsidRPr="00AF43A0">
              <w:t>-23</w:t>
            </w:r>
          </w:p>
        </w:tc>
        <w:tc>
          <w:tcPr>
            <w:tcW w:w="1039" w:type="dxa"/>
          </w:tcPr>
          <w:p w14:paraId="5B763517" w14:textId="52B54FE0" w:rsidR="00AF43A0" w:rsidRPr="00AF43A0" w:rsidRDefault="00AF43A0" w:rsidP="00AF43A0">
            <w:pPr>
              <w:rPr>
                <w:lang w:val="en-US"/>
              </w:rPr>
            </w:pPr>
            <w:r w:rsidRPr="00AF43A0">
              <w:t>-51</w:t>
            </w:r>
          </w:p>
        </w:tc>
        <w:tc>
          <w:tcPr>
            <w:tcW w:w="1039" w:type="dxa"/>
          </w:tcPr>
          <w:p w14:paraId="60DF8DF1" w14:textId="10C6343F" w:rsidR="00AF43A0" w:rsidRPr="00AF43A0" w:rsidRDefault="00AF43A0" w:rsidP="00AF43A0">
            <w:pPr>
              <w:rPr>
                <w:lang w:val="en-US"/>
              </w:rPr>
            </w:pPr>
            <w:r w:rsidRPr="00AF43A0">
              <w:t>-46</w:t>
            </w:r>
          </w:p>
        </w:tc>
        <w:tc>
          <w:tcPr>
            <w:tcW w:w="1039" w:type="dxa"/>
          </w:tcPr>
          <w:p w14:paraId="7B55478A" w14:textId="1ECF0FA2" w:rsidR="00AF43A0" w:rsidRPr="00AF43A0" w:rsidRDefault="00AF43A0" w:rsidP="00AF43A0">
            <w:pPr>
              <w:rPr>
                <w:lang w:val="en-US"/>
              </w:rPr>
            </w:pPr>
            <w:r w:rsidRPr="00AF43A0">
              <w:t>5</w:t>
            </w:r>
          </w:p>
        </w:tc>
      </w:tr>
      <w:tr w:rsidR="00AF43A0" w14:paraId="0B303152" w14:textId="77777777" w:rsidTr="00AF43A0">
        <w:tc>
          <w:tcPr>
            <w:tcW w:w="1038" w:type="dxa"/>
          </w:tcPr>
          <w:p w14:paraId="3A0B2FAE" w14:textId="08977CEB" w:rsidR="00AF43A0" w:rsidRPr="00AF43A0" w:rsidRDefault="00AF43A0" w:rsidP="00AF43A0">
            <w:pPr>
              <w:rPr>
                <w:lang w:val="en-US"/>
              </w:rPr>
            </w:pPr>
            <w:r w:rsidRPr="00AF43A0">
              <w:t>40</w:t>
            </w:r>
          </w:p>
        </w:tc>
        <w:tc>
          <w:tcPr>
            <w:tcW w:w="1039" w:type="dxa"/>
          </w:tcPr>
          <w:p w14:paraId="5A30FC14" w14:textId="369FE64A" w:rsidR="00AF43A0" w:rsidRPr="00AF43A0" w:rsidRDefault="00AF43A0" w:rsidP="00AF43A0">
            <w:pPr>
              <w:rPr>
                <w:lang w:val="en-US"/>
              </w:rPr>
            </w:pPr>
            <w:r w:rsidRPr="00AF43A0">
              <w:t>18</w:t>
            </w:r>
          </w:p>
        </w:tc>
        <w:tc>
          <w:tcPr>
            <w:tcW w:w="1039" w:type="dxa"/>
          </w:tcPr>
          <w:p w14:paraId="24436B40" w14:textId="2F527116" w:rsidR="00AF43A0" w:rsidRPr="00AF43A0" w:rsidRDefault="00AF43A0" w:rsidP="00AF43A0">
            <w:pPr>
              <w:rPr>
                <w:lang w:val="en-US"/>
              </w:rPr>
            </w:pPr>
            <w:r w:rsidRPr="00AF43A0">
              <w:t>-63</w:t>
            </w:r>
          </w:p>
        </w:tc>
        <w:tc>
          <w:tcPr>
            <w:tcW w:w="1039" w:type="dxa"/>
          </w:tcPr>
          <w:p w14:paraId="497643E0" w14:textId="08C9286B" w:rsidR="00AF43A0" w:rsidRPr="00AF43A0" w:rsidRDefault="00AF43A0" w:rsidP="00AF43A0">
            <w:pPr>
              <w:rPr>
                <w:lang w:val="en-US"/>
              </w:rPr>
            </w:pPr>
            <w:r w:rsidRPr="00AF43A0">
              <w:t>-46</w:t>
            </w:r>
          </w:p>
        </w:tc>
        <w:tc>
          <w:tcPr>
            <w:tcW w:w="1039" w:type="dxa"/>
          </w:tcPr>
          <w:p w14:paraId="5916C91B" w14:textId="28205907" w:rsidR="00AF43A0" w:rsidRPr="00AF43A0" w:rsidRDefault="00AF43A0" w:rsidP="00AF43A0">
            <w:pPr>
              <w:rPr>
                <w:lang w:val="en-US"/>
              </w:rPr>
            </w:pPr>
            <w:r w:rsidRPr="00AF43A0">
              <w:t>10</w:t>
            </w:r>
          </w:p>
        </w:tc>
        <w:tc>
          <w:tcPr>
            <w:tcW w:w="1039" w:type="dxa"/>
          </w:tcPr>
          <w:p w14:paraId="5A2DFDC1" w14:textId="7C04384E" w:rsidR="00AF43A0" w:rsidRPr="00AF43A0" w:rsidRDefault="00AF43A0" w:rsidP="00AF43A0">
            <w:pPr>
              <w:rPr>
                <w:lang w:val="en-US"/>
              </w:rPr>
            </w:pPr>
            <w:r w:rsidRPr="00AF43A0">
              <w:t>-28</w:t>
            </w:r>
          </w:p>
        </w:tc>
        <w:tc>
          <w:tcPr>
            <w:tcW w:w="1039" w:type="dxa"/>
          </w:tcPr>
          <w:p w14:paraId="316CB300" w14:textId="48F11593" w:rsidR="00AF43A0" w:rsidRPr="00AF43A0" w:rsidRDefault="00AF43A0" w:rsidP="00AF43A0">
            <w:pPr>
              <w:rPr>
                <w:lang w:val="en-US"/>
              </w:rPr>
            </w:pPr>
            <w:r w:rsidRPr="00AF43A0">
              <w:t>-60</w:t>
            </w:r>
          </w:p>
        </w:tc>
        <w:tc>
          <w:tcPr>
            <w:tcW w:w="1039" w:type="dxa"/>
          </w:tcPr>
          <w:p w14:paraId="321BD154" w14:textId="63D59160" w:rsidR="00AF43A0" w:rsidRPr="00AF43A0" w:rsidRDefault="00AF43A0" w:rsidP="00AF43A0">
            <w:pPr>
              <w:rPr>
                <w:lang w:val="en-US"/>
              </w:rPr>
            </w:pPr>
            <w:r w:rsidRPr="00AF43A0">
              <w:t>-54</w:t>
            </w:r>
          </w:p>
        </w:tc>
        <w:tc>
          <w:tcPr>
            <w:tcW w:w="1039" w:type="dxa"/>
          </w:tcPr>
          <w:p w14:paraId="703A648C" w14:textId="1336FC13" w:rsidR="00AF43A0" w:rsidRPr="00AF43A0" w:rsidRDefault="00AF43A0" w:rsidP="00AF43A0">
            <w:pPr>
              <w:rPr>
                <w:lang w:val="en-US"/>
              </w:rPr>
            </w:pPr>
            <w:r w:rsidRPr="00AF43A0">
              <w:t>0</w:t>
            </w:r>
          </w:p>
        </w:tc>
      </w:tr>
    </w:tbl>
    <w:p w14:paraId="2261DD29" w14:textId="77777777" w:rsidR="00AF43A0" w:rsidRPr="00AF43A0" w:rsidRDefault="00AF43A0" w:rsidP="00AF43A0">
      <w:pPr>
        <w:rPr>
          <w:lang w:val="en-US"/>
        </w:rPr>
      </w:pPr>
    </w:p>
    <w:p w14:paraId="6C5C263D"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Терапевтичният отговор към лечението с розувастатин се забелязва до 1 седмица от началото на терапията и 90% от максималния отговор се постига до 2 седмици. Максималният отговор обикновено се постига към 4-ата седмица и се поддържа след това.</w:t>
      </w:r>
    </w:p>
    <w:p w14:paraId="75E882D6" w14:textId="77777777" w:rsidR="00AF43A0" w:rsidRPr="00AF43A0" w:rsidRDefault="00AF43A0" w:rsidP="00AF43A0">
      <w:pPr>
        <w:spacing w:line="240" w:lineRule="auto"/>
        <w:rPr>
          <w:rFonts w:eastAsia="Times New Roman" w:cs="Arial"/>
          <w:color w:val="000000"/>
          <w:szCs w:val="20"/>
          <w:u w:val="single"/>
          <w:lang w:eastAsia="bg-BG"/>
        </w:rPr>
      </w:pPr>
    </w:p>
    <w:p w14:paraId="2633F284" w14:textId="19C6AD06"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u w:val="single"/>
          <w:lang w:eastAsia="bg-BG"/>
        </w:rPr>
        <w:t>Клинична ефикасност и безопасност</w:t>
      </w:r>
    </w:p>
    <w:p w14:paraId="31EB6B46"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Розувастатин е ефективен при възрастни хора, страдащи от хиперхолестеролемия, със или без хипертриглицеридемия, независимо от расовата принадлежност, пол или възраст, и при специални групи като диабетици или пациенти, е фамилна хиперхолестеролемия.</w:t>
      </w:r>
    </w:p>
    <w:p w14:paraId="5CD2B06A" w14:textId="77777777" w:rsidR="00AF43A0" w:rsidRPr="00AF43A0" w:rsidRDefault="00AF43A0" w:rsidP="00AF43A0">
      <w:pPr>
        <w:spacing w:line="240" w:lineRule="auto"/>
        <w:rPr>
          <w:rFonts w:eastAsia="Times New Roman" w:cs="Arial"/>
          <w:color w:val="000000"/>
          <w:szCs w:val="20"/>
          <w:lang w:eastAsia="bg-BG"/>
        </w:rPr>
      </w:pPr>
    </w:p>
    <w:p w14:paraId="2F7F348C" w14:textId="321B4FD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Обобщените данни от III фаза на клиничните проучвания показват, че розувастатин е ефективен при лечение на голяма част от пациенти с тип IIа и II</w:t>
      </w:r>
      <w:r w:rsidRPr="00AF43A0">
        <w:rPr>
          <w:rFonts w:eastAsia="Times New Roman" w:cs="Arial"/>
          <w:color w:val="000000"/>
          <w:szCs w:val="20"/>
          <w:lang w:val="en-US"/>
        </w:rPr>
        <w:t>b</w:t>
      </w:r>
      <w:r w:rsidRPr="00AF43A0">
        <w:rPr>
          <w:rFonts w:eastAsia="Times New Roman" w:cs="Arial"/>
          <w:color w:val="000000"/>
          <w:szCs w:val="20"/>
          <w:lang w:eastAsia="bg-BG"/>
        </w:rPr>
        <w:t xml:space="preserve"> хиперхолестеролемия (средна изходна стойност на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 xml:space="preserve">около 4.8 </w:t>
      </w:r>
      <w:proofErr w:type="spellStart"/>
      <w:r w:rsidRPr="00AF43A0">
        <w:rPr>
          <w:rFonts w:eastAsia="Times New Roman" w:cs="Arial"/>
          <w:color w:val="000000"/>
          <w:szCs w:val="20"/>
          <w:lang w:val="en-US"/>
        </w:rPr>
        <w:t>mmol</w:t>
      </w:r>
      <w:proofErr w:type="spellEnd"/>
      <w:r w:rsidRPr="00AF43A0">
        <w:rPr>
          <w:rFonts w:eastAsia="Times New Roman" w:cs="Arial"/>
          <w:color w:val="000000"/>
          <w:szCs w:val="20"/>
          <w:lang w:val="en-US"/>
        </w:rPr>
        <w:t xml:space="preserve">/1) </w:t>
      </w:r>
      <w:r w:rsidRPr="00AF43A0">
        <w:rPr>
          <w:rFonts w:eastAsia="Times New Roman" w:cs="Arial"/>
          <w:color w:val="000000"/>
          <w:szCs w:val="20"/>
          <w:lang w:eastAsia="bg-BG"/>
        </w:rPr>
        <w:t xml:space="preserve">според определените от Европейската общност по атеросклероза прицелни стойности </w:t>
      </w:r>
      <w:r w:rsidRPr="00AF43A0">
        <w:rPr>
          <w:rFonts w:eastAsia="Times New Roman" w:cs="Arial"/>
          <w:color w:val="000000"/>
          <w:szCs w:val="20"/>
          <w:lang w:val="en-US"/>
        </w:rPr>
        <w:t xml:space="preserve">(EAS; </w:t>
      </w:r>
      <w:r w:rsidRPr="00AF43A0">
        <w:rPr>
          <w:rFonts w:eastAsia="Times New Roman" w:cs="Arial"/>
          <w:color w:val="000000"/>
          <w:szCs w:val="20"/>
          <w:lang w:eastAsia="bg-BG"/>
        </w:rPr>
        <w:t xml:space="preserve">1998). Около 80% от </w:t>
      </w:r>
      <w:r w:rsidRPr="00AF43A0">
        <w:rPr>
          <w:rFonts w:eastAsia="Times New Roman" w:cs="Arial"/>
          <w:color w:val="000000"/>
          <w:szCs w:val="20"/>
          <w:lang w:eastAsia="bg-BG"/>
        </w:rPr>
        <w:lastRenderedPageBreak/>
        <w:t xml:space="preserve">пациентите на 10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са достигнали желаните стойности на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 xml:space="preserve">(&lt; 3 </w:t>
      </w:r>
      <w:proofErr w:type="spellStart"/>
      <w:r w:rsidRPr="00AF43A0">
        <w:rPr>
          <w:rFonts w:eastAsia="Times New Roman" w:cs="Arial"/>
          <w:color w:val="000000"/>
          <w:szCs w:val="20"/>
          <w:lang w:val="en-US"/>
        </w:rPr>
        <w:t>mmol</w:t>
      </w:r>
      <w:proofErr w:type="spellEnd"/>
      <w:r w:rsidRPr="00AF43A0">
        <w:rPr>
          <w:rFonts w:eastAsia="Times New Roman" w:cs="Arial"/>
          <w:color w:val="000000"/>
          <w:szCs w:val="20"/>
          <w:lang w:val="en-US"/>
        </w:rPr>
        <w:t xml:space="preserve">/l) </w:t>
      </w:r>
      <w:r w:rsidRPr="00AF43A0">
        <w:rPr>
          <w:rFonts w:eastAsia="Times New Roman" w:cs="Arial"/>
          <w:color w:val="000000"/>
          <w:szCs w:val="20"/>
          <w:lang w:eastAsia="bg-BG"/>
        </w:rPr>
        <w:t xml:space="preserve">според Е </w:t>
      </w:r>
      <w:r w:rsidRPr="00AF43A0">
        <w:rPr>
          <w:rFonts w:eastAsia="Times New Roman" w:cs="Arial"/>
          <w:color w:val="000000"/>
          <w:szCs w:val="20"/>
          <w:lang w:val="en-US"/>
        </w:rPr>
        <w:t>AS.</w:t>
      </w:r>
    </w:p>
    <w:p w14:paraId="7582B309" w14:textId="77777777" w:rsidR="00AF43A0" w:rsidRPr="00AF43A0" w:rsidRDefault="00AF43A0" w:rsidP="00AF43A0">
      <w:pPr>
        <w:spacing w:line="240" w:lineRule="auto"/>
        <w:rPr>
          <w:rFonts w:eastAsia="Times New Roman" w:cs="Arial"/>
          <w:color w:val="000000"/>
          <w:szCs w:val="20"/>
          <w:lang w:eastAsia="bg-BG"/>
        </w:rPr>
      </w:pPr>
    </w:p>
    <w:p w14:paraId="3E0FA9B7" w14:textId="38998B53"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В мащабно проучване с форсирано титриране на дозата, 435 пациенти с хетерозиготна фамилна хиперхолестеролемия, са лекувани с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до 80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Всички дозировки показват положителен резултат върху липидните показатели. След достигане на дневна доза от 40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(12-седмично лечение),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 xml:space="preserve">намалява с 53%. 33% от пациентите достигат стойностите на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 xml:space="preserve">според </w:t>
      </w:r>
      <w:r w:rsidRPr="00AF43A0">
        <w:rPr>
          <w:rFonts w:eastAsia="Times New Roman" w:cs="Arial"/>
          <w:color w:val="000000"/>
          <w:szCs w:val="20"/>
          <w:lang w:val="en-US"/>
        </w:rPr>
        <w:t xml:space="preserve">EAS </w:t>
      </w:r>
      <w:r w:rsidRPr="00AF43A0">
        <w:rPr>
          <w:rFonts w:eastAsia="Times New Roman" w:cs="Arial"/>
          <w:color w:val="000000"/>
          <w:szCs w:val="20"/>
          <w:lang w:eastAsia="bg-BG"/>
        </w:rPr>
        <w:t xml:space="preserve">(&lt; 3 </w:t>
      </w:r>
      <w:proofErr w:type="spellStart"/>
      <w:r w:rsidRPr="00AF43A0">
        <w:rPr>
          <w:rFonts w:eastAsia="Times New Roman" w:cs="Arial"/>
          <w:color w:val="000000"/>
          <w:szCs w:val="20"/>
          <w:lang w:val="en-US"/>
        </w:rPr>
        <w:t>mmol</w:t>
      </w:r>
      <w:proofErr w:type="spellEnd"/>
      <w:r w:rsidRPr="00AF43A0">
        <w:rPr>
          <w:rFonts w:eastAsia="Times New Roman" w:cs="Arial"/>
          <w:color w:val="000000"/>
          <w:szCs w:val="20"/>
          <w:lang w:val="en-US"/>
        </w:rPr>
        <w:t>/l).</w:t>
      </w:r>
    </w:p>
    <w:p w14:paraId="79EE9690"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В отворено проучване с форсирано титриране на дозата при 42-ма пациента (включително 8 педиатрични пациенти) с хомозиготна фамилна хиперхолестеролемия са отчетени резултатите от приемане на 20-40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розувастатин. В общата популация средното понижение на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е 22%.</w:t>
      </w:r>
    </w:p>
    <w:p w14:paraId="64BDF350" w14:textId="77777777" w:rsidR="00AF43A0" w:rsidRPr="00AF43A0" w:rsidRDefault="00AF43A0" w:rsidP="00AF43A0">
      <w:pPr>
        <w:spacing w:line="240" w:lineRule="auto"/>
        <w:rPr>
          <w:rFonts w:eastAsia="Times New Roman" w:cs="Arial"/>
          <w:color w:val="000000"/>
          <w:szCs w:val="20"/>
          <w:lang w:eastAsia="bg-BG"/>
        </w:rPr>
      </w:pPr>
    </w:p>
    <w:p w14:paraId="5112FE49" w14:textId="73F04CC4"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При клинични изпитвания с ограничен брой пациенти розувастатин показва адитивна ефикасност при намаляване на триглицеридите, когато е приеман в комбинация с фенофибрат и увеличение на нивото на </w:t>
      </w:r>
      <w:r w:rsidRPr="00AF43A0">
        <w:rPr>
          <w:rFonts w:eastAsia="Times New Roman" w:cs="Arial"/>
          <w:color w:val="000000"/>
          <w:szCs w:val="20"/>
          <w:lang w:val="en-US"/>
        </w:rPr>
        <w:t xml:space="preserve">HDL-C </w:t>
      </w:r>
      <w:r w:rsidRPr="00AF43A0">
        <w:rPr>
          <w:rFonts w:eastAsia="Times New Roman" w:cs="Arial"/>
          <w:color w:val="000000"/>
          <w:szCs w:val="20"/>
          <w:lang w:eastAsia="bg-BG"/>
        </w:rPr>
        <w:t>в комбинация с ниацин (вж. точка 4.4).</w:t>
      </w:r>
    </w:p>
    <w:p w14:paraId="4680ED36" w14:textId="77777777" w:rsidR="00AF43A0" w:rsidRPr="00AF43A0" w:rsidRDefault="00AF43A0" w:rsidP="00AF43A0">
      <w:pPr>
        <w:spacing w:line="240" w:lineRule="auto"/>
        <w:rPr>
          <w:rFonts w:eastAsia="Times New Roman" w:cs="Arial"/>
          <w:color w:val="000000"/>
          <w:szCs w:val="20"/>
          <w:lang w:eastAsia="bg-BG"/>
        </w:rPr>
      </w:pPr>
    </w:p>
    <w:p w14:paraId="60B2069E" w14:textId="662C247E"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В мултицентрово, двойносляпо, плацебо-контролирано клинично проучване </w:t>
      </w:r>
      <w:r w:rsidRPr="00AF43A0">
        <w:rPr>
          <w:rFonts w:eastAsia="Times New Roman" w:cs="Arial"/>
          <w:color w:val="000000"/>
          <w:szCs w:val="20"/>
          <w:lang w:val="en-US"/>
        </w:rPr>
        <w:t xml:space="preserve">(METEOR) </w:t>
      </w:r>
      <w:r w:rsidRPr="00AF43A0">
        <w:rPr>
          <w:rFonts w:eastAsia="Times New Roman" w:cs="Arial"/>
          <w:color w:val="000000"/>
          <w:szCs w:val="20"/>
          <w:lang w:eastAsia="bg-BG"/>
        </w:rPr>
        <w:t xml:space="preserve">984 пациенти - между 45 и 70 години, с нисък риск за исхемична болест на сърцето (дефинирано като </w:t>
      </w:r>
      <w:r w:rsidRPr="00AF43A0">
        <w:rPr>
          <w:rFonts w:eastAsia="Times New Roman" w:cs="Arial"/>
          <w:color w:val="000000"/>
          <w:szCs w:val="20"/>
          <w:lang w:val="en-US"/>
        </w:rPr>
        <w:t xml:space="preserve">Framingham </w:t>
      </w:r>
      <w:r w:rsidRPr="00AF43A0">
        <w:rPr>
          <w:rFonts w:eastAsia="Times New Roman" w:cs="Arial"/>
          <w:color w:val="000000"/>
          <w:szCs w:val="20"/>
          <w:lang w:eastAsia="bg-BG"/>
        </w:rPr>
        <w:t xml:space="preserve">риск &lt; 10% за Юг) и със средни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 xml:space="preserve">4,0 </w:t>
      </w:r>
      <w:proofErr w:type="spellStart"/>
      <w:r w:rsidRPr="00AF43A0">
        <w:rPr>
          <w:rFonts w:eastAsia="Times New Roman" w:cs="Arial"/>
          <w:color w:val="000000"/>
          <w:szCs w:val="20"/>
          <w:lang w:val="en-US"/>
        </w:rPr>
        <w:t>mmol</w:t>
      </w:r>
      <w:proofErr w:type="spellEnd"/>
      <w:r w:rsidRPr="00AF43A0">
        <w:rPr>
          <w:rFonts w:eastAsia="Times New Roman" w:cs="Arial"/>
          <w:color w:val="000000"/>
          <w:szCs w:val="20"/>
          <w:lang w:val="en-US"/>
        </w:rPr>
        <w:t xml:space="preserve">/l </w:t>
      </w:r>
      <w:r w:rsidRPr="00AF43A0">
        <w:rPr>
          <w:rFonts w:eastAsia="Times New Roman" w:cs="Arial"/>
          <w:color w:val="000000"/>
          <w:szCs w:val="20"/>
          <w:lang w:eastAsia="bg-BG"/>
        </w:rPr>
        <w:t xml:space="preserve">(154,5 </w:t>
      </w:r>
      <w:r w:rsidRPr="00AF43A0">
        <w:rPr>
          <w:rFonts w:eastAsia="Times New Roman" w:cs="Arial"/>
          <w:color w:val="000000"/>
          <w:szCs w:val="20"/>
          <w:lang w:val="en-US"/>
        </w:rPr>
        <w:t xml:space="preserve">mg/dl), </w:t>
      </w:r>
      <w:r w:rsidRPr="00AF43A0">
        <w:rPr>
          <w:rFonts w:eastAsia="Times New Roman" w:cs="Arial"/>
          <w:color w:val="000000"/>
          <w:szCs w:val="20"/>
          <w:lang w:eastAsia="bg-BG"/>
        </w:rPr>
        <w:t xml:space="preserve">но със субклинична атеросклероза, установена чрез измерване на ОМТ </w:t>
      </w:r>
      <w:r w:rsidRPr="00AF43A0">
        <w:rPr>
          <w:rFonts w:eastAsia="Times New Roman" w:cs="Arial"/>
          <w:color w:val="000000"/>
          <w:szCs w:val="20"/>
          <w:lang w:val="en-US"/>
        </w:rPr>
        <w:t xml:space="preserve">(Carotid ultima Media Thickness), </w:t>
      </w:r>
      <w:r w:rsidRPr="00AF43A0">
        <w:rPr>
          <w:rFonts w:eastAsia="Times New Roman" w:cs="Arial"/>
          <w:color w:val="000000"/>
          <w:szCs w:val="20"/>
          <w:lang w:eastAsia="bg-BG"/>
        </w:rPr>
        <w:t xml:space="preserve">са рандомизирани на 40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розувастатин веднъж дневно или плацебо за 2 години. Розувастатин значително забави прогресията на максималното </w:t>
      </w:r>
      <w:r w:rsidRPr="00AF43A0">
        <w:rPr>
          <w:rFonts w:eastAsia="Times New Roman" w:cs="Arial"/>
          <w:color w:val="000000"/>
          <w:szCs w:val="20"/>
          <w:lang w:val="en-US"/>
        </w:rPr>
        <w:t xml:space="preserve">CIMT </w:t>
      </w:r>
      <w:r w:rsidRPr="00AF43A0">
        <w:rPr>
          <w:rFonts w:eastAsia="Times New Roman" w:cs="Arial"/>
          <w:color w:val="000000"/>
          <w:szCs w:val="20"/>
          <w:lang w:eastAsia="bg-BG"/>
        </w:rPr>
        <w:t xml:space="preserve">на всички 12 места на каротидните артерии в сравнение с плацебо -0,0145 </w:t>
      </w:r>
      <w:r w:rsidRPr="00AF43A0">
        <w:rPr>
          <w:rFonts w:eastAsia="Times New Roman" w:cs="Arial"/>
          <w:color w:val="000000"/>
          <w:szCs w:val="20"/>
          <w:lang w:val="en-US"/>
        </w:rPr>
        <w:t>mm</w:t>
      </w:r>
      <w:r w:rsidRPr="00AF43A0">
        <w:rPr>
          <w:rFonts w:eastAsia="Times New Roman" w:cs="Arial"/>
          <w:color w:val="000000"/>
          <w:szCs w:val="20"/>
          <w:lang w:eastAsia="bg-BG"/>
        </w:rPr>
        <w:t xml:space="preserve">/година (95% </w:t>
      </w:r>
      <w:r w:rsidRPr="00AF43A0">
        <w:rPr>
          <w:rFonts w:eastAsia="Times New Roman" w:cs="Arial"/>
          <w:color w:val="000000"/>
          <w:szCs w:val="20"/>
          <w:lang w:val="en-US"/>
        </w:rPr>
        <w:t xml:space="preserve">CI </w:t>
      </w:r>
      <w:r w:rsidRPr="00AF43A0">
        <w:rPr>
          <w:rFonts w:eastAsia="Times New Roman" w:cs="Arial"/>
          <w:color w:val="000000"/>
          <w:szCs w:val="20"/>
          <w:lang w:eastAsia="bg-BG"/>
        </w:rPr>
        <w:t xml:space="preserve">-0,0196. -0,0093; р&lt; 0,0001). Промяната спрямо изходните стойности на групата на розувастатин е -0,0014 </w:t>
      </w:r>
      <w:r w:rsidRPr="00AF43A0">
        <w:rPr>
          <w:rFonts w:eastAsia="Times New Roman" w:cs="Arial"/>
          <w:color w:val="000000"/>
          <w:szCs w:val="20"/>
          <w:lang w:val="en-US"/>
        </w:rPr>
        <w:t>mm</w:t>
      </w:r>
      <w:r w:rsidRPr="00AF43A0">
        <w:rPr>
          <w:rFonts w:eastAsia="Times New Roman" w:cs="Arial"/>
          <w:color w:val="000000"/>
          <w:szCs w:val="20"/>
          <w:lang w:eastAsia="bg-BG"/>
        </w:rPr>
        <w:t xml:space="preserve">/година (-12%/година- несигнификантно) в сравнение с плацебо-групата с прогресия +0,0131 </w:t>
      </w:r>
      <w:r w:rsidRPr="00AF43A0">
        <w:rPr>
          <w:rFonts w:eastAsia="Times New Roman" w:cs="Arial"/>
          <w:color w:val="000000"/>
          <w:szCs w:val="20"/>
          <w:lang w:val="en-US"/>
        </w:rPr>
        <w:t>mm</w:t>
      </w:r>
      <w:r w:rsidRPr="00AF43A0">
        <w:rPr>
          <w:rFonts w:eastAsia="Times New Roman" w:cs="Arial"/>
          <w:color w:val="000000"/>
          <w:szCs w:val="20"/>
          <w:lang w:eastAsia="bg-BG"/>
        </w:rPr>
        <w:t xml:space="preserve">/година (1,12/година; р &lt; 0,0001). Не е демонстрирана директна взаимовръзка между понижението на </w:t>
      </w:r>
      <w:r w:rsidRPr="00AF43A0">
        <w:rPr>
          <w:rFonts w:eastAsia="Times New Roman" w:cs="Arial"/>
          <w:color w:val="000000"/>
          <w:szCs w:val="20"/>
          <w:lang w:val="en-US"/>
        </w:rPr>
        <w:t xml:space="preserve">CIMT </w:t>
      </w:r>
      <w:r w:rsidRPr="00AF43A0">
        <w:rPr>
          <w:rFonts w:eastAsia="Times New Roman" w:cs="Arial"/>
          <w:color w:val="000000"/>
          <w:szCs w:val="20"/>
          <w:lang w:eastAsia="bg-BG"/>
        </w:rPr>
        <w:t>нивата и понижения риск от сърдечно-съдови събития.</w:t>
      </w:r>
    </w:p>
    <w:p w14:paraId="36152471" w14:textId="5B18F89F" w:rsidR="0091385D" w:rsidRPr="00AF43A0" w:rsidRDefault="00AF43A0" w:rsidP="00AF43A0">
      <w:pPr>
        <w:rPr>
          <w:rFonts w:eastAsia="Times New Roman" w:cs="Arial"/>
          <w:color w:val="000000"/>
          <w:szCs w:val="20"/>
          <w:lang w:eastAsia="bg-BG"/>
        </w:rPr>
      </w:pPr>
      <w:r w:rsidRPr="00AF43A0">
        <w:rPr>
          <w:rFonts w:eastAsia="Times New Roman" w:cs="Arial"/>
          <w:color w:val="000000"/>
          <w:szCs w:val="20"/>
          <w:lang w:eastAsia="bg-BG"/>
        </w:rPr>
        <w:t xml:space="preserve">Популацията в проучването </w:t>
      </w:r>
      <w:r w:rsidRPr="00AF43A0">
        <w:rPr>
          <w:rFonts w:eastAsia="Times New Roman" w:cs="Arial"/>
          <w:color w:val="000000"/>
          <w:szCs w:val="20"/>
          <w:lang w:val="en-US"/>
        </w:rPr>
        <w:t xml:space="preserve">METEOR </w:t>
      </w:r>
      <w:r w:rsidRPr="00AF43A0">
        <w:rPr>
          <w:rFonts w:eastAsia="Times New Roman" w:cs="Arial"/>
          <w:color w:val="000000"/>
          <w:szCs w:val="20"/>
          <w:lang w:eastAsia="bg-BG"/>
        </w:rPr>
        <w:t xml:space="preserve">е с нисък риск от исхемична болест на сърцето и не е </w:t>
      </w:r>
      <w:r w:rsidRPr="00AF43A0">
        <w:rPr>
          <w:rFonts w:eastAsia="Times New Roman" w:cs="Arial"/>
          <w:i/>
          <w:iCs/>
          <w:color w:val="000000"/>
          <w:szCs w:val="20"/>
          <w:lang w:eastAsia="bg-BG"/>
        </w:rPr>
        <w:t xml:space="preserve"> </w:t>
      </w:r>
      <w:r w:rsidRPr="00AF43A0">
        <w:rPr>
          <w:rFonts w:eastAsia="Times New Roman" w:cs="Arial"/>
          <w:color w:val="000000"/>
          <w:szCs w:val="20"/>
          <w:lang w:eastAsia="bg-BG"/>
        </w:rPr>
        <w:t xml:space="preserve">представителна за таргетната популация на Розувастатин 40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Дозировката от 40 </w:t>
      </w:r>
      <w:r w:rsidRPr="00AF43A0">
        <w:rPr>
          <w:rFonts w:eastAsia="Times New Roman" w:cs="Arial"/>
          <w:color w:val="000000"/>
          <w:szCs w:val="20"/>
          <w:lang w:val="en-US"/>
        </w:rPr>
        <w:t xml:space="preserve">mg </w:t>
      </w:r>
      <w:r w:rsidRPr="00AF43A0">
        <w:rPr>
          <w:rFonts w:eastAsia="Times New Roman" w:cs="Arial"/>
          <w:color w:val="000000"/>
          <w:szCs w:val="20"/>
          <w:lang w:eastAsia="bg-BG"/>
        </w:rPr>
        <w:t>трябва  да се предписва само при пациенти с тежка хиперхолестеролемия с висок сърдечно-съдов риск (вж. точка 4.2).</w:t>
      </w:r>
    </w:p>
    <w:p w14:paraId="6806DAF4" w14:textId="6A0AB1C2" w:rsidR="00AF43A0" w:rsidRPr="00AF43A0" w:rsidRDefault="00AF43A0" w:rsidP="00AF43A0">
      <w:pPr>
        <w:rPr>
          <w:rFonts w:eastAsia="Times New Roman" w:cs="Arial"/>
          <w:color w:val="000000"/>
          <w:szCs w:val="20"/>
          <w:lang w:eastAsia="bg-BG"/>
        </w:rPr>
      </w:pPr>
    </w:p>
    <w:p w14:paraId="766E11E2"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Проучването </w:t>
      </w:r>
      <w:r w:rsidRPr="00AF43A0">
        <w:rPr>
          <w:rFonts w:eastAsia="Times New Roman" w:cs="Arial"/>
          <w:color w:val="000000"/>
          <w:szCs w:val="20"/>
          <w:lang w:val="en-US"/>
        </w:rPr>
        <w:t xml:space="preserve">JUPITER (the Justification for the Use of Statins in Primary Prevention: An Intervention Trial Evaluating </w:t>
      </w:r>
      <w:proofErr w:type="spellStart"/>
      <w:r w:rsidRPr="00AF43A0">
        <w:rPr>
          <w:rFonts w:eastAsia="Times New Roman" w:cs="Arial"/>
          <w:color w:val="000000"/>
          <w:szCs w:val="20"/>
          <w:lang w:val="en-US"/>
        </w:rPr>
        <w:t>Rosuvastatin</w:t>
      </w:r>
      <w:proofErr w:type="spellEnd"/>
      <w:r w:rsidRPr="00AF43A0">
        <w:rPr>
          <w:rFonts w:eastAsia="Times New Roman" w:cs="Arial"/>
          <w:color w:val="000000"/>
          <w:szCs w:val="20"/>
          <w:lang w:val="en-US"/>
        </w:rPr>
        <w:t xml:space="preserve">) </w:t>
      </w:r>
      <w:r w:rsidRPr="00AF43A0">
        <w:rPr>
          <w:rFonts w:eastAsia="Times New Roman" w:cs="Arial"/>
          <w:color w:val="000000"/>
          <w:szCs w:val="20"/>
          <w:lang w:eastAsia="bg-BG"/>
        </w:rPr>
        <w:t>изследва ефекта на розувастатин (розувастатин калций) върху появата на големи атеросклеротични сърдечно-съдови събития при 17 802 мъже (≥ 50 години) и жени (≥ 60 години).</w:t>
      </w:r>
    </w:p>
    <w:p w14:paraId="4EFC3E5C" w14:textId="77777777" w:rsidR="00AF43A0" w:rsidRPr="00AF43A0" w:rsidRDefault="00AF43A0" w:rsidP="00AF43A0">
      <w:pPr>
        <w:spacing w:line="240" w:lineRule="auto"/>
        <w:rPr>
          <w:rFonts w:eastAsia="Times New Roman" w:cs="Arial"/>
          <w:color w:val="000000"/>
          <w:szCs w:val="20"/>
          <w:lang w:eastAsia="bg-BG"/>
        </w:rPr>
      </w:pPr>
    </w:p>
    <w:p w14:paraId="77B10575" w14:textId="44DF8B9F"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Участниците в проучването са рандомизирани на плацебо (</w:t>
      </w:r>
      <w:r w:rsidRPr="00AF43A0">
        <w:rPr>
          <w:rFonts w:eastAsia="Times New Roman" w:cs="Arial"/>
          <w:color w:val="000000"/>
          <w:szCs w:val="20"/>
          <w:lang w:val="en-US"/>
        </w:rPr>
        <w:t>n</w:t>
      </w:r>
      <w:r w:rsidRPr="00AF43A0">
        <w:rPr>
          <w:rFonts w:eastAsia="Times New Roman" w:cs="Arial"/>
          <w:color w:val="000000"/>
          <w:szCs w:val="20"/>
          <w:lang w:eastAsia="bg-BG"/>
        </w:rPr>
        <w:t xml:space="preserve"> = 8901) или на розувастатин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веднъж дневно (</w:t>
      </w:r>
      <w:r w:rsidRPr="00AF43A0">
        <w:rPr>
          <w:rFonts w:eastAsia="Times New Roman" w:cs="Arial"/>
          <w:color w:val="000000"/>
          <w:szCs w:val="20"/>
          <w:lang w:val="en-US"/>
        </w:rPr>
        <w:t>n</w:t>
      </w:r>
      <w:r w:rsidRPr="00AF43A0">
        <w:rPr>
          <w:rFonts w:eastAsia="Times New Roman" w:cs="Arial"/>
          <w:color w:val="000000"/>
          <w:szCs w:val="20"/>
          <w:lang w:eastAsia="bg-BG"/>
        </w:rPr>
        <w:t xml:space="preserve"> = 8901) и са проследени за среден период от 2 години.</w:t>
      </w:r>
    </w:p>
    <w:p w14:paraId="66D74BDF" w14:textId="77777777" w:rsidR="00AF43A0" w:rsidRPr="00AF43A0" w:rsidRDefault="00AF43A0" w:rsidP="00AF43A0">
      <w:pPr>
        <w:spacing w:line="240" w:lineRule="auto"/>
        <w:rPr>
          <w:rFonts w:eastAsia="Times New Roman" w:cs="Arial"/>
          <w:color w:val="000000"/>
          <w:szCs w:val="20"/>
          <w:lang w:eastAsia="bg-BG"/>
        </w:rPr>
      </w:pPr>
    </w:p>
    <w:p w14:paraId="5D2B4B2B" w14:textId="3DF122F8"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Концентрациите на </w:t>
      </w:r>
      <w:r w:rsidRPr="00AF43A0">
        <w:rPr>
          <w:rFonts w:eastAsia="Times New Roman" w:cs="Arial"/>
          <w:color w:val="000000"/>
          <w:szCs w:val="20"/>
          <w:lang w:val="en-US"/>
        </w:rPr>
        <w:t xml:space="preserve">LDL </w:t>
      </w:r>
      <w:r w:rsidRPr="00AF43A0">
        <w:rPr>
          <w:rFonts w:eastAsia="Times New Roman" w:cs="Arial"/>
          <w:color w:val="000000"/>
          <w:szCs w:val="20"/>
          <w:lang w:eastAsia="bg-BG"/>
        </w:rPr>
        <w:t xml:space="preserve">холестерола са понижени с 45% (р &lt; 0,001) в групата на розувастатин </w:t>
      </w:r>
      <w:r w:rsidRPr="00AF43A0">
        <w:rPr>
          <w:rFonts w:eastAsia="Times New Roman" w:cs="Arial"/>
          <w:i/>
          <w:iCs/>
          <w:color w:val="000000"/>
          <w:szCs w:val="20"/>
          <w:lang w:eastAsia="bg-BG"/>
        </w:rPr>
        <w:t>в</w:t>
      </w:r>
      <w:r w:rsidRPr="00AF43A0">
        <w:rPr>
          <w:rFonts w:eastAsia="Times New Roman" w:cs="Arial"/>
          <w:color w:val="000000"/>
          <w:szCs w:val="20"/>
          <w:lang w:eastAsia="bg-BG"/>
        </w:rPr>
        <w:t xml:space="preserve"> сравнение с плацебо-групата.</w:t>
      </w:r>
    </w:p>
    <w:p w14:paraId="054E10E1" w14:textId="77777777" w:rsidR="00AF43A0" w:rsidRPr="00AF43A0" w:rsidRDefault="00AF43A0" w:rsidP="00AF43A0">
      <w:pPr>
        <w:spacing w:line="240" w:lineRule="auto"/>
        <w:rPr>
          <w:rFonts w:eastAsia="Times New Roman" w:cs="Arial"/>
          <w:color w:val="000000"/>
          <w:szCs w:val="20"/>
          <w:lang w:eastAsia="bg-BG"/>
        </w:rPr>
      </w:pPr>
    </w:p>
    <w:p w14:paraId="60EF9F97" w14:textId="6C86AAA9"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При </w:t>
      </w:r>
      <w:r w:rsidRPr="00AF43A0">
        <w:rPr>
          <w:rFonts w:eastAsia="Times New Roman" w:cs="Arial"/>
          <w:color w:val="000000"/>
          <w:szCs w:val="20"/>
          <w:lang w:val="en-US"/>
        </w:rPr>
        <w:t xml:space="preserve">post-hoc </w:t>
      </w:r>
      <w:r w:rsidRPr="00AF43A0">
        <w:rPr>
          <w:rFonts w:eastAsia="Times New Roman" w:cs="Arial"/>
          <w:color w:val="000000"/>
          <w:szCs w:val="20"/>
          <w:lang w:eastAsia="bg-BG"/>
        </w:rPr>
        <w:t xml:space="preserve">анализ на високорискова група лица с базисен риск по Фрамингам &gt; 20% (1558 лица) се наблюдава значителна редукция в комбинираната крайна точка от сърдечно-съдова смърт, инсулт и миокарден инфаркт (р = 0,028) при лечение с розувастатин спрямо плацебо. Абсолютната редукция на риска в нивото на събитията за 1000 пациенто-години е 8,8. Тоталната смъртност е непроменена в тази високорискова </w:t>
      </w:r>
      <w:r w:rsidRPr="00AF43A0">
        <w:rPr>
          <w:rFonts w:eastAsia="Times New Roman" w:cs="Arial"/>
          <w:color w:val="000000"/>
          <w:szCs w:val="20"/>
          <w:lang w:eastAsia="bg-BG"/>
        </w:rPr>
        <w:lastRenderedPageBreak/>
        <w:t xml:space="preserve">група (р = 0,193). При </w:t>
      </w:r>
      <w:r w:rsidRPr="00AF43A0">
        <w:rPr>
          <w:rFonts w:eastAsia="Times New Roman" w:cs="Arial"/>
          <w:color w:val="000000"/>
          <w:szCs w:val="20"/>
          <w:lang w:val="en-US"/>
        </w:rPr>
        <w:t xml:space="preserve">post-hoc </w:t>
      </w:r>
      <w:r w:rsidRPr="00AF43A0">
        <w:rPr>
          <w:rFonts w:eastAsia="Times New Roman" w:cs="Arial"/>
          <w:color w:val="000000"/>
          <w:szCs w:val="20"/>
          <w:lang w:eastAsia="bg-BG"/>
        </w:rPr>
        <w:t xml:space="preserve">анализ на високорискова подгрупа лица (9302 лица общо) с изходна оценка на риска &gt; </w:t>
      </w:r>
      <w:r w:rsidRPr="00AF43A0">
        <w:rPr>
          <w:rFonts w:eastAsia="Times New Roman" w:cs="Arial"/>
          <w:i/>
          <w:iCs/>
          <w:color w:val="000000"/>
          <w:szCs w:val="20"/>
          <w:lang w:eastAsia="bg-BG"/>
        </w:rPr>
        <w:t xml:space="preserve">5% </w:t>
      </w:r>
      <w:r w:rsidRPr="00AF43A0">
        <w:rPr>
          <w:rFonts w:eastAsia="Times New Roman" w:cs="Arial"/>
          <w:color w:val="000000"/>
          <w:szCs w:val="20"/>
          <w:lang w:eastAsia="bg-BG"/>
        </w:rPr>
        <w:t>(екстраполиран да включи лица над 65 години) се констатира значителна редукция в комбинираната крайна точка от сърдечно-съдова смърт, инсулт и миокарден инфаркт (р = 0,0003) при лечението с розувастатин спрямо плацебо. Абсолютната редукция на риска в нивото на събитията е 5,1 за 1000 пациенто-години. Тоталната смъртност е непроменена в тази високорискова група (р = 0,076).</w:t>
      </w:r>
    </w:p>
    <w:p w14:paraId="1CE867E5" w14:textId="77777777" w:rsidR="00AF43A0" w:rsidRPr="00AF43A0" w:rsidRDefault="00AF43A0" w:rsidP="00AF43A0">
      <w:pPr>
        <w:spacing w:line="240" w:lineRule="auto"/>
        <w:rPr>
          <w:rFonts w:eastAsia="Times New Roman" w:cs="Arial"/>
          <w:color w:val="000000"/>
          <w:szCs w:val="20"/>
          <w:lang w:eastAsia="bg-BG"/>
        </w:rPr>
      </w:pPr>
    </w:p>
    <w:p w14:paraId="63CA3E11" w14:textId="1EEA486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В проучването </w:t>
      </w:r>
      <w:r w:rsidRPr="00AF43A0">
        <w:rPr>
          <w:rFonts w:eastAsia="Times New Roman" w:cs="Arial"/>
          <w:color w:val="000000"/>
          <w:szCs w:val="20"/>
          <w:lang w:val="en-US"/>
        </w:rPr>
        <w:t xml:space="preserve">JUPITER </w:t>
      </w:r>
      <w:r w:rsidRPr="00AF43A0">
        <w:rPr>
          <w:rFonts w:eastAsia="Times New Roman" w:cs="Arial"/>
          <w:color w:val="000000"/>
          <w:szCs w:val="20"/>
          <w:lang w:eastAsia="bg-BG"/>
        </w:rPr>
        <w:t>6,6% от лицата на розувастатин и 6,2% от с плацебо-групата прекратяват приема на изследваното лекарство поради нежелано събитие. Най-честите нежелани събития, водещи до спиране на лечението са: миалгия (0,3% розувастатин, 0,2% плацебо), коремна болка (0,03% розувастатин, 0,02% плацебо) и обрив (0,02% розувастатин, 0,03% плацебо). Най-честите нежелани събития с ниво по-голямо и равно на плацебо са инфекции на пикочните пътища (8,7% розувастатин, 8,6% плацебо), назофарингит (7,6% розувастатин, 7,2% плацебо), болка в гърба (7,6% розувастатин, 6,9% плацебо) и миалгия (7,6% розувастатин, 6,6% плацебо).</w:t>
      </w:r>
    </w:p>
    <w:p w14:paraId="15CF7F5D" w14:textId="77777777" w:rsidR="00AF43A0" w:rsidRPr="00AF43A0" w:rsidRDefault="00AF43A0" w:rsidP="00AF43A0">
      <w:pPr>
        <w:spacing w:line="240" w:lineRule="auto"/>
        <w:rPr>
          <w:rFonts w:eastAsia="Times New Roman" w:cs="Arial"/>
          <w:color w:val="000000"/>
          <w:szCs w:val="20"/>
          <w:u w:val="single"/>
          <w:lang w:eastAsia="bg-BG"/>
        </w:rPr>
      </w:pPr>
    </w:p>
    <w:p w14:paraId="60BC06B0" w14:textId="1AE672D1"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u w:val="single"/>
          <w:lang w:eastAsia="bg-BG"/>
        </w:rPr>
        <w:t>Педиатрична популация</w:t>
      </w:r>
    </w:p>
    <w:p w14:paraId="28597916"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При проведено двойносляпо, рандомизирано, мултицентрово, плацебо-контролирано 12- седмично проучване (</w:t>
      </w:r>
      <w:r w:rsidRPr="00AF43A0">
        <w:rPr>
          <w:rFonts w:eastAsia="Times New Roman" w:cs="Arial"/>
          <w:color w:val="000000"/>
          <w:szCs w:val="20"/>
          <w:lang w:val="en-US"/>
        </w:rPr>
        <w:t>n</w:t>
      </w:r>
      <w:r w:rsidRPr="00AF43A0">
        <w:rPr>
          <w:rFonts w:eastAsia="Times New Roman" w:cs="Arial"/>
          <w:color w:val="000000"/>
          <w:szCs w:val="20"/>
          <w:lang w:eastAsia="bg-BG"/>
        </w:rPr>
        <w:t xml:space="preserve"> = 176,97 от мъжки пол и 79 от женски пол), последвано от 40-седмична открита фаза с титриране на дозата на розувастатин (</w:t>
      </w:r>
      <w:r w:rsidRPr="00AF43A0">
        <w:rPr>
          <w:rFonts w:eastAsia="Times New Roman" w:cs="Arial"/>
          <w:color w:val="000000"/>
          <w:szCs w:val="20"/>
          <w:lang w:val="en-US"/>
        </w:rPr>
        <w:t>n</w:t>
      </w:r>
      <w:r w:rsidRPr="00AF43A0">
        <w:rPr>
          <w:rFonts w:eastAsia="Times New Roman" w:cs="Arial"/>
          <w:color w:val="000000"/>
          <w:szCs w:val="20"/>
          <w:lang w:eastAsia="bg-BG"/>
        </w:rPr>
        <w:t>=173, 96 от мъжки пол и 77</w:t>
      </w:r>
      <w:r w:rsidRPr="00AF43A0">
        <w:rPr>
          <w:rFonts w:eastAsia="Times New Roman" w:cs="Arial"/>
          <w:color w:val="000000"/>
          <w:szCs w:val="20"/>
          <w:lang w:val="en-US"/>
        </w:rPr>
        <w:t xml:space="preserve"> </w:t>
      </w:r>
      <w:r w:rsidRPr="00AF43A0">
        <w:rPr>
          <w:rFonts w:eastAsia="Times New Roman" w:cs="Arial"/>
          <w:color w:val="000000"/>
          <w:szCs w:val="20"/>
          <w:lang w:eastAsia="bg-BG"/>
        </w:rPr>
        <w:t xml:space="preserve">от женски пол), пациенти на възраст 10-17 години (стадий </w:t>
      </w:r>
      <w:r w:rsidRPr="00AF43A0">
        <w:rPr>
          <w:rFonts w:eastAsia="Times New Roman" w:cs="Arial"/>
          <w:color w:val="000000"/>
          <w:szCs w:val="20"/>
          <w:lang w:val="en-US"/>
        </w:rPr>
        <w:t xml:space="preserve">II-IV </w:t>
      </w:r>
      <w:r w:rsidRPr="00AF43A0">
        <w:rPr>
          <w:rFonts w:eastAsia="Times New Roman" w:cs="Arial"/>
          <w:color w:val="000000"/>
          <w:szCs w:val="20"/>
          <w:lang w:eastAsia="bg-BG"/>
        </w:rPr>
        <w:t xml:space="preserve">по Танер, момичета поне 1 година след началото менструацията) с хетерозиготна фамилна хиперхолестеролемия, получават розувастатин 5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10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или плацебо дневно за 12 седмици, а след това всички участници получават розувастатин дневно за 40 седмица. В началото на проучването около 30% от пациентите са 10-13-годишни и приблизително 17%, 18%, 40% и 25% са съответно в стадии II, </w:t>
      </w:r>
      <w:r w:rsidRPr="00AF43A0">
        <w:rPr>
          <w:rFonts w:eastAsia="Times New Roman" w:cs="Arial"/>
          <w:color w:val="000000"/>
          <w:szCs w:val="20"/>
          <w:lang w:val="en-US"/>
        </w:rPr>
        <w:t xml:space="preserve">III, </w:t>
      </w:r>
      <w:r w:rsidRPr="00AF43A0">
        <w:rPr>
          <w:rFonts w:eastAsia="Times New Roman" w:cs="Arial"/>
          <w:color w:val="000000"/>
          <w:szCs w:val="20"/>
          <w:lang w:eastAsia="bg-BG"/>
        </w:rPr>
        <w:t>IV и V по Танер,</w:t>
      </w:r>
    </w:p>
    <w:p w14:paraId="22A5E419" w14:textId="77777777" w:rsidR="00AF43A0" w:rsidRPr="00AF43A0" w:rsidRDefault="00AF43A0" w:rsidP="00AF43A0">
      <w:pPr>
        <w:spacing w:line="240" w:lineRule="auto"/>
        <w:rPr>
          <w:rFonts w:eastAsia="Times New Roman" w:cs="Arial"/>
          <w:color w:val="000000"/>
          <w:szCs w:val="20"/>
          <w:lang w:val="en-US"/>
        </w:rPr>
      </w:pPr>
    </w:p>
    <w:p w14:paraId="0B871118" w14:textId="0050464F"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val="en-US"/>
        </w:rPr>
        <w:t xml:space="preserve">LDL </w:t>
      </w:r>
      <w:r w:rsidRPr="00AF43A0">
        <w:rPr>
          <w:rFonts w:eastAsia="Times New Roman" w:cs="Arial"/>
          <w:color w:val="000000"/>
          <w:szCs w:val="20"/>
          <w:lang w:eastAsia="bg-BG"/>
        </w:rPr>
        <w:t xml:space="preserve">холестеролът се понижава съответно с 38,3%, 44,6% и 50,0% от розувастатин 5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10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и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в сравнение с 0,7% за плацебо.</w:t>
      </w:r>
    </w:p>
    <w:p w14:paraId="57A77FDD"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В края на 40-седмичното, открито, целящо титриране, проучване, при дози до максимум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веднъж дневно, 70 от 173 пациенти (40,5%) постигат целта за </w:t>
      </w:r>
      <w:r w:rsidRPr="00AF43A0">
        <w:rPr>
          <w:rFonts w:eastAsia="Times New Roman" w:cs="Arial"/>
          <w:color w:val="000000"/>
          <w:szCs w:val="20"/>
          <w:lang w:val="en-US"/>
        </w:rPr>
        <w:t xml:space="preserve">LDL </w:t>
      </w:r>
      <w:r w:rsidRPr="00AF43A0">
        <w:rPr>
          <w:rFonts w:eastAsia="Times New Roman" w:cs="Arial"/>
          <w:color w:val="000000"/>
          <w:szCs w:val="20"/>
          <w:lang w:eastAsia="bg-BG"/>
        </w:rPr>
        <w:t xml:space="preserve">холестерол под 2,8 </w:t>
      </w:r>
      <w:proofErr w:type="spellStart"/>
      <w:r w:rsidRPr="00AF43A0">
        <w:rPr>
          <w:rFonts w:eastAsia="Times New Roman" w:cs="Arial"/>
          <w:color w:val="000000"/>
          <w:szCs w:val="20"/>
          <w:lang w:val="en-US"/>
        </w:rPr>
        <w:t>mmol</w:t>
      </w:r>
      <w:proofErr w:type="spellEnd"/>
      <w:r w:rsidRPr="00AF43A0">
        <w:rPr>
          <w:rFonts w:eastAsia="Times New Roman" w:cs="Arial"/>
          <w:color w:val="000000"/>
          <w:szCs w:val="20"/>
          <w:lang w:val="en-US"/>
        </w:rPr>
        <w:t>/l.</w:t>
      </w:r>
    </w:p>
    <w:p w14:paraId="7C612A74" w14:textId="77777777" w:rsidR="00AF43A0" w:rsidRPr="00AF43A0" w:rsidRDefault="00AF43A0" w:rsidP="00AF43A0">
      <w:pPr>
        <w:spacing w:line="240" w:lineRule="auto"/>
        <w:rPr>
          <w:rFonts w:eastAsia="Times New Roman" w:cs="Arial"/>
          <w:color w:val="000000"/>
          <w:szCs w:val="20"/>
          <w:lang w:eastAsia="bg-BG"/>
        </w:rPr>
      </w:pPr>
    </w:p>
    <w:p w14:paraId="4FE11953" w14:textId="5455D88B"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След 52 седмици спазване на изследваното лечение не е установен никакъв ефект върху растежа, теглото, </w:t>
      </w:r>
      <w:r w:rsidRPr="00AF43A0">
        <w:rPr>
          <w:rFonts w:eastAsia="Times New Roman" w:cs="Arial"/>
          <w:color w:val="000000"/>
          <w:szCs w:val="20"/>
          <w:lang w:val="en-US"/>
        </w:rPr>
        <w:t xml:space="preserve">BMI </w:t>
      </w:r>
      <w:r w:rsidRPr="00AF43A0">
        <w:rPr>
          <w:rFonts w:eastAsia="Times New Roman" w:cs="Arial"/>
          <w:color w:val="000000"/>
          <w:szCs w:val="20"/>
          <w:lang w:eastAsia="bg-BG"/>
        </w:rPr>
        <w:t>или половото съзряване (вж. точка 4.4). Това проучване (</w:t>
      </w:r>
      <w:r w:rsidRPr="00AF43A0">
        <w:rPr>
          <w:rFonts w:eastAsia="Times New Roman" w:cs="Arial"/>
          <w:color w:val="000000"/>
          <w:szCs w:val="20"/>
          <w:lang w:val="en-US"/>
        </w:rPr>
        <w:t>n</w:t>
      </w:r>
      <w:r w:rsidRPr="00AF43A0">
        <w:rPr>
          <w:rFonts w:eastAsia="Times New Roman" w:cs="Arial"/>
          <w:color w:val="000000"/>
          <w:szCs w:val="20"/>
          <w:lang w:eastAsia="bg-BG"/>
        </w:rPr>
        <w:t xml:space="preserve"> = 176) не беше предназначено за сравняване на редки нежелани лекарствени реакции.</w:t>
      </w:r>
    </w:p>
    <w:p w14:paraId="30B3E476" w14:textId="77777777" w:rsidR="00AF43A0" w:rsidRPr="00AF43A0" w:rsidRDefault="00AF43A0" w:rsidP="00AF43A0">
      <w:pPr>
        <w:rPr>
          <w:rFonts w:eastAsia="Times New Roman" w:cs="Arial"/>
          <w:color w:val="000000"/>
          <w:szCs w:val="20"/>
          <w:lang w:eastAsia="bg-BG"/>
        </w:rPr>
      </w:pPr>
    </w:p>
    <w:p w14:paraId="1EC3DD0A" w14:textId="77777777" w:rsidR="00AF43A0" w:rsidRPr="00B17B98" w:rsidRDefault="00AF43A0" w:rsidP="00AF43A0">
      <w:pPr>
        <w:rPr>
          <w:rFonts w:eastAsia="Times New Roman" w:cs="Arial"/>
          <w:lang w:eastAsia="bg-BG"/>
        </w:rPr>
      </w:pPr>
      <w:r w:rsidRPr="00AF43A0">
        <w:rPr>
          <w:rFonts w:eastAsia="Times New Roman" w:cs="Arial"/>
          <w:color w:val="000000"/>
          <w:szCs w:val="20"/>
          <w:lang w:eastAsia="bg-BG"/>
        </w:rPr>
        <w:t>Розувастатин е проучван също в едно 2-годишно, открито клинично проуяване, с титриране до желаната доза, при 1</w:t>
      </w:r>
      <w:r>
        <w:rPr>
          <w:rFonts w:eastAsia="Times New Roman" w:cs="Arial"/>
          <w:color w:val="000000"/>
          <w:szCs w:val="20"/>
          <w:lang w:eastAsia="bg-BG"/>
        </w:rPr>
        <w:t xml:space="preserve">98 деца с хетерозиготна фамилна </w:t>
      </w:r>
      <w:r w:rsidRPr="00AF43A0">
        <w:rPr>
          <w:rFonts w:eastAsia="Times New Roman" w:cs="Arial"/>
          <w:color w:val="000000"/>
          <w:szCs w:val="20"/>
          <w:lang w:eastAsia="bg-BG"/>
        </w:rPr>
        <w:t>хиперхолестеролемия на възраст от 6 до 17 години (88</w:t>
      </w:r>
      <w:r>
        <w:rPr>
          <w:rFonts w:eastAsia="Times New Roman" w:cs="Arial"/>
          <w:color w:val="000000"/>
          <w:szCs w:val="20"/>
          <w:lang w:eastAsia="bg-BG"/>
        </w:rPr>
        <w:t xml:space="preserve"> момчета и 110 мимичета, стадий </w:t>
      </w:r>
      <w:r w:rsidRPr="00AF43A0">
        <w:rPr>
          <w:rFonts w:eastAsia="Times New Roman" w:cs="Arial"/>
          <w:color w:val="000000"/>
          <w:szCs w:val="20"/>
          <w:lang w:eastAsia="bg-BG"/>
        </w:rPr>
        <w:t xml:space="preserve">по Танер &lt; II-V). Началната доза при всички пациенти е 5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розувастатин веднъж </w:t>
      </w:r>
      <w:r w:rsidRPr="00B17B98">
        <w:rPr>
          <w:rFonts w:eastAsia="Times New Roman" w:cs="Arial"/>
          <w:color w:val="000000"/>
          <w:lang w:eastAsia="bg-BG"/>
        </w:rPr>
        <w:t>дневно. При пациенти на възраст от 6 до 9 години (</w:t>
      </w:r>
      <w:r w:rsidRPr="00B17B98">
        <w:rPr>
          <w:rFonts w:eastAsia="Times New Roman" w:cs="Arial"/>
          <w:color w:val="000000"/>
          <w:lang w:val="en-US"/>
        </w:rPr>
        <w:t>n=64</w:t>
      </w:r>
      <w:r w:rsidRPr="00B17B98">
        <w:rPr>
          <w:rFonts w:eastAsia="Times New Roman" w:cs="Arial"/>
          <w:color w:val="000000"/>
          <w:lang w:eastAsia="bg-BG"/>
        </w:rPr>
        <w:t>)</w:t>
      </w:r>
      <w:r w:rsidRPr="00B17B98">
        <w:rPr>
          <w:rFonts w:eastAsia="Times New Roman" w:cs="Arial"/>
          <w:color w:val="000000"/>
          <w:lang w:val="en-US" w:eastAsia="bg-BG"/>
        </w:rPr>
        <w:t xml:space="preserve"> </w:t>
      </w:r>
      <w:r w:rsidRPr="00B17B98">
        <w:rPr>
          <w:rFonts w:eastAsia="Times New Roman" w:cs="Arial"/>
          <w:color w:val="000000"/>
          <w:lang w:eastAsia="bg-BG"/>
        </w:rPr>
        <w:t xml:space="preserve">дозата може да се титрира до максималната доза 10 </w:t>
      </w:r>
      <w:r w:rsidRPr="00B17B98">
        <w:rPr>
          <w:rFonts w:eastAsia="Times New Roman" w:cs="Arial"/>
          <w:color w:val="000000"/>
          <w:lang w:val="en-US"/>
        </w:rPr>
        <w:t xml:space="preserve">mg </w:t>
      </w:r>
      <w:r w:rsidRPr="00B17B98">
        <w:rPr>
          <w:rFonts w:eastAsia="Times New Roman" w:cs="Arial"/>
          <w:color w:val="000000"/>
          <w:lang w:eastAsia="bg-BG"/>
        </w:rPr>
        <w:t xml:space="preserve">веднъж дневно, а при пациенти на възраст от 10 до 17 години </w:t>
      </w:r>
      <w:r w:rsidRPr="00B17B98">
        <w:rPr>
          <w:rFonts w:eastAsia="Times New Roman" w:cs="Arial"/>
          <w:color w:val="000000"/>
          <w:lang w:val="en-US"/>
        </w:rPr>
        <w:t xml:space="preserve">(n= </w:t>
      </w:r>
      <w:r w:rsidRPr="00B17B98">
        <w:rPr>
          <w:rFonts w:eastAsia="Times New Roman" w:cs="Arial"/>
          <w:color w:val="000000"/>
          <w:lang w:eastAsia="bg-BG"/>
        </w:rPr>
        <w:t xml:space="preserve">134) до максималната доза 20 </w:t>
      </w:r>
      <w:r w:rsidRPr="00B17B98">
        <w:rPr>
          <w:rFonts w:eastAsia="Times New Roman" w:cs="Arial"/>
          <w:color w:val="000000"/>
          <w:lang w:val="en-US"/>
        </w:rPr>
        <w:t xml:space="preserve">mg </w:t>
      </w:r>
      <w:r w:rsidRPr="00B17B98">
        <w:rPr>
          <w:rFonts w:eastAsia="Times New Roman" w:cs="Arial"/>
          <w:color w:val="000000"/>
          <w:lang w:eastAsia="bg-BG"/>
        </w:rPr>
        <w:t>веднъж дневно.</w:t>
      </w:r>
    </w:p>
    <w:p w14:paraId="43A021C2" w14:textId="77777777" w:rsidR="00AF43A0" w:rsidRPr="00B17B98" w:rsidRDefault="00AF43A0" w:rsidP="00AF43A0">
      <w:pPr>
        <w:spacing w:line="240" w:lineRule="auto"/>
        <w:rPr>
          <w:rFonts w:eastAsia="Times New Roman" w:cs="Arial"/>
          <w:color w:val="000000"/>
          <w:lang w:eastAsia="bg-BG"/>
        </w:rPr>
      </w:pPr>
    </w:p>
    <w:p w14:paraId="5B0382C7" w14:textId="4E238488" w:rsidR="00AF43A0" w:rsidRPr="00AF43A0" w:rsidRDefault="00AF43A0" w:rsidP="00AF43A0">
      <w:pPr>
        <w:spacing w:line="240" w:lineRule="auto"/>
        <w:rPr>
          <w:rFonts w:eastAsia="Times New Roman" w:cs="Arial"/>
          <w:lang w:eastAsia="bg-BG"/>
        </w:rPr>
      </w:pPr>
      <w:r w:rsidRPr="00AF43A0">
        <w:rPr>
          <w:rFonts w:eastAsia="Times New Roman" w:cs="Arial"/>
          <w:color w:val="000000"/>
          <w:lang w:eastAsia="bg-BG"/>
        </w:rPr>
        <w:t xml:space="preserve">След 24 месеца на лечение с розувастатин, </w:t>
      </w:r>
      <w:r w:rsidRPr="00AF43A0">
        <w:rPr>
          <w:rFonts w:eastAsia="Times New Roman" w:cs="Arial"/>
          <w:color w:val="000000"/>
          <w:lang w:val="en-US"/>
        </w:rPr>
        <w:t xml:space="preserve">LS </w:t>
      </w:r>
      <w:r w:rsidRPr="00AF43A0">
        <w:rPr>
          <w:rFonts w:eastAsia="Times New Roman" w:cs="Arial"/>
          <w:color w:val="000000"/>
          <w:lang w:eastAsia="bg-BG"/>
        </w:rPr>
        <w:t xml:space="preserve">на средния процент на намаление на </w:t>
      </w:r>
      <w:r w:rsidRPr="00AF43A0">
        <w:rPr>
          <w:rFonts w:eastAsia="Times New Roman" w:cs="Arial"/>
          <w:color w:val="000000"/>
          <w:lang w:val="en-US"/>
        </w:rPr>
        <w:t xml:space="preserve">LDL-C </w:t>
      </w:r>
      <w:r w:rsidRPr="00AF43A0">
        <w:rPr>
          <w:rFonts w:eastAsia="Times New Roman" w:cs="Arial"/>
          <w:color w:val="000000"/>
          <w:lang w:eastAsia="bg-BG"/>
        </w:rPr>
        <w:t xml:space="preserve">спрямо изходната стойност е -43%(изходно ниво 236 </w:t>
      </w:r>
      <w:r w:rsidRPr="00AF43A0">
        <w:rPr>
          <w:rFonts w:eastAsia="Times New Roman" w:cs="Arial"/>
          <w:color w:val="000000"/>
          <w:lang w:val="en-US"/>
        </w:rPr>
        <w:t xml:space="preserve">mg/dl, </w:t>
      </w:r>
      <w:r w:rsidRPr="00AF43A0">
        <w:rPr>
          <w:rFonts w:eastAsia="Times New Roman" w:cs="Arial"/>
          <w:color w:val="000000"/>
          <w:lang w:eastAsia="bg-BG"/>
        </w:rPr>
        <w:t xml:space="preserve">на месец 24:133 </w:t>
      </w:r>
      <w:r w:rsidRPr="00AF43A0">
        <w:rPr>
          <w:rFonts w:eastAsia="Times New Roman" w:cs="Arial"/>
          <w:color w:val="000000"/>
          <w:lang w:val="en-US"/>
        </w:rPr>
        <w:t xml:space="preserve">mg/dl). </w:t>
      </w:r>
      <w:r w:rsidRPr="00AF43A0">
        <w:rPr>
          <w:rFonts w:eastAsia="Times New Roman" w:cs="Arial"/>
          <w:color w:val="000000"/>
          <w:lang w:eastAsia="bg-BG"/>
        </w:rPr>
        <w:t xml:space="preserve">За всяка възрастова група </w:t>
      </w:r>
      <w:r w:rsidRPr="00AF43A0">
        <w:rPr>
          <w:rFonts w:eastAsia="Times New Roman" w:cs="Arial"/>
          <w:color w:val="000000"/>
          <w:lang w:val="en-US"/>
        </w:rPr>
        <w:t xml:space="preserve">LS </w:t>
      </w:r>
      <w:r w:rsidRPr="00AF43A0">
        <w:rPr>
          <w:rFonts w:eastAsia="Times New Roman" w:cs="Arial"/>
          <w:color w:val="000000"/>
          <w:lang w:eastAsia="bg-BG"/>
        </w:rPr>
        <w:t xml:space="preserve">на средния процент на намаление на </w:t>
      </w:r>
      <w:r w:rsidRPr="00AF43A0">
        <w:rPr>
          <w:rFonts w:eastAsia="Times New Roman" w:cs="Arial"/>
          <w:color w:val="000000"/>
          <w:lang w:val="en-US"/>
        </w:rPr>
        <w:t xml:space="preserve">LDL-C </w:t>
      </w:r>
      <w:r w:rsidRPr="00AF43A0">
        <w:rPr>
          <w:rFonts w:eastAsia="Times New Roman" w:cs="Arial"/>
          <w:color w:val="000000"/>
          <w:lang w:eastAsia="bg-BG"/>
        </w:rPr>
        <w:t xml:space="preserve">спрямо изходните стойности е -43% (изходно ниво:234 </w:t>
      </w:r>
      <w:r w:rsidRPr="00AF43A0">
        <w:rPr>
          <w:rFonts w:eastAsia="Times New Roman" w:cs="Arial"/>
          <w:color w:val="000000"/>
          <w:lang w:val="en-US"/>
        </w:rPr>
        <w:t xml:space="preserve">mg/dl, </w:t>
      </w:r>
      <w:r w:rsidRPr="00AF43A0">
        <w:rPr>
          <w:rFonts w:eastAsia="Times New Roman" w:cs="Arial"/>
          <w:color w:val="000000"/>
          <w:lang w:eastAsia="bg-BG"/>
        </w:rPr>
        <w:t xml:space="preserve">на месец 24:124 </w:t>
      </w:r>
      <w:r w:rsidRPr="00AF43A0">
        <w:rPr>
          <w:rFonts w:eastAsia="Times New Roman" w:cs="Arial"/>
          <w:color w:val="000000"/>
          <w:lang w:val="en-US"/>
        </w:rPr>
        <w:t xml:space="preserve">mg/dl), </w:t>
      </w:r>
      <w:r w:rsidRPr="00AF43A0">
        <w:rPr>
          <w:rFonts w:eastAsia="Times New Roman" w:cs="Arial"/>
          <w:color w:val="000000"/>
          <w:lang w:eastAsia="bg-BG"/>
        </w:rPr>
        <w:t xml:space="preserve">-45% (изходно </w:t>
      </w:r>
      <w:r w:rsidRPr="00AF43A0">
        <w:rPr>
          <w:rFonts w:eastAsia="Times New Roman" w:cs="Arial"/>
          <w:color w:val="000000"/>
          <w:lang w:eastAsia="bg-BG"/>
        </w:rPr>
        <w:lastRenderedPageBreak/>
        <w:t xml:space="preserve">ниво:234 </w:t>
      </w:r>
      <w:r w:rsidRPr="00AF43A0">
        <w:rPr>
          <w:rFonts w:eastAsia="Times New Roman" w:cs="Arial"/>
          <w:color w:val="000000"/>
          <w:lang w:val="en-US"/>
        </w:rPr>
        <w:t xml:space="preserve">mg/dl, </w:t>
      </w:r>
      <w:r w:rsidRPr="00AF43A0">
        <w:rPr>
          <w:rFonts w:eastAsia="Times New Roman" w:cs="Arial"/>
          <w:color w:val="000000"/>
          <w:lang w:eastAsia="bg-BG"/>
        </w:rPr>
        <w:t xml:space="preserve">на месец 24:124 </w:t>
      </w:r>
      <w:r w:rsidRPr="00AF43A0">
        <w:rPr>
          <w:rFonts w:eastAsia="Times New Roman" w:cs="Arial"/>
          <w:color w:val="000000"/>
          <w:lang w:val="en-US"/>
        </w:rPr>
        <w:t xml:space="preserve">mg/dl) </w:t>
      </w:r>
      <w:r w:rsidRPr="00AF43A0">
        <w:rPr>
          <w:rFonts w:eastAsia="Times New Roman" w:cs="Arial"/>
          <w:color w:val="000000"/>
          <w:lang w:eastAsia="bg-BG"/>
        </w:rPr>
        <w:t xml:space="preserve">и -35% (изходно ниво: 241 </w:t>
      </w:r>
      <w:r w:rsidRPr="00AF43A0">
        <w:rPr>
          <w:rFonts w:eastAsia="Times New Roman" w:cs="Arial"/>
          <w:color w:val="000000"/>
          <w:lang w:val="en-US"/>
        </w:rPr>
        <w:t xml:space="preserve">mg/dl, </w:t>
      </w:r>
      <w:r w:rsidRPr="00AF43A0">
        <w:rPr>
          <w:rFonts w:eastAsia="Times New Roman" w:cs="Arial"/>
          <w:color w:val="000000"/>
          <w:lang w:eastAsia="bg-BG"/>
        </w:rPr>
        <w:t xml:space="preserve">на месец 24:153 </w:t>
      </w:r>
      <w:r w:rsidRPr="00AF43A0">
        <w:rPr>
          <w:rFonts w:eastAsia="Times New Roman" w:cs="Arial"/>
          <w:color w:val="000000"/>
          <w:lang w:val="en-US"/>
        </w:rPr>
        <w:t xml:space="preserve">mg/dl) </w:t>
      </w:r>
      <w:r w:rsidRPr="00AF43A0">
        <w:rPr>
          <w:rFonts w:eastAsia="Times New Roman" w:cs="Arial"/>
          <w:color w:val="000000"/>
          <w:lang w:eastAsia="bg-BG"/>
        </w:rPr>
        <w:t>във възрастовите групи 6 до &lt;10,10 до &lt;14 и 14 до &lt; 18, съответно.</w:t>
      </w:r>
    </w:p>
    <w:p w14:paraId="22F9B405" w14:textId="77777777" w:rsidR="00AF43A0" w:rsidRDefault="00AF43A0" w:rsidP="00AF43A0">
      <w:pPr>
        <w:spacing w:line="240" w:lineRule="auto"/>
        <w:rPr>
          <w:rFonts w:ascii="Times New Roman" w:eastAsia="Times New Roman" w:hAnsi="Times New Roman" w:cs="Times New Roman"/>
          <w:color w:val="000000"/>
          <w:sz w:val="20"/>
          <w:szCs w:val="20"/>
          <w:lang w:eastAsia="bg-BG"/>
        </w:rPr>
      </w:pPr>
    </w:p>
    <w:p w14:paraId="30BCE456" w14:textId="713BECD6"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Розувастатин 5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10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достигат също статистически значими средни промени спрямо изходно ниво за следните вторични показатели на липидите и липопротеините: </w:t>
      </w:r>
      <w:r w:rsidRPr="00AF43A0">
        <w:rPr>
          <w:rFonts w:eastAsia="Times New Roman" w:cs="Arial"/>
          <w:color w:val="000000"/>
          <w:szCs w:val="20"/>
          <w:lang w:val="en-US"/>
        </w:rPr>
        <w:t xml:space="preserve">HDL-C, </w:t>
      </w:r>
      <w:r w:rsidRPr="00AF43A0">
        <w:rPr>
          <w:rFonts w:eastAsia="Times New Roman" w:cs="Arial"/>
          <w:color w:val="000000"/>
          <w:szCs w:val="20"/>
          <w:lang w:eastAsia="bg-BG"/>
        </w:rPr>
        <w:t xml:space="preserve">ТС, </w:t>
      </w:r>
      <w:r w:rsidRPr="00AF43A0">
        <w:rPr>
          <w:rFonts w:eastAsia="Times New Roman" w:cs="Arial"/>
          <w:color w:val="000000"/>
          <w:szCs w:val="20"/>
          <w:lang w:val="en-US"/>
        </w:rPr>
        <w:t xml:space="preserve">non-HDL-C, LDL-C/HDL-C, TC/HDL-C, TG/HDL-C, non-HDL C/HDL-C, </w:t>
      </w:r>
      <w:r w:rsidRPr="00AF43A0">
        <w:rPr>
          <w:rFonts w:eastAsia="Times New Roman" w:cs="Arial"/>
          <w:color w:val="000000"/>
          <w:szCs w:val="20"/>
          <w:lang w:eastAsia="bg-BG"/>
        </w:rPr>
        <w:t>АроВ, АроВ/АроА-1. Всяка от тези промени е в посока на подобрен липиден отговор и се поддържа в продължение на 2 години.</w:t>
      </w:r>
    </w:p>
    <w:p w14:paraId="0F68AB96" w14:textId="77777777" w:rsidR="00AF43A0" w:rsidRPr="00AF43A0" w:rsidRDefault="00AF43A0" w:rsidP="00AF43A0">
      <w:pPr>
        <w:spacing w:line="240" w:lineRule="auto"/>
        <w:rPr>
          <w:rFonts w:eastAsia="Times New Roman" w:cs="Arial"/>
          <w:color w:val="000000"/>
          <w:szCs w:val="20"/>
          <w:lang w:eastAsia="bg-BG"/>
        </w:rPr>
      </w:pPr>
    </w:p>
    <w:p w14:paraId="59907B20" w14:textId="607BFB68"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Не се установява ефект върху растежа, теглото ИТМ или половото съзряване след 24 месеца на лечение (вж. точка 4.4).</w:t>
      </w:r>
    </w:p>
    <w:p w14:paraId="254B09CD" w14:textId="77777777" w:rsidR="00AF43A0" w:rsidRPr="00AF43A0" w:rsidRDefault="00AF43A0" w:rsidP="00AF43A0">
      <w:pPr>
        <w:spacing w:line="240" w:lineRule="auto"/>
        <w:rPr>
          <w:rFonts w:eastAsia="Times New Roman" w:cs="Arial"/>
          <w:color w:val="000000"/>
          <w:szCs w:val="20"/>
          <w:lang w:eastAsia="bg-BG"/>
        </w:rPr>
      </w:pPr>
    </w:p>
    <w:p w14:paraId="16D06A32" w14:textId="3D8B5510"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Розувастатин е проучен в рандомизирано, двойносляпо, плацебо-контролирано, мултицентрово, кръстосано проучване с доза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веднъж дневно, спрямо плацебо при 14 деца и юноши (на възраст от 6 до 17 години) с хомозиготна фамилна хиперхолестеролемия. Проучването включва активна 4-седмична начална фаза на диета, по време на която пациентите се лекувани с розувастатин 10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една кръстосана газа, която включва период от 6-седмично лечение с розувастатин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предшествана или последвана от 6-седмично лечение с плацебо и поддържаща 12-седмична фаза, през която всички пациенти са лекувани с розувастатин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Пациентите, които се включват в проучването на терапия с езетимиб или афереза, продължават лечението си през целия период на проучването.</w:t>
      </w:r>
    </w:p>
    <w:p w14:paraId="52A15258" w14:textId="77777777" w:rsidR="00AF43A0" w:rsidRPr="00AF43A0" w:rsidRDefault="00AF43A0" w:rsidP="00AF43A0">
      <w:pPr>
        <w:spacing w:line="240" w:lineRule="auto"/>
        <w:rPr>
          <w:rFonts w:eastAsia="Times New Roman" w:cs="Arial"/>
          <w:color w:val="000000"/>
          <w:szCs w:val="20"/>
          <w:lang w:eastAsia="bg-BG"/>
        </w:rPr>
      </w:pPr>
    </w:p>
    <w:p w14:paraId="5486C566" w14:textId="4AC3BFC9"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Статистически сигнификантно (р=0,005)намаление на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 xml:space="preserve">(22,3 %, 85,4 </w:t>
      </w:r>
      <w:r w:rsidRPr="00AF43A0">
        <w:rPr>
          <w:rFonts w:eastAsia="Times New Roman" w:cs="Arial"/>
          <w:color w:val="000000"/>
          <w:szCs w:val="20"/>
          <w:lang w:val="en-US"/>
        </w:rPr>
        <w:t xml:space="preserve">mg/dl </w:t>
      </w:r>
      <w:r w:rsidRPr="00AF43A0">
        <w:rPr>
          <w:rFonts w:eastAsia="Times New Roman" w:cs="Arial"/>
          <w:color w:val="000000"/>
          <w:szCs w:val="20"/>
          <w:lang w:eastAsia="bg-BG"/>
        </w:rPr>
        <w:t xml:space="preserve">или 2,2 </w:t>
      </w:r>
      <w:proofErr w:type="spellStart"/>
      <w:r w:rsidRPr="00AF43A0">
        <w:rPr>
          <w:rFonts w:eastAsia="Times New Roman" w:cs="Arial"/>
          <w:color w:val="000000"/>
          <w:szCs w:val="20"/>
          <w:lang w:val="en-US"/>
        </w:rPr>
        <w:t>mmol</w:t>
      </w:r>
      <w:proofErr w:type="spellEnd"/>
      <w:r w:rsidRPr="00AF43A0">
        <w:rPr>
          <w:rFonts w:eastAsia="Times New Roman" w:cs="Arial"/>
          <w:color w:val="000000"/>
          <w:szCs w:val="20"/>
          <w:lang w:val="en-US"/>
        </w:rPr>
        <w:t xml:space="preserve">/l) </w:t>
      </w:r>
      <w:r w:rsidRPr="00AF43A0">
        <w:rPr>
          <w:rFonts w:eastAsia="Times New Roman" w:cs="Arial"/>
          <w:color w:val="000000"/>
          <w:szCs w:val="20"/>
          <w:lang w:eastAsia="bg-BG"/>
        </w:rPr>
        <w:t xml:space="preserve">се наблюдава след 6 седмици на лечение с розувастатин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в сравнение с плацебо. Наблюдавани са статистически значими намаления на общия холестерол (20,1 %, р=0,003), </w:t>
      </w:r>
      <w:r w:rsidRPr="00AF43A0">
        <w:rPr>
          <w:rFonts w:eastAsia="Times New Roman" w:cs="Arial"/>
          <w:color w:val="000000"/>
          <w:szCs w:val="20"/>
          <w:lang w:val="en-US"/>
        </w:rPr>
        <w:t xml:space="preserve">HDL-C </w:t>
      </w:r>
      <w:r w:rsidRPr="00AF43A0">
        <w:rPr>
          <w:rFonts w:eastAsia="Times New Roman" w:cs="Arial"/>
          <w:color w:val="000000"/>
          <w:szCs w:val="20"/>
          <w:lang w:eastAsia="bg-BG"/>
        </w:rPr>
        <w:t xml:space="preserve">(22,9 %, р=0,003) и АроВ (17,1 %, р=0,024). Намаление също се наблюдава на ТС, </w:t>
      </w:r>
      <w:r w:rsidRPr="00AF43A0">
        <w:rPr>
          <w:rFonts w:eastAsia="Times New Roman" w:cs="Arial"/>
          <w:color w:val="000000"/>
          <w:szCs w:val="20"/>
          <w:lang w:val="en-US"/>
        </w:rPr>
        <w:t xml:space="preserve">LDL- C/HDL-C, </w:t>
      </w:r>
      <w:r w:rsidRPr="00AF43A0">
        <w:rPr>
          <w:rFonts w:eastAsia="Times New Roman" w:cs="Arial"/>
          <w:color w:val="000000"/>
          <w:szCs w:val="20"/>
          <w:lang w:eastAsia="bg-BG"/>
        </w:rPr>
        <w:t xml:space="preserve">общ </w:t>
      </w:r>
      <w:r w:rsidRPr="00AF43A0">
        <w:rPr>
          <w:rFonts w:eastAsia="Times New Roman" w:cs="Arial"/>
          <w:color w:val="000000"/>
          <w:szCs w:val="20"/>
          <w:lang w:val="en-US"/>
        </w:rPr>
        <w:t xml:space="preserve">C/HDL-C, non-HDL-C/HDL-C </w:t>
      </w:r>
      <w:r w:rsidRPr="00AF43A0">
        <w:rPr>
          <w:rFonts w:eastAsia="Times New Roman" w:cs="Arial"/>
          <w:color w:val="000000"/>
          <w:szCs w:val="20"/>
          <w:lang w:eastAsia="bg-BG"/>
        </w:rPr>
        <w:t xml:space="preserve">и АроВ/АроА-1 след 6 седмици на лечение с розувастатин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в сравнение с плацебо. Намалението на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 xml:space="preserve">след 6 седмици на лечение с розувастатин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последвано от 6 седмици на лечение с плацебо, се запазва в рамките на 12-седмично непрекъснато лечение. Един пациент е имал по-нататъшно понижаване на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 xml:space="preserve">(8,%). Общ-С (6,7%) и не- </w:t>
      </w:r>
      <w:r w:rsidRPr="00AF43A0">
        <w:rPr>
          <w:rFonts w:eastAsia="Times New Roman" w:cs="Arial"/>
          <w:color w:val="000000"/>
          <w:szCs w:val="20"/>
          <w:lang w:val="en-US"/>
        </w:rPr>
        <w:t xml:space="preserve">HDL-C </w:t>
      </w:r>
      <w:r w:rsidRPr="00AF43A0">
        <w:rPr>
          <w:rFonts w:eastAsia="Times New Roman" w:cs="Arial"/>
          <w:color w:val="000000"/>
          <w:szCs w:val="20"/>
          <w:lang w:eastAsia="bg-BG"/>
        </w:rPr>
        <w:t xml:space="preserve">(7,4%) след 6 седмично лечение с 40 </w:t>
      </w:r>
      <w:r w:rsidRPr="00AF43A0">
        <w:rPr>
          <w:rFonts w:eastAsia="Times New Roman" w:cs="Arial"/>
          <w:color w:val="000000"/>
          <w:szCs w:val="20"/>
          <w:lang w:val="en-US"/>
        </w:rPr>
        <w:t xml:space="preserve">mg </w:t>
      </w:r>
      <w:r w:rsidRPr="00AF43A0">
        <w:rPr>
          <w:rFonts w:eastAsia="Times New Roman" w:cs="Arial"/>
          <w:color w:val="000000"/>
          <w:szCs w:val="20"/>
          <w:lang w:eastAsia="bg-BG"/>
        </w:rPr>
        <w:t>след повишаване на дозата.</w:t>
      </w:r>
    </w:p>
    <w:p w14:paraId="407ED701" w14:textId="77777777" w:rsidR="00AF43A0" w:rsidRPr="00AF43A0" w:rsidRDefault="00AF43A0" w:rsidP="00AF43A0">
      <w:pPr>
        <w:spacing w:line="240" w:lineRule="auto"/>
        <w:rPr>
          <w:rFonts w:eastAsia="Times New Roman" w:cs="Arial"/>
          <w:color w:val="000000"/>
          <w:szCs w:val="20"/>
          <w:lang w:eastAsia="bg-BG"/>
        </w:rPr>
      </w:pPr>
    </w:p>
    <w:p w14:paraId="514FAD99" w14:textId="3D033E6E"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По време на разширено отворено проучване при 9 от тези пациенти на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 xml:space="preserve">розувастатин за повече от 90 седмици, намаляването на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се запазва в рамките на -12,1 % до -21,3 %.</w:t>
      </w:r>
    </w:p>
    <w:p w14:paraId="41BAF985" w14:textId="77777777" w:rsidR="00AF43A0" w:rsidRPr="00AF43A0" w:rsidRDefault="00AF43A0" w:rsidP="00AF43A0">
      <w:pPr>
        <w:spacing w:line="240" w:lineRule="auto"/>
        <w:rPr>
          <w:rFonts w:eastAsia="Times New Roman" w:cs="Arial"/>
          <w:color w:val="000000"/>
          <w:szCs w:val="20"/>
          <w:lang w:eastAsia="bg-BG"/>
        </w:rPr>
      </w:pPr>
    </w:p>
    <w:p w14:paraId="78C3B4B9" w14:textId="66901D25"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При 7-те оценявани деца и юноши (на възраст от 8 до 17 години) с хомозиготна фамилна хиперхолестеролемия от отвореното проучване с форсирано титриране (вж. по-горе), процентното понижение на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 xml:space="preserve">(21,0 %), общ С (19,2 %) и </w:t>
      </w:r>
      <w:r w:rsidRPr="00AF43A0">
        <w:rPr>
          <w:rFonts w:eastAsia="Times New Roman" w:cs="Arial"/>
          <w:color w:val="000000"/>
          <w:szCs w:val="20"/>
          <w:lang w:val="en-US"/>
        </w:rPr>
        <w:t xml:space="preserve">non-HDL-C </w:t>
      </w:r>
      <w:r w:rsidRPr="00AF43A0">
        <w:rPr>
          <w:rFonts w:eastAsia="Times New Roman" w:cs="Arial"/>
          <w:color w:val="000000"/>
          <w:szCs w:val="20"/>
          <w:lang w:eastAsia="bg-BG"/>
        </w:rPr>
        <w:t xml:space="preserve">(21,0 %) от изходното ниво, след 6 седмици на лечение с розувастатин 20 </w:t>
      </w:r>
      <w:r w:rsidRPr="00AF43A0">
        <w:rPr>
          <w:rFonts w:eastAsia="Times New Roman" w:cs="Arial"/>
          <w:color w:val="000000"/>
          <w:szCs w:val="20"/>
          <w:lang w:val="en-US"/>
        </w:rPr>
        <w:t xml:space="preserve">mg, </w:t>
      </w:r>
      <w:r w:rsidRPr="00AF43A0">
        <w:rPr>
          <w:rFonts w:eastAsia="Times New Roman" w:cs="Arial"/>
          <w:color w:val="000000"/>
          <w:szCs w:val="20"/>
          <w:lang w:eastAsia="bg-BG"/>
        </w:rPr>
        <w:t>е в съответствие с тези, наблюдавани в посочено по-горе проучване при деца и юноши с хомозиготна фамилна хиперхолестеролемия.</w:t>
      </w:r>
    </w:p>
    <w:p w14:paraId="778C907E" w14:textId="77777777" w:rsidR="00AF43A0" w:rsidRPr="00AF43A0" w:rsidRDefault="00AF43A0" w:rsidP="00AF43A0">
      <w:pPr>
        <w:spacing w:line="240" w:lineRule="auto"/>
        <w:rPr>
          <w:rFonts w:eastAsia="Times New Roman" w:cs="Arial"/>
          <w:color w:val="000000"/>
          <w:szCs w:val="20"/>
          <w:lang w:eastAsia="bg-BG"/>
        </w:rPr>
      </w:pPr>
    </w:p>
    <w:p w14:paraId="375247A1" w14:textId="2742A1A1"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Европейската агенция по лекарствата отлага задължението за предоставяне на резултатите от проучванията с референтния лекарствен продукт, съдържащ розувастатин при всички подгрупи на педиатричната популация за лечение на хомизиготна фамилна хиперхолестеролемия,</w:t>
      </w:r>
      <w:r w:rsidRPr="00AF43A0">
        <w:rPr>
          <w:rFonts w:eastAsia="Times New Roman" w:cs="Arial"/>
          <w:i/>
          <w:iCs/>
          <w:color w:val="000000"/>
          <w:sz w:val="52"/>
          <w:szCs w:val="48"/>
          <w:vertAlign w:val="superscript"/>
          <w:lang w:eastAsia="bg-BG"/>
        </w:rPr>
        <w:t xml:space="preserve"> </w:t>
      </w:r>
      <w:r w:rsidRPr="00AF43A0">
        <w:rPr>
          <w:rFonts w:eastAsia="Times New Roman" w:cs="Arial"/>
          <w:color w:val="000000"/>
          <w:szCs w:val="20"/>
          <w:lang w:eastAsia="bg-BG"/>
        </w:rPr>
        <w:t>първично комбинирана (смесена) дислипидемия и за профилактика на сърдечно-съдовите</w:t>
      </w:r>
      <w:r w:rsidRPr="00AF43A0">
        <w:rPr>
          <w:rFonts w:eastAsia="Times New Roman" w:cs="Arial"/>
          <w:sz w:val="28"/>
          <w:szCs w:val="24"/>
          <w:lang w:val="en-US" w:eastAsia="bg-BG"/>
        </w:rPr>
        <w:t xml:space="preserve"> </w:t>
      </w:r>
      <w:r w:rsidRPr="00AF43A0">
        <w:rPr>
          <w:rFonts w:eastAsia="Times New Roman" w:cs="Arial"/>
          <w:color w:val="000000"/>
          <w:szCs w:val="20"/>
          <w:lang w:eastAsia="bg-BG"/>
        </w:rPr>
        <w:t>събития (вж.точка 4.2 за информация относно употреба в педиатрията).</w:t>
      </w:r>
    </w:p>
    <w:p w14:paraId="4CCB68C1" w14:textId="77777777" w:rsidR="00AF43A0" w:rsidRPr="0091385D" w:rsidRDefault="00AF43A0"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0E6B4256" w14:textId="77777777" w:rsidR="00AF43A0" w:rsidRPr="00B17B98" w:rsidRDefault="00AF43A0" w:rsidP="00B17B98">
      <w:pPr>
        <w:pStyle w:val="Heading3"/>
        <w:rPr>
          <w:rFonts w:eastAsia="Times New Roman"/>
          <w:sz w:val="28"/>
          <w:u w:val="single"/>
          <w:lang w:eastAsia="bg-BG"/>
        </w:rPr>
      </w:pPr>
      <w:r w:rsidRPr="00B17B98">
        <w:rPr>
          <w:rFonts w:eastAsia="Times New Roman"/>
          <w:u w:val="single"/>
          <w:lang w:eastAsia="bg-BG"/>
        </w:rPr>
        <w:t>Абсорбция</w:t>
      </w:r>
    </w:p>
    <w:p w14:paraId="43DC85B4"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Максимални плазмени нива се достигат 5 часа след перорално приемане. Абсолютната бионаличност е приблизително 20%.</w:t>
      </w:r>
    </w:p>
    <w:p w14:paraId="1F6C3CA0" w14:textId="77777777" w:rsidR="00AF43A0" w:rsidRPr="00AF43A0" w:rsidRDefault="00AF43A0" w:rsidP="00AF43A0">
      <w:pPr>
        <w:spacing w:line="240" w:lineRule="auto"/>
        <w:rPr>
          <w:rFonts w:eastAsia="Times New Roman" w:cs="Arial"/>
          <w:color w:val="000000"/>
          <w:szCs w:val="20"/>
          <w:u w:val="single"/>
          <w:lang w:eastAsia="bg-BG"/>
        </w:rPr>
      </w:pPr>
    </w:p>
    <w:p w14:paraId="7E022786" w14:textId="202AA798" w:rsidR="00AF43A0" w:rsidRPr="00B17B98" w:rsidRDefault="00AF43A0" w:rsidP="00B17B98">
      <w:pPr>
        <w:pStyle w:val="Heading3"/>
        <w:rPr>
          <w:rFonts w:eastAsia="Times New Roman"/>
          <w:sz w:val="28"/>
          <w:u w:val="single"/>
          <w:lang w:eastAsia="bg-BG"/>
        </w:rPr>
      </w:pPr>
      <w:r w:rsidRPr="00B17B98">
        <w:rPr>
          <w:rFonts w:eastAsia="Times New Roman"/>
          <w:u w:val="single"/>
          <w:lang w:eastAsia="bg-BG"/>
        </w:rPr>
        <w:t>Разпределение</w:t>
      </w:r>
    </w:p>
    <w:p w14:paraId="4BBD04FE" w14:textId="77777777" w:rsidR="00B17B98" w:rsidRDefault="00AF43A0" w:rsidP="00AF43A0">
      <w:pPr>
        <w:spacing w:line="240" w:lineRule="auto"/>
        <w:rPr>
          <w:rFonts w:eastAsia="Times New Roman" w:cs="Arial"/>
          <w:color w:val="000000"/>
          <w:szCs w:val="20"/>
          <w:lang w:eastAsia="bg-BG"/>
        </w:rPr>
      </w:pPr>
      <w:r w:rsidRPr="00AF43A0">
        <w:rPr>
          <w:rFonts w:eastAsia="Times New Roman" w:cs="Arial"/>
          <w:color w:val="000000"/>
          <w:szCs w:val="20"/>
          <w:lang w:eastAsia="bg-BG"/>
        </w:rPr>
        <w:t xml:space="preserve">Розувастатин се поема основно от черния дроб, който е основното място на синтезиране на холестерола и отделяне на </w:t>
      </w:r>
      <w:r w:rsidRPr="00AF43A0">
        <w:rPr>
          <w:rFonts w:eastAsia="Times New Roman" w:cs="Arial"/>
          <w:color w:val="000000"/>
          <w:szCs w:val="20"/>
          <w:lang w:val="en-US"/>
        </w:rPr>
        <w:t xml:space="preserve">LDL-C. </w:t>
      </w:r>
      <w:r w:rsidRPr="00AF43A0">
        <w:rPr>
          <w:rFonts w:eastAsia="Times New Roman" w:cs="Arial"/>
          <w:color w:val="000000"/>
          <w:szCs w:val="20"/>
          <w:lang w:eastAsia="bg-BG"/>
        </w:rPr>
        <w:t>Обемът на разпределение на розувастатин е приблизително 1341. Розувастатин се свързва с плазмените протеини, предимно албумина, приблизително в 90%.</w:t>
      </w:r>
    </w:p>
    <w:p w14:paraId="08976802" w14:textId="77777777" w:rsidR="00B17B98" w:rsidRDefault="00B17B98" w:rsidP="00AF43A0">
      <w:pPr>
        <w:spacing w:line="240" w:lineRule="auto"/>
        <w:rPr>
          <w:rFonts w:eastAsia="Times New Roman" w:cs="Arial"/>
          <w:color w:val="000000"/>
          <w:szCs w:val="20"/>
          <w:lang w:eastAsia="bg-BG"/>
        </w:rPr>
      </w:pPr>
    </w:p>
    <w:p w14:paraId="7D61C189" w14:textId="7B1DF8F9" w:rsidR="00AF43A0" w:rsidRPr="00AF43A0" w:rsidRDefault="00B17B98" w:rsidP="00AF43A0">
      <w:pPr>
        <w:spacing w:line="240" w:lineRule="auto"/>
        <w:rPr>
          <w:rFonts w:eastAsia="Times New Roman" w:cs="Arial"/>
          <w:sz w:val="28"/>
          <w:szCs w:val="24"/>
          <w:lang w:eastAsia="bg-BG"/>
        </w:rPr>
      </w:pPr>
      <w:r>
        <w:rPr>
          <w:rStyle w:val="Heading3Char"/>
          <w:u w:val="single"/>
          <w:lang w:eastAsia="bg-BG"/>
        </w:rPr>
        <w:t>Биотрансформац</w:t>
      </w:r>
      <w:r w:rsidR="00AF43A0" w:rsidRPr="00B17B98">
        <w:rPr>
          <w:rStyle w:val="Heading3Char"/>
          <w:u w:val="single"/>
          <w:lang w:eastAsia="bg-BG"/>
        </w:rPr>
        <w:t>ия</w:t>
      </w:r>
    </w:p>
    <w:p w14:paraId="2A4A916B"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Метаболизмът на розувастатин е ограничен (около 10%). </w:t>
      </w:r>
      <w:r w:rsidRPr="00AF43A0">
        <w:rPr>
          <w:rFonts w:eastAsia="Times New Roman" w:cs="Arial"/>
          <w:i/>
          <w:iCs/>
          <w:color w:val="000000"/>
          <w:szCs w:val="20"/>
          <w:lang w:val="en-US"/>
        </w:rPr>
        <w:t>In vitro</w:t>
      </w:r>
      <w:r w:rsidRPr="00AF43A0">
        <w:rPr>
          <w:rFonts w:eastAsia="Times New Roman" w:cs="Arial"/>
          <w:color w:val="000000"/>
          <w:szCs w:val="20"/>
          <w:lang w:val="en-US"/>
        </w:rPr>
        <w:t xml:space="preserve"> </w:t>
      </w:r>
      <w:r w:rsidRPr="00AF43A0">
        <w:rPr>
          <w:rFonts w:eastAsia="Times New Roman" w:cs="Arial"/>
          <w:color w:val="000000"/>
          <w:szCs w:val="20"/>
          <w:lang w:eastAsia="bg-BG"/>
        </w:rPr>
        <w:t xml:space="preserve">проучвания на метаболизма с използване на човешки хепатоцити показват, че розувастатин е слаб субстрат за цитохром Р450 обусловен метаболизъм. </w:t>
      </w:r>
      <w:r w:rsidRPr="00AF43A0">
        <w:rPr>
          <w:rFonts w:eastAsia="Times New Roman" w:cs="Arial"/>
          <w:color w:val="000000"/>
          <w:szCs w:val="20"/>
          <w:lang w:val="en-US"/>
        </w:rPr>
        <w:t xml:space="preserve">CYP2C9 </w:t>
      </w:r>
      <w:r w:rsidRPr="00AF43A0">
        <w:rPr>
          <w:rFonts w:eastAsia="Times New Roman" w:cs="Arial"/>
          <w:color w:val="000000"/>
          <w:szCs w:val="20"/>
          <w:lang w:eastAsia="bg-BG"/>
        </w:rPr>
        <w:t xml:space="preserve">е основният изоензим, участващ в метаболизма на розувастатин, </w:t>
      </w:r>
      <w:r w:rsidRPr="00AF43A0">
        <w:rPr>
          <w:rFonts w:eastAsia="Times New Roman" w:cs="Arial"/>
          <w:color w:val="000000"/>
          <w:szCs w:val="20"/>
          <w:lang w:val="en-US"/>
        </w:rPr>
        <w:t xml:space="preserve">a </w:t>
      </w:r>
      <w:r w:rsidRPr="00AF43A0">
        <w:rPr>
          <w:rFonts w:eastAsia="Times New Roman" w:cs="Arial"/>
          <w:color w:val="000000"/>
          <w:szCs w:val="20"/>
          <w:lang w:eastAsia="bg-BG"/>
        </w:rPr>
        <w:t xml:space="preserve">2С19, 3А4 и </w:t>
      </w:r>
      <w:r w:rsidRPr="00AF43A0">
        <w:rPr>
          <w:rFonts w:eastAsia="Times New Roman" w:cs="Arial"/>
          <w:color w:val="000000"/>
          <w:szCs w:val="20"/>
          <w:lang w:val="en-US"/>
        </w:rPr>
        <w:t xml:space="preserve">2D6 </w:t>
      </w:r>
      <w:r w:rsidRPr="00AF43A0">
        <w:rPr>
          <w:rFonts w:eastAsia="Times New Roman" w:cs="Arial"/>
          <w:color w:val="000000"/>
          <w:szCs w:val="20"/>
          <w:lang w:eastAsia="bg-BG"/>
        </w:rPr>
        <w:t xml:space="preserve">участват в по-малка степен. Основните метаболити са </w:t>
      </w:r>
      <w:r w:rsidRPr="00AF43A0">
        <w:rPr>
          <w:rFonts w:eastAsia="Times New Roman" w:cs="Arial"/>
          <w:color w:val="000000"/>
          <w:szCs w:val="20"/>
          <w:lang w:val="en-US"/>
        </w:rPr>
        <w:t xml:space="preserve">N- </w:t>
      </w:r>
      <w:r w:rsidRPr="00AF43A0">
        <w:rPr>
          <w:rFonts w:eastAsia="Times New Roman" w:cs="Arial"/>
          <w:color w:val="000000"/>
          <w:szCs w:val="20"/>
          <w:lang w:eastAsia="bg-BG"/>
        </w:rPr>
        <w:t xml:space="preserve">десметил и лактон. </w:t>
      </w:r>
      <w:r w:rsidRPr="00AF43A0">
        <w:rPr>
          <w:rFonts w:eastAsia="Times New Roman" w:cs="Arial"/>
          <w:color w:val="000000"/>
          <w:szCs w:val="20"/>
          <w:lang w:val="en-US"/>
        </w:rPr>
        <w:t>N</w:t>
      </w:r>
      <w:r w:rsidRPr="00AF43A0">
        <w:rPr>
          <w:rFonts w:eastAsia="Times New Roman" w:cs="Arial"/>
          <w:color w:val="000000"/>
          <w:szCs w:val="20"/>
          <w:lang w:eastAsia="bg-BG"/>
        </w:rPr>
        <w:t xml:space="preserve">-десметил е около 50% по-малко активен в сравнение с розувастатин, докато лактон се счита за клинично неактивен. Розувастатин определя повече от 90% от активността на циркулиращия инхибитор на </w:t>
      </w:r>
      <w:r w:rsidRPr="00AF43A0">
        <w:rPr>
          <w:rFonts w:eastAsia="Times New Roman" w:cs="Arial"/>
          <w:color w:val="000000"/>
          <w:szCs w:val="20"/>
          <w:lang w:val="en-US"/>
        </w:rPr>
        <w:t xml:space="preserve">HMG-CoA </w:t>
      </w:r>
      <w:r w:rsidRPr="00AF43A0">
        <w:rPr>
          <w:rFonts w:eastAsia="Times New Roman" w:cs="Arial"/>
          <w:color w:val="000000"/>
          <w:szCs w:val="20"/>
          <w:lang w:eastAsia="bg-BG"/>
        </w:rPr>
        <w:t>редуктазата.</w:t>
      </w:r>
    </w:p>
    <w:p w14:paraId="534BD600" w14:textId="36E23C28" w:rsidR="00AF43A0" w:rsidRPr="00AF43A0" w:rsidRDefault="00AF43A0" w:rsidP="00AF43A0">
      <w:pPr>
        <w:spacing w:line="240" w:lineRule="auto"/>
        <w:rPr>
          <w:rFonts w:eastAsia="Times New Roman" w:cs="Arial"/>
          <w:color w:val="000000"/>
          <w:szCs w:val="20"/>
          <w:u w:val="single"/>
          <w:lang w:eastAsia="bg-BG"/>
        </w:rPr>
      </w:pPr>
    </w:p>
    <w:p w14:paraId="09B97809" w14:textId="75F5019D" w:rsidR="00AF43A0" w:rsidRPr="00B17B98" w:rsidRDefault="00AF43A0" w:rsidP="00B17B98">
      <w:pPr>
        <w:pStyle w:val="Heading3"/>
        <w:rPr>
          <w:rFonts w:eastAsia="Times New Roman"/>
          <w:sz w:val="28"/>
          <w:u w:val="single"/>
          <w:lang w:eastAsia="bg-BG"/>
        </w:rPr>
      </w:pPr>
      <w:r w:rsidRPr="00B17B98">
        <w:rPr>
          <w:rFonts w:eastAsia="Times New Roman"/>
          <w:u w:val="single"/>
          <w:lang w:eastAsia="bg-BG"/>
        </w:rPr>
        <w:t>Елиминиране</w:t>
      </w:r>
    </w:p>
    <w:p w14:paraId="2B3EB3A8"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Приблизително 90% от розувастатин се елиминират като непроменено лекарство с фекалиите (абсорбирано и неабсорбирано лекарствено вещество), като останалата част се екскретира с урината. Около 5% се екскретира непроменен в урината. Плазменият полуживот е около 19 часа.</w:t>
      </w:r>
    </w:p>
    <w:p w14:paraId="1F7F0B53"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Плазменият полуживот не се увеличава с увеличаване на дозата. Средният плазмен клирънс е приблизително 50 литра на час (коефициент на вариабилност 21,7%). Както при други инхибитори на редуктазата чернодробното поемане на розувастатин включва мембранния преносител ОАТР-С. Този преносител е важен за чернодробното елиминиране на розувастатин.</w:t>
      </w:r>
    </w:p>
    <w:p w14:paraId="21BC5F70" w14:textId="77777777" w:rsidR="00AF43A0" w:rsidRPr="00AF43A0" w:rsidRDefault="00AF43A0" w:rsidP="00AF43A0">
      <w:pPr>
        <w:spacing w:line="240" w:lineRule="auto"/>
        <w:rPr>
          <w:rFonts w:eastAsia="Times New Roman" w:cs="Arial"/>
          <w:color w:val="000000"/>
          <w:szCs w:val="20"/>
          <w:u w:val="single"/>
          <w:lang w:eastAsia="bg-BG"/>
        </w:rPr>
      </w:pPr>
    </w:p>
    <w:p w14:paraId="67E23A14" w14:textId="219D11B0"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u w:val="single"/>
          <w:lang w:eastAsia="bg-BG"/>
        </w:rPr>
        <w:t>Линейност/нелинейност</w:t>
      </w:r>
    </w:p>
    <w:p w14:paraId="6CDB03AE"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3BC221F2" w14:textId="77777777" w:rsidR="00AF43A0" w:rsidRPr="00AF43A0" w:rsidRDefault="00AF43A0" w:rsidP="00AF43A0">
      <w:pPr>
        <w:spacing w:line="240" w:lineRule="auto"/>
        <w:rPr>
          <w:rFonts w:eastAsia="Times New Roman" w:cs="Arial"/>
          <w:b/>
          <w:bCs/>
          <w:color w:val="000000"/>
          <w:szCs w:val="20"/>
          <w:lang w:eastAsia="bg-BG"/>
        </w:rPr>
      </w:pPr>
    </w:p>
    <w:p w14:paraId="29291210" w14:textId="478105A3" w:rsidR="00AF43A0" w:rsidRPr="00AF43A0" w:rsidRDefault="00AF43A0" w:rsidP="00AF43A0">
      <w:pPr>
        <w:spacing w:line="240" w:lineRule="auto"/>
        <w:rPr>
          <w:rFonts w:eastAsia="Times New Roman" w:cs="Arial"/>
          <w:sz w:val="28"/>
          <w:szCs w:val="24"/>
          <w:lang w:eastAsia="bg-BG"/>
        </w:rPr>
      </w:pPr>
      <w:r w:rsidRPr="00AF43A0">
        <w:rPr>
          <w:rFonts w:eastAsia="Times New Roman" w:cs="Arial"/>
          <w:b/>
          <w:bCs/>
          <w:color w:val="000000"/>
          <w:szCs w:val="20"/>
          <w:lang w:eastAsia="bg-BG"/>
        </w:rPr>
        <w:t>Специални популации:</w:t>
      </w:r>
    </w:p>
    <w:p w14:paraId="11C4D737" w14:textId="77777777" w:rsidR="00AF43A0" w:rsidRPr="00AF43A0" w:rsidRDefault="00AF43A0" w:rsidP="00AF43A0">
      <w:pPr>
        <w:spacing w:line="240" w:lineRule="auto"/>
        <w:rPr>
          <w:rFonts w:eastAsia="Times New Roman" w:cs="Arial"/>
          <w:b/>
          <w:bCs/>
          <w:color w:val="000000"/>
          <w:szCs w:val="20"/>
          <w:lang w:eastAsia="bg-BG"/>
        </w:rPr>
      </w:pPr>
    </w:p>
    <w:p w14:paraId="27A6C05D" w14:textId="6A426FB8" w:rsidR="00AF43A0" w:rsidRPr="00AF43A0" w:rsidRDefault="00AF43A0" w:rsidP="00AF43A0">
      <w:pPr>
        <w:spacing w:line="240" w:lineRule="auto"/>
        <w:rPr>
          <w:rFonts w:eastAsia="Times New Roman" w:cs="Arial"/>
          <w:sz w:val="28"/>
          <w:szCs w:val="24"/>
          <w:lang w:eastAsia="bg-BG"/>
        </w:rPr>
      </w:pPr>
      <w:r w:rsidRPr="00AF43A0">
        <w:rPr>
          <w:rFonts w:eastAsia="Times New Roman" w:cs="Arial"/>
          <w:b/>
          <w:bCs/>
          <w:color w:val="000000"/>
          <w:szCs w:val="20"/>
          <w:lang w:eastAsia="bg-BG"/>
        </w:rPr>
        <w:t>Възраст и пол</w:t>
      </w:r>
    </w:p>
    <w:p w14:paraId="432E6D60"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Възрастта или полът нямат клинично значим ефект върху фармакокинетиката на розувастатин при възрастни. Експозицията при деца и юноши с хетерозиготна фамилна хиперхолестеролемия изглежда сравнима на или по-ниска от тази при възрастни пациенти с дислипидемия (вж. „Педиатрична популация" по-долу).</w:t>
      </w:r>
    </w:p>
    <w:p w14:paraId="58B9C835" w14:textId="77777777" w:rsidR="00AF43A0" w:rsidRPr="00AF43A0" w:rsidRDefault="00AF43A0" w:rsidP="00AF43A0">
      <w:pPr>
        <w:spacing w:line="240" w:lineRule="auto"/>
        <w:rPr>
          <w:rFonts w:eastAsia="Times New Roman" w:cs="Arial"/>
          <w:b/>
          <w:bCs/>
          <w:color w:val="000000"/>
          <w:szCs w:val="20"/>
          <w:lang w:eastAsia="bg-BG"/>
        </w:rPr>
      </w:pPr>
      <w:bookmarkStart w:id="7" w:name="bookmark3"/>
    </w:p>
    <w:p w14:paraId="6726E18D" w14:textId="156181B5" w:rsidR="00AF43A0" w:rsidRPr="00AF43A0" w:rsidRDefault="00AF43A0" w:rsidP="00AF43A0">
      <w:pPr>
        <w:spacing w:line="240" w:lineRule="auto"/>
        <w:rPr>
          <w:rFonts w:eastAsia="Times New Roman" w:cs="Arial"/>
          <w:sz w:val="28"/>
          <w:szCs w:val="24"/>
          <w:lang w:eastAsia="bg-BG"/>
        </w:rPr>
      </w:pPr>
      <w:r w:rsidRPr="00AF43A0">
        <w:rPr>
          <w:rFonts w:eastAsia="Times New Roman" w:cs="Arial"/>
          <w:b/>
          <w:bCs/>
          <w:color w:val="000000"/>
          <w:szCs w:val="20"/>
          <w:lang w:eastAsia="bg-BG"/>
        </w:rPr>
        <w:t>Раса</w:t>
      </w:r>
      <w:bookmarkEnd w:id="7"/>
    </w:p>
    <w:p w14:paraId="59A7CAB8"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Фармакокинетичните проучвания показват, че при индивиди от азиатската раса (японци, китайци, филипинци, виетнамци и корейци) се наблюдава двукратно повишаване в </w:t>
      </w:r>
      <w:r w:rsidRPr="00AF43A0">
        <w:rPr>
          <w:rFonts w:eastAsia="Times New Roman" w:cs="Arial"/>
          <w:color w:val="000000"/>
          <w:szCs w:val="20"/>
          <w:lang w:eastAsia="bg-BG"/>
        </w:rPr>
        <w:lastRenderedPageBreak/>
        <w:t xml:space="preserve">средната </w:t>
      </w:r>
      <w:r w:rsidRPr="00AF43A0">
        <w:rPr>
          <w:rFonts w:eastAsia="Times New Roman" w:cs="Arial"/>
          <w:color w:val="000000"/>
          <w:szCs w:val="20"/>
          <w:lang w:val="en-US"/>
        </w:rPr>
        <w:t xml:space="preserve">AUC </w:t>
      </w:r>
      <w:r w:rsidRPr="00AF43A0">
        <w:rPr>
          <w:rFonts w:eastAsia="Times New Roman" w:cs="Arial"/>
          <w:color w:val="000000"/>
          <w:szCs w:val="20"/>
          <w:lang w:eastAsia="bg-BG"/>
        </w:rPr>
        <w:t>и С</w:t>
      </w:r>
      <w:r w:rsidRPr="00AF43A0">
        <w:rPr>
          <w:rFonts w:eastAsia="Times New Roman" w:cs="Arial"/>
          <w:color w:val="000000"/>
          <w:szCs w:val="20"/>
          <w:lang w:val="en-US"/>
        </w:rPr>
        <w:t>m</w:t>
      </w:r>
      <w:r w:rsidRPr="00AF43A0">
        <w:rPr>
          <w:rFonts w:eastAsia="Times New Roman" w:cs="Arial"/>
          <w:color w:val="000000"/>
          <w:szCs w:val="20"/>
          <w:lang w:eastAsia="bg-BG"/>
        </w:rPr>
        <w:t xml:space="preserve">ах, сравнено с индивиди от кавказката раса. При индийци е налице повишаване на </w:t>
      </w:r>
      <w:r w:rsidRPr="00AF43A0">
        <w:rPr>
          <w:rFonts w:eastAsia="Times New Roman" w:cs="Arial"/>
          <w:color w:val="000000"/>
          <w:szCs w:val="20"/>
          <w:lang w:val="en-US"/>
        </w:rPr>
        <w:t xml:space="preserve">AUC </w:t>
      </w:r>
      <w:r w:rsidRPr="00AF43A0">
        <w:rPr>
          <w:rFonts w:eastAsia="Times New Roman" w:cs="Arial"/>
          <w:color w:val="000000"/>
          <w:szCs w:val="20"/>
          <w:lang w:eastAsia="bg-BG"/>
        </w:rPr>
        <w:t xml:space="preserve">и </w:t>
      </w:r>
      <w:proofErr w:type="spellStart"/>
      <w:r w:rsidRPr="00AF43A0">
        <w:rPr>
          <w:rFonts w:eastAsia="Times New Roman" w:cs="Arial"/>
          <w:color w:val="000000"/>
          <w:szCs w:val="20"/>
          <w:lang w:val="en-US"/>
        </w:rPr>
        <w:t>Cmax</w:t>
      </w:r>
      <w:proofErr w:type="spellEnd"/>
      <w:r w:rsidRPr="00AF43A0">
        <w:rPr>
          <w:rFonts w:eastAsia="Times New Roman" w:cs="Arial"/>
          <w:color w:val="000000"/>
          <w:szCs w:val="20"/>
          <w:lang w:val="en-US"/>
        </w:rPr>
        <w:t xml:space="preserve"> </w:t>
      </w:r>
      <w:r w:rsidRPr="00AF43A0">
        <w:rPr>
          <w:rFonts w:eastAsia="Times New Roman" w:cs="Arial"/>
          <w:color w:val="000000"/>
          <w:szCs w:val="20"/>
          <w:lang w:eastAsia="bg-BG"/>
        </w:rPr>
        <w:t>1,3 пъти. Не е известно какво е значението на факторите на околната среда и на генетичните фактори за появата на тези разлики. Един популационен фармако кинетичен анализ показва, че между индивидите от кавказката и от черната раса няма клинично значими различия.</w:t>
      </w:r>
    </w:p>
    <w:p w14:paraId="45742FFB" w14:textId="77777777" w:rsidR="00AF43A0" w:rsidRPr="00AF43A0" w:rsidRDefault="00AF43A0" w:rsidP="00AF43A0">
      <w:pPr>
        <w:spacing w:line="240" w:lineRule="auto"/>
        <w:rPr>
          <w:rFonts w:eastAsia="Times New Roman" w:cs="Arial"/>
          <w:b/>
          <w:bCs/>
          <w:color w:val="000000"/>
          <w:szCs w:val="20"/>
          <w:lang w:eastAsia="bg-BG"/>
        </w:rPr>
      </w:pPr>
      <w:bookmarkStart w:id="8" w:name="bookmark5"/>
    </w:p>
    <w:p w14:paraId="1518CF49" w14:textId="6592A296" w:rsidR="00AF43A0" w:rsidRPr="00AF43A0" w:rsidRDefault="00AF43A0" w:rsidP="00AF43A0">
      <w:pPr>
        <w:spacing w:line="240" w:lineRule="auto"/>
        <w:rPr>
          <w:rFonts w:eastAsia="Times New Roman" w:cs="Arial"/>
          <w:sz w:val="28"/>
          <w:szCs w:val="24"/>
          <w:lang w:eastAsia="bg-BG"/>
        </w:rPr>
      </w:pPr>
      <w:r w:rsidRPr="00AF43A0">
        <w:rPr>
          <w:rFonts w:eastAsia="Times New Roman" w:cs="Arial"/>
          <w:b/>
          <w:bCs/>
          <w:color w:val="000000"/>
          <w:szCs w:val="20"/>
          <w:lang w:eastAsia="bg-BG"/>
        </w:rPr>
        <w:t>Бъбречно увреждане</w:t>
      </w:r>
      <w:bookmarkEnd w:id="8"/>
    </w:p>
    <w:p w14:paraId="20E98E10" w14:textId="77777777" w:rsidR="00AF43A0" w:rsidRPr="00AF43A0" w:rsidRDefault="00AF43A0" w:rsidP="00AF43A0">
      <w:pPr>
        <w:rPr>
          <w:rFonts w:eastAsia="Times New Roman" w:cs="Arial"/>
          <w:sz w:val="28"/>
          <w:szCs w:val="24"/>
          <w:lang w:eastAsia="bg-BG"/>
        </w:rPr>
      </w:pPr>
      <w:r w:rsidRPr="00AF43A0">
        <w:rPr>
          <w:rFonts w:eastAsia="Times New Roman" w:cs="Arial"/>
          <w:color w:val="000000"/>
          <w:szCs w:val="20"/>
          <w:lang w:eastAsia="bg-BG"/>
        </w:rPr>
        <w:t xml:space="preserve">В едно проучване на лица с различна степен на бъбречно увреждане лекото до умерено бъбречно заболяване не е повлияло плазмените концентрации на розувастатин или на неговия </w:t>
      </w:r>
      <w:r w:rsidRPr="00AF43A0">
        <w:rPr>
          <w:rFonts w:eastAsia="Times New Roman" w:cs="Arial"/>
          <w:color w:val="000000"/>
          <w:szCs w:val="20"/>
          <w:lang w:val="en-US"/>
        </w:rPr>
        <w:t>N</w:t>
      </w:r>
      <w:r w:rsidRPr="00AF43A0">
        <w:rPr>
          <w:rFonts w:eastAsia="Times New Roman" w:cs="Arial"/>
          <w:color w:val="000000"/>
          <w:szCs w:val="20"/>
          <w:lang w:eastAsia="bg-BG"/>
        </w:rPr>
        <w:t>-десметил метаболит. Лицата с тежко увреждане обаче (креатининов клирънс &lt;</w:t>
      </w:r>
      <w:r w:rsidRPr="00AF43A0">
        <w:rPr>
          <w:rFonts w:eastAsia="Times New Roman" w:cs="Arial"/>
          <w:color w:val="000000"/>
          <w:szCs w:val="20"/>
          <w:lang w:val="en-US"/>
        </w:rPr>
        <w:t xml:space="preserve"> 30</w:t>
      </w:r>
      <w:r w:rsidRPr="00AF43A0">
        <w:rPr>
          <w:rFonts w:eastAsia="Times New Roman" w:cs="Arial"/>
          <w:color w:val="000000"/>
          <w:szCs w:val="20"/>
          <w:lang w:eastAsia="bg-BG"/>
        </w:rPr>
        <w:t xml:space="preserve"> </w:t>
      </w:r>
      <w:r w:rsidRPr="00AF43A0">
        <w:rPr>
          <w:rFonts w:eastAsia="Times New Roman" w:cs="Arial"/>
          <w:color w:val="000000"/>
          <w:szCs w:val="20"/>
          <w:lang w:val="en-US"/>
        </w:rPr>
        <w:t xml:space="preserve">ml/min) </w:t>
      </w:r>
      <w:r w:rsidRPr="00AF43A0">
        <w:rPr>
          <w:rFonts w:eastAsia="Times New Roman" w:cs="Arial"/>
          <w:color w:val="000000"/>
          <w:szCs w:val="20"/>
          <w:lang w:eastAsia="bg-BG"/>
        </w:rPr>
        <w:t xml:space="preserve">са имали трикратно увеличение на плазмената концентрация в сравнение със здрави доброволци и девет пъти по-висока концентрация на </w:t>
      </w:r>
      <w:r w:rsidRPr="00AF43A0">
        <w:rPr>
          <w:rFonts w:eastAsia="Times New Roman" w:cs="Arial"/>
          <w:color w:val="000000"/>
          <w:szCs w:val="20"/>
          <w:lang w:val="en-US"/>
        </w:rPr>
        <w:t>N</w:t>
      </w:r>
      <w:r w:rsidRPr="00AF43A0">
        <w:rPr>
          <w:rFonts w:eastAsia="Times New Roman" w:cs="Arial"/>
          <w:color w:val="000000"/>
          <w:szCs w:val="20"/>
          <w:lang w:eastAsia="bg-BG"/>
        </w:rPr>
        <w:t>-десметил метаболита. Равновесните плазмени</w:t>
      </w:r>
      <w:r w:rsidRPr="00AF43A0">
        <w:rPr>
          <w:rFonts w:eastAsia="Times New Roman" w:cs="Arial"/>
          <w:color w:val="000000"/>
          <w:szCs w:val="20"/>
          <w:lang w:val="en-US" w:eastAsia="bg-BG"/>
        </w:rPr>
        <w:t xml:space="preserve"> </w:t>
      </w:r>
      <w:r w:rsidRPr="00AF43A0">
        <w:rPr>
          <w:rFonts w:eastAsia="Times New Roman" w:cs="Arial"/>
          <w:color w:val="000000"/>
          <w:szCs w:val="20"/>
          <w:lang w:eastAsia="bg-BG"/>
        </w:rPr>
        <w:t>концентрации на розувастатин при пациенти на хемодиализа са приблизително 50% по-високи в сравнение със здрави доброволци.</w:t>
      </w:r>
    </w:p>
    <w:p w14:paraId="7519BF6E" w14:textId="77777777" w:rsidR="00AF43A0" w:rsidRPr="00AF43A0" w:rsidRDefault="00AF43A0" w:rsidP="00AF43A0">
      <w:pPr>
        <w:spacing w:line="240" w:lineRule="auto"/>
        <w:rPr>
          <w:rFonts w:eastAsia="Times New Roman" w:cs="Arial"/>
          <w:b/>
          <w:bCs/>
          <w:color w:val="000000"/>
          <w:szCs w:val="20"/>
          <w:lang w:eastAsia="bg-BG"/>
        </w:rPr>
      </w:pPr>
    </w:p>
    <w:p w14:paraId="3AFBC026" w14:textId="6352A891" w:rsidR="00AF43A0" w:rsidRPr="00AF43A0" w:rsidRDefault="00AF43A0" w:rsidP="00AF43A0">
      <w:pPr>
        <w:spacing w:line="240" w:lineRule="auto"/>
        <w:rPr>
          <w:rFonts w:eastAsia="Times New Roman" w:cs="Arial"/>
          <w:sz w:val="28"/>
          <w:szCs w:val="24"/>
          <w:lang w:eastAsia="bg-BG"/>
        </w:rPr>
      </w:pPr>
      <w:r w:rsidRPr="00AF43A0">
        <w:rPr>
          <w:rFonts w:eastAsia="Times New Roman" w:cs="Arial"/>
          <w:b/>
          <w:bCs/>
          <w:color w:val="000000"/>
          <w:szCs w:val="20"/>
          <w:lang w:eastAsia="bg-BG"/>
        </w:rPr>
        <w:t>Чернодробно увреждане</w:t>
      </w:r>
    </w:p>
    <w:p w14:paraId="67073E74"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В едно проучване на лица с различна степен на чернодробно увреждане не са получени данни за повишена експозиция на розувастатин при пациенти с резултат по </w:t>
      </w:r>
      <w:r w:rsidRPr="00AF43A0">
        <w:rPr>
          <w:rFonts w:eastAsia="Times New Roman" w:cs="Arial"/>
          <w:color w:val="000000"/>
          <w:szCs w:val="20"/>
          <w:lang w:val="en-US"/>
        </w:rPr>
        <w:t xml:space="preserve">Child-Pugh </w:t>
      </w:r>
      <w:r w:rsidRPr="00AF43A0">
        <w:rPr>
          <w:rFonts w:eastAsia="Times New Roman" w:cs="Arial"/>
          <w:color w:val="000000"/>
          <w:szCs w:val="20"/>
          <w:lang w:eastAsia="bg-BG"/>
        </w:rPr>
        <w:t xml:space="preserve">7 или по- нисък. При двама пациенти с тежко чернодробно увреждане (резултат по </w:t>
      </w:r>
      <w:r w:rsidRPr="00AF43A0">
        <w:rPr>
          <w:rFonts w:eastAsia="Times New Roman" w:cs="Arial"/>
          <w:color w:val="000000"/>
          <w:szCs w:val="20"/>
          <w:lang w:val="en-US"/>
        </w:rPr>
        <w:t xml:space="preserve">Child-Pugh </w:t>
      </w:r>
      <w:r w:rsidRPr="00AF43A0">
        <w:rPr>
          <w:rFonts w:eastAsia="Times New Roman" w:cs="Arial"/>
          <w:color w:val="000000"/>
          <w:szCs w:val="20"/>
          <w:lang w:eastAsia="bg-BG"/>
        </w:rPr>
        <w:t xml:space="preserve">8 и 9) системната експозиция е била увеличена най-малко два пъти в сравнение с лица с по-нисък резултат по </w:t>
      </w:r>
      <w:r w:rsidRPr="00AF43A0">
        <w:rPr>
          <w:rFonts w:eastAsia="Times New Roman" w:cs="Arial"/>
          <w:color w:val="000000"/>
          <w:szCs w:val="20"/>
          <w:lang w:val="en-US"/>
        </w:rPr>
        <w:t xml:space="preserve">Child-Pugh. </w:t>
      </w:r>
      <w:r w:rsidRPr="00AF43A0">
        <w:rPr>
          <w:rFonts w:eastAsia="Times New Roman" w:cs="Arial"/>
          <w:color w:val="000000"/>
          <w:szCs w:val="20"/>
          <w:lang w:eastAsia="bg-BG"/>
        </w:rPr>
        <w:t xml:space="preserve">Няма данни за пациенти е резултат по </w:t>
      </w:r>
      <w:r w:rsidRPr="00AF43A0">
        <w:rPr>
          <w:rFonts w:eastAsia="Times New Roman" w:cs="Arial"/>
          <w:color w:val="000000"/>
          <w:szCs w:val="20"/>
          <w:lang w:val="en-US"/>
        </w:rPr>
        <w:t xml:space="preserve">Child-Pugh </w:t>
      </w:r>
      <w:r w:rsidRPr="00AF43A0">
        <w:rPr>
          <w:rFonts w:eastAsia="Times New Roman" w:cs="Arial"/>
          <w:color w:val="000000"/>
          <w:szCs w:val="20"/>
          <w:lang w:eastAsia="bg-BG"/>
        </w:rPr>
        <w:t>над 9.</w:t>
      </w:r>
    </w:p>
    <w:p w14:paraId="68F392C6" w14:textId="77777777" w:rsidR="00AF43A0" w:rsidRPr="00AF43A0" w:rsidRDefault="00AF43A0" w:rsidP="00AF43A0">
      <w:pPr>
        <w:spacing w:line="240" w:lineRule="auto"/>
        <w:rPr>
          <w:rFonts w:eastAsia="Times New Roman" w:cs="Arial"/>
          <w:b/>
          <w:bCs/>
          <w:color w:val="000000"/>
          <w:szCs w:val="20"/>
          <w:lang w:eastAsia="bg-BG"/>
        </w:rPr>
      </w:pPr>
    </w:p>
    <w:p w14:paraId="1BF3E161" w14:textId="329A6A7A" w:rsidR="00AF43A0" w:rsidRPr="00AF43A0" w:rsidRDefault="00AF43A0" w:rsidP="00AF43A0">
      <w:pPr>
        <w:spacing w:line="240" w:lineRule="auto"/>
        <w:rPr>
          <w:rFonts w:eastAsia="Times New Roman" w:cs="Arial"/>
          <w:sz w:val="28"/>
          <w:szCs w:val="24"/>
          <w:lang w:eastAsia="bg-BG"/>
        </w:rPr>
      </w:pPr>
      <w:r w:rsidRPr="00AF43A0">
        <w:rPr>
          <w:rFonts w:eastAsia="Times New Roman" w:cs="Arial"/>
          <w:b/>
          <w:bCs/>
          <w:color w:val="000000"/>
          <w:szCs w:val="20"/>
          <w:lang w:eastAsia="bg-BG"/>
        </w:rPr>
        <w:t>Генетичен полиморфизъм</w:t>
      </w:r>
    </w:p>
    <w:p w14:paraId="7619F5AA" w14:textId="77777777" w:rsidR="00AF43A0" w:rsidRPr="00AF43A0" w:rsidRDefault="00AF43A0" w:rsidP="00AF43A0">
      <w:pPr>
        <w:spacing w:line="240" w:lineRule="auto"/>
        <w:rPr>
          <w:rFonts w:eastAsia="Times New Roman" w:cs="Arial"/>
          <w:sz w:val="28"/>
          <w:szCs w:val="24"/>
          <w:lang w:eastAsia="bg-BG"/>
        </w:rPr>
      </w:pPr>
      <w:r w:rsidRPr="00AF43A0">
        <w:rPr>
          <w:rFonts w:eastAsia="Times New Roman" w:cs="Arial"/>
          <w:color w:val="000000"/>
          <w:szCs w:val="20"/>
          <w:lang w:eastAsia="bg-BG"/>
        </w:rPr>
        <w:t xml:space="preserve">Диспозицията на </w:t>
      </w:r>
      <w:r w:rsidRPr="00AF43A0">
        <w:rPr>
          <w:rFonts w:eastAsia="Times New Roman" w:cs="Arial"/>
          <w:color w:val="000000"/>
          <w:szCs w:val="20"/>
          <w:lang w:val="en-US"/>
        </w:rPr>
        <w:t xml:space="preserve">HMG-CoA </w:t>
      </w:r>
      <w:r w:rsidRPr="00AF43A0">
        <w:rPr>
          <w:rFonts w:eastAsia="Times New Roman" w:cs="Arial"/>
          <w:color w:val="000000"/>
          <w:szCs w:val="20"/>
          <w:lang w:eastAsia="bg-BG"/>
        </w:rPr>
        <w:t xml:space="preserve">редуктазните инхибитори, включително розувастатин, включва транспортерни протеини ОАТР1В1 и </w:t>
      </w:r>
      <w:r w:rsidRPr="00AF43A0">
        <w:rPr>
          <w:rFonts w:eastAsia="Times New Roman" w:cs="Arial"/>
          <w:color w:val="000000"/>
          <w:szCs w:val="20"/>
          <w:lang w:val="en-US"/>
        </w:rPr>
        <w:t xml:space="preserve">BCRP. </w:t>
      </w:r>
      <w:r w:rsidRPr="00AF43A0">
        <w:rPr>
          <w:rFonts w:eastAsia="Times New Roman" w:cs="Arial"/>
          <w:color w:val="000000"/>
          <w:szCs w:val="20"/>
          <w:lang w:eastAsia="bg-BG"/>
        </w:rPr>
        <w:t xml:space="preserve">При пациенти с генетичен полиморфизъм на </w:t>
      </w:r>
      <w:r w:rsidRPr="00AF43A0">
        <w:rPr>
          <w:rFonts w:eastAsia="Times New Roman" w:cs="Arial"/>
          <w:color w:val="000000"/>
          <w:szCs w:val="20"/>
          <w:lang w:val="en-US"/>
        </w:rPr>
        <w:t xml:space="preserve">SLCO1B1 </w:t>
      </w:r>
      <w:r w:rsidRPr="00AF43A0">
        <w:rPr>
          <w:rFonts w:eastAsia="Times New Roman" w:cs="Arial"/>
          <w:color w:val="000000"/>
          <w:szCs w:val="20"/>
          <w:lang w:eastAsia="bg-BG"/>
        </w:rPr>
        <w:t xml:space="preserve">(ОАТР1В1) и/или </w:t>
      </w:r>
      <w:r w:rsidRPr="00AF43A0">
        <w:rPr>
          <w:rFonts w:eastAsia="Times New Roman" w:cs="Arial"/>
          <w:color w:val="000000"/>
          <w:szCs w:val="20"/>
          <w:lang w:val="en-US"/>
        </w:rPr>
        <w:t xml:space="preserve">ABCG2 (BCRP) </w:t>
      </w:r>
      <w:r w:rsidRPr="00AF43A0">
        <w:rPr>
          <w:rFonts w:eastAsia="Times New Roman" w:cs="Arial"/>
          <w:color w:val="000000"/>
          <w:szCs w:val="20"/>
          <w:lang w:eastAsia="bg-BG"/>
        </w:rPr>
        <w:t xml:space="preserve">има риск от повишаване на експозицията на розувастатин. Индивидуален полиморфизъм на </w:t>
      </w:r>
      <w:r w:rsidRPr="00AF43A0">
        <w:rPr>
          <w:rFonts w:eastAsia="Times New Roman" w:cs="Arial"/>
          <w:color w:val="000000"/>
          <w:szCs w:val="20"/>
          <w:lang w:val="en-US"/>
        </w:rPr>
        <w:t xml:space="preserve">SLCO1B </w:t>
      </w:r>
      <w:r w:rsidRPr="00AF43A0">
        <w:rPr>
          <w:rFonts w:eastAsia="Times New Roman" w:cs="Arial"/>
          <w:color w:val="000000"/>
          <w:szCs w:val="20"/>
          <w:lang w:eastAsia="bg-BG"/>
        </w:rPr>
        <w:t xml:space="preserve">С.521СС и </w:t>
      </w:r>
      <w:r w:rsidRPr="00AF43A0">
        <w:rPr>
          <w:rFonts w:eastAsia="Times New Roman" w:cs="Arial"/>
          <w:color w:val="000000"/>
          <w:szCs w:val="20"/>
          <w:lang w:val="en-US"/>
        </w:rPr>
        <w:t xml:space="preserve">ABCG2 </w:t>
      </w:r>
      <w:r w:rsidRPr="00AF43A0">
        <w:rPr>
          <w:rFonts w:eastAsia="Times New Roman" w:cs="Arial"/>
          <w:color w:val="000000"/>
          <w:szCs w:val="20"/>
          <w:lang w:eastAsia="bg-BG"/>
        </w:rPr>
        <w:t xml:space="preserve">С.421АА е свързан по-висока експозиция </w:t>
      </w:r>
      <w:r w:rsidRPr="00AF43A0">
        <w:rPr>
          <w:rFonts w:eastAsia="Times New Roman" w:cs="Arial"/>
          <w:color w:val="000000"/>
          <w:szCs w:val="20"/>
          <w:lang w:val="en-US"/>
        </w:rPr>
        <w:t xml:space="preserve">(AUC) </w:t>
      </w:r>
      <w:r w:rsidRPr="00AF43A0">
        <w:rPr>
          <w:rFonts w:eastAsia="Times New Roman" w:cs="Arial"/>
          <w:color w:val="000000"/>
          <w:szCs w:val="20"/>
          <w:lang w:eastAsia="bg-BG"/>
        </w:rPr>
        <w:t xml:space="preserve">на розувастатин в сравнение с генотиповете </w:t>
      </w:r>
      <w:r w:rsidRPr="00AF43A0">
        <w:rPr>
          <w:rFonts w:eastAsia="Times New Roman" w:cs="Arial"/>
          <w:color w:val="000000"/>
          <w:szCs w:val="20"/>
          <w:lang w:val="en-US"/>
        </w:rPr>
        <w:t xml:space="preserve">SLCO1B1 C.521TT </w:t>
      </w:r>
      <w:r w:rsidRPr="00AF43A0">
        <w:rPr>
          <w:rFonts w:eastAsia="Times New Roman" w:cs="Arial"/>
          <w:color w:val="000000"/>
          <w:szCs w:val="20"/>
          <w:lang w:eastAsia="bg-BG"/>
        </w:rPr>
        <w:t xml:space="preserve">или </w:t>
      </w:r>
      <w:r w:rsidRPr="00AF43A0">
        <w:rPr>
          <w:rFonts w:eastAsia="Times New Roman" w:cs="Arial"/>
          <w:color w:val="000000"/>
          <w:szCs w:val="20"/>
          <w:lang w:val="en-US"/>
        </w:rPr>
        <w:t xml:space="preserve">ABCG2 </w:t>
      </w:r>
      <w:r w:rsidRPr="00AF43A0">
        <w:rPr>
          <w:rFonts w:eastAsia="Times New Roman" w:cs="Arial"/>
          <w:color w:val="000000"/>
          <w:szCs w:val="20"/>
          <w:lang w:eastAsia="bg-BG"/>
        </w:rPr>
        <w:t>с.421СС. Този специфичен генотип не се установява в клиничната практика, но за пациенти, за които е известно, че имат тези типове полиморфизъм, се препоръчва по-ниска дневна доза розувастатин.</w:t>
      </w:r>
    </w:p>
    <w:p w14:paraId="5374602C" w14:textId="77777777" w:rsidR="00AF43A0" w:rsidRPr="00AF43A0" w:rsidRDefault="00AF43A0" w:rsidP="00AF43A0">
      <w:pPr>
        <w:spacing w:line="240" w:lineRule="auto"/>
        <w:rPr>
          <w:rFonts w:eastAsia="Times New Roman" w:cs="Arial"/>
          <w:b/>
          <w:bCs/>
          <w:color w:val="000000"/>
          <w:szCs w:val="20"/>
          <w:lang w:eastAsia="bg-BG"/>
        </w:rPr>
      </w:pPr>
    </w:p>
    <w:p w14:paraId="5CF27A22" w14:textId="2382293A" w:rsidR="00AF43A0" w:rsidRPr="00AF43A0" w:rsidRDefault="00AF43A0" w:rsidP="00AF43A0">
      <w:pPr>
        <w:spacing w:line="240" w:lineRule="auto"/>
        <w:rPr>
          <w:rFonts w:eastAsia="Times New Roman" w:cs="Arial"/>
          <w:sz w:val="28"/>
          <w:szCs w:val="24"/>
          <w:lang w:eastAsia="bg-BG"/>
        </w:rPr>
      </w:pPr>
      <w:r w:rsidRPr="00AF43A0">
        <w:rPr>
          <w:rFonts w:eastAsia="Times New Roman" w:cs="Arial"/>
          <w:b/>
          <w:bCs/>
          <w:color w:val="000000"/>
          <w:szCs w:val="20"/>
          <w:lang w:eastAsia="bg-BG"/>
        </w:rPr>
        <w:t>Педиатрична популации</w:t>
      </w:r>
    </w:p>
    <w:p w14:paraId="45551830" w14:textId="5D446276" w:rsidR="007A2185" w:rsidRPr="00AF43A0" w:rsidRDefault="00AF43A0" w:rsidP="00AF43A0">
      <w:pPr>
        <w:rPr>
          <w:rFonts w:cs="Arial"/>
          <w:sz w:val="24"/>
          <w:lang w:val="en-US"/>
        </w:rPr>
      </w:pPr>
      <w:r w:rsidRPr="00AF43A0">
        <w:rPr>
          <w:rFonts w:eastAsia="Times New Roman" w:cs="Arial"/>
          <w:color w:val="000000"/>
          <w:szCs w:val="20"/>
          <w:lang w:eastAsia="bg-BG"/>
        </w:rPr>
        <w:t>Две фармакокинетични проучвания с розувастатин (прилаган под формата на таблетки) при педиатрични пациенти с хатерозиготна фамилна хиперхолестеролемия на възраст 10-17 или 6- 17 години (общо 214 пациенти) показват, че експозицията при педиатрични пациенти изглеждг сравнима или по-ниска от тази при възрастни пациенти. Експозицията на розувастатин е била предвидима по отношение на дозата и времето в продължение на 2-годишен период.</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4ABFA3B5" w:rsidR="007A2185" w:rsidRPr="00B17B98" w:rsidRDefault="00B17B98" w:rsidP="0091385D">
      <w:pPr>
        <w:rPr>
          <w:rFonts w:cs="Arial"/>
        </w:rPr>
      </w:pPr>
      <w:r w:rsidRPr="00B17B98">
        <w:rPr>
          <w:rFonts w:cs="Arial"/>
        </w:rPr>
        <w:t xml:space="preserve">Предклиничните данни не са показали специален риск при хора въз основа на стандартните проучвания за безопасност върху основните системи, генотоксичност, канцерогенен потенциал Не са провеждани специфични изследвания, оценяващи ефектите върху </w:t>
      </w:r>
      <w:proofErr w:type="spellStart"/>
      <w:r w:rsidRPr="00B17B98">
        <w:rPr>
          <w:rFonts w:cs="Arial"/>
          <w:lang w:val="en-US"/>
        </w:rPr>
        <w:t>hERG</w:t>
      </w:r>
      <w:proofErr w:type="spellEnd"/>
      <w:r w:rsidRPr="00B17B98">
        <w:rPr>
          <w:rFonts w:cs="Arial"/>
          <w:lang w:val="en-US"/>
        </w:rPr>
        <w:t xml:space="preserve">. </w:t>
      </w:r>
      <w:r w:rsidRPr="00B17B98">
        <w:rPr>
          <w:rFonts w:cs="Arial"/>
        </w:rPr>
        <w:t xml:space="preserve">Нежеланите реакции, които не са наблюдавани в клинични проучвания, но са наблюдавани при животни при нива на експозиция близки до клиничните, са следните: в изпитвания за токсичност след многократно приложение се </w:t>
      </w:r>
      <w:r w:rsidRPr="00B17B98">
        <w:rPr>
          <w:rFonts w:cs="Arial"/>
        </w:rPr>
        <w:lastRenderedPageBreak/>
        <w:t>наблюдават хистопатологични чернодробни изменения, вследствие на фармакологичното действие на розувастатин при мишки, плъхове и в по-ниска степен в жлъчния мехур при кучета, но не и при маймуни. В допълнение се наблюдава токсичност, засягаща тестисите при маймуни и кучета при по-високи дози. Репродуктивна токсичност при плъхове, за която се съди по намалените големина, тегло и преживяемост на малките, се наблюдава при матернотоксични дози на системна експозиция няколко пъти над нивото на терапевтична експозиция.</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61C666E9" w14:textId="77777777" w:rsidR="00B17B98" w:rsidRPr="00B17B98" w:rsidRDefault="00B17B98" w:rsidP="00B17B98">
      <w:pPr>
        <w:spacing w:line="240" w:lineRule="auto"/>
        <w:rPr>
          <w:rFonts w:eastAsia="Times New Roman" w:cs="Arial"/>
          <w:lang w:eastAsia="bg-BG"/>
        </w:rPr>
      </w:pPr>
      <w:r w:rsidRPr="00B17B98">
        <w:rPr>
          <w:rFonts w:eastAsia="Times New Roman" w:cs="Arial"/>
          <w:color w:val="000000"/>
          <w:lang w:eastAsia="bg-BG"/>
        </w:rPr>
        <w:t>Чайкафарма Висококачествените Лекарства” АД</w:t>
      </w:r>
    </w:p>
    <w:p w14:paraId="1366D136" w14:textId="77777777" w:rsidR="00B17B98" w:rsidRPr="00B17B98" w:rsidRDefault="00B17B98" w:rsidP="00B17B98">
      <w:pPr>
        <w:spacing w:line="240" w:lineRule="auto"/>
        <w:rPr>
          <w:rFonts w:eastAsia="Times New Roman" w:cs="Arial"/>
          <w:lang w:eastAsia="bg-BG"/>
        </w:rPr>
      </w:pPr>
      <w:r w:rsidRPr="00B17B98">
        <w:rPr>
          <w:rFonts w:eastAsia="Times New Roman" w:cs="Arial"/>
          <w:color w:val="000000"/>
          <w:lang w:eastAsia="bg-BG"/>
        </w:rPr>
        <w:t>Бул, ”Г. М. Димитров” № 1, гр. София 1172, България</w:t>
      </w:r>
    </w:p>
    <w:p w14:paraId="6A74D2EA" w14:textId="77777777" w:rsidR="00B17B98" w:rsidRPr="00B17B98" w:rsidRDefault="00B17B98" w:rsidP="00B17B98">
      <w:pPr>
        <w:spacing w:line="240" w:lineRule="auto"/>
        <w:rPr>
          <w:rFonts w:eastAsia="Times New Roman" w:cs="Arial"/>
          <w:lang w:eastAsia="bg-BG"/>
        </w:rPr>
      </w:pPr>
      <w:r w:rsidRPr="00B17B98">
        <w:rPr>
          <w:rFonts w:eastAsia="Times New Roman" w:cs="Arial"/>
          <w:color w:val="000000"/>
          <w:lang w:eastAsia="bg-BG"/>
        </w:rPr>
        <w:t>тел.:+359 2 962 54 54</w:t>
      </w:r>
    </w:p>
    <w:p w14:paraId="1ECC5418" w14:textId="77777777" w:rsidR="00B17B98" w:rsidRPr="00B17B98" w:rsidRDefault="00B17B98" w:rsidP="00B17B98">
      <w:pPr>
        <w:spacing w:line="240" w:lineRule="auto"/>
        <w:rPr>
          <w:rFonts w:eastAsia="Times New Roman" w:cs="Arial"/>
          <w:lang w:eastAsia="bg-BG"/>
        </w:rPr>
      </w:pPr>
      <w:r w:rsidRPr="00B17B98">
        <w:rPr>
          <w:rFonts w:eastAsia="Times New Roman" w:cs="Arial"/>
          <w:color w:val="000000"/>
          <w:lang w:eastAsia="bg-BG"/>
        </w:rPr>
        <w:t>факс: +359 2 9603 703</w:t>
      </w:r>
    </w:p>
    <w:p w14:paraId="4F02909F" w14:textId="1FC2E494" w:rsidR="007A2185" w:rsidRPr="00B17B98" w:rsidRDefault="00B17B98" w:rsidP="00B17B98">
      <w:pPr>
        <w:rPr>
          <w:rFonts w:cs="Arial"/>
        </w:rPr>
      </w:pPr>
      <w:proofErr w:type="gramStart"/>
      <w:r w:rsidRPr="00B17B98">
        <w:rPr>
          <w:rFonts w:eastAsia="Times New Roman" w:cs="Arial"/>
          <w:color w:val="000000"/>
          <w:lang w:val="en-US"/>
        </w:rPr>
        <w:t>e-mail</w:t>
      </w:r>
      <w:proofErr w:type="gramEnd"/>
      <w:r w:rsidRPr="00B17B98">
        <w:rPr>
          <w:rFonts w:eastAsia="Times New Roman" w:cs="Arial"/>
          <w:color w:val="000000"/>
          <w:lang w:val="en-US"/>
        </w:rPr>
        <w:t xml:space="preserve">: </w:t>
      </w:r>
      <w:hyperlink r:id="rId6" w:history="1">
        <w:r w:rsidRPr="00B17B98">
          <w:rPr>
            <w:rFonts w:eastAsia="Times New Roman" w:cs="Arial"/>
            <w:color w:val="000000"/>
            <w:lang w:val="en-US"/>
          </w:rPr>
          <w:t>info@tchaikapharma.com</w:t>
        </w:r>
      </w:hyperlink>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6C27EA29" w14:textId="77777777" w:rsidR="00B17B98" w:rsidRPr="00B17B98" w:rsidRDefault="00B17B98" w:rsidP="00B17B98">
      <w:pPr>
        <w:spacing w:line="240" w:lineRule="auto"/>
        <w:rPr>
          <w:rFonts w:eastAsia="Times New Roman" w:cs="Arial"/>
          <w:lang w:eastAsia="bg-BG"/>
        </w:rPr>
      </w:pPr>
      <w:r w:rsidRPr="00B17B98">
        <w:rPr>
          <w:rFonts w:eastAsia="Times New Roman" w:cs="Arial"/>
          <w:color w:val="000000"/>
          <w:lang w:eastAsia="bg-BG"/>
        </w:rPr>
        <w:t xml:space="preserve">Росста 10 </w:t>
      </w:r>
      <w:r w:rsidRPr="00B17B98">
        <w:rPr>
          <w:rFonts w:eastAsia="Times New Roman" w:cs="Arial"/>
          <w:color w:val="000000"/>
          <w:lang w:val="en-US"/>
        </w:rPr>
        <w:t xml:space="preserve">mg - </w:t>
      </w:r>
      <w:proofErr w:type="spellStart"/>
      <w:r w:rsidRPr="00B17B98">
        <w:rPr>
          <w:rFonts w:eastAsia="Times New Roman" w:cs="Arial"/>
          <w:color w:val="000000"/>
          <w:lang w:val="en-US"/>
        </w:rPr>
        <w:t>Pe</w:t>
      </w:r>
      <w:proofErr w:type="spellEnd"/>
      <w:r w:rsidRPr="00B17B98">
        <w:rPr>
          <w:rFonts w:eastAsia="Times New Roman" w:cs="Arial"/>
          <w:color w:val="000000"/>
          <w:lang w:eastAsia="bg-BG"/>
        </w:rPr>
        <w:t>г</w:t>
      </w:r>
      <w:r w:rsidRPr="00B17B98">
        <w:rPr>
          <w:rFonts w:eastAsia="Times New Roman" w:cs="Arial"/>
          <w:color w:val="000000"/>
          <w:lang w:val="en-US"/>
        </w:rPr>
        <w:t xml:space="preserve">. </w:t>
      </w:r>
      <w:r w:rsidRPr="00B17B98">
        <w:rPr>
          <w:rFonts w:eastAsia="Times New Roman" w:cs="Arial"/>
          <w:color w:val="000000"/>
          <w:lang w:eastAsia="bg-BG"/>
        </w:rPr>
        <w:t>№: 2015123</w:t>
      </w:r>
    </w:p>
    <w:p w14:paraId="524F060D" w14:textId="77777777" w:rsidR="00B17B98" w:rsidRPr="00B17B98" w:rsidRDefault="00B17B98" w:rsidP="00B17B98">
      <w:pPr>
        <w:spacing w:line="240" w:lineRule="auto"/>
        <w:rPr>
          <w:rFonts w:eastAsia="Times New Roman" w:cs="Arial"/>
          <w:lang w:eastAsia="bg-BG"/>
        </w:rPr>
      </w:pPr>
      <w:r w:rsidRPr="00B17B98">
        <w:rPr>
          <w:rFonts w:eastAsia="Times New Roman" w:cs="Arial"/>
          <w:color w:val="000000"/>
          <w:lang w:eastAsia="bg-BG"/>
        </w:rPr>
        <w:t xml:space="preserve">Росста 20 </w:t>
      </w:r>
      <w:r w:rsidRPr="00B17B98">
        <w:rPr>
          <w:rFonts w:eastAsia="Times New Roman" w:cs="Arial"/>
          <w:color w:val="000000"/>
          <w:lang w:val="en-US"/>
        </w:rPr>
        <w:t xml:space="preserve">mg </w:t>
      </w:r>
      <w:r w:rsidRPr="00B17B98">
        <w:rPr>
          <w:rFonts w:eastAsia="Times New Roman" w:cs="Arial"/>
          <w:color w:val="000000"/>
          <w:lang w:eastAsia="bg-BG"/>
        </w:rPr>
        <w:t xml:space="preserve">- </w:t>
      </w:r>
      <w:proofErr w:type="spellStart"/>
      <w:r w:rsidRPr="00B17B98">
        <w:rPr>
          <w:rFonts w:eastAsia="Times New Roman" w:cs="Arial"/>
          <w:color w:val="000000"/>
          <w:lang w:val="en-US"/>
        </w:rPr>
        <w:t>Pe</w:t>
      </w:r>
      <w:proofErr w:type="spellEnd"/>
      <w:r w:rsidRPr="00B17B98">
        <w:rPr>
          <w:rFonts w:eastAsia="Times New Roman" w:cs="Arial"/>
          <w:color w:val="000000"/>
          <w:lang w:eastAsia="bg-BG"/>
        </w:rPr>
        <w:t>г.</w:t>
      </w:r>
      <w:r w:rsidRPr="00B17B98">
        <w:rPr>
          <w:rFonts w:eastAsia="Times New Roman" w:cs="Arial"/>
          <w:color w:val="000000"/>
          <w:lang w:val="en-US"/>
        </w:rPr>
        <w:t xml:space="preserve"> </w:t>
      </w:r>
      <w:r w:rsidRPr="00B17B98">
        <w:rPr>
          <w:rFonts w:eastAsia="Times New Roman" w:cs="Arial"/>
          <w:color w:val="000000"/>
          <w:lang w:eastAsia="bg-BG"/>
        </w:rPr>
        <w:t>№: 20151</w:t>
      </w:r>
      <w:r w:rsidRPr="00B17B98">
        <w:rPr>
          <w:rFonts w:eastAsia="Times New Roman" w:cs="Arial"/>
          <w:i/>
          <w:iCs/>
          <w:color w:val="000000"/>
          <w:lang w:eastAsia="bg-BG"/>
        </w:rPr>
        <w:t>2</w:t>
      </w:r>
      <w:r w:rsidRPr="00B17B98">
        <w:rPr>
          <w:rFonts w:eastAsia="Times New Roman" w:cs="Arial"/>
          <w:color w:val="000000"/>
          <w:lang w:eastAsia="bg-BG"/>
        </w:rPr>
        <w:t>4</w:t>
      </w:r>
    </w:p>
    <w:p w14:paraId="46161304" w14:textId="3CA814F0" w:rsidR="007A2185" w:rsidRPr="00B17B98" w:rsidRDefault="00B17B98" w:rsidP="00B17B98">
      <w:pPr>
        <w:rPr>
          <w:rFonts w:cs="Arial"/>
        </w:rPr>
      </w:pPr>
      <w:r w:rsidRPr="00B17B98">
        <w:rPr>
          <w:rFonts w:eastAsia="Times New Roman" w:cs="Arial"/>
          <w:color w:val="000000"/>
          <w:lang w:eastAsia="bg-BG"/>
        </w:rPr>
        <w:t xml:space="preserve">Росста 40 </w:t>
      </w:r>
      <w:r w:rsidRPr="00B17B98">
        <w:rPr>
          <w:rFonts w:eastAsia="Times New Roman" w:cs="Arial"/>
          <w:color w:val="000000"/>
          <w:lang w:val="en-US"/>
        </w:rPr>
        <w:t xml:space="preserve">mg </w:t>
      </w:r>
      <w:r w:rsidRPr="00B17B98">
        <w:rPr>
          <w:rFonts w:eastAsia="Times New Roman" w:cs="Arial"/>
          <w:color w:val="000000"/>
          <w:lang w:eastAsia="bg-BG"/>
        </w:rPr>
        <w:t xml:space="preserve">- </w:t>
      </w:r>
      <w:proofErr w:type="spellStart"/>
      <w:r w:rsidRPr="00B17B98">
        <w:rPr>
          <w:rFonts w:eastAsia="Times New Roman" w:cs="Arial"/>
          <w:color w:val="000000"/>
          <w:lang w:val="en-US"/>
        </w:rPr>
        <w:t>Pe</w:t>
      </w:r>
      <w:proofErr w:type="spellEnd"/>
      <w:r w:rsidRPr="00B17B98">
        <w:rPr>
          <w:rFonts w:eastAsia="Times New Roman" w:cs="Arial"/>
          <w:color w:val="000000"/>
          <w:lang w:eastAsia="bg-BG"/>
        </w:rPr>
        <w:t>г.</w:t>
      </w:r>
      <w:r w:rsidRPr="00B17B98">
        <w:rPr>
          <w:rFonts w:eastAsia="Times New Roman" w:cs="Arial"/>
          <w:color w:val="000000"/>
          <w:lang w:val="en-US"/>
        </w:rPr>
        <w:t xml:space="preserve"> №: 2015125</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28236488" w14:textId="77777777" w:rsidR="00B17B98" w:rsidRPr="00B17B98" w:rsidRDefault="00B17B98" w:rsidP="00B17B98">
      <w:pPr>
        <w:spacing w:line="240" w:lineRule="auto"/>
        <w:rPr>
          <w:rFonts w:eastAsia="Times New Roman" w:cs="Arial"/>
          <w:lang w:eastAsia="bg-BG"/>
        </w:rPr>
      </w:pPr>
      <w:r w:rsidRPr="00B17B98">
        <w:rPr>
          <w:rFonts w:eastAsia="Times New Roman" w:cs="Arial"/>
          <w:color w:val="000000"/>
          <w:lang w:eastAsia="bg-BG"/>
        </w:rPr>
        <w:t>Дата на първо разрешение за употреба: 21.04.2015</w:t>
      </w:r>
    </w:p>
    <w:p w14:paraId="6C57D8B6" w14:textId="70D48E6B" w:rsidR="007A2185" w:rsidRPr="00B17B98" w:rsidRDefault="00B17B98" w:rsidP="00B17B98">
      <w:pPr>
        <w:rPr>
          <w:rFonts w:cs="Arial"/>
        </w:rPr>
      </w:pPr>
      <w:r w:rsidRPr="00B17B98">
        <w:rPr>
          <w:rFonts w:eastAsia="Times New Roman" w:cs="Arial"/>
          <w:color w:val="000000"/>
          <w:lang w:eastAsia="bg-BG"/>
        </w:rPr>
        <w:t>Дата на последно подновяване: 24.06.2020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50B5FB8F" w:rsidR="007A2185" w:rsidRPr="00B17B98" w:rsidRDefault="00B17B98" w:rsidP="0091385D">
      <w:pPr>
        <w:rPr>
          <w:rFonts w:cs="Arial"/>
        </w:rPr>
      </w:pPr>
      <w:r w:rsidRPr="00B17B98">
        <w:rPr>
          <w:rFonts w:cs="Arial"/>
        </w:rPr>
        <w:t>Септември, 2022</w:t>
      </w:r>
    </w:p>
    <w:p w14:paraId="6B00148E" w14:textId="77777777" w:rsidR="0091385D" w:rsidRPr="0091385D" w:rsidRDefault="0091385D" w:rsidP="0091385D"/>
    <w:p w14:paraId="43FB38A2" w14:textId="5500C507" w:rsidR="007C605B" w:rsidRPr="00B17B98" w:rsidRDefault="007C605B" w:rsidP="00CF77F7">
      <w:pPr>
        <w:rPr>
          <w:lang w:val="en-US"/>
        </w:rPr>
      </w:pPr>
      <w:bookmarkStart w:id="9" w:name="_GoBack"/>
      <w:bookmarkEnd w:id="0"/>
      <w:bookmarkEnd w:id="9"/>
    </w:p>
    <w:sectPr w:rsidR="007C605B" w:rsidRPr="00B1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3AD0"/>
    <w:multiLevelType w:val="hybridMultilevel"/>
    <w:tmpl w:val="00B8EB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9736C9"/>
    <w:multiLevelType w:val="hybridMultilevel"/>
    <w:tmpl w:val="0A1897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3E9A55C9"/>
    <w:multiLevelType w:val="hybridMultilevel"/>
    <w:tmpl w:val="A5A4FBE0"/>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075AC"/>
    <w:multiLevelType w:val="hybridMultilevel"/>
    <w:tmpl w:val="380A22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E12AD"/>
    <w:multiLevelType w:val="hybridMultilevel"/>
    <w:tmpl w:val="3112E2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6430F"/>
    <w:multiLevelType w:val="hybridMultilevel"/>
    <w:tmpl w:val="C6342F34"/>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4"/>
  </w:num>
  <w:num w:numId="4">
    <w:abstractNumId w:val="3"/>
  </w:num>
  <w:num w:numId="5">
    <w:abstractNumId w:val="1"/>
  </w:num>
  <w:num w:numId="6">
    <w:abstractNumId w:val="19"/>
  </w:num>
  <w:num w:numId="7">
    <w:abstractNumId w:val="12"/>
  </w:num>
  <w:num w:numId="8">
    <w:abstractNumId w:val="17"/>
  </w:num>
  <w:num w:numId="9">
    <w:abstractNumId w:val="2"/>
  </w:num>
  <w:num w:numId="10">
    <w:abstractNumId w:val="4"/>
  </w:num>
  <w:num w:numId="11">
    <w:abstractNumId w:val="35"/>
  </w:num>
  <w:num w:numId="12">
    <w:abstractNumId w:val="16"/>
  </w:num>
  <w:num w:numId="13">
    <w:abstractNumId w:val="22"/>
  </w:num>
  <w:num w:numId="14">
    <w:abstractNumId w:val="13"/>
  </w:num>
  <w:num w:numId="15">
    <w:abstractNumId w:val="34"/>
  </w:num>
  <w:num w:numId="16">
    <w:abstractNumId w:val="11"/>
  </w:num>
  <w:num w:numId="17">
    <w:abstractNumId w:val="28"/>
  </w:num>
  <w:num w:numId="18">
    <w:abstractNumId w:val="9"/>
  </w:num>
  <w:num w:numId="19">
    <w:abstractNumId w:val="30"/>
  </w:num>
  <w:num w:numId="20">
    <w:abstractNumId w:val="27"/>
  </w:num>
  <w:num w:numId="21">
    <w:abstractNumId w:val="20"/>
  </w:num>
  <w:num w:numId="22">
    <w:abstractNumId w:val="29"/>
  </w:num>
  <w:num w:numId="23">
    <w:abstractNumId w:val="21"/>
  </w:num>
  <w:num w:numId="24">
    <w:abstractNumId w:val="10"/>
  </w:num>
  <w:num w:numId="25">
    <w:abstractNumId w:val="26"/>
  </w:num>
  <w:num w:numId="26">
    <w:abstractNumId w:val="25"/>
  </w:num>
  <w:num w:numId="27">
    <w:abstractNumId w:val="36"/>
  </w:num>
  <w:num w:numId="28">
    <w:abstractNumId w:val="8"/>
  </w:num>
  <w:num w:numId="29">
    <w:abstractNumId w:val="24"/>
  </w:num>
  <w:num w:numId="30">
    <w:abstractNumId w:val="40"/>
  </w:num>
  <w:num w:numId="31">
    <w:abstractNumId w:val="5"/>
  </w:num>
  <w:num w:numId="32">
    <w:abstractNumId w:val="39"/>
  </w:num>
  <w:num w:numId="33">
    <w:abstractNumId w:val="33"/>
  </w:num>
  <w:num w:numId="34">
    <w:abstractNumId w:val="37"/>
  </w:num>
  <w:num w:numId="35">
    <w:abstractNumId w:val="15"/>
  </w:num>
  <w:num w:numId="36">
    <w:abstractNumId w:val="31"/>
  </w:num>
  <w:num w:numId="37">
    <w:abstractNumId w:val="23"/>
  </w:num>
  <w:num w:numId="38">
    <w:abstractNumId w:val="38"/>
  </w:num>
  <w:num w:numId="39">
    <w:abstractNumId w:val="18"/>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B0E7E"/>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AF43A0"/>
    <w:rsid w:val="00B17B98"/>
    <w:rsid w:val="00B275A8"/>
    <w:rsid w:val="00B41917"/>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6212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8602</Words>
  <Characters>49034</Characters>
  <Application>Microsoft Office Word</Application>
  <DocSecurity>0</DocSecurity>
  <Lines>408</Lines>
  <Paragraphs>115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2023-01-22T15:35:00Z</dcterms:created>
  <dcterms:modified xsi:type="dcterms:W3CDTF">2023-01-22T15:35:00Z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