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1D12F60B" w14:textId="77777777" w:rsidR="00433CAE" w:rsidRPr="00433CAE" w:rsidRDefault="00433CAE" w:rsidP="00433CAE">
      <w:pPr>
        <w:spacing w:line="240" w:lineRule="auto"/>
        <w:rPr>
          <w:rFonts w:eastAsia="Times New Roman" w:cs="Arial"/>
          <w:sz w:val="28"/>
          <w:szCs w:val="24"/>
          <w:lang w:val="en-US" w:eastAsia="bg-BG"/>
        </w:rPr>
      </w:pPr>
      <w:r w:rsidRPr="00433CAE">
        <w:rPr>
          <w:rFonts w:eastAsia="Times New Roman" w:cs="Arial"/>
          <w:color w:val="000000"/>
          <w:szCs w:val="20"/>
          <w:lang w:eastAsia="bg-BG"/>
        </w:rPr>
        <w:t xml:space="preserve">Росукард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филмирани таблетки</w:t>
      </w:r>
    </w:p>
    <w:p w14:paraId="11701C19" w14:textId="77777777" w:rsidR="00433CAE" w:rsidRPr="00433CAE" w:rsidRDefault="00433CAE" w:rsidP="00433CAE">
      <w:pPr>
        <w:rPr>
          <w:rFonts w:eastAsia="Times New Roman" w:cs="Arial"/>
          <w:color w:val="000000"/>
          <w:szCs w:val="20"/>
          <w:lang w:val="en-US"/>
        </w:rPr>
      </w:pPr>
    </w:p>
    <w:p w14:paraId="5015A1FD" w14:textId="6E06AEE3" w:rsidR="00A73575" w:rsidRPr="00433CAE" w:rsidRDefault="00433CAE" w:rsidP="00433CAE">
      <w:pPr>
        <w:rPr>
          <w:rFonts w:cs="Arial"/>
          <w:sz w:val="24"/>
        </w:rPr>
      </w:pPr>
      <w:proofErr w:type="spellStart"/>
      <w:r w:rsidRPr="00433CAE">
        <w:rPr>
          <w:rFonts w:eastAsia="Times New Roman" w:cs="Arial"/>
          <w:color w:val="000000"/>
          <w:szCs w:val="20"/>
          <w:lang w:val="en-US"/>
        </w:rPr>
        <w:t>Rosucard</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10 </w:t>
      </w:r>
      <w:r w:rsidRPr="00433CAE">
        <w:rPr>
          <w:rFonts w:eastAsia="Times New Roman" w:cs="Arial"/>
          <w:color w:val="000000"/>
          <w:szCs w:val="2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2B60CF99"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Всяка филмирана таблетка съдържа 10,4 </w:t>
      </w:r>
      <w:r w:rsidRPr="00433CAE">
        <w:rPr>
          <w:rFonts w:eastAsia="Times New Roman" w:cs="Arial"/>
          <w:color w:val="000000"/>
          <w:szCs w:val="20"/>
          <w:lang w:val="en-US"/>
        </w:rPr>
        <w:t xml:space="preserve">mg </w:t>
      </w:r>
      <w:r w:rsidRPr="00433CAE">
        <w:rPr>
          <w:rFonts w:eastAsia="Times New Roman" w:cs="Arial"/>
          <w:i/>
          <w:iCs/>
          <w:color w:val="000000"/>
          <w:szCs w:val="20"/>
          <w:lang w:eastAsia="bg-BG"/>
        </w:rPr>
        <w:t xml:space="preserve">розувастатин калций </w:t>
      </w:r>
      <w:r w:rsidRPr="00433CAE">
        <w:rPr>
          <w:rFonts w:eastAsia="Times New Roman" w:cs="Arial"/>
          <w:i/>
          <w:iCs/>
          <w:color w:val="000000"/>
          <w:szCs w:val="20"/>
          <w:lang w:val="en-US"/>
        </w:rPr>
        <w:t>(</w:t>
      </w:r>
      <w:proofErr w:type="spellStart"/>
      <w:r w:rsidRPr="00433CAE">
        <w:rPr>
          <w:rFonts w:eastAsia="Times New Roman" w:cs="Arial"/>
          <w:i/>
          <w:iCs/>
          <w:color w:val="000000"/>
          <w:szCs w:val="20"/>
          <w:lang w:val="en-US"/>
        </w:rPr>
        <w:t>rosuvastatin</w:t>
      </w:r>
      <w:proofErr w:type="spellEnd"/>
      <w:r w:rsidRPr="00433CAE">
        <w:rPr>
          <w:rFonts w:eastAsia="Times New Roman" w:cs="Arial"/>
          <w:i/>
          <w:iCs/>
          <w:color w:val="000000"/>
          <w:szCs w:val="20"/>
          <w:lang w:val="en-US"/>
        </w:rPr>
        <w:t xml:space="preserve"> calcium),</w:t>
      </w:r>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който е равен на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w:t>
      </w:r>
      <w:r w:rsidRPr="00433CAE">
        <w:rPr>
          <w:rFonts w:eastAsia="Times New Roman" w:cs="Arial"/>
          <w:color w:val="000000"/>
          <w:szCs w:val="20"/>
          <w:lang w:val="en-US"/>
        </w:rPr>
        <w:t>(</w:t>
      </w:r>
      <w:proofErr w:type="spellStart"/>
      <w:r w:rsidRPr="00433CAE">
        <w:rPr>
          <w:rFonts w:eastAsia="Times New Roman" w:cs="Arial"/>
          <w:color w:val="000000"/>
          <w:szCs w:val="20"/>
          <w:lang w:val="en-US"/>
        </w:rPr>
        <w:t>rosuvastatin</w:t>
      </w:r>
      <w:proofErr w:type="spellEnd"/>
      <w:r w:rsidRPr="00433CAE">
        <w:rPr>
          <w:rFonts w:eastAsia="Times New Roman" w:cs="Arial"/>
          <w:color w:val="000000"/>
          <w:szCs w:val="20"/>
          <w:lang w:val="en-US"/>
        </w:rPr>
        <w:t>).</w:t>
      </w:r>
    </w:p>
    <w:p w14:paraId="33744D4C" w14:textId="77777777" w:rsidR="00433CAE" w:rsidRPr="00433CAE" w:rsidRDefault="00433CAE" w:rsidP="00433CAE">
      <w:pPr>
        <w:spacing w:line="240" w:lineRule="auto"/>
        <w:rPr>
          <w:rFonts w:eastAsia="Times New Roman" w:cs="Arial"/>
          <w:color w:val="000000"/>
          <w:szCs w:val="20"/>
          <w:u w:val="single"/>
          <w:lang w:eastAsia="bg-BG"/>
        </w:rPr>
      </w:pPr>
    </w:p>
    <w:p w14:paraId="3C08FB52" w14:textId="24964225"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Помощно вещество с известно действие:</w:t>
      </w:r>
      <w:r w:rsidRPr="00433CAE">
        <w:rPr>
          <w:rFonts w:eastAsia="Times New Roman" w:cs="Arial"/>
          <w:color w:val="000000"/>
          <w:szCs w:val="20"/>
          <w:lang w:eastAsia="bg-BG"/>
        </w:rPr>
        <w:t xml:space="preserve"> лактоза монохидрат,</w:t>
      </w:r>
    </w:p>
    <w:p w14:paraId="3F9E515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Росукард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филмирана таблетка съдържа 60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лактоза монохидрат.</w:t>
      </w:r>
    </w:p>
    <w:p w14:paraId="43403EA5" w14:textId="77777777" w:rsidR="00433CAE" w:rsidRPr="00433CAE" w:rsidRDefault="00433CAE" w:rsidP="00433CAE">
      <w:pPr>
        <w:rPr>
          <w:rFonts w:eastAsia="Times New Roman" w:cs="Arial"/>
          <w:color w:val="000000"/>
          <w:szCs w:val="20"/>
          <w:lang w:eastAsia="bg-BG"/>
        </w:rPr>
      </w:pPr>
    </w:p>
    <w:p w14:paraId="03110A50" w14:textId="0FC63DDF" w:rsidR="0091385D" w:rsidRPr="00433CAE" w:rsidRDefault="00433CAE" w:rsidP="00433CAE">
      <w:pPr>
        <w:rPr>
          <w:rFonts w:cs="Arial"/>
          <w:sz w:val="24"/>
        </w:rPr>
      </w:pPr>
      <w:r w:rsidRPr="00433CAE">
        <w:rPr>
          <w:rFonts w:eastAsia="Times New Roman" w:cs="Arial"/>
          <w:color w:val="000000"/>
          <w:szCs w:val="2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5FED4FF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Филмирана таблетка.</w:t>
      </w:r>
    </w:p>
    <w:p w14:paraId="013A88BA" w14:textId="77777777" w:rsidR="00433CAE" w:rsidRPr="00433CAE" w:rsidRDefault="00433CAE" w:rsidP="00433CAE">
      <w:pPr>
        <w:rPr>
          <w:rFonts w:eastAsia="Times New Roman" w:cs="Arial"/>
          <w:color w:val="000000"/>
          <w:szCs w:val="20"/>
          <w:lang w:eastAsia="bg-BG"/>
        </w:rPr>
      </w:pPr>
    </w:p>
    <w:p w14:paraId="4129ADBB" w14:textId="542BB285" w:rsidR="0091385D" w:rsidRPr="00433CAE" w:rsidRDefault="00433CAE" w:rsidP="00433CAE">
      <w:pPr>
        <w:rPr>
          <w:rFonts w:cs="Arial"/>
          <w:sz w:val="24"/>
        </w:rPr>
      </w:pPr>
      <w:r w:rsidRPr="00433CAE">
        <w:rPr>
          <w:rFonts w:eastAsia="Times New Roman" w:cs="Arial"/>
          <w:color w:val="000000"/>
          <w:szCs w:val="20"/>
          <w:lang w:eastAsia="bg-BG"/>
        </w:rPr>
        <w:t xml:space="preserve">Росукард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филмирани таблетки: светло розови, филмирани, елипсовидни, двойно- изпъкнали таблетки с делителна черта, с дължина около 8,8 </w:t>
      </w:r>
      <w:r w:rsidRPr="00433CAE">
        <w:rPr>
          <w:rFonts w:eastAsia="Times New Roman" w:cs="Arial"/>
          <w:color w:val="000000"/>
          <w:szCs w:val="20"/>
          <w:lang w:val="en-US"/>
        </w:rPr>
        <w:t xml:space="preserve">mm </w:t>
      </w:r>
      <w:r w:rsidRPr="00433CAE">
        <w:rPr>
          <w:rFonts w:eastAsia="Times New Roman" w:cs="Arial"/>
          <w:color w:val="000000"/>
          <w:szCs w:val="20"/>
          <w:lang w:eastAsia="bg-BG"/>
        </w:rPr>
        <w:t xml:space="preserve">и широчина около 4,5 </w:t>
      </w:r>
      <w:r w:rsidRPr="00433CAE">
        <w:rPr>
          <w:rFonts w:eastAsia="Times New Roman" w:cs="Arial"/>
          <w:color w:val="000000"/>
          <w:szCs w:val="20"/>
          <w:lang w:val="en-US"/>
        </w:rPr>
        <w:t xml:space="preserve">mm. </w:t>
      </w:r>
      <w:r w:rsidRPr="00433CAE">
        <w:rPr>
          <w:rFonts w:eastAsia="Times New Roman" w:cs="Arial"/>
          <w:color w:val="000000"/>
          <w:szCs w:val="20"/>
          <w:lang w:eastAsia="bg-BG"/>
        </w:rPr>
        <w:t>Таблетката може да бъде разделена на две равни дози.</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51D8A320"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Лечение на хиперхолестеролемия</w:t>
      </w:r>
    </w:p>
    <w:p w14:paraId="61D037BE" w14:textId="582E2A5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Възрастни, юноши и деца на възраст 6 и повече години с първична хиперхолестеролемия (тип</w:t>
      </w:r>
      <w:r w:rsidR="00C357CD">
        <w:rPr>
          <w:rFonts w:eastAsia="Times New Roman" w:cs="Arial"/>
          <w:sz w:val="28"/>
          <w:szCs w:val="24"/>
          <w:lang w:val="en-US" w:eastAsia="bg-BG"/>
        </w:rPr>
        <w:t xml:space="preserve"> </w:t>
      </w:r>
      <w:r w:rsidRPr="00433CAE">
        <w:rPr>
          <w:rFonts w:eastAsia="Times New Roman" w:cs="Arial"/>
          <w:color w:val="000000"/>
          <w:szCs w:val="20"/>
          <w:lang w:eastAsia="bg-BG"/>
        </w:rPr>
        <w:t>IIа, включително хетерозиготна семейна хиперхолестеролемия) или смесена дислипидемия (тип II</w:t>
      </w:r>
      <w:r w:rsidRPr="00433CAE">
        <w:rPr>
          <w:rFonts w:eastAsia="Times New Roman" w:cs="Arial"/>
          <w:color w:val="000000"/>
          <w:szCs w:val="20"/>
          <w:lang w:val="en-US"/>
        </w:rPr>
        <w:t>b</w:t>
      </w:r>
      <w:r w:rsidRPr="00433CAE">
        <w:rPr>
          <w:rFonts w:eastAsia="Times New Roman" w:cs="Arial"/>
          <w:color w:val="000000"/>
          <w:szCs w:val="20"/>
          <w:lang w:eastAsia="bg-BG"/>
        </w:rPr>
        <w:t>) като допълнение към диета, когато отговорът на диета и друго нефармакологично лечение (напр. физически упражнения, намаление на теглото) е неадекватен.</w:t>
      </w:r>
    </w:p>
    <w:p w14:paraId="0BF75E5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Възрастни, юноши и деца на или над 6 годишна възраст с хомозиготна семейна хиперлипидемия, като допълнение към диета и други лечебни средства за намаляване на липидите (напр. </w:t>
      </w:r>
      <w:r w:rsidRPr="00433CAE">
        <w:rPr>
          <w:rFonts w:eastAsia="Times New Roman" w:cs="Arial"/>
          <w:color w:val="000000"/>
          <w:szCs w:val="20"/>
          <w:lang w:val="en-US"/>
        </w:rPr>
        <w:t xml:space="preserve">LDL </w:t>
      </w:r>
      <w:r w:rsidRPr="00433CAE">
        <w:rPr>
          <w:rFonts w:eastAsia="Times New Roman" w:cs="Arial"/>
          <w:color w:val="000000"/>
          <w:szCs w:val="20"/>
          <w:lang w:eastAsia="bg-BG"/>
        </w:rPr>
        <w:t>афереза) или ако подобни лечения не са адекватни.</w:t>
      </w:r>
    </w:p>
    <w:p w14:paraId="79E7E04D" w14:textId="77777777" w:rsidR="00433CAE" w:rsidRPr="00433CAE" w:rsidRDefault="00433CAE" w:rsidP="00433CAE">
      <w:pPr>
        <w:spacing w:line="240" w:lineRule="auto"/>
        <w:rPr>
          <w:rFonts w:eastAsia="Times New Roman" w:cs="Arial"/>
          <w:color w:val="000000"/>
          <w:szCs w:val="20"/>
          <w:u w:val="single"/>
          <w:lang w:eastAsia="bg-BG"/>
        </w:rPr>
      </w:pPr>
    </w:p>
    <w:p w14:paraId="2BEB4C82" w14:textId="2592558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Превенция на кардиоваскуларни събития</w:t>
      </w:r>
    </w:p>
    <w:p w14:paraId="04B2E99C" w14:textId="7CE2D856" w:rsidR="0091385D" w:rsidRPr="00433CAE" w:rsidRDefault="00433CAE" w:rsidP="00433CAE">
      <w:pPr>
        <w:rPr>
          <w:rFonts w:cs="Arial"/>
          <w:sz w:val="24"/>
        </w:rPr>
      </w:pPr>
      <w:r w:rsidRPr="00433CAE">
        <w:rPr>
          <w:rFonts w:eastAsia="Times New Roman" w:cs="Arial"/>
          <w:color w:val="000000"/>
          <w:szCs w:val="20"/>
          <w:lang w:eastAsia="bg-BG"/>
        </w:rPr>
        <w:lastRenderedPageBreak/>
        <w:t>Превенция на значими сърдечно-съдови инциденти при пациенти, при които се очаква висок риск при първи сърдечно-съдов инцидент (вж. точка 5.1), като допълнение към корекция на други рискови фактори.</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475300EC" w14:textId="154104A3" w:rsidR="0091385D" w:rsidRPr="00433CAE" w:rsidRDefault="00433CAE" w:rsidP="0091385D">
      <w:pPr>
        <w:rPr>
          <w:rFonts w:cs="Arial"/>
          <w:szCs w:val="20"/>
        </w:rPr>
      </w:pPr>
      <w:r w:rsidRPr="00433CAE">
        <w:rPr>
          <w:rFonts w:cs="Arial"/>
          <w:szCs w:val="20"/>
        </w:rPr>
        <w:t>Преди започване на лечението, пациентът трябва да бъде поставен на стандартна намаляваща холестерола диета, която трябва да продължи по време на лечението. Дозата трябва да се индивидуализира съответно за целта на лечението и отговора на пациента, като се използват актуалните консенсусни указания.</w:t>
      </w:r>
    </w:p>
    <w:p w14:paraId="7A5BA133" w14:textId="28442661" w:rsidR="00433CAE" w:rsidRPr="00433CAE" w:rsidRDefault="00433CAE" w:rsidP="0091385D">
      <w:pPr>
        <w:rPr>
          <w:rFonts w:cs="Arial"/>
          <w:szCs w:val="20"/>
        </w:rPr>
      </w:pPr>
    </w:p>
    <w:p w14:paraId="2F7EFD5D" w14:textId="77777777" w:rsidR="00433CAE" w:rsidRPr="00C357CD" w:rsidRDefault="00433CAE" w:rsidP="00C357CD">
      <w:pPr>
        <w:pStyle w:val="Heading3"/>
        <w:rPr>
          <w:rFonts w:eastAsia="Times New Roman"/>
          <w:sz w:val="28"/>
          <w:u w:val="single"/>
          <w:lang w:eastAsia="bg-BG"/>
        </w:rPr>
      </w:pPr>
      <w:r w:rsidRPr="00C357CD">
        <w:rPr>
          <w:rFonts w:eastAsia="Times New Roman"/>
          <w:u w:val="single"/>
          <w:lang w:eastAsia="bg-BG"/>
        </w:rPr>
        <w:t>Дозировка</w:t>
      </w:r>
    </w:p>
    <w:p w14:paraId="35CA981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Лечение на хиперхолестеролемия</w:t>
      </w:r>
    </w:p>
    <w:p w14:paraId="3839E394" w14:textId="00F16CC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Препоръчителната начална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или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перорално, един път дневно, както при нелекувани със стативи пациенти, така и при пациенти преминаващи на това лечение от друго с инхибитор на </w:t>
      </w:r>
      <w:r w:rsidRPr="00433CAE">
        <w:rPr>
          <w:rFonts w:eastAsia="Times New Roman" w:cs="Arial"/>
          <w:color w:val="000000"/>
          <w:szCs w:val="20"/>
          <w:lang w:val="en-US"/>
        </w:rPr>
        <w:t>HMG-Co</w:t>
      </w:r>
      <w:r w:rsidRPr="00433CAE">
        <w:rPr>
          <w:rFonts w:eastAsia="Times New Roman" w:cs="Arial"/>
          <w:color w:val="000000"/>
          <w:szCs w:val="20"/>
          <w:lang w:eastAsia="bg-BG"/>
        </w:rPr>
        <w:t xml:space="preserve">А редуктаза. Доза от 5 </w:t>
      </w:r>
      <w:r w:rsidR="006138E9">
        <w:rPr>
          <w:rFonts w:eastAsia="Times New Roman" w:cs="Arial"/>
          <w:color w:val="000000"/>
          <w:szCs w:val="20"/>
          <w:lang w:val="en-US"/>
        </w:rPr>
        <w:t>m</w:t>
      </w:r>
      <w:r w:rsidRPr="00433CAE">
        <w:rPr>
          <w:rFonts w:eastAsia="Times New Roman" w:cs="Arial"/>
          <w:color w:val="000000"/>
          <w:szCs w:val="20"/>
          <w:lang w:val="en-US"/>
        </w:rPr>
        <w:t xml:space="preserve">g </w:t>
      </w:r>
      <w:r w:rsidRPr="00433CAE">
        <w:rPr>
          <w:rFonts w:eastAsia="Times New Roman" w:cs="Arial"/>
          <w:color w:val="000000"/>
          <w:szCs w:val="20"/>
          <w:lang w:eastAsia="bg-BG"/>
        </w:rPr>
        <w:t xml:space="preserve">може да се приложи като се раздели таблетка от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на две по делителната линия.</w:t>
      </w:r>
    </w:p>
    <w:p w14:paraId="1FDC7F3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избор на начална доза трябва да се вземе предвид индивидуалното ниво на холестерола при пациента и бъдещия сърдечносъдов риск, както и потенциалния риск от нежелани лекарствени реакции (вж. точки 4,4 и 4.8). Корекция на дозата към следващо ниво на дозиране може да се направи след 4 седмици, ако е необходимо (вж, точка 5.1). В светлината на нарастващите по брой съобщения за нежелани лекарствени реакции при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 сравнение с по-ниските дози (вж. точка 4.8), окончателно титриране до максималната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трябва да се има предвид само при пациенти с тежка хиперхолестеролемия и висок сърдечносъдов риск (особено при тези със семейна анамнеза за хиперхолестеролемия), които не могат да постигнат терапевтичните цели с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и при които може да се прави рутинно проследяване (вж. точка 4.4). Наблюдение от специалист се препоръчва при започване на доза от 40 </w:t>
      </w:r>
      <w:r w:rsidRPr="00433CAE">
        <w:rPr>
          <w:rFonts w:eastAsia="Times New Roman" w:cs="Arial"/>
          <w:color w:val="000000"/>
          <w:szCs w:val="20"/>
          <w:lang w:val="en-US"/>
        </w:rPr>
        <w:t>mg.</w:t>
      </w:r>
    </w:p>
    <w:p w14:paraId="5A08C531" w14:textId="77777777" w:rsidR="00433CAE" w:rsidRPr="00433CAE" w:rsidRDefault="00433CAE" w:rsidP="00433CAE">
      <w:pPr>
        <w:spacing w:line="240" w:lineRule="auto"/>
        <w:rPr>
          <w:rFonts w:eastAsia="Times New Roman" w:cs="Arial"/>
          <w:i/>
          <w:iCs/>
          <w:color w:val="000000"/>
          <w:szCs w:val="20"/>
          <w:lang w:eastAsia="bg-BG"/>
        </w:rPr>
      </w:pPr>
    </w:p>
    <w:p w14:paraId="6908D0F2" w14:textId="31245620"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Превенция на сърдечно-съдови събития</w:t>
      </w:r>
    </w:p>
    <w:p w14:paraId="1244B2B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 проучвания за намаляване риска от сърдечно-съдови събития е използвана доза от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дневно (вж. точка 5.1).</w:t>
      </w:r>
    </w:p>
    <w:p w14:paraId="2B491648" w14:textId="77777777" w:rsidR="00433CAE" w:rsidRPr="00433CAE" w:rsidRDefault="00433CAE" w:rsidP="00433CAE">
      <w:pPr>
        <w:spacing w:line="240" w:lineRule="auto"/>
        <w:rPr>
          <w:rFonts w:eastAsia="Times New Roman" w:cs="Arial"/>
          <w:i/>
          <w:iCs/>
          <w:color w:val="000000"/>
          <w:szCs w:val="20"/>
          <w:u w:val="single"/>
          <w:lang w:eastAsia="bg-BG"/>
        </w:rPr>
      </w:pPr>
    </w:p>
    <w:p w14:paraId="70884E3F" w14:textId="3B82FDA2"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Педиатрична популация</w:t>
      </w:r>
    </w:p>
    <w:p w14:paraId="382EC332"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Употребата от деца трябва да се извършва само под наблюдението на специалист.</w:t>
      </w:r>
    </w:p>
    <w:p w14:paraId="4C99537A" w14:textId="77777777" w:rsidR="00433CAE" w:rsidRPr="00433CAE" w:rsidRDefault="00433CAE" w:rsidP="00433CAE">
      <w:pPr>
        <w:spacing w:line="240" w:lineRule="auto"/>
        <w:rPr>
          <w:rFonts w:eastAsia="Times New Roman" w:cs="Arial"/>
          <w:i/>
          <w:iCs/>
          <w:color w:val="000000"/>
          <w:szCs w:val="20"/>
          <w:lang w:eastAsia="bg-BG"/>
        </w:rPr>
      </w:pPr>
    </w:p>
    <w:p w14:paraId="750315D3" w14:textId="2DE8873F"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 xml:space="preserve">Деца и юноши на възраст от 6 до 17 години (стадий &lt; 11- </w:t>
      </w:r>
      <w:r w:rsidRPr="00433CAE">
        <w:rPr>
          <w:rFonts w:eastAsia="Times New Roman" w:cs="Arial"/>
          <w:i/>
          <w:iCs/>
          <w:color w:val="000000"/>
          <w:szCs w:val="20"/>
          <w:lang w:val="en-US"/>
        </w:rPr>
        <w:t>V</w:t>
      </w:r>
      <w:r w:rsidRPr="00433CAE">
        <w:rPr>
          <w:rFonts w:eastAsia="Times New Roman" w:cs="Arial"/>
          <w:i/>
          <w:iCs/>
          <w:color w:val="000000"/>
          <w:szCs w:val="20"/>
          <w:lang w:eastAsia="bg-BG"/>
        </w:rPr>
        <w:t xml:space="preserve"> по Танер)</w:t>
      </w:r>
    </w:p>
    <w:p w14:paraId="1269367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Хетерозиготна фамилна хиперхолестеролемия</w:t>
      </w:r>
    </w:p>
    <w:p w14:paraId="695C368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и юноши с хетерозиготна фамилна хиперхолестеролемия обичайната дневна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дневно.</w:t>
      </w:r>
    </w:p>
    <w:p w14:paraId="1CF8DD91" w14:textId="77777777" w:rsidR="00433CAE" w:rsidRPr="00433CAE" w:rsidRDefault="00433CAE" w:rsidP="00433CAE">
      <w:pPr>
        <w:pStyle w:val="ListParagraph"/>
        <w:numPr>
          <w:ilvl w:val="0"/>
          <w:numId w:val="35"/>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на възраст 6 до 9 години с хетерозиготна фамилна хиперхолестеролемия обичайният дозов диапазон е 5-10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перорално веднъж дневно. Безопасността и ефикасността на дози по-високи от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не са проучвани при тази популация.</w:t>
      </w:r>
    </w:p>
    <w:p w14:paraId="11E93D51" w14:textId="19A9AA59" w:rsidR="00433CAE" w:rsidRPr="00433CAE" w:rsidRDefault="00433CAE" w:rsidP="00433CAE">
      <w:pPr>
        <w:pStyle w:val="ListParagraph"/>
        <w:numPr>
          <w:ilvl w:val="0"/>
          <w:numId w:val="35"/>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на възраст 10 до 17 години с хетерозиготна фамилна хиперхолестеролемия обичайният дозов диапазон е 5-20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перорално веднъж дневно. Безопасността и ефикасността на дози над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не са проучвани при тази популация.</w:t>
      </w:r>
    </w:p>
    <w:p w14:paraId="3BE204C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Лечението трябва да се провежда според индивидуалния отговор и поносимостта на педиатричните пациенти, както се препоръчва от съветите за педиатрично лечение (вж. точка 4.4). Децата и юношите трябва да бъдат поставени на стандартна холестерол-понижаваща диета преди лечението с розувастатин; тази диета трябва да продължи и по време на лечението с розувастатин.</w:t>
      </w:r>
    </w:p>
    <w:p w14:paraId="60C332DC" w14:textId="77777777" w:rsidR="00433CAE" w:rsidRPr="00433CAE" w:rsidRDefault="00433CAE" w:rsidP="00433CAE">
      <w:pPr>
        <w:spacing w:line="240" w:lineRule="auto"/>
        <w:rPr>
          <w:rFonts w:eastAsia="Times New Roman" w:cs="Arial"/>
          <w:color w:val="000000"/>
          <w:szCs w:val="20"/>
          <w:lang w:eastAsia="bg-BG"/>
        </w:rPr>
      </w:pPr>
    </w:p>
    <w:p w14:paraId="68DDEA2E" w14:textId="66B59FE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Хомозиготна фамилна хиперхолестеролемия</w:t>
      </w:r>
    </w:p>
    <w:p w14:paraId="246DE72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деца на възраст 6 до 17 години с хомозиготна фамилна хиперхолестеролемия, препоръчителната максимална доза е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веднъж дневно.</w:t>
      </w:r>
    </w:p>
    <w:p w14:paraId="2749104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Препоръчва се начална доза от 5 до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веднъж дневно в зависимост от възрастта, теглото и преди употребата на статин. Титриране до максималната доза от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веднъж дневно трябва да се провежда в съответствие с индивидуалния отговор и поносимост при педиатрични пациенти, както е препоръчано в препоръките за лечение на деца (вж. точка 4.4). Децата и юношите трябва да бъдат подложени на стандартна холестерол-понижаваща диета преди започване на лечението с розувастатин; тази диета трябва да продължи по време на лечение с розувастатин. Има ограничен опит с дози, различни от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при тази популация.</w:t>
      </w:r>
    </w:p>
    <w:p w14:paraId="1867E47B" w14:textId="77777777" w:rsidR="00433CAE" w:rsidRPr="00433CAE" w:rsidRDefault="00433CAE" w:rsidP="00433CAE">
      <w:pPr>
        <w:spacing w:line="240" w:lineRule="auto"/>
        <w:rPr>
          <w:rFonts w:eastAsia="Times New Roman" w:cs="Arial"/>
          <w:color w:val="000000"/>
          <w:szCs w:val="20"/>
          <w:lang w:eastAsia="bg-BG"/>
        </w:rPr>
      </w:pPr>
    </w:p>
    <w:p w14:paraId="3902DA46" w14:textId="1D81D22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Таблетка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не е подходяща за употреба при педиатрични пациенти.</w:t>
      </w:r>
    </w:p>
    <w:p w14:paraId="11683B3F" w14:textId="77777777" w:rsidR="00433CAE" w:rsidRPr="00433CAE" w:rsidRDefault="00433CAE" w:rsidP="00433CAE">
      <w:pPr>
        <w:spacing w:line="240" w:lineRule="auto"/>
        <w:rPr>
          <w:rFonts w:eastAsia="Times New Roman" w:cs="Arial"/>
          <w:i/>
          <w:iCs/>
          <w:color w:val="000000"/>
          <w:szCs w:val="20"/>
          <w:lang w:eastAsia="bg-BG"/>
        </w:rPr>
      </w:pPr>
    </w:p>
    <w:p w14:paraId="3D7C7EC7" w14:textId="66FCF5A2"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Деца, по-малки от 6 години</w:t>
      </w:r>
    </w:p>
    <w:p w14:paraId="59810CA9" w14:textId="4DBA5E38" w:rsidR="00433CAE" w:rsidRDefault="00433CAE" w:rsidP="00433CAE">
      <w:pPr>
        <w:spacing w:line="240" w:lineRule="auto"/>
        <w:rPr>
          <w:rFonts w:eastAsia="Times New Roman" w:cs="Arial"/>
          <w:color w:val="000000"/>
          <w:szCs w:val="20"/>
          <w:lang w:eastAsia="bg-BG"/>
        </w:rPr>
      </w:pPr>
      <w:r w:rsidRPr="00433CAE">
        <w:rPr>
          <w:rFonts w:eastAsia="Times New Roman" w:cs="Arial"/>
          <w:color w:val="000000"/>
          <w:szCs w:val="20"/>
          <w:lang w:eastAsia="bg-BG"/>
        </w:rPr>
        <w:t>Безопасността и ефикасността на употребата при деца по-малки от 6 години не са проучвани.</w:t>
      </w:r>
      <w:r>
        <w:rPr>
          <w:rFonts w:eastAsia="Times New Roman" w:cs="Arial"/>
          <w:sz w:val="28"/>
          <w:szCs w:val="24"/>
          <w:lang w:eastAsia="bg-BG"/>
        </w:rPr>
        <w:t xml:space="preserve"> </w:t>
      </w:r>
      <w:r w:rsidRPr="00433CAE">
        <w:rPr>
          <w:rFonts w:eastAsia="Times New Roman" w:cs="Arial"/>
          <w:color w:val="000000"/>
          <w:szCs w:val="20"/>
          <w:lang w:eastAsia="bg-BG"/>
        </w:rPr>
        <w:t>Поради това употребата на розувастатин при деца под 6 годишна възраст не е препоръчителна.</w:t>
      </w:r>
    </w:p>
    <w:p w14:paraId="01BD7858" w14:textId="5CBE6DF5" w:rsidR="00433CAE" w:rsidRDefault="00433CAE" w:rsidP="00433CAE">
      <w:pPr>
        <w:spacing w:line="240" w:lineRule="auto"/>
        <w:rPr>
          <w:rFonts w:eastAsia="Times New Roman" w:cs="Arial"/>
          <w:color w:val="000000"/>
          <w:szCs w:val="20"/>
          <w:lang w:eastAsia="bg-BG"/>
        </w:rPr>
      </w:pPr>
    </w:p>
    <w:p w14:paraId="653F6F2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Старческа възраст</w:t>
      </w:r>
    </w:p>
    <w:p w14:paraId="4D97DED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Начална доза от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се препоръчва при пациенти на възраст &gt;70 години (вж, точка 4.4). Не се налага друга корекция на дозата поради възрастта.</w:t>
      </w:r>
    </w:p>
    <w:p w14:paraId="35D185F0" w14:textId="77777777" w:rsidR="00433CAE" w:rsidRPr="00433CAE" w:rsidRDefault="00433CAE" w:rsidP="00433CAE">
      <w:pPr>
        <w:spacing w:line="240" w:lineRule="auto"/>
        <w:rPr>
          <w:rFonts w:eastAsia="Times New Roman" w:cs="Arial"/>
          <w:i/>
          <w:iCs/>
          <w:color w:val="000000"/>
          <w:szCs w:val="20"/>
          <w:u w:val="single"/>
          <w:lang w:eastAsia="bg-BG"/>
        </w:rPr>
      </w:pPr>
    </w:p>
    <w:p w14:paraId="564DD139" w14:textId="3CFC4AE2"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Бъбречно увреждане</w:t>
      </w:r>
    </w:p>
    <w:p w14:paraId="02606B1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Не се налага корекция на дозата при пациенти с леко до умерено бъбречно увреждане. Препоръчителната начална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при пациенти с умерено бъбречно увреждане (креатининов клирънс &lt;60 </w:t>
      </w:r>
      <w:r w:rsidRPr="00433CAE">
        <w:rPr>
          <w:rFonts w:eastAsia="Times New Roman" w:cs="Arial"/>
          <w:color w:val="000000"/>
          <w:szCs w:val="20"/>
          <w:lang w:val="en-US"/>
        </w:rPr>
        <w:t xml:space="preserve">ml/min). </w:t>
      </w:r>
      <w:r w:rsidRPr="00433CAE">
        <w:rPr>
          <w:rFonts w:eastAsia="Times New Roman" w:cs="Arial"/>
          <w:color w:val="000000"/>
          <w:szCs w:val="20"/>
          <w:lang w:eastAsia="bg-BG"/>
        </w:rPr>
        <w:t xml:space="preserve">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е противопоказана при пациенти с умерено бъбречно увреждане. Използването на розувастатин при пациенти с тежко бъбречно увреждане </w:t>
      </w:r>
      <w:r w:rsidRPr="00433CAE">
        <w:rPr>
          <w:rFonts w:eastAsia="Times New Roman" w:cs="Arial"/>
          <w:i/>
          <w:iCs/>
          <w:color w:val="000000"/>
          <w:szCs w:val="20"/>
          <w:lang w:eastAsia="bg-BG"/>
        </w:rPr>
        <w:t>е</w:t>
      </w:r>
      <w:r w:rsidRPr="00433CAE">
        <w:rPr>
          <w:rFonts w:eastAsia="Times New Roman" w:cs="Arial"/>
          <w:color w:val="000000"/>
          <w:szCs w:val="20"/>
          <w:lang w:eastAsia="bg-BG"/>
        </w:rPr>
        <w:t xml:space="preserve"> противопоказано за всички дози (вж. точки 4.3 и 5.2).</w:t>
      </w:r>
    </w:p>
    <w:p w14:paraId="6685FB08" w14:textId="77777777" w:rsidR="00433CAE" w:rsidRPr="00433CAE" w:rsidRDefault="00433CAE" w:rsidP="00433CAE">
      <w:pPr>
        <w:spacing w:line="240" w:lineRule="auto"/>
        <w:rPr>
          <w:rFonts w:eastAsia="Times New Roman" w:cs="Arial"/>
          <w:i/>
          <w:iCs/>
          <w:color w:val="000000"/>
          <w:szCs w:val="20"/>
          <w:u w:val="single"/>
          <w:lang w:eastAsia="bg-BG"/>
        </w:rPr>
      </w:pPr>
    </w:p>
    <w:p w14:paraId="47F96D6E" w14:textId="706ED248"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Чернодробно увреждане</w:t>
      </w:r>
    </w:p>
    <w:p w14:paraId="46E7FC8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Няма увеличаване на системното въздействие на розувастатин при пациенти с оценка по </w:t>
      </w:r>
      <w:r w:rsidRPr="00433CAE">
        <w:rPr>
          <w:rFonts w:eastAsia="Times New Roman" w:cs="Arial"/>
          <w:color w:val="000000"/>
          <w:szCs w:val="20"/>
          <w:lang w:val="en-US"/>
        </w:rPr>
        <w:t xml:space="preserve">Child- Pugh </w:t>
      </w:r>
      <w:r w:rsidRPr="00433CAE">
        <w:rPr>
          <w:rFonts w:eastAsia="Times New Roman" w:cs="Arial"/>
          <w:color w:val="000000"/>
          <w:szCs w:val="20"/>
          <w:lang w:eastAsia="bg-BG"/>
        </w:rPr>
        <w:t xml:space="preserve">от 7 или по-ниска, В същото време, повишено системно въздействие се наблюдава при индивиди с оценки по </w:t>
      </w:r>
      <w:r w:rsidRPr="00433CAE">
        <w:rPr>
          <w:rFonts w:eastAsia="Times New Roman" w:cs="Arial"/>
          <w:color w:val="000000"/>
          <w:szCs w:val="20"/>
          <w:lang w:val="en-US"/>
        </w:rPr>
        <w:t xml:space="preserve">Child-Pugh </w:t>
      </w:r>
      <w:r w:rsidRPr="00433CAE">
        <w:rPr>
          <w:rFonts w:eastAsia="Times New Roman" w:cs="Arial"/>
          <w:color w:val="000000"/>
          <w:szCs w:val="20"/>
          <w:lang w:eastAsia="bg-BG"/>
        </w:rPr>
        <w:t xml:space="preserve">от 8 и 9 (вж. точка 5.2). При тези пациенти трябва да се обсъди оценка на бъбречната функция (вж. точка 4.4). Няма опит с индивиди с оценки </w:t>
      </w:r>
      <w:r w:rsidRPr="00433CAE">
        <w:rPr>
          <w:rFonts w:eastAsia="Times New Roman" w:cs="Arial"/>
          <w:color w:val="000000"/>
          <w:szCs w:val="20"/>
          <w:lang w:val="en-US"/>
        </w:rPr>
        <w:t xml:space="preserve">no Child- Pugh </w:t>
      </w:r>
      <w:r w:rsidRPr="00433CAE">
        <w:rPr>
          <w:rFonts w:eastAsia="Times New Roman" w:cs="Arial"/>
          <w:color w:val="000000"/>
          <w:szCs w:val="20"/>
          <w:lang w:eastAsia="bg-BG"/>
        </w:rPr>
        <w:t>над 9. Розувастатин е противопоказан при пациенти с активно чернодробно заболяване (вж. точка 4.3).</w:t>
      </w:r>
    </w:p>
    <w:p w14:paraId="27EAA954" w14:textId="77777777" w:rsidR="00433CAE" w:rsidRPr="00433CAE" w:rsidRDefault="00433CAE" w:rsidP="00433CAE">
      <w:pPr>
        <w:spacing w:line="240" w:lineRule="auto"/>
        <w:rPr>
          <w:rFonts w:eastAsia="Times New Roman" w:cs="Arial"/>
          <w:i/>
          <w:iCs/>
          <w:color w:val="000000"/>
          <w:szCs w:val="20"/>
          <w:u w:val="single"/>
          <w:lang w:eastAsia="bg-BG"/>
        </w:rPr>
      </w:pPr>
    </w:p>
    <w:p w14:paraId="4CCF1F7B" w14:textId="07677B1D"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Раса</w:t>
      </w:r>
    </w:p>
    <w:p w14:paraId="40F78F1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Повишено системно въздействие се наблюдава при индивиди с азиатски произход (вж. точки 4.3,4.4 и 5.2). Препоръчителната начална доза за пациенти с азиатски произход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При тези пациенти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w:t>
      </w:r>
    </w:p>
    <w:p w14:paraId="77A1708B" w14:textId="77777777" w:rsidR="00433CAE" w:rsidRPr="00433CAE" w:rsidRDefault="00433CAE" w:rsidP="00433CAE">
      <w:pPr>
        <w:spacing w:line="240" w:lineRule="auto"/>
        <w:rPr>
          <w:rFonts w:eastAsia="Times New Roman" w:cs="Arial"/>
          <w:i/>
          <w:iCs/>
          <w:color w:val="000000"/>
          <w:szCs w:val="20"/>
          <w:u w:val="single"/>
          <w:lang w:eastAsia="bg-BG"/>
        </w:rPr>
      </w:pPr>
    </w:p>
    <w:p w14:paraId="743A5F24" w14:textId="68469A7C"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Генетичен полиморфизъм</w:t>
      </w:r>
    </w:p>
    <w:p w14:paraId="7E60E1D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Познати са специфични видове генетичен полиморфизъм, които могат да доведат до повишена експозиция на розувастатин (вж. точка 5.2). За пациенти, за които е известно че имат такъв специфичен вид полиморфизъм, се препоръчва по-ниска дневна доза розувастатин.</w:t>
      </w:r>
    </w:p>
    <w:p w14:paraId="41B217C4" w14:textId="77777777" w:rsidR="00433CAE" w:rsidRPr="00433CAE" w:rsidRDefault="00433CAE" w:rsidP="00433CAE">
      <w:pPr>
        <w:spacing w:line="240" w:lineRule="auto"/>
        <w:rPr>
          <w:rFonts w:eastAsia="Times New Roman" w:cs="Arial"/>
          <w:i/>
          <w:iCs/>
          <w:color w:val="000000"/>
          <w:szCs w:val="20"/>
          <w:u w:val="single"/>
          <w:lang w:eastAsia="bg-BG"/>
        </w:rPr>
      </w:pPr>
    </w:p>
    <w:p w14:paraId="65C4AF06" w14:textId="2FD962DA"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Паииенти с фактори предразполагащи към миопатия</w:t>
      </w:r>
    </w:p>
    <w:p w14:paraId="457B62C1"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Препоръчителната начална доза е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при пациенти с предразполагащи към миопатия фактори (вж. точка 4.4).</w:t>
      </w:r>
    </w:p>
    <w:p w14:paraId="29885D5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някои от тези пациенти доза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 (вж. точка 4.3).</w:t>
      </w:r>
    </w:p>
    <w:p w14:paraId="04A10214" w14:textId="77777777" w:rsidR="00433CAE" w:rsidRPr="00433CAE" w:rsidRDefault="00433CAE" w:rsidP="00433CAE">
      <w:pPr>
        <w:spacing w:line="240" w:lineRule="auto"/>
        <w:rPr>
          <w:rFonts w:eastAsia="Times New Roman" w:cs="Arial"/>
          <w:i/>
          <w:iCs/>
          <w:color w:val="000000"/>
          <w:szCs w:val="20"/>
          <w:u w:val="single"/>
          <w:lang w:eastAsia="bg-BG"/>
        </w:rPr>
      </w:pPr>
    </w:p>
    <w:p w14:paraId="6F7149D6" w14:textId="197DA7F4"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u w:val="single"/>
          <w:lang w:eastAsia="bg-BG"/>
        </w:rPr>
        <w:t>Съпътстваща терапия</w:t>
      </w:r>
    </w:p>
    <w:p w14:paraId="682A8D47"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Розувастатин е субстрат на различни транспортни протеини (напр. ОАТР1В1 и </w:t>
      </w:r>
      <w:r w:rsidRPr="00433CAE">
        <w:rPr>
          <w:rFonts w:eastAsia="Times New Roman" w:cs="Arial"/>
          <w:color w:val="000000"/>
          <w:szCs w:val="20"/>
          <w:lang w:val="en-US"/>
        </w:rPr>
        <w:t xml:space="preserve">BCRP). </w:t>
      </w:r>
      <w:r w:rsidRPr="00433CAE">
        <w:rPr>
          <w:rFonts w:eastAsia="Times New Roman" w:cs="Arial"/>
          <w:color w:val="000000"/>
          <w:szCs w:val="20"/>
          <w:lang w:eastAsia="bg-BG"/>
        </w:rPr>
        <w:t>Рискът от миопатия (включително рабдомиолиза) се повишава, когато розувастатин се прилага едновременно с определени лекарствени продукти, които могат да повишат плазмената концентрация на розувастатин поради взаимодействие с тези транспортни протеини (напр. циклоспорин и някои протеазни инхибитори, включително комбинации от ритонавир с атазанавир, лопинавир и/или типранавир, вж. точки 4.4 и 4,5). Когато е възможно, трябва да се имат предвид алтернативни лекарства и, ако е необходимо трябва да се обмисли временно спиране на терапията с розувастатин. В ситуации, когато едновременното приложение на тези лекарствени продукти с розувастатин е неизбежно, ползата и риска от съпътстваща терапия и корекция на дозата на розувастатин , трябва внимателно да се обмислят (вж. точка 4.5).</w:t>
      </w:r>
    </w:p>
    <w:p w14:paraId="626BE74A" w14:textId="77777777" w:rsidR="00433CAE" w:rsidRPr="00433CAE" w:rsidRDefault="00433CAE" w:rsidP="00433CAE">
      <w:pPr>
        <w:spacing w:line="240" w:lineRule="auto"/>
        <w:rPr>
          <w:rFonts w:eastAsia="Times New Roman" w:cs="Arial"/>
          <w:color w:val="000000"/>
          <w:szCs w:val="20"/>
          <w:u w:val="single"/>
          <w:lang w:eastAsia="bg-BG"/>
        </w:rPr>
      </w:pPr>
    </w:p>
    <w:p w14:paraId="437AC46B" w14:textId="420C06C1" w:rsidR="00433CAE" w:rsidRPr="00C357CD" w:rsidRDefault="00433CAE" w:rsidP="00C357CD">
      <w:pPr>
        <w:pStyle w:val="Heading3"/>
        <w:rPr>
          <w:rFonts w:eastAsia="Times New Roman"/>
          <w:sz w:val="28"/>
          <w:u w:val="single"/>
          <w:lang w:eastAsia="bg-BG"/>
        </w:rPr>
      </w:pPr>
      <w:r w:rsidRPr="00C357CD">
        <w:rPr>
          <w:rFonts w:eastAsia="Times New Roman"/>
          <w:u w:val="single"/>
          <w:lang w:eastAsia="bg-BG"/>
        </w:rPr>
        <w:t>Начин на приложение</w:t>
      </w:r>
    </w:p>
    <w:p w14:paraId="108D2D5F" w14:textId="57CE1EBA" w:rsidR="00433CAE" w:rsidRPr="00433CAE" w:rsidRDefault="00433CAE" w:rsidP="00433CAE">
      <w:pPr>
        <w:spacing w:line="240" w:lineRule="auto"/>
        <w:rPr>
          <w:rFonts w:eastAsia="Times New Roman" w:cs="Arial"/>
          <w:sz w:val="32"/>
          <w:szCs w:val="24"/>
          <w:lang w:eastAsia="bg-BG"/>
        </w:rPr>
      </w:pPr>
      <w:r w:rsidRPr="00433CAE">
        <w:rPr>
          <w:rFonts w:eastAsia="Times New Roman" w:cs="Arial"/>
          <w:color w:val="000000"/>
          <w:szCs w:val="20"/>
          <w:lang w:eastAsia="bg-BG"/>
        </w:rPr>
        <w:t>Росукард може да се приема по всяко време на деня, със или без храна.</w:t>
      </w:r>
    </w:p>
    <w:p w14:paraId="6ACAF645" w14:textId="77777777" w:rsidR="0091385D" w:rsidRPr="0091385D" w:rsidRDefault="0091385D"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45F37A11" w14:textId="77777777" w:rsidR="00433CAE" w:rsidRPr="00433CAE" w:rsidRDefault="00433CAE" w:rsidP="0091385D">
      <w:pPr>
        <w:rPr>
          <w:rFonts w:cs="Arial"/>
          <w:szCs w:val="20"/>
        </w:rPr>
      </w:pPr>
      <w:r w:rsidRPr="00433CAE">
        <w:rPr>
          <w:rFonts w:cs="Arial"/>
          <w:szCs w:val="20"/>
        </w:rPr>
        <w:t xml:space="preserve">Розувастатин е противопоказан: </w:t>
      </w:r>
    </w:p>
    <w:p w14:paraId="2309EAB0" w14:textId="2B67C764" w:rsidR="0091385D" w:rsidRPr="00433CAE" w:rsidRDefault="00433CAE" w:rsidP="00433CAE">
      <w:pPr>
        <w:pStyle w:val="ListParagraph"/>
        <w:numPr>
          <w:ilvl w:val="0"/>
          <w:numId w:val="36"/>
        </w:numPr>
        <w:rPr>
          <w:rFonts w:cs="Arial"/>
          <w:sz w:val="24"/>
        </w:rPr>
      </w:pPr>
      <w:r w:rsidRPr="00433CAE">
        <w:rPr>
          <w:rFonts w:cs="Arial"/>
          <w:szCs w:val="20"/>
        </w:rPr>
        <w:t>при пациенти със свръхчувствителност към активното вещество или към някои от помощните вещества, изброени в точка 6.1.</w:t>
      </w:r>
    </w:p>
    <w:p w14:paraId="1FA98163" w14:textId="0C4A40AF"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пациенти с активно чернодробно заболяване, включително необяснимо, персистиращо повишение на серумните трансаминази и всяко повишение на серумна траисаминаза надвишаващо 3х горната граница на нормата </w:t>
      </w:r>
      <w:r w:rsidRPr="00433CAE">
        <w:rPr>
          <w:rFonts w:eastAsia="Times New Roman" w:cs="Arial"/>
          <w:color w:val="000000"/>
          <w:szCs w:val="20"/>
          <w:lang w:val="en-US"/>
        </w:rPr>
        <w:t>(ULN).</w:t>
      </w:r>
    </w:p>
    <w:p w14:paraId="44D5743A" w14:textId="68D6F64C"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пациенти с тежко бъбречно увреждане (креатининов клирънс &lt;30 </w:t>
      </w:r>
      <w:r w:rsidRPr="00433CAE">
        <w:rPr>
          <w:rFonts w:eastAsia="Times New Roman" w:cs="Arial"/>
          <w:color w:val="000000"/>
          <w:szCs w:val="20"/>
          <w:lang w:val="en-US"/>
        </w:rPr>
        <w:t>ml/min). -</w:t>
      </w:r>
      <w:r w:rsidRPr="00433CAE">
        <w:rPr>
          <w:rFonts w:eastAsia="Times New Roman" w:cs="Arial"/>
          <w:color w:val="000000"/>
          <w:szCs w:val="20"/>
          <w:lang w:eastAsia="bg-BG"/>
        </w:rPr>
        <w:t>при пациенти с миопатия.</w:t>
      </w:r>
    </w:p>
    <w:p w14:paraId="4BD8B6ED" w14:textId="1BC98C28"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при пациенти, приемащи едновременно софосбувир/велпатасвир/воксилапревир (вж. точка 4,5).</w:t>
      </w:r>
    </w:p>
    <w:p w14:paraId="53EE847A" w14:textId="4B799665"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при пациенти получаващи едновременно циклоспорин.</w:t>
      </w:r>
    </w:p>
    <w:p w14:paraId="005D291F" w14:textId="77777777"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по време на бременност и кърмене и при жени във фертилна възраст, които не прилагат адекватни мерки против забременяване.</w:t>
      </w:r>
    </w:p>
    <w:p w14:paraId="2ADB9B89" w14:textId="77777777" w:rsidR="00433CAE" w:rsidRPr="00433CAE" w:rsidRDefault="00433CAE" w:rsidP="00433CAE">
      <w:pPr>
        <w:spacing w:line="240" w:lineRule="auto"/>
        <w:ind w:left="360"/>
        <w:rPr>
          <w:rFonts w:eastAsia="Times New Roman" w:cs="Arial"/>
          <w:color w:val="000000"/>
          <w:szCs w:val="20"/>
          <w:lang w:eastAsia="bg-BG"/>
        </w:rPr>
      </w:pPr>
    </w:p>
    <w:p w14:paraId="10FF33DA" w14:textId="23E1DCAD" w:rsidR="00433CAE" w:rsidRPr="00433CAE" w:rsidRDefault="00433CAE" w:rsidP="00433CAE">
      <w:pPr>
        <w:spacing w:line="240" w:lineRule="auto"/>
        <w:ind w:left="360"/>
        <w:rPr>
          <w:rFonts w:eastAsia="Times New Roman" w:cs="Arial"/>
          <w:sz w:val="28"/>
          <w:szCs w:val="24"/>
          <w:lang w:eastAsia="bg-BG"/>
        </w:rPr>
      </w:pPr>
      <w:r w:rsidRPr="00433CAE">
        <w:rPr>
          <w:rFonts w:eastAsia="Times New Roman" w:cs="Arial"/>
          <w:color w:val="000000"/>
          <w:szCs w:val="20"/>
          <w:lang w:eastAsia="bg-BG"/>
        </w:rPr>
        <w:t xml:space="preserve">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 при пациенти с фактори, предразполагащи към миопатия/рабдомиолиза. Тези фактори включват:</w:t>
      </w:r>
    </w:p>
    <w:p w14:paraId="2974DE68" w14:textId="5591F8D8"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 xml:space="preserve">умерено бъбречно увреждане (креатининов клирънс &lt;60 </w:t>
      </w:r>
      <w:r w:rsidRPr="00433CAE">
        <w:rPr>
          <w:rFonts w:eastAsia="Times New Roman" w:cs="Arial"/>
          <w:color w:val="000000"/>
          <w:szCs w:val="20"/>
          <w:lang w:val="en-US"/>
        </w:rPr>
        <w:t>mL/min). -</w:t>
      </w:r>
      <w:r w:rsidRPr="00433CAE">
        <w:rPr>
          <w:rFonts w:eastAsia="Times New Roman" w:cs="Arial"/>
          <w:color w:val="000000"/>
          <w:szCs w:val="20"/>
          <w:lang w:eastAsia="bg-BG"/>
        </w:rPr>
        <w:t>хипотиреоидизъм.</w:t>
      </w:r>
    </w:p>
    <w:p w14:paraId="03850413" w14:textId="30720B5E"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лична или семейна анамнеза с наследствени мускулни нарушения.</w:t>
      </w:r>
    </w:p>
    <w:p w14:paraId="20F9ECC0" w14:textId="12E23621"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 xml:space="preserve">предхождащи анамнестични данни за мускулна токсичност при употреба на друг инхибитор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или фибрат.</w:t>
      </w:r>
    </w:p>
    <w:p w14:paraId="2EFC3CCB" w14:textId="305768B2"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злоупотреба с алкохол.</w:t>
      </w:r>
    </w:p>
    <w:p w14:paraId="1DB516AF" w14:textId="672AE62D" w:rsidR="00433CAE" w:rsidRPr="00433CAE" w:rsidRDefault="00433CAE" w:rsidP="00433CAE">
      <w:pPr>
        <w:pStyle w:val="ListParagraph"/>
        <w:numPr>
          <w:ilvl w:val="0"/>
          <w:numId w:val="36"/>
        </w:numPr>
        <w:spacing w:line="240" w:lineRule="auto"/>
        <w:rPr>
          <w:rFonts w:eastAsia="Times New Roman" w:cs="Arial"/>
          <w:sz w:val="28"/>
          <w:szCs w:val="24"/>
          <w:lang w:eastAsia="bg-BG"/>
        </w:rPr>
      </w:pPr>
      <w:r w:rsidRPr="00433CAE">
        <w:rPr>
          <w:rFonts w:eastAsia="Times New Roman" w:cs="Arial"/>
          <w:color w:val="000000"/>
          <w:szCs w:val="20"/>
          <w:lang w:eastAsia="bg-BG"/>
        </w:rPr>
        <w:t>ситуации, при които може да се стигне до повишаване на плазмените концентрации, -пациенти с азиатски произход.</w:t>
      </w:r>
    </w:p>
    <w:p w14:paraId="4759201E" w14:textId="2391AAD5" w:rsidR="00433CAE" w:rsidRPr="00433CAE" w:rsidRDefault="00433CAE" w:rsidP="00433CAE">
      <w:pPr>
        <w:pStyle w:val="ListParagraph"/>
        <w:numPr>
          <w:ilvl w:val="0"/>
          <w:numId w:val="36"/>
        </w:numPr>
        <w:rPr>
          <w:rFonts w:cs="Arial"/>
          <w:sz w:val="24"/>
        </w:rPr>
      </w:pPr>
      <w:r w:rsidRPr="00433CAE">
        <w:rPr>
          <w:rFonts w:eastAsia="Times New Roman" w:cs="Arial"/>
          <w:color w:val="000000"/>
          <w:szCs w:val="20"/>
          <w:lang w:eastAsia="bg-BG"/>
        </w:rPr>
        <w:t>съпровождащо използване на фибрати (вж. точки 4.4,4.5 и 5.2).</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7A36343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Ефекти върху бъбреците</w:t>
      </w:r>
    </w:p>
    <w:p w14:paraId="0C7F1601"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Протеинурия, открита със суха проба и най-вече тубуларна по произход, е наблюдавана при пациенти лекувани с високи дози розувастатин, и по-специално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където в повечето случаи е преходна и интермитентна. Протеинурията не е показала прогностична стойност за остро или прогресиращо бъбречно заболяване (вж. точка 4.8). Честотата на съобщаване на сериозни бъбречни събития при пост-маркетинговото приложение е по-висока при доза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Трябва да се прецени нуждата да се направи оценка на бъбречната функция при рутинно проследяване на пациенти лекувани с доза от 40 </w:t>
      </w:r>
      <w:r w:rsidRPr="00433CAE">
        <w:rPr>
          <w:rFonts w:eastAsia="Times New Roman" w:cs="Arial"/>
          <w:color w:val="000000"/>
          <w:szCs w:val="20"/>
          <w:lang w:val="en-US"/>
        </w:rPr>
        <w:t>mg.</w:t>
      </w:r>
    </w:p>
    <w:p w14:paraId="7D80D57C" w14:textId="77777777" w:rsidR="00433CAE" w:rsidRPr="00433CAE" w:rsidRDefault="00433CAE" w:rsidP="00433CAE">
      <w:pPr>
        <w:spacing w:line="240" w:lineRule="auto"/>
        <w:rPr>
          <w:rFonts w:eastAsia="Times New Roman" w:cs="Arial"/>
          <w:color w:val="000000"/>
          <w:szCs w:val="20"/>
          <w:u w:val="single"/>
          <w:lang w:eastAsia="bg-BG"/>
        </w:rPr>
      </w:pPr>
    </w:p>
    <w:p w14:paraId="027BD200" w14:textId="173C407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Ефекти върху костната мускулатура</w:t>
      </w:r>
    </w:p>
    <w:p w14:paraId="6333EEDD"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Ефектите върху костната мускулатура, като миалгия, миопатия и рядко, рабдомиолиза, са наблюдавани при лекувани с розувастатин пациенти при всички дози и особено при дози &gt;20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Има наблюдавани много рядко случаи на рабдомиолиза при използване на езетимиб в комбинация с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Фармакодинамично взаимодействие не може да бъде изключено (вж. точка 4.5) и при комбинираното им използване трябва да се подхожда внимателно.</w:t>
      </w:r>
    </w:p>
    <w:p w14:paraId="5A5F7C3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Както при останалите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съобщаваната честота на рабдомиолиза, свързана с розувастатин при пост-маркетингово приложение, е по-висока при доза 40 </w:t>
      </w:r>
      <w:r w:rsidRPr="00433CAE">
        <w:rPr>
          <w:rFonts w:eastAsia="Times New Roman" w:cs="Arial"/>
          <w:color w:val="000000"/>
          <w:szCs w:val="20"/>
          <w:lang w:val="en-US"/>
        </w:rPr>
        <w:t>mg.</w:t>
      </w:r>
    </w:p>
    <w:p w14:paraId="7B9827D0" w14:textId="77777777" w:rsidR="00433CAE" w:rsidRPr="00433CAE" w:rsidRDefault="00433CAE" w:rsidP="00433CAE">
      <w:pPr>
        <w:spacing w:line="240" w:lineRule="auto"/>
        <w:rPr>
          <w:rFonts w:eastAsia="Times New Roman" w:cs="Arial"/>
          <w:color w:val="000000"/>
          <w:szCs w:val="20"/>
          <w:u w:val="single"/>
          <w:lang w:eastAsia="bg-BG"/>
        </w:rPr>
      </w:pPr>
    </w:p>
    <w:p w14:paraId="1C2D11FD" w14:textId="486591D3"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Количествено определяне на креатининкиназа</w:t>
      </w:r>
    </w:p>
    <w:p w14:paraId="0817DFB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Креатининкиназа (СК) не трябва да се измерва след физическо усилие или при наличие на приемлива алтернативна причина за повишаване на СК, което може да обърка интерпретирането на резултата. Ако нивата на СК са значително повишени спрямо началните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 xml:space="preserve">трябва да се направи изследване за потвърждаване до 5-7 дни. Ако повторното изследване потвърди, че началната СК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лечение не трябва да се започва.</w:t>
      </w:r>
    </w:p>
    <w:p w14:paraId="202862DE" w14:textId="77777777" w:rsidR="00433CAE" w:rsidRPr="00433CAE" w:rsidRDefault="00433CAE" w:rsidP="00433CAE">
      <w:pPr>
        <w:spacing w:line="240" w:lineRule="auto"/>
        <w:rPr>
          <w:rFonts w:eastAsia="Times New Roman" w:cs="Arial"/>
          <w:color w:val="000000"/>
          <w:szCs w:val="20"/>
          <w:u w:val="single"/>
          <w:lang w:eastAsia="bg-BG"/>
        </w:rPr>
      </w:pPr>
    </w:p>
    <w:p w14:paraId="16EF44C8" w14:textId="751E22C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Преди лечение</w:t>
      </w:r>
    </w:p>
    <w:p w14:paraId="742E6E71"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Розувастатин, както и останалите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трябва да се изписват</w:t>
      </w:r>
      <w:r w:rsidRPr="00433CAE">
        <w:rPr>
          <w:rFonts w:eastAsia="Times New Roman" w:cs="Arial"/>
          <w:color w:val="000000"/>
          <w:szCs w:val="20"/>
          <w:u w:val="single"/>
          <w:lang w:eastAsia="bg-BG"/>
        </w:rPr>
        <w:t xml:space="preserve"> </w:t>
      </w:r>
      <w:r w:rsidRPr="00433CAE">
        <w:rPr>
          <w:rFonts w:eastAsia="Times New Roman" w:cs="Arial"/>
          <w:color w:val="000000"/>
          <w:szCs w:val="20"/>
          <w:lang w:eastAsia="bg-BG"/>
        </w:rPr>
        <w:t>внимателно при пациенти с предразполагащи фактори към миопатия/рабдомиолиза. Тези</w:t>
      </w:r>
      <w:r w:rsidRPr="00433CAE">
        <w:rPr>
          <w:rFonts w:eastAsia="Times New Roman" w:cs="Arial"/>
          <w:i/>
          <w:iCs/>
          <w:color w:val="000000"/>
          <w:sz w:val="32"/>
          <w:szCs w:val="28"/>
          <w:lang w:eastAsia="bg-BG"/>
        </w:rPr>
        <w:t xml:space="preserve"> </w:t>
      </w:r>
      <w:r w:rsidRPr="00433CAE">
        <w:rPr>
          <w:rFonts w:eastAsia="Times New Roman" w:cs="Arial"/>
          <w:color w:val="000000"/>
          <w:szCs w:val="20"/>
          <w:lang w:eastAsia="bg-BG"/>
        </w:rPr>
        <w:t>фактори включват:</w:t>
      </w:r>
    </w:p>
    <w:p w14:paraId="0B3BEE35" w14:textId="3CB0615F" w:rsidR="0091385D" w:rsidRPr="00433CAE" w:rsidRDefault="00433CAE" w:rsidP="00433CAE">
      <w:pPr>
        <w:pStyle w:val="ListParagraph"/>
        <w:numPr>
          <w:ilvl w:val="0"/>
          <w:numId w:val="37"/>
        </w:numPr>
        <w:rPr>
          <w:rFonts w:cs="Arial"/>
          <w:sz w:val="24"/>
        </w:rPr>
      </w:pPr>
      <w:r>
        <w:rPr>
          <w:rFonts w:eastAsia="Times New Roman" w:cs="Arial"/>
          <w:color w:val="000000"/>
          <w:szCs w:val="20"/>
          <w:lang w:eastAsia="bg-BG"/>
        </w:rPr>
        <w:t>бъбречно увреждане</w:t>
      </w:r>
    </w:p>
    <w:p w14:paraId="3A5FC8B1"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хипотиреоидизъм</w:t>
      </w:r>
    </w:p>
    <w:p w14:paraId="07A30570"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лична или семейна анамнеза с наследствени мускулни нарушения.</w:t>
      </w:r>
    </w:p>
    <w:p w14:paraId="14144766"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 xml:space="preserve">предхождащи анамнестични данни за мускулна токсичност при употреба на друг инхибитор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или фибрат.</w:t>
      </w:r>
    </w:p>
    <w:p w14:paraId="6903BFE3"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злоупотреба с алкохол. - възраст над 70 години.</w:t>
      </w:r>
    </w:p>
    <w:p w14:paraId="4FE54B45"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t>ситуации, при които могат да се стигне до повишаване на плазмената концентрация (вж. точки 4,2,4.5 и 5.2).</w:t>
      </w:r>
    </w:p>
    <w:p w14:paraId="2A856DCF" w14:textId="77777777" w:rsidR="00433CAE" w:rsidRPr="00433CAE" w:rsidRDefault="00433CAE" w:rsidP="00433CAE">
      <w:pPr>
        <w:numPr>
          <w:ilvl w:val="0"/>
          <w:numId w:val="37"/>
        </w:numPr>
        <w:spacing w:line="240" w:lineRule="auto"/>
        <w:rPr>
          <w:rFonts w:eastAsia="Times New Roman" w:cs="Arial"/>
          <w:color w:val="000000"/>
          <w:szCs w:val="20"/>
          <w:lang w:eastAsia="bg-BG"/>
        </w:rPr>
      </w:pPr>
      <w:r w:rsidRPr="00433CAE">
        <w:rPr>
          <w:rFonts w:eastAsia="Times New Roman" w:cs="Arial"/>
          <w:color w:val="000000"/>
          <w:szCs w:val="20"/>
          <w:lang w:eastAsia="bg-BG"/>
        </w:rPr>
        <w:lastRenderedPageBreak/>
        <w:t>едновременно използване на фибрати.</w:t>
      </w:r>
    </w:p>
    <w:p w14:paraId="5BD26C9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такива пациенти, рискът от лечението трябва да се има предвид във връзка с възможен благоприятен ефект и се препоръчва клинично наблюдение. Ако СК нивата са значително повишени спрямо началните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лечение не трябва да се започва.</w:t>
      </w:r>
    </w:p>
    <w:p w14:paraId="746D96C5" w14:textId="77777777" w:rsidR="00433CAE" w:rsidRPr="00433CAE" w:rsidRDefault="00433CAE" w:rsidP="00433CAE">
      <w:pPr>
        <w:spacing w:line="240" w:lineRule="auto"/>
        <w:rPr>
          <w:rFonts w:eastAsia="Times New Roman" w:cs="Arial"/>
          <w:color w:val="000000"/>
          <w:szCs w:val="20"/>
          <w:u w:val="single"/>
          <w:lang w:eastAsia="bg-BG"/>
        </w:rPr>
      </w:pPr>
    </w:p>
    <w:p w14:paraId="329C1D18" w14:textId="6AB9C954"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При продължаващо лечение</w:t>
      </w:r>
    </w:p>
    <w:p w14:paraId="2A14E57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Пациентите следва да бъдат помолени незабавно да уведомяват за необяснима мускулна болка, слабост или гърчове, особено ако са свързани с общо неразположение и висока температура. При тези пациенти трябва да се определят нивата на СК. Лечението трябва да бъде преустановено, ако нивата на СК са значително повишени </w:t>
      </w:r>
      <w:r w:rsidRPr="00433CAE">
        <w:rPr>
          <w:rFonts w:eastAsia="Times New Roman" w:cs="Arial"/>
          <w:color w:val="000000"/>
          <w:szCs w:val="20"/>
          <w:lang w:val="en-US"/>
        </w:rPr>
        <w:t xml:space="preserve">(&gt;5xULN) </w:t>
      </w:r>
      <w:r w:rsidRPr="00433CAE">
        <w:rPr>
          <w:rFonts w:eastAsia="Times New Roman" w:cs="Arial"/>
          <w:color w:val="000000"/>
          <w:szCs w:val="20"/>
          <w:lang w:eastAsia="bg-BG"/>
        </w:rPr>
        <w:t xml:space="preserve">или когато мускулните симптоми са тежки и ежедневно причиняват дискомфорт (дори ако нивата на СК са ≤ 5х </w:t>
      </w:r>
      <w:r w:rsidRPr="00433CAE">
        <w:rPr>
          <w:rFonts w:eastAsia="Times New Roman" w:cs="Arial"/>
          <w:color w:val="000000"/>
          <w:szCs w:val="20"/>
          <w:lang w:val="en-US"/>
        </w:rPr>
        <w:t xml:space="preserve">ULN). </w:t>
      </w:r>
      <w:r w:rsidRPr="00433CAE">
        <w:rPr>
          <w:rFonts w:eastAsia="Times New Roman" w:cs="Arial"/>
          <w:color w:val="000000"/>
          <w:szCs w:val="20"/>
          <w:lang w:eastAsia="bg-BG"/>
        </w:rPr>
        <w:t xml:space="preserve">Ако симптомите преминат и нивата на СК се върнат към норма, трябва да се прецени включването отново на розувастатин или алтернативен инхибитор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в най-ниските дози, при непрекъснато наблюдение. Рутинно мониториране на СК нивата при асимптоматични пациенти не е оправдано. Има много редки доклади за имуномедиирана некротизираща миопатия </w:t>
      </w:r>
      <w:r w:rsidRPr="00433CAE">
        <w:rPr>
          <w:rFonts w:eastAsia="Times New Roman" w:cs="Arial"/>
          <w:color w:val="000000"/>
          <w:szCs w:val="20"/>
          <w:lang w:val="en-US"/>
        </w:rPr>
        <w:t xml:space="preserve">(IMNM) </w:t>
      </w:r>
      <w:r w:rsidRPr="00433CAE">
        <w:rPr>
          <w:rFonts w:eastAsia="Times New Roman" w:cs="Arial"/>
          <w:color w:val="000000"/>
          <w:szCs w:val="20"/>
          <w:lang w:eastAsia="bg-BG"/>
        </w:rPr>
        <w:t xml:space="preserve">по време на или след лечение със статини, включително розувастатин. </w:t>
      </w:r>
      <w:r w:rsidRPr="00433CAE">
        <w:rPr>
          <w:rFonts w:eastAsia="Times New Roman" w:cs="Arial"/>
          <w:color w:val="000000"/>
          <w:szCs w:val="20"/>
          <w:lang w:val="en-US"/>
        </w:rPr>
        <w:t xml:space="preserve">1MNM </w:t>
      </w:r>
      <w:r w:rsidRPr="00433CAE">
        <w:rPr>
          <w:rFonts w:eastAsia="Times New Roman" w:cs="Arial"/>
          <w:color w:val="000000"/>
          <w:szCs w:val="20"/>
          <w:lang w:eastAsia="bg-BG"/>
        </w:rPr>
        <w:t>клинично се характеризира с проксимална мускулна слабост и повишени серумни нива на креатининкиназата, което персистира, независимо от спирането на лечението със статини.</w:t>
      </w:r>
    </w:p>
    <w:p w14:paraId="24FFF191" w14:textId="77777777" w:rsidR="00433CAE" w:rsidRPr="00433CAE" w:rsidRDefault="00433CAE" w:rsidP="00433CAE">
      <w:pPr>
        <w:spacing w:line="240" w:lineRule="auto"/>
        <w:rPr>
          <w:rFonts w:eastAsia="Times New Roman" w:cs="Arial"/>
          <w:color w:val="000000"/>
          <w:szCs w:val="20"/>
          <w:lang w:eastAsia="bg-BG"/>
        </w:rPr>
      </w:pPr>
    </w:p>
    <w:p w14:paraId="7EB374C5" w14:textId="5CF458CF"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 клинични изпитвания няма данни за повишен ефект върху костната мускулатура при малък брой пациент, които са получили розувастатин и съпровождащо лечение. Има, обаче, повишена честота на миозит и миопатия при пациенти лекувани с други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заедно с производни на фибратна киселина, включително гемифиброзил, циклоспорин, никотинова киселина, азолови противогьбични продукти, протеазни инхибитори и макролидни антибиотици. Гемифиброзил повишава риска от миопатия, когато се прилага едновременно с някои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Поради това комбинирането на розувастатин и гемифиброзил не се препоръчва. Ползата от допълнителна промяна на липидните нива с комбинираното използване на розувастатин с фибрати или ниацин трябва внимателно да се претегли срещу потенциалния риск при подобни комбинации. 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е противопоказана при едновременно използване на фибрат (вж. точки 4.5 и 4.8).</w:t>
      </w:r>
    </w:p>
    <w:p w14:paraId="03FB5B90" w14:textId="77777777" w:rsidR="00433CAE" w:rsidRPr="00433CAE" w:rsidRDefault="00433CAE" w:rsidP="00433CAE">
      <w:pPr>
        <w:spacing w:line="240" w:lineRule="auto"/>
        <w:rPr>
          <w:rFonts w:eastAsia="Times New Roman" w:cs="Arial"/>
          <w:color w:val="000000"/>
          <w:szCs w:val="20"/>
          <w:lang w:eastAsia="bg-BG"/>
        </w:rPr>
      </w:pPr>
    </w:p>
    <w:p w14:paraId="45939D68" w14:textId="2B3DFC0D"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Росукард не трябва да се прилага едновременно с фузидова киселина за системно приложение или в рамките на 7 дни след спиране на лечението със фузидова киселина. При пациенти, при които системната терапия на фузидова киселина се счита за основно, лечението със статини трябва да бъде преустановено през целия период на лечение със фузидова киселина. Има съобщения за случаи на рабдомиолиза (включително с летален изход) при пациенти, приемащи фузидова киселина и статини в комбинация (вж. точка 4.5). Пациентът трябва да бъде посъветван да потърси незабавно медицинска помощ при възникване на симптоматика като, мускулна слабост, болки или чувствителност. Терапията със статини, може да бъде възстановена седем дни след последната доза на фузидова киселина. При изключителни обстоятелства, в които е необходимо продължително системно приложение на фузидова киселина, например при лечение на тежки инфекции, необходимостта от едновременното прилагане на Росукард и фузидова киселина трябва да се обмисли при всеки случай и при строг медицински контрол.</w:t>
      </w:r>
    </w:p>
    <w:p w14:paraId="644B3305" w14:textId="77777777" w:rsidR="00433CAE" w:rsidRPr="00433CAE" w:rsidRDefault="00433CAE" w:rsidP="00433CAE">
      <w:pPr>
        <w:rPr>
          <w:rFonts w:eastAsia="Times New Roman" w:cs="Arial"/>
          <w:color w:val="000000"/>
          <w:szCs w:val="20"/>
          <w:lang w:eastAsia="bg-BG"/>
        </w:rPr>
      </w:pPr>
    </w:p>
    <w:p w14:paraId="68B1592B" w14:textId="487FB850" w:rsidR="00433CAE" w:rsidRPr="00433CAE" w:rsidRDefault="00433CAE" w:rsidP="00433CAE">
      <w:pPr>
        <w:rPr>
          <w:rFonts w:eastAsia="Times New Roman" w:cs="Arial"/>
          <w:sz w:val="28"/>
          <w:szCs w:val="24"/>
          <w:lang w:eastAsia="bg-BG"/>
        </w:rPr>
      </w:pPr>
      <w:r w:rsidRPr="00433CAE">
        <w:rPr>
          <w:rFonts w:eastAsia="Times New Roman" w:cs="Arial"/>
          <w:color w:val="000000"/>
          <w:szCs w:val="20"/>
          <w:lang w:eastAsia="bg-BG"/>
        </w:rPr>
        <w:t>Розувастатин не трябва да се използва при пациенти с остри, сериозни състояния, които предполагат миопатия или предразполагат към развитието на бъбречна недостатъчност</w:t>
      </w:r>
      <w:r>
        <w:rPr>
          <w:rFonts w:eastAsia="Times New Roman" w:cs="Arial"/>
          <w:color w:val="000000"/>
          <w:szCs w:val="20"/>
          <w:lang w:eastAsia="bg-BG"/>
        </w:rPr>
        <w:t xml:space="preserve"> </w:t>
      </w:r>
      <w:r w:rsidRPr="00433CAE">
        <w:rPr>
          <w:rFonts w:eastAsia="Times New Roman" w:cs="Arial"/>
          <w:color w:val="000000"/>
          <w:szCs w:val="20"/>
          <w:lang w:eastAsia="bg-BG"/>
        </w:rPr>
        <w:lastRenderedPageBreak/>
        <w:t>вторична след рабдомиолиза (като сепсис, хипотония, голяма операция, травма, тежки метаболитни, ендокринни и електролитни нарушения или неконтролирани гърчове).</w:t>
      </w:r>
    </w:p>
    <w:p w14:paraId="581F4CEB" w14:textId="77777777" w:rsidR="00433CAE" w:rsidRPr="00433CAE" w:rsidRDefault="00433CAE" w:rsidP="00433CAE">
      <w:pPr>
        <w:spacing w:line="240" w:lineRule="auto"/>
        <w:rPr>
          <w:rFonts w:eastAsia="Times New Roman" w:cs="Arial"/>
          <w:color w:val="000000"/>
          <w:szCs w:val="20"/>
          <w:u w:val="single"/>
          <w:lang w:eastAsia="bg-BG"/>
        </w:rPr>
      </w:pPr>
    </w:p>
    <w:p w14:paraId="76B6C446" w14:textId="4C0E354B"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Тежки кожни нежелани реакции</w:t>
      </w:r>
    </w:p>
    <w:p w14:paraId="5C94A2B8"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Тежки кожни нежелани реакции, включително синдром на </w:t>
      </w:r>
      <w:r w:rsidRPr="00433CAE">
        <w:rPr>
          <w:rFonts w:eastAsia="Times New Roman" w:cs="Arial"/>
          <w:color w:val="000000"/>
          <w:szCs w:val="20"/>
          <w:lang w:val="en-US"/>
        </w:rPr>
        <w:t xml:space="preserve">Stevens-Johnson (SJS) </w:t>
      </w:r>
      <w:r w:rsidRPr="00433CAE">
        <w:rPr>
          <w:rFonts w:eastAsia="Times New Roman" w:cs="Arial"/>
          <w:color w:val="000000"/>
          <w:szCs w:val="20"/>
          <w:lang w:eastAsia="bg-BG"/>
        </w:rPr>
        <w:t xml:space="preserve">и лекарствена реакция с еозинофилия и системни симптоми </w:t>
      </w:r>
      <w:r w:rsidRPr="00433CAE">
        <w:rPr>
          <w:rFonts w:eastAsia="Times New Roman" w:cs="Arial"/>
          <w:color w:val="000000"/>
          <w:szCs w:val="20"/>
          <w:lang w:val="en-US"/>
        </w:rPr>
        <w:t xml:space="preserve">(DRESS), </w:t>
      </w:r>
      <w:r w:rsidRPr="00433CAE">
        <w:rPr>
          <w:rFonts w:eastAsia="Times New Roman" w:cs="Arial"/>
          <w:color w:val="000000"/>
          <w:szCs w:val="20"/>
          <w:lang w:eastAsia="bg-BG"/>
        </w:rPr>
        <w:t>които могат да бъдат животозастрашаващи или с летален изход, са докладвани при употреба на розувастатин. По време на назначаването му, пациентите трябва да бъдат информирани за признаците и симптомите на тежки кожни реакции и да бъдат внимателно наблюдавани. Ако се появят признаци и симптоми, предполагащи тази реакция, лечението с Росукард трябва незабавно да се преустанови и да се обмисли алтернативно лечение.</w:t>
      </w:r>
    </w:p>
    <w:p w14:paraId="4D335F42"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Ако пациентът е развил сериозна реакция като </w:t>
      </w:r>
      <w:r w:rsidRPr="00433CAE">
        <w:rPr>
          <w:rFonts w:eastAsia="Times New Roman" w:cs="Arial"/>
          <w:color w:val="000000"/>
          <w:szCs w:val="20"/>
          <w:lang w:val="en-US"/>
        </w:rPr>
        <w:t xml:space="preserve">SJS </w:t>
      </w:r>
      <w:r w:rsidRPr="00433CAE">
        <w:rPr>
          <w:rFonts w:eastAsia="Times New Roman" w:cs="Arial"/>
          <w:color w:val="000000"/>
          <w:szCs w:val="20"/>
          <w:lang w:eastAsia="bg-BG"/>
        </w:rPr>
        <w:t xml:space="preserve">или </w:t>
      </w:r>
      <w:r w:rsidRPr="00433CAE">
        <w:rPr>
          <w:rFonts w:eastAsia="Times New Roman" w:cs="Arial"/>
          <w:color w:val="000000"/>
          <w:szCs w:val="20"/>
          <w:lang w:val="en-US"/>
        </w:rPr>
        <w:t xml:space="preserve">DRESS </w:t>
      </w:r>
      <w:r w:rsidRPr="00433CAE">
        <w:rPr>
          <w:rFonts w:eastAsia="Times New Roman" w:cs="Arial"/>
          <w:color w:val="000000"/>
          <w:szCs w:val="20"/>
          <w:lang w:eastAsia="bg-BG"/>
        </w:rPr>
        <w:t>при употребата на Росукард, лечението с Росукард не трябва никога да се подновява при този пациент.</w:t>
      </w:r>
    </w:p>
    <w:p w14:paraId="10A604AE" w14:textId="77777777" w:rsidR="00433CAE" w:rsidRPr="00433CAE" w:rsidRDefault="00433CAE" w:rsidP="00433CAE">
      <w:pPr>
        <w:spacing w:line="240" w:lineRule="auto"/>
        <w:rPr>
          <w:rFonts w:eastAsia="Times New Roman" w:cs="Arial"/>
          <w:color w:val="000000"/>
          <w:szCs w:val="20"/>
          <w:u w:val="single"/>
          <w:lang w:eastAsia="bg-BG"/>
        </w:rPr>
      </w:pPr>
    </w:p>
    <w:p w14:paraId="46DA4ED4" w14:textId="62B68F58"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Ефекти върху черния дроб</w:t>
      </w:r>
    </w:p>
    <w:p w14:paraId="400EEB6A"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Както и при останалите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 xml:space="preserve">редуктаза, розувастатин трябва да се използва внимателно при пациенти, които консумират значителни количества алкохол и/или имат анамнеза за чернодробно заболяване. Препоръчително е чернодробната функция да се изследва преди и 3 месеца след започване на лечение с розувастатин. Розувастатин трябва да се спре или дозата да се намали, ако нивото на серумните трансаминази е 3 пъти по-високо от горната граница на нормата. Честотата на съобщаване на сериозни чернодробни събития (включващи основно повишени чернодробни трансаминази) при пост-маркетинговото приложение е по-висока при доза 40 </w:t>
      </w:r>
      <w:r w:rsidRPr="00433CAE">
        <w:rPr>
          <w:rFonts w:eastAsia="Times New Roman" w:cs="Arial"/>
          <w:color w:val="000000"/>
          <w:szCs w:val="20"/>
          <w:lang w:val="en-US"/>
        </w:rPr>
        <w:t>mg.</w:t>
      </w:r>
    </w:p>
    <w:p w14:paraId="176A1787"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При пациенти с вторична хиперхолестеролемия причинена от хипотиреоидизъм или нефротичен синдром, подлежащото заболяване трябва да се лекува преди да се започне лечение с розувастатин.</w:t>
      </w:r>
    </w:p>
    <w:p w14:paraId="62DEE357" w14:textId="77777777" w:rsidR="00433CAE" w:rsidRPr="00433CAE" w:rsidRDefault="00433CAE" w:rsidP="00433CAE">
      <w:pPr>
        <w:spacing w:line="240" w:lineRule="auto"/>
        <w:rPr>
          <w:rFonts w:eastAsia="Times New Roman" w:cs="Arial"/>
          <w:color w:val="000000"/>
          <w:szCs w:val="20"/>
          <w:u w:val="single"/>
          <w:lang w:eastAsia="bg-BG"/>
        </w:rPr>
      </w:pPr>
    </w:p>
    <w:p w14:paraId="5C155D99" w14:textId="19E0DF30"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Раса</w:t>
      </w:r>
    </w:p>
    <w:p w14:paraId="3AB4A25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Фармакокинетичните проучвания показват повишено въздействие при индивиди с азиатски произход в сравнение с тези от бялата раса (вж. точки 4.2, 4.3 и 5.2).</w:t>
      </w:r>
    </w:p>
    <w:p w14:paraId="3BBB4207" w14:textId="77777777" w:rsidR="00433CAE" w:rsidRPr="00433CAE" w:rsidRDefault="00433CAE" w:rsidP="00433CAE">
      <w:pPr>
        <w:spacing w:line="240" w:lineRule="auto"/>
        <w:rPr>
          <w:rFonts w:eastAsia="Times New Roman" w:cs="Arial"/>
          <w:color w:val="000000"/>
          <w:szCs w:val="20"/>
          <w:u w:val="single"/>
          <w:lang w:eastAsia="bg-BG"/>
        </w:rPr>
      </w:pPr>
    </w:p>
    <w:p w14:paraId="3EC451FF" w14:textId="78F3CAE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Протеазни инхибитори</w:t>
      </w:r>
    </w:p>
    <w:p w14:paraId="0C8A898B"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Повишена системна експозиция на розувастатин е била наблюдавана при пациенти, получаващи розувастатин едновременно с различни протеазни инхибитори в комбинация с ритонавир. Трябва да се обмисли както ползата от липидопонижаване чрез употребата на розувастатин при пациенти с </w:t>
      </w:r>
      <w:r w:rsidRPr="00433CAE">
        <w:rPr>
          <w:rFonts w:eastAsia="Times New Roman" w:cs="Arial"/>
          <w:color w:val="000000"/>
          <w:szCs w:val="20"/>
          <w:lang w:val="en-US"/>
        </w:rPr>
        <w:t>HI</w:t>
      </w:r>
      <w:r w:rsidRPr="00433CAE">
        <w:rPr>
          <w:rFonts w:eastAsia="Times New Roman" w:cs="Arial"/>
          <w:color w:val="000000"/>
          <w:szCs w:val="20"/>
          <w:lang w:eastAsia="bg-BG"/>
        </w:rPr>
        <w:t>V, получаващи протеазни инхибитори, така и потенциала за повишена плазмена концентрация на розувастатин, когато се започва терапия и се повишава дозата на розувастатин при пациенти, лекувани с протеазни инхибитори. Едновременното приложение с протеазни инхибитори не се препоръчва, освен ако дозата на розувастатин не се коригира (вж. точки 4.2 и 4.5).</w:t>
      </w:r>
    </w:p>
    <w:p w14:paraId="5ADF2A45" w14:textId="77777777" w:rsidR="00433CAE" w:rsidRPr="00433CAE" w:rsidRDefault="00433CAE" w:rsidP="00433CAE">
      <w:pPr>
        <w:spacing w:line="240" w:lineRule="auto"/>
        <w:rPr>
          <w:rFonts w:eastAsia="Times New Roman" w:cs="Arial"/>
          <w:color w:val="000000"/>
          <w:szCs w:val="20"/>
          <w:u w:val="single"/>
          <w:lang w:eastAsia="bg-BG"/>
        </w:rPr>
      </w:pPr>
    </w:p>
    <w:p w14:paraId="39CB4E2C" w14:textId="1BC47592"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Интерстициално белодробно заболяване</w:t>
      </w:r>
    </w:p>
    <w:p w14:paraId="4782BC0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Съобщавани са отделни случаи на интерстициално белодробно заболяване при употреба на някои стативи, особено при продължителна терапия (вж. точка 4.8). Представените белези могат да включват затруднено дишане, суха кашлица и влошаване на здравословното състояние (отпадналост, загуба на тегло, температура). Ако се подозира, че пациент развива интерстициално белодробно заболяване, лечението със статии трябва да се преустанови.</w:t>
      </w:r>
    </w:p>
    <w:p w14:paraId="558B793A" w14:textId="77777777" w:rsidR="00433CAE" w:rsidRPr="00433CAE" w:rsidRDefault="00433CAE" w:rsidP="00433CAE">
      <w:pPr>
        <w:spacing w:line="240" w:lineRule="auto"/>
        <w:rPr>
          <w:rFonts w:eastAsia="Times New Roman" w:cs="Arial"/>
          <w:color w:val="000000"/>
          <w:szCs w:val="20"/>
          <w:u w:val="single"/>
          <w:lang w:eastAsia="bg-BG"/>
        </w:rPr>
      </w:pPr>
    </w:p>
    <w:p w14:paraId="7D756FA0" w14:textId="3E6576CD"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Захарен диабет</w:t>
      </w:r>
    </w:p>
    <w:p w14:paraId="55944616" w14:textId="66CEAB74" w:rsidR="00433CAE" w:rsidRDefault="00433CAE" w:rsidP="00433CAE">
      <w:pPr>
        <w:rPr>
          <w:rFonts w:eastAsia="Times New Roman" w:cs="Arial"/>
          <w:color w:val="000000"/>
          <w:szCs w:val="20"/>
          <w:lang w:eastAsia="bg-BG"/>
        </w:rPr>
      </w:pPr>
      <w:r w:rsidRPr="00433CAE">
        <w:rPr>
          <w:rFonts w:eastAsia="Times New Roman" w:cs="Arial"/>
          <w:color w:val="000000"/>
          <w:szCs w:val="20"/>
          <w:lang w:eastAsia="bg-BG"/>
        </w:rPr>
        <w:lastRenderedPageBreak/>
        <w:t xml:space="preserve">Някои доказателства внушават, че статините като клас повишават нивото на кръвната захар и при някои пациенти, и висок риск от бъдещ диабет, могат да доведат до хипергликемия, когато са определени формални грижи при диабет. Този риск, обаче, се компенсира от намаляване на съдовия риск със статини и не трябва да бъде причина за спиране на лечението със статини. Пациенти с риск (глюкоза на гладно от 5,6 до 6,9 </w:t>
      </w:r>
      <w:proofErr w:type="spellStart"/>
      <w:r w:rsidRPr="00433CAE">
        <w:rPr>
          <w:rFonts w:eastAsia="Times New Roman" w:cs="Arial"/>
          <w:color w:val="000000"/>
          <w:szCs w:val="20"/>
          <w:lang w:val="en-US"/>
        </w:rPr>
        <w:t>mmol</w:t>
      </w:r>
      <w:proofErr w:type="spellEnd"/>
      <w:r w:rsidRPr="00433CAE">
        <w:rPr>
          <w:rFonts w:eastAsia="Times New Roman" w:cs="Arial"/>
          <w:color w:val="000000"/>
          <w:szCs w:val="20"/>
          <w:lang w:val="en-US"/>
        </w:rPr>
        <w:t xml:space="preserve">/l, </w:t>
      </w:r>
      <w:r w:rsidRPr="00433CAE">
        <w:rPr>
          <w:rFonts w:eastAsia="Times New Roman" w:cs="Arial"/>
          <w:color w:val="000000"/>
          <w:szCs w:val="20"/>
          <w:lang w:eastAsia="bg-BG"/>
        </w:rPr>
        <w:t xml:space="preserve">ИТМ &gt; 30 </w:t>
      </w:r>
      <w:r w:rsidRPr="00433CAE">
        <w:rPr>
          <w:rFonts w:eastAsia="Times New Roman" w:cs="Arial"/>
          <w:color w:val="000000"/>
          <w:szCs w:val="20"/>
          <w:lang w:val="en-US"/>
        </w:rPr>
        <w:t>kg/m</w:t>
      </w:r>
      <w:r w:rsidRPr="00433CAE">
        <w:rPr>
          <w:rFonts w:eastAsia="Times New Roman" w:cs="Arial"/>
          <w:color w:val="000000"/>
          <w:szCs w:val="20"/>
          <w:vertAlign w:val="superscript"/>
          <w:lang w:val="en-US"/>
        </w:rPr>
        <w:t>2</w:t>
      </w:r>
      <w:r w:rsidRPr="00433CAE">
        <w:rPr>
          <w:rFonts w:eastAsia="Times New Roman" w:cs="Arial"/>
          <w:color w:val="000000"/>
          <w:szCs w:val="20"/>
          <w:lang w:val="en-US"/>
        </w:rPr>
        <w:t xml:space="preserve">, </w:t>
      </w:r>
      <w:r w:rsidRPr="00433CAE">
        <w:rPr>
          <w:rFonts w:eastAsia="Times New Roman" w:cs="Arial"/>
          <w:color w:val="000000"/>
          <w:szCs w:val="20"/>
          <w:lang w:eastAsia="bg-BG"/>
        </w:rPr>
        <w:t>повишени триглицериди, хипертония) трябва да се проследяват клинично и лабораторно в съответствие националните ръководства.</w:t>
      </w:r>
    </w:p>
    <w:p w14:paraId="21946B8A" w14:textId="55EE6446" w:rsidR="00433CAE" w:rsidRDefault="00433CAE" w:rsidP="00433CAE">
      <w:pPr>
        <w:rPr>
          <w:rFonts w:eastAsia="Times New Roman" w:cs="Arial"/>
          <w:color w:val="000000"/>
          <w:szCs w:val="20"/>
          <w:lang w:eastAsia="bg-BG"/>
        </w:rPr>
      </w:pPr>
    </w:p>
    <w:p w14:paraId="306DABF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В изпитването </w:t>
      </w:r>
      <w:r w:rsidRPr="00433CAE">
        <w:rPr>
          <w:rFonts w:eastAsia="Times New Roman" w:cs="Arial"/>
          <w:color w:val="000000"/>
          <w:szCs w:val="20"/>
          <w:lang w:val="en-US"/>
        </w:rPr>
        <w:t xml:space="preserve">JUPITER </w:t>
      </w:r>
      <w:r w:rsidRPr="00433CAE">
        <w:rPr>
          <w:rFonts w:eastAsia="Times New Roman" w:cs="Arial"/>
          <w:color w:val="000000"/>
          <w:szCs w:val="20"/>
          <w:lang w:eastAsia="bg-BG"/>
        </w:rPr>
        <w:t xml:space="preserve">докладваната средна честота на захарен диабет е 2,8% при розувастатин и 2,3% при плацебо, главно при пациенти с ниво на глюкозата на гладно от 5,6 до 6,9 </w:t>
      </w:r>
      <w:proofErr w:type="spellStart"/>
      <w:r w:rsidRPr="00433CAE">
        <w:rPr>
          <w:rFonts w:eastAsia="Times New Roman" w:cs="Arial"/>
          <w:color w:val="000000"/>
          <w:szCs w:val="20"/>
          <w:lang w:val="en-US"/>
        </w:rPr>
        <w:t>mmol</w:t>
      </w:r>
      <w:proofErr w:type="spellEnd"/>
      <w:r w:rsidRPr="00433CAE">
        <w:rPr>
          <w:rFonts w:eastAsia="Times New Roman" w:cs="Arial"/>
          <w:color w:val="000000"/>
          <w:szCs w:val="20"/>
          <w:lang w:val="en-US"/>
        </w:rPr>
        <w:t>/l.</w:t>
      </w:r>
    </w:p>
    <w:p w14:paraId="2D2FC363" w14:textId="77777777" w:rsidR="00433CAE" w:rsidRPr="00433CAE" w:rsidRDefault="00433CAE" w:rsidP="00433CAE">
      <w:pPr>
        <w:spacing w:line="240" w:lineRule="auto"/>
        <w:rPr>
          <w:rFonts w:eastAsia="Times New Roman" w:cs="Arial"/>
          <w:color w:val="000000"/>
          <w:szCs w:val="20"/>
          <w:u w:val="single"/>
          <w:lang w:eastAsia="bg-BG"/>
        </w:rPr>
      </w:pPr>
    </w:p>
    <w:p w14:paraId="7A6C1147" w14:textId="2E4F2449"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Педиатрична популация</w:t>
      </w:r>
    </w:p>
    <w:p w14:paraId="1EDFC11D"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Оценката на линейното повишаване на ръст (височина), тегло, </w:t>
      </w:r>
      <w:r w:rsidRPr="00433CAE">
        <w:rPr>
          <w:rFonts w:eastAsia="Times New Roman" w:cs="Arial"/>
          <w:color w:val="000000"/>
          <w:szCs w:val="20"/>
          <w:lang w:val="en-US"/>
        </w:rPr>
        <w:t xml:space="preserve">BMI </w:t>
      </w:r>
      <w:r w:rsidRPr="00433CAE">
        <w:rPr>
          <w:rFonts w:eastAsia="Times New Roman" w:cs="Arial"/>
          <w:color w:val="000000"/>
          <w:szCs w:val="20"/>
          <w:lang w:eastAsia="bg-BG"/>
        </w:rPr>
        <w:t xml:space="preserve">(индекс на телесната маса), и вторичните полови белези при педиатрични пациенти на възраст от 6 до 17 години, ограничава употребата на розувастатин до 2 години. След 2 годишно лечение в проучването, ефекти върху ръст, тегло, </w:t>
      </w:r>
      <w:r w:rsidRPr="00433CAE">
        <w:rPr>
          <w:rFonts w:eastAsia="Times New Roman" w:cs="Arial"/>
          <w:color w:val="000000"/>
          <w:szCs w:val="20"/>
          <w:lang w:val="en-US"/>
        </w:rPr>
        <w:t xml:space="preserve">BMI </w:t>
      </w:r>
      <w:r w:rsidRPr="00433CAE">
        <w:rPr>
          <w:rFonts w:eastAsia="Times New Roman" w:cs="Arial"/>
          <w:color w:val="000000"/>
          <w:szCs w:val="20"/>
          <w:lang w:eastAsia="bg-BG"/>
        </w:rPr>
        <w:t>или половото съзряване не са открити (вж. точка 5.1).</w:t>
      </w:r>
    </w:p>
    <w:p w14:paraId="090033C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При клиничните изпитвания при деца и юноши, приемащи розувастатин за 52 седмици, нивата на креатинкиназата са &gt; 10</w:t>
      </w:r>
      <w:proofErr w:type="spellStart"/>
      <w:r w:rsidRPr="00433CAE">
        <w:rPr>
          <w:rFonts w:eastAsia="Times New Roman" w:cs="Arial"/>
          <w:color w:val="000000"/>
          <w:szCs w:val="20"/>
          <w:lang w:val="en-US"/>
        </w:rPr>
        <w:t>xULN</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и мускулни симптоми след тренировка или повишена физическа активност се наблюдават по-често в сравнение с клиничните проучвания при възрастни (вж. точка 4.8).</w:t>
      </w:r>
    </w:p>
    <w:p w14:paraId="47332678" w14:textId="77777777" w:rsidR="00433CAE" w:rsidRPr="00433CAE" w:rsidRDefault="00433CAE" w:rsidP="00433CAE">
      <w:pPr>
        <w:spacing w:line="240" w:lineRule="auto"/>
        <w:rPr>
          <w:rFonts w:eastAsia="Times New Roman" w:cs="Arial"/>
          <w:color w:val="000000"/>
          <w:szCs w:val="20"/>
          <w:u w:val="single"/>
          <w:lang w:eastAsia="bg-BG"/>
        </w:rPr>
      </w:pPr>
    </w:p>
    <w:p w14:paraId="67D01723" w14:textId="1C676FA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Помощни вещества</w:t>
      </w:r>
    </w:p>
    <w:p w14:paraId="3514877C"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Продуктът съдържа лактоза монохидрат. Пациенти с редки наследствени проблеми на галактозна непоносимост, общ лактозен дефицит или глюкозо-галактозна малабсорбция не трябва да приемат този медикамент.</w:t>
      </w:r>
    </w:p>
    <w:p w14:paraId="3589B4C9" w14:textId="6F9E7DDB" w:rsidR="00433CAE" w:rsidRPr="00433CAE" w:rsidRDefault="00433CAE" w:rsidP="00433CAE">
      <w:pPr>
        <w:rPr>
          <w:rFonts w:cs="Arial"/>
          <w:sz w:val="36"/>
        </w:rPr>
      </w:pPr>
      <w:r w:rsidRPr="00433CAE">
        <w:rPr>
          <w:rFonts w:eastAsia="Times New Roman" w:cs="Arial"/>
          <w:color w:val="000000"/>
          <w:szCs w:val="20"/>
          <w:lang w:eastAsia="bg-BG"/>
        </w:rPr>
        <w:t xml:space="preserve">Това лекарство съдържа по-малко от 1 </w:t>
      </w:r>
      <w:proofErr w:type="spellStart"/>
      <w:r w:rsidRPr="00433CAE">
        <w:rPr>
          <w:rFonts w:eastAsia="Times New Roman" w:cs="Arial"/>
          <w:color w:val="000000"/>
          <w:szCs w:val="20"/>
          <w:lang w:val="en-US"/>
        </w:rPr>
        <w:t>mmol</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натрий (23 </w:t>
      </w:r>
      <w:r w:rsidRPr="00433CAE">
        <w:rPr>
          <w:rFonts w:eastAsia="Times New Roman" w:cs="Arial"/>
          <w:color w:val="000000"/>
          <w:szCs w:val="20"/>
          <w:lang w:val="en-US"/>
        </w:rPr>
        <w:t xml:space="preserve">mg) </w:t>
      </w:r>
      <w:r w:rsidRPr="00433CAE">
        <w:rPr>
          <w:rFonts w:eastAsia="Times New Roman" w:cs="Arial"/>
          <w:color w:val="000000"/>
          <w:szCs w:val="20"/>
          <w:lang w:eastAsia="bg-BG"/>
        </w:rPr>
        <w:t>в таблетка , т.е. може да се каже, че практически не съдържа натрий.</w:t>
      </w:r>
    </w:p>
    <w:p w14:paraId="24E3E82F" w14:textId="77777777"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35E48B09"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u w:val="single"/>
          <w:lang w:eastAsia="bg-BG"/>
        </w:rPr>
        <w:t xml:space="preserve">Ефект на едновременно приложени лекарствени продукти върху розувастатин </w:t>
      </w:r>
      <w:r w:rsidRPr="00433CAE">
        <w:rPr>
          <w:rFonts w:eastAsia="Times New Roman" w:cs="Arial"/>
          <w:i/>
          <w:iCs/>
          <w:color w:val="000000"/>
          <w:szCs w:val="20"/>
          <w:lang w:eastAsia="bg-BG"/>
        </w:rPr>
        <w:t>Инхибитори на транспортните протеини</w:t>
      </w:r>
    </w:p>
    <w:p w14:paraId="1BB6B67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Розувастатин е субстрат на някои транспортни протеини, включително чернодробния ъптейк транспортер ОАТР1В1 и ефлукс транспортера </w:t>
      </w:r>
      <w:r w:rsidRPr="00433CAE">
        <w:rPr>
          <w:rFonts w:eastAsia="Times New Roman" w:cs="Arial"/>
          <w:color w:val="000000"/>
          <w:szCs w:val="20"/>
          <w:lang w:val="en-US"/>
        </w:rPr>
        <w:t xml:space="preserve">BCRP. </w:t>
      </w:r>
      <w:r w:rsidRPr="00433CAE">
        <w:rPr>
          <w:rFonts w:eastAsia="Times New Roman" w:cs="Arial"/>
          <w:color w:val="000000"/>
          <w:szCs w:val="20"/>
          <w:lang w:eastAsia="bg-BG"/>
        </w:rPr>
        <w:t>Едновременното приложение на розувастатин с лекарствени продукти, които са инхибитори на тези транспортни протеини може да доведе до повишаване на плазмената концентрация на розувастатин и повишен риск от миопатия (вж. точки 4.2,</w:t>
      </w:r>
      <w:r w:rsidRPr="00433CAE">
        <w:rPr>
          <w:rFonts w:eastAsia="Times New Roman" w:cs="Arial"/>
          <w:color w:val="000000"/>
          <w:szCs w:val="20"/>
          <w:lang w:val="en-US"/>
        </w:rPr>
        <w:t xml:space="preserve"> </w:t>
      </w:r>
      <w:r w:rsidRPr="00433CAE">
        <w:rPr>
          <w:rFonts w:eastAsia="Times New Roman" w:cs="Arial"/>
          <w:color w:val="000000"/>
          <w:szCs w:val="20"/>
          <w:lang w:eastAsia="bg-BG"/>
        </w:rPr>
        <w:t>4,4 и 4.5 Таблица 1).</w:t>
      </w:r>
    </w:p>
    <w:p w14:paraId="2F5CBC4F" w14:textId="77777777" w:rsidR="00433CAE" w:rsidRPr="00433CAE" w:rsidRDefault="00433CAE" w:rsidP="00433CAE">
      <w:pPr>
        <w:spacing w:line="240" w:lineRule="auto"/>
        <w:rPr>
          <w:rFonts w:eastAsia="Times New Roman" w:cs="Arial"/>
          <w:i/>
          <w:iCs/>
          <w:color w:val="000000"/>
          <w:szCs w:val="20"/>
          <w:lang w:eastAsia="bg-BG"/>
        </w:rPr>
      </w:pPr>
    </w:p>
    <w:p w14:paraId="4B826658" w14:textId="064565BD"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Циклоспорин</w:t>
      </w:r>
    </w:p>
    <w:p w14:paraId="649D0E84"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При едновременно приложение на розувастатин и циклоспорин, стойностите за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на розувастатин са средно 7 пъти по-високи от наблюдаваните при здрави доброволци (вж. Таблица 1). Розувастатин е противопоказан при пациенти, които едновременно приемат циклоспорин (вж. точка 4.3). Едновременното приложение няма ефект върху плазмените концентрации на циклоспорин.</w:t>
      </w:r>
    </w:p>
    <w:p w14:paraId="14511954" w14:textId="77777777" w:rsidR="00433CAE" w:rsidRPr="00433CAE" w:rsidRDefault="00433CAE" w:rsidP="00433CAE">
      <w:pPr>
        <w:spacing w:line="240" w:lineRule="auto"/>
        <w:rPr>
          <w:rFonts w:eastAsia="Times New Roman" w:cs="Arial"/>
          <w:i/>
          <w:iCs/>
          <w:color w:val="000000"/>
          <w:szCs w:val="20"/>
          <w:lang w:eastAsia="bg-BG"/>
        </w:rPr>
      </w:pPr>
    </w:p>
    <w:p w14:paraId="7842C1E8" w14:textId="4EB51771"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Протеазни инхибитори</w:t>
      </w:r>
    </w:p>
    <w:p w14:paraId="3415C6F6"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lastRenderedPageBreak/>
        <w:t xml:space="preserve">Въпреки че точният механизъм на взаимодействие не е известен, едновременното приложение с протеазен инхибитор може рязко да повиши експозицията на розувастатин (вж. Таблица 1). Например, във фармакокинетично изпитване, едновременното приложение на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и комбиниран продукт, състоящ се от два протеазни инхибитора (300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атазанавир/100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ритонавир) при здрави доброволци, се асоциира с приблизително трикратно и седемкратно повишаване на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и </w:t>
      </w:r>
      <w:proofErr w:type="spellStart"/>
      <w:r w:rsidRPr="00433CAE">
        <w:rPr>
          <w:rFonts w:eastAsia="Times New Roman" w:cs="Arial"/>
          <w:color w:val="000000"/>
          <w:szCs w:val="20"/>
          <w:lang w:val="en-US"/>
        </w:rPr>
        <w:t>Cmax</w:t>
      </w:r>
      <w:proofErr w:type="spellEnd"/>
      <w:r w:rsidRPr="00433CAE">
        <w:rPr>
          <w:rFonts w:eastAsia="Times New Roman" w:cs="Arial"/>
          <w:color w:val="000000"/>
          <w:szCs w:val="20"/>
          <w:lang w:val="en-US"/>
        </w:rPr>
        <w:t xml:space="preserve"> </w:t>
      </w:r>
      <w:r w:rsidRPr="00433CAE">
        <w:rPr>
          <w:rFonts w:eastAsia="Times New Roman" w:cs="Arial"/>
          <w:color w:val="000000"/>
          <w:szCs w:val="20"/>
          <w:lang w:eastAsia="bg-BG"/>
        </w:rPr>
        <w:t>на розувастатин съответно. Едновременното приложение на розувастатин и някои комбинации от протеазни инхибитори може да се обмисли след внимателно преценяване на корекциите на дозата розувастатин, на база на очакваното повишение в експозицията на розувастатин (вж. точки 4.2,</w:t>
      </w:r>
      <w:r w:rsidRPr="00433CAE">
        <w:rPr>
          <w:rFonts w:eastAsia="Times New Roman" w:cs="Arial"/>
          <w:color w:val="000000"/>
          <w:szCs w:val="20"/>
          <w:lang w:val="en-US"/>
        </w:rPr>
        <w:t xml:space="preserve"> </w:t>
      </w:r>
      <w:r w:rsidRPr="00433CAE">
        <w:rPr>
          <w:rFonts w:eastAsia="Times New Roman" w:cs="Arial"/>
          <w:color w:val="000000"/>
          <w:szCs w:val="20"/>
          <w:lang w:eastAsia="bg-BG"/>
        </w:rPr>
        <w:t>4.4 и 4.5 Таблица 1).</w:t>
      </w:r>
    </w:p>
    <w:p w14:paraId="5A4CC882" w14:textId="77777777" w:rsidR="00433CAE" w:rsidRPr="00433CAE" w:rsidRDefault="00433CAE" w:rsidP="00433CAE">
      <w:pPr>
        <w:spacing w:line="240" w:lineRule="auto"/>
        <w:rPr>
          <w:rFonts w:eastAsia="Times New Roman" w:cs="Arial"/>
          <w:i/>
          <w:iCs/>
          <w:color w:val="000000"/>
          <w:szCs w:val="20"/>
          <w:lang w:eastAsia="bg-BG"/>
        </w:rPr>
      </w:pPr>
    </w:p>
    <w:p w14:paraId="427E9193" w14:textId="7AB70521"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Гемфиброзил и други намаляващи липидите продукти</w:t>
      </w:r>
    </w:p>
    <w:p w14:paraId="172AE819" w14:textId="13B0E277" w:rsidR="0091385D" w:rsidRPr="00433CAE" w:rsidRDefault="00433CAE" w:rsidP="00433CAE">
      <w:pPr>
        <w:rPr>
          <w:rFonts w:eastAsia="Times New Roman" w:cs="Arial"/>
          <w:color w:val="000000"/>
          <w:szCs w:val="20"/>
          <w:lang w:eastAsia="bg-BG"/>
        </w:rPr>
      </w:pPr>
      <w:r w:rsidRPr="00433CAE">
        <w:rPr>
          <w:rFonts w:eastAsia="Times New Roman" w:cs="Arial"/>
          <w:color w:val="000000"/>
          <w:szCs w:val="20"/>
          <w:lang w:eastAsia="bg-BG"/>
        </w:rPr>
        <w:t xml:space="preserve">Едновременното приложение на розувастатин и гемфиброзил води до 2-кратно нарастване на Стах и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на розувастатин (вж. точка 4.4). Според данните от проучванията на специфичното взаимодействие, не се очаква фармакокинетично значимо взаимодействие, но може да се развие фармакодинамично взаимодействие. Гемфиброзил, фенофибрат, други фибрати и намаляващи липидите дози (&gt; или равно на </w:t>
      </w:r>
      <w:proofErr w:type="spellStart"/>
      <w:r w:rsidRPr="00433CAE">
        <w:rPr>
          <w:rFonts w:eastAsia="Times New Roman" w:cs="Arial"/>
          <w:color w:val="000000"/>
          <w:szCs w:val="20"/>
          <w:lang w:val="en-US"/>
        </w:rPr>
        <w:t>lg</w:t>
      </w:r>
      <w:proofErr w:type="spellEnd"/>
      <w:r w:rsidRPr="00433CAE">
        <w:rPr>
          <w:rFonts w:eastAsia="Times New Roman" w:cs="Arial"/>
          <w:color w:val="000000"/>
          <w:szCs w:val="20"/>
          <w:lang w:eastAsia="bg-BG"/>
        </w:rPr>
        <w:t xml:space="preserve">/ден) ниацин (никотинова киселина) повишават риска от миопатия, когато се прилагат едновременно с инхибитори на </w:t>
      </w:r>
      <w:r w:rsidRPr="00433CAE">
        <w:rPr>
          <w:rFonts w:eastAsia="Times New Roman" w:cs="Arial"/>
          <w:color w:val="000000"/>
          <w:szCs w:val="20"/>
          <w:lang w:val="en-US"/>
        </w:rPr>
        <w:t xml:space="preserve">HMG-CoA </w:t>
      </w:r>
      <w:r w:rsidRPr="00433CAE">
        <w:rPr>
          <w:rFonts w:eastAsia="Times New Roman" w:cs="Arial"/>
          <w:color w:val="000000"/>
          <w:szCs w:val="20"/>
          <w:lang w:eastAsia="bg-BG"/>
        </w:rPr>
        <w:t>редуктаза, вероятно поради това, че могат да предизвикат появата на миопатия при самостоятелно приложение.</w:t>
      </w:r>
    </w:p>
    <w:p w14:paraId="03ECB8D0" w14:textId="2B7AC547" w:rsidR="00433CAE" w:rsidRPr="00433CAE" w:rsidRDefault="00433CAE" w:rsidP="00433CAE">
      <w:pPr>
        <w:rPr>
          <w:rFonts w:eastAsia="Times New Roman" w:cs="Arial"/>
          <w:color w:val="000000"/>
          <w:szCs w:val="20"/>
          <w:lang w:eastAsia="bg-BG"/>
        </w:rPr>
      </w:pPr>
    </w:p>
    <w:p w14:paraId="39A32FB2"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Дозата от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е противопоказана при едновременно използване на фибрат (вж. точки 4.3 и 4.4). Тези пациенти също трябва да започнат с доза от 5 </w:t>
      </w:r>
      <w:r w:rsidRPr="00433CAE">
        <w:rPr>
          <w:rFonts w:eastAsia="Times New Roman" w:cs="Arial"/>
          <w:color w:val="000000"/>
          <w:szCs w:val="20"/>
          <w:lang w:val="en-US"/>
        </w:rPr>
        <w:t>mg.</w:t>
      </w:r>
    </w:p>
    <w:p w14:paraId="4D291FAF" w14:textId="77777777" w:rsidR="00433CAE" w:rsidRPr="00433CAE" w:rsidRDefault="00433CAE" w:rsidP="00433CAE">
      <w:pPr>
        <w:spacing w:line="240" w:lineRule="auto"/>
        <w:rPr>
          <w:rFonts w:eastAsia="Times New Roman" w:cs="Arial"/>
          <w:i/>
          <w:iCs/>
          <w:color w:val="000000"/>
          <w:szCs w:val="20"/>
          <w:lang w:eastAsia="bg-BG"/>
        </w:rPr>
      </w:pPr>
    </w:p>
    <w:p w14:paraId="44698CFD" w14:textId="5FC96B60"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Езетимиб</w:t>
      </w:r>
    </w:p>
    <w:p w14:paraId="2052B12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Едновременното приложение на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и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езетимиб води до 1,2 пъти повишаване в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на розувастатин при пациенти с хиперхолестеролемия (вж. Таблица 1). Не може, обаче, да бъде изключено фармакодинамично взаимодействие, в смисъл на нежелани лекарствени реакции (вж. точка 4.4).</w:t>
      </w:r>
    </w:p>
    <w:p w14:paraId="270E0458" w14:textId="77777777" w:rsidR="00433CAE" w:rsidRPr="00433CAE" w:rsidRDefault="00433CAE" w:rsidP="00433CAE">
      <w:pPr>
        <w:spacing w:line="240" w:lineRule="auto"/>
        <w:rPr>
          <w:rFonts w:eastAsia="Times New Roman" w:cs="Arial"/>
          <w:i/>
          <w:iCs/>
          <w:color w:val="000000"/>
          <w:szCs w:val="20"/>
          <w:lang w:eastAsia="bg-BG"/>
        </w:rPr>
      </w:pPr>
    </w:p>
    <w:p w14:paraId="1F623C6C" w14:textId="5BBE1A91"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Антиациди</w:t>
      </w:r>
    </w:p>
    <w:p w14:paraId="16B4B14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Едновременното приложение на розувастатин и антиацидна суспензия, съдържаща алуминиева и магнезиева основа, води до понижение на плазмените концентрации на розувастатин с приблизително 50%. Този ефект се </w:t>
      </w:r>
      <w:r w:rsidRPr="00433CAE">
        <w:rPr>
          <w:rFonts w:eastAsia="Times New Roman" w:cs="Arial"/>
          <w:i/>
          <w:iCs/>
          <w:color w:val="000000"/>
          <w:szCs w:val="20"/>
          <w:lang w:eastAsia="bg-BG"/>
        </w:rPr>
        <w:t>намалява</w:t>
      </w:r>
      <w:r w:rsidRPr="00433CAE">
        <w:rPr>
          <w:rFonts w:eastAsia="Times New Roman" w:cs="Arial"/>
          <w:color w:val="000000"/>
          <w:szCs w:val="20"/>
          <w:lang w:eastAsia="bg-BG"/>
        </w:rPr>
        <w:t xml:space="preserve"> при приложение на антиацида 2 часа след розувастатин. Клиничното значение на това взаимодействие не е установено.</w:t>
      </w:r>
    </w:p>
    <w:p w14:paraId="1D18CEB1" w14:textId="77777777" w:rsidR="00433CAE" w:rsidRPr="00433CAE" w:rsidRDefault="00433CAE" w:rsidP="00433CAE">
      <w:pPr>
        <w:spacing w:line="240" w:lineRule="auto"/>
        <w:rPr>
          <w:rFonts w:eastAsia="Times New Roman" w:cs="Arial"/>
          <w:i/>
          <w:iCs/>
          <w:color w:val="000000"/>
          <w:szCs w:val="20"/>
          <w:lang w:eastAsia="bg-BG"/>
        </w:rPr>
      </w:pPr>
    </w:p>
    <w:p w14:paraId="2D010965" w14:textId="72D2D3EB"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Еритромицин</w:t>
      </w:r>
    </w:p>
    <w:p w14:paraId="1BD2280F"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Едновременното приложение на розувастатин1 и еритромицин води до 20% понижение на стойностите на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и 30% понижение на С</w:t>
      </w:r>
      <w:r w:rsidRPr="00433CAE">
        <w:rPr>
          <w:rFonts w:eastAsia="Times New Roman" w:cs="Arial"/>
          <w:color w:val="000000"/>
          <w:szCs w:val="20"/>
          <w:lang w:val="en-US"/>
        </w:rPr>
        <w:t>m</w:t>
      </w:r>
      <w:r w:rsidRPr="00433CAE">
        <w:rPr>
          <w:rFonts w:eastAsia="Times New Roman" w:cs="Arial"/>
          <w:color w:val="000000"/>
          <w:szCs w:val="20"/>
          <w:lang w:eastAsia="bg-BG"/>
        </w:rPr>
        <w:t>ах за розувастатин. Това взаимодействие може да е в резултат на ускорен мотилитет на червата, причинен от еритромицин.</w:t>
      </w:r>
    </w:p>
    <w:p w14:paraId="5EF186F2" w14:textId="77777777" w:rsidR="00433CAE" w:rsidRPr="00433CAE" w:rsidRDefault="00433CAE" w:rsidP="00433CAE">
      <w:pPr>
        <w:spacing w:line="240" w:lineRule="auto"/>
        <w:rPr>
          <w:rFonts w:eastAsia="Times New Roman" w:cs="Arial"/>
          <w:i/>
          <w:iCs/>
          <w:color w:val="000000"/>
          <w:szCs w:val="20"/>
          <w:lang w:eastAsia="bg-BG"/>
        </w:rPr>
      </w:pPr>
    </w:p>
    <w:p w14:paraId="68577C0C" w14:textId="3ABC2558"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Цитохром Р450 ензими</w:t>
      </w:r>
    </w:p>
    <w:p w14:paraId="7F3EC5D3"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Резултатите от проучванията </w:t>
      </w:r>
      <w:r w:rsidRPr="00433CAE">
        <w:rPr>
          <w:rFonts w:eastAsia="Times New Roman" w:cs="Arial"/>
          <w:i/>
          <w:iCs/>
          <w:color w:val="000000"/>
          <w:szCs w:val="20"/>
          <w:lang w:val="en-US"/>
        </w:rPr>
        <w:t>in vitro</w:t>
      </w:r>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и </w:t>
      </w:r>
      <w:r w:rsidRPr="00433CAE">
        <w:rPr>
          <w:rFonts w:eastAsia="Times New Roman" w:cs="Arial"/>
          <w:i/>
          <w:iCs/>
          <w:color w:val="000000"/>
          <w:szCs w:val="20"/>
          <w:lang w:val="en-US"/>
        </w:rPr>
        <w:t>in vivo</w:t>
      </w:r>
      <w:r w:rsidRPr="00433CAE">
        <w:rPr>
          <w:rFonts w:eastAsia="Times New Roman" w:cs="Arial"/>
          <w:color w:val="000000"/>
          <w:szCs w:val="20"/>
          <w:lang w:val="en-US"/>
        </w:rPr>
        <w:t xml:space="preserve"> </w:t>
      </w:r>
      <w:r w:rsidRPr="00433CAE">
        <w:rPr>
          <w:rFonts w:eastAsia="Times New Roman" w:cs="Arial"/>
          <w:color w:val="000000"/>
          <w:szCs w:val="20"/>
          <w:lang w:eastAsia="bg-BG"/>
        </w:rPr>
        <w:t xml:space="preserve">показват, че розувастатин не е нито инхибитор, нито индуктор на цитохром Р450 изоензими. Освен това, розувастатин е слаб субстрат за тези изоензими. Следователно лекарствени взаимодействия резултат от цитохром-Р450 медиирания метаболизъм не се очакват. Не са наблюдавани клинично значими взаимодействия между розувастатин и флуконазол (инхибитор на </w:t>
      </w:r>
      <w:r w:rsidRPr="00433CAE">
        <w:rPr>
          <w:rFonts w:eastAsia="Times New Roman" w:cs="Arial"/>
          <w:color w:val="000000"/>
          <w:szCs w:val="20"/>
          <w:lang w:val="en-US"/>
        </w:rPr>
        <w:t xml:space="preserve">CYP2C9 </w:t>
      </w:r>
      <w:r w:rsidRPr="00433CAE">
        <w:rPr>
          <w:rFonts w:eastAsia="Times New Roman" w:cs="Arial"/>
          <w:color w:val="000000"/>
          <w:szCs w:val="20"/>
          <w:lang w:eastAsia="bg-BG"/>
        </w:rPr>
        <w:t xml:space="preserve">и </w:t>
      </w:r>
      <w:r w:rsidRPr="00433CAE">
        <w:rPr>
          <w:rFonts w:eastAsia="Times New Roman" w:cs="Arial"/>
          <w:color w:val="000000"/>
          <w:szCs w:val="20"/>
          <w:lang w:val="en-US"/>
        </w:rPr>
        <w:t xml:space="preserve">CYP3A4) </w:t>
      </w:r>
      <w:r w:rsidRPr="00433CAE">
        <w:rPr>
          <w:rFonts w:eastAsia="Times New Roman" w:cs="Arial"/>
          <w:color w:val="000000"/>
          <w:szCs w:val="20"/>
          <w:lang w:eastAsia="bg-BG"/>
        </w:rPr>
        <w:t xml:space="preserve">или кетоконазол (инхибитор на </w:t>
      </w:r>
      <w:r w:rsidRPr="00433CAE">
        <w:rPr>
          <w:rFonts w:eastAsia="Times New Roman" w:cs="Arial"/>
          <w:color w:val="000000"/>
          <w:szCs w:val="20"/>
          <w:lang w:val="en-US"/>
        </w:rPr>
        <w:t xml:space="preserve">CYP2A6 </w:t>
      </w:r>
      <w:r w:rsidRPr="00433CAE">
        <w:rPr>
          <w:rFonts w:eastAsia="Times New Roman" w:cs="Arial"/>
          <w:color w:val="000000"/>
          <w:szCs w:val="20"/>
          <w:lang w:eastAsia="bg-BG"/>
        </w:rPr>
        <w:t xml:space="preserve">и </w:t>
      </w:r>
      <w:r w:rsidRPr="00433CAE">
        <w:rPr>
          <w:rFonts w:eastAsia="Times New Roman" w:cs="Arial"/>
          <w:color w:val="000000"/>
          <w:szCs w:val="20"/>
          <w:lang w:val="en-US"/>
        </w:rPr>
        <w:t>CYP3A4).</w:t>
      </w:r>
    </w:p>
    <w:p w14:paraId="6C8EBB81" w14:textId="77777777" w:rsidR="00433CAE" w:rsidRPr="00433CAE" w:rsidRDefault="00433CAE" w:rsidP="00433CAE">
      <w:pPr>
        <w:spacing w:line="240" w:lineRule="auto"/>
        <w:rPr>
          <w:rFonts w:eastAsia="Times New Roman" w:cs="Arial"/>
          <w:i/>
          <w:iCs/>
          <w:color w:val="000000"/>
          <w:szCs w:val="20"/>
          <w:lang w:eastAsia="bg-BG"/>
        </w:rPr>
      </w:pPr>
    </w:p>
    <w:p w14:paraId="26383E51" w14:textId="6DEE5DBB"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lastRenderedPageBreak/>
        <w:t>Тикагрелор</w:t>
      </w:r>
    </w:p>
    <w:p w14:paraId="56BB7D45"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Тикагрелор може да повлияе бъбречната екскреция на розувастатин, увеличавайки риска за натрупване на розувастатин. Въпреки че точният механизъм не е известен, в някои случаи едновременната употреба на тикагрелор и розувастатин води до намаляване на бъбречната функция, повишено ниво на креатинкиназа (СК)и рабдомиолиза.</w:t>
      </w:r>
    </w:p>
    <w:p w14:paraId="27E3EC56" w14:textId="77777777" w:rsidR="00433CAE" w:rsidRPr="00433CAE" w:rsidRDefault="00433CAE" w:rsidP="00433CAE">
      <w:pPr>
        <w:spacing w:line="240" w:lineRule="auto"/>
        <w:rPr>
          <w:rFonts w:eastAsia="Times New Roman" w:cs="Arial"/>
          <w:i/>
          <w:iCs/>
          <w:color w:val="000000"/>
          <w:szCs w:val="20"/>
          <w:lang w:eastAsia="bg-BG"/>
        </w:rPr>
      </w:pPr>
    </w:p>
    <w:p w14:paraId="50BA354E" w14:textId="77777777" w:rsidR="00433CAE" w:rsidRPr="00433CAE" w:rsidRDefault="00433CAE" w:rsidP="00433CAE">
      <w:pPr>
        <w:spacing w:line="240" w:lineRule="auto"/>
        <w:rPr>
          <w:rFonts w:eastAsia="Times New Roman" w:cs="Arial"/>
          <w:sz w:val="28"/>
          <w:szCs w:val="24"/>
          <w:lang w:eastAsia="bg-BG"/>
        </w:rPr>
      </w:pPr>
      <w:r w:rsidRPr="00433CAE">
        <w:rPr>
          <w:rFonts w:eastAsia="Times New Roman" w:cs="Arial"/>
          <w:i/>
          <w:iCs/>
          <w:color w:val="000000"/>
          <w:szCs w:val="20"/>
          <w:lang w:eastAsia="bg-BG"/>
        </w:rPr>
        <w:t xml:space="preserve">Взаимодействия, които изискват корекция на дозата на розувастатин (вж. също Таблица 1) </w:t>
      </w:r>
      <w:r w:rsidRPr="00433CAE">
        <w:rPr>
          <w:rFonts w:eastAsia="Times New Roman" w:cs="Arial"/>
          <w:color w:val="000000"/>
          <w:szCs w:val="20"/>
          <w:lang w:eastAsia="bg-BG"/>
        </w:rPr>
        <w:t xml:space="preserve">Когато е необходимо розувастатин да се прилага едновременно с други лекарствени продукти, за които е известно, че повишават експозицията на розувастатин , дозата на розувастатин трабва да се коригира. Започва се с доза розувастатин от 5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веднъж дневно, ако очакваното повишение на експозицията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е приблизително двукратно или по-голямо. Максималната дневна доза розувастатин трябва да бъде коригирана така, че да няма вероятност очакваната експозиция на розувастатин да надвиши тази на 40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дневна доза розувастатин приета без взаимодействащи лекарствени продукти, например доза 20 </w:t>
      </w:r>
      <w:r w:rsidRPr="00433CAE">
        <w:rPr>
          <w:rFonts w:eastAsia="Times New Roman" w:cs="Arial"/>
          <w:color w:val="000000"/>
          <w:szCs w:val="20"/>
          <w:lang w:val="en-US"/>
        </w:rPr>
        <w:t xml:space="preserve">mg </w:t>
      </w:r>
      <w:r w:rsidRPr="00433CAE">
        <w:rPr>
          <w:rFonts w:eastAsia="Times New Roman" w:cs="Arial"/>
          <w:color w:val="000000"/>
          <w:szCs w:val="20"/>
          <w:lang w:eastAsia="bg-BG"/>
        </w:rPr>
        <w:t xml:space="preserve">розувастатин с гемфиброзил (1,9 пъти повишение), и доза 10 </w:t>
      </w:r>
      <w:r w:rsidRPr="00433CAE">
        <w:rPr>
          <w:rFonts w:eastAsia="Times New Roman" w:cs="Arial"/>
          <w:color w:val="000000"/>
          <w:szCs w:val="20"/>
          <w:lang w:val="en-US"/>
        </w:rPr>
        <w:t xml:space="preserve">mg </w:t>
      </w:r>
      <w:r w:rsidRPr="00433CAE">
        <w:rPr>
          <w:rFonts w:eastAsia="Times New Roman" w:cs="Arial"/>
          <w:color w:val="000000"/>
          <w:szCs w:val="20"/>
          <w:lang w:eastAsia="bg-BG"/>
        </w:rPr>
        <w:t>розувастатин в комбинация с атазанавир/ритонавир (3,1 пъти повишение).</w:t>
      </w:r>
    </w:p>
    <w:p w14:paraId="7E94A618" w14:textId="77777777" w:rsidR="00433CAE" w:rsidRPr="00433CAE" w:rsidRDefault="00433CAE" w:rsidP="00433CAE">
      <w:pPr>
        <w:spacing w:line="240" w:lineRule="auto"/>
        <w:rPr>
          <w:rFonts w:eastAsia="Times New Roman" w:cs="Arial"/>
          <w:sz w:val="28"/>
          <w:szCs w:val="24"/>
          <w:lang w:eastAsia="bg-BG"/>
        </w:rPr>
      </w:pPr>
    </w:p>
    <w:p w14:paraId="2CB2BA03" w14:textId="129BD059" w:rsidR="00433CAE" w:rsidRPr="00433CAE" w:rsidRDefault="00433CAE" w:rsidP="00433CAE">
      <w:pPr>
        <w:spacing w:line="240" w:lineRule="auto"/>
        <w:rPr>
          <w:rFonts w:eastAsia="Times New Roman" w:cs="Arial"/>
          <w:sz w:val="28"/>
          <w:szCs w:val="24"/>
          <w:lang w:eastAsia="bg-BG"/>
        </w:rPr>
      </w:pPr>
      <w:r w:rsidRPr="00433CAE">
        <w:rPr>
          <w:rFonts w:eastAsia="Times New Roman" w:cs="Arial"/>
          <w:color w:val="000000"/>
          <w:szCs w:val="20"/>
          <w:lang w:eastAsia="bg-BG"/>
        </w:rPr>
        <w:t xml:space="preserve">Ако се наблюдава, че лекарствен продукт повишава </w:t>
      </w:r>
      <w:r w:rsidRPr="00433CAE">
        <w:rPr>
          <w:rFonts w:eastAsia="Times New Roman" w:cs="Arial"/>
          <w:color w:val="000000"/>
          <w:szCs w:val="20"/>
          <w:lang w:val="en-US"/>
        </w:rPr>
        <w:t xml:space="preserve">AUC </w:t>
      </w:r>
      <w:r w:rsidRPr="00433CAE">
        <w:rPr>
          <w:rFonts w:eastAsia="Times New Roman" w:cs="Arial"/>
          <w:color w:val="000000"/>
          <w:szCs w:val="20"/>
          <w:lang w:eastAsia="bg-BG"/>
        </w:rPr>
        <w:t xml:space="preserve">на розувастатин по-малко от 2 пъти, началната доза не трябва да се намалява, но трябва да се подхожда с внимание, ако дозата на розувастатин се повишава над 20 </w:t>
      </w:r>
      <w:r w:rsidRPr="00433CAE">
        <w:rPr>
          <w:rFonts w:eastAsia="Times New Roman" w:cs="Arial"/>
          <w:color w:val="000000"/>
          <w:szCs w:val="20"/>
          <w:lang w:val="en-US"/>
        </w:rPr>
        <w:t>mg.</w:t>
      </w:r>
    </w:p>
    <w:p w14:paraId="59AE56C3" w14:textId="77777777" w:rsidR="00433CAE" w:rsidRPr="00433CAE" w:rsidRDefault="00433CAE" w:rsidP="00433CAE">
      <w:pPr>
        <w:rPr>
          <w:rFonts w:eastAsia="Times New Roman" w:cs="Arial"/>
          <w:color w:val="000000"/>
          <w:szCs w:val="20"/>
          <w:lang w:eastAsia="bg-BG"/>
        </w:rPr>
      </w:pPr>
    </w:p>
    <w:p w14:paraId="1FEEF3BC" w14:textId="7DC415A2" w:rsidR="00433CAE" w:rsidRDefault="00433CAE" w:rsidP="00433CAE">
      <w:pPr>
        <w:rPr>
          <w:rFonts w:eastAsia="Times New Roman" w:cs="Arial"/>
          <w:color w:val="000000"/>
          <w:szCs w:val="20"/>
          <w:lang w:eastAsia="bg-BG"/>
        </w:rPr>
      </w:pPr>
      <w:r w:rsidRPr="00433CAE">
        <w:rPr>
          <w:rFonts w:eastAsia="Times New Roman" w:cs="Arial"/>
          <w:color w:val="000000"/>
          <w:szCs w:val="20"/>
          <w:lang w:eastAsia="bg-BG"/>
        </w:rPr>
        <w:t xml:space="preserve">Таблица 1, Ефект на едновременно прилаган лекарствен продукт върху експозицията на розувастатин </w:t>
      </w:r>
      <w:r w:rsidRPr="00433CAE">
        <w:rPr>
          <w:rFonts w:eastAsia="Times New Roman" w:cs="Arial"/>
          <w:color w:val="000000"/>
          <w:szCs w:val="20"/>
          <w:lang w:val="en-US"/>
        </w:rPr>
        <w:t xml:space="preserve">(AUC; </w:t>
      </w:r>
      <w:r w:rsidRPr="00433CAE">
        <w:rPr>
          <w:rFonts w:eastAsia="Times New Roman" w:cs="Arial"/>
          <w:color w:val="000000"/>
          <w:szCs w:val="20"/>
          <w:lang w:eastAsia="bg-BG"/>
        </w:rPr>
        <w:t>в низходящ ред) от пубпикувани клинични проучвания.</w:t>
      </w:r>
    </w:p>
    <w:tbl>
      <w:tblPr>
        <w:tblStyle w:val="TableGrid"/>
        <w:tblW w:w="0" w:type="auto"/>
        <w:tblLook w:val="04A0" w:firstRow="1" w:lastRow="0" w:firstColumn="1" w:lastColumn="0" w:noHBand="0" w:noVBand="1"/>
      </w:tblPr>
      <w:tblGrid>
        <w:gridCol w:w="4481"/>
        <w:gridCol w:w="2419"/>
        <w:gridCol w:w="2450"/>
      </w:tblGrid>
      <w:tr w:rsidR="00D8368B" w14:paraId="3C1C9A8B" w14:textId="77777777" w:rsidTr="00D8368B">
        <w:tc>
          <w:tcPr>
            <w:tcW w:w="9576" w:type="dxa"/>
            <w:gridSpan w:val="3"/>
          </w:tcPr>
          <w:p w14:paraId="5A4249F8" w14:textId="318F1223" w:rsidR="00D8368B" w:rsidRPr="00D8368B" w:rsidRDefault="00D8368B" w:rsidP="00D8368B">
            <w:pPr>
              <w:rPr>
                <w:rFonts w:cs="Arial"/>
              </w:rPr>
            </w:pPr>
            <w:r w:rsidRPr="00D8368B">
              <w:rPr>
                <w:rFonts w:cs="Arial"/>
                <w:bCs/>
              </w:rPr>
              <w:t xml:space="preserve">Повишаване на </w:t>
            </w:r>
            <w:r w:rsidRPr="00D8368B">
              <w:rPr>
                <w:rFonts w:cs="Arial"/>
                <w:bCs/>
                <w:iCs/>
                <w:lang w:val="en-US"/>
              </w:rPr>
              <w:t xml:space="preserve">AUC </w:t>
            </w:r>
            <w:r w:rsidRPr="00D8368B">
              <w:rPr>
                <w:rFonts w:cs="Arial"/>
                <w:bCs/>
                <w:iCs/>
              </w:rPr>
              <w:t>на</w:t>
            </w:r>
            <w:r w:rsidRPr="00D8368B">
              <w:rPr>
                <w:rFonts w:cs="Arial"/>
                <w:bCs/>
              </w:rPr>
              <w:t xml:space="preserve"> розувастатин 2 пъти </w:t>
            </w:r>
            <w:r w:rsidRPr="00D8368B">
              <w:rPr>
                <w:rFonts w:cs="Arial"/>
                <w:bCs/>
                <w:iCs/>
              </w:rPr>
              <w:t>или по</w:t>
            </w:r>
            <w:r w:rsidRPr="00D8368B">
              <w:rPr>
                <w:rFonts w:cs="Arial"/>
                <w:bCs/>
              </w:rPr>
              <w:t>вече от 2 пъти</w:t>
            </w:r>
          </w:p>
        </w:tc>
      </w:tr>
      <w:tr w:rsidR="00D8368B" w14:paraId="41BDF688" w14:textId="77777777" w:rsidTr="00D8368B">
        <w:tc>
          <w:tcPr>
            <w:tcW w:w="4094" w:type="dxa"/>
            <w:vAlign w:val="bottom"/>
          </w:tcPr>
          <w:p w14:paraId="30618C1B" w14:textId="782E14F0" w:rsidR="00D8368B" w:rsidRPr="00D8368B" w:rsidRDefault="00D8368B" w:rsidP="00D8368B">
            <w:pPr>
              <w:rPr>
                <w:rFonts w:cs="Arial"/>
              </w:rPr>
            </w:pPr>
            <w:r w:rsidRPr="00D8368B">
              <w:rPr>
                <w:rFonts w:cs="Arial"/>
                <w:b/>
                <w:bCs/>
              </w:rPr>
              <w:t>Дозов режим на взаимодействащото лекарство</w:t>
            </w:r>
          </w:p>
        </w:tc>
        <w:tc>
          <w:tcPr>
            <w:tcW w:w="2741" w:type="dxa"/>
            <w:vAlign w:val="bottom"/>
          </w:tcPr>
          <w:p w14:paraId="2948B7D5" w14:textId="1AE645E2" w:rsidR="00D8368B" w:rsidRPr="00D8368B" w:rsidRDefault="00D8368B" w:rsidP="00D8368B">
            <w:pPr>
              <w:rPr>
                <w:rFonts w:cs="Arial"/>
              </w:rPr>
            </w:pPr>
            <w:r w:rsidRPr="00D8368B">
              <w:rPr>
                <w:rFonts w:cs="Arial"/>
                <w:b/>
                <w:bCs/>
              </w:rPr>
              <w:t xml:space="preserve">Дозов режим на </w:t>
            </w:r>
          </w:p>
        </w:tc>
        <w:tc>
          <w:tcPr>
            <w:tcW w:w="2741" w:type="dxa"/>
            <w:vAlign w:val="bottom"/>
          </w:tcPr>
          <w:p w14:paraId="65C13FEB" w14:textId="0F13AAF9" w:rsidR="00D8368B" w:rsidRPr="00D8368B" w:rsidRDefault="00D8368B" w:rsidP="00D8368B">
            <w:pPr>
              <w:rPr>
                <w:rFonts w:cs="Arial"/>
              </w:rPr>
            </w:pPr>
            <w:r w:rsidRPr="00D8368B">
              <w:rPr>
                <w:rFonts w:cs="Arial"/>
                <w:b/>
                <w:bCs/>
              </w:rPr>
              <w:t>Промяна в</w:t>
            </w:r>
          </w:p>
        </w:tc>
      </w:tr>
      <w:tr w:rsidR="00D8368B" w14:paraId="38E47D39" w14:textId="77777777" w:rsidTr="00D8368B">
        <w:tc>
          <w:tcPr>
            <w:tcW w:w="4094" w:type="dxa"/>
          </w:tcPr>
          <w:p w14:paraId="2FA7A948" w14:textId="77777777" w:rsidR="00D8368B" w:rsidRPr="00D8368B" w:rsidRDefault="00D8368B" w:rsidP="00D8368B">
            <w:pPr>
              <w:rPr>
                <w:rFonts w:cs="Arial"/>
              </w:rPr>
            </w:pPr>
          </w:p>
        </w:tc>
        <w:tc>
          <w:tcPr>
            <w:tcW w:w="2741" w:type="dxa"/>
            <w:vAlign w:val="bottom"/>
          </w:tcPr>
          <w:p w14:paraId="4E15FBE2" w14:textId="0092CAF5" w:rsidR="00D8368B" w:rsidRPr="00D8368B" w:rsidRDefault="00D8368B" w:rsidP="00D8368B">
            <w:pPr>
              <w:rPr>
                <w:rFonts w:cs="Arial"/>
              </w:rPr>
            </w:pPr>
            <w:r w:rsidRPr="00D8368B">
              <w:rPr>
                <w:rFonts w:cs="Arial"/>
                <w:b/>
                <w:bCs/>
              </w:rPr>
              <w:t>розувастатин</w:t>
            </w:r>
          </w:p>
        </w:tc>
        <w:tc>
          <w:tcPr>
            <w:tcW w:w="2741" w:type="dxa"/>
          </w:tcPr>
          <w:p w14:paraId="1A80CAD5" w14:textId="77777777" w:rsidR="00D8368B" w:rsidRPr="00D8368B" w:rsidRDefault="00D8368B" w:rsidP="00D8368B">
            <w:pPr>
              <w:rPr>
                <w:rFonts w:cs="Arial"/>
              </w:rPr>
            </w:pPr>
            <w:r w:rsidRPr="00D8368B">
              <w:rPr>
                <w:rFonts w:cs="Arial"/>
                <w:b/>
                <w:bCs/>
                <w:lang w:val="en-US"/>
              </w:rPr>
              <w:t xml:space="preserve">AUC </w:t>
            </w:r>
            <w:r w:rsidRPr="00D8368B">
              <w:rPr>
                <w:rFonts w:cs="Arial"/>
                <w:b/>
                <w:bCs/>
              </w:rPr>
              <w:t xml:space="preserve">на </w:t>
            </w:r>
          </w:p>
          <w:p w14:paraId="3C6CE6F1" w14:textId="59F21F33" w:rsidR="00D8368B" w:rsidRPr="00D8368B" w:rsidRDefault="00D8368B" w:rsidP="00D8368B">
            <w:pPr>
              <w:rPr>
                <w:rFonts w:cs="Arial"/>
              </w:rPr>
            </w:pPr>
            <w:r w:rsidRPr="00D8368B">
              <w:rPr>
                <w:rFonts w:cs="Arial"/>
                <w:b/>
                <w:bCs/>
              </w:rPr>
              <w:t>розувастатин</w:t>
            </w:r>
          </w:p>
        </w:tc>
      </w:tr>
      <w:tr w:rsidR="00D8368B" w14:paraId="7094BE1E" w14:textId="77777777" w:rsidTr="00D8368B">
        <w:tc>
          <w:tcPr>
            <w:tcW w:w="4094" w:type="dxa"/>
            <w:vAlign w:val="bottom"/>
          </w:tcPr>
          <w:p w14:paraId="0FD43D19" w14:textId="77777777" w:rsidR="00D8368B" w:rsidRPr="00D8368B" w:rsidRDefault="00D8368B" w:rsidP="00D8368B">
            <w:pPr>
              <w:rPr>
                <w:rFonts w:cs="Arial"/>
              </w:rPr>
            </w:pPr>
          </w:p>
          <w:p w14:paraId="30A4CD19" w14:textId="5C389C9B" w:rsidR="00D8368B" w:rsidRPr="00D8368B" w:rsidRDefault="00D8368B" w:rsidP="00D8368B">
            <w:pPr>
              <w:rPr>
                <w:rFonts w:cs="Arial"/>
              </w:rPr>
            </w:pPr>
            <w:r w:rsidRPr="00D8368B">
              <w:rPr>
                <w:rFonts w:cs="Arial"/>
              </w:rPr>
              <w:t xml:space="preserve">Софосбувир/велпатасвир/воксилапревир (400 </w:t>
            </w:r>
            <w:r w:rsidRPr="00D8368B">
              <w:rPr>
                <w:rFonts w:cs="Arial"/>
                <w:lang w:val="en-US"/>
              </w:rPr>
              <w:t>mg-100 mg-</w:t>
            </w:r>
            <w:r w:rsidRPr="00D8368B">
              <w:rPr>
                <w:rFonts w:cs="Arial"/>
              </w:rPr>
              <w:t xml:space="preserve">100 </w:t>
            </w:r>
            <w:r w:rsidRPr="00D8368B">
              <w:rPr>
                <w:rFonts w:cs="Arial"/>
                <w:lang w:val="en-US"/>
              </w:rPr>
              <w:t xml:space="preserve">mg) + </w:t>
            </w:r>
            <w:r w:rsidRPr="00D8368B">
              <w:rPr>
                <w:rFonts w:cs="Arial"/>
              </w:rPr>
              <w:t xml:space="preserve">воксилапревир </w:t>
            </w:r>
            <w:r w:rsidRPr="00D8368B">
              <w:rPr>
                <w:rFonts w:cs="Arial"/>
                <w:lang w:val="en-US"/>
              </w:rPr>
              <w:t xml:space="preserve">(100 mg) </w:t>
            </w:r>
            <w:r w:rsidRPr="00D8368B">
              <w:rPr>
                <w:rFonts w:cs="Arial"/>
              </w:rPr>
              <w:t xml:space="preserve">веднъж дневно за </w:t>
            </w:r>
            <w:r w:rsidRPr="00D8368B">
              <w:rPr>
                <w:rFonts w:cs="Arial"/>
                <w:lang w:val="en-US"/>
              </w:rPr>
              <w:t xml:space="preserve">15 </w:t>
            </w:r>
            <w:r w:rsidRPr="00D8368B">
              <w:rPr>
                <w:rFonts w:cs="Arial"/>
              </w:rPr>
              <w:t>дни</w:t>
            </w:r>
          </w:p>
        </w:tc>
        <w:tc>
          <w:tcPr>
            <w:tcW w:w="2741" w:type="dxa"/>
            <w:vAlign w:val="center"/>
          </w:tcPr>
          <w:p w14:paraId="3D5D064F" w14:textId="02DCCCD1"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tcPr>
          <w:p w14:paraId="34C7D074" w14:textId="6BAA0D9E" w:rsidR="00D8368B" w:rsidRPr="00D8368B" w:rsidRDefault="00D8368B" w:rsidP="00D8368B">
            <w:pPr>
              <w:rPr>
                <w:rFonts w:cs="Arial"/>
              </w:rPr>
            </w:pPr>
            <w:r w:rsidRPr="00D8368B">
              <w:rPr>
                <w:rFonts w:cs="Arial"/>
              </w:rPr>
              <w:t>7,4 пъти ↑</w:t>
            </w:r>
          </w:p>
        </w:tc>
      </w:tr>
      <w:tr w:rsidR="00D8368B" w14:paraId="10CB9A3F" w14:textId="77777777" w:rsidTr="00D8368B">
        <w:tc>
          <w:tcPr>
            <w:tcW w:w="4094" w:type="dxa"/>
          </w:tcPr>
          <w:p w14:paraId="75D9603B" w14:textId="77777777" w:rsidR="00D8368B" w:rsidRPr="00D8368B" w:rsidRDefault="00D8368B" w:rsidP="00D8368B">
            <w:pPr>
              <w:rPr>
                <w:rFonts w:cs="Arial"/>
              </w:rPr>
            </w:pPr>
          </w:p>
          <w:p w14:paraId="2F4DB5B0" w14:textId="77777777" w:rsidR="00D8368B" w:rsidRPr="00D8368B" w:rsidRDefault="00D8368B" w:rsidP="00D8368B">
            <w:pPr>
              <w:rPr>
                <w:rFonts w:cs="Arial"/>
              </w:rPr>
            </w:pPr>
            <w:r w:rsidRPr="00D8368B">
              <w:rPr>
                <w:rFonts w:cs="Arial"/>
              </w:rPr>
              <w:t xml:space="preserve">Циклоспорин 75 </w:t>
            </w:r>
            <w:r w:rsidRPr="00D8368B">
              <w:rPr>
                <w:rFonts w:cs="Arial"/>
                <w:lang w:val="en-US"/>
              </w:rPr>
              <w:t xml:space="preserve">mg </w:t>
            </w:r>
            <w:r w:rsidRPr="00D8368B">
              <w:rPr>
                <w:rFonts w:cs="Arial"/>
              </w:rPr>
              <w:t xml:space="preserve">два пъти дневно до 200 </w:t>
            </w:r>
            <w:r w:rsidRPr="00D8368B">
              <w:rPr>
                <w:rFonts w:cs="Arial"/>
                <w:lang w:val="en-US"/>
              </w:rPr>
              <w:t xml:space="preserve">mg </w:t>
            </w:r>
            <w:r w:rsidRPr="00D8368B">
              <w:rPr>
                <w:rFonts w:cs="Arial"/>
              </w:rPr>
              <w:t>два</w:t>
            </w:r>
          </w:p>
          <w:p w14:paraId="154E65C9" w14:textId="533FFD53" w:rsidR="00D8368B" w:rsidRPr="00D8368B" w:rsidRDefault="00D8368B" w:rsidP="00D8368B">
            <w:pPr>
              <w:rPr>
                <w:rFonts w:cs="Arial"/>
              </w:rPr>
            </w:pPr>
            <w:r w:rsidRPr="00D8368B">
              <w:rPr>
                <w:rFonts w:cs="Arial"/>
              </w:rPr>
              <w:t>пъти на ден, 6 месеца</w:t>
            </w:r>
          </w:p>
        </w:tc>
        <w:tc>
          <w:tcPr>
            <w:tcW w:w="2741" w:type="dxa"/>
            <w:vAlign w:val="bottom"/>
          </w:tcPr>
          <w:p w14:paraId="7BA37E3F" w14:textId="58E63191"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веднъж дневно 10 дни</w:t>
            </w:r>
          </w:p>
        </w:tc>
        <w:tc>
          <w:tcPr>
            <w:tcW w:w="2741" w:type="dxa"/>
            <w:vAlign w:val="center"/>
          </w:tcPr>
          <w:p w14:paraId="4A2F39DC" w14:textId="12086E68" w:rsidR="00D8368B" w:rsidRPr="00D8368B" w:rsidRDefault="00D8368B" w:rsidP="00D8368B">
            <w:pPr>
              <w:rPr>
                <w:rFonts w:cs="Arial"/>
              </w:rPr>
            </w:pPr>
            <w:r w:rsidRPr="00D8368B">
              <w:rPr>
                <w:rFonts w:cs="Arial"/>
              </w:rPr>
              <w:t>7,1-пъти ↑</w:t>
            </w:r>
          </w:p>
        </w:tc>
      </w:tr>
      <w:tr w:rsidR="00D8368B" w14:paraId="76F364B4" w14:textId="77777777" w:rsidTr="00D8368B">
        <w:tc>
          <w:tcPr>
            <w:tcW w:w="4094" w:type="dxa"/>
            <w:vAlign w:val="center"/>
          </w:tcPr>
          <w:p w14:paraId="6DE916E2" w14:textId="68804061" w:rsidR="00D8368B" w:rsidRPr="00D8368B" w:rsidRDefault="00D8368B" w:rsidP="00D8368B">
            <w:pPr>
              <w:rPr>
                <w:rFonts w:cs="Arial"/>
              </w:rPr>
            </w:pPr>
            <w:r w:rsidRPr="00D8368B">
              <w:rPr>
                <w:rFonts w:cs="Arial"/>
              </w:rPr>
              <w:t xml:space="preserve">Даролутамид 600 </w:t>
            </w:r>
            <w:r w:rsidRPr="00D8368B">
              <w:rPr>
                <w:rFonts w:cs="Arial"/>
                <w:lang w:val="en-US"/>
              </w:rPr>
              <w:t xml:space="preserve">mg </w:t>
            </w:r>
            <w:r w:rsidRPr="00D8368B">
              <w:rPr>
                <w:rFonts w:cs="Arial"/>
              </w:rPr>
              <w:t>два пъти на ден, 5 дни</w:t>
            </w:r>
          </w:p>
        </w:tc>
        <w:tc>
          <w:tcPr>
            <w:tcW w:w="2741" w:type="dxa"/>
            <w:vAlign w:val="bottom"/>
          </w:tcPr>
          <w:p w14:paraId="221FDE8E" w14:textId="1B32B6B6"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еднократна доза</w:t>
            </w:r>
          </w:p>
        </w:tc>
        <w:tc>
          <w:tcPr>
            <w:tcW w:w="2741" w:type="dxa"/>
            <w:vAlign w:val="center"/>
          </w:tcPr>
          <w:p w14:paraId="3BA9AA34" w14:textId="0398260F" w:rsidR="00D8368B" w:rsidRPr="00D8368B" w:rsidRDefault="00D8368B" w:rsidP="00D8368B">
            <w:pPr>
              <w:rPr>
                <w:rFonts w:cs="Arial"/>
              </w:rPr>
            </w:pPr>
            <w:r w:rsidRPr="00D8368B">
              <w:rPr>
                <w:rFonts w:cs="Arial"/>
              </w:rPr>
              <w:t>5,2 пъти ↑</w:t>
            </w:r>
          </w:p>
        </w:tc>
      </w:tr>
      <w:tr w:rsidR="00D8368B" w14:paraId="2392FD2B" w14:textId="77777777" w:rsidTr="00D8368B">
        <w:tc>
          <w:tcPr>
            <w:tcW w:w="4094" w:type="dxa"/>
            <w:vAlign w:val="center"/>
          </w:tcPr>
          <w:p w14:paraId="726B4918" w14:textId="7EF8BAED" w:rsidR="00D8368B" w:rsidRPr="00D8368B" w:rsidRDefault="00D8368B" w:rsidP="00D8368B">
            <w:pPr>
              <w:rPr>
                <w:rFonts w:cs="Arial"/>
              </w:rPr>
            </w:pPr>
            <w:r w:rsidRPr="00D8368B">
              <w:rPr>
                <w:rFonts w:cs="Arial"/>
              </w:rPr>
              <w:t xml:space="preserve">Регорафениб 160 </w:t>
            </w:r>
            <w:r w:rsidRPr="00D8368B">
              <w:rPr>
                <w:rFonts w:cs="Arial"/>
                <w:lang w:val="en-US"/>
              </w:rPr>
              <w:t xml:space="preserve">mg, </w:t>
            </w:r>
            <w:r w:rsidRPr="00D8368B">
              <w:rPr>
                <w:rFonts w:cs="Arial"/>
              </w:rPr>
              <w:t>веднъж дневно, 14 дни</w:t>
            </w:r>
          </w:p>
        </w:tc>
        <w:tc>
          <w:tcPr>
            <w:tcW w:w="2741" w:type="dxa"/>
            <w:vAlign w:val="bottom"/>
          </w:tcPr>
          <w:p w14:paraId="18E019BA" w14:textId="2728201E"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еднократна доза</w:t>
            </w:r>
          </w:p>
        </w:tc>
        <w:tc>
          <w:tcPr>
            <w:tcW w:w="2741" w:type="dxa"/>
            <w:vAlign w:val="center"/>
          </w:tcPr>
          <w:p w14:paraId="6847BFB9" w14:textId="4964E8DA" w:rsidR="00D8368B" w:rsidRPr="00D8368B" w:rsidRDefault="00D8368B" w:rsidP="00D8368B">
            <w:pPr>
              <w:rPr>
                <w:rFonts w:cs="Arial"/>
              </w:rPr>
            </w:pPr>
            <w:r w:rsidRPr="00D8368B">
              <w:rPr>
                <w:rFonts w:cs="Arial"/>
              </w:rPr>
              <w:t>3,8 пъти ↑</w:t>
            </w:r>
          </w:p>
        </w:tc>
      </w:tr>
      <w:tr w:rsidR="00D8368B" w14:paraId="297DEEA0" w14:textId="77777777" w:rsidTr="00D8368B">
        <w:tc>
          <w:tcPr>
            <w:tcW w:w="4094" w:type="dxa"/>
            <w:vAlign w:val="center"/>
          </w:tcPr>
          <w:p w14:paraId="59070FBE" w14:textId="3F45D7C0" w:rsidR="00D8368B" w:rsidRPr="00D8368B" w:rsidRDefault="00D8368B" w:rsidP="00D8368B">
            <w:pPr>
              <w:rPr>
                <w:rFonts w:cs="Arial"/>
              </w:rPr>
            </w:pPr>
            <w:r w:rsidRPr="00D8368B">
              <w:rPr>
                <w:rFonts w:cs="Arial"/>
              </w:rPr>
              <w:t xml:space="preserve">Атазанавир 300 </w:t>
            </w:r>
            <w:r w:rsidRPr="00D8368B">
              <w:rPr>
                <w:rFonts w:cs="Arial"/>
                <w:lang w:val="en-US"/>
              </w:rPr>
              <w:t>mg</w:t>
            </w:r>
            <w:r w:rsidRPr="00D8368B">
              <w:rPr>
                <w:rFonts w:cs="Arial"/>
              </w:rPr>
              <w:t xml:space="preserve">/ритонавир 100 </w:t>
            </w:r>
            <w:r w:rsidRPr="00D8368B">
              <w:rPr>
                <w:rFonts w:cs="Arial"/>
                <w:lang w:val="en-US"/>
              </w:rPr>
              <w:t xml:space="preserve">mg </w:t>
            </w:r>
            <w:r w:rsidRPr="00D8368B">
              <w:rPr>
                <w:rFonts w:cs="Arial"/>
              </w:rPr>
              <w:t xml:space="preserve">веднъж дневно, </w:t>
            </w:r>
            <w:r w:rsidRPr="00D8368B">
              <w:rPr>
                <w:rFonts w:cs="Arial"/>
                <w:b/>
                <w:bCs/>
              </w:rPr>
              <w:t>8 дни</w:t>
            </w:r>
          </w:p>
        </w:tc>
        <w:tc>
          <w:tcPr>
            <w:tcW w:w="2741" w:type="dxa"/>
            <w:vAlign w:val="center"/>
          </w:tcPr>
          <w:p w14:paraId="7EF3E3E8" w14:textId="7572B172"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center"/>
          </w:tcPr>
          <w:p w14:paraId="6D7B2D18" w14:textId="4C0E544E" w:rsidR="00D8368B" w:rsidRPr="00D8368B" w:rsidRDefault="00D8368B" w:rsidP="00D8368B">
            <w:pPr>
              <w:rPr>
                <w:rFonts w:cs="Arial"/>
              </w:rPr>
            </w:pPr>
            <w:r w:rsidRPr="00D8368B">
              <w:rPr>
                <w:rFonts w:cs="Arial"/>
              </w:rPr>
              <w:t>3,1-пъти ↑</w:t>
            </w:r>
          </w:p>
        </w:tc>
      </w:tr>
      <w:tr w:rsidR="00D8368B" w14:paraId="5FA41056" w14:textId="77777777" w:rsidTr="00D8368B">
        <w:tc>
          <w:tcPr>
            <w:tcW w:w="4094" w:type="dxa"/>
          </w:tcPr>
          <w:p w14:paraId="5F38422B" w14:textId="5CC511C5" w:rsidR="00D8368B" w:rsidRPr="00D8368B" w:rsidRDefault="00D8368B" w:rsidP="00D8368B">
            <w:pPr>
              <w:rPr>
                <w:rFonts w:cs="Arial"/>
              </w:rPr>
            </w:pPr>
            <w:r w:rsidRPr="00D8368B">
              <w:rPr>
                <w:rFonts w:cs="Arial"/>
              </w:rPr>
              <w:t xml:space="preserve">Велпатасвир 100 </w:t>
            </w:r>
            <w:r w:rsidRPr="00D8368B">
              <w:rPr>
                <w:rFonts w:cs="Arial"/>
                <w:lang w:val="en-US"/>
              </w:rPr>
              <w:t xml:space="preserve">mg </w:t>
            </w:r>
            <w:r w:rsidRPr="00D8368B">
              <w:rPr>
                <w:rFonts w:cs="Arial"/>
              </w:rPr>
              <w:t>веднъж дневно</w:t>
            </w:r>
          </w:p>
        </w:tc>
        <w:tc>
          <w:tcPr>
            <w:tcW w:w="2741" w:type="dxa"/>
          </w:tcPr>
          <w:p w14:paraId="0C4F67DB" w14:textId="0F479FD1"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tcPr>
          <w:p w14:paraId="5D4FF62D" w14:textId="49CAC1F5" w:rsidR="00D8368B" w:rsidRPr="00D8368B" w:rsidRDefault="00D8368B" w:rsidP="00D8368B">
            <w:pPr>
              <w:rPr>
                <w:rFonts w:cs="Arial"/>
              </w:rPr>
            </w:pPr>
            <w:r w:rsidRPr="00D8368B">
              <w:rPr>
                <w:rFonts w:cs="Arial"/>
              </w:rPr>
              <w:t>2,7 пъти ↑</w:t>
            </w:r>
          </w:p>
        </w:tc>
      </w:tr>
      <w:tr w:rsidR="00D8368B" w14:paraId="148337BE" w14:textId="77777777" w:rsidTr="00D8368B">
        <w:tc>
          <w:tcPr>
            <w:tcW w:w="4094" w:type="dxa"/>
            <w:vAlign w:val="bottom"/>
          </w:tcPr>
          <w:p w14:paraId="341393FA" w14:textId="027FB437" w:rsidR="00D8368B" w:rsidRPr="00D8368B" w:rsidRDefault="00D8368B" w:rsidP="00D8368B">
            <w:pPr>
              <w:rPr>
                <w:rFonts w:cs="Arial"/>
              </w:rPr>
            </w:pPr>
            <w:r w:rsidRPr="00D8368B">
              <w:rPr>
                <w:rFonts w:cs="Arial"/>
              </w:rPr>
              <w:lastRenderedPageBreak/>
              <w:t xml:space="preserve">Омбитасвир 25 </w:t>
            </w:r>
            <w:r w:rsidRPr="00D8368B">
              <w:rPr>
                <w:rFonts w:cs="Arial"/>
                <w:lang w:val="en-US"/>
              </w:rPr>
              <w:t>mg</w:t>
            </w:r>
            <w:r w:rsidRPr="00D8368B">
              <w:rPr>
                <w:rFonts w:cs="Arial"/>
              </w:rPr>
              <w:t xml:space="preserve">/паритапревир 150 </w:t>
            </w:r>
            <w:r w:rsidRPr="00D8368B">
              <w:rPr>
                <w:rFonts w:cs="Arial"/>
                <w:lang w:val="en-US"/>
              </w:rPr>
              <w:t xml:space="preserve">mg/ </w:t>
            </w:r>
            <w:r w:rsidRPr="00D8368B">
              <w:rPr>
                <w:rFonts w:cs="Arial"/>
              </w:rPr>
              <w:t xml:space="preserve">ритонавир 100 </w:t>
            </w:r>
            <w:r w:rsidRPr="00D8368B">
              <w:rPr>
                <w:rFonts w:cs="Arial"/>
                <w:lang w:val="en-US"/>
              </w:rPr>
              <w:t xml:space="preserve">mg </w:t>
            </w:r>
            <w:r w:rsidRPr="00D8368B">
              <w:rPr>
                <w:rFonts w:cs="Arial"/>
              </w:rPr>
              <w:t xml:space="preserve">веднъж дневно / дазабувир 400 </w:t>
            </w:r>
            <w:r w:rsidRPr="00D8368B">
              <w:rPr>
                <w:rFonts w:cs="Arial"/>
                <w:lang w:val="en-US"/>
              </w:rPr>
              <w:t xml:space="preserve">mg </w:t>
            </w:r>
            <w:r w:rsidRPr="00D8368B">
              <w:rPr>
                <w:rFonts w:cs="Arial"/>
              </w:rPr>
              <w:t>2 пъти дневно, 14 дни</w:t>
            </w:r>
          </w:p>
        </w:tc>
        <w:tc>
          <w:tcPr>
            <w:tcW w:w="2741" w:type="dxa"/>
          </w:tcPr>
          <w:p w14:paraId="6E20A466" w14:textId="78315E25"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еднократна доза</w:t>
            </w:r>
          </w:p>
        </w:tc>
        <w:tc>
          <w:tcPr>
            <w:tcW w:w="2741" w:type="dxa"/>
          </w:tcPr>
          <w:p w14:paraId="754FE14D" w14:textId="18F5AC2E" w:rsidR="00D8368B" w:rsidRPr="00D8368B" w:rsidRDefault="00D8368B" w:rsidP="00D8368B">
            <w:pPr>
              <w:rPr>
                <w:rFonts w:cs="Arial"/>
              </w:rPr>
            </w:pPr>
            <w:r w:rsidRPr="00D8368B">
              <w:rPr>
                <w:rFonts w:cs="Arial"/>
              </w:rPr>
              <w:t>2,6 пъти ↑</w:t>
            </w:r>
          </w:p>
        </w:tc>
      </w:tr>
      <w:tr w:rsidR="00D8368B" w14:paraId="132387A1" w14:textId="77777777" w:rsidTr="00D8368B">
        <w:tc>
          <w:tcPr>
            <w:tcW w:w="4094" w:type="dxa"/>
            <w:vAlign w:val="bottom"/>
          </w:tcPr>
          <w:p w14:paraId="08FE35BD" w14:textId="0B6E151B" w:rsidR="00D8368B" w:rsidRPr="00D8368B" w:rsidRDefault="00D8368B" w:rsidP="00D8368B">
            <w:pPr>
              <w:rPr>
                <w:rFonts w:cs="Arial"/>
              </w:rPr>
            </w:pPr>
            <w:r w:rsidRPr="00D8368B">
              <w:rPr>
                <w:rFonts w:cs="Arial"/>
              </w:rPr>
              <w:t xml:space="preserve">Гразопревир 200 </w:t>
            </w:r>
            <w:r w:rsidRPr="00D8368B">
              <w:rPr>
                <w:rFonts w:cs="Arial"/>
                <w:lang w:val="en-US"/>
              </w:rPr>
              <w:t>mg</w:t>
            </w:r>
            <w:r w:rsidRPr="00D8368B">
              <w:rPr>
                <w:rFonts w:cs="Arial"/>
              </w:rPr>
              <w:t xml:space="preserve">/елбасвир 50 </w:t>
            </w:r>
            <w:r w:rsidRPr="00D8368B">
              <w:rPr>
                <w:rFonts w:cs="Arial"/>
                <w:lang w:val="en-US"/>
              </w:rPr>
              <w:t xml:space="preserve">mg </w:t>
            </w:r>
            <w:r w:rsidRPr="00D8368B">
              <w:rPr>
                <w:rFonts w:cs="Arial"/>
              </w:rPr>
              <w:t>веднъж дневно, 11 дни</w:t>
            </w:r>
          </w:p>
        </w:tc>
        <w:tc>
          <w:tcPr>
            <w:tcW w:w="2741" w:type="dxa"/>
            <w:vAlign w:val="bottom"/>
          </w:tcPr>
          <w:p w14:paraId="1B60529A" w14:textId="192C76EA"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bottom"/>
          </w:tcPr>
          <w:p w14:paraId="594DA799" w14:textId="59DABB22" w:rsidR="00D8368B" w:rsidRPr="00D8368B" w:rsidRDefault="00D8368B" w:rsidP="00D8368B">
            <w:pPr>
              <w:rPr>
                <w:rFonts w:cs="Arial"/>
              </w:rPr>
            </w:pPr>
            <w:r w:rsidRPr="00D8368B">
              <w:rPr>
                <w:rFonts w:cs="Arial"/>
              </w:rPr>
              <w:t>2,3 пъти ↑</w:t>
            </w:r>
          </w:p>
        </w:tc>
      </w:tr>
      <w:tr w:rsidR="00D8368B" w14:paraId="7A9C424B" w14:textId="77777777" w:rsidTr="00D8368B">
        <w:tc>
          <w:tcPr>
            <w:tcW w:w="4094" w:type="dxa"/>
            <w:vAlign w:val="bottom"/>
          </w:tcPr>
          <w:p w14:paraId="5516E64E" w14:textId="3749F62C" w:rsidR="00D8368B" w:rsidRPr="00D8368B" w:rsidRDefault="00D8368B" w:rsidP="00D8368B">
            <w:pPr>
              <w:rPr>
                <w:rFonts w:cs="Arial"/>
              </w:rPr>
            </w:pPr>
            <w:r w:rsidRPr="00D8368B">
              <w:rPr>
                <w:rFonts w:cs="Arial"/>
              </w:rPr>
              <w:t xml:space="preserve">Глекапревир 400 </w:t>
            </w:r>
            <w:r w:rsidRPr="00D8368B">
              <w:rPr>
                <w:rFonts w:cs="Arial"/>
                <w:lang w:val="en-US"/>
              </w:rPr>
              <w:t>mg</w:t>
            </w:r>
            <w:r w:rsidRPr="00D8368B">
              <w:rPr>
                <w:rFonts w:cs="Arial"/>
              </w:rPr>
              <w:t xml:space="preserve">/пибрентасвир 120 </w:t>
            </w:r>
            <w:r w:rsidRPr="00D8368B">
              <w:rPr>
                <w:rFonts w:cs="Arial"/>
                <w:lang w:val="en-US"/>
              </w:rPr>
              <w:t xml:space="preserve">mg </w:t>
            </w:r>
            <w:r w:rsidRPr="00D8368B">
              <w:rPr>
                <w:rFonts w:cs="Arial"/>
              </w:rPr>
              <w:t>веднъж дневно, 7 дни</w:t>
            </w:r>
          </w:p>
        </w:tc>
        <w:tc>
          <w:tcPr>
            <w:tcW w:w="2741" w:type="dxa"/>
            <w:vAlign w:val="bottom"/>
          </w:tcPr>
          <w:p w14:paraId="6A8E2EBA" w14:textId="2B75C243" w:rsidR="00D8368B" w:rsidRPr="00D8368B" w:rsidRDefault="00D8368B" w:rsidP="00D8368B">
            <w:pPr>
              <w:rPr>
                <w:rFonts w:cs="Arial"/>
              </w:rPr>
            </w:pPr>
            <w:r w:rsidRPr="00D8368B">
              <w:rPr>
                <w:rFonts w:cs="Arial"/>
              </w:rPr>
              <w:t xml:space="preserve">5 </w:t>
            </w:r>
            <w:r w:rsidRPr="00D8368B">
              <w:rPr>
                <w:rFonts w:cs="Arial"/>
                <w:lang w:val="en-US"/>
              </w:rPr>
              <w:t xml:space="preserve">mg </w:t>
            </w:r>
            <w:r w:rsidRPr="00D8368B">
              <w:rPr>
                <w:rFonts w:cs="Arial"/>
              </w:rPr>
              <w:t>веднъж дневно, 7 дни</w:t>
            </w:r>
          </w:p>
        </w:tc>
        <w:tc>
          <w:tcPr>
            <w:tcW w:w="2741" w:type="dxa"/>
            <w:vAlign w:val="bottom"/>
          </w:tcPr>
          <w:p w14:paraId="6BA38117" w14:textId="5FAA5ABB" w:rsidR="00D8368B" w:rsidRPr="00D8368B" w:rsidRDefault="00D8368B" w:rsidP="00D8368B">
            <w:pPr>
              <w:rPr>
                <w:rFonts w:cs="Arial"/>
              </w:rPr>
            </w:pPr>
            <w:r w:rsidRPr="00D8368B">
              <w:rPr>
                <w:rFonts w:cs="Arial"/>
              </w:rPr>
              <w:t>2,2 пъти ↑</w:t>
            </w:r>
          </w:p>
        </w:tc>
      </w:tr>
      <w:tr w:rsidR="00D8368B" w14:paraId="1EFDED6E" w14:textId="77777777" w:rsidTr="00D8368B">
        <w:tc>
          <w:tcPr>
            <w:tcW w:w="4094" w:type="dxa"/>
            <w:vAlign w:val="bottom"/>
          </w:tcPr>
          <w:p w14:paraId="57A829A9" w14:textId="2567A255" w:rsidR="00D8368B" w:rsidRPr="00D8368B" w:rsidRDefault="00D8368B" w:rsidP="00D8368B">
            <w:pPr>
              <w:rPr>
                <w:rFonts w:cs="Arial"/>
              </w:rPr>
            </w:pPr>
            <w:r w:rsidRPr="00D8368B">
              <w:rPr>
                <w:rFonts w:cs="Arial"/>
              </w:rPr>
              <w:t xml:space="preserve">Лопинавир 400 </w:t>
            </w:r>
            <w:r w:rsidRPr="00D8368B">
              <w:rPr>
                <w:rFonts w:cs="Arial"/>
                <w:lang w:val="en-US"/>
              </w:rPr>
              <w:t>mg</w:t>
            </w:r>
            <w:r w:rsidRPr="00D8368B">
              <w:rPr>
                <w:rFonts w:cs="Arial"/>
              </w:rPr>
              <w:t xml:space="preserve">/ритонавир 100 </w:t>
            </w:r>
            <w:r w:rsidRPr="00D8368B">
              <w:rPr>
                <w:rFonts w:cs="Arial"/>
                <w:lang w:val="en-US"/>
              </w:rPr>
              <w:t xml:space="preserve">mg </w:t>
            </w:r>
            <w:r w:rsidRPr="00D8368B">
              <w:rPr>
                <w:rFonts w:cs="Arial"/>
              </w:rPr>
              <w:t>два пъти на ден, 17 дни</w:t>
            </w:r>
          </w:p>
        </w:tc>
        <w:tc>
          <w:tcPr>
            <w:tcW w:w="2741" w:type="dxa"/>
            <w:vAlign w:val="bottom"/>
          </w:tcPr>
          <w:p w14:paraId="69532051" w14:textId="13CB6E06" w:rsidR="00D8368B" w:rsidRPr="00D8368B" w:rsidRDefault="00D8368B" w:rsidP="00D8368B">
            <w:pPr>
              <w:rPr>
                <w:rFonts w:cs="Arial"/>
              </w:rPr>
            </w:pPr>
            <w:r w:rsidRPr="00D8368B">
              <w:rPr>
                <w:rFonts w:cs="Arial"/>
              </w:rPr>
              <w:t xml:space="preserve">20 </w:t>
            </w:r>
            <w:r w:rsidRPr="00D8368B">
              <w:rPr>
                <w:rFonts w:cs="Arial"/>
                <w:i/>
                <w:iCs/>
                <w:lang w:val="en-US"/>
              </w:rPr>
              <w:t xml:space="preserve">mg </w:t>
            </w:r>
            <w:r w:rsidRPr="00D8368B">
              <w:rPr>
                <w:rFonts w:cs="Arial"/>
                <w:i/>
                <w:iCs/>
              </w:rPr>
              <w:t xml:space="preserve">веднъж </w:t>
            </w:r>
            <w:r w:rsidRPr="00D8368B">
              <w:rPr>
                <w:rFonts w:cs="Arial"/>
              </w:rPr>
              <w:t>дневно, 7 дни</w:t>
            </w:r>
          </w:p>
        </w:tc>
        <w:tc>
          <w:tcPr>
            <w:tcW w:w="2741" w:type="dxa"/>
            <w:vAlign w:val="bottom"/>
          </w:tcPr>
          <w:p w14:paraId="350BC128" w14:textId="7E48992B" w:rsidR="00D8368B" w:rsidRPr="00D8368B" w:rsidRDefault="00D8368B" w:rsidP="00D8368B">
            <w:pPr>
              <w:rPr>
                <w:rFonts w:cs="Arial"/>
              </w:rPr>
            </w:pPr>
            <w:r w:rsidRPr="00D8368B">
              <w:rPr>
                <w:rFonts w:cs="Arial"/>
              </w:rPr>
              <w:t>2,1-пъти ↑</w:t>
            </w:r>
          </w:p>
        </w:tc>
      </w:tr>
      <w:tr w:rsidR="00D8368B" w14:paraId="2029AD4C" w14:textId="77777777" w:rsidTr="00D8368B">
        <w:tc>
          <w:tcPr>
            <w:tcW w:w="4094" w:type="dxa"/>
            <w:vAlign w:val="bottom"/>
          </w:tcPr>
          <w:p w14:paraId="0E8A5CE5" w14:textId="42290147" w:rsidR="00D8368B" w:rsidRPr="00D8368B" w:rsidRDefault="00D8368B" w:rsidP="00D8368B">
            <w:pPr>
              <w:rPr>
                <w:rFonts w:cs="Arial"/>
              </w:rPr>
            </w:pPr>
            <w:r w:rsidRPr="00D8368B">
              <w:rPr>
                <w:rFonts w:cs="Arial"/>
              </w:rPr>
              <w:t xml:space="preserve">Клопидогрел 300 </w:t>
            </w:r>
            <w:r w:rsidRPr="00D8368B">
              <w:rPr>
                <w:rFonts w:cs="Arial"/>
                <w:lang w:val="en-US"/>
              </w:rPr>
              <w:t xml:space="preserve">mg </w:t>
            </w:r>
            <w:r w:rsidRPr="00D8368B">
              <w:rPr>
                <w:rFonts w:cs="Arial"/>
              </w:rPr>
              <w:t xml:space="preserve">натоварваща доза, последвана от 75 </w:t>
            </w:r>
            <w:r w:rsidRPr="00D8368B">
              <w:rPr>
                <w:rFonts w:cs="Arial"/>
                <w:lang w:val="en-US"/>
              </w:rPr>
              <w:t xml:space="preserve">mg </w:t>
            </w:r>
            <w:r w:rsidRPr="00D8368B">
              <w:rPr>
                <w:rFonts w:cs="Arial"/>
              </w:rPr>
              <w:t>на 24 часа</w:t>
            </w:r>
          </w:p>
        </w:tc>
        <w:tc>
          <w:tcPr>
            <w:tcW w:w="2741" w:type="dxa"/>
            <w:vAlign w:val="bottom"/>
          </w:tcPr>
          <w:p w14:paraId="6D1A7F0D" w14:textId="3A22E7F8" w:rsidR="00D8368B" w:rsidRPr="00D8368B" w:rsidRDefault="00D8368B" w:rsidP="00D8368B">
            <w:pPr>
              <w:rPr>
                <w:rFonts w:cs="Arial"/>
              </w:rPr>
            </w:pPr>
            <w:r w:rsidRPr="00D8368B">
              <w:rPr>
                <w:rFonts w:cs="Arial"/>
              </w:rPr>
              <w:t xml:space="preserve">20 </w:t>
            </w:r>
            <w:r w:rsidRPr="00D8368B">
              <w:rPr>
                <w:rFonts w:cs="Arial"/>
                <w:lang w:val="en-US"/>
              </w:rPr>
              <w:t xml:space="preserve">mg, </w:t>
            </w:r>
            <w:r w:rsidRPr="00D8368B">
              <w:rPr>
                <w:rFonts w:cs="Arial"/>
              </w:rPr>
              <w:t>еднократна доза</w:t>
            </w:r>
          </w:p>
        </w:tc>
        <w:tc>
          <w:tcPr>
            <w:tcW w:w="2741" w:type="dxa"/>
            <w:vAlign w:val="bottom"/>
          </w:tcPr>
          <w:p w14:paraId="2C8908F7" w14:textId="6829F380" w:rsidR="00D8368B" w:rsidRPr="00D8368B" w:rsidRDefault="00D8368B" w:rsidP="00D8368B">
            <w:pPr>
              <w:rPr>
                <w:rFonts w:cs="Arial"/>
              </w:rPr>
            </w:pPr>
            <w:r w:rsidRPr="00D8368B">
              <w:rPr>
                <w:rFonts w:cs="Arial"/>
              </w:rPr>
              <w:t xml:space="preserve">2,0 пъти ↑ </w:t>
            </w:r>
          </w:p>
        </w:tc>
      </w:tr>
      <w:tr w:rsidR="00D8368B" w14:paraId="789EA535" w14:textId="77777777" w:rsidTr="00D8368B">
        <w:tc>
          <w:tcPr>
            <w:tcW w:w="4094" w:type="dxa"/>
            <w:vAlign w:val="center"/>
          </w:tcPr>
          <w:p w14:paraId="79E9ED9C" w14:textId="2C6F709C" w:rsidR="00D8368B" w:rsidRPr="00D8368B" w:rsidRDefault="00D8368B" w:rsidP="00D8368B">
            <w:pPr>
              <w:rPr>
                <w:rFonts w:cs="Arial"/>
              </w:rPr>
            </w:pPr>
            <w:r w:rsidRPr="00D8368B">
              <w:rPr>
                <w:rFonts w:cs="Arial"/>
              </w:rPr>
              <w:t xml:space="preserve">Гемфиброзил 600 </w:t>
            </w:r>
            <w:r w:rsidRPr="00D8368B">
              <w:rPr>
                <w:rFonts w:cs="Arial"/>
                <w:lang w:val="en-US"/>
              </w:rPr>
              <w:t xml:space="preserve">mg </w:t>
            </w:r>
            <w:r w:rsidRPr="00D8368B">
              <w:rPr>
                <w:rFonts w:cs="Arial"/>
              </w:rPr>
              <w:t>два пъти на ден, 7 дни</w:t>
            </w:r>
          </w:p>
        </w:tc>
        <w:tc>
          <w:tcPr>
            <w:tcW w:w="2741" w:type="dxa"/>
            <w:vAlign w:val="center"/>
          </w:tcPr>
          <w:p w14:paraId="1E4D71EF" w14:textId="4A3FD4DB" w:rsidR="00D8368B" w:rsidRPr="00D8368B" w:rsidRDefault="00D8368B" w:rsidP="00D8368B">
            <w:pPr>
              <w:rPr>
                <w:rFonts w:cs="Arial"/>
              </w:rPr>
            </w:pPr>
            <w:r w:rsidRPr="00D8368B">
              <w:rPr>
                <w:rFonts w:cs="Arial"/>
              </w:rPr>
              <w:t xml:space="preserve">80 </w:t>
            </w:r>
            <w:r w:rsidRPr="00D8368B">
              <w:rPr>
                <w:rFonts w:cs="Arial"/>
                <w:lang w:val="en-US"/>
              </w:rPr>
              <w:t xml:space="preserve">mg, </w:t>
            </w:r>
            <w:r w:rsidRPr="00D8368B">
              <w:rPr>
                <w:rFonts w:cs="Arial"/>
              </w:rPr>
              <w:t>еднократна доза</w:t>
            </w:r>
          </w:p>
        </w:tc>
        <w:tc>
          <w:tcPr>
            <w:tcW w:w="2741" w:type="dxa"/>
            <w:vAlign w:val="center"/>
          </w:tcPr>
          <w:p w14:paraId="1C18A5D5" w14:textId="0DD5BAA4" w:rsidR="00D8368B" w:rsidRPr="00D8368B" w:rsidRDefault="00D8368B" w:rsidP="00D8368B">
            <w:pPr>
              <w:rPr>
                <w:rFonts w:cs="Arial"/>
              </w:rPr>
            </w:pPr>
            <w:r w:rsidRPr="00D8368B">
              <w:rPr>
                <w:rFonts w:cs="Arial"/>
              </w:rPr>
              <w:t>1,9-пъти ↑</w:t>
            </w:r>
          </w:p>
        </w:tc>
      </w:tr>
      <w:tr w:rsidR="00D8368B" w14:paraId="25E1EB7E" w14:textId="77777777" w:rsidTr="00D8368B">
        <w:tc>
          <w:tcPr>
            <w:tcW w:w="9576" w:type="dxa"/>
            <w:gridSpan w:val="3"/>
          </w:tcPr>
          <w:p w14:paraId="13224C9D" w14:textId="25E389B2" w:rsidR="00D8368B" w:rsidRPr="00D8368B" w:rsidRDefault="00D8368B" w:rsidP="00433CAE">
            <w:pPr>
              <w:rPr>
                <w:rFonts w:cs="Arial"/>
              </w:rPr>
            </w:pPr>
            <w:r w:rsidRPr="00D8368B">
              <w:rPr>
                <w:rFonts w:cs="Arial"/>
                <w:b/>
                <w:bCs/>
              </w:rPr>
              <w:t xml:space="preserve">Повишаване на </w:t>
            </w:r>
            <w:r w:rsidRPr="00D8368B">
              <w:rPr>
                <w:rFonts w:cs="Arial"/>
                <w:b/>
                <w:bCs/>
                <w:lang w:val="en-US"/>
              </w:rPr>
              <w:t xml:space="preserve">AUC </w:t>
            </w:r>
            <w:r w:rsidRPr="00D8368B">
              <w:rPr>
                <w:rFonts w:cs="Arial"/>
                <w:b/>
                <w:bCs/>
              </w:rPr>
              <w:t>на розувастатин по-малко от 2 пъти</w:t>
            </w:r>
          </w:p>
        </w:tc>
      </w:tr>
      <w:tr w:rsidR="00D8368B" w14:paraId="04CEB3F8" w14:textId="77777777" w:rsidTr="00D8368B">
        <w:tc>
          <w:tcPr>
            <w:tcW w:w="4094" w:type="dxa"/>
          </w:tcPr>
          <w:p w14:paraId="67140D0C" w14:textId="7DA08D1A" w:rsidR="00D8368B" w:rsidRPr="00D8368B" w:rsidRDefault="00D8368B" w:rsidP="00D8368B">
            <w:pPr>
              <w:rPr>
                <w:rFonts w:cs="Arial"/>
              </w:rPr>
            </w:pPr>
            <w:r w:rsidRPr="00D8368B">
              <w:rPr>
                <w:rFonts w:cs="Arial"/>
                <w:b/>
                <w:bCs/>
              </w:rPr>
              <w:t>Дозов режим на взаимодействащото лекарство</w:t>
            </w:r>
          </w:p>
        </w:tc>
        <w:tc>
          <w:tcPr>
            <w:tcW w:w="2741" w:type="dxa"/>
          </w:tcPr>
          <w:p w14:paraId="0745821E" w14:textId="13521369" w:rsidR="00D8368B" w:rsidRPr="00D8368B" w:rsidRDefault="00D8368B" w:rsidP="00D8368B">
            <w:pPr>
              <w:rPr>
                <w:rFonts w:cs="Arial"/>
              </w:rPr>
            </w:pPr>
            <w:r w:rsidRPr="00D8368B">
              <w:rPr>
                <w:rFonts w:cs="Arial"/>
                <w:b/>
                <w:bCs/>
              </w:rPr>
              <w:t>Дозов режим на розувастатин</w:t>
            </w:r>
          </w:p>
        </w:tc>
        <w:tc>
          <w:tcPr>
            <w:tcW w:w="2741" w:type="dxa"/>
            <w:vAlign w:val="bottom"/>
          </w:tcPr>
          <w:p w14:paraId="4EBF6B73" w14:textId="77777777" w:rsidR="00D8368B" w:rsidRPr="00D8368B" w:rsidRDefault="00D8368B" w:rsidP="00D8368B">
            <w:pPr>
              <w:rPr>
                <w:rFonts w:cs="Arial"/>
              </w:rPr>
            </w:pPr>
            <w:r w:rsidRPr="00D8368B">
              <w:rPr>
                <w:rFonts w:cs="Arial"/>
              </w:rPr>
              <w:tab/>
            </w:r>
          </w:p>
          <w:p w14:paraId="109D7CF0" w14:textId="2089FF7C" w:rsidR="00D8368B" w:rsidRPr="00D8368B" w:rsidRDefault="00D8368B" w:rsidP="00D8368B">
            <w:pPr>
              <w:rPr>
                <w:rFonts w:cs="Arial"/>
              </w:rPr>
            </w:pPr>
            <w:r w:rsidRPr="00D8368B">
              <w:rPr>
                <w:rFonts w:cs="Arial"/>
                <w:lang w:val="en-US"/>
              </w:rPr>
              <w:t xml:space="preserve"> </w:t>
            </w:r>
            <w:r w:rsidRPr="00D8368B">
              <w:rPr>
                <w:rFonts w:cs="Arial"/>
                <w:b/>
                <w:bCs/>
              </w:rPr>
              <w:t xml:space="preserve">Промяна в </w:t>
            </w:r>
            <w:r w:rsidRPr="00D8368B">
              <w:rPr>
                <w:rFonts w:cs="Arial"/>
                <w:b/>
                <w:bCs/>
                <w:lang w:val="en-US"/>
              </w:rPr>
              <w:t xml:space="preserve">AUC </w:t>
            </w:r>
            <w:r w:rsidRPr="00D8368B">
              <w:rPr>
                <w:rFonts w:cs="Arial"/>
                <w:b/>
                <w:bCs/>
              </w:rPr>
              <w:t>на розувастатин*</w:t>
            </w:r>
          </w:p>
        </w:tc>
      </w:tr>
      <w:tr w:rsidR="00D8368B" w14:paraId="64378C33" w14:textId="77777777" w:rsidTr="00D8368B">
        <w:tc>
          <w:tcPr>
            <w:tcW w:w="4094" w:type="dxa"/>
          </w:tcPr>
          <w:p w14:paraId="08DAEE17" w14:textId="691AF051" w:rsidR="00D8368B" w:rsidRPr="00D8368B" w:rsidRDefault="00D8368B" w:rsidP="00D8368B">
            <w:pPr>
              <w:rPr>
                <w:rFonts w:cs="Arial"/>
              </w:rPr>
            </w:pPr>
            <w:r w:rsidRPr="00D8368B">
              <w:rPr>
                <w:rFonts w:cs="Arial"/>
              </w:rPr>
              <w:t xml:space="preserve">Елтромбопак 75 </w:t>
            </w:r>
            <w:r w:rsidRPr="00D8368B">
              <w:rPr>
                <w:rFonts w:cs="Arial"/>
                <w:lang w:val="en-US"/>
              </w:rPr>
              <w:t xml:space="preserve">mg </w:t>
            </w:r>
            <w:r w:rsidRPr="00D8368B">
              <w:rPr>
                <w:rFonts w:cs="Arial"/>
              </w:rPr>
              <w:t>веднъж дневно, 5 дни</w:t>
            </w:r>
          </w:p>
        </w:tc>
        <w:tc>
          <w:tcPr>
            <w:tcW w:w="2741" w:type="dxa"/>
            <w:vAlign w:val="bottom"/>
          </w:tcPr>
          <w:p w14:paraId="51EC9649" w14:textId="49823D13"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tcPr>
          <w:p w14:paraId="246DE017" w14:textId="77777777" w:rsidR="00D8368B" w:rsidRPr="00D8368B" w:rsidRDefault="00D8368B" w:rsidP="00D8368B">
            <w:pPr>
              <w:rPr>
                <w:rFonts w:cs="Arial"/>
              </w:rPr>
            </w:pPr>
            <w:r w:rsidRPr="00D8368B">
              <w:rPr>
                <w:rFonts w:cs="Arial"/>
              </w:rPr>
              <w:t>1,6-пъти ↑</w:t>
            </w:r>
          </w:p>
          <w:p w14:paraId="7C4E559E" w14:textId="77777777" w:rsidR="00D8368B" w:rsidRPr="00D8368B" w:rsidRDefault="00D8368B" w:rsidP="00D8368B">
            <w:pPr>
              <w:rPr>
                <w:rFonts w:cs="Arial"/>
              </w:rPr>
            </w:pPr>
          </w:p>
        </w:tc>
      </w:tr>
      <w:tr w:rsidR="00D8368B" w14:paraId="0B8114D3" w14:textId="77777777" w:rsidTr="00D8368B">
        <w:tc>
          <w:tcPr>
            <w:tcW w:w="4094" w:type="dxa"/>
            <w:vAlign w:val="bottom"/>
          </w:tcPr>
          <w:p w14:paraId="420A7FD5" w14:textId="263A9232" w:rsidR="00D8368B" w:rsidRPr="00D8368B" w:rsidRDefault="00D8368B" w:rsidP="00D8368B">
            <w:pPr>
              <w:rPr>
                <w:rFonts w:cs="Arial"/>
              </w:rPr>
            </w:pPr>
            <w:r w:rsidRPr="00D8368B">
              <w:rPr>
                <w:rFonts w:cs="Arial"/>
              </w:rPr>
              <w:t xml:space="preserve">Дарунавир 600 </w:t>
            </w:r>
            <w:r w:rsidRPr="00D8368B">
              <w:rPr>
                <w:rFonts w:cs="Arial"/>
                <w:lang w:val="en-US"/>
              </w:rPr>
              <w:t>mg</w:t>
            </w:r>
            <w:r w:rsidRPr="00D8368B">
              <w:rPr>
                <w:rFonts w:cs="Arial"/>
              </w:rPr>
              <w:t xml:space="preserve">/ритонавир 100 </w:t>
            </w:r>
            <w:r w:rsidRPr="00D8368B">
              <w:rPr>
                <w:rFonts w:cs="Arial"/>
                <w:lang w:val="en-US"/>
              </w:rPr>
              <w:t xml:space="preserve">mg </w:t>
            </w:r>
            <w:r w:rsidRPr="00D8368B">
              <w:rPr>
                <w:rFonts w:cs="Arial"/>
              </w:rPr>
              <w:t>два пъти на ден, 7 дни</w:t>
            </w:r>
          </w:p>
        </w:tc>
        <w:tc>
          <w:tcPr>
            <w:tcW w:w="2741" w:type="dxa"/>
            <w:vAlign w:val="bottom"/>
          </w:tcPr>
          <w:p w14:paraId="27D6D929" w14:textId="300758B7"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веднъж дневно, 7 дни</w:t>
            </w:r>
          </w:p>
        </w:tc>
        <w:tc>
          <w:tcPr>
            <w:tcW w:w="2741" w:type="dxa"/>
            <w:vAlign w:val="center"/>
          </w:tcPr>
          <w:p w14:paraId="7855B802" w14:textId="24E32213" w:rsidR="00D8368B" w:rsidRPr="00D8368B" w:rsidRDefault="00D8368B" w:rsidP="00D8368B">
            <w:pPr>
              <w:rPr>
                <w:rFonts w:cs="Arial"/>
              </w:rPr>
            </w:pPr>
            <w:r w:rsidRPr="00D8368B">
              <w:rPr>
                <w:rFonts w:cs="Arial"/>
              </w:rPr>
              <w:t>1,5-пъти ↑</w:t>
            </w:r>
          </w:p>
        </w:tc>
      </w:tr>
      <w:tr w:rsidR="00D8368B" w14:paraId="4E501669" w14:textId="77777777" w:rsidTr="00D8368B">
        <w:tc>
          <w:tcPr>
            <w:tcW w:w="4094" w:type="dxa"/>
            <w:vAlign w:val="bottom"/>
          </w:tcPr>
          <w:p w14:paraId="72088BEF" w14:textId="389EF238" w:rsidR="00D8368B" w:rsidRPr="00D8368B" w:rsidRDefault="00D8368B" w:rsidP="00D8368B">
            <w:pPr>
              <w:rPr>
                <w:rFonts w:cs="Arial"/>
              </w:rPr>
            </w:pPr>
            <w:r w:rsidRPr="00D8368B">
              <w:rPr>
                <w:rFonts w:cs="Arial"/>
              </w:rPr>
              <w:t xml:space="preserve">Типранавир 500 </w:t>
            </w:r>
            <w:r w:rsidRPr="00D8368B">
              <w:rPr>
                <w:rFonts w:cs="Arial"/>
                <w:lang w:val="en-US"/>
              </w:rPr>
              <w:t>mg</w:t>
            </w:r>
            <w:r w:rsidRPr="00D8368B">
              <w:rPr>
                <w:rFonts w:cs="Arial"/>
              </w:rPr>
              <w:t xml:space="preserve">/ритонавир 200 </w:t>
            </w:r>
            <w:r w:rsidRPr="00D8368B">
              <w:rPr>
                <w:rFonts w:cs="Arial"/>
                <w:lang w:val="en-US"/>
              </w:rPr>
              <w:t xml:space="preserve">mg </w:t>
            </w:r>
            <w:r w:rsidRPr="00D8368B">
              <w:rPr>
                <w:rFonts w:cs="Arial"/>
              </w:rPr>
              <w:t>два пъти на ден, 11 дни</w:t>
            </w:r>
          </w:p>
        </w:tc>
        <w:tc>
          <w:tcPr>
            <w:tcW w:w="2741" w:type="dxa"/>
            <w:vAlign w:val="bottom"/>
          </w:tcPr>
          <w:p w14:paraId="4CED533F" w14:textId="44BF147A"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center"/>
          </w:tcPr>
          <w:p w14:paraId="479F88CE" w14:textId="718166C2" w:rsidR="00D8368B" w:rsidRPr="00D8368B" w:rsidRDefault="00D8368B" w:rsidP="00D8368B">
            <w:pPr>
              <w:rPr>
                <w:rFonts w:cs="Arial"/>
              </w:rPr>
            </w:pPr>
            <w:r w:rsidRPr="00D8368B">
              <w:rPr>
                <w:rFonts w:cs="Arial"/>
              </w:rPr>
              <w:t>1,4-пъти ↑</w:t>
            </w:r>
          </w:p>
        </w:tc>
      </w:tr>
      <w:tr w:rsidR="00D8368B" w14:paraId="64F15562" w14:textId="77777777" w:rsidTr="00D8368B">
        <w:tc>
          <w:tcPr>
            <w:tcW w:w="4094" w:type="dxa"/>
            <w:vAlign w:val="bottom"/>
          </w:tcPr>
          <w:p w14:paraId="7178903C" w14:textId="0C500389" w:rsidR="00D8368B" w:rsidRPr="00D8368B" w:rsidRDefault="00D8368B" w:rsidP="00D8368B">
            <w:pPr>
              <w:rPr>
                <w:rFonts w:cs="Arial"/>
              </w:rPr>
            </w:pPr>
            <w:r w:rsidRPr="00D8368B">
              <w:rPr>
                <w:rFonts w:cs="Arial"/>
              </w:rPr>
              <w:t xml:space="preserve">Дронедарон 400 </w:t>
            </w:r>
            <w:r w:rsidRPr="00D8368B">
              <w:rPr>
                <w:rFonts w:cs="Arial"/>
                <w:lang w:val="en-US"/>
              </w:rPr>
              <w:t xml:space="preserve">mg </w:t>
            </w:r>
            <w:r w:rsidRPr="00D8368B">
              <w:rPr>
                <w:rFonts w:cs="Arial"/>
              </w:rPr>
              <w:t>два пъти на ден</w:t>
            </w:r>
          </w:p>
        </w:tc>
        <w:tc>
          <w:tcPr>
            <w:tcW w:w="2741" w:type="dxa"/>
            <w:vAlign w:val="bottom"/>
          </w:tcPr>
          <w:p w14:paraId="394242B0" w14:textId="74A45756" w:rsidR="00D8368B" w:rsidRPr="00D8368B" w:rsidRDefault="00D8368B" w:rsidP="00D8368B">
            <w:pPr>
              <w:rPr>
                <w:rFonts w:cs="Arial"/>
              </w:rPr>
            </w:pPr>
            <w:r w:rsidRPr="00D8368B">
              <w:rPr>
                <w:rFonts w:cs="Arial"/>
              </w:rPr>
              <w:t>Не е налична</w:t>
            </w:r>
          </w:p>
        </w:tc>
        <w:tc>
          <w:tcPr>
            <w:tcW w:w="2741" w:type="dxa"/>
            <w:vAlign w:val="bottom"/>
          </w:tcPr>
          <w:p w14:paraId="3E051B33" w14:textId="5FB783C3" w:rsidR="00D8368B" w:rsidRPr="00D8368B" w:rsidRDefault="00D8368B" w:rsidP="00D8368B">
            <w:pPr>
              <w:rPr>
                <w:rFonts w:cs="Arial"/>
              </w:rPr>
            </w:pPr>
            <w:r w:rsidRPr="00D8368B">
              <w:rPr>
                <w:rFonts w:cs="Arial"/>
              </w:rPr>
              <w:t>1,4-пъти ↑</w:t>
            </w:r>
          </w:p>
        </w:tc>
      </w:tr>
      <w:tr w:rsidR="00D8368B" w14:paraId="0F6F4EED" w14:textId="77777777" w:rsidTr="00D8368B">
        <w:tc>
          <w:tcPr>
            <w:tcW w:w="4094" w:type="dxa"/>
            <w:vAlign w:val="center"/>
          </w:tcPr>
          <w:p w14:paraId="196572FC" w14:textId="1E46C40E" w:rsidR="00D8368B" w:rsidRPr="00D8368B" w:rsidRDefault="00D8368B" w:rsidP="00D8368B">
            <w:pPr>
              <w:rPr>
                <w:rFonts w:cs="Arial"/>
              </w:rPr>
            </w:pPr>
            <w:r w:rsidRPr="00D8368B">
              <w:rPr>
                <w:rFonts w:cs="Arial"/>
              </w:rPr>
              <w:t xml:space="preserve">Итраконазол 200 </w:t>
            </w:r>
            <w:r w:rsidRPr="00D8368B">
              <w:rPr>
                <w:rFonts w:cs="Arial"/>
                <w:lang w:val="en-US"/>
              </w:rPr>
              <w:t xml:space="preserve">mg </w:t>
            </w:r>
            <w:r w:rsidRPr="00D8368B">
              <w:rPr>
                <w:rFonts w:cs="Arial"/>
              </w:rPr>
              <w:t>веднъж дневно 5 дни</w:t>
            </w:r>
          </w:p>
        </w:tc>
        <w:tc>
          <w:tcPr>
            <w:tcW w:w="2741" w:type="dxa"/>
            <w:vAlign w:val="bottom"/>
          </w:tcPr>
          <w:p w14:paraId="63F8F3FA" w14:textId="1BDC1C5D"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еднократна доза</w:t>
            </w:r>
          </w:p>
        </w:tc>
        <w:tc>
          <w:tcPr>
            <w:tcW w:w="2741" w:type="dxa"/>
            <w:vAlign w:val="center"/>
          </w:tcPr>
          <w:p w14:paraId="60B4B421" w14:textId="6638D601" w:rsidR="00D8368B" w:rsidRPr="00D8368B" w:rsidRDefault="00D8368B" w:rsidP="00D8368B">
            <w:pPr>
              <w:rPr>
                <w:rFonts w:cs="Arial"/>
              </w:rPr>
            </w:pPr>
            <w:r w:rsidRPr="00D8368B">
              <w:rPr>
                <w:rFonts w:cs="Arial"/>
              </w:rPr>
              <w:t>** 1,4-пъти ↑</w:t>
            </w:r>
          </w:p>
        </w:tc>
      </w:tr>
      <w:tr w:rsidR="00D8368B" w14:paraId="7995C8E8" w14:textId="77777777" w:rsidTr="00D8368B">
        <w:tc>
          <w:tcPr>
            <w:tcW w:w="4094" w:type="dxa"/>
            <w:vAlign w:val="center"/>
          </w:tcPr>
          <w:p w14:paraId="3C339405" w14:textId="2D76C360" w:rsidR="00D8368B" w:rsidRPr="00D8368B" w:rsidRDefault="00D8368B" w:rsidP="00D8368B">
            <w:pPr>
              <w:rPr>
                <w:rFonts w:cs="Arial"/>
              </w:rPr>
            </w:pPr>
            <w:r w:rsidRPr="00D8368B">
              <w:rPr>
                <w:rFonts w:cs="Arial"/>
              </w:rPr>
              <w:t xml:space="preserve">Езетимиб 10 </w:t>
            </w:r>
            <w:r w:rsidRPr="00D8368B">
              <w:rPr>
                <w:rFonts w:cs="Arial"/>
                <w:lang w:val="en-US"/>
              </w:rPr>
              <w:t xml:space="preserve">mg </w:t>
            </w:r>
            <w:r w:rsidRPr="00D8368B">
              <w:rPr>
                <w:rFonts w:cs="Arial"/>
              </w:rPr>
              <w:t>веднъж дневно, 14 дни</w:t>
            </w:r>
          </w:p>
        </w:tc>
        <w:tc>
          <w:tcPr>
            <w:tcW w:w="2741" w:type="dxa"/>
            <w:vAlign w:val="bottom"/>
          </w:tcPr>
          <w:p w14:paraId="4031F9A4" w14:textId="77777777" w:rsidR="00D8368B" w:rsidRPr="00D8368B" w:rsidRDefault="00D8368B" w:rsidP="00D8368B">
            <w:pPr>
              <w:rPr>
                <w:rFonts w:cs="Arial"/>
              </w:rPr>
            </w:pPr>
            <w:r w:rsidRPr="00D8368B">
              <w:rPr>
                <w:rFonts w:cs="Arial"/>
              </w:rPr>
              <w:t xml:space="preserve">10 </w:t>
            </w:r>
            <w:r w:rsidRPr="00D8368B">
              <w:rPr>
                <w:rFonts w:cs="Arial"/>
                <w:lang w:val="en-US"/>
              </w:rPr>
              <w:t xml:space="preserve">mg, </w:t>
            </w:r>
            <w:r w:rsidRPr="00D8368B">
              <w:rPr>
                <w:rFonts w:cs="Arial"/>
              </w:rPr>
              <w:t>веднъж</w:t>
            </w:r>
          </w:p>
          <w:p w14:paraId="21C246F4" w14:textId="62996F5D" w:rsidR="00D8368B" w:rsidRPr="00D8368B" w:rsidRDefault="00D8368B" w:rsidP="00D8368B">
            <w:pPr>
              <w:rPr>
                <w:rFonts w:cs="Arial"/>
              </w:rPr>
            </w:pPr>
            <w:r w:rsidRPr="00D8368B">
              <w:rPr>
                <w:rFonts w:cs="Arial"/>
              </w:rPr>
              <w:t>дневно, 14 дни</w:t>
            </w:r>
          </w:p>
        </w:tc>
        <w:tc>
          <w:tcPr>
            <w:tcW w:w="2741" w:type="dxa"/>
            <w:vAlign w:val="center"/>
          </w:tcPr>
          <w:p w14:paraId="3528CEE4" w14:textId="1685309C" w:rsidR="00D8368B" w:rsidRPr="00D8368B" w:rsidRDefault="00D8368B" w:rsidP="00D8368B">
            <w:pPr>
              <w:rPr>
                <w:rFonts w:cs="Arial"/>
              </w:rPr>
            </w:pPr>
            <w:r w:rsidRPr="00D8368B">
              <w:rPr>
                <w:rFonts w:cs="Arial"/>
              </w:rPr>
              <w:t>**1,2-пъти ↑</w:t>
            </w:r>
          </w:p>
        </w:tc>
      </w:tr>
      <w:tr w:rsidR="00D8368B" w14:paraId="2CE5BFBF" w14:textId="77777777" w:rsidTr="00D8368B">
        <w:tc>
          <w:tcPr>
            <w:tcW w:w="9576" w:type="dxa"/>
            <w:gridSpan w:val="3"/>
          </w:tcPr>
          <w:p w14:paraId="7A3DB8C1" w14:textId="59952C40" w:rsidR="00D8368B" w:rsidRPr="00D8368B" w:rsidRDefault="00D8368B" w:rsidP="00433CAE">
            <w:pPr>
              <w:rPr>
                <w:rFonts w:cs="Arial"/>
              </w:rPr>
            </w:pPr>
            <w:r w:rsidRPr="00D8368B">
              <w:rPr>
                <w:rFonts w:cs="Arial"/>
                <w:b/>
                <w:bCs/>
              </w:rPr>
              <w:t xml:space="preserve">Понижаване на </w:t>
            </w:r>
            <w:r w:rsidRPr="00D8368B">
              <w:rPr>
                <w:rFonts w:cs="Arial"/>
                <w:b/>
                <w:bCs/>
                <w:lang w:val="en-US"/>
              </w:rPr>
              <w:t xml:space="preserve">AUC </w:t>
            </w:r>
            <w:r w:rsidRPr="00D8368B">
              <w:rPr>
                <w:rFonts w:cs="Arial"/>
                <w:b/>
                <w:bCs/>
              </w:rPr>
              <w:t>на розувастатин</w:t>
            </w:r>
          </w:p>
        </w:tc>
      </w:tr>
      <w:tr w:rsidR="00D8368B" w14:paraId="76CB7ACC" w14:textId="77777777" w:rsidTr="00D8368B">
        <w:tc>
          <w:tcPr>
            <w:tcW w:w="4094" w:type="dxa"/>
          </w:tcPr>
          <w:p w14:paraId="04F9D124" w14:textId="0C030152" w:rsidR="00D8368B" w:rsidRPr="00D8368B" w:rsidRDefault="00D8368B" w:rsidP="00D8368B">
            <w:pPr>
              <w:rPr>
                <w:rFonts w:cs="Arial"/>
              </w:rPr>
            </w:pPr>
            <w:r w:rsidRPr="00D8368B">
              <w:rPr>
                <w:rFonts w:cs="Arial"/>
                <w:b/>
                <w:bCs/>
              </w:rPr>
              <w:t>Дозов режим на взаимодействащото лекарство</w:t>
            </w:r>
          </w:p>
        </w:tc>
        <w:tc>
          <w:tcPr>
            <w:tcW w:w="2741" w:type="dxa"/>
            <w:vAlign w:val="center"/>
          </w:tcPr>
          <w:p w14:paraId="7ED901E1" w14:textId="6A56637B" w:rsidR="00D8368B" w:rsidRPr="00D8368B" w:rsidRDefault="00D8368B" w:rsidP="00D8368B">
            <w:pPr>
              <w:rPr>
                <w:rFonts w:cs="Arial"/>
              </w:rPr>
            </w:pPr>
            <w:r w:rsidRPr="00D8368B">
              <w:rPr>
                <w:rFonts w:cs="Arial"/>
                <w:b/>
                <w:bCs/>
              </w:rPr>
              <w:t>Дозов режим на розувастатин</w:t>
            </w:r>
          </w:p>
        </w:tc>
        <w:tc>
          <w:tcPr>
            <w:tcW w:w="2741" w:type="dxa"/>
          </w:tcPr>
          <w:p w14:paraId="0F334479" w14:textId="77777777" w:rsidR="00D8368B" w:rsidRPr="00D8368B" w:rsidRDefault="00D8368B" w:rsidP="00D8368B">
            <w:pPr>
              <w:rPr>
                <w:rFonts w:cs="Arial"/>
              </w:rPr>
            </w:pPr>
            <w:r w:rsidRPr="00D8368B">
              <w:rPr>
                <w:rFonts w:cs="Arial"/>
                <w:b/>
                <w:bCs/>
              </w:rPr>
              <w:t>Промяна в</w:t>
            </w:r>
          </w:p>
          <w:p w14:paraId="28ECD69A" w14:textId="5E138D25" w:rsidR="00D8368B" w:rsidRPr="00D8368B" w:rsidRDefault="00D8368B" w:rsidP="00D8368B">
            <w:pPr>
              <w:rPr>
                <w:rFonts w:cs="Arial"/>
              </w:rPr>
            </w:pPr>
            <w:r w:rsidRPr="00D8368B">
              <w:rPr>
                <w:rFonts w:cs="Arial"/>
                <w:b/>
                <w:bCs/>
                <w:lang w:val="en-US"/>
              </w:rPr>
              <w:t>AUC</w:t>
            </w:r>
            <w:r w:rsidRPr="00D8368B">
              <w:rPr>
                <w:rFonts w:cs="Arial"/>
                <w:b/>
                <w:bCs/>
              </w:rPr>
              <w:t xml:space="preserve"> на </w:t>
            </w:r>
          </w:p>
          <w:p w14:paraId="662A1098" w14:textId="4E4C5904" w:rsidR="00D8368B" w:rsidRPr="00D8368B" w:rsidRDefault="00D8368B" w:rsidP="00D8368B">
            <w:pPr>
              <w:rPr>
                <w:rFonts w:cs="Arial"/>
                <w:lang w:val="en-US"/>
              </w:rPr>
            </w:pPr>
            <w:r w:rsidRPr="00D8368B">
              <w:rPr>
                <w:rFonts w:cs="Arial"/>
                <w:b/>
                <w:bCs/>
              </w:rPr>
              <w:t>Розувастатин</w:t>
            </w:r>
            <w:r w:rsidRPr="00D8368B">
              <w:rPr>
                <w:rFonts w:cs="Arial"/>
                <w:b/>
                <w:bCs/>
                <w:lang w:val="en-US"/>
              </w:rPr>
              <w:t>*</w:t>
            </w:r>
          </w:p>
        </w:tc>
      </w:tr>
      <w:tr w:rsidR="00D8368B" w14:paraId="18CC52DB" w14:textId="77777777" w:rsidTr="00D8368B">
        <w:tc>
          <w:tcPr>
            <w:tcW w:w="4094" w:type="dxa"/>
          </w:tcPr>
          <w:p w14:paraId="3F88166D" w14:textId="3E76D732" w:rsidR="00D8368B" w:rsidRPr="00D8368B" w:rsidRDefault="00D8368B" w:rsidP="00D8368B">
            <w:pPr>
              <w:rPr>
                <w:rFonts w:cs="Arial"/>
              </w:rPr>
            </w:pPr>
            <w:r w:rsidRPr="00D8368B">
              <w:rPr>
                <w:rFonts w:cs="Arial"/>
              </w:rPr>
              <w:t xml:space="preserve">Еритромицин 500 </w:t>
            </w:r>
            <w:r w:rsidRPr="00D8368B">
              <w:rPr>
                <w:rFonts w:cs="Arial"/>
                <w:lang w:val="en-US"/>
              </w:rPr>
              <w:t xml:space="preserve">mg </w:t>
            </w:r>
            <w:r w:rsidRPr="00D8368B">
              <w:rPr>
                <w:rFonts w:cs="Arial"/>
              </w:rPr>
              <w:t xml:space="preserve">четири пъти на ден, 7 дни </w:t>
            </w:r>
          </w:p>
          <w:p w14:paraId="1823E77E" w14:textId="702A6D28" w:rsidR="00D8368B" w:rsidRPr="00D8368B" w:rsidRDefault="00D8368B" w:rsidP="00D8368B">
            <w:pPr>
              <w:rPr>
                <w:rFonts w:cs="Arial"/>
              </w:rPr>
            </w:pPr>
          </w:p>
        </w:tc>
        <w:tc>
          <w:tcPr>
            <w:tcW w:w="2741" w:type="dxa"/>
          </w:tcPr>
          <w:p w14:paraId="0E1F2F7C" w14:textId="77777777" w:rsidR="00D8368B" w:rsidRPr="00D8368B" w:rsidRDefault="00D8368B" w:rsidP="00D8368B">
            <w:pPr>
              <w:rPr>
                <w:rFonts w:cs="Arial"/>
              </w:rPr>
            </w:pPr>
            <w:r w:rsidRPr="00D8368B">
              <w:rPr>
                <w:rFonts w:cs="Arial"/>
              </w:rPr>
              <w:t xml:space="preserve">80 </w:t>
            </w:r>
            <w:r w:rsidRPr="00D8368B">
              <w:rPr>
                <w:rFonts w:cs="Arial"/>
                <w:lang w:val="en-US"/>
              </w:rPr>
              <w:t xml:space="preserve">mg, </w:t>
            </w:r>
            <w:r w:rsidRPr="00D8368B">
              <w:rPr>
                <w:rFonts w:cs="Arial"/>
              </w:rPr>
              <w:t>еднократна доза</w:t>
            </w:r>
          </w:p>
          <w:p w14:paraId="347490E2" w14:textId="26AA8920" w:rsidR="00D8368B" w:rsidRPr="00D8368B" w:rsidRDefault="00D8368B" w:rsidP="00D8368B">
            <w:pPr>
              <w:rPr>
                <w:rFonts w:cs="Arial"/>
              </w:rPr>
            </w:pPr>
          </w:p>
        </w:tc>
        <w:tc>
          <w:tcPr>
            <w:tcW w:w="2741" w:type="dxa"/>
          </w:tcPr>
          <w:p w14:paraId="460404DF" w14:textId="77777777" w:rsidR="00D8368B" w:rsidRPr="00D8368B" w:rsidRDefault="00D8368B" w:rsidP="00D8368B">
            <w:pPr>
              <w:rPr>
                <w:rFonts w:cs="Arial"/>
              </w:rPr>
            </w:pPr>
            <w:r w:rsidRPr="00D8368B">
              <w:rPr>
                <w:rFonts w:cs="Arial"/>
              </w:rPr>
              <w:t>20% ↓</w:t>
            </w:r>
          </w:p>
          <w:p w14:paraId="76E70C35" w14:textId="775B522F" w:rsidR="00D8368B" w:rsidRPr="00D8368B" w:rsidRDefault="00D8368B" w:rsidP="00D8368B">
            <w:pPr>
              <w:rPr>
                <w:rFonts w:cs="Arial"/>
              </w:rPr>
            </w:pPr>
          </w:p>
        </w:tc>
      </w:tr>
      <w:tr w:rsidR="00D8368B" w14:paraId="53F840BA" w14:textId="77777777" w:rsidTr="00D8368B">
        <w:tc>
          <w:tcPr>
            <w:tcW w:w="4094" w:type="dxa"/>
          </w:tcPr>
          <w:p w14:paraId="719349F0" w14:textId="0EC9FCD2" w:rsidR="00D8368B" w:rsidRPr="00D8368B" w:rsidRDefault="00D8368B" w:rsidP="00D8368B">
            <w:pPr>
              <w:rPr>
                <w:rFonts w:cs="Arial"/>
              </w:rPr>
            </w:pPr>
            <w:r w:rsidRPr="00D8368B">
              <w:rPr>
                <w:rFonts w:cs="Arial"/>
              </w:rPr>
              <w:t xml:space="preserve">Байкалин 50 </w:t>
            </w:r>
            <w:r w:rsidRPr="00D8368B">
              <w:rPr>
                <w:rFonts w:cs="Arial"/>
                <w:lang w:val="en-US"/>
              </w:rPr>
              <w:t xml:space="preserve">mg </w:t>
            </w:r>
            <w:r w:rsidRPr="00D8368B">
              <w:rPr>
                <w:rFonts w:cs="Arial"/>
              </w:rPr>
              <w:t>три пъти дневно 14 дни</w:t>
            </w:r>
          </w:p>
        </w:tc>
        <w:tc>
          <w:tcPr>
            <w:tcW w:w="2741" w:type="dxa"/>
          </w:tcPr>
          <w:p w14:paraId="3A8866BC" w14:textId="48C1C5CC" w:rsidR="00D8368B" w:rsidRPr="00D8368B" w:rsidRDefault="00D8368B" w:rsidP="00D8368B">
            <w:pPr>
              <w:rPr>
                <w:rFonts w:cs="Arial"/>
              </w:rPr>
            </w:pPr>
            <w:r w:rsidRPr="00D8368B">
              <w:rPr>
                <w:rFonts w:cs="Arial"/>
              </w:rPr>
              <w:t xml:space="preserve">20 </w:t>
            </w:r>
            <w:r w:rsidRPr="00D8368B">
              <w:rPr>
                <w:rFonts w:cs="Arial"/>
                <w:lang w:val="en-US"/>
              </w:rPr>
              <w:t xml:space="preserve">mg, </w:t>
            </w:r>
            <w:r w:rsidRPr="00D8368B">
              <w:rPr>
                <w:rFonts w:cs="Arial"/>
              </w:rPr>
              <w:t>еднократна доза</w:t>
            </w:r>
          </w:p>
        </w:tc>
        <w:tc>
          <w:tcPr>
            <w:tcW w:w="2741" w:type="dxa"/>
          </w:tcPr>
          <w:p w14:paraId="1DDA1F87" w14:textId="15178BD5" w:rsidR="00D8368B" w:rsidRPr="00D8368B" w:rsidRDefault="00D8368B" w:rsidP="00D8368B">
            <w:pPr>
              <w:rPr>
                <w:rFonts w:cs="Arial"/>
              </w:rPr>
            </w:pPr>
            <w:r w:rsidRPr="00D8368B">
              <w:rPr>
                <w:rFonts w:cs="Arial"/>
              </w:rPr>
              <w:t>47% ↓</w:t>
            </w:r>
          </w:p>
        </w:tc>
      </w:tr>
    </w:tbl>
    <w:p w14:paraId="667EF5FD" w14:textId="056CD2CF" w:rsidR="00433CAE" w:rsidRDefault="00433CAE" w:rsidP="00433CAE">
      <w:pPr>
        <w:rPr>
          <w:rFonts w:cs="Arial"/>
          <w:sz w:val="24"/>
        </w:rPr>
      </w:pPr>
    </w:p>
    <w:p w14:paraId="11F4F409"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val="en-US"/>
        </w:rPr>
        <w:t xml:space="preserve">* </w:t>
      </w:r>
      <w:r w:rsidRPr="00D8368B">
        <w:rPr>
          <w:rFonts w:eastAsia="Times New Roman" w:cs="Arial"/>
          <w:color w:val="000000"/>
          <w:szCs w:val="20"/>
          <w:lang w:eastAsia="bg-BG"/>
        </w:rPr>
        <w:t>Данните, посочени като х-пъти промяна представят просто съотношение между едновременно приложение и приложение на розувастатин самостоятелно. Данните ,</w:t>
      </w:r>
    </w:p>
    <w:p w14:paraId="7D42C293"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посочени като % представят процента разлика отнесен на самостоятелното приложение на розувастатин. Повишението е представено като понижението като "</w:t>
      </w:r>
      <w:r w:rsidRPr="00D8368B">
        <w:rPr>
          <w:rFonts w:eastAsia="Times New Roman" w:cs="Arial"/>
          <w:color w:val="000000"/>
          <w:szCs w:val="20"/>
          <w:lang w:val="en-US"/>
        </w:rPr>
        <w:t>↑</w:t>
      </w:r>
      <w:r w:rsidRPr="00D8368B">
        <w:rPr>
          <w:rFonts w:eastAsia="Times New Roman" w:cs="Arial"/>
          <w:color w:val="000000"/>
          <w:szCs w:val="20"/>
          <w:lang w:eastAsia="bg-BG"/>
        </w:rPr>
        <w:t>",</w:t>
      </w:r>
      <w:r w:rsidRPr="00D8368B">
        <w:rPr>
          <w:rFonts w:eastAsia="Times New Roman" w:cs="Arial"/>
          <w:color w:val="000000"/>
          <w:szCs w:val="20"/>
          <w:lang w:val="en-US"/>
        </w:rPr>
        <w:t xml:space="preserve"> </w:t>
      </w:r>
      <w:r w:rsidRPr="00D8368B">
        <w:rPr>
          <w:rFonts w:eastAsia="Times New Roman" w:cs="Arial"/>
          <w:color w:val="000000"/>
          <w:szCs w:val="20"/>
          <w:lang w:eastAsia="bg-BG"/>
        </w:rPr>
        <w:t>понижението като "</w:t>
      </w:r>
      <w:r w:rsidRPr="00D8368B">
        <w:rPr>
          <w:rFonts w:eastAsia="Times New Roman" w:cs="Arial"/>
          <w:color w:val="000000"/>
          <w:szCs w:val="20"/>
          <w:lang w:val="en-US"/>
        </w:rPr>
        <w:t>↓</w:t>
      </w:r>
      <w:r w:rsidRPr="00D8368B">
        <w:rPr>
          <w:rFonts w:eastAsia="Times New Roman" w:cs="Arial"/>
          <w:color w:val="000000"/>
          <w:szCs w:val="20"/>
          <w:lang w:eastAsia="bg-BG"/>
        </w:rPr>
        <w:t>".</w:t>
      </w:r>
    </w:p>
    <w:p w14:paraId="052F8248"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**Няколко проучвания за взаимодействия са проведени с различни дозировки розувастатин, таблицата показва най-значимото съотношение.</w:t>
      </w:r>
    </w:p>
    <w:p w14:paraId="0AA5C7D2"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val="en-US"/>
        </w:rPr>
        <w:t xml:space="preserve">AUC </w:t>
      </w:r>
      <w:r w:rsidRPr="00D8368B">
        <w:rPr>
          <w:rFonts w:eastAsia="Times New Roman" w:cs="Arial"/>
          <w:color w:val="000000"/>
          <w:szCs w:val="20"/>
          <w:lang w:eastAsia="bg-BG"/>
        </w:rPr>
        <w:t>= площ под кривата</w:t>
      </w:r>
    </w:p>
    <w:p w14:paraId="45EC07A8" w14:textId="77777777" w:rsidR="00D8368B" w:rsidRPr="00D8368B" w:rsidRDefault="00D8368B" w:rsidP="00D8368B">
      <w:pPr>
        <w:spacing w:line="240" w:lineRule="auto"/>
        <w:rPr>
          <w:rFonts w:eastAsia="Times New Roman" w:cs="Arial"/>
          <w:color w:val="000000"/>
          <w:szCs w:val="20"/>
          <w:lang w:eastAsia="bg-BG"/>
        </w:rPr>
      </w:pPr>
    </w:p>
    <w:p w14:paraId="14EF7798" w14:textId="51F883FB"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lastRenderedPageBreak/>
        <w:t xml:space="preserve">Следните лекарствени продукти/комбинации не оказват значими ефекти върху </w:t>
      </w:r>
      <w:r w:rsidRPr="00D8368B">
        <w:rPr>
          <w:rFonts w:eastAsia="Times New Roman" w:cs="Arial"/>
          <w:color w:val="000000"/>
          <w:szCs w:val="20"/>
          <w:lang w:val="en-US"/>
        </w:rPr>
        <w:t xml:space="preserve">AUC </w:t>
      </w:r>
      <w:r w:rsidRPr="00D8368B">
        <w:rPr>
          <w:rFonts w:eastAsia="Times New Roman" w:cs="Arial"/>
          <w:color w:val="000000"/>
          <w:szCs w:val="20"/>
          <w:lang w:eastAsia="bg-BG"/>
        </w:rPr>
        <w:t>на розувастатин при едновременно приложение:</w:t>
      </w:r>
    </w:p>
    <w:p w14:paraId="41CBAD74"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алеглитазар 0,3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приложение за 7 дни, фенофибрат 67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7 дни приложение три пъти на ден; флуконазол 200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11 дни приложение веднъж дневно; фозампренавир 700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ритонавир 100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8 дни приложение два пъти на ден; кетоконазол 200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7 дни приложение два пъти на ден, рифампин 450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7 дни приложение веднъж дневно, силимарин 140 </w:t>
      </w:r>
      <w:r w:rsidRPr="00D8368B">
        <w:rPr>
          <w:rFonts w:eastAsia="Times New Roman" w:cs="Arial"/>
          <w:color w:val="000000"/>
          <w:szCs w:val="20"/>
          <w:lang w:val="en-US"/>
        </w:rPr>
        <w:t xml:space="preserve">mg </w:t>
      </w:r>
      <w:r w:rsidRPr="00D8368B">
        <w:rPr>
          <w:rFonts w:eastAsia="Times New Roman" w:cs="Arial"/>
          <w:color w:val="000000"/>
          <w:szCs w:val="20"/>
          <w:lang w:eastAsia="bg-BG"/>
        </w:rPr>
        <w:t>5 дни приложение три пъти на ден.</w:t>
      </w:r>
    </w:p>
    <w:p w14:paraId="7D114D2C" w14:textId="77777777" w:rsidR="00D8368B" w:rsidRPr="00D8368B" w:rsidRDefault="00D8368B" w:rsidP="00D8368B">
      <w:pPr>
        <w:spacing w:line="240" w:lineRule="auto"/>
        <w:rPr>
          <w:rFonts w:eastAsia="Times New Roman" w:cs="Arial"/>
          <w:color w:val="000000"/>
          <w:szCs w:val="20"/>
          <w:u w:val="single"/>
          <w:lang w:eastAsia="bg-BG"/>
        </w:rPr>
      </w:pPr>
    </w:p>
    <w:p w14:paraId="3DCA0D90" w14:textId="0AEE8FDA"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 xml:space="preserve">Ефекти на розувастатин върху едновременно приемани лекарствени продукти </w:t>
      </w:r>
      <w:r w:rsidRPr="00D8368B">
        <w:rPr>
          <w:rFonts w:eastAsia="Times New Roman" w:cs="Arial"/>
          <w:i/>
          <w:iCs/>
          <w:color w:val="000000"/>
          <w:szCs w:val="20"/>
          <w:lang w:eastAsia="bg-BG"/>
        </w:rPr>
        <w:t>Антагонисти на витамин К</w:t>
      </w:r>
    </w:p>
    <w:p w14:paraId="0B771FAA"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Подобно на други инхибитори на </w:t>
      </w:r>
      <w:r w:rsidRPr="00D8368B">
        <w:rPr>
          <w:rFonts w:eastAsia="Times New Roman" w:cs="Arial"/>
          <w:color w:val="000000"/>
          <w:szCs w:val="20"/>
          <w:lang w:val="en-US"/>
        </w:rPr>
        <w:t xml:space="preserve">HMG-CoA </w:t>
      </w:r>
      <w:r w:rsidRPr="00D8368B">
        <w:rPr>
          <w:rFonts w:eastAsia="Times New Roman" w:cs="Arial"/>
          <w:color w:val="000000"/>
          <w:szCs w:val="20"/>
          <w:lang w:eastAsia="bg-BG"/>
        </w:rPr>
        <w:t xml:space="preserve">редуктазата, започването на лечение или титрирането на дозата на розувастатин при пациенти, лекувани едновременно с антагонисти на витамин К (напр. варфарин или друг кумаринов антикоагулант) може да доведе до повишаване в </w:t>
      </w:r>
      <w:r w:rsidRPr="00D8368B">
        <w:rPr>
          <w:rFonts w:eastAsia="Times New Roman" w:cs="Arial"/>
          <w:color w:val="000000"/>
          <w:szCs w:val="20"/>
          <w:lang w:val="en-US"/>
        </w:rPr>
        <w:t xml:space="preserve">International </w:t>
      </w:r>
      <w:proofErr w:type="spellStart"/>
      <w:r w:rsidRPr="00D8368B">
        <w:rPr>
          <w:rFonts w:eastAsia="Times New Roman" w:cs="Arial"/>
          <w:color w:val="000000"/>
          <w:szCs w:val="20"/>
          <w:lang w:val="en-US"/>
        </w:rPr>
        <w:t>Normalised</w:t>
      </w:r>
      <w:proofErr w:type="spellEnd"/>
      <w:r w:rsidRPr="00D8368B">
        <w:rPr>
          <w:rFonts w:eastAsia="Times New Roman" w:cs="Arial"/>
          <w:color w:val="000000"/>
          <w:szCs w:val="20"/>
          <w:lang w:val="en-US"/>
        </w:rPr>
        <w:t xml:space="preserve"> Ratio (INR). </w:t>
      </w:r>
      <w:r w:rsidRPr="00D8368B">
        <w:rPr>
          <w:rFonts w:eastAsia="Times New Roman" w:cs="Arial"/>
          <w:color w:val="000000"/>
          <w:szCs w:val="20"/>
          <w:lang w:eastAsia="bg-BG"/>
        </w:rPr>
        <w:t xml:space="preserve">Прекъсването на лечението или намаляването на дозата чрез титриране може да доведе до понижаване на </w:t>
      </w:r>
      <w:r w:rsidRPr="00D8368B">
        <w:rPr>
          <w:rFonts w:eastAsia="Times New Roman" w:cs="Arial"/>
          <w:color w:val="000000"/>
          <w:szCs w:val="20"/>
          <w:lang w:val="en-US"/>
        </w:rPr>
        <w:t xml:space="preserve">INR. </w:t>
      </w:r>
      <w:r w:rsidRPr="00D8368B">
        <w:rPr>
          <w:rFonts w:eastAsia="Times New Roman" w:cs="Arial"/>
          <w:color w:val="000000"/>
          <w:szCs w:val="20"/>
          <w:lang w:eastAsia="bg-BG"/>
        </w:rPr>
        <w:t xml:space="preserve">При подобни ситуации се препоръчва мониториране на </w:t>
      </w:r>
      <w:r w:rsidRPr="00D8368B">
        <w:rPr>
          <w:rFonts w:eastAsia="Times New Roman" w:cs="Arial"/>
          <w:color w:val="000000"/>
          <w:szCs w:val="20"/>
          <w:lang w:val="en-US"/>
        </w:rPr>
        <w:t>INR.</w:t>
      </w:r>
    </w:p>
    <w:p w14:paraId="02FD7EDD" w14:textId="77777777" w:rsidR="00D8368B" w:rsidRPr="00D8368B" w:rsidRDefault="00D8368B" w:rsidP="00D8368B">
      <w:pPr>
        <w:spacing w:line="240" w:lineRule="auto"/>
        <w:rPr>
          <w:rFonts w:eastAsia="Times New Roman" w:cs="Arial"/>
          <w:i/>
          <w:iCs/>
          <w:color w:val="000000"/>
          <w:szCs w:val="20"/>
          <w:lang w:eastAsia="bg-BG"/>
        </w:rPr>
      </w:pPr>
    </w:p>
    <w:p w14:paraId="740661C5" w14:textId="72996D28"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Перорални контрацептиви/хормонозаместваща терапия</w:t>
      </w:r>
    </w:p>
    <w:p w14:paraId="33E1B86E"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Едновременният прием на розувастатин и перорални контрацептиви води до повишаване на </w:t>
      </w:r>
      <w:r w:rsidRPr="00D8368B">
        <w:rPr>
          <w:rFonts w:eastAsia="Times New Roman" w:cs="Arial"/>
          <w:color w:val="000000"/>
          <w:szCs w:val="20"/>
          <w:lang w:val="en-US"/>
        </w:rPr>
        <w:t xml:space="preserve">AUC </w:t>
      </w:r>
      <w:r w:rsidRPr="00D8368B">
        <w:rPr>
          <w:rFonts w:eastAsia="Times New Roman" w:cs="Arial"/>
          <w:color w:val="000000"/>
          <w:szCs w:val="20"/>
          <w:lang w:eastAsia="bg-BG"/>
        </w:rPr>
        <w:t>на етинилестрадиола и норгестрела съответно с 26% и 34%. Тези повишени плазмени нива трябва да бъдат взети предвид, когато се определят дозите на пероралните контрацептиви. Няма фармакокинетични данни за пациенти, които приемат едновременно розувастатин и хормонозаместваща терапия и следователно подобен ефект не може да бъде изключен. Въпреки това, тази комбинация е била широко прилагана от жени в клинични изпитвания и е била добре толерирана.</w:t>
      </w:r>
    </w:p>
    <w:p w14:paraId="7115F65E" w14:textId="77777777" w:rsidR="00D8368B" w:rsidRPr="00D8368B" w:rsidRDefault="00D8368B" w:rsidP="00D8368B">
      <w:pPr>
        <w:spacing w:line="240" w:lineRule="auto"/>
        <w:rPr>
          <w:rFonts w:eastAsia="Times New Roman" w:cs="Arial"/>
          <w:color w:val="000000"/>
          <w:szCs w:val="20"/>
          <w:u w:val="single"/>
          <w:lang w:eastAsia="bg-BG"/>
        </w:rPr>
      </w:pPr>
    </w:p>
    <w:p w14:paraId="756D2328" w14:textId="2902F24B"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Други лекарствени продукти</w:t>
      </w:r>
    </w:p>
    <w:p w14:paraId="76EAB581"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Дигоксин</w:t>
      </w:r>
    </w:p>
    <w:p w14:paraId="25421F5C"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448CD7A1" w14:textId="77777777" w:rsidR="00D8368B" w:rsidRPr="00D8368B" w:rsidRDefault="00D8368B" w:rsidP="00D8368B">
      <w:pPr>
        <w:spacing w:line="240" w:lineRule="auto"/>
        <w:rPr>
          <w:rFonts w:eastAsia="Times New Roman" w:cs="Arial"/>
          <w:i/>
          <w:iCs/>
          <w:color w:val="000000"/>
          <w:szCs w:val="20"/>
          <w:lang w:eastAsia="bg-BG"/>
        </w:rPr>
      </w:pPr>
    </w:p>
    <w:p w14:paraId="74B9CBE2" w14:textId="1BCA8CEB"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Фузидова киселина</w:t>
      </w:r>
    </w:p>
    <w:p w14:paraId="16CF978A"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Не са провеждани проучвания за изследване на взаимодействия с розувастатин и фузидова киселина. Рискът от миопатия, включително рабдомиолиза може да се увеличи при комбинирана терапия на фузидова киселина за системно приложение и статини. Механизмът на това взаимодействие (дали е фармакодинамичен или фармако кинетичен, или и двата) е все още неизвестен. Има съобщения за случаи на рабдомиолиза (включително с летален изход) при пациенти, които са на тази комбинирана терапия.</w:t>
      </w:r>
    </w:p>
    <w:p w14:paraId="34F5351E"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Ако е наложителна системната терапия на фузидова киселина, лечението с розувастатин трябва да се преустанови през целия период на лечение на фузидова киселина. Вижте също точка 4.4.</w:t>
      </w:r>
    </w:p>
    <w:p w14:paraId="2DAE89C3" w14:textId="77777777" w:rsidR="00D8368B" w:rsidRPr="00D8368B" w:rsidRDefault="00D8368B" w:rsidP="00D8368B">
      <w:pPr>
        <w:rPr>
          <w:rFonts w:eastAsia="Times New Roman" w:cs="Arial"/>
          <w:color w:val="000000"/>
          <w:szCs w:val="20"/>
          <w:u w:val="single"/>
          <w:lang w:eastAsia="bg-BG"/>
        </w:rPr>
      </w:pPr>
    </w:p>
    <w:p w14:paraId="3ADFFAE2" w14:textId="1BE7D343" w:rsidR="00D8368B" w:rsidRPr="00D8368B" w:rsidRDefault="00D8368B" w:rsidP="00D8368B">
      <w:pPr>
        <w:rPr>
          <w:rFonts w:eastAsia="Times New Roman" w:cs="Arial"/>
          <w:color w:val="000000"/>
          <w:szCs w:val="20"/>
          <w:u w:val="single"/>
          <w:lang w:eastAsia="bg-BG"/>
        </w:rPr>
      </w:pPr>
      <w:r w:rsidRPr="00D8368B">
        <w:rPr>
          <w:rFonts w:eastAsia="Times New Roman" w:cs="Arial"/>
          <w:color w:val="000000"/>
          <w:szCs w:val="20"/>
          <w:u w:val="single"/>
          <w:lang w:eastAsia="bg-BG"/>
        </w:rPr>
        <w:t>Педиатрична популация</w:t>
      </w:r>
    </w:p>
    <w:p w14:paraId="27A06784" w14:textId="05F0E0A8" w:rsidR="00D8368B" w:rsidRPr="00D8368B" w:rsidRDefault="00D8368B" w:rsidP="00D8368B">
      <w:pPr>
        <w:rPr>
          <w:rFonts w:cs="Arial"/>
          <w:sz w:val="28"/>
        </w:rPr>
      </w:pPr>
      <w:r w:rsidRPr="00D8368B">
        <w:rPr>
          <w:rFonts w:cs="Arial"/>
          <w:szCs w:val="20"/>
        </w:rPr>
        <w:t>Проучвания за взаимодействия са провеждани само при възрастни. Степента на взаимодействията в педиатричната популация не е известна.</w:t>
      </w:r>
    </w:p>
    <w:p w14:paraId="5B2761C5" w14:textId="77777777" w:rsidR="0091385D" w:rsidRPr="0091385D" w:rsidRDefault="0091385D"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23176614"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Розувастатин е противопоказан при бременност и кърмене (вж. точка 4.3).</w:t>
      </w:r>
    </w:p>
    <w:p w14:paraId="53B3C576"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Жени във фертилна възраст трябва да използват подходящи контрацептивни мерки.</w:t>
      </w:r>
    </w:p>
    <w:p w14:paraId="32AB228D"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lastRenderedPageBreak/>
        <w:t xml:space="preserve">Тъй като холестерол и други продукти на холестероловата биосинтеза са от съществено значение за развитието на фетуса, потенциалният риск от потискане на </w:t>
      </w:r>
      <w:r w:rsidRPr="00D8368B">
        <w:rPr>
          <w:rFonts w:eastAsia="Times New Roman" w:cs="Arial"/>
          <w:color w:val="000000"/>
          <w:szCs w:val="20"/>
          <w:lang w:val="en-US"/>
        </w:rPr>
        <w:t xml:space="preserve">HMG-CoA </w:t>
      </w:r>
      <w:r w:rsidRPr="00D8368B">
        <w:rPr>
          <w:rFonts w:eastAsia="Times New Roman" w:cs="Arial"/>
          <w:color w:val="000000"/>
          <w:szCs w:val="20"/>
          <w:lang w:eastAsia="bg-BG"/>
        </w:rPr>
        <w:t>редуктаза превалира над провеждане на лечение по време на бременност. Проучванията с животни дават ограничени доказателства за репродуктивна токсичност (вж. точка 5.3). Ако пациентка забременее докато използва този лекарствен продукт, лечението трябва да бъде незабавно преустановено.</w:t>
      </w:r>
    </w:p>
    <w:p w14:paraId="776662C5" w14:textId="6A59372A" w:rsidR="0091385D" w:rsidRPr="00D8368B" w:rsidRDefault="00D8368B" w:rsidP="00D8368B">
      <w:pPr>
        <w:rPr>
          <w:rFonts w:cs="Arial"/>
          <w:sz w:val="24"/>
        </w:rPr>
      </w:pPr>
      <w:r w:rsidRPr="00D8368B">
        <w:rPr>
          <w:rFonts w:eastAsia="Times New Roman" w:cs="Arial"/>
          <w:color w:val="000000"/>
          <w:szCs w:val="20"/>
          <w:lang w:eastAsia="bg-BG"/>
        </w:rPr>
        <w:t>Розувастатин се екскретира в кърмата на плъхове. Няма данни по отношение екскретирането в кърмата при хора (вж. точка 4.3).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0BA39270" w:rsidR="0091385D" w:rsidRPr="00D8368B" w:rsidRDefault="00D8368B" w:rsidP="0091385D">
      <w:pPr>
        <w:rPr>
          <w:rFonts w:cs="Arial"/>
          <w:sz w:val="24"/>
        </w:rPr>
      </w:pPr>
      <w:r w:rsidRPr="00D8368B">
        <w:rPr>
          <w:rFonts w:cs="Arial"/>
          <w:szCs w:val="20"/>
        </w:rPr>
        <w:t>Няма проведени проучвания за ефектите върху способността за шофиране и работа с машини. На базата на фармакодинамичните свойства, обаче, малко вероятно е розувастатин да повлияе на тази способност. Когато се шофира или работи с машини, трябва да се има предвид, че има съобщения за замайване по време на лечение.</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A1323C0"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Нежеланите лекарствени реакции при розувастатин са като цяло леки и преходни. В контролирани клинични изпитвания по-малко от 4% от лекуваните с розувастатин пациенти са прекратили участието си поради нежелани лекарствени реакции.</w:t>
      </w:r>
    </w:p>
    <w:p w14:paraId="39CAB8CD" w14:textId="77777777" w:rsidR="00D8368B" w:rsidRPr="00D8368B" w:rsidRDefault="00D8368B" w:rsidP="00D8368B">
      <w:pPr>
        <w:spacing w:line="240" w:lineRule="auto"/>
        <w:rPr>
          <w:rFonts w:eastAsia="Times New Roman" w:cs="Arial"/>
          <w:color w:val="000000"/>
          <w:szCs w:val="20"/>
          <w:u w:val="single"/>
          <w:lang w:eastAsia="bg-BG"/>
        </w:rPr>
      </w:pPr>
    </w:p>
    <w:p w14:paraId="5B4F6918" w14:textId="1E659325"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Нежеланите лекарствени реакции представени в табличен вид</w:t>
      </w:r>
    </w:p>
    <w:p w14:paraId="107FB096"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Въз основа на клинични изпитвания и обширен постмаркетингов опит, следващата таблица представя нежелани реакции при розувастатин. класифицирани според честотата и системно- органния клас.</w:t>
      </w:r>
    </w:p>
    <w:p w14:paraId="0DA62F6E"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Честотата на нежеланите лекарствени реакции се определя по следната конвенция: чести (≥1/100 до &lt;1/10), нечести (≥1/1 </w:t>
      </w:r>
      <w:r w:rsidRPr="00D8368B">
        <w:rPr>
          <w:rFonts w:eastAsia="Times New Roman" w:cs="Arial"/>
          <w:i/>
          <w:iCs/>
          <w:color w:val="000000"/>
          <w:szCs w:val="20"/>
          <w:lang w:eastAsia="bg-BG"/>
        </w:rPr>
        <w:t>000 до &lt;1/100),</w:t>
      </w:r>
      <w:r w:rsidRPr="00D8368B">
        <w:rPr>
          <w:rFonts w:eastAsia="Times New Roman" w:cs="Arial"/>
          <w:color w:val="000000"/>
          <w:szCs w:val="20"/>
          <w:lang w:eastAsia="bg-BG"/>
        </w:rPr>
        <w:t xml:space="preserve"> редки </w:t>
      </w:r>
      <w:r w:rsidRPr="00D8368B">
        <w:rPr>
          <w:rFonts w:eastAsia="Times New Roman" w:cs="Arial"/>
          <w:i/>
          <w:iCs/>
          <w:color w:val="000000"/>
          <w:szCs w:val="20"/>
          <w:lang w:eastAsia="bg-BG"/>
        </w:rPr>
        <w:t>(≥1/10 000 до &lt;1/1 000),</w:t>
      </w:r>
      <w:r w:rsidRPr="00D8368B">
        <w:rPr>
          <w:rFonts w:eastAsia="Times New Roman" w:cs="Arial"/>
          <w:color w:val="000000"/>
          <w:szCs w:val="20"/>
          <w:lang w:eastAsia="bg-BG"/>
        </w:rPr>
        <w:t xml:space="preserve"> много редки (&lt;1/10 000), с неизвестна честота (от наличните данни не може да бъде направена оценка):</w:t>
      </w:r>
    </w:p>
    <w:p w14:paraId="35B290B0" w14:textId="77777777" w:rsidR="00D8368B" w:rsidRPr="00D8368B" w:rsidRDefault="00D8368B" w:rsidP="00D8368B">
      <w:pPr>
        <w:rPr>
          <w:rFonts w:eastAsia="Times New Roman" w:cs="Arial"/>
          <w:color w:val="000000"/>
          <w:szCs w:val="20"/>
          <w:lang w:eastAsia="bg-BG"/>
        </w:rPr>
      </w:pPr>
    </w:p>
    <w:p w14:paraId="570508C4" w14:textId="6533FFFC" w:rsidR="0091385D" w:rsidRDefault="00D8368B" w:rsidP="00D8368B">
      <w:pPr>
        <w:rPr>
          <w:rFonts w:eastAsia="Times New Roman" w:cs="Arial"/>
          <w:color w:val="000000"/>
          <w:szCs w:val="20"/>
          <w:lang w:eastAsia="bg-BG"/>
        </w:rPr>
      </w:pPr>
      <w:r w:rsidRPr="00D8368B">
        <w:rPr>
          <w:rFonts w:eastAsia="Times New Roman" w:cs="Arial"/>
          <w:color w:val="000000"/>
          <w:szCs w:val="20"/>
          <w:lang w:eastAsia="bg-BG"/>
        </w:rPr>
        <w:t>Таблица 2. Нежелани лекарствени реакции въз основа на клинични изпитвания и постмаркетингов опит</w:t>
      </w:r>
    </w:p>
    <w:tbl>
      <w:tblPr>
        <w:tblStyle w:val="TableGrid"/>
        <w:tblW w:w="0" w:type="auto"/>
        <w:tblLook w:val="04A0" w:firstRow="1" w:lastRow="0" w:firstColumn="1" w:lastColumn="0" w:noHBand="0" w:noVBand="1"/>
      </w:tblPr>
      <w:tblGrid>
        <w:gridCol w:w="3128"/>
        <w:gridCol w:w="3093"/>
        <w:gridCol w:w="3129"/>
      </w:tblGrid>
      <w:tr w:rsidR="00D8368B" w14:paraId="6976F2D8" w14:textId="77777777" w:rsidTr="00D8368B">
        <w:tc>
          <w:tcPr>
            <w:tcW w:w="3166" w:type="dxa"/>
          </w:tcPr>
          <w:p w14:paraId="0EBCC63B" w14:textId="7E7D064B" w:rsidR="00D8368B" w:rsidRPr="00D8368B" w:rsidRDefault="00D8368B" w:rsidP="00D8368B">
            <w:pPr>
              <w:rPr>
                <w:rFonts w:cs="Arial"/>
              </w:rPr>
            </w:pPr>
            <w:proofErr w:type="spellStart"/>
            <w:r w:rsidRPr="00D8368B">
              <w:rPr>
                <w:rFonts w:cs="Arial"/>
                <w:b/>
                <w:bCs/>
                <w:lang w:val="en-US"/>
              </w:rPr>
              <w:t>MedDRA</w:t>
            </w:r>
            <w:proofErr w:type="spellEnd"/>
            <w:r w:rsidRPr="00D8368B">
              <w:rPr>
                <w:rFonts w:cs="Arial"/>
                <w:b/>
                <w:bCs/>
                <w:lang w:val="en-US"/>
              </w:rPr>
              <w:t xml:space="preserve"> </w:t>
            </w:r>
            <w:r w:rsidRPr="00D8368B">
              <w:rPr>
                <w:rFonts w:cs="Arial"/>
                <w:b/>
                <w:bCs/>
              </w:rPr>
              <w:t>системо-органни класове</w:t>
            </w:r>
          </w:p>
        </w:tc>
        <w:tc>
          <w:tcPr>
            <w:tcW w:w="3167" w:type="dxa"/>
          </w:tcPr>
          <w:p w14:paraId="7B0D7A41" w14:textId="1D675473" w:rsidR="00D8368B" w:rsidRPr="00D8368B" w:rsidRDefault="00D8368B" w:rsidP="00D8368B">
            <w:pPr>
              <w:rPr>
                <w:rFonts w:cs="Arial"/>
              </w:rPr>
            </w:pPr>
            <w:r w:rsidRPr="00D8368B">
              <w:rPr>
                <w:rFonts w:cs="Arial"/>
                <w:b/>
                <w:bCs/>
              </w:rPr>
              <w:t>Честота</w:t>
            </w:r>
          </w:p>
        </w:tc>
        <w:tc>
          <w:tcPr>
            <w:tcW w:w="3167" w:type="dxa"/>
            <w:vAlign w:val="bottom"/>
          </w:tcPr>
          <w:p w14:paraId="4F1811FD" w14:textId="201F7428" w:rsidR="00D8368B" w:rsidRPr="00D8368B" w:rsidRDefault="00D8368B" w:rsidP="00D8368B">
            <w:pPr>
              <w:rPr>
                <w:rFonts w:cs="Arial"/>
              </w:rPr>
            </w:pPr>
            <w:r w:rsidRPr="00D8368B">
              <w:rPr>
                <w:rFonts w:cs="Arial"/>
                <w:b/>
                <w:bCs/>
              </w:rPr>
              <w:t>Нежелани лекарствени реакции</w:t>
            </w:r>
          </w:p>
        </w:tc>
      </w:tr>
      <w:tr w:rsidR="00D8368B" w14:paraId="46E3A9C8" w14:textId="77777777" w:rsidTr="00D8368B">
        <w:tc>
          <w:tcPr>
            <w:tcW w:w="3166" w:type="dxa"/>
            <w:vAlign w:val="bottom"/>
          </w:tcPr>
          <w:p w14:paraId="134F43CE" w14:textId="71B7D4BB" w:rsidR="00D8368B" w:rsidRPr="00D8368B" w:rsidRDefault="00D8368B" w:rsidP="00D8368B">
            <w:pPr>
              <w:rPr>
                <w:rFonts w:cs="Arial"/>
              </w:rPr>
            </w:pPr>
            <w:r w:rsidRPr="00D8368B">
              <w:rPr>
                <w:rFonts w:cs="Arial"/>
              </w:rPr>
              <w:t>Нарушения на кръвта и лимфната система</w:t>
            </w:r>
          </w:p>
        </w:tc>
        <w:tc>
          <w:tcPr>
            <w:tcW w:w="3167" w:type="dxa"/>
          </w:tcPr>
          <w:p w14:paraId="62E8E890" w14:textId="3468FE99" w:rsidR="00D8368B" w:rsidRPr="00D8368B" w:rsidRDefault="00D8368B" w:rsidP="00D8368B">
            <w:pPr>
              <w:rPr>
                <w:rFonts w:cs="Arial"/>
              </w:rPr>
            </w:pPr>
            <w:r w:rsidRPr="00D8368B">
              <w:rPr>
                <w:rFonts w:cs="Arial"/>
              </w:rPr>
              <w:t>Редки</w:t>
            </w:r>
          </w:p>
        </w:tc>
        <w:tc>
          <w:tcPr>
            <w:tcW w:w="3167" w:type="dxa"/>
          </w:tcPr>
          <w:p w14:paraId="1C2EB508" w14:textId="3AFC0661" w:rsidR="00D8368B" w:rsidRPr="00D8368B" w:rsidRDefault="00D8368B" w:rsidP="00D8368B">
            <w:pPr>
              <w:rPr>
                <w:rFonts w:cs="Arial"/>
              </w:rPr>
            </w:pPr>
            <w:r w:rsidRPr="00D8368B">
              <w:rPr>
                <w:rFonts w:cs="Arial"/>
              </w:rPr>
              <w:t>Тромбоцитопения</w:t>
            </w:r>
          </w:p>
        </w:tc>
      </w:tr>
      <w:tr w:rsidR="00D8368B" w14:paraId="39E34F84" w14:textId="77777777" w:rsidTr="00D8368B">
        <w:tc>
          <w:tcPr>
            <w:tcW w:w="3166" w:type="dxa"/>
          </w:tcPr>
          <w:p w14:paraId="26F52823" w14:textId="718D860F" w:rsidR="00D8368B" w:rsidRPr="00D8368B" w:rsidRDefault="00D8368B" w:rsidP="00D8368B">
            <w:pPr>
              <w:rPr>
                <w:rFonts w:cs="Arial"/>
              </w:rPr>
            </w:pPr>
            <w:r w:rsidRPr="00D8368B">
              <w:rPr>
                <w:rFonts w:cs="Arial"/>
              </w:rPr>
              <w:t>Нарушения на имунната система</w:t>
            </w:r>
          </w:p>
        </w:tc>
        <w:tc>
          <w:tcPr>
            <w:tcW w:w="3167" w:type="dxa"/>
          </w:tcPr>
          <w:p w14:paraId="26118F53" w14:textId="5D5CF0F2" w:rsidR="00D8368B" w:rsidRPr="00D8368B" w:rsidRDefault="00D8368B" w:rsidP="00D8368B">
            <w:pPr>
              <w:rPr>
                <w:rFonts w:cs="Arial"/>
              </w:rPr>
            </w:pPr>
            <w:r w:rsidRPr="00D8368B">
              <w:rPr>
                <w:rFonts w:cs="Arial"/>
              </w:rPr>
              <w:t>Редки</w:t>
            </w:r>
          </w:p>
        </w:tc>
        <w:tc>
          <w:tcPr>
            <w:tcW w:w="3167" w:type="dxa"/>
            <w:vAlign w:val="bottom"/>
          </w:tcPr>
          <w:p w14:paraId="0AB41702" w14:textId="51946BB9" w:rsidR="00D8368B" w:rsidRPr="00D8368B" w:rsidRDefault="00D8368B" w:rsidP="00D8368B">
            <w:pPr>
              <w:rPr>
                <w:rFonts w:cs="Arial"/>
              </w:rPr>
            </w:pPr>
            <w:r w:rsidRPr="00D8368B">
              <w:rPr>
                <w:rFonts w:cs="Arial"/>
              </w:rPr>
              <w:t>Реакции на свръхчувствителност, включително ангиоедем</w:t>
            </w:r>
          </w:p>
        </w:tc>
      </w:tr>
      <w:tr w:rsidR="00D8368B" w14:paraId="33207297" w14:textId="77777777" w:rsidTr="00D8368B">
        <w:tc>
          <w:tcPr>
            <w:tcW w:w="3166" w:type="dxa"/>
            <w:vAlign w:val="bottom"/>
          </w:tcPr>
          <w:p w14:paraId="606E3FBC" w14:textId="45F5830E" w:rsidR="00D8368B" w:rsidRPr="00D8368B" w:rsidRDefault="00D8368B" w:rsidP="00D8368B">
            <w:pPr>
              <w:rPr>
                <w:rFonts w:cs="Arial"/>
              </w:rPr>
            </w:pPr>
            <w:r w:rsidRPr="00D8368B">
              <w:rPr>
                <w:rFonts w:cs="Arial"/>
              </w:rPr>
              <w:t>Нарушения на ендокринната система</w:t>
            </w:r>
          </w:p>
        </w:tc>
        <w:tc>
          <w:tcPr>
            <w:tcW w:w="3167" w:type="dxa"/>
          </w:tcPr>
          <w:p w14:paraId="009005C3" w14:textId="76B18AAC" w:rsidR="00D8368B" w:rsidRPr="00D8368B" w:rsidRDefault="00D8368B" w:rsidP="00D8368B">
            <w:pPr>
              <w:rPr>
                <w:rFonts w:cs="Arial"/>
              </w:rPr>
            </w:pPr>
            <w:r w:rsidRPr="00D8368B">
              <w:rPr>
                <w:rFonts w:cs="Arial"/>
              </w:rPr>
              <w:t>Чести</w:t>
            </w:r>
          </w:p>
        </w:tc>
        <w:tc>
          <w:tcPr>
            <w:tcW w:w="3167" w:type="dxa"/>
          </w:tcPr>
          <w:p w14:paraId="3039C3FC" w14:textId="1421D97B" w:rsidR="00D8368B" w:rsidRPr="00D8368B" w:rsidRDefault="00D8368B" w:rsidP="00D8368B">
            <w:pPr>
              <w:rPr>
                <w:rFonts w:cs="Arial"/>
              </w:rPr>
            </w:pPr>
            <w:r w:rsidRPr="00D8368B">
              <w:rPr>
                <w:rFonts w:cs="Arial"/>
              </w:rPr>
              <w:t>Захарен диабет</w:t>
            </w:r>
            <w:r w:rsidRPr="00D8368B">
              <w:rPr>
                <w:rFonts w:cs="Arial"/>
                <w:vertAlign w:val="superscript"/>
              </w:rPr>
              <w:t>1</w:t>
            </w:r>
          </w:p>
        </w:tc>
      </w:tr>
      <w:tr w:rsidR="00D8368B" w14:paraId="0DB95E9A" w14:textId="77777777" w:rsidTr="00D8368B">
        <w:tc>
          <w:tcPr>
            <w:tcW w:w="3166" w:type="dxa"/>
          </w:tcPr>
          <w:p w14:paraId="7ED8DA3D" w14:textId="71A0F3DC" w:rsidR="00D8368B" w:rsidRPr="00D8368B" w:rsidRDefault="00D8368B" w:rsidP="00D8368B">
            <w:pPr>
              <w:rPr>
                <w:rFonts w:cs="Arial"/>
              </w:rPr>
            </w:pPr>
            <w:r w:rsidRPr="00D8368B">
              <w:rPr>
                <w:rFonts w:cs="Arial"/>
              </w:rPr>
              <w:t>Психични нарушения</w:t>
            </w:r>
          </w:p>
        </w:tc>
        <w:tc>
          <w:tcPr>
            <w:tcW w:w="3167" w:type="dxa"/>
            <w:vAlign w:val="bottom"/>
          </w:tcPr>
          <w:p w14:paraId="60395460" w14:textId="46B83742" w:rsidR="00D8368B" w:rsidRPr="00D8368B" w:rsidRDefault="00D8368B" w:rsidP="00D8368B">
            <w:pPr>
              <w:rPr>
                <w:rFonts w:cs="Arial"/>
              </w:rPr>
            </w:pPr>
            <w:r w:rsidRPr="00D8368B">
              <w:rPr>
                <w:rFonts w:cs="Arial"/>
              </w:rPr>
              <w:t>С неизвестна честота</w:t>
            </w:r>
          </w:p>
        </w:tc>
        <w:tc>
          <w:tcPr>
            <w:tcW w:w="3167" w:type="dxa"/>
          </w:tcPr>
          <w:p w14:paraId="1266D300" w14:textId="242CAE07" w:rsidR="00D8368B" w:rsidRPr="00D8368B" w:rsidRDefault="00D8368B" w:rsidP="00D8368B">
            <w:pPr>
              <w:rPr>
                <w:rFonts w:cs="Arial"/>
              </w:rPr>
            </w:pPr>
            <w:r w:rsidRPr="00D8368B">
              <w:rPr>
                <w:rFonts w:cs="Arial"/>
              </w:rPr>
              <w:t>Депресия</w:t>
            </w:r>
          </w:p>
        </w:tc>
      </w:tr>
      <w:tr w:rsidR="00D8368B" w14:paraId="50DC8798" w14:textId="77777777" w:rsidTr="00D8368B">
        <w:tc>
          <w:tcPr>
            <w:tcW w:w="3166" w:type="dxa"/>
            <w:vMerge w:val="restart"/>
          </w:tcPr>
          <w:p w14:paraId="1B6EE4E2" w14:textId="0E661ABC" w:rsidR="00D8368B" w:rsidRPr="00D8368B" w:rsidRDefault="00D8368B" w:rsidP="00D8368B">
            <w:pPr>
              <w:rPr>
                <w:rFonts w:cs="Arial"/>
              </w:rPr>
            </w:pPr>
            <w:r w:rsidRPr="00D8368B">
              <w:rPr>
                <w:rFonts w:cs="Arial"/>
              </w:rPr>
              <w:t>Нарушения на нервната система</w:t>
            </w:r>
          </w:p>
        </w:tc>
        <w:tc>
          <w:tcPr>
            <w:tcW w:w="3167" w:type="dxa"/>
          </w:tcPr>
          <w:p w14:paraId="084F68A7" w14:textId="1C80DC3B" w:rsidR="00D8368B" w:rsidRPr="00D8368B" w:rsidRDefault="00D8368B" w:rsidP="00D8368B">
            <w:pPr>
              <w:rPr>
                <w:rFonts w:cs="Arial"/>
              </w:rPr>
            </w:pPr>
            <w:r w:rsidRPr="00D8368B">
              <w:rPr>
                <w:rFonts w:cs="Arial"/>
              </w:rPr>
              <w:t>Чести</w:t>
            </w:r>
          </w:p>
        </w:tc>
        <w:tc>
          <w:tcPr>
            <w:tcW w:w="3167" w:type="dxa"/>
            <w:vAlign w:val="bottom"/>
          </w:tcPr>
          <w:p w14:paraId="696E8B22" w14:textId="168D7EA1" w:rsidR="00D8368B" w:rsidRPr="00D8368B" w:rsidRDefault="00D8368B" w:rsidP="00D8368B">
            <w:pPr>
              <w:rPr>
                <w:rFonts w:cs="Arial"/>
              </w:rPr>
            </w:pPr>
            <w:r w:rsidRPr="00D8368B">
              <w:rPr>
                <w:rFonts w:cs="Arial"/>
              </w:rPr>
              <w:t>Главоболие Замайване</w:t>
            </w:r>
          </w:p>
        </w:tc>
      </w:tr>
      <w:tr w:rsidR="00D8368B" w14:paraId="6A52FA07" w14:textId="77777777" w:rsidTr="00D8368B">
        <w:tc>
          <w:tcPr>
            <w:tcW w:w="3166" w:type="dxa"/>
            <w:vMerge/>
          </w:tcPr>
          <w:p w14:paraId="374AAFCE" w14:textId="77777777" w:rsidR="00D8368B" w:rsidRPr="00D8368B" w:rsidRDefault="00D8368B" w:rsidP="00D8368B">
            <w:pPr>
              <w:rPr>
                <w:rFonts w:cs="Arial"/>
              </w:rPr>
            </w:pPr>
          </w:p>
        </w:tc>
        <w:tc>
          <w:tcPr>
            <w:tcW w:w="3167" w:type="dxa"/>
          </w:tcPr>
          <w:p w14:paraId="474746A8" w14:textId="4D3FACFF" w:rsidR="00D8368B" w:rsidRPr="00D8368B" w:rsidRDefault="00D8368B" w:rsidP="00D8368B">
            <w:pPr>
              <w:rPr>
                <w:rFonts w:cs="Arial"/>
              </w:rPr>
            </w:pPr>
            <w:r w:rsidRPr="00D8368B">
              <w:rPr>
                <w:rFonts w:cs="Arial"/>
              </w:rPr>
              <w:t>Много редки</w:t>
            </w:r>
          </w:p>
        </w:tc>
        <w:tc>
          <w:tcPr>
            <w:tcW w:w="3167" w:type="dxa"/>
            <w:vAlign w:val="bottom"/>
          </w:tcPr>
          <w:p w14:paraId="146E6630" w14:textId="1EDC898E" w:rsidR="00D8368B" w:rsidRPr="00D8368B" w:rsidRDefault="00D8368B" w:rsidP="00D8368B">
            <w:pPr>
              <w:rPr>
                <w:rFonts w:cs="Arial"/>
              </w:rPr>
            </w:pPr>
            <w:r w:rsidRPr="00D8368B">
              <w:rPr>
                <w:rFonts w:cs="Arial"/>
              </w:rPr>
              <w:t>Полиневропатия Загуба на памет</w:t>
            </w:r>
          </w:p>
        </w:tc>
      </w:tr>
      <w:tr w:rsidR="00D8368B" w14:paraId="05B8B1CC" w14:textId="77777777" w:rsidTr="00D8368B">
        <w:tc>
          <w:tcPr>
            <w:tcW w:w="3166" w:type="dxa"/>
            <w:vMerge/>
          </w:tcPr>
          <w:p w14:paraId="0C4EE066" w14:textId="77777777" w:rsidR="00D8368B" w:rsidRPr="00D8368B" w:rsidRDefault="00D8368B" w:rsidP="00D8368B">
            <w:pPr>
              <w:rPr>
                <w:rFonts w:cs="Arial"/>
              </w:rPr>
            </w:pPr>
          </w:p>
        </w:tc>
        <w:tc>
          <w:tcPr>
            <w:tcW w:w="3167" w:type="dxa"/>
          </w:tcPr>
          <w:p w14:paraId="49035437" w14:textId="0D95DB0A" w:rsidR="00D8368B" w:rsidRPr="00D8368B" w:rsidRDefault="00D8368B" w:rsidP="00D8368B">
            <w:pPr>
              <w:rPr>
                <w:rFonts w:cs="Arial"/>
              </w:rPr>
            </w:pPr>
            <w:r w:rsidRPr="00D8368B">
              <w:rPr>
                <w:rFonts w:cs="Arial"/>
              </w:rPr>
              <w:t>С неизвестна честота</w:t>
            </w:r>
          </w:p>
        </w:tc>
        <w:tc>
          <w:tcPr>
            <w:tcW w:w="3167" w:type="dxa"/>
            <w:vAlign w:val="bottom"/>
          </w:tcPr>
          <w:p w14:paraId="4900C8ED" w14:textId="77777777" w:rsidR="00D8368B" w:rsidRPr="00D8368B" w:rsidRDefault="00D8368B" w:rsidP="00D8368B">
            <w:pPr>
              <w:rPr>
                <w:rFonts w:cs="Arial"/>
              </w:rPr>
            </w:pPr>
            <w:r w:rsidRPr="00D8368B">
              <w:rPr>
                <w:rFonts w:cs="Arial"/>
              </w:rPr>
              <w:t>Периферна невропатия</w:t>
            </w:r>
          </w:p>
          <w:p w14:paraId="1FC28D70" w14:textId="3E291213" w:rsidR="00D8368B" w:rsidRPr="00D8368B" w:rsidRDefault="00D8368B" w:rsidP="00D8368B">
            <w:pPr>
              <w:rPr>
                <w:rFonts w:cs="Arial"/>
              </w:rPr>
            </w:pPr>
            <w:r w:rsidRPr="00D8368B">
              <w:rPr>
                <w:rFonts w:cs="Arial"/>
              </w:rPr>
              <w:lastRenderedPageBreak/>
              <w:t>Нарушения на съня (включително безсъние и кошмари)</w:t>
            </w:r>
          </w:p>
        </w:tc>
      </w:tr>
      <w:tr w:rsidR="00D8368B" w14:paraId="1CFE4062" w14:textId="77777777" w:rsidTr="00D8368B">
        <w:tc>
          <w:tcPr>
            <w:tcW w:w="3166" w:type="dxa"/>
            <w:vMerge/>
          </w:tcPr>
          <w:p w14:paraId="198983C1" w14:textId="77777777" w:rsidR="00D8368B" w:rsidRPr="00D8368B" w:rsidRDefault="00D8368B" w:rsidP="00D8368B">
            <w:pPr>
              <w:rPr>
                <w:rFonts w:cs="Arial"/>
              </w:rPr>
            </w:pPr>
          </w:p>
        </w:tc>
        <w:tc>
          <w:tcPr>
            <w:tcW w:w="3167" w:type="dxa"/>
          </w:tcPr>
          <w:p w14:paraId="4B902FC5" w14:textId="5B923833" w:rsidR="00D8368B" w:rsidRPr="00D8368B" w:rsidRDefault="00D8368B" w:rsidP="00D8368B">
            <w:pPr>
              <w:rPr>
                <w:rFonts w:cs="Arial"/>
              </w:rPr>
            </w:pPr>
            <w:r w:rsidRPr="00D8368B">
              <w:rPr>
                <w:rFonts w:cs="Arial"/>
              </w:rPr>
              <w:t>Респираторни, гръдни и медиастинални нарушения</w:t>
            </w:r>
          </w:p>
        </w:tc>
        <w:tc>
          <w:tcPr>
            <w:tcW w:w="3167" w:type="dxa"/>
          </w:tcPr>
          <w:p w14:paraId="75857C4B" w14:textId="1382E521" w:rsidR="00D8368B" w:rsidRPr="00D8368B" w:rsidRDefault="00D8368B" w:rsidP="00D8368B">
            <w:pPr>
              <w:rPr>
                <w:rFonts w:cs="Arial"/>
              </w:rPr>
            </w:pPr>
            <w:r w:rsidRPr="00D8368B">
              <w:rPr>
                <w:rFonts w:cs="Arial"/>
              </w:rPr>
              <w:t>С неизвестна честота</w:t>
            </w:r>
          </w:p>
        </w:tc>
      </w:tr>
      <w:tr w:rsidR="00D8368B" w14:paraId="2FEE5F58" w14:textId="77777777" w:rsidTr="00D8368B">
        <w:tc>
          <w:tcPr>
            <w:tcW w:w="3166" w:type="dxa"/>
            <w:vMerge w:val="restart"/>
          </w:tcPr>
          <w:p w14:paraId="60F8C23F" w14:textId="5E1682A5" w:rsidR="00D8368B" w:rsidRPr="00D8368B" w:rsidRDefault="00D8368B" w:rsidP="00D8368B">
            <w:pPr>
              <w:rPr>
                <w:rFonts w:cs="Arial"/>
              </w:rPr>
            </w:pPr>
            <w:r w:rsidRPr="00D8368B">
              <w:rPr>
                <w:rFonts w:cs="Arial"/>
              </w:rPr>
              <w:t>Стомашно-чревни нарушения</w:t>
            </w:r>
          </w:p>
        </w:tc>
        <w:tc>
          <w:tcPr>
            <w:tcW w:w="3167" w:type="dxa"/>
          </w:tcPr>
          <w:p w14:paraId="4240D223" w14:textId="01941FA1" w:rsidR="00D8368B" w:rsidRPr="00D8368B" w:rsidRDefault="00D8368B" w:rsidP="00D8368B">
            <w:pPr>
              <w:rPr>
                <w:rFonts w:cs="Arial"/>
              </w:rPr>
            </w:pPr>
            <w:r w:rsidRPr="00D8368B">
              <w:rPr>
                <w:rFonts w:cs="Arial"/>
              </w:rPr>
              <w:t>Чести</w:t>
            </w:r>
          </w:p>
        </w:tc>
        <w:tc>
          <w:tcPr>
            <w:tcW w:w="3167" w:type="dxa"/>
          </w:tcPr>
          <w:p w14:paraId="2A8E0F66" w14:textId="77777777" w:rsidR="00D8368B" w:rsidRPr="00D8368B" w:rsidRDefault="00D8368B" w:rsidP="00D8368B">
            <w:pPr>
              <w:rPr>
                <w:rFonts w:cs="Arial"/>
              </w:rPr>
            </w:pPr>
            <w:r w:rsidRPr="00D8368B">
              <w:rPr>
                <w:rFonts w:cs="Arial"/>
              </w:rPr>
              <w:t>Запек</w:t>
            </w:r>
          </w:p>
          <w:p w14:paraId="26F18BF7" w14:textId="77777777" w:rsidR="00D8368B" w:rsidRPr="00D8368B" w:rsidRDefault="00D8368B" w:rsidP="00D8368B">
            <w:pPr>
              <w:rPr>
                <w:rFonts w:cs="Arial"/>
              </w:rPr>
            </w:pPr>
            <w:r w:rsidRPr="00D8368B">
              <w:rPr>
                <w:rFonts w:cs="Arial"/>
              </w:rPr>
              <w:t>Гадене</w:t>
            </w:r>
          </w:p>
          <w:p w14:paraId="4BCA6E18" w14:textId="1B934E00" w:rsidR="00D8368B" w:rsidRPr="00D8368B" w:rsidRDefault="00D8368B" w:rsidP="00D8368B">
            <w:pPr>
              <w:rPr>
                <w:rFonts w:cs="Arial"/>
              </w:rPr>
            </w:pPr>
            <w:r w:rsidRPr="00D8368B">
              <w:rPr>
                <w:rFonts w:cs="Arial"/>
              </w:rPr>
              <w:t>Стомашна болка</w:t>
            </w:r>
          </w:p>
        </w:tc>
      </w:tr>
      <w:tr w:rsidR="00D8368B" w14:paraId="4021BA0F" w14:textId="77777777" w:rsidTr="00D8368B">
        <w:tc>
          <w:tcPr>
            <w:tcW w:w="3166" w:type="dxa"/>
            <w:vMerge/>
          </w:tcPr>
          <w:p w14:paraId="66CC7787" w14:textId="77777777" w:rsidR="00D8368B" w:rsidRPr="00D8368B" w:rsidRDefault="00D8368B" w:rsidP="00D8368B">
            <w:pPr>
              <w:rPr>
                <w:rFonts w:cs="Arial"/>
              </w:rPr>
            </w:pPr>
          </w:p>
        </w:tc>
        <w:tc>
          <w:tcPr>
            <w:tcW w:w="3167" w:type="dxa"/>
          </w:tcPr>
          <w:p w14:paraId="4D125799" w14:textId="7D2407DD" w:rsidR="00D8368B" w:rsidRPr="00D8368B" w:rsidRDefault="00D8368B" w:rsidP="00D8368B">
            <w:pPr>
              <w:rPr>
                <w:rFonts w:cs="Arial"/>
              </w:rPr>
            </w:pPr>
            <w:r w:rsidRPr="00D8368B">
              <w:rPr>
                <w:rFonts w:cs="Arial"/>
              </w:rPr>
              <w:t>Редки</w:t>
            </w:r>
          </w:p>
        </w:tc>
        <w:tc>
          <w:tcPr>
            <w:tcW w:w="3167" w:type="dxa"/>
          </w:tcPr>
          <w:p w14:paraId="53B77574" w14:textId="6A4E91C5" w:rsidR="00D8368B" w:rsidRPr="00D8368B" w:rsidRDefault="00D8368B" w:rsidP="00D8368B">
            <w:pPr>
              <w:rPr>
                <w:rFonts w:cs="Arial"/>
              </w:rPr>
            </w:pPr>
            <w:r w:rsidRPr="00D8368B">
              <w:rPr>
                <w:rFonts w:cs="Arial"/>
              </w:rPr>
              <w:t>Панкреатит</w:t>
            </w:r>
          </w:p>
        </w:tc>
      </w:tr>
      <w:tr w:rsidR="00D8368B" w14:paraId="3147C53A" w14:textId="77777777" w:rsidTr="00D8368B">
        <w:tc>
          <w:tcPr>
            <w:tcW w:w="3166" w:type="dxa"/>
            <w:vMerge/>
          </w:tcPr>
          <w:p w14:paraId="68EB9FE6" w14:textId="77777777" w:rsidR="00D8368B" w:rsidRPr="00D8368B" w:rsidRDefault="00D8368B" w:rsidP="00D8368B">
            <w:pPr>
              <w:rPr>
                <w:rFonts w:cs="Arial"/>
              </w:rPr>
            </w:pPr>
          </w:p>
        </w:tc>
        <w:tc>
          <w:tcPr>
            <w:tcW w:w="3167" w:type="dxa"/>
          </w:tcPr>
          <w:p w14:paraId="32621B37" w14:textId="633B2B20" w:rsidR="00D8368B" w:rsidRPr="00D8368B" w:rsidRDefault="00D8368B" w:rsidP="00D8368B">
            <w:pPr>
              <w:rPr>
                <w:rFonts w:cs="Arial"/>
              </w:rPr>
            </w:pPr>
            <w:r w:rsidRPr="00D8368B">
              <w:rPr>
                <w:rFonts w:cs="Arial"/>
              </w:rPr>
              <w:t>С неизвестна честота</w:t>
            </w:r>
          </w:p>
        </w:tc>
        <w:tc>
          <w:tcPr>
            <w:tcW w:w="3167" w:type="dxa"/>
          </w:tcPr>
          <w:p w14:paraId="78BACC97" w14:textId="6FF24E6D" w:rsidR="00D8368B" w:rsidRPr="00D8368B" w:rsidRDefault="00D8368B" w:rsidP="00D8368B">
            <w:pPr>
              <w:rPr>
                <w:rFonts w:cs="Arial"/>
              </w:rPr>
            </w:pPr>
            <w:r w:rsidRPr="00D8368B">
              <w:rPr>
                <w:rFonts w:cs="Arial"/>
              </w:rPr>
              <w:t>Диария</w:t>
            </w:r>
          </w:p>
        </w:tc>
      </w:tr>
      <w:tr w:rsidR="00D8368B" w14:paraId="1CD2642B" w14:textId="77777777" w:rsidTr="00D8368B">
        <w:tc>
          <w:tcPr>
            <w:tcW w:w="3166" w:type="dxa"/>
            <w:vMerge w:val="restart"/>
          </w:tcPr>
          <w:p w14:paraId="29660C07" w14:textId="209ED7AC" w:rsidR="00D8368B" w:rsidRPr="00D8368B" w:rsidRDefault="00D8368B" w:rsidP="00D8368B">
            <w:pPr>
              <w:rPr>
                <w:rFonts w:cs="Arial"/>
              </w:rPr>
            </w:pPr>
            <w:r w:rsidRPr="00D8368B">
              <w:rPr>
                <w:rFonts w:cs="Arial"/>
              </w:rPr>
              <w:t>Хепатобилиарни нарушения</w:t>
            </w:r>
          </w:p>
        </w:tc>
        <w:tc>
          <w:tcPr>
            <w:tcW w:w="3167" w:type="dxa"/>
          </w:tcPr>
          <w:p w14:paraId="4AE826BC" w14:textId="3DB7A9B4" w:rsidR="00D8368B" w:rsidRPr="00D8368B" w:rsidRDefault="00D8368B" w:rsidP="00D8368B">
            <w:pPr>
              <w:rPr>
                <w:rFonts w:cs="Arial"/>
              </w:rPr>
            </w:pPr>
            <w:r w:rsidRPr="00D8368B">
              <w:rPr>
                <w:rFonts w:cs="Arial"/>
              </w:rPr>
              <w:t>Редки</w:t>
            </w:r>
          </w:p>
        </w:tc>
        <w:tc>
          <w:tcPr>
            <w:tcW w:w="3167" w:type="dxa"/>
          </w:tcPr>
          <w:p w14:paraId="4722CAFF" w14:textId="49F62CD7" w:rsidR="00D8368B" w:rsidRPr="00D8368B" w:rsidRDefault="00D8368B" w:rsidP="00D8368B">
            <w:pPr>
              <w:rPr>
                <w:rFonts w:cs="Arial"/>
              </w:rPr>
            </w:pPr>
            <w:r w:rsidRPr="00D8368B">
              <w:rPr>
                <w:rFonts w:cs="Arial"/>
              </w:rPr>
              <w:t>Повишени стойности на чернодробните трансаминази</w:t>
            </w:r>
          </w:p>
        </w:tc>
      </w:tr>
      <w:tr w:rsidR="00D8368B" w14:paraId="5E722AD2" w14:textId="77777777" w:rsidTr="00D8368B">
        <w:tc>
          <w:tcPr>
            <w:tcW w:w="3166" w:type="dxa"/>
            <w:vMerge/>
          </w:tcPr>
          <w:p w14:paraId="4E597CB1" w14:textId="77777777" w:rsidR="00D8368B" w:rsidRPr="00D8368B" w:rsidRDefault="00D8368B" w:rsidP="00D8368B">
            <w:pPr>
              <w:rPr>
                <w:rFonts w:cs="Arial"/>
              </w:rPr>
            </w:pPr>
          </w:p>
        </w:tc>
        <w:tc>
          <w:tcPr>
            <w:tcW w:w="3167" w:type="dxa"/>
          </w:tcPr>
          <w:p w14:paraId="5A117F8C" w14:textId="042314C4" w:rsidR="00D8368B" w:rsidRPr="00D8368B" w:rsidRDefault="00D8368B" w:rsidP="00D8368B">
            <w:pPr>
              <w:rPr>
                <w:rFonts w:cs="Arial"/>
              </w:rPr>
            </w:pPr>
            <w:r w:rsidRPr="00D8368B">
              <w:rPr>
                <w:rFonts w:cs="Arial"/>
              </w:rPr>
              <w:t>Много редки</w:t>
            </w:r>
          </w:p>
        </w:tc>
        <w:tc>
          <w:tcPr>
            <w:tcW w:w="3167" w:type="dxa"/>
          </w:tcPr>
          <w:p w14:paraId="6C56F141" w14:textId="50E062D1" w:rsidR="00D8368B" w:rsidRPr="00D8368B" w:rsidRDefault="00D8368B" w:rsidP="00D8368B">
            <w:pPr>
              <w:rPr>
                <w:rFonts w:cs="Arial"/>
              </w:rPr>
            </w:pPr>
            <w:r w:rsidRPr="00D8368B">
              <w:rPr>
                <w:rFonts w:cs="Arial"/>
              </w:rPr>
              <w:t>Жълтеница Хепатит</w:t>
            </w:r>
          </w:p>
        </w:tc>
      </w:tr>
      <w:tr w:rsidR="00D8368B" w14:paraId="04163FC5" w14:textId="77777777" w:rsidTr="00D8368B">
        <w:tc>
          <w:tcPr>
            <w:tcW w:w="3166" w:type="dxa"/>
            <w:vMerge w:val="restart"/>
          </w:tcPr>
          <w:p w14:paraId="5CE19CD1" w14:textId="08C4B243" w:rsidR="00D8368B" w:rsidRPr="00D8368B" w:rsidRDefault="00D8368B" w:rsidP="00D8368B">
            <w:pPr>
              <w:rPr>
                <w:rFonts w:cs="Arial"/>
              </w:rPr>
            </w:pPr>
            <w:r w:rsidRPr="00D8368B">
              <w:rPr>
                <w:rFonts w:cs="Arial"/>
              </w:rPr>
              <w:t>Нарушения на кожата и подкожната тъкан</w:t>
            </w:r>
          </w:p>
        </w:tc>
        <w:tc>
          <w:tcPr>
            <w:tcW w:w="3167" w:type="dxa"/>
          </w:tcPr>
          <w:p w14:paraId="5649F8A8" w14:textId="4B3BCDEE" w:rsidR="00D8368B" w:rsidRPr="00D8368B" w:rsidRDefault="00D8368B" w:rsidP="00D8368B">
            <w:pPr>
              <w:rPr>
                <w:rFonts w:cs="Arial"/>
              </w:rPr>
            </w:pPr>
            <w:r w:rsidRPr="00D8368B">
              <w:rPr>
                <w:rFonts w:cs="Arial"/>
              </w:rPr>
              <w:t>Нечести</w:t>
            </w:r>
          </w:p>
        </w:tc>
        <w:tc>
          <w:tcPr>
            <w:tcW w:w="3167" w:type="dxa"/>
          </w:tcPr>
          <w:p w14:paraId="6ED53319" w14:textId="505813C7" w:rsidR="00D8368B" w:rsidRPr="00D8368B" w:rsidRDefault="00D8368B" w:rsidP="00D8368B">
            <w:pPr>
              <w:rPr>
                <w:rFonts w:cs="Arial"/>
              </w:rPr>
            </w:pPr>
            <w:r w:rsidRPr="00D8368B">
              <w:rPr>
                <w:rFonts w:cs="Arial"/>
              </w:rPr>
              <w:t>Сърбеж Обрив Уртикария</w:t>
            </w:r>
          </w:p>
        </w:tc>
      </w:tr>
      <w:tr w:rsidR="00D8368B" w14:paraId="71C1DE31" w14:textId="77777777" w:rsidTr="00D8368B">
        <w:tc>
          <w:tcPr>
            <w:tcW w:w="3166" w:type="dxa"/>
            <w:vMerge/>
          </w:tcPr>
          <w:p w14:paraId="64991B71" w14:textId="77777777" w:rsidR="00D8368B" w:rsidRPr="00D8368B" w:rsidRDefault="00D8368B" w:rsidP="00D8368B">
            <w:pPr>
              <w:rPr>
                <w:rFonts w:cs="Arial"/>
              </w:rPr>
            </w:pPr>
          </w:p>
        </w:tc>
        <w:tc>
          <w:tcPr>
            <w:tcW w:w="3167" w:type="dxa"/>
          </w:tcPr>
          <w:p w14:paraId="60BEA4B3" w14:textId="5DFB9DD8" w:rsidR="00D8368B" w:rsidRPr="00D8368B" w:rsidRDefault="00D8368B" w:rsidP="00D8368B">
            <w:pPr>
              <w:rPr>
                <w:rFonts w:cs="Arial"/>
              </w:rPr>
            </w:pPr>
            <w:r w:rsidRPr="00D8368B">
              <w:rPr>
                <w:rFonts w:cs="Arial"/>
              </w:rPr>
              <w:t>С неизвестна честота</w:t>
            </w:r>
          </w:p>
        </w:tc>
        <w:tc>
          <w:tcPr>
            <w:tcW w:w="3167" w:type="dxa"/>
          </w:tcPr>
          <w:p w14:paraId="0CC16164" w14:textId="18E35E88" w:rsidR="00D8368B" w:rsidRPr="00D8368B" w:rsidRDefault="00D8368B" w:rsidP="00D8368B">
            <w:pPr>
              <w:rPr>
                <w:rFonts w:cs="Arial"/>
              </w:rPr>
            </w:pPr>
            <w:r w:rsidRPr="00D8368B">
              <w:rPr>
                <w:rFonts w:cs="Arial"/>
              </w:rPr>
              <w:t xml:space="preserve">Синдром на </w:t>
            </w:r>
            <w:r w:rsidRPr="00D8368B">
              <w:rPr>
                <w:rFonts w:cs="Arial"/>
                <w:lang w:val="en-US"/>
              </w:rPr>
              <w:t xml:space="preserve">Stevens-Johnson </w:t>
            </w:r>
            <w:r w:rsidRPr="00D8368B">
              <w:rPr>
                <w:rFonts w:cs="Arial"/>
              </w:rPr>
              <w:t xml:space="preserve">Лекарствена реакция с еозинофилия и системни симптоми </w:t>
            </w:r>
            <w:r w:rsidRPr="00D8368B">
              <w:rPr>
                <w:rFonts w:cs="Arial"/>
                <w:lang w:val="en-US"/>
              </w:rPr>
              <w:t>(DRESS)</w:t>
            </w:r>
          </w:p>
        </w:tc>
      </w:tr>
      <w:tr w:rsidR="00D8368B" w14:paraId="386FE1D1" w14:textId="77777777" w:rsidTr="00D8368B">
        <w:tc>
          <w:tcPr>
            <w:tcW w:w="3166" w:type="dxa"/>
            <w:vMerge w:val="restart"/>
          </w:tcPr>
          <w:p w14:paraId="3575E5BA" w14:textId="454BD76F" w:rsidR="00D8368B" w:rsidRPr="00D8368B" w:rsidRDefault="00D8368B" w:rsidP="00D8368B">
            <w:pPr>
              <w:rPr>
                <w:rFonts w:cs="Arial"/>
              </w:rPr>
            </w:pPr>
            <w:r w:rsidRPr="00D8368B">
              <w:rPr>
                <w:rFonts w:cs="Arial"/>
              </w:rPr>
              <w:t>Нарушения на мускулно- скелетната система и съединителната тъкан</w:t>
            </w:r>
          </w:p>
        </w:tc>
        <w:tc>
          <w:tcPr>
            <w:tcW w:w="3167" w:type="dxa"/>
          </w:tcPr>
          <w:p w14:paraId="06FAE804" w14:textId="34E04013" w:rsidR="00D8368B" w:rsidRPr="00D8368B" w:rsidRDefault="00D8368B" w:rsidP="00D8368B">
            <w:pPr>
              <w:rPr>
                <w:rFonts w:cs="Arial"/>
              </w:rPr>
            </w:pPr>
            <w:r w:rsidRPr="00D8368B">
              <w:rPr>
                <w:rFonts w:cs="Arial"/>
              </w:rPr>
              <w:t>Чести</w:t>
            </w:r>
          </w:p>
        </w:tc>
        <w:tc>
          <w:tcPr>
            <w:tcW w:w="3167" w:type="dxa"/>
          </w:tcPr>
          <w:p w14:paraId="62A393F4" w14:textId="1A06E6AE" w:rsidR="00D8368B" w:rsidRPr="00D8368B" w:rsidRDefault="00D8368B" w:rsidP="00D8368B">
            <w:pPr>
              <w:rPr>
                <w:rFonts w:cs="Arial"/>
              </w:rPr>
            </w:pPr>
            <w:r w:rsidRPr="00D8368B">
              <w:rPr>
                <w:rFonts w:cs="Arial"/>
              </w:rPr>
              <w:t>Миалгия</w:t>
            </w:r>
          </w:p>
        </w:tc>
      </w:tr>
      <w:tr w:rsidR="00D8368B" w14:paraId="4ABE378E" w14:textId="77777777" w:rsidTr="00D8368B">
        <w:tc>
          <w:tcPr>
            <w:tcW w:w="3166" w:type="dxa"/>
            <w:vMerge/>
          </w:tcPr>
          <w:p w14:paraId="3736D12A" w14:textId="77777777" w:rsidR="00D8368B" w:rsidRPr="00D8368B" w:rsidRDefault="00D8368B" w:rsidP="00D8368B">
            <w:pPr>
              <w:rPr>
                <w:rFonts w:cs="Arial"/>
              </w:rPr>
            </w:pPr>
          </w:p>
        </w:tc>
        <w:tc>
          <w:tcPr>
            <w:tcW w:w="3167" w:type="dxa"/>
          </w:tcPr>
          <w:p w14:paraId="4D03019D" w14:textId="15CC6985" w:rsidR="00D8368B" w:rsidRPr="00D8368B" w:rsidRDefault="00D8368B" w:rsidP="00D8368B">
            <w:pPr>
              <w:rPr>
                <w:rFonts w:cs="Arial"/>
              </w:rPr>
            </w:pPr>
            <w:r w:rsidRPr="00D8368B">
              <w:rPr>
                <w:rFonts w:cs="Arial"/>
              </w:rPr>
              <w:t>Редки</w:t>
            </w:r>
          </w:p>
        </w:tc>
        <w:tc>
          <w:tcPr>
            <w:tcW w:w="3167" w:type="dxa"/>
          </w:tcPr>
          <w:p w14:paraId="5DF8D1A8" w14:textId="77777777" w:rsidR="00D8368B" w:rsidRPr="00D8368B" w:rsidRDefault="00D8368B" w:rsidP="00D8368B">
            <w:pPr>
              <w:rPr>
                <w:rFonts w:cs="Arial"/>
              </w:rPr>
            </w:pPr>
            <w:r w:rsidRPr="00D8368B">
              <w:rPr>
                <w:rFonts w:cs="Arial"/>
              </w:rPr>
              <w:t>Миопатия (включително миозит) Рабдомиолиза</w:t>
            </w:r>
          </w:p>
          <w:p w14:paraId="2D8FF8AB" w14:textId="77777777" w:rsidR="00D8368B" w:rsidRPr="00D8368B" w:rsidRDefault="00D8368B" w:rsidP="00D8368B">
            <w:pPr>
              <w:rPr>
                <w:rFonts w:cs="Arial"/>
              </w:rPr>
            </w:pPr>
            <w:r w:rsidRPr="00D8368B">
              <w:rPr>
                <w:rFonts w:cs="Arial"/>
              </w:rPr>
              <w:t>Лупус-подобен синдром</w:t>
            </w:r>
          </w:p>
          <w:p w14:paraId="0761B736" w14:textId="07437B69" w:rsidR="00D8368B" w:rsidRPr="00D8368B" w:rsidRDefault="00D8368B" w:rsidP="00D8368B">
            <w:pPr>
              <w:rPr>
                <w:rFonts w:cs="Arial"/>
              </w:rPr>
            </w:pPr>
            <w:r w:rsidRPr="00D8368B">
              <w:rPr>
                <w:rFonts w:cs="Arial"/>
              </w:rPr>
              <w:t>Разкъсване на мускул</w:t>
            </w:r>
          </w:p>
        </w:tc>
      </w:tr>
      <w:tr w:rsidR="00D8368B" w14:paraId="3CFEDA94" w14:textId="77777777" w:rsidTr="00D8368B">
        <w:tc>
          <w:tcPr>
            <w:tcW w:w="3166" w:type="dxa"/>
            <w:vMerge/>
          </w:tcPr>
          <w:p w14:paraId="7E66317A" w14:textId="77777777" w:rsidR="00D8368B" w:rsidRPr="00D8368B" w:rsidRDefault="00D8368B" w:rsidP="00D8368B">
            <w:pPr>
              <w:rPr>
                <w:rFonts w:cs="Arial"/>
              </w:rPr>
            </w:pPr>
          </w:p>
        </w:tc>
        <w:tc>
          <w:tcPr>
            <w:tcW w:w="3167" w:type="dxa"/>
          </w:tcPr>
          <w:p w14:paraId="31850EEE" w14:textId="42E222F7" w:rsidR="00D8368B" w:rsidRPr="00D8368B" w:rsidRDefault="00D8368B" w:rsidP="00D8368B">
            <w:pPr>
              <w:rPr>
                <w:rFonts w:cs="Arial"/>
              </w:rPr>
            </w:pPr>
            <w:r w:rsidRPr="00D8368B">
              <w:rPr>
                <w:rFonts w:cs="Arial"/>
              </w:rPr>
              <w:t>Много редки</w:t>
            </w:r>
          </w:p>
        </w:tc>
        <w:tc>
          <w:tcPr>
            <w:tcW w:w="3167" w:type="dxa"/>
          </w:tcPr>
          <w:p w14:paraId="589A92CE" w14:textId="786443EE" w:rsidR="00D8368B" w:rsidRPr="00D8368B" w:rsidRDefault="00D8368B" w:rsidP="00D8368B">
            <w:pPr>
              <w:rPr>
                <w:rFonts w:cs="Arial"/>
              </w:rPr>
            </w:pPr>
            <w:r w:rsidRPr="00D8368B">
              <w:rPr>
                <w:rFonts w:cs="Arial"/>
              </w:rPr>
              <w:t>Артралгия</w:t>
            </w:r>
          </w:p>
        </w:tc>
      </w:tr>
      <w:tr w:rsidR="00D8368B" w14:paraId="133137A6" w14:textId="77777777" w:rsidTr="00D8368B">
        <w:tc>
          <w:tcPr>
            <w:tcW w:w="3166" w:type="dxa"/>
            <w:vMerge/>
          </w:tcPr>
          <w:p w14:paraId="18142F44" w14:textId="77777777" w:rsidR="00D8368B" w:rsidRPr="00D8368B" w:rsidRDefault="00D8368B" w:rsidP="00D8368B">
            <w:pPr>
              <w:rPr>
                <w:rFonts w:cs="Arial"/>
              </w:rPr>
            </w:pPr>
          </w:p>
        </w:tc>
        <w:tc>
          <w:tcPr>
            <w:tcW w:w="3167" w:type="dxa"/>
          </w:tcPr>
          <w:p w14:paraId="596612D4" w14:textId="398EF85F" w:rsidR="00D8368B" w:rsidRPr="00D8368B" w:rsidRDefault="00D8368B" w:rsidP="00D8368B">
            <w:pPr>
              <w:rPr>
                <w:rFonts w:cs="Arial"/>
              </w:rPr>
            </w:pPr>
            <w:r w:rsidRPr="00D8368B">
              <w:rPr>
                <w:rFonts w:cs="Arial"/>
              </w:rPr>
              <w:t>С неизвестна честота</w:t>
            </w:r>
          </w:p>
        </w:tc>
        <w:tc>
          <w:tcPr>
            <w:tcW w:w="3167" w:type="dxa"/>
          </w:tcPr>
          <w:p w14:paraId="3CDB388B" w14:textId="77777777" w:rsidR="00D8368B" w:rsidRPr="00D8368B" w:rsidRDefault="00D8368B" w:rsidP="00D8368B">
            <w:pPr>
              <w:rPr>
                <w:rFonts w:cs="Arial"/>
              </w:rPr>
            </w:pPr>
            <w:r w:rsidRPr="00D8368B">
              <w:rPr>
                <w:rFonts w:cs="Arial"/>
              </w:rPr>
              <w:t>Имуномедиирана некротизираща миопатия</w:t>
            </w:r>
          </w:p>
          <w:p w14:paraId="3BED21A9" w14:textId="4114F2C7" w:rsidR="00D8368B" w:rsidRPr="00D8368B" w:rsidRDefault="00D8368B" w:rsidP="00D8368B">
            <w:pPr>
              <w:rPr>
                <w:rFonts w:cs="Arial"/>
              </w:rPr>
            </w:pPr>
            <w:r w:rsidRPr="00D8368B">
              <w:rPr>
                <w:rFonts w:cs="Arial"/>
              </w:rPr>
              <w:t>Увреждане на сухожилията, понякога усложнено от разкъсване</w:t>
            </w:r>
          </w:p>
        </w:tc>
      </w:tr>
      <w:tr w:rsidR="00D8368B" w14:paraId="3B6C84CF" w14:textId="77777777" w:rsidTr="00D8368B">
        <w:tc>
          <w:tcPr>
            <w:tcW w:w="3166" w:type="dxa"/>
          </w:tcPr>
          <w:p w14:paraId="62309A51" w14:textId="09949A3D" w:rsidR="00D8368B" w:rsidRPr="00D8368B" w:rsidRDefault="00D8368B" w:rsidP="00D8368B">
            <w:pPr>
              <w:rPr>
                <w:rFonts w:cs="Arial"/>
              </w:rPr>
            </w:pPr>
            <w:r w:rsidRPr="00D8368B">
              <w:rPr>
                <w:rFonts w:cs="Arial"/>
              </w:rPr>
              <w:t>Нарушения на бъбреците и пикочните пътища</w:t>
            </w:r>
          </w:p>
        </w:tc>
        <w:tc>
          <w:tcPr>
            <w:tcW w:w="3167" w:type="dxa"/>
          </w:tcPr>
          <w:p w14:paraId="7D9D0C69" w14:textId="5BB2A4AB" w:rsidR="00D8368B" w:rsidRPr="00D8368B" w:rsidRDefault="00D8368B" w:rsidP="00D8368B">
            <w:pPr>
              <w:rPr>
                <w:rFonts w:cs="Arial"/>
              </w:rPr>
            </w:pPr>
            <w:r w:rsidRPr="00D8368B">
              <w:rPr>
                <w:rFonts w:cs="Arial"/>
              </w:rPr>
              <w:t>Много редки</w:t>
            </w:r>
          </w:p>
        </w:tc>
        <w:tc>
          <w:tcPr>
            <w:tcW w:w="3167" w:type="dxa"/>
          </w:tcPr>
          <w:p w14:paraId="0CF20312" w14:textId="6F640EEE" w:rsidR="00D8368B" w:rsidRPr="00D8368B" w:rsidRDefault="00D8368B" w:rsidP="00D8368B">
            <w:pPr>
              <w:rPr>
                <w:rFonts w:cs="Arial"/>
              </w:rPr>
            </w:pPr>
            <w:r w:rsidRPr="00D8368B">
              <w:rPr>
                <w:rFonts w:cs="Arial"/>
              </w:rPr>
              <w:t>Хематурия</w:t>
            </w:r>
          </w:p>
        </w:tc>
      </w:tr>
      <w:tr w:rsidR="00D8368B" w14:paraId="7E0A7956" w14:textId="77777777" w:rsidTr="00D8368B">
        <w:tc>
          <w:tcPr>
            <w:tcW w:w="3166" w:type="dxa"/>
          </w:tcPr>
          <w:p w14:paraId="4D2FC6AD" w14:textId="24EDD2A1" w:rsidR="00D8368B" w:rsidRPr="00D8368B" w:rsidRDefault="00D8368B" w:rsidP="00D8368B">
            <w:pPr>
              <w:rPr>
                <w:rFonts w:cs="Arial"/>
              </w:rPr>
            </w:pPr>
            <w:r w:rsidRPr="00D8368B">
              <w:rPr>
                <w:rFonts w:cs="Arial"/>
              </w:rPr>
              <w:t>Нарушения на възпроизводителната система и гърдата</w:t>
            </w:r>
          </w:p>
        </w:tc>
        <w:tc>
          <w:tcPr>
            <w:tcW w:w="3167" w:type="dxa"/>
          </w:tcPr>
          <w:p w14:paraId="3CE5ADA5" w14:textId="6C9DC65B" w:rsidR="00D8368B" w:rsidRPr="00D8368B" w:rsidRDefault="00D8368B" w:rsidP="00D8368B">
            <w:pPr>
              <w:rPr>
                <w:rFonts w:cs="Arial"/>
              </w:rPr>
            </w:pPr>
            <w:r w:rsidRPr="00D8368B">
              <w:rPr>
                <w:rFonts w:cs="Arial"/>
              </w:rPr>
              <w:t>Много редки</w:t>
            </w:r>
          </w:p>
        </w:tc>
        <w:tc>
          <w:tcPr>
            <w:tcW w:w="3167" w:type="dxa"/>
          </w:tcPr>
          <w:p w14:paraId="524361C4" w14:textId="7BCF81AC" w:rsidR="00D8368B" w:rsidRPr="00D8368B" w:rsidRDefault="00D8368B" w:rsidP="00D8368B">
            <w:pPr>
              <w:rPr>
                <w:rFonts w:cs="Arial"/>
              </w:rPr>
            </w:pPr>
            <w:r w:rsidRPr="00D8368B">
              <w:rPr>
                <w:rFonts w:cs="Arial"/>
              </w:rPr>
              <w:t>Гинекомастия</w:t>
            </w:r>
          </w:p>
        </w:tc>
      </w:tr>
      <w:tr w:rsidR="00D8368B" w14:paraId="0B71D292" w14:textId="77777777" w:rsidTr="00D8368B">
        <w:tc>
          <w:tcPr>
            <w:tcW w:w="3166" w:type="dxa"/>
            <w:vMerge w:val="restart"/>
          </w:tcPr>
          <w:p w14:paraId="72DDCFFA" w14:textId="52B6345E" w:rsidR="00D8368B" w:rsidRPr="00D8368B" w:rsidRDefault="00D8368B" w:rsidP="00D8368B">
            <w:pPr>
              <w:rPr>
                <w:rFonts w:cs="Arial"/>
              </w:rPr>
            </w:pPr>
            <w:r w:rsidRPr="00D8368B">
              <w:rPr>
                <w:rFonts w:cs="Arial"/>
              </w:rPr>
              <w:t>Общи нарушения и ефекти на мястото на приложение</w:t>
            </w:r>
          </w:p>
        </w:tc>
        <w:tc>
          <w:tcPr>
            <w:tcW w:w="3167" w:type="dxa"/>
          </w:tcPr>
          <w:p w14:paraId="42808DDA" w14:textId="62AEA3FC" w:rsidR="00D8368B" w:rsidRPr="00D8368B" w:rsidRDefault="00D8368B" w:rsidP="00D8368B">
            <w:pPr>
              <w:rPr>
                <w:rFonts w:cs="Arial"/>
              </w:rPr>
            </w:pPr>
            <w:r w:rsidRPr="00D8368B">
              <w:rPr>
                <w:rFonts w:cs="Arial"/>
              </w:rPr>
              <w:t>Чести</w:t>
            </w:r>
          </w:p>
        </w:tc>
        <w:tc>
          <w:tcPr>
            <w:tcW w:w="3167" w:type="dxa"/>
          </w:tcPr>
          <w:p w14:paraId="58CEAA8D" w14:textId="60D5E82A" w:rsidR="00D8368B" w:rsidRPr="00D8368B" w:rsidRDefault="00D8368B" w:rsidP="00D8368B">
            <w:pPr>
              <w:rPr>
                <w:rFonts w:cs="Arial"/>
              </w:rPr>
            </w:pPr>
            <w:r w:rsidRPr="00D8368B">
              <w:rPr>
                <w:rFonts w:cs="Arial"/>
              </w:rPr>
              <w:t>Астения</w:t>
            </w:r>
          </w:p>
        </w:tc>
      </w:tr>
      <w:tr w:rsidR="00D8368B" w14:paraId="53928BA9" w14:textId="77777777" w:rsidTr="00D8368B">
        <w:tc>
          <w:tcPr>
            <w:tcW w:w="3166" w:type="dxa"/>
            <w:vMerge/>
          </w:tcPr>
          <w:p w14:paraId="28A7DB5F" w14:textId="77777777" w:rsidR="00D8368B" w:rsidRPr="00D8368B" w:rsidRDefault="00D8368B" w:rsidP="00D8368B">
            <w:pPr>
              <w:rPr>
                <w:rFonts w:cs="Arial"/>
              </w:rPr>
            </w:pPr>
          </w:p>
        </w:tc>
        <w:tc>
          <w:tcPr>
            <w:tcW w:w="3167" w:type="dxa"/>
          </w:tcPr>
          <w:p w14:paraId="4A97850E" w14:textId="09388980" w:rsidR="00D8368B" w:rsidRPr="00D8368B" w:rsidRDefault="00D8368B" w:rsidP="00D8368B">
            <w:pPr>
              <w:rPr>
                <w:rFonts w:cs="Arial"/>
              </w:rPr>
            </w:pPr>
            <w:r w:rsidRPr="00D8368B">
              <w:rPr>
                <w:rFonts w:cs="Arial"/>
              </w:rPr>
              <w:t>С неизвестна честота</w:t>
            </w:r>
          </w:p>
        </w:tc>
        <w:tc>
          <w:tcPr>
            <w:tcW w:w="3167" w:type="dxa"/>
          </w:tcPr>
          <w:p w14:paraId="31D8571C" w14:textId="58FF98BD" w:rsidR="00D8368B" w:rsidRPr="00D8368B" w:rsidRDefault="00D8368B" w:rsidP="00D8368B">
            <w:pPr>
              <w:rPr>
                <w:rFonts w:cs="Arial"/>
              </w:rPr>
            </w:pPr>
            <w:r w:rsidRPr="00D8368B">
              <w:rPr>
                <w:rFonts w:cs="Arial"/>
              </w:rPr>
              <w:t>Едем</w:t>
            </w:r>
          </w:p>
        </w:tc>
      </w:tr>
    </w:tbl>
    <w:p w14:paraId="16F0531F" w14:textId="77777777" w:rsidR="00D8368B" w:rsidRPr="00D8368B" w:rsidRDefault="00D8368B" w:rsidP="00D8368B">
      <w:pPr>
        <w:rPr>
          <w:rFonts w:cs="Arial"/>
          <w:sz w:val="24"/>
        </w:rPr>
      </w:pPr>
    </w:p>
    <w:p w14:paraId="0199735C"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vertAlign w:val="superscript"/>
          <w:lang w:eastAsia="bg-BG"/>
        </w:rPr>
        <w:t>1</w:t>
      </w:r>
      <w:r w:rsidRPr="00D8368B">
        <w:rPr>
          <w:rFonts w:eastAsia="Times New Roman" w:cs="Arial"/>
          <w:color w:val="000000"/>
          <w:szCs w:val="20"/>
          <w:lang w:eastAsia="bg-BG"/>
        </w:rPr>
        <w:t xml:space="preserve"> Честотата зависи от наличието или липсата на рискови фактори (ниво на глюкозата на гладно</w:t>
      </w:r>
    </w:p>
    <w:p w14:paraId="76EB3F19"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i/>
          <w:iCs/>
          <w:color w:val="000000"/>
          <w:szCs w:val="20"/>
          <w:lang w:eastAsia="bg-BG"/>
        </w:rPr>
        <w:t>≥ 5,6</w:t>
      </w:r>
      <w:r w:rsidRPr="00D8368B">
        <w:rPr>
          <w:rFonts w:eastAsia="Times New Roman" w:cs="Arial"/>
          <w:color w:val="000000"/>
          <w:szCs w:val="20"/>
          <w:lang w:eastAsia="bg-BG"/>
        </w:rPr>
        <w:t xml:space="preserve"> </w:t>
      </w:r>
      <w:proofErr w:type="spellStart"/>
      <w:r w:rsidRPr="00D8368B">
        <w:rPr>
          <w:rFonts w:eastAsia="Times New Roman" w:cs="Arial"/>
          <w:color w:val="000000"/>
          <w:szCs w:val="20"/>
          <w:lang w:val="en-US"/>
        </w:rPr>
        <w:t>mmol</w:t>
      </w:r>
      <w:proofErr w:type="spellEnd"/>
      <w:r w:rsidRPr="00D8368B">
        <w:rPr>
          <w:rFonts w:eastAsia="Times New Roman" w:cs="Arial"/>
          <w:color w:val="000000"/>
          <w:szCs w:val="20"/>
          <w:lang w:val="en-US"/>
        </w:rPr>
        <w:t xml:space="preserve">/l, </w:t>
      </w:r>
      <w:r w:rsidRPr="00D8368B">
        <w:rPr>
          <w:rFonts w:eastAsia="Times New Roman" w:cs="Arial"/>
          <w:color w:val="000000"/>
          <w:szCs w:val="20"/>
          <w:lang w:eastAsia="bg-BG"/>
        </w:rPr>
        <w:t xml:space="preserve">ИТМ&gt; 30 </w:t>
      </w:r>
      <w:r w:rsidRPr="00D8368B">
        <w:rPr>
          <w:rFonts w:eastAsia="Times New Roman" w:cs="Arial"/>
          <w:color w:val="000000"/>
          <w:szCs w:val="20"/>
          <w:lang w:val="en-US"/>
        </w:rPr>
        <w:t>kg/m</w:t>
      </w:r>
      <w:r w:rsidRPr="00D8368B">
        <w:rPr>
          <w:rFonts w:eastAsia="Times New Roman" w:cs="Arial"/>
          <w:color w:val="000000"/>
          <w:szCs w:val="20"/>
          <w:vertAlign w:val="superscript"/>
          <w:lang w:val="en-US"/>
        </w:rPr>
        <w:t>2</w:t>
      </w:r>
      <w:r w:rsidRPr="00D8368B">
        <w:rPr>
          <w:rFonts w:eastAsia="Times New Roman" w:cs="Arial"/>
          <w:color w:val="000000"/>
          <w:szCs w:val="20"/>
          <w:lang w:eastAsia="bg-BG"/>
        </w:rPr>
        <w:t>, повишено ниво на триглицериди, анамнеза за хипертония).</w:t>
      </w:r>
    </w:p>
    <w:p w14:paraId="3C275C59" w14:textId="77777777" w:rsidR="00D8368B" w:rsidRPr="00D8368B" w:rsidRDefault="00D8368B" w:rsidP="00D8368B">
      <w:pPr>
        <w:spacing w:line="240" w:lineRule="auto"/>
        <w:rPr>
          <w:rFonts w:eastAsia="Times New Roman" w:cs="Arial"/>
          <w:color w:val="000000"/>
          <w:szCs w:val="20"/>
          <w:lang w:eastAsia="bg-BG"/>
        </w:rPr>
      </w:pPr>
    </w:p>
    <w:p w14:paraId="39E0A881" w14:textId="005AF2F5"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 xml:space="preserve">Както и при останалите инхибитори на </w:t>
      </w:r>
      <w:r w:rsidRPr="00D8368B">
        <w:rPr>
          <w:rFonts w:eastAsia="Times New Roman" w:cs="Arial"/>
          <w:color w:val="000000"/>
          <w:szCs w:val="20"/>
          <w:lang w:val="en-US"/>
        </w:rPr>
        <w:t xml:space="preserve">HMG-CoA </w:t>
      </w:r>
      <w:r w:rsidRPr="00D8368B">
        <w:rPr>
          <w:rFonts w:eastAsia="Times New Roman" w:cs="Arial"/>
          <w:color w:val="000000"/>
          <w:szCs w:val="20"/>
          <w:lang w:eastAsia="bg-BG"/>
        </w:rPr>
        <w:t>редуктаза, честотата на нежеланите лекарствени реакции е с тенденция към зависимост от дозата.</w:t>
      </w:r>
    </w:p>
    <w:p w14:paraId="3DF87987" w14:textId="77777777" w:rsidR="00D8368B" w:rsidRPr="00D8368B" w:rsidRDefault="00D8368B" w:rsidP="00D8368B">
      <w:pPr>
        <w:spacing w:line="240" w:lineRule="auto"/>
        <w:rPr>
          <w:rFonts w:eastAsia="Times New Roman" w:cs="Arial"/>
          <w:color w:val="000000"/>
          <w:szCs w:val="20"/>
          <w:u w:val="single"/>
          <w:lang w:eastAsia="bg-BG"/>
        </w:rPr>
      </w:pPr>
    </w:p>
    <w:p w14:paraId="7AAD3CFE" w14:textId="2EC45B8A"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u w:val="single"/>
          <w:lang w:eastAsia="bg-BG"/>
        </w:rPr>
        <w:t>Ефекти върху бъбреците</w:t>
      </w:r>
    </w:p>
    <w:p w14:paraId="6309DE33" w14:textId="419716FC"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lastRenderedPageBreak/>
        <w:t xml:space="preserve">Протеинурия, установена със сухи проби и най-често тубуларна по произход, се наблюдава при пациенти лекувани с розувастатин. Отклонения в протеини в урината от липсващи или следи до ++ или повече, са наблюдавани при &lt;1% от пациентите в отделни моменти по време на лечението с 10 и 20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и при приблизително 3% от пациентите лекувани с 40 </w:t>
      </w:r>
      <w:r w:rsidRPr="00D8368B">
        <w:rPr>
          <w:rFonts w:eastAsia="Times New Roman" w:cs="Arial"/>
          <w:color w:val="000000"/>
          <w:szCs w:val="20"/>
          <w:lang w:val="en-US"/>
        </w:rPr>
        <w:t xml:space="preserve">mg. </w:t>
      </w:r>
      <w:r w:rsidRPr="00D8368B">
        <w:rPr>
          <w:rFonts w:eastAsia="Times New Roman" w:cs="Arial"/>
          <w:color w:val="000000"/>
          <w:szCs w:val="20"/>
          <w:lang w:eastAsia="bg-BG"/>
        </w:rPr>
        <w:t xml:space="preserve">Леко повишение в това отклонение (от липсващи или следи до +) се наблюдава при доза 20 </w:t>
      </w:r>
      <w:r w:rsidRPr="00D8368B">
        <w:rPr>
          <w:rFonts w:eastAsia="Times New Roman" w:cs="Arial"/>
          <w:color w:val="000000"/>
          <w:szCs w:val="20"/>
          <w:lang w:val="en-US"/>
        </w:rPr>
        <w:t xml:space="preserve">mg. </w:t>
      </w:r>
      <w:r w:rsidRPr="00D8368B">
        <w:rPr>
          <w:rFonts w:eastAsia="Times New Roman" w:cs="Arial"/>
          <w:color w:val="000000"/>
          <w:szCs w:val="20"/>
          <w:lang w:eastAsia="bg-BG"/>
        </w:rPr>
        <w:t>В повечето случаи протеинурията спада или изчезва спонтанно при продължаване на лечението. Прегледът на данни от клинични изпитвания и пост-маркетинговият опит към днешна дата не са установили причинна връзка между протеинурията и остро или прогресиращо бъбречно заболяване.</w:t>
      </w:r>
    </w:p>
    <w:p w14:paraId="0C9E232C" w14:textId="77777777" w:rsidR="00D8368B" w:rsidRPr="00D8368B" w:rsidRDefault="00D8368B" w:rsidP="00D8368B">
      <w:pPr>
        <w:spacing w:line="240" w:lineRule="auto"/>
        <w:rPr>
          <w:rFonts w:eastAsia="Times New Roman" w:cs="Arial"/>
          <w:sz w:val="28"/>
          <w:szCs w:val="24"/>
          <w:lang w:eastAsia="bg-BG"/>
        </w:rPr>
      </w:pPr>
      <w:r w:rsidRPr="00D8368B">
        <w:rPr>
          <w:rFonts w:eastAsia="Times New Roman" w:cs="Arial"/>
          <w:color w:val="000000"/>
          <w:szCs w:val="20"/>
          <w:lang w:eastAsia="bg-BG"/>
        </w:rPr>
        <w:t>Хематурия е наблюдавана при пациенти лекувани с розувастатин, а клиничните</w:t>
      </w:r>
      <w:r w:rsidRPr="00D8368B">
        <w:rPr>
          <w:rFonts w:eastAsia="Times New Roman" w:cs="Arial"/>
          <w:color w:val="000000"/>
          <w:szCs w:val="20"/>
          <w:lang w:val="en-US"/>
        </w:rPr>
        <w:t xml:space="preserve"> </w:t>
      </w:r>
      <w:r w:rsidRPr="00D8368B">
        <w:rPr>
          <w:rFonts w:eastAsia="Times New Roman" w:cs="Arial"/>
          <w:color w:val="000000"/>
          <w:szCs w:val="20"/>
          <w:lang w:eastAsia="bg-BG"/>
        </w:rPr>
        <w:t>данни</w:t>
      </w:r>
      <w:r w:rsidRPr="00D8368B">
        <w:rPr>
          <w:rFonts w:eastAsia="Times New Roman" w:cs="Arial"/>
          <w:i/>
          <w:iCs/>
          <w:color w:val="000000"/>
          <w:szCs w:val="20"/>
          <w:lang w:eastAsia="bg-BG"/>
        </w:rPr>
        <w:t xml:space="preserve"> </w:t>
      </w:r>
      <w:r w:rsidRPr="00D8368B">
        <w:rPr>
          <w:rFonts w:eastAsia="Times New Roman" w:cs="Arial"/>
          <w:color w:val="000000"/>
          <w:szCs w:val="20"/>
          <w:lang w:eastAsia="bg-BG"/>
        </w:rPr>
        <w:t>показват, че това явление се среща рядко.</w:t>
      </w:r>
    </w:p>
    <w:p w14:paraId="4E625E31" w14:textId="77777777" w:rsidR="00D8368B" w:rsidRPr="00D8368B" w:rsidRDefault="00D8368B" w:rsidP="00D8368B">
      <w:pPr>
        <w:rPr>
          <w:rFonts w:eastAsia="Times New Roman" w:cs="Arial"/>
          <w:color w:val="000000"/>
          <w:szCs w:val="20"/>
          <w:u w:val="single"/>
          <w:lang w:eastAsia="bg-BG"/>
        </w:rPr>
      </w:pPr>
    </w:p>
    <w:p w14:paraId="43E3C48F" w14:textId="1293E26E" w:rsidR="0091385D" w:rsidRPr="00D8368B" w:rsidRDefault="00D8368B" w:rsidP="00D8368B">
      <w:pPr>
        <w:rPr>
          <w:rFonts w:cs="Arial"/>
          <w:sz w:val="24"/>
        </w:rPr>
      </w:pPr>
      <w:r w:rsidRPr="00D8368B">
        <w:rPr>
          <w:rFonts w:eastAsia="Times New Roman" w:cs="Arial"/>
          <w:color w:val="000000"/>
          <w:szCs w:val="20"/>
          <w:u w:val="single"/>
          <w:lang w:eastAsia="bg-BG"/>
        </w:rPr>
        <w:t>Ефекти върху скелетната мускулатура</w:t>
      </w:r>
    </w:p>
    <w:p w14:paraId="63D191FF"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Ефекти върху скелетната мускулатура, като миалгия, миопатия (включително миозит) и рядко рабдомиолиза с или без остра бъбречна недостатъчност са наблюдавани при лекувани с розувастатин пациенти при всички дози и най-вече при дози &gt;20 </w:t>
      </w:r>
      <w:r w:rsidRPr="00D8368B">
        <w:rPr>
          <w:rFonts w:eastAsia="Times New Roman" w:cs="Arial"/>
          <w:color w:val="000000"/>
          <w:lang w:val="en-US"/>
        </w:rPr>
        <w:t>mg.</w:t>
      </w:r>
    </w:p>
    <w:p w14:paraId="79DAC018"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Свързано с дозата повишение на нивата на СК е наблюдавано при пациенти вземащи розувастатин; повечето от случаите са леки, асимптоматични и преходни. Ако СК нивата са значително повишени </w:t>
      </w:r>
      <w:r w:rsidRPr="00D8368B">
        <w:rPr>
          <w:rFonts w:eastAsia="Times New Roman" w:cs="Arial"/>
          <w:color w:val="000000"/>
          <w:lang w:val="en-US"/>
        </w:rPr>
        <w:t xml:space="preserve">(&gt;5xULN), </w:t>
      </w:r>
      <w:r w:rsidRPr="00D8368B">
        <w:rPr>
          <w:rFonts w:eastAsia="Times New Roman" w:cs="Arial"/>
          <w:color w:val="000000"/>
          <w:lang w:eastAsia="bg-BG"/>
        </w:rPr>
        <w:t>лечението трябвала се преустанови (вж. точка 4.4).</w:t>
      </w:r>
    </w:p>
    <w:p w14:paraId="336389E4" w14:textId="77777777" w:rsidR="00D8368B" w:rsidRPr="00D8368B" w:rsidRDefault="00D8368B" w:rsidP="00D8368B">
      <w:pPr>
        <w:spacing w:line="240" w:lineRule="auto"/>
        <w:rPr>
          <w:rFonts w:eastAsia="Times New Roman" w:cs="Arial"/>
          <w:color w:val="000000"/>
          <w:u w:val="single"/>
          <w:lang w:eastAsia="bg-BG"/>
        </w:rPr>
      </w:pPr>
    </w:p>
    <w:p w14:paraId="58085E77" w14:textId="7CC52D30"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Ефекти върху черния дроб</w:t>
      </w:r>
    </w:p>
    <w:p w14:paraId="541CDDE9"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Както и при останалите инхибитори на </w:t>
      </w:r>
      <w:r w:rsidRPr="00D8368B">
        <w:rPr>
          <w:rFonts w:eastAsia="Times New Roman" w:cs="Arial"/>
          <w:color w:val="000000"/>
          <w:lang w:val="en-US"/>
        </w:rPr>
        <w:t xml:space="preserve">HMG-CoA </w:t>
      </w:r>
      <w:r w:rsidRPr="00D8368B">
        <w:rPr>
          <w:rFonts w:eastAsia="Times New Roman" w:cs="Arial"/>
          <w:color w:val="000000"/>
          <w:lang w:eastAsia="bg-BG"/>
        </w:rPr>
        <w:t>редуктаза, свързано с дозата повишение на нивата на трансаминазите е наблюдавано при малък брой пациенти вземащи розувастатин; повечето от случаите са леки, асимптоматични и преходни.</w:t>
      </w:r>
    </w:p>
    <w:p w14:paraId="2EAEA38D" w14:textId="77777777" w:rsidR="00D8368B" w:rsidRPr="00D8368B" w:rsidRDefault="00D8368B" w:rsidP="00D8368B">
      <w:pPr>
        <w:spacing w:line="240" w:lineRule="auto"/>
        <w:rPr>
          <w:rFonts w:eastAsia="Times New Roman" w:cs="Arial"/>
          <w:color w:val="000000"/>
          <w:u w:val="single"/>
          <w:lang w:eastAsia="bg-BG"/>
        </w:rPr>
      </w:pPr>
    </w:p>
    <w:p w14:paraId="727A15F3" w14:textId="4B239241"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Съобщавани са следните странични реакции при употребата на някои статини</w:t>
      </w:r>
    </w:p>
    <w:p w14:paraId="77676897" w14:textId="77777777" w:rsidR="00D8368B" w:rsidRPr="00D8368B" w:rsidRDefault="00D8368B" w:rsidP="00D8368B">
      <w:pPr>
        <w:pStyle w:val="ListParagraph"/>
        <w:numPr>
          <w:ilvl w:val="0"/>
          <w:numId w:val="40"/>
        </w:numPr>
        <w:spacing w:line="240" w:lineRule="auto"/>
        <w:rPr>
          <w:rFonts w:eastAsia="Times New Roman" w:cs="Arial"/>
          <w:color w:val="000000"/>
          <w:lang w:eastAsia="bg-BG"/>
        </w:rPr>
      </w:pPr>
      <w:r w:rsidRPr="00D8368B">
        <w:rPr>
          <w:rFonts w:eastAsia="Times New Roman" w:cs="Arial"/>
          <w:color w:val="000000"/>
          <w:lang w:eastAsia="bg-BG"/>
        </w:rPr>
        <w:t>Сексуална дисфункция</w:t>
      </w:r>
    </w:p>
    <w:p w14:paraId="7C366CF3" w14:textId="680087D2" w:rsidR="00D8368B" w:rsidRPr="00D8368B" w:rsidRDefault="00D8368B" w:rsidP="00D8368B">
      <w:pPr>
        <w:pStyle w:val="ListParagraph"/>
        <w:numPr>
          <w:ilvl w:val="0"/>
          <w:numId w:val="40"/>
        </w:numPr>
        <w:spacing w:line="240" w:lineRule="auto"/>
        <w:rPr>
          <w:rFonts w:eastAsia="Times New Roman" w:cs="Arial"/>
          <w:color w:val="000000"/>
          <w:lang w:eastAsia="bg-BG"/>
        </w:rPr>
      </w:pPr>
      <w:r w:rsidRPr="00D8368B">
        <w:rPr>
          <w:rFonts w:eastAsia="Times New Roman" w:cs="Arial"/>
          <w:color w:val="000000"/>
          <w:lang w:eastAsia="bg-BG"/>
        </w:rPr>
        <w:t>Отделни случаи на интерстициално белодробно заболяване, по-специално при продължителна терапия (вж. точка 4.4)</w:t>
      </w:r>
    </w:p>
    <w:p w14:paraId="01F6389C" w14:textId="77777777" w:rsidR="00D8368B" w:rsidRPr="00D8368B" w:rsidRDefault="00D8368B" w:rsidP="00D8368B">
      <w:pPr>
        <w:spacing w:line="240" w:lineRule="auto"/>
        <w:rPr>
          <w:rFonts w:eastAsia="Times New Roman" w:cs="Arial"/>
          <w:color w:val="000000"/>
          <w:lang w:eastAsia="bg-BG"/>
        </w:rPr>
      </w:pPr>
    </w:p>
    <w:p w14:paraId="4EFEA5CE" w14:textId="0CADC89F"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Честотата на съобщаване на рабдомиолиза, сериозни бъбречни събития и сериозни чернодробни събития (включващи основно повишени чернодробни трансаминази) е по-висока при доза 40 </w:t>
      </w:r>
      <w:r w:rsidRPr="00D8368B">
        <w:rPr>
          <w:rFonts w:eastAsia="Times New Roman" w:cs="Arial"/>
          <w:color w:val="000000"/>
          <w:lang w:val="en-US"/>
        </w:rPr>
        <w:t>mg.</w:t>
      </w:r>
    </w:p>
    <w:p w14:paraId="678DEF56" w14:textId="77777777" w:rsidR="00D8368B" w:rsidRPr="00D8368B" w:rsidRDefault="00D8368B" w:rsidP="00D8368B">
      <w:pPr>
        <w:spacing w:line="240" w:lineRule="auto"/>
        <w:rPr>
          <w:rFonts w:eastAsia="Times New Roman" w:cs="Arial"/>
          <w:color w:val="000000"/>
          <w:u w:val="single"/>
          <w:lang w:eastAsia="bg-BG"/>
        </w:rPr>
      </w:pPr>
    </w:p>
    <w:p w14:paraId="1A2BAFAC" w14:textId="2D53165E"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Педиатрична популация</w:t>
      </w:r>
    </w:p>
    <w:p w14:paraId="18FF192D" w14:textId="77777777" w:rsidR="00D8368B" w:rsidRPr="00D8368B" w:rsidRDefault="00D8368B" w:rsidP="00D8368B">
      <w:pPr>
        <w:spacing w:line="240" w:lineRule="auto"/>
        <w:rPr>
          <w:rFonts w:eastAsia="Times New Roman" w:cs="Arial"/>
          <w:lang w:eastAsia="bg-BG"/>
        </w:rPr>
      </w:pPr>
      <w:r w:rsidRPr="00D8368B">
        <w:rPr>
          <w:rFonts w:eastAsia="Times New Roman" w:cs="Arial"/>
          <w:color w:val="000000"/>
          <w:lang w:eastAsia="bg-BG"/>
        </w:rPr>
        <w:t xml:space="preserve">Повишаването на нивата на креатинкиназата &gt; 10х </w:t>
      </w:r>
      <w:r w:rsidRPr="00D8368B">
        <w:rPr>
          <w:rFonts w:eastAsia="Times New Roman" w:cs="Arial"/>
          <w:color w:val="000000"/>
          <w:lang w:val="en-US"/>
        </w:rPr>
        <w:t xml:space="preserve">ULN </w:t>
      </w:r>
      <w:r w:rsidRPr="00D8368B">
        <w:rPr>
          <w:rFonts w:eastAsia="Times New Roman" w:cs="Arial"/>
          <w:color w:val="000000"/>
          <w:lang w:eastAsia="bg-BG"/>
        </w:rPr>
        <w:t>и мускулни симптоми след тренировка или повишена физическа активност се наблюдават по-често при 52-седмично клинично проучване за деца и юноши, в сравнение с възрастни (вж. точка 4.4). От друга страна профила на безопасност на розувастатин при деца и юноши е сходен с този при възрастни.</w:t>
      </w:r>
    </w:p>
    <w:p w14:paraId="08EDFEC2" w14:textId="77777777" w:rsidR="00D8368B" w:rsidRPr="00D8368B" w:rsidRDefault="00D8368B" w:rsidP="00D8368B">
      <w:pPr>
        <w:spacing w:line="240" w:lineRule="auto"/>
        <w:rPr>
          <w:rFonts w:eastAsia="Times New Roman" w:cs="Arial"/>
          <w:color w:val="000000"/>
          <w:u w:val="single"/>
          <w:lang w:eastAsia="bg-BG"/>
        </w:rPr>
      </w:pPr>
    </w:p>
    <w:p w14:paraId="0D7595F6" w14:textId="65A1BD74" w:rsidR="00D8368B" w:rsidRPr="00D8368B" w:rsidRDefault="00D8368B" w:rsidP="00D8368B">
      <w:pPr>
        <w:spacing w:line="240" w:lineRule="auto"/>
        <w:rPr>
          <w:rFonts w:eastAsia="Times New Roman" w:cs="Arial"/>
          <w:lang w:eastAsia="bg-BG"/>
        </w:rPr>
      </w:pPr>
      <w:r w:rsidRPr="00D8368B">
        <w:rPr>
          <w:rFonts w:eastAsia="Times New Roman" w:cs="Arial"/>
          <w:color w:val="000000"/>
          <w:u w:val="single"/>
          <w:lang w:eastAsia="bg-BG"/>
        </w:rPr>
        <w:t>Съобщаване на подозирани нежелани реакции</w:t>
      </w:r>
    </w:p>
    <w:p w14:paraId="291EEB24" w14:textId="7306C433" w:rsidR="00D8368B" w:rsidRPr="00D8368B" w:rsidRDefault="00D8368B" w:rsidP="00D8368B">
      <w:pPr>
        <w:rPr>
          <w:rFonts w:cs="Arial"/>
        </w:rPr>
      </w:pPr>
      <w:r w:rsidRPr="00D8368B">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+35 928903417, уебсайт: </w:t>
      </w:r>
      <w:r w:rsidRPr="00D8368B">
        <w:rPr>
          <w:rFonts w:eastAsia="Times New Roman" w:cs="Arial"/>
          <w:lang w:eastAsia="bg-BG"/>
        </w:rPr>
        <w:fldChar w:fldCharType="begin"/>
      </w:r>
      <w:r w:rsidRPr="00D8368B">
        <w:rPr>
          <w:rFonts w:eastAsia="Times New Roman" w:cs="Arial"/>
          <w:lang w:eastAsia="bg-BG"/>
        </w:rPr>
        <w:instrText xml:space="preserve"> HYPERLINK "http://www.bda.bg" </w:instrText>
      </w:r>
      <w:r w:rsidRPr="00D8368B">
        <w:rPr>
          <w:rFonts w:eastAsia="Times New Roman" w:cs="Arial"/>
          <w:lang w:eastAsia="bg-BG"/>
        </w:rPr>
        <w:fldChar w:fldCharType="separate"/>
      </w:r>
      <w:r w:rsidRPr="00D8368B">
        <w:rPr>
          <w:rFonts w:eastAsia="Times New Roman" w:cs="Arial"/>
          <w:color w:val="000000"/>
          <w:u w:val="single"/>
          <w:lang w:val="en-US"/>
        </w:rPr>
        <w:t>www.bda.bg</w:t>
      </w:r>
      <w:r w:rsidRPr="00D8368B">
        <w:rPr>
          <w:rFonts w:eastAsia="Times New Roman" w:cs="Arial"/>
          <w:lang w:eastAsia="bg-BG"/>
        </w:rPr>
        <w:fldChar w:fldCharType="end"/>
      </w:r>
      <w:r w:rsidRPr="00D8368B">
        <w:rPr>
          <w:rFonts w:eastAsia="Times New Roman" w:cs="Arial"/>
          <w:color w:val="000000"/>
          <w:lang w:val="en-US"/>
        </w:rPr>
        <w:t>.</w:t>
      </w:r>
    </w:p>
    <w:p w14:paraId="643B6A50" w14:textId="77777777" w:rsidR="00D8368B" w:rsidRPr="0091385D" w:rsidRDefault="00D8368B" w:rsidP="0091385D"/>
    <w:p w14:paraId="0A023CE0" w14:textId="13F87CFD" w:rsidR="00CF77F7" w:rsidRDefault="002C50EE" w:rsidP="004A448E">
      <w:pPr>
        <w:pStyle w:val="Heading2"/>
      </w:pPr>
      <w:r>
        <w:lastRenderedPageBreak/>
        <w:t>4.9. Предозиране</w:t>
      </w:r>
    </w:p>
    <w:p w14:paraId="3EDFC3FC" w14:textId="296E7EBA" w:rsidR="0091385D" w:rsidRDefault="0091385D" w:rsidP="0091385D"/>
    <w:p w14:paraId="0F0079CB" w14:textId="5C938020" w:rsidR="0091385D" w:rsidRPr="00C41F3F" w:rsidRDefault="00D8368B" w:rsidP="0091385D">
      <w:r w:rsidRPr="00C41F3F">
        <w:t>Няма специфично лечение в случай на предозиране. В случай на предозиране пациентът трябва да бъде лекуван симптоматично и според необходимостта да се прилагат поддържащи мерки. Трябва да се наблюдават чернодробната функция и нивата на СК. Малко вероятно е хемодиализа да има благоприятен ефект.</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00B7BA89" w14:textId="77777777" w:rsidR="00D8368B" w:rsidRPr="00C41F3F" w:rsidRDefault="00D8368B" w:rsidP="00D8368B">
      <w:pPr>
        <w:spacing w:line="240" w:lineRule="auto"/>
        <w:rPr>
          <w:rFonts w:eastAsia="Times New Roman" w:cs="Arial"/>
          <w:lang w:eastAsia="bg-BG"/>
        </w:rPr>
      </w:pPr>
      <w:r w:rsidRPr="00C41F3F">
        <w:rPr>
          <w:rFonts w:eastAsia="Times New Roman" w:cs="Arial"/>
          <w:color w:val="000000"/>
          <w:lang w:eastAsia="bg-BG"/>
        </w:rPr>
        <w:t xml:space="preserve">Фармакотерапевтична група: Липидо-модифициращи агенти, инхибитори на </w:t>
      </w:r>
      <w:r w:rsidRPr="00C41F3F">
        <w:rPr>
          <w:rFonts w:eastAsia="Times New Roman" w:cs="Arial"/>
          <w:color w:val="000000"/>
          <w:lang w:val="en-US"/>
        </w:rPr>
        <w:t xml:space="preserve">HMG-CoA </w:t>
      </w:r>
      <w:r w:rsidRPr="00C41F3F">
        <w:rPr>
          <w:rFonts w:eastAsia="Times New Roman" w:cs="Arial"/>
          <w:color w:val="000000"/>
          <w:lang w:eastAsia="bg-BG"/>
        </w:rPr>
        <w:t>редуктаза; АТС код: С10АА07</w:t>
      </w:r>
    </w:p>
    <w:p w14:paraId="141BAF5E" w14:textId="77777777" w:rsidR="00D8368B" w:rsidRPr="00C41F3F" w:rsidRDefault="00D8368B" w:rsidP="00D8368B">
      <w:pPr>
        <w:spacing w:line="240" w:lineRule="auto"/>
        <w:rPr>
          <w:rFonts w:eastAsia="Times New Roman" w:cs="Arial"/>
          <w:color w:val="000000"/>
          <w:u w:val="single"/>
          <w:lang w:eastAsia="bg-BG"/>
        </w:rPr>
      </w:pPr>
    </w:p>
    <w:p w14:paraId="237BBFD6" w14:textId="123B9DA6" w:rsidR="00D8368B" w:rsidRPr="00C41F3F" w:rsidRDefault="00D8368B" w:rsidP="00D8368B">
      <w:pPr>
        <w:spacing w:line="240" w:lineRule="auto"/>
        <w:rPr>
          <w:rFonts w:eastAsia="Times New Roman" w:cs="Arial"/>
          <w:lang w:eastAsia="bg-BG"/>
        </w:rPr>
      </w:pPr>
      <w:r w:rsidRPr="00C41F3F">
        <w:rPr>
          <w:rFonts w:eastAsia="Times New Roman" w:cs="Arial"/>
          <w:color w:val="000000"/>
          <w:u w:val="single"/>
          <w:lang w:eastAsia="bg-BG"/>
        </w:rPr>
        <w:t>Начин на действие</w:t>
      </w:r>
    </w:p>
    <w:p w14:paraId="5D7B32B5" w14:textId="77777777" w:rsidR="00D8368B" w:rsidRPr="00C41F3F" w:rsidRDefault="00D8368B" w:rsidP="00D8368B">
      <w:pPr>
        <w:spacing w:line="240" w:lineRule="auto"/>
        <w:rPr>
          <w:rFonts w:eastAsia="Times New Roman" w:cs="Arial"/>
          <w:lang w:eastAsia="bg-BG"/>
        </w:rPr>
      </w:pPr>
      <w:r w:rsidRPr="00C41F3F">
        <w:rPr>
          <w:rFonts w:eastAsia="Times New Roman" w:cs="Arial"/>
          <w:color w:val="000000"/>
          <w:lang w:eastAsia="bg-BG"/>
        </w:rPr>
        <w:t xml:space="preserve">Розувастатин е селективен и конкурентен инхибитор на </w:t>
      </w:r>
      <w:r w:rsidRPr="00C41F3F">
        <w:rPr>
          <w:rFonts w:eastAsia="Times New Roman" w:cs="Arial"/>
          <w:color w:val="000000"/>
          <w:lang w:val="en-US"/>
        </w:rPr>
        <w:t xml:space="preserve">HMG-CoA </w:t>
      </w:r>
      <w:r w:rsidRPr="00C41F3F">
        <w:rPr>
          <w:rFonts w:eastAsia="Times New Roman" w:cs="Arial"/>
          <w:color w:val="000000"/>
          <w:lang w:eastAsia="bg-BG"/>
        </w:rPr>
        <w:t>редуктаза, ограничаващият скоростта ензим, който превръща 3-хидрокси-3-метилглутарил коензим А в мевалонат, прекурсор на холестерол. Основното място на действие на розувастатин е в черния дро</w:t>
      </w:r>
      <w:r w:rsidRPr="00C41F3F">
        <w:rPr>
          <w:rFonts w:eastAsia="Times New Roman" w:cs="Arial"/>
          <w:color w:val="000000"/>
          <w:u w:val="single"/>
          <w:lang w:eastAsia="bg-BG"/>
        </w:rPr>
        <w:t xml:space="preserve">б, </w:t>
      </w:r>
      <w:r w:rsidRPr="00C41F3F">
        <w:rPr>
          <w:rFonts w:eastAsia="Times New Roman" w:cs="Arial"/>
          <w:color w:val="000000"/>
          <w:lang w:eastAsia="bg-BG"/>
        </w:rPr>
        <w:t>таргетен орган за намаляване на холестерола.</w:t>
      </w:r>
    </w:p>
    <w:p w14:paraId="28252AA0" w14:textId="5A553769" w:rsidR="0091385D" w:rsidRPr="00C41F3F" w:rsidRDefault="00D8368B" w:rsidP="00D8368B">
      <w:pPr>
        <w:rPr>
          <w:rFonts w:cs="Arial"/>
        </w:rPr>
      </w:pPr>
      <w:r w:rsidRPr="00C41F3F">
        <w:rPr>
          <w:rFonts w:eastAsia="Times New Roman" w:cs="Arial"/>
          <w:color w:val="000000"/>
          <w:lang w:eastAsia="bg-BG"/>
        </w:rPr>
        <w:t xml:space="preserve">Розувастатин повишава броя на чернодробните </w:t>
      </w:r>
      <w:r w:rsidRPr="00C41F3F">
        <w:rPr>
          <w:rFonts w:eastAsia="Times New Roman" w:cs="Arial"/>
          <w:color w:val="000000"/>
          <w:lang w:val="en-US"/>
        </w:rPr>
        <w:t xml:space="preserve">LDL </w:t>
      </w:r>
      <w:r w:rsidRPr="00C41F3F">
        <w:rPr>
          <w:rFonts w:eastAsia="Times New Roman" w:cs="Arial"/>
          <w:color w:val="000000"/>
          <w:lang w:eastAsia="bg-BG"/>
        </w:rPr>
        <w:t>рецептори върху клетъчната повърхност</w:t>
      </w:r>
      <w:r w:rsidRPr="00C41F3F">
        <w:rPr>
          <w:rFonts w:eastAsia="Times New Roman" w:cs="Arial"/>
          <w:color w:val="000000"/>
          <w:vertAlign w:val="superscript"/>
          <w:lang w:eastAsia="bg-BG"/>
        </w:rPr>
        <w:t xml:space="preserve"> </w:t>
      </w:r>
      <w:r w:rsidRPr="00C41F3F">
        <w:rPr>
          <w:rFonts w:eastAsia="Times New Roman" w:cs="Arial"/>
          <w:color w:val="000000"/>
          <w:lang w:eastAsia="bg-BG"/>
        </w:rPr>
        <w:t xml:space="preserve">улеснява усвояването и разграждането на </w:t>
      </w:r>
      <w:r w:rsidRPr="00C41F3F">
        <w:rPr>
          <w:rFonts w:eastAsia="Times New Roman" w:cs="Arial"/>
          <w:color w:val="000000"/>
          <w:lang w:val="en-US"/>
        </w:rPr>
        <w:t xml:space="preserve">LDL, </w:t>
      </w:r>
      <w:r w:rsidRPr="00C41F3F">
        <w:rPr>
          <w:rFonts w:eastAsia="Times New Roman" w:cs="Arial"/>
          <w:color w:val="000000"/>
          <w:lang w:eastAsia="bg-BG"/>
        </w:rPr>
        <w:t xml:space="preserve">който потиска чернодробната синтеза на </w:t>
      </w:r>
      <w:r w:rsidRPr="00C41F3F">
        <w:rPr>
          <w:rFonts w:eastAsia="Times New Roman" w:cs="Arial"/>
          <w:color w:val="000000"/>
          <w:lang w:val="en-US"/>
        </w:rPr>
        <w:t>LDL,</w:t>
      </w:r>
      <w:r w:rsidRPr="00C41F3F">
        <w:rPr>
          <w:rFonts w:eastAsia="Times New Roman" w:cs="Arial"/>
          <w:color w:val="000000"/>
          <w:lang w:eastAsia="bg-BG"/>
        </w:rPr>
        <w:t xml:space="preserve"> с което се намалява общия брой </w:t>
      </w:r>
      <w:r w:rsidRPr="00C41F3F">
        <w:rPr>
          <w:rFonts w:eastAsia="Times New Roman" w:cs="Arial"/>
          <w:color w:val="000000"/>
          <w:lang w:val="en-US"/>
        </w:rPr>
        <w:t xml:space="preserve">VLDL </w:t>
      </w:r>
      <w:r w:rsidRPr="00C41F3F">
        <w:rPr>
          <w:rFonts w:eastAsia="Times New Roman" w:cs="Arial"/>
          <w:color w:val="000000"/>
          <w:lang w:eastAsia="bg-BG"/>
        </w:rPr>
        <w:t xml:space="preserve">и </w:t>
      </w:r>
      <w:r w:rsidRPr="00C41F3F">
        <w:rPr>
          <w:rFonts w:eastAsia="Times New Roman" w:cs="Arial"/>
          <w:color w:val="000000"/>
          <w:lang w:val="en-US"/>
        </w:rPr>
        <w:t xml:space="preserve">LDL </w:t>
      </w:r>
      <w:r w:rsidRPr="00C41F3F">
        <w:rPr>
          <w:rFonts w:eastAsia="Times New Roman" w:cs="Arial"/>
          <w:color w:val="000000"/>
          <w:lang w:eastAsia="bg-BG"/>
        </w:rPr>
        <w:t>частици.</w:t>
      </w:r>
    </w:p>
    <w:p w14:paraId="36152471" w14:textId="05235642" w:rsidR="0091385D" w:rsidRPr="00C41F3F" w:rsidRDefault="0091385D" w:rsidP="0091385D">
      <w:pPr>
        <w:rPr>
          <w:rFonts w:cs="Arial"/>
        </w:rPr>
      </w:pPr>
    </w:p>
    <w:p w14:paraId="6E491F9A" w14:textId="77777777" w:rsidR="00D8368B" w:rsidRPr="00C41F3F" w:rsidRDefault="00D8368B" w:rsidP="00D8368B">
      <w:pPr>
        <w:spacing w:line="240" w:lineRule="auto"/>
        <w:rPr>
          <w:rFonts w:eastAsia="Times New Roman" w:cs="Arial"/>
          <w:lang w:eastAsia="bg-BG"/>
        </w:rPr>
      </w:pPr>
      <w:r w:rsidRPr="00C41F3F">
        <w:rPr>
          <w:rFonts w:eastAsia="Times New Roman" w:cs="Arial"/>
          <w:color w:val="000000"/>
          <w:u w:val="single"/>
          <w:lang w:eastAsia="bg-BG"/>
        </w:rPr>
        <w:t>Фармакодинамични ефекти</w:t>
      </w:r>
    </w:p>
    <w:p w14:paraId="37B0E2CA" w14:textId="066C5ED0" w:rsidR="00D8368B" w:rsidRPr="00C41F3F" w:rsidRDefault="00D8368B" w:rsidP="00D8368B">
      <w:pPr>
        <w:rPr>
          <w:rFonts w:eastAsia="Times New Roman" w:cs="Arial"/>
          <w:color w:val="000000"/>
          <w:lang w:eastAsia="bg-BG"/>
        </w:rPr>
      </w:pPr>
      <w:r w:rsidRPr="00C41F3F">
        <w:rPr>
          <w:rFonts w:eastAsia="Times New Roman" w:cs="Arial"/>
          <w:color w:val="000000"/>
          <w:lang w:eastAsia="bg-BG"/>
        </w:rPr>
        <w:t xml:space="preserve">Розувастатин намалява </w:t>
      </w:r>
      <w:r w:rsidRPr="00C41F3F">
        <w:rPr>
          <w:rFonts w:eastAsia="Times New Roman" w:cs="Arial"/>
          <w:color w:val="000000"/>
          <w:lang w:val="en-US"/>
        </w:rPr>
        <w:t>LDL</w:t>
      </w:r>
      <w:r w:rsidRPr="00C41F3F">
        <w:rPr>
          <w:rFonts w:eastAsia="Times New Roman" w:cs="Arial"/>
          <w:color w:val="000000"/>
          <w:lang w:eastAsia="bg-BG"/>
        </w:rPr>
        <w:t xml:space="preserve">-холестерола, общия холестерол и триглицеридите и повишава </w:t>
      </w:r>
      <w:r w:rsidRPr="00C41F3F">
        <w:rPr>
          <w:rFonts w:eastAsia="Times New Roman" w:cs="Arial"/>
          <w:color w:val="000000"/>
          <w:lang w:val="en-US"/>
        </w:rPr>
        <w:t>HDL</w:t>
      </w:r>
      <w:r w:rsidRPr="00C41F3F">
        <w:rPr>
          <w:rFonts w:eastAsia="Times New Roman" w:cs="Arial"/>
          <w:color w:val="000000"/>
          <w:lang w:eastAsia="bg-BG"/>
        </w:rPr>
        <w:t xml:space="preserve">-холестерола. Той понижава и АроВ, </w:t>
      </w:r>
      <w:proofErr w:type="spellStart"/>
      <w:r w:rsidRPr="00C41F3F">
        <w:rPr>
          <w:rFonts w:eastAsia="Times New Roman" w:cs="Arial"/>
          <w:i/>
          <w:iCs/>
          <w:color w:val="000000"/>
          <w:lang w:val="en-US"/>
        </w:rPr>
        <w:t>nonHDL</w:t>
      </w:r>
      <w:proofErr w:type="spellEnd"/>
      <w:r w:rsidRPr="00C41F3F">
        <w:rPr>
          <w:rFonts w:eastAsia="Times New Roman" w:cs="Arial"/>
          <w:i/>
          <w:iCs/>
          <w:color w:val="000000"/>
          <w:lang w:val="en-US"/>
        </w:rPr>
        <w:t>-C,</w:t>
      </w:r>
      <w:r w:rsidRPr="00C41F3F">
        <w:rPr>
          <w:rFonts w:eastAsia="Times New Roman" w:cs="Arial"/>
          <w:color w:val="000000"/>
          <w:lang w:val="en-US"/>
        </w:rPr>
        <w:t xml:space="preserve"> VLDL-C, VLDL-TG </w:t>
      </w:r>
      <w:r w:rsidRPr="00C41F3F">
        <w:rPr>
          <w:rFonts w:eastAsia="Times New Roman" w:cs="Arial"/>
          <w:color w:val="000000"/>
          <w:lang w:eastAsia="bg-BG"/>
        </w:rPr>
        <w:t xml:space="preserve">и повишава АроА-1 (вж. Таблица 3). Розувастатин намалява и </w:t>
      </w:r>
      <w:r w:rsidRPr="00C41F3F">
        <w:rPr>
          <w:rFonts w:eastAsia="Times New Roman" w:cs="Arial"/>
          <w:color w:val="000000"/>
          <w:lang w:val="en-US"/>
        </w:rPr>
        <w:t xml:space="preserve">LDL-C/HDL-C, </w:t>
      </w:r>
      <w:r w:rsidRPr="00C41F3F">
        <w:rPr>
          <w:rFonts w:eastAsia="Times New Roman" w:cs="Arial"/>
          <w:color w:val="000000"/>
          <w:lang w:eastAsia="bg-BG"/>
        </w:rPr>
        <w:t xml:space="preserve">общия </w:t>
      </w:r>
      <w:r w:rsidRPr="00C41F3F">
        <w:rPr>
          <w:rFonts w:eastAsia="Times New Roman" w:cs="Arial"/>
          <w:color w:val="000000"/>
          <w:lang w:val="en-US"/>
        </w:rPr>
        <w:t xml:space="preserve">C/HDL-C </w:t>
      </w:r>
      <w:r w:rsidRPr="00C41F3F">
        <w:rPr>
          <w:rFonts w:eastAsia="Times New Roman" w:cs="Arial"/>
          <w:color w:val="000000"/>
          <w:lang w:eastAsia="bg-BG"/>
        </w:rPr>
        <w:t xml:space="preserve">и </w:t>
      </w:r>
      <w:proofErr w:type="spellStart"/>
      <w:r w:rsidRPr="00C41F3F">
        <w:rPr>
          <w:rFonts w:eastAsia="Times New Roman" w:cs="Arial"/>
          <w:color w:val="000000"/>
          <w:lang w:val="en-US"/>
        </w:rPr>
        <w:t>nonHDL</w:t>
      </w:r>
      <w:proofErr w:type="spellEnd"/>
      <w:r w:rsidRPr="00C41F3F">
        <w:rPr>
          <w:rFonts w:eastAsia="Times New Roman" w:cs="Arial"/>
          <w:color w:val="000000"/>
          <w:lang w:val="en-US"/>
        </w:rPr>
        <w:t xml:space="preserve">-C/HDL-C, </w:t>
      </w:r>
      <w:r w:rsidRPr="00C41F3F">
        <w:rPr>
          <w:rFonts w:eastAsia="Times New Roman" w:cs="Arial"/>
          <w:color w:val="000000"/>
          <w:lang w:eastAsia="bg-BG"/>
        </w:rPr>
        <w:t>както и отношенията АроВ/АроА-1.</w:t>
      </w:r>
    </w:p>
    <w:p w14:paraId="067E13CE" w14:textId="4D9C4DDA" w:rsidR="00D8368B" w:rsidRDefault="00D8368B" w:rsidP="00D8368B"/>
    <w:tbl>
      <w:tblPr>
        <w:tblStyle w:val="TableGrid"/>
        <w:tblW w:w="0" w:type="auto"/>
        <w:tblLook w:val="04A0" w:firstRow="1" w:lastRow="0" w:firstColumn="1" w:lastColumn="0" w:noHBand="0" w:noVBand="1"/>
      </w:tblPr>
      <w:tblGrid>
        <w:gridCol w:w="1122"/>
        <w:gridCol w:w="1004"/>
        <w:gridCol w:w="1026"/>
        <w:gridCol w:w="1032"/>
        <w:gridCol w:w="1029"/>
        <w:gridCol w:w="2062"/>
        <w:gridCol w:w="1034"/>
        <w:gridCol w:w="1041"/>
      </w:tblGrid>
      <w:tr w:rsidR="00D51604" w14:paraId="4D58A4FF" w14:textId="77777777" w:rsidTr="00131A43">
        <w:tc>
          <w:tcPr>
            <w:tcW w:w="9541" w:type="dxa"/>
            <w:gridSpan w:val="8"/>
          </w:tcPr>
          <w:p w14:paraId="6C95E3FF" w14:textId="4EA60370" w:rsidR="00D51604" w:rsidRPr="00C41F3F" w:rsidRDefault="00D51604" w:rsidP="00D8368B">
            <w:pPr>
              <w:rPr>
                <w:rFonts w:cs="Arial"/>
              </w:rPr>
            </w:pPr>
            <w:r w:rsidRPr="00C41F3F">
              <w:rPr>
                <w:rFonts w:cs="Arial"/>
              </w:rPr>
              <w:t>Таблица 3: Отговор на дозата при пациенти с пър</w:t>
            </w:r>
            <w:r w:rsidR="006138E9">
              <w:rPr>
                <w:rFonts w:cs="Arial"/>
              </w:rPr>
              <w:t xml:space="preserve">вична хиперхолестеролемия (тип </w:t>
            </w:r>
            <w:r w:rsidR="006138E9">
              <w:rPr>
                <w:rFonts w:cs="Arial"/>
                <w:color w:val="333333"/>
                <w:shd w:val="clear" w:color="auto" w:fill="FFFFFF"/>
              </w:rPr>
              <w:t>II</w:t>
            </w:r>
            <w:r w:rsidR="006138E9">
              <w:rPr>
                <w:rFonts w:cs="Arial"/>
              </w:rPr>
              <w:t xml:space="preserve">а и </w:t>
            </w:r>
            <w:r w:rsidR="006138E9">
              <w:rPr>
                <w:rFonts w:cs="Arial"/>
                <w:color w:val="333333"/>
                <w:shd w:val="clear" w:color="auto" w:fill="FFFFFF"/>
              </w:rPr>
              <w:t>II</w:t>
            </w:r>
            <w:r w:rsidR="006138E9">
              <w:rPr>
                <w:rFonts w:cs="Arial"/>
              </w:rPr>
              <w:t>b</w:t>
            </w:r>
            <w:bookmarkStart w:id="1" w:name="_GoBack"/>
            <w:bookmarkEnd w:id="1"/>
            <w:r w:rsidRPr="00C41F3F">
              <w:rPr>
                <w:rFonts w:cs="Arial"/>
              </w:rPr>
              <w:t>) (коригирани средни промени в процент спрямо началното състояние)</w:t>
            </w:r>
          </w:p>
        </w:tc>
      </w:tr>
      <w:tr w:rsidR="00C41F3F" w14:paraId="2C24DCD0" w14:textId="77777777" w:rsidTr="00927C33">
        <w:tc>
          <w:tcPr>
            <w:tcW w:w="1055" w:type="dxa"/>
          </w:tcPr>
          <w:p w14:paraId="5CBEB21C" w14:textId="62874CF9" w:rsidR="00C41F3F" w:rsidRPr="00C41F3F" w:rsidRDefault="00C41F3F" w:rsidP="00D51604">
            <w:pPr>
              <w:rPr>
                <w:rFonts w:cs="Arial"/>
              </w:rPr>
            </w:pPr>
            <w:r w:rsidRPr="00C41F3F">
              <w:rPr>
                <w:rFonts w:cs="Arial"/>
                <w:b/>
                <w:bCs/>
              </w:rPr>
              <w:t>Доза</w:t>
            </w:r>
          </w:p>
        </w:tc>
        <w:tc>
          <w:tcPr>
            <w:tcW w:w="1055" w:type="dxa"/>
          </w:tcPr>
          <w:p w14:paraId="1AC3D675" w14:textId="7BA0C492" w:rsidR="00C41F3F" w:rsidRPr="00C41F3F" w:rsidRDefault="00C41F3F" w:rsidP="00D51604">
            <w:pPr>
              <w:rPr>
                <w:rFonts w:cs="Arial"/>
              </w:rPr>
            </w:pPr>
            <w:r w:rsidRPr="00C41F3F">
              <w:rPr>
                <w:rFonts w:cs="Arial"/>
                <w:b/>
                <w:bCs/>
                <w:lang w:val="en-US"/>
              </w:rPr>
              <w:t>N</w:t>
            </w:r>
          </w:p>
        </w:tc>
        <w:tc>
          <w:tcPr>
            <w:tcW w:w="1055" w:type="dxa"/>
          </w:tcPr>
          <w:p w14:paraId="66070AC3" w14:textId="61A20641" w:rsidR="00C41F3F" w:rsidRPr="00C41F3F" w:rsidRDefault="00C41F3F" w:rsidP="00D51604">
            <w:pPr>
              <w:rPr>
                <w:rFonts w:cs="Arial"/>
              </w:rPr>
            </w:pPr>
            <w:r w:rsidRPr="00C41F3F">
              <w:rPr>
                <w:rFonts w:cs="Arial"/>
                <w:b/>
                <w:bCs/>
                <w:lang w:val="en-US"/>
              </w:rPr>
              <w:t xml:space="preserve">LDL- </w:t>
            </w:r>
            <w:r w:rsidRPr="00C41F3F">
              <w:rPr>
                <w:rFonts w:cs="Arial"/>
                <w:b/>
                <w:bCs/>
              </w:rPr>
              <w:t>С</w:t>
            </w:r>
          </w:p>
        </w:tc>
        <w:tc>
          <w:tcPr>
            <w:tcW w:w="1055" w:type="dxa"/>
          </w:tcPr>
          <w:p w14:paraId="3734C6E3" w14:textId="1FD6D723" w:rsidR="00C41F3F" w:rsidRPr="00C41F3F" w:rsidRDefault="00C41F3F" w:rsidP="00D51604">
            <w:pPr>
              <w:rPr>
                <w:rFonts w:cs="Arial"/>
              </w:rPr>
            </w:pPr>
            <w:r w:rsidRPr="00C41F3F">
              <w:rPr>
                <w:rFonts w:cs="Arial"/>
                <w:b/>
                <w:bCs/>
              </w:rPr>
              <w:t>Общ-С</w:t>
            </w:r>
          </w:p>
        </w:tc>
        <w:tc>
          <w:tcPr>
            <w:tcW w:w="1056" w:type="dxa"/>
          </w:tcPr>
          <w:p w14:paraId="1008264B" w14:textId="77777777" w:rsidR="00C41F3F" w:rsidRPr="00C41F3F" w:rsidRDefault="00C41F3F" w:rsidP="00D51604">
            <w:pPr>
              <w:rPr>
                <w:rFonts w:cs="Arial"/>
              </w:rPr>
            </w:pPr>
            <w:r w:rsidRPr="00C41F3F">
              <w:rPr>
                <w:rFonts w:cs="Arial"/>
                <w:b/>
                <w:bCs/>
                <w:lang w:val="en-US"/>
              </w:rPr>
              <w:t>HDL-</w:t>
            </w:r>
          </w:p>
          <w:p w14:paraId="7EBEC974" w14:textId="23B1D727" w:rsidR="00C41F3F" w:rsidRPr="00C41F3F" w:rsidRDefault="00C41F3F" w:rsidP="00D51604">
            <w:pPr>
              <w:rPr>
                <w:rFonts w:cs="Arial"/>
              </w:rPr>
            </w:pPr>
            <w:r w:rsidRPr="00C41F3F">
              <w:rPr>
                <w:rFonts w:cs="Arial"/>
                <w:b/>
                <w:bCs/>
              </w:rPr>
              <w:t>С</w:t>
            </w:r>
          </w:p>
        </w:tc>
        <w:tc>
          <w:tcPr>
            <w:tcW w:w="2153" w:type="dxa"/>
          </w:tcPr>
          <w:p w14:paraId="7D69CC8F" w14:textId="77777777" w:rsidR="00C41F3F" w:rsidRPr="00C41F3F" w:rsidRDefault="00C41F3F" w:rsidP="00D51604">
            <w:pPr>
              <w:rPr>
                <w:rFonts w:cs="Arial"/>
              </w:rPr>
            </w:pPr>
            <w:r w:rsidRPr="00C41F3F">
              <w:rPr>
                <w:rFonts w:cs="Arial"/>
              </w:rPr>
              <w:t>Три</w:t>
            </w:r>
          </w:p>
          <w:p w14:paraId="5ED97638" w14:textId="77777777" w:rsidR="00C41F3F" w:rsidRPr="00C41F3F" w:rsidRDefault="00C41F3F" w:rsidP="00D51604">
            <w:pPr>
              <w:rPr>
                <w:rFonts w:cs="Arial"/>
              </w:rPr>
            </w:pPr>
            <w:r w:rsidRPr="00C41F3F">
              <w:rPr>
                <w:rFonts w:cs="Arial"/>
              </w:rPr>
              <w:t>гли</w:t>
            </w:r>
          </w:p>
          <w:p w14:paraId="2A92A973" w14:textId="77777777" w:rsidR="00C41F3F" w:rsidRPr="00C41F3F" w:rsidRDefault="00C41F3F" w:rsidP="00D51604">
            <w:pPr>
              <w:rPr>
                <w:rFonts w:cs="Arial"/>
              </w:rPr>
            </w:pPr>
            <w:r w:rsidRPr="00C41F3F">
              <w:rPr>
                <w:rFonts w:cs="Arial"/>
              </w:rPr>
              <w:t>цериди</w:t>
            </w:r>
          </w:p>
          <w:p w14:paraId="2A495615" w14:textId="77777777" w:rsidR="00C41F3F" w:rsidRPr="00C41F3F" w:rsidRDefault="00C41F3F" w:rsidP="00C41F3F">
            <w:pPr>
              <w:rPr>
                <w:rFonts w:cs="Arial"/>
                <w:lang w:val="en-US"/>
              </w:rPr>
            </w:pPr>
          </w:p>
          <w:p w14:paraId="4C36D445" w14:textId="3BFB145F" w:rsidR="00C41F3F" w:rsidRPr="00C41F3F" w:rsidRDefault="00C41F3F" w:rsidP="00C41F3F">
            <w:pPr>
              <w:jc w:val="right"/>
              <w:rPr>
                <w:rFonts w:cs="Arial"/>
                <w:lang w:val="en-US"/>
              </w:rPr>
            </w:pPr>
            <w:proofErr w:type="spellStart"/>
            <w:r w:rsidRPr="00C41F3F">
              <w:rPr>
                <w:rFonts w:cs="Arial"/>
                <w:lang w:val="en-US"/>
              </w:rPr>
              <w:t>nonHDL</w:t>
            </w:r>
            <w:proofErr w:type="spellEnd"/>
            <w:r w:rsidRPr="00C41F3F">
              <w:rPr>
                <w:rFonts w:cs="Arial"/>
                <w:lang w:val="en-US"/>
              </w:rPr>
              <w:t>-C</w:t>
            </w:r>
          </w:p>
        </w:tc>
        <w:tc>
          <w:tcPr>
            <w:tcW w:w="1056" w:type="dxa"/>
          </w:tcPr>
          <w:p w14:paraId="6E7A417E" w14:textId="06DB8A6D" w:rsidR="00C41F3F" w:rsidRPr="00C41F3F" w:rsidRDefault="00C41F3F" w:rsidP="00D51604">
            <w:pPr>
              <w:rPr>
                <w:rFonts w:cs="Arial"/>
              </w:rPr>
            </w:pPr>
            <w:r w:rsidRPr="00C41F3F">
              <w:rPr>
                <w:rFonts w:cs="Arial"/>
                <w:b/>
                <w:bCs/>
              </w:rPr>
              <w:t>АроВ</w:t>
            </w:r>
          </w:p>
        </w:tc>
        <w:tc>
          <w:tcPr>
            <w:tcW w:w="1056" w:type="dxa"/>
          </w:tcPr>
          <w:p w14:paraId="632F6439" w14:textId="2F5A27B4" w:rsidR="00C41F3F" w:rsidRPr="00C41F3F" w:rsidRDefault="00C41F3F" w:rsidP="00D51604">
            <w:pPr>
              <w:rPr>
                <w:rFonts w:cs="Arial"/>
              </w:rPr>
            </w:pPr>
            <w:r w:rsidRPr="00C41F3F">
              <w:rPr>
                <w:rFonts w:cs="Arial"/>
                <w:b/>
                <w:bCs/>
              </w:rPr>
              <w:t>АроА- I</w:t>
            </w:r>
          </w:p>
        </w:tc>
      </w:tr>
      <w:tr w:rsidR="00C41F3F" w14:paraId="00E2A9C1" w14:textId="77777777" w:rsidTr="00166E69">
        <w:tc>
          <w:tcPr>
            <w:tcW w:w="1055" w:type="dxa"/>
          </w:tcPr>
          <w:p w14:paraId="1D37E5F1" w14:textId="311C377A" w:rsidR="00C41F3F" w:rsidRPr="00C41F3F" w:rsidRDefault="00C41F3F" w:rsidP="00D51604">
            <w:pPr>
              <w:rPr>
                <w:rFonts w:cs="Arial"/>
              </w:rPr>
            </w:pPr>
            <w:r w:rsidRPr="00C41F3F">
              <w:rPr>
                <w:rFonts w:cs="Arial"/>
              </w:rPr>
              <w:t>Плацебо</w:t>
            </w:r>
          </w:p>
        </w:tc>
        <w:tc>
          <w:tcPr>
            <w:tcW w:w="1055" w:type="dxa"/>
          </w:tcPr>
          <w:p w14:paraId="047D01E1" w14:textId="228905B6" w:rsidR="00C41F3F" w:rsidRPr="00C41F3F" w:rsidRDefault="00C41F3F" w:rsidP="00D51604">
            <w:pPr>
              <w:rPr>
                <w:rFonts w:cs="Arial"/>
              </w:rPr>
            </w:pPr>
            <w:r w:rsidRPr="00C41F3F">
              <w:rPr>
                <w:rFonts w:cs="Arial"/>
              </w:rPr>
              <w:t>13</w:t>
            </w:r>
          </w:p>
        </w:tc>
        <w:tc>
          <w:tcPr>
            <w:tcW w:w="1055" w:type="dxa"/>
          </w:tcPr>
          <w:p w14:paraId="4ABDD879" w14:textId="7DACD66E" w:rsidR="00C41F3F" w:rsidRPr="00C41F3F" w:rsidRDefault="00C41F3F" w:rsidP="00D51604">
            <w:pPr>
              <w:rPr>
                <w:rFonts w:cs="Arial"/>
              </w:rPr>
            </w:pPr>
            <w:r w:rsidRPr="00C41F3F">
              <w:rPr>
                <w:rFonts w:cs="Arial"/>
              </w:rPr>
              <w:t>-7</w:t>
            </w:r>
          </w:p>
        </w:tc>
        <w:tc>
          <w:tcPr>
            <w:tcW w:w="1055" w:type="dxa"/>
          </w:tcPr>
          <w:p w14:paraId="70267B96" w14:textId="6AAB2674" w:rsidR="00C41F3F" w:rsidRPr="00C41F3F" w:rsidRDefault="00C41F3F" w:rsidP="00D51604">
            <w:pPr>
              <w:rPr>
                <w:rFonts w:cs="Arial"/>
              </w:rPr>
            </w:pPr>
            <w:r w:rsidRPr="00C41F3F">
              <w:rPr>
                <w:rFonts w:cs="Arial"/>
              </w:rPr>
              <w:t>-5</w:t>
            </w:r>
          </w:p>
        </w:tc>
        <w:tc>
          <w:tcPr>
            <w:tcW w:w="1056" w:type="dxa"/>
          </w:tcPr>
          <w:p w14:paraId="0F601D56" w14:textId="42EF30F1" w:rsidR="00C41F3F" w:rsidRPr="00C41F3F" w:rsidRDefault="00C41F3F" w:rsidP="00D51604">
            <w:pPr>
              <w:rPr>
                <w:rFonts w:cs="Arial"/>
              </w:rPr>
            </w:pPr>
            <w:r w:rsidRPr="00C41F3F">
              <w:rPr>
                <w:rFonts w:cs="Arial"/>
              </w:rPr>
              <w:t>3</w:t>
            </w:r>
          </w:p>
        </w:tc>
        <w:tc>
          <w:tcPr>
            <w:tcW w:w="2153" w:type="dxa"/>
          </w:tcPr>
          <w:p w14:paraId="698F3369" w14:textId="446D9506" w:rsidR="00C41F3F" w:rsidRPr="00C41F3F" w:rsidRDefault="00C41F3F" w:rsidP="00C41F3F">
            <w:pPr>
              <w:jc w:val="right"/>
              <w:rPr>
                <w:rFonts w:cs="Arial"/>
                <w:lang w:val="en-US"/>
              </w:rPr>
            </w:pPr>
            <w:r w:rsidRPr="00C41F3F">
              <w:rPr>
                <w:rFonts w:cs="Arial"/>
                <w:lang w:val="en-US"/>
              </w:rPr>
              <w:t>-3                         -7</w:t>
            </w:r>
          </w:p>
        </w:tc>
        <w:tc>
          <w:tcPr>
            <w:tcW w:w="1056" w:type="dxa"/>
          </w:tcPr>
          <w:p w14:paraId="35B43E8D" w14:textId="77CA6558" w:rsidR="00C41F3F" w:rsidRPr="00C41F3F" w:rsidRDefault="00C41F3F" w:rsidP="00D51604">
            <w:pPr>
              <w:rPr>
                <w:rFonts w:cs="Arial"/>
              </w:rPr>
            </w:pPr>
            <w:r w:rsidRPr="00C41F3F">
              <w:rPr>
                <w:rFonts w:cs="Arial"/>
              </w:rPr>
              <w:t>-3</w:t>
            </w:r>
          </w:p>
        </w:tc>
        <w:tc>
          <w:tcPr>
            <w:tcW w:w="1056" w:type="dxa"/>
          </w:tcPr>
          <w:p w14:paraId="5ED08747" w14:textId="2A9ED9D4" w:rsidR="00C41F3F" w:rsidRPr="00C41F3F" w:rsidRDefault="00C41F3F" w:rsidP="00D51604">
            <w:pPr>
              <w:rPr>
                <w:rFonts w:cs="Arial"/>
              </w:rPr>
            </w:pPr>
            <w:r w:rsidRPr="00C41F3F">
              <w:rPr>
                <w:rFonts w:cs="Arial"/>
                <w:b/>
                <w:bCs/>
              </w:rPr>
              <w:t>0</w:t>
            </w:r>
          </w:p>
        </w:tc>
      </w:tr>
      <w:tr w:rsidR="00C41F3F" w14:paraId="6272979D" w14:textId="77777777" w:rsidTr="00EE16B2">
        <w:tc>
          <w:tcPr>
            <w:tcW w:w="1055" w:type="dxa"/>
          </w:tcPr>
          <w:p w14:paraId="1297075D" w14:textId="6D35709B" w:rsidR="00C41F3F" w:rsidRPr="00C41F3F" w:rsidRDefault="00C41F3F" w:rsidP="00D51604">
            <w:pPr>
              <w:rPr>
                <w:rFonts w:cs="Arial"/>
              </w:rPr>
            </w:pPr>
            <w:r w:rsidRPr="00C41F3F">
              <w:rPr>
                <w:rFonts w:cs="Arial"/>
              </w:rPr>
              <w:t>5</w:t>
            </w:r>
          </w:p>
        </w:tc>
        <w:tc>
          <w:tcPr>
            <w:tcW w:w="1055" w:type="dxa"/>
          </w:tcPr>
          <w:p w14:paraId="470241BE" w14:textId="362DC918" w:rsidR="00C41F3F" w:rsidRPr="00C41F3F" w:rsidRDefault="00C41F3F" w:rsidP="00D51604">
            <w:pPr>
              <w:rPr>
                <w:rFonts w:cs="Arial"/>
              </w:rPr>
            </w:pPr>
            <w:r w:rsidRPr="00C41F3F">
              <w:rPr>
                <w:rFonts w:cs="Arial"/>
              </w:rPr>
              <w:t>17</w:t>
            </w:r>
          </w:p>
        </w:tc>
        <w:tc>
          <w:tcPr>
            <w:tcW w:w="1055" w:type="dxa"/>
          </w:tcPr>
          <w:p w14:paraId="3CA0FBE4" w14:textId="15886F05" w:rsidR="00C41F3F" w:rsidRPr="00C41F3F" w:rsidRDefault="00C41F3F" w:rsidP="00D51604">
            <w:pPr>
              <w:rPr>
                <w:rFonts w:cs="Arial"/>
              </w:rPr>
            </w:pPr>
            <w:r w:rsidRPr="00C41F3F">
              <w:rPr>
                <w:rFonts w:cs="Arial"/>
              </w:rPr>
              <w:t>-45</w:t>
            </w:r>
          </w:p>
        </w:tc>
        <w:tc>
          <w:tcPr>
            <w:tcW w:w="1055" w:type="dxa"/>
          </w:tcPr>
          <w:p w14:paraId="06EC1E2B" w14:textId="2E17C95E" w:rsidR="00C41F3F" w:rsidRPr="00C41F3F" w:rsidRDefault="00C41F3F" w:rsidP="00D51604">
            <w:pPr>
              <w:rPr>
                <w:rFonts w:cs="Arial"/>
              </w:rPr>
            </w:pPr>
            <w:r w:rsidRPr="00C41F3F">
              <w:rPr>
                <w:rFonts w:cs="Arial"/>
              </w:rPr>
              <w:t>-33</w:t>
            </w:r>
          </w:p>
        </w:tc>
        <w:tc>
          <w:tcPr>
            <w:tcW w:w="1056" w:type="dxa"/>
          </w:tcPr>
          <w:p w14:paraId="2B4DFDE9" w14:textId="6194D79D" w:rsidR="00C41F3F" w:rsidRPr="00C41F3F" w:rsidRDefault="00C41F3F" w:rsidP="00D51604">
            <w:pPr>
              <w:rPr>
                <w:rFonts w:cs="Arial"/>
              </w:rPr>
            </w:pPr>
            <w:r w:rsidRPr="00C41F3F">
              <w:rPr>
                <w:rFonts w:cs="Arial"/>
              </w:rPr>
              <w:t>13</w:t>
            </w:r>
          </w:p>
        </w:tc>
        <w:tc>
          <w:tcPr>
            <w:tcW w:w="2153" w:type="dxa"/>
          </w:tcPr>
          <w:p w14:paraId="688AEBBE" w14:textId="61EDD205" w:rsidR="00C41F3F" w:rsidRPr="00C41F3F" w:rsidRDefault="00C41F3F" w:rsidP="00C41F3F">
            <w:pPr>
              <w:jc w:val="right"/>
              <w:rPr>
                <w:rFonts w:cs="Arial"/>
                <w:lang w:val="en-US"/>
              </w:rPr>
            </w:pPr>
            <w:r w:rsidRPr="00C41F3F">
              <w:rPr>
                <w:rFonts w:cs="Arial"/>
                <w:lang w:val="en-US"/>
              </w:rPr>
              <w:t>-35                     -44</w:t>
            </w:r>
          </w:p>
        </w:tc>
        <w:tc>
          <w:tcPr>
            <w:tcW w:w="1056" w:type="dxa"/>
          </w:tcPr>
          <w:p w14:paraId="3482D767" w14:textId="2B177368" w:rsidR="00C41F3F" w:rsidRPr="00C41F3F" w:rsidRDefault="00C41F3F" w:rsidP="00D51604">
            <w:pPr>
              <w:rPr>
                <w:rFonts w:cs="Arial"/>
              </w:rPr>
            </w:pPr>
            <w:r w:rsidRPr="00C41F3F">
              <w:rPr>
                <w:rFonts w:cs="Arial"/>
              </w:rPr>
              <w:t>-38</w:t>
            </w:r>
          </w:p>
        </w:tc>
        <w:tc>
          <w:tcPr>
            <w:tcW w:w="1056" w:type="dxa"/>
          </w:tcPr>
          <w:p w14:paraId="1A8E5C2B" w14:textId="3DB32B02" w:rsidR="00C41F3F" w:rsidRPr="00C41F3F" w:rsidRDefault="00C41F3F" w:rsidP="00D51604">
            <w:pPr>
              <w:rPr>
                <w:rFonts w:cs="Arial"/>
              </w:rPr>
            </w:pPr>
            <w:r w:rsidRPr="00C41F3F">
              <w:rPr>
                <w:rFonts w:cs="Arial"/>
              </w:rPr>
              <w:t>4</w:t>
            </w:r>
          </w:p>
        </w:tc>
      </w:tr>
      <w:tr w:rsidR="00C41F3F" w14:paraId="50BB88C7" w14:textId="77777777" w:rsidTr="006712FD">
        <w:tc>
          <w:tcPr>
            <w:tcW w:w="1055" w:type="dxa"/>
          </w:tcPr>
          <w:p w14:paraId="612F5280" w14:textId="26209248" w:rsidR="00C41F3F" w:rsidRPr="00C41F3F" w:rsidRDefault="00C41F3F" w:rsidP="00D51604">
            <w:pPr>
              <w:rPr>
                <w:rFonts w:cs="Arial"/>
              </w:rPr>
            </w:pPr>
            <w:r w:rsidRPr="00C41F3F">
              <w:rPr>
                <w:rFonts w:cs="Arial"/>
              </w:rPr>
              <w:t>10</w:t>
            </w:r>
          </w:p>
        </w:tc>
        <w:tc>
          <w:tcPr>
            <w:tcW w:w="1055" w:type="dxa"/>
          </w:tcPr>
          <w:p w14:paraId="6F7CEAFD" w14:textId="4A988B61" w:rsidR="00C41F3F" w:rsidRPr="00C41F3F" w:rsidRDefault="00C41F3F" w:rsidP="00D51604">
            <w:pPr>
              <w:rPr>
                <w:rFonts w:cs="Arial"/>
              </w:rPr>
            </w:pPr>
            <w:r w:rsidRPr="00C41F3F">
              <w:rPr>
                <w:rFonts w:cs="Arial"/>
              </w:rPr>
              <w:t>17</w:t>
            </w:r>
          </w:p>
        </w:tc>
        <w:tc>
          <w:tcPr>
            <w:tcW w:w="1055" w:type="dxa"/>
          </w:tcPr>
          <w:p w14:paraId="264FDABB" w14:textId="5927DD0E" w:rsidR="00C41F3F" w:rsidRPr="00C41F3F" w:rsidRDefault="00C41F3F" w:rsidP="00D51604">
            <w:pPr>
              <w:rPr>
                <w:rFonts w:cs="Arial"/>
              </w:rPr>
            </w:pPr>
            <w:r w:rsidRPr="00C41F3F">
              <w:rPr>
                <w:rFonts w:cs="Arial"/>
              </w:rPr>
              <w:t>-52</w:t>
            </w:r>
          </w:p>
        </w:tc>
        <w:tc>
          <w:tcPr>
            <w:tcW w:w="1055" w:type="dxa"/>
          </w:tcPr>
          <w:p w14:paraId="60870449" w14:textId="6958539A" w:rsidR="00C41F3F" w:rsidRPr="00C41F3F" w:rsidRDefault="00C41F3F" w:rsidP="00D51604">
            <w:pPr>
              <w:rPr>
                <w:rFonts w:cs="Arial"/>
              </w:rPr>
            </w:pPr>
            <w:r w:rsidRPr="00C41F3F">
              <w:rPr>
                <w:rFonts w:cs="Arial"/>
              </w:rPr>
              <w:t>-36</w:t>
            </w:r>
          </w:p>
        </w:tc>
        <w:tc>
          <w:tcPr>
            <w:tcW w:w="1056" w:type="dxa"/>
          </w:tcPr>
          <w:p w14:paraId="36BC41E2" w14:textId="7C8C1BE6" w:rsidR="00C41F3F" w:rsidRPr="00C41F3F" w:rsidRDefault="00C41F3F" w:rsidP="00D51604">
            <w:pPr>
              <w:rPr>
                <w:rFonts w:cs="Arial"/>
              </w:rPr>
            </w:pPr>
            <w:r w:rsidRPr="00C41F3F">
              <w:rPr>
                <w:rFonts w:cs="Arial"/>
              </w:rPr>
              <w:t>14</w:t>
            </w:r>
          </w:p>
        </w:tc>
        <w:tc>
          <w:tcPr>
            <w:tcW w:w="2153" w:type="dxa"/>
          </w:tcPr>
          <w:p w14:paraId="5B3CDFF8" w14:textId="0ED34131" w:rsidR="00C41F3F" w:rsidRPr="00C41F3F" w:rsidRDefault="00C41F3F" w:rsidP="00C41F3F">
            <w:pPr>
              <w:jc w:val="right"/>
              <w:rPr>
                <w:rFonts w:cs="Arial"/>
                <w:lang w:val="en-US"/>
              </w:rPr>
            </w:pPr>
            <w:r w:rsidRPr="00C41F3F">
              <w:rPr>
                <w:rFonts w:cs="Arial"/>
                <w:lang w:val="en-US"/>
              </w:rPr>
              <w:t>-10                     -48</w:t>
            </w:r>
          </w:p>
        </w:tc>
        <w:tc>
          <w:tcPr>
            <w:tcW w:w="1056" w:type="dxa"/>
          </w:tcPr>
          <w:p w14:paraId="49690CED" w14:textId="1D85B77B" w:rsidR="00C41F3F" w:rsidRPr="00C41F3F" w:rsidRDefault="00C41F3F" w:rsidP="00D51604">
            <w:pPr>
              <w:rPr>
                <w:rFonts w:cs="Arial"/>
              </w:rPr>
            </w:pPr>
            <w:r w:rsidRPr="00C41F3F">
              <w:rPr>
                <w:rFonts w:cs="Arial"/>
              </w:rPr>
              <w:t>-42</w:t>
            </w:r>
          </w:p>
        </w:tc>
        <w:tc>
          <w:tcPr>
            <w:tcW w:w="1056" w:type="dxa"/>
          </w:tcPr>
          <w:p w14:paraId="5E21C626" w14:textId="2DDCB5AA" w:rsidR="00C41F3F" w:rsidRPr="00C41F3F" w:rsidRDefault="00C41F3F" w:rsidP="00D51604">
            <w:pPr>
              <w:rPr>
                <w:rFonts w:cs="Arial"/>
              </w:rPr>
            </w:pPr>
            <w:r w:rsidRPr="00C41F3F">
              <w:rPr>
                <w:rFonts w:cs="Arial"/>
              </w:rPr>
              <w:t>4</w:t>
            </w:r>
          </w:p>
        </w:tc>
      </w:tr>
      <w:tr w:rsidR="00C41F3F" w14:paraId="51E24CA9" w14:textId="77777777" w:rsidTr="00752176">
        <w:tc>
          <w:tcPr>
            <w:tcW w:w="1055" w:type="dxa"/>
          </w:tcPr>
          <w:p w14:paraId="457B267D" w14:textId="26174868" w:rsidR="00C41F3F" w:rsidRPr="00C41F3F" w:rsidRDefault="00C41F3F" w:rsidP="00D51604">
            <w:pPr>
              <w:rPr>
                <w:rFonts w:cs="Arial"/>
              </w:rPr>
            </w:pPr>
            <w:r w:rsidRPr="00C41F3F">
              <w:rPr>
                <w:rFonts w:cs="Arial"/>
              </w:rPr>
              <w:t>20</w:t>
            </w:r>
          </w:p>
        </w:tc>
        <w:tc>
          <w:tcPr>
            <w:tcW w:w="1055" w:type="dxa"/>
          </w:tcPr>
          <w:p w14:paraId="20806E57" w14:textId="66418F60" w:rsidR="00C41F3F" w:rsidRPr="00C41F3F" w:rsidRDefault="00C41F3F" w:rsidP="00D51604">
            <w:pPr>
              <w:rPr>
                <w:rFonts w:cs="Arial"/>
              </w:rPr>
            </w:pPr>
            <w:r w:rsidRPr="00C41F3F">
              <w:rPr>
                <w:rFonts w:cs="Arial"/>
              </w:rPr>
              <w:t>17</w:t>
            </w:r>
          </w:p>
        </w:tc>
        <w:tc>
          <w:tcPr>
            <w:tcW w:w="1055" w:type="dxa"/>
          </w:tcPr>
          <w:p w14:paraId="7A15CCC7" w14:textId="7C264EA8" w:rsidR="00C41F3F" w:rsidRPr="00C41F3F" w:rsidRDefault="00C41F3F" w:rsidP="00D51604">
            <w:pPr>
              <w:rPr>
                <w:rFonts w:cs="Arial"/>
              </w:rPr>
            </w:pPr>
            <w:r w:rsidRPr="00C41F3F">
              <w:rPr>
                <w:rFonts w:cs="Arial"/>
              </w:rPr>
              <w:t>-55</w:t>
            </w:r>
          </w:p>
        </w:tc>
        <w:tc>
          <w:tcPr>
            <w:tcW w:w="1055" w:type="dxa"/>
          </w:tcPr>
          <w:p w14:paraId="315DF1F1" w14:textId="64A47BBD" w:rsidR="00C41F3F" w:rsidRPr="00C41F3F" w:rsidRDefault="00C41F3F" w:rsidP="00D51604">
            <w:pPr>
              <w:rPr>
                <w:rFonts w:cs="Arial"/>
              </w:rPr>
            </w:pPr>
            <w:r w:rsidRPr="00C41F3F">
              <w:rPr>
                <w:rFonts w:cs="Arial"/>
              </w:rPr>
              <w:t>-40</w:t>
            </w:r>
          </w:p>
        </w:tc>
        <w:tc>
          <w:tcPr>
            <w:tcW w:w="1056" w:type="dxa"/>
          </w:tcPr>
          <w:p w14:paraId="7C1789EE" w14:textId="152BF37B" w:rsidR="00C41F3F" w:rsidRPr="00C41F3F" w:rsidRDefault="00C41F3F" w:rsidP="00D51604">
            <w:pPr>
              <w:rPr>
                <w:rFonts w:cs="Arial"/>
              </w:rPr>
            </w:pPr>
            <w:r w:rsidRPr="00C41F3F">
              <w:rPr>
                <w:rFonts w:cs="Arial"/>
              </w:rPr>
              <w:t>8</w:t>
            </w:r>
          </w:p>
        </w:tc>
        <w:tc>
          <w:tcPr>
            <w:tcW w:w="2153" w:type="dxa"/>
          </w:tcPr>
          <w:p w14:paraId="3BFFEF4D" w14:textId="47759A0B" w:rsidR="00C41F3F" w:rsidRPr="00C41F3F" w:rsidRDefault="00C41F3F" w:rsidP="00C41F3F">
            <w:pPr>
              <w:jc w:val="right"/>
              <w:rPr>
                <w:rFonts w:cs="Arial"/>
                <w:lang w:val="en-US"/>
              </w:rPr>
            </w:pPr>
            <w:r w:rsidRPr="00C41F3F">
              <w:rPr>
                <w:rFonts w:cs="Arial"/>
                <w:lang w:val="en-US"/>
              </w:rPr>
              <w:t>-23                     -51</w:t>
            </w:r>
          </w:p>
        </w:tc>
        <w:tc>
          <w:tcPr>
            <w:tcW w:w="1056" w:type="dxa"/>
          </w:tcPr>
          <w:p w14:paraId="648C208E" w14:textId="0731F548" w:rsidR="00C41F3F" w:rsidRPr="00C41F3F" w:rsidRDefault="00C41F3F" w:rsidP="00D51604">
            <w:pPr>
              <w:rPr>
                <w:rFonts w:cs="Arial"/>
              </w:rPr>
            </w:pPr>
            <w:r w:rsidRPr="00C41F3F">
              <w:rPr>
                <w:rFonts w:cs="Arial"/>
              </w:rPr>
              <w:t>-46</w:t>
            </w:r>
          </w:p>
        </w:tc>
        <w:tc>
          <w:tcPr>
            <w:tcW w:w="1056" w:type="dxa"/>
          </w:tcPr>
          <w:p w14:paraId="6EC9E1A4" w14:textId="229B7950" w:rsidR="00C41F3F" w:rsidRPr="00C41F3F" w:rsidRDefault="00C41F3F" w:rsidP="00D51604">
            <w:pPr>
              <w:rPr>
                <w:rFonts w:cs="Arial"/>
              </w:rPr>
            </w:pPr>
            <w:r w:rsidRPr="00C41F3F">
              <w:rPr>
                <w:rFonts w:cs="Arial"/>
              </w:rPr>
              <w:t>5</w:t>
            </w:r>
          </w:p>
        </w:tc>
      </w:tr>
      <w:tr w:rsidR="00C41F3F" w14:paraId="5D0E6F14" w14:textId="77777777" w:rsidTr="00A151DF">
        <w:tc>
          <w:tcPr>
            <w:tcW w:w="1055" w:type="dxa"/>
          </w:tcPr>
          <w:p w14:paraId="71A3C170" w14:textId="522865C9" w:rsidR="00C41F3F" w:rsidRPr="00C41F3F" w:rsidRDefault="00C41F3F" w:rsidP="00D51604">
            <w:pPr>
              <w:rPr>
                <w:rFonts w:cs="Arial"/>
              </w:rPr>
            </w:pPr>
            <w:r w:rsidRPr="00C41F3F">
              <w:rPr>
                <w:rFonts w:cs="Arial"/>
              </w:rPr>
              <w:t>40</w:t>
            </w:r>
          </w:p>
        </w:tc>
        <w:tc>
          <w:tcPr>
            <w:tcW w:w="1055" w:type="dxa"/>
          </w:tcPr>
          <w:p w14:paraId="3240E1EB" w14:textId="72D5C162" w:rsidR="00C41F3F" w:rsidRPr="00C41F3F" w:rsidRDefault="00C41F3F" w:rsidP="00D51604">
            <w:pPr>
              <w:rPr>
                <w:rFonts w:cs="Arial"/>
              </w:rPr>
            </w:pPr>
            <w:r w:rsidRPr="00C41F3F">
              <w:rPr>
                <w:rFonts w:cs="Arial"/>
              </w:rPr>
              <w:t>18</w:t>
            </w:r>
          </w:p>
        </w:tc>
        <w:tc>
          <w:tcPr>
            <w:tcW w:w="1055" w:type="dxa"/>
          </w:tcPr>
          <w:p w14:paraId="7E27D480" w14:textId="0D68C5FD" w:rsidR="00C41F3F" w:rsidRPr="00C41F3F" w:rsidRDefault="00C41F3F" w:rsidP="00D51604">
            <w:pPr>
              <w:rPr>
                <w:rFonts w:cs="Arial"/>
              </w:rPr>
            </w:pPr>
            <w:r w:rsidRPr="00C41F3F">
              <w:rPr>
                <w:rFonts w:cs="Arial"/>
              </w:rPr>
              <w:t>-63</w:t>
            </w:r>
          </w:p>
        </w:tc>
        <w:tc>
          <w:tcPr>
            <w:tcW w:w="1055" w:type="dxa"/>
          </w:tcPr>
          <w:p w14:paraId="5910346D" w14:textId="07803848" w:rsidR="00C41F3F" w:rsidRPr="00C41F3F" w:rsidRDefault="00C41F3F" w:rsidP="00D51604">
            <w:pPr>
              <w:rPr>
                <w:rFonts w:cs="Arial"/>
              </w:rPr>
            </w:pPr>
            <w:r w:rsidRPr="00C41F3F">
              <w:rPr>
                <w:rFonts w:cs="Arial"/>
              </w:rPr>
              <w:t>-46</w:t>
            </w:r>
          </w:p>
        </w:tc>
        <w:tc>
          <w:tcPr>
            <w:tcW w:w="1056" w:type="dxa"/>
          </w:tcPr>
          <w:p w14:paraId="5DB8123D" w14:textId="5CFBCC90" w:rsidR="00C41F3F" w:rsidRPr="00C41F3F" w:rsidRDefault="00C41F3F" w:rsidP="00D51604">
            <w:pPr>
              <w:rPr>
                <w:rFonts w:cs="Arial"/>
              </w:rPr>
            </w:pPr>
            <w:r w:rsidRPr="00C41F3F">
              <w:rPr>
                <w:rFonts w:cs="Arial"/>
              </w:rPr>
              <w:t>10</w:t>
            </w:r>
          </w:p>
        </w:tc>
        <w:tc>
          <w:tcPr>
            <w:tcW w:w="2153" w:type="dxa"/>
          </w:tcPr>
          <w:p w14:paraId="1DDEE190" w14:textId="26316FAE" w:rsidR="00C41F3F" w:rsidRPr="00C41F3F" w:rsidRDefault="00C41F3F" w:rsidP="00C41F3F">
            <w:pPr>
              <w:jc w:val="right"/>
              <w:rPr>
                <w:rFonts w:cs="Arial"/>
                <w:lang w:val="en-US"/>
              </w:rPr>
            </w:pPr>
            <w:r w:rsidRPr="00C41F3F">
              <w:rPr>
                <w:rFonts w:cs="Arial"/>
                <w:lang w:val="en-US"/>
              </w:rPr>
              <w:t>-28                     -60</w:t>
            </w:r>
          </w:p>
        </w:tc>
        <w:tc>
          <w:tcPr>
            <w:tcW w:w="1056" w:type="dxa"/>
          </w:tcPr>
          <w:p w14:paraId="0A80199F" w14:textId="4189C7B5" w:rsidR="00C41F3F" w:rsidRPr="00C41F3F" w:rsidRDefault="00C41F3F" w:rsidP="00D51604">
            <w:pPr>
              <w:rPr>
                <w:rFonts w:cs="Arial"/>
              </w:rPr>
            </w:pPr>
            <w:r w:rsidRPr="00C41F3F">
              <w:rPr>
                <w:rFonts w:cs="Arial"/>
              </w:rPr>
              <w:t>-54</w:t>
            </w:r>
          </w:p>
        </w:tc>
        <w:tc>
          <w:tcPr>
            <w:tcW w:w="1056" w:type="dxa"/>
          </w:tcPr>
          <w:p w14:paraId="6F63A719" w14:textId="5DBF35D5" w:rsidR="00C41F3F" w:rsidRPr="00C41F3F" w:rsidRDefault="00C41F3F" w:rsidP="00D51604">
            <w:pPr>
              <w:rPr>
                <w:rFonts w:cs="Arial"/>
              </w:rPr>
            </w:pPr>
            <w:r w:rsidRPr="00C41F3F">
              <w:rPr>
                <w:rFonts w:cs="Arial"/>
                <w:b/>
                <w:bCs/>
              </w:rPr>
              <w:t>0</w:t>
            </w:r>
          </w:p>
        </w:tc>
      </w:tr>
    </w:tbl>
    <w:p w14:paraId="0063848F" w14:textId="77777777" w:rsidR="00D51604" w:rsidRDefault="00D51604" w:rsidP="00D8368B"/>
    <w:p w14:paraId="163014D8" w14:textId="77777777" w:rsidR="00D51604" w:rsidRDefault="00D51604" w:rsidP="00D8368B"/>
    <w:p w14:paraId="50954671"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Терапевтичен ефект се постига до 1 седмица след започване на лечението, а 90% от максималния отговор се постига за 2 седмици. Максимален отговор обикновено се постига за 4 седмици и след това се поддържа.</w:t>
      </w:r>
    </w:p>
    <w:p w14:paraId="4A7D453A" w14:textId="77777777" w:rsidR="00D8368B" w:rsidRPr="00D51604" w:rsidRDefault="00D8368B" w:rsidP="00D8368B">
      <w:pPr>
        <w:spacing w:line="240" w:lineRule="auto"/>
        <w:rPr>
          <w:rFonts w:eastAsia="Times New Roman" w:cs="Arial"/>
          <w:color w:val="000000"/>
          <w:szCs w:val="20"/>
          <w:u w:val="single"/>
          <w:lang w:eastAsia="bg-BG"/>
        </w:rPr>
      </w:pPr>
    </w:p>
    <w:p w14:paraId="09BC4DBF" w14:textId="33471F01"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u w:val="single"/>
          <w:lang w:eastAsia="bg-BG"/>
        </w:rPr>
        <w:t>Клинична ефикасност и безопасност</w:t>
      </w:r>
    </w:p>
    <w:p w14:paraId="17FF530F"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Розувастатин е ефикасен при възрастни с хиперхолестеролемия, със и без хипертриглицеридемия, независимо от раса, пол или възраст и при специални популации като диабетици или пациенти със семейна хиперхолестеролемия.</w:t>
      </w:r>
    </w:p>
    <w:p w14:paraId="3922228B"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Обобщените данни от клинични изпитвания фаза </w:t>
      </w:r>
      <w:r w:rsidRPr="00D51604">
        <w:rPr>
          <w:rFonts w:eastAsia="Times New Roman" w:cs="Arial"/>
          <w:i/>
          <w:iCs/>
          <w:color w:val="000000"/>
          <w:szCs w:val="20"/>
          <w:lang w:val="en-US"/>
        </w:rPr>
        <w:t>III</w:t>
      </w:r>
      <w:r w:rsidRPr="00D51604">
        <w:rPr>
          <w:rFonts w:eastAsia="Times New Roman" w:cs="Arial"/>
          <w:color w:val="000000"/>
          <w:szCs w:val="20"/>
          <w:lang w:val="en-US"/>
        </w:rPr>
        <w:t xml:space="preserve"> </w:t>
      </w:r>
      <w:r w:rsidRPr="00D51604">
        <w:rPr>
          <w:rFonts w:eastAsia="Times New Roman" w:cs="Arial"/>
          <w:color w:val="000000"/>
          <w:szCs w:val="20"/>
          <w:lang w:eastAsia="bg-BG"/>
        </w:rPr>
        <w:t>показват, че розувастатин е ефикасен за лечение на повечето пациенти с тип IIа и II</w:t>
      </w:r>
      <w:r w:rsidRPr="00D51604">
        <w:rPr>
          <w:rFonts w:eastAsia="Times New Roman" w:cs="Arial"/>
          <w:color w:val="000000"/>
          <w:szCs w:val="20"/>
          <w:lang w:val="en-US"/>
        </w:rPr>
        <w:t>b</w:t>
      </w:r>
      <w:r w:rsidRPr="00D51604">
        <w:rPr>
          <w:rFonts w:eastAsia="Times New Roman" w:cs="Arial"/>
          <w:color w:val="000000"/>
          <w:szCs w:val="20"/>
          <w:lang w:eastAsia="bg-BG"/>
        </w:rPr>
        <w:t xml:space="preserve"> хиперхолестеролемия (средна изходна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около 4,8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 xml:space="preserve">/1) </w:t>
      </w:r>
      <w:r w:rsidRPr="00D51604">
        <w:rPr>
          <w:rFonts w:eastAsia="Times New Roman" w:cs="Arial"/>
          <w:color w:val="000000"/>
          <w:szCs w:val="20"/>
          <w:lang w:eastAsia="bg-BG"/>
        </w:rPr>
        <w:t xml:space="preserve">до приети в указанията на Европейската асоциация за атеросклероза </w:t>
      </w:r>
      <w:r w:rsidRPr="00D51604">
        <w:rPr>
          <w:rFonts w:eastAsia="Times New Roman" w:cs="Arial"/>
          <w:color w:val="000000"/>
          <w:szCs w:val="20"/>
          <w:lang w:val="en-US"/>
        </w:rPr>
        <w:t xml:space="preserve">(European Atherosclerosis Society) (EAS; 1998) </w:t>
      </w:r>
      <w:r w:rsidRPr="00D51604">
        <w:rPr>
          <w:rFonts w:eastAsia="Times New Roman" w:cs="Arial"/>
          <w:color w:val="000000"/>
          <w:szCs w:val="20"/>
          <w:lang w:eastAsia="bg-BG"/>
        </w:rPr>
        <w:t xml:space="preserve">цели; около 80% от пациентите лекувани с 10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достигат целите на </w:t>
      </w:r>
      <w:r w:rsidRPr="00D51604">
        <w:rPr>
          <w:rFonts w:eastAsia="Times New Roman" w:cs="Arial"/>
          <w:color w:val="000000"/>
          <w:szCs w:val="20"/>
          <w:lang w:val="en-US"/>
        </w:rPr>
        <w:t xml:space="preserve">EAS </w:t>
      </w:r>
      <w:r w:rsidRPr="00D51604">
        <w:rPr>
          <w:rFonts w:eastAsia="Times New Roman" w:cs="Arial"/>
          <w:color w:val="000000"/>
          <w:szCs w:val="20"/>
          <w:lang w:eastAsia="bg-BG"/>
        </w:rPr>
        <w:t xml:space="preserve">за нива 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(&lt;3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/l).</w:t>
      </w:r>
    </w:p>
    <w:p w14:paraId="6D93FBE5"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В едно мащабно проучване с форсирано титриране на дозата, 435 пациента с хетерозиготна фамилна хиперхолестеролемия са лекувани с 20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до 80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розувастатин. Всички дозировки показват положителен резултат върху липидните показатели и лечение до прицелните стойности. След достигане на дневна доза от 40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(12 седмично лечение),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намалява с 53%. 33% от пациентите достигат стойности 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според ръководствата на </w:t>
      </w:r>
      <w:r w:rsidRPr="00D51604">
        <w:rPr>
          <w:rFonts w:eastAsia="Times New Roman" w:cs="Arial"/>
          <w:color w:val="000000"/>
          <w:szCs w:val="20"/>
          <w:lang w:val="en-US"/>
        </w:rPr>
        <w:t xml:space="preserve">EAS </w:t>
      </w:r>
      <w:r w:rsidRPr="00D51604">
        <w:rPr>
          <w:rFonts w:eastAsia="Times New Roman" w:cs="Arial"/>
          <w:color w:val="000000"/>
          <w:szCs w:val="20"/>
          <w:lang w:eastAsia="bg-BG"/>
        </w:rPr>
        <w:t xml:space="preserve">(&lt;3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/l).</w:t>
      </w:r>
    </w:p>
    <w:p w14:paraId="61337261"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В едно отворено проучване с форсирано титриране на дозата при 42 пациенти (включително 8 педиатрични пациенти) с хомозиготна семейна хиперхолестеролемия са оценени за техния отговор към розувастатин 20-40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В цялата популация, средното понижение 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е 22%.</w:t>
      </w:r>
    </w:p>
    <w:p w14:paraId="0DB7EC8D" w14:textId="77777777" w:rsidR="00D8368B" w:rsidRPr="00D51604" w:rsidRDefault="00D8368B" w:rsidP="00D8368B">
      <w:pPr>
        <w:spacing w:line="240" w:lineRule="auto"/>
        <w:rPr>
          <w:rFonts w:eastAsia="Times New Roman" w:cs="Arial"/>
          <w:sz w:val="28"/>
          <w:szCs w:val="24"/>
          <w:lang w:eastAsia="bg-BG"/>
        </w:rPr>
      </w:pPr>
      <w:r w:rsidRPr="00D51604">
        <w:rPr>
          <w:rFonts w:eastAsia="Times New Roman" w:cs="Arial"/>
          <w:color w:val="000000"/>
          <w:szCs w:val="20"/>
          <w:lang w:eastAsia="bg-BG"/>
        </w:rPr>
        <w:t xml:space="preserve">В клинични изпитвания с ограничен брой пациенти, е доказано, че розувастатин има ддитивна (допълнителна) ефикасност, изразяваща с в понижаване на триглицеридите, когато се използва в комбинация с фенофибрат и в понижаване на нивата на </w:t>
      </w:r>
      <w:r w:rsidRPr="00D51604">
        <w:rPr>
          <w:rFonts w:eastAsia="Times New Roman" w:cs="Arial"/>
          <w:color w:val="000000"/>
          <w:szCs w:val="20"/>
          <w:lang w:val="en-US"/>
        </w:rPr>
        <w:t xml:space="preserve">HDL-C, </w:t>
      </w:r>
      <w:r w:rsidRPr="00D51604">
        <w:rPr>
          <w:rFonts w:eastAsia="Times New Roman" w:cs="Arial"/>
          <w:color w:val="000000"/>
          <w:szCs w:val="20"/>
          <w:lang w:eastAsia="bg-BG"/>
        </w:rPr>
        <w:t>когато се използва в комбинация с ниацин (вж. точка 4.4).</w:t>
      </w:r>
    </w:p>
    <w:p w14:paraId="13AB7228" w14:textId="77777777" w:rsidR="00D8368B" w:rsidRPr="00D51604" w:rsidRDefault="00D8368B" w:rsidP="00D8368B">
      <w:pPr>
        <w:rPr>
          <w:rFonts w:eastAsia="Times New Roman" w:cs="Arial"/>
          <w:color w:val="000000"/>
          <w:szCs w:val="20"/>
          <w:lang w:eastAsia="bg-BG"/>
        </w:rPr>
      </w:pPr>
    </w:p>
    <w:p w14:paraId="1B91AC55" w14:textId="77777777" w:rsidR="00C41F3F" w:rsidRPr="00C41F3F" w:rsidRDefault="00D8368B" w:rsidP="00C41F3F">
      <w:pPr>
        <w:rPr>
          <w:rFonts w:cs="Arial"/>
        </w:rPr>
      </w:pPr>
      <w:r w:rsidRPr="00D51604">
        <w:rPr>
          <w:rFonts w:eastAsia="Times New Roman" w:cs="Arial"/>
          <w:color w:val="000000"/>
          <w:szCs w:val="20"/>
          <w:lang w:eastAsia="bg-BG"/>
        </w:rPr>
        <w:t xml:space="preserve">В многоцентрово, двойно-сляпо, плацебо-контролирано клинично изпитване </w:t>
      </w:r>
      <w:r w:rsidRPr="00D51604">
        <w:rPr>
          <w:rFonts w:eastAsia="Times New Roman" w:cs="Arial"/>
          <w:color w:val="000000"/>
          <w:szCs w:val="20"/>
          <w:lang w:val="en-US"/>
        </w:rPr>
        <w:t xml:space="preserve">(METEOR), </w:t>
      </w:r>
      <w:r w:rsidRPr="00D51604">
        <w:rPr>
          <w:rFonts w:eastAsia="Times New Roman" w:cs="Arial"/>
          <w:color w:val="000000"/>
          <w:szCs w:val="20"/>
          <w:lang w:eastAsia="bg-BG"/>
        </w:rPr>
        <w:t xml:space="preserve">984 пациенти на възраст между 45 и 70 години и с малък риск за коронарна сърдечна болест (определен като риск на </w:t>
      </w:r>
      <w:r w:rsidRPr="00D51604">
        <w:rPr>
          <w:rFonts w:eastAsia="Times New Roman" w:cs="Arial"/>
          <w:color w:val="000000"/>
          <w:szCs w:val="20"/>
          <w:lang w:val="en-US"/>
        </w:rPr>
        <w:t xml:space="preserve">Framingham </w:t>
      </w:r>
      <w:r w:rsidRPr="00D51604">
        <w:rPr>
          <w:rFonts w:eastAsia="Times New Roman" w:cs="Arial"/>
          <w:color w:val="000000"/>
          <w:szCs w:val="20"/>
          <w:lang w:eastAsia="bg-BG"/>
        </w:rPr>
        <w:t xml:space="preserve">&lt;10% за период от 10 години), със средна </w:t>
      </w:r>
      <w:r w:rsidRPr="00D51604">
        <w:rPr>
          <w:rFonts w:eastAsia="Times New Roman" w:cs="Arial"/>
          <w:color w:val="000000"/>
          <w:szCs w:val="20"/>
          <w:lang w:val="en-US"/>
        </w:rPr>
        <w:t xml:space="preserve">LDL-C </w:t>
      </w:r>
      <w:r w:rsidRPr="00D51604">
        <w:rPr>
          <w:rFonts w:eastAsia="Times New Roman" w:cs="Arial"/>
          <w:color w:val="000000"/>
          <w:szCs w:val="20"/>
          <w:lang w:eastAsia="bg-BG"/>
        </w:rPr>
        <w:t xml:space="preserve">от 4,0 </w:t>
      </w:r>
      <w:proofErr w:type="spellStart"/>
      <w:r w:rsidRPr="00D51604">
        <w:rPr>
          <w:rFonts w:eastAsia="Times New Roman" w:cs="Arial"/>
          <w:color w:val="000000"/>
          <w:szCs w:val="20"/>
          <w:lang w:val="en-US"/>
        </w:rPr>
        <w:t>mmol</w:t>
      </w:r>
      <w:proofErr w:type="spellEnd"/>
      <w:r w:rsidRPr="00D51604">
        <w:rPr>
          <w:rFonts w:eastAsia="Times New Roman" w:cs="Arial"/>
          <w:color w:val="000000"/>
          <w:szCs w:val="20"/>
          <w:lang w:val="en-US"/>
        </w:rPr>
        <w:t xml:space="preserve">/1 </w:t>
      </w:r>
      <w:r w:rsidRPr="00D51604">
        <w:rPr>
          <w:rFonts w:eastAsia="Times New Roman" w:cs="Arial"/>
          <w:color w:val="000000"/>
          <w:szCs w:val="20"/>
          <w:lang w:eastAsia="bg-BG"/>
        </w:rPr>
        <w:t xml:space="preserve">(154,5 </w:t>
      </w:r>
      <w:r w:rsidRPr="00D51604">
        <w:rPr>
          <w:rFonts w:eastAsia="Times New Roman" w:cs="Arial"/>
          <w:color w:val="000000"/>
          <w:szCs w:val="20"/>
          <w:lang w:val="en-US"/>
        </w:rPr>
        <w:t xml:space="preserve">mg/dl), </w:t>
      </w:r>
      <w:r w:rsidRPr="00D51604">
        <w:rPr>
          <w:rFonts w:eastAsia="Times New Roman" w:cs="Arial"/>
          <w:color w:val="000000"/>
          <w:szCs w:val="20"/>
          <w:lang w:eastAsia="bg-BG"/>
        </w:rPr>
        <w:t>но със субклинична атеросклероза (установена с определяне на дебелината на каротидната интима /С</w:t>
      </w:r>
      <w:r w:rsidRPr="00D51604">
        <w:rPr>
          <w:rFonts w:eastAsia="Times New Roman" w:cs="Arial"/>
          <w:color w:val="000000"/>
          <w:szCs w:val="20"/>
          <w:lang w:val="en-US"/>
        </w:rPr>
        <w:t>I</w:t>
      </w:r>
      <w:r w:rsidRPr="00D51604">
        <w:rPr>
          <w:rFonts w:eastAsia="Times New Roman" w:cs="Arial"/>
          <w:color w:val="000000"/>
          <w:szCs w:val="20"/>
          <w:lang w:eastAsia="bg-BG"/>
        </w:rPr>
        <w:t xml:space="preserve">МТ/) са рандомизирани за третиране с 40 </w:t>
      </w:r>
      <w:r w:rsidRPr="00D51604">
        <w:rPr>
          <w:rFonts w:eastAsia="Times New Roman" w:cs="Arial"/>
          <w:color w:val="000000"/>
          <w:szCs w:val="20"/>
          <w:lang w:val="en-US"/>
        </w:rPr>
        <w:t xml:space="preserve">mg </w:t>
      </w:r>
      <w:r w:rsidRPr="00D51604">
        <w:rPr>
          <w:rFonts w:eastAsia="Times New Roman" w:cs="Arial"/>
          <w:color w:val="000000"/>
          <w:szCs w:val="20"/>
          <w:lang w:eastAsia="bg-BG"/>
        </w:rPr>
        <w:t xml:space="preserve">розувастатин един път дневно или плацебо в продължение на 2 години. Розувастатин значително забавя скоростта на прогресиране на максималното </w:t>
      </w:r>
      <w:r w:rsidRPr="00D51604">
        <w:rPr>
          <w:rFonts w:eastAsia="Times New Roman" w:cs="Arial"/>
          <w:color w:val="000000"/>
          <w:szCs w:val="20"/>
          <w:lang w:val="en-US"/>
        </w:rPr>
        <w:t xml:space="preserve">CIMT </w:t>
      </w:r>
      <w:r w:rsidRPr="00D51604">
        <w:rPr>
          <w:rFonts w:eastAsia="Times New Roman" w:cs="Arial"/>
          <w:color w:val="000000"/>
          <w:szCs w:val="20"/>
          <w:lang w:eastAsia="bg-BG"/>
        </w:rPr>
        <w:t xml:space="preserve">в 12 места на каротидната артерия, в сравнение с плацебо -0,0145 </w:t>
      </w:r>
      <w:r w:rsidRPr="00D51604">
        <w:rPr>
          <w:rFonts w:eastAsia="Times New Roman" w:cs="Arial"/>
          <w:color w:val="000000"/>
          <w:szCs w:val="20"/>
          <w:lang w:val="en-US"/>
        </w:rPr>
        <w:t>mm</w:t>
      </w:r>
      <w:r w:rsidRPr="00D51604">
        <w:rPr>
          <w:rFonts w:eastAsia="Times New Roman" w:cs="Arial"/>
          <w:color w:val="000000"/>
          <w:szCs w:val="20"/>
          <w:lang w:eastAsia="bg-BG"/>
        </w:rPr>
        <w:t xml:space="preserve">/година [95% интервал на доверителност -0,0196 - 0,0093; р&lt;0,0001]. Промяната спрямо началното състояние е -0,0014 </w:t>
      </w:r>
      <w:r w:rsidRPr="00D51604">
        <w:rPr>
          <w:rFonts w:eastAsia="Times New Roman" w:cs="Arial"/>
          <w:color w:val="000000"/>
          <w:szCs w:val="20"/>
          <w:lang w:val="en-US"/>
        </w:rPr>
        <w:t>mm</w:t>
      </w:r>
      <w:r w:rsidRPr="00D51604">
        <w:rPr>
          <w:rFonts w:eastAsia="Times New Roman" w:cs="Arial"/>
          <w:color w:val="000000"/>
          <w:szCs w:val="20"/>
          <w:lang w:eastAsia="bg-BG"/>
        </w:rPr>
        <w:t>/година (-0,12%</w:t>
      </w:r>
      <w:r w:rsidRPr="00D51604">
        <w:rPr>
          <w:rFonts w:eastAsia="Times New Roman" w:cs="Arial"/>
          <w:color w:val="000000"/>
          <w:szCs w:val="20"/>
          <w:lang w:val="en-US"/>
        </w:rPr>
        <w:t xml:space="preserve"> </w:t>
      </w:r>
      <w:r w:rsidRPr="00D51604">
        <w:rPr>
          <w:rFonts w:eastAsia="Times New Roman" w:cs="Arial"/>
          <w:color w:val="000000"/>
          <w:szCs w:val="20"/>
          <w:lang w:eastAsia="bg-BG"/>
        </w:rPr>
        <w:t xml:space="preserve">година /несигнификантно/) за розувастатин в сравнение с прогресиране от +0,0131 </w:t>
      </w:r>
      <w:r w:rsidRPr="00D51604">
        <w:rPr>
          <w:rFonts w:eastAsia="Times New Roman" w:cs="Arial"/>
          <w:color w:val="000000"/>
          <w:szCs w:val="20"/>
          <w:lang w:val="en-US"/>
        </w:rPr>
        <w:t>mm/</w:t>
      </w:r>
      <w:r w:rsidRPr="00D51604">
        <w:rPr>
          <w:rFonts w:eastAsia="Times New Roman" w:cs="Arial"/>
          <w:color w:val="000000"/>
          <w:szCs w:val="20"/>
          <w:lang w:eastAsia="bg-BG"/>
        </w:rPr>
        <w:t xml:space="preserve">година (1,12%/година/р&lt;0,0001/) за плацебо. Още не е демонстрирана директна връзка между понижението на </w:t>
      </w:r>
      <w:r w:rsidRPr="00D51604">
        <w:rPr>
          <w:rFonts w:eastAsia="Times New Roman" w:cs="Arial"/>
          <w:color w:val="000000"/>
          <w:szCs w:val="20"/>
          <w:lang w:val="en-US"/>
        </w:rPr>
        <w:t xml:space="preserve">CIMT </w:t>
      </w:r>
      <w:r w:rsidRPr="00D51604">
        <w:rPr>
          <w:rFonts w:eastAsia="Times New Roman" w:cs="Arial"/>
          <w:color w:val="000000"/>
          <w:szCs w:val="20"/>
          <w:lang w:eastAsia="bg-BG"/>
        </w:rPr>
        <w:t>и редуцирането на риска от сърде</w:t>
      </w:r>
      <w:r w:rsidR="00C41F3F">
        <w:rPr>
          <w:rFonts w:eastAsia="Times New Roman" w:cs="Arial"/>
          <w:color w:val="000000"/>
          <w:szCs w:val="20"/>
          <w:lang w:eastAsia="bg-BG"/>
        </w:rPr>
        <w:t xml:space="preserve">чносъдови събития. Популацията </w:t>
      </w:r>
      <w:r w:rsidR="00C41F3F" w:rsidRPr="00C41F3F">
        <w:rPr>
          <w:rFonts w:cs="Arial"/>
        </w:rPr>
        <w:t xml:space="preserve">проучена в </w:t>
      </w:r>
      <w:r w:rsidR="00C41F3F" w:rsidRPr="00C41F3F">
        <w:rPr>
          <w:rFonts w:cs="Arial"/>
          <w:lang w:val="en-US"/>
        </w:rPr>
        <w:t xml:space="preserve">METEOR </w:t>
      </w:r>
      <w:r w:rsidR="00C41F3F" w:rsidRPr="00C41F3F">
        <w:rPr>
          <w:rFonts w:cs="Arial"/>
        </w:rPr>
        <w:t xml:space="preserve">е ниско-рискова за коронарна сърдечна болест и не представлява таргетната популация за розувастатин 40 </w:t>
      </w:r>
      <w:r w:rsidR="00C41F3F" w:rsidRPr="00C41F3F">
        <w:rPr>
          <w:rFonts w:cs="Arial"/>
          <w:lang w:val="en-US"/>
        </w:rPr>
        <w:t xml:space="preserve">mg. </w:t>
      </w:r>
      <w:r w:rsidR="00C41F3F" w:rsidRPr="00C41F3F">
        <w:rPr>
          <w:rFonts w:cs="Arial"/>
        </w:rPr>
        <w:t xml:space="preserve">Дозата 40 </w:t>
      </w:r>
      <w:r w:rsidR="00C41F3F" w:rsidRPr="00C41F3F">
        <w:rPr>
          <w:rFonts w:cs="Arial"/>
          <w:lang w:val="en-US"/>
        </w:rPr>
        <w:t xml:space="preserve">mg </w:t>
      </w:r>
      <w:r w:rsidR="00C41F3F" w:rsidRPr="00C41F3F">
        <w:rPr>
          <w:rFonts w:cs="Arial"/>
        </w:rPr>
        <w:t>трябва да се предписва само на пациенти с тежка хиперхолестеролемия при висок сърдечносъдов риск (вж. точка 4.2).</w:t>
      </w:r>
    </w:p>
    <w:p w14:paraId="5CD73640" w14:textId="77777777" w:rsidR="00C41F3F" w:rsidRPr="00C41F3F" w:rsidRDefault="00C41F3F" w:rsidP="00C41F3F">
      <w:pPr>
        <w:rPr>
          <w:rFonts w:cs="Arial"/>
        </w:rPr>
      </w:pPr>
    </w:p>
    <w:p w14:paraId="3E8CFB1E" w14:textId="710EB8DF" w:rsidR="00C41F3F" w:rsidRPr="00C41F3F" w:rsidRDefault="00C41F3F" w:rsidP="00C41F3F">
      <w:pPr>
        <w:rPr>
          <w:rFonts w:cs="Arial"/>
        </w:rPr>
      </w:pPr>
      <w:r w:rsidRPr="00C41F3F">
        <w:rPr>
          <w:rFonts w:cs="Arial"/>
        </w:rPr>
        <w:t xml:space="preserve">В обосновката за Употреба на статини за Първична превенция: Проучване, касаещо интервенцията и оценяващо розувастатин </w:t>
      </w:r>
      <w:r w:rsidRPr="00C41F3F">
        <w:rPr>
          <w:rFonts w:cs="Arial"/>
          <w:lang w:val="en-US"/>
        </w:rPr>
        <w:t xml:space="preserve">(JUPITER), </w:t>
      </w:r>
      <w:r w:rsidRPr="00C41F3F">
        <w:rPr>
          <w:rFonts w:cs="Arial"/>
        </w:rPr>
        <w:t xml:space="preserve">ефекта от розувастатин върху </w:t>
      </w:r>
      <w:r w:rsidRPr="00C41F3F">
        <w:rPr>
          <w:rFonts w:cs="Arial"/>
        </w:rPr>
        <w:lastRenderedPageBreak/>
        <w:t>появата на значими атеросклеротични сърдечно-съдови инциденти е оценен при 17 802 мъже (≥ 50 години) и жени (≥ 60 години).</w:t>
      </w:r>
    </w:p>
    <w:p w14:paraId="418A7741" w14:textId="77777777" w:rsidR="00C41F3F" w:rsidRPr="00C41F3F" w:rsidRDefault="00C41F3F" w:rsidP="00C41F3F">
      <w:pPr>
        <w:rPr>
          <w:rFonts w:cs="Arial"/>
        </w:rPr>
      </w:pPr>
      <w:r w:rsidRPr="00C41F3F">
        <w:rPr>
          <w:rFonts w:cs="Arial"/>
        </w:rPr>
        <w:t>Участниците в проучването са били рандомизирани на плацебо (</w:t>
      </w:r>
      <w:r w:rsidRPr="00C41F3F">
        <w:rPr>
          <w:rFonts w:cs="Arial"/>
          <w:lang w:val="en-US"/>
        </w:rPr>
        <w:t>n</w:t>
      </w:r>
      <w:r w:rsidRPr="00C41F3F">
        <w:rPr>
          <w:rFonts w:cs="Arial"/>
        </w:rPr>
        <w:t xml:space="preserve">=8901) или розувастатин 20 </w:t>
      </w:r>
      <w:r w:rsidRPr="00C41F3F">
        <w:rPr>
          <w:rFonts w:cs="Arial"/>
          <w:lang w:val="en-US"/>
        </w:rPr>
        <w:t xml:space="preserve">mg </w:t>
      </w:r>
      <w:r w:rsidRPr="00C41F3F">
        <w:rPr>
          <w:rFonts w:cs="Arial"/>
        </w:rPr>
        <w:t>веднъж дневно (</w:t>
      </w:r>
      <w:r w:rsidRPr="00C41F3F">
        <w:rPr>
          <w:rFonts w:cs="Arial"/>
          <w:lang w:val="en-US"/>
        </w:rPr>
        <w:t>n</w:t>
      </w:r>
      <w:r w:rsidRPr="00C41F3F">
        <w:rPr>
          <w:rFonts w:cs="Arial"/>
        </w:rPr>
        <w:t xml:space="preserve">=8 901) и са проследени за средна продължителност от две години. Концентрацията на </w:t>
      </w:r>
      <w:r w:rsidRPr="00C41F3F">
        <w:rPr>
          <w:rFonts w:cs="Arial"/>
          <w:lang w:val="en-US"/>
        </w:rPr>
        <w:t>LDL</w:t>
      </w:r>
      <w:r w:rsidRPr="00C41F3F">
        <w:rPr>
          <w:rFonts w:cs="Arial"/>
        </w:rPr>
        <w:t>-холестерола е била намалена от 45% (р&lt;0,001) при пациентите приемали розувастатин в сравнение с плацебо-групата.</w:t>
      </w:r>
    </w:p>
    <w:p w14:paraId="780DCBC8" w14:textId="77777777" w:rsidR="00C41F3F" w:rsidRPr="00C41F3F" w:rsidRDefault="00C41F3F" w:rsidP="00C41F3F">
      <w:pPr>
        <w:rPr>
          <w:rFonts w:cs="Arial"/>
        </w:rPr>
      </w:pPr>
      <w:r w:rsidRPr="00C41F3F">
        <w:rPr>
          <w:rFonts w:cs="Arial"/>
        </w:rPr>
        <w:t xml:space="preserve">В периода след специални анализи на подгрупа от лица с висока степен на риск, </w:t>
      </w:r>
      <w:r w:rsidRPr="00C41F3F">
        <w:rPr>
          <w:rFonts w:cs="Arial"/>
          <w:lang w:val="en-US"/>
        </w:rPr>
        <w:t xml:space="preserve">Framingham </w:t>
      </w:r>
      <w:r w:rsidRPr="00C41F3F">
        <w:rPr>
          <w:rFonts w:cs="Arial"/>
        </w:rPr>
        <w:t xml:space="preserve">резултат &gt; 20% (1558 лица), е докладвано значително намаляване на комбинираната крайна точка от сърдечно-съдова смърт, инсулт, миокарден инфаркт (р=0,028) на лечението с розувастатин в сравнение с плацебо. Абсолютното намаляване на риска в случай на 1000 пациенти-години е 8,8. Общата смъртност е непроменена в тази високо рискова група (р=0,193) В периода след специални анализи на подгрупа от лица с висока степен на риск (9302 обекта общо) с изходно </w:t>
      </w:r>
      <w:r w:rsidRPr="00C41F3F">
        <w:rPr>
          <w:rFonts w:cs="Arial"/>
          <w:lang w:val="en-US"/>
        </w:rPr>
        <w:t xml:space="preserve">SCORE </w:t>
      </w:r>
      <w:r w:rsidRPr="00C41F3F">
        <w:rPr>
          <w:rFonts w:cs="Arial"/>
        </w:rPr>
        <w:t>риск ≥ 5% (екстраполирани да се включат над 65 години) имаше значително намаление на комбинираната крайна точка от сърдечно-съдова смърт, инсулт и инфаркт на миокарда (р=0,0003) на лечение с розувастатин, в сравнение с плацебо. Абсолютното намаление на риска в случаите е била 5,1 на 1000 пациенто-години. Общата смъртност е непроменена в тази високо рискова група (р=0,076).</w:t>
      </w:r>
    </w:p>
    <w:p w14:paraId="444FA953" w14:textId="77777777" w:rsidR="00C41F3F" w:rsidRPr="00C41F3F" w:rsidRDefault="00C41F3F" w:rsidP="00C41F3F">
      <w:pPr>
        <w:rPr>
          <w:rFonts w:cs="Arial"/>
        </w:rPr>
      </w:pPr>
      <w:r w:rsidRPr="00C41F3F">
        <w:rPr>
          <w:rFonts w:cs="Arial"/>
        </w:rPr>
        <w:t xml:space="preserve">В </w:t>
      </w:r>
      <w:r w:rsidRPr="00C41F3F">
        <w:rPr>
          <w:rFonts w:cs="Arial"/>
          <w:lang w:val="en-US"/>
        </w:rPr>
        <w:t xml:space="preserve">JUPITER </w:t>
      </w:r>
      <w:r w:rsidRPr="00C41F3F">
        <w:rPr>
          <w:rFonts w:cs="Arial"/>
        </w:rPr>
        <w:t>проучването е имало 6,6% пациенти на розувастатин и 6,2% плацебо пациенти, които са преустановили използването на изпитваното лекарство поради нежелано събитие. Най-честите нежелани събития, които са довели до прекратяване на лечението са: миалгия (0,3% розувастатин, 0,2% плацебо), абдоминална болка (0,03% розувастатин, 0,02% плацебо) и обрив (0,02% розувастатин, 0,03% плацебо). Най-честите нежелани събития при скорост по- голяма или равна на плацебо са: инфекция на пикочните пътища (8,7% розувастатин, 8,6% плацебо), назофарингит (7,6% розувастатин, 7,2% плацебо), болки в гърба (7,6% розувастатин, 6,9% плацебо) и миалгия (7,6% розувастатин, 6,6% плацебо).</w:t>
      </w:r>
    </w:p>
    <w:p w14:paraId="14C1FCDF" w14:textId="77777777" w:rsidR="00C41F3F" w:rsidRPr="00C41F3F" w:rsidRDefault="00C41F3F" w:rsidP="00C41F3F">
      <w:pPr>
        <w:rPr>
          <w:rFonts w:cs="Arial"/>
          <w:u w:val="single"/>
        </w:rPr>
      </w:pPr>
    </w:p>
    <w:p w14:paraId="3F1F9DC2" w14:textId="79BAF7D1" w:rsidR="00C41F3F" w:rsidRPr="00C41F3F" w:rsidRDefault="00C41F3F" w:rsidP="00C41F3F">
      <w:pPr>
        <w:rPr>
          <w:rFonts w:cs="Arial"/>
        </w:rPr>
      </w:pPr>
      <w:r w:rsidRPr="00C41F3F">
        <w:rPr>
          <w:rFonts w:cs="Arial"/>
          <w:u w:val="single"/>
        </w:rPr>
        <w:t>Педиатрична популация</w:t>
      </w:r>
    </w:p>
    <w:p w14:paraId="3AF3F5B1" w14:textId="6D2DDFE8" w:rsidR="00C41F3F" w:rsidRPr="00C41F3F" w:rsidRDefault="00C41F3F" w:rsidP="00C41F3F">
      <w:pPr>
        <w:rPr>
          <w:rFonts w:cs="Arial"/>
        </w:rPr>
      </w:pPr>
      <w:r w:rsidRPr="00C41F3F">
        <w:rPr>
          <w:rFonts w:cs="Arial"/>
        </w:rPr>
        <w:t>В двойно-сляпо, рандомизирано, многоцентрово, плацебо-контролирано 12-седмично проучване (</w:t>
      </w:r>
      <w:r w:rsidRPr="00C41F3F">
        <w:rPr>
          <w:rFonts w:cs="Arial"/>
          <w:lang w:val="en-US"/>
        </w:rPr>
        <w:t>n</w:t>
      </w:r>
      <w:r w:rsidRPr="00C41F3F">
        <w:rPr>
          <w:rFonts w:cs="Arial"/>
        </w:rPr>
        <w:t>= 176,97 мъже и 79 жени), последвано от 40-седмично (</w:t>
      </w:r>
      <w:r w:rsidRPr="00C41F3F">
        <w:rPr>
          <w:rFonts w:cs="Arial"/>
          <w:lang w:val="en-US"/>
        </w:rPr>
        <w:t>n</w:t>
      </w:r>
      <w:r w:rsidRPr="00C41F3F">
        <w:rPr>
          <w:rFonts w:cs="Arial"/>
        </w:rPr>
        <w:t xml:space="preserve">=173, 96 мъже и </w:t>
      </w:r>
      <w:r w:rsidRPr="00C41F3F">
        <w:rPr>
          <w:rFonts w:cs="Arial"/>
          <w:lang w:val="en-US"/>
        </w:rPr>
        <w:t>n</w:t>
      </w:r>
      <w:r w:rsidRPr="00C41F3F">
        <w:rPr>
          <w:rFonts w:cs="Arial"/>
        </w:rPr>
        <w:t xml:space="preserve">= 77 жени) проучване, пациенти на възраст 10-17 години </w:t>
      </w:r>
      <w:r w:rsidRPr="00C41F3F">
        <w:rPr>
          <w:rFonts w:cs="Arial"/>
          <w:lang w:val="en-US"/>
        </w:rPr>
        <w:t xml:space="preserve">(Tanner </w:t>
      </w:r>
      <w:r w:rsidRPr="00C41F3F">
        <w:rPr>
          <w:rFonts w:cs="Arial"/>
        </w:rPr>
        <w:t xml:space="preserve">скала </w:t>
      </w:r>
      <w:r w:rsidRPr="00C41F3F">
        <w:rPr>
          <w:rFonts w:cs="Arial"/>
          <w:lang w:val="en-US"/>
        </w:rPr>
        <w:t xml:space="preserve">II-V, </w:t>
      </w:r>
      <w:r w:rsidRPr="00C41F3F">
        <w:rPr>
          <w:rFonts w:cs="Arial"/>
        </w:rPr>
        <w:t>жените най-малко една година след първа менст</w:t>
      </w:r>
      <w:r>
        <w:rPr>
          <w:rFonts w:cs="Arial"/>
        </w:rPr>
        <w:t xml:space="preserve">руация) с хетерозиготна фамилна </w:t>
      </w:r>
      <w:r w:rsidRPr="00C41F3F">
        <w:rPr>
          <w:rFonts w:cs="Arial"/>
        </w:rPr>
        <w:t>хиперхолестеролемия, получавали розувастатин 5,</w:t>
      </w:r>
      <w:r w:rsidRPr="00C41F3F">
        <w:rPr>
          <w:rFonts w:cs="Arial"/>
          <w:lang w:val="en-US"/>
        </w:rPr>
        <w:t xml:space="preserve"> </w:t>
      </w:r>
      <w:r w:rsidRPr="00C41F3F">
        <w:rPr>
          <w:rFonts w:cs="Arial"/>
        </w:rPr>
        <w:t xml:space="preserve">10 или 20 </w:t>
      </w:r>
      <w:r w:rsidRPr="00C41F3F">
        <w:rPr>
          <w:rFonts w:cs="Arial"/>
          <w:lang w:val="en-US"/>
        </w:rPr>
        <w:t xml:space="preserve">mg </w:t>
      </w:r>
      <w:r>
        <w:rPr>
          <w:rFonts w:cs="Arial"/>
        </w:rPr>
        <w:t xml:space="preserve">дневно или плацебо за </w:t>
      </w:r>
      <w:r w:rsidRPr="00C41F3F">
        <w:rPr>
          <w:rFonts w:cs="Arial"/>
        </w:rPr>
        <w:t xml:space="preserve">12 седмици </w:t>
      </w:r>
      <w:r w:rsidRPr="00C41F3F">
        <w:rPr>
          <w:rFonts w:cs="Arial"/>
          <w:i/>
          <w:iCs/>
        </w:rPr>
        <w:t>и</w:t>
      </w:r>
      <w:r w:rsidRPr="00C41F3F">
        <w:rPr>
          <w:rFonts w:cs="Arial"/>
        </w:rPr>
        <w:t xml:space="preserve"> след това всички получавали розувастатин за 40 седмици. В проучването 30% от пациентите са били 10-13 години и 17%, 18%, 40% и 25% са били </w:t>
      </w:r>
      <w:r w:rsidRPr="00C41F3F">
        <w:rPr>
          <w:rFonts w:cs="Arial"/>
          <w:lang w:val="en-US"/>
        </w:rPr>
        <w:t xml:space="preserve">Tanner </w:t>
      </w:r>
      <w:r w:rsidRPr="00C41F3F">
        <w:rPr>
          <w:rFonts w:cs="Arial"/>
        </w:rPr>
        <w:t xml:space="preserve">скала II, </w:t>
      </w:r>
      <w:r w:rsidRPr="00C41F3F">
        <w:rPr>
          <w:rFonts w:cs="Arial"/>
          <w:lang w:val="en-US"/>
        </w:rPr>
        <w:t xml:space="preserve">III, </w:t>
      </w:r>
      <w:r w:rsidRPr="00C41F3F">
        <w:rPr>
          <w:rFonts w:cs="Arial"/>
        </w:rPr>
        <w:t>IV и V съответно.</w:t>
      </w:r>
    </w:p>
    <w:p w14:paraId="3C255574" w14:textId="77777777" w:rsidR="00C41F3F" w:rsidRPr="00C41F3F" w:rsidRDefault="00C41F3F" w:rsidP="00C41F3F">
      <w:pPr>
        <w:rPr>
          <w:rFonts w:cs="Arial"/>
        </w:rPr>
      </w:pPr>
      <w:r w:rsidRPr="00C41F3F">
        <w:rPr>
          <w:rFonts w:cs="Arial"/>
          <w:lang w:val="en-US"/>
        </w:rPr>
        <w:t xml:space="preserve">LDL-C </w:t>
      </w:r>
      <w:r w:rsidRPr="00C41F3F">
        <w:rPr>
          <w:rFonts w:cs="Arial"/>
        </w:rPr>
        <w:t xml:space="preserve">холестерола е бил редуциран 38,3%, 44,6% и 50,0% от розувастатин 5, 10 и 20 </w:t>
      </w:r>
      <w:r w:rsidRPr="00C41F3F">
        <w:rPr>
          <w:rFonts w:cs="Arial"/>
          <w:lang w:val="en-US"/>
        </w:rPr>
        <w:t xml:space="preserve">mg </w:t>
      </w:r>
      <w:r w:rsidRPr="00C41F3F">
        <w:rPr>
          <w:rFonts w:cs="Arial"/>
        </w:rPr>
        <w:t>съответно, в сравнение с плацебо.</w:t>
      </w:r>
    </w:p>
    <w:p w14:paraId="7F4C07EC" w14:textId="77777777" w:rsidR="00C41F3F" w:rsidRPr="00C41F3F" w:rsidRDefault="00C41F3F" w:rsidP="00C41F3F">
      <w:pPr>
        <w:rPr>
          <w:rFonts w:cs="Arial"/>
        </w:rPr>
      </w:pPr>
      <w:r w:rsidRPr="00C41F3F">
        <w:rPr>
          <w:rFonts w:cs="Arial"/>
        </w:rPr>
        <w:t xml:space="preserve">В края на 40-седмица, от открито проучване, е установено дозиране до максимум 20 </w:t>
      </w:r>
      <w:r w:rsidRPr="00C41F3F">
        <w:rPr>
          <w:rFonts w:cs="Arial"/>
          <w:lang w:val="en-US"/>
        </w:rPr>
        <w:t xml:space="preserve">mg </w:t>
      </w:r>
      <w:r w:rsidRPr="00C41F3F">
        <w:rPr>
          <w:rFonts w:cs="Arial"/>
        </w:rPr>
        <w:t xml:space="preserve">веднъж дневно, 70 от 173 пациента (40,5%) са постигнали нива на </w:t>
      </w:r>
      <w:r w:rsidRPr="00C41F3F">
        <w:rPr>
          <w:rFonts w:cs="Arial"/>
          <w:lang w:val="en-US"/>
        </w:rPr>
        <w:t>LDL</w:t>
      </w:r>
      <w:r w:rsidRPr="00C41F3F">
        <w:rPr>
          <w:rFonts w:cs="Arial"/>
        </w:rPr>
        <w:t xml:space="preserve">-холестерола по-малки от 2,8 </w:t>
      </w:r>
      <w:proofErr w:type="spellStart"/>
      <w:r w:rsidRPr="00C41F3F">
        <w:rPr>
          <w:rFonts w:cs="Arial"/>
          <w:lang w:val="en-US"/>
        </w:rPr>
        <w:t>mmol</w:t>
      </w:r>
      <w:proofErr w:type="spellEnd"/>
      <w:r w:rsidRPr="00C41F3F">
        <w:rPr>
          <w:rFonts w:cs="Arial"/>
          <w:lang w:val="en-US"/>
        </w:rPr>
        <w:t>/l.</w:t>
      </w:r>
    </w:p>
    <w:p w14:paraId="22D8DF33" w14:textId="676E7B4B" w:rsidR="00C41F3F" w:rsidRPr="00C41F3F" w:rsidRDefault="00C41F3F" w:rsidP="00C41F3F">
      <w:pPr>
        <w:rPr>
          <w:rFonts w:cs="Arial"/>
        </w:rPr>
      </w:pPr>
      <w:r w:rsidRPr="00C41F3F">
        <w:rPr>
          <w:rFonts w:cs="Arial"/>
        </w:rPr>
        <w:t xml:space="preserve">След 52 седмици от лечение по време на клинично изпитване, няма ефекти върху растеж (височина), тегло, </w:t>
      </w:r>
      <w:r w:rsidRPr="00C41F3F">
        <w:rPr>
          <w:rFonts w:cs="Arial"/>
          <w:lang w:val="en-US"/>
        </w:rPr>
        <w:t xml:space="preserve">BMI </w:t>
      </w:r>
      <w:r w:rsidRPr="00C41F3F">
        <w:rPr>
          <w:rFonts w:cs="Arial"/>
        </w:rPr>
        <w:t>(индекс на телесното тегло) или половото съзряване (вж. точка 4.4). Това проучва</w:t>
      </w:r>
      <w:r>
        <w:rPr>
          <w:rFonts w:cs="Arial"/>
        </w:rPr>
        <w:t>не (n</w:t>
      </w:r>
      <w:r w:rsidRPr="00C41F3F">
        <w:rPr>
          <w:rFonts w:cs="Arial"/>
        </w:rPr>
        <w:t>=176) не е подходящо за сравнение на редките нежелани лекарствени реакции.</w:t>
      </w:r>
    </w:p>
    <w:p w14:paraId="74F761BE" w14:textId="77777777" w:rsidR="00C41F3F" w:rsidRPr="00C41F3F" w:rsidRDefault="00C41F3F" w:rsidP="00C41F3F">
      <w:pPr>
        <w:rPr>
          <w:rFonts w:cs="Arial"/>
        </w:rPr>
      </w:pPr>
      <w:r w:rsidRPr="00C41F3F">
        <w:rPr>
          <w:rFonts w:cs="Arial"/>
        </w:rPr>
        <w:t xml:space="preserve">Розувастатин е проучван също в едно 2-годишно открито проучване с титриране на дозата до желаната доза при 198 деца с хетерозиготна фамилна хиперхолестеролемия </w:t>
      </w:r>
      <w:r w:rsidRPr="00C41F3F">
        <w:rPr>
          <w:rFonts w:cs="Arial"/>
        </w:rPr>
        <w:lastRenderedPageBreak/>
        <w:t xml:space="preserve">на възраст 6 до 17 години (88 момчета и 110 момичета, стадий по Танер </w:t>
      </w:r>
      <w:r w:rsidRPr="00C41F3F">
        <w:rPr>
          <w:rFonts w:cs="Arial"/>
          <w:lang w:val="en-US"/>
        </w:rPr>
        <w:t xml:space="preserve">&lt;II-V). </w:t>
      </w:r>
      <w:r w:rsidRPr="00C41F3F">
        <w:rPr>
          <w:rFonts w:cs="Arial"/>
        </w:rPr>
        <w:t xml:space="preserve">Началната доза при всички пациенти е 5 </w:t>
      </w:r>
      <w:r w:rsidRPr="00C41F3F">
        <w:rPr>
          <w:rFonts w:cs="Arial"/>
          <w:lang w:val="en-US"/>
        </w:rPr>
        <w:t xml:space="preserve">mg </w:t>
      </w:r>
      <w:r w:rsidRPr="00C41F3F">
        <w:rPr>
          <w:rFonts w:cs="Arial"/>
        </w:rPr>
        <w:t>розувастатин веднъж дневно. При пациентите на възраст 6 до 9 години (</w:t>
      </w:r>
      <w:r w:rsidRPr="00C41F3F">
        <w:rPr>
          <w:rFonts w:cs="Arial"/>
          <w:lang w:val="en-US"/>
        </w:rPr>
        <w:t>n=64</w:t>
      </w:r>
      <w:r w:rsidRPr="00C41F3F">
        <w:rPr>
          <w:rFonts w:cs="Arial"/>
        </w:rPr>
        <w:t xml:space="preserve">)  дозата може да се титрира до максимална доза 10 </w:t>
      </w:r>
      <w:r w:rsidRPr="00C41F3F">
        <w:rPr>
          <w:rFonts w:cs="Arial"/>
          <w:lang w:val="en-US"/>
        </w:rPr>
        <w:t xml:space="preserve">mg </w:t>
      </w:r>
      <w:r w:rsidRPr="00C41F3F">
        <w:rPr>
          <w:rFonts w:cs="Arial"/>
        </w:rPr>
        <w:t>веднъж дневно, а при пациенти на възраст  10 до 17 години(</w:t>
      </w:r>
      <w:r w:rsidRPr="00C41F3F">
        <w:rPr>
          <w:rFonts w:cs="Arial"/>
          <w:lang w:val="en-US"/>
        </w:rPr>
        <w:t>n</w:t>
      </w:r>
      <w:r w:rsidRPr="00C41F3F">
        <w:rPr>
          <w:rFonts w:cs="Arial"/>
        </w:rPr>
        <w:t xml:space="preserve">=134) до максимална доза 20 </w:t>
      </w:r>
      <w:r w:rsidRPr="00C41F3F">
        <w:rPr>
          <w:rFonts w:cs="Arial"/>
          <w:lang w:val="en-US"/>
        </w:rPr>
        <w:t xml:space="preserve">mg </w:t>
      </w:r>
      <w:r w:rsidRPr="00C41F3F">
        <w:rPr>
          <w:rFonts w:cs="Arial"/>
        </w:rPr>
        <w:t>веднъж дневно.</w:t>
      </w:r>
    </w:p>
    <w:p w14:paraId="1BF92A13" w14:textId="6088188F" w:rsidR="00C41F3F" w:rsidRPr="00C41F3F" w:rsidRDefault="00C41F3F" w:rsidP="00C41F3F">
      <w:pPr>
        <w:rPr>
          <w:rFonts w:cs="Arial"/>
          <w:lang w:val="en-US"/>
        </w:rPr>
      </w:pPr>
      <w:r w:rsidRPr="00C41F3F">
        <w:rPr>
          <w:rFonts w:cs="Arial"/>
        </w:rPr>
        <w:t xml:space="preserve">След 24 месеца на лечение с розувастатин, </w:t>
      </w:r>
      <w:r w:rsidRPr="00C41F3F">
        <w:rPr>
          <w:rFonts w:cs="Arial"/>
          <w:lang w:val="en-US"/>
        </w:rPr>
        <w:t xml:space="preserve">LS </w:t>
      </w:r>
      <w:r w:rsidRPr="00C41F3F">
        <w:rPr>
          <w:rFonts w:cs="Arial"/>
        </w:rPr>
        <w:t xml:space="preserve">на средния процент на намаление на </w:t>
      </w:r>
      <w:r w:rsidRPr="00C41F3F">
        <w:rPr>
          <w:rFonts w:cs="Arial"/>
          <w:lang w:val="en-US"/>
        </w:rPr>
        <w:t>LDL-C.</w:t>
      </w:r>
      <w:r w:rsidRPr="00C41F3F">
        <w:rPr>
          <w:rFonts w:cs="Arial"/>
        </w:rPr>
        <w:t xml:space="preserve"> спрямо изходната стойност е -43% (изходно ниво: 236 </w:t>
      </w:r>
      <w:r w:rsidRPr="00C41F3F">
        <w:rPr>
          <w:rFonts w:cs="Arial"/>
          <w:lang w:val="en-US"/>
        </w:rPr>
        <w:t xml:space="preserve">mg/dl, </w:t>
      </w:r>
      <w:r w:rsidRPr="00C41F3F">
        <w:rPr>
          <w:rFonts w:cs="Arial"/>
        </w:rPr>
        <w:t>месец 24: 133</w:t>
      </w:r>
      <w:r w:rsidRPr="00C41F3F">
        <w:rPr>
          <w:rFonts w:cs="Arial"/>
          <w:lang w:val="en-US"/>
        </w:rPr>
        <w:t xml:space="preserve"> mg/dl). </w:t>
      </w:r>
      <w:r w:rsidRPr="00C41F3F">
        <w:rPr>
          <w:rFonts w:cs="Arial"/>
        </w:rPr>
        <w:t>За всяка</w:t>
      </w:r>
      <w:r>
        <w:rPr>
          <w:rFonts w:cs="Arial"/>
          <w:lang w:val="en-US"/>
        </w:rPr>
        <w:t xml:space="preserve"> </w:t>
      </w:r>
      <w:r w:rsidRPr="00C41F3F">
        <w:rPr>
          <w:rFonts w:eastAsia="Times New Roman" w:cs="Arial"/>
          <w:color w:val="000000"/>
          <w:lang w:eastAsia="bg-BG"/>
        </w:rPr>
        <w:t xml:space="preserve">възрастова група, </w:t>
      </w:r>
      <w:r w:rsidRPr="00C41F3F">
        <w:rPr>
          <w:rFonts w:eastAsia="Times New Roman" w:cs="Arial"/>
          <w:color w:val="000000"/>
          <w:lang w:val="en-US"/>
        </w:rPr>
        <w:t xml:space="preserve">LS </w:t>
      </w:r>
      <w:r w:rsidRPr="00C41F3F">
        <w:rPr>
          <w:rFonts w:eastAsia="Times New Roman" w:cs="Arial"/>
          <w:color w:val="000000"/>
          <w:lang w:eastAsia="bg-BG"/>
        </w:rPr>
        <w:t xml:space="preserve">на средния процент намаление на </w:t>
      </w:r>
      <w:r w:rsidRPr="00C41F3F">
        <w:rPr>
          <w:rFonts w:eastAsia="Times New Roman" w:cs="Arial"/>
          <w:color w:val="000000"/>
          <w:lang w:val="en-US"/>
        </w:rPr>
        <w:t xml:space="preserve">LDL-C </w:t>
      </w:r>
      <w:r w:rsidRPr="00C41F3F">
        <w:rPr>
          <w:rFonts w:eastAsia="Times New Roman" w:cs="Arial"/>
          <w:color w:val="000000"/>
          <w:lang w:eastAsia="bg-BG"/>
        </w:rPr>
        <w:t xml:space="preserve">спрямо изходната стойност е - 43% (изходно ниво: 234 </w:t>
      </w:r>
      <w:r w:rsidRPr="00C41F3F">
        <w:rPr>
          <w:rFonts w:eastAsia="Times New Roman" w:cs="Arial"/>
          <w:color w:val="000000"/>
          <w:lang w:val="en-US"/>
        </w:rPr>
        <w:t xml:space="preserve">mg/dl, </w:t>
      </w:r>
      <w:r w:rsidRPr="00C41F3F">
        <w:rPr>
          <w:rFonts w:eastAsia="Times New Roman" w:cs="Arial"/>
          <w:color w:val="000000"/>
          <w:lang w:eastAsia="bg-BG"/>
        </w:rPr>
        <w:t xml:space="preserve">месец 24: 124 </w:t>
      </w:r>
      <w:r w:rsidRPr="00C41F3F">
        <w:rPr>
          <w:rFonts w:eastAsia="Times New Roman" w:cs="Arial"/>
          <w:color w:val="000000"/>
          <w:lang w:val="en-US"/>
        </w:rPr>
        <w:t xml:space="preserve">mg/dl), </w:t>
      </w:r>
      <w:r w:rsidRPr="00C41F3F">
        <w:rPr>
          <w:rFonts w:eastAsia="Times New Roman" w:cs="Arial"/>
          <w:color w:val="000000"/>
          <w:lang w:eastAsia="bg-BG"/>
        </w:rPr>
        <w:t xml:space="preserve">-45% (изходно ниво: 234 </w:t>
      </w:r>
      <w:r w:rsidRPr="00C41F3F">
        <w:rPr>
          <w:rFonts w:eastAsia="Times New Roman" w:cs="Arial"/>
          <w:color w:val="000000"/>
          <w:lang w:val="en-US"/>
        </w:rPr>
        <w:t xml:space="preserve">mg/mg, </w:t>
      </w:r>
      <w:r w:rsidRPr="00C41F3F">
        <w:rPr>
          <w:rFonts w:eastAsia="Times New Roman" w:cs="Arial"/>
          <w:color w:val="000000"/>
          <w:lang w:eastAsia="bg-BG"/>
        </w:rPr>
        <w:t xml:space="preserve">месец 24: 124 </w:t>
      </w:r>
      <w:r w:rsidRPr="00C41F3F">
        <w:rPr>
          <w:rFonts w:eastAsia="Times New Roman" w:cs="Arial"/>
          <w:color w:val="000000"/>
          <w:lang w:val="en-US"/>
        </w:rPr>
        <w:t xml:space="preserve">mg/dl) </w:t>
      </w:r>
      <w:r w:rsidRPr="00C41F3F">
        <w:rPr>
          <w:rFonts w:eastAsia="Times New Roman" w:cs="Arial"/>
          <w:color w:val="000000"/>
          <w:lang w:eastAsia="bg-BG"/>
        </w:rPr>
        <w:t xml:space="preserve">и -35% (изходно ниво: 241 </w:t>
      </w:r>
      <w:r w:rsidRPr="00C41F3F">
        <w:rPr>
          <w:rFonts w:eastAsia="Times New Roman" w:cs="Arial"/>
          <w:color w:val="000000"/>
          <w:lang w:val="en-US"/>
        </w:rPr>
        <w:t xml:space="preserve">mg/dl, </w:t>
      </w:r>
      <w:r w:rsidRPr="00C41F3F">
        <w:rPr>
          <w:rFonts w:eastAsia="Times New Roman" w:cs="Arial"/>
          <w:color w:val="000000"/>
          <w:lang w:eastAsia="bg-BG"/>
        </w:rPr>
        <w:t xml:space="preserve">месец 24: 153 </w:t>
      </w:r>
      <w:r w:rsidRPr="00C41F3F">
        <w:rPr>
          <w:rFonts w:eastAsia="Times New Roman" w:cs="Arial"/>
          <w:color w:val="000000"/>
          <w:lang w:val="en-US"/>
        </w:rPr>
        <w:t xml:space="preserve">mg/dl) </w:t>
      </w:r>
      <w:r w:rsidRPr="00C41F3F">
        <w:rPr>
          <w:rFonts w:eastAsia="Times New Roman" w:cs="Arial"/>
          <w:color w:val="000000"/>
          <w:lang w:eastAsia="bg-BG"/>
        </w:rPr>
        <w:t>във възрастовите групи 6 до &lt;10,10 до &lt;14 и 14 до &lt;18 съответно.</w:t>
      </w:r>
    </w:p>
    <w:p w14:paraId="40CFEE26"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5 </w:t>
      </w:r>
      <w:r w:rsidRPr="00C41F3F">
        <w:rPr>
          <w:rFonts w:eastAsia="Times New Roman" w:cs="Arial"/>
          <w:color w:val="000000"/>
          <w:lang w:val="en-US"/>
        </w:rPr>
        <w:t xml:space="preserve">mg, </w:t>
      </w:r>
      <w:r w:rsidRPr="00C41F3F">
        <w:rPr>
          <w:rFonts w:eastAsia="Times New Roman" w:cs="Arial"/>
          <w:color w:val="000000"/>
          <w:lang w:eastAsia="bg-BG"/>
        </w:rPr>
        <w:t xml:space="preserve">10 </w:t>
      </w:r>
      <w:r w:rsidRPr="00C41F3F">
        <w:rPr>
          <w:rFonts w:eastAsia="Times New Roman" w:cs="Arial"/>
          <w:color w:val="000000"/>
          <w:lang w:val="en-US"/>
        </w:rPr>
        <w:t xml:space="preserve">mg </w:t>
      </w:r>
      <w:r w:rsidRPr="00C41F3F">
        <w:rPr>
          <w:rFonts w:eastAsia="Times New Roman" w:cs="Arial"/>
          <w:color w:val="000000"/>
          <w:lang w:eastAsia="bg-BG"/>
        </w:rPr>
        <w:t xml:space="preserve">и 20 </w:t>
      </w:r>
      <w:r w:rsidRPr="00C41F3F">
        <w:rPr>
          <w:rFonts w:eastAsia="Times New Roman" w:cs="Arial"/>
          <w:color w:val="000000"/>
          <w:lang w:val="en-US"/>
        </w:rPr>
        <w:t xml:space="preserve">mg </w:t>
      </w:r>
      <w:r w:rsidRPr="00C41F3F">
        <w:rPr>
          <w:rFonts w:eastAsia="Times New Roman" w:cs="Arial"/>
          <w:color w:val="000000"/>
          <w:lang w:eastAsia="bg-BG"/>
        </w:rPr>
        <w:t xml:space="preserve">достигат също статистически значими средни промени спрямо изходно ниво за следните вторични показатели на липидни и липопротеините: </w:t>
      </w:r>
      <w:r w:rsidRPr="00C41F3F">
        <w:rPr>
          <w:rFonts w:eastAsia="Times New Roman" w:cs="Arial"/>
          <w:color w:val="000000"/>
          <w:lang w:val="en-US"/>
        </w:rPr>
        <w:t xml:space="preserve">HDL-C, </w:t>
      </w:r>
      <w:r w:rsidRPr="00C41F3F">
        <w:rPr>
          <w:rFonts w:eastAsia="Times New Roman" w:cs="Arial"/>
          <w:color w:val="000000"/>
          <w:lang w:eastAsia="bg-BG"/>
        </w:rPr>
        <w:t>ТС, не</w:t>
      </w:r>
      <w:r w:rsidRPr="00C41F3F">
        <w:rPr>
          <w:rFonts w:eastAsia="Times New Roman" w:cs="Arial"/>
          <w:color w:val="000000"/>
          <w:lang w:val="en-US"/>
        </w:rPr>
        <w:t xml:space="preserve">-HDL-C, LDL-C/HDL-C, TC/HDL-C, TG/HDL-C, </w:t>
      </w:r>
      <w:r w:rsidRPr="00C41F3F">
        <w:rPr>
          <w:rFonts w:eastAsia="Times New Roman" w:cs="Arial"/>
          <w:color w:val="000000"/>
          <w:lang w:eastAsia="bg-BG"/>
        </w:rPr>
        <w:t>не</w:t>
      </w:r>
      <w:r w:rsidRPr="00C41F3F">
        <w:rPr>
          <w:rFonts w:eastAsia="Times New Roman" w:cs="Arial"/>
          <w:color w:val="000000"/>
          <w:lang w:val="en-US"/>
        </w:rPr>
        <w:t xml:space="preserve">-HDL-C/HDL-C, </w:t>
      </w:r>
      <w:r w:rsidRPr="00C41F3F">
        <w:rPr>
          <w:rFonts w:eastAsia="Times New Roman" w:cs="Arial"/>
          <w:color w:val="000000"/>
          <w:lang w:eastAsia="bg-BG"/>
        </w:rPr>
        <w:t>АроВ, АроВ/АроА-1. Всяка от тези промени е в посока на подобрен липиден отговор и се поддържа в продължение на 2 години.</w:t>
      </w:r>
    </w:p>
    <w:p w14:paraId="03EFFA14"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Не се установява ефект върху растежа, теглото, ИТМ или половото съзряване след 24 месеца на лечение (вж. точка 4.4).</w:t>
      </w:r>
    </w:p>
    <w:p w14:paraId="5F7301B5" w14:textId="77777777" w:rsidR="00C41F3F" w:rsidRPr="00C41F3F" w:rsidRDefault="00C41F3F" w:rsidP="00C41F3F">
      <w:pPr>
        <w:spacing w:line="240" w:lineRule="auto"/>
        <w:rPr>
          <w:rFonts w:eastAsia="Times New Roman" w:cs="Arial"/>
          <w:color w:val="000000"/>
          <w:lang w:eastAsia="bg-BG"/>
        </w:rPr>
      </w:pPr>
    </w:p>
    <w:p w14:paraId="285995AD" w14:textId="572271C2"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C41F3F">
        <w:rPr>
          <w:rFonts w:eastAsia="Times New Roman" w:cs="Arial"/>
          <w:color w:val="000000"/>
          <w:lang w:val="en-US"/>
        </w:rPr>
        <w:t xml:space="preserve">mg </w:t>
      </w:r>
      <w:r w:rsidRPr="00C41F3F">
        <w:rPr>
          <w:rFonts w:eastAsia="Times New Roman" w:cs="Arial"/>
          <w:color w:val="000000"/>
          <w:lang w:eastAsia="bg-BG"/>
        </w:rPr>
        <w:t xml:space="preserve">веднъж дневно спрямо плацебо при 14 деца и юноши (на възраст от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с розувастатин 10 </w:t>
      </w:r>
      <w:r w:rsidRPr="00C41F3F">
        <w:rPr>
          <w:rFonts w:eastAsia="Times New Roman" w:cs="Arial"/>
          <w:color w:val="000000"/>
          <w:lang w:val="en-US"/>
        </w:rPr>
        <w:t xml:space="preserve">mg, </w:t>
      </w:r>
      <w:r w:rsidRPr="00C41F3F">
        <w:rPr>
          <w:rFonts w:eastAsia="Times New Roman" w:cs="Arial"/>
          <w:color w:val="000000"/>
          <w:lang w:eastAsia="bg-BG"/>
        </w:rPr>
        <w:t xml:space="preserve">една кръстосана фаза, която включва период от 6-седмично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 xml:space="preserve">предшестваща или последвана от 6-седмично лечение с плацебо и поддържащата 12 седмична фаза, през която всички пациенти са лекувани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Пациентите, които постъпват в проучването на терапия с езетимиб или афереза продължават лечението си през целия период на проучването.</w:t>
      </w:r>
    </w:p>
    <w:p w14:paraId="0FCFE179"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Статистически сигнификантно (р = 0,005) намаление на </w:t>
      </w:r>
      <w:r w:rsidRPr="00C41F3F">
        <w:rPr>
          <w:rFonts w:eastAsia="Times New Roman" w:cs="Arial"/>
          <w:color w:val="000000"/>
          <w:lang w:val="en-US"/>
        </w:rPr>
        <w:t xml:space="preserve">LDL-C </w:t>
      </w:r>
      <w:r w:rsidRPr="00C41F3F">
        <w:rPr>
          <w:rFonts w:eastAsia="Times New Roman" w:cs="Arial"/>
          <w:color w:val="000000"/>
          <w:lang w:eastAsia="bg-BG"/>
        </w:rPr>
        <w:t xml:space="preserve">(22,3%, 85,4 </w:t>
      </w:r>
      <w:r w:rsidRPr="00C41F3F">
        <w:rPr>
          <w:rFonts w:eastAsia="Times New Roman" w:cs="Arial"/>
          <w:color w:val="000000"/>
          <w:lang w:val="en-US"/>
        </w:rPr>
        <w:t xml:space="preserve">mg/dl </w:t>
      </w:r>
      <w:r w:rsidRPr="00C41F3F">
        <w:rPr>
          <w:rFonts w:eastAsia="Times New Roman" w:cs="Arial"/>
          <w:color w:val="000000"/>
          <w:lang w:eastAsia="bg-BG"/>
        </w:rPr>
        <w:t xml:space="preserve">или 2,2 </w:t>
      </w:r>
      <w:proofErr w:type="spellStart"/>
      <w:r w:rsidRPr="00C41F3F">
        <w:rPr>
          <w:rFonts w:eastAsia="Times New Roman" w:cs="Arial"/>
          <w:color w:val="000000"/>
          <w:lang w:val="en-US"/>
        </w:rPr>
        <w:t>mmol</w:t>
      </w:r>
      <w:proofErr w:type="spellEnd"/>
      <w:r w:rsidRPr="00C41F3F">
        <w:rPr>
          <w:rFonts w:eastAsia="Times New Roman" w:cs="Arial"/>
          <w:color w:val="000000"/>
          <w:lang w:val="en-US"/>
        </w:rPr>
        <w:t xml:space="preserve">/l) </w:t>
      </w:r>
      <w:r w:rsidRPr="00C41F3F">
        <w:rPr>
          <w:rFonts w:eastAsia="Times New Roman" w:cs="Arial"/>
          <w:color w:val="000000"/>
          <w:lang w:eastAsia="bg-BG"/>
        </w:rPr>
        <w:t xml:space="preserve">се наблюдава след 6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 xml:space="preserve">в сравнение с плацебо. Статистически значими намаления в общия холестерол С (20,1%, р = 0,003), </w:t>
      </w:r>
      <w:proofErr w:type="spellStart"/>
      <w:r w:rsidRPr="00C41F3F">
        <w:rPr>
          <w:rFonts w:eastAsia="Times New Roman" w:cs="Arial"/>
          <w:color w:val="000000"/>
          <w:lang w:val="en-US"/>
        </w:rPr>
        <w:t>HeHDL</w:t>
      </w:r>
      <w:proofErr w:type="spellEnd"/>
      <w:r w:rsidRPr="00C41F3F">
        <w:rPr>
          <w:rFonts w:eastAsia="Times New Roman" w:cs="Arial"/>
          <w:color w:val="000000"/>
          <w:lang w:val="en-US"/>
        </w:rPr>
        <w:t xml:space="preserve">-C </w:t>
      </w:r>
      <w:r w:rsidRPr="00C41F3F">
        <w:rPr>
          <w:rFonts w:eastAsia="Times New Roman" w:cs="Arial"/>
          <w:color w:val="000000"/>
          <w:lang w:eastAsia="bg-BG"/>
        </w:rPr>
        <w:t xml:space="preserve">(22,9%, р = 0,003), и АроВ (17,1%, р = 0,024) са били наблюдавани. Понижаване също се наблюдава на триглицеридите, съотношенията </w:t>
      </w:r>
      <w:r w:rsidRPr="00C41F3F">
        <w:rPr>
          <w:rFonts w:eastAsia="Times New Roman" w:cs="Arial"/>
          <w:color w:val="000000"/>
          <w:lang w:val="en-US"/>
        </w:rPr>
        <w:t xml:space="preserve">LDL-C/HDL-C, </w:t>
      </w:r>
      <w:r w:rsidRPr="00C41F3F">
        <w:rPr>
          <w:rFonts w:eastAsia="Times New Roman" w:cs="Arial"/>
          <w:color w:val="000000"/>
          <w:lang w:eastAsia="bg-BG"/>
        </w:rPr>
        <w:t xml:space="preserve">общия холестерол </w:t>
      </w:r>
      <w:r w:rsidRPr="00C41F3F">
        <w:rPr>
          <w:rFonts w:eastAsia="Times New Roman" w:cs="Arial"/>
          <w:color w:val="000000"/>
          <w:lang w:val="en-US"/>
        </w:rPr>
        <w:t xml:space="preserve">C/HDL-C, </w:t>
      </w:r>
      <w:proofErr w:type="spellStart"/>
      <w:r w:rsidRPr="00C41F3F">
        <w:rPr>
          <w:rFonts w:eastAsia="Times New Roman" w:cs="Arial"/>
          <w:color w:val="000000"/>
          <w:lang w:val="en-US"/>
        </w:rPr>
        <w:t>nonHDL</w:t>
      </w:r>
      <w:proofErr w:type="spellEnd"/>
      <w:r w:rsidRPr="00C41F3F">
        <w:rPr>
          <w:rFonts w:eastAsia="Times New Roman" w:cs="Arial"/>
          <w:color w:val="000000"/>
          <w:lang w:val="en-US"/>
        </w:rPr>
        <w:t xml:space="preserve">-C/HDL-C, </w:t>
      </w:r>
      <w:r w:rsidRPr="00C41F3F">
        <w:rPr>
          <w:rFonts w:eastAsia="Times New Roman" w:cs="Arial"/>
          <w:color w:val="000000"/>
          <w:lang w:eastAsia="bg-BG"/>
        </w:rPr>
        <w:t xml:space="preserve">и АроВ/АроА-1 след </w:t>
      </w:r>
      <w:r w:rsidRPr="00C41F3F">
        <w:rPr>
          <w:rFonts w:eastAsia="Times New Roman" w:cs="Arial"/>
          <w:i/>
          <w:iCs/>
          <w:color w:val="000000"/>
          <w:lang w:eastAsia="bg-BG"/>
        </w:rPr>
        <w:t>6</w:t>
      </w:r>
      <w:r w:rsidRPr="00C41F3F">
        <w:rPr>
          <w:rFonts w:eastAsia="Times New Roman" w:cs="Arial"/>
          <w:color w:val="000000"/>
          <w:lang w:eastAsia="bg-BG"/>
        </w:rPr>
        <w:t xml:space="preserve">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 xml:space="preserve">в сравнение с плацебо. Намалението на </w:t>
      </w:r>
      <w:r w:rsidRPr="00C41F3F">
        <w:rPr>
          <w:rFonts w:eastAsia="Times New Roman" w:cs="Arial"/>
          <w:color w:val="000000"/>
          <w:lang w:val="en-US"/>
        </w:rPr>
        <w:t xml:space="preserve">LDL-C </w:t>
      </w:r>
      <w:r w:rsidRPr="00C41F3F">
        <w:rPr>
          <w:rFonts w:eastAsia="Times New Roman" w:cs="Arial"/>
          <w:color w:val="000000"/>
          <w:lang w:eastAsia="bg-BG"/>
        </w:rPr>
        <w:t xml:space="preserve">след 6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последвано от 6 седмици на лечение с плацебо се запазва в рамките на 12 седмично непрекъснато лечение.</w:t>
      </w:r>
    </w:p>
    <w:p w14:paraId="35098758"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Един пациент е имал по-нататъшно понижаване на </w:t>
      </w:r>
      <w:r w:rsidRPr="00C41F3F">
        <w:rPr>
          <w:rFonts w:eastAsia="Times New Roman" w:cs="Arial"/>
          <w:color w:val="000000"/>
          <w:lang w:val="en-US"/>
        </w:rPr>
        <w:t xml:space="preserve">LDL-C </w:t>
      </w:r>
      <w:r w:rsidRPr="00C41F3F">
        <w:rPr>
          <w:rFonts w:eastAsia="Times New Roman" w:cs="Arial"/>
          <w:color w:val="000000"/>
          <w:lang w:eastAsia="bg-BG"/>
        </w:rPr>
        <w:t>(8,0%), Общ-С (6,7%) и не</w:t>
      </w:r>
      <w:r w:rsidRPr="00C41F3F">
        <w:rPr>
          <w:rFonts w:eastAsia="Times New Roman" w:cs="Arial"/>
          <w:color w:val="000000"/>
          <w:lang w:val="en-US"/>
        </w:rPr>
        <w:t xml:space="preserve">-HDL-C </w:t>
      </w:r>
      <w:r w:rsidRPr="00C41F3F">
        <w:rPr>
          <w:rFonts w:eastAsia="Times New Roman" w:cs="Arial"/>
          <w:color w:val="000000"/>
          <w:lang w:eastAsia="bg-BG"/>
        </w:rPr>
        <w:t xml:space="preserve">(7,4%) след 6 седмично лечение с 40 </w:t>
      </w:r>
      <w:r w:rsidRPr="00C41F3F">
        <w:rPr>
          <w:rFonts w:eastAsia="Times New Roman" w:cs="Arial"/>
          <w:color w:val="000000"/>
          <w:lang w:val="en-US"/>
        </w:rPr>
        <w:t xml:space="preserve">mg </w:t>
      </w:r>
      <w:r w:rsidRPr="00C41F3F">
        <w:rPr>
          <w:rFonts w:eastAsia="Times New Roman" w:cs="Arial"/>
          <w:color w:val="000000"/>
          <w:lang w:eastAsia="bg-BG"/>
        </w:rPr>
        <w:t>след повишаване на дозата.</w:t>
      </w:r>
    </w:p>
    <w:p w14:paraId="499A1123"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По време на разширено отворено проучване, при 9 от тези пациенти на 20 </w:t>
      </w:r>
      <w:r w:rsidRPr="00C41F3F">
        <w:rPr>
          <w:rFonts w:eastAsia="Times New Roman" w:cs="Arial"/>
          <w:color w:val="000000"/>
          <w:lang w:val="en-US"/>
        </w:rPr>
        <w:t xml:space="preserve">mg </w:t>
      </w:r>
      <w:r w:rsidRPr="00C41F3F">
        <w:rPr>
          <w:rFonts w:eastAsia="Times New Roman" w:cs="Arial"/>
          <w:color w:val="000000"/>
          <w:lang w:eastAsia="bg-BG"/>
        </w:rPr>
        <w:t xml:space="preserve">розувастатин за не повече от 90 седмици, намаляването на </w:t>
      </w:r>
      <w:r w:rsidRPr="00C41F3F">
        <w:rPr>
          <w:rFonts w:eastAsia="Times New Roman" w:cs="Arial"/>
          <w:color w:val="000000"/>
          <w:lang w:val="en-US"/>
        </w:rPr>
        <w:t xml:space="preserve">LDL-C </w:t>
      </w:r>
      <w:r w:rsidRPr="00C41F3F">
        <w:rPr>
          <w:rFonts w:eastAsia="Times New Roman" w:cs="Arial"/>
          <w:color w:val="000000"/>
          <w:lang w:eastAsia="bg-BG"/>
        </w:rPr>
        <w:t xml:space="preserve">се запазва в рамките на -12,1 % до -21,3%. При 7-те оценявани деца и юноши (на възраст от 8 до 17 години) с хомозиготна фамилна хиперхолестеролемия от отворено проучаване с форсирано титриране (вж. по-горе), процентното понижение на </w:t>
      </w:r>
      <w:r w:rsidRPr="00C41F3F">
        <w:rPr>
          <w:rFonts w:eastAsia="Times New Roman" w:cs="Arial"/>
          <w:color w:val="000000"/>
          <w:lang w:val="en-US"/>
        </w:rPr>
        <w:t xml:space="preserve">LDL-C </w:t>
      </w:r>
      <w:r w:rsidRPr="00C41F3F">
        <w:rPr>
          <w:rFonts w:eastAsia="Times New Roman" w:cs="Arial"/>
          <w:color w:val="000000"/>
          <w:lang w:eastAsia="bg-BG"/>
        </w:rPr>
        <w:t>(21,0%), общия-С (19,2%) и не</w:t>
      </w:r>
      <w:r w:rsidRPr="00C41F3F">
        <w:rPr>
          <w:rFonts w:eastAsia="Times New Roman" w:cs="Arial"/>
          <w:color w:val="000000"/>
          <w:lang w:val="en-US"/>
        </w:rPr>
        <w:t xml:space="preserve">-HDL-C </w:t>
      </w:r>
      <w:r w:rsidRPr="00C41F3F">
        <w:rPr>
          <w:rFonts w:eastAsia="Times New Roman" w:cs="Arial"/>
          <w:color w:val="000000"/>
          <w:lang w:eastAsia="bg-BG"/>
        </w:rPr>
        <w:t xml:space="preserve">(21,0%) от изходното ниво след 6 седмици на лечение с розувастатин 20 </w:t>
      </w:r>
      <w:r w:rsidRPr="00C41F3F">
        <w:rPr>
          <w:rFonts w:eastAsia="Times New Roman" w:cs="Arial"/>
          <w:color w:val="000000"/>
          <w:lang w:val="en-US"/>
        </w:rPr>
        <w:t xml:space="preserve">mg </w:t>
      </w:r>
      <w:r w:rsidRPr="00C41F3F">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5AF11EB6" w14:textId="36904135" w:rsidR="00C41F3F" w:rsidRPr="00C41F3F" w:rsidRDefault="00C41F3F" w:rsidP="00C41F3F">
      <w:pPr>
        <w:rPr>
          <w:rFonts w:cs="Arial"/>
        </w:rPr>
      </w:pPr>
      <w:r w:rsidRPr="00C41F3F">
        <w:rPr>
          <w:rFonts w:eastAsia="Times New Roman" w:cs="Arial"/>
          <w:color w:val="000000"/>
          <w:lang w:eastAsia="bg-BG"/>
        </w:rPr>
        <w:t xml:space="preserve">Европейската агенция по лекарствата освобождава от задължението за предоставяне на резултатите от проучванията с розувастатин при всички подгрупи от педиатричната </w:t>
      </w:r>
      <w:r w:rsidRPr="00C41F3F">
        <w:rPr>
          <w:rFonts w:eastAsia="Times New Roman" w:cs="Arial"/>
          <w:color w:val="000000"/>
          <w:lang w:eastAsia="bg-BG"/>
        </w:rPr>
        <w:lastRenderedPageBreak/>
        <w:t>популация за лечение на хомозиготна фамилна хиперхолестеролемия, първично комбинирана (смесена) дислипидемия и за профилактика на сърдечно-съдови събития (вж. точка 4.2 за информация относно употреба в педиатрията).</w:t>
      </w:r>
    </w:p>
    <w:p w14:paraId="3E64652B" w14:textId="77777777" w:rsidR="00C41F3F" w:rsidRPr="0091385D" w:rsidRDefault="00C41F3F"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B396BB6" w14:textId="77777777" w:rsidR="00C41F3F" w:rsidRPr="00C357CD" w:rsidRDefault="00C41F3F" w:rsidP="00C357CD">
      <w:pPr>
        <w:pStyle w:val="Heading3"/>
        <w:rPr>
          <w:rFonts w:eastAsia="Times New Roman"/>
          <w:u w:val="single"/>
          <w:lang w:eastAsia="bg-BG"/>
        </w:rPr>
      </w:pPr>
      <w:r w:rsidRPr="00C357CD">
        <w:rPr>
          <w:rFonts w:eastAsia="Times New Roman"/>
          <w:u w:val="single"/>
          <w:lang w:eastAsia="bg-BG"/>
        </w:rPr>
        <w:t>Абсорбция</w:t>
      </w:r>
    </w:p>
    <w:p w14:paraId="54E5FECE"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Максимални плазмени концентрации на розувастатин се постигат приблизително 5 часа след перорално приложение. Абсолютната бионаличност е приблизително 20%.</w:t>
      </w:r>
    </w:p>
    <w:p w14:paraId="3D8C5921" w14:textId="77777777" w:rsidR="00C41F3F" w:rsidRPr="00C41F3F" w:rsidRDefault="00C41F3F" w:rsidP="00C41F3F">
      <w:pPr>
        <w:spacing w:line="240" w:lineRule="auto"/>
        <w:rPr>
          <w:rFonts w:eastAsia="Times New Roman" w:cs="Arial"/>
          <w:color w:val="000000"/>
          <w:u w:val="single"/>
          <w:lang w:eastAsia="bg-BG"/>
        </w:rPr>
      </w:pPr>
    </w:p>
    <w:p w14:paraId="166D0EF0" w14:textId="4730FDFB" w:rsidR="00C41F3F" w:rsidRPr="00C357CD" w:rsidRDefault="00C41F3F" w:rsidP="00C357CD">
      <w:pPr>
        <w:pStyle w:val="Heading3"/>
        <w:rPr>
          <w:rFonts w:eastAsia="Times New Roman"/>
          <w:u w:val="single"/>
          <w:lang w:eastAsia="bg-BG"/>
        </w:rPr>
      </w:pPr>
      <w:r w:rsidRPr="00C357CD">
        <w:rPr>
          <w:rFonts w:eastAsia="Times New Roman"/>
          <w:u w:val="single"/>
          <w:lang w:eastAsia="bg-BG"/>
        </w:rPr>
        <w:t>Разпределение</w:t>
      </w:r>
    </w:p>
    <w:p w14:paraId="148BA3FC" w14:textId="4C4423C0" w:rsidR="0091385D" w:rsidRPr="00C41F3F" w:rsidRDefault="00C41F3F" w:rsidP="00C41F3F">
      <w:pPr>
        <w:rPr>
          <w:rFonts w:eastAsia="Times New Roman" w:cs="Arial"/>
          <w:color w:val="000000"/>
          <w:lang w:eastAsia="bg-BG"/>
        </w:rPr>
      </w:pPr>
      <w:r w:rsidRPr="00C41F3F">
        <w:rPr>
          <w:rFonts w:eastAsia="Times New Roman" w:cs="Arial"/>
          <w:color w:val="000000"/>
          <w:lang w:eastAsia="bg-BG"/>
        </w:rPr>
        <w:t>Розувастатин се поглъща екстензивно от черния дроб, който е първичното място за</w:t>
      </w:r>
      <w:r w:rsidRPr="00C41F3F">
        <w:rPr>
          <w:rFonts w:eastAsia="Times New Roman" w:cs="Arial"/>
          <w:color w:val="000000"/>
          <w:lang w:val="en-US"/>
        </w:rPr>
        <w:t xml:space="preserve"> </w:t>
      </w:r>
      <w:r w:rsidRPr="00C41F3F">
        <w:rPr>
          <w:rFonts w:eastAsia="Times New Roman" w:cs="Arial"/>
          <w:color w:val="000000"/>
          <w:lang w:eastAsia="bg-BG"/>
        </w:rPr>
        <w:t xml:space="preserve">синтез на холестерол и изчистване на </w:t>
      </w:r>
      <w:r w:rsidRPr="00C41F3F">
        <w:rPr>
          <w:rFonts w:eastAsia="Times New Roman" w:cs="Arial"/>
          <w:color w:val="000000"/>
          <w:lang w:val="en-US"/>
        </w:rPr>
        <w:t xml:space="preserve">LDL-C. </w:t>
      </w:r>
      <w:r w:rsidRPr="00C41F3F">
        <w:rPr>
          <w:rFonts w:eastAsia="Times New Roman" w:cs="Arial"/>
          <w:color w:val="000000"/>
          <w:lang w:eastAsia="bg-BG"/>
        </w:rPr>
        <w:t>Обемът на разпределение на розувастатин е приблизително 1341. Приблизително 90% от розувастатин с свързва с плазмените протеини, основно към албумин.</w:t>
      </w:r>
    </w:p>
    <w:p w14:paraId="6D1C51A4" w14:textId="7274F90F" w:rsidR="00C41F3F" w:rsidRPr="00C41F3F" w:rsidRDefault="00C41F3F" w:rsidP="00C41F3F">
      <w:pPr>
        <w:rPr>
          <w:rFonts w:eastAsia="Times New Roman" w:cs="Arial"/>
          <w:color w:val="000000"/>
          <w:lang w:eastAsia="bg-BG"/>
        </w:rPr>
      </w:pPr>
    </w:p>
    <w:p w14:paraId="106B5FEE" w14:textId="77777777" w:rsidR="00C41F3F" w:rsidRPr="00C357CD" w:rsidRDefault="00C41F3F" w:rsidP="00C357CD">
      <w:pPr>
        <w:pStyle w:val="Heading3"/>
        <w:rPr>
          <w:rFonts w:eastAsia="Times New Roman"/>
          <w:u w:val="single"/>
          <w:lang w:eastAsia="bg-BG"/>
        </w:rPr>
      </w:pPr>
      <w:r w:rsidRPr="00C357CD">
        <w:rPr>
          <w:rFonts w:eastAsia="Times New Roman"/>
          <w:u w:val="single"/>
          <w:lang w:eastAsia="bg-BG"/>
        </w:rPr>
        <w:t>Биотрансформация</w:t>
      </w:r>
    </w:p>
    <w:p w14:paraId="024BE0F1"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се подлага на ограничен метаболизъм (приблизително 10%). </w:t>
      </w:r>
      <w:r w:rsidRPr="00C41F3F">
        <w:rPr>
          <w:rFonts w:eastAsia="Times New Roman" w:cs="Arial"/>
          <w:i/>
          <w:iCs/>
          <w:color w:val="000000"/>
          <w:lang w:val="en-US"/>
        </w:rPr>
        <w:t>In vitro</w:t>
      </w:r>
      <w:r w:rsidRPr="00C41F3F">
        <w:rPr>
          <w:rFonts w:eastAsia="Times New Roman" w:cs="Arial"/>
          <w:color w:val="000000"/>
          <w:lang w:val="en-US"/>
        </w:rPr>
        <w:t xml:space="preserve"> </w:t>
      </w:r>
      <w:r w:rsidRPr="00C41F3F">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базирания на Р450 метаболизъм. </w:t>
      </w:r>
      <w:r w:rsidRPr="00C41F3F">
        <w:rPr>
          <w:rFonts w:eastAsia="Times New Roman" w:cs="Arial"/>
          <w:color w:val="000000"/>
          <w:lang w:val="en-US"/>
        </w:rPr>
        <w:t xml:space="preserve">CYP2C9 </w:t>
      </w:r>
      <w:r w:rsidRPr="00C41F3F">
        <w:rPr>
          <w:rFonts w:eastAsia="Times New Roman" w:cs="Arial"/>
          <w:color w:val="000000"/>
          <w:lang w:eastAsia="bg-BG"/>
        </w:rPr>
        <w:t xml:space="preserve">е основният участващ изоензим, като 2С19, ЗА4 и </w:t>
      </w:r>
      <w:r w:rsidRPr="00C41F3F">
        <w:rPr>
          <w:rFonts w:eastAsia="Times New Roman" w:cs="Arial"/>
          <w:color w:val="000000"/>
          <w:lang w:val="en-US"/>
        </w:rPr>
        <w:t xml:space="preserve">2D6 </w:t>
      </w:r>
      <w:r w:rsidRPr="00C41F3F">
        <w:rPr>
          <w:rFonts w:eastAsia="Times New Roman" w:cs="Arial"/>
          <w:color w:val="000000"/>
          <w:lang w:eastAsia="bg-BG"/>
        </w:rPr>
        <w:t xml:space="preserve">са включени в по-малка степен. Основните идентифицирани метаболити са </w:t>
      </w:r>
      <w:r w:rsidRPr="00C41F3F">
        <w:rPr>
          <w:rFonts w:eastAsia="Times New Roman" w:cs="Arial"/>
          <w:color w:val="000000"/>
          <w:lang w:val="en-US"/>
        </w:rPr>
        <w:t>N</w:t>
      </w:r>
      <w:r w:rsidRPr="00C41F3F">
        <w:rPr>
          <w:rFonts w:eastAsia="Times New Roman" w:cs="Arial"/>
          <w:color w:val="000000"/>
          <w:lang w:eastAsia="bg-BG"/>
        </w:rPr>
        <w:t xml:space="preserve">-дезметил и лактон метаболити. </w:t>
      </w:r>
      <w:r w:rsidRPr="00C41F3F">
        <w:rPr>
          <w:rFonts w:eastAsia="Times New Roman" w:cs="Arial"/>
          <w:color w:val="000000"/>
          <w:lang w:val="en-US"/>
        </w:rPr>
        <w:t>N</w:t>
      </w:r>
      <w:r w:rsidRPr="00C41F3F">
        <w:rPr>
          <w:rFonts w:eastAsia="Times New Roman" w:cs="Arial"/>
          <w:color w:val="000000"/>
          <w:lang w:eastAsia="bg-BG"/>
        </w:rPr>
        <w:t>-дезметил метаболитът е с приблизително 50% по-слаба активност отколкото розувастатин, докато лактонната форма се счита за клинично неактивна.</w:t>
      </w:r>
    </w:p>
    <w:p w14:paraId="340128DC"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Розувастатин допринася за повече от 90% от инхибиторната активност на </w:t>
      </w:r>
      <w:r w:rsidRPr="00C41F3F">
        <w:rPr>
          <w:rFonts w:eastAsia="Times New Roman" w:cs="Arial"/>
          <w:color w:val="000000"/>
          <w:lang w:val="en-US"/>
        </w:rPr>
        <w:t xml:space="preserve">HMG-CoA </w:t>
      </w:r>
      <w:r w:rsidRPr="00C41F3F">
        <w:rPr>
          <w:rFonts w:eastAsia="Times New Roman" w:cs="Arial"/>
          <w:color w:val="000000"/>
          <w:lang w:eastAsia="bg-BG"/>
        </w:rPr>
        <w:t>редуктаза в циркулацията.</w:t>
      </w:r>
    </w:p>
    <w:p w14:paraId="06E0F48D" w14:textId="77777777" w:rsidR="00C41F3F" w:rsidRPr="00C41F3F" w:rsidRDefault="00C41F3F" w:rsidP="00C41F3F">
      <w:pPr>
        <w:spacing w:line="240" w:lineRule="auto"/>
        <w:rPr>
          <w:rFonts w:eastAsia="Times New Roman" w:cs="Arial"/>
          <w:color w:val="000000"/>
          <w:u w:val="single"/>
          <w:lang w:eastAsia="bg-BG"/>
        </w:rPr>
      </w:pPr>
    </w:p>
    <w:p w14:paraId="2B895951" w14:textId="506D2994" w:rsidR="00C41F3F" w:rsidRPr="00C357CD" w:rsidRDefault="00C41F3F" w:rsidP="00C357CD">
      <w:pPr>
        <w:pStyle w:val="Heading3"/>
        <w:rPr>
          <w:rFonts w:eastAsia="Times New Roman"/>
          <w:u w:val="single"/>
          <w:lang w:eastAsia="bg-BG"/>
        </w:rPr>
      </w:pPr>
      <w:r w:rsidRPr="00C357CD">
        <w:rPr>
          <w:rFonts w:eastAsia="Times New Roman"/>
          <w:u w:val="single"/>
          <w:lang w:eastAsia="bg-BG"/>
        </w:rPr>
        <w:t>Елиминиране</w:t>
      </w:r>
    </w:p>
    <w:p w14:paraId="4F34374A"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Приблизително 90% от дозата розувастатин се екскретира непроменена във фекалиите (състояща се от абсорбирано и неабсорбирано активно вещество), а останалата част се екскретира в урината. Приблизително 5% се екскретира непроменена в урината. Плазменият полу-живот на елиминиране е приблизително 19 часа. Полу-животът на елиминиране не нараства при по-високи дози. Геометричният среден плазмен клирънс е приблизително 50 литра/час (коефициент на вариация 21,7%). Както и при останалите инхибитори на </w:t>
      </w:r>
      <w:r w:rsidRPr="00C41F3F">
        <w:rPr>
          <w:rFonts w:eastAsia="Times New Roman" w:cs="Arial"/>
          <w:color w:val="000000"/>
          <w:lang w:val="en-US"/>
        </w:rPr>
        <w:t xml:space="preserve">HMG- </w:t>
      </w:r>
      <w:r w:rsidRPr="00C41F3F">
        <w:rPr>
          <w:rFonts w:eastAsia="Times New Roman" w:cs="Arial"/>
          <w:color w:val="000000"/>
          <w:lang w:eastAsia="bg-BG"/>
        </w:rPr>
        <w:t>СоА редуктаза, чернодробното усвояване на розувастатин включва мембранния транспортьор ОАТР-С. Този транспортьор е важен за чернодробното елиминиране на розувастатин.</w:t>
      </w:r>
    </w:p>
    <w:p w14:paraId="1E58D196" w14:textId="77777777" w:rsidR="00C41F3F" w:rsidRPr="00C41F3F" w:rsidRDefault="00C41F3F" w:rsidP="00C41F3F">
      <w:pPr>
        <w:spacing w:line="240" w:lineRule="auto"/>
        <w:rPr>
          <w:rFonts w:eastAsia="Times New Roman" w:cs="Arial"/>
          <w:color w:val="000000"/>
          <w:u w:val="single"/>
          <w:lang w:eastAsia="bg-BG"/>
        </w:rPr>
      </w:pPr>
    </w:p>
    <w:p w14:paraId="2139FAEF" w14:textId="565F3A9F" w:rsidR="00C41F3F" w:rsidRPr="00C41F3F" w:rsidRDefault="00C41F3F" w:rsidP="00C41F3F">
      <w:pPr>
        <w:spacing w:line="240" w:lineRule="auto"/>
        <w:rPr>
          <w:rFonts w:eastAsia="Times New Roman" w:cs="Arial"/>
          <w:lang w:eastAsia="bg-BG"/>
        </w:rPr>
      </w:pPr>
      <w:r w:rsidRPr="00C41F3F">
        <w:rPr>
          <w:rFonts w:eastAsia="Times New Roman" w:cs="Arial"/>
          <w:color w:val="000000"/>
          <w:u w:val="single"/>
          <w:lang w:eastAsia="bg-BG"/>
        </w:rPr>
        <w:t>Линейност</w:t>
      </w:r>
    </w:p>
    <w:p w14:paraId="485C6FA0"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Системното въздействие на розувастатин нараства с повишаване на дозата. Няма промени във фармакокинетичните параметри след многократни дневни дози.</w:t>
      </w:r>
    </w:p>
    <w:p w14:paraId="3B58BD34" w14:textId="77777777" w:rsidR="00C41F3F" w:rsidRPr="00C41F3F" w:rsidRDefault="00C41F3F" w:rsidP="00C41F3F">
      <w:pPr>
        <w:spacing w:line="240" w:lineRule="auto"/>
        <w:rPr>
          <w:rFonts w:eastAsia="Times New Roman" w:cs="Arial"/>
          <w:color w:val="000000"/>
          <w:u w:val="single"/>
          <w:lang w:eastAsia="bg-BG"/>
        </w:rPr>
      </w:pPr>
    </w:p>
    <w:p w14:paraId="1D332DEF" w14:textId="59B978B6" w:rsidR="00C41F3F" w:rsidRPr="00C41F3F" w:rsidRDefault="00C41F3F" w:rsidP="00C41F3F">
      <w:pPr>
        <w:spacing w:line="240" w:lineRule="auto"/>
        <w:rPr>
          <w:rFonts w:eastAsia="Times New Roman" w:cs="Arial"/>
          <w:lang w:eastAsia="bg-BG"/>
        </w:rPr>
      </w:pPr>
      <w:r w:rsidRPr="00C41F3F">
        <w:rPr>
          <w:rFonts w:eastAsia="Times New Roman" w:cs="Arial"/>
          <w:color w:val="000000"/>
          <w:u w:val="single"/>
          <w:lang w:eastAsia="bg-BG"/>
        </w:rPr>
        <w:t>Специални популации</w:t>
      </w:r>
    </w:p>
    <w:p w14:paraId="05AD0585" w14:textId="77777777" w:rsidR="00C41F3F" w:rsidRPr="00C41F3F" w:rsidRDefault="00C41F3F" w:rsidP="00C41F3F">
      <w:pPr>
        <w:spacing w:line="240" w:lineRule="auto"/>
        <w:rPr>
          <w:rFonts w:eastAsia="Times New Roman" w:cs="Arial"/>
          <w:i/>
          <w:iCs/>
          <w:color w:val="000000"/>
          <w:lang w:eastAsia="bg-BG"/>
        </w:rPr>
      </w:pPr>
    </w:p>
    <w:p w14:paraId="4F75F760" w14:textId="1DD81512"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Възраст и пол</w:t>
      </w:r>
    </w:p>
    <w:p w14:paraId="7B9FF7A3"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Няма клинично значим ефект на пола и възрастта върху фармакокинетиката на розувастатин при възрастни. Експозицията при деца и юноши с хетерозиготна фамилна </w:t>
      </w:r>
      <w:r w:rsidRPr="00C41F3F">
        <w:rPr>
          <w:rFonts w:eastAsia="Times New Roman" w:cs="Arial"/>
          <w:color w:val="000000"/>
          <w:lang w:eastAsia="bg-BG"/>
        </w:rPr>
        <w:lastRenderedPageBreak/>
        <w:t>хиперхолестеролемия изглежда сравнима или по-ниска от тази при възрастни с дислипидемия (вж. „Педиатрична популация” по-долу).</w:t>
      </w:r>
    </w:p>
    <w:p w14:paraId="342F8397" w14:textId="77777777" w:rsidR="00C41F3F" w:rsidRPr="00C41F3F" w:rsidRDefault="00C41F3F" w:rsidP="00C41F3F">
      <w:pPr>
        <w:spacing w:line="240" w:lineRule="auto"/>
        <w:rPr>
          <w:rFonts w:eastAsia="Times New Roman" w:cs="Arial"/>
          <w:i/>
          <w:iCs/>
          <w:color w:val="000000"/>
          <w:lang w:eastAsia="bg-BG"/>
        </w:rPr>
      </w:pPr>
    </w:p>
    <w:p w14:paraId="42EC1948" w14:textId="13B22483"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Раса</w:t>
      </w:r>
    </w:p>
    <w:p w14:paraId="7692BCBD"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Фармакокинетичните проучвания показват приблизително двукратно повишение на медианната стойност на </w:t>
      </w:r>
      <w:r w:rsidRPr="00C41F3F">
        <w:rPr>
          <w:rFonts w:eastAsia="Times New Roman" w:cs="Arial"/>
          <w:color w:val="000000"/>
          <w:lang w:val="en-US"/>
        </w:rPr>
        <w:t xml:space="preserve">AUC </w:t>
      </w:r>
      <w:r w:rsidRPr="00C41F3F">
        <w:rPr>
          <w:rFonts w:eastAsia="Times New Roman" w:cs="Arial"/>
          <w:color w:val="000000"/>
          <w:lang w:eastAsia="bg-BG"/>
        </w:rPr>
        <w:t>и С</w:t>
      </w:r>
      <w:r w:rsidRPr="00C41F3F">
        <w:rPr>
          <w:rFonts w:eastAsia="Times New Roman" w:cs="Arial"/>
          <w:color w:val="000000"/>
          <w:vertAlign w:val="subscript"/>
          <w:lang w:val="en-US"/>
        </w:rPr>
        <w:t>max</w:t>
      </w:r>
      <w:r w:rsidRPr="00C41F3F">
        <w:rPr>
          <w:rFonts w:eastAsia="Times New Roman" w:cs="Arial"/>
          <w:color w:val="000000"/>
          <w:lang w:eastAsia="bg-BG"/>
        </w:rPr>
        <w:t xml:space="preserve"> при индивиди с азиатски произход (японци, китайци, филипинци, виетнамци и корейци) в сравнение с бялата раса. При азиатци-индийци има близо 1,3-кратно нарастване на медианната стойност на </w:t>
      </w:r>
      <w:r w:rsidRPr="00C41F3F">
        <w:rPr>
          <w:rFonts w:eastAsia="Times New Roman" w:cs="Arial"/>
          <w:color w:val="000000"/>
          <w:lang w:val="en-US"/>
        </w:rPr>
        <w:t xml:space="preserve">AUC </w:t>
      </w:r>
      <w:r w:rsidRPr="00C41F3F">
        <w:rPr>
          <w:rFonts w:eastAsia="Times New Roman" w:cs="Arial"/>
          <w:color w:val="000000"/>
          <w:lang w:eastAsia="bg-BG"/>
        </w:rPr>
        <w:t>и С</w:t>
      </w:r>
      <w:r w:rsidRPr="00C41F3F">
        <w:rPr>
          <w:rFonts w:eastAsia="Times New Roman" w:cs="Arial"/>
          <w:color w:val="000000"/>
          <w:lang w:val="en-US"/>
        </w:rPr>
        <w:t>m</w:t>
      </w:r>
      <w:r w:rsidRPr="00C41F3F">
        <w:rPr>
          <w:rFonts w:eastAsia="Times New Roman" w:cs="Arial"/>
          <w:color w:val="000000"/>
          <w:lang w:eastAsia="bg-BG"/>
        </w:rPr>
        <w:t>ах- Популационен фармакокинетичен анализ показва, че няма клинично значими разлики във фармакокинетиката между кавказката и черна раси.</w:t>
      </w:r>
    </w:p>
    <w:p w14:paraId="51CBD4DE" w14:textId="77777777" w:rsidR="00C41F3F" w:rsidRPr="00C41F3F" w:rsidRDefault="00C41F3F" w:rsidP="00C41F3F">
      <w:pPr>
        <w:spacing w:line="240" w:lineRule="auto"/>
        <w:rPr>
          <w:rFonts w:eastAsia="Times New Roman" w:cs="Arial"/>
          <w:i/>
          <w:iCs/>
          <w:color w:val="000000"/>
          <w:lang w:eastAsia="bg-BG"/>
        </w:rPr>
      </w:pPr>
    </w:p>
    <w:p w14:paraId="765F99D7" w14:textId="57EA47A8"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Бъбречно увреждане</w:t>
      </w:r>
    </w:p>
    <w:p w14:paraId="4C9DBE9F"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При проучване на индивиди с разнообразно по степен бъбречно увреждане, леката до умерена бъбречна болест не показва влияние върху плазмените концентрации на розувастатин или </w:t>
      </w:r>
      <w:r w:rsidRPr="00C41F3F">
        <w:rPr>
          <w:rFonts w:eastAsia="Times New Roman" w:cs="Arial"/>
          <w:color w:val="000000"/>
          <w:lang w:val="en-US"/>
        </w:rPr>
        <w:t xml:space="preserve">N- </w:t>
      </w:r>
      <w:r w:rsidRPr="00C41F3F">
        <w:rPr>
          <w:rFonts w:eastAsia="Times New Roman" w:cs="Arial"/>
          <w:color w:val="000000"/>
          <w:lang w:eastAsia="bg-BG"/>
        </w:rPr>
        <w:t xml:space="preserve">дезметил метаболита. Индивиди с тежко бъбречно увреждане </w:t>
      </w:r>
      <w:r w:rsidRPr="00C41F3F">
        <w:rPr>
          <w:rFonts w:eastAsia="Times New Roman" w:cs="Arial"/>
          <w:smallCaps/>
          <w:color w:val="000000"/>
          <w:lang w:val="en-US"/>
        </w:rPr>
        <w:t>(</w:t>
      </w:r>
      <w:proofErr w:type="spellStart"/>
      <w:r w:rsidRPr="00C41F3F">
        <w:rPr>
          <w:rFonts w:eastAsia="Times New Roman" w:cs="Arial"/>
          <w:smallCaps/>
          <w:color w:val="000000"/>
          <w:lang w:val="en-US"/>
        </w:rPr>
        <w:t>CI</w:t>
      </w:r>
      <w:r w:rsidRPr="00C41F3F">
        <w:rPr>
          <w:rFonts w:eastAsia="Times New Roman" w:cs="Arial"/>
          <w:smallCaps/>
          <w:color w:val="000000"/>
          <w:vertAlign w:val="subscript"/>
          <w:lang w:val="en-US"/>
        </w:rPr>
        <w:t>cr</w:t>
      </w:r>
      <w:proofErr w:type="spellEnd"/>
      <w:r w:rsidRPr="00C41F3F">
        <w:rPr>
          <w:rFonts w:eastAsia="Times New Roman" w:cs="Arial"/>
          <w:color w:val="000000"/>
          <w:lang w:val="en-US"/>
        </w:rPr>
        <w:t xml:space="preserve"> </w:t>
      </w:r>
      <w:r w:rsidRPr="00C41F3F">
        <w:rPr>
          <w:rFonts w:eastAsia="Times New Roman" w:cs="Arial"/>
          <w:color w:val="000000"/>
          <w:lang w:eastAsia="bg-BG"/>
        </w:rPr>
        <w:t xml:space="preserve">&lt;30 </w:t>
      </w:r>
      <w:r w:rsidRPr="00C41F3F">
        <w:rPr>
          <w:rFonts w:eastAsia="Times New Roman" w:cs="Arial"/>
          <w:color w:val="000000"/>
          <w:lang w:val="en-US"/>
        </w:rPr>
        <w:t xml:space="preserve">ml/min) </w:t>
      </w:r>
      <w:r w:rsidRPr="00C41F3F">
        <w:rPr>
          <w:rFonts w:eastAsia="Times New Roman" w:cs="Arial"/>
          <w:color w:val="000000"/>
          <w:lang w:eastAsia="bg-BG"/>
        </w:rPr>
        <w:t>имат 3-кратно повишение на плазмените концентрации и 9-кратно повишение на концентрациите н</w:t>
      </w:r>
      <w:r w:rsidRPr="00C41F3F">
        <w:rPr>
          <w:rFonts w:eastAsia="Times New Roman" w:cs="Arial"/>
          <w:color w:val="000000"/>
          <w:lang w:val="en-US"/>
        </w:rPr>
        <w:t xml:space="preserve">a N- </w:t>
      </w:r>
      <w:r w:rsidRPr="00C41F3F">
        <w:rPr>
          <w:rFonts w:eastAsia="Times New Roman" w:cs="Arial"/>
          <w:color w:val="000000"/>
          <w:lang w:eastAsia="bg-BG"/>
        </w:rPr>
        <w:t>дезметил метаболита в сравнение със здравите доброволци. Равновесните плазмени концентрации на розувастатин при индивиди на хемодиализа са приблизително 50% по-високи в сравнение със здрави доброволци.</w:t>
      </w:r>
    </w:p>
    <w:p w14:paraId="26D1C11D" w14:textId="77777777" w:rsidR="00C41F3F" w:rsidRPr="00C41F3F" w:rsidRDefault="00C41F3F" w:rsidP="00C41F3F">
      <w:pPr>
        <w:spacing w:line="240" w:lineRule="auto"/>
        <w:rPr>
          <w:rFonts w:eastAsia="Times New Roman" w:cs="Arial"/>
          <w:i/>
          <w:iCs/>
          <w:color w:val="000000"/>
          <w:lang w:eastAsia="bg-BG"/>
        </w:rPr>
      </w:pPr>
    </w:p>
    <w:p w14:paraId="5AA6BACB" w14:textId="089A6999"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Чернодробно увреждане</w:t>
      </w:r>
    </w:p>
    <w:p w14:paraId="4958E034"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В проучване на индивиди с различна степен на чернодробно увреждане, няма данни за увеличаване на въздействието на розувастатин при индивиди с оценка по </w:t>
      </w:r>
      <w:r w:rsidRPr="00C41F3F">
        <w:rPr>
          <w:rFonts w:eastAsia="Times New Roman" w:cs="Arial"/>
          <w:color w:val="000000"/>
          <w:lang w:val="en-US"/>
        </w:rPr>
        <w:t xml:space="preserve">Child-Pugh </w:t>
      </w:r>
      <w:r w:rsidRPr="00C41F3F">
        <w:rPr>
          <w:rFonts w:eastAsia="Times New Roman" w:cs="Arial"/>
          <w:color w:val="000000"/>
          <w:lang w:eastAsia="bg-BG"/>
        </w:rPr>
        <w:t xml:space="preserve">от 7 или по-ниска. Двама, обаче, с оценка по </w:t>
      </w:r>
      <w:r w:rsidRPr="00C41F3F">
        <w:rPr>
          <w:rFonts w:eastAsia="Times New Roman" w:cs="Arial"/>
          <w:color w:val="000000"/>
          <w:lang w:val="en-US"/>
        </w:rPr>
        <w:t xml:space="preserve">Child-Pugh </w:t>
      </w:r>
      <w:r w:rsidRPr="00C41F3F">
        <w:rPr>
          <w:rFonts w:eastAsia="Times New Roman" w:cs="Arial"/>
          <w:color w:val="000000"/>
          <w:lang w:eastAsia="bg-BG"/>
        </w:rPr>
        <w:t xml:space="preserve">от 8 и 9, показват повишено системно въздействие с най-малко 2-кратно повишение в сравнение с индивидите с по-ниски оценки по </w:t>
      </w:r>
      <w:r w:rsidRPr="00C41F3F">
        <w:rPr>
          <w:rFonts w:eastAsia="Times New Roman" w:cs="Arial"/>
          <w:color w:val="000000"/>
          <w:lang w:val="en-US"/>
        </w:rPr>
        <w:t xml:space="preserve">Child-Pugh. </w:t>
      </w:r>
      <w:r w:rsidRPr="00C41F3F">
        <w:rPr>
          <w:rFonts w:eastAsia="Times New Roman" w:cs="Arial"/>
          <w:color w:val="000000"/>
          <w:lang w:eastAsia="bg-BG"/>
        </w:rPr>
        <w:t xml:space="preserve">Няма опит с индивиди с оценки по </w:t>
      </w:r>
      <w:r w:rsidRPr="00C41F3F">
        <w:rPr>
          <w:rFonts w:eastAsia="Times New Roman" w:cs="Arial"/>
          <w:color w:val="000000"/>
          <w:lang w:val="en-US"/>
        </w:rPr>
        <w:t xml:space="preserve">Child-Pugh </w:t>
      </w:r>
      <w:r w:rsidRPr="00C41F3F">
        <w:rPr>
          <w:rFonts w:eastAsia="Times New Roman" w:cs="Arial"/>
          <w:color w:val="000000"/>
          <w:lang w:eastAsia="bg-BG"/>
        </w:rPr>
        <w:t>над 9.</w:t>
      </w:r>
    </w:p>
    <w:p w14:paraId="6140A8D9" w14:textId="77777777" w:rsidR="00C41F3F" w:rsidRPr="00C41F3F" w:rsidRDefault="00C41F3F" w:rsidP="00C41F3F">
      <w:pPr>
        <w:rPr>
          <w:rFonts w:eastAsia="Times New Roman" w:cs="Arial"/>
          <w:i/>
          <w:iCs/>
          <w:color w:val="000000"/>
          <w:lang w:eastAsia="bg-BG"/>
        </w:rPr>
      </w:pPr>
    </w:p>
    <w:p w14:paraId="0C83B7A7" w14:textId="544B2113" w:rsidR="00C41F3F" w:rsidRPr="00C41F3F" w:rsidRDefault="00C41F3F" w:rsidP="00C41F3F">
      <w:pPr>
        <w:rPr>
          <w:rFonts w:cs="Arial"/>
        </w:rPr>
      </w:pPr>
      <w:r w:rsidRPr="00C41F3F">
        <w:rPr>
          <w:rFonts w:eastAsia="Times New Roman" w:cs="Arial"/>
          <w:i/>
          <w:iCs/>
          <w:color w:val="000000"/>
          <w:lang w:eastAsia="bg-BG"/>
        </w:rPr>
        <w:t>Генетичен полиморфизъм</w:t>
      </w:r>
    </w:p>
    <w:p w14:paraId="0ACD7CD3" w14:textId="77777777" w:rsidR="00C41F3F" w:rsidRPr="00C41F3F" w:rsidRDefault="00C41F3F" w:rsidP="00C41F3F">
      <w:pPr>
        <w:spacing w:line="240" w:lineRule="auto"/>
        <w:rPr>
          <w:rFonts w:eastAsia="Times New Roman" w:cs="Arial"/>
          <w:lang w:eastAsia="bg-BG"/>
        </w:rPr>
      </w:pPr>
      <w:r w:rsidRPr="00C41F3F">
        <w:rPr>
          <w:rFonts w:eastAsia="Times New Roman" w:cs="Arial"/>
          <w:color w:val="000000"/>
          <w:lang w:eastAsia="bg-BG"/>
        </w:rPr>
        <w:t xml:space="preserve">Диспозицията на </w:t>
      </w:r>
      <w:r w:rsidRPr="00C41F3F">
        <w:rPr>
          <w:rFonts w:eastAsia="Times New Roman" w:cs="Arial"/>
          <w:color w:val="000000"/>
          <w:lang w:val="en-US"/>
        </w:rPr>
        <w:t xml:space="preserve">HMG-CoA </w:t>
      </w:r>
      <w:r w:rsidRPr="00C41F3F">
        <w:rPr>
          <w:rFonts w:eastAsia="Times New Roman" w:cs="Arial"/>
          <w:color w:val="000000"/>
          <w:lang w:eastAsia="bg-BG"/>
        </w:rPr>
        <w:t xml:space="preserve">редуктазните инхибитори, включително розувастатин е свързана с ОАТР1В1 и </w:t>
      </w:r>
      <w:r w:rsidRPr="00C41F3F">
        <w:rPr>
          <w:rFonts w:eastAsia="Times New Roman" w:cs="Arial"/>
          <w:color w:val="000000"/>
          <w:lang w:val="en-US"/>
        </w:rPr>
        <w:t xml:space="preserve">BCRP </w:t>
      </w:r>
      <w:r w:rsidRPr="00C41F3F">
        <w:rPr>
          <w:rFonts w:eastAsia="Times New Roman" w:cs="Arial"/>
          <w:color w:val="000000"/>
          <w:lang w:eastAsia="bg-BG"/>
        </w:rPr>
        <w:t xml:space="preserve">транспортни протеини. При пациенти с генетичен полиморфизъм на </w:t>
      </w:r>
      <w:r w:rsidRPr="00C41F3F">
        <w:rPr>
          <w:rFonts w:eastAsia="Times New Roman" w:cs="Arial"/>
          <w:color w:val="000000"/>
          <w:lang w:val="en-US"/>
        </w:rPr>
        <w:t xml:space="preserve">SLCO1B1 </w:t>
      </w:r>
      <w:r w:rsidRPr="00C41F3F">
        <w:rPr>
          <w:rFonts w:eastAsia="Times New Roman" w:cs="Arial"/>
          <w:color w:val="000000"/>
          <w:lang w:eastAsia="bg-BG"/>
        </w:rPr>
        <w:t xml:space="preserve">(ОАТР1В1) и/или </w:t>
      </w:r>
      <w:r w:rsidRPr="00C41F3F">
        <w:rPr>
          <w:rFonts w:eastAsia="Times New Roman" w:cs="Arial"/>
          <w:color w:val="000000"/>
          <w:lang w:val="en-US"/>
        </w:rPr>
        <w:t xml:space="preserve">ABCG2 (BCRP) </w:t>
      </w:r>
      <w:r w:rsidRPr="00C41F3F">
        <w:rPr>
          <w:rFonts w:eastAsia="Times New Roman" w:cs="Arial"/>
          <w:color w:val="000000"/>
          <w:lang w:eastAsia="bg-BG"/>
        </w:rPr>
        <w:t xml:space="preserve">има риск от повишена експозиция на розувастатин. Индивидуален полиморфизъм на </w:t>
      </w:r>
      <w:r w:rsidRPr="00C41F3F">
        <w:rPr>
          <w:rFonts w:eastAsia="Times New Roman" w:cs="Arial"/>
          <w:color w:val="000000"/>
          <w:lang w:val="en-US"/>
        </w:rPr>
        <w:t xml:space="preserve">SLCO1B1 </w:t>
      </w:r>
      <w:r w:rsidRPr="00C41F3F">
        <w:rPr>
          <w:rFonts w:eastAsia="Times New Roman" w:cs="Arial"/>
          <w:color w:val="000000"/>
          <w:lang w:eastAsia="bg-BG"/>
        </w:rPr>
        <w:t xml:space="preserve">С.521СС и </w:t>
      </w:r>
      <w:r w:rsidRPr="00C41F3F">
        <w:rPr>
          <w:rFonts w:eastAsia="Times New Roman" w:cs="Arial"/>
          <w:color w:val="000000"/>
          <w:lang w:val="en-US"/>
        </w:rPr>
        <w:t xml:space="preserve">ABCG2 </w:t>
      </w:r>
      <w:r w:rsidRPr="00C41F3F">
        <w:rPr>
          <w:rFonts w:eastAsia="Times New Roman" w:cs="Arial"/>
          <w:color w:val="000000"/>
          <w:lang w:eastAsia="bg-BG"/>
        </w:rPr>
        <w:t xml:space="preserve">С.421АА е свързан с по-висока експозиция на розувастатин </w:t>
      </w:r>
      <w:r w:rsidRPr="00C41F3F">
        <w:rPr>
          <w:rFonts w:eastAsia="Times New Roman" w:cs="Arial"/>
          <w:color w:val="000000"/>
          <w:lang w:val="en-US"/>
        </w:rPr>
        <w:t xml:space="preserve">(AUC) </w:t>
      </w:r>
      <w:r w:rsidRPr="00C41F3F">
        <w:rPr>
          <w:rFonts w:eastAsia="Times New Roman" w:cs="Arial"/>
          <w:color w:val="000000"/>
          <w:lang w:eastAsia="bg-BG"/>
        </w:rPr>
        <w:t xml:space="preserve">в сравнение с генотиповете </w:t>
      </w:r>
      <w:r w:rsidRPr="00C41F3F">
        <w:rPr>
          <w:rFonts w:eastAsia="Times New Roman" w:cs="Arial"/>
          <w:color w:val="000000"/>
          <w:lang w:val="en-US"/>
        </w:rPr>
        <w:t xml:space="preserve">SLCO1B1 </w:t>
      </w:r>
      <w:r w:rsidRPr="00C41F3F">
        <w:rPr>
          <w:rFonts w:eastAsia="Times New Roman" w:cs="Arial"/>
          <w:color w:val="000000"/>
          <w:lang w:eastAsia="bg-BG"/>
        </w:rPr>
        <w:t xml:space="preserve">С.521ТТ или </w:t>
      </w:r>
      <w:r w:rsidRPr="00C41F3F">
        <w:rPr>
          <w:rFonts w:eastAsia="Times New Roman" w:cs="Arial"/>
          <w:color w:val="000000"/>
          <w:lang w:val="en-US"/>
        </w:rPr>
        <w:t xml:space="preserve">ABCG2 </w:t>
      </w:r>
      <w:r w:rsidRPr="00C41F3F">
        <w:rPr>
          <w:rFonts w:eastAsia="Times New Roman" w:cs="Arial"/>
          <w:color w:val="000000"/>
          <w:lang w:eastAsia="bg-BG"/>
        </w:rPr>
        <w:t>с.421СС. Този специфичен генотип не се установява в клиничната практика, но за пациенти, за които се знае че имат тези типове полиморфизъм, се препоръчва по-ниска дневна доза розувастатин.</w:t>
      </w:r>
    </w:p>
    <w:p w14:paraId="7D6291FD" w14:textId="77777777" w:rsidR="00C41F3F" w:rsidRPr="00C41F3F" w:rsidRDefault="00C41F3F" w:rsidP="00C41F3F">
      <w:pPr>
        <w:spacing w:line="240" w:lineRule="auto"/>
        <w:rPr>
          <w:rFonts w:eastAsia="Times New Roman" w:cs="Arial"/>
          <w:i/>
          <w:iCs/>
          <w:color w:val="000000"/>
          <w:lang w:eastAsia="bg-BG"/>
        </w:rPr>
      </w:pPr>
    </w:p>
    <w:p w14:paraId="083A6D7E" w14:textId="12E1D985" w:rsidR="00C41F3F" w:rsidRPr="00C41F3F" w:rsidRDefault="00C41F3F" w:rsidP="00C41F3F">
      <w:pPr>
        <w:spacing w:line="240" w:lineRule="auto"/>
        <w:rPr>
          <w:rFonts w:eastAsia="Times New Roman" w:cs="Arial"/>
          <w:lang w:eastAsia="bg-BG"/>
        </w:rPr>
      </w:pPr>
      <w:r w:rsidRPr="00C41F3F">
        <w:rPr>
          <w:rFonts w:eastAsia="Times New Roman" w:cs="Arial"/>
          <w:i/>
          <w:iCs/>
          <w:color w:val="000000"/>
          <w:lang w:eastAsia="bg-BG"/>
        </w:rPr>
        <w:t>Педиатрична популация:</w:t>
      </w:r>
    </w:p>
    <w:p w14:paraId="4EE1BB0B" w14:textId="44873AA6" w:rsidR="0091385D" w:rsidRPr="00C41F3F" w:rsidRDefault="00C41F3F" w:rsidP="00C41F3F">
      <w:pPr>
        <w:rPr>
          <w:rFonts w:cs="Arial"/>
        </w:rPr>
      </w:pPr>
      <w:r w:rsidRPr="00C41F3F">
        <w:rPr>
          <w:rFonts w:eastAsia="Times New Roman" w:cs="Arial"/>
          <w:color w:val="000000"/>
          <w:lang w:eastAsia="bg-BG"/>
        </w:rPr>
        <w:t>Две фармакокинетични проучвания с розувастатин (прилаган под формата на таблетки) при педиатрични пациенти с хетерознготна фамилна хиперхолестеролемия на възраст от 10 до 17 или от 6 до 17 години (общо 214 пациенти) показват, че експозицията при педиатричните пациенти изглежда сравнима или по-ниска от тази при възрастни пациенти. Експозицията на розувастатин е била предвидима по отношение на дозата и времето в продължение на 2- годишен период.</w:t>
      </w:r>
    </w:p>
    <w:p w14:paraId="02E999FD" w14:textId="77777777" w:rsidR="00C41F3F" w:rsidRPr="0091385D" w:rsidRDefault="00C41F3F" w:rsidP="0091385D"/>
    <w:p w14:paraId="648E39DA" w14:textId="44D16CBD" w:rsidR="00CF77F7" w:rsidRDefault="002C50EE" w:rsidP="004A448E">
      <w:pPr>
        <w:pStyle w:val="Heading2"/>
      </w:pPr>
      <w:r>
        <w:t>5.3. Предклинични данни за безопасност</w:t>
      </w:r>
    </w:p>
    <w:p w14:paraId="64A5752F" w14:textId="77777777" w:rsidR="00C41F3F" w:rsidRDefault="00C41F3F" w:rsidP="0091385D">
      <w:pPr>
        <w:rPr>
          <w:sz w:val="20"/>
          <w:szCs w:val="20"/>
        </w:rPr>
      </w:pPr>
    </w:p>
    <w:p w14:paraId="31455D09" w14:textId="4CDD662C" w:rsidR="0091385D" w:rsidRPr="00C41F3F" w:rsidRDefault="00C41F3F" w:rsidP="0091385D">
      <w:pPr>
        <w:rPr>
          <w:sz w:val="24"/>
        </w:rPr>
      </w:pPr>
      <w:r w:rsidRPr="00C41F3F">
        <w:rPr>
          <w:szCs w:val="20"/>
        </w:rPr>
        <w:t xml:space="preserve">Предклиничните данни не показват специален риск за хората на база на конвенционални изпитвания за фармакологична безопасност, генотоксичност и канцерогенен потенциал. Специфични тестове за въздействие върху ХЕРГ не са оценявани. Нежеланите реакции, </w:t>
      </w:r>
      <w:r w:rsidRPr="00C41F3F">
        <w:rPr>
          <w:szCs w:val="20"/>
        </w:rPr>
        <w:lastRenderedPageBreak/>
        <w:t>които не са наблюдавани в клинични проучвания, ио се наблюдават при животни при нива на експозиция, подобни на нивата на клинична експозиция са както следва: при повтарящи дози в проучвания за токсичността хистопатологичните промени на черния дроб, които вероятно се дължат на фармакологичното действие на розувастатин се наблюдават при мишки, плъхове, както и до малка степен с последици в жлъчния мехур при кучета, но не и при маймуни. В допълнение, токсично въздействие върху тестисите е наблюдавано при маймуни и кучета, при по-високи дози. Токсично въздействие върху репродукцията при плъхове е доказано по намален брой плъхчета в котилото, редуцирани тегло и преживяемост на новородените плъхчета. Тези ефекти са наблюдавани при токсични дози за майката и системни експозиции, надвишаващи няколко пъти нивото на терапевтичната експозиция.</w:t>
      </w:r>
    </w:p>
    <w:p w14:paraId="52E4D01A" w14:textId="2F105714" w:rsidR="0091385D" w:rsidRDefault="0091385D" w:rsidP="0091385D"/>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2F265788" w14:textId="77777777" w:rsidR="00C357CD" w:rsidRPr="00C357CD" w:rsidRDefault="00C357CD" w:rsidP="00C357CD">
      <w:pPr>
        <w:spacing w:line="240" w:lineRule="auto"/>
        <w:rPr>
          <w:rFonts w:eastAsia="Times New Roman" w:cs="Arial"/>
          <w:sz w:val="28"/>
          <w:szCs w:val="24"/>
          <w:lang w:val="en-US" w:eastAsia="bg-BG"/>
        </w:rPr>
      </w:pPr>
      <w:proofErr w:type="spellStart"/>
      <w:r w:rsidRPr="00C357CD">
        <w:rPr>
          <w:rFonts w:eastAsia="Times New Roman" w:cs="Arial"/>
          <w:color w:val="000000"/>
          <w:szCs w:val="20"/>
          <w:lang w:val="en-US"/>
        </w:rPr>
        <w:t>Zentiva</w:t>
      </w:r>
      <w:proofErr w:type="spellEnd"/>
      <w:r w:rsidRPr="00C357CD">
        <w:rPr>
          <w:rFonts w:eastAsia="Times New Roman" w:cs="Arial"/>
          <w:color w:val="000000"/>
          <w:szCs w:val="20"/>
          <w:lang w:val="en-US"/>
        </w:rPr>
        <w:t xml:space="preserve"> </w:t>
      </w:r>
      <w:proofErr w:type="spellStart"/>
      <w:r w:rsidRPr="00C357CD">
        <w:rPr>
          <w:rFonts w:eastAsia="Times New Roman" w:cs="Arial"/>
          <w:color w:val="000000"/>
          <w:szCs w:val="20"/>
          <w:lang w:val="en-US"/>
        </w:rPr>
        <w:t>k.s</w:t>
      </w:r>
      <w:proofErr w:type="spellEnd"/>
      <w:proofErr w:type="gramStart"/>
      <w:r w:rsidRPr="00C357CD">
        <w:rPr>
          <w:rFonts w:eastAsia="Times New Roman" w:cs="Arial"/>
          <w:color w:val="000000"/>
          <w:szCs w:val="20"/>
          <w:lang w:val="en-US"/>
        </w:rPr>
        <w:t>..</w:t>
      </w:r>
      <w:proofErr w:type="gramEnd"/>
    </w:p>
    <w:p w14:paraId="6CF8D14C" w14:textId="77777777" w:rsidR="00C357CD" w:rsidRPr="00C357CD" w:rsidRDefault="00C357CD" w:rsidP="00C357CD">
      <w:pPr>
        <w:spacing w:line="240" w:lineRule="auto"/>
        <w:rPr>
          <w:rFonts w:eastAsia="Times New Roman" w:cs="Arial"/>
          <w:sz w:val="28"/>
          <w:szCs w:val="24"/>
          <w:lang w:val="en-US" w:eastAsia="bg-BG"/>
        </w:rPr>
      </w:pPr>
      <w:r w:rsidRPr="00C357CD">
        <w:rPr>
          <w:rFonts w:eastAsia="Times New Roman" w:cs="Arial"/>
          <w:color w:val="000000"/>
          <w:szCs w:val="20"/>
          <w:lang w:val="en-US"/>
        </w:rPr>
        <w:t xml:space="preserve">U </w:t>
      </w:r>
      <w:proofErr w:type="spellStart"/>
      <w:r w:rsidRPr="00C357CD">
        <w:rPr>
          <w:rFonts w:eastAsia="Times New Roman" w:cs="Arial"/>
          <w:color w:val="000000"/>
          <w:szCs w:val="20"/>
          <w:lang w:val="en-US"/>
        </w:rPr>
        <w:t>kabelovny</w:t>
      </w:r>
      <w:proofErr w:type="spellEnd"/>
      <w:r w:rsidRPr="00C357CD">
        <w:rPr>
          <w:rFonts w:eastAsia="Times New Roman" w:cs="Arial"/>
          <w:color w:val="000000"/>
          <w:szCs w:val="20"/>
          <w:lang w:val="en-US"/>
        </w:rPr>
        <w:t xml:space="preserve"> </w:t>
      </w:r>
      <w:r w:rsidRPr="00C357CD">
        <w:rPr>
          <w:rFonts w:eastAsia="Times New Roman" w:cs="Arial"/>
          <w:color w:val="000000"/>
          <w:szCs w:val="20"/>
          <w:lang w:eastAsia="bg-BG"/>
        </w:rPr>
        <w:t>130,</w:t>
      </w:r>
    </w:p>
    <w:p w14:paraId="2B9C9CBF" w14:textId="77777777" w:rsidR="00C357CD" w:rsidRPr="00C357CD" w:rsidRDefault="00C357CD" w:rsidP="00C357CD">
      <w:pPr>
        <w:rPr>
          <w:rFonts w:eastAsia="Times New Roman" w:cs="Arial"/>
          <w:color w:val="000000"/>
          <w:szCs w:val="20"/>
          <w:lang w:val="en-US"/>
        </w:rPr>
      </w:pPr>
      <w:proofErr w:type="spellStart"/>
      <w:r w:rsidRPr="00C357CD">
        <w:rPr>
          <w:rFonts w:eastAsia="Times New Roman" w:cs="Arial"/>
          <w:color w:val="000000"/>
          <w:szCs w:val="20"/>
          <w:lang w:val="en-US"/>
        </w:rPr>
        <w:t>Dolni</w:t>
      </w:r>
      <w:proofErr w:type="spellEnd"/>
      <w:r w:rsidRPr="00C357CD">
        <w:rPr>
          <w:rFonts w:eastAsia="Times New Roman" w:cs="Arial"/>
          <w:color w:val="000000"/>
          <w:szCs w:val="20"/>
          <w:lang w:val="en-US"/>
        </w:rPr>
        <w:t xml:space="preserve"> </w:t>
      </w:r>
      <w:proofErr w:type="spellStart"/>
      <w:r w:rsidRPr="00C357CD">
        <w:rPr>
          <w:rFonts w:eastAsia="Times New Roman" w:cs="Arial"/>
          <w:color w:val="000000"/>
          <w:szCs w:val="20"/>
          <w:lang w:val="en-US"/>
        </w:rPr>
        <w:t>Mecholupy</w:t>
      </w:r>
      <w:proofErr w:type="spellEnd"/>
      <w:r w:rsidRPr="00C357CD">
        <w:rPr>
          <w:rFonts w:eastAsia="Times New Roman" w:cs="Arial"/>
          <w:color w:val="000000"/>
          <w:szCs w:val="20"/>
          <w:lang w:val="en-US"/>
        </w:rPr>
        <w:t xml:space="preserve">, </w:t>
      </w:r>
    </w:p>
    <w:p w14:paraId="2DE4E39A" w14:textId="40FC56D9" w:rsidR="00C357CD" w:rsidRPr="00C357CD" w:rsidRDefault="00C357CD" w:rsidP="00C357CD">
      <w:pPr>
        <w:rPr>
          <w:rFonts w:eastAsia="Times New Roman" w:cs="Arial"/>
          <w:color w:val="000000"/>
          <w:szCs w:val="20"/>
          <w:lang w:val="en-US"/>
        </w:rPr>
      </w:pPr>
      <w:r w:rsidRPr="00C357CD">
        <w:rPr>
          <w:rFonts w:eastAsia="Times New Roman" w:cs="Arial"/>
          <w:color w:val="000000"/>
          <w:szCs w:val="20"/>
          <w:lang w:val="en-US"/>
        </w:rPr>
        <w:t xml:space="preserve">102 37 Prague 10, </w:t>
      </w:r>
    </w:p>
    <w:p w14:paraId="3FD825DB" w14:textId="42F436BE" w:rsidR="0091385D" w:rsidRPr="00C357CD" w:rsidRDefault="00C357CD" w:rsidP="00C357CD">
      <w:pPr>
        <w:rPr>
          <w:rFonts w:cs="Arial"/>
          <w:sz w:val="24"/>
        </w:rPr>
      </w:pPr>
      <w:r w:rsidRPr="00C357CD">
        <w:rPr>
          <w:rFonts w:eastAsia="Times New Roman" w:cs="Arial"/>
          <w:color w:val="000000"/>
          <w:szCs w:val="20"/>
          <w:lang w:eastAsia="bg-BG"/>
        </w:rPr>
        <w:t>Чешка република</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32A58737" w:rsidR="0091385D" w:rsidRPr="00C357CD" w:rsidRDefault="00C357CD" w:rsidP="0091385D">
      <w:pPr>
        <w:rPr>
          <w:rFonts w:cs="Arial"/>
          <w:sz w:val="24"/>
        </w:rPr>
      </w:pPr>
      <w:r w:rsidRPr="00C357CD">
        <w:rPr>
          <w:rFonts w:cs="Arial"/>
          <w:szCs w:val="20"/>
        </w:rPr>
        <w:t>Pe</w:t>
      </w:r>
      <w:r w:rsidRPr="00C357CD">
        <w:rPr>
          <w:rFonts w:cs="Arial"/>
          <w:szCs w:val="20"/>
          <w:lang w:eastAsia="bg-BG"/>
        </w:rPr>
        <w:t>г</w:t>
      </w:r>
      <w:r w:rsidRPr="00C357CD">
        <w:rPr>
          <w:rFonts w:cs="Arial"/>
          <w:szCs w:val="20"/>
        </w:rPr>
        <w:t>. №20100143</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6B1280E1" w14:textId="77777777" w:rsidR="00C357CD" w:rsidRPr="00C357CD" w:rsidRDefault="00C357CD" w:rsidP="00C357CD">
      <w:pPr>
        <w:spacing w:line="240" w:lineRule="auto"/>
        <w:rPr>
          <w:rFonts w:eastAsia="Times New Roman" w:cs="Arial"/>
          <w:sz w:val="28"/>
          <w:szCs w:val="24"/>
          <w:lang w:eastAsia="bg-BG"/>
        </w:rPr>
      </w:pPr>
      <w:r w:rsidRPr="00C357CD">
        <w:rPr>
          <w:rFonts w:eastAsia="Times New Roman" w:cs="Arial"/>
          <w:color w:val="000000"/>
          <w:szCs w:val="20"/>
          <w:lang w:eastAsia="bg-BG"/>
        </w:rPr>
        <w:t>Дата на първо разрешаване: 08 Март 2010</w:t>
      </w:r>
    </w:p>
    <w:p w14:paraId="497007FA" w14:textId="5DA4E22D" w:rsidR="0091385D" w:rsidRPr="00C357CD" w:rsidRDefault="00C357CD" w:rsidP="00C357CD">
      <w:pPr>
        <w:rPr>
          <w:rFonts w:cs="Arial"/>
          <w:sz w:val="24"/>
        </w:rPr>
      </w:pPr>
      <w:r w:rsidRPr="00C357CD">
        <w:rPr>
          <w:rFonts w:eastAsia="Times New Roman" w:cs="Arial"/>
          <w:color w:val="000000"/>
          <w:szCs w:val="20"/>
          <w:lang w:eastAsia="bg-BG"/>
        </w:rPr>
        <w:t>Дата</w:t>
      </w:r>
      <w:r>
        <w:rPr>
          <w:rFonts w:eastAsia="Times New Roman" w:cs="Arial"/>
          <w:color w:val="000000"/>
          <w:szCs w:val="20"/>
          <w:lang w:eastAsia="bg-BG"/>
        </w:rPr>
        <w:t xml:space="preserve"> на последно подновяване: 21.07.</w:t>
      </w:r>
      <w:r w:rsidRPr="00C357CD">
        <w:rPr>
          <w:rFonts w:eastAsia="Times New Roman" w:cs="Arial"/>
          <w:color w:val="000000"/>
          <w:szCs w:val="20"/>
          <w:lang w:eastAsia="bg-BG"/>
        </w:rPr>
        <w:t>2015</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005A1908" w:rsidR="0091385D" w:rsidRPr="00C357CD" w:rsidRDefault="00C357CD" w:rsidP="0091385D">
      <w:pPr>
        <w:rPr>
          <w:rFonts w:cs="Arial"/>
          <w:sz w:val="24"/>
        </w:rPr>
      </w:pPr>
      <w:r w:rsidRPr="00C357CD">
        <w:rPr>
          <w:rFonts w:cs="Arial"/>
          <w:szCs w:val="20"/>
        </w:rPr>
        <w:t>07.02.2022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285F21"/>
    <w:multiLevelType w:val="hybridMultilevel"/>
    <w:tmpl w:val="69B2565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8523301"/>
    <w:multiLevelType w:val="hybridMultilevel"/>
    <w:tmpl w:val="F9A245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48417E"/>
    <w:multiLevelType w:val="hybridMultilevel"/>
    <w:tmpl w:val="92844C0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ABE2946"/>
    <w:multiLevelType w:val="hybridMultilevel"/>
    <w:tmpl w:val="22407C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AC6EA7"/>
    <w:multiLevelType w:val="hybridMultilevel"/>
    <w:tmpl w:val="A732A3EE"/>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568E3"/>
    <w:multiLevelType w:val="hybridMultilevel"/>
    <w:tmpl w:val="38DA8AD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5"/>
  </w:num>
  <w:num w:numId="12">
    <w:abstractNumId w:val="15"/>
  </w:num>
  <w:num w:numId="13">
    <w:abstractNumId w:val="21"/>
  </w:num>
  <w:num w:numId="14">
    <w:abstractNumId w:val="13"/>
  </w:num>
  <w:num w:numId="15">
    <w:abstractNumId w:val="34"/>
  </w:num>
  <w:num w:numId="16">
    <w:abstractNumId w:val="11"/>
  </w:num>
  <w:num w:numId="17">
    <w:abstractNumId w:val="27"/>
  </w:num>
  <w:num w:numId="18">
    <w:abstractNumId w:val="9"/>
  </w:num>
  <w:num w:numId="19">
    <w:abstractNumId w:val="29"/>
  </w:num>
  <w:num w:numId="20">
    <w:abstractNumId w:val="26"/>
  </w:num>
  <w:num w:numId="21">
    <w:abstractNumId w:val="19"/>
  </w:num>
  <w:num w:numId="22">
    <w:abstractNumId w:val="28"/>
  </w:num>
  <w:num w:numId="23">
    <w:abstractNumId w:val="20"/>
  </w:num>
  <w:num w:numId="24">
    <w:abstractNumId w:val="10"/>
  </w:num>
  <w:num w:numId="25">
    <w:abstractNumId w:val="25"/>
  </w:num>
  <w:num w:numId="26">
    <w:abstractNumId w:val="24"/>
  </w:num>
  <w:num w:numId="27">
    <w:abstractNumId w:val="36"/>
  </w:num>
  <w:num w:numId="28">
    <w:abstractNumId w:val="7"/>
  </w:num>
  <w:num w:numId="29">
    <w:abstractNumId w:val="22"/>
  </w:num>
  <w:num w:numId="30">
    <w:abstractNumId w:val="39"/>
  </w:num>
  <w:num w:numId="31">
    <w:abstractNumId w:val="5"/>
  </w:num>
  <w:num w:numId="32">
    <w:abstractNumId w:val="38"/>
  </w:num>
  <w:num w:numId="33">
    <w:abstractNumId w:val="33"/>
  </w:num>
  <w:num w:numId="34">
    <w:abstractNumId w:val="37"/>
  </w:num>
  <w:num w:numId="35">
    <w:abstractNumId w:val="8"/>
  </w:num>
  <w:num w:numId="36">
    <w:abstractNumId w:val="6"/>
  </w:num>
  <w:num w:numId="37">
    <w:abstractNumId w:val="16"/>
  </w:num>
  <w:num w:numId="38">
    <w:abstractNumId w:val="32"/>
  </w:num>
  <w:num w:numId="39">
    <w:abstractNumId w:val="30"/>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33CAE"/>
    <w:rsid w:val="004A448E"/>
    <w:rsid w:val="004D4D6B"/>
    <w:rsid w:val="004F1CE7"/>
    <w:rsid w:val="004F498A"/>
    <w:rsid w:val="00517A5B"/>
    <w:rsid w:val="00593A00"/>
    <w:rsid w:val="005A66D9"/>
    <w:rsid w:val="00605BCA"/>
    <w:rsid w:val="006138E9"/>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75A8"/>
    <w:rsid w:val="00BF2600"/>
    <w:rsid w:val="00C0049F"/>
    <w:rsid w:val="00C07B84"/>
    <w:rsid w:val="00C33464"/>
    <w:rsid w:val="00C357CD"/>
    <w:rsid w:val="00C40420"/>
    <w:rsid w:val="00C41F3F"/>
    <w:rsid w:val="00C809A7"/>
    <w:rsid w:val="00C83063"/>
    <w:rsid w:val="00C87E90"/>
    <w:rsid w:val="00CA1B57"/>
    <w:rsid w:val="00CF77F7"/>
    <w:rsid w:val="00D51604"/>
    <w:rsid w:val="00D8368B"/>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8457</Words>
  <Characters>48205</Characters>
  <Application>Microsoft Office Word</Application>
  <DocSecurity>0</DocSecurity>
  <Lines>401</Lines>
  <Paragraphs>113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3</cp:revision>
  <dcterms:created xsi:type="dcterms:W3CDTF">2022-11-02T11:56:00Z</dcterms:created>
  <dcterms:modified xsi:type="dcterms:W3CDTF">2022-11-02T12:07:00Z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