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F42D6C7" w:rsidR="007122AD" w:rsidRDefault="00DD466D" w:rsidP="00936AD0">
      <w:pPr>
        <w:pStyle w:val="Heading1"/>
      </w:pPr>
      <w:r>
        <w:t>1.ИМЕ НА ЛЕКАРСТВЕНИЯ ПРОДУКТ</w:t>
      </w:r>
    </w:p>
    <w:p w14:paraId="3236644A" w14:textId="6BB2361C" w:rsidR="00A70FDA" w:rsidRDefault="00A70FDA" w:rsidP="00A70FDA"/>
    <w:p w14:paraId="19162FC5" w14:textId="77777777" w:rsidR="00A70FDA" w:rsidRPr="00A70FDA" w:rsidRDefault="00A70FDA" w:rsidP="00A70FDA">
      <w:pPr>
        <w:rPr>
          <w:sz w:val="24"/>
          <w:szCs w:val="24"/>
          <w:lang w:val="en-US"/>
        </w:rPr>
      </w:pPr>
      <w:r w:rsidRPr="00A70FDA">
        <w:rPr>
          <w:lang w:eastAsia="bg-BG"/>
        </w:rPr>
        <w:t xml:space="preserve">Розвера 5 </w:t>
      </w:r>
      <w:r w:rsidRPr="00A70FDA">
        <w:rPr>
          <w:lang w:val="en-US"/>
        </w:rPr>
        <w:t xml:space="preserve">mg </w:t>
      </w:r>
      <w:r w:rsidRPr="00A70FDA">
        <w:rPr>
          <w:lang w:eastAsia="bg-BG"/>
        </w:rPr>
        <w:t>филмирани таблетки</w:t>
      </w:r>
    </w:p>
    <w:p w14:paraId="03334FF1" w14:textId="77777777" w:rsidR="00A70FDA" w:rsidRPr="00A70FDA" w:rsidRDefault="00A70FDA" w:rsidP="00A70FDA">
      <w:pPr>
        <w:rPr>
          <w:sz w:val="24"/>
          <w:szCs w:val="24"/>
          <w:lang w:val="ru-RU"/>
        </w:rPr>
      </w:pPr>
      <w:r w:rsidRPr="00A70FDA">
        <w:rPr>
          <w:lang w:eastAsia="bg-BG"/>
        </w:rPr>
        <w:t xml:space="preserve">Розвера 10 </w:t>
      </w:r>
      <w:r w:rsidRPr="00A70FDA">
        <w:rPr>
          <w:lang w:val="en-US"/>
        </w:rPr>
        <w:t>mg</w:t>
      </w:r>
      <w:r w:rsidRPr="00A70FDA">
        <w:rPr>
          <w:lang w:val="ru-RU"/>
        </w:rPr>
        <w:t xml:space="preserve"> </w:t>
      </w:r>
      <w:r w:rsidRPr="00A70FDA">
        <w:rPr>
          <w:lang w:eastAsia="bg-BG"/>
        </w:rPr>
        <w:t>филмирани таблетки</w:t>
      </w:r>
    </w:p>
    <w:p w14:paraId="628E8CF1" w14:textId="77777777" w:rsidR="00A70FDA" w:rsidRPr="00A70FDA" w:rsidRDefault="00A70FDA" w:rsidP="00A70FDA">
      <w:pPr>
        <w:rPr>
          <w:sz w:val="24"/>
          <w:szCs w:val="24"/>
          <w:lang w:val="ru-RU"/>
        </w:rPr>
      </w:pPr>
      <w:r w:rsidRPr="00A70FDA">
        <w:rPr>
          <w:lang w:eastAsia="bg-BG"/>
        </w:rPr>
        <w:t xml:space="preserve">Розвера 15 </w:t>
      </w:r>
      <w:r w:rsidRPr="00A70FDA">
        <w:rPr>
          <w:lang w:val="en-US"/>
        </w:rPr>
        <w:t>mg</w:t>
      </w:r>
      <w:r w:rsidRPr="00A70FDA">
        <w:rPr>
          <w:lang w:val="ru-RU"/>
        </w:rPr>
        <w:t xml:space="preserve"> </w:t>
      </w:r>
      <w:r w:rsidRPr="00A70FDA">
        <w:rPr>
          <w:lang w:eastAsia="bg-BG"/>
        </w:rPr>
        <w:t>филмирани таблетки</w:t>
      </w:r>
    </w:p>
    <w:p w14:paraId="11C1E2D5" w14:textId="77777777" w:rsidR="00A70FDA" w:rsidRPr="00A70FDA" w:rsidRDefault="00A70FDA" w:rsidP="00A70FDA">
      <w:pPr>
        <w:rPr>
          <w:sz w:val="24"/>
          <w:szCs w:val="24"/>
          <w:lang w:val="ru-RU"/>
        </w:rPr>
      </w:pPr>
      <w:r w:rsidRPr="00A70FDA">
        <w:rPr>
          <w:lang w:eastAsia="bg-BG"/>
        </w:rPr>
        <w:t xml:space="preserve">Розвера 20 </w:t>
      </w:r>
      <w:r w:rsidRPr="00A70FDA">
        <w:rPr>
          <w:lang w:val="en-US"/>
        </w:rPr>
        <w:t>mg</w:t>
      </w:r>
      <w:r w:rsidRPr="00A70FDA">
        <w:rPr>
          <w:lang w:val="ru-RU"/>
        </w:rPr>
        <w:t xml:space="preserve"> </w:t>
      </w:r>
      <w:r w:rsidRPr="00A70FDA">
        <w:rPr>
          <w:lang w:eastAsia="bg-BG"/>
        </w:rPr>
        <w:t>филмирани таблетки</w:t>
      </w:r>
    </w:p>
    <w:p w14:paraId="5627B15C" w14:textId="77777777" w:rsidR="00A70FDA" w:rsidRPr="00A70FDA" w:rsidRDefault="00A70FDA" w:rsidP="00A70FDA">
      <w:pPr>
        <w:rPr>
          <w:sz w:val="24"/>
          <w:szCs w:val="24"/>
          <w:lang w:val="ru-RU"/>
        </w:rPr>
      </w:pPr>
      <w:r w:rsidRPr="00A70FDA">
        <w:rPr>
          <w:lang w:eastAsia="bg-BG"/>
        </w:rPr>
        <w:t xml:space="preserve">Розвера 30 </w:t>
      </w:r>
      <w:r w:rsidRPr="00A70FDA">
        <w:rPr>
          <w:lang w:val="en-US"/>
        </w:rPr>
        <w:t>mg</w:t>
      </w:r>
      <w:r w:rsidRPr="00A70FDA">
        <w:rPr>
          <w:lang w:val="ru-RU"/>
        </w:rPr>
        <w:t xml:space="preserve"> </w:t>
      </w:r>
      <w:r w:rsidRPr="00A70FDA">
        <w:rPr>
          <w:lang w:eastAsia="bg-BG"/>
        </w:rPr>
        <w:t>филмирани таблетки</w:t>
      </w:r>
    </w:p>
    <w:p w14:paraId="4BCC082A" w14:textId="77777777" w:rsidR="00A70FDA" w:rsidRPr="00A70FDA" w:rsidRDefault="00A70FDA" w:rsidP="00A70FDA">
      <w:pPr>
        <w:rPr>
          <w:sz w:val="24"/>
          <w:szCs w:val="24"/>
          <w:lang w:val="ru-RU"/>
        </w:rPr>
      </w:pPr>
      <w:r w:rsidRPr="00A70FDA">
        <w:rPr>
          <w:lang w:eastAsia="bg-BG"/>
        </w:rPr>
        <w:t xml:space="preserve">Розвера 40 </w:t>
      </w:r>
      <w:r w:rsidRPr="00A70FDA">
        <w:rPr>
          <w:lang w:val="en-US"/>
        </w:rPr>
        <w:t>mg</w:t>
      </w:r>
      <w:r w:rsidRPr="00A70FDA">
        <w:rPr>
          <w:lang w:val="ru-RU"/>
        </w:rPr>
        <w:t xml:space="preserve"> </w:t>
      </w:r>
      <w:r w:rsidRPr="00A70FDA">
        <w:rPr>
          <w:lang w:eastAsia="bg-BG"/>
        </w:rPr>
        <w:t>филмирани таблетки</w:t>
      </w:r>
    </w:p>
    <w:p w14:paraId="32AB607A" w14:textId="77777777" w:rsidR="00A70FDA" w:rsidRPr="00A70FDA" w:rsidRDefault="00A70FDA" w:rsidP="00A70FDA">
      <w:pPr>
        <w:rPr>
          <w:lang w:val="ru-RU"/>
        </w:rPr>
      </w:pPr>
    </w:p>
    <w:p w14:paraId="6D6202C1" w14:textId="4264DE27" w:rsidR="00A70FDA" w:rsidRPr="00A70FDA" w:rsidRDefault="00A70FDA" w:rsidP="00A70FDA">
      <w:pPr>
        <w:rPr>
          <w:sz w:val="24"/>
          <w:szCs w:val="24"/>
          <w:lang w:val="ru-RU"/>
        </w:rPr>
      </w:pPr>
      <w:r w:rsidRPr="00A70FDA">
        <w:rPr>
          <w:lang w:val="en-US"/>
        </w:rPr>
        <w:t>Roswera</w:t>
      </w:r>
      <w:r w:rsidRPr="00A70FDA">
        <w:rPr>
          <w:lang w:val="ru-RU"/>
        </w:rPr>
        <w:t xml:space="preserve"> </w:t>
      </w:r>
      <w:r w:rsidRPr="00A70FDA">
        <w:rPr>
          <w:lang w:eastAsia="bg-BG"/>
        </w:rPr>
        <w:t xml:space="preserve">5 </w:t>
      </w:r>
      <w:r w:rsidRPr="00A70FDA">
        <w:rPr>
          <w:lang w:val="en-US"/>
        </w:rPr>
        <w:t>mg</w:t>
      </w:r>
      <w:r w:rsidRPr="00A70FDA">
        <w:rPr>
          <w:lang w:val="ru-RU"/>
        </w:rPr>
        <w:t xml:space="preserve"> </w:t>
      </w:r>
      <w:r w:rsidRPr="00A70FDA">
        <w:rPr>
          <w:lang w:val="en-US"/>
        </w:rPr>
        <w:t>film</w:t>
      </w:r>
      <w:r w:rsidRPr="00A70FDA">
        <w:rPr>
          <w:lang w:val="ru-RU"/>
        </w:rPr>
        <w:t>-</w:t>
      </w:r>
      <w:r w:rsidRPr="00A70FDA">
        <w:rPr>
          <w:lang w:val="en-US"/>
        </w:rPr>
        <w:t>coated</w:t>
      </w:r>
      <w:r w:rsidRPr="00A70FDA">
        <w:rPr>
          <w:lang w:val="ru-RU"/>
        </w:rPr>
        <w:t xml:space="preserve"> </w:t>
      </w:r>
      <w:r w:rsidRPr="00A70FDA">
        <w:rPr>
          <w:lang w:val="en-US"/>
        </w:rPr>
        <w:t>tablets</w:t>
      </w:r>
    </w:p>
    <w:p w14:paraId="64109B99" w14:textId="77777777" w:rsidR="00A70FDA" w:rsidRPr="00A70FDA" w:rsidRDefault="00A70FDA" w:rsidP="00A70FDA">
      <w:pPr>
        <w:rPr>
          <w:sz w:val="24"/>
          <w:szCs w:val="24"/>
          <w:lang w:val="en-US"/>
        </w:rPr>
      </w:pPr>
      <w:r w:rsidRPr="00A70FDA">
        <w:rPr>
          <w:lang w:val="en-US"/>
        </w:rPr>
        <w:t>Roswera 10 mg film-coated tablets</w:t>
      </w:r>
    </w:p>
    <w:p w14:paraId="6C2E3597" w14:textId="77777777" w:rsidR="00A70FDA" w:rsidRPr="00A70FDA" w:rsidRDefault="00A70FDA" w:rsidP="00A70FDA">
      <w:pPr>
        <w:rPr>
          <w:sz w:val="24"/>
          <w:szCs w:val="24"/>
          <w:lang w:val="en-US"/>
        </w:rPr>
      </w:pPr>
      <w:r w:rsidRPr="00A70FDA">
        <w:rPr>
          <w:lang w:val="en-US"/>
        </w:rPr>
        <w:t>Roswera 15 mg film-coated tablets</w:t>
      </w:r>
    </w:p>
    <w:p w14:paraId="43CAC91B" w14:textId="77777777" w:rsidR="00A70FDA" w:rsidRPr="00A70FDA" w:rsidRDefault="00A70FDA" w:rsidP="00A70FDA">
      <w:pPr>
        <w:rPr>
          <w:sz w:val="24"/>
          <w:szCs w:val="24"/>
          <w:lang w:val="en-US"/>
        </w:rPr>
      </w:pPr>
      <w:r w:rsidRPr="00A70FDA">
        <w:rPr>
          <w:lang w:val="en-US"/>
        </w:rPr>
        <w:t>Roswera 20 mg film-coated tablets</w:t>
      </w:r>
    </w:p>
    <w:p w14:paraId="5591F656" w14:textId="77777777" w:rsidR="00A70FDA" w:rsidRPr="00A70FDA" w:rsidRDefault="00A70FDA" w:rsidP="00A70FDA">
      <w:pPr>
        <w:rPr>
          <w:sz w:val="24"/>
          <w:szCs w:val="24"/>
          <w:lang w:val="en-US"/>
        </w:rPr>
      </w:pPr>
      <w:r w:rsidRPr="00A70FDA">
        <w:rPr>
          <w:lang w:val="en-US"/>
        </w:rPr>
        <w:t>Roswera 30 mg film-coated tablets</w:t>
      </w:r>
    </w:p>
    <w:p w14:paraId="5BA41FCD" w14:textId="77777777" w:rsidR="00A70FDA" w:rsidRPr="00A70FDA" w:rsidRDefault="00A70FDA" w:rsidP="00A70FDA">
      <w:pPr>
        <w:rPr>
          <w:sz w:val="24"/>
          <w:szCs w:val="24"/>
          <w:lang w:val="en-US"/>
        </w:rPr>
      </w:pPr>
      <w:r w:rsidRPr="00A70FDA">
        <w:rPr>
          <w:lang w:val="en-US"/>
        </w:rPr>
        <w:t>Roswera 40 mg film-coated tablets</w:t>
      </w:r>
    </w:p>
    <w:p w14:paraId="2ED2B819" w14:textId="77777777" w:rsidR="00A70FDA" w:rsidRPr="00A70FDA" w:rsidRDefault="00A70FDA" w:rsidP="00A70FDA"/>
    <w:p w14:paraId="6920A680" w14:textId="73A0E7C8" w:rsidR="00C40420" w:rsidRDefault="00DD466D" w:rsidP="004A448E">
      <w:pPr>
        <w:pStyle w:val="Heading1"/>
      </w:pPr>
      <w:r>
        <w:t>2. КАЧЕСТВЕН И КОЛИЧЕСТВЕН СЪСТАВ</w:t>
      </w:r>
    </w:p>
    <w:p w14:paraId="7EE8DE16" w14:textId="469CEAB4" w:rsidR="00A70FDA" w:rsidRDefault="00A70FDA" w:rsidP="00A70FDA"/>
    <w:p w14:paraId="164C7ED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(като розувастатин калций</w:t>
      </w:r>
    </w:p>
    <w:p w14:paraId="0FABEC82" w14:textId="77777777" w:rsidR="00A70FDA" w:rsidRPr="00A70FDA" w:rsidRDefault="00A70FDA" w:rsidP="00A70FDA">
      <w:pPr>
        <w:spacing w:line="240" w:lineRule="auto"/>
        <w:rPr>
          <w:rFonts w:eastAsia="Times New Roman" w:cs="Arial"/>
          <w:sz w:val="24"/>
          <w:szCs w:val="24"/>
        </w:rPr>
      </w:pPr>
      <w:r w:rsidRPr="00A70FDA">
        <w:rPr>
          <w:rFonts w:eastAsia="Times New Roman" w:cs="Arial"/>
          <w:b/>
          <w:bCs/>
          <w:i/>
          <w:iCs/>
          <w:color w:val="000000"/>
          <w:u w:val="single"/>
        </w:rPr>
        <w:t>(</w:t>
      </w:r>
      <w:r w:rsidRPr="00A70FDA">
        <w:rPr>
          <w:rFonts w:eastAsia="Times New Roman" w:cs="Arial"/>
          <w:b/>
          <w:bCs/>
          <w:i/>
          <w:iCs/>
          <w:color w:val="000000"/>
          <w:u w:val="single"/>
          <w:lang w:val="en-US"/>
        </w:rPr>
        <w:t>rosuvastatin</w:t>
      </w:r>
      <w:r w:rsidRPr="00A70FDA">
        <w:rPr>
          <w:rFonts w:eastAsia="Times New Roman" w:cs="Arial"/>
          <w:b/>
          <w:bCs/>
          <w:i/>
          <w:iCs/>
          <w:color w:val="000000"/>
          <w:u w:val="single"/>
        </w:rPr>
        <w:t xml:space="preserve"> </w:t>
      </w:r>
      <w:r w:rsidRPr="00A70FDA">
        <w:rPr>
          <w:rFonts w:eastAsia="Times New Roman" w:cs="Arial"/>
          <w:b/>
          <w:bCs/>
          <w:i/>
          <w:iCs/>
          <w:color w:val="000000"/>
          <w:u w:val="single"/>
          <w:lang w:val="en-US"/>
        </w:rPr>
        <w:t>calcium</w:t>
      </w:r>
      <w:r w:rsidRPr="00A70FDA">
        <w:rPr>
          <w:rFonts w:eastAsia="Times New Roman" w:cs="Arial"/>
          <w:b/>
          <w:bCs/>
          <w:i/>
          <w:iCs/>
          <w:color w:val="000000"/>
          <w:u w:val="single"/>
        </w:rPr>
        <w:t>)).</w:t>
      </w:r>
    </w:p>
    <w:p w14:paraId="519CF33E"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0D2C7E5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7EF6DFBC"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20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5FF2283B"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30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67FE3FDD"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40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30313024" w14:textId="77777777" w:rsidR="00A70FDA" w:rsidRPr="00A70FDA" w:rsidRDefault="00A70FDA" w:rsidP="00A70FDA">
      <w:pPr>
        <w:spacing w:line="240" w:lineRule="auto"/>
        <w:rPr>
          <w:rFonts w:eastAsia="Times New Roman" w:cs="Arial"/>
          <w:color w:val="000000"/>
          <w:lang w:eastAsia="bg-BG"/>
        </w:rPr>
      </w:pPr>
    </w:p>
    <w:p w14:paraId="1FE4F8B9" w14:textId="75148B4E"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Помощни вещества с известно действие:</w:t>
      </w:r>
    </w:p>
    <w:p w14:paraId="2E269937"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19D09BD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2F64351"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62,9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6C81629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83,8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3AAF8DD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125,7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BE0AB3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167,6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0CE4C6D9" w14:textId="77777777" w:rsidR="00A70FDA" w:rsidRPr="00A70FDA" w:rsidRDefault="00A70FDA" w:rsidP="00A70FDA"/>
    <w:p w14:paraId="614984C4" w14:textId="3D6D3E62" w:rsidR="008A6AF2" w:rsidRDefault="00DD466D" w:rsidP="002C50EE">
      <w:pPr>
        <w:pStyle w:val="Heading1"/>
      </w:pPr>
      <w:r>
        <w:t>3. ЛЕКАРСТВЕНА ФОРМА</w:t>
      </w:r>
    </w:p>
    <w:p w14:paraId="22FF10DE" w14:textId="2E36D144" w:rsidR="00A70FDA" w:rsidRDefault="00A70FDA" w:rsidP="00A70FDA"/>
    <w:p w14:paraId="7801F7D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Филмирана таблетка</w:t>
      </w:r>
    </w:p>
    <w:p w14:paraId="750234C6" w14:textId="77777777" w:rsidR="00A70FDA" w:rsidRPr="00A70FDA" w:rsidRDefault="00A70FDA" w:rsidP="00A70FDA">
      <w:pPr>
        <w:spacing w:line="240" w:lineRule="auto"/>
        <w:rPr>
          <w:rFonts w:eastAsia="Times New Roman" w:cs="Arial"/>
          <w:color w:val="000000"/>
          <w:lang w:eastAsia="bg-BG"/>
        </w:rPr>
      </w:pPr>
    </w:p>
    <w:p w14:paraId="7E8DA993" w14:textId="7FD3A231"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5 от едната страна.</w:t>
      </w:r>
    </w:p>
    <w:p w14:paraId="1BAF6EB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10 от едната страна.</w:t>
      </w:r>
    </w:p>
    <w:p w14:paraId="3436C46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9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15 от едната страна.</w:t>
      </w:r>
    </w:p>
    <w:p w14:paraId="0806F586" w14:textId="70AF7D3F"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10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филмирани таблетки със скосени ръбове.</w:t>
      </w:r>
    </w:p>
    <w:p w14:paraId="3A7242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с делителна черта от двете страни (размери 15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 xml:space="preserve">х 8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Делителната черта е само за улесняване на разчупването за по- лесно преглъщане, а не за разделяне на равни дози.</w:t>
      </w:r>
    </w:p>
    <w:p w14:paraId="4C64370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(размери 16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х</w:t>
      </w:r>
    </w:p>
    <w:p w14:paraId="3B9F5CE9"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8,5 </w:t>
      </w:r>
      <w:r w:rsidRPr="00A70FDA">
        <w:rPr>
          <w:rFonts w:eastAsia="Times New Roman" w:cs="Arial"/>
          <w:color w:val="000000"/>
          <w:lang w:val="en-US"/>
        </w:rPr>
        <w:t>mm).</w:t>
      </w:r>
    </w:p>
    <w:p w14:paraId="1764DAB1" w14:textId="77777777" w:rsidR="00A70FDA" w:rsidRPr="00A70FDA" w:rsidRDefault="00A70FDA" w:rsidP="00A70FDA"/>
    <w:p w14:paraId="490FC2C4" w14:textId="0F4A4A75" w:rsidR="002C50EE" w:rsidRDefault="002C50EE" w:rsidP="002C50EE">
      <w:pPr>
        <w:pStyle w:val="Heading1"/>
      </w:pPr>
      <w:r>
        <w:t>4. КЛИНИЧНИ ДАННИ</w:t>
      </w:r>
    </w:p>
    <w:p w14:paraId="74330405" w14:textId="7887EC08" w:rsidR="007122AD" w:rsidRDefault="002C50EE" w:rsidP="00936AD0">
      <w:pPr>
        <w:pStyle w:val="Heading2"/>
      </w:pPr>
      <w:r>
        <w:t>4.1. Терапевтични показания</w:t>
      </w:r>
    </w:p>
    <w:p w14:paraId="1176E9F1" w14:textId="19F97FEB" w:rsidR="00A70FDA" w:rsidRDefault="00A70FDA" w:rsidP="00A70FDA"/>
    <w:p w14:paraId="65EE3CF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Лечение на хиперхолестеролемия</w:t>
      </w:r>
    </w:p>
    <w:p w14:paraId="25BB92F6" w14:textId="77777777" w:rsidR="00A70FDA" w:rsidRPr="00A70FDA" w:rsidRDefault="00A70FDA" w:rsidP="00A70FDA">
      <w:pPr>
        <w:spacing w:line="240" w:lineRule="auto"/>
        <w:rPr>
          <w:rFonts w:eastAsia="Times New Roman" w:cs="Arial"/>
          <w:color w:val="000000"/>
          <w:lang w:eastAsia="bg-BG"/>
        </w:rPr>
      </w:pPr>
    </w:p>
    <w:p w14:paraId="7FA507DF" w14:textId="4938DE79"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първична хиперхолестеролемия (включително тип </w:t>
      </w:r>
      <w:r w:rsidRPr="00A70FDA">
        <w:rPr>
          <w:rFonts w:eastAsia="Times New Roman" w:cs="Arial"/>
          <w:color w:val="000000"/>
          <w:lang w:val="en-US"/>
        </w:rPr>
        <w:t>II</w:t>
      </w:r>
      <w:r w:rsidRPr="00A70FDA">
        <w:rPr>
          <w:rFonts w:eastAsia="Times New Roman" w:cs="Arial"/>
          <w:color w:val="000000"/>
          <w:lang w:eastAsia="bg-BG"/>
        </w:rPr>
        <w:t xml:space="preserve">а хетерозиготна фамилна хиперхолестеролемия) или смесена дислипидемия (тип </w:t>
      </w:r>
      <w:r w:rsidRPr="00A70FDA">
        <w:rPr>
          <w:rFonts w:eastAsia="Times New Roman" w:cs="Arial"/>
          <w:color w:val="000000"/>
          <w:lang w:val="en-US"/>
        </w:rPr>
        <w:t>IIb</w:t>
      </w:r>
      <w:r w:rsidRPr="00A70FDA">
        <w:rPr>
          <w:rFonts w:eastAsia="Times New Roman" w:cs="Arial"/>
          <w:color w:val="000000"/>
          <w:lang w:eastAsia="bg-BG"/>
        </w:rPr>
        <w:t>) като допълнително средство към диета, когато само диетата и другите нефармакологични мерки (нанр. упражнения, намаляване на теглото) са недостатъчни.</w:t>
      </w:r>
    </w:p>
    <w:p w14:paraId="65584BB1" w14:textId="77777777" w:rsidR="00A70FDA" w:rsidRPr="00A70FDA" w:rsidRDefault="00A70FDA" w:rsidP="00A70FDA">
      <w:pPr>
        <w:spacing w:line="240" w:lineRule="auto"/>
        <w:rPr>
          <w:rFonts w:eastAsia="Times New Roman" w:cs="Arial"/>
          <w:color w:val="000000"/>
          <w:lang w:eastAsia="bg-BG"/>
        </w:rPr>
      </w:pPr>
    </w:p>
    <w:p w14:paraId="792BEECB" w14:textId="2801BA64"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хомозиготна фамилна хиперхолестеролемия като добавка към диетата, както и с друго липидопонижаващо лечение (напр. </w:t>
      </w:r>
      <w:r w:rsidRPr="00A70FDA">
        <w:rPr>
          <w:rFonts w:eastAsia="Times New Roman" w:cs="Arial"/>
          <w:color w:val="000000"/>
          <w:lang w:val="en-US"/>
        </w:rPr>
        <w:t>LDL</w:t>
      </w:r>
      <w:r w:rsidRPr="00A70FDA">
        <w:rPr>
          <w:rFonts w:eastAsia="Times New Roman" w:cs="Arial"/>
          <w:color w:val="000000"/>
          <w:lang w:val="ru-RU"/>
        </w:rPr>
        <w:t xml:space="preserve"> </w:t>
      </w:r>
      <w:r w:rsidRPr="00A70FDA">
        <w:rPr>
          <w:rFonts w:eastAsia="Times New Roman" w:cs="Arial"/>
          <w:color w:val="000000"/>
          <w:lang w:eastAsia="bg-BG"/>
        </w:rPr>
        <w:t>афереза), или когато това лечение не е подходящо.</w:t>
      </w:r>
    </w:p>
    <w:p w14:paraId="0BB5E730" w14:textId="77777777" w:rsidR="00A70FDA" w:rsidRPr="00A70FDA" w:rsidRDefault="00A70FDA" w:rsidP="00A70FDA">
      <w:pPr>
        <w:spacing w:line="240" w:lineRule="auto"/>
        <w:rPr>
          <w:rFonts w:eastAsia="Times New Roman" w:cs="Arial"/>
          <w:color w:val="000000"/>
          <w:u w:val="single"/>
          <w:lang w:eastAsia="bg-BG"/>
        </w:rPr>
      </w:pPr>
    </w:p>
    <w:p w14:paraId="2574DA75" w14:textId="075CBC71"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Профилактика на сърдечносъдови инциденти</w:t>
      </w:r>
    </w:p>
    <w:p w14:paraId="3B8AF696" w14:textId="77777777" w:rsidR="00A70FDA" w:rsidRPr="00A70FDA" w:rsidRDefault="00A70FDA" w:rsidP="00A70FDA">
      <w:pPr>
        <w:spacing w:line="240" w:lineRule="auto"/>
        <w:rPr>
          <w:rFonts w:eastAsia="Times New Roman" w:cs="Arial"/>
          <w:color w:val="000000"/>
          <w:lang w:eastAsia="bg-BG"/>
        </w:rPr>
      </w:pPr>
    </w:p>
    <w:p w14:paraId="0EED85F6" w14:textId="5C72CF63"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Превенция на значими сърдечносъдови инциденти при пациенти, при които се очаква да имат висок риск за пръв сърдечносъдов инцидент (вж. точка 5.1), като допълнение към коригиране и на други рискови фактори.</w:t>
      </w:r>
    </w:p>
    <w:p w14:paraId="13AD2B26" w14:textId="77777777" w:rsidR="00A70FDA" w:rsidRPr="00A70FDA" w:rsidRDefault="00A70FDA" w:rsidP="00A70FDA"/>
    <w:p w14:paraId="53F5B866" w14:textId="1AF83518" w:rsidR="007122AD" w:rsidRDefault="002C50EE" w:rsidP="00936AD0">
      <w:pPr>
        <w:pStyle w:val="Heading2"/>
      </w:pPr>
      <w:r>
        <w:t>4.2. Дозировка и начин на приложение</w:t>
      </w:r>
    </w:p>
    <w:p w14:paraId="3F199703" w14:textId="53C317E5" w:rsidR="00A70FDA" w:rsidRDefault="00A70FDA" w:rsidP="00A70FDA"/>
    <w:p w14:paraId="13FECF7E" w14:textId="77777777" w:rsidR="00A70FDA" w:rsidRPr="00A70FDA" w:rsidRDefault="00A70FDA" w:rsidP="00A70FDA">
      <w:pPr>
        <w:pStyle w:val="Heading3"/>
        <w:rPr>
          <w:rFonts w:eastAsia="Times New Roman"/>
          <w:u w:val="single"/>
        </w:rPr>
      </w:pPr>
      <w:r w:rsidRPr="00A70FDA">
        <w:rPr>
          <w:rFonts w:eastAsia="Times New Roman"/>
          <w:u w:val="single"/>
          <w:lang w:eastAsia="bg-BG"/>
        </w:rPr>
        <w:t>Дозировка</w:t>
      </w:r>
    </w:p>
    <w:p w14:paraId="36D3B1C1" w14:textId="77777777" w:rsidR="00A70FDA" w:rsidRPr="00A70FDA" w:rsidRDefault="00A70FDA" w:rsidP="00A70FDA">
      <w:pPr>
        <w:spacing w:line="240" w:lineRule="auto"/>
        <w:rPr>
          <w:rFonts w:eastAsia="Times New Roman" w:cs="Arial"/>
          <w:color w:val="000000"/>
          <w:lang w:eastAsia="bg-BG"/>
        </w:rPr>
      </w:pPr>
    </w:p>
    <w:p w14:paraId="316AD297" w14:textId="487E7823"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0FBBA09F" w14:textId="77777777" w:rsidR="00A70FDA" w:rsidRPr="00A70FDA" w:rsidRDefault="00A70FDA" w:rsidP="00A70FDA">
      <w:pPr>
        <w:spacing w:line="240" w:lineRule="auto"/>
        <w:rPr>
          <w:rFonts w:eastAsia="Times New Roman" w:cs="Arial"/>
          <w:color w:val="000000"/>
          <w:lang w:eastAsia="bg-BG"/>
        </w:rPr>
      </w:pPr>
    </w:p>
    <w:p w14:paraId="6A1DBF13" w14:textId="72570730"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може да бъде приеман по всяко време на деня, с или без храна.</w:t>
      </w:r>
    </w:p>
    <w:p w14:paraId="2200EA67" w14:textId="77777777" w:rsidR="00A70FDA" w:rsidRPr="00A70FDA" w:rsidRDefault="00A70FDA" w:rsidP="00A70FDA">
      <w:pPr>
        <w:spacing w:line="240" w:lineRule="auto"/>
        <w:rPr>
          <w:rFonts w:eastAsia="Times New Roman" w:cs="Arial"/>
          <w:color w:val="000000"/>
          <w:lang w:eastAsia="bg-BG"/>
        </w:rPr>
      </w:pPr>
    </w:p>
    <w:p w14:paraId="12381C0A" w14:textId="2C0DA1B2" w:rsidR="00A70FDA" w:rsidRPr="00A70FDA" w:rsidRDefault="00A70FDA" w:rsidP="00A70FDA">
      <w:pPr>
        <w:spacing w:line="240" w:lineRule="auto"/>
        <w:rPr>
          <w:rFonts w:eastAsia="Times New Roman" w:cs="Arial"/>
        </w:rPr>
      </w:pPr>
      <w:r w:rsidRPr="00A70FDA">
        <w:rPr>
          <w:rFonts w:eastAsia="Times New Roman" w:cs="Arial"/>
          <w:color w:val="000000"/>
          <w:lang w:eastAsia="bg-BG"/>
        </w:rPr>
        <w:t>Не всички концентрации на таблетките Розвера могат да бъдат налични.</w:t>
      </w:r>
    </w:p>
    <w:p w14:paraId="1C50F8CA" w14:textId="77777777" w:rsidR="00A70FDA" w:rsidRPr="00A70FDA" w:rsidRDefault="00A70FDA" w:rsidP="00A70FDA">
      <w:pPr>
        <w:spacing w:line="240" w:lineRule="auto"/>
        <w:rPr>
          <w:rFonts w:eastAsia="Times New Roman" w:cs="Arial"/>
          <w:b/>
          <w:bCs/>
          <w:color w:val="000000"/>
          <w:lang w:eastAsia="bg-BG"/>
        </w:rPr>
      </w:pPr>
      <w:bookmarkStart w:id="1" w:name="bookmark0"/>
    </w:p>
    <w:p w14:paraId="0D9860D6" w14:textId="182D48DD"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Лечение на хиперхолестеролемия</w:t>
      </w:r>
      <w:bookmarkEnd w:id="1"/>
    </w:p>
    <w:p w14:paraId="67B73D66" w14:textId="77777777" w:rsidR="00A70FDA" w:rsidRPr="00A70FDA" w:rsidRDefault="00A70FDA" w:rsidP="00A70FDA">
      <w:pPr>
        <w:spacing w:line="240" w:lineRule="auto"/>
        <w:rPr>
          <w:rFonts w:eastAsia="Times New Roman" w:cs="Arial"/>
          <w:color w:val="000000"/>
          <w:lang w:eastAsia="bg-BG"/>
        </w:rPr>
      </w:pPr>
    </w:p>
    <w:p w14:paraId="29C7A3DF" w14:textId="6965213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е 5 или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при пациенти, които не са приемали статини или при такива, които преминават от друг инхибитор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При избора на началната доза трябва да се има предвид нивото на серумния холестерол, бъдещия сърдечносъдов риск и риска от поява на нежелани реакции към лечението при индивидуалните пациенти (вж. по-долу). При необходимост дозата може да се коригира като се премине на следващото дозово ниво след 4 седмици (вж. точка 5.1).</w:t>
      </w:r>
    </w:p>
    <w:p w14:paraId="5EA2BC19" w14:textId="77777777" w:rsidR="00A70FDA" w:rsidRPr="00A70FDA" w:rsidRDefault="00A70FDA" w:rsidP="00A70FDA">
      <w:pPr>
        <w:rPr>
          <w:rFonts w:eastAsia="Times New Roman" w:cs="Arial"/>
          <w:color w:val="000000"/>
          <w:lang w:eastAsia="bg-BG"/>
        </w:rPr>
      </w:pPr>
    </w:p>
    <w:p w14:paraId="7E7882CE" w14:textId="2416FCE6"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В сравнение с по-ниските дози, и предвид повишената честота на съобщаване на нежелани реакции при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 сравнение с по-ниските дози (вж. точка 4.8), титриране до доза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до максималната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трябва да се предприема само при пациенти с тежка хиперхолестеролемия с висок сърдечносъдов риск (особено тези с фамилна</w:t>
      </w:r>
      <w:r w:rsidRPr="00A70FDA">
        <w:rPr>
          <w:rFonts w:eastAsia="Times New Roman" w:cs="Arial"/>
          <w:i/>
          <w:iCs/>
          <w:color w:val="000000"/>
          <w:lang w:eastAsia="bg-BG"/>
        </w:rPr>
        <w:t xml:space="preserve"> </w:t>
      </w:r>
      <w:r w:rsidRPr="00A70FDA">
        <w:rPr>
          <w:rFonts w:eastAsia="Times New Roman" w:cs="Arial"/>
          <w:color w:val="000000"/>
          <w:lang w:eastAsia="bg-BG"/>
        </w:rPr>
        <w:t>хиперхолестеролемия), които не достигат желаното ниво на холестерол при лечение с 20</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и при които ще се прави рутинно проследяване в хода на лечението (вж. раздел 4.4).</w:t>
      </w:r>
    </w:p>
    <w:p w14:paraId="20F0DA06" w14:textId="52E8E32F" w:rsidR="00A70FDA" w:rsidRPr="00A70FDA" w:rsidRDefault="00A70FDA" w:rsidP="00A70FDA">
      <w:pPr>
        <w:rPr>
          <w:rFonts w:eastAsia="Times New Roman" w:cs="Arial"/>
          <w:color w:val="000000"/>
          <w:lang w:eastAsia="bg-BG"/>
        </w:rPr>
      </w:pPr>
    </w:p>
    <w:p w14:paraId="7BDA5FD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започване на лечение с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се препоръчва постоянно наблюдение на пациента от специалист.</w:t>
      </w:r>
    </w:p>
    <w:p w14:paraId="1A6DB92E" w14:textId="77777777" w:rsidR="00A70FDA" w:rsidRPr="00A70FDA" w:rsidRDefault="00A70FDA" w:rsidP="00A70FDA">
      <w:pPr>
        <w:spacing w:line="240" w:lineRule="auto"/>
        <w:rPr>
          <w:rFonts w:eastAsia="Times New Roman" w:cs="Arial"/>
          <w:b/>
          <w:bCs/>
          <w:color w:val="000000"/>
          <w:lang w:eastAsia="bg-BG"/>
        </w:rPr>
      </w:pPr>
    </w:p>
    <w:p w14:paraId="039B58A2" w14:textId="7870CCCC"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Профилактика на сърдечносъдови инциденти</w:t>
      </w:r>
    </w:p>
    <w:p w14:paraId="233573D6" w14:textId="77777777" w:rsidR="00A70FDA" w:rsidRPr="00A70FDA" w:rsidRDefault="00A70FDA" w:rsidP="00A70FDA">
      <w:pPr>
        <w:spacing w:line="240" w:lineRule="auto"/>
        <w:rPr>
          <w:rFonts w:eastAsia="Times New Roman" w:cs="Arial"/>
          <w:color w:val="000000"/>
          <w:lang w:eastAsia="bg-BG"/>
        </w:rPr>
      </w:pPr>
    </w:p>
    <w:p w14:paraId="79A3E1D7" w14:textId="7E65D1FB"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за намаляване на риска от сърдечносъдови инциденти използваната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 (вж. точка 5.1).</w:t>
      </w:r>
    </w:p>
    <w:p w14:paraId="08218A43" w14:textId="77777777" w:rsidR="00A70FDA" w:rsidRPr="00A70FDA" w:rsidRDefault="00A70FDA" w:rsidP="00A70FDA">
      <w:pPr>
        <w:spacing w:line="240" w:lineRule="auto"/>
        <w:rPr>
          <w:rFonts w:eastAsia="Times New Roman" w:cs="Arial"/>
          <w:color w:val="000000"/>
          <w:u w:val="single"/>
          <w:lang w:eastAsia="bg-BG"/>
        </w:rPr>
      </w:pPr>
    </w:p>
    <w:p w14:paraId="1F1BEEA4" w14:textId="54A990B6"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0D9ED5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Употребата при деца трябва да се провежда само от специалисти.</w:t>
      </w:r>
    </w:p>
    <w:p w14:paraId="6B1384DC" w14:textId="77777777" w:rsidR="00A70FDA" w:rsidRPr="00A70FDA" w:rsidRDefault="00A70FDA" w:rsidP="00A70FDA">
      <w:pPr>
        <w:spacing w:line="240" w:lineRule="auto"/>
        <w:rPr>
          <w:rFonts w:eastAsia="Times New Roman" w:cs="Arial"/>
          <w:i/>
          <w:iCs/>
          <w:color w:val="000000"/>
          <w:u w:val="single"/>
          <w:lang w:eastAsia="bg-BG"/>
        </w:rPr>
      </w:pPr>
    </w:p>
    <w:p w14:paraId="215F6A60" w14:textId="09C1CE49"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и юноши на възраст 6 до 17 години (стадий по Танер &lt;</w:t>
      </w:r>
      <w:r w:rsidRPr="00A70FDA">
        <w:rPr>
          <w:rFonts w:eastAsia="Times New Roman" w:cs="Arial"/>
          <w:i/>
          <w:iCs/>
          <w:color w:val="000000"/>
          <w:u w:val="single"/>
          <w:lang w:val="en-US"/>
        </w:rPr>
        <w:t>II</w:t>
      </w:r>
      <w:r w:rsidRPr="00A70FDA">
        <w:rPr>
          <w:rFonts w:eastAsia="Times New Roman" w:cs="Arial"/>
          <w:i/>
          <w:iCs/>
          <w:color w:val="000000"/>
          <w:u w:val="single"/>
          <w:lang w:val="ru-RU"/>
        </w:rPr>
        <w:t>-</w:t>
      </w:r>
      <w:r w:rsidRPr="00A70FDA">
        <w:rPr>
          <w:rFonts w:eastAsia="Times New Roman" w:cs="Arial"/>
          <w:i/>
          <w:iCs/>
          <w:color w:val="000000"/>
          <w:u w:val="single"/>
          <w:lang w:val="en-US"/>
        </w:rPr>
        <w:t>V</w:t>
      </w:r>
      <w:r w:rsidRPr="00A70FDA">
        <w:rPr>
          <w:rFonts w:eastAsia="Times New Roman" w:cs="Arial"/>
          <w:i/>
          <w:iCs/>
          <w:color w:val="000000"/>
          <w:u w:val="single"/>
          <w:lang w:val="ru-RU"/>
        </w:rPr>
        <w:t>)</w:t>
      </w:r>
    </w:p>
    <w:p w14:paraId="3F53934F" w14:textId="77777777" w:rsidR="00A70FDA" w:rsidRPr="00A70FDA" w:rsidRDefault="00A70FDA" w:rsidP="00A70FDA">
      <w:pPr>
        <w:spacing w:line="240" w:lineRule="auto"/>
        <w:rPr>
          <w:rFonts w:eastAsia="Times New Roman" w:cs="Arial"/>
          <w:i/>
          <w:iCs/>
          <w:color w:val="000000"/>
          <w:u w:val="single"/>
          <w:lang w:eastAsia="bg-BG"/>
        </w:rPr>
      </w:pPr>
    </w:p>
    <w:p w14:paraId="6480AFE0" w14:textId="66DCCA8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Хетерозиготна фамилна хиперхолестеролемия</w:t>
      </w:r>
    </w:p>
    <w:p w14:paraId="3810E747" w14:textId="77777777" w:rsidR="00A70FDA" w:rsidRPr="00A70FDA" w:rsidRDefault="00A70FDA" w:rsidP="00A70FDA">
      <w:pPr>
        <w:spacing w:line="240" w:lineRule="auto"/>
        <w:rPr>
          <w:rFonts w:eastAsia="Times New Roman" w:cs="Arial"/>
          <w:color w:val="000000"/>
          <w:lang w:eastAsia="bg-BG"/>
        </w:rPr>
      </w:pPr>
    </w:p>
    <w:p w14:paraId="46B5CFEA" w14:textId="76B8FD7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w:t>
      </w:r>
    </w:p>
    <w:p w14:paraId="2D0FFA6C" w14:textId="77777777"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6 до 9-годишна възраст с хетерозиготна фамилна хиперхолестеролемия, обичайният дозов диапазон е 5-10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197EE507" w14:textId="3C052958"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10 до 17-годишна възраст с хетерозиготна фамилна хиперхолестеролемия, обичайният дозов диапазон е 5-20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002DF4F8" w14:textId="77777777" w:rsidR="00A70FDA" w:rsidRPr="00A70FDA" w:rsidRDefault="00A70FDA" w:rsidP="00A70FDA">
      <w:pPr>
        <w:spacing w:line="240" w:lineRule="auto"/>
        <w:rPr>
          <w:rFonts w:eastAsia="Times New Roman" w:cs="Arial"/>
          <w:color w:val="000000"/>
          <w:lang w:eastAsia="bg-BG"/>
        </w:rPr>
      </w:pPr>
    </w:p>
    <w:p w14:paraId="3425100A" w14:textId="31E02D13" w:rsidR="00A70FDA" w:rsidRPr="00A70FDA" w:rsidRDefault="00A70FDA" w:rsidP="00A70FDA">
      <w:pPr>
        <w:spacing w:line="240" w:lineRule="auto"/>
        <w:rPr>
          <w:rFonts w:eastAsia="Times New Roman" w:cs="Arial"/>
        </w:rPr>
      </w:pPr>
      <w:r w:rsidRPr="00A70FDA">
        <w:rPr>
          <w:rFonts w:eastAsia="Times New Roman" w:cs="Arial"/>
          <w:color w:val="000000"/>
          <w:lang w:eastAsia="bg-BG"/>
        </w:rPr>
        <w:t>Титрирането трябва да се провежда в съответствие с индивидуалния отговор и поносимост на педиатричните пациенти, както се препоръчва в препоръките лечение на деца (вж. раздел 4.4). Децата и юношите трябва да се подложат на стандартна холестерол-понижаваща диета преди започване на лечението розувастатин; тази диета трябва да продължи по време на лечението с розувастатин.</w:t>
      </w:r>
    </w:p>
    <w:p w14:paraId="7DCB4C4A" w14:textId="77777777" w:rsidR="00A70FDA" w:rsidRPr="00A70FDA" w:rsidRDefault="00A70FDA" w:rsidP="00A70FDA">
      <w:pPr>
        <w:spacing w:line="240" w:lineRule="auto"/>
        <w:rPr>
          <w:rFonts w:eastAsia="Times New Roman" w:cs="Arial"/>
          <w:i/>
          <w:iCs/>
          <w:color w:val="000000"/>
          <w:u w:val="single"/>
          <w:lang w:eastAsia="bg-BG"/>
        </w:rPr>
      </w:pPr>
    </w:p>
    <w:p w14:paraId="0CE528F3" w14:textId="7E1B7102"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Хомозиготна фамилна хиперхолестеролемия</w:t>
      </w:r>
    </w:p>
    <w:p w14:paraId="16905DC2" w14:textId="77777777" w:rsidR="00A70FDA" w:rsidRPr="00A70FDA" w:rsidRDefault="00A70FDA" w:rsidP="00A70FDA">
      <w:pPr>
        <w:spacing w:line="240" w:lineRule="auto"/>
        <w:rPr>
          <w:rFonts w:eastAsia="Times New Roman" w:cs="Arial"/>
          <w:color w:val="000000"/>
          <w:lang w:eastAsia="bg-BG"/>
        </w:rPr>
      </w:pPr>
    </w:p>
    <w:p w14:paraId="4E60B989" w14:textId="7B3AB72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максимална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w:t>
      </w:r>
    </w:p>
    <w:p w14:paraId="6FBA8CA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Началната доза от 5 до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веднъж дневно зависи от възрастта, теглото и приоритета при използване на статини. Титрирането до максималната доза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 трябва да се извърши съобразно индивидуалния отговор и поносимостта при педиатрични пациенти, както се препоръчва в прпоръките за педиатрично лечение (вж. точка 4.4). Децата и юношите трябва да бъдат поставени на стандартна диета за понижаване на холестерола преди започване на лечение с розувастатин; тази диета трябва да продължи по време на лечението с розувастатин.</w:t>
      </w:r>
    </w:p>
    <w:p w14:paraId="5DC01FBD" w14:textId="77777777" w:rsidR="00A70FDA" w:rsidRPr="00A70FDA" w:rsidRDefault="00A70FDA" w:rsidP="00A70FDA">
      <w:pPr>
        <w:spacing w:line="240" w:lineRule="auto"/>
        <w:rPr>
          <w:rFonts w:eastAsia="Times New Roman" w:cs="Arial"/>
          <w:color w:val="000000"/>
          <w:lang w:eastAsia="bg-BG"/>
        </w:rPr>
      </w:pPr>
    </w:p>
    <w:p w14:paraId="62B2618B" w14:textId="3B699D3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Опитът с други дози, различни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при тази популация, е ограничен.</w:t>
      </w:r>
    </w:p>
    <w:p w14:paraId="7054F5F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Таблетките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подходящи за употреба при педиатрични пациенти.</w:t>
      </w:r>
    </w:p>
    <w:p w14:paraId="2CAB2CE5" w14:textId="77777777" w:rsidR="00A70FDA" w:rsidRPr="00A70FDA" w:rsidRDefault="00A70FDA" w:rsidP="00A70FDA">
      <w:pPr>
        <w:spacing w:line="240" w:lineRule="auto"/>
        <w:rPr>
          <w:rFonts w:eastAsia="Times New Roman" w:cs="Arial"/>
          <w:i/>
          <w:iCs/>
          <w:color w:val="000000"/>
          <w:u w:val="single"/>
          <w:lang w:eastAsia="bg-BG"/>
        </w:rPr>
      </w:pPr>
    </w:p>
    <w:p w14:paraId="066D418E" w14:textId="2E8E85A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под 6-годишна възраст</w:t>
      </w:r>
    </w:p>
    <w:p w14:paraId="28788DE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Безопасността и ефикасността на употребата при деца под 6-годишна възраст не са проучени. Следователно Розвера не се препоръчва за употреба при деца под 6-годишна възраст.</w:t>
      </w:r>
    </w:p>
    <w:p w14:paraId="3CCE251F" w14:textId="77777777" w:rsidR="00A70FDA" w:rsidRPr="00A70FDA" w:rsidRDefault="00A70FDA" w:rsidP="00A70FDA">
      <w:pPr>
        <w:spacing w:line="240" w:lineRule="auto"/>
        <w:rPr>
          <w:rFonts w:eastAsia="Times New Roman" w:cs="Arial"/>
          <w:color w:val="000000"/>
          <w:u w:val="single"/>
          <w:lang w:eastAsia="bg-BG"/>
        </w:rPr>
      </w:pPr>
    </w:p>
    <w:p w14:paraId="33E78113" w14:textId="3DE6080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в старческа възраст</w:t>
      </w:r>
      <w:bookmarkStart w:id="2" w:name="bookmark2"/>
      <w:bookmarkEnd w:id="2"/>
    </w:p>
    <w:p w14:paraId="534F804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при пациенти &gt; 70 годишна възраст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2BFA1857" w14:textId="77777777" w:rsidR="00A70FDA" w:rsidRPr="00A70FDA" w:rsidRDefault="00A70FDA" w:rsidP="00A70FDA">
      <w:pPr>
        <w:spacing w:line="240" w:lineRule="auto"/>
        <w:rPr>
          <w:rFonts w:eastAsia="Times New Roman" w:cs="Arial"/>
        </w:rPr>
      </w:pPr>
    </w:p>
    <w:p w14:paraId="34847994"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с бъбречно увреждане</w:t>
      </w:r>
    </w:p>
    <w:p w14:paraId="339FC8A3" w14:textId="77777777" w:rsidR="00A70FDA" w:rsidRPr="00A70FDA" w:rsidRDefault="00A70FDA" w:rsidP="00A70FDA">
      <w:pPr>
        <w:rPr>
          <w:rFonts w:eastAsia="Times New Roman" w:cs="Arial"/>
        </w:rPr>
      </w:pPr>
      <w:r w:rsidRPr="00A70FDA">
        <w:rPr>
          <w:rFonts w:eastAsia="Times New Roman" w:cs="Arial"/>
          <w:color w:val="000000"/>
          <w:lang w:eastAsia="bg-BG"/>
        </w:rPr>
        <w:t>Не се налага коригиране на дозите при пациенти с леко до умерено бъбречно увреждане. При</w:t>
      </w:r>
      <w:r w:rsidRPr="00A70FDA">
        <w:rPr>
          <w:rFonts w:eastAsia="Times New Roman" w:cs="Arial"/>
          <w:b/>
          <w:bCs/>
          <w:color w:val="000000"/>
          <w:lang w:eastAsia="bg-BG"/>
        </w:rPr>
        <w:t xml:space="preserve"> </w:t>
      </w:r>
      <w:r w:rsidRPr="00A70FDA">
        <w:rPr>
          <w:rFonts w:eastAsia="Times New Roman" w:cs="Arial"/>
          <w:color w:val="000000"/>
          <w:lang w:eastAsia="bg-BG"/>
        </w:rPr>
        <w:t xml:space="preserve">пациенти с умерено бъбречно увреждане препоръчваната първоначална доза е 5 </w:t>
      </w:r>
      <w:r w:rsidRPr="00A70FDA">
        <w:rPr>
          <w:rFonts w:eastAsia="Times New Roman" w:cs="Arial"/>
          <w:color w:val="000000"/>
          <w:lang w:val="en-US"/>
        </w:rPr>
        <w:t>mg</w:t>
      </w:r>
      <w:r w:rsidRPr="00A70FDA">
        <w:rPr>
          <w:rFonts w:eastAsia="Times New Roman" w:cs="Arial"/>
          <w:b/>
          <w:bCs/>
          <w:color w:val="000000"/>
          <w:lang w:val="ru-RU"/>
        </w:rPr>
        <w:t xml:space="preserve"> </w:t>
      </w:r>
      <w:r w:rsidRPr="00A70FDA">
        <w:rPr>
          <w:rFonts w:eastAsia="Times New Roman" w:cs="Arial"/>
          <w:color w:val="000000"/>
          <w:lang w:eastAsia="bg-BG"/>
        </w:rPr>
        <w:t xml:space="preserve">(креатининов клирънс &lt;60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r w:rsidRPr="00A70FDA">
        <w:rPr>
          <w:rFonts w:eastAsia="Times New Roman" w:cs="Arial"/>
          <w:color w:val="000000"/>
          <w:lang w:eastAsia="bg-BG"/>
        </w:rPr>
        <w:t xml:space="preserve">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умерено бъбречно увреждане. При пациенти с тежко бъбречно увреждане употребата на Розвера е противопоказна, (вж. точка 4.3 и точка 5.2)</w:t>
      </w:r>
    </w:p>
    <w:p w14:paraId="3CEC4BF0" w14:textId="77777777" w:rsidR="00A70FDA" w:rsidRPr="00A70FDA" w:rsidRDefault="00A70FDA" w:rsidP="00A70FDA">
      <w:pPr>
        <w:spacing w:line="240" w:lineRule="auto"/>
        <w:rPr>
          <w:rFonts w:eastAsia="Times New Roman" w:cs="Arial"/>
          <w:color w:val="000000"/>
          <w:u w:val="single"/>
          <w:lang w:eastAsia="bg-BG"/>
        </w:rPr>
      </w:pPr>
    </w:p>
    <w:p w14:paraId="13E0EA43" w14:textId="2D875C4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с чернодробно увреждане</w:t>
      </w:r>
    </w:p>
    <w:p w14:paraId="3687C6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от 7 или по-ниска. Въпреки това повишена системна експозиция е наблюдавана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Plugh</w:t>
      </w:r>
      <w:r w:rsidRPr="00A70FDA">
        <w:rPr>
          <w:rFonts w:eastAsia="Times New Roman" w:cs="Arial"/>
          <w:color w:val="000000"/>
          <w:lang w:val="ru-RU"/>
        </w:rPr>
        <w:t xml:space="preserve"> </w:t>
      </w:r>
      <w:r w:rsidRPr="00A70FDA">
        <w:rPr>
          <w:rFonts w:eastAsia="Times New Roman" w:cs="Arial"/>
          <w:color w:val="000000"/>
          <w:lang w:eastAsia="bg-BG"/>
        </w:rPr>
        <w:t>над 9. Розвера е противопоказан при пациенти с активно чернодробно увреждане (вж. точка 4.3).</w:t>
      </w:r>
    </w:p>
    <w:p w14:paraId="7948479E" w14:textId="77777777" w:rsidR="00A70FDA" w:rsidRPr="00A70FDA" w:rsidRDefault="00A70FDA" w:rsidP="00A70FDA">
      <w:pPr>
        <w:spacing w:line="240" w:lineRule="auto"/>
        <w:rPr>
          <w:rFonts w:eastAsia="Times New Roman" w:cs="Arial"/>
          <w:color w:val="000000"/>
          <w:u w:val="single"/>
          <w:lang w:eastAsia="bg-BG"/>
        </w:rPr>
      </w:pPr>
    </w:p>
    <w:p w14:paraId="11C51BDE" w14:textId="502A13D9"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51CAC9E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от азиатската раса се наблюдава повишена системна експозиция (вж. точка 4.3, точка 4.4 и точка 5.2). Препоръчваната първоначална доза при пациенти от азиатската раса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При тези пациенти е противопоказано приложение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w:t>
      </w:r>
    </w:p>
    <w:p w14:paraId="103343DE" w14:textId="77777777" w:rsidR="00A70FDA" w:rsidRPr="00A70FDA" w:rsidRDefault="00A70FDA" w:rsidP="00A70FDA">
      <w:pPr>
        <w:spacing w:line="240" w:lineRule="auto"/>
        <w:rPr>
          <w:rFonts w:eastAsia="Times New Roman" w:cs="Arial"/>
          <w:color w:val="000000"/>
          <w:u w:val="single"/>
          <w:lang w:eastAsia="bg-BG"/>
        </w:rPr>
      </w:pPr>
    </w:p>
    <w:p w14:paraId="6BB04382" w14:textId="7D891D3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Генетичен полиморфизъм</w:t>
      </w:r>
    </w:p>
    <w:p w14:paraId="641AD2F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Известно е, че специфични типове на генетичен полиморфизъм могат да доведат до повишена експозиция на розувастатин (вж. точка 5.2). За пациенти, за които е известно, </w:t>
      </w:r>
      <w:r w:rsidRPr="00A70FDA">
        <w:rPr>
          <w:rFonts w:eastAsia="Times New Roman" w:cs="Arial"/>
          <w:color w:val="000000"/>
          <w:lang w:eastAsia="bg-BG"/>
        </w:rPr>
        <w:lastRenderedPageBreak/>
        <w:t>че имат такъв специфичен тип полиморфизъм е препоръчителна по-ниска дневна доза на розувастатин.</w:t>
      </w:r>
    </w:p>
    <w:p w14:paraId="757DFE13" w14:textId="77777777" w:rsidR="00A70FDA" w:rsidRPr="00A70FDA" w:rsidRDefault="00A70FDA" w:rsidP="00A70FDA">
      <w:pPr>
        <w:spacing w:line="240" w:lineRule="auto"/>
        <w:rPr>
          <w:rFonts w:eastAsia="Times New Roman" w:cs="Arial"/>
          <w:color w:val="000000"/>
          <w:u w:val="single"/>
          <w:lang w:eastAsia="bg-BG"/>
        </w:rPr>
      </w:pPr>
    </w:p>
    <w:p w14:paraId="741BB6E0" w14:textId="64F065CB"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предразположени към развитие на миопатия</w:t>
      </w:r>
    </w:p>
    <w:p w14:paraId="6643A03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с предразполагащи фактори за развитите на миопатия препоръчваната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5B84CDB5" w14:textId="77777777" w:rsidR="00A70FDA" w:rsidRPr="00A70FDA" w:rsidRDefault="00A70FDA" w:rsidP="00A70FDA">
      <w:pPr>
        <w:spacing w:line="240" w:lineRule="auto"/>
        <w:rPr>
          <w:rFonts w:eastAsia="Times New Roman" w:cs="Arial"/>
          <w:color w:val="000000"/>
          <w:lang w:eastAsia="bg-BG"/>
        </w:rPr>
      </w:pPr>
    </w:p>
    <w:p w14:paraId="4B664D19" w14:textId="19BF50A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някои от тези пациенти е противопоказано приложението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4.3).</w:t>
      </w:r>
    </w:p>
    <w:p w14:paraId="46110B48" w14:textId="77777777" w:rsidR="00A70FDA" w:rsidRPr="00A70FDA" w:rsidRDefault="00A70FDA" w:rsidP="00A70FDA">
      <w:pPr>
        <w:spacing w:line="240" w:lineRule="auto"/>
        <w:rPr>
          <w:rFonts w:eastAsia="Times New Roman" w:cs="Arial"/>
          <w:color w:val="000000"/>
          <w:u w:val="single"/>
          <w:lang w:eastAsia="bg-BG"/>
        </w:rPr>
      </w:pPr>
    </w:p>
    <w:p w14:paraId="2EA8A03C" w14:textId="10D492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Съпътстваща терапия</w:t>
      </w:r>
    </w:p>
    <w:p w14:paraId="5938F08A" w14:textId="1617E3B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Розувастатин е субстрат на няколко транспортни протеини (напр. ОАТР1В1 и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Рискът от миопатия (включително рабдомиолиза) се повишава, когато розувастатин се приема едновременно с определени лекарствени продукти, които могат да повишат плазмените концентрации на розувастатин поради взаимодействие с тези транспортни протеини (напр. циклоспорин и определени протеазни инхибитори, включително комбинации от ритонавир е атазанавир, лопинавир и/или типранавир; вж. точка 4.4 и 4.5). Когато е възможно е необходимо да се обмисли алтернативно лечение и, ако е необходимо да се обмисли временно прекратяване на терапията с розувастатин. В ситуации, при които едновременния прием на тези лекарствени продукти с розувастатин не може да се избегне, е необходима внимателна преценка на ползата и риска от съпътстващото лечение и корекция на дозата на розувастатин (вж. точка 4.5).</w:t>
      </w:r>
    </w:p>
    <w:p w14:paraId="4B605518" w14:textId="77777777" w:rsidR="00A70FDA" w:rsidRPr="00A70FDA" w:rsidRDefault="00A70FDA" w:rsidP="00A70FDA"/>
    <w:p w14:paraId="0F253247" w14:textId="4BDE500F" w:rsidR="007122AD" w:rsidRDefault="002C50EE" w:rsidP="00936AD0">
      <w:pPr>
        <w:pStyle w:val="Heading2"/>
      </w:pPr>
      <w:r>
        <w:t>4.3. Противопоказания</w:t>
      </w:r>
    </w:p>
    <w:p w14:paraId="2AB21E6D" w14:textId="0E46004F" w:rsidR="00A70FDA" w:rsidRDefault="00A70FDA" w:rsidP="00A70FDA"/>
    <w:p w14:paraId="6F8B4ED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Розвера е противопоказан:</w:t>
      </w:r>
    </w:p>
    <w:p w14:paraId="4E5C54B0"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със свръхчувствителност към активното(ите) вещество(а) или към някое от помощните вещества, изброени в точка 6.1.</w:t>
      </w:r>
    </w:p>
    <w:p w14:paraId="4729C1F9"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3 пъти над горната референтна граница (ГРГ).</w:t>
      </w:r>
    </w:p>
    <w:p w14:paraId="2DBCC626"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тежко бъбречно увреждане (креатининов клирънс &lt; 30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p>
    <w:p w14:paraId="280345B9" w14:textId="17E923F4"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приемащи едновременно комбинация от софосбувир/велпатасвир/воксилапревир (вж. точка 4.5).</w:t>
      </w:r>
    </w:p>
    <w:p w14:paraId="4FBB8B02"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миопатия. </w:t>
      </w:r>
    </w:p>
    <w:p w14:paraId="26E5636E"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приемащи едновременно циклоспорин. по време на бременност, кърмене и </w:t>
      </w:r>
    </w:p>
    <w:p w14:paraId="2096A300" w14:textId="68D0A20B"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жени в детеродна възраст, които ме използват подходящи контрацептивни мерки.</w:t>
      </w:r>
    </w:p>
    <w:p w14:paraId="2E869FD5" w14:textId="4DF7F3D7" w:rsidR="00A70FDA" w:rsidRPr="00A70FDA" w:rsidRDefault="00A70FDA" w:rsidP="00A70FDA">
      <w:pPr>
        <w:rPr>
          <w:rFonts w:cs="Arial"/>
        </w:rPr>
      </w:pPr>
    </w:p>
    <w:p w14:paraId="11688C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Дозите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предразполагащи фактори за развитие на миопатия/рабдомиолиза. Такива фактори са:</w:t>
      </w:r>
    </w:p>
    <w:p w14:paraId="72D907B4"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умерено бъбречно увреждане (креатининов клирънс &lt; 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w:t>
      </w:r>
    </w:p>
    <w:p w14:paraId="0B0974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хипотиреоидизъм.</w:t>
      </w:r>
    </w:p>
    <w:p w14:paraId="04D2082F"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лична или фамилна анамнеза за наследствени мускулни заболявания.</w:t>
      </w:r>
    </w:p>
    <w:p w14:paraId="0890994B"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анамнеза за поява на мускулно увреждане по време на лечение с друг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или с фибрат.</w:t>
      </w:r>
    </w:p>
    <w:p w14:paraId="2E5577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злоупотреба с алкохол.</w:t>
      </w:r>
    </w:p>
    <w:p w14:paraId="1FE133F0"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състояния, при които може да се повиши плазменото ниво.</w:t>
      </w:r>
    </w:p>
    <w:p w14:paraId="1D923078"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пациенти от азиатската раса.</w:t>
      </w:r>
    </w:p>
    <w:p w14:paraId="0C5A1A81"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lastRenderedPageBreak/>
        <w:t>съпътстващо лечение с фибрати.</w:t>
      </w:r>
    </w:p>
    <w:p w14:paraId="77B76F19" w14:textId="77777777" w:rsidR="00A70FDA" w:rsidRPr="00A70FDA" w:rsidRDefault="00A70FDA" w:rsidP="00A70FDA">
      <w:pPr>
        <w:spacing w:line="240" w:lineRule="auto"/>
        <w:ind w:left="360"/>
        <w:rPr>
          <w:rFonts w:eastAsia="Times New Roman" w:cs="Arial"/>
          <w:sz w:val="24"/>
          <w:szCs w:val="24"/>
        </w:rPr>
      </w:pPr>
      <w:r w:rsidRPr="00A70FDA">
        <w:rPr>
          <w:rFonts w:eastAsia="Times New Roman" w:cs="Arial"/>
          <w:color w:val="000000"/>
          <w:lang w:eastAsia="bg-BG"/>
        </w:rPr>
        <w:t>(вж.точки 4.4, точка 4.5 и точка 5.2).</w:t>
      </w:r>
    </w:p>
    <w:p w14:paraId="3C526BD4" w14:textId="77777777" w:rsidR="00A70FDA" w:rsidRPr="00A70FDA" w:rsidRDefault="00A70FDA" w:rsidP="00A70FDA"/>
    <w:p w14:paraId="0E0BDCC7" w14:textId="68594D64" w:rsidR="007122AD" w:rsidRDefault="002C50EE" w:rsidP="00936AD0">
      <w:pPr>
        <w:pStyle w:val="Heading2"/>
      </w:pPr>
      <w:r>
        <w:t>4.4. Специални предупреждения и предпазни мерки при употреба</w:t>
      </w:r>
    </w:p>
    <w:p w14:paraId="44FAE7AB" w14:textId="68966C00" w:rsidR="00A70FDA" w:rsidRDefault="00A70FDA" w:rsidP="00A70FDA"/>
    <w:p w14:paraId="2DBC76A5"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бъбреците</w:t>
      </w:r>
    </w:p>
    <w:p w14:paraId="322050E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лекувани е по-високи дози Розвера, по-конкретно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увреждания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лекувани с 30 или 40 </w:t>
      </w:r>
      <w:r w:rsidRPr="00A70FDA">
        <w:rPr>
          <w:rFonts w:eastAsia="Times New Roman" w:cs="Arial"/>
          <w:color w:val="000000"/>
          <w:lang w:val="en-US"/>
        </w:rPr>
        <w:t>mg</w:t>
      </w:r>
      <w:r w:rsidRPr="00A70FDA">
        <w:rPr>
          <w:rFonts w:eastAsia="Times New Roman" w:cs="Arial"/>
          <w:color w:val="000000"/>
          <w:lang w:val="ru-RU"/>
        </w:rPr>
        <w:t>.</w:t>
      </w:r>
    </w:p>
    <w:p w14:paraId="2C9C6AFA" w14:textId="77777777" w:rsidR="00A70FDA" w:rsidRPr="00A70FDA" w:rsidRDefault="00A70FDA" w:rsidP="00A70FDA">
      <w:pPr>
        <w:spacing w:line="240" w:lineRule="auto"/>
        <w:rPr>
          <w:rFonts w:eastAsia="Times New Roman" w:cs="Arial"/>
          <w:color w:val="000000"/>
          <w:u w:val="single"/>
          <w:lang w:eastAsia="bg-BG"/>
        </w:rPr>
      </w:pPr>
    </w:p>
    <w:p w14:paraId="1CCBF01B" w14:textId="05A52C2D"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скелетната мускулатура</w:t>
      </w:r>
    </w:p>
    <w:p w14:paraId="56C6F4E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Ефекти върху скелетната мускулатура напр. миалгия, миопатия и по-рядко -рабдомиолиоза, са съобщавани при приложение на всички дозови режими, особено при дози &gt;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Не може да бъде изключено фармакодинамично взаимодействие (вж. точка 4.5) и е необходимо внимание при комбинираното им използуване. Както при другите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докладваната честота на рабдомиолиза асоциирана с розувастатин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w:t>
      </w:r>
    </w:p>
    <w:p w14:paraId="0DDFABFC" w14:textId="77777777" w:rsidR="00A70FDA" w:rsidRPr="00A70FDA" w:rsidRDefault="00A70FDA" w:rsidP="00A70FDA">
      <w:pPr>
        <w:spacing w:line="240" w:lineRule="auto"/>
        <w:rPr>
          <w:rFonts w:eastAsia="Times New Roman" w:cs="Arial"/>
          <w:i/>
          <w:iCs/>
          <w:color w:val="000000"/>
          <w:lang w:eastAsia="bg-BG"/>
        </w:rPr>
      </w:pPr>
    </w:p>
    <w:p w14:paraId="29AE2B7E" w14:textId="0410A6E7"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Измерване на креатин киназата</w:t>
      </w:r>
    </w:p>
    <w:p w14:paraId="19C757F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Креатин киназата (СК) не трябва да се измерва след усилени упражнения или при наличието на друг причинител на увеличение на СК, което може да затрудни тълкуването на резултата. Ако нивото на СК е значително повишено при изходно ниво (&gt; 5 х ГРГ), тест за потвърждаване на резултата трябва да бъде направен в рамките на 5 - 7 дни. Ако повторното изследване потвърди изходно ниво на СК &gt; 5 х ГРГ, не трябва да се започва лечение.</w:t>
      </w:r>
    </w:p>
    <w:p w14:paraId="16A6C1CF" w14:textId="77777777" w:rsidR="00A70FDA" w:rsidRPr="00A70FDA" w:rsidRDefault="00A70FDA" w:rsidP="00A70FDA">
      <w:pPr>
        <w:spacing w:line="240" w:lineRule="auto"/>
        <w:rPr>
          <w:rFonts w:eastAsia="Times New Roman" w:cs="Arial"/>
          <w:i/>
          <w:iCs/>
          <w:color w:val="000000"/>
          <w:lang w:eastAsia="bg-BG"/>
        </w:rPr>
      </w:pPr>
    </w:p>
    <w:p w14:paraId="0F876F3D" w14:textId="58D5A1A3"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Преди лечението</w:t>
      </w:r>
    </w:p>
    <w:p w14:paraId="59C320F8"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както 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трябва да бъде предписван с особено внимание при пациенти, за които са налице фактори предразполагащи развитие на миопатия/ рабдомиолиза. Такива фактори са:</w:t>
      </w:r>
    </w:p>
    <w:p w14:paraId="4A300EA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бъбречно увреждане</w:t>
      </w:r>
    </w:p>
    <w:p w14:paraId="5AE45C20"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хипотиреоидизъм</w:t>
      </w:r>
    </w:p>
    <w:p w14:paraId="2CC43FC9"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лична или фамилна анамнеза за наследствено мускулно заболяване </w:t>
      </w:r>
    </w:p>
    <w:p w14:paraId="6274CCA3"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установена мускулна токсичност към други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или фибрати </w:t>
      </w:r>
    </w:p>
    <w:p w14:paraId="4022B757"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злоупотреба с алкохол </w:t>
      </w:r>
    </w:p>
    <w:p w14:paraId="4F29DD61"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пациенти на възраст над 70 години </w:t>
      </w:r>
    </w:p>
    <w:p w14:paraId="7ABEAA4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състояния, при които може да се наблюдава покачване на плазмените нива (вж. точка 4.2, 4.5 и 5.2) </w:t>
      </w:r>
    </w:p>
    <w:p w14:paraId="2F30FEA1" w14:textId="141EC029"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едновременно приложение на фибрати.</w:t>
      </w:r>
    </w:p>
    <w:p w14:paraId="6DBA36E1" w14:textId="7F974745" w:rsidR="00A70FDA" w:rsidRPr="00A70FDA" w:rsidRDefault="00A70FDA" w:rsidP="00A70FDA">
      <w:pPr>
        <w:rPr>
          <w:rFonts w:cs="Arial"/>
        </w:rPr>
      </w:pPr>
    </w:p>
    <w:p w14:paraId="24EE4D6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lastRenderedPageBreak/>
        <w:t>При подобни пациенти се препоръчва да се оцени риска от лечението и възможната полза и да бъдат поставени под клинично наблюдение. Ако изходното ниво на СК е значително повишено (&gt; 5 х ГРГ), не трябва да се започва лечение.</w:t>
      </w:r>
    </w:p>
    <w:p w14:paraId="258CB3B9" w14:textId="77777777" w:rsidR="00A70FDA" w:rsidRPr="00A70FDA" w:rsidRDefault="00A70FDA" w:rsidP="00A70FDA">
      <w:pPr>
        <w:spacing w:line="240" w:lineRule="auto"/>
        <w:rPr>
          <w:rFonts w:eastAsia="Times New Roman" w:cs="Arial"/>
          <w:i/>
          <w:iCs/>
          <w:color w:val="000000"/>
          <w:lang w:eastAsia="bg-BG"/>
        </w:rPr>
      </w:pPr>
    </w:p>
    <w:p w14:paraId="651D32DA" w14:textId="02CDA056"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По време на лечението</w:t>
      </w:r>
    </w:p>
    <w:p w14:paraId="2C34B062"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 5 х ГРГ) или мускулните симптоми са тежки и причиняват ежедневно неразположение (дори  ≤5 х ГРГ). Ако симптомите изчезнат и нивото на СК се нормализира може да се помисли за повторно лечение с Розвера или алтернативен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в най-ниска доза под наблюдение. Рутинно наблюдение на нивото на СК при пациенти без симптоми не е основателно. Има много редки съобщения за поява на имуно- медиирана некротизираща миопатия (ИМНМ) по време или след лечението със статии и, включително розувастатин. ИМНМ се характеризира клинично чрез нарастваща мускулна слабост и повишени серумни нива на креатин киназата, които персистират въпреки спирането на лечението със статини.</w:t>
      </w:r>
    </w:p>
    <w:p w14:paraId="647D66B8" w14:textId="77777777" w:rsidR="00A70FDA" w:rsidRPr="00A70FDA" w:rsidRDefault="00A70FDA" w:rsidP="00A70FDA">
      <w:pPr>
        <w:spacing w:line="240" w:lineRule="auto"/>
        <w:rPr>
          <w:rFonts w:eastAsia="Times New Roman" w:cs="Arial"/>
          <w:color w:val="000000"/>
          <w:lang w:eastAsia="bg-BG"/>
        </w:rPr>
      </w:pPr>
    </w:p>
    <w:p w14:paraId="7C5F7B9C" w14:textId="21D787B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клиничните изпитвания на розувастатин не са наблюдавани данни за повишени ефекти върху скелетната мускулатура в малката група пациенти, при които розувастатин 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редуктазата заедно с циклоспорин,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Поради това комбинацията между Розвера и гемфиброзил и не е препоръчителна. Ползата от допълнително снижаване в липидните нива в резултат от комбинираното приемане на Розвера и фибрати или ниацин трябва да бъде внимателно изчислена спрямо потенциалния риск от подобни комбинации. При едновременно приложение на фибрати лечението с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е противопоказано, (вж. точка 4.5 и точка 4.8).</w:t>
      </w:r>
    </w:p>
    <w:p w14:paraId="0E08D898" w14:textId="77777777" w:rsidR="00A70FDA" w:rsidRPr="00A70FDA" w:rsidRDefault="00A70FDA" w:rsidP="00A70FDA">
      <w:pPr>
        <w:spacing w:line="240" w:lineRule="auto"/>
        <w:rPr>
          <w:rFonts w:eastAsia="Times New Roman" w:cs="Arial"/>
          <w:color w:val="000000"/>
          <w:lang w:eastAsia="bg-BG"/>
        </w:rPr>
      </w:pPr>
    </w:p>
    <w:p w14:paraId="761611F8" w14:textId="39DA7D62"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Розувастатин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системна фузидова киселина се считат за съществени, лечението със статини трябва да бъде преустановено през целия период на лечение с фузидова киселина. Има съобщенияза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незабавно да потърсят медицинска помощ, ако получат симптоми на мускулна слабост, болки или чувствителност.</w:t>
      </w:r>
    </w:p>
    <w:p w14:paraId="7042A051" w14:textId="77777777" w:rsidR="00A70FDA" w:rsidRPr="00A70FDA" w:rsidRDefault="00A70FDA" w:rsidP="00A70FDA">
      <w:pPr>
        <w:spacing w:line="240" w:lineRule="auto"/>
        <w:rPr>
          <w:rFonts w:eastAsia="Times New Roman" w:cs="Arial"/>
          <w:color w:val="000000"/>
          <w:lang w:eastAsia="bg-BG"/>
        </w:rPr>
      </w:pPr>
    </w:p>
    <w:p w14:paraId="47BC5280" w14:textId="0469F758" w:rsidR="00A70FDA" w:rsidRPr="00A70FDA" w:rsidRDefault="00A70FDA" w:rsidP="00A70FDA">
      <w:pPr>
        <w:spacing w:line="240" w:lineRule="auto"/>
        <w:rPr>
          <w:rFonts w:eastAsia="Times New Roman" w:cs="Arial"/>
        </w:rPr>
      </w:pPr>
      <w:r w:rsidRPr="00A70FDA">
        <w:rPr>
          <w:rFonts w:eastAsia="Times New Roman" w:cs="Arial"/>
          <w:color w:val="000000"/>
          <w:lang w:eastAsia="bg-BG"/>
        </w:rPr>
        <w:t>Терапията със статини може да бъде повторно въведена седем дни след последната доза на фузидова киселина.</w:t>
      </w:r>
    </w:p>
    <w:p w14:paraId="1EB5D8A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изключителни обстоятелства, когато е необходима продължителна системна употреба на фузидова киселина, например за лечение на тежки инфекции, необходимостта от едновременно приложение на Розвера и фузидова киселина трябва да се вземе под внимание само за всеки отделен случай и под строго медицинско наблюдение.</w:t>
      </w:r>
    </w:p>
    <w:p w14:paraId="5F0B75B9" w14:textId="77777777" w:rsidR="00A70FDA" w:rsidRPr="00A70FDA" w:rsidRDefault="00A70FDA" w:rsidP="00A70FDA">
      <w:pPr>
        <w:spacing w:line="240" w:lineRule="auto"/>
        <w:rPr>
          <w:rFonts w:eastAsia="Times New Roman" w:cs="Arial"/>
          <w:color w:val="000000"/>
          <w:lang w:eastAsia="bg-BG"/>
        </w:rPr>
      </w:pPr>
    </w:p>
    <w:p w14:paraId="41449A6A" w14:textId="470D29DA"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не трябва да се употребява при пациенти с остри сериозни състояния, предполагащи миопатия или предразполагащи към развитие на бъбречна недостатъчност </w:t>
      </w:r>
      <w:r w:rsidRPr="00A70FDA">
        <w:rPr>
          <w:rFonts w:eastAsia="Times New Roman" w:cs="Arial"/>
          <w:color w:val="000000"/>
          <w:lang w:eastAsia="bg-BG"/>
        </w:rPr>
        <w:lastRenderedPageBreak/>
        <w:t>вследствие рабдомиолиза (напр. сепсис, хипотензия, голяма операция, травма, тежки метаболитни, ендокринни или електролитни нарушения или неконтролирани гърчове).</w:t>
      </w:r>
    </w:p>
    <w:p w14:paraId="5FB2F9E2" w14:textId="77777777" w:rsidR="00A70FDA" w:rsidRPr="00A70FDA" w:rsidRDefault="00A70FDA" w:rsidP="00A70FDA">
      <w:pPr>
        <w:spacing w:line="240" w:lineRule="auto"/>
        <w:rPr>
          <w:rFonts w:eastAsia="Times New Roman" w:cs="Arial"/>
          <w:color w:val="000000"/>
          <w:u w:val="single"/>
          <w:lang w:eastAsia="bg-BG"/>
        </w:rPr>
      </w:pPr>
    </w:p>
    <w:p w14:paraId="7FE4ACFF" w14:textId="70293568" w:rsidR="00A70FDA" w:rsidRPr="00A70FDA" w:rsidRDefault="00A70FDA" w:rsidP="00A70FDA">
      <w:pPr>
        <w:spacing w:line="240" w:lineRule="auto"/>
        <w:rPr>
          <w:rFonts w:eastAsia="Times New Roman" w:cs="Arial"/>
          <w:color w:val="000000"/>
          <w:u w:val="single"/>
          <w:lang w:eastAsia="bg-BG"/>
        </w:rPr>
      </w:pPr>
      <w:r w:rsidRPr="00A70FDA">
        <w:rPr>
          <w:rFonts w:eastAsia="Times New Roman" w:cs="Arial"/>
          <w:color w:val="000000"/>
          <w:u w:val="single"/>
          <w:lang w:eastAsia="bg-BG"/>
        </w:rPr>
        <w:t>Ефекти върху черния дроб</w:t>
      </w:r>
    </w:p>
    <w:p w14:paraId="6CCF1B6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Както при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Розвера трябва внимателно да се прилага при пациенти, които приемат голямо количество алкохол или и/или са имали заболяване на черния дроб.</w:t>
      </w:r>
    </w:p>
    <w:p w14:paraId="30203C37" w14:textId="77777777" w:rsidR="00A70FDA" w:rsidRPr="00A70FDA" w:rsidRDefault="00A70FDA" w:rsidP="00A70FDA">
      <w:pPr>
        <w:spacing w:line="240" w:lineRule="auto"/>
        <w:rPr>
          <w:rFonts w:eastAsia="Times New Roman" w:cs="Arial"/>
          <w:color w:val="000000"/>
          <w:lang w:eastAsia="bg-BG"/>
        </w:rPr>
      </w:pPr>
    </w:p>
    <w:p w14:paraId="605A8EFD" w14:textId="5AF62618"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Розвера трябва да бъде преустановен или дозата трябва да се намали, ако нивото на серумните трансаминази надвишава 3 пъти горната референтна граница. Докладваната честота за сериозни чернодробни увреждания (заключващи се главно в увеличени чернодробни трансаминази) при пост-маркетинга вата употреба е по-висока при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дозировка.</w:t>
      </w:r>
    </w:p>
    <w:p w14:paraId="688DD27E" w14:textId="77777777" w:rsidR="00A70FDA" w:rsidRPr="00A70FDA" w:rsidRDefault="00A70FDA" w:rsidP="00A70FDA">
      <w:pPr>
        <w:spacing w:line="240" w:lineRule="auto"/>
        <w:rPr>
          <w:rFonts w:eastAsia="Times New Roman" w:cs="Arial"/>
          <w:color w:val="000000"/>
          <w:lang w:eastAsia="bg-BG"/>
        </w:rPr>
      </w:pPr>
    </w:p>
    <w:p w14:paraId="2591C10B" w14:textId="7777777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При пациенти с вторична хиперхолестеролемия, причинена от хипотиреоидизъм или нефротичен </w:t>
      </w:r>
    </w:p>
    <w:p w14:paraId="0D2C5AA7" w14:textId="23D10AA2" w:rsidR="00A70FDA" w:rsidRPr="00A70FDA" w:rsidRDefault="00A70FDA" w:rsidP="00A70FDA">
      <w:pPr>
        <w:spacing w:line="240" w:lineRule="auto"/>
        <w:rPr>
          <w:rFonts w:eastAsia="Times New Roman" w:cs="Arial"/>
        </w:rPr>
      </w:pPr>
      <w:r w:rsidRPr="00A70FDA">
        <w:rPr>
          <w:rFonts w:eastAsia="Times New Roman" w:cs="Arial"/>
          <w:color w:val="000000"/>
          <w:lang w:eastAsia="bg-BG"/>
        </w:rPr>
        <w:t>синдром основното заболяване трябва да се лекува преди започване на лечение с Розвера.</w:t>
      </w:r>
    </w:p>
    <w:p w14:paraId="2F04FD41" w14:textId="77777777" w:rsidR="00A70FDA" w:rsidRPr="00A70FDA" w:rsidRDefault="00A70FDA" w:rsidP="00A70FDA">
      <w:pPr>
        <w:spacing w:line="240" w:lineRule="auto"/>
        <w:rPr>
          <w:rFonts w:eastAsia="Times New Roman" w:cs="Arial"/>
          <w:color w:val="000000"/>
          <w:u w:val="single"/>
          <w:lang w:eastAsia="bg-BG"/>
        </w:rPr>
      </w:pPr>
    </w:p>
    <w:p w14:paraId="799E6ADE" w14:textId="63A794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4D76BB5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точка 4.3 и точка 5.2)</w:t>
      </w:r>
    </w:p>
    <w:p w14:paraId="2676F616" w14:textId="77777777" w:rsidR="00A70FDA" w:rsidRPr="00A70FDA" w:rsidRDefault="00A70FDA" w:rsidP="00A70FDA">
      <w:pPr>
        <w:spacing w:line="240" w:lineRule="auto"/>
        <w:rPr>
          <w:rFonts w:eastAsia="Times New Roman" w:cs="Arial"/>
          <w:color w:val="000000"/>
          <w:u w:val="single"/>
          <w:lang w:eastAsia="bg-BG"/>
        </w:rPr>
      </w:pPr>
    </w:p>
    <w:p w14:paraId="5EFCBEDB" w14:textId="6D746C98"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Протеазни инхибитори</w:t>
      </w:r>
    </w:p>
    <w:p w14:paraId="2132CCC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Наблюдавана е повишена системна експозиция на розувастатин при пациенти, получаващи едновременно розувастатин и различни протеазни инхибитори в комбинация с ритонавир. Трябва да се вземе в предвид както ползата от липидното понижаване при употребата на розувастатин при ХИВ пациенти, получаващи протеазни инхибитори, и възможността за повишаване на плазмената концентрация на розувастатин при започване и повишаване на дозата на розувастатин, при пациенти третирани с протеазни инхибитори. Едновременната употреба с протеазни инхибитори не е препоръчителна, освен след корекция дозата на розувастатин (вж. точка 4.2 и 4.5).</w:t>
      </w:r>
    </w:p>
    <w:p w14:paraId="636E3800" w14:textId="77777777" w:rsidR="00A70FDA" w:rsidRPr="00A70FDA" w:rsidRDefault="00A70FDA" w:rsidP="00A70FDA">
      <w:pPr>
        <w:spacing w:line="240" w:lineRule="auto"/>
        <w:rPr>
          <w:rFonts w:eastAsia="Times New Roman" w:cs="Arial"/>
          <w:color w:val="000000"/>
          <w:u w:val="single"/>
          <w:lang w:eastAsia="bg-BG"/>
        </w:rPr>
      </w:pPr>
    </w:p>
    <w:p w14:paraId="34E59886" w14:textId="3CCB6F00"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Интерстициална белодробна болест</w:t>
      </w:r>
    </w:p>
    <w:p w14:paraId="67191E0D"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могат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статии трябва да бъде преустановена.</w:t>
      </w:r>
    </w:p>
    <w:p w14:paraId="14D51E65" w14:textId="77777777" w:rsidR="00A70FDA" w:rsidRPr="00A70FDA" w:rsidRDefault="00A70FDA" w:rsidP="00A70FDA">
      <w:pPr>
        <w:spacing w:line="240" w:lineRule="auto"/>
        <w:rPr>
          <w:rFonts w:eastAsia="Times New Roman" w:cs="Arial"/>
          <w:color w:val="000000"/>
          <w:u w:val="single"/>
          <w:lang w:eastAsia="bg-BG"/>
        </w:rPr>
      </w:pPr>
    </w:p>
    <w:p w14:paraId="49A2BC9A" w14:textId="1667528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Захарен диабет</w:t>
      </w:r>
    </w:p>
    <w:p w14:paraId="032A3EA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Някои данни показват, че статините са клас лекарства, който повишава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 xml:space="preserve">, </w:t>
      </w:r>
      <w:r w:rsidRPr="00A70FDA">
        <w:rPr>
          <w:rFonts w:eastAsia="Times New Roman" w:cs="Arial"/>
          <w:color w:val="000000"/>
          <w:lang w:eastAsia="bg-BG"/>
        </w:rPr>
        <w:t xml:space="preserve">ИТМ&gt; </w:t>
      </w:r>
      <w:r w:rsidRPr="00A70FDA">
        <w:rPr>
          <w:rFonts w:eastAsia="Times New Roman" w:cs="Arial"/>
          <w:color w:val="000000"/>
          <w:lang w:val="ru-RU"/>
        </w:rPr>
        <w:t>30</w:t>
      </w:r>
      <w:r w:rsidRPr="00A70FDA">
        <w:rPr>
          <w:rFonts w:eastAsia="Times New Roman" w:cs="Arial"/>
          <w:color w:val="000000"/>
          <w:lang w:val="en-US"/>
        </w:rPr>
        <w:t>kg</w:t>
      </w:r>
      <w:r w:rsidRPr="00A70FDA">
        <w:rPr>
          <w:rFonts w:eastAsia="Times New Roman" w:cs="Arial"/>
          <w:color w:val="000000"/>
          <w:lang w:val="ru-RU"/>
        </w:rPr>
        <w:t>/</w:t>
      </w:r>
      <w:r w:rsidRPr="00A70FDA">
        <w:rPr>
          <w:rFonts w:eastAsia="Times New Roman" w:cs="Arial"/>
          <w:color w:val="000000"/>
          <w:lang w:val="en-US"/>
        </w:rPr>
        <w:t>m</w:t>
      </w:r>
      <w:r w:rsidRPr="00A70FDA">
        <w:rPr>
          <w:rFonts w:eastAsia="Times New Roman" w:cs="Arial"/>
          <w:color w:val="000000"/>
          <w:vertAlign w:val="superscript"/>
          <w:lang w:val="ru-RU"/>
        </w:rPr>
        <w:t>2</w:t>
      </w:r>
      <w:r w:rsidRPr="00A70FDA">
        <w:rPr>
          <w:rFonts w:eastAsia="Times New Roman" w:cs="Arial"/>
          <w:color w:val="000000"/>
          <w:lang w:val="ru-RU"/>
        </w:rPr>
        <w:t xml:space="preserve">, </w:t>
      </w:r>
      <w:r w:rsidRPr="00A70FDA">
        <w:rPr>
          <w:rFonts w:eastAsia="Times New Roman" w:cs="Arial"/>
          <w:color w:val="000000"/>
          <w:lang w:eastAsia="bg-BG"/>
        </w:rPr>
        <w:lastRenderedPageBreak/>
        <w:t>повишени триглицериди, хипертония), следва да назначи провеждане на клинични и биохимични изследвания в съответствие с националните ръководства.</w:t>
      </w:r>
    </w:p>
    <w:p w14:paraId="2B4EC535" w14:textId="77777777" w:rsidR="00A70FDA" w:rsidRPr="00A70FDA" w:rsidRDefault="00A70FDA" w:rsidP="00A70FDA">
      <w:pPr>
        <w:spacing w:line="240" w:lineRule="auto"/>
        <w:rPr>
          <w:rFonts w:eastAsia="Times New Roman" w:cs="Arial"/>
          <w:color w:val="000000"/>
          <w:lang w:eastAsia="bg-BG"/>
        </w:rPr>
      </w:pPr>
    </w:p>
    <w:p w14:paraId="06B27D4A" w14:textId="4EFBC20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w:t>
      </w:r>
      <w:r w:rsidRPr="00A70FDA">
        <w:rPr>
          <w:rFonts w:eastAsia="Times New Roman" w:cs="Arial"/>
          <w:color w:val="000000"/>
          <w:lang w:val="en-US"/>
        </w:rPr>
        <w:t>JUPITER</w:t>
      </w:r>
      <w:r w:rsidRPr="00A70FDA">
        <w:rPr>
          <w:rFonts w:eastAsia="Times New Roman" w:cs="Arial"/>
          <w:color w:val="000000"/>
          <w:lang w:val="ru-RU"/>
        </w:rPr>
        <w:t xml:space="preserve">, </w:t>
      </w:r>
      <w:r w:rsidRPr="00A70FDA">
        <w:rPr>
          <w:rFonts w:eastAsia="Times New Roman" w:cs="Arial"/>
          <w:color w:val="000000"/>
          <w:lang w:eastAsia="bg-BG"/>
        </w:rPr>
        <w:t xml:space="preserve">докладваната честота на захарен диабет е 2,8% при розувастатин и 2,3% при плацебо, най-вече при пациенти с глюкоза на гладно 5,6 до 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w:t>
      </w:r>
    </w:p>
    <w:p w14:paraId="28CAF042" w14:textId="77777777" w:rsidR="00A70FDA" w:rsidRPr="00A70FDA" w:rsidRDefault="00A70FDA" w:rsidP="00A70FDA">
      <w:pPr>
        <w:spacing w:line="240" w:lineRule="auto"/>
        <w:rPr>
          <w:rFonts w:eastAsia="Times New Roman" w:cs="Arial"/>
          <w:color w:val="000000"/>
          <w:u w:val="single"/>
          <w:lang w:eastAsia="bg-BG"/>
        </w:rPr>
      </w:pPr>
    </w:p>
    <w:p w14:paraId="087D3397" w14:textId="07F04D1C"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77F2BC9B" w14:textId="0C6FD99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Оценката на линейното израстване (височина), тегло, ИТМ </w:t>
      </w:r>
      <w:r w:rsidRPr="00A70FDA">
        <w:rPr>
          <w:rFonts w:eastAsia="Times New Roman" w:cs="Arial"/>
          <w:color w:val="000000"/>
          <w:lang w:val="ru-RU"/>
        </w:rPr>
        <w:t>(</w:t>
      </w:r>
      <w:r w:rsidRPr="00A70FDA">
        <w:rPr>
          <w:rFonts w:eastAsia="Times New Roman" w:cs="Arial"/>
          <w:color w:val="000000"/>
          <w:lang w:val="en-US"/>
        </w:rPr>
        <w:t>BMI</w:t>
      </w:r>
      <w:r w:rsidRPr="00A70FDA">
        <w:rPr>
          <w:rFonts w:eastAsia="Times New Roman" w:cs="Arial"/>
          <w:color w:val="000000"/>
          <w:lang w:val="ru-RU"/>
        </w:rPr>
        <w:t xml:space="preserve"> </w:t>
      </w:r>
      <w:r w:rsidRPr="00A70FDA">
        <w:rPr>
          <w:rFonts w:eastAsia="Times New Roman" w:cs="Arial"/>
          <w:color w:val="000000"/>
          <w:lang w:eastAsia="bg-BG"/>
        </w:rPr>
        <w:t xml:space="preserve">-индекс на телесна маса), и вторичните полови белези на половото съзряване по скалата на </w:t>
      </w:r>
      <w:r w:rsidRPr="00A70FDA">
        <w:rPr>
          <w:rFonts w:eastAsia="Times New Roman" w:cs="Arial"/>
          <w:color w:val="000000"/>
          <w:lang w:val="en-US"/>
        </w:rPr>
        <w:t>Tanner</w:t>
      </w:r>
      <w:r w:rsidRPr="00A70FDA">
        <w:rPr>
          <w:rFonts w:eastAsia="Times New Roman" w:cs="Arial"/>
          <w:color w:val="000000"/>
          <w:lang w:val="ru-RU"/>
        </w:rPr>
        <w:t xml:space="preserve"> </w:t>
      </w:r>
      <w:r w:rsidRPr="00A70FDA">
        <w:rPr>
          <w:rFonts w:eastAsia="Times New Roman" w:cs="Arial"/>
          <w:color w:val="000000"/>
          <w:lang w:eastAsia="bg-BG"/>
        </w:rPr>
        <w:t>при педиатрични</w:t>
      </w:r>
      <w:r w:rsidRPr="00A70FDA">
        <w:rPr>
          <w:rFonts w:eastAsia="Times New Roman" w:cs="Arial"/>
          <w:i/>
          <w:iCs/>
          <w:color w:val="000000"/>
          <w:lang w:eastAsia="bg-BG"/>
        </w:rPr>
        <w:t xml:space="preserve"> </w:t>
      </w:r>
      <w:r w:rsidRPr="00A70FDA">
        <w:rPr>
          <w:rFonts w:eastAsia="Times New Roman" w:cs="Arial"/>
          <w:color w:val="000000"/>
          <w:lang w:eastAsia="bg-BG"/>
        </w:rPr>
        <w:t>пациенти от 6- до 17-годишна възраст, приемащи розувастатин, се ограничава до двугодишен период. След две години третиране по време на проучването, не е забелязан никакъв ефект върху растежа, теглото, ИТМ или половото съзряване (вж. раздел 5.1)</w:t>
      </w:r>
    </w:p>
    <w:p w14:paraId="39FB1F84" w14:textId="71F4E47D" w:rsidR="00A70FDA" w:rsidRPr="00A70FDA" w:rsidRDefault="00A70FDA" w:rsidP="00A70FDA">
      <w:pPr>
        <w:spacing w:line="240" w:lineRule="auto"/>
        <w:rPr>
          <w:rFonts w:eastAsia="Times New Roman" w:cs="Arial"/>
          <w:color w:val="000000"/>
          <w:lang w:eastAsia="bg-BG"/>
        </w:rPr>
      </w:pPr>
    </w:p>
    <w:p w14:paraId="5D1C2C3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клинично проучване на деца и юноши, приемащи розувастатин в продължение на 52 седмици, повишаване на СК &gt; 10</w:t>
      </w:r>
      <w:r w:rsidRPr="00A70FDA">
        <w:rPr>
          <w:rFonts w:eastAsia="Times New Roman" w:cs="Arial"/>
          <w:color w:val="000000"/>
          <w:lang w:val="en-US"/>
        </w:rPr>
        <w:t>xULN</w:t>
      </w:r>
      <w:r w:rsidRPr="00A70FDA">
        <w:rPr>
          <w:rFonts w:eastAsia="Times New Roman" w:cs="Arial"/>
          <w:color w:val="000000"/>
          <w:lang w:val="ru-RU"/>
        </w:rPr>
        <w:t xml:space="preserve"> </w:t>
      </w:r>
      <w:r w:rsidRPr="00A70FDA">
        <w:rPr>
          <w:rFonts w:eastAsia="Times New Roman" w:cs="Arial"/>
          <w:color w:val="000000"/>
          <w:lang w:eastAsia="bg-BG"/>
        </w:rPr>
        <w:t>и мускулни симптоми след упражнения или повишена физическа активност са наблюдавани по-често в сравнение с наблюдения от клинични проучвания при възрастни (вж. точка 4.8),</w:t>
      </w:r>
    </w:p>
    <w:p w14:paraId="1979756F" w14:textId="77777777" w:rsidR="00A70FDA" w:rsidRPr="00A70FDA" w:rsidRDefault="00A70FDA" w:rsidP="00A70FDA">
      <w:pPr>
        <w:spacing w:line="240" w:lineRule="auto"/>
        <w:rPr>
          <w:rFonts w:eastAsia="Times New Roman" w:cs="Arial"/>
          <w:color w:val="000000"/>
          <w:u w:val="single"/>
          <w:lang w:eastAsia="bg-BG"/>
        </w:rPr>
      </w:pPr>
    </w:p>
    <w:p w14:paraId="1CD8B8A2" w14:textId="15272314"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Тежки кожни нежелани реакции</w:t>
      </w:r>
    </w:p>
    <w:p w14:paraId="412FEE5A"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лечение е розувастатин се съобщава за тежки кожни нежелани реакции, включващи синдром на </w:t>
      </w:r>
      <w:r w:rsidRPr="00A70FDA">
        <w:rPr>
          <w:rFonts w:eastAsia="Times New Roman" w:cs="Arial"/>
          <w:color w:val="000000"/>
          <w:lang w:val="en-US"/>
        </w:rPr>
        <w:t>Stevens</w:t>
      </w:r>
      <w:r w:rsidRPr="00A70FDA">
        <w:rPr>
          <w:rFonts w:eastAsia="Times New Roman" w:cs="Arial"/>
          <w:color w:val="000000"/>
          <w:lang w:val="ru-RU"/>
        </w:rPr>
        <w:t xml:space="preserve"> </w:t>
      </w:r>
      <w:r w:rsidRPr="00A70FDA">
        <w:rPr>
          <w:rFonts w:eastAsia="Times New Roman" w:cs="Arial"/>
          <w:color w:val="000000"/>
          <w:lang w:val="en-US"/>
        </w:rPr>
        <w:t>Johnson</w:t>
      </w:r>
      <w:r w:rsidRPr="00A70FDA">
        <w:rPr>
          <w:rFonts w:eastAsia="Times New Roman" w:cs="Arial"/>
          <w:color w:val="000000"/>
          <w:lang w:val="ru-RU"/>
        </w:rPr>
        <w:t xml:space="preserve">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 лекарствена реакция с еозинофилия и системни симптоми </w:t>
      </w:r>
      <w:r w:rsidRPr="00A70FDA">
        <w:rPr>
          <w:rFonts w:eastAsia="Times New Roman" w:cs="Arial"/>
          <w:color w:val="000000"/>
          <w:lang w:val="ru-RU"/>
        </w:rPr>
        <w:t>(</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Розвера трябва незабавно да се преустанови и да се обмисли алтернативно лечение.</w:t>
      </w:r>
    </w:p>
    <w:p w14:paraId="46E45FFF" w14:textId="77777777" w:rsidR="00A70FDA" w:rsidRPr="00A70FDA" w:rsidRDefault="00A70FDA" w:rsidP="00A70FDA">
      <w:pPr>
        <w:spacing w:line="240" w:lineRule="auto"/>
        <w:rPr>
          <w:rFonts w:eastAsia="Times New Roman" w:cs="Arial"/>
          <w:color w:val="000000"/>
          <w:lang w:eastAsia="bg-BG"/>
        </w:rPr>
      </w:pPr>
    </w:p>
    <w:p w14:paraId="66D7C1D1" w14:textId="639ADB8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Ако пациентът е развил сериозна реакция, като например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или </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при употребата на Розвера, лечението с Розвера не трябва никога да се подновява при този пациент.</w:t>
      </w:r>
    </w:p>
    <w:p w14:paraId="36C25261" w14:textId="77777777" w:rsidR="00A70FDA" w:rsidRPr="00A70FDA" w:rsidRDefault="00A70FDA" w:rsidP="00A70FDA">
      <w:pPr>
        <w:spacing w:line="240" w:lineRule="auto"/>
        <w:rPr>
          <w:rFonts w:eastAsia="Times New Roman" w:cs="Arial"/>
          <w:color w:val="000000"/>
          <w:lang w:eastAsia="bg-BG"/>
        </w:rPr>
      </w:pPr>
    </w:p>
    <w:p w14:paraId="7E3367EE" w14:textId="42439BF1"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филмирани таблетки съдържат лактоза. Пациенти е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69962E68" w14:textId="50379B3A" w:rsidR="00A70FDA" w:rsidRPr="00A70FDA" w:rsidRDefault="00A70FDA" w:rsidP="00A70FDA"/>
    <w:p w14:paraId="0734264C" w14:textId="725C0500"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4F38C703" w14:textId="004AD172" w:rsidR="00A70FDA" w:rsidRDefault="00A70FDA" w:rsidP="00A70FDA"/>
    <w:p w14:paraId="112D1BF4"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Ефект на други лекарствени продукти върху розувастатин при едновременния им прием</w:t>
      </w:r>
    </w:p>
    <w:p w14:paraId="118471CE" w14:textId="77777777" w:rsidR="00A70FDA" w:rsidRPr="006C600B" w:rsidRDefault="00A70FDA" w:rsidP="00A70FDA">
      <w:pPr>
        <w:spacing w:line="240" w:lineRule="auto"/>
        <w:rPr>
          <w:rFonts w:eastAsia="Times New Roman" w:cs="Arial"/>
          <w:i/>
          <w:iCs/>
          <w:color w:val="000000"/>
          <w:lang w:eastAsia="bg-BG"/>
        </w:rPr>
      </w:pPr>
    </w:p>
    <w:p w14:paraId="0A9620E8" w14:textId="00C14519"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Инхибитори на транспортните протеини:</w:t>
      </w:r>
      <w:r w:rsidRPr="00A70FDA">
        <w:rPr>
          <w:rFonts w:eastAsia="Times New Roman" w:cs="Arial"/>
          <w:color w:val="000000"/>
          <w:lang w:eastAsia="bg-BG"/>
        </w:rPr>
        <w:t xml:space="preserve"> Розувастатин е субстрат на определени транспортни протеини, включително транспортер на чернодробното захващане ОАТР1В1 и ефлуксен транспортер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Едновременното приложение на розувастатин с лекарствени продукти, които са инхибитори на тези транспортни протеини може да има за резултат повишаване на плазмената концентрация на розувастатин и повишен риск от миопатия (вж. точка 4.2, 4.4 и 4.5 Таблица 1).</w:t>
      </w:r>
    </w:p>
    <w:p w14:paraId="47816E91" w14:textId="77777777" w:rsidR="00A70FDA" w:rsidRPr="006C600B" w:rsidRDefault="00A70FDA" w:rsidP="00A70FDA">
      <w:pPr>
        <w:spacing w:line="240" w:lineRule="auto"/>
        <w:rPr>
          <w:rFonts w:eastAsia="Times New Roman" w:cs="Arial"/>
          <w:i/>
          <w:iCs/>
          <w:color w:val="000000"/>
          <w:lang w:eastAsia="bg-BG"/>
        </w:rPr>
      </w:pPr>
    </w:p>
    <w:p w14:paraId="3C791FC6" w14:textId="210E9546"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Циклоспорин</w:t>
      </w:r>
    </w:p>
    <w:p w14:paraId="0DC4D15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 xml:space="preserve">При едновременното приложение на розувастатин с циклоспорин средните стойности на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са били средно 7 пъти по-високи от тези, наблюдавани при здрави доброволци (вж. таблица 1). Розувастатин е противопоказан при пациенти получаващи едновременно циклоспорин (вж, точка 4.3). Едновременният прием не повлиява плазмената концентрация на циклоспорин.</w:t>
      </w:r>
    </w:p>
    <w:p w14:paraId="5C235B3F" w14:textId="77777777" w:rsidR="00A70FDA" w:rsidRPr="006C600B" w:rsidRDefault="00A70FDA" w:rsidP="00A70FDA">
      <w:pPr>
        <w:spacing w:line="240" w:lineRule="auto"/>
        <w:rPr>
          <w:rFonts w:eastAsia="Times New Roman" w:cs="Arial"/>
          <w:i/>
          <w:iCs/>
          <w:color w:val="000000"/>
          <w:lang w:eastAsia="bg-BG"/>
        </w:rPr>
      </w:pPr>
    </w:p>
    <w:p w14:paraId="529EB07F" w14:textId="4B7B817C"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Протеазни инхибитори</w:t>
      </w:r>
    </w:p>
    <w:p w14:paraId="2CE5C81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Въпреки, неточният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 Таблица 1). Едновременното приложение на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розувастатин и комбиниран продукт, състоящ се от два протеазни инхибитора (300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атазанавир/100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ритонавир) при здрави доброволци се асоциира с приблизително три- и седем пъти нарастване в равновесните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и С</w:t>
      </w:r>
      <w:r w:rsidRPr="00A70FDA">
        <w:rPr>
          <w:rFonts w:eastAsia="Times New Roman" w:cs="Arial"/>
          <w:color w:val="000000"/>
          <w:vertAlign w:val="subscript"/>
          <w:lang w:val="en-US"/>
        </w:rPr>
        <w:t>max</w:t>
      </w:r>
      <w:r w:rsidRPr="00A70FDA">
        <w:rPr>
          <w:rFonts w:eastAsia="Times New Roman" w:cs="Arial"/>
          <w:color w:val="000000"/>
          <w:vertAlign w:val="subscript"/>
          <w:lang w:eastAsia="bg-BG"/>
        </w:rPr>
        <w:t xml:space="preserve"> </w:t>
      </w:r>
      <w:r w:rsidRPr="00A70FDA">
        <w:rPr>
          <w:rFonts w:eastAsia="Times New Roman" w:cs="Arial"/>
          <w:color w:val="000000"/>
          <w:lang w:eastAsia="bg-BG"/>
        </w:rPr>
        <w:t>респективно. Едновременната употреба на розувастатин с някои комбинирани протеазни инхибитори може да се има в предвид след внимателна преценка на дозата на розувастатин, базирана на очаквано повишение на експозицията на розувастатин (вж. точки 4.2, 4.4 и 4.5 Таблица 1).</w:t>
      </w:r>
    </w:p>
    <w:p w14:paraId="185184B1" w14:textId="77777777" w:rsidR="00A70FDA" w:rsidRPr="006C600B" w:rsidRDefault="00A70FDA" w:rsidP="00A70FDA">
      <w:pPr>
        <w:spacing w:line="240" w:lineRule="auto"/>
        <w:rPr>
          <w:rFonts w:eastAsia="Times New Roman" w:cs="Arial"/>
          <w:i/>
          <w:iCs/>
          <w:color w:val="000000"/>
          <w:lang w:eastAsia="bg-BG"/>
        </w:rPr>
      </w:pPr>
    </w:p>
    <w:p w14:paraId="0639C691" w14:textId="53705AA0"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Гемфиброзил и други липидопонижавагци продукти</w:t>
      </w:r>
    </w:p>
    <w:p w14:paraId="115A0EAB" w14:textId="77777777" w:rsidR="00A70FDA" w:rsidRPr="006C600B"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Едновременното приложение на розувастатин и гемфиброзил е довело до двукратно повишение на </w:t>
      </w:r>
    </w:p>
    <w:p w14:paraId="71836298" w14:textId="0A5C489B"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С </w:t>
      </w:r>
      <w:r w:rsidRPr="00A70FDA">
        <w:rPr>
          <w:rFonts w:eastAsia="Times New Roman" w:cs="Arial"/>
          <w:color w:val="000000"/>
          <w:lang w:val="en-US"/>
        </w:rPr>
        <w:t>max</w:t>
      </w:r>
      <w:r w:rsidRPr="00A70FDA">
        <w:rPr>
          <w:rFonts w:eastAsia="Times New Roman" w:cs="Arial"/>
          <w:color w:val="000000"/>
          <w:lang w:val="ru-RU"/>
        </w:rPr>
        <w:t xml:space="preserve"> </w:t>
      </w:r>
      <w:r w:rsidRPr="00A70FDA">
        <w:rPr>
          <w:rFonts w:eastAsia="Times New Roman" w:cs="Arial"/>
          <w:color w:val="000000"/>
          <w:lang w:eastAsia="bg-BG"/>
        </w:rPr>
        <w:t xml:space="preserve">и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397AC114" w14:textId="77777777" w:rsidR="00A70FDA" w:rsidRPr="006C600B" w:rsidRDefault="00A70FDA" w:rsidP="00A70FDA">
      <w:pPr>
        <w:rPr>
          <w:rFonts w:eastAsia="Times New Roman" w:cs="Arial"/>
          <w:color w:val="000000"/>
          <w:lang w:eastAsia="bg-BG"/>
        </w:rPr>
      </w:pPr>
    </w:p>
    <w:p w14:paraId="5151BFEE" w14:textId="397BC90B" w:rsidR="00A70FDA" w:rsidRPr="006C600B" w:rsidRDefault="00A70FDA" w:rsidP="00A70FDA">
      <w:pPr>
        <w:rPr>
          <w:rFonts w:eastAsia="Times New Roman" w:cs="Arial"/>
          <w:color w:val="000000"/>
          <w:lang w:eastAsia="bg-BG"/>
        </w:rPr>
      </w:pPr>
      <w:r w:rsidRPr="006C600B">
        <w:rPr>
          <w:rFonts w:eastAsia="Times New Roman" w:cs="Arial"/>
          <w:color w:val="000000"/>
          <w:lang w:eastAsia="bg-BG"/>
        </w:rPr>
        <w:t>Данните от специфичните проучвания, изследващи лекарствените взаимодействия не показват взаимодействие с фенофибрат, но е възможна поява на фармакодинамични взаимодействия</w:t>
      </w:r>
      <w:r w:rsidR="006C600B" w:rsidRPr="006C600B">
        <w:rPr>
          <w:rFonts w:eastAsia="Times New Roman" w:cs="Arial"/>
          <w:color w:val="000000"/>
          <w:lang w:eastAsia="bg-BG"/>
        </w:rPr>
        <w:t>.</w:t>
      </w:r>
    </w:p>
    <w:p w14:paraId="5CDC6EA8" w14:textId="0F8DFDB3" w:rsidR="006C600B" w:rsidRPr="006C600B" w:rsidRDefault="006C600B" w:rsidP="00A70FDA">
      <w:pPr>
        <w:rPr>
          <w:rFonts w:eastAsia="Times New Roman" w:cs="Arial"/>
          <w:color w:val="000000"/>
          <w:lang w:eastAsia="bg-BG"/>
        </w:rPr>
      </w:pPr>
    </w:p>
    <w:p w14:paraId="10DCDF8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Гемфиброзил, фенофибрат, други фибрати и липи до-понижаващите дози (по-високи или равни на 1 </w:t>
      </w:r>
      <w:r w:rsidRPr="006C600B">
        <w:rPr>
          <w:rFonts w:eastAsia="Times New Roman" w:cs="Arial"/>
          <w:color w:val="000000"/>
          <w:lang w:val="en-US"/>
        </w:rPr>
        <w:t>g</w:t>
      </w:r>
      <w:r w:rsidRPr="006C600B">
        <w:rPr>
          <w:rFonts w:eastAsia="Times New Roman" w:cs="Arial"/>
          <w:color w:val="000000"/>
          <w:lang w:eastAsia="bg-BG"/>
        </w:rPr>
        <w:t xml:space="preserve">/ден) на ниацин (никотинова киселина) повишават риска от поява на миопатия при комбиниране с </w:t>
      </w:r>
      <w:r w:rsidRPr="006C600B">
        <w:rPr>
          <w:rFonts w:eastAsia="Times New Roman" w:cs="Arial"/>
          <w:color w:val="000000"/>
          <w:lang w:val="en-US"/>
        </w:rPr>
        <w:t>HMG</w:t>
      </w:r>
      <w:r w:rsidRPr="006C600B">
        <w:rPr>
          <w:rFonts w:eastAsia="Times New Roman" w:cs="Arial"/>
          <w:color w:val="000000"/>
          <w:lang w:val="ru-RU"/>
        </w:rPr>
        <w:t>-</w:t>
      </w:r>
      <w:r w:rsidRPr="006C600B">
        <w:rPr>
          <w:rFonts w:eastAsia="Times New Roman" w:cs="Arial"/>
          <w:color w:val="000000"/>
          <w:lang w:val="en-US"/>
        </w:rPr>
        <w:t>CoA</w:t>
      </w:r>
      <w:r w:rsidRPr="006C600B">
        <w:rPr>
          <w:rFonts w:eastAsia="Times New Roman" w:cs="Arial"/>
          <w:color w:val="000000"/>
          <w:lang w:val="ru-RU"/>
        </w:rPr>
        <w:t xml:space="preserve"> </w:t>
      </w:r>
      <w:r w:rsidRPr="006C600B">
        <w:rPr>
          <w:rFonts w:eastAsia="Times New Roman" w:cs="Arial"/>
          <w:color w:val="000000"/>
          <w:lang w:eastAsia="bg-BG"/>
        </w:rPr>
        <w:t xml:space="preserve">редуктазни инхибитори, най-вероятно поради факта, че последните могат да предизвикат миопатия и при монотерапия. Дозите от 30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и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са противопоказани при едновременен прием на фибрати (вж. точка 4,3 и точка 4.4). При тези пациенти лечението също трябва да започне с 5 </w:t>
      </w:r>
      <w:r w:rsidRPr="006C600B">
        <w:rPr>
          <w:rFonts w:eastAsia="Times New Roman" w:cs="Arial"/>
          <w:color w:val="000000"/>
          <w:lang w:val="en-US"/>
        </w:rPr>
        <w:t>mg</w:t>
      </w:r>
      <w:r w:rsidRPr="006C600B">
        <w:rPr>
          <w:rFonts w:eastAsia="Times New Roman" w:cs="Arial"/>
          <w:color w:val="000000"/>
          <w:lang w:val="ru-RU"/>
        </w:rPr>
        <w:t>.</w:t>
      </w:r>
    </w:p>
    <w:p w14:paraId="5FF33616" w14:textId="77777777" w:rsidR="006C600B" w:rsidRPr="006C600B" w:rsidRDefault="006C600B" w:rsidP="006C600B">
      <w:pPr>
        <w:spacing w:line="240" w:lineRule="auto"/>
        <w:rPr>
          <w:rFonts w:eastAsia="Times New Roman" w:cs="Arial"/>
          <w:i/>
          <w:iCs/>
          <w:color w:val="000000"/>
          <w:lang w:eastAsia="bg-BG"/>
        </w:rPr>
      </w:pPr>
    </w:p>
    <w:p w14:paraId="0478B28A" w14:textId="6EA58BDB"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Езетимиб</w:t>
      </w:r>
    </w:p>
    <w:p w14:paraId="2565FFD9"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Едновременната употреба на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розувастатин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езетимиб има за резултат 1,2 пъти увеличение на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на розувастатин при хиперхолестеролемични пациенти (Таблица 1). Въпреки това, фармакодинамични взаимодействия, определени като нежелани реакции, между розувастатин и езетимиб не могат да бъдат изключени (вж. точка 4.4).</w:t>
      </w:r>
    </w:p>
    <w:p w14:paraId="05138BC7" w14:textId="77777777" w:rsidR="006C600B" w:rsidRPr="006C600B" w:rsidRDefault="006C600B" w:rsidP="006C600B">
      <w:pPr>
        <w:spacing w:line="240" w:lineRule="auto"/>
        <w:rPr>
          <w:rFonts w:eastAsia="Times New Roman" w:cs="Arial"/>
          <w:i/>
          <w:iCs/>
          <w:color w:val="000000"/>
          <w:lang w:eastAsia="bg-BG"/>
        </w:rPr>
      </w:pPr>
    </w:p>
    <w:p w14:paraId="5514E5A6" w14:textId="106EC8A1"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Антиациди</w:t>
      </w:r>
    </w:p>
    <w:p w14:paraId="1DBAE587"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Розвера. Клиничното значение на това взаимодействие не е изследвано.</w:t>
      </w:r>
    </w:p>
    <w:p w14:paraId="68F883BC" w14:textId="77777777" w:rsidR="006C600B" w:rsidRPr="006C600B" w:rsidRDefault="006C600B" w:rsidP="006C600B">
      <w:pPr>
        <w:spacing w:line="240" w:lineRule="auto"/>
        <w:rPr>
          <w:rFonts w:eastAsia="Times New Roman" w:cs="Arial"/>
          <w:i/>
          <w:iCs/>
          <w:color w:val="000000"/>
          <w:lang w:eastAsia="bg-BG"/>
        </w:rPr>
      </w:pPr>
    </w:p>
    <w:p w14:paraId="260425D1" w14:textId="59E6091D"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Еритром ицин</w:t>
      </w:r>
    </w:p>
    <w:p w14:paraId="082B7821"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Едновременният прием на розувастатин и еритромицин е довел до 20% намаление на </w:t>
      </w:r>
      <w:r w:rsidRPr="006C600B">
        <w:rPr>
          <w:rFonts w:eastAsia="Times New Roman" w:cs="Arial"/>
          <w:color w:val="000000"/>
          <w:lang w:val="en-US"/>
        </w:rPr>
        <w:t>AUC</w:t>
      </w:r>
      <w:r w:rsidRPr="006C600B">
        <w:rPr>
          <w:rFonts w:eastAsia="Times New Roman" w:cs="Arial"/>
          <w:color w:val="000000"/>
          <w:vertAlign w:val="subscript"/>
          <w:lang w:val="ru-RU"/>
        </w:rPr>
        <w:t>(0-</w:t>
      </w:r>
      <w:r w:rsidRPr="006C600B">
        <w:rPr>
          <w:rFonts w:eastAsia="Times New Roman" w:cs="Arial"/>
          <w:color w:val="000000"/>
          <w:vertAlign w:val="subscript"/>
          <w:lang w:val="en-US"/>
        </w:rPr>
        <w:t>t</w:t>
      </w:r>
      <w:r w:rsidRPr="006C600B">
        <w:rPr>
          <w:rFonts w:eastAsia="Times New Roman" w:cs="Arial"/>
          <w:color w:val="000000"/>
          <w:vertAlign w:val="subscript"/>
          <w:lang w:val="ru-RU"/>
        </w:rPr>
        <w:t>)</w:t>
      </w:r>
      <w:r w:rsidRPr="006C600B">
        <w:rPr>
          <w:rFonts w:eastAsia="Times New Roman" w:cs="Arial"/>
          <w:color w:val="000000"/>
          <w:lang w:val="ru-RU"/>
        </w:rPr>
        <w:t xml:space="preserve"> </w:t>
      </w:r>
      <w:r w:rsidRPr="006C600B">
        <w:rPr>
          <w:rFonts w:eastAsia="Times New Roman" w:cs="Arial"/>
          <w:color w:val="000000"/>
          <w:lang w:eastAsia="bg-BG"/>
        </w:rPr>
        <w:t>и 30% намаление на С</w:t>
      </w:r>
      <w:r w:rsidRPr="006C600B">
        <w:rPr>
          <w:rFonts w:eastAsia="Times New Roman" w:cs="Arial"/>
          <w:color w:val="000000"/>
          <w:vertAlign w:val="subscript"/>
          <w:lang w:val="en-US"/>
        </w:rPr>
        <w:t>max</w:t>
      </w:r>
      <w:r w:rsidRPr="006C600B">
        <w:rPr>
          <w:rFonts w:eastAsia="Times New Roman" w:cs="Arial"/>
          <w:color w:val="000000"/>
          <w:lang w:eastAsia="bg-BG"/>
        </w:rPr>
        <w:t xml:space="preserve"> на розувастатин. Взаимодействието може да е </w:t>
      </w:r>
      <w:r w:rsidRPr="006C600B">
        <w:rPr>
          <w:rFonts w:eastAsia="Times New Roman" w:cs="Arial"/>
          <w:color w:val="000000"/>
          <w:lang w:eastAsia="bg-BG"/>
        </w:rPr>
        <w:lastRenderedPageBreak/>
        <w:t>предизвикано от повишения чревен мотилитет вследствие на приемането на еритромицин.</w:t>
      </w:r>
    </w:p>
    <w:p w14:paraId="350E6736" w14:textId="77777777" w:rsidR="006C600B" w:rsidRPr="006C600B" w:rsidRDefault="006C600B" w:rsidP="006C600B">
      <w:pPr>
        <w:spacing w:line="240" w:lineRule="auto"/>
        <w:rPr>
          <w:rFonts w:eastAsia="Times New Roman" w:cs="Arial"/>
          <w:i/>
          <w:iCs/>
          <w:color w:val="000000"/>
          <w:lang w:eastAsia="bg-BG"/>
        </w:rPr>
      </w:pPr>
    </w:p>
    <w:p w14:paraId="06AC3C1E" w14:textId="20E2BA36"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Ензими от системата на цитохром Р450</w:t>
      </w:r>
    </w:p>
    <w:p w14:paraId="188B123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Данните от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vitro</w:t>
      </w:r>
      <w:r w:rsidRPr="006C600B">
        <w:rPr>
          <w:rFonts w:eastAsia="Times New Roman" w:cs="Arial"/>
          <w:color w:val="000000"/>
          <w:lang w:val="ru-RU"/>
        </w:rPr>
        <w:t xml:space="preserve"> </w:t>
      </w:r>
      <w:r w:rsidRPr="006C600B">
        <w:rPr>
          <w:rFonts w:eastAsia="Times New Roman" w:cs="Arial"/>
          <w:color w:val="000000"/>
          <w:lang w:eastAsia="bg-BG"/>
        </w:rPr>
        <w:t xml:space="preserve">и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vivo</w:t>
      </w:r>
      <w:r w:rsidRPr="006C600B">
        <w:rPr>
          <w:rFonts w:eastAsia="Times New Roman" w:cs="Arial"/>
          <w:color w:val="000000"/>
          <w:lang w:val="ru-RU"/>
        </w:rPr>
        <w:t xml:space="preserve"> </w:t>
      </w:r>
      <w:r w:rsidRPr="006C600B">
        <w:rPr>
          <w:rFonts w:eastAsia="Times New Roman" w:cs="Arial"/>
          <w:color w:val="000000"/>
          <w:lang w:eastAsia="bg-BG"/>
        </w:rPr>
        <w:t>проучвания показват, че розувастатин не е нито инхибитор, нито индуктор на цитохром Р450 изоензимите. Освен това, розувастатин е слаб субстрат за тези изоензими. Следователно, не се очакват лекарствени взаимодействия като резултат от цитохром Р450-медииран метаболизъм. Не са наблюдавани клинично значими взаимодействия между розувастатин и флуконазол (инхибитор на СУР2С9 и СУРЗА4) или кетоконазол (инхибитор на СУР2А6 и СУРЗА4).</w:t>
      </w:r>
    </w:p>
    <w:p w14:paraId="2CE033F5" w14:textId="77777777" w:rsidR="006C600B" w:rsidRPr="006C600B" w:rsidRDefault="006C600B" w:rsidP="006C600B">
      <w:pPr>
        <w:spacing w:line="240" w:lineRule="auto"/>
        <w:rPr>
          <w:rFonts w:eastAsia="Times New Roman" w:cs="Arial"/>
          <w:i/>
          <w:iCs/>
          <w:color w:val="000000"/>
          <w:lang w:eastAsia="bg-BG"/>
        </w:rPr>
      </w:pPr>
    </w:p>
    <w:p w14:paraId="2A473847" w14:textId="049A41F0"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 xml:space="preserve">Взаимодействия, изискващи корекция на дозата нарозувастатин (вж. също Таблица 1): </w:t>
      </w:r>
      <w:r w:rsidRPr="006C600B">
        <w:rPr>
          <w:rFonts w:eastAsia="Times New Roman" w:cs="Arial"/>
          <w:color w:val="000000"/>
          <w:lang w:eastAsia="bg-BG"/>
        </w:rPr>
        <w:t xml:space="preserve">Когато е необходим едновременен прием на розувастатин с други лекарствени продукти, за които е известно, че увеличават експозицията на розувастатин, дозата на розувастатин трябва да се коригира. Необходимо е да се започне с доза 5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веднъж дневно розувастатин, ако очакваното повишаване на експозицията </w:t>
      </w:r>
      <w:r w:rsidRPr="006C600B">
        <w:rPr>
          <w:rFonts w:eastAsia="Times New Roman" w:cs="Arial"/>
          <w:color w:val="000000"/>
          <w:lang w:val="ru-RU"/>
        </w:rPr>
        <w:t>(</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е приблизително двукратно или по-голямо. Максималната дневна доза на розувастатин трябва да бъде коригирана така, че очакваната експозиция на розувастатин няма да превишава съответстващата от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дневна доза розувастатин, приета без взаимодействащи лекарствени продукти, като например 20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доза от розувастатин с гемифиброзил (1,9 пъти увеличение),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доза от розувастатин с комбинация от атазанавир/ритонавир (3,1 пъти увеличение).</w:t>
      </w:r>
    </w:p>
    <w:p w14:paraId="26548A1C" w14:textId="77777777" w:rsidR="006C600B" w:rsidRPr="006C600B" w:rsidRDefault="006C600B" w:rsidP="006C600B">
      <w:pPr>
        <w:spacing w:line="240" w:lineRule="auto"/>
        <w:rPr>
          <w:rFonts w:eastAsia="Times New Roman" w:cs="Arial"/>
          <w:i/>
          <w:iCs/>
          <w:color w:val="000000"/>
          <w:lang w:eastAsia="bg-BG"/>
        </w:rPr>
      </w:pPr>
    </w:p>
    <w:p w14:paraId="0946C347" w14:textId="30361872"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Тикагрелор:</w:t>
      </w:r>
      <w:r w:rsidRPr="006C600B">
        <w:rPr>
          <w:rFonts w:eastAsia="Times New Roman" w:cs="Arial"/>
          <w:color w:val="000000"/>
          <w:lang w:eastAsia="bg-BG"/>
        </w:rPr>
        <w:t xml:space="preserve"> Тикагрелор може да повлияе бъбречната екскреция на розувастатин, увеличавайки риска от кумулиране на розувастатин. Въпреки че точният механизъм не е известен, в някои случаи едновременното приложение на тикагрелор и розувастатин води до намаляване на бъбречната функция, повишено ниво на СРК и рабдомиолиза.</w:t>
      </w:r>
    </w:p>
    <w:p w14:paraId="6B46F470" w14:textId="77777777" w:rsidR="006C600B" w:rsidRPr="006C600B" w:rsidRDefault="006C600B" w:rsidP="006C600B">
      <w:pPr>
        <w:spacing w:line="240" w:lineRule="auto"/>
        <w:rPr>
          <w:rFonts w:eastAsia="Times New Roman" w:cs="Arial"/>
          <w:color w:val="000000"/>
          <w:lang w:eastAsia="bg-BG"/>
        </w:rPr>
      </w:pPr>
    </w:p>
    <w:p w14:paraId="7ABE3934" w14:textId="1C1C68FF" w:rsidR="006C600B" w:rsidRPr="006C600B" w:rsidRDefault="006C600B" w:rsidP="006C600B">
      <w:pPr>
        <w:spacing w:line="240" w:lineRule="auto"/>
        <w:rPr>
          <w:rFonts w:eastAsia="Times New Roman" w:cs="Arial"/>
          <w:color w:val="000000"/>
          <w:lang w:val="ru-RU"/>
        </w:rPr>
      </w:pPr>
      <w:r w:rsidRPr="006C600B">
        <w:rPr>
          <w:rFonts w:eastAsia="Times New Roman" w:cs="Arial"/>
          <w:color w:val="000000"/>
          <w:lang w:eastAsia="bg-BG"/>
        </w:rPr>
        <w:t xml:space="preserve">Ако за лекарствен продукт се наблюдава, че повишава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на розувастатин по-малко от 2 пъти, началната доза не трябва да се намалява, но трябва да се внимава, ако дозата на розувастатин се увеличи над 20 </w:t>
      </w:r>
      <w:r w:rsidRPr="006C600B">
        <w:rPr>
          <w:rFonts w:eastAsia="Times New Roman" w:cs="Arial"/>
          <w:color w:val="000000"/>
          <w:lang w:val="en-US"/>
        </w:rPr>
        <w:t>mg</w:t>
      </w:r>
      <w:r w:rsidRPr="006C600B">
        <w:rPr>
          <w:rFonts w:eastAsia="Times New Roman" w:cs="Arial"/>
          <w:color w:val="000000"/>
          <w:lang w:val="ru-RU"/>
        </w:rPr>
        <w:t>.</w:t>
      </w:r>
    </w:p>
    <w:p w14:paraId="08F4BF4E" w14:textId="305BBD72" w:rsidR="006C600B" w:rsidRPr="006C600B" w:rsidRDefault="006C600B" w:rsidP="006C600B">
      <w:pPr>
        <w:spacing w:line="240" w:lineRule="auto"/>
        <w:rPr>
          <w:rFonts w:eastAsia="Times New Roman" w:cs="Arial"/>
          <w:color w:val="000000"/>
          <w:lang w:val="ru-RU"/>
        </w:rPr>
      </w:pPr>
    </w:p>
    <w:p w14:paraId="4A7F9B66" w14:textId="26789212" w:rsidR="006C600B" w:rsidRPr="006C600B" w:rsidRDefault="006C600B" w:rsidP="006C600B">
      <w:pPr>
        <w:spacing w:line="240" w:lineRule="auto"/>
        <w:rPr>
          <w:rFonts w:eastAsia="Times New Roman" w:cs="Arial"/>
          <w:sz w:val="24"/>
          <w:szCs w:val="24"/>
        </w:rPr>
      </w:pPr>
      <w:r w:rsidRPr="006C600B">
        <w:rPr>
          <w:rFonts w:cs="Arial"/>
        </w:rPr>
        <w:t xml:space="preserve">Таблица 1. Ефект на едновременно прилагани лекарствени продукти върху експозицията на розувастатин </w:t>
      </w:r>
      <w:r w:rsidRPr="006C600B">
        <w:rPr>
          <w:rFonts w:cs="Arial"/>
          <w:lang w:val="ru-RU"/>
        </w:rPr>
        <w:t>(</w:t>
      </w:r>
      <w:r w:rsidRPr="006C600B">
        <w:rPr>
          <w:rFonts w:cs="Arial"/>
          <w:lang w:val="en-US"/>
        </w:rPr>
        <w:t>AUC</w:t>
      </w:r>
      <w:r w:rsidRPr="006C600B">
        <w:rPr>
          <w:rFonts w:cs="Arial"/>
          <w:lang w:val="ru-RU"/>
        </w:rPr>
        <w:t xml:space="preserve">), </w:t>
      </w:r>
      <w:r w:rsidRPr="006C600B">
        <w:rPr>
          <w:rFonts w:cs="Arial"/>
        </w:rPr>
        <w:t xml:space="preserve">представена в низходящ ред по големина) от публикувани клинични </w:t>
      </w:r>
      <w:r w:rsidRPr="006C600B">
        <w:rPr>
          <w:rFonts w:cs="Arial"/>
          <w:u w:val="single"/>
        </w:rPr>
        <w:t>проучвания</w:t>
      </w:r>
    </w:p>
    <w:p w14:paraId="554A6743" w14:textId="1F2377C8" w:rsidR="006C600B" w:rsidRDefault="006C600B" w:rsidP="00A70FDA"/>
    <w:tbl>
      <w:tblPr>
        <w:tblStyle w:val="TableGrid"/>
        <w:tblW w:w="0" w:type="auto"/>
        <w:tblLook w:val="04A0" w:firstRow="1" w:lastRow="0" w:firstColumn="1" w:lastColumn="0" w:noHBand="0" w:noVBand="1"/>
      </w:tblPr>
      <w:tblGrid>
        <w:gridCol w:w="3176"/>
        <w:gridCol w:w="3087"/>
        <w:gridCol w:w="3087"/>
      </w:tblGrid>
      <w:tr w:rsidR="006C600B" w14:paraId="637624A9" w14:textId="77777777" w:rsidTr="006C600B">
        <w:tc>
          <w:tcPr>
            <w:tcW w:w="9576" w:type="dxa"/>
            <w:gridSpan w:val="3"/>
          </w:tcPr>
          <w:p w14:paraId="4B324B0E" w14:textId="138EEF1F" w:rsidR="006C600B" w:rsidRPr="00F80502" w:rsidRDefault="006C600B"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2 пъти или повече от 2 пъти</w:t>
            </w:r>
          </w:p>
        </w:tc>
      </w:tr>
      <w:tr w:rsidR="006C600B" w14:paraId="38D483E0" w14:textId="77777777" w:rsidTr="006C600B">
        <w:tc>
          <w:tcPr>
            <w:tcW w:w="3192" w:type="dxa"/>
            <w:vAlign w:val="bottom"/>
          </w:tcPr>
          <w:p w14:paraId="466959A9" w14:textId="137057BF" w:rsidR="006C600B" w:rsidRPr="00F80502" w:rsidRDefault="006C600B" w:rsidP="006C600B">
            <w:pPr>
              <w:rPr>
                <w:rFonts w:cs="Arial"/>
              </w:rPr>
            </w:pPr>
            <w:r w:rsidRPr="00F80502">
              <w:rPr>
                <w:rFonts w:cs="Arial"/>
              </w:rPr>
              <w:t>Дозов режим на взаимодействащото лекарствено</w:t>
            </w:r>
          </w:p>
        </w:tc>
        <w:tc>
          <w:tcPr>
            <w:tcW w:w="3192" w:type="dxa"/>
          </w:tcPr>
          <w:p w14:paraId="52A1824F" w14:textId="57E2F282" w:rsidR="006C600B" w:rsidRPr="00F80502" w:rsidRDefault="006C600B" w:rsidP="006C600B">
            <w:pPr>
              <w:rPr>
                <w:rFonts w:cs="Arial"/>
              </w:rPr>
            </w:pPr>
            <w:r w:rsidRPr="00F80502">
              <w:rPr>
                <w:rFonts w:cs="Arial"/>
              </w:rPr>
              <w:t>Дозов режим на розувастатин</w:t>
            </w:r>
          </w:p>
        </w:tc>
        <w:tc>
          <w:tcPr>
            <w:tcW w:w="3192" w:type="dxa"/>
            <w:vAlign w:val="bottom"/>
          </w:tcPr>
          <w:p w14:paraId="1910E958" w14:textId="387E40F1" w:rsidR="006C600B" w:rsidRPr="00F80502" w:rsidRDefault="006C600B" w:rsidP="006C600B">
            <w:pPr>
              <w:rPr>
                <w:rFonts w:cs="Arial"/>
              </w:rPr>
            </w:pPr>
            <w:r w:rsidRPr="00F80502">
              <w:rPr>
                <w:rFonts w:cs="Arial"/>
              </w:rPr>
              <w:t xml:space="preserve">Промяна на </w:t>
            </w:r>
            <w:r w:rsidRPr="00F80502">
              <w:rPr>
                <w:rFonts w:cs="Arial"/>
                <w:lang w:val="en-US"/>
              </w:rPr>
              <w:t>AUC</w:t>
            </w:r>
            <w:r w:rsidRPr="00F80502">
              <w:rPr>
                <w:rFonts w:cs="Arial"/>
                <w:lang w:val="ru-RU"/>
              </w:rPr>
              <w:t xml:space="preserve">* </w:t>
            </w:r>
            <w:r w:rsidRPr="00F80502">
              <w:rPr>
                <w:rFonts w:cs="Arial"/>
              </w:rPr>
              <w:t>на розувастатин</w:t>
            </w:r>
          </w:p>
        </w:tc>
      </w:tr>
      <w:tr w:rsidR="006C600B" w14:paraId="6BAA4042" w14:textId="77777777" w:rsidTr="006C600B">
        <w:tc>
          <w:tcPr>
            <w:tcW w:w="3192" w:type="dxa"/>
            <w:vAlign w:val="bottom"/>
          </w:tcPr>
          <w:p w14:paraId="4BD3F6F9" w14:textId="5E8E1D9D" w:rsidR="006C600B" w:rsidRPr="00F80502" w:rsidRDefault="006C600B" w:rsidP="006C600B">
            <w:pPr>
              <w:rPr>
                <w:rFonts w:cs="Arial"/>
              </w:rPr>
            </w:pPr>
            <w:r w:rsidRPr="00F80502">
              <w:rPr>
                <w:rFonts w:cs="Arial"/>
              </w:rPr>
              <w:t xml:space="preserve">Софосбувир/велпатасвир/ воксилапревир (400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 xml:space="preserve">) </w:t>
            </w:r>
            <w:r w:rsidRPr="00F80502">
              <w:rPr>
                <w:rFonts w:cs="Arial"/>
              </w:rPr>
              <w:t xml:space="preserve">+ воксилапревир (100 </w:t>
            </w:r>
            <w:r w:rsidRPr="00F80502">
              <w:rPr>
                <w:rFonts w:cs="Arial"/>
                <w:lang w:val="en-US"/>
              </w:rPr>
              <w:t>mg</w:t>
            </w:r>
            <w:r w:rsidRPr="00F80502">
              <w:rPr>
                <w:rFonts w:cs="Arial"/>
                <w:lang w:val="ru-RU"/>
              </w:rPr>
              <w:t xml:space="preserve">) </w:t>
            </w:r>
            <w:r w:rsidRPr="00F80502">
              <w:rPr>
                <w:rFonts w:cs="Arial"/>
              </w:rPr>
              <w:t>ВД в продължение на 15 дни</w:t>
            </w:r>
          </w:p>
        </w:tc>
        <w:tc>
          <w:tcPr>
            <w:tcW w:w="3192" w:type="dxa"/>
          </w:tcPr>
          <w:p w14:paraId="1DB69D0E" w14:textId="0D12F57E"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01B3D976" w14:textId="2B609401" w:rsidR="006C600B" w:rsidRPr="00F80502" w:rsidRDefault="006C600B" w:rsidP="006C600B">
            <w:pPr>
              <w:rPr>
                <w:rFonts w:cs="Arial"/>
              </w:rPr>
            </w:pPr>
            <w:r w:rsidRPr="00F80502">
              <w:rPr>
                <w:rFonts w:cs="Arial"/>
              </w:rPr>
              <w:t xml:space="preserve">7,4 пъти </w:t>
            </w:r>
            <w:r w:rsidRPr="00F80502">
              <w:rPr>
                <w:rFonts w:cs="Arial"/>
                <w:lang w:val="en-US"/>
              </w:rPr>
              <w:t>↑</w:t>
            </w:r>
          </w:p>
        </w:tc>
      </w:tr>
      <w:tr w:rsidR="006C600B" w14:paraId="2CC7DEC2" w14:textId="77777777" w:rsidTr="006C600B">
        <w:tc>
          <w:tcPr>
            <w:tcW w:w="3192" w:type="dxa"/>
            <w:vAlign w:val="bottom"/>
          </w:tcPr>
          <w:p w14:paraId="7D700D40" w14:textId="331AAACD" w:rsidR="006C600B" w:rsidRPr="00F80502" w:rsidRDefault="006C600B" w:rsidP="006C600B">
            <w:pPr>
              <w:rPr>
                <w:rFonts w:cs="Arial"/>
              </w:rPr>
            </w:pPr>
            <w:r w:rsidRPr="00F80502">
              <w:rPr>
                <w:rFonts w:cs="Arial"/>
              </w:rPr>
              <w:t xml:space="preserve">Циклоспорин 75 </w:t>
            </w:r>
            <w:r w:rsidRPr="00F80502">
              <w:rPr>
                <w:rFonts w:cs="Arial"/>
                <w:lang w:val="en-US"/>
              </w:rPr>
              <w:t>mg</w:t>
            </w:r>
            <w:r w:rsidRPr="00F80502">
              <w:rPr>
                <w:rFonts w:cs="Arial"/>
                <w:lang w:val="ru-RU"/>
              </w:rPr>
              <w:t xml:space="preserve"> </w:t>
            </w:r>
            <w:r w:rsidRPr="00F80502">
              <w:rPr>
                <w:rFonts w:cs="Arial"/>
              </w:rPr>
              <w:t xml:space="preserve">ДД до 200 </w:t>
            </w:r>
            <w:r w:rsidRPr="00F80502">
              <w:rPr>
                <w:rFonts w:cs="Arial"/>
                <w:lang w:val="en-US"/>
              </w:rPr>
              <w:t>mg</w:t>
            </w:r>
            <w:r w:rsidRPr="00F80502">
              <w:rPr>
                <w:rFonts w:cs="Arial"/>
                <w:lang w:val="ru-RU"/>
              </w:rPr>
              <w:t xml:space="preserve"> </w:t>
            </w:r>
            <w:r w:rsidRPr="00F80502">
              <w:rPr>
                <w:rFonts w:cs="Arial"/>
              </w:rPr>
              <w:t>ДЦ, 6 месеца</w:t>
            </w:r>
          </w:p>
        </w:tc>
        <w:tc>
          <w:tcPr>
            <w:tcW w:w="3192" w:type="dxa"/>
          </w:tcPr>
          <w:p w14:paraId="4EB948F5" w14:textId="21175C68"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ВД, 10 дни</w:t>
            </w:r>
          </w:p>
        </w:tc>
        <w:tc>
          <w:tcPr>
            <w:tcW w:w="3192" w:type="dxa"/>
          </w:tcPr>
          <w:p w14:paraId="3530D0D2" w14:textId="1840C4C5" w:rsidR="006C600B" w:rsidRPr="00F80502" w:rsidRDefault="006C600B" w:rsidP="006C600B">
            <w:pPr>
              <w:rPr>
                <w:rFonts w:cs="Arial"/>
              </w:rPr>
            </w:pPr>
            <w:r w:rsidRPr="00F80502">
              <w:rPr>
                <w:rFonts w:cs="Arial"/>
              </w:rPr>
              <w:t xml:space="preserve">7,1 пъти </w:t>
            </w:r>
            <w:r w:rsidRPr="00F80502">
              <w:rPr>
                <w:rFonts w:cs="Arial"/>
                <w:lang w:val="en-US"/>
              </w:rPr>
              <w:t>↑</w:t>
            </w:r>
          </w:p>
        </w:tc>
      </w:tr>
      <w:tr w:rsidR="006C600B" w14:paraId="5DD95708" w14:textId="77777777" w:rsidTr="006C600B">
        <w:tc>
          <w:tcPr>
            <w:tcW w:w="3192" w:type="dxa"/>
            <w:vAlign w:val="bottom"/>
          </w:tcPr>
          <w:p w14:paraId="0AB9837C" w14:textId="07C97BE2" w:rsidR="006C600B" w:rsidRPr="00F80502" w:rsidRDefault="006C600B" w:rsidP="006C600B">
            <w:pPr>
              <w:rPr>
                <w:rFonts w:cs="Arial"/>
              </w:rPr>
            </w:pPr>
            <w:r w:rsidRPr="00F80502">
              <w:rPr>
                <w:rFonts w:cs="Arial"/>
              </w:rPr>
              <w:t xml:space="preserve">Даролутамид 600 </w:t>
            </w:r>
            <w:r w:rsidRPr="00F80502">
              <w:rPr>
                <w:rFonts w:cs="Arial"/>
                <w:lang w:val="en-US"/>
              </w:rPr>
              <w:t xml:space="preserve">mg </w:t>
            </w:r>
            <w:r w:rsidRPr="00F80502">
              <w:rPr>
                <w:rFonts w:cs="Arial"/>
              </w:rPr>
              <w:t>ДД, 5 дни</w:t>
            </w:r>
          </w:p>
        </w:tc>
        <w:tc>
          <w:tcPr>
            <w:tcW w:w="3192" w:type="dxa"/>
            <w:vAlign w:val="bottom"/>
          </w:tcPr>
          <w:p w14:paraId="09F5D8B5" w14:textId="57A2370F"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vAlign w:val="bottom"/>
          </w:tcPr>
          <w:p w14:paraId="3787551F" w14:textId="05272FDE" w:rsidR="006C600B" w:rsidRPr="00F80502" w:rsidRDefault="006C600B" w:rsidP="006C600B">
            <w:pPr>
              <w:rPr>
                <w:rFonts w:cs="Arial"/>
              </w:rPr>
            </w:pPr>
            <w:r w:rsidRPr="00F80502">
              <w:rPr>
                <w:rFonts w:cs="Arial"/>
              </w:rPr>
              <w:t xml:space="preserve">5,2 пъти </w:t>
            </w:r>
            <w:r w:rsidRPr="00F80502">
              <w:rPr>
                <w:rFonts w:cs="Arial"/>
                <w:lang w:val="en-US"/>
              </w:rPr>
              <w:t>↑</w:t>
            </w:r>
          </w:p>
        </w:tc>
      </w:tr>
      <w:tr w:rsidR="006C600B" w14:paraId="12B06E47" w14:textId="77777777" w:rsidTr="006C600B">
        <w:tc>
          <w:tcPr>
            <w:tcW w:w="3192" w:type="dxa"/>
          </w:tcPr>
          <w:p w14:paraId="75ECC6C3" w14:textId="4B63FCF6" w:rsidR="006C600B" w:rsidRPr="00F80502" w:rsidRDefault="006C600B" w:rsidP="006C600B">
            <w:pPr>
              <w:rPr>
                <w:rFonts w:cs="Arial"/>
              </w:rPr>
            </w:pPr>
            <w:r w:rsidRPr="00F80502">
              <w:rPr>
                <w:rFonts w:cs="Arial"/>
              </w:rPr>
              <w:lastRenderedPageBreak/>
              <w:t xml:space="preserve">Регорафениб 160 </w:t>
            </w:r>
            <w:r w:rsidRPr="00F80502">
              <w:rPr>
                <w:rFonts w:cs="Arial"/>
                <w:lang w:val="en-US"/>
              </w:rPr>
              <w:t xml:space="preserve">mg, </w:t>
            </w:r>
            <w:r w:rsidRPr="00F80502">
              <w:rPr>
                <w:rFonts w:cs="Arial"/>
              </w:rPr>
              <w:t>ВД, 14 дни</w:t>
            </w:r>
          </w:p>
        </w:tc>
        <w:tc>
          <w:tcPr>
            <w:tcW w:w="3192" w:type="dxa"/>
          </w:tcPr>
          <w:p w14:paraId="17922685" w14:textId="55EC54BD"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5CDC8392" w14:textId="667BBBA9" w:rsidR="006C600B" w:rsidRPr="00F80502" w:rsidRDefault="006C600B" w:rsidP="006C600B">
            <w:pPr>
              <w:rPr>
                <w:rFonts w:cs="Arial"/>
              </w:rPr>
            </w:pPr>
            <w:r w:rsidRPr="00F80502">
              <w:rPr>
                <w:rFonts w:cs="Arial"/>
              </w:rPr>
              <w:t xml:space="preserve">3,8 пъти </w:t>
            </w:r>
            <w:r w:rsidRPr="00F80502">
              <w:rPr>
                <w:rFonts w:cs="Arial"/>
                <w:lang w:val="en-US"/>
              </w:rPr>
              <w:t>↑</w:t>
            </w:r>
          </w:p>
        </w:tc>
      </w:tr>
      <w:tr w:rsidR="006C600B" w14:paraId="67F78750" w14:textId="77777777" w:rsidTr="006C600B">
        <w:tc>
          <w:tcPr>
            <w:tcW w:w="3192" w:type="dxa"/>
            <w:vAlign w:val="bottom"/>
          </w:tcPr>
          <w:p w14:paraId="15836566" w14:textId="33DB3CE7" w:rsidR="006C600B" w:rsidRPr="00F80502" w:rsidRDefault="006C600B" w:rsidP="006C600B">
            <w:pPr>
              <w:rPr>
                <w:rFonts w:cs="Arial"/>
              </w:rPr>
            </w:pPr>
            <w:r w:rsidRPr="00F80502">
              <w:rPr>
                <w:rFonts w:cs="Arial"/>
              </w:rPr>
              <w:t xml:space="preserve">Атазанавир 300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ВД, 8 дни</w:t>
            </w:r>
          </w:p>
        </w:tc>
        <w:tc>
          <w:tcPr>
            <w:tcW w:w="3192" w:type="dxa"/>
          </w:tcPr>
          <w:p w14:paraId="6CD5B818" w14:textId="7CBC4314"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5E0459D7" w14:textId="5D665C50" w:rsidR="006C600B" w:rsidRPr="00F80502" w:rsidRDefault="006C600B" w:rsidP="006C600B">
            <w:pPr>
              <w:rPr>
                <w:rFonts w:cs="Arial"/>
              </w:rPr>
            </w:pPr>
            <w:r w:rsidRPr="00F80502">
              <w:rPr>
                <w:rFonts w:cs="Arial"/>
              </w:rPr>
              <w:t xml:space="preserve">3,1 пъти </w:t>
            </w:r>
            <w:r w:rsidRPr="00F80502">
              <w:rPr>
                <w:rFonts w:cs="Arial"/>
                <w:lang w:val="en-US"/>
              </w:rPr>
              <w:t>↑</w:t>
            </w:r>
          </w:p>
        </w:tc>
      </w:tr>
      <w:tr w:rsidR="006C600B" w14:paraId="426627AD" w14:textId="77777777" w:rsidTr="006C600B">
        <w:tc>
          <w:tcPr>
            <w:tcW w:w="3192" w:type="dxa"/>
            <w:vAlign w:val="bottom"/>
          </w:tcPr>
          <w:p w14:paraId="1E0EEBB8" w14:textId="3AF04141" w:rsidR="006C600B" w:rsidRPr="00F80502" w:rsidRDefault="006C600B" w:rsidP="006C600B">
            <w:pPr>
              <w:rPr>
                <w:rFonts w:cs="Arial"/>
              </w:rPr>
            </w:pPr>
            <w:r w:rsidRPr="00F80502">
              <w:rPr>
                <w:rFonts w:cs="Arial"/>
              </w:rPr>
              <w:t xml:space="preserve">Велпатасвир 100 </w:t>
            </w:r>
            <w:r w:rsidRPr="00F80502">
              <w:rPr>
                <w:rFonts w:cs="Arial"/>
                <w:lang w:val="en-US"/>
              </w:rPr>
              <w:t xml:space="preserve">mg </w:t>
            </w:r>
            <w:r w:rsidRPr="00F80502">
              <w:rPr>
                <w:rFonts w:cs="Arial"/>
              </w:rPr>
              <w:t>ВД</w:t>
            </w:r>
          </w:p>
        </w:tc>
        <w:tc>
          <w:tcPr>
            <w:tcW w:w="3192" w:type="dxa"/>
            <w:vAlign w:val="bottom"/>
          </w:tcPr>
          <w:p w14:paraId="3D75BBA6" w14:textId="2E042C70"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8ACA5EB" w14:textId="712985A6" w:rsidR="006C600B" w:rsidRPr="00F80502" w:rsidRDefault="006C600B" w:rsidP="006C600B">
            <w:pPr>
              <w:rPr>
                <w:rFonts w:cs="Arial"/>
              </w:rPr>
            </w:pPr>
            <w:r w:rsidRPr="00F80502">
              <w:rPr>
                <w:rFonts w:cs="Arial"/>
              </w:rPr>
              <w:t xml:space="preserve">2,7 пъти </w:t>
            </w:r>
            <w:r w:rsidRPr="00F80502">
              <w:rPr>
                <w:rFonts w:cs="Arial"/>
                <w:lang w:val="en-US"/>
              </w:rPr>
              <w:t>↑</w:t>
            </w:r>
          </w:p>
        </w:tc>
      </w:tr>
      <w:tr w:rsidR="006C600B" w14:paraId="44647B48" w14:textId="77777777" w:rsidTr="006C600B">
        <w:tc>
          <w:tcPr>
            <w:tcW w:w="3192" w:type="dxa"/>
            <w:vAlign w:val="bottom"/>
          </w:tcPr>
          <w:p w14:paraId="640CE2A0" w14:textId="60F91DA6" w:rsidR="006C600B" w:rsidRPr="00F80502" w:rsidRDefault="006C600B" w:rsidP="006C600B">
            <w:pPr>
              <w:rPr>
                <w:rFonts w:cs="Arial"/>
              </w:rPr>
            </w:pPr>
            <w:r w:rsidRPr="00F80502">
              <w:rPr>
                <w:rFonts w:cs="Arial"/>
              </w:rPr>
              <w:t xml:space="preserve">Омбитасвир 25 </w:t>
            </w:r>
            <w:r w:rsidRPr="00F80502">
              <w:rPr>
                <w:rFonts w:cs="Arial"/>
                <w:lang w:val="en-US"/>
              </w:rPr>
              <w:t>mg</w:t>
            </w:r>
            <w:r w:rsidRPr="00F80502">
              <w:rPr>
                <w:rFonts w:cs="Arial"/>
              </w:rPr>
              <w:t xml:space="preserve">/паритапревир 150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rPr>
              <w:t xml:space="preserve"> ВД/ дасабувир 400 </w:t>
            </w:r>
            <w:r w:rsidRPr="00F80502">
              <w:rPr>
                <w:rFonts w:cs="Arial"/>
                <w:lang w:val="en-US"/>
              </w:rPr>
              <w:t>mg</w:t>
            </w:r>
            <w:r w:rsidRPr="00F80502">
              <w:rPr>
                <w:rFonts w:cs="Arial"/>
              </w:rPr>
              <w:t xml:space="preserve"> ДД, 14 дни</w:t>
            </w:r>
          </w:p>
        </w:tc>
        <w:tc>
          <w:tcPr>
            <w:tcW w:w="3192" w:type="dxa"/>
          </w:tcPr>
          <w:p w14:paraId="5D5EF89A" w14:textId="4FF35C52"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1F741C0A" w14:textId="462988A9" w:rsidR="006C600B" w:rsidRPr="00F80502" w:rsidRDefault="006C600B" w:rsidP="006C600B">
            <w:pPr>
              <w:rPr>
                <w:rFonts w:cs="Arial"/>
              </w:rPr>
            </w:pPr>
            <w:r w:rsidRPr="00F80502">
              <w:rPr>
                <w:rFonts w:cs="Arial"/>
              </w:rPr>
              <w:t xml:space="preserve">2,6 пъти </w:t>
            </w:r>
            <w:r w:rsidRPr="00F80502">
              <w:rPr>
                <w:rFonts w:cs="Arial"/>
                <w:lang w:val="en-US"/>
              </w:rPr>
              <w:t>↑</w:t>
            </w:r>
          </w:p>
        </w:tc>
      </w:tr>
      <w:tr w:rsidR="006C600B" w14:paraId="26468B4D" w14:textId="77777777" w:rsidTr="006C600B">
        <w:tc>
          <w:tcPr>
            <w:tcW w:w="3192" w:type="dxa"/>
            <w:vAlign w:val="bottom"/>
          </w:tcPr>
          <w:p w14:paraId="5DDA5637" w14:textId="426C9130" w:rsidR="006C600B" w:rsidRPr="00F80502" w:rsidRDefault="006C600B" w:rsidP="006C600B">
            <w:pPr>
              <w:rPr>
                <w:rFonts w:cs="Arial"/>
              </w:rPr>
            </w:pPr>
            <w:r w:rsidRPr="00F80502">
              <w:rPr>
                <w:rFonts w:cs="Arial"/>
              </w:rPr>
              <w:t xml:space="preserve">Гразопревир 200 </w:t>
            </w:r>
            <w:r w:rsidRPr="00F80502">
              <w:rPr>
                <w:rFonts w:cs="Arial"/>
                <w:lang w:val="en-US"/>
              </w:rPr>
              <w:t>mg</w:t>
            </w:r>
            <w:r w:rsidRPr="00F80502">
              <w:rPr>
                <w:rFonts w:cs="Arial"/>
              </w:rPr>
              <w:t xml:space="preserve">/елбасвир 50 </w:t>
            </w:r>
            <w:r w:rsidRPr="00F80502">
              <w:rPr>
                <w:rFonts w:cs="Arial"/>
                <w:lang w:val="en-US"/>
              </w:rPr>
              <w:t>mg</w:t>
            </w:r>
            <w:r w:rsidRPr="00F80502">
              <w:rPr>
                <w:rFonts w:cs="Arial"/>
                <w:lang w:val="ru-RU"/>
              </w:rPr>
              <w:t xml:space="preserve"> </w:t>
            </w:r>
            <w:r w:rsidRPr="00F80502">
              <w:rPr>
                <w:rFonts w:cs="Arial"/>
              </w:rPr>
              <w:t>ВД, 11 дни</w:t>
            </w:r>
          </w:p>
        </w:tc>
        <w:tc>
          <w:tcPr>
            <w:tcW w:w="3192" w:type="dxa"/>
          </w:tcPr>
          <w:p w14:paraId="1C2A6CC0" w14:textId="5A0AB773"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229AC364" w14:textId="682CAEE3" w:rsidR="006C600B" w:rsidRPr="00F80502" w:rsidRDefault="006C600B" w:rsidP="006C600B">
            <w:pPr>
              <w:rPr>
                <w:rFonts w:cs="Arial"/>
              </w:rPr>
            </w:pPr>
            <w:r w:rsidRPr="00F80502">
              <w:rPr>
                <w:rFonts w:cs="Arial"/>
              </w:rPr>
              <w:t xml:space="preserve">2,3 пъти </w:t>
            </w:r>
            <w:r w:rsidRPr="00F80502">
              <w:rPr>
                <w:rFonts w:cs="Arial"/>
                <w:lang w:val="en-US"/>
              </w:rPr>
              <w:t>↑</w:t>
            </w:r>
          </w:p>
        </w:tc>
      </w:tr>
      <w:tr w:rsidR="006C600B" w14:paraId="5E9A98E3" w14:textId="77777777" w:rsidTr="006C600B">
        <w:tc>
          <w:tcPr>
            <w:tcW w:w="3192" w:type="dxa"/>
            <w:vAlign w:val="bottom"/>
          </w:tcPr>
          <w:p w14:paraId="7B5AD6BF" w14:textId="153E1AD3" w:rsidR="006C600B" w:rsidRPr="00F80502" w:rsidRDefault="006C600B" w:rsidP="006C600B">
            <w:pPr>
              <w:rPr>
                <w:rFonts w:cs="Arial"/>
              </w:rPr>
            </w:pPr>
            <w:r w:rsidRPr="00F80502">
              <w:rPr>
                <w:rFonts w:cs="Arial"/>
              </w:rPr>
              <w:t xml:space="preserve">Глекапревир 400 </w:t>
            </w:r>
            <w:r w:rsidRPr="00F80502">
              <w:rPr>
                <w:rFonts w:cs="Arial"/>
                <w:lang w:val="en-US"/>
              </w:rPr>
              <w:t>mg</w:t>
            </w:r>
            <w:r w:rsidRPr="00F80502">
              <w:rPr>
                <w:rFonts w:cs="Arial"/>
              </w:rPr>
              <w:t xml:space="preserve">/пибрентасвир 120 </w:t>
            </w:r>
            <w:r w:rsidRPr="00F80502">
              <w:rPr>
                <w:rFonts w:cs="Arial"/>
                <w:lang w:val="en-US"/>
              </w:rPr>
              <w:t>mg</w:t>
            </w:r>
            <w:r w:rsidRPr="00F80502">
              <w:rPr>
                <w:rFonts w:cs="Arial"/>
                <w:lang w:val="ru-RU"/>
              </w:rPr>
              <w:t xml:space="preserve"> </w:t>
            </w:r>
            <w:r w:rsidRPr="00F80502">
              <w:rPr>
                <w:rFonts w:cs="Arial"/>
              </w:rPr>
              <w:t>ВД, 7 дни</w:t>
            </w:r>
          </w:p>
        </w:tc>
        <w:tc>
          <w:tcPr>
            <w:tcW w:w="3192" w:type="dxa"/>
          </w:tcPr>
          <w:p w14:paraId="66ED4C0E" w14:textId="0A97DAC3"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ВД, 7 дни</w:t>
            </w:r>
          </w:p>
        </w:tc>
        <w:tc>
          <w:tcPr>
            <w:tcW w:w="3192" w:type="dxa"/>
          </w:tcPr>
          <w:p w14:paraId="388B99DE" w14:textId="7EB0109A" w:rsidR="006C600B" w:rsidRPr="00F80502" w:rsidRDefault="006C600B" w:rsidP="006C600B">
            <w:pPr>
              <w:rPr>
                <w:rFonts w:cs="Arial"/>
              </w:rPr>
            </w:pPr>
            <w:r w:rsidRPr="00F80502">
              <w:rPr>
                <w:rFonts w:cs="Arial"/>
              </w:rPr>
              <w:t xml:space="preserve">2,2 пъти </w:t>
            </w:r>
            <w:r w:rsidRPr="00F80502">
              <w:rPr>
                <w:rFonts w:cs="Arial"/>
                <w:lang w:val="en-US"/>
              </w:rPr>
              <w:t>↑</w:t>
            </w:r>
          </w:p>
        </w:tc>
      </w:tr>
      <w:tr w:rsidR="006C600B" w14:paraId="4FF33A7F" w14:textId="77777777" w:rsidTr="006C600B">
        <w:tc>
          <w:tcPr>
            <w:tcW w:w="3192" w:type="dxa"/>
          </w:tcPr>
          <w:p w14:paraId="6BE821FE" w14:textId="4379D2C4" w:rsidR="006C600B" w:rsidRPr="00F80502" w:rsidRDefault="006C600B" w:rsidP="006C600B">
            <w:pPr>
              <w:rPr>
                <w:rFonts w:cs="Arial"/>
              </w:rPr>
            </w:pPr>
            <w:r w:rsidRPr="00F80502">
              <w:rPr>
                <w:rFonts w:cs="Arial"/>
              </w:rPr>
              <w:t xml:space="preserve">Лопинавир 400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17 дни</w:t>
            </w:r>
          </w:p>
        </w:tc>
        <w:tc>
          <w:tcPr>
            <w:tcW w:w="3192" w:type="dxa"/>
          </w:tcPr>
          <w:p w14:paraId="436CEBD5" w14:textId="3397758E"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ВД, 7 дни</w:t>
            </w:r>
          </w:p>
        </w:tc>
        <w:tc>
          <w:tcPr>
            <w:tcW w:w="3192" w:type="dxa"/>
          </w:tcPr>
          <w:p w14:paraId="44A02D36" w14:textId="5485A5F2" w:rsidR="006C600B" w:rsidRPr="00F80502" w:rsidRDefault="006C600B" w:rsidP="006C600B">
            <w:pPr>
              <w:rPr>
                <w:rFonts w:cs="Arial"/>
              </w:rPr>
            </w:pPr>
            <w:r w:rsidRPr="00F80502">
              <w:rPr>
                <w:rFonts w:cs="Arial"/>
              </w:rPr>
              <w:t xml:space="preserve">2,1 пъти </w:t>
            </w:r>
            <w:r w:rsidRPr="00F80502">
              <w:rPr>
                <w:rFonts w:cs="Arial"/>
                <w:lang w:val="en-US"/>
              </w:rPr>
              <w:t>↑</w:t>
            </w:r>
          </w:p>
        </w:tc>
      </w:tr>
      <w:tr w:rsidR="006C600B" w14:paraId="4635F99F" w14:textId="77777777" w:rsidTr="006C600B">
        <w:tc>
          <w:tcPr>
            <w:tcW w:w="3192" w:type="dxa"/>
          </w:tcPr>
          <w:p w14:paraId="4117F7B9" w14:textId="263C1B31" w:rsidR="006C600B" w:rsidRPr="00F80502" w:rsidRDefault="006C600B" w:rsidP="006C600B">
            <w:pPr>
              <w:rPr>
                <w:rFonts w:cs="Arial"/>
              </w:rPr>
            </w:pPr>
            <w:r w:rsidRPr="00F80502">
              <w:rPr>
                <w:rFonts w:cs="Arial"/>
              </w:rPr>
              <w:t xml:space="preserve">Клопидогрел 300 </w:t>
            </w:r>
            <w:r w:rsidRPr="00F80502">
              <w:rPr>
                <w:rFonts w:cs="Arial"/>
                <w:lang w:val="en-US"/>
              </w:rPr>
              <w:t>mg</w:t>
            </w:r>
            <w:r w:rsidRPr="00F80502">
              <w:rPr>
                <w:rFonts w:cs="Arial"/>
                <w:lang w:val="ru-RU"/>
              </w:rPr>
              <w:t xml:space="preserve"> </w:t>
            </w:r>
            <w:r w:rsidRPr="00F80502">
              <w:rPr>
                <w:rFonts w:cs="Arial"/>
              </w:rPr>
              <w:t xml:space="preserve">натоварваща доза, последвана от 75 </w:t>
            </w:r>
            <w:r w:rsidRPr="00F80502">
              <w:rPr>
                <w:rFonts w:cs="Arial"/>
                <w:lang w:val="en-US"/>
              </w:rPr>
              <w:t>mg</w:t>
            </w:r>
            <w:r w:rsidRPr="00F80502">
              <w:rPr>
                <w:rFonts w:cs="Arial"/>
                <w:lang w:val="ru-RU"/>
              </w:rPr>
              <w:t xml:space="preserve"> </w:t>
            </w:r>
            <w:r w:rsidRPr="00F80502">
              <w:rPr>
                <w:rFonts w:cs="Arial"/>
              </w:rPr>
              <w:t>на 24 часа</w:t>
            </w:r>
          </w:p>
        </w:tc>
        <w:tc>
          <w:tcPr>
            <w:tcW w:w="3192" w:type="dxa"/>
          </w:tcPr>
          <w:p w14:paraId="4F874906" w14:textId="6AEBFE51"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единична доза</w:t>
            </w:r>
          </w:p>
        </w:tc>
        <w:tc>
          <w:tcPr>
            <w:tcW w:w="3192" w:type="dxa"/>
          </w:tcPr>
          <w:p w14:paraId="14095CB3" w14:textId="7A884941" w:rsidR="006C600B" w:rsidRPr="00F80502" w:rsidRDefault="006C600B" w:rsidP="006C600B">
            <w:pPr>
              <w:rPr>
                <w:rFonts w:cs="Arial"/>
              </w:rPr>
            </w:pPr>
            <w:r w:rsidRPr="00F80502">
              <w:rPr>
                <w:rFonts w:cs="Arial"/>
              </w:rPr>
              <w:t xml:space="preserve">2 пъти </w:t>
            </w:r>
            <w:r w:rsidRPr="00F80502">
              <w:rPr>
                <w:rFonts w:cs="Arial"/>
                <w:lang w:val="en-US"/>
              </w:rPr>
              <w:t>↑</w:t>
            </w:r>
          </w:p>
        </w:tc>
      </w:tr>
      <w:tr w:rsidR="006C600B" w14:paraId="45411D12" w14:textId="77777777" w:rsidTr="006C600B">
        <w:tc>
          <w:tcPr>
            <w:tcW w:w="3192" w:type="dxa"/>
            <w:vAlign w:val="bottom"/>
          </w:tcPr>
          <w:p w14:paraId="1FB62440" w14:textId="596F4F1A" w:rsidR="006C600B" w:rsidRPr="00F80502" w:rsidRDefault="006C600B" w:rsidP="006C600B">
            <w:pPr>
              <w:rPr>
                <w:rFonts w:cs="Arial"/>
              </w:rPr>
            </w:pPr>
            <w:r w:rsidRPr="00F80502">
              <w:rPr>
                <w:rFonts w:cs="Arial"/>
              </w:rPr>
              <w:t xml:space="preserve">Гемифиброзил 600 </w:t>
            </w:r>
            <w:r w:rsidRPr="00F80502">
              <w:rPr>
                <w:rFonts w:cs="Arial"/>
                <w:lang w:val="en-US"/>
              </w:rPr>
              <w:t xml:space="preserve">mg </w:t>
            </w:r>
            <w:r w:rsidRPr="00F80502">
              <w:rPr>
                <w:rFonts w:cs="Arial"/>
              </w:rPr>
              <w:t>ДД, 7 дни</w:t>
            </w:r>
          </w:p>
        </w:tc>
        <w:tc>
          <w:tcPr>
            <w:tcW w:w="3192" w:type="dxa"/>
            <w:vAlign w:val="bottom"/>
          </w:tcPr>
          <w:p w14:paraId="29997CC6" w14:textId="1E3A8877" w:rsidR="006C600B" w:rsidRPr="00F80502" w:rsidRDefault="006C600B" w:rsidP="006C600B">
            <w:pPr>
              <w:rPr>
                <w:rFonts w:cs="Arial"/>
              </w:rPr>
            </w:pPr>
            <w:r w:rsidRPr="00F80502">
              <w:rPr>
                <w:rFonts w:cs="Arial"/>
              </w:rPr>
              <w:t xml:space="preserve">80 </w:t>
            </w:r>
            <w:r w:rsidRPr="00F80502">
              <w:rPr>
                <w:rFonts w:cs="Arial"/>
                <w:lang w:val="en-US"/>
              </w:rPr>
              <w:t xml:space="preserve">mg, </w:t>
            </w:r>
            <w:r w:rsidRPr="00F80502">
              <w:rPr>
                <w:rFonts w:cs="Arial"/>
              </w:rPr>
              <w:t>единична доза</w:t>
            </w:r>
          </w:p>
        </w:tc>
        <w:tc>
          <w:tcPr>
            <w:tcW w:w="3192" w:type="dxa"/>
            <w:vAlign w:val="bottom"/>
          </w:tcPr>
          <w:p w14:paraId="00548363" w14:textId="469205E9" w:rsidR="006C600B" w:rsidRPr="00F80502" w:rsidRDefault="006C600B" w:rsidP="006C600B">
            <w:pPr>
              <w:rPr>
                <w:rFonts w:cs="Arial"/>
              </w:rPr>
            </w:pPr>
            <w:r w:rsidRPr="00F80502">
              <w:rPr>
                <w:rFonts w:cs="Arial"/>
              </w:rPr>
              <w:t xml:space="preserve">1,9 пъти </w:t>
            </w:r>
            <w:r w:rsidRPr="00F80502">
              <w:rPr>
                <w:rFonts w:cs="Arial"/>
                <w:lang w:val="en-US"/>
              </w:rPr>
              <w:t>↑</w:t>
            </w:r>
          </w:p>
        </w:tc>
      </w:tr>
      <w:tr w:rsidR="00F80502" w14:paraId="47B6D15B" w14:textId="77777777" w:rsidTr="00B84E59">
        <w:tc>
          <w:tcPr>
            <w:tcW w:w="9576" w:type="dxa"/>
            <w:gridSpan w:val="3"/>
          </w:tcPr>
          <w:p w14:paraId="08ABF3DB" w14:textId="74181AFB" w:rsidR="00F80502" w:rsidRPr="00F80502" w:rsidRDefault="00F80502"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по-малко от 2 пъти</w:t>
            </w:r>
          </w:p>
        </w:tc>
      </w:tr>
      <w:tr w:rsidR="00F80502" w14:paraId="6CE43C3E" w14:textId="77777777" w:rsidTr="007B12B9">
        <w:tc>
          <w:tcPr>
            <w:tcW w:w="3192" w:type="dxa"/>
            <w:vAlign w:val="bottom"/>
          </w:tcPr>
          <w:p w14:paraId="4B8A5DC2" w14:textId="7CEFD7A8"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163BC32E" w14:textId="18313671"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0DBB7E2D" w14:textId="33024639"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7A53D39F" w14:textId="77777777" w:rsidTr="007B12B9">
        <w:tc>
          <w:tcPr>
            <w:tcW w:w="3192" w:type="dxa"/>
            <w:vAlign w:val="bottom"/>
          </w:tcPr>
          <w:p w14:paraId="0AE803B3" w14:textId="794CC2E2" w:rsidR="00F80502" w:rsidRPr="00F80502" w:rsidRDefault="00F80502" w:rsidP="00F80502">
            <w:pPr>
              <w:rPr>
                <w:rFonts w:cs="Arial"/>
              </w:rPr>
            </w:pPr>
            <w:r w:rsidRPr="00F80502">
              <w:rPr>
                <w:rFonts w:cs="Arial"/>
              </w:rPr>
              <w:t xml:space="preserve">Елтромбопаг 75 </w:t>
            </w:r>
            <w:r w:rsidRPr="00F80502">
              <w:rPr>
                <w:rFonts w:cs="Arial"/>
                <w:lang w:val="en-US"/>
              </w:rPr>
              <w:t xml:space="preserve">mg </w:t>
            </w:r>
            <w:r w:rsidRPr="00F80502">
              <w:rPr>
                <w:rFonts w:cs="Arial"/>
              </w:rPr>
              <w:t>ВД, 10 дни</w:t>
            </w:r>
          </w:p>
        </w:tc>
        <w:tc>
          <w:tcPr>
            <w:tcW w:w="3192" w:type="dxa"/>
            <w:vAlign w:val="bottom"/>
          </w:tcPr>
          <w:p w14:paraId="01E2902C" w14:textId="10DD5190"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BC1868E" w14:textId="158EC5BA" w:rsidR="00F80502" w:rsidRPr="00F80502" w:rsidRDefault="00F80502" w:rsidP="00F80502">
            <w:pPr>
              <w:rPr>
                <w:rFonts w:cs="Arial"/>
              </w:rPr>
            </w:pPr>
            <w:r w:rsidRPr="00F80502">
              <w:rPr>
                <w:rFonts w:cs="Arial"/>
              </w:rPr>
              <w:t xml:space="preserve">1,6 пъти </w:t>
            </w:r>
            <w:r w:rsidRPr="00F80502">
              <w:rPr>
                <w:rFonts w:cs="Arial"/>
                <w:lang w:val="en-US"/>
              </w:rPr>
              <w:t>↑</w:t>
            </w:r>
          </w:p>
        </w:tc>
      </w:tr>
      <w:tr w:rsidR="00F80502" w14:paraId="6952165C" w14:textId="77777777" w:rsidTr="007B12B9">
        <w:tc>
          <w:tcPr>
            <w:tcW w:w="3192" w:type="dxa"/>
            <w:vAlign w:val="bottom"/>
          </w:tcPr>
          <w:p w14:paraId="7CEA6A07" w14:textId="21441DD4" w:rsidR="00F80502" w:rsidRPr="00F80502" w:rsidRDefault="00F80502" w:rsidP="00F80502">
            <w:pPr>
              <w:rPr>
                <w:rFonts w:cs="Arial"/>
              </w:rPr>
            </w:pPr>
            <w:r w:rsidRPr="00F80502">
              <w:rPr>
                <w:rFonts w:cs="Arial"/>
              </w:rPr>
              <w:t xml:space="preserve">Дарунавир 600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7 дни</w:t>
            </w:r>
          </w:p>
        </w:tc>
        <w:tc>
          <w:tcPr>
            <w:tcW w:w="3192" w:type="dxa"/>
          </w:tcPr>
          <w:p w14:paraId="47F284B4" w14:textId="4D391C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7 дни</w:t>
            </w:r>
          </w:p>
        </w:tc>
        <w:tc>
          <w:tcPr>
            <w:tcW w:w="3192" w:type="dxa"/>
          </w:tcPr>
          <w:p w14:paraId="3DD9D877" w14:textId="2311615F" w:rsidR="00F80502" w:rsidRPr="00F80502" w:rsidRDefault="00F80502" w:rsidP="00F80502">
            <w:pPr>
              <w:rPr>
                <w:rFonts w:cs="Arial"/>
              </w:rPr>
            </w:pPr>
            <w:r w:rsidRPr="00F80502">
              <w:rPr>
                <w:rFonts w:cs="Arial"/>
              </w:rPr>
              <w:t xml:space="preserve">1,5 пъти </w:t>
            </w:r>
            <w:r w:rsidRPr="00F80502">
              <w:rPr>
                <w:rFonts w:cs="Arial"/>
                <w:lang w:val="en-US"/>
              </w:rPr>
              <w:t>↑</w:t>
            </w:r>
          </w:p>
        </w:tc>
      </w:tr>
      <w:tr w:rsidR="00F80502" w14:paraId="7F42D71B" w14:textId="77777777" w:rsidTr="007B12B9">
        <w:tc>
          <w:tcPr>
            <w:tcW w:w="3192" w:type="dxa"/>
            <w:vAlign w:val="bottom"/>
          </w:tcPr>
          <w:p w14:paraId="0D30AC0E" w14:textId="6CD14F01" w:rsidR="00F80502" w:rsidRPr="00F80502" w:rsidRDefault="00F80502" w:rsidP="00F80502">
            <w:pPr>
              <w:rPr>
                <w:rFonts w:cs="Arial"/>
              </w:rPr>
            </w:pPr>
            <w:r w:rsidRPr="00F80502">
              <w:rPr>
                <w:rFonts w:cs="Arial"/>
              </w:rPr>
              <w:t xml:space="preserve">Типранавир 500 </w:t>
            </w:r>
            <w:r w:rsidRPr="00F80502">
              <w:rPr>
                <w:rFonts w:cs="Arial"/>
                <w:lang w:val="en-US"/>
              </w:rPr>
              <w:t>mg</w:t>
            </w:r>
            <w:r w:rsidRPr="00F80502">
              <w:rPr>
                <w:rFonts w:cs="Arial"/>
              </w:rPr>
              <w:t xml:space="preserve">/ритонавир 200 </w:t>
            </w:r>
            <w:r w:rsidRPr="00F80502">
              <w:rPr>
                <w:rFonts w:cs="Arial"/>
                <w:lang w:val="en-US"/>
              </w:rPr>
              <w:t>mg</w:t>
            </w:r>
            <w:r w:rsidRPr="00F80502">
              <w:rPr>
                <w:rFonts w:cs="Arial"/>
                <w:lang w:val="ru-RU"/>
              </w:rPr>
              <w:t xml:space="preserve"> </w:t>
            </w:r>
            <w:r w:rsidRPr="00F80502">
              <w:rPr>
                <w:rFonts w:cs="Arial"/>
              </w:rPr>
              <w:t>ДД, 11 дни</w:t>
            </w:r>
          </w:p>
        </w:tc>
        <w:tc>
          <w:tcPr>
            <w:tcW w:w="3192" w:type="dxa"/>
          </w:tcPr>
          <w:p w14:paraId="1F454664" w14:textId="34D0BCDE"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3FAA31BC" w14:textId="46EA72E1"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7448C3B7" w14:textId="77777777" w:rsidTr="006C600B">
        <w:tc>
          <w:tcPr>
            <w:tcW w:w="3192" w:type="dxa"/>
          </w:tcPr>
          <w:p w14:paraId="42431088" w14:textId="2B460099" w:rsidR="00F80502" w:rsidRPr="00F80502" w:rsidRDefault="00F80502" w:rsidP="00F80502">
            <w:pPr>
              <w:rPr>
                <w:rFonts w:cs="Arial"/>
              </w:rPr>
            </w:pPr>
            <w:r w:rsidRPr="00F80502">
              <w:rPr>
                <w:rFonts w:cs="Arial"/>
              </w:rPr>
              <w:t xml:space="preserve">Дронедарон 400 </w:t>
            </w:r>
            <w:r w:rsidRPr="00F80502">
              <w:rPr>
                <w:rFonts w:cs="Arial"/>
                <w:lang w:val="en-US"/>
              </w:rPr>
              <w:t xml:space="preserve">mg </w:t>
            </w:r>
            <w:r w:rsidRPr="00F80502">
              <w:rPr>
                <w:rFonts w:cs="Arial"/>
              </w:rPr>
              <w:t>ДД</w:t>
            </w:r>
          </w:p>
        </w:tc>
        <w:tc>
          <w:tcPr>
            <w:tcW w:w="3192" w:type="dxa"/>
          </w:tcPr>
          <w:p w14:paraId="21DE16A3" w14:textId="3791C5C6" w:rsidR="00F80502" w:rsidRPr="00F80502" w:rsidRDefault="00F80502" w:rsidP="00F80502">
            <w:pPr>
              <w:rPr>
                <w:rFonts w:cs="Arial"/>
              </w:rPr>
            </w:pPr>
            <w:r w:rsidRPr="00F80502">
              <w:rPr>
                <w:rFonts w:cs="Arial"/>
              </w:rPr>
              <w:t>Не е наличен</w:t>
            </w:r>
          </w:p>
        </w:tc>
        <w:tc>
          <w:tcPr>
            <w:tcW w:w="3192" w:type="dxa"/>
          </w:tcPr>
          <w:p w14:paraId="60172DE6" w14:textId="6E5D0EC0" w:rsidR="00F80502" w:rsidRPr="00F80502" w:rsidRDefault="00F80502" w:rsidP="00F80502">
            <w:pPr>
              <w:rPr>
                <w:rFonts w:cs="Arial"/>
              </w:rPr>
            </w:pPr>
            <w:r w:rsidRPr="00F80502">
              <w:rPr>
                <w:rFonts w:cs="Arial"/>
              </w:rPr>
              <w:t>1,4 пъти</w:t>
            </w:r>
            <w:r w:rsidRPr="00F80502">
              <w:rPr>
                <w:rFonts w:cs="Arial"/>
                <w:lang w:val="en-US"/>
              </w:rPr>
              <w:t xml:space="preserve"> ↑</w:t>
            </w:r>
          </w:p>
        </w:tc>
      </w:tr>
      <w:tr w:rsidR="00F80502" w14:paraId="03B26907" w14:textId="77777777" w:rsidTr="006C600B">
        <w:tc>
          <w:tcPr>
            <w:tcW w:w="3192" w:type="dxa"/>
          </w:tcPr>
          <w:p w14:paraId="26894AA7" w14:textId="030BC315" w:rsidR="00F80502" w:rsidRPr="00F80502" w:rsidRDefault="00F80502" w:rsidP="00F80502">
            <w:pPr>
              <w:rPr>
                <w:rFonts w:cs="Arial"/>
              </w:rPr>
            </w:pPr>
            <w:r w:rsidRPr="00F80502">
              <w:rPr>
                <w:rFonts w:cs="Arial"/>
              </w:rPr>
              <w:t xml:space="preserve">Итраконазол 200 </w:t>
            </w:r>
            <w:r w:rsidRPr="00F80502">
              <w:rPr>
                <w:rFonts w:cs="Arial"/>
                <w:lang w:val="en-US"/>
              </w:rPr>
              <w:t xml:space="preserve">mg </w:t>
            </w:r>
            <w:r w:rsidRPr="00F80502">
              <w:rPr>
                <w:rFonts w:cs="Arial"/>
              </w:rPr>
              <w:t>ВД, 5 дни</w:t>
            </w:r>
          </w:p>
        </w:tc>
        <w:tc>
          <w:tcPr>
            <w:tcW w:w="3192" w:type="dxa"/>
          </w:tcPr>
          <w:p w14:paraId="7C01B637" w14:textId="75479C52"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68B85C1B" w14:textId="5744EFA0"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0F8C1C4C" w14:textId="77777777" w:rsidTr="006C600B">
        <w:tc>
          <w:tcPr>
            <w:tcW w:w="3192" w:type="dxa"/>
          </w:tcPr>
          <w:p w14:paraId="6E73F6A0" w14:textId="0AA9A505" w:rsidR="00F80502" w:rsidRPr="00F80502" w:rsidRDefault="00F80502" w:rsidP="00F80502">
            <w:pPr>
              <w:rPr>
                <w:rFonts w:cs="Arial"/>
              </w:rPr>
            </w:pPr>
            <w:r w:rsidRPr="00F80502">
              <w:rPr>
                <w:rFonts w:cs="Arial"/>
              </w:rPr>
              <w:t xml:space="preserve">Езетимиб 10 </w:t>
            </w:r>
            <w:r w:rsidRPr="00F80502">
              <w:rPr>
                <w:rFonts w:cs="Arial"/>
                <w:lang w:val="en-US"/>
              </w:rPr>
              <w:t xml:space="preserve">mg </w:t>
            </w:r>
            <w:r w:rsidRPr="00F80502">
              <w:rPr>
                <w:rFonts w:cs="Arial"/>
              </w:rPr>
              <w:t>ВД, 14 дни</w:t>
            </w:r>
          </w:p>
        </w:tc>
        <w:tc>
          <w:tcPr>
            <w:tcW w:w="3192" w:type="dxa"/>
          </w:tcPr>
          <w:p w14:paraId="71C94418" w14:textId="292C66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14 дни</w:t>
            </w:r>
          </w:p>
        </w:tc>
        <w:tc>
          <w:tcPr>
            <w:tcW w:w="3192" w:type="dxa"/>
          </w:tcPr>
          <w:p w14:paraId="5146432E" w14:textId="276F3EA7" w:rsidR="00F80502" w:rsidRPr="00F80502" w:rsidRDefault="00F80502" w:rsidP="00F80502">
            <w:pPr>
              <w:rPr>
                <w:rFonts w:cs="Arial"/>
              </w:rPr>
            </w:pPr>
            <w:r w:rsidRPr="00F80502">
              <w:rPr>
                <w:rFonts w:cs="Arial"/>
              </w:rPr>
              <w:t xml:space="preserve">1,2 пъти </w:t>
            </w:r>
            <w:r w:rsidRPr="00F80502">
              <w:rPr>
                <w:rFonts w:cs="Arial"/>
                <w:lang w:val="en-US"/>
              </w:rPr>
              <w:t>↑</w:t>
            </w:r>
          </w:p>
        </w:tc>
      </w:tr>
      <w:tr w:rsidR="00F80502" w14:paraId="33095906" w14:textId="77777777" w:rsidTr="00F870DC">
        <w:tc>
          <w:tcPr>
            <w:tcW w:w="9576" w:type="dxa"/>
            <w:gridSpan w:val="3"/>
          </w:tcPr>
          <w:p w14:paraId="1CCB019B" w14:textId="78F4A8B3" w:rsidR="00F80502" w:rsidRPr="00F80502" w:rsidRDefault="00F80502" w:rsidP="00F80502">
            <w:pPr>
              <w:rPr>
                <w:rFonts w:cs="Arial"/>
              </w:rPr>
            </w:pPr>
            <w:r w:rsidRPr="00F80502">
              <w:rPr>
                <w:rFonts w:cs="Arial"/>
                <w:lang w:eastAsia="bg-BG"/>
              </w:rPr>
              <w:t xml:space="preserve">Намаляване на </w:t>
            </w:r>
            <w:r w:rsidRPr="00F80502">
              <w:rPr>
                <w:rFonts w:cs="Arial"/>
                <w:lang w:val="en-US"/>
              </w:rPr>
              <w:t>AUC</w:t>
            </w:r>
            <w:r w:rsidRPr="00F80502">
              <w:rPr>
                <w:rFonts w:cs="Arial"/>
                <w:lang w:val="ru-RU"/>
              </w:rPr>
              <w:t xml:space="preserve"> </w:t>
            </w:r>
            <w:r w:rsidRPr="00F80502">
              <w:rPr>
                <w:rFonts w:cs="Arial"/>
                <w:lang w:eastAsia="bg-BG"/>
              </w:rPr>
              <w:t>на розувастатин</w:t>
            </w:r>
          </w:p>
        </w:tc>
      </w:tr>
      <w:tr w:rsidR="00F80502" w14:paraId="090113E9" w14:textId="77777777" w:rsidTr="009611E3">
        <w:tc>
          <w:tcPr>
            <w:tcW w:w="3192" w:type="dxa"/>
            <w:vAlign w:val="bottom"/>
          </w:tcPr>
          <w:p w14:paraId="08A8FA20" w14:textId="7472DD8F"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559040EA" w14:textId="75AA9EB9"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1A17400E" w14:textId="2D980F14"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49CFF26C" w14:textId="77777777" w:rsidTr="009611E3">
        <w:tc>
          <w:tcPr>
            <w:tcW w:w="3192" w:type="dxa"/>
            <w:vAlign w:val="bottom"/>
          </w:tcPr>
          <w:p w14:paraId="3D872D16" w14:textId="77777777" w:rsidR="00F80502" w:rsidRPr="00F80502" w:rsidRDefault="00F80502" w:rsidP="00F80502">
            <w:pPr>
              <w:rPr>
                <w:rFonts w:cs="Arial"/>
              </w:rPr>
            </w:pPr>
            <w:r w:rsidRPr="00F80502">
              <w:rPr>
                <w:rFonts w:cs="Arial"/>
              </w:rPr>
              <w:lastRenderedPageBreak/>
              <w:t xml:space="preserve">Еритромицин 500 </w:t>
            </w:r>
            <w:r w:rsidRPr="00F80502">
              <w:rPr>
                <w:rFonts w:cs="Arial"/>
                <w:lang w:val="en-US"/>
              </w:rPr>
              <w:t>mg</w:t>
            </w:r>
            <w:r w:rsidRPr="00F80502">
              <w:rPr>
                <w:rFonts w:cs="Arial"/>
                <w:lang w:val="ru-RU"/>
              </w:rPr>
              <w:t xml:space="preserve"> </w:t>
            </w:r>
            <w:r w:rsidRPr="00F80502">
              <w:rPr>
                <w:rFonts w:cs="Arial"/>
              </w:rPr>
              <w:t>ЧД, 7 дни</w:t>
            </w:r>
          </w:p>
          <w:p w14:paraId="09657550" w14:textId="05D96F06" w:rsidR="00F80502" w:rsidRPr="00F80502" w:rsidRDefault="00F80502" w:rsidP="00F80502">
            <w:pPr>
              <w:rPr>
                <w:rFonts w:cs="Arial"/>
              </w:rPr>
            </w:pPr>
            <w:r w:rsidRPr="00F80502">
              <w:rPr>
                <w:rFonts w:cs="Arial"/>
              </w:rPr>
              <w:t xml:space="preserve">Байкалин 50 </w:t>
            </w:r>
            <w:r w:rsidRPr="00F80502">
              <w:rPr>
                <w:rFonts w:cs="Arial"/>
                <w:lang w:val="en-US"/>
              </w:rPr>
              <w:t>mg</w:t>
            </w:r>
            <w:r w:rsidRPr="00F80502">
              <w:rPr>
                <w:rFonts w:cs="Arial"/>
                <w:lang w:val="ru-RU"/>
              </w:rPr>
              <w:t xml:space="preserve"> </w:t>
            </w:r>
            <w:r w:rsidRPr="00F80502">
              <w:rPr>
                <w:rFonts w:cs="Arial"/>
              </w:rPr>
              <w:t>ТД, 14 дни</w:t>
            </w:r>
          </w:p>
        </w:tc>
        <w:tc>
          <w:tcPr>
            <w:tcW w:w="3192" w:type="dxa"/>
            <w:vAlign w:val="bottom"/>
          </w:tcPr>
          <w:p w14:paraId="0184FE58" w14:textId="77777777" w:rsidR="00F80502" w:rsidRPr="00F80502" w:rsidRDefault="00F80502" w:rsidP="00F80502">
            <w:pPr>
              <w:rPr>
                <w:rFonts w:cs="Arial"/>
              </w:rPr>
            </w:pPr>
            <w:r w:rsidRPr="00F80502">
              <w:rPr>
                <w:rFonts w:cs="Arial"/>
              </w:rPr>
              <w:t xml:space="preserve">80 </w:t>
            </w:r>
            <w:r w:rsidRPr="00F80502">
              <w:rPr>
                <w:rFonts w:cs="Arial"/>
                <w:lang w:val="en-US"/>
              </w:rPr>
              <w:t>mg</w:t>
            </w:r>
            <w:r w:rsidRPr="00F80502">
              <w:rPr>
                <w:rFonts w:cs="Arial"/>
                <w:lang w:val="ru-RU"/>
              </w:rPr>
              <w:t xml:space="preserve">, </w:t>
            </w:r>
            <w:r w:rsidRPr="00F80502">
              <w:rPr>
                <w:rFonts w:cs="Arial"/>
              </w:rPr>
              <w:t>единична доза</w:t>
            </w:r>
          </w:p>
          <w:p w14:paraId="14524339" w14:textId="661E1C2E" w:rsidR="00F80502" w:rsidRPr="00F80502" w:rsidRDefault="00F80502" w:rsidP="00F80502">
            <w:pPr>
              <w:rPr>
                <w:rFonts w:cs="Arial"/>
              </w:rPr>
            </w:pPr>
            <w:r w:rsidRPr="00F80502">
              <w:rPr>
                <w:rFonts w:cs="Arial"/>
              </w:rPr>
              <w:t xml:space="preserve">20 </w:t>
            </w:r>
            <w:r w:rsidRPr="00F80502">
              <w:rPr>
                <w:rFonts w:cs="Arial"/>
                <w:lang w:val="en-US"/>
              </w:rPr>
              <w:t>mg</w:t>
            </w:r>
            <w:r w:rsidRPr="00F80502">
              <w:rPr>
                <w:rFonts w:cs="Arial"/>
                <w:lang w:val="ru-RU"/>
              </w:rPr>
              <w:t xml:space="preserve">, </w:t>
            </w:r>
            <w:r w:rsidRPr="00F80502">
              <w:rPr>
                <w:rFonts w:cs="Arial"/>
              </w:rPr>
              <w:t>единична доза</w:t>
            </w:r>
          </w:p>
        </w:tc>
        <w:tc>
          <w:tcPr>
            <w:tcW w:w="3192" w:type="dxa"/>
            <w:vAlign w:val="bottom"/>
          </w:tcPr>
          <w:p w14:paraId="2C2C02FB" w14:textId="77777777" w:rsidR="00F80502" w:rsidRPr="00F80502" w:rsidRDefault="00F80502" w:rsidP="00F80502">
            <w:pPr>
              <w:rPr>
                <w:rFonts w:cs="Arial"/>
              </w:rPr>
            </w:pPr>
            <w:r w:rsidRPr="00F80502">
              <w:rPr>
                <w:rFonts w:cs="Arial"/>
              </w:rPr>
              <w:t xml:space="preserve">20% </w:t>
            </w:r>
            <w:r w:rsidRPr="00F80502">
              <w:rPr>
                <w:rFonts w:cs="Arial"/>
                <w:lang w:val="en-US"/>
              </w:rPr>
              <w:t>↓</w:t>
            </w:r>
          </w:p>
          <w:p w14:paraId="32E9AE49" w14:textId="2F7B1633" w:rsidR="00F80502" w:rsidRPr="00F80502" w:rsidRDefault="00F80502" w:rsidP="00F80502">
            <w:pPr>
              <w:rPr>
                <w:rFonts w:cs="Arial"/>
              </w:rPr>
            </w:pPr>
            <w:r w:rsidRPr="00F80502">
              <w:rPr>
                <w:rFonts w:cs="Arial"/>
              </w:rPr>
              <w:t>47%</w:t>
            </w:r>
            <w:r w:rsidRPr="00F80502">
              <w:rPr>
                <w:rFonts w:cs="Arial"/>
                <w:lang w:val="en-US"/>
              </w:rPr>
              <w:t>↓</w:t>
            </w:r>
          </w:p>
        </w:tc>
      </w:tr>
      <w:tr w:rsidR="00F80502" w14:paraId="1BED232D" w14:textId="77777777" w:rsidTr="007E7F5E">
        <w:tc>
          <w:tcPr>
            <w:tcW w:w="9576" w:type="dxa"/>
            <w:gridSpan w:val="3"/>
          </w:tcPr>
          <w:p w14:paraId="09A83C2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Данните, представени като х-кратна промяна, представляват просто съотношение между едновременното и самостоятелното приложение на розувастатин. Данните, представени като %-на промяна, представляват процентната разлика, отнесена към самостоятелното приложение</w:t>
            </w:r>
            <w:r w:rsidRPr="00F80502">
              <w:rPr>
                <w:rFonts w:eastAsia="Times New Roman" w:cs="Arial"/>
                <w:color w:val="000000"/>
                <w:u w:val="single"/>
                <w:lang w:eastAsia="bg-BG"/>
              </w:rPr>
              <w:t xml:space="preserve"> </w:t>
            </w:r>
            <w:r w:rsidRPr="00F80502">
              <w:rPr>
                <w:rFonts w:eastAsia="Times New Roman" w:cs="Arial"/>
                <w:color w:val="000000"/>
                <w:lang w:eastAsia="bg-BG"/>
              </w:rPr>
              <w:t>на розувастатин.</w:t>
            </w:r>
          </w:p>
          <w:p w14:paraId="1618F632"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Увеличението е показано като "</w:t>
            </w:r>
            <w:r w:rsidRPr="00F80502">
              <w:rPr>
                <w:rFonts w:eastAsia="Times New Roman" w:cs="Arial"/>
                <w:color w:val="000000"/>
                <w:lang w:val="ru-RU"/>
              </w:rPr>
              <w:t>↑</w:t>
            </w:r>
            <w:r w:rsidRPr="00F80502">
              <w:rPr>
                <w:rFonts w:eastAsia="Times New Roman" w:cs="Arial"/>
                <w:color w:val="000000"/>
                <w:lang w:eastAsia="bg-BG"/>
              </w:rPr>
              <w:t>", намалението като "</w:t>
            </w:r>
            <w:r w:rsidRPr="00F80502">
              <w:rPr>
                <w:rFonts w:eastAsia="Times New Roman" w:cs="Arial"/>
                <w:color w:val="000000"/>
                <w:lang w:val="ru-RU"/>
              </w:rPr>
              <w:t>↓</w:t>
            </w:r>
            <w:r w:rsidRPr="00F80502">
              <w:rPr>
                <w:rFonts w:eastAsia="Times New Roman" w:cs="Arial"/>
                <w:color w:val="000000"/>
                <w:lang w:eastAsia="bg-BG"/>
              </w:rPr>
              <w:t>"</w:t>
            </w:r>
          </w:p>
          <w:p w14:paraId="56A994F5"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**Няколко проучвания за взаимодействията са проведени с различна дозировка на розувастатин, таблицата показва най-значимите съотношения</w:t>
            </w:r>
          </w:p>
          <w:p w14:paraId="42C46F11" w14:textId="77777777" w:rsidR="00F80502" w:rsidRPr="00F80502" w:rsidRDefault="00F80502" w:rsidP="00F80502">
            <w:pPr>
              <w:spacing w:line="240" w:lineRule="auto"/>
              <w:rPr>
                <w:rFonts w:eastAsia="Times New Roman" w:cs="Arial"/>
              </w:rPr>
            </w:pP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площ под кривата, ВД = веднъж дневно; ДД = два пъти дневно; ТД = три пъти дневно</w:t>
            </w:r>
          </w:p>
          <w:p w14:paraId="7DE6D7AE" w14:textId="04E5C6E1" w:rsidR="00F80502" w:rsidRPr="00F80502" w:rsidRDefault="00F80502" w:rsidP="00A70FDA">
            <w:pPr>
              <w:rPr>
                <w:rFonts w:cs="Arial"/>
              </w:rPr>
            </w:pPr>
            <w:r w:rsidRPr="00F80502">
              <w:rPr>
                <w:rFonts w:eastAsia="Times New Roman" w:cs="Arial"/>
                <w:color w:val="000000"/>
                <w:lang w:eastAsia="bg-BG"/>
              </w:rPr>
              <w:t>ЧД = четири пъти дневно</w:t>
            </w:r>
          </w:p>
        </w:tc>
      </w:tr>
    </w:tbl>
    <w:p w14:paraId="2EB6FE5C" w14:textId="77A6EE56" w:rsidR="006C600B" w:rsidRDefault="006C600B" w:rsidP="00A70FDA"/>
    <w:p w14:paraId="3AC659C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Следните лекарствени продукти/комбинации не са имали клинично значим ефект върху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xml:space="preserve">на розувастатин при едновременно приложение: Алеглизавир 0,3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7 дни дозиране;</w:t>
      </w:r>
    </w:p>
    <w:p w14:paraId="666DDF9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Фенофибрат 67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ТД, 7 дни; Флуконазол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ВД, 11 дни; Фозампренавир</w:t>
      </w:r>
    </w:p>
    <w:p w14:paraId="20283A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700 </w:t>
      </w:r>
      <w:r w:rsidRPr="00F80502">
        <w:rPr>
          <w:rFonts w:eastAsia="Times New Roman" w:cs="Arial"/>
          <w:color w:val="000000"/>
          <w:lang w:val="en-US"/>
        </w:rPr>
        <w:t>mg</w:t>
      </w:r>
      <w:r w:rsidRPr="00F80502">
        <w:rPr>
          <w:rFonts w:eastAsia="Times New Roman" w:cs="Arial"/>
          <w:color w:val="000000"/>
          <w:lang w:eastAsia="bg-BG"/>
        </w:rPr>
        <w:t xml:space="preserve">/ритонавир 100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8 дни; Кетоконазол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7 дни; Рифампицин 450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ВД, 7 дни; Силимарин 140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ТД, 5 дни.</w:t>
      </w:r>
    </w:p>
    <w:p w14:paraId="08D6A8A4" w14:textId="77777777" w:rsidR="00F80502" w:rsidRPr="00F80502" w:rsidRDefault="00F80502" w:rsidP="00F80502">
      <w:pPr>
        <w:spacing w:line="240" w:lineRule="auto"/>
        <w:rPr>
          <w:rFonts w:eastAsia="Times New Roman" w:cs="Arial"/>
          <w:color w:val="000000"/>
          <w:u w:val="single"/>
          <w:lang w:eastAsia="bg-BG"/>
        </w:rPr>
      </w:pPr>
    </w:p>
    <w:p w14:paraId="4262410C" w14:textId="29143F8C"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Ефекти на розувастатин върху лекарствени продукти, приемани едновременно</w:t>
      </w:r>
    </w:p>
    <w:p w14:paraId="444DCB65" w14:textId="77777777" w:rsidR="00F80502" w:rsidRPr="00F80502" w:rsidRDefault="00F80502" w:rsidP="00F80502">
      <w:pPr>
        <w:spacing w:line="240" w:lineRule="auto"/>
        <w:rPr>
          <w:rFonts w:eastAsia="Times New Roman" w:cs="Arial"/>
          <w:i/>
          <w:iCs/>
          <w:color w:val="000000"/>
          <w:lang w:eastAsia="bg-BG"/>
        </w:rPr>
      </w:pPr>
    </w:p>
    <w:p w14:paraId="4E6641C6" w14:textId="2E1059B2"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Антагонисти на витамин К:</w:t>
      </w:r>
    </w:p>
    <w:p w14:paraId="43F62FA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Подобно на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започването на лечение с Розвера или титрирането на дозата му при пациенти, приемащи антагонисти на витамин К (като варфарин или други кумаринови антикоагуланти) може да доведе до повишение на </w:t>
      </w:r>
      <w:r w:rsidRPr="00F80502">
        <w:rPr>
          <w:rFonts w:eastAsia="Times New Roman" w:cs="Arial"/>
          <w:color w:val="000000"/>
          <w:lang w:val="en-US"/>
        </w:rPr>
        <w:t>International</w:t>
      </w:r>
      <w:r w:rsidRPr="00F80502">
        <w:rPr>
          <w:rFonts w:eastAsia="Times New Roman" w:cs="Arial"/>
          <w:color w:val="000000"/>
          <w:lang w:val="ru-RU"/>
        </w:rPr>
        <w:t xml:space="preserve"> </w:t>
      </w:r>
      <w:r w:rsidRPr="00F80502">
        <w:rPr>
          <w:rFonts w:eastAsia="Times New Roman" w:cs="Arial"/>
          <w:color w:val="000000"/>
          <w:lang w:val="en-US"/>
        </w:rPr>
        <w:t>Normalised</w:t>
      </w:r>
      <w:r w:rsidRPr="00F80502">
        <w:rPr>
          <w:rFonts w:eastAsia="Times New Roman" w:cs="Arial"/>
          <w:color w:val="000000"/>
          <w:lang w:val="ru-RU"/>
        </w:rPr>
        <w:t xml:space="preserve"> </w:t>
      </w:r>
      <w:r w:rsidRPr="00F80502">
        <w:rPr>
          <w:rFonts w:eastAsia="Times New Roman" w:cs="Arial"/>
          <w:color w:val="000000"/>
          <w:lang w:val="en-US"/>
        </w:rPr>
        <w:t>Ratio</w:t>
      </w:r>
      <w:r w:rsidRPr="00F80502">
        <w:rPr>
          <w:rFonts w:eastAsia="Times New Roman" w:cs="Arial"/>
          <w:color w:val="000000"/>
          <w:lang w:val="ru-RU"/>
        </w:rPr>
        <w:t xml:space="preserve">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Прекъсването на лечението или намаляване на дозата на титриране с Розвера може да доведе до намаление на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При подобни ситуации се препоръчва мониториране на </w:t>
      </w:r>
      <w:r w:rsidRPr="00F80502">
        <w:rPr>
          <w:rFonts w:eastAsia="Times New Roman" w:cs="Arial"/>
          <w:color w:val="000000"/>
          <w:lang w:val="en-US"/>
        </w:rPr>
        <w:t>INR</w:t>
      </w:r>
      <w:r w:rsidRPr="00F80502">
        <w:rPr>
          <w:rFonts w:eastAsia="Times New Roman" w:cs="Arial"/>
          <w:color w:val="000000"/>
          <w:lang w:val="ru-RU"/>
        </w:rPr>
        <w:t>.</w:t>
      </w:r>
    </w:p>
    <w:p w14:paraId="1F2033AB" w14:textId="77777777" w:rsidR="00F80502" w:rsidRPr="00F80502" w:rsidRDefault="00F80502" w:rsidP="00F80502">
      <w:pPr>
        <w:spacing w:line="240" w:lineRule="auto"/>
        <w:rPr>
          <w:rFonts w:eastAsia="Times New Roman" w:cs="Arial"/>
          <w:i/>
          <w:iCs/>
          <w:color w:val="000000"/>
          <w:lang w:eastAsia="bg-BG"/>
        </w:rPr>
      </w:pPr>
    </w:p>
    <w:p w14:paraId="568F1AFE" w14:textId="7780B156"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Перорални контрацептиви/хормонозаместваща терапия (ХЗТ)'.</w:t>
      </w:r>
    </w:p>
    <w:p w14:paraId="4B0B6F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на етинилестраднол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хормоно заместваща терапия и затова подобен ефект не може да се изключи. Въпреки това тази комбинация е била широко прилагана от жени в клинични изпитвания и е била толерирана добре.</w:t>
      </w:r>
    </w:p>
    <w:p w14:paraId="6EC6496B" w14:textId="77777777" w:rsidR="00F80502" w:rsidRPr="00F80502" w:rsidRDefault="00F80502" w:rsidP="00F80502">
      <w:pPr>
        <w:spacing w:line="240" w:lineRule="auto"/>
        <w:rPr>
          <w:rFonts w:eastAsia="Times New Roman" w:cs="Arial"/>
          <w:i/>
          <w:iCs/>
          <w:color w:val="000000"/>
          <w:lang w:eastAsia="bg-BG"/>
        </w:rPr>
      </w:pPr>
    </w:p>
    <w:p w14:paraId="10CAB454" w14:textId="316AF1AD"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Други лекарствени продукти:</w:t>
      </w:r>
    </w:p>
    <w:p w14:paraId="4B74A7FF" w14:textId="77777777"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Дигоксит</w:t>
      </w:r>
      <w:r w:rsidRPr="00F80502">
        <w:rPr>
          <w:rFonts w:eastAsia="Times New Roman" w:cs="Arial"/>
          <w:color w:val="000000"/>
          <w:lang w:eastAsia="bg-BG"/>
        </w:rPr>
        <w:t xml:space="preserve"> Въз основа на данните от специфични проучвания за лекарствени взаимодействия, не се очаква клинично значими взаимодействия с дигоксин.</w:t>
      </w:r>
    </w:p>
    <w:p w14:paraId="17F6871E" w14:textId="77777777" w:rsidR="00F80502" w:rsidRPr="00F80502" w:rsidRDefault="00F80502" w:rsidP="00F80502">
      <w:pPr>
        <w:spacing w:line="240" w:lineRule="auto"/>
        <w:rPr>
          <w:rFonts w:eastAsia="Times New Roman" w:cs="Arial"/>
          <w:i/>
          <w:iCs/>
          <w:color w:val="000000"/>
          <w:lang w:eastAsia="bg-BG"/>
        </w:rPr>
      </w:pPr>
    </w:p>
    <w:p w14:paraId="555DC54A" w14:textId="47FB8A54"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Фузидова киселина:</w:t>
      </w:r>
      <w:r w:rsidRPr="00F80502">
        <w:rPr>
          <w:rFonts w:eastAsia="Times New Roman" w:cs="Arial"/>
          <w:color w:val="000000"/>
          <w:lang w:eastAsia="bg-BG"/>
        </w:rPr>
        <w:t xml:space="preserve"> Рискът от миопатия, включително рабдомиолиза, може да се увеличи при едновременното системно приложение на фузидова киселина със статини. Механизмът на това взаимодействие (независимо дали е фармакодинамичен или фармакокинетичен, или и двете) е . все още неизвестен. Има съобщения за случаи на рабдомиолиза (включително с летален изход) при пациенти, приемащи тази комбинация. Ако лечението с фузидова киселина за системно приложение е необходимо, лечението </w:t>
      </w:r>
      <w:r w:rsidRPr="00F80502">
        <w:rPr>
          <w:rFonts w:eastAsia="Times New Roman" w:cs="Arial"/>
          <w:color w:val="000000"/>
          <w:lang w:eastAsia="bg-BG"/>
        </w:rPr>
        <w:lastRenderedPageBreak/>
        <w:t>със росувастатин трябва да бъде преустановено през целия период на лечение с фузидова киселина. Също така вижте точка 4.4</w:t>
      </w:r>
    </w:p>
    <w:p w14:paraId="0C1D99BA" w14:textId="77777777" w:rsidR="00F80502" w:rsidRPr="00F80502" w:rsidRDefault="00F80502" w:rsidP="00F80502">
      <w:pPr>
        <w:spacing w:line="240" w:lineRule="auto"/>
        <w:rPr>
          <w:rFonts w:eastAsia="Times New Roman" w:cs="Arial"/>
          <w:i/>
          <w:iCs/>
          <w:color w:val="000000"/>
          <w:lang w:eastAsia="bg-BG"/>
        </w:rPr>
      </w:pPr>
    </w:p>
    <w:p w14:paraId="0966980E" w14:textId="67AA5221"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Педиатрична популация:</w:t>
      </w:r>
    </w:p>
    <w:p w14:paraId="3FE40157" w14:textId="77777777"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Проучвания за взаимодействия са провеждани само при възрастни. Мащаба на взаимодействията при педиатричната популация не е известен.</w:t>
      </w:r>
    </w:p>
    <w:p w14:paraId="48EFABF7" w14:textId="38A38C3E" w:rsidR="00F80502" w:rsidRPr="00A70FDA" w:rsidRDefault="00F80502" w:rsidP="00A70FDA"/>
    <w:p w14:paraId="5D9F40EA" w14:textId="7547E5E9" w:rsidR="007122AD" w:rsidRDefault="002C50EE" w:rsidP="00936AD0">
      <w:pPr>
        <w:pStyle w:val="Heading2"/>
      </w:pPr>
      <w:r>
        <w:t>4.6. Фертилитет, бременност и кърмене</w:t>
      </w:r>
    </w:p>
    <w:p w14:paraId="624C0F1B" w14:textId="1AEC7B91" w:rsidR="00F80502" w:rsidRDefault="00F80502" w:rsidP="00F80502"/>
    <w:p w14:paraId="2F2D784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Розвера е противопоказан по време на бременност и кърмене.</w:t>
      </w:r>
    </w:p>
    <w:p w14:paraId="5694FAD1" w14:textId="77777777" w:rsidR="00F80502" w:rsidRPr="00F80502" w:rsidRDefault="00F80502" w:rsidP="00F80502">
      <w:pPr>
        <w:spacing w:line="240" w:lineRule="auto"/>
        <w:rPr>
          <w:rFonts w:eastAsia="Times New Roman" w:cs="Arial"/>
          <w:color w:val="000000"/>
          <w:u w:val="single"/>
          <w:lang w:eastAsia="bg-BG"/>
        </w:rPr>
      </w:pPr>
    </w:p>
    <w:p w14:paraId="7E6C3373" w14:textId="4C5AE877" w:rsidR="00F80502" w:rsidRPr="00F80502" w:rsidRDefault="00F80502" w:rsidP="00F80502">
      <w:pPr>
        <w:pStyle w:val="Heading3"/>
        <w:rPr>
          <w:rFonts w:eastAsia="Times New Roman"/>
          <w:u w:val="single"/>
        </w:rPr>
      </w:pPr>
      <w:r w:rsidRPr="00F80502">
        <w:rPr>
          <w:rFonts w:eastAsia="Times New Roman"/>
          <w:u w:val="single"/>
          <w:lang w:eastAsia="bg-BG"/>
        </w:rPr>
        <w:t>Бременност</w:t>
      </w:r>
    </w:p>
    <w:p w14:paraId="17FEC60E" w14:textId="08D9C918"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Жени в детеродна възраст трябва да прилагат подходящи контрацептивни мерки.</w:t>
      </w:r>
    </w:p>
    <w:p w14:paraId="0EEAF9FE" w14:textId="77777777" w:rsidR="00F80502" w:rsidRPr="00F80502" w:rsidRDefault="00F80502" w:rsidP="00F80502">
      <w:pPr>
        <w:rPr>
          <w:rFonts w:eastAsia="Times New Roman" w:cs="Arial"/>
          <w:color w:val="000000"/>
          <w:lang w:eastAsia="bg-BG"/>
        </w:rPr>
      </w:pPr>
    </w:p>
    <w:p w14:paraId="7D4D2DB5" w14:textId="678550B9" w:rsidR="00F80502" w:rsidRPr="00F80502" w:rsidRDefault="00F80502" w:rsidP="00F80502">
      <w:pPr>
        <w:rPr>
          <w:rFonts w:eastAsia="Times New Roman" w:cs="Arial"/>
          <w:color w:val="000000"/>
          <w:lang w:eastAsia="bg-BG"/>
        </w:rPr>
      </w:pPr>
      <w:r w:rsidRPr="00F80502">
        <w:rPr>
          <w:rFonts w:eastAsia="Times New Roman" w:cs="Arial"/>
          <w:color w:val="000000"/>
          <w:lang w:eastAsia="bg-BG"/>
        </w:rPr>
        <w:t>Холестеролът и други продукти на холестероловия биосинтез са важни за развитието</w:t>
      </w:r>
      <w:r w:rsidRPr="00F80502">
        <w:rPr>
          <w:rFonts w:eastAsia="Times New Roman" w:cs="Arial"/>
          <w:color w:val="000000"/>
          <w:lang w:val="ru-RU"/>
        </w:rPr>
        <w:t xml:space="preserve"> </w:t>
      </w:r>
      <w:r w:rsidRPr="00F80502">
        <w:rPr>
          <w:rFonts w:eastAsia="Times New Roman" w:cs="Arial"/>
          <w:color w:val="000000"/>
          <w:lang w:eastAsia="bg-BG"/>
        </w:rPr>
        <w:t xml:space="preserve">на плода Ето защо потенциалният риск от инхибиране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приема трябва да бъде незабавно преустановенен</w:t>
      </w:r>
    </w:p>
    <w:p w14:paraId="0076C60B" w14:textId="679838A2" w:rsidR="00F80502" w:rsidRPr="00F80502" w:rsidRDefault="00F80502" w:rsidP="00F80502">
      <w:pPr>
        <w:rPr>
          <w:rFonts w:eastAsia="Times New Roman" w:cs="Arial"/>
          <w:color w:val="000000"/>
          <w:lang w:eastAsia="bg-BG"/>
        </w:rPr>
      </w:pPr>
    </w:p>
    <w:p w14:paraId="43E2FD4B" w14:textId="77777777" w:rsidR="00F80502" w:rsidRPr="00F80502" w:rsidRDefault="00F80502" w:rsidP="00F80502">
      <w:pPr>
        <w:pStyle w:val="Heading3"/>
        <w:rPr>
          <w:rFonts w:eastAsia="Times New Roman"/>
          <w:u w:val="single"/>
        </w:rPr>
      </w:pPr>
      <w:r w:rsidRPr="00F80502">
        <w:rPr>
          <w:rFonts w:eastAsia="Times New Roman"/>
          <w:u w:val="single"/>
          <w:lang w:eastAsia="bg-BG"/>
        </w:rPr>
        <w:t>Кърмене</w:t>
      </w:r>
    </w:p>
    <w:p w14:paraId="761BF46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Розувастатин се екскретира в млякото на плъхове. Няма установени данни за отделяне в млякото при хората (вж. точка 4.3).</w:t>
      </w:r>
    </w:p>
    <w:p w14:paraId="55C1983C" w14:textId="77777777" w:rsidR="00F80502" w:rsidRPr="00F80502" w:rsidRDefault="00F80502" w:rsidP="00F80502"/>
    <w:p w14:paraId="5DD7A76D" w14:textId="52940C5F" w:rsidR="007122AD" w:rsidRDefault="002C50EE" w:rsidP="00936AD0">
      <w:pPr>
        <w:pStyle w:val="Heading2"/>
      </w:pPr>
      <w:r>
        <w:t>4.7. Ефекти върху способността за шофиране и работа с машини</w:t>
      </w:r>
    </w:p>
    <w:p w14:paraId="14AB810A" w14:textId="12821F06" w:rsidR="00F80502" w:rsidRDefault="00F80502" w:rsidP="00F80502"/>
    <w:p w14:paraId="24ECDA1C" w14:textId="09B817A8" w:rsidR="00F80502" w:rsidRDefault="00F80502" w:rsidP="00F80502">
      <w:r>
        <w:t>Не са провеждани проучвания за установяване на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76703D61" w14:textId="77777777" w:rsidR="00F80502" w:rsidRPr="00F80502" w:rsidRDefault="00F80502" w:rsidP="00F80502"/>
    <w:p w14:paraId="44CE30A3" w14:textId="39B18332" w:rsidR="007122AD" w:rsidRDefault="002C50EE" w:rsidP="00936AD0">
      <w:pPr>
        <w:pStyle w:val="Heading2"/>
      </w:pPr>
      <w:r>
        <w:t>4.8. Нежелани лекарствени реакции</w:t>
      </w:r>
    </w:p>
    <w:p w14:paraId="6A02D527" w14:textId="4AEF98AA" w:rsidR="00F80502" w:rsidRDefault="00F80502" w:rsidP="00F80502"/>
    <w:p w14:paraId="10DC3AF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Обобщение на профила на безопасност</w:t>
      </w:r>
    </w:p>
    <w:p w14:paraId="6BCF702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Нежеланите реакции, наблюдавани при употребата на розувастатин, обикновено са леки и преходни. При контролираните клинични изпитвания под 4% от пациентите, лекувани с розувастатин, са прекъснали лечението поради нежелани реакции.</w:t>
      </w:r>
    </w:p>
    <w:p w14:paraId="73E640B9" w14:textId="77777777" w:rsidR="00F80502" w:rsidRPr="00F80502" w:rsidRDefault="00F80502" w:rsidP="00F80502">
      <w:pPr>
        <w:spacing w:line="240" w:lineRule="auto"/>
        <w:rPr>
          <w:rFonts w:eastAsia="Times New Roman" w:cs="Arial"/>
          <w:color w:val="000000"/>
          <w:u w:val="single"/>
          <w:lang w:eastAsia="bg-BG"/>
        </w:rPr>
      </w:pPr>
    </w:p>
    <w:p w14:paraId="100E27CA" w14:textId="13886DBA"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Табличен вид на нежеланите реакции</w:t>
      </w:r>
    </w:p>
    <w:p w14:paraId="0A193D0A"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Базирана на клинични проучвания и продължителен пост-маркетингов опит, следната таблица показва профила на нежеланите реакции на розувастатин. Нежеланите реакции, изброени по- долу са класифицирани спрямо честотата и системо-органен клас (СОК).</w:t>
      </w:r>
    </w:p>
    <w:p w14:paraId="32F3EEC9" w14:textId="77777777" w:rsidR="00F80502" w:rsidRPr="00F80502" w:rsidRDefault="00F80502" w:rsidP="00F80502">
      <w:pPr>
        <w:spacing w:line="240" w:lineRule="auto"/>
        <w:rPr>
          <w:rFonts w:eastAsia="Times New Roman" w:cs="Arial"/>
          <w:color w:val="000000"/>
          <w:lang w:eastAsia="bg-BG"/>
        </w:rPr>
      </w:pPr>
    </w:p>
    <w:p w14:paraId="26F8550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чести (&gt; 1/10)</w:t>
      </w:r>
    </w:p>
    <w:p w14:paraId="6E4FFAAC"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Чести(&gt; 1/100 до &lt; 1/10)</w:t>
      </w:r>
    </w:p>
    <w:p w14:paraId="73ED7FA8"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lastRenderedPageBreak/>
        <w:t>Нечести (&gt; 1/1 000 до &lt;1/100)</w:t>
      </w:r>
    </w:p>
    <w:p w14:paraId="70550EB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Редки (&gt; 1/10 000 до &lt; 1/1 000)</w:t>
      </w:r>
    </w:p>
    <w:p w14:paraId="2C5EC4E6"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редки (&lt; 1/10 000)</w:t>
      </w:r>
    </w:p>
    <w:p w14:paraId="11F27CA1" w14:textId="1EC95215"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С неизвестна честота (не може да бъде оценена от наличните данни)</w:t>
      </w:r>
    </w:p>
    <w:p w14:paraId="08BF18C4" w14:textId="77777777" w:rsidR="00F80502" w:rsidRPr="00F80502" w:rsidRDefault="00F80502" w:rsidP="00F80502">
      <w:pPr>
        <w:spacing w:line="240" w:lineRule="auto"/>
        <w:rPr>
          <w:rFonts w:eastAsia="Times New Roman" w:cs="Arial"/>
          <w:color w:val="000000"/>
          <w:lang w:eastAsia="bg-BG"/>
        </w:rPr>
      </w:pPr>
    </w:p>
    <w:p w14:paraId="1EA3F8B1" w14:textId="4AB47A2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Таблица 2. Нежелани реакции, базирани на данни от клинични проучвания и пост маркетингов опит</w:t>
      </w:r>
    </w:p>
    <w:p w14:paraId="64C09749" w14:textId="4F2687F1" w:rsidR="00F80502" w:rsidRDefault="00F80502" w:rsidP="00F80502"/>
    <w:tbl>
      <w:tblPr>
        <w:tblStyle w:val="TableGrid"/>
        <w:tblW w:w="0" w:type="auto"/>
        <w:tblLook w:val="04A0" w:firstRow="1" w:lastRow="0" w:firstColumn="1" w:lastColumn="0" w:noHBand="0" w:noVBand="1"/>
      </w:tblPr>
      <w:tblGrid>
        <w:gridCol w:w="1740"/>
        <w:gridCol w:w="1301"/>
        <w:gridCol w:w="1157"/>
        <w:gridCol w:w="1851"/>
        <w:gridCol w:w="1733"/>
        <w:gridCol w:w="1568"/>
      </w:tblGrid>
      <w:tr w:rsidR="00F80502" w14:paraId="34105824" w14:textId="77777777" w:rsidTr="00F80502">
        <w:tc>
          <w:tcPr>
            <w:tcW w:w="1784" w:type="dxa"/>
            <w:vAlign w:val="bottom"/>
          </w:tcPr>
          <w:p w14:paraId="6499BB7B" w14:textId="6F4430CD" w:rsidR="00F80502" w:rsidRDefault="00F80502" w:rsidP="00F80502">
            <w:r>
              <w:rPr>
                <w:b/>
                <w:bCs/>
              </w:rPr>
              <w:t>Системо- органен клас</w:t>
            </w:r>
          </w:p>
        </w:tc>
        <w:tc>
          <w:tcPr>
            <w:tcW w:w="1331" w:type="dxa"/>
          </w:tcPr>
          <w:p w14:paraId="78BA4B00" w14:textId="26112887" w:rsidR="00F80502" w:rsidRDefault="00F80502" w:rsidP="00F80502">
            <w:r>
              <w:rPr>
                <w:b/>
                <w:bCs/>
              </w:rPr>
              <w:t>Чести</w:t>
            </w:r>
          </w:p>
        </w:tc>
        <w:tc>
          <w:tcPr>
            <w:tcW w:w="1184" w:type="dxa"/>
          </w:tcPr>
          <w:p w14:paraId="1DDC3FBB" w14:textId="7B4C86DA" w:rsidR="00F80502" w:rsidRDefault="00F80502" w:rsidP="00F80502">
            <w:r>
              <w:rPr>
                <w:b/>
                <w:bCs/>
              </w:rPr>
              <w:t>Нечести</w:t>
            </w:r>
          </w:p>
        </w:tc>
        <w:tc>
          <w:tcPr>
            <w:tcW w:w="1896" w:type="dxa"/>
          </w:tcPr>
          <w:p w14:paraId="25859ECF" w14:textId="41DE41CC" w:rsidR="00F80502" w:rsidRDefault="00F80502" w:rsidP="00F80502">
            <w:r>
              <w:rPr>
                <w:b/>
                <w:bCs/>
              </w:rPr>
              <w:t>Редки</w:t>
            </w:r>
          </w:p>
        </w:tc>
        <w:tc>
          <w:tcPr>
            <w:tcW w:w="1775" w:type="dxa"/>
          </w:tcPr>
          <w:p w14:paraId="122A35AE" w14:textId="068EF878" w:rsidR="00F80502" w:rsidRDefault="00F80502" w:rsidP="00F80502">
            <w:r>
              <w:rPr>
                <w:b/>
                <w:bCs/>
              </w:rPr>
              <w:t>Много редки</w:t>
            </w:r>
          </w:p>
        </w:tc>
        <w:tc>
          <w:tcPr>
            <w:tcW w:w="1606" w:type="dxa"/>
            <w:vAlign w:val="bottom"/>
          </w:tcPr>
          <w:p w14:paraId="785A1CD0" w14:textId="35DEC067" w:rsidR="00F80502" w:rsidRDefault="00F80502" w:rsidP="00F80502">
            <w:r>
              <w:rPr>
                <w:b/>
                <w:bCs/>
              </w:rPr>
              <w:t>С неизвестна честота</w:t>
            </w:r>
          </w:p>
        </w:tc>
      </w:tr>
      <w:tr w:rsidR="00F80502" w14:paraId="74ECEBD6" w14:textId="77777777" w:rsidTr="00F80502">
        <w:tc>
          <w:tcPr>
            <w:tcW w:w="1784" w:type="dxa"/>
            <w:vAlign w:val="bottom"/>
          </w:tcPr>
          <w:p w14:paraId="72122B3A" w14:textId="3D87FAB9" w:rsidR="00F80502" w:rsidRDefault="00F80502" w:rsidP="00F80502">
            <w:r>
              <w:rPr>
                <w:i/>
                <w:iCs/>
              </w:rPr>
              <w:t>Нарушения на кръвта и лимфната система</w:t>
            </w:r>
          </w:p>
        </w:tc>
        <w:tc>
          <w:tcPr>
            <w:tcW w:w="1331" w:type="dxa"/>
          </w:tcPr>
          <w:p w14:paraId="3E113B38" w14:textId="77777777" w:rsidR="00F80502" w:rsidRDefault="00F80502" w:rsidP="00F80502"/>
        </w:tc>
        <w:tc>
          <w:tcPr>
            <w:tcW w:w="1184" w:type="dxa"/>
          </w:tcPr>
          <w:p w14:paraId="3619A398" w14:textId="77777777" w:rsidR="00F80502" w:rsidRDefault="00F80502" w:rsidP="00F80502"/>
        </w:tc>
        <w:tc>
          <w:tcPr>
            <w:tcW w:w="1896" w:type="dxa"/>
          </w:tcPr>
          <w:p w14:paraId="10A5C64E" w14:textId="24AA53BD" w:rsidR="00F80502" w:rsidRDefault="00F80502" w:rsidP="00F80502">
            <w:r>
              <w:t>Тромбоцитопения</w:t>
            </w:r>
          </w:p>
        </w:tc>
        <w:tc>
          <w:tcPr>
            <w:tcW w:w="1775" w:type="dxa"/>
          </w:tcPr>
          <w:p w14:paraId="42B547C5" w14:textId="77777777" w:rsidR="00F80502" w:rsidRDefault="00F80502" w:rsidP="00F80502"/>
        </w:tc>
        <w:tc>
          <w:tcPr>
            <w:tcW w:w="1606" w:type="dxa"/>
          </w:tcPr>
          <w:p w14:paraId="3F8F3B90" w14:textId="77777777" w:rsidR="00F80502" w:rsidRDefault="00F80502" w:rsidP="00F80502"/>
        </w:tc>
      </w:tr>
      <w:tr w:rsidR="00F80502" w14:paraId="64EA4558" w14:textId="77777777" w:rsidTr="00F80502">
        <w:tc>
          <w:tcPr>
            <w:tcW w:w="1784" w:type="dxa"/>
          </w:tcPr>
          <w:p w14:paraId="4020597E" w14:textId="355B4CE8" w:rsidR="00F80502" w:rsidRDefault="00F80502" w:rsidP="00F80502">
            <w:r>
              <w:rPr>
                <w:i/>
                <w:iCs/>
              </w:rPr>
              <w:t>Нарушения на имунната система</w:t>
            </w:r>
          </w:p>
        </w:tc>
        <w:tc>
          <w:tcPr>
            <w:tcW w:w="1331" w:type="dxa"/>
          </w:tcPr>
          <w:p w14:paraId="34160E37" w14:textId="77777777" w:rsidR="00F80502" w:rsidRDefault="00F80502" w:rsidP="00F80502"/>
        </w:tc>
        <w:tc>
          <w:tcPr>
            <w:tcW w:w="1184" w:type="dxa"/>
          </w:tcPr>
          <w:p w14:paraId="4D2C2CD8" w14:textId="77777777" w:rsidR="00F80502" w:rsidRDefault="00F80502" w:rsidP="00F80502"/>
        </w:tc>
        <w:tc>
          <w:tcPr>
            <w:tcW w:w="1896" w:type="dxa"/>
            <w:vAlign w:val="bottom"/>
          </w:tcPr>
          <w:p w14:paraId="32C144A5" w14:textId="0AA2328E" w:rsidR="00F80502" w:rsidRDefault="00F80502" w:rsidP="00F80502">
            <w:r>
              <w:t>Реакции на свръхчувстви</w:t>
            </w:r>
            <w:r>
              <w:softHyphen/>
              <w:t>телност, включително ангиоедем</w:t>
            </w:r>
          </w:p>
        </w:tc>
        <w:tc>
          <w:tcPr>
            <w:tcW w:w="1775" w:type="dxa"/>
          </w:tcPr>
          <w:p w14:paraId="3B73302E" w14:textId="77777777" w:rsidR="00F80502" w:rsidRDefault="00F80502" w:rsidP="00F80502"/>
        </w:tc>
        <w:tc>
          <w:tcPr>
            <w:tcW w:w="1606" w:type="dxa"/>
          </w:tcPr>
          <w:p w14:paraId="4D0C1E11" w14:textId="77777777" w:rsidR="00F80502" w:rsidRDefault="00F80502" w:rsidP="00F80502"/>
        </w:tc>
      </w:tr>
      <w:tr w:rsidR="00F80502" w14:paraId="1B6475BC" w14:textId="77777777" w:rsidTr="00F80502">
        <w:tc>
          <w:tcPr>
            <w:tcW w:w="1784" w:type="dxa"/>
            <w:vAlign w:val="bottom"/>
          </w:tcPr>
          <w:p w14:paraId="0A7332A3" w14:textId="0B7A3600" w:rsidR="00F80502" w:rsidRDefault="00F80502" w:rsidP="00F80502">
            <w:r>
              <w:rPr>
                <w:i/>
                <w:iCs/>
              </w:rPr>
              <w:t>Ендокринни нарушения</w:t>
            </w:r>
          </w:p>
        </w:tc>
        <w:tc>
          <w:tcPr>
            <w:tcW w:w="1331" w:type="dxa"/>
            <w:vAlign w:val="bottom"/>
          </w:tcPr>
          <w:p w14:paraId="006A5FC0" w14:textId="79772D76" w:rsidR="00F80502" w:rsidRDefault="00F80502" w:rsidP="00F80502">
            <w:r>
              <w:t>Захарен диабет</w:t>
            </w:r>
            <w:r w:rsidRPr="00F80502">
              <w:rPr>
                <w:vertAlign w:val="superscript"/>
              </w:rPr>
              <w:t>1</w:t>
            </w:r>
          </w:p>
        </w:tc>
        <w:tc>
          <w:tcPr>
            <w:tcW w:w="1184" w:type="dxa"/>
          </w:tcPr>
          <w:p w14:paraId="0BE7F5A3" w14:textId="77777777" w:rsidR="00F80502" w:rsidRDefault="00F80502" w:rsidP="00F80502"/>
        </w:tc>
        <w:tc>
          <w:tcPr>
            <w:tcW w:w="1896" w:type="dxa"/>
          </w:tcPr>
          <w:p w14:paraId="5CC71A1F" w14:textId="77777777" w:rsidR="00F80502" w:rsidRDefault="00F80502" w:rsidP="00F80502"/>
        </w:tc>
        <w:tc>
          <w:tcPr>
            <w:tcW w:w="1775" w:type="dxa"/>
          </w:tcPr>
          <w:p w14:paraId="5D420D89" w14:textId="77777777" w:rsidR="00F80502" w:rsidRDefault="00F80502" w:rsidP="00F80502"/>
        </w:tc>
        <w:tc>
          <w:tcPr>
            <w:tcW w:w="1606" w:type="dxa"/>
          </w:tcPr>
          <w:p w14:paraId="4A0E2313" w14:textId="77777777" w:rsidR="00F80502" w:rsidRDefault="00F80502" w:rsidP="00F80502"/>
        </w:tc>
      </w:tr>
      <w:tr w:rsidR="00F80502" w14:paraId="2999FA17" w14:textId="77777777" w:rsidTr="00F80502">
        <w:tc>
          <w:tcPr>
            <w:tcW w:w="1784" w:type="dxa"/>
            <w:vAlign w:val="bottom"/>
          </w:tcPr>
          <w:p w14:paraId="78055B00" w14:textId="5731F1BA" w:rsidR="00F80502" w:rsidRDefault="00F80502" w:rsidP="00F80502">
            <w:r>
              <w:rPr>
                <w:i/>
                <w:iCs/>
              </w:rPr>
              <w:t>Психични нарушения</w:t>
            </w:r>
          </w:p>
        </w:tc>
        <w:tc>
          <w:tcPr>
            <w:tcW w:w="1331" w:type="dxa"/>
          </w:tcPr>
          <w:p w14:paraId="00810790" w14:textId="77777777" w:rsidR="00F80502" w:rsidRDefault="00F80502" w:rsidP="00F80502"/>
        </w:tc>
        <w:tc>
          <w:tcPr>
            <w:tcW w:w="1184" w:type="dxa"/>
          </w:tcPr>
          <w:p w14:paraId="710BDCD3" w14:textId="77777777" w:rsidR="00F80502" w:rsidRDefault="00F80502" w:rsidP="00F80502"/>
        </w:tc>
        <w:tc>
          <w:tcPr>
            <w:tcW w:w="1896" w:type="dxa"/>
          </w:tcPr>
          <w:p w14:paraId="6F238FB9" w14:textId="77777777" w:rsidR="00F80502" w:rsidRDefault="00F80502" w:rsidP="00F80502"/>
        </w:tc>
        <w:tc>
          <w:tcPr>
            <w:tcW w:w="1775" w:type="dxa"/>
          </w:tcPr>
          <w:p w14:paraId="424DA85D" w14:textId="77777777" w:rsidR="00F80502" w:rsidRDefault="00F80502" w:rsidP="00F80502"/>
        </w:tc>
        <w:tc>
          <w:tcPr>
            <w:tcW w:w="1606" w:type="dxa"/>
          </w:tcPr>
          <w:p w14:paraId="3840D0E0" w14:textId="321342BD" w:rsidR="00F80502" w:rsidRDefault="00F80502" w:rsidP="00F80502">
            <w:r>
              <w:t>Депресия</w:t>
            </w:r>
          </w:p>
        </w:tc>
      </w:tr>
      <w:tr w:rsidR="00F80502" w14:paraId="4CACA038" w14:textId="77777777" w:rsidTr="00F80502">
        <w:tc>
          <w:tcPr>
            <w:tcW w:w="1784" w:type="dxa"/>
          </w:tcPr>
          <w:p w14:paraId="131C2098" w14:textId="36C5A1F3" w:rsidR="00F80502" w:rsidRDefault="00F80502" w:rsidP="00F80502">
            <w:r>
              <w:rPr>
                <w:i/>
                <w:iCs/>
              </w:rPr>
              <w:t>Нарушения на нервната система</w:t>
            </w:r>
          </w:p>
        </w:tc>
        <w:tc>
          <w:tcPr>
            <w:tcW w:w="1331" w:type="dxa"/>
          </w:tcPr>
          <w:p w14:paraId="56E2B607" w14:textId="77777777" w:rsidR="00F80502" w:rsidRDefault="00F80502" w:rsidP="00F80502">
            <w:r>
              <w:t>Главоболие</w:t>
            </w:r>
          </w:p>
          <w:p w14:paraId="391B31B3" w14:textId="526E00B6" w:rsidR="00F80502" w:rsidRDefault="00F80502" w:rsidP="00F80502">
            <w:r>
              <w:t>Замаяност</w:t>
            </w:r>
          </w:p>
        </w:tc>
        <w:tc>
          <w:tcPr>
            <w:tcW w:w="1184" w:type="dxa"/>
          </w:tcPr>
          <w:p w14:paraId="634E68A2" w14:textId="77777777" w:rsidR="00F80502" w:rsidRDefault="00F80502" w:rsidP="00F80502"/>
        </w:tc>
        <w:tc>
          <w:tcPr>
            <w:tcW w:w="1896" w:type="dxa"/>
          </w:tcPr>
          <w:p w14:paraId="5210E910" w14:textId="77777777" w:rsidR="00F80502" w:rsidRDefault="00F80502" w:rsidP="00F80502"/>
        </w:tc>
        <w:tc>
          <w:tcPr>
            <w:tcW w:w="1775" w:type="dxa"/>
          </w:tcPr>
          <w:p w14:paraId="611E1B9C" w14:textId="77777777" w:rsidR="00F80502" w:rsidRDefault="00F80502" w:rsidP="00F80502">
            <w:r>
              <w:t>Полиневропатия Загуба на</w:t>
            </w:r>
          </w:p>
          <w:p w14:paraId="6DC9FF53" w14:textId="5B16132D" w:rsidR="00F80502" w:rsidRDefault="00F80502" w:rsidP="00F80502">
            <w:r>
              <w:t>паметта</w:t>
            </w:r>
          </w:p>
        </w:tc>
        <w:tc>
          <w:tcPr>
            <w:tcW w:w="1606" w:type="dxa"/>
          </w:tcPr>
          <w:p w14:paraId="45295DDF"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Периферна</w:t>
            </w:r>
          </w:p>
          <w:p w14:paraId="5F0302C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невропатия</w:t>
            </w:r>
          </w:p>
          <w:p w14:paraId="118DC90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Нарушения</w:t>
            </w:r>
          </w:p>
          <w:p w14:paraId="0765273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 съня</w:t>
            </w:r>
          </w:p>
          <w:p w14:paraId="4E9E72D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(включиотелно</w:t>
            </w:r>
          </w:p>
          <w:p w14:paraId="2FA8D11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безсъние</w:t>
            </w:r>
          </w:p>
          <w:p w14:paraId="7954FE4C" w14:textId="08669DBF"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и кошмари)</w:t>
            </w:r>
          </w:p>
        </w:tc>
      </w:tr>
      <w:tr w:rsidR="00F80502" w14:paraId="17BF9578" w14:textId="77777777" w:rsidTr="00F80502">
        <w:tc>
          <w:tcPr>
            <w:tcW w:w="1784" w:type="dxa"/>
          </w:tcPr>
          <w:p w14:paraId="158B72DE" w14:textId="0E68D663" w:rsidR="00F80502" w:rsidRPr="00F80502" w:rsidRDefault="00F80502" w:rsidP="00F80502">
            <w:pPr>
              <w:rPr>
                <w:rFonts w:cs="Arial"/>
              </w:rPr>
            </w:pPr>
            <w:r w:rsidRPr="00F80502">
              <w:rPr>
                <w:rFonts w:cs="Arial"/>
                <w:i/>
                <w:iCs/>
              </w:rPr>
              <w:t>Респираторни, гръдни и медиастинални нарушения</w:t>
            </w:r>
          </w:p>
        </w:tc>
        <w:tc>
          <w:tcPr>
            <w:tcW w:w="1331" w:type="dxa"/>
          </w:tcPr>
          <w:p w14:paraId="21C25F0E" w14:textId="77777777" w:rsidR="00F80502" w:rsidRPr="00F80502" w:rsidRDefault="00F80502" w:rsidP="00F80502">
            <w:pPr>
              <w:rPr>
                <w:rFonts w:cs="Arial"/>
              </w:rPr>
            </w:pPr>
          </w:p>
        </w:tc>
        <w:tc>
          <w:tcPr>
            <w:tcW w:w="1184" w:type="dxa"/>
          </w:tcPr>
          <w:p w14:paraId="38C55C9A" w14:textId="77777777" w:rsidR="00F80502" w:rsidRPr="00F80502" w:rsidRDefault="00F80502" w:rsidP="00F80502">
            <w:pPr>
              <w:rPr>
                <w:rFonts w:cs="Arial"/>
              </w:rPr>
            </w:pPr>
          </w:p>
        </w:tc>
        <w:tc>
          <w:tcPr>
            <w:tcW w:w="1896" w:type="dxa"/>
          </w:tcPr>
          <w:p w14:paraId="067E427C" w14:textId="77777777" w:rsidR="00F80502" w:rsidRPr="00F80502" w:rsidRDefault="00F80502" w:rsidP="00F80502">
            <w:pPr>
              <w:rPr>
                <w:rFonts w:cs="Arial"/>
              </w:rPr>
            </w:pPr>
          </w:p>
        </w:tc>
        <w:tc>
          <w:tcPr>
            <w:tcW w:w="1775" w:type="dxa"/>
          </w:tcPr>
          <w:p w14:paraId="34C94DEA" w14:textId="77777777" w:rsidR="00F80502" w:rsidRPr="00F80502" w:rsidRDefault="00F80502" w:rsidP="00F80502">
            <w:pPr>
              <w:rPr>
                <w:rFonts w:cs="Arial"/>
              </w:rPr>
            </w:pPr>
          </w:p>
        </w:tc>
        <w:tc>
          <w:tcPr>
            <w:tcW w:w="1606" w:type="dxa"/>
          </w:tcPr>
          <w:p w14:paraId="66F551B4" w14:textId="77777777" w:rsidR="00F80502" w:rsidRPr="00F80502" w:rsidRDefault="00F80502" w:rsidP="00F80502">
            <w:pPr>
              <w:rPr>
                <w:rFonts w:cs="Arial"/>
              </w:rPr>
            </w:pPr>
            <w:r w:rsidRPr="00F80502">
              <w:rPr>
                <w:rFonts w:cs="Arial"/>
              </w:rPr>
              <w:t>Кашлица</w:t>
            </w:r>
          </w:p>
          <w:p w14:paraId="29BECCB2" w14:textId="6C4C5A01" w:rsidR="00F80502" w:rsidRPr="00F80502" w:rsidRDefault="00F80502" w:rsidP="00F80502">
            <w:pPr>
              <w:rPr>
                <w:rFonts w:cs="Arial"/>
              </w:rPr>
            </w:pPr>
            <w:r w:rsidRPr="00F80502">
              <w:rPr>
                <w:rFonts w:cs="Arial"/>
              </w:rPr>
              <w:t>Диспнеа</w:t>
            </w:r>
          </w:p>
        </w:tc>
      </w:tr>
      <w:tr w:rsidR="00F80502" w14:paraId="54A6C85E" w14:textId="77777777" w:rsidTr="00F80502">
        <w:tc>
          <w:tcPr>
            <w:tcW w:w="1784" w:type="dxa"/>
          </w:tcPr>
          <w:p w14:paraId="2BD5D70A" w14:textId="4825BC9E" w:rsidR="00F80502" w:rsidRPr="00F80502" w:rsidRDefault="00F80502" w:rsidP="00F80502">
            <w:pPr>
              <w:rPr>
                <w:rFonts w:cs="Arial"/>
              </w:rPr>
            </w:pPr>
            <w:r w:rsidRPr="00F80502">
              <w:rPr>
                <w:rFonts w:cs="Arial"/>
                <w:i/>
                <w:iCs/>
              </w:rPr>
              <w:t>Стомашно- чревни нарушения</w:t>
            </w:r>
          </w:p>
        </w:tc>
        <w:tc>
          <w:tcPr>
            <w:tcW w:w="1331" w:type="dxa"/>
          </w:tcPr>
          <w:p w14:paraId="45A7682F" w14:textId="6AC1D4BC" w:rsidR="00F80502" w:rsidRPr="00F80502" w:rsidRDefault="00F80502" w:rsidP="00F80502">
            <w:pPr>
              <w:rPr>
                <w:rFonts w:cs="Arial"/>
              </w:rPr>
            </w:pPr>
            <w:r w:rsidRPr="00F80502">
              <w:rPr>
                <w:rFonts w:cs="Arial"/>
              </w:rPr>
              <w:t>Запек Гадене Коремна болка</w:t>
            </w:r>
          </w:p>
        </w:tc>
        <w:tc>
          <w:tcPr>
            <w:tcW w:w="1184" w:type="dxa"/>
          </w:tcPr>
          <w:p w14:paraId="4254ACD7" w14:textId="77777777" w:rsidR="00F80502" w:rsidRPr="00F80502" w:rsidRDefault="00F80502" w:rsidP="00F80502">
            <w:pPr>
              <w:rPr>
                <w:rFonts w:cs="Arial"/>
              </w:rPr>
            </w:pPr>
          </w:p>
        </w:tc>
        <w:tc>
          <w:tcPr>
            <w:tcW w:w="1896" w:type="dxa"/>
          </w:tcPr>
          <w:p w14:paraId="45777ECF" w14:textId="290B1A3F" w:rsidR="00F80502" w:rsidRPr="00F80502" w:rsidRDefault="00F80502" w:rsidP="00F80502">
            <w:pPr>
              <w:rPr>
                <w:rFonts w:cs="Arial"/>
              </w:rPr>
            </w:pPr>
            <w:r w:rsidRPr="00F80502">
              <w:rPr>
                <w:rFonts w:cs="Arial"/>
              </w:rPr>
              <w:t>Панкреатит</w:t>
            </w:r>
          </w:p>
        </w:tc>
        <w:tc>
          <w:tcPr>
            <w:tcW w:w="1775" w:type="dxa"/>
          </w:tcPr>
          <w:p w14:paraId="1448A8B6" w14:textId="77777777" w:rsidR="00F80502" w:rsidRPr="00F80502" w:rsidRDefault="00F80502" w:rsidP="00F80502">
            <w:pPr>
              <w:rPr>
                <w:rFonts w:cs="Arial"/>
              </w:rPr>
            </w:pPr>
          </w:p>
        </w:tc>
        <w:tc>
          <w:tcPr>
            <w:tcW w:w="1606" w:type="dxa"/>
          </w:tcPr>
          <w:p w14:paraId="427D1BF8" w14:textId="29FAB695" w:rsidR="00F80502" w:rsidRPr="00F80502" w:rsidRDefault="00F80502" w:rsidP="00F80502">
            <w:pPr>
              <w:rPr>
                <w:rFonts w:cs="Arial"/>
              </w:rPr>
            </w:pPr>
            <w:r w:rsidRPr="00F80502">
              <w:rPr>
                <w:rFonts w:cs="Arial"/>
              </w:rPr>
              <w:t>Диария</w:t>
            </w:r>
          </w:p>
        </w:tc>
      </w:tr>
      <w:tr w:rsidR="00F80502" w14:paraId="2D97DDCD" w14:textId="77777777" w:rsidTr="00F80502">
        <w:tc>
          <w:tcPr>
            <w:tcW w:w="1784" w:type="dxa"/>
          </w:tcPr>
          <w:p w14:paraId="1D619EBC" w14:textId="123B47DA" w:rsidR="00F80502" w:rsidRPr="00F80502" w:rsidRDefault="00F80502" w:rsidP="00F80502">
            <w:pPr>
              <w:rPr>
                <w:rFonts w:cs="Arial"/>
              </w:rPr>
            </w:pPr>
            <w:r w:rsidRPr="00F80502">
              <w:rPr>
                <w:rFonts w:cs="Arial"/>
                <w:i/>
                <w:iCs/>
              </w:rPr>
              <w:t>Хепато- билиарни нарушения</w:t>
            </w:r>
          </w:p>
        </w:tc>
        <w:tc>
          <w:tcPr>
            <w:tcW w:w="1331" w:type="dxa"/>
          </w:tcPr>
          <w:p w14:paraId="45134AF1" w14:textId="77777777" w:rsidR="00F80502" w:rsidRPr="00F80502" w:rsidRDefault="00F80502" w:rsidP="00F80502">
            <w:pPr>
              <w:rPr>
                <w:rFonts w:cs="Arial"/>
              </w:rPr>
            </w:pPr>
          </w:p>
        </w:tc>
        <w:tc>
          <w:tcPr>
            <w:tcW w:w="1184" w:type="dxa"/>
          </w:tcPr>
          <w:p w14:paraId="102EE5AE" w14:textId="77777777" w:rsidR="00F80502" w:rsidRPr="00F80502" w:rsidRDefault="00F80502" w:rsidP="00F80502">
            <w:pPr>
              <w:rPr>
                <w:rFonts w:cs="Arial"/>
              </w:rPr>
            </w:pPr>
          </w:p>
        </w:tc>
        <w:tc>
          <w:tcPr>
            <w:tcW w:w="1896" w:type="dxa"/>
          </w:tcPr>
          <w:p w14:paraId="722E0DCA" w14:textId="074021E2" w:rsidR="00F80502" w:rsidRPr="00F80502" w:rsidRDefault="00F80502" w:rsidP="00F80502">
            <w:pPr>
              <w:rPr>
                <w:rFonts w:cs="Arial"/>
              </w:rPr>
            </w:pPr>
            <w:r w:rsidRPr="00F80502">
              <w:rPr>
                <w:rFonts w:cs="Arial"/>
              </w:rPr>
              <w:t>Повишени чернодробни трансаминази</w:t>
            </w:r>
          </w:p>
        </w:tc>
        <w:tc>
          <w:tcPr>
            <w:tcW w:w="1775" w:type="dxa"/>
          </w:tcPr>
          <w:p w14:paraId="6BD3E675" w14:textId="42608A9B" w:rsidR="00F80502" w:rsidRPr="00F80502" w:rsidRDefault="00F80502" w:rsidP="00F80502">
            <w:pPr>
              <w:rPr>
                <w:rFonts w:cs="Arial"/>
              </w:rPr>
            </w:pPr>
            <w:r w:rsidRPr="00F80502">
              <w:rPr>
                <w:rFonts w:cs="Arial"/>
              </w:rPr>
              <w:t>Жълтеница Хепатит</w:t>
            </w:r>
          </w:p>
        </w:tc>
        <w:tc>
          <w:tcPr>
            <w:tcW w:w="1606" w:type="dxa"/>
          </w:tcPr>
          <w:p w14:paraId="3B3CFBE2" w14:textId="77777777" w:rsidR="00F80502" w:rsidRPr="00F80502" w:rsidRDefault="00F80502" w:rsidP="00F80502">
            <w:pPr>
              <w:rPr>
                <w:rFonts w:cs="Arial"/>
              </w:rPr>
            </w:pPr>
          </w:p>
        </w:tc>
      </w:tr>
      <w:tr w:rsidR="00F80502" w14:paraId="31F87F73" w14:textId="77777777" w:rsidTr="00F80502">
        <w:tc>
          <w:tcPr>
            <w:tcW w:w="1784" w:type="dxa"/>
          </w:tcPr>
          <w:p w14:paraId="3624CD00" w14:textId="0CB23C4C" w:rsidR="00F80502" w:rsidRPr="00F80502" w:rsidRDefault="00F80502" w:rsidP="00F80502">
            <w:pPr>
              <w:rPr>
                <w:rFonts w:cs="Arial"/>
              </w:rPr>
            </w:pPr>
            <w:r w:rsidRPr="00F80502">
              <w:rPr>
                <w:rFonts w:cs="Arial"/>
                <w:i/>
                <w:iCs/>
              </w:rPr>
              <w:t>Нарушения на кожата и подкожната тъкан</w:t>
            </w:r>
          </w:p>
        </w:tc>
        <w:tc>
          <w:tcPr>
            <w:tcW w:w="1331" w:type="dxa"/>
          </w:tcPr>
          <w:p w14:paraId="3CD95670" w14:textId="77777777" w:rsidR="00F80502" w:rsidRPr="00F80502" w:rsidRDefault="00F80502" w:rsidP="00F80502">
            <w:pPr>
              <w:rPr>
                <w:rFonts w:cs="Arial"/>
              </w:rPr>
            </w:pPr>
          </w:p>
        </w:tc>
        <w:tc>
          <w:tcPr>
            <w:tcW w:w="1184" w:type="dxa"/>
          </w:tcPr>
          <w:p w14:paraId="78D5CD91" w14:textId="2CBFD6E0" w:rsidR="00F80502" w:rsidRPr="00F80502" w:rsidRDefault="00F80502" w:rsidP="00F80502">
            <w:pPr>
              <w:rPr>
                <w:rFonts w:cs="Arial"/>
              </w:rPr>
            </w:pPr>
            <w:r w:rsidRPr="00F80502">
              <w:rPr>
                <w:rFonts w:cs="Arial"/>
              </w:rPr>
              <w:t>Пруритус Обрив Уртикария</w:t>
            </w:r>
          </w:p>
        </w:tc>
        <w:tc>
          <w:tcPr>
            <w:tcW w:w="1896" w:type="dxa"/>
          </w:tcPr>
          <w:p w14:paraId="3D3C2D6F" w14:textId="77777777" w:rsidR="00F80502" w:rsidRPr="00F80502" w:rsidRDefault="00F80502" w:rsidP="00F80502">
            <w:pPr>
              <w:rPr>
                <w:rFonts w:cs="Arial"/>
              </w:rPr>
            </w:pPr>
          </w:p>
        </w:tc>
        <w:tc>
          <w:tcPr>
            <w:tcW w:w="1775" w:type="dxa"/>
          </w:tcPr>
          <w:p w14:paraId="48A7DB9B" w14:textId="77777777" w:rsidR="00F80502" w:rsidRPr="00F80502" w:rsidRDefault="00F80502" w:rsidP="00F80502">
            <w:pPr>
              <w:rPr>
                <w:rFonts w:cs="Arial"/>
              </w:rPr>
            </w:pPr>
          </w:p>
        </w:tc>
        <w:tc>
          <w:tcPr>
            <w:tcW w:w="1606" w:type="dxa"/>
          </w:tcPr>
          <w:p w14:paraId="6AA0B2CE" w14:textId="56A309BE" w:rsidR="00F80502" w:rsidRPr="00F80502" w:rsidRDefault="00F80502" w:rsidP="00F80502">
            <w:pPr>
              <w:rPr>
                <w:rFonts w:cs="Arial"/>
              </w:rPr>
            </w:pPr>
            <w:r w:rsidRPr="00F80502">
              <w:rPr>
                <w:rFonts w:cs="Arial"/>
              </w:rPr>
              <w:t xml:space="preserve">Синдром на </w:t>
            </w:r>
            <w:r w:rsidRPr="00F80502">
              <w:rPr>
                <w:rFonts w:cs="Arial"/>
                <w:lang w:val="en-US"/>
              </w:rPr>
              <w:t>Stevens</w:t>
            </w:r>
            <w:r w:rsidRPr="00F80502">
              <w:rPr>
                <w:rFonts w:cs="Arial"/>
                <w:lang w:val="ru-RU"/>
              </w:rPr>
              <w:t xml:space="preserve">- </w:t>
            </w:r>
            <w:r w:rsidRPr="00F80502">
              <w:rPr>
                <w:rFonts w:cs="Arial"/>
                <w:lang w:val="en-US"/>
              </w:rPr>
              <w:t>Johnson</w:t>
            </w:r>
            <w:r w:rsidRPr="00F80502">
              <w:rPr>
                <w:rFonts w:cs="Arial"/>
                <w:lang w:val="ru-RU"/>
              </w:rPr>
              <w:t xml:space="preserve"> </w:t>
            </w:r>
            <w:r w:rsidRPr="00F80502">
              <w:rPr>
                <w:rFonts w:cs="Arial"/>
              </w:rPr>
              <w:t xml:space="preserve">Лекарствена реакция с </w:t>
            </w:r>
            <w:r w:rsidRPr="00F80502">
              <w:rPr>
                <w:rFonts w:cs="Arial"/>
              </w:rPr>
              <w:lastRenderedPageBreak/>
              <w:t xml:space="preserve">еозинофилия и системни симптоми </w:t>
            </w:r>
            <w:r w:rsidRPr="00F80502">
              <w:rPr>
                <w:rFonts w:cs="Arial"/>
                <w:lang w:val="ru-RU"/>
              </w:rPr>
              <w:t>(</w:t>
            </w:r>
            <w:r w:rsidRPr="00F80502">
              <w:rPr>
                <w:rFonts w:cs="Arial"/>
                <w:lang w:val="en-US"/>
              </w:rPr>
              <w:t>DRESS</w:t>
            </w:r>
            <w:r w:rsidRPr="00F80502">
              <w:rPr>
                <w:rFonts w:cs="Arial"/>
                <w:lang w:val="ru-RU"/>
              </w:rPr>
              <w:t>)</w:t>
            </w:r>
          </w:p>
        </w:tc>
      </w:tr>
      <w:tr w:rsidR="00F80502" w14:paraId="3CC70B12" w14:textId="77777777" w:rsidTr="00F80502">
        <w:tc>
          <w:tcPr>
            <w:tcW w:w="1784" w:type="dxa"/>
          </w:tcPr>
          <w:p w14:paraId="253E26DC" w14:textId="47B9AAF8" w:rsidR="00F80502" w:rsidRPr="00F80502" w:rsidRDefault="00F80502" w:rsidP="00F80502">
            <w:pPr>
              <w:rPr>
                <w:rFonts w:cs="Arial"/>
              </w:rPr>
            </w:pPr>
            <w:r w:rsidRPr="00F80502">
              <w:rPr>
                <w:rFonts w:cs="Arial"/>
                <w:i/>
                <w:iCs/>
              </w:rPr>
              <w:lastRenderedPageBreak/>
              <w:t>Нарушения на мускул но- скелетната система и съединителнат а тъкан</w:t>
            </w:r>
          </w:p>
        </w:tc>
        <w:tc>
          <w:tcPr>
            <w:tcW w:w="1331" w:type="dxa"/>
          </w:tcPr>
          <w:p w14:paraId="5C6595B8" w14:textId="38E0C9FB" w:rsidR="00F80502" w:rsidRPr="00F80502" w:rsidRDefault="00F80502" w:rsidP="00F80502">
            <w:pPr>
              <w:rPr>
                <w:rFonts w:cs="Arial"/>
              </w:rPr>
            </w:pPr>
            <w:r w:rsidRPr="00F80502">
              <w:rPr>
                <w:rFonts w:cs="Arial"/>
              </w:rPr>
              <w:t>Миалгия</w:t>
            </w:r>
          </w:p>
        </w:tc>
        <w:tc>
          <w:tcPr>
            <w:tcW w:w="1184" w:type="dxa"/>
          </w:tcPr>
          <w:p w14:paraId="402D9ED7" w14:textId="77777777" w:rsidR="00F80502" w:rsidRPr="00F80502" w:rsidRDefault="00F80502" w:rsidP="00F80502">
            <w:pPr>
              <w:rPr>
                <w:rFonts w:cs="Arial"/>
              </w:rPr>
            </w:pPr>
          </w:p>
        </w:tc>
        <w:tc>
          <w:tcPr>
            <w:tcW w:w="1896" w:type="dxa"/>
          </w:tcPr>
          <w:p w14:paraId="313386A2" w14:textId="22B16C84" w:rsidR="00F80502" w:rsidRPr="00F80502" w:rsidRDefault="00F80502" w:rsidP="00F80502">
            <w:pPr>
              <w:rPr>
                <w:rFonts w:cs="Arial"/>
              </w:rPr>
            </w:pPr>
            <w:r w:rsidRPr="00F80502">
              <w:rPr>
                <w:rFonts w:cs="Arial"/>
              </w:rPr>
              <w:t>Миопатия (включително миозит) Рабдомиолиза, Лупус-подобен синдром, Руптура на мускул</w:t>
            </w:r>
          </w:p>
        </w:tc>
        <w:tc>
          <w:tcPr>
            <w:tcW w:w="1775" w:type="dxa"/>
          </w:tcPr>
          <w:p w14:paraId="20C0B73E" w14:textId="0B9CBEA0" w:rsidR="00F80502" w:rsidRPr="00F80502" w:rsidRDefault="00F80502" w:rsidP="00F80502">
            <w:pPr>
              <w:rPr>
                <w:rFonts w:cs="Arial"/>
              </w:rPr>
            </w:pPr>
            <w:r w:rsidRPr="00F80502">
              <w:rPr>
                <w:rFonts w:cs="Arial"/>
              </w:rPr>
              <w:t>Артралгия</w:t>
            </w:r>
          </w:p>
        </w:tc>
        <w:tc>
          <w:tcPr>
            <w:tcW w:w="1606" w:type="dxa"/>
          </w:tcPr>
          <w:p w14:paraId="1749BC38" w14:textId="77777777" w:rsidR="00F80502" w:rsidRPr="00F80502" w:rsidRDefault="00F80502" w:rsidP="00F80502">
            <w:pPr>
              <w:rPr>
                <w:rFonts w:cs="Arial"/>
              </w:rPr>
            </w:pPr>
            <w:r w:rsidRPr="00F80502">
              <w:rPr>
                <w:rFonts w:cs="Arial"/>
              </w:rPr>
              <w:t>Имуно медиирана некротизи- раща миопатия</w:t>
            </w:r>
          </w:p>
          <w:p w14:paraId="1C427674" w14:textId="02C67DC0" w:rsidR="00F80502" w:rsidRPr="00F80502" w:rsidRDefault="00F80502" w:rsidP="00F80502">
            <w:pPr>
              <w:rPr>
                <w:rFonts w:cs="Arial"/>
              </w:rPr>
            </w:pPr>
            <w:r w:rsidRPr="00F80502">
              <w:rPr>
                <w:rFonts w:cs="Arial"/>
              </w:rPr>
              <w:t>Увреждане на сухожилие, понякога усложнени от разкъсване</w:t>
            </w:r>
          </w:p>
        </w:tc>
      </w:tr>
      <w:tr w:rsidR="00F80502" w14:paraId="1E9D383F" w14:textId="77777777" w:rsidTr="00F80502">
        <w:tc>
          <w:tcPr>
            <w:tcW w:w="1784" w:type="dxa"/>
          </w:tcPr>
          <w:p w14:paraId="3B007D98" w14:textId="13D2D438" w:rsidR="00F80502" w:rsidRPr="00F80502" w:rsidRDefault="00F80502" w:rsidP="00F80502">
            <w:pPr>
              <w:rPr>
                <w:rFonts w:cs="Arial"/>
              </w:rPr>
            </w:pPr>
            <w:r w:rsidRPr="00F80502">
              <w:rPr>
                <w:rFonts w:cs="Arial"/>
                <w:i/>
                <w:iCs/>
              </w:rPr>
              <w:t>Нарушения на бъбреците ипикочните пътища</w:t>
            </w:r>
          </w:p>
        </w:tc>
        <w:tc>
          <w:tcPr>
            <w:tcW w:w="1331" w:type="dxa"/>
          </w:tcPr>
          <w:p w14:paraId="1CDEF1B5" w14:textId="77777777" w:rsidR="00F80502" w:rsidRPr="00F80502" w:rsidRDefault="00F80502" w:rsidP="00F80502">
            <w:pPr>
              <w:rPr>
                <w:rFonts w:cs="Arial"/>
              </w:rPr>
            </w:pPr>
          </w:p>
        </w:tc>
        <w:tc>
          <w:tcPr>
            <w:tcW w:w="1184" w:type="dxa"/>
          </w:tcPr>
          <w:p w14:paraId="2FEB7D27" w14:textId="77777777" w:rsidR="00F80502" w:rsidRPr="00F80502" w:rsidRDefault="00F80502" w:rsidP="00F80502">
            <w:pPr>
              <w:rPr>
                <w:rFonts w:cs="Arial"/>
              </w:rPr>
            </w:pPr>
          </w:p>
        </w:tc>
        <w:tc>
          <w:tcPr>
            <w:tcW w:w="1896" w:type="dxa"/>
          </w:tcPr>
          <w:p w14:paraId="782D172F" w14:textId="77777777" w:rsidR="00F80502" w:rsidRPr="00F80502" w:rsidRDefault="00F80502" w:rsidP="00F80502">
            <w:pPr>
              <w:rPr>
                <w:rFonts w:cs="Arial"/>
              </w:rPr>
            </w:pPr>
          </w:p>
        </w:tc>
        <w:tc>
          <w:tcPr>
            <w:tcW w:w="1775" w:type="dxa"/>
          </w:tcPr>
          <w:p w14:paraId="74DF53FE" w14:textId="1A2414EE" w:rsidR="00F80502" w:rsidRPr="00F80502" w:rsidRDefault="00F80502" w:rsidP="00F80502">
            <w:pPr>
              <w:rPr>
                <w:rFonts w:cs="Arial"/>
              </w:rPr>
            </w:pPr>
            <w:r w:rsidRPr="00F80502">
              <w:rPr>
                <w:rFonts w:cs="Arial"/>
              </w:rPr>
              <w:t>Хематурия</w:t>
            </w:r>
          </w:p>
        </w:tc>
        <w:tc>
          <w:tcPr>
            <w:tcW w:w="1606" w:type="dxa"/>
          </w:tcPr>
          <w:p w14:paraId="36A62319" w14:textId="77777777" w:rsidR="00F80502" w:rsidRPr="00F80502" w:rsidRDefault="00F80502" w:rsidP="00F80502">
            <w:pPr>
              <w:rPr>
                <w:rFonts w:cs="Arial"/>
              </w:rPr>
            </w:pPr>
          </w:p>
        </w:tc>
      </w:tr>
      <w:tr w:rsidR="00F80502" w14:paraId="03281C12" w14:textId="77777777" w:rsidTr="00F80502">
        <w:tc>
          <w:tcPr>
            <w:tcW w:w="1784" w:type="dxa"/>
          </w:tcPr>
          <w:p w14:paraId="10838B47" w14:textId="7543BBDC" w:rsidR="00F80502" w:rsidRPr="00F80502" w:rsidRDefault="00F80502" w:rsidP="00F80502">
            <w:pPr>
              <w:rPr>
                <w:rFonts w:cs="Arial"/>
              </w:rPr>
            </w:pPr>
            <w:r w:rsidRPr="00F80502">
              <w:rPr>
                <w:rFonts w:cs="Arial"/>
                <w:i/>
                <w:iCs/>
              </w:rPr>
              <w:t>Нарушения на възпроизводите лната система и гърдата</w:t>
            </w:r>
          </w:p>
        </w:tc>
        <w:tc>
          <w:tcPr>
            <w:tcW w:w="1331" w:type="dxa"/>
          </w:tcPr>
          <w:p w14:paraId="2182D3B9" w14:textId="77777777" w:rsidR="00F80502" w:rsidRPr="00F80502" w:rsidRDefault="00F80502" w:rsidP="00F80502">
            <w:pPr>
              <w:rPr>
                <w:rFonts w:cs="Arial"/>
              </w:rPr>
            </w:pPr>
          </w:p>
        </w:tc>
        <w:tc>
          <w:tcPr>
            <w:tcW w:w="1184" w:type="dxa"/>
          </w:tcPr>
          <w:p w14:paraId="33012B23" w14:textId="77777777" w:rsidR="00F80502" w:rsidRPr="00F80502" w:rsidRDefault="00F80502" w:rsidP="00F80502">
            <w:pPr>
              <w:rPr>
                <w:rFonts w:cs="Arial"/>
              </w:rPr>
            </w:pPr>
          </w:p>
        </w:tc>
        <w:tc>
          <w:tcPr>
            <w:tcW w:w="1896" w:type="dxa"/>
          </w:tcPr>
          <w:p w14:paraId="4EE0A9C4" w14:textId="77777777" w:rsidR="00F80502" w:rsidRPr="00F80502" w:rsidRDefault="00F80502" w:rsidP="00F80502">
            <w:pPr>
              <w:rPr>
                <w:rFonts w:cs="Arial"/>
              </w:rPr>
            </w:pPr>
          </w:p>
        </w:tc>
        <w:tc>
          <w:tcPr>
            <w:tcW w:w="1775" w:type="dxa"/>
          </w:tcPr>
          <w:p w14:paraId="1BDDAC0E" w14:textId="428AD91D" w:rsidR="00F80502" w:rsidRPr="00F80502" w:rsidRDefault="00F80502" w:rsidP="00F80502">
            <w:pPr>
              <w:rPr>
                <w:rFonts w:cs="Arial"/>
              </w:rPr>
            </w:pPr>
            <w:r w:rsidRPr="00F80502">
              <w:rPr>
                <w:rFonts w:cs="Arial"/>
              </w:rPr>
              <w:t>Гинекомастия</w:t>
            </w:r>
          </w:p>
        </w:tc>
        <w:tc>
          <w:tcPr>
            <w:tcW w:w="1606" w:type="dxa"/>
          </w:tcPr>
          <w:p w14:paraId="221E657C" w14:textId="77777777" w:rsidR="00F80502" w:rsidRPr="00F80502" w:rsidRDefault="00F80502" w:rsidP="00F80502">
            <w:pPr>
              <w:rPr>
                <w:rFonts w:cs="Arial"/>
              </w:rPr>
            </w:pPr>
          </w:p>
        </w:tc>
      </w:tr>
      <w:tr w:rsidR="00F80502" w14:paraId="4CC72387" w14:textId="77777777" w:rsidTr="00F80502">
        <w:tc>
          <w:tcPr>
            <w:tcW w:w="1784" w:type="dxa"/>
          </w:tcPr>
          <w:p w14:paraId="63B8007B" w14:textId="5D4A229A" w:rsidR="00F80502" w:rsidRPr="00F80502" w:rsidRDefault="00F80502" w:rsidP="00F80502">
            <w:pPr>
              <w:rPr>
                <w:rFonts w:cs="Arial"/>
              </w:rPr>
            </w:pPr>
            <w:r w:rsidRPr="00F80502">
              <w:rPr>
                <w:rFonts w:cs="Arial"/>
                <w:i/>
                <w:iCs/>
              </w:rPr>
              <w:t>Общ</w:t>
            </w:r>
            <w:r>
              <w:rPr>
                <w:rFonts w:cs="Arial"/>
                <w:i/>
                <w:iCs/>
              </w:rPr>
              <w:t xml:space="preserve">и нарушения и ефекти на мястото </w:t>
            </w:r>
            <w:r w:rsidRPr="00F80502">
              <w:rPr>
                <w:rFonts w:cs="Arial"/>
                <w:i/>
                <w:iCs/>
              </w:rPr>
              <w:t>на</w:t>
            </w:r>
          </w:p>
          <w:p w14:paraId="34C97FBC" w14:textId="24F74B72" w:rsidR="00F80502" w:rsidRPr="00F80502" w:rsidRDefault="00F80502" w:rsidP="00F80502">
            <w:pPr>
              <w:rPr>
                <w:rFonts w:cs="Arial"/>
              </w:rPr>
            </w:pPr>
            <w:r w:rsidRPr="00F80502">
              <w:rPr>
                <w:rFonts w:cs="Arial"/>
                <w:i/>
                <w:iCs/>
              </w:rPr>
              <w:t>приложение</w:t>
            </w:r>
          </w:p>
        </w:tc>
        <w:tc>
          <w:tcPr>
            <w:tcW w:w="1331" w:type="dxa"/>
          </w:tcPr>
          <w:p w14:paraId="313614AF" w14:textId="3E16294F" w:rsidR="00F80502" w:rsidRPr="00F80502" w:rsidRDefault="00F80502" w:rsidP="00F80502">
            <w:pPr>
              <w:rPr>
                <w:rFonts w:cs="Arial"/>
              </w:rPr>
            </w:pPr>
            <w:r w:rsidRPr="00F80502">
              <w:rPr>
                <w:rFonts w:cs="Arial"/>
              </w:rPr>
              <w:t>Астения</w:t>
            </w:r>
          </w:p>
        </w:tc>
        <w:tc>
          <w:tcPr>
            <w:tcW w:w="1184" w:type="dxa"/>
          </w:tcPr>
          <w:p w14:paraId="02C44FB3" w14:textId="77777777" w:rsidR="00F80502" w:rsidRPr="00F80502" w:rsidRDefault="00F80502" w:rsidP="00F80502">
            <w:pPr>
              <w:rPr>
                <w:rFonts w:cs="Arial"/>
              </w:rPr>
            </w:pPr>
          </w:p>
        </w:tc>
        <w:tc>
          <w:tcPr>
            <w:tcW w:w="1896" w:type="dxa"/>
          </w:tcPr>
          <w:p w14:paraId="40323C80" w14:textId="77777777" w:rsidR="00F80502" w:rsidRPr="00F80502" w:rsidRDefault="00F80502" w:rsidP="00F80502">
            <w:pPr>
              <w:rPr>
                <w:rFonts w:cs="Arial"/>
              </w:rPr>
            </w:pPr>
          </w:p>
        </w:tc>
        <w:tc>
          <w:tcPr>
            <w:tcW w:w="1775" w:type="dxa"/>
          </w:tcPr>
          <w:p w14:paraId="6247D65D" w14:textId="77777777" w:rsidR="00F80502" w:rsidRPr="00F80502" w:rsidRDefault="00F80502" w:rsidP="00F80502">
            <w:pPr>
              <w:rPr>
                <w:rFonts w:cs="Arial"/>
              </w:rPr>
            </w:pPr>
          </w:p>
        </w:tc>
        <w:tc>
          <w:tcPr>
            <w:tcW w:w="1606" w:type="dxa"/>
          </w:tcPr>
          <w:p w14:paraId="78F792C9" w14:textId="733B8DD1" w:rsidR="00F80502" w:rsidRPr="00F80502" w:rsidRDefault="00F80502" w:rsidP="00F80502">
            <w:pPr>
              <w:rPr>
                <w:rFonts w:cs="Arial"/>
              </w:rPr>
            </w:pPr>
            <w:r w:rsidRPr="00F80502">
              <w:rPr>
                <w:rFonts w:cs="Arial"/>
              </w:rPr>
              <w:t>Оток</w:t>
            </w:r>
          </w:p>
        </w:tc>
      </w:tr>
    </w:tbl>
    <w:p w14:paraId="1174F9F4" w14:textId="26E9B3DC" w:rsidR="00F80502" w:rsidRPr="00F80502" w:rsidRDefault="00F80502" w:rsidP="00F80502">
      <w:pPr>
        <w:spacing w:line="240" w:lineRule="auto"/>
        <w:rPr>
          <w:rFonts w:eastAsia="Times New Roman" w:cs="Arial"/>
        </w:rPr>
      </w:pPr>
      <w:r w:rsidRPr="00F80502">
        <w:rPr>
          <w:rFonts w:eastAsia="Times New Roman" w:cs="Arial"/>
          <w:color w:val="000000"/>
          <w:vertAlign w:val="superscript"/>
          <w:lang w:eastAsia="bg-BG"/>
        </w:rPr>
        <w:t>1</w:t>
      </w:r>
      <w:r w:rsidRPr="00F80502">
        <w:rPr>
          <w:rFonts w:eastAsia="Times New Roman" w:cs="Arial"/>
          <w:color w:val="000000"/>
          <w:lang w:eastAsia="bg-BG"/>
        </w:rPr>
        <w:t>Честотата ще зависи от наличието или липсата на рискови фактори (кръвна глюкоза на гладно</w:t>
      </w:r>
    </w:p>
    <w:p w14:paraId="4FA5B5A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 5,6 </w:t>
      </w:r>
      <w:r w:rsidRPr="00F80502">
        <w:rPr>
          <w:rFonts w:eastAsia="Times New Roman" w:cs="Arial"/>
          <w:color w:val="000000"/>
          <w:lang w:val="en-US"/>
        </w:rPr>
        <w:t>mmol</w:t>
      </w:r>
      <w:r w:rsidRPr="00F80502">
        <w:rPr>
          <w:rFonts w:eastAsia="Times New Roman" w:cs="Arial"/>
          <w:color w:val="000000"/>
          <w:lang w:val="ru-RU"/>
        </w:rPr>
        <w:t>/</w:t>
      </w:r>
      <w:r w:rsidRPr="00F80502">
        <w:rPr>
          <w:rFonts w:eastAsia="Times New Roman" w:cs="Arial"/>
          <w:color w:val="000000"/>
          <w:lang w:val="en-US"/>
        </w:rPr>
        <w:t>L</w:t>
      </w:r>
      <w:r w:rsidRPr="00F80502">
        <w:rPr>
          <w:rFonts w:eastAsia="Times New Roman" w:cs="Arial"/>
          <w:color w:val="000000"/>
          <w:lang w:val="ru-RU"/>
        </w:rPr>
        <w:t xml:space="preserve">, </w:t>
      </w:r>
      <w:r w:rsidRPr="00F80502">
        <w:rPr>
          <w:rFonts w:eastAsia="Times New Roman" w:cs="Arial"/>
          <w:color w:val="000000"/>
          <w:lang w:eastAsia="bg-BG"/>
        </w:rPr>
        <w:t xml:space="preserve">ИТМ &gt;30 </w:t>
      </w:r>
      <w:r w:rsidRPr="00F80502">
        <w:rPr>
          <w:rFonts w:eastAsia="Times New Roman" w:cs="Arial"/>
          <w:color w:val="000000"/>
          <w:lang w:val="en-US"/>
        </w:rPr>
        <w:t>kg</w:t>
      </w:r>
      <w:r w:rsidRPr="00F80502">
        <w:rPr>
          <w:rFonts w:eastAsia="Times New Roman" w:cs="Arial"/>
          <w:color w:val="000000"/>
          <w:lang w:val="ru-RU"/>
        </w:rPr>
        <w:t>/</w:t>
      </w:r>
      <w:r w:rsidRPr="00F80502">
        <w:rPr>
          <w:rFonts w:eastAsia="Times New Roman" w:cs="Arial"/>
          <w:color w:val="000000"/>
          <w:lang w:val="en-US"/>
        </w:rPr>
        <w:t>m</w:t>
      </w:r>
      <w:r w:rsidRPr="00F80502">
        <w:rPr>
          <w:rFonts w:eastAsia="Times New Roman" w:cs="Arial"/>
          <w:color w:val="000000"/>
          <w:vertAlign w:val="superscript"/>
          <w:lang w:val="ru-RU"/>
        </w:rPr>
        <w:t>2</w:t>
      </w:r>
      <w:r w:rsidRPr="00F80502">
        <w:rPr>
          <w:rFonts w:eastAsia="Times New Roman" w:cs="Arial"/>
          <w:color w:val="000000"/>
          <w:lang w:val="ru-RU"/>
        </w:rPr>
        <w:t xml:space="preserve">, </w:t>
      </w:r>
      <w:r w:rsidRPr="00F80502">
        <w:rPr>
          <w:rFonts w:eastAsia="Times New Roman" w:cs="Arial"/>
          <w:color w:val="000000"/>
          <w:lang w:eastAsia="bg-BG"/>
        </w:rPr>
        <w:t>повишени триглицериди, анамнеза за хипертония).</w:t>
      </w:r>
    </w:p>
    <w:p w14:paraId="76323597" w14:textId="77777777" w:rsidR="00F80502" w:rsidRPr="00F80502" w:rsidRDefault="00F80502" w:rsidP="00F80502">
      <w:pPr>
        <w:spacing w:line="240" w:lineRule="auto"/>
        <w:rPr>
          <w:rFonts w:eastAsia="Times New Roman" w:cs="Arial"/>
          <w:color w:val="000000"/>
          <w:lang w:eastAsia="bg-BG"/>
        </w:rPr>
      </w:pPr>
    </w:p>
    <w:p w14:paraId="23374B85" w14:textId="66D78C6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честотата на нежеланите лекарствени реакции зависи от дозата на лекарството.</w:t>
      </w:r>
    </w:p>
    <w:p w14:paraId="1045F513" w14:textId="77777777" w:rsidR="00F80502" w:rsidRPr="00F80502" w:rsidRDefault="00F80502" w:rsidP="00F80502">
      <w:pPr>
        <w:spacing w:line="240" w:lineRule="auto"/>
        <w:rPr>
          <w:rFonts w:eastAsia="Times New Roman" w:cs="Arial"/>
          <w:color w:val="000000"/>
          <w:u w:val="single"/>
          <w:lang w:eastAsia="bg-BG"/>
        </w:rPr>
      </w:pPr>
    </w:p>
    <w:p w14:paraId="1B590476" w14:textId="3BBE5815"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Описание на определени нежелани реакции</w:t>
      </w:r>
    </w:p>
    <w:p w14:paraId="410CDFDC" w14:textId="77777777" w:rsidR="00F80502" w:rsidRPr="00F80502" w:rsidRDefault="00F80502" w:rsidP="00F80502">
      <w:pPr>
        <w:spacing w:line="240" w:lineRule="auto"/>
        <w:rPr>
          <w:rFonts w:eastAsia="Times New Roman" w:cs="Arial"/>
        </w:rPr>
      </w:pPr>
    </w:p>
    <w:p w14:paraId="0EB2F6CD" w14:textId="77777777" w:rsidR="00F80502" w:rsidRPr="00F80502" w:rsidRDefault="00F80502" w:rsidP="00F80502">
      <w:pPr>
        <w:rPr>
          <w:rFonts w:eastAsia="Times New Roman" w:cs="Arial"/>
        </w:rPr>
      </w:pPr>
      <w:r w:rsidRPr="00F80502">
        <w:rPr>
          <w:rFonts w:eastAsia="Times New Roman" w:cs="Arial"/>
          <w:i/>
          <w:iCs/>
          <w:color w:val="000000"/>
          <w:lang w:eastAsia="bg-BG"/>
        </w:rPr>
        <w:t>Ефекти върху бъбреците:</w:t>
      </w:r>
      <w:r w:rsidRPr="00F80502">
        <w:rPr>
          <w:rFonts w:eastAsia="Times New Roman" w:cs="Arial"/>
          <w:color w:val="000000"/>
          <w:lang w:eastAsia="bg-BG"/>
        </w:rPr>
        <w:t xml:space="preserve"> При пациенти, лекувани с розувастатин, е наблюдавана протеинурия, установена при изследване с тест-лентички и която е с предимно тубулен произход. В определени моменти от лечението при &lt;1% от пациентите на 10 и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и при приблизително 3% от пациентите, лекувани с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В повечето случаи протеинурията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при клиничните опити и пост-</w:t>
      </w:r>
      <w:r w:rsidRPr="00F80502">
        <w:rPr>
          <w:rFonts w:eastAsia="Times New Roman" w:cs="Arial"/>
          <w:color w:val="000000"/>
          <w:lang w:eastAsia="bg-BG"/>
        </w:rPr>
        <w:lastRenderedPageBreak/>
        <w:t>маркетинговите проучвания до сега не е идентифицирана причинна връзка между протеинурията и остро или прогресивно бъбречно заболяване.</w:t>
      </w:r>
    </w:p>
    <w:p w14:paraId="675D189E" w14:textId="77777777" w:rsidR="00F80502" w:rsidRPr="00F80502" w:rsidRDefault="00F80502" w:rsidP="00F80502">
      <w:pPr>
        <w:spacing w:line="240" w:lineRule="auto"/>
        <w:rPr>
          <w:rFonts w:eastAsia="Times New Roman" w:cs="Arial"/>
          <w:color w:val="000000"/>
          <w:lang w:eastAsia="bg-BG"/>
        </w:rPr>
      </w:pPr>
    </w:p>
    <w:p w14:paraId="02B2E18E" w14:textId="5E89CBD2"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пациенти, третирани с розувастатин е наблюдавана хематурия, но клиничните данни сочат, че честотата й е ниска.</w:t>
      </w:r>
    </w:p>
    <w:p w14:paraId="70FE1573" w14:textId="77777777" w:rsidR="00F80502" w:rsidRPr="00F80502" w:rsidRDefault="00F80502" w:rsidP="00F80502">
      <w:pPr>
        <w:spacing w:line="240" w:lineRule="auto"/>
        <w:rPr>
          <w:rFonts w:eastAsia="Times New Roman" w:cs="Arial"/>
          <w:i/>
          <w:iCs/>
          <w:color w:val="000000"/>
          <w:lang w:eastAsia="bg-BG"/>
        </w:rPr>
      </w:pPr>
    </w:p>
    <w:p w14:paraId="2383B837" w14:textId="50A8A63B"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скелетната мускулатура:</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въздействия върху скелетната мускулатура като напр. миалгия, миопатия (включително миозит) и рядко рабдомиолиза с или без остро бъбречна недостатъчност, са установени при пациенти лекувани с розувастатин - във всички терапевтични дози, особено в дози &gt; 20 </w:t>
      </w:r>
      <w:r w:rsidRPr="00F80502">
        <w:rPr>
          <w:rFonts w:eastAsia="Times New Roman" w:cs="Arial"/>
          <w:color w:val="000000"/>
          <w:lang w:val="en-US"/>
        </w:rPr>
        <w:t>mg</w:t>
      </w:r>
      <w:r w:rsidRPr="00F80502">
        <w:rPr>
          <w:rFonts w:eastAsia="Times New Roman" w:cs="Arial"/>
          <w:color w:val="000000"/>
          <w:lang w:val="ru-RU"/>
        </w:rPr>
        <w:t>.</w:t>
      </w:r>
    </w:p>
    <w:p w14:paraId="33ACB9DA" w14:textId="77777777" w:rsidR="00F80502" w:rsidRPr="00F80502" w:rsidRDefault="00F80502" w:rsidP="00F80502">
      <w:pPr>
        <w:spacing w:line="240" w:lineRule="auto"/>
        <w:rPr>
          <w:rFonts w:eastAsia="Times New Roman" w:cs="Arial"/>
          <w:color w:val="000000"/>
          <w:lang w:eastAsia="bg-BG"/>
        </w:rPr>
      </w:pPr>
    </w:p>
    <w:p w14:paraId="0F3ECF3B" w14:textId="798663B9" w:rsidR="00F80502" w:rsidRPr="00F80502" w:rsidRDefault="00F80502" w:rsidP="00F80502">
      <w:pPr>
        <w:spacing w:line="240" w:lineRule="auto"/>
        <w:rPr>
          <w:rFonts w:eastAsia="Times New Roman" w:cs="Arial"/>
        </w:rPr>
      </w:pPr>
      <w:r w:rsidRPr="00F80502">
        <w:rPr>
          <w:rFonts w:eastAsia="Times New Roman" w:cs="Arial"/>
          <w:color w:val="000000"/>
          <w:lang w:eastAsia="bg-BG"/>
        </w:rPr>
        <w:t>Дозо-зависимо увеличение на нивото на СК е наблюдавано при малък брой пациенти, приемащи розувастатин; множеството от случаите са леки, асимптоматични и преходни. Ако нивото на СК се повиши (&gt; 5 х ГРГ), лечението трябва временно да се преустанови (вж. точка 4.4).</w:t>
      </w:r>
    </w:p>
    <w:p w14:paraId="58AA9269" w14:textId="77777777" w:rsidR="00F80502" w:rsidRPr="00F80502" w:rsidRDefault="00F80502" w:rsidP="00F80502">
      <w:pPr>
        <w:spacing w:line="240" w:lineRule="auto"/>
        <w:rPr>
          <w:rFonts w:eastAsia="Times New Roman" w:cs="Arial"/>
          <w:i/>
          <w:iCs/>
          <w:color w:val="000000"/>
          <w:lang w:eastAsia="bg-BG"/>
        </w:rPr>
      </w:pPr>
    </w:p>
    <w:p w14:paraId="77A0CC38" w14:textId="0462AD9A"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черния дроб:</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розувастатин; по-голяма част от случаите са леки, асимптоматични и преходни.</w:t>
      </w:r>
    </w:p>
    <w:p w14:paraId="2B60E41E" w14:textId="77777777" w:rsidR="00F80502" w:rsidRPr="00F80502" w:rsidRDefault="00F80502" w:rsidP="00F80502">
      <w:pPr>
        <w:spacing w:line="240" w:lineRule="auto"/>
        <w:rPr>
          <w:rFonts w:eastAsia="Times New Roman" w:cs="Arial"/>
          <w:color w:val="000000"/>
          <w:lang w:eastAsia="bg-BG"/>
        </w:rPr>
      </w:pPr>
    </w:p>
    <w:p w14:paraId="6EC76C9D" w14:textId="22BF9918" w:rsidR="00F80502" w:rsidRPr="00F80502" w:rsidRDefault="00F80502" w:rsidP="00F80502">
      <w:pPr>
        <w:spacing w:line="240" w:lineRule="auto"/>
        <w:rPr>
          <w:rFonts w:eastAsia="Times New Roman" w:cs="Arial"/>
        </w:rPr>
      </w:pPr>
      <w:r w:rsidRPr="00F80502">
        <w:rPr>
          <w:rFonts w:eastAsia="Times New Roman" w:cs="Arial"/>
          <w:color w:val="000000"/>
          <w:lang w:eastAsia="bg-BG"/>
        </w:rPr>
        <w:t>Следните нежелани реакции са докладвани при някои статини:</w:t>
      </w:r>
    </w:p>
    <w:p w14:paraId="3302B2F0"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Сексуална дисфункция</w:t>
      </w:r>
    </w:p>
    <w:p w14:paraId="646EECBE"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0DE60590" w14:textId="77777777" w:rsidR="00F80502" w:rsidRPr="00F80502" w:rsidRDefault="00F80502" w:rsidP="00F80502">
      <w:pPr>
        <w:spacing w:line="240" w:lineRule="auto"/>
        <w:rPr>
          <w:rFonts w:eastAsia="Times New Roman" w:cs="Arial"/>
          <w:color w:val="000000"/>
          <w:lang w:eastAsia="bg-BG"/>
        </w:rPr>
      </w:pPr>
    </w:p>
    <w:p w14:paraId="60E2123C" w14:textId="481FFAD1"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Докладваната честота на рабдомиолиза, сериозни бъбречни и чернодробни увреждания (основно - увеличени чернодробни трансаминази) е по- висока при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дозировка.</w:t>
      </w:r>
    </w:p>
    <w:p w14:paraId="01998466" w14:textId="77777777" w:rsidR="00F80502" w:rsidRPr="00F80502" w:rsidRDefault="00F80502" w:rsidP="00F80502">
      <w:pPr>
        <w:spacing w:line="240" w:lineRule="auto"/>
        <w:rPr>
          <w:rFonts w:eastAsia="Times New Roman" w:cs="Arial"/>
          <w:color w:val="000000"/>
          <w:u w:val="single"/>
          <w:lang w:eastAsia="bg-BG"/>
        </w:rPr>
      </w:pPr>
    </w:p>
    <w:p w14:paraId="5BE266CE" w14:textId="4C700C6D"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Педиатрична популация</w:t>
      </w:r>
      <w:r w:rsidRPr="00F80502">
        <w:rPr>
          <w:rFonts w:eastAsia="Times New Roman" w:cs="Arial"/>
          <w:color w:val="000000"/>
          <w:lang w:eastAsia="bg-BG"/>
        </w:rPr>
        <w:t>:</w:t>
      </w:r>
    </w:p>
    <w:p w14:paraId="178ED2F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52-седмично клинично проучване при деца и юноши се наблюдава по-често в сравнение с възрастни повишаване на креатин киназата повече от &gt;10 х ГРГ и мускулни симптоми след упражнения или повишена физическа активност (вж. точка 4.4). От друга страна, профилът на безопасност на розувастатин е сходен при деца и юноши в сравнение с този при възрастните.</w:t>
      </w:r>
    </w:p>
    <w:p w14:paraId="2E09D617" w14:textId="77777777" w:rsidR="00F80502" w:rsidRPr="00F80502" w:rsidRDefault="00F80502" w:rsidP="00F80502">
      <w:pPr>
        <w:spacing w:line="240" w:lineRule="auto"/>
        <w:rPr>
          <w:rFonts w:eastAsia="Times New Roman" w:cs="Arial"/>
          <w:color w:val="000000"/>
          <w:u w:val="single"/>
          <w:lang w:eastAsia="bg-BG"/>
        </w:rPr>
      </w:pPr>
    </w:p>
    <w:p w14:paraId="5D40174F" w14:textId="7978E583"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Съобщаване на подозирани нежелани реакции</w:t>
      </w:r>
    </w:p>
    <w:p w14:paraId="6E77AC67"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
    <w:p w14:paraId="13E2A72C"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ул. „Дамян Груев” № 8 </w:t>
      </w:r>
    </w:p>
    <w:p w14:paraId="59468F9F"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1303 София </w:t>
      </w:r>
    </w:p>
    <w:p w14:paraId="4BFB3026"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тел.:+35 928903417 </w:t>
      </w:r>
    </w:p>
    <w:p w14:paraId="7ECB19C5" w14:textId="0300AD0B"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уебсайт: </w:t>
      </w:r>
      <w:hyperlink r:id="rId5" w:history="1">
        <w:r w:rsidRPr="00F80502">
          <w:rPr>
            <w:rFonts w:eastAsia="Times New Roman" w:cs="Arial"/>
            <w:color w:val="000000"/>
            <w:u w:val="single"/>
            <w:lang w:val="en-US"/>
          </w:rPr>
          <w:t>www</w:t>
        </w:r>
        <w:r w:rsidRPr="00F80502">
          <w:rPr>
            <w:rFonts w:eastAsia="Times New Roman" w:cs="Arial"/>
            <w:color w:val="000000"/>
            <w:u w:val="single"/>
            <w:lang w:val="ru-RU"/>
          </w:rPr>
          <w:t>.</w:t>
        </w:r>
        <w:r w:rsidRPr="00F80502">
          <w:rPr>
            <w:rFonts w:eastAsia="Times New Roman" w:cs="Arial"/>
            <w:color w:val="000000"/>
            <w:u w:val="single"/>
            <w:lang w:val="en-US"/>
          </w:rPr>
          <w:t>bda</w:t>
        </w:r>
        <w:r w:rsidRPr="00F80502">
          <w:rPr>
            <w:rFonts w:eastAsia="Times New Roman" w:cs="Arial"/>
            <w:color w:val="000000"/>
            <w:u w:val="single"/>
            <w:lang w:val="ru-RU"/>
          </w:rPr>
          <w:t>.</w:t>
        </w:r>
        <w:r w:rsidRPr="00F80502">
          <w:rPr>
            <w:rFonts w:eastAsia="Times New Roman" w:cs="Arial"/>
            <w:color w:val="000000"/>
            <w:u w:val="single"/>
            <w:lang w:val="en-US"/>
          </w:rPr>
          <w:t>bg</w:t>
        </w:r>
      </w:hyperlink>
    </w:p>
    <w:p w14:paraId="1439F74E" w14:textId="6EA5D22A" w:rsidR="00F80502" w:rsidRPr="00F80502" w:rsidRDefault="00F80502" w:rsidP="00F80502"/>
    <w:p w14:paraId="5A87DBA3" w14:textId="0BF42E92" w:rsidR="007122AD" w:rsidRDefault="002C50EE" w:rsidP="00936AD0">
      <w:pPr>
        <w:pStyle w:val="Heading2"/>
      </w:pPr>
      <w:r>
        <w:t>4.9. Предозиране</w:t>
      </w:r>
    </w:p>
    <w:p w14:paraId="31AB5322" w14:textId="14A10CC1" w:rsidR="00F80502" w:rsidRDefault="00F80502" w:rsidP="00F80502"/>
    <w:p w14:paraId="017313F2" w14:textId="604F90ED" w:rsidR="00F80502" w:rsidRPr="00F80502" w:rsidRDefault="00F80502" w:rsidP="00F80502">
      <w:pPr>
        <w:rPr>
          <w:sz w:val="24"/>
          <w:szCs w:val="24"/>
        </w:rPr>
      </w:pPr>
      <w:r w:rsidRPr="00F80502">
        <w:rPr>
          <w:lang w:eastAsia="bg-BG"/>
        </w:rPr>
        <w:lastRenderedPageBreak/>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Чернодробната</w:t>
      </w:r>
      <w:r>
        <w:rPr>
          <w:sz w:val="24"/>
          <w:szCs w:val="24"/>
        </w:rPr>
        <w:t xml:space="preserve"> </w:t>
      </w:r>
      <w:r w:rsidRPr="00F80502">
        <w:rPr>
          <w:lang w:eastAsia="bg-BG"/>
        </w:rPr>
        <w:t>функция и нивата на СК трябва да се следят. Малко е вероятно хемодиализата да бъде от полза</w:t>
      </w:r>
      <w:r>
        <w:rPr>
          <w:lang w:eastAsia="bg-BG"/>
        </w:rPr>
        <w:t>.</w:t>
      </w:r>
    </w:p>
    <w:p w14:paraId="02081B24" w14:textId="1F46E296" w:rsidR="00395555" w:rsidRPr="00395555" w:rsidRDefault="002C50EE" w:rsidP="008A6AF2">
      <w:pPr>
        <w:pStyle w:val="Heading1"/>
      </w:pPr>
      <w:r>
        <w:t>5. ФАРМАКОЛОГИЧНИ СВОЙСТВА</w:t>
      </w:r>
    </w:p>
    <w:p w14:paraId="7DE36AC8" w14:textId="6777B2A8" w:rsidR="00B6672E" w:rsidRDefault="002C50EE" w:rsidP="00936AD0">
      <w:pPr>
        <w:pStyle w:val="Heading2"/>
      </w:pPr>
      <w:r>
        <w:t>5.1. Фармакодинамични свойства</w:t>
      </w:r>
    </w:p>
    <w:p w14:paraId="760DB9B5" w14:textId="079A5D6D" w:rsidR="00F80502" w:rsidRDefault="00F80502" w:rsidP="00F80502"/>
    <w:p w14:paraId="52E0636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Фармакотерапевтична група: липидопонижаващи средства,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АТС код: С10АА07.</w:t>
      </w:r>
    </w:p>
    <w:p w14:paraId="2441129D" w14:textId="77777777" w:rsidR="00F80502" w:rsidRPr="00F80502" w:rsidRDefault="00F80502" w:rsidP="00F80502">
      <w:pPr>
        <w:spacing w:line="240" w:lineRule="auto"/>
        <w:rPr>
          <w:rFonts w:eastAsia="Times New Roman" w:cs="Arial"/>
          <w:color w:val="000000"/>
          <w:u w:val="single"/>
          <w:lang w:eastAsia="bg-BG"/>
        </w:rPr>
      </w:pPr>
    </w:p>
    <w:p w14:paraId="0551A96E" w14:textId="2D2FF7C5"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Механизъм на действие</w:t>
      </w:r>
    </w:p>
    <w:p w14:paraId="28DD99FC"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е селективен и конкурентен инхибитор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скорост- ограничаващия ензим, който превръща 3-хидрокси-3-метил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4C6E0BE7" w14:textId="77777777" w:rsidR="00F80502" w:rsidRPr="00F80502" w:rsidRDefault="00F80502" w:rsidP="00F80502">
      <w:pPr>
        <w:spacing w:line="240" w:lineRule="auto"/>
        <w:rPr>
          <w:rFonts w:eastAsia="Times New Roman" w:cs="Arial"/>
          <w:color w:val="000000"/>
          <w:lang w:eastAsia="bg-BG"/>
        </w:rPr>
      </w:pPr>
    </w:p>
    <w:p w14:paraId="586914CA" w14:textId="6F73E6E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увеличава броя на чернодробните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рецептори върху клетъчната повърхност, като засилва поемането и катаболизма на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и инхибира чернодробната синтеза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като по този начин намалява общия брой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и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частици.</w:t>
      </w:r>
    </w:p>
    <w:p w14:paraId="7AC61719" w14:textId="77777777" w:rsidR="00F80502" w:rsidRPr="00F80502" w:rsidRDefault="00F80502" w:rsidP="00F80502">
      <w:pPr>
        <w:spacing w:line="240" w:lineRule="auto"/>
        <w:rPr>
          <w:rFonts w:eastAsia="Times New Roman" w:cs="Arial"/>
          <w:color w:val="000000"/>
          <w:u w:val="single"/>
          <w:lang w:eastAsia="bg-BG"/>
        </w:rPr>
      </w:pPr>
    </w:p>
    <w:p w14:paraId="524F64B8" w14:textId="34CB6A9F"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Фармакодинамични ефекти</w:t>
      </w:r>
    </w:p>
    <w:p w14:paraId="4AD7D0C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намалява повишения </w:t>
      </w:r>
      <w:r w:rsidRPr="00F80502">
        <w:rPr>
          <w:rFonts w:eastAsia="Times New Roman" w:cs="Arial"/>
          <w:color w:val="000000"/>
          <w:lang w:val="en-US"/>
        </w:rPr>
        <w:t>LDL</w:t>
      </w:r>
      <w:r w:rsidRPr="00F80502">
        <w:rPr>
          <w:rFonts w:eastAsia="Times New Roman" w:cs="Arial"/>
          <w:color w:val="000000"/>
          <w:lang w:eastAsia="bg-BG"/>
        </w:rPr>
        <w:t xml:space="preserve">-холестерол, общия холестерол и триглицерилите и повишава </w:t>
      </w:r>
      <w:r w:rsidRPr="00F80502">
        <w:rPr>
          <w:rFonts w:eastAsia="Times New Roman" w:cs="Arial"/>
          <w:color w:val="000000"/>
          <w:lang w:val="en-US"/>
        </w:rPr>
        <w:t>HDL</w:t>
      </w:r>
      <w:r w:rsidRPr="00F80502">
        <w:rPr>
          <w:rFonts w:eastAsia="Times New Roman" w:cs="Arial"/>
          <w:color w:val="000000"/>
          <w:lang w:eastAsia="bg-BG"/>
        </w:rPr>
        <w:t>-холестерола. Той също понижава АроВ, 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TG</w:t>
      </w:r>
      <w:r w:rsidRPr="00F80502">
        <w:rPr>
          <w:rFonts w:eastAsia="Times New Roman" w:cs="Arial"/>
          <w:color w:val="000000"/>
          <w:lang w:val="ru-RU"/>
        </w:rPr>
        <w:t xml:space="preserve"> </w:t>
      </w:r>
      <w:r w:rsidRPr="00F80502">
        <w:rPr>
          <w:rFonts w:eastAsia="Times New Roman" w:cs="Arial"/>
          <w:color w:val="000000"/>
          <w:lang w:eastAsia="bg-BG"/>
        </w:rPr>
        <w:t>и увеличава АроА</w:t>
      </w:r>
      <w:r w:rsidRPr="00F80502">
        <w:rPr>
          <w:rFonts w:eastAsia="Times New Roman" w:cs="Arial"/>
          <w:color w:val="000000"/>
          <w:lang w:val="ru-RU"/>
        </w:rPr>
        <w:t>-</w:t>
      </w:r>
      <w:r w:rsidRPr="00F80502">
        <w:rPr>
          <w:rFonts w:eastAsia="Times New Roman" w:cs="Arial"/>
          <w:color w:val="000000"/>
          <w:lang w:val="en-US"/>
        </w:rPr>
        <w:t>I</w:t>
      </w:r>
      <w:r w:rsidRPr="00F80502">
        <w:rPr>
          <w:rFonts w:eastAsia="Times New Roman" w:cs="Arial"/>
          <w:color w:val="000000"/>
          <w:lang w:val="ru-RU"/>
        </w:rPr>
        <w:t xml:space="preserve"> </w:t>
      </w:r>
      <w:r w:rsidRPr="00F80502">
        <w:rPr>
          <w:rFonts w:eastAsia="Times New Roman" w:cs="Arial"/>
          <w:color w:val="000000"/>
          <w:lang w:eastAsia="bg-BG"/>
        </w:rPr>
        <w:t xml:space="preserve">(вж. Таблица 3). Розувастатин понижава и съотношенията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общ </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и АроВ/АроА-1.</w:t>
      </w:r>
    </w:p>
    <w:p w14:paraId="36895C9E" w14:textId="77777777" w:rsidR="00F80502" w:rsidRPr="00F80502" w:rsidRDefault="00F80502" w:rsidP="00F80502">
      <w:pPr>
        <w:spacing w:line="240" w:lineRule="auto"/>
        <w:rPr>
          <w:rFonts w:eastAsia="Times New Roman" w:cs="Arial"/>
          <w:b/>
          <w:bCs/>
          <w:color w:val="000000"/>
          <w:lang w:eastAsia="bg-BG"/>
        </w:rPr>
      </w:pPr>
    </w:p>
    <w:p w14:paraId="5471CF71" w14:textId="408E4105" w:rsidR="00F80502" w:rsidRPr="00F80502" w:rsidRDefault="00F80502" w:rsidP="00F80502">
      <w:pPr>
        <w:spacing w:line="240" w:lineRule="auto"/>
        <w:rPr>
          <w:rFonts w:eastAsia="Times New Roman" w:cs="Arial"/>
          <w:sz w:val="24"/>
          <w:szCs w:val="24"/>
        </w:rPr>
      </w:pPr>
      <w:r w:rsidRPr="00F80502">
        <w:rPr>
          <w:rFonts w:eastAsia="Times New Roman" w:cs="Arial"/>
          <w:b/>
          <w:bCs/>
          <w:color w:val="000000"/>
          <w:lang w:eastAsia="bg-BG"/>
        </w:rPr>
        <w:t>Таблица 3 - Отговор на дозата при пациенти с първична х</w:t>
      </w:r>
      <w:r>
        <w:rPr>
          <w:rFonts w:eastAsia="Times New Roman" w:cs="Arial"/>
          <w:b/>
          <w:bCs/>
          <w:color w:val="000000"/>
          <w:lang w:eastAsia="bg-BG"/>
        </w:rPr>
        <w:t>иперхолестеролемия (тип IIa и II</w:t>
      </w:r>
      <w:r>
        <w:rPr>
          <w:rFonts w:eastAsia="Times New Roman" w:cs="Arial"/>
          <w:b/>
          <w:bCs/>
          <w:color w:val="000000"/>
          <w:lang w:val="en-US" w:eastAsia="bg-BG"/>
        </w:rPr>
        <w:t>b</w:t>
      </w:r>
      <w:r w:rsidRPr="00F80502">
        <w:rPr>
          <w:rFonts w:eastAsia="Times New Roman" w:cs="Arial"/>
          <w:b/>
          <w:bCs/>
          <w:color w:val="000000"/>
          <w:lang w:eastAsia="bg-BG"/>
        </w:rPr>
        <w:t>) (коригиран среден процент на промяна от изходното ниво)</w:t>
      </w:r>
    </w:p>
    <w:p w14:paraId="47FEDE10" w14:textId="2C613B3A" w:rsidR="00F80502" w:rsidRDefault="00F80502" w:rsidP="00F80502"/>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F80502" w14:paraId="383F70C9" w14:textId="77777777" w:rsidTr="00F80502">
        <w:tc>
          <w:tcPr>
            <w:tcW w:w="1064" w:type="dxa"/>
          </w:tcPr>
          <w:p w14:paraId="469A2081" w14:textId="63C48347" w:rsidR="00F80502" w:rsidRPr="00F80502" w:rsidRDefault="00F80502" w:rsidP="00F80502">
            <w:pPr>
              <w:rPr>
                <w:rFonts w:cs="Arial"/>
              </w:rPr>
            </w:pPr>
            <w:r w:rsidRPr="00F80502">
              <w:rPr>
                <w:rFonts w:cs="Arial"/>
                <w:b/>
                <w:bCs/>
              </w:rPr>
              <w:t>Доза</w:t>
            </w:r>
          </w:p>
        </w:tc>
        <w:tc>
          <w:tcPr>
            <w:tcW w:w="1064" w:type="dxa"/>
          </w:tcPr>
          <w:p w14:paraId="21DDBDEC" w14:textId="04ED3096" w:rsidR="00F80502" w:rsidRPr="00F80502" w:rsidRDefault="00F80502" w:rsidP="00F80502">
            <w:pPr>
              <w:rPr>
                <w:rFonts w:cs="Arial"/>
              </w:rPr>
            </w:pPr>
            <w:r w:rsidRPr="00F80502">
              <w:rPr>
                <w:rFonts w:cs="Arial"/>
                <w:b/>
                <w:bCs/>
                <w:lang w:val="en-US"/>
              </w:rPr>
              <w:t>N</w:t>
            </w:r>
          </w:p>
        </w:tc>
        <w:tc>
          <w:tcPr>
            <w:tcW w:w="1064" w:type="dxa"/>
          </w:tcPr>
          <w:p w14:paraId="52CBBE08" w14:textId="1A6D8C4A" w:rsidR="00F80502" w:rsidRPr="00F80502" w:rsidRDefault="00F80502" w:rsidP="00F80502">
            <w:pPr>
              <w:rPr>
                <w:rFonts w:cs="Arial"/>
              </w:rPr>
            </w:pPr>
            <w:r w:rsidRPr="00F80502">
              <w:rPr>
                <w:rFonts w:cs="Arial"/>
                <w:b/>
                <w:bCs/>
                <w:lang w:val="en-US"/>
              </w:rPr>
              <w:t>LDL-C</w:t>
            </w:r>
          </w:p>
        </w:tc>
        <w:tc>
          <w:tcPr>
            <w:tcW w:w="1064" w:type="dxa"/>
          </w:tcPr>
          <w:p w14:paraId="6D4614B1" w14:textId="77ABA349" w:rsidR="00F80502" w:rsidRPr="00F80502" w:rsidRDefault="00F80502" w:rsidP="00F80502">
            <w:pPr>
              <w:rPr>
                <w:rFonts w:cs="Arial"/>
              </w:rPr>
            </w:pPr>
            <w:r w:rsidRPr="00F80502">
              <w:rPr>
                <w:rFonts w:cs="Arial"/>
                <w:b/>
                <w:bCs/>
              </w:rPr>
              <w:t>Общ-С</w:t>
            </w:r>
          </w:p>
        </w:tc>
        <w:tc>
          <w:tcPr>
            <w:tcW w:w="1064" w:type="dxa"/>
          </w:tcPr>
          <w:p w14:paraId="3494B7B2" w14:textId="0EA40E66" w:rsidR="00F80502" w:rsidRPr="00F80502" w:rsidRDefault="00F80502" w:rsidP="00F80502">
            <w:pPr>
              <w:rPr>
                <w:rFonts w:cs="Arial"/>
              </w:rPr>
            </w:pPr>
            <w:r w:rsidRPr="00F80502">
              <w:rPr>
                <w:rFonts w:cs="Arial"/>
                <w:b/>
                <w:bCs/>
                <w:lang w:val="en-US"/>
              </w:rPr>
              <w:t>HDL-C</w:t>
            </w:r>
          </w:p>
        </w:tc>
        <w:tc>
          <w:tcPr>
            <w:tcW w:w="1064" w:type="dxa"/>
          </w:tcPr>
          <w:p w14:paraId="485808FF" w14:textId="46C921AA" w:rsidR="00F80502" w:rsidRPr="00F80502" w:rsidRDefault="00F80502" w:rsidP="00F80502">
            <w:pPr>
              <w:rPr>
                <w:rFonts w:cs="Arial"/>
              </w:rPr>
            </w:pPr>
            <w:r w:rsidRPr="00F80502">
              <w:rPr>
                <w:rFonts w:cs="Arial"/>
                <w:b/>
                <w:bCs/>
                <w:lang w:val="en-US"/>
              </w:rPr>
              <w:t>TG</w:t>
            </w:r>
          </w:p>
        </w:tc>
        <w:tc>
          <w:tcPr>
            <w:tcW w:w="1064" w:type="dxa"/>
          </w:tcPr>
          <w:p w14:paraId="745DF69A" w14:textId="2D1D62F5" w:rsidR="00F80502" w:rsidRPr="00F80502" w:rsidRDefault="00F80502" w:rsidP="00F80502">
            <w:pPr>
              <w:rPr>
                <w:rFonts w:cs="Arial"/>
              </w:rPr>
            </w:pPr>
            <w:r w:rsidRPr="00F80502">
              <w:rPr>
                <w:rFonts w:cs="Arial"/>
                <w:b/>
                <w:bCs/>
              </w:rPr>
              <w:t>не</w:t>
            </w:r>
            <w:r w:rsidRPr="00F80502">
              <w:rPr>
                <w:rFonts w:cs="Arial"/>
                <w:b/>
                <w:bCs/>
                <w:lang w:val="en-US"/>
              </w:rPr>
              <w:t>-HDL-C</w:t>
            </w:r>
          </w:p>
        </w:tc>
        <w:tc>
          <w:tcPr>
            <w:tcW w:w="1064" w:type="dxa"/>
          </w:tcPr>
          <w:p w14:paraId="53CA5539" w14:textId="5B6A0F91" w:rsidR="00F80502" w:rsidRPr="00F80502" w:rsidRDefault="00F80502" w:rsidP="00F80502">
            <w:pPr>
              <w:rPr>
                <w:rFonts w:cs="Arial"/>
              </w:rPr>
            </w:pPr>
            <w:r w:rsidRPr="00F80502">
              <w:rPr>
                <w:rFonts w:cs="Arial"/>
                <w:b/>
                <w:bCs/>
              </w:rPr>
              <w:t>АроВ</w:t>
            </w:r>
          </w:p>
        </w:tc>
        <w:tc>
          <w:tcPr>
            <w:tcW w:w="1064" w:type="dxa"/>
          </w:tcPr>
          <w:p w14:paraId="14345F79" w14:textId="0EE42138" w:rsidR="00F80502" w:rsidRPr="00F80502" w:rsidRDefault="00F80502" w:rsidP="00F80502">
            <w:pPr>
              <w:rPr>
                <w:rFonts w:cs="Arial"/>
              </w:rPr>
            </w:pPr>
            <w:r w:rsidRPr="00F80502">
              <w:rPr>
                <w:rFonts w:cs="Arial"/>
                <w:b/>
                <w:bCs/>
              </w:rPr>
              <w:t>АроА-</w:t>
            </w:r>
            <w:r w:rsidRPr="00F80502">
              <w:rPr>
                <w:rFonts w:cs="Arial"/>
                <w:b/>
                <w:bCs/>
                <w:lang w:val="en-US"/>
              </w:rPr>
              <w:t>I</w:t>
            </w:r>
          </w:p>
        </w:tc>
      </w:tr>
      <w:tr w:rsidR="00F80502" w14:paraId="44C74648" w14:textId="77777777" w:rsidTr="00F80502">
        <w:tc>
          <w:tcPr>
            <w:tcW w:w="1064" w:type="dxa"/>
          </w:tcPr>
          <w:p w14:paraId="74D6A1F6" w14:textId="60DB1844" w:rsidR="00F80502" w:rsidRPr="00F80502" w:rsidRDefault="00F80502" w:rsidP="00F80502">
            <w:pPr>
              <w:rPr>
                <w:rFonts w:cs="Arial"/>
              </w:rPr>
            </w:pPr>
            <w:r w:rsidRPr="00F80502">
              <w:rPr>
                <w:rFonts w:cs="Arial"/>
              </w:rPr>
              <w:t>Плацебо</w:t>
            </w:r>
          </w:p>
        </w:tc>
        <w:tc>
          <w:tcPr>
            <w:tcW w:w="1064" w:type="dxa"/>
          </w:tcPr>
          <w:p w14:paraId="69105D7D" w14:textId="503EC803" w:rsidR="00F80502" w:rsidRPr="00F80502" w:rsidRDefault="00F80502" w:rsidP="00F80502">
            <w:pPr>
              <w:rPr>
                <w:rFonts w:cs="Arial"/>
              </w:rPr>
            </w:pPr>
            <w:r w:rsidRPr="00F80502">
              <w:rPr>
                <w:rFonts w:cs="Arial"/>
              </w:rPr>
              <w:t>13</w:t>
            </w:r>
          </w:p>
        </w:tc>
        <w:tc>
          <w:tcPr>
            <w:tcW w:w="1064" w:type="dxa"/>
          </w:tcPr>
          <w:p w14:paraId="33DF7FD1" w14:textId="138BF6BB" w:rsidR="00F80502" w:rsidRPr="00F80502" w:rsidRDefault="00F80502" w:rsidP="00F80502">
            <w:pPr>
              <w:rPr>
                <w:rFonts w:cs="Arial"/>
              </w:rPr>
            </w:pPr>
            <w:r w:rsidRPr="00F80502">
              <w:rPr>
                <w:rFonts w:cs="Arial"/>
              </w:rPr>
              <w:t>-7</w:t>
            </w:r>
          </w:p>
        </w:tc>
        <w:tc>
          <w:tcPr>
            <w:tcW w:w="1064" w:type="dxa"/>
          </w:tcPr>
          <w:p w14:paraId="203754FC" w14:textId="7B851D07" w:rsidR="00F80502" w:rsidRPr="00F80502" w:rsidRDefault="00F80502" w:rsidP="00F80502">
            <w:pPr>
              <w:rPr>
                <w:rFonts w:cs="Arial"/>
              </w:rPr>
            </w:pPr>
            <w:r w:rsidRPr="00F80502">
              <w:rPr>
                <w:rFonts w:cs="Arial"/>
              </w:rPr>
              <w:t>-5</w:t>
            </w:r>
          </w:p>
        </w:tc>
        <w:tc>
          <w:tcPr>
            <w:tcW w:w="1064" w:type="dxa"/>
          </w:tcPr>
          <w:p w14:paraId="05C41C25" w14:textId="3CB77F1E" w:rsidR="00F80502" w:rsidRPr="00F80502" w:rsidRDefault="00F80502" w:rsidP="00F80502">
            <w:pPr>
              <w:rPr>
                <w:rFonts w:cs="Arial"/>
              </w:rPr>
            </w:pPr>
            <w:r w:rsidRPr="00F80502">
              <w:rPr>
                <w:rFonts w:cs="Arial"/>
              </w:rPr>
              <w:t>3</w:t>
            </w:r>
          </w:p>
        </w:tc>
        <w:tc>
          <w:tcPr>
            <w:tcW w:w="1064" w:type="dxa"/>
          </w:tcPr>
          <w:p w14:paraId="4F786DB0" w14:textId="66947930" w:rsidR="00F80502" w:rsidRPr="00F80502" w:rsidRDefault="00F80502" w:rsidP="00F80502">
            <w:pPr>
              <w:rPr>
                <w:rFonts w:cs="Arial"/>
              </w:rPr>
            </w:pPr>
            <w:r w:rsidRPr="00F80502">
              <w:rPr>
                <w:rFonts w:cs="Arial"/>
              </w:rPr>
              <w:t>-3</w:t>
            </w:r>
          </w:p>
        </w:tc>
        <w:tc>
          <w:tcPr>
            <w:tcW w:w="1064" w:type="dxa"/>
          </w:tcPr>
          <w:p w14:paraId="5A14E642" w14:textId="68FA17BA" w:rsidR="00F80502" w:rsidRPr="00F80502" w:rsidRDefault="00F80502" w:rsidP="00F80502">
            <w:pPr>
              <w:rPr>
                <w:rFonts w:cs="Arial"/>
              </w:rPr>
            </w:pPr>
            <w:r w:rsidRPr="00F80502">
              <w:rPr>
                <w:rFonts w:cs="Arial"/>
              </w:rPr>
              <w:t>-7</w:t>
            </w:r>
          </w:p>
        </w:tc>
        <w:tc>
          <w:tcPr>
            <w:tcW w:w="1064" w:type="dxa"/>
          </w:tcPr>
          <w:p w14:paraId="6ED24C56" w14:textId="5D6D2CFC" w:rsidR="00F80502" w:rsidRPr="00F80502" w:rsidRDefault="00F80502" w:rsidP="00F80502">
            <w:pPr>
              <w:rPr>
                <w:rFonts w:cs="Arial"/>
              </w:rPr>
            </w:pPr>
            <w:r w:rsidRPr="00F80502">
              <w:rPr>
                <w:rFonts w:cs="Arial"/>
              </w:rPr>
              <w:t>-3</w:t>
            </w:r>
          </w:p>
        </w:tc>
        <w:tc>
          <w:tcPr>
            <w:tcW w:w="1064" w:type="dxa"/>
          </w:tcPr>
          <w:p w14:paraId="14C781B2" w14:textId="4063A766" w:rsidR="00F80502" w:rsidRPr="00F80502" w:rsidRDefault="00F80502" w:rsidP="00F80502">
            <w:pPr>
              <w:rPr>
                <w:rFonts w:cs="Arial"/>
              </w:rPr>
            </w:pPr>
            <w:r w:rsidRPr="00F80502">
              <w:rPr>
                <w:rFonts w:cs="Arial"/>
              </w:rPr>
              <w:t>0</w:t>
            </w:r>
          </w:p>
        </w:tc>
      </w:tr>
      <w:tr w:rsidR="00F80502" w14:paraId="31A33842" w14:textId="77777777" w:rsidTr="00F80502">
        <w:tc>
          <w:tcPr>
            <w:tcW w:w="1064" w:type="dxa"/>
          </w:tcPr>
          <w:p w14:paraId="2BE00FF9" w14:textId="4A19C474" w:rsidR="00F80502" w:rsidRPr="00F80502" w:rsidRDefault="00F80502" w:rsidP="00F80502">
            <w:pPr>
              <w:rPr>
                <w:rFonts w:cs="Arial"/>
              </w:rPr>
            </w:pPr>
            <w:r w:rsidRPr="00F80502">
              <w:rPr>
                <w:rFonts w:cs="Arial"/>
              </w:rPr>
              <w:t>5</w:t>
            </w:r>
          </w:p>
        </w:tc>
        <w:tc>
          <w:tcPr>
            <w:tcW w:w="1064" w:type="dxa"/>
          </w:tcPr>
          <w:p w14:paraId="4DD198CD" w14:textId="59926C28" w:rsidR="00F80502" w:rsidRPr="00F80502" w:rsidRDefault="00F80502" w:rsidP="00F80502">
            <w:pPr>
              <w:rPr>
                <w:rFonts w:cs="Arial"/>
              </w:rPr>
            </w:pPr>
            <w:r w:rsidRPr="00F80502">
              <w:rPr>
                <w:rFonts w:cs="Arial"/>
              </w:rPr>
              <w:t>17</w:t>
            </w:r>
          </w:p>
        </w:tc>
        <w:tc>
          <w:tcPr>
            <w:tcW w:w="1064" w:type="dxa"/>
          </w:tcPr>
          <w:p w14:paraId="7CDFC60A" w14:textId="614C2873" w:rsidR="00F80502" w:rsidRPr="00F80502" w:rsidRDefault="00F80502" w:rsidP="00F80502">
            <w:pPr>
              <w:rPr>
                <w:rFonts w:cs="Arial"/>
              </w:rPr>
            </w:pPr>
            <w:r w:rsidRPr="00F80502">
              <w:rPr>
                <w:rFonts w:cs="Arial"/>
              </w:rPr>
              <w:t>-45</w:t>
            </w:r>
          </w:p>
        </w:tc>
        <w:tc>
          <w:tcPr>
            <w:tcW w:w="1064" w:type="dxa"/>
          </w:tcPr>
          <w:p w14:paraId="2FBD581B" w14:textId="41B8AF86" w:rsidR="00F80502" w:rsidRPr="00F80502" w:rsidRDefault="00F80502" w:rsidP="00F80502">
            <w:pPr>
              <w:rPr>
                <w:rFonts w:cs="Arial"/>
              </w:rPr>
            </w:pPr>
            <w:r w:rsidRPr="00F80502">
              <w:rPr>
                <w:rFonts w:cs="Arial"/>
              </w:rPr>
              <w:t>-33</w:t>
            </w:r>
          </w:p>
        </w:tc>
        <w:tc>
          <w:tcPr>
            <w:tcW w:w="1064" w:type="dxa"/>
          </w:tcPr>
          <w:p w14:paraId="0DE9E1FF" w14:textId="65328929" w:rsidR="00F80502" w:rsidRPr="00F80502" w:rsidRDefault="00F80502" w:rsidP="00F80502">
            <w:pPr>
              <w:rPr>
                <w:rFonts w:cs="Arial"/>
              </w:rPr>
            </w:pPr>
            <w:r w:rsidRPr="00F80502">
              <w:rPr>
                <w:rFonts w:cs="Arial"/>
              </w:rPr>
              <w:t>13</w:t>
            </w:r>
          </w:p>
        </w:tc>
        <w:tc>
          <w:tcPr>
            <w:tcW w:w="1064" w:type="dxa"/>
          </w:tcPr>
          <w:p w14:paraId="608FB379" w14:textId="5EC4CFCC" w:rsidR="00F80502" w:rsidRPr="00F80502" w:rsidRDefault="00F80502" w:rsidP="00F80502">
            <w:pPr>
              <w:rPr>
                <w:rFonts w:cs="Arial"/>
              </w:rPr>
            </w:pPr>
            <w:r w:rsidRPr="00F80502">
              <w:rPr>
                <w:rFonts w:cs="Arial"/>
              </w:rPr>
              <w:t>-35</w:t>
            </w:r>
          </w:p>
        </w:tc>
        <w:tc>
          <w:tcPr>
            <w:tcW w:w="1064" w:type="dxa"/>
          </w:tcPr>
          <w:p w14:paraId="03E51FDF" w14:textId="3F64A026" w:rsidR="00F80502" w:rsidRPr="00F80502" w:rsidRDefault="00F80502" w:rsidP="00F80502">
            <w:pPr>
              <w:rPr>
                <w:rFonts w:cs="Arial"/>
              </w:rPr>
            </w:pPr>
            <w:r w:rsidRPr="00F80502">
              <w:rPr>
                <w:rFonts w:cs="Arial"/>
              </w:rPr>
              <w:t>-44</w:t>
            </w:r>
          </w:p>
        </w:tc>
        <w:tc>
          <w:tcPr>
            <w:tcW w:w="1064" w:type="dxa"/>
          </w:tcPr>
          <w:p w14:paraId="08046B9B" w14:textId="12609FE2" w:rsidR="00F80502" w:rsidRPr="00F80502" w:rsidRDefault="00F80502" w:rsidP="00F80502">
            <w:pPr>
              <w:rPr>
                <w:rFonts w:cs="Arial"/>
              </w:rPr>
            </w:pPr>
            <w:r w:rsidRPr="00F80502">
              <w:rPr>
                <w:rFonts w:cs="Arial"/>
              </w:rPr>
              <w:t>-38</w:t>
            </w:r>
          </w:p>
        </w:tc>
        <w:tc>
          <w:tcPr>
            <w:tcW w:w="1064" w:type="dxa"/>
          </w:tcPr>
          <w:p w14:paraId="2CA0D8A0" w14:textId="1FE25EEB" w:rsidR="00F80502" w:rsidRPr="00F80502" w:rsidRDefault="00F80502" w:rsidP="00F80502">
            <w:pPr>
              <w:rPr>
                <w:rFonts w:cs="Arial"/>
              </w:rPr>
            </w:pPr>
            <w:r w:rsidRPr="00F80502">
              <w:rPr>
                <w:rFonts w:cs="Arial"/>
              </w:rPr>
              <w:t>4</w:t>
            </w:r>
          </w:p>
        </w:tc>
      </w:tr>
      <w:tr w:rsidR="00F80502" w14:paraId="1FA07788" w14:textId="77777777" w:rsidTr="00F80502">
        <w:tc>
          <w:tcPr>
            <w:tcW w:w="1064" w:type="dxa"/>
          </w:tcPr>
          <w:p w14:paraId="5DB2166A" w14:textId="4A603197" w:rsidR="00F80502" w:rsidRPr="00F80502" w:rsidRDefault="00F80502" w:rsidP="00F80502">
            <w:pPr>
              <w:rPr>
                <w:rFonts w:cs="Arial"/>
              </w:rPr>
            </w:pPr>
            <w:r w:rsidRPr="00F80502">
              <w:rPr>
                <w:rFonts w:cs="Arial"/>
              </w:rPr>
              <w:t>10</w:t>
            </w:r>
          </w:p>
        </w:tc>
        <w:tc>
          <w:tcPr>
            <w:tcW w:w="1064" w:type="dxa"/>
          </w:tcPr>
          <w:p w14:paraId="1412C391" w14:textId="675B4DFD" w:rsidR="00F80502" w:rsidRPr="00F80502" w:rsidRDefault="00F80502" w:rsidP="00F80502">
            <w:pPr>
              <w:rPr>
                <w:rFonts w:cs="Arial"/>
              </w:rPr>
            </w:pPr>
            <w:r w:rsidRPr="00F80502">
              <w:rPr>
                <w:rFonts w:cs="Arial"/>
              </w:rPr>
              <w:t>17</w:t>
            </w:r>
          </w:p>
        </w:tc>
        <w:tc>
          <w:tcPr>
            <w:tcW w:w="1064" w:type="dxa"/>
          </w:tcPr>
          <w:p w14:paraId="2EE54A19" w14:textId="34CBBE79" w:rsidR="00F80502" w:rsidRPr="00F80502" w:rsidRDefault="00F80502" w:rsidP="00F80502">
            <w:pPr>
              <w:rPr>
                <w:rFonts w:cs="Arial"/>
              </w:rPr>
            </w:pPr>
            <w:r w:rsidRPr="00F80502">
              <w:rPr>
                <w:rFonts w:cs="Arial"/>
              </w:rPr>
              <w:t>-52</w:t>
            </w:r>
          </w:p>
        </w:tc>
        <w:tc>
          <w:tcPr>
            <w:tcW w:w="1064" w:type="dxa"/>
          </w:tcPr>
          <w:p w14:paraId="2D58724E" w14:textId="07570073" w:rsidR="00F80502" w:rsidRPr="00F80502" w:rsidRDefault="00F80502" w:rsidP="00F80502">
            <w:pPr>
              <w:rPr>
                <w:rFonts w:cs="Arial"/>
              </w:rPr>
            </w:pPr>
            <w:r w:rsidRPr="00F80502">
              <w:rPr>
                <w:rFonts w:cs="Arial"/>
              </w:rPr>
              <w:t>-36</w:t>
            </w:r>
          </w:p>
        </w:tc>
        <w:tc>
          <w:tcPr>
            <w:tcW w:w="1064" w:type="dxa"/>
          </w:tcPr>
          <w:p w14:paraId="3525F048" w14:textId="2FB9031C" w:rsidR="00F80502" w:rsidRPr="00F80502" w:rsidRDefault="00F80502" w:rsidP="00F80502">
            <w:pPr>
              <w:rPr>
                <w:rFonts w:cs="Arial"/>
              </w:rPr>
            </w:pPr>
            <w:r w:rsidRPr="00F80502">
              <w:rPr>
                <w:rFonts w:cs="Arial"/>
              </w:rPr>
              <w:t>14</w:t>
            </w:r>
          </w:p>
        </w:tc>
        <w:tc>
          <w:tcPr>
            <w:tcW w:w="1064" w:type="dxa"/>
          </w:tcPr>
          <w:p w14:paraId="0B7FBABF" w14:textId="67B92003" w:rsidR="00F80502" w:rsidRPr="00F80502" w:rsidRDefault="00F80502" w:rsidP="00F80502">
            <w:pPr>
              <w:rPr>
                <w:rFonts w:cs="Arial"/>
              </w:rPr>
            </w:pPr>
            <w:r w:rsidRPr="00F80502">
              <w:rPr>
                <w:rFonts w:cs="Arial"/>
              </w:rPr>
              <w:t>-10</w:t>
            </w:r>
          </w:p>
        </w:tc>
        <w:tc>
          <w:tcPr>
            <w:tcW w:w="1064" w:type="dxa"/>
          </w:tcPr>
          <w:p w14:paraId="3E2BFAE4" w14:textId="440E00EF" w:rsidR="00F80502" w:rsidRPr="00F80502" w:rsidRDefault="00F80502" w:rsidP="00F80502">
            <w:pPr>
              <w:rPr>
                <w:rFonts w:cs="Arial"/>
              </w:rPr>
            </w:pPr>
            <w:r w:rsidRPr="00F80502">
              <w:rPr>
                <w:rFonts w:cs="Arial"/>
              </w:rPr>
              <w:t>-48</w:t>
            </w:r>
          </w:p>
        </w:tc>
        <w:tc>
          <w:tcPr>
            <w:tcW w:w="1064" w:type="dxa"/>
          </w:tcPr>
          <w:p w14:paraId="3844DDF0" w14:textId="6846B59A" w:rsidR="00F80502" w:rsidRPr="00F80502" w:rsidRDefault="00F80502" w:rsidP="00F80502">
            <w:pPr>
              <w:rPr>
                <w:rFonts w:cs="Arial"/>
              </w:rPr>
            </w:pPr>
            <w:r w:rsidRPr="00F80502">
              <w:rPr>
                <w:rFonts w:cs="Arial"/>
              </w:rPr>
              <w:t>-42</w:t>
            </w:r>
          </w:p>
        </w:tc>
        <w:tc>
          <w:tcPr>
            <w:tcW w:w="1064" w:type="dxa"/>
          </w:tcPr>
          <w:p w14:paraId="45030340" w14:textId="7BB1BA8B" w:rsidR="00F80502" w:rsidRPr="00F80502" w:rsidRDefault="00F80502" w:rsidP="00F80502">
            <w:pPr>
              <w:rPr>
                <w:rFonts w:cs="Arial"/>
              </w:rPr>
            </w:pPr>
            <w:r w:rsidRPr="00F80502">
              <w:rPr>
                <w:rFonts w:cs="Arial"/>
              </w:rPr>
              <w:t>4</w:t>
            </w:r>
          </w:p>
        </w:tc>
      </w:tr>
      <w:tr w:rsidR="00F80502" w14:paraId="1914BAF1" w14:textId="77777777" w:rsidTr="00F80502">
        <w:tc>
          <w:tcPr>
            <w:tcW w:w="1064" w:type="dxa"/>
          </w:tcPr>
          <w:p w14:paraId="6A16689B" w14:textId="6C4E7263" w:rsidR="00F80502" w:rsidRPr="00F80502" w:rsidRDefault="00F80502" w:rsidP="00F80502">
            <w:pPr>
              <w:rPr>
                <w:rFonts w:cs="Arial"/>
              </w:rPr>
            </w:pPr>
            <w:r w:rsidRPr="00F80502">
              <w:rPr>
                <w:rFonts w:cs="Arial"/>
              </w:rPr>
              <w:t>20</w:t>
            </w:r>
          </w:p>
        </w:tc>
        <w:tc>
          <w:tcPr>
            <w:tcW w:w="1064" w:type="dxa"/>
          </w:tcPr>
          <w:p w14:paraId="78B7F818" w14:textId="405B86ED" w:rsidR="00F80502" w:rsidRPr="00F80502" w:rsidRDefault="00F80502" w:rsidP="00F80502">
            <w:pPr>
              <w:rPr>
                <w:rFonts w:cs="Arial"/>
                <w:lang w:val="en-US"/>
              </w:rPr>
            </w:pPr>
            <w:r w:rsidRPr="00F80502">
              <w:rPr>
                <w:rFonts w:cs="Arial"/>
              </w:rPr>
              <w:t>17</w:t>
            </w:r>
            <w:r>
              <w:rPr>
                <w:rFonts w:cs="Arial"/>
                <w:lang w:val="en-US"/>
              </w:rPr>
              <w:t xml:space="preserve"> </w:t>
            </w:r>
          </w:p>
        </w:tc>
        <w:tc>
          <w:tcPr>
            <w:tcW w:w="1064" w:type="dxa"/>
          </w:tcPr>
          <w:p w14:paraId="44B59F3D" w14:textId="12ADBD4F" w:rsidR="00F80502" w:rsidRPr="00F80502" w:rsidRDefault="00F80502" w:rsidP="00F80502">
            <w:pPr>
              <w:rPr>
                <w:rFonts w:cs="Arial"/>
              </w:rPr>
            </w:pPr>
            <w:r w:rsidRPr="00F80502">
              <w:rPr>
                <w:rFonts w:cs="Arial"/>
              </w:rPr>
              <w:t>-55</w:t>
            </w:r>
          </w:p>
        </w:tc>
        <w:tc>
          <w:tcPr>
            <w:tcW w:w="1064" w:type="dxa"/>
          </w:tcPr>
          <w:p w14:paraId="06AABE02" w14:textId="2E443E7E" w:rsidR="00F80502" w:rsidRPr="00F80502" w:rsidRDefault="00F80502" w:rsidP="00F80502">
            <w:pPr>
              <w:rPr>
                <w:rFonts w:cs="Arial"/>
              </w:rPr>
            </w:pPr>
            <w:r w:rsidRPr="00F80502">
              <w:rPr>
                <w:rFonts w:cs="Arial"/>
              </w:rPr>
              <w:t>-40</w:t>
            </w:r>
          </w:p>
        </w:tc>
        <w:tc>
          <w:tcPr>
            <w:tcW w:w="1064" w:type="dxa"/>
          </w:tcPr>
          <w:p w14:paraId="5F47F3D8" w14:textId="0B1E237F" w:rsidR="00F80502" w:rsidRPr="00F80502" w:rsidRDefault="00F80502" w:rsidP="00F80502">
            <w:pPr>
              <w:rPr>
                <w:rFonts w:cs="Arial"/>
              </w:rPr>
            </w:pPr>
            <w:r w:rsidRPr="00F80502">
              <w:rPr>
                <w:rFonts w:cs="Arial"/>
              </w:rPr>
              <w:t>8</w:t>
            </w:r>
          </w:p>
        </w:tc>
        <w:tc>
          <w:tcPr>
            <w:tcW w:w="1064" w:type="dxa"/>
          </w:tcPr>
          <w:p w14:paraId="66628A3F" w14:textId="1E4469B3" w:rsidR="00F80502" w:rsidRPr="00F80502" w:rsidRDefault="00F80502" w:rsidP="00F80502">
            <w:pPr>
              <w:rPr>
                <w:rFonts w:cs="Arial"/>
              </w:rPr>
            </w:pPr>
            <w:r w:rsidRPr="00F80502">
              <w:rPr>
                <w:rFonts w:cs="Arial"/>
              </w:rPr>
              <w:t>-23</w:t>
            </w:r>
          </w:p>
        </w:tc>
        <w:tc>
          <w:tcPr>
            <w:tcW w:w="1064" w:type="dxa"/>
          </w:tcPr>
          <w:p w14:paraId="6D5E787D" w14:textId="4197B219" w:rsidR="00F80502" w:rsidRPr="00F80502" w:rsidRDefault="00F80502" w:rsidP="00F80502">
            <w:pPr>
              <w:rPr>
                <w:rFonts w:cs="Arial"/>
              </w:rPr>
            </w:pPr>
            <w:r w:rsidRPr="00F80502">
              <w:rPr>
                <w:rFonts w:cs="Arial"/>
              </w:rPr>
              <w:t>-51</w:t>
            </w:r>
          </w:p>
        </w:tc>
        <w:tc>
          <w:tcPr>
            <w:tcW w:w="1064" w:type="dxa"/>
          </w:tcPr>
          <w:p w14:paraId="5C4138F0" w14:textId="73983A27" w:rsidR="00F80502" w:rsidRPr="00F80502" w:rsidRDefault="00F80502" w:rsidP="00F80502">
            <w:pPr>
              <w:rPr>
                <w:rFonts w:cs="Arial"/>
              </w:rPr>
            </w:pPr>
            <w:r w:rsidRPr="00F80502">
              <w:rPr>
                <w:rFonts w:cs="Arial"/>
              </w:rPr>
              <w:t>-46</w:t>
            </w:r>
          </w:p>
        </w:tc>
        <w:tc>
          <w:tcPr>
            <w:tcW w:w="1064" w:type="dxa"/>
          </w:tcPr>
          <w:p w14:paraId="4D322DD2" w14:textId="31FBD88A" w:rsidR="00F80502" w:rsidRPr="00F80502" w:rsidRDefault="00F80502" w:rsidP="00F80502">
            <w:pPr>
              <w:rPr>
                <w:rFonts w:cs="Arial"/>
              </w:rPr>
            </w:pPr>
            <w:r w:rsidRPr="00F80502">
              <w:rPr>
                <w:rFonts w:cs="Arial"/>
              </w:rPr>
              <w:t>5</w:t>
            </w:r>
          </w:p>
        </w:tc>
      </w:tr>
      <w:tr w:rsidR="00F80502" w14:paraId="45CC9302" w14:textId="77777777" w:rsidTr="00F80502">
        <w:tc>
          <w:tcPr>
            <w:tcW w:w="1064" w:type="dxa"/>
          </w:tcPr>
          <w:p w14:paraId="4B54675F" w14:textId="25AEEF0A" w:rsidR="00F80502" w:rsidRPr="00F80502" w:rsidRDefault="00F80502" w:rsidP="00F80502">
            <w:pPr>
              <w:rPr>
                <w:rFonts w:cs="Arial"/>
              </w:rPr>
            </w:pPr>
            <w:r w:rsidRPr="00F80502">
              <w:rPr>
                <w:rFonts w:cs="Arial"/>
              </w:rPr>
              <w:t>40</w:t>
            </w:r>
          </w:p>
        </w:tc>
        <w:tc>
          <w:tcPr>
            <w:tcW w:w="1064" w:type="dxa"/>
          </w:tcPr>
          <w:p w14:paraId="000E8DB8" w14:textId="4315225B" w:rsidR="00F80502" w:rsidRPr="00F80502" w:rsidRDefault="00F80502" w:rsidP="00F80502">
            <w:pPr>
              <w:rPr>
                <w:rFonts w:cs="Arial"/>
              </w:rPr>
            </w:pPr>
            <w:r w:rsidRPr="00F80502">
              <w:rPr>
                <w:rFonts w:cs="Arial"/>
              </w:rPr>
              <w:t>18</w:t>
            </w:r>
          </w:p>
        </w:tc>
        <w:tc>
          <w:tcPr>
            <w:tcW w:w="1064" w:type="dxa"/>
          </w:tcPr>
          <w:p w14:paraId="495F7607" w14:textId="1CD3E117" w:rsidR="00F80502" w:rsidRPr="00F80502" w:rsidRDefault="00F80502" w:rsidP="00F80502">
            <w:pPr>
              <w:rPr>
                <w:rFonts w:cs="Arial"/>
              </w:rPr>
            </w:pPr>
            <w:r w:rsidRPr="00F80502">
              <w:rPr>
                <w:rFonts w:cs="Arial"/>
              </w:rPr>
              <w:t>-63</w:t>
            </w:r>
          </w:p>
        </w:tc>
        <w:tc>
          <w:tcPr>
            <w:tcW w:w="1064" w:type="dxa"/>
          </w:tcPr>
          <w:p w14:paraId="6E3FCE7F" w14:textId="076EF5A4" w:rsidR="00F80502" w:rsidRPr="00F80502" w:rsidRDefault="00F80502" w:rsidP="00F80502">
            <w:pPr>
              <w:rPr>
                <w:rFonts w:cs="Arial"/>
              </w:rPr>
            </w:pPr>
            <w:r w:rsidRPr="00F80502">
              <w:rPr>
                <w:rFonts w:cs="Arial"/>
              </w:rPr>
              <w:t>-46</w:t>
            </w:r>
          </w:p>
        </w:tc>
        <w:tc>
          <w:tcPr>
            <w:tcW w:w="1064" w:type="dxa"/>
          </w:tcPr>
          <w:p w14:paraId="20E1D174" w14:textId="46D25697" w:rsidR="00F80502" w:rsidRPr="00F80502" w:rsidRDefault="00F80502" w:rsidP="00F80502">
            <w:pPr>
              <w:rPr>
                <w:rFonts w:cs="Arial"/>
              </w:rPr>
            </w:pPr>
            <w:r w:rsidRPr="00F80502">
              <w:rPr>
                <w:rFonts w:cs="Arial"/>
              </w:rPr>
              <w:t>10</w:t>
            </w:r>
          </w:p>
        </w:tc>
        <w:tc>
          <w:tcPr>
            <w:tcW w:w="1064" w:type="dxa"/>
          </w:tcPr>
          <w:p w14:paraId="122D1799" w14:textId="0E50B9AC" w:rsidR="00F80502" w:rsidRPr="00F80502" w:rsidRDefault="00F80502" w:rsidP="00F80502">
            <w:pPr>
              <w:rPr>
                <w:rFonts w:cs="Arial"/>
              </w:rPr>
            </w:pPr>
            <w:r w:rsidRPr="00F80502">
              <w:rPr>
                <w:rFonts w:cs="Arial"/>
              </w:rPr>
              <w:t>-28</w:t>
            </w:r>
          </w:p>
        </w:tc>
        <w:tc>
          <w:tcPr>
            <w:tcW w:w="1064" w:type="dxa"/>
          </w:tcPr>
          <w:p w14:paraId="66EF14DB" w14:textId="49EFB4A8" w:rsidR="00F80502" w:rsidRPr="00F80502" w:rsidRDefault="00F80502" w:rsidP="00F80502">
            <w:pPr>
              <w:rPr>
                <w:rFonts w:cs="Arial"/>
              </w:rPr>
            </w:pPr>
            <w:r w:rsidRPr="00F80502">
              <w:rPr>
                <w:rFonts w:cs="Arial"/>
              </w:rPr>
              <w:t>-60</w:t>
            </w:r>
          </w:p>
        </w:tc>
        <w:tc>
          <w:tcPr>
            <w:tcW w:w="1064" w:type="dxa"/>
          </w:tcPr>
          <w:p w14:paraId="7D001250" w14:textId="0BF25B37" w:rsidR="00F80502" w:rsidRPr="00F80502" w:rsidRDefault="00F80502" w:rsidP="00F80502">
            <w:pPr>
              <w:rPr>
                <w:rFonts w:cs="Arial"/>
              </w:rPr>
            </w:pPr>
            <w:r w:rsidRPr="00F80502">
              <w:rPr>
                <w:rFonts w:cs="Arial"/>
              </w:rPr>
              <w:t>-54</w:t>
            </w:r>
          </w:p>
        </w:tc>
        <w:tc>
          <w:tcPr>
            <w:tcW w:w="1064" w:type="dxa"/>
          </w:tcPr>
          <w:p w14:paraId="06CB7177" w14:textId="6BA1F9B6" w:rsidR="00F80502" w:rsidRPr="00F80502" w:rsidRDefault="00F80502" w:rsidP="00F80502">
            <w:pPr>
              <w:rPr>
                <w:rFonts w:cs="Arial"/>
              </w:rPr>
            </w:pPr>
            <w:r w:rsidRPr="00F80502">
              <w:rPr>
                <w:rFonts w:cs="Arial"/>
              </w:rPr>
              <w:t>0</w:t>
            </w:r>
          </w:p>
        </w:tc>
      </w:tr>
    </w:tbl>
    <w:p w14:paraId="2929F4D1" w14:textId="1253FC35" w:rsidR="00F80502" w:rsidRDefault="00F80502" w:rsidP="00F80502"/>
    <w:p w14:paraId="5BFD851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Терапевтичният отговор към лечението се забелязва до 1 седмица от началото на терапията и 90% от максималния отговор се постига до 2 седмици. Максималният отговор </w:t>
      </w:r>
      <w:r w:rsidRPr="00F80502">
        <w:rPr>
          <w:rFonts w:eastAsia="Times New Roman" w:cs="Arial"/>
          <w:i/>
          <w:iCs/>
          <w:color w:val="000000"/>
          <w:lang w:eastAsia="bg-BG"/>
        </w:rPr>
        <w:t xml:space="preserve">обикновено се </w:t>
      </w:r>
      <w:r w:rsidRPr="00F80502">
        <w:rPr>
          <w:rFonts w:eastAsia="Times New Roman" w:cs="Arial"/>
          <w:color w:val="000000"/>
          <w:lang w:eastAsia="bg-BG"/>
        </w:rPr>
        <w:t>постига към 4-та седмица и се поддържа след това.</w:t>
      </w:r>
    </w:p>
    <w:p w14:paraId="5BF971D7" w14:textId="77777777" w:rsidR="00F80502" w:rsidRPr="00F626A0" w:rsidRDefault="00F80502" w:rsidP="00F80502">
      <w:pPr>
        <w:spacing w:line="240" w:lineRule="auto"/>
        <w:rPr>
          <w:rFonts w:eastAsia="Times New Roman" w:cs="Arial"/>
          <w:color w:val="000000"/>
          <w:u w:val="single"/>
          <w:lang w:eastAsia="bg-BG"/>
        </w:rPr>
      </w:pPr>
    </w:p>
    <w:p w14:paraId="27E7AC7B" w14:textId="0FF8EF1A"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Клинична ефикасност и безопасност</w:t>
      </w:r>
    </w:p>
    <w:p w14:paraId="5A263288" w14:textId="77777777" w:rsidR="00F80502" w:rsidRPr="00F626A0" w:rsidRDefault="00F80502" w:rsidP="00F80502">
      <w:pPr>
        <w:spacing w:line="240" w:lineRule="auto"/>
        <w:rPr>
          <w:rFonts w:eastAsia="Times New Roman" w:cs="Arial"/>
          <w:color w:val="000000"/>
          <w:lang w:eastAsia="bg-BG"/>
        </w:rPr>
      </w:pPr>
    </w:p>
    <w:p w14:paraId="7DD0BE73" w14:textId="0B912431" w:rsidR="00F80502" w:rsidRPr="00F80502" w:rsidRDefault="00F80502" w:rsidP="00F80502">
      <w:pPr>
        <w:spacing w:line="240" w:lineRule="auto"/>
        <w:rPr>
          <w:rFonts w:eastAsia="Times New Roman" w:cs="Arial"/>
        </w:rPr>
      </w:pPr>
      <w:r w:rsidRPr="00F80502">
        <w:rPr>
          <w:rFonts w:eastAsia="Times New Roman" w:cs="Arial"/>
          <w:color w:val="000000"/>
          <w:lang w:eastAsia="bg-BG"/>
        </w:rPr>
        <w:t>Розувастатин е ефективен при възрастни хора, страдащи от хиперхолестеролемия 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3083D486" w14:textId="77777777" w:rsidR="00F80502" w:rsidRPr="00F626A0" w:rsidRDefault="00F80502" w:rsidP="00F80502">
      <w:pPr>
        <w:spacing w:line="240" w:lineRule="auto"/>
        <w:rPr>
          <w:rFonts w:eastAsia="Times New Roman" w:cs="Arial"/>
          <w:color w:val="000000"/>
          <w:lang w:eastAsia="bg-BG"/>
        </w:rPr>
      </w:pPr>
    </w:p>
    <w:p w14:paraId="4C2744D4" w14:textId="066D773B" w:rsidR="00F80502" w:rsidRPr="00F80502" w:rsidRDefault="00F80502" w:rsidP="00F80502">
      <w:pPr>
        <w:spacing w:line="240" w:lineRule="auto"/>
        <w:rPr>
          <w:rFonts w:eastAsia="Times New Roman" w:cs="Arial"/>
        </w:rPr>
      </w:pPr>
      <w:r w:rsidRPr="00F80502">
        <w:rPr>
          <w:rFonts w:eastAsia="Times New Roman" w:cs="Arial"/>
          <w:color w:val="000000"/>
          <w:lang w:eastAsia="bg-BG"/>
        </w:rPr>
        <w:lastRenderedPageBreak/>
        <w:t xml:space="preserve">Обобщените данни от III фаза на клиничните проучвания показват, че розувастатин е ефективен при лечение на голяма част от пациенти с тип Па и ПЬ хиперхолестеролемия (средна изходна стойност на </w:t>
      </w:r>
      <w:r w:rsidRPr="00F80502">
        <w:rPr>
          <w:rFonts w:eastAsia="Times New Roman" w:cs="Arial"/>
          <w:color w:val="000000"/>
          <w:lang w:val="en-US"/>
        </w:rPr>
        <w:t>LDL</w:t>
      </w:r>
      <w:r w:rsidRPr="00F80502">
        <w:rPr>
          <w:rFonts w:eastAsia="Times New Roman" w:cs="Arial"/>
          <w:color w:val="000000"/>
          <w:lang w:eastAsia="bg-BG"/>
        </w:rPr>
        <w:t xml:space="preserve">-С около 4,8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F80502">
        <w:rPr>
          <w:rFonts w:eastAsia="Times New Roman" w:cs="Arial"/>
          <w:color w:val="000000"/>
          <w:lang w:val="ru-RU"/>
        </w:rPr>
        <w:t>(</w:t>
      </w:r>
      <w:r w:rsidRPr="00F80502">
        <w:rPr>
          <w:rFonts w:eastAsia="Times New Roman" w:cs="Arial"/>
          <w:color w:val="000000"/>
          <w:lang w:val="en-US"/>
        </w:rPr>
        <w:t>EAS</w:t>
      </w:r>
      <w:r w:rsidRPr="00F80502">
        <w:rPr>
          <w:rFonts w:eastAsia="Times New Roman" w:cs="Arial"/>
          <w:color w:val="000000"/>
          <w:lang w:val="ru-RU"/>
        </w:rPr>
        <w:t xml:space="preserve">; </w:t>
      </w:r>
      <w:r w:rsidRPr="00F80502">
        <w:rPr>
          <w:rFonts w:eastAsia="Times New Roman" w:cs="Arial"/>
          <w:color w:val="000000"/>
          <w:lang w:eastAsia="bg-BG"/>
        </w:rPr>
        <w:t xml:space="preserve">1998); Около 80% от пациентите на 10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u w:val="single"/>
          <w:lang w:eastAsia="bg-BG"/>
        </w:rPr>
        <w:t xml:space="preserve">ся </w:t>
      </w:r>
      <w:r w:rsidRPr="00F80502">
        <w:rPr>
          <w:rFonts w:eastAsia="Times New Roman" w:cs="Arial"/>
          <w:color w:val="000000"/>
          <w:lang w:eastAsia="bg-BG"/>
        </w:rPr>
        <w:t xml:space="preserve">достигнали желаните стойности на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(&lt;3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w:t>
      </w:r>
      <w:r w:rsidRPr="00F80502">
        <w:rPr>
          <w:rFonts w:eastAsia="Times New Roman" w:cs="Arial"/>
          <w:color w:val="000000"/>
          <w:lang w:val="en-US"/>
        </w:rPr>
        <w:t>EAS</w:t>
      </w:r>
      <w:r w:rsidRPr="00F80502">
        <w:rPr>
          <w:rFonts w:eastAsia="Times New Roman" w:cs="Arial"/>
          <w:color w:val="000000"/>
          <w:lang w:val="ru-RU"/>
        </w:rPr>
        <w:t>.</w:t>
      </w:r>
    </w:p>
    <w:p w14:paraId="6BE19E7E" w14:textId="77777777" w:rsidR="00F80502" w:rsidRPr="00F626A0" w:rsidRDefault="00F80502" w:rsidP="00F80502">
      <w:pPr>
        <w:spacing w:line="240" w:lineRule="auto"/>
        <w:rPr>
          <w:rFonts w:eastAsia="Times New Roman" w:cs="Arial"/>
          <w:color w:val="000000"/>
          <w:lang w:eastAsia="bg-BG"/>
        </w:rPr>
      </w:pPr>
    </w:p>
    <w:p w14:paraId="19884705" w14:textId="4C7CD419"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В голямо проучване, на 435 пациенти с хетерозиготна фамилна хиперхолестеролемия са давани розувастатин от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до 80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при дизайн с нарастване при титрирането на дозите. Всички</w:t>
      </w:r>
    </w:p>
    <w:p w14:paraId="45C7D493" w14:textId="77777777" w:rsidR="00F626A0" w:rsidRPr="00F626A0" w:rsidRDefault="00F80502" w:rsidP="00F626A0">
      <w:pPr>
        <w:rPr>
          <w:rFonts w:eastAsia="Times New Roman" w:cs="Arial"/>
        </w:rPr>
      </w:pPr>
      <w:r w:rsidRPr="00F626A0">
        <w:rPr>
          <w:rFonts w:eastAsia="Times New Roman" w:cs="Arial"/>
          <w:color w:val="000000"/>
          <w:lang w:eastAsia="bg-BG"/>
        </w:rPr>
        <w:t>дози са показали благоприятен ефект върху липидните показатели и лечениетио за достигане на</w:t>
      </w:r>
      <w:r w:rsidR="00F626A0" w:rsidRPr="00F626A0">
        <w:rPr>
          <w:rFonts w:eastAsia="Times New Roman" w:cs="Arial"/>
          <w:color w:val="000000"/>
          <w:lang w:val="ru-RU" w:eastAsia="bg-BG"/>
        </w:rPr>
        <w:t xml:space="preserve"> </w:t>
      </w:r>
      <w:r w:rsidR="00F626A0" w:rsidRPr="00F626A0">
        <w:rPr>
          <w:rFonts w:eastAsia="Times New Roman" w:cs="Arial"/>
          <w:color w:val="000000"/>
          <w:lang w:eastAsia="bg-BG"/>
        </w:rPr>
        <w:t xml:space="preserve">прицелните цели. След титриране на дневна доза от 40 </w:t>
      </w:r>
      <w:r w:rsidR="00F626A0" w:rsidRPr="00F626A0">
        <w:rPr>
          <w:rFonts w:eastAsia="Times New Roman" w:cs="Arial"/>
          <w:color w:val="000000"/>
          <w:lang w:val="en-US"/>
        </w:rPr>
        <w:t>mg</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(12 седмици от лечението),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е била намалена с 53%. 33% от пациентите, достигнали </w:t>
      </w:r>
      <w:r w:rsidR="00F626A0" w:rsidRPr="00F626A0">
        <w:rPr>
          <w:rFonts w:eastAsia="Times New Roman" w:cs="Arial"/>
          <w:color w:val="000000"/>
          <w:lang w:val="en-US"/>
        </w:rPr>
        <w:t>EAS</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насоки за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нива (&lt;3 </w:t>
      </w:r>
      <w:r w:rsidR="00F626A0" w:rsidRPr="00F626A0">
        <w:rPr>
          <w:rFonts w:eastAsia="Times New Roman" w:cs="Arial"/>
          <w:color w:val="000000"/>
          <w:lang w:val="en-US"/>
        </w:rPr>
        <w:t>mmo</w:t>
      </w:r>
      <w:r w:rsidR="00F626A0" w:rsidRPr="00F626A0">
        <w:rPr>
          <w:rFonts w:eastAsia="Times New Roman" w:cs="Arial"/>
          <w:color w:val="000000"/>
          <w:lang w:eastAsia="bg-BG"/>
        </w:rPr>
        <w:t>1/1).</w:t>
      </w:r>
    </w:p>
    <w:p w14:paraId="144986DA" w14:textId="77777777" w:rsidR="00F626A0" w:rsidRPr="00F626A0" w:rsidRDefault="00F626A0" w:rsidP="00F626A0">
      <w:pPr>
        <w:spacing w:line="240" w:lineRule="auto"/>
        <w:rPr>
          <w:rFonts w:eastAsia="Times New Roman" w:cs="Arial"/>
          <w:color w:val="000000"/>
          <w:lang w:eastAsia="bg-BG"/>
        </w:rPr>
      </w:pPr>
    </w:p>
    <w:p w14:paraId="1E32E026" w14:textId="34DCC39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отворено проучване с форсирано титриране на дозата при 42 пациента (включително 8 педиатрични пациента) с хомозиготна фамилна хиперхолестеролемия са отчетени резултатите от приемане на 20-40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В общата популация средното понижение на </w:t>
      </w:r>
      <w:r w:rsidRPr="00F626A0">
        <w:rPr>
          <w:rFonts w:eastAsia="Times New Roman" w:cs="Arial"/>
          <w:color w:val="000000"/>
          <w:lang w:val="en-US"/>
        </w:rPr>
        <w:t>LDL</w:t>
      </w:r>
      <w:r w:rsidRPr="00F626A0">
        <w:rPr>
          <w:rFonts w:eastAsia="Times New Roman" w:cs="Arial"/>
          <w:color w:val="000000"/>
          <w:lang w:eastAsia="bg-BG"/>
        </w:rPr>
        <w:t>-С е 22%.</w:t>
      </w:r>
    </w:p>
    <w:p w14:paraId="6799C481" w14:textId="77777777" w:rsidR="00F626A0" w:rsidRPr="00F626A0" w:rsidRDefault="00F626A0" w:rsidP="00F626A0">
      <w:pPr>
        <w:spacing w:line="240" w:lineRule="auto"/>
        <w:rPr>
          <w:rFonts w:eastAsia="Times New Roman" w:cs="Arial"/>
          <w:color w:val="000000"/>
          <w:lang w:eastAsia="bg-BG"/>
        </w:rPr>
      </w:pPr>
    </w:p>
    <w:p w14:paraId="20CDD5FE" w14:textId="63C715BC"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При клинични изпитвания с ограничен брой пациенти розувастатин показва адитивна ефективност при намаляване на триглицеридите, когато е приеман в комбинация е фенофибрат и увеличение на нивото на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в комбинация с ниацин (вж. точка 4.4).</w:t>
      </w:r>
    </w:p>
    <w:p w14:paraId="5BCCC37E" w14:textId="77777777" w:rsidR="00F626A0" w:rsidRPr="00F626A0" w:rsidRDefault="00F626A0" w:rsidP="00F626A0">
      <w:pPr>
        <w:spacing w:line="240" w:lineRule="auto"/>
        <w:rPr>
          <w:rFonts w:eastAsia="Times New Roman" w:cs="Arial"/>
          <w:color w:val="000000"/>
          <w:lang w:eastAsia="bg-BG"/>
        </w:rPr>
      </w:pPr>
    </w:p>
    <w:p w14:paraId="13972FFE" w14:textId="111488B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мултицентрово, двойно сляпо, плацебо-контролирано клинично проучване </w:t>
      </w:r>
      <w:r w:rsidRPr="00F626A0">
        <w:rPr>
          <w:rFonts w:eastAsia="Times New Roman" w:cs="Arial"/>
          <w:color w:val="000000"/>
        </w:rPr>
        <w:t>(</w:t>
      </w:r>
      <w:r w:rsidRPr="00F626A0">
        <w:rPr>
          <w:rFonts w:eastAsia="Times New Roman" w:cs="Arial"/>
          <w:color w:val="000000"/>
          <w:lang w:val="en-US"/>
        </w:rPr>
        <w:t>METEOR</w:t>
      </w:r>
      <w:r w:rsidRPr="00F626A0">
        <w:rPr>
          <w:rFonts w:eastAsia="Times New Roman" w:cs="Arial"/>
          <w:color w:val="000000"/>
        </w:rPr>
        <w:t xml:space="preserve">), </w:t>
      </w:r>
      <w:r w:rsidRPr="00F626A0">
        <w:rPr>
          <w:rFonts w:eastAsia="Times New Roman" w:cs="Arial"/>
          <w:color w:val="000000"/>
          <w:lang w:eastAsia="bg-BG"/>
        </w:rPr>
        <w:t xml:space="preserve">984 пациента между 45 и 70 години с нисък риск за исхемична болест на сърцето (дефинирано като </w:t>
      </w:r>
      <w:r w:rsidRPr="00F626A0">
        <w:rPr>
          <w:rFonts w:eastAsia="Times New Roman" w:cs="Arial"/>
          <w:color w:val="000000"/>
          <w:lang w:val="en-US"/>
        </w:rPr>
        <w:t>Framingham</w:t>
      </w:r>
      <w:r w:rsidRPr="00F626A0">
        <w:rPr>
          <w:rFonts w:eastAsia="Times New Roman" w:cs="Arial"/>
          <w:color w:val="000000"/>
        </w:rPr>
        <w:t xml:space="preserve"> </w:t>
      </w:r>
      <w:r w:rsidRPr="00F626A0">
        <w:rPr>
          <w:rFonts w:eastAsia="Times New Roman" w:cs="Arial"/>
          <w:color w:val="000000"/>
          <w:lang w:eastAsia="bg-BG"/>
        </w:rPr>
        <w:t xml:space="preserve">риск &lt;10% за 10 г) и със средни </w:t>
      </w:r>
      <w:r w:rsidRPr="00F626A0">
        <w:rPr>
          <w:rFonts w:eastAsia="Times New Roman" w:cs="Arial"/>
          <w:color w:val="000000"/>
          <w:lang w:val="en-US"/>
        </w:rPr>
        <w:t>LDL</w:t>
      </w:r>
      <w:r w:rsidRPr="00F626A0">
        <w:rPr>
          <w:rFonts w:eastAsia="Times New Roman" w:cs="Arial"/>
          <w:color w:val="000000"/>
        </w:rPr>
        <w:t>-</w:t>
      </w:r>
      <w:r w:rsidRPr="00F626A0">
        <w:rPr>
          <w:rFonts w:eastAsia="Times New Roman" w:cs="Arial"/>
          <w:color w:val="000000"/>
          <w:lang w:val="en-US"/>
        </w:rPr>
        <w:t>C</w:t>
      </w:r>
      <w:r w:rsidRPr="00F626A0">
        <w:rPr>
          <w:rFonts w:eastAsia="Times New Roman" w:cs="Arial"/>
          <w:color w:val="000000"/>
        </w:rPr>
        <w:t xml:space="preserve"> </w:t>
      </w:r>
      <w:r w:rsidRPr="00F626A0">
        <w:rPr>
          <w:rFonts w:eastAsia="Times New Roman" w:cs="Arial"/>
          <w:color w:val="000000"/>
          <w:lang w:eastAsia="bg-BG"/>
        </w:rPr>
        <w:t xml:space="preserve">4,0 </w:t>
      </w:r>
      <w:r w:rsidRPr="00F626A0">
        <w:rPr>
          <w:rFonts w:eastAsia="Times New Roman" w:cs="Arial"/>
          <w:color w:val="000000"/>
          <w:lang w:val="en-US"/>
        </w:rPr>
        <w:t>mmol</w:t>
      </w:r>
      <w:r w:rsidRPr="00F626A0">
        <w:rPr>
          <w:rFonts w:eastAsia="Times New Roman" w:cs="Arial"/>
          <w:color w:val="000000"/>
        </w:rPr>
        <w:t>/</w:t>
      </w:r>
      <w:r w:rsidRPr="00F626A0">
        <w:rPr>
          <w:rFonts w:eastAsia="Times New Roman" w:cs="Arial"/>
          <w:color w:val="000000"/>
          <w:lang w:val="en-US"/>
        </w:rPr>
        <w:t>l</w:t>
      </w:r>
      <w:r w:rsidRPr="00F626A0">
        <w:rPr>
          <w:rFonts w:eastAsia="Times New Roman" w:cs="Arial"/>
          <w:color w:val="000000"/>
        </w:rPr>
        <w:t xml:space="preserve"> </w:t>
      </w:r>
      <w:r w:rsidRPr="00F626A0">
        <w:rPr>
          <w:rFonts w:eastAsia="Times New Roman" w:cs="Arial"/>
          <w:color w:val="000000"/>
          <w:lang w:eastAsia="bg-BG"/>
        </w:rPr>
        <w:t xml:space="preserve">(154,5 </w:t>
      </w:r>
      <w:r w:rsidRPr="00F626A0">
        <w:rPr>
          <w:rFonts w:eastAsia="Times New Roman" w:cs="Arial"/>
          <w:color w:val="000000"/>
          <w:lang w:val="en-US"/>
        </w:rPr>
        <w:t>mg</w:t>
      </w:r>
      <w:r w:rsidRPr="00F626A0">
        <w:rPr>
          <w:rFonts w:eastAsia="Times New Roman" w:cs="Arial"/>
          <w:color w:val="000000"/>
        </w:rPr>
        <w:t>/</w:t>
      </w:r>
      <w:r w:rsidRPr="00F626A0">
        <w:rPr>
          <w:rFonts w:eastAsia="Times New Roman" w:cs="Arial"/>
          <w:color w:val="000000"/>
          <w:lang w:val="en-US"/>
        </w:rPr>
        <w:t>dL</w:t>
      </w:r>
      <w:r w:rsidRPr="00F626A0">
        <w:rPr>
          <w:rFonts w:eastAsia="Times New Roman" w:cs="Arial"/>
          <w:color w:val="000000"/>
        </w:rPr>
        <w:t xml:space="preserve">), </w:t>
      </w:r>
      <w:r w:rsidRPr="00F626A0">
        <w:rPr>
          <w:rFonts w:eastAsia="Times New Roman" w:cs="Arial"/>
          <w:color w:val="000000"/>
          <w:lang w:eastAsia="bg-BG"/>
        </w:rPr>
        <w:t xml:space="preserve">но със субклинична атеросклероза установена чрез измерване на </w:t>
      </w:r>
      <w:r w:rsidRPr="00F626A0">
        <w:rPr>
          <w:rFonts w:eastAsia="Times New Roman" w:cs="Arial"/>
          <w:color w:val="000000"/>
          <w:lang w:val="en-US"/>
        </w:rPr>
        <w:t>CIMT</w:t>
      </w:r>
      <w:r w:rsidRPr="00F626A0">
        <w:rPr>
          <w:rFonts w:eastAsia="Times New Roman" w:cs="Arial"/>
          <w:color w:val="000000"/>
        </w:rPr>
        <w:t xml:space="preserve"> (</w:t>
      </w:r>
      <w:r w:rsidRPr="00F626A0">
        <w:rPr>
          <w:rFonts w:eastAsia="Times New Roman" w:cs="Arial"/>
          <w:color w:val="000000"/>
          <w:lang w:val="en-US"/>
        </w:rPr>
        <w:t>Carotid</w:t>
      </w:r>
      <w:r w:rsidRPr="00F626A0">
        <w:rPr>
          <w:rFonts w:eastAsia="Times New Roman" w:cs="Arial"/>
          <w:color w:val="000000"/>
        </w:rPr>
        <w:t xml:space="preserve"> </w:t>
      </w:r>
      <w:r w:rsidRPr="00F626A0">
        <w:rPr>
          <w:rFonts w:eastAsia="Times New Roman" w:cs="Arial"/>
          <w:color w:val="000000"/>
          <w:lang w:val="en-US"/>
        </w:rPr>
        <w:t>Intima</w:t>
      </w:r>
      <w:r w:rsidRPr="00F626A0">
        <w:rPr>
          <w:rFonts w:eastAsia="Times New Roman" w:cs="Arial"/>
          <w:color w:val="000000"/>
        </w:rPr>
        <w:t xml:space="preserve"> </w:t>
      </w:r>
      <w:r w:rsidRPr="00F626A0">
        <w:rPr>
          <w:rFonts w:eastAsia="Times New Roman" w:cs="Arial"/>
          <w:color w:val="000000"/>
          <w:lang w:val="en-US"/>
        </w:rPr>
        <w:t>Media</w:t>
      </w:r>
      <w:r w:rsidRPr="00F626A0">
        <w:rPr>
          <w:rFonts w:eastAsia="Times New Roman" w:cs="Arial"/>
          <w:color w:val="000000"/>
        </w:rPr>
        <w:t xml:space="preserve"> </w:t>
      </w:r>
      <w:r w:rsidRPr="00F626A0">
        <w:rPr>
          <w:rFonts w:eastAsia="Times New Roman" w:cs="Arial"/>
          <w:color w:val="000000"/>
          <w:lang w:val="en-US"/>
        </w:rPr>
        <w:t>Thickness</w:t>
      </w:r>
      <w:r w:rsidRPr="00F626A0">
        <w:rPr>
          <w:rFonts w:eastAsia="Times New Roman" w:cs="Arial"/>
          <w:color w:val="000000"/>
        </w:rPr>
        <w:t xml:space="preserve">) </w:t>
      </w:r>
      <w:r w:rsidRPr="00F626A0">
        <w:rPr>
          <w:rFonts w:eastAsia="Times New Roman" w:cs="Arial"/>
          <w:color w:val="000000"/>
          <w:lang w:eastAsia="bg-BG"/>
        </w:rPr>
        <w:t xml:space="preserve">бяха рандомизирани на 40 </w:t>
      </w:r>
      <w:r w:rsidRPr="00F626A0">
        <w:rPr>
          <w:rFonts w:eastAsia="Times New Roman" w:cs="Arial"/>
          <w:color w:val="000000"/>
          <w:lang w:val="en-US"/>
        </w:rPr>
        <w:t>mg</w:t>
      </w:r>
      <w:r w:rsidRPr="00F626A0">
        <w:rPr>
          <w:rFonts w:eastAsia="Times New Roman" w:cs="Arial"/>
          <w:color w:val="000000"/>
        </w:rPr>
        <w:t xml:space="preserve"> </w:t>
      </w:r>
      <w:r w:rsidRPr="00F626A0">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на всички 12 места на каротидните артерии в сравнение с плацебо -0,0145 </w:t>
      </w:r>
      <w:r w:rsidRPr="00F626A0">
        <w:rPr>
          <w:rFonts w:eastAsia="Times New Roman" w:cs="Arial"/>
          <w:color w:val="000000"/>
          <w:lang w:val="en-US"/>
        </w:rPr>
        <w:t>mm</w:t>
      </w:r>
      <w:r w:rsidRPr="00F626A0">
        <w:rPr>
          <w:rFonts w:eastAsia="Times New Roman" w:cs="Arial"/>
          <w:color w:val="000000"/>
          <w:lang w:eastAsia="bg-BG"/>
        </w:rPr>
        <w:t xml:space="preserve">/година [95% С1 -0,0196, -0,0093; р&lt;0,0001]. Промяната спрямо изходните стойности за розувастатин групата е - 0,0014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(несигнификантно) в сравнение с плацебо групата с прогресия от +0,0131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w:t>
      </w:r>
      <w:r w:rsidRPr="00F626A0">
        <w:rPr>
          <w:rFonts w:eastAsia="Times New Roman" w:cs="Arial"/>
          <w:i/>
          <w:iCs/>
          <w:color w:val="000000"/>
          <w:lang w:eastAsia="bg-BG"/>
        </w:rPr>
        <w:t>(р&lt;0,0001)). Не е</w:t>
      </w:r>
      <w:r w:rsidRPr="00F626A0">
        <w:rPr>
          <w:rFonts w:eastAsia="Times New Roman" w:cs="Arial"/>
          <w:color w:val="000000"/>
          <w:lang w:eastAsia="bg-BG"/>
        </w:rPr>
        <w:t xml:space="preserve"> демонстрирана директна взаимовръзка между понижението на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нивата и понижения риск от сърдечносъдови събития. Популацията в проучването </w:t>
      </w:r>
      <w:r w:rsidRPr="00F626A0">
        <w:rPr>
          <w:rFonts w:eastAsia="Times New Roman" w:cs="Arial"/>
          <w:color w:val="000000"/>
          <w:lang w:val="en-US"/>
        </w:rPr>
        <w:t>METEOR</w:t>
      </w:r>
      <w:r w:rsidRPr="00F626A0">
        <w:rPr>
          <w:rFonts w:eastAsia="Times New Roman" w:cs="Arial"/>
          <w:color w:val="000000"/>
          <w:lang w:val="ru-RU"/>
        </w:rPr>
        <w:t xml:space="preserve"> </w:t>
      </w:r>
      <w:r w:rsidRPr="00F626A0">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Дозировката от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6B2E9FEB" w14:textId="77777777" w:rsidR="00F626A0" w:rsidRPr="00F626A0" w:rsidRDefault="00F626A0" w:rsidP="00F626A0">
      <w:pPr>
        <w:spacing w:line="240" w:lineRule="auto"/>
        <w:rPr>
          <w:rFonts w:eastAsia="Times New Roman" w:cs="Arial"/>
          <w:color w:val="000000"/>
          <w:lang w:eastAsia="bg-BG"/>
        </w:rPr>
      </w:pPr>
    </w:p>
    <w:p w14:paraId="2A18D806" w14:textId="5974A6C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Justification</w:t>
      </w:r>
      <w:r w:rsidRPr="00F626A0">
        <w:rPr>
          <w:rFonts w:eastAsia="Times New Roman" w:cs="Arial"/>
          <w:color w:val="000000"/>
        </w:rPr>
        <w:t xml:space="preserve"> </w:t>
      </w:r>
      <w:r w:rsidRPr="00F626A0">
        <w:rPr>
          <w:rFonts w:eastAsia="Times New Roman" w:cs="Arial"/>
          <w:color w:val="000000"/>
          <w:lang w:val="en-US"/>
        </w:rPr>
        <w:t>for</w:t>
      </w:r>
      <w:r w:rsidRPr="00F626A0">
        <w:rPr>
          <w:rFonts w:eastAsia="Times New Roman" w:cs="Arial"/>
          <w:color w:val="000000"/>
        </w:rPr>
        <w:t xml:space="preserve"> </w:t>
      </w:r>
      <w:r w:rsidRPr="00F626A0">
        <w:rPr>
          <w:rFonts w:eastAsia="Times New Roman" w:cs="Arial"/>
          <w:color w:val="000000"/>
          <w:lang w:val="en-US"/>
        </w:rPr>
        <w:t>the</w:t>
      </w:r>
      <w:r w:rsidRPr="00F626A0">
        <w:rPr>
          <w:rFonts w:eastAsia="Times New Roman" w:cs="Arial"/>
          <w:color w:val="000000"/>
        </w:rPr>
        <w:t xml:space="preserve"> </w:t>
      </w:r>
      <w:r w:rsidRPr="00F626A0">
        <w:rPr>
          <w:rFonts w:eastAsia="Times New Roman" w:cs="Arial"/>
          <w:color w:val="000000"/>
          <w:lang w:val="en-US"/>
        </w:rPr>
        <w:t>Use</w:t>
      </w:r>
      <w:r w:rsidRPr="00F626A0">
        <w:rPr>
          <w:rFonts w:eastAsia="Times New Roman" w:cs="Arial"/>
          <w:color w:val="000000"/>
        </w:rPr>
        <w:t xml:space="preserve"> </w:t>
      </w:r>
      <w:r w:rsidRPr="00F626A0">
        <w:rPr>
          <w:rFonts w:eastAsia="Times New Roman" w:cs="Arial"/>
          <w:color w:val="000000"/>
          <w:lang w:val="en-US"/>
        </w:rPr>
        <w:t>of</w:t>
      </w:r>
      <w:r w:rsidRPr="00F626A0">
        <w:rPr>
          <w:rFonts w:eastAsia="Times New Roman" w:cs="Arial"/>
          <w:color w:val="000000"/>
        </w:rPr>
        <w:t xml:space="preserve"> </w:t>
      </w:r>
      <w:r w:rsidRPr="00F626A0">
        <w:rPr>
          <w:rFonts w:eastAsia="Times New Roman" w:cs="Arial"/>
          <w:color w:val="000000"/>
          <w:lang w:val="en-US"/>
        </w:rPr>
        <w:t>Statins</w:t>
      </w:r>
      <w:r w:rsidRPr="00F626A0">
        <w:rPr>
          <w:rFonts w:eastAsia="Times New Roman" w:cs="Arial"/>
          <w:color w:val="000000"/>
        </w:rPr>
        <w:t xml:space="preserve"> </w:t>
      </w:r>
      <w:r w:rsidRPr="00F626A0">
        <w:rPr>
          <w:rFonts w:eastAsia="Times New Roman" w:cs="Arial"/>
          <w:color w:val="000000"/>
          <w:lang w:val="en-US"/>
        </w:rPr>
        <w:t>in</w:t>
      </w:r>
      <w:r w:rsidRPr="00F626A0">
        <w:rPr>
          <w:rFonts w:eastAsia="Times New Roman" w:cs="Arial"/>
          <w:color w:val="000000"/>
        </w:rPr>
        <w:t xml:space="preserve"> </w:t>
      </w:r>
      <w:r w:rsidRPr="00F626A0">
        <w:rPr>
          <w:rFonts w:eastAsia="Times New Roman" w:cs="Arial"/>
          <w:color w:val="000000"/>
          <w:lang w:val="en-US"/>
        </w:rPr>
        <w:t>Primary</w:t>
      </w:r>
      <w:r w:rsidRPr="00F626A0">
        <w:rPr>
          <w:rFonts w:eastAsia="Times New Roman" w:cs="Arial"/>
          <w:color w:val="000000"/>
        </w:rPr>
        <w:t xml:space="preserve"> </w:t>
      </w:r>
      <w:r w:rsidRPr="00F626A0">
        <w:rPr>
          <w:rFonts w:eastAsia="Times New Roman" w:cs="Arial"/>
          <w:color w:val="000000"/>
          <w:lang w:val="en-US"/>
        </w:rPr>
        <w:t>Prevention</w:t>
      </w:r>
      <w:r w:rsidRPr="00F626A0">
        <w:rPr>
          <w:rFonts w:eastAsia="Times New Roman" w:cs="Arial"/>
          <w:color w:val="000000"/>
        </w:rPr>
        <w:t xml:space="preserve">: </w:t>
      </w:r>
      <w:r w:rsidRPr="00F626A0">
        <w:rPr>
          <w:rFonts w:eastAsia="Times New Roman" w:cs="Arial"/>
          <w:color w:val="000000"/>
          <w:lang w:val="en-US"/>
        </w:rPr>
        <w:t>An</w:t>
      </w:r>
      <w:r w:rsidRPr="00F626A0">
        <w:rPr>
          <w:rFonts w:eastAsia="Times New Roman" w:cs="Arial"/>
          <w:color w:val="000000"/>
        </w:rPr>
        <w:t xml:space="preserve"> </w:t>
      </w:r>
      <w:r w:rsidRPr="00F626A0">
        <w:rPr>
          <w:rFonts w:eastAsia="Times New Roman" w:cs="Arial"/>
          <w:color w:val="000000"/>
          <w:lang w:val="en-US"/>
        </w:rPr>
        <w:t>Intervention</w:t>
      </w:r>
      <w:r w:rsidRPr="00F626A0">
        <w:rPr>
          <w:rFonts w:eastAsia="Times New Roman" w:cs="Arial"/>
          <w:color w:val="000000"/>
        </w:rPr>
        <w:t xml:space="preserve"> </w:t>
      </w:r>
      <w:r w:rsidRPr="00F626A0">
        <w:rPr>
          <w:rFonts w:eastAsia="Times New Roman" w:cs="Arial"/>
          <w:color w:val="000000"/>
          <w:lang w:val="en-US"/>
        </w:rPr>
        <w:t>Trial</w:t>
      </w:r>
      <w:r w:rsidRPr="00F626A0">
        <w:rPr>
          <w:rFonts w:eastAsia="Times New Roman" w:cs="Arial"/>
          <w:color w:val="000000"/>
        </w:rPr>
        <w:t xml:space="preserve"> </w:t>
      </w:r>
      <w:r w:rsidRPr="00F626A0">
        <w:rPr>
          <w:rFonts w:eastAsia="Times New Roman" w:cs="Arial"/>
          <w:color w:val="000000"/>
          <w:lang w:val="en-US"/>
        </w:rPr>
        <w:t>Evaluating</w:t>
      </w:r>
      <w:r w:rsidRPr="00F626A0">
        <w:rPr>
          <w:rFonts w:eastAsia="Times New Roman" w:cs="Arial"/>
          <w:color w:val="000000"/>
        </w:rPr>
        <w:t xml:space="preserve"> </w:t>
      </w:r>
      <w:r w:rsidRPr="00F626A0">
        <w:rPr>
          <w:rFonts w:eastAsia="Times New Roman" w:cs="Arial"/>
          <w:color w:val="000000"/>
          <w:lang w:val="en-US"/>
        </w:rPr>
        <w:t>Rosuvastatin</w:t>
      </w:r>
      <w:r w:rsidRPr="00F626A0">
        <w:rPr>
          <w:rFonts w:eastAsia="Times New Roman" w:cs="Arial"/>
          <w:color w:val="000000"/>
        </w:rPr>
        <w:t xml:space="preserve"> (</w:t>
      </w:r>
      <w:r w:rsidRPr="00F626A0">
        <w:rPr>
          <w:rFonts w:eastAsia="Times New Roman" w:cs="Arial"/>
          <w:color w:val="000000"/>
          <w:lang w:val="en-US"/>
        </w:rPr>
        <w:t>JUPITER</w:t>
      </w:r>
      <w:r w:rsidRPr="00F626A0">
        <w:rPr>
          <w:rFonts w:eastAsia="Times New Roman" w:cs="Arial"/>
          <w:color w:val="000000"/>
        </w:rPr>
        <w:t xml:space="preserve">) </w:t>
      </w:r>
      <w:r w:rsidRPr="00F626A0">
        <w:rPr>
          <w:rFonts w:eastAsia="Times New Roman" w:cs="Arial"/>
          <w:color w:val="000000"/>
          <w:lang w:eastAsia="bg-BG"/>
        </w:rPr>
        <w:t>е оценяван ефекта на розувастатин върху развитието на големи атеросклеротични сърдечносъдови инциденти е оценяван при 17 802 мъже (≥ 50 години) и жени (≥ 60 години).</w:t>
      </w:r>
    </w:p>
    <w:p w14:paraId="5296075C" w14:textId="77777777" w:rsidR="00F626A0" w:rsidRPr="00F626A0" w:rsidRDefault="00F626A0" w:rsidP="00F626A0">
      <w:pPr>
        <w:spacing w:line="240" w:lineRule="auto"/>
        <w:rPr>
          <w:rFonts w:eastAsia="Times New Roman" w:cs="Arial"/>
          <w:color w:val="000000"/>
          <w:lang w:eastAsia="bg-BG"/>
        </w:rPr>
      </w:pPr>
    </w:p>
    <w:p w14:paraId="1624333A" w14:textId="76B9D7BB"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Участниците </w:t>
      </w:r>
      <w:r w:rsidRPr="00F626A0">
        <w:rPr>
          <w:rFonts w:eastAsia="Times New Roman" w:cs="Arial"/>
          <w:i/>
          <w:iCs/>
          <w:color w:val="000000"/>
          <w:lang w:eastAsia="bg-BG"/>
        </w:rPr>
        <w:t>в</w:t>
      </w:r>
      <w:r w:rsidRPr="00F626A0">
        <w:rPr>
          <w:rFonts w:eastAsia="Times New Roman" w:cs="Arial"/>
          <w:color w:val="000000"/>
          <w:lang w:eastAsia="bg-BG"/>
        </w:rPr>
        <w:t xml:space="preserve"> проучването са рандомизирани на плацебо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 xml:space="preserve">8901) или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8901) и са проследявани при средна продължителност от 2 години.</w:t>
      </w:r>
    </w:p>
    <w:p w14:paraId="3DACFDD6" w14:textId="77777777" w:rsidR="00F626A0" w:rsidRPr="00F626A0" w:rsidRDefault="00F626A0" w:rsidP="00F626A0">
      <w:pPr>
        <w:spacing w:line="240" w:lineRule="auto"/>
        <w:rPr>
          <w:rFonts w:eastAsia="Times New Roman" w:cs="Arial"/>
          <w:color w:val="000000"/>
          <w:lang w:eastAsia="bg-BG"/>
        </w:rPr>
      </w:pPr>
    </w:p>
    <w:p w14:paraId="05CDF1C5" w14:textId="60A539F3"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Концентрацията на </w:t>
      </w:r>
      <w:r w:rsidRPr="00F626A0">
        <w:rPr>
          <w:rFonts w:eastAsia="Times New Roman" w:cs="Arial"/>
          <w:color w:val="000000"/>
          <w:lang w:val="en-US"/>
        </w:rPr>
        <w:t>LDL</w:t>
      </w:r>
      <w:r w:rsidRPr="00F626A0">
        <w:rPr>
          <w:rFonts w:eastAsia="Times New Roman" w:cs="Arial"/>
          <w:color w:val="000000"/>
          <w:lang w:eastAsia="bg-BG"/>
        </w:rPr>
        <w:t>-холестерол а е намалена с 45% (р&lt;0,001) в групата на розувастатин в сравнение с плацебо групата.</w:t>
      </w:r>
    </w:p>
    <w:p w14:paraId="5AD105E8" w14:textId="77777777" w:rsidR="00F626A0" w:rsidRPr="00F626A0" w:rsidRDefault="00F626A0" w:rsidP="00F626A0">
      <w:pPr>
        <w:spacing w:line="240" w:lineRule="auto"/>
        <w:rPr>
          <w:rFonts w:eastAsia="Times New Roman" w:cs="Arial"/>
          <w:color w:val="000000"/>
          <w:lang w:eastAsia="bg-BG"/>
        </w:rPr>
      </w:pPr>
    </w:p>
    <w:p w14:paraId="48C0C0CC" w14:textId="3EFF14E2" w:rsidR="00F626A0" w:rsidRPr="00F626A0" w:rsidRDefault="00F626A0" w:rsidP="00F626A0">
      <w:pPr>
        <w:spacing w:line="240" w:lineRule="auto"/>
        <w:rPr>
          <w:rFonts w:eastAsia="Times New Roman" w:cs="Arial"/>
          <w:color w:val="000000"/>
          <w:lang w:eastAsia="bg-BG"/>
        </w:rPr>
      </w:pPr>
      <w:r w:rsidRPr="00F626A0">
        <w:rPr>
          <w:rFonts w:eastAsia="Times New Roman" w:cs="Arial"/>
          <w:color w:val="000000"/>
          <w:lang w:eastAsia="bg-BG"/>
        </w:rPr>
        <w:t xml:space="preserve">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групата на висока степен на риск с основния резултат </w:t>
      </w:r>
      <w:r w:rsidRPr="00F626A0">
        <w:rPr>
          <w:rFonts w:eastAsia="Times New Roman" w:cs="Arial"/>
          <w:color w:val="000000"/>
          <w:lang w:val="en-US"/>
        </w:rPr>
        <w:t>Framingham</w:t>
      </w:r>
      <w:r w:rsidRPr="00F626A0">
        <w:rPr>
          <w:rFonts w:eastAsia="Times New Roman" w:cs="Arial"/>
          <w:color w:val="000000"/>
          <w:lang w:val="ru-RU"/>
        </w:rPr>
        <w:t xml:space="preserve"> </w:t>
      </w:r>
      <w:r w:rsidRPr="00F626A0">
        <w:rPr>
          <w:rFonts w:eastAsia="Times New Roman" w:cs="Arial"/>
          <w:color w:val="000000"/>
          <w:lang w:eastAsia="bg-BG"/>
        </w:rPr>
        <w:t xml:space="preserve">&gt; 20% (1558 лица) има значително намаление на комбинираната крайна точка от сърдечносъдова смърт, инсулт и инфаркт на миокарда (р = 0,028 ) при лечението с розувастатин в сравнение с плацебо. Абсолютното намаляване на риска в случай на 1000 пациенто-години е 8,8. Общата смъртност е непроменена в тази високо-рискова група (р=0,193). 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подгрупа с висока степен на риск (9302 лица общо) с изходен риск </w:t>
      </w:r>
      <w:r w:rsidRPr="00F626A0">
        <w:rPr>
          <w:rFonts w:eastAsia="Times New Roman" w:cs="Arial"/>
          <w:color w:val="000000"/>
          <w:lang w:val="en-US"/>
        </w:rPr>
        <w:t>SCORE</w:t>
      </w:r>
      <w:r w:rsidRPr="00F626A0">
        <w:rPr>
          <w:rFonts w:eastAsia="Times New Roman" w:cs="Arial"/>
          <w:color w:val="000000"/>
          <w:lang w:val="ru-RU"/>
        </w:rPr>
        <w:t xml:space="preserve"> </w:t>
      </w:r>
      <w:r w:rsidRPr="00F626A0">
        <w:rPr>
          <w:rFonts w:eastAsia="Times New Roman" w:cs="Arial"/>
          <w:color w:val="000000"/>
          <w:lang w:eastAsia="bg-BG"/>
        </w:rPr>
        <w:t>≥ 5% (екстраполирани да се включат над 65 години) има значително намаление на комбинираната крайна точка от сърдечносъдова смърт , инсулт и инфаркт на миокарда (р = 0,0003) при лечението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висока рискова група (р = 0,076).</w:t>
      </w:r>
    </w:p>
    <w:p w14:paraId="664F4D8D" w14:textId="77777777" w:rsidR="00F626A0" w:rsidRPr="00F626A0" w:rsidRDefault="00F626A0" w:rsidP="00F626A0">
      <w:pPr>
        <w:spacing w:line="240" w:lineRule="auto"/>
        <w:rPr>
          <w:rFonts w:eastAsia="Times New Roman" w:cs="Arial"/>
          <w:color w:val="000000"/>
          <w:lang w:eastAsia="bg-BG"/>
        </w:rPr>
      </w:pPr>
    </w:p>
    <w:p w14:paraId="25B12EB9" w14:textId="1FDC6D06"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JUPITER</w:t>
      </w:r>
      <w:r w:rsidRPr="00F626A0">
        <w:rPr>
          <w:rFonts w:eastAsia="Times New Roman" w:cs="Arial"/>
          <w:color w:val="000000"/>
          <w:lang w:val="ru-RU"/>
        </w:rPr>
        <w:t xml:space="preserve"> </w:t>
      </w:r>
      <w:r w:rsidRPr="00F626A0">
        <w:rPr>
          <w:rFonts w:eastAsia="Times New Roman" w:cs="Arial"/>
          <w:color w:val="000000"/>
          <w:lang w:eastAsia="bg-BG"/>
        </w:rPr>
        <w:t>6,6% от групата на розувастатин и 6,2% от плацебо групата пациенти, са преустановили използването на изпитваното лекарство поради нежелана реакция. Най-</w:t>
      </w:r>
    </w:p>
    <w:p w14:paraId="7F34CA25" w14:textId="77777777" w:rsidR="00F626A0" w:rsidRPr="00F626A0" w:rsidRDefault="00F626A0" w:rsidP="00F626A0">
      <w:pPr>
        <w:rPr>
          <w:rFonts w:eastAsia="Times New Roman" w:cs="Arial"/>
        </w:rPr>
      </w:pPr>
      <w:r w:rsidRPr="00F626A0">
        <w:rPr>
          <w:rFonts w:eastAsia="Times New Roman" w:cs="Arial"/>
          <w:color w:val="000000"/>
          <w:lang w:eastAsia="bg-BG"/>
        </w:rPr>
        <w:t xml:space="preserve">честите нежелани реакции, които довеждат до прекратяване на лечението са:миалгия (0,3% при розувастатин, 0,2% плацебо), коремна болка (0,03% при розувастатин, </w:t>
      </w:r>
      <w:r w:rsidRPr="00F626A0">
        <w:rPr>
          <w:rFonts w:eastAsia="Times New Roman" w:cs="Arial"/>
          <w:color w:val="000000"/>
          <w:lang w:val="ru-RU"/>
        </w:rPr>
        <w:t>0,02%</w:t>
      </w:r>
      <w:r w:rsidRPr="00F626A0">
        <w:rPr>
          <w:rFonts w:eastAsia="Times New Roman" w:cs="Arial"/>
          <w:color w:val="000000"/>
          <w:lang w:eastAsia="bg-BG"/>
        </w:rPr>
        <w:t xml:space="preserve"> плацебо) и обрив (0,02% при розувастатин, 0,03% плацебо). Най-честите нежелани реакции с честота по-голяма или равна на плацебо са инфекция на пикочните пътища (8,7% при розувастатин, 8.6% плацебо), назофарингит (7,6% при розувастатин, 7,2% плацебо), болки в гърба (7,6% при розувастатин, 6,9% плацебо) и миалгия (7,6% при розувастатин, 6.6% плацебо).</w:t>
      </w:r>
    </w:p>
    <w:p w14:paraId="2541738A" w14:textId="77777777" w:rsidR="00F626A0" w:rsidRPr="00F626A0" w:rsidRDefault="00F626A0" w:rsidP="00F626A0">
      <w:pPr>
        <w:spacing w:line="240" w:lineRule="auto"/>
        <w:rPr>
          <w:rFonts w:eastAsia="Times New Roman" w:cs="Arial"/>
          <w:color w:val="000000"/>
          <w:u w:val="single"/>
          <w:lang w:eastAsia="bg-BG"/>
        </w:rPr>
      </w:pPr>
    </w:p>
    <w:p w14:paraId="273BFA4F" w14:textId="27EC09D2" w:rsidR="00F626A0" w:rsidRPr="00F626A0" w:rsidRDefault="00F626A0" w:rsidP="00F626A0">
      <w:pPr>
        <w:spacing w:line="240" w:lineRule="auto"/>
        <w:rPr>
          <w:rFonts w:eastAsia="Times New Roman" w:cs="Arial"/>
        </w:rPr>
      </w:pPr>
      <w:r w:rsidRPr="00F626A0">
        <w:rPr>
          <w:rFonts w:eastAsia="Times New Roman" w:cs="Arial"/>
          <w:color w:val="000000"/>
          <w:u w:val="single"/>
          <w:lang w:eastAsia="bg-BG"/>
        </w:rPr>
        <w:t>Педиатрична популация</w:t>
      </w:r>
    </w:p>
    <w:p w14:paraId="42FE6EC2"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В двойносляпо, рандомизирано, мултицентрово, плацебо-контролирано, 12-седмично проучване (</w:t>
      </w:r>
      <w:r w:rsidRPr="00F626A0">
        <w:rPr>
          <w:rFonts w:eastAsia="Times New Roman" w:cs="Arial"/>
          <w:color w:val="000000"/>
          <w:lang w:val="en-US"/>
        </w:rPr>
        <w:t>n</w:t>
      </w:r>
      <w:r w:rsidRPr="00F626A0">
        <w:rPr>
          <w:rFonts w:eastAsia="Times New Roman" w:cs="Arial"/>
          <w:color w:val="000000"/>
          <w:lang w:eastAsia="bg-BG"/>
        </w:rPr>
        <w:t xml:space="preserve">=176, 97 от мъжки пол и 79 от женски пол), </w:t>
      </w:r>
      <w:r w:rsidRPr="00F626A0">
        <w:rPr>
          <w:rFonts w:eastAsia="Times New Roman" w:cs="Arial"/>
          <w:i/>
          <w:iCs/>
          <w:color w:val="000000"/>
          <w:lang w:eastAsia="bg-BG"/>
        </w:rPr>
        <w:t>последвано от</w:t>
      </w:r>
      <w:r w:rsidRPr="00F626A0">
        <w:rPr>
          <w:rFonts w:eastAsia="Times New Roman" w:cs="Arial"/>
          <w:color w:val="000000"/>
          <w:lang w:eastAsia="bg-BG"/>
        </w:rPr>
        <w:t xml:space="preserve"> 40-седмична, открита фаза с титриране на дозата на розувастатин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173, 96 от мъжки пол и 77 от женски пол), пациенти на възраст 10-17 години (стадий </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по </w:t>
      </w:r>
      <w:r w:rsidRPr="00F626A0">
        <w:rPr>
          <w:rFonts w:eastAsia="Times New Roman" w:cs="Arial"/>
          <w:color w:val="000000"/>
          <w:lang w:val="en-US"/>
        </w:rPr>
        <w:t>Tanner</w:t>
      </w:r>
      <w:r w:rsidRPr="00F626A0">
        <w:rPr>
          <w:rFonts w:eastAsia="Times New Roman" w:cs="Arial"/>
          <w:color w:val="000000"/>
          <w:lang w:val="ru-RU"/>
        </w:rPr>
        <w:t xml:space="preserve">, </w:t>
      </w:r>
      <w:r w:rsidRPr="00F626A0">
        <w:rPr>
          <w:rFonts w:eastAsia="Times New Roman" w:cs="Arial"/>
          <w:color w:val="000000"/>
          <w:lang w:eastAsia="bg-BG"/>
        </w:rPr>
        <w:t xml:space="preserve">момичета поне 1 година след началото на менструацията) с хетерозиготна фамилна хиперхолестеролемия получиха розувастатин 5, 10 или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или плацебо дневно за 12 седмици, а след това всички получаваха розувастатин дневно в продължение на 40 седмици. При включване в проучването, приблизително 30% от пациентите са били 10-13 годишни и приблизително 17%, 18%, 40% и 25% са били съответно в стадий II, </w:t>
      </w:r>
      <w:r w:rsidRPr="00F626A0">
        <w:rPr>
          <w:rFonts w:eastAsia="Times New Roman" w:cs="Arial"/>
          <w:color w:val="000000"/>
          <w:lang w:val="en-US"/>
        </w:rPr>
        <w:t>III</w:t>
      </w:r>
      <w:r w:rsidRPr="00F626A0">
        <w:rPr>
          <w:rFonts w:eastAsia="Times New Roman" w:cs="Arial"/>
          <w:color w:val="000000"/>
          <w:lang w:val="ru-RU"/>
        </w:rPr>
        <w:t xml:space="preserve">, </w:t>
      </w:r>
      <w:r w:rsidRPr="00F626A0">
        <w:rPr>
          <w:rFonts w:eastAsia="Times New Roman" w:cs="Arial"/>
          <w:color w:val="000000"/>
          <w:lang w:eastAsia="bg-BG"/>
        </w:rPr>
        <w:t xml:space="preserve">IV, V по </w:t>
      </w:r>
      <w:r w:rsidRPr="00F626A0">
        <w:rPr>
          <w:rFonts w:eastAsia="Times New Roman" w:cs="Arial"/>
          <w:color w:val="000000"/>
          <w:lang w:val="en-US"/>
        </w:rPr>
        <w:t>Tanner</w:t>
      </w:r>
      <w:r w:rsidRPr="00F626A0">
        <w:rPr>
          <w:rFonts w:eastAsia="Times New Roman" w:cs="Arial"/>
          <w:color w:val="000000"/>
          <w:lang w:val="ru-RU"/>
        </w:rPr>
        <w:t>.</w:t>
      </w:r>
    </w:p>
    <w:p w14:paraId="4CE018B8" w14:textId="77777777" w:rsidR="00F626A0" w:rsidRPr="00F626A0" w:rsidRDefault="00F626A0" w:rsidP="00F626A0">
      <w:pPr>
        <w:spacing w:line="240" w:lineRule="auto"/>
        <w:rPr>
          <w:rFonts w:eastAsia="Times New Roman" w:cs="Arial"/>
          <w:color w:val="000000"/>
          <w:lang w:val="en-US"/>
        </w:rPr>
      </w:pPr>
    </w:p>
    <w:p w14:paraId="35EBDBF3" w14:textId="5AFA3C17" w:rsidR="00F626A0" w:rsidRPr="00F626A0" w:rsidRDefault="00F626A0" w:rsidP="00F626A0">
      <w:pPr>
        <w:spacing w:line="240" w:lineRule="auto"/>
        <w:rPr>
          <w:rFonts w:eastAsia="Times New Roman" w:cs="Arial"/>
        </w:rPr>
      </w:pPr>
      <w:r w:rsidRPr="00F626A0">
        <w:rPr>
          <w:rFonts w:eastAsia="Times New Roman" w:cs="Arial"/>
          <w:color w:val="000000"/>
          <w:lang w:val="en-US"/>
        </w:rPr>
        <w:t>LDL</w:t>
      </w:r>
      <w:r w:rsidRPr="00F626A0">
        <w:rPr>
          <w:rFonts w:eastAsia="Times New Roman" w:cs="Arial"/>
          <w:color w:val="000000"/>
          <w:lang w:eastAsia="bg-BG"/>
        </w:rPr>
        <w:t xml:space="preserve">-холестеролът е понижен 38,3%, 44,6% и 50,0% от розувастатин 5, 10 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съответно, в сравнение с 0,7% за плацебо.</w:t>
      </w:r>
    </w:p>
    <w:p w14:paraId="2EDF5B5E" w14:textId="77777777" w:rsidR="00F626A0" w:rsidRPr="00F626A0" w:rsidRDefault="00F626A0" w:rsidP="00F626A0">
      <w:pPr>
        <w:spacing w:line="240" w:lineRule="auto"/>
        <w:rPr>
          <w:rFonts w:eastAsia="Times New Roman" w:cs="Arial"/>
          <w:color w:val="000000"/>
          <w:lang w:eastAsia="bg-BG"/>
        </w:rPr>
      </w:pPr>
    </w:p>
    <w:p w14:paraId="3461BA17" w14:textId="4C2126EE"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края на 40-седмичното, открито, целящо титриране, при дозиране до максимум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70 от 173 пациенти (40,5%) са постигнали целта за </w:t>
      </w:r>
      <w:r w:rsidRPr="00F626A0">
        <w:rPr>
          <w:rFonts w:eastAsia="Times New Roman" w:cs="Arial"/>
          <w:color w:val="000000"/>
          <w:lang w:val="en-US"/>
        </w:rPr>
        <w:t>LDL</w:t>
      </w:r>
      <w:r w:rsidRPr="00F626A0">
        <w:rPr>
          <w:rFonts w:eastAsia="Times New Roman" w:cs="Arial"/>
          <w:color w:val="000000"/>
          <w:lang w:eastAsia="bg-BG"/>
        </w:rPr>
        <w:t xml:space="preserve">-холестерол по-малко от 2,8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w:t>
      </w:r>
    </w:p>
    <w:p w14:paraId="0AAA111B" w14:textId="77777777" w:rsidR="00F626A0" w:rsidRPr="00F626A0" w:rsidRDefault="00F626A0" w:rsidP="00F626A0">
      <w:pPr>
        <w:spacing w:line="240" w:lineRule="auto"/>
        <w:rPr>
          <w:rFonts w:eastAsia="Times New Roman" w:cs="Arial"/>
          <w:color w:val="000000"/>
          <w:lang w:eastAsia="bg-BG"/>
        </w:rPr>
      </w:pPr>
    </w:p>
    <w:p w14:paraId="242CE2C4" w14:textId="49C0F5FF" w:rsidR="00F626A0" w:rsidRPr="00F626A0" w:rsidRDefault="00F626A0" w:rsidP="00F626A0">
      <w:pPr>
        <w:spacing w:line="240" w:lineRule="auto"/>
        <w:rPr>
          <w:rFonts w:eastAsia="Times New Roman" w:cs="Arial"/>
        </w:rPr>
      </w:pPr>
      <w:r w:rsidRPr="00F626A0">
        <w:rPr>
          <w:rFonts w:eastAsia="Times New Roman" w:cs="Arial"/>
          <w:color w:val="000000"/>
          <w:lang w:eastAsia="bg-BG"/>
        </w:rPr>
        <w:t>След 52 седмици на изследваното лечение, не е установен ефект върху растежа, теглото, ИТМ или половото съзряване (вж. раздел 4.4). Това проучване (</w:t>
      </w:r>
      <w:r w:rsidRPr="00F626A0">
        <w:rPr>
          <w:rFonts w:eastAsia="Times New Roman" w:cs="Arial"/>
          <w:color w:val="000000"/>
          <w:lang w:val="en-US"/>
        </w:rPr>
        <w:t>n</w:t>
      </w:r>
      <w:r w:rsidRPr="00F626A0">
        <w:rPr>
          <w:rFonts w:eastAsia="Times New Roman" w:cs="Arial"/>
          <w:color w:val="000000"/>
          <w:lang w:eastAsia="bg-BG"/>
        </w:rPr>
        <w:t>=176) не е предназначен за сравняване на редки нежелани лекарствени реакции.</w:t>
      </w:r>
    </w:p>
    <w:p w14:paraId="08E94637" w14:textId="77777777" w:rsidR="00F626A0" w:rsidRPr="00F626A0" w:rsidRDefault="00F626A0" w:rsidP="00F626A0">
      <w:pPr>
        <w:spacing w:line="240" w:lineRule="auto"/>
        <w:rPr>
          <w:rFonts w:eastAsia="Times New Roman" w:cs="Arial"/>
          <w:color w:val="000000"/>
          <w:lang w:eastAsia="bg-BG"/>
        </w:rPr>
      </w:pPr>
    </w:p>
    <w:p w14:paraId="69044DF2" w14:textId="395EE7A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изследван и в 2-годишно открито клинично проучване с титриране на дозата до желаната доза при 198 деца с хетерозиготна фамилна хиперхолестеролемия </w:t>
      </w:r>
      <w:r w:rsidRPr="00F626A0">
        <w:rPr>
          <w:rFonts w:eastAsia="Times New Roman" w:cs="Arial"/>
          <w:color w:val="000000"/>
          <w:lang w:eastAsia="bg-BG"/>
        </w:rPr>
        <w:lastRenderedPageBreak/>
        <w:t xml:space="preserve">на възраст от 6 до 17 години (88 момчета и 110 момичета, стадий по Танер </w:t>
      </w:r>
      <w:r w:rsidRPr="00F626A0">
        <w:rPr>
          <w:rFonts w:eastAsia="Times New Roman" w:cs="Arial"/>
          <w:color w:val="000000"/>
          <w:lang w:val="ru-RU"/>
        </w:rPr>
        <w:t>&lt;</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Началната доза за всички пациенти е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розувастатин веднъж дневно. При пациенти на възраст от 6 до 9 години (</w:t>
      </w:r>
      <w:r w:rsidRPr="00F626A0">
        <w:rPr>
          <w:rFonts w:eastAsia="Times New Roman" w:cs="Arial"/>
          <w:color w:val="000000"/>
          <w:lang w:val="en-US"/>
        </w:rPr>
        <w:t>n</w:t>
      </w:r>
      <w:r w:rsidRPr="00F626A0">
        <w:rPr>
          <w:rFonts w:eastAsia="Times New Roman" w:cs="Arial"/>
          <w:color w:val="000000"/>
          <w:lang w:eastAsia="bg-BG"/>
        </w:rPr>
        <w:t xml:space="preserve"> = 64) дозата може да се титрира до максимална доза от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а при пациенти на възраст от 10 до 17 години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134) до максимална доза от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w:t>
      </w:r>
    </w:p>
    <w:p w14:paraId="7D507473" w14:textId="77777777" w:rsidR="00F626A0" w:rsidRPr="00F626A0" w:rsidRDefault="00F626A0" w:rsidP="00F626A0">
      <w:pPr>
        <w:spacing w:line="240" w:lineRule="auto"/>
        <w:rPr>
          <w:rFonts w:eastAsia="Times New Roman" w:cs="Arial"/>
          <w:color w:val="000000"/>
          <w:lang w:eastAsia="bg-BG"/>
        </w:rPr>
      </w:pPr>
    </w:p>
    <w:p w14:paraId="652F2776" w14:textId="783751F7"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След 24-месечно лечение с розувастатин,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 холестерол спрямо изходната стойност е -43% (изходно ниво: 236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133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За всяка възрастова група,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-холестерол спрямо изходната стойност е -43%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- 45%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 -35% (изходно ниво: 241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153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във възрастови групи 6 до &lt;10, 10 до &lt;14, и 14 до &lt;18 съответно.</w:t>
      </w:r>
    </w:p>
    <w:p w14:paraId="49A1DC34" w14:textId="77777777" w:rsidR="00F626A0" w:rsidRPr="00F626A0" w:rsidRDefault="00F626A0" w:rsidP="00F626A0">
      <w:pPr>
        <w:spacing w:line="240" w:lineRule="auto"/>
        <w:rPr>
          <w:rFonts w:eastAsia="Times New Roman" w:cs="Arial"/>
          <w:color w:val="000000"/>
          <w:lang w:eastAsia="bg-BG"/>
        </w:rPr>
      </w:pPr>
    </w:p>
    <w:p w14:paraId="5D09BEF2" w14:textId="12906C9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също постигна статистически значими средни промени спрямо изходното ниво за следните вторични показатели на липиди и липопротеините: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ТС,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w:t>
      </w:r>
      <w:r w:rsidRPr="00F626A0">
        <w:rPr>
          <w:rFonts w:eastAsia="Times New Roman" w:cs="Arial"/>
          <w:color w:val="000000"/>
          <w:lang w:val="en-US"/>
        </w:rPr>
        <w:t>TG</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без </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АроВ, АроВ/АроА- 1. Всяка от тези промени е в посока на подобрен липиден отговор и се поддържа в продължение на 2 години.</w:t>
      </w:r>
    </w:p>
    <w:p w14:paraId="76373F74" w14:textId="77777777" w:rsidR="00F626A0" w:rsidRPr="00F626A0" w:rsidRDefault="00F626A0" w:rsidP="00F626A0">
      <w:pPr>
        <w:spacing w:line="240" w:lineRule="auto"/>
        <w:rPr>
          <w:rFonts w:eastAsia="Times New Roman" w:cs="Arial"/>
          <w:color w:val="000000"/>
          <w:lang w:eastAsia="bg-BG"/>
        </w:rPr>
      </w:pPr>
    </w:p>
    <w:p w14:paraId="59EF2507" w14:textId="61899573" w:rsidR="00F626A0" w:rsidRPr="00F626A0" w:rsidRDefault="00F626A0" w:rsidP="00F626A0">
      <w:pPr>
        <w:spacing w:line="240" w:lineRule="auto"/>
        <w:rPr>
          <w:rFonts w:eastAsia="Times New Roman" w:cs="Arial"/>
        </w:rPr>
      </w:pPr>
      <w:r w:rsidRPr="00F626A0">
        <w:rPr>
          <w:rFonts w:eastAsia="Times New Roman" w:cs="Arial"/>
          <w:color w:val="000000"/>
          <w:lang w:eastAsia="bg-BG"/>
        </w:rPr>
        <w:t>Не е установен ефект върху растежа, теглото, ИТМ или половото съзряване след 24 месеца лечение (вж. точка 4.4).</w:t>
      </w:r>
    </w:p>
    <w:p w14:paraId="14D7E408" w14:textId="77777777" w:rsidR="00F626A0" w:rsidRPr="00F626A0" w:rsidRDefault="00F626A0" w:rsidP="00F626A0">
      <w:pPr>
        <w:spacing w:line="240" w:lineRule="auto"/>
        <w:rPr>
          <w:rFonts w:eastAsia="Times New Roman" w:cs="Arial"/>
          <w:color w:val="000000"/>
          <w:lang w:eastAsia="bg-BG"/>
        </w:rPr>
      </w:pPr>
    </w:p>
    <w:p w14:paraId="466C5296" w14:textId="408A4DC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спрямо плацебо при 14 деца и юноши (на възраст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розувастатин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една кръстосана фаза, която включва период от 6 седмично лечение с</w:t>
      </w:r>
    </w:p>
    <w:p w14:paraId="44A9248D" w14:textId="3953B49D" w:rsidR="00F626A0" w:rsidRPr="00F626A0" w:rsidRDefault="00F626A0" w:rsidP="00F626A0">
      <w:pPr>
        <w:spacing w:line="240" w:lineRule="auto"/>
        <w:rPr>
          <w:rFonts w:eastAsia="Times New Roman" w:cs="Arial"/>
          <w:color w:val="000000"/>
          <w:lang w:val="en-US"/>
        </w:rPr>
      </w:pPr>
      <w:r w:rsidRPr="00F626A0">
        <w:rPr>
          <w:rFonts w:eastAsia="Times New Roman" w:cs="Arial"/>
          <w:color w:val="000000"/>
          <w:lang w:eastAsia="bg-BG"/>
        </w:rPr>
        <w:t xml:space="preserve">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предшествана или последвана от 6-седмично лечение с плацебо и</w:t>
      </w:r>
      <w:r w:rsidRPr="00F626A0">
        <w:rPr>
          <w:rFonts w:eastAsia="Times New Roman" w:cs="Arial"/>
          <w:color w:val="000000"/>
          <w:vertAlign w:val="superscript"/>
          <w:lang w:eastAsia="bg-BG"/>
        </w:rPr>
        <w:t xml:space="preserve"> </w:t>
      </w:r>
      <w:r w:rsidRPr="00F626A0">
        <w:rPr>
          <w:rFonts w:eastAsia="Times New Roman" w:cs="Arial"/>
          <w:color w:val="000000"/>
          <w:lang w:eastAsia="bg-BG"/>
        </w:rPr>
        <w:t>поддържаща 12-седмична фаза, през която всички пациенти са лекувани с розувастатин 20</w:t>
      </w:r>
      <w:r w:rsidRPr="00F626A0">
        <w:rPr>
          <w:rFonts w:eastAsia="Times New Roman" w:cs="Arial"/>
          <w:color w:val="000000"/>
          <w:lang w:val="en-US"/>
        </w:rPr>
        <w:t>mg</w:t>
      </w:r>
    </w:p>
    <w:p w14:paraId="5B44BD3B" w14:textId="771C643C" w:rsidR="00F626A0" w:rsidRPr="00F626A0" w:rsidRDefault="00F626A0" w:rsidP="00F626A0">
      <w:pPr>
        <w:spacing w:line="240" w:lineRule="auto"/>
        <w:rPr>
          <w:rFonts w:eastAsia="Times New Roman" w:cs="Arial"/>
          <w:color w:val="000000"/>
          <w:lang w:val="en-US"/>
        </w:rPr>
      </w:pPr>
    </w:p>
    <w:p w14:paraId="2ED3C88A"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Пациентите, които постъпват в проучването на терапия с езетимиб или афераза, продължават лечението си през целия период на проучването.</w:t>
      </w:r>
    </w:p>
    <w:p w14:paraId="3FA0FB24" w14:textId="77777777" w:rsidR="00F626A0" w:rsidRPr="00F626A0" w:rsidRDefault="00F626A0" w:rsidP="00F626A0">
      <w:pPr>
        <w:spacing w:line="240" w:lineRule="auto"/>
        <w:rPr>
          <w:rFonts w:eastAsia="Times New Roman" w:cs="Arial"/>
          <w:color w:val="000000"/>
          <w:lang w:eastAsia="bg-BG"/>
        </w:rPr>
      </w:pPr>
    </w:p>
    <w:p w14:paraId="0DC11D05" w14:textId="5C04CFB3"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Статистически сигнификантно (р=0,005) намаление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(22,3%, 85,4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или 2,2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 xml:space="preserve">) </w:t>
      </w:r>
      <w:r w:rsidRPr="00F626A0">
        <w:rPr>
          <w:rFonts w:eastAsia="Times New Roman" w:cs="Arial"/>
          <w:color w:val="000000"/>
          <w:lang w:eastAsia="bg-BG"/>
        </w:rPr>
        <w:t xml:space="preserve">е наблюдавано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 сравнение с плацебо. Наблюдавани са статистически значими намаления в общия холестерол (20,1%, р=0,003), в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(22,9%, р=0,003) и в АроВ (17,1%, р=0,024). Понижаване също се наблюдава на триглицеридите, съотношенията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общ</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и АроВ/АроА-1 след 6-седмици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 сравнение с плацебо. Намалението на </w:t>
      </w:r>
      <w:r w:rsidRPr="00F626A0">
        <w:rPr>
          <w:rFonts w:eastAsia="Times New Roman" w:cs="Arial"/>
          <w:color w:val="000000"/>
          <w:lang w:val="en-US"/>
        </w:rPr>
        <w:t>LDL</w:t>
      </w:r>
      <w:r w:rsidRPr="00F626A0">
        <w:rPr>
          <w:rFonts w:eastAsia="Times New Roman" w:cs="Arial"/>
          <w:color w:val="000000"/>
          <w:lang w:eastAsia="bg-BG"/>
        </w:rPr>
        <w:t xml:space="preserve">-С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последвано от 6 седмици на лечение с палцебо се запазва в рамките на 12- седмично непрекъснато лечение. Един пациент е имал по-нататъшно понижаване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(8,0%), общ -С (6,7%)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(7,4%) след 6-седмично лечение с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след титриране на дозата.</w:t>
      </w:r>
    </w:p>
    <w:p w14:paraId="392BC861" w14:textId="77777777" w:rsidR="00F626A0" w:rsidRPr="00F626A0" w:rsidRDefault="00F626A0" w:rsidP="00F626A0">
      <w:pPr>
        <w:spacing w:line="240" w:lineRule="auto"/>
        <w:rPr>
          <w:rFonts w:eastAsia="Times New Roman" w:cs="Arial"/>
          <w:color w:val="000000"/>
          <w:lang w:eastAsia="bg-BG"/>
        </w:rPr>
      </w:pPr>
    </w:p>
    <w:p w14:paraId="4482F5D9" w14:textId="1DCF6A40"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По време на разширено отворено проучване, при 9 от тези пациенти на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за период не по-дълъг от 90 седмици, понижението на </w:t>
      </w:r>
      <w:r w:rsidRPr="00F626A0">
        <w:rPr>
          <w:rFonts w:eastAsia="Times New Roman" w:cs="Arial"/>
          <w:color w:val="000000"/>
          <w:lang w:val="en-US"/>
        </w:rPr>
        <w:t>LDL</w:t>
      </w:r>
      <w:r w:rsidRPr="00F626A0">
        <w:rPr>
          <w:rFonts w:eastAsia="Times New Roman" w:cs="Arial"/>
          <w:color w:val="000000"/>
          <w:lang w:eastAsia="bg-BG"/>
        </w:rPr>
        <w:t>-С се запазва в рамките на -12,1% до - 21,3%.</w:t>
      </w:r>
    </w:p>
    <w:p w14:paraId="742F9F40" w14:textId="77777777" w:rsidR="00F626A0" w:rsidRPr="00F626A0" w:rsidRDefault="00F626A0" w:rsidP="00F626A0">
      <w:pPr>
        <w:spacing w:line="240" w:lineRule="auto"/>
        <w:rPr>
          <w:rFonts w:eastAsia="Times New Roman" w:cs="Arial"/>
          <w:color w:val="000000"/>
          <w:lang w:eastAsia="bg-BG"/>
        </w:rPr>
      </w:pPr>
    </w:p>
    <w:p w14:paraId="6F1E660A" w14:textId="5FB314BE"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(вж. по-горе), процентното понижение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(21,0%), общ-С (19,2%),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(21,0%) от изходното ниво,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0447D4C" w14:textId="77777777" w:rsidR="00F626A0" w:rsidRPr="00F626A0" w:rsidRDefault="00F626A0" w:rsidP="00F626A0">
      <w:pPr>
        <w:spacing w:line="240" w:lineRule="auto"/>
        <w:rPr>
          <w:rFonts w:eastAsia="Times New Roman" w:cs="Arial"/>
          <w:color w:val="000000"/>
          <w:lang w:eastAsia="bg-BG"/>
        </w:rPr>
      </w:pPr>
    </w:p>
    <w:p w14:paraId="7C3D7029" w14:textId="61FD5F79" w:rsidR="00F626A0" w:rsidRPr="00F626A0" w:rsidRDefault="00F626A0" w:rsidP="00F626A0">
      <w:pPr>
        <w:spacing w:line="240" w:lineRule="auto"/>
        <w:rPr>
          <w:rFonts w:eastAsia="Times New Roman" w:cs="Arial"/>
        </w:rPr>
      </w:pPr>
      <w:r w:rsidRPr="00F626A0">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при лечение на хомозиготна фамилна хиперхолестеролемия, първична комбинирана (смесена) дислипидемия и за профилактика на сърдечносъдовите събития (вж. точка 4.2 за информация относно употреба в педиатрията).</w:t>
      </w:r>
    </w:p>
    <w:p w14:paraId="3AFF3A05" w14:textId="3AC0D19B" w:rsidR="00F80502" w:rsidRPr="00F626A0" w:rsidRDefault="00F80502" w:rsidP="00F626A0"/>
    <w:p w14:paraId="78DD93AA" w14:textId="1235F3BD" w:rsidR="00B6672E" w:rsidRDefault="002C50EE" w:rsidP="00936AD0">
      <w:pPr>
        <w:pStyle w:val="Heading2"/>
      </w:pPr>
      <w:r>
        <w:t>5.2. Фармакокинетични свойства</w:t>
      </w:r>
    </w:p>
    <w:p w14:paraId="3AD457A0" w14:textId="7F327747" w:rsidR="00F626A0" w:rsidRDefault="00F626A0" w:rsidP="00F626A0"/>
    <w:p w14:paraId="4921B2AE" w14:textId="77777777" w:rsidR="00F626A0" w:rsidRPr="00F626A0" w:rsidRDefault="00F626A0" w:rsidP="00F626A0">
      <w:pPr>
        <w:pStyle w:val="Heading3"/>
        <w:rPr>
          <w:rFonts w:eastAsia="Times New Roman"/>
          <w:u w:val="single"/>
        </w:rPr>
      </w:pPr>
      <w:r w:rsidRPr="00F626A0">
        <w:rPr>
          <w:rFonts w:eastAsia="Times New Roman"/>
          <w:u w:val="single"/>
          <w:lang w:eastAsia="bg-BG"/>
        </w:rPr>
        <w:t>Абсорбция</w:t>
      </w:r>
    </w:p>
    <w:p w14:paraId="2CD09614"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Максимални плазмени нива на розувастатин се достигат 5 часа след перорално приложение. Абсолютната бионаличност е приблизително 20%.</w:t>
      </w:r>
    </w:p>
    <w:p w14:paraId="56B49821" w14:textId="77777777" w:rsidR="00F626A0" w:rsidRPr="00F626A0" w:rsidRDefault="00F626A0" w:rsidP="00F626A0">
      <w:pPr>
        <w:spacing w:line="240" w:lineRule="auto"/>
        <w:rPr>
          <w:rFonts w:eastAsia="Times New Roman" w:cs="Arial"/>
          <w:color w:val="000000"/>
          <w:u w:val="single"/>
          <w:lang w:eastAsia="bg-BG"/>
        </w:rPr>
      </w:pPr>
    </w:p>
    <w:p w14:paraId="591A4113" w14:textId="3195B103" w:rsidR="00F626A0" w:rsidRPr="00F626A0" w:rsidRDefault="00F626A0" w:rsidP="00F626A0">
      <w:pPr>
        <w:pStyle w:val="Heading3"/>
        <w:rPr>
          <w:rFonts w:eastAsia="Times New Roman"/>
          <w:u w:val="single"/>
        </w:rPr>
      </w:pPr>
      <w:r w:rsidRPr="00F626A0">
        <w:rPr>
          <w:rFonts w:eastAsia="Times New Roman"/>
          <w:u w:val="single"/>
          <w:lang w:eastAsia="bg-BG"/>
        </w:rPr>
        <w:t>Разпределение</w:t>
      </w:r>
    </w:p>
    <w:p w14:paraId="5F3F5E8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F626A0">
        <w:rPr>
          <w:rFonts w:eastAsia="Times New Roman" w:cs="Arial"/>
          <w:color w:val="000000"/>
          <w:lang w:val="en-US"/>
        </w:rPr>
        <w:t>LDL</w:t>
      </w:r>
      <w:r w:rsidRPr="00F626A0">
        <w:rPr>
          <w:rFonts w:eastAsia="Times New Roman" w:cs="Arial"/>
          <w:color w:val="000000"/>
          <w:lang w:eastAsia="bg-BG"/>
        </w:rPr>
        <w:t>-С. Обемът на разпределение на розувастатин е приблизително 134 1. Розувастатин се свързва с плазмените протеини, предимно албумина, приблизително в 90%.</w:t>
      </w:r>
    </w:p>
    <w:p w14:paraId="414FE875" w14:textId="77777777" w:rsidR="00F626A0" w:rsidRPr="00F626A0" w:rsidRDefault="00F626A0" w:rsidP="00F626A0">
      <w:pPr>
        <w:spacing w:line="240" w:lineRule="auto"/>
        <w:rPr>
          <w:rFonts w:eastAsia="Times New Roman" w:cs="Arial"/>
          <w:color w:val="000000"/>
          <w:u w:val="single"/>
          <w:lang w:eastAsia="bg-BG"/>
        </w:rPr>
      </w:pPr>
    </w:p>
    <w:p w14:paraId="1D194438" w14:textId="4719BC0C" w:rsidR="00F626A0" w:rsidRPr="00F626A0" w:rsidRDefault="00F626A0" w:rsidP="00F626A0">
      <w:pPr>
        <w:pStyle w:val="Heading3"/>
        <w:rPr>
          <w:rFonts w:eastAsia="Times New Roman"/>
          <w:u w:val="single"/>
        </w:rPr>
      </w:pPr>
      <w:r w:rsidRPr="00F626A0">
        <w:rPr>
          <w:rFonts w:eastAsia="Times New Roman"/>
          <w:u w:val="single"/>
          <w:lang w:eastAsia="bg-BG"/>
        </w:rPr>
        <w:t>Биотрансформация</w:t>
      </w:r>
    </w:p>
    <w:p w14:paraId="6D5AEB83"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Метаболизмът на розувастатин е ограничен (около 10%). </w:t>
      </w:r>
      <w:r w:rsidRPr="00F626A0">
        <w:rPr>
          <w:rFonts w:eastAsia="Times New Roman" w:cs="Arial"/>
          <w:i/>
          <w:iCs/>
          <w:color w:val="000000"/>
          <w:lang w:val="en-US"/>
        </w:rPr>
        <w:t>In</w:t>
      </w:r>
      <w:r w:rsidRPr="00F626A0">
        <w:rPr>
          <w:rFonts w:eastAsia="Times New Roman" w:cs="Arial"/>
          <w:i/>
          <w:iCs/>
          <w:color w:val="000000"/>
          <w:lang w:val="ru-RU"/>
        </w:rPr>
        <w:t xml:space="preserve"> </w:t>
      </w:r>
      <w:r w:rsidRPr="00F626A0">
        <w:rPr>
          <w:rFonts w:eastAsia="Times New Roman" w:cs="Arial"/>
          <w:i/>
          <w:iCs/>
          <w:color w:val="000000"/>
          <w:lang w:val="en-US"/>
        </w:rPr>
        <w:t>vitro</w:t>
      </w:r>
      <w:r w:rsidRPr="00F626A0">
        <w:rPr>
          <w:rFonts w:eastAsia="Times New Roman" w:cs="Arial"/>
          <w:color w:val="000000"/>
          <w:lang w:val="ru-RU"/>
        </w:rPr>
        <w:t xml:space="preserve"> </w:t>
      </w:r>
      <w:r w:rsidRPr="00F626A0">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СУР 2С9 е основния изоензим, който участва в метаболизма на розувастатин, </w:t>
      </w:r>
      <w:r w:rsidRPr="00F626A0">
        <w:rPr>
          <w:rFonts w:eastAsia="Times New Roman" w:cs="Arial"/>
          <w:color w:val="000000"/>
          <w:lang w:val="en-US"/>
        </w:rPr>
        <w:t>a</w:t>
      </w:r>
      <w:r w:rsidRPr="00F626A0">
        <w:rPr>
          <w:rFonts w:eastAsia="Times New Roman" w:cs="Arial"/>
          <w:color w:val="000000"/>
          <w:lang w:val="ru-RU"/>
        </w:rPr>
        <w:t xml:space="preserve"> </w:t>
      </w:r>
      <w:r w:rsidRPr="00F626A0">
        <w:rPr>
          <w:rFonts w:eastAsia="Times New Roman" w:cs="Arial"/>
          <w:color w:val="000000"/>
          <w:lang w:eastAsia="bg-BG"/>
        </w:rPr>
        <w:t xml:space="preserve">2С19, ЗА4 и </w:t>
      </w:r>
      <w:r w:rsidRPr="00F626A0">
        <w:rPr>
          <w:rFonts w:eastAsia="Times New Roman" w:cs="Arial"/>
          <w:color w:val="000000"/>
          <w:lang w:val="ru-RU"/>
        </w:rPr>
        <w:t>2</w:t>
      </w:r>
      <w:r w:rsidRPr="00F626A0">
        <w:rPr>
          <w:rFonts w:eastAsia="Times New Roman" w:cs="Arial"/>
          <w:color w:val="000000"/>
          <w:lang w:val="en-US"/>
        </w:rPr>
        <w:t>D</w:t>
      </w:r>
      <w:r w:rsidRPr="00F626A0">
        <w:rPr>
          <w:rFonts w:eastAsia="Times New Roman" w:cs="Arial"/>
          <w:color w:val="000000"/>
          <w:lang w:val="ru-RU"/>
        </w:rPr>
        <w:t xml:space="preserve">6 </w:t>
      </w:r>
      <w:r w:rsidRPr="00F626A0">
        <w:rPr>
          <w:rFonts w:eastAsia="Times New Roman" w:cs="Arial"/>
          <w:color w:val="000000"/>
          <w:lang w:eastAsia="bg-BG"/>
        </w:rPr>
        <w:t xml:space="preserve">участват в по-малка степен. Основните метаболити са </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дезметил и лактон. </w:t>
      </w:r>
      <w:r w:rsidRPr="00F626A0">
        <w:rPr>
          <w:rFonts w:eastAsia="Times New Roman" w:cs="Arial"/>
          <w:color w:val="000000"/>
          <w:lang w:val="en-US"/>
        </w:rPr>
        <w:t>N</w:t>
      </w:r>
      <w:r w:rsidRPr="00F626A0">
        <w:rPr>
          <w:rFonts w:eastAsia="Times New Roman" w:cs="Arial"/>
          <w:color w:val="000000"/>
          <w:lang w:eastAsia="bg-BG"/>
        </w:rPr>
        <w:t>-дезметил е около 50% по-малко активен в сравнение с розувастатин, докато лактон се счита за клинично неактивен. Розувастатин определя повече от 90%</w:t>
      </w:r>
      <w:r w:rsidRPr="00F626A0">
        <w:rPr>
          <w:rFonts w:eastAsia="Times New Roman" w:cs="Arial"/>
          <w:color w:val="000000"/>
          <w:lang w:val="ru-RU"/>
        </w:rPr>
        <w:t xml:space="preserve"> </w:t>
      </w:r>
      <w:r w:rsidRPr="00F626A0">
        <w:rPr>
          <w:rFonts w:eastAsia="Times New Roman" w:cs="Arial"/>
          <w:color w:val="000000"/>
          <w:lang w:eastAsia="bg-BG"/>
        </w:rPr>
        <w:t xml:space="preserve">от активността на циркулиращия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инхибитор на редуктазата.</w:t>
      </w:r>
    </w:p>
    <w:p w14:paraId="64C07A1E" w14:textId="77777777" w:rsidR="00F626A0" w:rsidRPr="00F626A0" w:rsidRDefault="00F626A0" w:rsidP="00F626A0">
      <w:pPr>
        <w:spacing w:line="240" w:lineRule="auto"/>
        <w:rPr>
          <w:rFonts w:eastAsia="Times New Roman" w:cs="Arial"/>
          <w:color w:val="000000"/>
          <w:u w:val="single"/>
          <w:lang w:eastAsia="bg-BG"/>
        </w:rPr>
      </w:pPr>
    </w:p>
    <w:p w14:paraId="5409F241" w14:textId="3160AC58" w:rsidR="00F626A0" w:rsidRPr="00F626A0" w:rsidRDefault="00F626A0" w:rsidP="00F626A0">
      <w:pPr>
        <w:pStyle w:val="Heading3"/>
        <w:rPr>
          <w:rFonts w:eastAsia="Times New Roman"/>
          <w:u w:val="single"/>
        </w:rPr>
      </w:pPr>
      <w:r w:rsidRPr="00F626A0">
        <w:rPr>
          <w:rFonts w:eastAsia="Times New Roman"/>
          <w:u w:val="single"/>
          <w:lang w:eastAsia="bg-BG"/>
        </w:rPr>
        <w:t>Елиминиране</w:t>
      </w:r>
    </w:p>
    <w:p w14:paraId="2C4851A4" w14:textId="77777777" w:rsidR="00F626A0" w:rsidRPr="00F626A0" w:rsidRDefault="00F626A0" w:rsidP="00F626A0">
      <w:pPr>
        <w:rPr>
          <w:rFonts w:eastAsia="Times New Roman" w:cs="Arial"/>
          <w:sz w:val="24"/>
          <w:szCs w:val="24"/>
        </w:rPr>
      </w:pPr>
      <w:r w:rsidRPr="00F626A0">
        <w:rPr>
          <w:rFonts w:eastAsia="Times New Roman" w:cs="Arial"/>
          <w:color w:val="000000"/>
          <w:lang w:eastAsia="bg-BG"/>
        </w:rPr>
        <w:t xml:space="preserve">Приблизително 90% от розувастатин се елиминират като непроменено </w:t>
      </w:r>
      <w:r w:rsidRPr="00F626A0">
        <w:rPr>
          <w:rFonts w:eastAsia="Times New Roman" w:cs="Arial"/>
          <w:i/>
          <w:iCs/>
          <w:color w:val="000000"/>
          <w:lang w:eastAsia="bg-BG"/>
        </w:rPr>
        <w:t xml:space="preserve">лекарство с фекалиите </w:t>
      </w:r>
      <w:r w:rsidRPr="00F626A0">
        <w:rPr>
          <w:rFonts w:eastAsia="Times New Roman" w:cs="Arial"/>
          <w:color w:val="000000"/>
          <w:lang w:eastAsia="bg-BG"/>
        </w:rPr>
        <w:t>(абсорбирано и неабсорбирано лекарствено вещество), като останалата част са екскретира с урината. Около 5 % се екскретира непроменен в урината. Плазменият полуживот е около 20</w:t>
      </w:r>
      <w:r w:rsidRPr="00F626A0">
        <w:rPr>
          <w:rFonts w:eastAsia="Times New Roman" w:cs="Arial"/>
          <w:color w:val="000000"/>
          <w:lang w:val="ru-RU" w:eastAsia="bg-BG"/>
        </w:rPr>
        <w:t xml:space="preserve"> </w:t>
      </w:r>
      <w:r w:rsidRPr="00F626A0">
        <w:rPr>
          <w:rFonts w:eastAsia="Times New Roman" w:cs="Arial"/>
          <w:color w:val="000000"/>
          <w:lang w:eastAsia="bg-BG"/>
        </w:rPr>
        <w:t>часа. Елиминационният полуживот не се увеличава с увеличаване на дозата. Средният плазмен клирънс е приблизително 50 литра/час (коефициент на вариабилност 21,7 %). Както при други 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FEE1958" w14:textId="77777777" w:rsidR="00F626A0" w:rsidRPr="00F626A0" w:rsidRDefault="00F626A0" w:rsidP="00F626A0">
      <w:pPr>
        <w:spacing w:line="240" w:lineRule="auto"/>
        <w:rPr>
          <w:rFonts w:eastAsia="Times New Roman" w:cs="Arial"/>
          <w:color w:val="000000"/>
          <w:u w:val="single"/>
          <w:lang w:eastAsia="bg-BG"/>
        </w:rPr>
      </w:pPr>
    </w:p>
    <w:p w14:paraId="6D70B9AC" w14:textId="2F105087" w:rsidR="00F626A0" w:rsidRPr="00F626A0" w:rsidRDefault="00F626A0" w:rsidP="00F626A0">
      <w:pPr>
        <w:spacing w:line="240" w:lineRule="auto"/>
        <w:rPr>
          <w:rFonts w:eastAsia="Times New Roman" w:cs="Arial"/>
          <w:color w:val="000000"/>
          <w:u w:val="single"/>
          <w:lang w:eastAsia="bg-BG"/>
        </w:rPr>
      </w:pPr>
      <w:r w:rsidRPr="00F626A0">
        <w:rPr>
          <w:rFonts w:eastAsia="Times New Roman" w:cs="Arial"/>
          <w:color w:val="000000"/>
          <w:u w:val="single"/>
          <w:lang w:eastAsia="bg-BG"/>
        </w:rPr>
        <w:t>Линейност/нелинейност</w:t>
      </w:r>
    </w:p>
    <w:p w14:paraId="188FE51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14CA928" w14:textId="77777777" w:rsidR="00F626A0" w:rsidRPr="00F626A0" w:rsidRDefault="00F626A0" w:rsidP="00F626A0">
      <w:pPr>
        <w:spacing w:line="240" w:lineRule="auto"/>
        <w:rPr>
          <w:rFonts w:eastAsia="Times New Roman" w:cs="Arial"/>
          <w:b/>
          <w:bCs/>
          <w:color w:val="000000"/>
          <w:lang w:eastAsia="bg-BG"/>
        </w:rPr>
      </w:pPr>
    </w:p>
    <w:p w14:paraId="635347BD" w14:textId="0C4F17B1" w:rsidR="00F626A0" w:rsidRPr="00F626A0" w:rsidRDefault="00F626A0" w:rsidP="00F626A0">
      <w:pPr>
        <w:spacing w:line="240" w:lineRule="auto"/>
        <w:rPr>
          <w:rFonts w:eastAsia="Times New Roman" w:cs="Arial"/>
          <w:sz w:val="24"/>
          <w:szCs w:val="24"/>
        </w:rPr>
      </w:pPr>
      <w:r w:rsidRPr="00F626A0">
        <w:rPr>
          <w:rFonts w:eastAsia="Times New Roman" w:cs="Arial"/>
          <w:b/>
          <w:bCs/>
          <w:color w:val="000000"/>
          <w:lang w:eastAsia="bg-BG"/>
        </w:rPr>
        <w:t>Специални популации:</w:t>
      </w:r>
    </w:p>
    <w:p w14:paraId="4315CA61" w14:textId="77777777" w:rsidR="00F626A0" w:rsidRPr="00F626A0" w:rsidRDefault="00F626A0" w:rsidP="00F626A0">
      <w:pPr>
        <w:spacing w:line="240" w:lineRule="auto"/>
        <w:rPr>
          <w:rFonts w:eastAsia="Times New Roman" w:cs="Arial"/>
          <w:i/>
          <w:iCs/>
          <w:color w:val="000000"/>
          <w:lang w:eastAsia="bg-BG"/>
        </w:rPr>
      </w:pPr>
    </w:p>
    <w:p w14:paraId="0CF40EF5" w14:textId="050244CB"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Възраст и пол</w:t>
      </w:r>
    </w:p>
    <w:p w14:paraId="09EE72B2"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Възрастта или полът нямат клинично значим ефект върху фармакокинетиката на розувастатин при възрастни. Експозицията при деца и юноши с хетерозиготна фамилна хиперхолестеролемия изглежда сравнима или по-ниска от тази при възрастни пациенти с дислипидемия (вж. "Педиатрична популация" по-долу).</w:t>
      </w:r>
    </w:p>
    <w:p w14:paraId="7EFAAA87" w14:textId="77777777" w:rsidR="00F626A0" w:rsidRPr="00F626A0" w:rsidRDefault="00F626A0" w:rsidP="00F626A0">
      <w:pPr>
        <w:spacing w:line="240" w:lineRule="auto"/>
        <w:rPr>
          <w:rFonts w:eastAsia="Times New Roman" w:cs="Arial"/>
          <w:i/>
          <w:iCs/>
          <w:color w:val="000000"/>
          <w:lang w:eastAsia="bg-BG"/>
        </w:rPr>
      </w:pPr>
    </w:p>
    <w:p w14:paraId="1BB2D827" w14:textId="3601D2A4"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Раса</w:t>
      </w:r>
    </w:p>
    <w:p w14:paraId="371B2091"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отколкото при индивиди от кавказката раса. При индийци е налице повишаване </w:t>
      </w:r>
      <w:r w:rsidRPr="00F626A0">
        <w:rPr>
          <w:rFonts w:eastAsia="Times New Roman" w:cs="Arial"/>
          <w:i/>
          <w:iCs/>
          <w:color w:val="000000"/>
          <w:lang w:eastAsia="bg-BG"/>
        </w:rPr>
        <w:t xml:space="preserve">на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A9E69D7" w14:textId="77777777" w:rsidR="00F626A0" w:rsidRPr="00F626A0" w:rsidRDefault="00F626A0" w:rsidP="00F626A0">
      <w:pPr>
        <w:spacing w:line="240" w:lineRule="auto"/>
        <w:rPr>
          <w:rFonts w:eastAsia="Times New Roman" w:cs="Arial"/>
          <w:i/>
          <w:iCs/>
          <w:color w:val="000000"/>
          <w:lang w:eastAsia="bg-BG"/>
        </w:rPr>
      </w:pPr>
    </w:p>
    <w:p w14:paraId="26BD30B2" w14:textId="716CEBC9"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Бъбречно увреждане</w:t>
      </w:r>
    </w:p>
    <w:p w14:paraId="4301E439"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бъбречно увреждане, лекото до умерено бъбречно заболяване не е повлияло плазмените концентрации на розувастатин или на неговия </w:t>
      </w:r>
      <w:r w:rsidRPr="00F626A0">
        <w:rPr>
          <w:rFonts w:eastAsia="Times New Roman" w:cs="Arial"/>
          <w:color w:val="000000"/>
          <w:lang w:val="en-US"/>
        </w:rPr>
        <w:t>N</w:t>
      </w:r>
      <w:r w:rsidRPr="00F626A0">
        <w:rPr>
          <w:rFonts w:eastAsia="Times New Roman" w:cs="Arial"/>
          <w:color w:val="000000"/>
          <w:lang w:eastAsia="bg-BG"/>
        </w:rPr>
        <w:t xml:space="preserve">-дезметил метаболит. Лица с тежко увреждане обаче (креатининов клирънс &lt; 30 </w:t>
      </w:r>
      <w:r w:rsidRPr="00F626A0">
        <w:rPr>
          <w:rFonts w:eastAsia="Times New Roman" w:cs="Arial"/>
          <w:color w:val="000000"/>
          <w:lang w:val="en-US"/>
        </w:rPr>
        <w:t>ml</w:t>
      </w:r>
      <w:r w:rsidRPr="00F626A0">
        <w:rPr>
          <w:rFonts w:eastAsia="Times New Roman" w:cs="Arial"/>
          <w:color w:val="000000"/>
          <w:lang w:val="ru-RU"/>
        </w:rPr>
        <w:t>/</w:t>
      </w:r>
      <w:r w:rsidRPr="00F626A0">
        <w:rPr>
          <w:rFonts w:eastAsia="Times New Roman" w:cs="Arial"/>
          <w:color w:val="000000"/>
          <w:lang w:val="en-US"/>
        </w:rPr>
        <w:t>min</w:t>
      </w:r>
      <w:r w:rsidRPr="00F626A0">
        <w:rPr>
          <w:rFonts w:eastAsia="Times New Roman" w:cs="Arial"/>
          <w:color w:val="000000"/>
          <w:lang w:val="ru-RU"/>
        </w:rPr>
        <w:t xml:space="preserve">) </w:t>
      </w:r>
      <w:r w:rsidRPr="00F626A0">
        <w:rPr>
          <w:rFonts w:eastAsia="Times New Roman" w:cs="Arial"/>
          <w:color w:val="000000"/>
          <w:lang w:eastAsia="bg-BG"/>
        </w:rPr>
        <w:t xml:space="preserve">са имали </w:t>
      </w:r>
      <w:r w:rsidRPr="00F626A0">
        <w:rPr>
          <w:rFonts w:eastAsia="Times New Roman" w:cs="Arial"/>
          <w:i/>
          <w:iCs/>
          <w:color w:val="000000"/>
          <w:lang w:eastAsia="bg-BG"/>
        </w:rPr>
        <w:t>3</w:t>
      </w:r>
      <w:r w:rsidRPr="00F626A0">
        <w:rPr>
          <w:rFonts w:eastAsia="Times New Roman" w:cs="Arial"/>
          <w:color w:val="000000"/>
          <w:lang w:eastAsia="bg-BG"/>
        </w:rPr>
        <w:t xml:space="preserve"> пъти увеличение на плазмената концентрация в сравнение със здрави доброволци и 9 пъти по-висока концентрация на </w:t>
      </w:r>
      <w:r w:rsidRPr="00F626A0">
        <w:rPr>
          <w:rFonts w:eastAsia="Times New Roman" w:cs="Arial"/>
          <w:color w:val="000000"/>
          <w:lang w:val="en-US"/>
        </w:rPr>
        <w:t>N</w:t>
      </w:r>
      <w:r w:rsidRPr="00F626A0">
        <w:rPr>
          <w:rFonts w:eastAsia="Times New Roman" w:cs="Arial"/>
          <w:color w:val="000000"/>
          <w:lang w:eastAsia="bg-BG"/>
        </w:rPr>
        <w:t>-дезметил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F1A50" w14:textId="77777777" w:rsidR="00F626A0" w:rsidRPr="00F626A0" w:rsidRDefault="00F626A0" w:rsidP="00F626A0">
      <w:pPr>
        <w:spacing w:line="240" w:lineRule="auto"/>
        <w:rPr>
          <w:rFonts w:eastAsia="Times New Roman" w:cs="Arial"/>
          <w:i/>
          <w:iCs/>
          <w:color w:val="000000"/>
          <w:lang w:eastAsia="bg-BG"/>
        </w:rPr>
      </w:pPr>
    </w:p>
    <w:p w14:paraId="3A9D2417" w14:textId="2A4F45A2"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Чернодробно увреждане</w:t>
      </w:r>
    </w:p>
    <w:p w14:paraId="397E67D7"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7 или по- нисък. При двама пациенти с тежко чернодробно увреждане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Няма данни за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над 9.</w:t>
      </w:r>
    </w:p>
    <w:p w14:paraId="22D02FF6" w14:textId="77777777" w:rsidR="00F626A0" w:rsidRPr="00F626A0" w:rsidRDefault="00F626A0" w:rsidP="00F626A0">
      <w:pPr>
        <w:spacing w:line="240" w:lineRule="auto"/>
        <w:rPr>
          <w:rFonts w:eastAsia="Times New Roman" w:cs="Arial"/>
          <w:i/>
          <w:iCs/>
          <w:color w:val="000000"/>
          <w:lang w:eastAsia="bg-BG"/>
        </w:rPr>
      </w:pPr>
    </w:p>
    <w:p w14:paraId="416262A5" w14:textId="30114D53"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Генетични полиморфизма</w:t>
      </w:r>
    </w:p>
    <w:p w14:paraId="766F2EFA"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Диспозицията на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 xml:space="preserve">редуктазните инхибитори, включително розувастатин, е свързана с транспортни протеини ОАТР1В1 и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При пациенти с генетичен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(ОАТР1В1) и/или </w:t>
      </w:r>
      <w:r w:rsidRPr="00F626A0">
        <w:rPr>
          <w:rFonts w:eastAsia="Times New Roman" w:cs="Arial"/>
          <w:color w:val="000000"/>
          <w:lang w:val="en-US"/>
        </w:rPr>
        <w:t>ABCG</w:t>
      </w:r>
      <w:r w:rsidRPr="00F626A0">
        <w:rPr>
          <w:rFonts w:eastAsia="Times New Roman" w:cs="Arial"/>
          <w:color w:val="000000"/>
          <w:lang w:val="ru-RU"/>
        </w:rPr>
        <w:t>2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има риск от повишаване на експозиция на розувастатин. Индивидуален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с.52</w:t>
      </w:r>
      <w:r w:rsidRPr="00F626A0">
        <w:rPr>
          <w:rFonts w:eastAsia="Times New Roman" w:cs="Arial"/>
          <w:color w:val="000000"/>
          <w:lang w:val="en-US"/>
        </w:rPr>
        <w:t>ICC</w:t>
      </w:r>
      <w:r w:rsidRPr="00F626A0">
        <w:rPr>
          <w:rFonts w:eastAsia="Times New Roman" w:cs="Arial"/>
          <w:color w:val="000000"/>
          <w:lang w:val="ru-RU"/>
        </w:rPr>
        <w:t xml:space="preserve"> </w:t>
      </w:r>
      <w:r w:rsidRPr="00F626A0">
        <w:rPr>
          <w:rFonts w:eastAsia="Times New Roman" w:cs="Arial"/>
          <w:color w:val="000000"/>
          <w:lang w:eastAsia="bg-BG"/>
        </w:rPr>
        <w:t xml:space="preserve">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 xml:space="preserve">с.421 АА е свързан с по-висока експозиция </w:t>
      </w:r>
      <w:r w:rsidRPr="00F626A0">
        <w:rPr>
          <w:rFonts w:eastAsia="Times New Roman" w:cs="Arial"/>
          <w:color w:val="000000"/>
          <w:lang w:val="ru-RU"/>
        </w:rPr>
        <w:t>(</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 xml:space="preserve">на розувастатин в сравнение с генотипове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С.521ТТ или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С.421СС. Това специфично генотипизиране не се установява в клиничната практика, но при пациенти, за които е известно, че имат такива видове полиморфизми, се препоръчва по-ниска дневна доза розувастатин.</w:t>
      </w:r>
    </w:p>
    <w:p w14:paraId="74739C12" w14:textId="77777777" w:rsidR="00F626A0" w:rsidRPr="00F626A0" w:rsidRDefault="00F626A0" w:rsidP="00F626A0">
      <w:pPr>
        <w:spacing w:line="240" w:lineRule="auto"/>
        <w:rPr>
          <w:rFonts w:eastAsia="Times New Roman" w:cs="Arial"/>
          <w:i/>
          <w:iCs/>
          <w:color w:val="000000"/>
          <w:lang w:eastAsia="bg-BG"/>
        </w:rPr>
      </w:pPr>
    </w:p>
    <w:p w14:paraId="226A2143" w14:textId="27CCBCCC"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Педиатрична популация</w:t>
      </w:r>
    </w:p>
    <w:p w14:paraId="4E16DD0C" w14:textId="4AEEBE81"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Две фармакокинетични проучвания с розувастатин (прилаган под формата на</w:t>
      </w:r>
      <w:r w:rsidRPr="00F626A0">
        <w:rPr>
          <w:rFonts w:eastAsia="Times New Roman" w:cs="Arial"/>
          <w:color w:val="000000"/>
          <w:lang w:val="ru-RU"/>
        </w:rPr>
        <w:t xml:space="preserve"> </w:t>
      </w:r>
      <w:r w:rsidRPr="00F626A0">
        <w:rPr>
          <w:rFonts w:eastAsia="Times New Roman" w:cs="Arial"/>
          <w:color w:val="000000"/>
          <w:lang w:eastAsia="bg-BG"/>
        </w:rPr>
        <w:t>таблетки) при педиатрични пациенти с хетерозиготна фамилна хиперхолестеролемия на възраст 10-17 или 6-17 години (общо 214 пациенти) показват, че експозицията при педиатрични пациенти изглежда</w:t>
      </w:r>
      <w:r w:rsidRPr="00F626A0">
        <w:rPr>
          <w:rFonts w:eastAsia="Times New Roman" w:cs="Arial"/>
          <w:sz w:val="24"/>
          <w:szCs w:val="24"/>
          <w:lang w:val="ru-RU"/>
        </w:rPr>
        <w:t xml:space="preserve"> </w:t>
      </w:r>
      <w:r w:rsidRPr="00F626A0">
        <w:rPr>
          <w:rFonts w:eastAsia="Times New Roman" w:cs="Arial"/>
          <w:color w:val="000000"/>
          <w:lang w:eastAsia="bg-BG"/>
        </w:rPr>
        <w:t>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r w:rsidRPr="00F626A0">
        <w:rPr>
          <w:rFonts w:eastAsia="Times New Roman" w:cs="Arial"/>
          <w:color w:val="000000"/>
          <w:lang w:val="ru-RU" w:eastAsia="bg-BG"/>
        </w:rPr>
        <w:t>.</w:t>
      </w:r>
    </w:p>
    <w:p w14:paraId="4FB791BE" w14:textId="440F2D22" w:rsidR="00B6672E" w:rsidRDefault="002C50EE" w:rsidP="00936AD0">
      <w:pPr>
        <w:pStyle w:val="Heading2"/>
      </w:pPr>
      <w:r>
        <w:lastRenderedPageBreak/>
        <w:t>5.3. Предклинични данни за безопасност</w:t>
      </w:r>
    </w:p>
    <w:p w14:paraId="15435C21" w14:textId="54320B3E" w:rsidR="00F626A0" w:rsidRDefault="00F626A0" w:rsidP="00F626A0"/>
    <w:p w14:paraId="392CA83A" w14:textId="77777777" w:rsidR="00F626A0" w:rsidRPr="00F626A0" w:rsidRDefault="00F626A0" w:rsidP="00F626A0">
      <w:pPr>
        <w:rPr>
          <w:sz w:val="24"/>
          <w:szCs w:val="24"/>
        </w:rPr>
      </w:pPr>
      <w:r w:rsidRPr="00F626A0">
        <w:rPr>
          <w:lang w:eastAsia="bg-BG"/>
        </w:rPr>
        <w:t xml:space="preserve">Предклиничните данни не са показали повишен риск при хора въз основа на стандартните проучвания за безопасност върху основните системи, токсичност след многократно приложение, генотоксичност и канцерогенен потенциал. Специфични тестове за въздействие върху </w:t>
      </w:r>
      <w:r w:rsidRPr="00F626A0">
        <w:rPr>
          <w:lang w:val="en-US"/>
        </w:rPr>
        <w:t>hERG</w:t>
      </w:r>
      <w:r w:rsidRPr="00F626A0">
        <w:rPr>
          <w:lang w:val="ru-RU"/>
        </w:rPr>
        <w:t xml:space="preserve"> </w:t>
      </w:r>
      <w:r w:rsidRPr="00F626A0">
        <w:rPr>
          <w:lang w:eastAsia="bg-BG"/>
        </w:rPr>
        <w:t>не са оценявани. Нежеланите реакции, които не са наблюдавани в клинични проучвания, но се наблюдават при животни при нива на експозиция, подобни на нивата на клинична експозиция са както следва: При проучванията за токсичността на многократните дози са открити хистопатологични промени на черния дроб, които вероятно се дължат на фармакологичното действие на розувастатин са наблюдавани при мишки, плъхове, както и в по-малка степен с последици върху жлъчния мехур при кучета, но не и при маймуни. Освен това, тестикуларна токсичност е наблюдавана при маймуни и кучета, при по-високи дози. Репродуктивна токсичност е наблюдавана при плъхове, с намален брой на котилото, намалено тегло на котилото и оцеляване на малките се наблюдава при токсични за майката дози, като системните експозиции са няколко пъти над терапевтичните нива на експозиция.</w:t>
      </w:r>
    </w:p>
    <w:p w14:paraId="1EE63EA4" w14:textId="77777777" w:rsidR="00F626A0" w:rsidRPr="00F626A0" w:rsidRDefault="00F626A0" w:rsidP="00F626A0"/>
    <w:p w14:paraId="1BA6531D" w14:textId="013E94C9" w:rsidR="00B6672E" w:rsidRDefault="002C50EE" w:rsidP="00936AD0">
      <w:pPr>
        <w:pStyle w:val="Heading1"/>
      </w:pPr>
      <w:r>
        <w:t>7. ПРИТЕЖАТЕЛ НА РАЗРЕШЕНИЕТО ЗА УПОТРЕБА</w:t>
      </w:r>
    </w:p>
    <w:p w14:paraId="58DEA315" w14:textId="70234215" w:rsidR="00F626A0" w:rsidRDefault="00F626A0" w:rsidP="00F626A0"/>
    <w:p w14:paraId="13AB02B0" w14:textId="7173FD2A" w:rsidR="00F626A0" w:rsidRPr="00F626A0" w:rsidRDefault="00F626A0" w:rsidP="00F626A0">
      <w:r>
        <w:t xml:space="preserve">KRKA, d.d., Novo mesto, Smarjeska cesta 6, 8501 Novo mesto, </w:t>
      </w:r>
      <w:r>
        <w:rPr>
          <w:lang w:eastAsia="bg-BG"/>
        </w:rPr>
        <w:t>Словения</w:t>
      </w:r>
    </w:p>
    <w:p w14:paraId="508F3A54" w14:textId="48C3B7A5" w:rsidR="00B6672E" w:rsidRDefault="00936AD0" w:rsidP="00936AD0">
      <w:pPr>
        <w:pStyle w:val="Heading1"/>
      </w:pPr>
      <w:r>
        <w:t>8.</w:t>
      </w:r>
      <w:r w:rsidR="002C50EE">
        <w:t>НОМЕР НА РАЗРЕШЕНИЕТО ЗА УПОТРЕБА</w:t>
      </w:r>
    </w:p>
    <w:p w14:paraId="1769202B" w14:textId="3703C253" w:rsidR="00F626A0" w:rsidRDefault="00F626A0" w:rsidP="00F626A0"/>
    <w:p w14:paraId="62D56026" w14:textId="77777777" w:rsidR="00F626A0" w:rsidRPr="00F626A0" w:rsidRDefault="00F626A0" w:rsidP="00F626A0">
      <w:pPr>
        <w:rPr>
          <w:sz w:val="24"/>
          <w:szCs w:val="24"/>
        </w:rPr>
      </w:pPr>
      <w:r>
        <w:rPr>
          <w:lang w:val="en-US"/>
        </w:rPr>
        <w:t>Pe</w:t>
      </w:r>
      <w:r w:rsidRPr="00F626A0">
        <w:t xml:space="preserve">г. №: 20110456 - </w:t>
      </w:r>
      <w:r w:rsidRPr="00F626A0">
        <w:rPr>
          <w:lang w:eastAsia="bg-BG"/>
        </w:rPr>
        <w:t xml:space="preserve">Розвера </w:t>
      </w:r>
      <w:r w:rsidRPr="00F626A0">
        <w:t xml:space="preserve">5 </w:t>
      </w:r>
      <w:r w:rsidRPr="00F626A0">
        <w:rPr>
          <w:lang w:val="en-US"/>
        </w:rPr>
        <w:t>mg</w:t>
      </w:r>
    </w:p>
    <w:p w14:paraId="2ED66B45" w14:textId="77777777" w:rsidR="00F626A0" w:rsidRPr="00F626A0" w:rsidRDefault="00F626A0" w:rsidP="00F626A0">
      <w:pPr>
        <w:rPr>
          <w:sz w:val="24"/>
          <w:szCs w:val="24"/>
        </w:rPr>
      </w:pPr>
      <w:r>
        <w:rPr>
          <w:lang w:val="en-US"/>
        </w:rPr>
        <w:t>Pe</w:t>
      </w:r>
      <w:r w:rsidRPr="00F626A0">
        <w:t xml:space="preserve">г. №: 20110457 - </w:t>
      </w:r>
      <w:r w:rsidRPr="00F626A0">
        <w:rPr>
          <w:lang w:eastAsia="bg-BG"/>
        </w:rPr>
        <w:t xml:space="preserve">Розвера </w:t>
      </w:r>
      <w:r w:rsidRPr="00F626A0">
        <w:t xml:space="preserve">10 </w:t>
      </w:r>
      <w:r w:rsidRPr="00F626A0">
        <w:rPr>
          <w:lang w:val="en-US"/>
        </w:rPr>
        <w:t>mg</w:t>
      </w:r>
    </w:p>
    <w:p w14:paraId="72DE0B42" w14:textId="77777777" w:rsidR="00F626A0" w:rsidRPr="00F626A0" w:rsidRDefault="00F626A0" w:rsidP="00F626A0">
      <w:pPr>
        <w:rPr>
          <w:sz w:val="24"/>
          <w:szCs w:val="24"/>
        </w:rPr>
      </w:pPr>
      <w:r>
        <w:rPr>
          <w:lang w:val="en-US"/>
        </w:rPr>
        <w:t>Pe</w:t>
      </w:r>
      <w:r w:rsidRPr="00F626A0">
        <w:t xml:space="preserve">г. №: 20110458 - </w:t>
      </w:r>
      <w:r w:rsidRPr="00F626A0">
        <w:rPr>
          <w:lang w:eastAsia="bg-BG"/>
        </w:rPr>
        <w:t xml:space="preserve">Розвера </w:t>
      </w:r>
      <w:r w:rsidRPr="00F626A0">
        <w:t xml:space="preserve">15 </w:t>
      </w:r>
      <w:r w:rsidRPr="00F626A0">
        <w:rPr>
          <w:lang w:val="en-US"/>
        </w:rPr>
        <w:t>mg</w:t>
      </w:r>
    </w:p>
    <w:p w14:paraId="4B62D0F9" w14:textId="77777777" w:rsidR="00F626A0" w:rsidRPr="00F626A0" w:rsidRDefault="00F626A0" w:rsidP="00F626A0">
      <w:pPr>
        <w:rPr>
          <w:sz w:val="24"/>
          <w:szCs w:val="24"/>
        </w:rPr>
      </w:pPr>
      <w:r>
        <w:rPr>
          <w:lang w:val="en-US"/>
        </w:rPr>
        <w:t>Pe</w:t>
      </w:r>
      <w:r w:rsidRPr="00F626A0">
        <w:t xml:space="preserve">г. №: 20110459 - </w:t>
      </w:r>
      <w:r w:rsidRPr="00F626A0">
        <w:rPr>
          <w:lang w:eastAsia="bg-BG"/>
        </w:rPr>
        <w:t xml:space="preserve">Розвера </w:t>
      </w:r>
      <w:r w:rsidRPr="00F626A0">
        <w:t xml:space="preserve">20 </w:t>
      </w:r>
      <w:r w:rsidRPr="00F626A0">
        <w:rPr>
          <w:lang w:val="en-US"/>
        </w:rPr>
        <w:t>mg</w:t>
      </w:r>
    </w:p>
    <w:p w14:paraId="28F7ACD0" w14:textId="77777777" w:rsidR="00F626A0" w:rsidRPr="00F626A0" w:rsidRDefault="00F626A0" w:rsidP="00F626A0">
      <w:pPr>
        <w:rPr>
          <w:sz w:val="24"/>
          <w:szCs w:val="24"/>
        </w:rPr>
      </w:pPr>
      <w:r>
        <w:rPr>
          <w:lang w:val="en-US"/>
        </w:rPr>
        <w:t>P</w:t>
      </w:r>
      <w:r w:rsidRPr="00F626A0">
        <w:t xml:space="preserve">ег. №: 20110460 - </w:t>
      </w:r>
      <w:r w:rsidRPr="00F626A0">
        <w:rPr>
          <w:lang w:eastAsia="bg-BG"/>
        </w:rPr>
        <w:t xml:space="preserve">Розвера </w:t>
      </w:r>
      <w:r w:rsidRPr="00F626A0">
        <w:t xml:space="preserve">30 </w:t>
      </w:r>
      <w:r w:rsidRPr="00F626A0">
        <w:rPr>
          <w:lang w:val="en-US"/>
        </w:rPr>
        <w:t>mg</w:t>
      </w:r>
    </w:p>
    <w:p w14:paraId="40AD5E8F" w14:textId="77777777" w:rsidR="00F626A0" w:rsidRPr="00F626A0" w:rsidRDefault="00F626A0" w:rsidP="00F626A0">
      <w:pPr>
        <w:rPr>
          <w:sz w:val="24"/>
          <w:szCs w:val="24"/>
        </w:rPr>
      </w:pPr>
      <w:r>
        <w:rPr>
          <w:lang w:val="en-US"/>
        </w:rPr>
        <w:t>Pe</w:t>
      </w:r>
      <w:r w:rsidRPr="00F626A0">
        <w:t xml:space="preserve">г. №: 20110461 - </w:t>
      </w:r>
      <w:r w:rsidRPr="00F626A0">
        <w:rPr>
          <w:lang w:eastAsia="bg-BG"/>
        </w:rPr>
        <w:t xml:space="preserve">Розвера </w:t>
      </w:r>
      <w:r w:rsidRPr="00F626A0">
        <w:t xml:space="preserve">40 </w:t>
      </w:r>
      <w:r w:rsidRPr="00F626A0">
        <w:rPr>
          <w:lang w:val="en-US"/>
        </w:rPr>
        <w:t>mg</w:t>
      </w:r>
    </w:p>
    <w:p w14:paraId="71AF424A" w14:textId="45E6F295" w:rsidR="00F626A0" w:rsidRPr="00F626A0" w:rsidRDefault="00F626A0" w:rsidP="00F626A0"/>
    <w:p w14:paraId="2CCB5832" w14:textId="47F50F33" w:rsidR="007C605B" w:rsidRDefault="002C50EE" w:rsidP="007C605B">
      <w:pPr>
        <w:pStyle w:val="Heading1"/>
      </w:pPr>
      <w:r>
        <w:t>9. ДАТА НА ПЪРВО РАЗРЕШАВАНЕ/ПОДНОВЯВАНЕ НА РАЗРЕШЕНИЕТО ЗА УПОТРЕБА</w:t>
      </w:r>
    </w:p>
    <w:p w14:paraId="1F5505E6" w14:textId="1BD01163" w:rsidR="00F626A0" w:rsidRDefault="00F626A0" w:rsidP="00F626A0"/>
    <w:p w14:paraId="7B62BFBF" w14:textId="77777777" w:rsidR="00F626A0" w:rsidRPr="00F626A0" w:rsidRDefault="00F626A0" w:rsidP="00F626A0">
      <w:pPr>
        <w:rPr>
          <w:sz w:val="24"/>
          <w:szCs w:val="24"/>
        </w:rPr>
      </w:pPr>
      <w:r w:rsidRPr="00F626A0">
        <w:rPr>
          <w:lang w:eastAsia="bg-BG"/>
        </w:rPr>
        <w:t>Дата на първо разрешаване: 28.07.2011</w:t>
      </w:r>
    </w:p>
    <w:p w14:paraId="1662F0D5" w14:textId="77777777" w:rsidR="00F626A0" w:rsidRPr="00F626A0" w:rsidRDefault="00F626A0" w:rsidP="00F626A0">
      <w:pPr>
        <w:rPr>
          <w:sz w:val="24"/>
          <w:szCs w:val="24"/>
        </w:rPr>
      </w:pPr>
      <w:r w:rsidRPr="00F626A0">
        <w:rPr>
          <w:lang w:eastAsia="bg-BG"/>
        </w:rPr>
        <w:t>Дата на последно подновяване: 13.06.2016</w:t>
      </w:r>
    </w:p>
    <w:p w14:paraId="1837CBB9" w14:textId="77777777" w:rsidR="00F626A0" w:rsidRPr="00F626A0" w:rsidRDefault="00F626A0" w:rsidP="00F626A0"/>
    <w:p w14:paraId="0E9D0119" w14:textId="0245C6D7" w:rsidR="002C50EE" w:rsidRDefault="002C50EE" w:rsidP="002C50EE">
      <w:pPr>
        <w:pStyle w:val="Heading1"/>
      </w:pPr>
      <w:r>
        <w:t>10. ДАТА НА АКТУАЛИЗИРАНЕ НА ТЕКСТА</w:t>
      </w:r>
    </w:p>
    <w:bookmarkEnd w:id="0"/>
    <w:p w14:paraId="43FB38A2" w14:textId="728B9028" w:rsidR="007C605B" w:rsidRPr="003E3126" w:rsidRDefault="00F626A0" w:rsidP="00F626A0">
      <w:r>
        <w:t>03 Юни 2022</w:t>
      </w:r>
      <w:bookmarkStart w:id="3" w:name="_GoBack"/>
      <w:bookmarkEnd w:id="3"/>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01E9"/>
    <w:multiLevelType w:val="hybridMultilevel"/>
    <w:tmpl w:val="E1CE5DD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36502"/>
    <w:multiLevelType w:val="hybridMultilevel"/>
    <w:tmpl w:val="5EFA26FC"/>
    <w:lvl w:ilvl="0" w:tplc="BD76ECB4">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8379D9"/>
    <w:multiLevelType w:val="hybridMultilevel"/>
    <w:tmpl w:val="BEECD9C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F5438C"/>
    <w:multiLevelType w:val="hybridMultilevel"/>
    <w:tmpl w:val="12B05E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4"/>
  </w:num>
  <w:num w:numId="12">
    <w:abstractNumId w:val="15"/>
  </w:num>
  <w:num w:numId="13">
    <w:abstractNumId w:val="21"/>
  </w:num>
  <w:num w:numId="14">
    <w:abstractNumId w:val="13"/>
  </w:num>
  <w:num w:numId="15">
    <w:abstractNumId w:val="33"/>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0"/>
  </w:num>
  <w:num w:numId="24">
    <w:abstractNumId w:val="9"/>
  </w:num>
  <w:num w:numId="25">
    <w:abstractNumId w:val="25"/>
  </w:num>
  <w:num w:numId="26">
    <w:abstractNumId w:val="23"/>
  </w:num>
  <w:num w:numId="27">
    <w:abstractNumId w:val="35"/>
  </w:num>
  <w:num w:numId="28">
    <w:abstractNumId w:val="6"/>
  </w:num>
  <w:num w:numId="29">
    <w:abstractNumId w:val="22"/>
  </w:num>
  <w:num w:numId="30">
    <w:abstractNumId w:val="39"/>
  </w:num>
  <w:num w:numId="31">
    <w:abstractNumId w:val="5"/>
  </w:num>
  <w:num w:numId="32">
    <w:abstractNumId w:val="37"/>
  </w:num>
  <w:num w:numId="33">
    <w:abstractNumId w:val="32"/>
  </w:num>
  <w:num w:numId="34">
    <w:abstractNumId w:val="36"/>
  </w:num>
  <w:num w:numId="35">
    <w:abstractNumId w:val="7"/>
  </w:num>
  <w:num w:numId="36">
    <w:abstractNumId w:val="10"/>
  </w:num>
  <w:num w:numId="37">
    <w:abstractNumId w:val="24"/>
  </w:num>
  <w:num w:numId="38">
    <w:abstractNumId w:val="30"/>
  </w:num>
  <w:num w:numId="39">
    <w:abstractNumId w:val="3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C600B"/>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70FDA"/>
    <w:rsid w:val="00AA23EC"/>
    <w:rsid w:val="00AC5709"/>
    <w:rsid w:val="00AC63CE"/>
    <w:rsid w:val="00AE2107"/>
    <w:rsid w:val="00B275A8"/>
    <w:rsid w:val="00B6672E"/>
    <w:rsid w:val="00BC1E72"/>
    <w:rsid w:val="00BF2600"/>
    <w:rsid w:val="00C0049F"/>
    <w:rsid w:val="00C07B84"/>
    <w:rsid w:val="00C33464"/>
    <w:rsid w:val="00C40420"/>
    <w:rsid w:val="00C809A7"/>
    <w:rsid w:val="00C83063"/>
    <w:rsid w:val="00C87E90"/>
    <w:rsid w:val="00CA1B57"/>
    <w:rsid w:val="00CA3152"/>
    <w:rsid w:val="00CF77F7"/>
    <w:rsid w:val="00D86297"/>
    <w:rsid w:val="00DD466D"/>
    <w:rsid w:val="00EB6364"/>
    <w:rsid w:val="00F37B64"/>
    <w:rsid w:val="00F626A0"/>
    <w:rsid w:val="00F80502"/>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49482</Characters>
  <Application>Microsoft Office Word</Application>
  <DocSecurity>0</DocSecurity>
  <Lines>412</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2022-09-12T15:05:00Z</dcterms:created>
  <dcterms:modified xsi:type="dcterms:W3CDTF">2022-09-12T15:05:00Z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