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2BE34EF6" w14:textId="2F42D6C7" w:rsidR="007122AD" w:rsidRDefault="00DD466D" w:rsidP="00936AD0">
      <w:pPr>
        <w:pStyle w:val="Heading1"/>
      </w:pPr>
      <w:r>
        <w:t>1.ИМЕ НА ЛЕКАРСТВЕНИЯ ПРОДУКТ</w:t>
      </w:r>
    </w:p>
    <w:p w14:paraId="3236644A" w14:textId="6BB2361C" w:rsidR="00A70FDA" w:rsidRDefault="00A70FDA" w:rsidP="00A70FDA"/>
    <w:p w14:paraId="19162FC5" w14:textId="77777777" w:rsidR="00A70FDA" w:rsidRPr="00A70FDA" w:rsidRDefault="00A70FDA" w:rsidP="00A70FDA">
      <w:pPr>
        <w:rPr>
          <w:sz w:val="24"/>
          <w:szCs w:val="24"/>
          <w:lang w:val="en-US"/>
        </w:rPr>
      </w:pPr>
      <w:r w:rsidRPr="00A70FDA">
        <w:rPr>
          <w:lang w:eastAsia="bg-BG"/>
        </w:rPr>
        <w:t xml:space="preserve">Розвера 5 </w:t>
      </w:r>
      <w:r w:rsidRPr="00A70FDA">
        <w:rPr>
          <w:lang w:val="en-US"/>
        </w:rPr>
        <w:t xml:space="preserve">mg </w:t>
      </w:r>
      <w:r w:rsidRPr="00A70FDA">
        <w:rPr>
          <w:lang w:eastAsia="bg-BG"/>
        </w:rPr>
        <w:t>филмирани таблетки</w:t>
      </w:r>
    </w:p>
    <w:p w14:paraId="03334FF1" w14:textId="77777777" w:rsidR="00A70FDA" w:rsidRPr="00A70FDA" w:rsidRDefault="00A70FDA" w:rsidP="00A70FDA">
      <w:pPr>
        <w:rPr>
          <w:sz w:val="24"/>
          <w:szCs w:val="24"/>
          <w:lang w:val="ru-RU"/>
        </w:rPr>
      </w:pPr>
      <w:r w:rsidRPr="00A70FDA">
        <w:rPr>
          <w:lang w:eastAsia="bg-BG"/>
        </w:rPr>
        <w:t xml:space="preserve">Розвера 10 </w:t>
      </w:r>
      <w:r w:rsidRPr="00A70FDA">
        <w:rPr>
          <w:lang w:val="en-US"/>
        </w:rPr>
        <w:t>mg</w:t>
      </w:r>
      <w:r w:rsidRPr="00A70FDA">
        <w:rPr>
          <w:lang w:val="ru-RU"/>
        </w:rPr>
        <w:t xml:space="preserve"> </w:t>
      </w:r>
      <w:r w:rsidRPr="00A70FDA">
        <w:rPr>
          <w:lang w:eastAsia="bg-BG"/>
        </w:rPr>
        <w:t>филмирани таблетки</w:t>
      </w:r>
    </w:p>
    <w:p w14:paraId="628E8CF1" w14:textId="77777777" w:rsidR="00A70FDA" w:rsidRPr="00A70FDA" w:rsidRDefault="00A70FDA" w:rsidP="00A70FDA">
      <w:pPr>
        <w:rPr>
          <w:sz w:val="24"/>
          <w:szCs w:val="24"/>
          <w:lang w:val="ru-RU"/>
        </w:rPr>
      </w:pPr>
      <w:r w:rsidRPr="00A70FDA">
        <w:rPr>
          <w:lang w:eastAsia="bg-BG"/>
        </w:rPr>
        <w:t xml:space="preserve">Розвера 15 </w:t>
      </w:r>
      <w:r w:rsidRPr="00A70FDA">
        <w:rPr>
          <w:lang w:val="en-US"/>
        </w:rPr>
        <w:t>mg</w:t>
      </w:r>
      <w:r w:rsidRPr="00A70FDA">
        <w:rPr>
          <w:lang w:val="ru-RU"/>
        </w:rPr>
        <w:t xml:space="preserve"> </w:t>
      </w:r>
      <w:r w:rsidRPr="00A70FDA">
        <w:rPr>
          <w:lang w:eastAsia="bg-BG"/>
        </w:rPr>
        <w:t>филмирани таблетки</w:t>
      </w:r>
    </w:p>
    <w:p w14:paraId="11C1E2D5" w14:textId="77777777" w:rsidR="00A70FDA" w:rsidRPr="00A70FDA" w:rsidRDefault="00A70FDA" w:rsidP="00A70FDA">
      <w:pPr>
        <w:rPr>
          <w:sz w:val="24"/>
          <w:szCs w:val="24"/>
          <w:lang w:val="ru-RU"/>
        </w:rPr>
      </w:pPr>
      <w:r w:rsidRPr="00A70FDA">
        <w:rPr>
          <w:lang w:eastAsia="bg-BG"/>
        </w:rPr>
        <w:t xml:space="preserve">Розвера 20 </w:t>
      </w:r>
      <w:r w:rsidRPr="00A70FDA">
        <w:rPr>
          <w:lang w:val="en-US"/>
        </w:rPr>
        <w:t>mg</w:t>
      </w:r>
      <w:r w:rsidRPr="00A70FDA">
        <w:rPr>
          <w:lang w:val="ru-RU"/>
        </w:rPr>
        <w:t xml:space="preserve"> </w:t>
      </w:r>
      <w:r w:rsidRPr="00A70FDA">
        <w:rPr>
          <w:lang w:eastAsia="bg-BG"/>
        </w:rPr>
        <w:t>филмирани таблетки</w:t>
      </w:r>
    </w:p>
    <w:p w14:paraId="5627B15C" w14:textId="77777777" w:rsidR="00A70FDA" w:rsidRPr="00A70FDA" w:rsidRDefault="00A70FDA" w:rsidP="00A70FDA">
      <w:pPr>
        <w:rPr>
          <w:sz w:val="24"/>
          <w:szCs w:val="24"/>
          <w:lang w:val="ru-RU"/>
        </w:rPr>
      </w:pPr>
      <w:r w:rsidRPr="00A70FDA">
        <w:rPr>
          <w:lang w:eastAsia="bg-BG"/>
        </w:rPr>
        <w:t xml:space="preserve">Розвера 30 </w:t>
      </w:r>
      <w:r w:rsidRPr="00A70FDA">
        <w:rPr>
          <w:lang w:val="en-US"/>
        </w:rPr>
        <w:t>mg</w:t>
      </w:r>
      <w:r w:rsidRPr="00A70FDA">
        <w:rPr>
          <w:lang w:val="ru-RU"/>
        </w:rPr>
        <w:t xml:space="preserve"> </w:t>
      </w:r>
      <w:r w:rsidRPr="00A70FDA">
        <w:rPr>
          <w:lang w:eastAsia="bg-BG"/>
        </w:rPr>
        <w:t>филмирани таблетки</w:t>
      </w:r>
    </w:p>
    <w:p w14:paraId="4BCC082A" w14:textId="77777777" w:rsidR="00A70FDA" w:rsidRPr="00A70FDA" w:rsidRDefault="00A70FDA" w:rsidP="00A70FDA">
      <w:pPr>
        <w:rPr>
          <w:sz w:val="24"/>
          <w:szCs w:val="24"/>
          <w:lang w:val="ru-RU"/>
        </w:rPr>
      </w:pPr>
      <w:r w:rsidRPr="00A70FDA">
        <w:rPr>
          <w:lang w:eastAsia="bg-BG"/>
        </w:rPr>
        <w:t xml:space="preserve">Розвера 40 </w:t>
      </w:r>
      <w:r w:rsidRPr="00A70FDA">
        <w:rPr>
          <w:lang w:val="en-US"/>
        </w:rPr>
        <w:t>mg</w:t>
      </w:r>
      <w:r w:rsidRPr="00A70FDA">
        <w:rPr>
          <w:lang w:val="ru-RU"/>
        </w:rPr>
        <w:t xml:space="preserve"> </w:t>
      </w:r>
      <w:r w:rsidRPr="00A70FDA">
        <w:rPr>
          <w:lang w:eastAsia="bg-BG"/>
        </w:rPr>
        <w:t>филмирани таблетки</w:t>
      </w:r>
    </w:p>
    <w:p w14:paraId="32AB607A" w14:textId="77777777" w:rsidR="00A70FDA" w:rsidRPr="00A70FDA" w:rsidRDefault="00A70FDA" w:rsidP="00A70FDA">
      <w:pPr>
        <w:rPr>
          <w:lang w:val="ru-RU"/>
        </w:rPr>
      </w:pPr>
    </w:p>
    <w:p w14:paraId="6D6202C1" w14:textId="4264DE27" w:rsidR="00A70FDA" w:rsidRPr="00A70FDA" w:rsidRDefault="00A70FDA" w:rsidP="00A70FDA">
      <w:pPr>
        <w:rPr>
          <w:sz w:val="24"/>
          <w:szCs w:val="24"/>
          <w:lang w:val="ru-RU"/>
        </w:rPr>
      </w:pPr>
      <w:r w:rsidRPr="00A70FDA">
        <w:rPr>
          <w:lang w:val="en-US"/>
        </w:rPr>
        <w:t>Roswera</w:t>
      </w:r>
      <w:r w:rsidRPr="00A70FDA">
        <w:rPr>
          <w:lang w:val="ru-RU"/>
        </w:rPr>
        <w:t xml:space="preserve"> </w:t>
      </w:r>
      <w:r w:rsidRPr="00A70FDA">
        <w:rPr>
          <w:lang w:eastAsia="bg-BG"/>
        </w:rPr>
        <w:t xml:space="preserve">5 </w:t>
      </w:r>
      <w:r w:rsidRPr="00A70FDA">
        <w:rPr>
          <w:lang w:val="en-US"/>
        </w:rPr>
        <w:t>mg</w:t>
      </w:r>
      <w:r w:rsidRPr="00A70FDA">
        <w:rPr>
          <w:lang w:val="ru-RU"/>
        </w:rPr>
        <w:t xml:space="preserve"> </w:t>
      </w:r>
      <w:r w:rsidRPr="00A70FDA">
        <w:rPr>
          <w:lang w:val="en-US"/>
        </w:rPr>
        <w:t>film</w:t>
      </w:r>
      <w:r w:rsidRPr="00A70FDA">
        <w:rPr>
          <w:lang w:val="ru-RU"/>
        </w:rPr>
        <w:t>-</w:t>
      </w:r>
      <w:r w:rsidRPr="00A70FDA">
        <w:rPr>
          <w:lang w:val="en-US"/>
        </w:rPr>
        <w:t>coated</w:t>
      </w:r>
      <w:r w:rsidRPr="00A70FDA">
        <w:rPr>
          <w:lang w:val="ru-RU"/>
        </w:rPr>
        <w:t xml:space="preserve"> </w:t>
      </w:r>
      <w:r w:rsidRPr="00A70FDA">
        <w:rPr>
          <w:lang w:val="en-US"/>
        </w:rPr>
        <w:t>tablets</w:t>
      </w:r>
    </w:p>
    <w:p w14:paraId="64109B99" w14:textId="77777777" w:rsidR="00A70FDA" w:rsidRPr="00A70FDA" w:rsidRDefault="00A70FDA" w:rsidP="00A70FDA">
      <w:pPr>
        <w:rPr>
          <w:sz w:val="24"/>
          <w:szCs w:val="24"/>
          <w:lang w:val="en-US"/>
        </w:rPr>
      </w:pPr>
      <w:r w:rsidRPr="00A70FDA">
        <w:rPr>
          <w:lang w:val="en-US"/>
        </w:rPr>
        <w:t>Roswera 10 mg film-coated tablets</w:t>
      </w:r>
    </w:p>
    <w:p w14:paraId="6C2E3597" w14:textId="77777777" w:rsidR="00A70FDA" w:rsidRPr="00A70FDA" w:rsidRDefault="00A70FDA" w:rsidP="00A70FDA">
      <w:pPr>
        <w:rPr>
          <w:sz w:val="24"/>
          <w:szCs w:val="24"/>
          <w:lang w:val="en-US"/>
        </w:rPr>
      </w:pPr>
      <w:r w:rsidRPr="00A70FDA">
        <w:rPr>
          <w:lang w:val="en-US"/>
        </w:rPr>
        <w:t>Roswera 15 mg film-coated tablets</w:t>
      </w:r>
    </w:p>
    <w:p w14:paraId="43CAC91B" w14:textId="77777777" w:rsidR="00A70FDA" w:rsidRPr="00A70FDA" w:rsidRDefault="00A70FDA" w:rsidP="00A70FDA">
      <w:pPr>
        <w:rPr>
          <w:sz w:val="24"/>
          <w:szCs w:val="24"/>
          <w:lang w:val="en-US"/>
        </w:rPr>
      </w:pPr>
      <w:r w:rsidRPr="00A70FDA">
        <w:rPr>
          <w:lang w:val="en-US"/>
        </w:rPr>
        <w:t>Roswera 20 mg film-coated tablets</w:t>
      </w:r>
    </w:p>
    <w:p w14:paraId="5591F656" w14:textId="77777777" w:rsidR="00A70FDA" w:rsidRPr="00A70FDA" w:rsidRDefault="00A70FDA" w:rsidP="00A70FDA">
      <w:pPr>
        <w:rPr>
          <w:sz w:val="24"/>
          <w:szCs w:val="24"/>
          <w:lang w:val="en-US"/>
        </w:rPr>
      </w:pPr>
      <w:r w:rsidRPr="00A70FDA">
        <w:rPr>
          <w:lang w:val="en-US"/>
        </w:rPr>
        <w:t>Roswera 30 mg film-coated tablets</w:t>
      </w:r>
    </w:p>
    <w:p w14:paraId="5BA41FCD" w14:textId="77777777" w:rsidR="00A70FDA" w:rsidRPr="00A70FDA" w:rsidRDefault="00A70FDA" w:rsidP="00A70FDA">
      <w:pPr>
        <w:rPr>
          <w:sz w:val="24"/>
          <w:szCs w:val="24"/>
          <w:lang w:val="en-US"/>
        </w:rPr>
      </w:pPr>
      <w:r w:rsidRPr="00A70FDA">
        <w:rPr>
          <w:lang w:val="en-US"/>
        </w:rPr>
        <w:t>Roswera 40 mg film-coated tablets</w:t>
      </w:r>
    </w:p>
    <w:p w14:paraId="2ED2B819" w14:textId="77777777" w:rsidR="00A70FDA" w:rsidRPr="00A70FDA" w:rsidRDefault="00A70FDA" w:rsidP="00A70FDA"/>
    <w:p w14:paraId="6920A680" w14:textId="73A0E7C8" w:rsidR="00C40420" w:rsidRDefault="00DD466D" w:rsidP="004A448E">
      <w:pPr>
        <w:pStyle w:val="Heading1"/>
      </w:pPr>
      <w:r>
        <w:t>2. КАЧЕСТВЕН И КОЛИЧЕСТВЕН СЪСТАВ</w:t>
      </w:r>
    </w:p>
    <w:p w14:paraId="7EE8DE16" w14:textId="469CEAB4" w:rsidR="00A70FDA" w:rsidRDefault="00A70FDA" w:rsidP="00A70FDA"/>
    <w:p w14:paraId="164C7ED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5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(като розувастатин калций</w:t>
      </w:r>
    </w:p>
    <w:p w14:paraId="0FABEC82" w14:textId="77777777" w:rsidR="00A70FDA" w:rsidRPr="00A70FDA" w:rsidRDefault="00A70FDA" w:rsidP="00A70FDA">
      <w:pPr>
        <w:spacing w:line="240" w:lineRule="auto"/>
        <w:rPr>
          <w:rFonts w:eastAsia="Times New Roman" w:cs="Arial"/>
          <w:sz w:val="24"/>
          <w:szCs w:val="24"/>
        </w:rPr>
      </w:pPr>
      <w:r w:rsidRPr="00A70FDA">
        <w:rPr>
          <w:rFonts w:eastAsia="Times New Roman" w:cs="Arial"/>
          <w:b/>
          <w:bCs/>
          <w:i/>
          <w:iCs/>
          <w:color w:val="000000"/>
          <w:u w:val="single"/>
        </w:rPr>
        <w:t>(</w:t>
      </w:r>
      <w:r w:rsidRPr="00A70FDA">
        <w:rPr>
          <w:rFonts w:eastAsia="Times New Roman" w:cs="Arial"/>
          <w:b/>
          <w:bCs/>
          <w:i/>
          <w:iCs/>
          <w:color w:val="000000"/>
          <w:u w:val="single"/>
          <w:lang w:val="en-US"/>
        </w:rPr>
        <w:t>rosuvastatin</w:t>
      </w:r>
      <w:r w:rsidRPr="00A70FDA">
        <w:rPr>
          <w:rFonts w:eastAsia="Times New Roman" w:cs="Arial"/>
          <w:b/>
          <w:bCs/>
          <w:i/>
          <w:iCs/>
          <w:color w:val="000000"/>
          <w:u w:val="single"/>
        </w:rPr>
        <w:t xml:space="preserve"> </w:t>
      </w:r>
      <w:r w:rsidRPr="00A70FDA">
        <w:rPr>
          <w:rFonts w:eastAsia="Times New Roman" w:cs="Arial"/>
          <w:b/>
          <w:bCs/>
          <w:i/>
          <w:iCs/>
          <w:color w:val="000000"/>
          <w:u w:val="single"/>
          <w:lang w:val="en-US"/>
        </w:rPr>
        <w:t>calcium</w:t>
      </w:r>
      <w:r w:rsidRPr="00A70FDA">
        <w:rPr>
          <w:rFonts w:eastAsia="Times New Roman" w:cs="Arial"/>
          <w:b/>
          <w:bCs/>
          <w:i/>
          <w:iCs/>
          <w:color w:val="000000"/>
          <w:u w:val="single"/>
        </w:rPr>
        <w:t>)).</w:t>
      </w:r>
    </w:p>
    <w:p w14:paraId="519CF33E"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10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0D2C7E5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15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7EF6DFBC"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20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5FF2283B"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30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67FE3FDD"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40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30313024" w14:textId="77777777" w:rsidR="00A70FDA" w:rsidRPr="00A70FDA" w:rsidRDefault="00A70FDA" w:rsidP="00A70FDA">
      <w:pPr>
        <w:spacing w:line="240" w:lineRule="auto"/>
        <w:rPr>
          <w:rFonts w:eastAsia="Times New Roman" w:cs="Arial"/>
          <w:color w:val="000000"/>
          <w:lang w:eastAsia="bg-BG"/>
        </w:rPr>
      </w:pPr>
    </w:p>
    <w:p w14:paraId="1FE4F8B9" w14:textId="75148B4E"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Помощни вещества с известно действие:</w:t>
      </w:r>
    </w:p>
    <w:p w14:paraId="2E269937"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41,9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19D09BD0"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41,9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72F64351"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15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62,9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6C81629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83,8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3AAF8DD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125,7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7BE0AB32"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167,6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0CE4C6D9" w14:textId="77777777" w:rsidR="00A70FDA" w:rsidRPr="00A70FDA" w:rsidRDefault="00A70FDA" w:rsidP="00A70FDA"/>
    <w:p w14:paraId="614984C4" w14:textId="3D6D3E62" w:rsidR="008A6AF2" w:rsidRDefault="00DD466D" w:rsidP="002C50EE">
      <w:pPr>
        <w:pStyle w:val="Heading1"/>
      </w:pPr>
      <w:r>
        <w:t>3. ЛЕКАРСТВЕНА ФОРМА</w:t>
      </w:r>
    </w:p>
    <w:p w14:paraId="22FF10DE" w14:textId="2E36D144" w:rsidR="00A70FDA" w:rsidRDefault="00A70FDA" w:rsidP="00A70FDA"/>
    <w:p w14:paraId="7801F7D5"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lastRenderedPageBreak/>
        <w:t>Филмирана таблетка</w:t>
      </w:r>
    </w:p>
    <w:p w14:paraId="750234C6" w14:textId="77777777" w:rsidR="00A70FDA" w:rsidRPr="00A70FDA" w:rsidRDefault="00A70FDA" w:rsidP="00A70FDA">
      <w:pPr>
        <w:spacing w:line="240" w:lineRule="auto"/>
        <w:rPr>
          <w:rFonts w:eastAsia="Times New Roman" w:cs="Arial"/>
          <w:color w:val="000000"/>
          <w:lang w:eastAsia="bg-BG"/>
        </w:rPr>
      </w:pPr>
    </w:p>
    <w:p w14:paraId="7E8DA993" w14:textId="7FD3A231"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7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леко двойноизпъкнали, филмирани таблетки със скосени ръбове и гравирана цифра 5 от едната страна.</w:t>
      </w:r>
    </w:p>
    <w:p w14:paraId="1BAF6EB5"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7,5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леко двойноизпъкнали, филмирани таблетки със скосени ръбове и гравирана цифра 10 от едната страна.</w:t>
      </w:r>
    </w:p>
    <w:p w14:paraId="3436C46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15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9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леко двойноизпъкнали, филмирани таблетки със скосени ръбове и гравирана цифра 15 от едната страна.</w:t>
      </w:r>
    </w:p>
    <w:p w14:paraId="0806F586" w14:textId="70AF7D3F" w:rsidR="00A70FDA" w:rsidRPr="00A70FDA" w:rsidRDefault="00A70FDA" w:rsidP="00A70FDA">
      <w:pPr>
        <w:rPr>
          <w:rFonts w:eastAsia="Times New Roman" w:cs="Arial"/>
          <w:color w:val="000000"/>
          <w:lang w:eastAsia="bg-BG"/>
        </w:rPr>
      </w:pPr>
      <w:r w:rsidRPr="00A70FDA">
        <w:rPr>
          <w:rFonts w:eastAsia="Times New Roman" w:cs="Arial"/>
          <w:color w:val="000000"/>
          <w:lang w:eastAsia="bg-BG"/>
        </w:rPr>
        <w:t xml:space="preserve">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10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филмирани таблетки със скосени ръбове.</w:t>
      </w:r>
    </w:p>
    <w:p w14:paraId="3A72423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двойноизпъкнали, продълговати филмирани таблетки с делителна черта от двете страни (размери 15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 xml:space="preserve">х 8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Делителната черта е само за улесняване на разчупването за по- лесно преглъщане, а не за разделяне на равни дози.</w:t>
      </w:r>
    </w:p>
    <w:p w14:paraId="4C64370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двойноизпъкнали, продълговати филмирани таблетки (размери 16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х</w:t>
      </w:r>
    </w:p>
    <w:p w14:paraId="3B9F5CE9"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8,5 </w:t>
      </w:r>
      <w:r w:rsidRPr="00A70FDA">
        <w:rPr>
          <w:rFonts w:eastAsia="Times New Roman" w:cs="Arial"/>
          <w:color w:val="000000"/>
          <w:lang w:val="en-US"/>
        </w:rPr>
        <w:t>mm).</w:t>
      </w:r>
    </w:p>
    <w:p w14:paraId="1764DAB1" w14:textId="77777777" w:rsidR="00A70FDA" w:rsidRPr="00A70FDA" w:rsidRDefault="00A70FDA" w:rsidP="00A70FDA"/>
    <w:p w14:paraId="490FC2C4" w14:textId="0F4A4A75" w:rsidR="002C50EE" w:rsidRDefault="002C50EE" w:rsidP="002C50EE">
      <w:pPr>
        <w:pStyle w:val="Heading1"/>
      </w:pPr>
      <w:r>
        <w:t>4. КЛИНИЧНИ ДАННИ</w:t>
      </w:r>
    </w:p>
    <w:p w14:paraId="74330405" w14:textId="7887EC08" w:rsidR="007122AD" w:rsidRDefault="002C50EE" w:rsidP="00936AD0">
      <w:pPr>
        <w:pStyle w:val="Heading2"/>
      </w:pPr>
      <w:r>
        <w:t>4.1. Терапевтични показания</w:t>
      </w:r>
    </w:p>
    <w:p w14:paraId="1176E9F1" w14:textId="19F97FEB" w:rsidR="00A70FDA" w:rsidRDefault="00A70FDA" w:rsidP="00A70FDA"/>
    <w:p w14:paraId="65EE3CF2"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u w:val="single"/>
          <w:lang w:eastAsia="bg-BG"/>
        </w:rPr>
        <w:t>Лечение на хиперхолестеролемия</w:t>
      </w:r>
    </w:p>
    <w:p w14:paraId="25BB92F6" w14:textId="77777777" w:rsidR="00A70FDA" w:rsidRPr="00A70FDA" w:rsidRDefault="00A70FDA" w:rsidP="00A70FDA">
      <w:pPr>
        <w:spacing w:line="240" w:lineRule="auto"/>
        <w:rPr>
          <w:rFonts w:eastAsia="Times New Roman" w:cs="Arial"/>
          <w:color w:val="000000"/>
          <w:lang w:eastAsia="bg-BG"/>
        </w:rPr>
      </w:pPr>
    </w:p>
    <w:p w14:paraId="7FA507DF" w14:textId="4938DE79"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Възрастни, юноши и деца на 6 и повече години с първична хиперхолестеролемия (включително тип </w:t>
      </w:r>
      <w:r w:rsidRPr="00A70FDA">
        <w:rPr>
          <w:rFonts w:eastAsia="Times New Roman" w:cs="Arial"/>
          <w:color w:val="000000"/>
          <w:lang w:val="en-US"/>
        </w:rPr>
        <w:t>II</w:t>
      </w:r>
      <w:r w:rsidRPr="00A70FDA">
        <w:rPr>
          <w:rFonts w:eastAsia="Times New Roman" w:cs="Arial"/>
          <w:color w:val="000000"/>
          <w:lang w:eastAsia="bg-BG"/>
        </w:rPr>
        <w:t xml:space="preserve">а хетерозиготна фамилна хиперхолестеролемия) или смесена дислипидемия (тип </w:t>
      </w:r>
      <w:r w:rsidRPr="00A70FDA">
        <w:rPr>
          <w:rFonts w:eastAsia="Times New Roman" w:cs="Arial"/>
          <w:color w:val="000000"/>
          <w:lang w:val="en-US"/>
        </w:rPr>
        <w:t>IIb</w:t>
      </w:r>
      <w:r w:rsidRPr="00A70FDA">
        <w:rPr>
          <w:rFonts w:eastAsia="Times New Roman" w:cs="Arial"/>
          <w:color w:val="000000"/>
          <w:lang w:eastAsia="bg-BG"/>
        </w:rPr>
        <w:t>) като допълнително средство към диета, когато само диетата и другите нефармакологични мерки (нанр. упражнения, намаляване на теглото) са недостатъчни.</w:t>
      </w:r>
    </w:p>
    <w:p w14:paraId="65584BB1" w14:textId="77777777" w:rsidR="00A70FDA" w:rsidRPr="00A70FDA" w:rsidRDefault="00A70FDA" w:rsidP="00A70FDA">
      <w:pPr>
        <w:spacing w:line="240" w:lineRule="auto"/>
        <w:rPr>
          <w:rFonts w:eastAsia="Times New Roman" w:cs="Arial"/>
          <w:color w:val="000000"/>
          <w:lang w:eastAsia="bg-BG"/>
        </w:rPr>
      </w:pPr>
    </w:p>
    <w:p w14:paraId="792BEECB" w14:textId="2801BA64"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Възрастни, юноши и деца на 6 и повече години с хомозиготна фамилна хиперхолестеролемия като добавка към диетата, както и с друго липидопонижаващо лечение (напр. </w:t>
      </w:r>
      <w:r w:rsidRPr="00A70FDA">
        <w:rPr>
          <w:rFonts w:eastAsia="Times New Roman" w:cs="Arial"/>
          <w:color w:val="000000"/>
          <w:lang w:val="en-US"/>
        </w:rPr>
        <w:t>LDL</w:t>
      </w:r>
      <w:r w:rsidRPr="00A70FDA">
        <w:rPr>
          <w:rFonts w:eastAsia="Times New Roman" w:cs="Arial"/>
          <w:color w:val="000000"/>
          <w:lang w:val="ru-RU"/>
        </w:rPr>
        <w:t xml:space="preserve"> </w:t>
      </w:r>
      <w:r w:rsidRPr="00A70FDA">
        <w:rPr>
          <w:rFonts w:eastAsia="Times New Roman" w:cs="Arial"/>
          <w:color w:val="000000"/>
          <w:lang w:eastAsia="bg-BG"/>
        </w:rPr>
        <w:t>афереза), или когато това лечение не е подходящо.</w:t>
      </w:r>
    </w:p>
    <w:p w14:paraId="0BB5E730" w14:textId="77777777" w:rsidR="00A70FDA" w:rsidRPr="00A70FDA" w:rsidRDefault="00A70FDA" w:rsidP="00A70FDA">
      <w:pPr>
        <w:spacing w:line="240" w:lineRule="auto"/>
        <w:rPr>
          <w:rFonts w:eastAsia="Times New Roman" w:cs="Arial"/>
          <w:color w:val="000000"/>
          <w:u w:val="single"/>
          <w:lang w:eastAsia="bg-BG"/>
        </w:rPr>
      </w:pPr>
    </w:p>
    <w:p w14:paraId="2574DA75" w14:textId="075CBC71" w:rsidR="00A70FDA" w:rsidRPr="00A70FDA" w:rsidRDefault="00A70FDA" w:rsidP="00A70FDA">
      <w:pPr>
        <w:spacing w:line="240" w:lineRule="auto"/>
        <w:rPr>
          <w:rFonts w:eastAsia="Times New Roman" w:cs="Arial"/>
          <w:sz w:val="24"/>
          <w:szCs w:val="24"/>
        </w:rPr>
      </w:pPr>
      <w:r w:rsidRPr="00A70FDA">
        <w:rPr>
          <w:rFonts w:eastAsia="Times New Roman" w:cs="Arial"/>
          <w:color w:val="000000"/>
          <w:u w:val="single"/>
          <w:lang w:eastAsia="bg-BG"/>
        </w:rPr>
        <w:t>Профилактика на сърдечносъдови инциденти</w:t>
      </w:r>
    </w:p>
    <w:p w14:paraId="3B8AF696" w14:textId="77777777" w:rsidR="00A70FDA" w:rsidRPr="00A70FDA" w:rsidRDefault="00A70FDA" w:rsidP="00A70FDA">
      <w:pPr>
        <w:spacing w:line="240" w:lineRule="auto"/>
        <w:rPr>
          <w:rFonts w:eastAsia="Times New Roman" w:cs="Arial"/>
          <w:color w:val="000000"/>
          <w:lang w:eastAsia="bg-BG"/>
        </w:rPr>
      </w:pPr>
    </w:p>
    <w:p w14:paraId="0EED85F6" w14:textId="5C72CF63"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Превенция на значими сърдечносъдови инциденти при пациенти, при които се очаква да имат висок риск за пръв сърдечносъдов инцидент (вж. точка 5.1), като допълнение към коригиране и на други рискови фактори.</w:t>
      </w:r>
    </w:p>
    <w:p w14:paraId="13AD2B26" w14:textId="77777777" w:rsidR="00A70FDA" w:rsidRPr="00A70FDA" w:rsidRDefault="00A70FDA" w:rsidP="00A70FDA"/>
    <w:p w14:paraId="53F5B866" w14:textId="1AF83518" w:rsidR="007122AD" w:rsidRDefault="002C50EE" w:rsidP="00936AD0">
      <w:pPr>
        <w:pStyle w:val="Heading2"/>
      </w:pPr>
      <w:r>
        <w:t>4.2. Дозировка и начин на приложение</w:t>
      </w:r>
    </w:p>
    <w:p w14:paraId="3F199703" w14:textId="53C317E5" w:rsidR="00A70FDA" w:rsidRDefault="00A70FDA" w:rsidP="00A70FDA"/>
    <w:p w14:paraId="13FECF7E" w14:textId="77777777" w:rsidR="00A70FDA" w:rsidRPr="00A70FDA" w:rsidRDefault="00A70FDA" w:rsidP="00A70FDA">
      <w:pPr>
        <w:pStyle w:val="Heading3"/>
        <w:rPr>
          <w:rFonts w:eastAsia="Times New Roman"/>
          <w:u w:val="single"/>
        </w:rPr>
      </w:pPr>
      <w:r w:rsidRPr="00A70FDA">
        <w:rPr>
          <w:rFonts w:eastAsia="Times New Roman"/>
          <w:u w:val="single"/>
          <w:lang w:eastAsia="bg-BG"/>
        </w:rPr>
        <w:t>Дозировка</w:t>
      </w:r>
    </w:p>
    <w:p w14:paraId="36D3B1C1" w14:textId="77777777" w:rsidR="00A70FDA" w:rsidRPr="00A70FDA" w:rsidRDefault="00A70FDA" w:rsidP="00A70FDA">
      <w:pPr>
        <w:spacing w:line="240" w:lineRule="auto"/>
        <w:rPr>
          <w:rFonts w:eastAsia="Times New Roman" w:cs="Arial"/>
          <w:color w:val="000000"/>
          <w:lang w:eastAsia="bg-BG"/>
        </w:rPr>
      </w:pPr>
    </w:p>
    <w:p w14:paraId="316AD297" w14:textId="487E7823" w:rsidR="00A70FDA" w:rsidRPr="00A70FDA" w:rsidRDefault="00A70FDA" w:rsidP="00A70FDA">
      <w:pPr>
        <w:spacing w:line="240" w:lineRule="auto"/>
        <w:rPr>
          <w:rFonts w:eastAsia="Times New Roman" w:cs="Arial"/>
        </w:rPr>
      </w:pPr>
      <w:r w:rsidRPr="00A70FDA">
        <w:rPr>
          <w:rFonts w:eastAsia="Times New Roman" w:cs="Arial"/>
          <w:color w:val="000000"/>
          <w:lang w:eastAsia="bg-BG"/>
        </w:rPr>
        <w:t>Преди започване на терапията пациентът трябва да бъде поставен на стандартна диета за понижаване нивото на холестерола, която да продължи и по време на лечението. Изборът на дозировка се определя от индивидуалните терапевтични цели, които се определят от препоръките на съвременните консенсусни ръководства.</w:t>
      </w:r>
    </w:p>
    <w:p w14:paraId="0FBBA09F" w14:textId="77777777" w:rsidR="00A70FDA" w:rsidRPr="00A70FDA" w:rsidRDefault="00A70FDA" w:rsidP="00A70FDA">
      <w:pPr>
        <w:spacing w:line="240" w:lineRule="auto"/>
        <w:rPr>
          <w:rFonts w:eastAsia="Times New Roman" w:cs="Arial"/>
          <w:color w:val="000000"/>
          <w:lang w:eastAsia="bg-BG"/>
        </w:rPr>
      </w:pPr>
    </w:p>
    <w:p w14:paraId="6A1DBF13" w14:textId="72570730" w:rsidR="00A70FDA" w:rsidRPr="00A70FDA" w:rsidRDefault="00A70FDA" w:rsidP="00A70FDA">
      <w:pPr>
        <w:spacing w:line="240" w:lineRule="auto"/>
        <w:rPr>
          <w:rFonts w:eastAsia="Times New Roman" w:cs="Arial"/>
        </w:rPr>
      </w:pPr>
      <w:r w:rsidRPr="00A70FDA">
        <w:rPr>
          <w:rFonts w:eastAsia="Times New Roman" w:cs="Arial"/>
          <w:color w:val="000000"/>
          <w:lang w:eastAsia="bg-BG"/>
        </w:rPr>
        <w:t>Розвера може да бъде приеман по всяко време на деня, с или без храна.</w:t>
      </w:r>
    </w:p>
    <w:p w14:paraId="2200EA67" w14:textId="77777777" w:rsidR="00A70FDA" w:rsidRPr="00A70FDA" w:rsidRDefault="00A70FDA" w:rsidP="00A70FDA">
      <w:pPr>
        <w:spacing w:line="240" w:lineRule="auto"/>
        <w:rPr>
          <w:rFonts w:eastAsia="Times New Roman" w:cs="Arial"/>
          <w:color w:val="000000"/>
          <w:lang w:eastAsia="bg-BG"/>
        </w:rPr>
      </w:pPr>
    </w:p>
    <w:p w14:paraId="12381C0A" w14:textId="2C0DA1B2" w:rsidR="00A70FDA" w:rsidRPr="00A70FDA" w:rsidRDefault="00A70FDA" w:rsidP="00A70FDA">
      <w:pPr>
        <w:spacing w:line="240" w:lineRule="auto"/>
        <w:rPr>
          <w:rFonts w:eastAsia="Times New Roman" w:cs="Arial"/>
        </w:rPr>
      </w:pPr>
      <w:r w:rsidRPr="00A70FDA">
        <w:rPr>
          <w:rFonts w:eastAsia="Times New Roman" w:cs="Arial"/>
          <w:color w:val="000000"/>
          <w:lang w:eastAsia="bg-BG"/>
        </w:rPr>
        <w:t>Не всички концентрации на таблетките Розвера могат да бъдат налични.</w:t>
      </w:r>
    </w:p>
    <w:p w14:paraId="1C50F8CA" w14:textId="77777777" w:rsidR="00A70FDA" w:rsidRPr="00A70FDA" w:rsidRDefault="00A70FDA" w:rsidP="00A70FDA">
      <w:pPr>
        <w:spacing w:line="240" w:lineRule="auto"/>
        <w:rPr>
          <w:rFonts w:eastAsia="Times New Roman" w:cs="Arial"/>
          <w:b/>
          <w:bCs/>
          <w:color w:val="000000"/>
          <w:lang w:eastAsia="bg-BG"/>
        </w:rPr>
      </w:pPr>
      <w:bookmarkStart w:id="1" w:name="bookmark0"/>
    </w:p>
    <w:p w14:paraId="0D9860D6" w14:textId="182D48DD" w:rsidR="00A70FDA" w:rsidRPr="00A70FDA" w:rsidRDefault="00A70FDA" w:rsidP="00A70FDA">
      <w:pPr>
        <w:spacing w:line="240" w:lineRule="auto"/>
        <w:rPr>
          <w:rFonts w:eastAsia="Times New Roman" w:cs="Arial"/>
        </w:rPr>
      </w:pPr>
      <w:r w:rsidRPr="00A70FDA">
        <w:rPr>
          <w:rFonts w:eastAsia="Times New Roman" w:cs="Arial"/>
          <w:b/>
          <w:bCs/>
          <w:color w:val="000000"/>
          <w:lang w:eastAsia="bg-BG"/>
        </w:rPr>
        <w:t>Лечение на хиперхолестеролемия</w:t>
      </w:r>
      <w:bookmarkEnd w:id="1"/>
    </w:p>
    <w:p w14:paraId="67B73D66" w14:textId="77777777" w:rsidR="00A70FDA" w:rsidRPr="00A70FDA" w:rsidRDefault="00A70FDA" w:rsidP="00A70FDA">
      <w:pPr>
        <w:spacing w:line="240" w:lineRule="auto"/>
        <w:rPr>
          <w:rFonts w:eastAsia="Times New Roman" w:cs="Arial"/>
          <w:color w:val="000000"/>
          <w:lang w:eastAsia="bg-BG"/>
        </w:rPr>
      </w:pPr>
    </w:p>
    <w:p w14:paraId="29C7A3DF" w14:textId="69652131"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Препоръчителната начална доза е 5 или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перорално веднъж дневно при пациенти, които не са приемали статини или при такива, които преминават от друг инхибитор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редуктазата. При избора на началната доза трябва да се има предвид нивото на серумния холестерол, бъдещия сърдечносъдов риск и риска от поява на нежелани реакции към лечението при индивидуалните пациенти (вж. по-долу). При необходимост дозата може да се коригира като се премине на следващото дозово ниво след 4 седмици (вж. точка 5.1).</w:t>
      </w:r>
    </w:p>
    <w:p w14:paraId="5EA2BC19" w14:textId="77777777" w:rsidR="00A70FDA" w:rsidRPr="00A70FDA" w:rsidRDefault="00A70FDA" w:rsidP="00A70FDA">
      <w:pPr>
        <w:rPr>
          <w:rFonts w:eastAsia="Times New Roman" w:cs="Arial"/>
          <w:color w:val="000000"/>
          <w:lang w:eastAsia="bg-BG"/>
        </w:rPr>
      </w:pPr>
    </w:p>
    <w:p w14:paraId="7E7882CE" w14:textId="2416FCE6" w:rsidR="00A70FDA" w:rsidRPr="00A70FDA" w:rsidRDefault="00A70FDA" w:rsidP="00A70FDA">
      <w:pPr>
        <w:rPr>
          <w:rFonts w:eastAsia="Times New Roman" w:cs="Arial"/>
          <w:color w:val="000000"/>
          <w:lang w:eastAsia="bg-BG"/>
        </w:rPr>
      </w:pPr>
      <w:r w:rsidRPr="00A70FDA">
        <w:rPr>
          <w:rFonts w:eastAsia="Times New Roman" w:cs="Arial"/>
          <w:color w:val="000000"/>
          <w:lang w:eastAsia="bg-BG"/>
        </w:rPr>
        <w:t xml:space="preserve">В сравнение с по-ниските дози, и предвид повишената честота на съобщаване на нежелани реакции при доза от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в сравнение с по-ниските дози (вж. точка 4.8), титриране до доза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или до максималната доза от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трябва да се предприема само при пациенти с тежка хиперхолестеролемия с висок сърдечносъдов риск (особено тези с фамилна</w:t>
      </w:r>
      <w:r w:rsidRPr="00A70FDA">
        <w:rPr>
          <w:rFonts w:eastAsia="Times New Roman" w:cs="Arial"/>
          <w:i/>
          <w:iCs/>
          <w:color w:val="000000"/>
          <w:lang w:eastAsia="bg-BG"/>
        </w:rPr>
        <w:t xml:space="preserve"> </w:t>
      </w:r>
      <w:r w:rsidRPr="00A70FDA">
        <w:rPr>
          <w:rFonts w:eastAsia="Times New Roman" w:cs="Arial"/>
          <w:color w:val="000000"/>
          <w:lang w:eastAsia="bg-BG"/>
        </w:rPr>
        <w:t>хиперхолестеролемия), които не достигат желаното ниво на холестерол при лечение с 20</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и при които ще се прави рутинно проследяване в хода на лечението (вж. раздел 4.4).</w:t>
      </w:r>
    </w:p>
    <w:p w14:paraId="20F0DA06" w14:textId="52E8E32F" w:rsidR="00A70FDA" w:rsidRPr="00A70FDA" w:rsidRDefault="00A70FDA" w:rsidP="00A70FDA">
      <w:pPr>
        <w:rPr>
          <w:rFonts w:eastAsia="Times New Roman" w:cs="Arial"/>
          <w:color w:val="000000"/>
          <w:lang w:eastAsia="bg-BG"/>
        </w:rPr>
      </w:pPr>
    </w:p>
    <w:p w14:paraId="7BDA5FD5"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започване на лечение с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или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се препоръчва постоянно наблюдение на пациента от специалист.</w:t>
      </w:r>
    </w:p>
    <w:p w14:paraId="1A6DB92E" w14:textId="77777777" w:rsidR="00A70FDA" w:rsidRPr="00A70FDA" w:rsidRDefault="00A70FDA" w:rsidP="00A70FDA">
      <w:pPr>
        <w:spacing w:line="240" w:lineRule="auto"/>
        <w:rPr>
          <w:rFonts w:eastAsia="Times New Roman" w:cs="Arial"/>
          <w:b/>
          <w:bCs/>
          <w:color w:val="000000"/>
          <w:lang w:eastAsia="bg-BG"/>
        </w:rPr>
      </w:pPr>
    </w:p>
    <w:p w14:paraId="039B58A2" w14:textId="7870CCCC" w:rsidR="00A70FDA" w:rsidRPr="00A70FDA" w:rsidRDefault="00A70FDA" w:rsidP="00A70FDA">
      <w:pPr>
        <w:spacing w:line="240" w:lineRule="auto"/>
        <w:rPr>
          <w:rFonts w:eastAsia="Times New Roman" w:cs="Arial"/>
        </w:rPr>
      </w:pPr>
      <w:r w:rsidRPr="00A70FDA">
        <w:rPr>
          <w:rFonts w:eastAsia="Times New Roman" w:cs="Arial"/>
          <w:b/>
          <w:bCs/>
          <w:color w:val="000000"/>
          <w:lang w:eastAsia="bg-BG"/>
        </w:rPr>
        <w:t>Профилактика на сърдечносъдови инциденти</w:t>
      </w:r>
    </w:p>
    <w:p w14:paraId="233573D6" w14:textId="77777777" w:rsidR="00A70FDA" w:rsidRPr="00A70FDA" w:rsidRDefault="00A70FDA" w:rsidP="00A70FDA">
      <w:pPr>
        <w:spacing w:line="240" w:lineRule="auto"/>
        <w:rPr>
          <w:rFonts w:eastAsia="Times New Roman" w:cs="Arial"/>
          <w:color w:val="000000"/>
          <w:lang w:eastAsia="bg-BG"/>
        </w:rPr>
      </w:pPr>
    </w:p>
    <w:p w14:paraId="79A3E1D7" w14:textId="7E65D1FB"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В проучването за намаляване на риска от сърдечносъдови инциденти използваната доза е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дневно (вж. точка 5.1).</w:t>
      </w:r>
    </w:p>
    <w:p w14:paraId="08218A43" w14:textId="77777777" w:rsidR="00A70FDA" w:rsidRPr="00A70FDA" w:rsidRDefault="00A70FDA" w:rsidP="00A70FDA">
      <w:pPr>
        <w:spacing w:line="240" w:lineRule="auto"/>
        <w:rPr>
          <w:rFonts w:eastAsia="Times New Roman" w:cs="Arial"/>
          <w:color w:val="000000"/>
          <w:u w:val="single"/>
          <w:lang w:eastAsia="bg-BG"/>
        </w:rPr>
      </w:pPr>
    </w:p>
    <w:p w14:paraId="1F1BEEA4" w14:textId="54A990B6"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Педиатрична популация</w:t>
      </w:r>
    </w:p>
    <w:p w14:paraId="0D9ED50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Употребата при деца трябва да се провежда само от специалисти.</w:t>
      </w:r>
    </w:p>
    <w:p w14:paraId="6B1384DC" w14:textId="77777777" w:rsidR="00A70FDA" w:rsidRPr="00A70FDA" w:rsidRDefault="00A70FDA" w:rsidP="00A70FDA">
      <w:pPr>
        <w:spacing w:line="240" w:lineRule="auto"/>
        <w:rPr>
          <w:rFonts w:eastAsia="Times New Roman" w:cs="Arial"/>
          <w:i/>
          <w:iCs/>
          <w:color w:val="000000"/>
          <w:u w:val="single"/>
          <w:lang w:eastAsia="bg-BG"/>
        </w:rPr>
      </w:pPr>
    </w:p>
    <w:p w14:paraId="215F6A60" w14:textId="09C1CE49"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Деца и юноши на възраст 6 до 17 години (стадий по Танер &lt;</w:t>
      </w:r>
      <w:r w:rsidRPr="00A70FDA">
        <w:rPr>
          <w:rFonts w:eastAsia="Times New Roman" w:cs="Arial"/>
          <w:i/>
          <w:iCs/>
          <w:color w:val="000000"/>
          <w:u w:val="single"/>
          <w:lang w:val="en-US"/>
        </w:rPr>
        <w:t>II</w:t>
      </w:r>
      <w:r w:rsidRPr="00A70FDA">
        <w:rPr>
          <w:rFonts w:eastAsia="Times New Roman" w:cs="Arial"/>
          <w:i/>
          <w:iCs/>
          <w:color w:val="000000"/>
          <w:u w:val="single"/>
          <w:lang w:val="ru-RU"/>
        </w:rPr>
        <w:t>-</w:t>
      </w:r>
      <w:r w:rsidRPr="00A70FDA">
        <w:rPr>
          <w:rFonts w:eastAsia="Times New Roman" w:cs="Arial"/>
          <w:i/>
          <w:iCs/>
          <w:color w:val="000000"/>
          <w:u w:val="single"/>
          <w:lang w:val="en-US"/>
        </w:rPr>
        <w:t>V</w:t>
      </w:r>
      <w:r w:rsidRPr="00A70FDA">
        <w:rPr>
          <w:rFonts w:eastAsia="Times New Roman" w:cs="Arial"/>
          <w:i/>
          <w:iCs/>
          <w:color w:val="000000"/>
          <w:u w:val="single"/>
          <w:lang w:val="ru-RU"/>
        </w:rPr>
        <w:t>)</w:t>
      </w:r>
    </w:p>
    <w:p w14:paraId="3F53934F" w14:textId="77777777" w:rsidR="00A70FDA" w:rsidRPr="00A70FDA" w:rsidRDefault="00A70FDA" w:rsidP="00A70FDA">
      <w:pPr>
        <w:spacing w:line="240" w:lineRule="auto"/>
        <w:rPr>
          <w:rFonts w:eastAsia="Times New Roman" w:cs="Arial"/>
          <w:i/>
          <w:iCs/>
          <w:color w:val="000000"/>
          <w:u w:val="single"/>
          <w:lang w:eastAsia="bg-BG"/>
        </w:rPr>
      </w:pPr>
    </w:p>
    <w:p w14:paraId="6480AFE0" w14:textId="66DCCA8E"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Хетерозиготна фамилна хиперхолестеролемия</w:t>
      </w:r>
    </w:p>
    <w:p w14:paraId="3810E747" w14:textId="77777777" w:rsidR="00A70FDA" w:rsidRPr="00A70FDA" w:rsidRDefault="00A70FDA" w:rsidP="00A70FDA">
      <w:pPr>
        <w:spacing w:line="240" w:lineRule="auto"/>
        <w:rPr>
          <w:rFonts w:eastAsia="Times New Roman" w:cs="Arial"/>
          <w:color w:val="000000"/>
          <w:lang w:eastAsia="bg-BG"/>
        </w:rPr>
      </w:pPr>
    </w:p>
    <w:p w14:paraId="46B5CFEA" w14:textId="76B8FD73"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деца и юноши с хетерозиготна фамилна хиперхолестеролемия обичайната начална доза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дневно.</w:t>
      </w:r>
    </w:p>
    <w:p w14:paraId="2D0FFA6C" w14:textId="77777777" w:rsidR="00A70FDA" w:rsidRPr="00A70FDA" w:rsidRDefault="00A70FDA" w:rsidP="00A70FDA">
      <w:pPr>
        <w:pStyle w:val="ListParagraph"/>
        <w:numPr>
          <w:ilvl w:val="0"/>
          <w:numId w:val="37"/>
        </w:numPr>
        <w:spacing w:line="240" w:lineRule="auto"/>
        <w:rPr>
          <w:rFonts w:eastAsia="Times New Roman" w:cs="Arial"/>
        </w:rPr>
      </w:pPr>
      <w:r w:rsidRPr="00A70FDA">
        <w:rPr>
          <w:rFonts w:eastAsia="Times New Roman" w:cs="Arial"/>
          <w:color w:val="000000"/>
          <w:lang w:eastAsia="bg-BG"/>
        </w:rPr>
        <w:t xml:space="preserve">При деца от 6 до 9-годишна възраст с хетерозиготна фамилна хиперхолестеролемия, обичайният дозов диапазон е 5-10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перорално веднъж дневно. Безопасността и ефикасността на дози по-високи от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не са проучени при тази популация.</w:t>
      </w:r>
    </w:p>
    <w:p w14:paraId="197EE507" w14:textId="3C052958" w:rsidR="00A70FDA" w:rsidRPr="00A70FDA" w:rsidRDefault="00A70FDA" w:rsidP="00A70FDA">
      <w:pPr>
        <w:pStyle w:val="ListParagraph"/>
        <w:numPr>
          <w:ilvl w:val="0"/>
          <w:numId w:val="37"/>
        </w:numPr>
        <w:spacing w:line="240" w:lineRule="auto"/>
        <w:rPr>
          <w:rFonts w:eastAsia="Times New Roman" w:cs="Arial"/>
        </w:rPr>
      </w:pPr>
      <w:r w:rsidRPr="00A70FDA">
        <w:rPr>
          <w:rFonts w:eastAsia="Times New Roman" w:cs="Arial"/>
          <w:color w:val="000000"/>
          <w:lang w:eastAsia="bg-BG"/>
        </w:rPr>
        <w:t xml:space="preserve">При деца от 10 до 17-годишна възраст с хетерозиготна фамилна хиперхолестеролемия, обичайният дозов диапазон е 5-20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перорално веднъж дневно. Безопасността и ефикасността на дози по-високи от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не са проучени при тази популация.</w:t>
      </w:r>
    </w:p>
    <w:p w14:paraId="002DF4F8" w14:textId="77777777" w:rsidR="00A70FDA" w:rsidRPr="00A70FDA" w:rsidRDefault="00A70FDA" w:rsidP="00A70FDA">
      <w:pPr>
        <w:spacing w:line="240" w:lineRule="auto"/>
        <w:rPr>
          <w:rFonts w:eastAsia="Times New Roman" w:cs="Arial"/>
          <w:color w:val="000000"/>
          <w:lang w:eastAsia="bg-BG"/>
        </w:rPr>
      </w:pPr>
    </w:p>
    <w:p w14:paraId="3425100A" w14:textId="31E02D13" w:rsidR="00A70FDA" w:rsidRPr="00A70FDA" w:rsidRDefault="00A70FDA" w:rsidP="00A70FDA">
      <w:pPr>
        <w:spacing w:line="240" w:lineRule="auto"/>
        <w:rPr>
          <w:rFonts w:eastAsia="Times New Roman" w:cs="Arial"/>
        </w:rPr>
      </w:pPr>
      <w:r w:rsidRPr="00A70FDA">
        <w:rPr>
          <w:rFonts w:eastAsia="Times New Roman" w:cs="Arial"/>
          <w:color w:val="000000"/>
          <w:lang w:eastAsia="bg-BG"/>
        </w:rPr>
        <w:t>Титрирането трябва да се провежда в съответствие с индивидуалния отговор и поносимост на педиатричните пациенти, както се препоръчва в препоръките лечение на деца (вж. раздел 4.4). Децата и юношите трябва да се подложат на стандартна холестерол-понижаваща диета преди започване на лечението розувастатин; тази диета трябва да продължи по време на лечението с розувастатин.</w:t>
      </w:r>
    </w:p>
    <w:p w14:paraId="7DCB4C4A" w14:textId="77777777" w:rsidR="00A70FDA" w:rsidRPr="00A70FDA" w:rsidRDefault="00A70FDA" w:rsidP="00A70FDA">
      <w:pPr>
        <w:spacing w:line="240" w:lineRule="auto"/>
        <w:rPr>
          <w:rFonts w:eastAsia="Times New Roman" w:cs="Arial"/>
          <w:i/>
          <w:iCs/>
          <w:color w:val="000000"/>
          <w:u w:val="single"/>
          <w:lang w:eastAsia="bg-BG"/>
        </w:rPr>
      </w:pPr>
    </w:p>
    <w:p w14:paraId="0CE528F3" w14:textId="7E1B7102"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Хомозиготна фамилна хиперхолестеролемия</w:t>
      </w:r>
    </w:p>
    <w:p w14:paraId="16905DC2" w14:textId="77777777" w:rsidR="00A70FDA" w:rsidRPr="00A70FDA" w:rsidRDefault="00A70FDA" w:rsidP="00A70FDA">
      <w:pPr>
        <w:spacing w:line="240" w:lineRule="auto"/>
        <w:rPr>
          <w:rFonts w:eastAsia="Times New Roman" w:cs="Arial"/>
          <w:color w:val="000000"/>
          <w:lang w:eastAsia="bg-BG"/>
        </w:rPr>
      </w:pPr>
    </w:p>
    <w:p w14:paraId="4E60B989" w14:textId="7B3AB721"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деца на възраст 6 до 17 години с хомозиготна фамилна хиперхолестеролемия препоръчителната максимална доза е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веднъж дневно.</w:t>
      </w:r>
    </w:p>
    <w:p w14:paraId="6FBA8CA4"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Началната доза от 5 до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веднъж дневно зависи от възрастта, теглото и приоритета при използване на статини. Титрирането до максималната доза от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веднъж дневно трябва да се извърши съобразно индивидуалния отговор и поносимостта при педиатрични пациенти, както се препоръчва в прпоръките за педиатрично лечение (вж. точка 4.4). Децата и юношите трябва да бъдат поставени на стандартна диета за понижаване на холестерола преди започване на лечение с розувастатин; тази диета трябва да продължи по време на лечението с розувастатин.</w:t>
      </w:r>
    </w:p>
    <w:p w14:paraId="5DC01FBD" w14:textId="77777777" w:rsidR="00A70FDA" w:rsidRPr="00A70FDA" w:rsidRDefault="00A70FDA" w:rsidP="00A70FDA">
      <w:pPr>
        <w:spacing w:line="240" w:lineRule="auto"/>
        <w:rPr>
          <w:rFonts w:eastAsia="Times New Roman" w:cs="Arial"/>
          <w:color w:val="000000"/>
          <w:lang w:eastAsia="bg-BG"/>
        </w:rPr>
      </w:pPr>
    </w:p>
    <w:p w14:paraId="62B2618B" w14:textId="3B699D30"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Опитът с други дози, различни от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при тази популация, е ограничен.</w:t>
      </w:r>
    </w:p>
    <w:p w14:paraId="7054F5F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Таблетките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не са подходящи за употреба при педиатрични пациенти.</w:t>
      </w:r>
    </w:p>
    <w:p w14:paraId="2CAB2CE5" w14:textId="77777777" w:rsidR="00A70FDA" w:rsidRPr="00A70FDA" w:rsidRDefault="00A70FDA" w:rsidP="00A70FDA">
      <w:pPr>
        <w:spacing w:line="240" w:lineRule="auto"/>
        <w:rPr>
          <w:rFonts w:eastAsia="Times New Roman" w:cs="Arial"/>
          <w:i/>
          <w:iCs/>
          <w:color w:val="000000"/>
          <w:u w:val="single"/>
          <w:lang w:eastAsia="bg-BG"/>
        </w:rPr>
      </w:pPr>
    </w:p>
    <w:p w14:paraId="066D418E" w14:textId="2E8E85AE"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Деца под 6-годишна възраст</w:t>
      </w:r>
    </w:p>
    <w:p w14:paraId="28788DE0"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Безопасността и ефикасността на употребата при деца под 6-годишна възраст не са проучени. Следователно Розвера не се препоръчва за употреба при деца под 6-годишна възраст.</w:t>
      </w:r>
    </w:p>
    <w:p w14:paraId="3CCE251F" w14:textId="77777777" w:rsidR="00A70FDA" w:rsidRPr="00A70FDA" w:rsidRDefault="00A70FDA" w:rsidP="00A70FDA">
      <w:pPr>
        <w:spacing w:line="240" w:lineRule="auto"/>
        <w:rPr>
          <w:rFonts w:eastAsia="Times New Roman" w:cs="Arial"/>
          <w:color w:val="000000"/>
          <w:u w:val="single"/>
          <w:lang w:eastAsia="bg-BG"/>
        </w:rPr>
      </w:pPr>
    </w:p>
    <w:p w14:paraId="33E78113" w14:textId="3DE60803"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Пациенти в старческа възраст</w:t>
      </w:r>
      <w:bookmarkStart w:id="2" w:name="bookmark2"/>
      <w:bookmarkEnd w:id="2"/>
    </w:p>
    <w:p w14:paraId="534F804E"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Препоръчителната начална доза при пациенти &gt; 70 годишна възраст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(вж. точка 4.4).</w:t>
      </w:r>
    </w:p>
    <w:p w14:paraId="2BFA1857" w14:textId="77777777" w:rsidR="00A70FDA" w:rsidRPr="00A70FDA" w:rsidRDefault="00A70FDA" w:rsidP="00A70FDA">
      <w:pPr>
        <w:spacing w:line="240" w:lineRule="auto"/>
        <w:rPr>
          <w:rFonts w:eastAsia="Times New Roman" w:cs="Arial"/>
        </w:rPr>
      </w:pPr>
    </w:p>
    <w:p w14:paraId="34847994" w14:textId="77777777"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Пациенти с бъбречно увреждане</w:t>
      </w:r>
    </w:p>
    <w:p w14:paraId="339FC8A3" w14:textId="77777777" w:rsidR="00A70FDA" w:rsidRPr="00A70FDA" w:rsidRDefault="00A70FDA" w:rsidP="00A70FDA">
      <w:pPr>
        <w:rPr>
          <w:rFonts w:eastAsia="Times New Roman" w:cs="Arial"/>
        </w:rPr>
      </w:pPr>
      <w:r w:rsidRPr="00A70FDA">
        <w:rPr>
          <w:rFonts w:eastAsia="Times New Roman" w:cs="Arial"/>
          <w:color w:val="000000"/>
          <w:lang w:eastAsia="bg-BG"/>
        </w:rPr>
        <w:t>Не се налага коригиране на дозите при пациенти с леко до умерено бъбречно увреждане. При</w:t>
      </w:r>
      <w:r w:rsidRPr="00A70FDA">
        <w:rPr>
          <w:rFonts w:eastAsia="Times New Roman" w:cs="Arial"/>
          <w:b/>
          <w:bCs/>
          <w:color w:val="000000"/>
          <w:lang w:eastAsia="bg-BG"/>
        </w:rPr>
        <w:t xml:space="preserve"> </w:t>
      </w:r>
      <w:r w:rsidRPr="00A70FDA">
        <w:rPr>
          <w:rFonts w:eastAsia="Times New Roman" w:cs="Arial"/>
          <w:color w:val="000000"/>
          <w:lang w:eastAsia="bg-BG"/>
        </w:rPr>
        <w:t xml:space="preserve">пациенти с умерено бъбречно увреждане препоръчваната първоначална доза е 5 </w:t>
      </w:r>
      <w:r w:rsidRPr="00A70FDA">
        <w:rPr>
          <w:rFonts w:eastAsia="Times New Roman" w:cs="Arial"/>
          <w:color w:val="000000"/>
          <w:lang w:val="en-US"/>
        </w:rPr>
        <w:t>mg</w:t>
      </w:r>
      <w:r w:rsidRPr="00A70FDA">
        <w:rPr>
          <w:rFonts w:eastAsia="Times New Roman" w:cs="Arial"/>
          <w:b/>
          <w:bCs/>
          <w:color w:val="000000"/>
          <w:lang w:val="ru-RU"/>
        </w:rPr>
        <w:t xml:space="preserve"> </w:t>
      </w:r>
      <w:r w:rsidRPr="00A70FDA">
        <w:rPr>
          <w:rFonts w:eastAsia="Times New Roman" w:cs="Arial"/>
          <w:color w:val="000000"/>
          <w:lang w:eastAsia="bg-BG"/>
        </w:rPr>
        <w:t xml:space="preserve">(креатининов клирънс &lt;60 </w:t>
      </w:r>
      <w:r w:rsidRPr="00A70FDA">
        <w:rPr>
          <w:rFonts w:eastAsia="Times New Roman" w:cs="Arial"/>
          <w:color w:val="000000"/>
          <w:lang w:val="en-US"/>
        </w:rPr>
        <w:t>ml</w:t>
      </w:r>
      <w:r w:rsidRPr="00A70FDA">
        <w:rPr>
          <w:rFonts w:eastAsia="Times New Roman" w:cs="Arial"/>
          <w:color w:val="000000"/>
          <w:lang w:val="ru-RU"/>
        </w:rPr>
        <w:t>/</w:t>
      </w:r>
      <w:r w:rsidRPr="00A70FDA">
        <w:rPr>
          <w:rFonts w:eastAsia="Times New Roman" w:cs="Arial"/>
          <w:color w:val="000000"/>
          <w:lang w:val="en-US"/>
        </w:rPr>
        <w:t>min</w:t>
      </w:r>
      <w:r w:rsidRPr="00A70FDA">
        <w:rPr>
          <w:rFonts w:eastAsia="Times New Roman" w:cs="Arial"/>
          <w:color w:val="000000"/>
          <w:lang w:val="ru-RU"/>
        </w:rPr>
        <w:t xml:space="preserve">). </w:t>
      </w:r>
      <w:r w:rsidRPr="00A70FDA">
        <w:rPr>
          <w:rFonts w:eastAsia="Times New Roman" w:cs="Arial"/>
          <w:color w:val="000000"/>
          <w:lang w:eastAsia="bg-BG"/>
        </w:rPr>
        <w:t xml:space="preserve">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са противопоказани при пациенти с умерено бъбречно увреждане. При пациенти с тежко бъбречно увреждане употребата на Розвера е противопоказна, (вж. точка 4.3 и точка 5.2)</w:t>
      </w:r>
    </w:p>
    <w:p w14:paraId="3CEC4BF0" w14:textId="77777777" w:rsidR="00A70FDA" w:rsidRPr="00A70FDA" w:rsidRDefault="00A70FDA" w:rsidP="00A70FDA">
      <w:pPr>
        <w:spacing w:line="240" w:lineRule="auto"/>
        <w:rPr>
          <w:rFonts w:eastAsia="Times New Roman" w:cs="Arial"/>
          <w:color w:val="000000"/>
          <w:u w:val="single"/>
          <w:lang w:eastAsia="bg-BG"/>
        </w:rPr>
      </w:pPr>
    </w:p>
    <w:p w14:paraId="13E0EA43" w14:textId="2D875C4A"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Дозиране при пациенти с чернодробно увреждане</w:t>
      </w:r>
    </w:p>
    <w:p w14:paraId="3687C60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Не е наблюдавана повишена системна експозиция на розувастатин при пациенти с оценка по скалата на </w:t>
      </w:r>
      <w:r w:rsidRPr="00A70FDA">
        <w:rPr>
          <w:rFonts w:eastAsia="Times New Roman" w:cs="Arial"/>
          <w:color w:val="000000"/>
          <w:lang w:val="en-US"/>
        </w:rPr>
        <w:t>Child</w:t>
      </w:r>
      <w:r w:rsidRPr="00A70FDA">
        <w:rPr>
          <w:rFonts w:eastAsia="Times New Roman" w:cs="Arial"/>
          <w:color w:val="000000"/>
          <w:lang w:val="ru-RU"/>
        </w:rPr>
        <w:t>-</w:t>
      </w:r>
      <w:r w:rsidRPr="00A70FDA">
        <w:rPr>
          <w:rFonts w:eastAsia="Times New Roman" w:cs="Arial"/>
          <w:color w:val="000000"/>
          <w:lang w:val="en-US"/>
        </w:rPr>
        <w:t>Pugh</w:t>
      </w:r>
      <w:r w:rsidRPr="00A70FDA">
        <w:rPr>
          <w:rFonts w:eastAsia="Times New Roman" w:cs="Arial"/>
          <w:color w:val="000000"/>
          <w:lang w:val="ru-RU"/>
        </w:rPr>
        <w:t xml:space="preserve"> </w:t>
      </w:r>
      <w:r w:rsidRPr="00A70FDA">
        <w:rPr>
          <w:rFonts w:eastAsia="Times New Roman" w:cs="Arial"/>
          <w:color w:val="000000"/>
          <w:lang w:eastAsia="bg-BG"/>
        </w:rPr>
        <w:t xml:space="preserve">от 7 или по-ниска. Въпреки това повишена системна експозиция е наблюдавана при пациенти с оценка по скалата на </w:t>
      </w:r>
      <w:r w:rsidRPr="00A70FDA">
        <w:rPr>
          <w:rFonts w:eastAsia="Times New Roman" w:cs="Arial"/>
          <w:color w:val="000000"/>
          <w:lang w:val="en-US"/>
        </w:rPr>
        <w:t>Child</w:t>
      </w:r>
      <w:r w:rsidRPr="00A70FDA">
        <w:rPr>
          <w:rFonts w:eastAsia="Times New Roman" w:cs="Arial"/>
          <w:color w:val="000000"/>
          <w:lang w:val="ru-RU"/>
        </w:rPr>
        <w:t>-</w:t>
      </w:r>
      <w:r w:rsidRPr="00A70FDA">
        <w:rPr>
          <w:rFonts w:eastAsia="Times New Roman" w:cs="Arial"/>
          <w:color w:val="000000"/>
          <w:lang w:val="en-US"/>
        </w:rPr>
        <w:t>Pugh</w:t>
      </w:r>
      <w:r w:rsidRPr="00A70FDA">
        <w:rPr>
          <w:rFonts w:eastAsia="Times New Roman" w:cs="Arial"/>
          <w:color w:val="000000"/>
          <w:lang w:val="ru-RU"/>
        </w:rPr>
        <w:t xml:space="preserve"> </w:t>
      </w:r>
      <w:r w:rsidRPr="00A70FDA">
        <w:rPr>
          <w:rFonts w:eastAsia="Times New Roman" w:cs="Arial"/>
          <w:color w:val="000000"/>
          <w:lang w:eastAsia="bg-BG"/>
        </w:rPr>
        <w:t xml:space="preserve">8 и 9 (вж. точка 5.2). При тези пациенти трябва да се предприеме оценка на бъбречната функция (вж. точка 4.4). Няма данни за пациенти с оценка по скалата на </w:t>
      </w:r>
      <w:r w:rsidRPr="00A70FDA">
        <w:rPr>
          <w:rFonts w:eastAsia="Times New Roman" w:cs="Arial"/>
          <w:color w:val="000000"/>
          <w:lang w:val="en-US"/>
        </w:rPr>
        <w:t>Child</w:t>
      </w:r>
      <w:r w:rsidRPr="00A70FDA">
        <w:rPr>
          <w:rFonts w:eastAsia="Times New Roman" w:cs="Arial"/>
          <w:color w:val="000000"/>
          <w:lang w:val="ru-RU"/>
        </w:rPr>
        <w:t>-</w:t>
      </w:r>
      <w:r w:rsidRPr="00A70FDA">
        <w:rPr>
          <w:rFonts w:eastAsia="Times New Roman" w:cs="Arial"/>
          <w:color w:val="000000"/>
          <w:lang w:val="en-US"/>
        </w:rPr>
        <w:t>Plugh</w:t>
      </w:r>
      <w:r w:rsidRPr="00A70FDA">
        <w:rPr>
          <w:rFonts w:eastAsia="Times New Roman" w:cs="Arial"/>
          <w:color w:val="000000"/>
          <w:lang w:val="ru-RU"/>
        </w:rPr>
        <w:t xml:space="preserve"> </w:t>
      </w:r>
      <w:r w:rsidRPr="00A70FDA">
        <w:rPr>
          <w:rFonts w:eastAsia="Times New Roman" w:cs="Arial"/>
          <w:color w:val="000000"/>
          <w:lang w:eastAsia="bg-BG"/>
        </w:rPr>
        <w:t>над 9. Розвера е противопоказан при пациенти с активно чернодробно увреждане (вж. точка 4.3).</w:t>
      </w:r>
    </w:p>
    <w:p w14:paraId="7948479E" w14:textId="77777777" w:rsidR="00A70FDA" w:rsidRPr="00A70FDA" w:rsidRDefault="00A70FDA" w:rsidP="00A70FDA">
      <w:pPr>
        <w:spacing w:line="240" w:lineRule="auto"/>
        <w:rPr>
          <w:rFonts w:eastAsia="Times New Roman" w:cs="Arial"/>
          <w:color w:val="000000"/>
          <w:u w:val="single"/>
          <w:lang w:eastAsia="bg-BG"/>
        </w:rPr>
      </w:pPr>
    </w:p>
    <w:p w14:paraId="11C51BDE" w14:textId="502A13D9"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Раса</w:t>
      </w:r>
    </w:p>
    <w:p w14:paraId="51CAC9E5"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пациенти от азиатската раса се наблюдава повишена системна експозиция (вж. точка 4.3, точка 4.4 и точка 5.2). Препоръчваната първоначална доза при пациенти от азиатската раса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При тези пациенти е противопоказано приложение на 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w:t>
      </w:r>
    </w:p>
    <w:p w14:paraId="103343DE" w14:textId="77777777" w:rsidR="00A70FDA" w:rsidRPr="00A70FDA" w:rsidRDefault="00A70FDA" w:rsidP="00A70FDA">
      <w:pPr>
        <w:spacing w:line="240" w:lineRule="auto"/>
        <w:rPr>
          <w:rFonts w:eastAsia="Times New Roman" w:cs="Arial"/>
          <w:color w:val="000000"/>
          <w:u w:val="single"/>
          <w:lang w:eastAsia="bg-BG"/>
        </w:rPr>
      </w:pPr>
    </w:p>
    <w:p w14:paraId="6BB04382" w14:textId="7D891D3A"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Генетичен полиморфизъм</w:t>
      </w:r>
    </w:p>
    <w:p w14:paraId="641AD2F4"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Известно е, че специфични типове на генетичен полиморфизъм могат да доведат до повишена експозиция на розувастатин (вж. точка 5.2). За пациенти, за които е известно, </w:t>
      </w:r>
      <w:r w:rsidRPr="00A70FDA">
        <w:rPr>
          <w:rFonts w:eastAsia="Times New Roman" w:cs="Arial"/>
          <w:color w:val="000000"/>
          <w:lang w:eastAsia="bg-BG"/>
        </w:rPr>
        <w:lastRenderedPageBreak/>
        <w:t>че имат такъв специфичен тип полиморфизъм е препоръчителна по-ниска дневна доза на розувастатин.</w:t>
      </w:r>
    </w:p>
    <w:p w14:paraId="757DFE13" w14:textId="77777777" w:rsidR="00A70FDA" w:rsidRPr="00A70FDA" w:rsidRDefault="00A70FDA" w:rsidP="00A70FDA">
      <w:pPr>
        <w:spacing w:line="240" w:lineRule="auto"/>
        <w:rPr>
          <w:rFonts w:eastAsia="Times New Roman" w:cs="Arial"/>
          <w:color w:val="000000"/>
          <w:u w:val="single"/>
          <w:lang w:eastAsia="bg-BG"/>
        </w:rPr>
      </w:pPr>
    </w:p>
    <w:p w14:paraId="741BB6E0" w14:textId="64F065CB"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Дозиране при пациенти, предразположени към развитие на миопатия</w:t>
      </w:r>
    </w:p>
    <w:p w14:paraId="6643A037"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пациенти с предразполагащи фактори за развитите на миопатия препоръчваната начална доза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(вж. точка 4.4).</w:t>
      </w:r>
    </w:p>
    <w:p w14:paraId="5B84CDB5" w14:textId="77777777" w:rsidR="00A70FDA" w:rsidRPr="00A70FDA" w:rsidRDefault="00A70FDA" w:rsidP="00A70FDA">
      <w:pPr>
        <w:spacing w:line="240" w:lineRule="auto"/>
        <w:rPr>
          <w:rFonts w:eastAsia="Times New Roman" w:cs="Arial"/>
          <w:color w:val="000000"/>
          <w:lang w:eastAsia="bg-BG"/>
        </w:rPr>
      </w:pPr>
    </w:p>
    <w:p w14:paraId="4B664D19" w14:textId="19BF50A0"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някои от тези пациенти е противопоказано приложението на 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(вж. точка 4.3).</w:t>
      </w:r>
    </w:p>
    <w:p w14:paraId="46110B48" w14:textId="77777777" w:rsidR="00A70FDA" w:rsidRPr="00A70FDA" w:rsidRDefault="00A70FDA" w:rsidP="00A70FDA">
      <w:pPr>
        <w:spacing w:line="240" w:lineRule="auto"/>
        <w:rPr>
          <w:rFonts w:eastAsia="Times New Roman" w:cs="Arial"/>
          <w:color w:val="000000"/>
          <w:u w:val="single"/>
          <w:lang w:eastAsia="bg-BG"/>
        </w:rPr>
      </w:pPr>
    </w:p>
    <w:p w14:paraId="2EA8A03C" w14:textId="10D492D1"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Съпътстваща терапия</w:t>
      </w:r>
    </w:p>
    <w:p w14:paraId="5938F08A" w14:textId="1617E3B5"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Розувастатин е субстрат на няколко транспортни протеини (напр. ОАТР1В1 и </w:t>
      </w:r>
      <w:r w:rsidRPr="00A70FDA">
        <w:rPr>
          <w:rFonts w:eastAsia="Times New Roman" w:cs="Arial"/>
          <w:color w:val="000000"/>
          <w:lang w:val="en-US"/>
        </w:rPr>
        <w:t>BCRP</w:t>
      </w:r>
      <w:r w:rsidRPr="00A70FDA">
        <w:rPr>
          <w:rFonts w:eastAsia="Times New Roman" w:cs="Arial"/>
          <w:color w:val="000000"/>
          <w:lang w:val="ru-RU"/>
        </w:rPr>
        <w:t xml:space="preserve">). </w:t>
      </w:r>
      <w:r w:rsidRPr="00A70FDA">
        <w:rPr>
          <w:rFonts w:eastAsia="Times New Roman" w:cs="Arial"/>
          <w:color w:val="000000"/>
          <w:lang w:eastAsia="bg-BG"/>
        </w:rPr>
        <w:t>Рискът от миопатия (включително рабдомиолиза) се повишава, когато розувастатин се приема едновременно с определени лекарствени продукти, които могат да повишат плазмените концентрации на розувастатин поради взаимодействие с тези транспортни протеини (напр. циклоспорин и определени протеазни инхибитори, включително комбинации от ритонавир е атазанавир, лопинавир и/или типранавир; вж. точка 4.4 и 4.5). Когато е възможно е необходимо да се обмисли алтернативно лечение и, ако е необходимо да се обмисли временно прекратяване на терапията с розувастатин. В ситуации, при които едновременния прием на тези лекарствени продукти с розувастатин не може да се избегне, е необходима внимателна преценка на ползата и риска от съпътстващото лечение и корекция на дозата на розувастатин (вж. точка 4.5).</w:t>
      </w:r>
    </w:p>
    <w:p w14:paraId="4B605518" w14:textId="77777777" w:rsidR="00A70FDA" w:rsidRPr="00A70FDA" w:rsidRDefault="00A70FDA" w:rsidP="00A70FDA"/>
    <w:p w14:paraId="0F253247" w14:textId="4BDE500F" w:rsidR="007122AD" w:rsidRDefault="002C50EE" w:rsidP="00936AD0">
      <w:pPr>
        <w:pStyle w:val="Heading2"/>
      </w:pPr>
      <w:r>
        <w:t>4.3. Противопоказания</w:t>
      </w:r>
    </w:p>
    <w:p w14:paraId="2AB21E6D" w14:textId="0E46004F" w:rsidR="00A70FDA" w:rsidRDefault="00A70FDA" w:rsidP="00A70FDA"/>
    <w:p w14:paraId="6F8B4ED6"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Розвера е противопоказан:</w:t>
      </w:r>
    </w:p>
    <w:p w14:paraId="4E5C54B0"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пациенти със свръхчувствителност към активното(ите) вещество(а) или към някое от помощните вещества, изброени в точка 6.1.</w:t>
      </w:r>
    </w:p>
    <w:p w14:paraId="4729C1F9"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пациенти с активно чернодробно заболяване включително неуточнено, продължително покачване на серумните трансаминази и всяко покачване на серумната трансаминаза 3 пъти над горната референтна граница (ГРГ).</w:t>
      </w:r>
    </w:p>
    <w:p w14:paraId="2DBCC626"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 xml:space="preserve">при пациенти с тежко бъбречно увреждане (креатининов клирънс &lt; 30 </w:t>
      </w:r>
      <w:r w:rsidRPr="00A70FDA">
        <w:rPr>
          <w:rFonts w:eastAsia="Times New Roman" w:cs="Arial"/>
          <w:color w:val="000000"/>
          <w:lang w:val="en-US"/>
        </w:rPr>
        <w:t>ml</w:t>
      </w:r>
      <w:r w:rsidRPr="00A70FDA">
        <w:rPr>
          <w:rFonts w:eastAsia="Times New Roman" w:cs="Arial"/>
          <w:color w:val="000000"/>
          <w:lang w:val="ru-RU"/>
        </w:rPr>
        <w:t>/</w:t>
      </w:r>
      <w:r w:rsidRPr="00A70FDA">
        <w:rPr>
          <w:rFonts w:eastAsia="Times New Roman" w:cs="Arial"/>
          <w:color w:val="000000"/>
          <w:lang w:val="en-US"/>
        </w:rPr>
        <w:t>min</w:t>
      </w:r>
      <w:r w:rsidRPr="00A70FDA">
        <w:rPr>
          <w:rFonts w:eastAsia="Times New Roman" w:cs="Arial"/>
          <w:color w:val="000000"/>
          <w:lang w:val="ru-RU"/>
        </w:rPr>
        <w:t xml:space="preserve">). </w:t>
      </w:r>
    </w:p>
    <w:p w14:paraId="280345B9" w14:textId="17E923F4"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пациенти, приемащи едновременно комбинация от софосбувир/велпатасвир/воксилапревир (вж. точка 4.5).</w:t>
      </w:r>
    </w:p>
    <w:p w14:paraId="4FBB8B02"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 xml:space="preserve">при пациенти с миопатия. </w:t>
      </w:r>
    </w:p>
    <w:p w14:paraId="26E5636E"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 xml:space="preserve">при пациенти приемащи едновременно циклоспорин. по време на бременност, кърмене и </w:t>
      </w:r>
    </w:p>
    <w:p w14:paraId="2096A300" w14:textId="68D0A20B"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жени в детеродна възраст, които ме използват подходящи контрацептивни мерки.</w:t>
      </w:r>
    </w:p>
    <w:p w14:paraId="2E869FD5" w14:textId="4DF7F3D7" w:rsidR="00A70FDA" w:rsidRPr="00A70FDA" w:rsidRDefault="00A70FDA" w:rsidP="00A70FDA">
      <w:pPr>
        <w:rPr>
          <w:rFonts w:cs="Arial"/>
        </w:rPr>
      </w:pPr>
    </w:p>
    <w:p w14:paraId="11688C3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Дозите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са противопоказани при пациенти с предразполагащи фактори за развитие на миопатия/рабдомиолиза. Такива фактори са:</w:t>
      </w:r>
    </w:p>
    <w:p w14:paraId="72D907B4"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 xml:space="preserve">умерено бъбречно увреждане (креатининов клирънс &lt; 60 </w:t>
      </w:r>
      <w:r w:rsidRPr="00A70FDA">
        <w:rPr>
          <w:rFonts w:eastAsia="Times New Roman" w:cs="Arial"/>
          <w:color w:val="000000"/>
          <w:lang w:val="en-US"/>
        </w:rPr>
        <w:t>ml</w:t>
      </w:r>
      <w:r w:rsidRPr="00A70FDA">
        <w:rPr>
          <w:rFonts w:eastAsia="Times New Roman" w:cs="Arial"/>
          <w:color w:val="000000"/>
          <w:lang w:val="ru-RU"/>
        </w:rPr>
        <w:t>/</w:t>
      </w:r>
      <w:r w:rsidRPr="00A70FDA">
        <w:rPr>
          <w:rFonts w:eastAsia="Times New Roman" w:cs="Arial"/>
          <w:color w:val="000000"/>
          <w:lang w:val="en-US"/>
        </w:rPr>
        <w:t>min</w:t>
      </w:r>
      <w:r w:rsidRPr="00A70FDA">
        <w:rPr>
          <w:rFonts w:eastAsia="Times New Roman" w:cs="Arial"/>
          <w:color w:val="000000"/>
          <w:lang w:val="ru-RU"/>
        </w:rPr>
        <w:t>).</w:t>
      </w:r>
    </w:p>
    <w:p w14:paraId="0B0974C9"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хипотиреоидизъм.</w:t>
      </w:r>
    </w:p>
    <w:p w14:paraId="04D2082F"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лична или фамилна анамнеза за наследствени мускулни заболявания.</w:t>
      </w:r>
    </w:p>
    <w:p w14:paraId="0890994B"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 xml:space="preserve">анамнеза за поява на мускулно увреждане по време на лечение с друг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редуктазен инхибитор или с фибрат.</w:t>
      </w:r>
    </w:p>
    <w:p w14:paraId="2E5577C9"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злоупотреба с алкохол.</w:t>
      </w:r>
    </w:p>
    <w:p w14:paraId="1FE133F0"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състояния, при които може да се повиши плазменото ниво.</w:t>
      </w:r>
    </w:p>
    <w:p w14:paraId="1D923078"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пациенти от азиатската раса.</w:t>
      </w:r>
    </w:p>
    <w:p w14:paraId="0C5A1A81"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lastRenderedPageBreak/>
        <w:t>съпътстващо лечение с фибрати.</w:t>
      </w:r>
    </w:p>
    <w:p w14:paraId="77B76F19" w14:textId="77777777" w:rsidR="00A70FDA" w:rsidRPr="00A70FDA" w:rsidRDefault="00A70FDA" w:rsidP="00A70FDA">
      <w:pPr>
        <w:spacing w:line="240" w:lineRule="auto"/>
        <w:ind w:left="360"/>
        <w:rPr>
          <w:rFonts w:eastAsia="Times New Roman" w:cs="Arial"/>
          <w:sz w:val="24"/>
          <w:szCs w:val="24"/>
        </w:rPr>
      </w:pPr>
      <w:r w:rsidRPr="00A70FDA">
        <w:rPr>
          <w:rFonts w:eastAsia="Times New Roman" w:cs="Arial"/>
          <w:color w:val="000000"/>
          <w:lang w:eastAsia="bg-BG"/>
        </w:rPr>
        <w:t>(вж.точки 4.4, точка 4.5 и точка 5.2).</w:t>
      </w:r>
    </w:p>
    <w:p w14:paraId="3C526BD4" w14:textId="77777777" w:rsidR="00A70FDA" w:rsidRPr="00A70FDA" w:rsidRDefault="00A70FDA" w:rsidP="00A70FDA"/>
    <w:p w14:paraId="0E0BDCC7" w14:textId="68594D64" w:rsidR="007122AD" w:rsidRDefault="002C50EE" w:rsidP="00936AD0">
      <w:pPr>
        <w:pStyle w:val="Heading2"/>
      </w:pPr>
      <w:r>
        <w:t>4.4. Специални предупреждения и предпазни мерки при употреба</w:t>
      </w:r>
    </w:p>
    <w:p w14:paraId="44FAE7AB" w14:textId="68966C00" w:rsidR="00A70FDA" w:rsidRDefault="00A70FDA" w:rsidP="00A70FDA"/>
    <w:p w14:paraId="2DBC76A5" w14:textId="77777777"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Ефекти върху бъбреците</w:t>
      </w:r>
    </w:p>
    <w:p w14:paraId="322050E3"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пациенти, лекувани е по-високи дози Розвера, по-конкретно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е наблюдавана протеинурия, която е установена при изследване с тест-ленти, с предимно тубулен произход и в повечето случаи с преходен или интермитентен характер. Протеинурията не е доказана да предшества остро или прогресивно бъбречно заболяване (вж. точка 4,8). Докладваната честота на сериозни бъбречни увреждания при постмаркетинговата употреба е по-висока при дозировка от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Оценка на бъбречната функция трябва да се направи по време на рутинно проследяване при пациенти обичайно лекувани с 30 или 40 </w:t>
      </w:r>
      <w:r w:rsidRPr="00A70FDA">
        <w:rPr>
          <w:rFonts w:eastAsia="Times New Roman" w:cs="Arial"/>
          <w:color w:val="000000"/>
          <w:lang w:val="en-US"/>
        </w:rPr>
        <w:t>mg</w:t>
      </w:r>
      <w:r w:rsidRPr="00A70FDA">
        <w:rPr>
          <w:rFonts w:eastAsia="Times New Roman" w:cs="Arial"/>
          <w:color w:val="000000"/>
          <w:lang w:val="ru-RU"/>
        </w:rPr>
        <w:t>.</w:t>
      </w:r>
    </w:p>
    <w:p w14:paraId="2C9C6AFA" w14:textId="77777777" w:rsidR="00A70FDA" w:rsidRPr="00A70FDA" w:rsidRDefault="00A70FDA" w:rsidP="00A70FDA">
      <w:pPr>
        <w:spacing w:line="240" w:lineRule="auto"/>
        <w:rPr>
          <w:rFonts w:eastAsia="Times New Roman" w:cs="Arial"/>
          <w:color w:val="000000"/>
          <w:u w:val="single"/>
          <w:lang w:eastAsia="bg-BG"/>
        </w:rPr>
      </w:pPr>
    </w:p>
    <w:p w14:paraId="1CCBF01B" w14:textId="05A52C2D"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Ефекти върху скелетната мускулатура</w:t>
      </w:r>
    </w:p>
    <w:p w14:paraId="56C6F4E7"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Ефекти върху скелетната мускулатура напр. миалгия, миопатия и по-рядко -рабдомиолиоза, са съобщавани при приложение на всички дозови режими, особено при дози &gt;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Много редки случаи на рабдомиолиза са докладвани при използването на езетимиб в комбинация с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редуктазни инхибитори. Не може да бъде изключено фармакодинамично взаимодействие (вж. точка 4.5) и е необходимо внимание при комбинираното им използуване. Както при другите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редуктазни инхибитори, докладваната честота на рабдомиолиза асоциирана с розувастатин при пост-маркетинговата употреба е по-висока при дозировка от 40 </w:t>
      </w:r>
      <w:r w:rsidRPr="00A70FDA">
        <w:rPr>
          <w:rFonts w:eastAsia="Times New Roman" w:cs="Arial"/>
          <w:color w:val="000000"/>
          <w:lang w:val="en-US"/>
        </w:rPr>
        <w:t>mg</w:t>
      </w:r>
      <w:r w:rsidRPr="00A70FDA">
        <w:rPr>
          <w:rFonts w:eastAsia="Times New Roman" w:cs="Arial"/>
          <w:color w:val="000000"/>
          <w:lang w:val="ru-RU"/>
        </w:rPr>
        <w:t>.</w:t>
      </w:r>
    </w:p>
    <w:p w14:paraId="0DDFABFC" w14:textId="77777777" w:rsidR="00A70FDA" w:rsidRPr="00A70FDA" w:rsidRDefault="00A70FDA" w:rsidP="00A70FDA">
      <w:pPr>
        <w:spacing w:line="240" w:lineRule="auto"/>
        <w:rPr>
          <w:rFonts w:eastAsia="Times New Roman" w:cs="Arial"/>
          <w:i/>
          <w:iCs/>
          <w:color w:val="000000"/>
          <w:lang w:eastAsia="bg-BG"/>
        </w:rPr>
      </w:pPr>
    </w:p>
    <w:p w14:paraId="29AE2B7E" w14:textId="0410A6E7" w:rsidR="00A70FDA" w:rsidRPr="00A70FDA" w:rsidRDefault="00A70FDA" w:rsidP="00A70FDA">
      <w:pPr>
        <w:spacing w:line="240" w:lineRule="auto"/>
        <w:rPr>
          <w:rFonts w:eastAsia="Times New Roman" w:cs="Arial"/>
        </w:rPr>
      </w:pPr>
      <w:r w:rsidRPr="00A70FDA">
        <w:rPr>
          <w:rFonts w:eastAsia="Times New Roman" w:cs="Arial"/>
          <w:i/>
          <w:iCs/>
          <w:color w:val="000000"/>
          <w:lang w:eastAsia="bg-BG"/>
        </w:rPr>
        <w:t>Измерване на креатин киназата</w:t>
      </w:r>
    </w:p>
    <w:p w14:paraId="19C757FE"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Креатин киназата (СК) не трябва да се измерва след усилени упражнения или при наличието на друг причинител на увеличение на СК, което може да затрудни тълкуването на резултата. Ако нивото на СК е значително повишено при изходно ниво (&gt; 5 х ГРГ), тест за потвърждаване на резултата трябва да бъде направен в рамките на 5 - 7 дни. Ако повторното изследване потвърди изходно ниво на СК &gt; 5 х ГРГ, не трябва да се започва лечение.</w:t>
      </w:r>
    </w:p>
    <w:p w14:paraId="16A6C1CF" w14:textId="77777777" w:rsidR="00A70FDA" w:rsidRPr="00A70FDA" w:rsidRDefault="00A70FDA" w:rsidP="00A70FDA">
      <w:pPr>
        <w:spacing w:line="240" w:lineRule="auto"/>
        <w:rPr>
          <w:rFonts w:eastAsia="Times New Roman" w:cs="Arial"/>
          <w:i/>
          <w:iCs/>
          <w:color w:val="000000"/>
          <w:lang w:eastAsia="bg-BG"/>
        </w:rPr>
      </w:pPr>
    </w:p>
    <w:p w14:paraId="0F876F3D" w14:textId="58D5A1A3" w:rsidR="00A70FDA" w:rsidRPr="00A70FDA" w:rsidRDefault="00A70FDA" w:rsidP="00A70FDA">
      <w:pPr>
        <w:spacing w:line="240" w:lineRule="auto"/>
        <w:rPr>
          <w:rFonts w:eastAsia="Times New Roman" w:cs="Arial"/>
        </w:rPr>
      </w:pPr>
      <w:r w:rsidRPr="00A70FDA">
        <w:rPr>
          <w:rFonts w:eastAsia="Times New Roman" w:cs="Arial"/>
          <w:i/>
          <w:iCs/>
          <w:color w:val="000000"/>
          <w:lang w:eastAsia="bg-BG"/>
        </w:rPr>
        <w:t>Преди лечението</w:t>
      </w:r>
    </w:p>
    <w:p w14:paraId="59C320F8"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Розвера, както и други инхибитори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редуктазата, трябва да бъде предписван с особено внимание при пациенти, за които са налице фактори предразполагащи развитие на миопатия/ рабдомиолиза. Такива фактори са:</w:t>
      </w:r>
    </w:p>
    <w:p w14:paraId="4A300EA6"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бъбречно увреждане</w:t>
      </w:r>
    </w:p>
    <w:p w14:paraId="5AE45C20"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хипотиреоидизъм</w:t>
      </w:r>
    </w:p>
    <w:p w14:paraId="2CC43FC9"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лична или фамилна анамнеза за наследствено мускулно заболяване </w:t>
      </w:r>
    </w:p>
    <w:p w14:paraId="6274CCA3"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установена мускулна токсичност към други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инхибитори на редуктазата или фибрати </w:t>
      </w:r>
    </w:p>
    <w:p w14:paraId="4022B757"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злоупотреба с алкохол </w:t>
      </w:r>
    </w:p>
    <w:p w14:paraId="4F29DD61"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пациенти на възраст над 70 години </w:t>
      </w:r>
    </w:p>
    <w:p w14:paraId="7ABEAA46"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състояния, при които може да се наблюдава покачване на плазмените нива (вж. точка 4.2, 4.5 и 5.2) </w:t>
      </w:r>
    </w:p>
    <w:p w14:paraId="2F30FEA1" w14:textId="141EC029"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едновременно приложение на фибрати.</w:t>
      </w:r>
    </w:p>
    <w:p w14:paraId="6DBA36E1" w14:textId="7F974745" w:rsidR="00A70FDA" w:rsidRPr="00A70FDA" w:rsidRDefault="00A70FDA" w:rsidP="00A70FDA">
      <w:pPr>
        <w:rPr>
          <w:rFonts w:cs="Arial"/>
        </w:rPr>
      </w:pPr>
    </w:p>
    <w:p w14:paraId="24EE4D6E"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lastRenderedPageBreak/>
        <w:t>При подобни пациенти се препоръчва да се оцени риска от лечението и възможната полза и да бъдат поставени под клинично наблюдение. Ако изходното ниво на СК е значително повишено (&gt; 5 х ГРГ), не трябва да се започва лечение.</w:t>
      </w:r>
    </w:p>
    <w:p w14:paraId="258CB3B9" w14:textId="77777777" w:rsidR="00A70FDA" w:rsidRPr="00A70FDA" w:rsidRDefault="00A70FDA" w:rsidP="00A70FDA">
      <w:pPr>
        <w:spacing w:line="240" w:lineRule="auto"/>
        <w:rPr>
          <w:rFonts w:eastAsia="Times New Roman" w:cs="Arial"/>
          <w:i/>
          <w:iCs/>
          <w:color w:val="000000"/>
          <w:lang w:eastAsia="bg-BG"/>
        </w:rPr>
      </w:pPr>
    </w:p>
    <w:p w14:paraId="651D32DA" w14:textId="02CDA056" w:rsidR="00A70FDA" w:rsidRPr="00A70FDA" w:rsidRDefault="00A70FDA" w:rsidP="00A70FDA">
      <w:pPr>
        <w:spacing w:line="240" w:lineRule="auto"/>
        <w:rPr>
          <w:rFonts w:eastAsia="Times New Roman" w:cs="Arial"/>
        </w:rPr>
      </w:pPr>
      <w:r w:rsidRPr="00A70FDA">
        <w:rPr>
          <w:rFonts w:eastAsia="Times New Roman" w:cs="Arial"/>
          <w:i/>
          <w:iCs/>
          <w:color w:val="000000"/>
          <w:lang w:eastAsia="bg-BG"/>
        </w:rPr>
        <w:t>По време на лечението</w:t>
      </w:r>
    </w:p>
    <w:p w14:paraId="2C34B062"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Пациентите се задължават незабавно да докладват необясними мускулни болки, усещане за слабост или схващане, най-вече ако са свързани с неразположение или фебрилитет. При тези пациенти трябва да се измерят нивата на СК. Терапията трябва да се прекрати, ако нивото на СК е значително повишено (&gt; 5 х ГРГ) или мускулните симптоми са тежки и причиняват ежедневно неразположение (дори  ≤5 х ГРГ). Ако симптомите изчезнат и нивото на СК се нормализира може да се помисли за повторно лечение с Розвера или алтернативен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редуктазен инхибитор в най-ниска доза под наблюдение. Рутинно наблюдение на нивото на СК при пациенти без симптоми не е основателно. Има много редки съобщения за поява на имуно- медиирана некротизираща миопатия (ИМНМ) по време или след лечението със статии и, включително розувастатин. ИМНМ се характеризира клинично чрез нарастваща мускулна слабост и повишени серумни нива на креатин киназата, които персистират въпреки спирането на лечението със статини.</w:t>
      </w:r>
    </w:p>
    <w:p w14:paraId="647D66B8" w14:textId="77777777" w:rsidR="00A70FDA" w:rsidRPr="00A70FDA" w:rsidRDefault="00A70FDA" w:rsidP="00A70FDA">
      <w:pPr>
        <w:spacing w:line="240" w:lineRule="auto"/>
        <w:rPr>
          <w:rFonts w:eastAsia="Times New Roman" w:cs="Arial"/>
          <w:color w:val="000000"/>
          <w:lang w:eastAsia="bg-BG"/>
        </w:rPr>
      </w:pPr>
    </w:p>
    <w:p w14:paraId="7C5F7B9C" w14:textId="21D787B1"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клиничните изпитвания на розувастатин не са наблюдавани данни за повишени ефекти върху скелетната мускулатура в малката група пациенти, при които розувастатин е прилаган с друго съпътстващо лечение. Увеличение на честотата на миозит и миопатия е наблюдавано обаче при пациенти, получаващи други инхибитори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редуктазата заедно с циклоспорин, производни на фибриновата киселина, включително гемфиброзил, циклоспорин, никотинова киселина, азолови антимикотици, протеазни инхибитори и макролидни антибиотици. Гемфиброзил повишава риска от миопатия, ако се приема едновременно с някои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инхибитори на редуктазата. Поради това комбинацията между Розвера и гемфиброзил и не е препоръчителна. Ползата от допълнително снижаване в липидните нива в резултат от комбинираното приемане на Розвера и фибрати или ниацин трябва да бъде внимателно изчислена спрямо потенциалния риск от подобни комбинации. При едновременно приложение на фибрати лечението с 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е противопоказано, (вж. точка 4.5 и точка 4.8).</w:t>
      </w:r>
    </w:p>
    <w:p w14:paraId="0E08D898" w14:textId="77777777" w:rsidR="00A70FDA" w:rsidRPr="00A70FDA" w:rsidRDefault="00A70FDA" w:rsidP="00A70FDA">
      <w:pPr>
        <w:spacing w:line="240" w:lineRule="auto"/>
        <w:rPr>
          <w:rFonts w:eastAsia="Times New Roman" w:cs="Arial"/>
          <w:color w:val="000000"/>
          <w:lang w:eastAsia="bg-BG"/>
        </w:rPr>
      </w:pPr>
    </w:p>
    <w:p w14:paraId="761611F8" w14:textId="39DA7D62" w:rsidR="00A70FDA" w:rsidRPr="00A70FDA" w:rsidRDefault="00A70FDA" w:rsidP="00A70FDA">
      <w:pPr>
        <w:spacing w:line="240" w:lineRule="auto"/>
        <w:rPr>
          <w:rFonts w:eastAsia="Times New Roman" w:cs="Arial"/>
        </w:rPr>
      </w:pPr>
      <w:r w:rsidRPr="00A70FDA">
        <w:rPr>
          <w:rFonts w:eastAsia="Times New Roman" w:cs="Arial"/>
          <w:color w:val="000000"/>
          <w:lang w:eastAsia="bg-BG"/>
        </w:rPr>
        <w:t>Розувастатин не трябва да се прилага едновременно с фузидова киселина за системно приложение или в рамките на 7 дни след спиране на лечението с фузидова киселина. При пациенти, при които използването на системна фузидова киселина се считат за съществени, лечението със статини трябва да бъде преустановено през целия период на лечение с фузидова киселина. Има съобщенияза рабдомиолиза (включително няколко с фатален изход) при пациенти приемащи фузидова киселина и статини в комбинация (вж. точка 4.5). Пациентите трябва да бъдат посъветвани незабавно да потърсят медицинска помощ, ако получат симптоми на мускулна слабост, болки или чувствителност.</w:t>
      </w:r>
    </w:p>
    <w:p w14:paraId="7042A051" w14:textId="77777777" w:rsidR="00A70FDA" w:rsidRPr="00A70FDA" w:rsidRDefault="00A70FDA" w:rsidP="00A70FDA">
      <w:pPr>
        <w:spacing w:line="240" w:lineRule="auto"/>
        <w:rPr>
          <w:rFonts w:eastAsia="Times New Roman" w:cs="Arial"/>
          <w:color w:val="000000"/>
          <w:lang w:eastAsia="bg-BG"/>
        </w:rPr>
      </w:pPr>
    </w:p>
    <w:p w14:paraId="47BC5280" w14:textId="0469F758" w:rsidR="00A70FDA" w:rsidRPr="00A70FDA" w:rsidRDefault="00A70FDA" w:rsidP="00A70FDA">
      <w:pPr>
        <w:spacing w:line="240" w:lineRule="auto"/>
        <w:rPr>
          <w:rFonts w:eastAsia="Times New Roman" w:cs="Arial"/>
        </w:rPr>
      </w:pPr>
      <w:r w:rsidRPr="00A70FDA">
        <w:rPr>
          <w:rFonts w:eastAsia="Times New Roman" w:cs="Arial"/>
          <w:color w:val="000000"/>
          <w:lang w:eastAsia="bg-BG"/>
        </w:rPr>
        <w:t>Терапията със статини може да бъде повторно въведена седем дни след последната доза на фузидова киселина.</w:t>
      </w:r>
    </w:p>
    <w:p w14:paraId="1EB5D8A3"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При изключителни обстоятелства, когато е необходима продължителна системна употреба на фузидова киселина, например за лечение на тежки инфекции, необходимостта от едновременно приложение на Розвера и фузидова киселина трябва да се вземе под внимание само за всеки отделен случай и под строго медицинско наблюдение.</w:t>
      </w:r>
    </w:p>
    <w:p w14:paraId="5F0B75B9" w14:textId="77777777" w:rsidR="00A70FDA" w:rsidRPr="00A70FDA" w:rsidRDefault="00A70FDA" w:rsidP="00A70FDA">
      <w:pPr>
        <w:spacing w:line="240" w:lineRule="auto"/>
        <w:rPr>
          <w:rFonts w:eastAsia="Times New Roman" w:cs="Arial"/>
          <w:color w:val="000000"/>
          <w:lang w:eastAsia="bg-BG"/>
        </w:rPr>
      </w:pPr>
    </w:p>
    <w:p w14:paraId="41449A6A" w14:textId="470D29DA"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Розвера не трябва да се употребява при пациенти с остри сериозни състояния, предполагащи миопатия или предразполагащи към развитие на бъбречна недостатъчност </w:t>
      </w:r>
      <w:r w:rsidRPr="00A70FDA">
        <w:rPr>
          <w:rFonts w:eastAsia="Times New Roman" w:cs="Arial"/>
          <w:color w:val="000000"/>
          <w:lang w:eastAsia="bg-BG"/>
        </w:rPr>
        <w:lastRenderedPageBreak/>
        <w:t>вследствие рабдомиолиза (напр. сепсис, хипотензия, голяма операция, травма, тежки метаболитни, ендокринни или електролитни нарушения или неконтролирани гърчове).</w:t>
      </w:r>
    </w:p>
    <w:p w14:paraId="5FB2F9E2" w14:textId="77777777" w:rsidR="00A70FDA" w:rsidRPr="00A70FDA" w:rsidRDefault="00A70FDA" w:rsidP="00A70FDA">
      <w:pPr>
        <w:spacing w:line="240" w:lineRule="auto"/>
        <w:rPr>
          <w:rFonts w:eastAsia="Times New Roman" w:cs="Arial"/>
          <w:color w:val="000000"/>
          <w:u w:val="single"/>
          <w:lang w:eastAsia="bg-BG"/>
        </w:rPr>
      </w:pPr>
    </w:p>
    <w:p w14:paraId="7FE4ACFF" w14:textId="70293568" w:rsidR="00A70FDA" w:rsidRPr="00A70FDA" w:rsidRDefault="00A70FDA" w:rsidP="00A70FDA">
      <w:pPr>
        <w:spacing w:line="240" w:lineRule="auto"/>
        <w:rPr>
          <w:rFonts w:eastAsia="Times New Roman" w:cs="Arial"/>
          <w:color w:val="000000"/>
          <w:u w:val="single"/>
          <w:lang w:eastAsia="bg-BG"/>
        </w:rPr>
      </w:pPr>
      <w:r w:rsidRPr="00A70FDA">
        <w:rPr>
          <w:rFonts w:eastAsia="Times New Roman" w:cs="Arial"/>
          <w:color w:val="000000"/>
          <w:u w:val="single"/>
          <w:lang w:eastAsia="bg-BG"/>
        </w:rPr>
        <w:t>Ефекти върху черния дроб</w:t>
      </w:r>
    </w:p>
    <w:p w14:paraId="6CCF1B63"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Както при други инхибитори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редуктазата, Розвера трябва внимателно да се прилага при пациенти, които приемат голямо количество алкохол или и/или са имали заболяване на черния дроб.</w:t>
      </w:r>
    </w:p>
    <w:p w14:paraId="30203C37" w14:textId="77777777" w:rsidR="00A70FDA" w:rsidRPr="00A70FDA" w:rsidRDefault="00A70FDA" w:rsidP="00A70FDA">
      <w:pPr>
        <w:spacing w:line="240" w:lineRule="auto"/>
        <w:rPr>
          <w:rFonts w:eastAsia="Times New Roman" w:cs="Arial"/>
          <w:color w:val="000000"/>
          <w:lang w:eastAsia="bg-BG"/>
        </w:rPr>
      </w:pPr>
    </w:p>
    <w:p w14:paraId="605A8EFD" w14:textId="5AF62618"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Препоръчително е да се направят изследвания на черния дроб преди и 3 месеца след започване на лечението. Розвера трябва да бъде преустановен или дозата трябва да се намали, ако нивото на серумните трансаминази надвишава 3 пъти горната референтна граница. Докладваната честота за сериозни чернодробни увреждания (заключващи се главно в увеличени чернодробни трансаминази) при пост-маркетинга вата употреба е по-висока при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дозировка.</w:t>
      </w:r>
    </w:p>
    <w:p w14:paraId="688DD27E" w14:textId="77777777" w:rsidR="00A70FDA" w:rsidRPr="00A70FDA" w:rsidRDefault="00A70FDA" w:rsidP="00A70FDA">
      <w:pPr>
        <w:spacing w:line="240" w:lineRule="auto"/>
        <w:rPr>
          <w:rFonts w:eastAsia="Times New Roman" w:cs="Arial"/>
          <w:color w:val="000000"/>
          <w:lang w:eastAsia="bg-BG"/>
        </w:rPr>
      </w:pPr>
    </w:p>
    <w:p w14:paraId="2591C10B" w14:textId="77777777" w:rsidR="00A70FDA" w:rsidRPr="00A70FDA" w:rsidRDefault="00A70FDA" w:rsidP="00A70FDA">
      <w:pPr>
        <w:spacing w:line="240" w:lineRule="auto"/>
        <w:rPr>
          <w:rFonts w:eastAsia="Times New Roman" w:cs="Arial"/>
          <w:color w:val="000000"/>
          <w:lang w:eastAsia="bg-BG"/>
        </w:rPr>
      </w:pPr>
      <w:r w:rsidRPr="00A70FDA">
        <w:rPr>
          <w:rFonts w:eastAsia="Times New Roman" w:cs="Arial"/>
          <w:color w:val="000000"/>
          <w:lang w:eastAsia="bg-BG"/>
        </w:rPr>
        <w:t xml:space="preserve">При пациенти с вторична хиперхолестеролемия, причинена от хипотиреоидизъм или нефротичен </w:t>
      </w:r>
    </w:p>
    <w:p w14:paraId="0D2C5AA7" w14:textId="23D10AA2" w:rsidR="00A70FDA" w:rsidRPr="00A70FDA" w:rsidRDefault="00A70FDA" w:rsidP="00A70FDA">
      <w:pPr>
        <w:spacing w:line="240" w:lineRule="auto"/>
        <w:rPr>
          <w:rFonts w:eastAsia="Times New Roman" w:cs="Arial"/>
        </w:rPr>
      </w:pPr>
      <w:r w:rsidRPr="00A70FDA">
        <w:rPr>
          <w:rFonts w:eastAsia="Times New Roman" w:cs="Arial"/>
          <w:color w:val="000000"/>
          <w:lang w:eastAsia="bg-BG"/>
        </w:rPr>
        <w:t>синдром основното заболяване трябва да се лекува преди започване на лечение с Розвера.</w:t>
      </w:r>
    </w:p>
    <w:p w14:paraId="2F04FD41" w14:textId="77777777" w:rsidR="00A70FDA" w:rsidRPr="00A70FDA" w:rsidRDefault="00A70FDA" w:rsidP="00A70FDA">
      <w:pPr>
        <w:spacing w:line="240" w:lineRule="auto"/>
        <w:rPr>
          <w:rFonts w:eastAsia="Times New Roman" w:cs="Arial"/>
          <w:color w:val="000000"/>
          <w:u w:val="single"/>
          <w:lang w:eastAsia="bg-BG"/>
        </w:rPr>
      </w:pPr>
    </w:p>
    <w:p w14:paraId="799E6ADE" w14:textId="63A794D1"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Раса</w:t>
      </w:r>
    </w:p>
    <w:p w14:paraId="4D76BB50"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Фармакокинетичните проучвания показват, че при пациентите от азиатската раса е налице по- висока експозиция в сравнение с тези от кавказката (бялата) раса (вж. точка 4.2, точка 4.3 и точка 5.2)</w:t>
      </w:r>
    </w:p>
    <w:p w14:paraId="2676F616" w14:textId="77777777" w:rsidR="00A70FDA" w:rsidRPr="00A70FDA" w:rsidRDefault="00A70FDA" w:rsidP="00A70FDA">
      <w:pPr>
        <w:spacing w:line="240" w:lineRule="auto"/>
        <w:rPr>
          <w:rFonts w:eastAsia="Times New Roman" w:cs="Arial"/>
          <w:color w:val="000000"/>
          <w:u w:val="single"/>
          <w:lang w:eastAsia="bg-BG"/>
        </w:rPr>
      </w:pPr>
    </w:p>
    <w:p w14:paraId="5EFCBEDB" w14:textId="6D746C98"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Протеазни инхибитори</w:t>
      </w:r>
    </w:p>
    <w:p w14:paraId="2132CCC0"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Наблюдавана е повишена системна експозиция на розувастатин при пациенти, получаващи едновременно розувастатин и различни протеазни инхибитори в комбинация с ритонавир. Трябва да се вземе в предвид както ползата от липидното понижаване при употребата на розувастатин при ХИВ пациенти, получаващи протеазни инхибитори, и възможността за повишаване на плазмената концентрация на розувастатин при започване и повишаване на дозата на розувастатин, при пациенти третирани с протеазни инхибитори. Едновременната употреба с протеазни инхибитори не е препоръчителна, освен след корекция дозата на розувастатин (вж. точка 4.2 и 4.5).</w:t>
      </w:r>
    </w:p>
    <w:p w14:paraId="636E3800" w14:textId="77777777" w:rsidR="00A70FDA" w:rsidRPr="00A70FDA" w:rsidRDefault="00A70FDA" w:rsidP="00A70FDA">
      <w:pPr>
        <w:spacing w:line="240" w:lineRule="auto"/>
        <w:rPr>
          <w:rFonts w:eastAsia="Times New Roman" w:cs="Arial"/>
          <w:color w:val="000000"/>
          <w:u w:val="single"/>
          <w:lang w:eastAsia="bg-BG"/>
        </w:rPr>
      </w:pPr>
    </w:p>
    <w:p w14:paraId="34E59886" w14:textId="3CCB6F00"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Интерстициална белодробна болест</w:t>
      </w:r>
    </w:p>
    <w:p w14:paraId="67191E0D"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Докладвани са изолирани случаи на интерстициална белодробна болест при приложение на някои статини, особено при продължителна терапия (вж. точка 4.8). Клиничните прояви могат да включват диспнея, непродуктивна кашлица и влошаване на общото състояние (умора, загуба на тегло и треска). Ако има подозрение, че пациентът е развил интерстициална белодробна болест, терапията със статии трябва да бъде преустановена.</w:t>
      </w:r>
    </w:p>
    <w:p w14:paraId="14D51E65" w14:textId="77777777" w:rsidR="00A70FDA" w:rsidRPr="00A70FDA" w:rsidRDefault="00A70FDA" w:rsidP="00A70FDA">
      <w:pPr>
        <w:spacing w:line="240" w:lineRule="auto"/>
        <w:rPr>
          <w:rFonts w:eastAsia="Times New Roman" w:cs="Arial"/>
          <w:color w:val="000000"/>
          <w:u w:val="single"/>
          <w:lang w:eastAsia="bg-BG"/>
        </w:rPr>
      </w:pPr>
    </w:p>
    <w:p w14:paraId="49A2BC9A" w14:textId="16675283"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Захарен диабет</w:t>
      </w:r>
    </w:p>
    <w:p w14:paraId="032A3EA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Някои данни показват, че статините са клас лекарства, който повишава кръвната захар и при някои пациенти, изложени на висок риск от развитие на диабет, може да доведат до състояние на хипергликемия, при което се изисква провеждането на подходящи мерки както при диабет. Този риск, обаче, се компенсира от намаляване на съдовия риск при лечението със статини и затова не трябва да бъде причина за спиране на лечението. На пациентите, изложени на риск (глюкоза на гладно 5.6-6.9 </w:t>
      </w:r>
      <w:r w:rsidRPr="00A70FDA">
        <w:rPr>
          <w:rFonts w:eastAsia="Times New Roman" w:cs="Arial"/>
          <w:color w:val="000000"/>
          <w:lang w:val="en-US"/>
        </w:rPr>
        <w:t>mmol</w:t>
      </w:r>
      <w:r w:rsidRPr="00A70FDA">
        <w:rPr>
          <w:rFonts w:eastAsia="Times New Roman" w:cs="Arial"/>
          <w:color w:val="000000"/>
          <w:lang w:val="ru-RU"/>
        </w:rPr>
        <w:t>/</w:t>
      </w:r>
      <w:r w:rsidRPr="00A70FDA">
        <w:rPr>
          <w:rFonts w:eastAsia="Times New Roman" w:cs="Arial"/>
          <w:color w:val="000000"/>
          <w:lang w:val="en-US"/>
        </w:rPr>
        <w:t>L</w:t>
      </w:r>
      <w:r w:rsidRPr="00A70FDA">
        <w:rPr>
          <w:rFonts w:eastAsia="Times New Roman" w:cs="Arial"/>
          <w:color w:val="000000"/>
          <w:lang w:val="ru-RU"/>
        </w:rPr>
        <w:t xml:space="preserve">, </w:t>
      </w:r>
      <w:r w:rsidRPr="00A70FDA">
        <w:rPr>
          <w:rFonts w:eastAsia="Times New Roman" w:cs="Arial"/>
          <w:color w:val="000000"/>
          <w:lang w:eastAsia="bg-BG"/>
        </w:rPr>
        <w:t xml:space="preserve">ИТМ&gt; </w:t>
      </w:r>
      <w:r w:rsidRPr="00A70FDA">
        <w:rPr>
          <w:rFonts w:eastAsia="Times New Roman" w:cs="Arial"/>
          <w:color w:val="000000"/>
          <w:lang w:val="ru-RU"/>
        </w:rPr>
        <w:t>30</w:t>
      </w:r>
      <w:r w:rsidRPr="00A70FDA">
        <w:rPr>
          <w:rFonts w:eastAsia="Times New Roman" w:cs="Arial"/>
          <w:color w:val="000000"/>
          <w:lang w:val="en-US"/>
        </w:rPr>
        <w:t>kg</w:t>
      </w:r>
      <w:r w:rsidRPr="00A70FDA">
        <w:rPr>
          <w:rFonts w:eastAsia="Times New Roman" w:cs="Arial"/>
          <w:color w:val="000000"/>
          <w:lang w:val="ru-RU"/>
        </w:rPr>
        <w:t>/</w:t>
      </w:r>
      <w:r w:rsidRPr="00A70FDA">
        <w:rPr>
          <w:rFonts w:eastAsia="Times New Roman" w:cs="Arial"/>
          <w:color w:val="000000"/>
          <w:lang w:val="en-US"/>
        </w:rPr>
        <w:t>m</w:t>
      </w:r>
      <w:r w:rsidRPr="00A70FDA">
        <w:rPr>
          <w:rFonts w:eastAsia="Times New Roman" w:cs="Arial"/>
          <w:color w:val="000000"/>
          <w:vertAlign w:val="superscript"/>
          <w:lang w:val="ru-RU"/>
        </w:rPr>
        <w:t>2</w:t>
      </w:r>
      <w:r w:rsidRPr="00A70FDA">
        <w:rPr>
          <w:rFonts w:eastAsia="Times New Roman" w:cs="Arial"/>
          <w:color w:val="000000"/>
          <w:lang w:val="ru-RU"/>
        </w:rPr>
        <w:t xml:space="preserve">, </w:t>
      </w:r>
      <w:r w:rsidRPr="00A70FDA">
        <w:rPr>
          <w:rFonts w:eastAsia="Times New Roman" w:cs="Arial"/>
          <w:color w:val="000000"/>
          <w:lang w:eastAsia="bg-BG"/>
        </w:rPr>
        <w:lastRenderedPageBreak/>
        <w:t>повишени триглицериди, хипертония), следва да назначи провеждане на клинични и биохимични изследвания в съответствие с националните ръководства.</w:t>
      </w:r>
    </w:p>
    <w:p w14:paraId="2B4EC535" w14:textId="77777777" w:rsidR="00A70FDA" w:rsidRPr="00A70FDA" w:rsidRDefault="00A70FDA" w:rsidP="00A70FDA">
      <w:pPr>
        <w:spacing w:line="240" w:lineRule="auto"/>
        <w:rPr>
          <w:rFonts w:eastAsia="Times New Roman" w:cs="Arial"/>
          <w:color w:val="000000"/>
          <w:lang w:eastAsia="bg-BG"/>
        </w:rPr>
      </w:pPr>
    </w:p>
    <w:p w14:paraId="06B27D4A" w14:textId="4EFBC203"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В проучването </w:t>
      </w:r>
      <w:r w:rsidRPr="00A70FDA">
        <w:rPr>
          <w:rFonts w:eastAsia="Times New Roman" w:cs="Arial"/>
          <w:color w:val="000000"/>
          <w:lang w:val="en-US"/>
        </w:rPr>
        <w:t>JUPITER</w:t>
      </w:r>
      <w:r w:rsidRPr="00A70FDA">
        <w:rPr>
          <w:rFonts w:eastAsia="Times New Roman" w:cs="Arial"/>
          <w:color w:val="000000"/>
          <w:lang w:val="ru-RU"/>
        </w:rPr>
        <w:t xml:space="preserve">, </w:t>
      </w:r>
      <w:r w:rsidRPr="00A70FDA">
        <w:rPr>
          <w:rFonts w:eastAsia="Times New Roman" w:cs="Arial"/>
          <w:color w:val="000000"/>
          <w:lang w:eastAsia="bg-BG"/>
        </w:rPr>
        <w:t xml:space="preserve">докладваната честота на захарен диабет е 2,8% при розувастатин и 2,3% при плацебо, най-вече при пациенти с глюкоза на гладно 5,6 до 6,9 </w:t>
      </w:r>
      <w:r w:rsidRPr="00A70FDA">
        <w:rPr>
          <w:rFonts w:eastAsia="Times New Roman" w:cs="Arial"/>
          <w:color w:val="000000"/>
          <w:lang w:val="en-US"/>
        </w:rPr>
        <w:t>mmol</w:t>
      </w:r>
      <w:r w:rsidRPr="00A70FDA">
        <w:rPr>
          <w:rFonts w:eastAsia="Times New Roman" w:cs="Arial"/>
          <w:color w:val="000000"/>
          <w:lang w:val="ru-RU"/>
        </w:rPr>
        <w:t>/</w:t>
      </w:r>
      <w:r w:rsidRPr="00A70FDA">
        <w:rPr>
          <w:rFonts w:eastAsia="Times New Roman" w:cs="Arial"/>
          <w:color w:val="000000"/>
          <w:lang w:val="en-US"/>
        </w:rPr>
        <w:t>L</w:t>
      </w:r>
      <w:r w:rsidRPr="00A70FDA">
        <w:rPr>
          <w:rFonts w:eastAsia="Times New Roman" w:cs="Arial"/>
          <w:color w:val="000000"/>
          <w:lang w:val="ru-RU"/>
        </w:rPr>
        <w:t>.</w:t>
      </w:r>
    </w:p>
    <w:p w14:paraId="28CAF042" w14:textId="77777777" w:rsidR="00A70FDA" w:rsidRPr="00A70FDA" w:rsidRDefault="00A70FDA" w:rsidP="00A70FDA">
      <w:pPr>
        <w:spacing w:line="240" w:lineRule="auto"/>
        <w:rPr>
          <w:rFonts w:eastAsia="Times New Roman" w:cs="Arial"/>
          <w:color w:val="000000"/>
          <w:u w:val="single"/>
          <w:lang w:eastAsia="bg-BG"/>
        </w:rPr>
      </w:pPr>
    </w:p>
    <w:p w14:paraId="087D3397" w14:textId="07F04D1C"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Педиатрична популация</w:t>
      </w:r>
    </w:p>
    <w:p w14:paraId="77F2BC9B" w14:textId="0C6FD997" w:rsidR="00A70FDA" w:rsidRPr="00A70FDA" w:rsidRDefault="00A70FDA" w:rsidP="00A70FDA">
      <w:pPr>
        <w:spacing w:line="240" w:lineRule="auto"/>
        <w:rPr>
          <w:rFonts w:eastAsia="Times New Roman" w:cs="Arial"/>
          <w:color w:val="000000"/>
          <w:lang w:eastAsia="bg-BG"/>
        </w:rPr>
      </w:pPr>
      <w:r w:rsidRPr="00A70FDA">
        <w:rPr>
          <w:rFonts w:eastAsia="Times New Roman" w:cs="Arial"/>
          <w:color w:val="000000"/>
          <w:lang w:eastAsia="bg-BG"/>
        </w:rPr>
        <w:t xml:space="preserve">Оценката на линейното израстване (височина), тегло, ИТМ </w:t>
      </w:r>
      <w:r w:rsidRPr="00A70FDA">
        <w:rPr>
          <w:rFonts w:eastAsia="Times New Roman" w:cs="Arial"/>
          <w:color w:val="000000"/>
          <w:lang w:val="ru-RU"/>
        </w:rPr>
        <w:t>(</w:t>
      </w:r>
      <w:r w:rsidRPr="00A70FDA">
        <w:rPr>
          <w:rFonts w:eastAsia="Times New Roman" w:cs="Arial"/>
          <w:color w:val="000000"/>
          <w:lang w:val="en-US"/>
        </w:rPr>
        <w:t>BMI</w:t>
      </w:r>
      <w:r w:rsidRPr="00A70FDA">
        <w:rPr>
          <w:rFonts w:eastAsia="Times New Roman" w:cs="Arial"/>
          <w:color w:val="000000"/>
          <w:lang w:val="ru-RU"/>
        </w:rPr>
        <w:t xml:space="preserve"> </w:t>
      </w:r>
      <w:r w:rsidRPr="00A70FDA">
        <w:rPr>
          <w:rFonts w:eastAsia="Times New Roman" w:cs="Arial"/>
          <w:color w:val="000000"/>
          <w:lang w:eastAsia="bg-BG"/>
        </w:rPr>
        <w:t xml:space="preserve">-индекс на телесна маса), и вторичните полови белези на половото съзряване по скалата на </w:t>
      </w:r>
      <w:r w:rsidRPr="00A70FDA">
        <w:rPr>
          <w:rFonts w:eastAsia="Times New Roman" w:cs="Arial"/>
          <w:color w:val="000000"/>
          <w:lang w:val="en-US"/>
        </w:rPr>
        <w:t>Tanner</w:t>
      </w:r>
      <w:r w:rsidRPr="00A70FDA">
        <w:rPr>
          <w:rFonts w:eastAsia="Times New Roman" w:cs="Arial"/>
          <w:color w:val="000000"/>
          <w:lang w:val="ru-RU"/>
        </w:rPr>
        <w:t xml:space="preserve"> </w:t>
      </w:r>
      <w:r w:rsidRPr="00A70FDA">
        <w:rPr>
          <w:rFonts w:eastAsia="Times New Roman" w:cs="Arial"/>
          <w:color w:val="000000"/>
          <w:lang w:eastAsia="bg-BG"/>
        </w:rPr>
        <w:t>при педиатрични</w:t>
      </w:r>
      <w:r w:rsidRPr="00A70FDA">
        <w:rPr>
          <w:rFonts w:eastAsia="Times New Roman" w:cs="Arial"/>
          <w:i/>
          <w:iCs/>
          <w:color w:val="000000"/>
          <w:lang w:eastAsia="bg-BG"/>
        </w:rPr>
        <w:t xml:space="preserve"> </w:t>
      </w:r>
      <w:r w:rsidRPr="00A70FDA">
        <w:rPr>
          <w:rFonts w:eastAsia="Times New Roman" w:cs="Arial"/>
          <w:color w:val="000000"/>
          <w:lang w:eastAsia="bg-BG"/>
        </w:rPr>
        <w:t>пациенти от 6- до 17-годишна възраст, приемащи розувастатин, се ограничава до двугодишен период. След две години третиране по време на проучването, не е забелязан никакъв ефект върху растежа, теглото, ИТМ или половото съзряване (вж. раздел 5.1)</w:t>
      </w:r>
    </w:p>
    <w:p w14:paraId="39FB1F84" w14:textId="71F4E47D" w:rsidR="00A70FDA" w:rsidRPr="00A70FDA" w:rsidRDefault="00A70FDA" w:rsidP="00A70FDA">
      <w:pPr>
        <w:spacing w:line="240" w:lineRule="auto"/>
        <w:rPr>
          <w:rFonts w:eastAsia="Times New Roman" w:cs="Arial"/>
          <w:color w:val="000000"/>
          <w:lang w:eastAsia="bg-BG"/>
        </w:rPr>
      </w:pPr>
    </w:p>
    <w:p w14:paraId="5D1C2C34"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При клинично проучване на деца и юноши, приемащи розувастатин в продължение на 52 седмици, повишаване на СК &gt; 10</w:t>
      </w:r>
      <w:r w:rsidRPr="00A70FDA">
        <w:rPr>
          <w:rFonts w:eastAsia="Times New Roman" w:cs="Arial"/>
          <w:color w:val="000000"/>
          <w:lang w:val="en-US"/>
        </w:rPr>
        <w:t>xULN</w:t>
      </w:r>
      <w:r w:rsidRPr="00A70FDA">
        <w:rPr>
          <w:rFonts w:eastAsia="Times New Roman" w:cs="Arial"/>
          <w:color w:val="000000"/>
          <w:lang w:val="ru-RU"/>
        </w:rPr>
        <w:t xml:space="preserve"> </w:t>
      </w:r>
      <w:r w:rsidRPr="00A70FDA">
        <w:rPr>
          <w:rFonts w:eastAsia="Times New Roman" w:cs="Arial"/>
          <w:color w:val="000000"/>
          <w:lang w:eastAsia="bg-BG"/>
        </w:rPr>
        <w:t>и мускулни симптоми след упражнения или повишена физическа активност са наблюдавани по-често в сравнение с наблюдения от клинични проучвания при възрастни (вж. точка 4.8),</w:t>
      </w:r>
    </w:p>
    <w:p w14:paraId="1979756F" w14:textId="77777777" w:rsidR="00A70FDA" w:rsidRPr="00A70FDA" w:rsidRDefault="00A70FDA" w:rsidP="00A70FDA">
      <w:pPr>
        <w:spacing w:line="240" w:lineRule="auto"/>
        <w:rPr>
          <w:rFonts w:eastAsia="Times New Roman" w:cs="Arial"/>
          <w:color w:val="000000"/>
          <w:u w:val="single"/>
          <w:lang w:eastAsia="bg-BG"/>
        </w:rPr>
      </w:pPr>
    </w:p>
    <w:p w14:paraId="1CD8B8A2" w14:textId="15272314"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Тежки кожни нежелани реакции</w:t>
      </w:r>
    </w:p>
    <w:p w14:paraId="412FEE5A"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лечение е розувастатин се съобщава за тежки кожни нежелани реакции, включващи синдром на </w:t>
      </w:r>
      <w:r w:rsidRPr="00A70FDA">
        <w:rPr>
          <w:rFonts w:eastAsia="Times New Roman" w:cs="Arial"/>
          <w:color w:val="000000"/>
          <w:lang w:val="en-US"/>
        </w:rPr>
        <w:t>Stevens</w:t>
      </w:r>
      <w:r w:rsidRPr="00A70FDA">
        <w:rPr>
          <w:rFonts w:eastAsia="Times New Roman" w:cs="Arial"/>
          <w:color w:val="000000"/>
          <w:lang w:val="ru-RU"/>
        </w:rPr>
        <w:t xml:space="preserve"> </w:t>
      </w:r>
      <w:r w:rsidRPr="00A70FDA">
        <w:rPr>
          <w:rFonts w:eastAsia="Times New Roman" w:cs="Arial"/>
          <w:color w:val="000000"/>
          <w:lang w:val="en-US"/>
        </w:rPr>
        <w:t>Johnson</w:t>
      </w:r>
      <w:r w:rsidRPr="00A70FDA">
        <w:rPr>
          <w:rFonts w:eastAsia="Times New Roman" w:cs="Arial"/>
          <w:color w:val="000000"/>
          <w:lang w:val="ru-RU"/>
        </w:rPr>
        <w:t xml:space="preserve"> (</w:t>
      </w:r>
      <w:r w:rsidRPr="00A70FDA">
        <w:rPr>
          <w:rFonts w:eastAsia="Times New Roman" w:cs="Arial"/>
          <w:color w:val="000000"/>
          <w:lang w:val="en-US"/>
        </w:rPr>
        <w:t>SJS</w:t>
      </w:r>
      <w:r w:rsidRPr="00A70FDA">
        <w:rPr>
          <w:rFonts w:eastAsia="Times New Roman" w:cs="Arial"/>
          <w:color w:val="000000"/>
          <w:lang w:val="ru-RU"/>
        </w:rPr>
        <w:t xml:space="preserve">) </w:t>
      </w:r>
      <w:r w:rsidRPr="00A70FDA">
        <w:rPr>
          <w:rFonts w:eastAsia="Times New Roman" w:cs="Arial"/>
          <w:color w:val="000000"/>
          <w:lang w:eastAsia="bg-BG"/>
        </w:rPr>
        <w:t xml:space="preserve">и лекарствена реакция с еозинофилия и системни симптоми </w:t>
      </w:r>
      <w:r w:rsidRPr="00A70FDA">
        <w:rPr>
          <w:rFonts w:eastAsia="Times New Roman" w:cs="Arial"/>
          <w:color w:val="000000"/>
          <w:lang w:val="ru-RU"/>
        </w:rPr>
        <w:t>(</w:t>
      </w:r>
      <w:r w:rsidRPr="00A70FDA">
        <w:rPr>
          <w:rFonts w:eastAsia="Times New Roman" w:cs="Arial"/>
          <w:color w:val="000000"/>
          <w:lang w:val="en-US"/>
        </w:rPr>
        <w:t>DRESS</w:t>
      </w:r>
      <w:r w:rsidRPr="00A70FDA">
        <w:rPr>
          <w:rFonts w:eastAsia="Times New Roman" w:cs="Arial"/>
          <w:color w:val="000000"/>
          <w:lang w:val="ru-RU"/>
        </w:rPr>
        <w:t xml:space="preserve">), </w:t>
      </w:r>
      <w:r w:rsidRPr="00A70FDA">
        <w:rPr>
          <w:rFonts w:eastAsia="Times New Roman" w:cs="Arial"/>
          <w:color w:val="000000"/>
          <w:lang w:eastAsia="bg-BG"/>
        </w:rPr>
        <w:t>които може да са животозастрашаващи или с летален изход. При предписването на лекарствения продукт пациентите трябва да бъдат информирани за признаците и симптомите на тежки кожни реакции и да бъдат наблюдавани с повишено внимание. Ако се появят признаци и симптоми, показателни за тази реакция, приложението на Розвера трябва незабавно да се преустанови и да се обмисли алтернативно лечение.</w:t>
      </w:r>
    </w:p>
    <w:p w14:paraId="46E45FFF" w14:textId="77777777" w:rsidR="00A70FDA" w:rsidRPr="00A70FDA" w:rsidRDefault="00A70FDA" w:rsidP="00A70FDA">
      <w:pPr>
        <w:spacing w:line="240" w:lineRule="auto"/>
        <w:rPr>
          <w:rFonts w:eastAsia="Times New Roman" w:cs="Arial"/>
          <w:color w:val="000000"/>
          <w:lang w:eastAsia="bg-BG"/>
        </w:rPr>
      </w:pPr>
    </w:p>
    <w:p w14:paraId="66D7C1D1" w14:textId="639ADB85"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Ако пациентът е развил сериозна реакция, като например </w:t>
      </w:r>
      <w:r w:rsidRPr="00A70FDA">
        <w:rPr>
          <w:rFonts w:eastAsia="Times New Roman" w:cs="Arial"/>
          <w:color w:val="000000"/>
          <w:lang w:val="en-US"/>
        </w:rPr>
        <w:t>SJS</w:t>
      </w:r>
      <w:r w:rsidRPr="00A70FDA">
        <w:rPr>
          <w:rFonts w:eastAsia="Times New Roman" w:cs="Arial"/>
          <w:color w:val="000000"/>
          <w:lang w:val="ru-RU"/>
        </w:rPr>
        <w:t xml:space="preserve"> </w:t>
      </w:r>
      <w:r w:rsidRPr="00A70FDA">
        <w:rPr>
          <w:rFonts w:eastAsia="Times New Roman" w:cs="Arial"/>
          <w:color w:val="000000"/>
          <w:lang w:eastAsia="bg-BG"/>
        </w:rPr>
        <w:t xml:space="preserve">или </w:t>
      </w:r>
      <w:r w:rsidRPr="00A70FDA">
        <w:rPr>
          <w:rFonts w:eastAsia="Times New Roman" w:cs="Arial"/>
          <w:color w:val="000000"/>
          <w:lang w:val="en-US"/>
        </w:rPr>
        <w:t>DRESS</w:t>
      </w:r>
      <w:r w:rsidRPr="00A70FDA">
        <w:rPr>
          <w:rFonts w:eastAsia="Times New Roman" w:cs="Arial"/>
          <w:color w:val="000000"/>
          <w:lang w:val="ru-RU"/>
        </w:rPr>
        <w:t xml:space="preserve"> </w:t>
      </w:r>
      <w:r w:rsidRPr="00A70FDA">
        <w:rPr>
          <w:rFonts w:eastAsia="Times New Roman" w:cs="Arial"/>
          <w:color w:val="000000"/>
          <w:lang w:eastAsia="bg-BG"/>
        </w:rPr>
        <w:t>при употребата на Розвера, лечението с Розвера не трябва никога да се подновява при този пациент.</w:t>
      </w:r>
    </w:p>
    <w:p w14:paraId="36C25261" w14:textId="77777777" w:rsidR="00A70FDA" w:rsidRPr="00A70FDA" w:rsidRDefault="00A70FDA" w:rsidP="00A70FDA">
      <w:pPr>
        <w:spacing w:line="240" w:lineRule="auto"/>
        <w:rPr>
          <w:rFonts w:eastAsia="Times New Roman" w:cs="Arial"/>
          <w:color w:val="000000"/>
          <w:lang w:eastAsia="bg-BG"/>
        </w:rPr>
      </w:pPr>
    </w:p>
    <w:p w14:paraId="7E3367EE" w14:textId="42439BF1" w:rsidR="00A70FDA" w:rsidRPr="00A70FDA" w:rsidRDefault="00A70FDA" w:rsidP="00A70FDA">
      <w:pPr>
        <w:spacing w:line="240" w:lineRule="auto"/>
        <w:rPr>
          <w:rFonts w:eastAsia="Times New Roman" w:cs="Arial"/>
        </w:rPr>
      </w:pPr>
      <w:r w:rsidRPr="00A70FDA">
        <w:rPr>
          <w:rFonts w:eastAsia="Times New Roman" w:cs="Arial"/>
          <w:color w:val="000000"/>
          <w:lang w:eastAsia="bg-BG"/>
        </w:rPr>
        <w:t>Розвера филмирани таблетки съдържат лактоза. Пациенти е редки наследствени проблеми на непоносимост към галактоза, пълен лактазен дефицит или глюкозно-галактозна малабсорбция не трябва да приемат това лекарство.</w:t>
      </w:r>
    </w:p>
    <w:p w14:paraId="69962E68" w14:textId="50379B3A" w:rsidR="00A70FDA" w:rsidRPr="00A70FDA" w:rsidRDefault="00A70FDA" w:rsidP="00A70FDA"/>
    <w:p w14:paraId="0734264C" w14:textId="725C0500" w:rsidR="007122AD" w:rsidRDefault="002C50EE" w:rsidP="00936AD0">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4F38C703" w14:textId="004AD172" w:rsidR="00A70FDA" w:rsidRDefault="00A70FDA" w:rsidP="00A70FDA"/>
    <w:p w14:paraId="112D1BF4"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u w:val="single"/>
          <w:lang w:eastAsia="bg-BG"/>
        </w:rPr>
        <w:t>Ефект на други лекарствени продукти върху розувастатин при едновременния им прием</w:t>
      </w:r>
    </w:p>
    <w:p w14:paraId="118471CE" w14:textId="77777777" w:rsidR="00A70FDA" w:rsidRPr="006C600B" w:rsidRDefault="00A70FDA" w:rsidP="00A70FDA">
      <w:pPr>
        <w:spacing w:line="240" w:lineRule="auto"/>
        <w:rPr>
          <w:rFonts w:eastAsia="Times New Roman" w:cs="Arial"/>
          <w:i/>
          <w:iCs/>
          <w:color w:val="000000"/>
          <w:lang w:eastAsia="bg-BG"/>
        </w:rPr>
      </w:pPr>
    </w:p>
    <w:p w14:paraId="0A9620E8" w14:textId="00C14519"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Инхибитори на транспортните протеини:</w:t>
      </w:r>
      <w:r w:rsidRPr="00A70FDA">
        <w:rPr>
          <w:rFonts w:eastAsia="Times New Roman" w:cs="Arial"/>
          <w:color w:val="000000"/>
          <w:lang w:eastAsia="bg-BG"/>
        </w:rPr>
        <w:t xml:space="preserve"> Розувастатин е субстрат на определени транспортни протеини, включително транспортер на чернодробното захващане ОАТР1В1 и ефлуксен транспортер </w:t>
      </w:r>
      <w:r w:rsidRPr="00A70FDA">
        <w:rPr>
          <w:rFonts w:eastAsia="Times New Roman" w:cs="Arial"/>
          <w:color w:val="000000"/>
          <w:lang w:val="en-US"/>
        </w:rPr>
        <w:t>BCRP</w:t>
      </w:r>
      <w:r w:rsidRPr="00A70FDA">
        <w:rPr>
          <w:rFonts w:eastAsia="Times New Roman" w:cs="Arial"/>
          <w:color w:val="000000"/>
          <w:lang w:val="ru-RU"/>
        </w:rPr>
        <w:t xml:space="preserve">. </w:t>
      </w:r>
      <w:r w:rsidRPr="00A70FDA">
        <w:rPr>
          <w:rFonts w:eastAsia="Times New Roman" w:cs="Arial"/>
          <w:color w:val="000000"/>
          <w:lang w:eastAsia="bg-BG"/>
        </w:rPr>
        <w:t>Едновременното приложение на розувастатин с лекарствени продукти, които са инхибитори на тези транспортни протеини може да има за резултат повишаване на плазмената концентрация на розувастатин и повишен риск от миопатия (вж. точка 4.2, 4.4 и 4.5 Таблица 1).</w:t>
      </w:r>
    </w:p>
    <w:p w14:paraId="47816E91" w14:textId="77777777" w:rsidR="00A70FDA" w:rsidRPr="006C600B" w:rsidRDefault="00A70FDA" w:rsidP="00A70FDA">
      <w:pPr>
        <w:spacing w:line="240" w:lineRule="auto"/>
        <w:rPr>
          <w:rFonts w:eastAsia="Times New Roman" w:cs="Arial"/>
          <w:i/>
          <w:iCs/>
          <w:color w:val="000000"/>
          <w:lang w:eastAsia="bg-BG"/>
        </w:rPr>
      </w:pPr>
    </w:p>
    <w:p w14:paraId="3C791FC6" w14:textId="210E9546"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Циклоспорин</w:t>
      </w:r>
    </w:p>
    <w:p w14:paraId="0DC4D150"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lastRenderedPageBreak/>
        <w:t xml:space="preserve">При едновременното приложение на розувастатин с циклоспорин средните стойности на </w:t>
      </w:r>
      <w:r w:rsidRPr="00A70FDA">
        <w:rPr>
          <w:rFonts w:eastAsia="Times New Roman" w:cs="Arial"/>
          <w:color w:val="000000"/>
          <w:lang w:val="en-US"/>
        </w:rPr>
        <w:t>AUC</w:t>
      </w:r>
      <w:r w:rsidRPr="00A70FDA">
        <w:rPr>
          <w:rFonts w:eastAsia="Times New Roman" w:cs="Arial"/>
          <w:color w:val="000000"/>
          <w:lang w:val="ru-RU"/>
        </w:rPr>
        <w:t xml:space="preserve"> </w:t>
      </w:r>
      <w:r w:rsidRPr="00A70FDA">
        <w:rPr>
          <w:rFonts w:eastAsia="Times New Roman" w:cs="Arial"/>
          <w:color w:val="000000"/>
          <w:lang w:eastAsia="bg-BG"/>
        </w:rPr>
        <w:t>са били средно 7 пъти по-високи от тези, наблюдавани при здрави доброволци (вж. таблица 1). Розувастатин е противопоказан при пациенти получаващи едновременно циклоспорин (вж, точка 4.3). Едновременният прием не повлиява плазмената концентрация на циклоспорин.</w:t>
      </w:r>
    </w:p>
    <w:p w14:paraId="5C235B3F" w14:textId="77777777" w:rsidR="00A70FDA" w:rsidRPr="006C600B" w:rsidRDefault="00A70FDA" w:rsidP="00A70FDA">
      <w:pPr>
        <w:spacing w:line="240" w:lineRule="auto"/>
        <w:rPr>
          <w:rFonts w:eastAsia="Times New Roman" w:cs="Arial"/>
          <w:i/>
          <w:iCs/>
          <w:color w:val="000000"/>
          <w:lang w:eastAsia="bg-BG"/>
        </w:rPr>
      </w:pPr>
    </w:p>
    <w:p w14:paraId="529EB07F" w14:textId="4B7B817C"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Протеазни инхибитори</w:t>
      </w:r>
    </w:p>
    <w:p w14:paraId="2CE5C816"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Въпреки, неточният механизъм на взаимодействие не е известен, едновременното приложение с протеазни инхибитори може рязко да повиши експозицията на розувастатин (вж. Таблица 1). Едновременното приложение на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розувастатин и комбиниран продукт, състоящ се от два протеазни инхибитора (300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атазанавир/100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ритонавир) при здрави доброволци се асоциира с приблизително три- и седем пъти нарастване в равновесните </w:t>
      </w:r>
      <w:r w:rsidRPr="00A70FDA">
        <w:rPr>
          <w:rFonts w:eastAsia="Times New Roman" w:cs="Arial"/>
          <w:color w:val="000000"/>
          <w:lang w:val="en-US"/>
        </w:rPr>
        <w:t>AUC</w:t>
      </w:r>
      <w:r w:rsidRPr="00A70FDA">
        <w:rPr>
          <w:rFonts w:eastAsia="Times New Roman" w:cs="Arial"/>
          <w:color w:val="000000"/>
          <w:lang w:val="ru-RU"/>
        </w:rPr>
        <w:t xml:space="preserve"> </w:t>
      </w:r>
      <w:r w:rsidRPr="00A70FDA">
        <w:rPr>
          <w:rFonts w:eastAsia="Times New Roman" w:cs="Arial"/>
          <w:color w:val="000000"/>
          <w:lang w:eastAsia="bg-BG"/>
        </w:rPr>
        <w:t>и С</w:t>
      </w:r>
      <w:r w:rsidRPr="00A70FDA">
        <w:rPr>
          <w:rFonts w:eastAsia="Times New Roman" w:cs="Arial"/>
          <w:color w:val="000000"/>
          <w:vertAlign w:val="subscript"/>
          <w:lang w:val="en-US"/>
        </w:rPr>
        <w:t>max</w:t>
      </w:r>
      <w:r w:rsidRPr="00A70FDA">
        <w:rPr>
          <w:rFonts w:eastAsia="Times New Roman" w:cs="Arial"/>
          <w:color w:val="000000"/>
          <w:vertAlign w:val="subscript"/>
          <w:lang w:eastAsia="bg-BG"/>
        </w:rPr>
        <w:t xml:space="preserve"> </w:t>
      </w:r>
      <w:r w:rsidRPr="00A70FDA">
        <w:rPr>
          <w:rFonts w:eastAsia="Times New Roman" w:cs="Arial"/>
          <w:color w:val="000000"/>
          <w:lang w:eastAsia="bg-BG"/>
        </w:rPr>
        <w:t>респективно. Едновременната употреба на розувастатин с някои комбинирани протеазни инхибитори може да се има в предвид след внимателна преценка на дозата на розувастатин, базирана на очаквано повишение на експозицията на розувастатин (вж. точки 4.2, 4.4 и 4.5 Таблица 1).</w:t>
      </w:r>
    </w:p>
    <w:p w14:paraId="185184B1" w14:textId="77777777" w:rsidR="00A70FDA" w:rsidRPr="006C600B" w:rsidRDefault="00A70FDA" w:rsidP="00A70FDA">
      <w:pPr>
        <w:spacing w:line="240" w:lineRule="auto"/>
        <w:rPr>
          <w:rFonts w:eastAsia="Times New Roman" w:cs="Arial"/>
          <w:i/>
          <w:iCs/>
          <w:color w:val="000000"/>
          <w:lang w:eastAsia="bg-BG"/>
        </w:rPr>
      </w:pPr>
    </w:p>
    <w:p w14:paraId="0639C691" w14:textId="53705AA0"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Гемфиброзил и други липидопонижавагци продукти</w:t>
      </w:r>
    </w:p>
    <w:p w14:paraId="115A0EAB" w14:textId="77777777" w:rsidR="00A70FDA" w:rsidRPr="006C600B" w:rsidRDefault="00A70FDA" w:rsidP="00A70FDA">
      <w:pPr>
        <w:spacing w:line="240" w:lineRule="auto"/>
        <w:rPr>
          <w:rFonts w:eastAsia="Times New Roman" w:cs="Arial"/>
          <w:color w:val="000000"/>
          <w:lang w:eastAsia="bg-BG"/>
        </w:rPr>
      </w:pPr>
      <w:r w:rsidRPr="00A70FDA">
        <w:rPr>
          <w:rFonts w:eastAsia="Times New Roman" w:cs="Arial"/>
          <w:color w:val="000000"/>
          <w:lang w:eastAsia="bg-BG"/>
        </w:rPr>
        <w:t xml:space="preserve">Едновременното приложение на розувастатин и гемфиброзил е довело до двукратно повишение на </w:t>
      </w:r>
    </w:p>
    <w:p w14:paraId="71836298" w14:textId="0A5C489B"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С </w:t>
      </w:r>
      <w:r w:rsidRPr="00A70FDA">
        <w:rPr>
          <w:rFonts w:eastAsia="Times New Roman" w:cs="Arial"/>
          <w:color w:val="000000"/>
          <w:lang w:val="en-US"/>
        </w:rPr>
        <w:t>max</w:t>
      </w:r>
      <w:r w:rsidRPr="00A70FDA">
        <w:rPr>
          <w:rFonts w:eastAsia="Times New Roman" w:cs="Arial"/>
          <w:color w:val="000000"/>
          <w:lang w:val="ru-RU"/>
        </w:rPr>
        <w:t xml:space="preserve"> </w:t>
      </w:r>
      <w:r w:rsidRPr="00A70FDA">
        <w:rPr>
          <w:rFonts w:eastAsia="Times New Roman" w:cs="Arial"/>
          <w:color w:val="000000"/>
          <w:lang w:eastAsia="bg-BG"/>
        </w:rPr>
        <w:t xml:space="preserve">и </w:t>
      </w:r>
      <w:r w:rsidRPr="00A70FDA">
        <w:rPr>
          <w:rFonts w:eastAsia="Times New Roman" w:cs="Arial"/>
          <w:color w:val="000000"/>
          <w:lang w:val="en-US"/>
        </w:rPr>
        <w:t>AUC</w:t>
      </w:r>
      <w:r w:rsidRPr="00A70FDA">
        <w:rPr>
          <w:rFonts w:eastAsia="Times New Roman" w:cs="Arial"/>
          <w:color w:val="000000"/>
          <w:lang w:val="ru-RU"/>
        </w:rPr>
        <w:t xml:space="preserve"> </w:t>
      </w:r>
      <w:r w:rsidRPr="00A70FDA">
        <w:rPr>
          <w:rFonts w:eastAsia="Times New Roman" w:cs="Arial"/>
          <w:color w:val="000000"/>
          <w:lang w:eastAsia="bg-BG"/>
        </w:rPr>
        <w:t>(вж. точка 4.4).</w:t>
      </w:r>
    </w:p>
    <w:p w14:paraId="397AC114" w14:textId="77777777" w:rsidR="00A70FDA" w:rsidRPr="006C600B" w:rsidRDefault="00A70FDA" w:rsidP="00A70FDA">
      <w:pPr>
        <w:rPr>
          <w:rFonts w:eastAsia="Times New Roman" w:cs="Arial"/>
          <w:color w:val="000000"/>
          <w:lang w:eastAsia="bg-BG"/>
        </w:rPr>
      </w:pPr>
    </w:p>
    <w:p w14:paraId="5151BFEE" w14:textId="397BC90B" w:rsidR="00A70FDA" w:rsidRPr="006C600B" w:rsidRDefault="00A70FDA" w:rsidP="00A70FDA">
      <w:pPr>
        <w:rPr>
          <w:rFonts w:eastAsia="Times New Roman" w:cs="Arial"/>
          <w:color w:val="000000"/>
          <w:lang w:eastAsia="bg-BG"/>
        </w:rPr>
      </w:pPr>
      <w:r w:rsidRPr="006C600B">
        <w:rPr>
          <w:rFonts w:eastAsia="Times New Roman" w:cs="Arial"/>
          <w:color w:val="000000"/>
          <w:lang w:eastAsia="bg-BG"/>
        </w:rPr>
        <w:t>Данните от специфичните проучвания, изследващи лекарствените взаимодействия не показват взаимодействие с фенофибрат, но е възможна поява на фармакодинамични взаимодействия</w:t>
      </w:r>
      <w:r w:rsidR="006C600B" w:rsidRPr="006C600B">
        <w:rPr>
          <w:rFonts w:eastAsia="Times New Roman" w:cs="Arial"/>
          <w:color w:val="000000"/>
          <w:lang w:eastAsia="bg-BG"/>
        </w:rPr>
        <w:t>.</w:t>
      </w:r>
    </w:p>
    <w:p w14:paraId="5CDC6EA8" w14:textId="0F8DFDB3" w:rsidR="006C600B" w:rsidRPr="006C600B" w:rsidRDefault="006C600B" w:rsidP="00A70FDA">
      <w:pPr>
        <w:rPr>
          <w:rFonts w:eastAsia="Times New Roman" w:cs="Arial"/>
          <w:color w:val="000000"/>
          <w:lang w:eastAsia="bg-BG"/>
        </w:rPr>
      </w:pPr>
    </w:p>
    <w:p w14:paraId="10DCDF8C"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Гемфиброзил, фенофибрат, други фибрати и липи до-понижаващите дози (по-високи или равни на 1 </w:t>
      </w:r>
      <w:r w:rsidRPr="006C600B">
        <w:rPr>
          <w:rFonts w:eastAsia="Times New Roman" w:cs="Arial"/>
          <w:color w:val="000000"/>
          <w:lang w:val="en-US"/>
        </w:rPr>
        <w:t>g</w:t>
      </w:r>
      <w:r w:rsidRPr="006C600B">
        <w:rPr>
          <w:rFonts w:eastAsia="Times New Roman" w:cs="Arial"/>
          <w:color w:val="000000"/>
          <w:lang w:eastAsia="bg-BG"/>
        </w:rPr>
        <w:t xml:space="preserve">/ден) на ниацин (никотинова киселина) повишават риска от поява на миопатия при комбиниране с </w:t>
      </w:r>
      <w:r w:rsidRPr="006C600B">
        <w:rPr>
          <w:rFonts w:eastAsia="Times New Roman" w:cs="Arial"/>
          <w:color w:val="000000"/>
          <w:lang w:val="en-US"/>
        </w:rPr>
        <w:t>HMG</w:t>
      </w:r>
      <w:r w:rsidRPr="006C600B">
        <w:rPr>
          <w:rFonts w:eastAsia="Times New Roman" w:cs="Arial"/>
          <w:color w:val="000000"/>
          <w:lang w:val="ru-RU"/>
        </w:rPr>
        <w:t>-</w:t>
      </w:r>
      <w:r w:rsidRPr="006C600B">
        <w:rPr>
          <w:rFonts w:eastAsia="Times New Roman" w:cs="Arial"/>
          <w:color w:val="000000"/>
          <w:lang w:val="en-US"/>
        </w:rPr>
        <w:t>CoA</w:t>
      </w:r>
      <w:r w:rsidRPr="006C600B">
        <w:rPr>
          <w:rFonts w:eastAsia="Times New Roman" w:cs="Arial"/>
          <w:color w:val="000000"/>
          <w:lang w:val="ru-RU"/>
        </w:rPr>
        <w:t xml:space="preserve"> </w:t>
      </w:r>
      <w:r w:rsidRPr="006C600B">
        <w:rPr>
          <w:rFonts w:eastAsia="Times New Roman" w:cs="Arial"/>
          <w:color w:val="000000"/>
          <w:lang w:eastAsia="bg-BG"/>
        </w:rPr>
        <w:t xml:space="preserve">редуктазни инхибитори, най-вероятно поради факта, че последните могат да предизвикат миопатия и при монотерапия. Дозите от 30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и 40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са противопоказани при едновременен прием на фибрати (вж. точка 4,3 и точка 4.4). При тези пациенти лечението също трябва да започне с 5 </w:t>
      </w:r>
      <w:r w:rsidRPr="006C600B">
        <w:rPr>
          <w:rFonts w:eastAsia="Times New Roman" w:cs="Arial"/>
          <w:color w:val="000000"/>
          <w:lang w:val="en-US"/>
        </w:rPr>
        <w:t>mg</w:t>
      </w:r>
      <w:r w:rsidRPr="006C600B">
        <w:rPr>
          <w:rFonts w:eastAsia="Times New Roman" w:cs="Arial"/>
          <w:color w:val="000000"/>
          <w:lang w:val="ru-RU"/>
        </w:rPr>
        <w:t>.</w:t>
      </w:r>
    </w:p>
    <w:p w14:paraId="5FF33616" w14:textId="77777777" w:rsidR="006C600B" w:rsidRPr="006C600B" w:rsidRDefault="006C600B" w:rsidP="006C600B">
      <w:pPr>
        <w:spacing w:line="240" w:lineRule="auto"/>
        <w:rPr>
          <w:rFonts w:eastAsia="Times New Roman" w:cs="Arial"/>
          <w:i/>
          <w:iCs/>
          <w:color w:val="000000"/>
          <w:lang w:eastAsia="bg-BG"/>
        </w:rPr>
      </w:pPr>
    </w:p>
    <w:p w14:paraId="0478B28A" w14:textId="6EA58BDB"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Езетимиб</w:t>
      </w:r>
    </w:p>
    <w:p w14:paraId="2565FFD9"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Едновременната употреба на 10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розувастатин и 10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езетимиб има за резултат 1,2 пъти увеличение на </w:t>
      </w:r>
      <w:r w:rsidRPr="006C600B">
        <w:rPr>
          <w:rFonts w:eastAsia="Times New Roman" w:cs="Arial"/>
          <w:color w:val="000000"/>
          <w:lang w:val="en-US"/>
        </w:rPr>
        <w:t>AUC</w:t>
      </w:r>
      <w:r w:rsidRPr="006C600B">
        <w:rPr>
          <w:rFonts w:eastAsia="Times New Roman" w:cs="Arial"/>
          <w:color w:val="000000"/>
          <w:lang w:val="ru-RU"/>
        </w:rPr>
        <w:t xml:space="preserve"> </w:t>
      </w:r>
      <w:r w:rsidRPr="006C600B">
        <w:rPr>
          <w:rFonts w:eastAsia="Times New Roman" w:cs="Arial"/>
          <w:color w:val="000000"/>
          <w:lang w:eastAsia="bg-BG"/>
        </w:rPr>
        <w:t>на розувастатин при хиперхолестеролемични пациенти (Таблица 1). Въпреки това, фармакодинамични взаимодействия, определени като нежелани реакции, между розувастатин и езетимиб не могат да бъдат изключени (вж. точка 4.4).</w:t>
      </w:r>
    </w:p>
    <w:p w14:paraId="05138BC7" w14:textId="77777777" w:rsidR="006C600B" w:rsidRPr="006C600B" w:rsidRDefault="006C600B" w:rsidP="006C600B">
      <w:pPr>
        <w:spacing w:line="240" w:lineRule="auto"/>
        <w:rPr>
          <w:rFonts w:eastAsia="Times New Roman" w:cs="Arial"/>
          <w:i/>
          <w:iCs/>
          <w:color w:val="000000"/>
          <w:lang w:eastAsia="bg-BG"/>
        </w:rPr>
      </w:pPr>
    </w:p>
    <w:p w14:paraId="5514E5A6" w14:textId="106EC8A1"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Антиациди</w:t>
      </w:r>
    </w:p>
    <w:p w14:paraId="1DBAE587"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Едновременното приложение на розувастатин с антиацидна суспензия, съдържаща алуминиев и магнезиев хидроксид, е довело до намаляване на плазмената концентрация на розувастатин с приблизително 50%. Този ефект е бил отслабен, когато антиацидите са давани 2 часа след приема на Розвера. Клиничното значение на това взаимодействие не е изследвано.</w:t>
      </w:r>
    </w:p>
    <w:p w14:paraId="68F883BC" w14:textId="77777777" w:rsidR="006C600B" w:rsidRPr="006C600B" w:rsidRDefault="006C600B" w:rsidP="006C600B">
      <w:pPr>
        <w:spacing w:line="240" w:lineRule="auto"/>
        <w:rPr>
          <w:rFonts w:eastAsia="Times New Roman" w:cs="Arial"/>
          <w:i/>
          <w:iCs/>
          <w:color w:val="000000"/>
          <w:lang w:eastAsia="bg-BG"/>
        </w:rPr>
      </w:pPr>
    </w:p>
    <w:p w14:paraId="260425D1" w14:textId="59E6091D"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Еритром ицин</w:t>
      </w:r>
    </w:p>
    <w:p w14:paraId="082B7821"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Едновременният прием на розувастатин и еритромицин е довел до 20% намаление на </w:t>
      </w:r>
      <w:r w:rsidRPr="006C600B">
        <w:rPr>
          <w:rFonts w:eastAsia="Times New Roman" w:cs="Arial"/>
          <w:color w:val="000000"/>
          <w:lang w:val="en-US"/>
        </w:rPr>
        <w:t>AUC</w:t>
      </w:r>
      <w:r w:rsidRPr="006C600B">
        <w:rPr>
          <w:rFonts w:eastAsia="Times New Roman" w:cs="Arial"/>
          <w:color w:val="000000"/>
          <w:vertAlign w:val="subscript"/>
          <w:lang w:val="ru-RU"/>
        </w:rPr>
        <w:t>(0-</w:t>
      </w:r>
      <w:r w:rsidRPr="006C600B">
        <w:rPr>
          <w:rFonts w:eastAsia="Times New Roman" w:cs="Arial"/>
          <w:color w:val="000000"/>
          <w:vertAlign w:val="subscript"/>
          <w:lang w:val="en-US"/>
        </w:rPr>
        <w:t>t</w:t>
      </w:r>
      <w:r w:rsidRPr="006C600B">
        <w:rPr>
          <w:rFonts w:eastAsia="Times New Roman" w:cs="Arial"/>
          <w:color w:val="000000"/>
          <w:vertAlign w:val="subscript"/>
          <w:lang w:val="ru-RU"/>
        </w:rPr>
        <w:t>)</w:t>
      </w:r>
      <w:r w:rsidRPr="006C600B">
        <w:rPr>
          <w:rFonts w:eastAsia="Times New Roman" w:cs="Arial"/>
          <w:color w:val="000000"/>
          <w:lang w:val="ru-RU"/>
        </w:rPr>
        <w:t xml:space="preserve"> </w:t>
      </w:r>
      <w:r w:rsidRPr="006C600B">
        <w:rPr>
          <w:rFonts w:eastAsia="Times New Roman" w:cs="Arial"/>
          <w:color w:val="000000"/>
          <w:lang w:eastAsia="bg-BG"/>
        </w:rPr>
        <w:t>и 30% намаление на С</w:t>
      </w:r>
      <w:r w:rsidRPr="006C600B">
        <w:rPr>
          <w:rFonts w:eastAsia="Times New Roman" w:cs="Arial"/>
          <w:color w:val="000000"/>
          <w:vertAlign w:val="subscript"/>
          <w:lang w:val="en-US"/>
        </w:rPr>
        <w:t>max</w:t>
      </w:r>
      <w:r w:rsidRPr="006C600B">
        <w:rPr>
          <w:rFonts w:eastAsia="Times New Roman" w:cs="Arial"/>
          <w:color w:val="000000"/>
          <w:lang w:eastAsia="bg-BG"/>
        </w:rPr>
        <w:t xml:space="preserve"> на розувастатин. Взаимодействието може да е </w:t>
      </w:r>
      <w:r w:rsidRPr="006C600B">
        <w:rPr>
          <w:rFonts w:eastAsia="Times New Roman" w:cs="Arial"/>
          <w:color w:val="000000"/>
          <w:lang w:eastAsia="bg-BG"/>
        </w:rPr>
        <w:lastRenderedPageBreak/>
        <w:t>предизвикано от повишения чревен мотилитет вследствие на приемането на еритромицин.</w:t>
      </w:r>
    </w:p>
    <w:p w14:paraId="350E6736" w14:textId="77777777" w:rsidR="006C600B" w:rsidRPr="006C600B" w:rsidRDefault="006C600B" w:rsidP="006C600B">
      <w:pPr>
        <w:spacing w:line="240" w:lineRule="auto"/>
        <w:rPr>
          <w:rFonts w:eastAsia="Times New Roman" w:cs="Arial"/>
          <w:i/>
          <w:iCs/>
          <w:color w:val="000000"/>
          <w:lang w:eastAsia="bg-BG"/>
        </w:rPr>
      </w:pPr>
    </w:p>
    <w:p w14:paraId="06AC3C1E" w14:textId="20E2BA36"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Ензими от системата на цитохром Р450</w:t>
      </w:r>
    </w:p>
    <w:p w14:paraId="188B123C"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Данните от </w:t>
      </w:r>
      <w:r w:rsidRPr="006C600B">
        <w:rPr>
          <w:rFonts w:eastAsia="Times New Roman" w:cs="Arial"/>
          <w:color w:val="000000"/>
          <w:lang w:val="en-US"/>
        </w:rPr>
        <w:t>in</w:t>
      </w:r>
      <w:r w:rsidRPr="006C600B">
        <w:rPr>
          <w:rFonts w:eastAsia="Times New Roman" w:cs="Arial"/>
          <w:color w:val="000000"/>
          <w:lang w:val="ru-RU"/>
        </w:rPr>
        <w:t xml:space="preserve"> </w:t>
      </w:r>
      <w:r w:rsidRPr="006C600B">
        <w:rPr>
          <w:rFonts w:eastAsia="Times New Roman" w:cs="Arial"/>
          <w:color w:val="000000"/>
          <w:lang w:val="en-US"/>
        </w:rPr>
        <w:t>vitro</w:t>
      </w:r>
      <w:r w:rsidRPr="006C600B">
        <w:rPr>
          <w:rFonts w:eastAsia="Times New Roman" w:cs="Arial"/>
          <w:color w:val="000000"/>
          <w:lang w:val="ru-RU"/>
        </w:rPr>
        <w:t xml:space="preserve"> </w:t>
      </w:r>
      <w:r w:rsidRPr="006C600B">
        <w:rPr>
          <w:rFonts w:eastAsia="Times New Roman" w:cs="Arial"/>
          <w:color w:val="000000"/>
          <w:lang w:eastAsia="bg-BG"/>
        </w:rPr>
        <w:t xml:space="preserve">и </w:t>
      </w:r>
      <w:r w:rsidRPr="006C600B">
        <w:rPr>
          <w:rFonts w:eastAsia="Times New Roman" w:cs="Arial"/>
          <w:color w:val="000000"/>
          <w:lang w:val="en-US"/>
        </w:rPr>
        <w:t>in</w:t>
      </w:r>
      <w:r w:rsidRPr="006C600B">
        <w:rPr>
          <w:rFonts w:eastAsia="Times New Roman" w:cs="Arial"/>
          <w:color w:val="000000"/>
          <w:lang w:val="ru-RU"/>
        </w:rPr>
        <w:t xml:space="preserve"> </w:t>
      </w:r>
      <w:r w:rsidRPr="006C600B">
        <w:rPr>
          <w:rFonts w:eastAsia="Times New Roman" w:cs="Arial"/>
          <w:color w:val="000000"/>
          <w:lang w:val="en-US"/>
        </w:rPr>
        <w:t>vivo</w:t>
      </w:r>
      <w:r w:rsidRPr="006C600B">
        <w:rPr>
          <w:rFonts w:eastAsia="Times New Roman" w:cs="Arial"/>
          <w:color w:val="000000"/>
          <w:lang w:val="ru-RU"/>
        </w:rPr>
        <w:t xml:space="preserve"> </w:t>
      </w:r>
      <w:r w:rsidRPr="006C600B">
        <w:rPr>
          <w:rFonts w:eastAsia="Times New Roman" w:cs="Arial"/>
          <w:color w:val="000000"/>
          <w:lang w:eastAsia="bg-BG"/>
        </w:rPr>
        <w:t>проучвания показват, че розувастатин не е нито инхибитор, нито индуктор на цитохром Р450 изоензимите. Освен това, розувастатин е слаб субстрат за тези изоензими. Следователно, не се очакват лекарствени взаимодействия като резултат от цитохром Р450-медииран метаболизъм. Не са наблюдавани клинично значими взаимодействия между розувастатин и флуконазол (инхибитор на СУР2С9 и СУРЗА4) или кетоконазол (инхибитор на СУР2А6 и СУРЗА4).</w:t>
      </w:r>
    </w:p>
    <w:p w14:paraId="2CE033F5" w14:textId="77777777" w:rsidR="006C600B" w:rsidRPr="006C600B" w:rsidRDefault="006C600B" w:rsidP="006C600B">
      <w:pPr>
        <w:spacing w:line="240" w:lineRule="auto"/>
        <w:rPr>
          <w:rFonts w:eastAsia="Times New Roman" w:cs="Arial"/>
          <w:i/>
          <w:iCs/>
          <w:color w:val="000000"/>
          <w:lang w:eastAsia="bg-BG"/>
        </w:rPr>
      </w:pPr>
    </w:p>
    <w:p w14:paraId="2A473847" w14:textId="049A41F0"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 xml:space="preserve">Взаимодействия, изискващи корекция на дозата нарозувастатин (вж. също Таблица 1): </w:t>
      </w:r>
      <w:r w:rsidRPr="006C600B">
        <w:rPr>
          <w:rFonts w:eastAsia="Times New Roman" w:cs="Arial"/>
          <w:color w:val="000000"/>
          <w:lang w:eastAsia="bg-BG"/>
        </w:rPr>
        <w:t xml:space="preserve">Когато е необходим едновременен прием на розувастатин с други лекарствени продукти, за които е известно, че увеличават експозицията на розувастатин, дозата на розувастатин трябва да се коригира. Необходимо е да се започне с доза 5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веднъж дневно розувастатин, ако очакваното повишаване на експозицията </w:t>
      </w:r>
      <w:r w:rsidRPr="006C600B">
        <w:rPr>
          <w:rFonts w:eastAsia="Times New Roman" w:cs="Arial"/>
          <w:color w:val="000000"/>
          <w:lang w:val="ru-RU"/>
        </w:rPr>
        <w:t>(</w:t>
      </w:r>
      <w:r w:rsidRPr="006C600B">
        <w:rPr>
          <w:rFonts w:eastAsia="Times New Roman" w:cs="Arial"/>
          <w:color w:val="000000"/>
          <w:lang w:val="en-US"/>
        </w:rPr>
        <w:t>AUC</w:t>
      </w:r>
      <w:r w:rsidRPr="006C600B">
        <w:rPr>
          <w:rFonts w:eastAsia="Times New Roman" w:cs="Arial"/>
          <w:color w:val="000000"/>
          <w:lang w:val="ru-RU"/>
        </w:rPr>
        <w:t xml:space="preserve">) </w:t>
      </w:r>
      <w:r w:rsidRPr="006C600B">
        <w:rPr>
          <w:rFonts w:eastAsia="Times New Roman" w:cs="Arial"/>
          <w:color w:val="000000"/>
          <w:lang w:eastAsia="bg-BG"/>
        </w:rPr>
        <w:t xml:space="preserve">е приблизително двукратно или по-голямо. Максималната дневна доза на розувастатин трябва да бъде коригирана така, че очакваната експозиция на розувастатин няма да превишава съответстващата от 40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дневна доза розувастатин, приета без взаимодействащи лекарствени продукти, като например 20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доза от розувастатин с гемифиброзил (1,9 пъти увеличение), и 10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доза от розувастатин с комбинация от атазанавир/ритонавир (3,1 пъти увеличение).</w:t>
      </w:r>
    </w:p>
    <w:p w14:paraId="26548A1C" w14:textId="77777777" w:rsidR="006C600B" w:rsidRPr="006C600B" w:rsidRDefault="006C600B" w:rsidP="006C600B">
      <w:pPr>
        <w:spacing w:line="240" w:lineRule="auto"/>
        <w:rPr>
          <w:rFonts w:eastAsia="Times New Roman" w:cs="Arial"/>
          <w:i/>
          <w:iCs/>
          <w:color w:val="000000"/>
          <w:lang w:eastAsia="bg-BG"/>
        </w:rPr>
      </w:pPr>
    </w:p>
    <w:p w14:paraId="0946C347" w14:textId="30361872"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Тикагрелор:</w:t>
      </w:r>
      <w:r w:rsidRPr="006C600B">
        <w:rPr>
          <w:rFonts w:eastAsia="Times New Roman" w:cs="Arial"/>
          <w:color w:val="000000"/>
          <w:lang w:eastAsia="bg-BG"/>
        </w:rPr>
        <w:t xml:space="preserve"> Тикагрелор може да повлияе бъбречната екскреция на розувастатин, увеличавайки риска от кумулиране на розувастатин. Въпреки че точният механизъм не е известен, в някои случаи едновременното приложение на тикагрелор и розувастатин води до намаляване на бъбречната функция, повишено ниво на СРК и рабдомиолиза.</w:t>
      </w:r>
    </w:p>
    <w:p w14:paraId="6B46F470" w14:textId="77777777" w:rsidR="006C600B" w:rsidRPr="006C600B" w:rsidRDefault="006C600B" w:rsidP="006C600B">
      <w:pPr>
        <w:spacing w:line="240" w:lineRule="auto"/>
        <w:rPr>
          <w:rFonts w:eastAsia="Times New Roman" w:cs="Arial"/>
          <w:color w:val="000000"/>
          <w:lang w:eastAsia="bg-BG"/>
        </w:rPr>
      </w:pPr>
    </w:p>
    <w:p w14:paraId="7ABE3934" w14:textId="1C1C68FF" w:rsidR="006C600B" w:rsidRPr="006C600B" w:rsidRDefault="006C600B" w:rsidP="006C600B">
      <w:pPr>
        <w:spacing w:line="240" w:lineRule="auto"/>
        <w:rPr>
          <w:rFonts w:eastAsia="Times New Roman" w:cs="Arial"/>
          <w:color w:val="000000"/>
          <w:lang w:val="ru-RU"/>
        </w:rPr>
      </w:pPr>
      <w:r w:rsidRPr="006C600B">
        <w:rPr>
          <w:rFonts w:eastAsia="Times New Roman" w:cs="Arial"/>
          <w:color w:val="000000"/>
          <w:lang w:eastAsia="bg-BG"/>
        </w:rPr>
        <w:t xml:space="preserve">Ако за лекарствен продукт се наблюдава, че повишава </w:t>
      </w:r>
      <w:r w:rsidRPr="006C600B">
        <w:rPr>
          <w:rFonts w:eastAsia="Times New Roman" w:cs="Arial"/>
          <w:color w:val="000000"/>
          <w:lang w:val="en-US"/>
        </w:rPr>
        <w:t>AUC</w:t>
      </w:r>
      <w:r w:rsidRPr="006C600B">
        <w:rPr>
          <w:rFonts w:eastAsia="Times New Roman" w:cs="Arial"/>
          <w:color w:val="000000"/>
          <w:lang w:val="ru-RU"/>
        </w:rPr>
        <w:t xml:space="preserve"> </w:t>
      </w:r>
      <w:r w:rsidRPr="006C600B">
        <w:rPr>
          <w:rFonts w:eastAsia="Times New Roman" w:cs="Arial"/>
          <w:color w:val="000000"/>
          <w:lang w:eastAsia="bg-BG"/>
        </w:rPr>
        <w:t xml:space="preserve">на розувастатин по-малко от 2 пъти, началната доза не трябва да се намалява, но трябва да се внимава, ако дозата на розувастатин се увеличи над 20 </w:t>
      </w:r>
      <w:r w:rsidRPr="006C600B">
        <w:rPr>
          <w:rFonts w:eastAsia="Times New Roman" w:cs="Arial"/>
          <w:color w:val="000000"/>
          <w:lang w:val="en-US"/>
        </w:rPr>
        <w:t>mg</w:t>
      </w:r>
      <w:r w:rsidRPr="006C600B">
        <w:rPr>
          <w:rFonts w:eastAsia="Times New Roman" w:cs="Arial"/>
          <w:color w:val="000000"/>
          <w:lang w:val="ru-RU"/>
        </w:rPr>
        <w:t>.</w:t>
      </w:r>
    </w:p>
    <w:p w14:paraId="08F4BF4E" w14:textId="305BBD72" w:rsidR="006C600B" w:rsidRPr="006C600B" w:rsidRDefault="006C600B" w:rsidP="006C600B">
      <w:pPr>
        <w:spacing w:line="240" w:lineRule="auto"/>
        <w:rPr>
          <w:rFonts w:eastAsia="Times New Roman" w:cs="Arial"/>
          <w:color w:val="000000"/>
          <w:lang w:val="ru-RU"/>
        </w:rPr>
      </w:pPr>
    </w:p>
    <w:p w14:paraId="4A7F9B66" w14:textId="26789212" w:rsidR="006C600B" w:rsidRPr="006C600B" w:rsidRDefault="006C600B" w:rsidP="006C600B">
      <w:pPr>
        <w:spacing w:line="240" w:lineRule="auto"/>
        <w:rPr>
          <w:rFonts w:eastAsia="Times New Roman" w:cs="Arial"/>
          <w:sz w:val="24"/>
          <w:szCs w:val="24"/>
        </w:rPr>
      </w:pPr>
      <w:r w:rsidRPr="006C600B">
        <w:rPr>
          <w:rFonts w:cs="Arial"/>
        </w:rPr>
        <w:t xml:space="preserve">Таблица 1. Ефект на едновременно прилагани лекарствени продукти върху експозицията на розувастатин </w:t>
      </w:r>
      <w:r w:rsidRPr="006C600B">
        <w:rPr>
          <w:rFonts w:cs="Arial"/>
          <w:lang w:val="ru-RU"/>
        </w:rPr>
        <w:t>(</w:t>
      </w:r>
      <w:r w:rsidRPr="006C600B">
        <w:rPr>
          <w:rFonts w:cs="Arial"/>
          <w:lang w:val="en-US"/>
        </w:rPr>
        <w:t>AUC</w:t>
      </w:r>
      <w:r w:rsidRPr="006C600B">
        <w:rPr>
          <w:rFonts w:cs="Arial"/>
          <w:lang w:val="ru-RU"/>
        </w:rPr>
        <w:t xml:space="preserve">), </w:t>
      </w:r>
      <w:r w:rsidRPr="006C600B">
        <w:rPr>
          <w:rFonts w:cs="Arial"/>
        </w:rPr>
        <w:t xml:space="preserve">представена в низходящ ред по големина) от публикувани клинични </w:t>
      </w:r>
      <w:r w:rsidRPr="006C600B">
        <w:rPr>
          <w:rFonts w:cs="Arial"/>
          <w:u w:val="single"/>
        </w:rPr>
        <w:t>проучвания</w:t>
      </w:r>
    </w:p>
    <w:p w14:paraId="554A6743" w14:textId="1F2377C8" w:rsidR="006C600B" w:rsidRDefault="006C600B" w:rsidP="00A70FDA"/>
    <w:tbl>
      <w:tblPr>
        <w:tblStyle w:val="TableGrid"/>
        <w:tblW w:w="0" w:type="auto"/>
        <w:tblLook w:val="04A0" w:firstRow="1" w:lastRow="0" w:firstColumn="1" w:lastColumn="0" w:noHBand="0" w:noVBand="1"/>
      </w:tblPr>
      <w:tblGrid>
        <w:gridCol w:w="3176"/>
        <w:gridCol w:w="3087"/>
        <w:gridCol w:w="3087"/>
      </w:tblGrid>
      <w:tr w:rsidR="006C600B" w14:paraId="637624A9" w14:textId="77777777" w:rsidTr="006C600B">
        <w:tc>
          <w:tcPr>
            <w:tcW w:w="9576" w:type="dxa"/>
            <w:gridSpan w:val="3"/>
          </w:tcPr>
          <w:p w14:paraId="4B324B0E" w14:textId="138EEF1F" w:rsidR="006C600B" w:rsidRPr="00F80502" w:rsidRDefault="006C600B" w:rsidP="00A70FDA">
            <w:pPr>
              <w:rPr>
                <w:rFonts w:cs="Arial"/>
              </w:rPr>
            </w:pPr>
            <w:r w:rsidRPr="00F80502">
              <w:rPr>
                <w:rFonts w:cs="Arial"/>
              </w:rPr>
              <w:t xml:space="preserve">Повишаване на </w:t>
            </w:r>
            <w:r w:rsidRPr="00F80502">
              <w:rPr>
                <w:rFonts w:cs="Arial"/>
                <w:lang w:val="en-US"/>
              </w:rPr>
              <w:t>AUC</w:t>
            </w:r>
            <w:r w:rsidRPr="00F80502">
              <w:rPr>
                <w:rFonts w:cs="Arial"/>
                <w:lang w:val="ru-RU"/>
              </w:rPr>
              <w:t xml:space="preserve"> </w:t>
            </w:r>
            <w:r w:rsidRPr="00F80502">
              <w:rPr>
                <w:rFonts w:cs="Arial"/>
              </w:rPr>
              <w:t>на розувастатин 2 пъти или повече от 2 пъти</w:t>
            </w:r>
          </w:p>
        </w:tc>
      </w:tr>
      <w:tr w:rsidR="006C600B" w14:paraId="38D483E0" w14:textId="77777777" w:rsidTr="006C600B">
        <w:tc>
          <w:tcPr>
            <w:tcW w:w="3192" w:type="dxa"/>
            <w:vAlign w:val="bottom"/>
          </w:tcPr>
          <w:p w14:paraId="466959A9" w14:textId="137057BF" w:rsidR="006C600B" w:rsidRPr="00F80502" w:rsidRDefault="006C600B" w:rsidP="006C600B">
            <w:pPr>
              <w:rPr>
                <w:rFonts w:cs="Arial"/>
              </w:rPr>
            </w:pPr>
            <w:r w:rsidRPr="00F80502">
              <w:rPr>
                <w:rFonts w:cs="Arial"/>
              </w:rPr>
              <w:t>Дозов режим на взаимодействащото лекарствено</w:t>
            </w:r>
          </w:p>
        </w:tc>
        <w:tc>
          <w:tcPr>
            <w:tcW w:w="3192" w:type="dxa"/>
          </w:tcPr>
          <w:p w14:paraId="52A1824F" w14:textId="57E2F282" w:rsidR="006C600B" w:rsidRPr="00F80502" w:rsidRDefault="006C600B" w:rsidP="006C600B">
            <w:pPr>
              <w:rPr>
                <w:rFonts w:cs="Arial"/>
              </w:rPr>
            </w:pPr>
            <w:r w:rsidRPr="00F80502">
              <w:rPr>
                <w:rFonts w:cs="Arial"/>
              </w:rPr>
              <w:t>Дозов режим на розувастатин</w:t>
            </w:r>
          </w:p>
        </w:tc>
        <w:tc>
          <w:tcPr>
            <w:tcW w:w="3192" w:type="dxa"/>
            <w:vAlign w:val="bottom"/>
          </w:tcPr>
          <w:p w14:paraId="1910E958" w14:textId="387E40F1" w:rsidR="006C600B" w:rsidRPr="00F80502" w:rsidRDefault="006C600B" w:rsidP="006C600B">
            <w:pPr>
              <w:rPr>
                <w:rFonts w:cs="Arial"/>
              </w:rPr>
            </w:pPr>
            <w:r w:rsidRPr="00F80502">
              <w:rPr>
                <w:rFonts w:cs="Arial"/>
              </w:rPr>
              <w:t xml:space="preserve">Промяна на </w:t>
            </w:r>
            <w:r w:rsidRPr="00F80502">
              <w:rPr>
                <w:rFonts w:cs="Arial"/>
                <w:lang w:val="en-US"/>
              </w:rPr>
              <w:t>AUC</w:t>
            </w:r>
            <w:r w:rsidRPr="00F80502">
              <w:rPr>
                <w:rFonts w:cs="Arial"/>
                <w:lang w:val="ru-RU"/>
              </w:rPr>
              <w:t xml:space="preserve">* </w:t>
            </w:r>
            <w:r w:rsidRPr="00F80502">
              <w:rPr>
                <w:rFonts w:cs="Arial"/>
              </w:rPr>
              <w:t>на розувастатин</w:t>
            </w:r>
          </w:p>
        </w:tc>
      </w:tr>
      <w:tr w:rsidR="006C600B" w14:paraId="6BAA4042" w14:textId="77777777" w:rsidTr="006C600B">
        <w:tc>
          <w:tcPr>
            <w:tcW w:w="3192" w:type="dxa"/>
            <w:vAlign w:val="bottom"/>
          </w:tcPr>
          <w:p w14:paraId="4BD3F6F9" w14:textId="5E8E1D9D" w:rsidR="006C600B" w:rsidRPr="00F80502" w:rsidRDefault="006C600B" w:rsidP="006C600B">
            <w:pPr>
              <w:rPr>
                <w:rFonts w:cs="Arial"/>
              </w:rPr>
            </w:pPr>
            <w:r w:rsidRPr="00F80502">
              <w:rPr>
                <w:rFonts w:cs="Arial"/>
              </w:rPr>
              <w:t xml:space="preserve">Софосбувир/велпатасвир/ воксилапревир (400 </w:t>
            </w:r>
            <w:r w:rsidRPr="00F80502">
              <w:rPr>
                <w:rFonts w:cs="Arial"/>
                <w:lang w:val="en-US"/>
              </w:rPr>
              <w:t>mg</w:t>
            </w:r>
            <w:r w:rsidRPr="00F80502">
              <w:rPr>
                <w:rFonts w:cs="Arial"/>
                <w:lang w:val="ru-RU"/>
              </w:rPr>
              <w:t>-</w:t>
            </w:r>
            <w:r w:rsidRPr="00F80502">
              <w:rPr>
                <w:rFonts w:cs="Arial"/>
              </w:rPr>
              <w:t xml:space="preserve">100 </w:t>
            </w:r>
            <w:r w:rsidRPr="00F80502">
              <w:rPr>
                <w:rFonts w:cs="Arial"/>
                <w:lang w:val="en-US"/>
              </w:rPr>
              <w:t>mg</w:t>
            </w:r>
            <w:r w:rsidRPr="00F80502">
              <w:rPr>
                <w:rFonts w:cs="Arial"/>
                <w:lang w:val="ru-RU"/>
              </w:rPr>
              <w:t>-</w:t>
            </w:r>
            <w:r w:rsidRPr="00F80502">
              <w:rPr>
                <w:rFonts w:cs="Arial"/>
              </w:rPr>
              <w:t xml:space="preserve">100 </w:t>
            </w:r>
            <w:r w:rsidRPr="00F80502">
              <w:rPr>
                <w:rFonts w:cs="Arial"/>
                <w:lang w:val="en-US"/>
              </w:rPr>
              <w:t>mg</w:t>
            </w:r>
            <w:r w:rsidRPr="00F80502">
              <w:rPr>
                <w:rFonts w:cs="Arial"/>
                <w:lang w:val="ru-RU"/>
              </w:rPr>
              <w:t xml:space="preserve">) </w:t>
            </w:r>
            <w:r w:rsidRPr="00F80502">
              <w:rPr>
                <w:rFonts w:cs="Arial"/>
              </w:rPr>
              <w:t xml:space="preserve">+ воксилапревир (100 </w:t>
            </w:r>
            <w:r w:rsidRPr="00F80502">
              <w:rPr>
                <w:rFonts w:cs="Arial"/>
                <w:lang w:val="en-US"/>
              </w:rPr>
              <w:t>mg</w:t>
            </w:r>
            <w:r w:rsidRPr="00F80502">
              <w:rPr>
                <w:rFonts w:cs="Arial"/>
                <w:lang w:val="ru-RU"/>
              </w:rPr>
              <w:t xml:space="preserve">) </w:t>
            </w:r>
            <w:r w:rsidRPr="00F80502">
              <w:rPr>
                <w:rFonts w:cs="Arial"/>
              </w:rPr>
              <w:t>ВД в продължение на 15 дни</w:t>
            </w:r>
          </w:p>
        </w:tc>
        <w:tc>
          <w:tcPr>
            <w:tcW w:w="3192" w:type="dxa"/>
          </w:tcPr>
          <w:p w14:paraId="1DB69D0E" w14:textId="0D12F57E"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01B3D976" w14:textId="2B609401" w:rsidR="006C600B" w:rsidRPr="00F80502" w:rsidRDefault="006C600B" w:rsidP="006C600B">
            <w:pPr>
              <w:rPr>
                <w:rFonts w:cs="Arial"/>
              </w:rPr>
            </w:pPr>
            <w:r w:rsidRPr="00F80502">
              <w:rPr>
                <w:rFonts w:cs="Arial"/>
              </w:rPr>
              <w:t xml:space="preserve">7,4 пъти </w:t>
            </w:r>
            <w:r w:rsidRPr="00F80502">
              <w:rPr>
                <w:rFonts w:cs="Arial"/>
                <w:lang w:val="en-US"/>
              </w:rPr>
              <w:t>↑</w:t>
            </w:r>
          </w:p>
        </w:tc>
      </w:tr>
      <w:tr w:rsidR="006C600B" w14:paraId="2CC7DEC2" w14:textId="77777777" w:rsidTr="006C600B">
        <w:tc>
          <w:tcPr>
            <w:tcW w:w="3192" w:type="dxa"/>
            <w:vAlign w:val="bottom"/>
          </w:tcPr>
          <w:p w14:paraId="7D700D40" w14:textId="331AAACD" w:rsidR="006C600B" w:rsidRPr="00F80502" w:rsidRDefault="006C600B" w:rsidP="006C600B">
            <w:pPr>
              <w:rPr>
                <w:rFonts w:cs="Arial"/>
              </w:rPr>
            </w:pPr>
            <w:r w:rsidRPr="00F80502">
              <w:rPr>
                <w:rFonts w:cs="Arial"/>
              </w:rPr>
              <w:t xml:space="preserve">Циклоспорин 75 </w:t>
            </w:r>
            <w:r w:rsidRPr="00F80502">
              <w:rPr>
                <w:rFonts w:cs="Arial"/>
                <w:lang w:val="en-US"/>
              </w:rPr>
              <w:t>mg</w:t>
            </w:r>
            <w:r w:rsidRPr="00F80502">
              <w:rPr>
                <w:rFonts w:cs="Arial"/>
                <w:lang w:val="ru-RU"/>
              </w:rPr>
              <w:t xml:space="preserve"> </w:t>
            </w:r>
            <w:r w:rsidRPr="00F80502">
              <w:rPr>
                <w:rFonts w:cs="Arial"/>
              </w:rPr>
              <w:t xml:space="preserve">ДД до 200 </w:t>
            </w:r>
            <w:r w:rsidRPr="00F80502">
              <w:rPr>
                <w:rFonts w:cs="Arial"/>
                <w:lang w:val="en-US"/>
              </w:rPr>
              <w:t>mg</w:t>
            </w:r>
            <w:r w:rsidRPr="00F80502">
              <w:rPr>
                <w:rFonts w:cs="Arial"/>
                <w:lang w:val="ru-RU"/>
              </w:rPr>
              <w:t xml:space="preserve"> </w:t>
            </w:r>
            <w:r w:rsidRPr="00F80502">
              <w:rPr>
                <w:rFonts w:cs="Arial"/>
              </w:rPr>
              <w:t>ДЦ, 6 месеца</w:t>
            </w:r>
          </w:p>
        </w:tc>
        <w:tc>
          <w:tcPr>
            <w:tcW w:w="3192" w:type="dxa"/>
          </w:tcPr>
          <w:p w14:paraId="4EB948F5" w14:textId="21175C68"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ВД, 10 дни</w:t>
            </w:r>
          </w:p>
        </w:tc>
        <w:tc>
          <w:tcPr>
            <w:tcW w:w="3192" w:type="dxa"/>
          </w:tcPr>
          <w:p w14:paraId="3530D0D2" w14:textId="1840C4C5" w:rsidR="006C600B" w:rsidRPr="00F80502" w:rsidRDefault="006C600B" w:rsidP="006C600B">
            <w:pPr>
              <w:rPr>
                <w:rFonts w:cs="Arial"/>
              </w:rPr>
            </w:pPr>
            <w:r w:rsidRPr="00F80502">
              <w:rPr>
                <w:rFonts w:cs="Arial"/>
              </w:rPr>
              <w:t xml:space="preserve">7,1 пъти </w:t>
            </w:r>
            <w:r w:rsidRPr="00F80502">
              <w:rPr>
                <w:rFonts w:cs="Arial"/>
                <w:lang w:val="en-US"/>
              </w:rPr>
              <w:t>↑</w:t>
            </w:r>
          </w:p>
        </w:tc>
      </w:tr>
      <w:tr w:rsidR="006C600B" w14:paraId="5DD95708" w14:textId="77777777" w:rsidTr="006C600B">
        <w:tc>
          <w:tcPr>
            <w:tcW w:w="3192" w:type="dxa"/>
            <w:vAlign w:val="bottom"/>
          </w:tcPr>
          <w:p w14:paraId="0AB9837C" w14:textId="07C97BE2" w:rsidR="006C600B" w:rsidRPr="00F80502" w:rsidRDefault="006C600B" w:rsidP="006C600B">
            <w:pPr>
              <w:rPr>
                <w:rFonts w:cs="Arial"/>
              </w:rPr>
            </w:pPr>
            <w:r w:rsidRPr="00F80502">
              <w:rPr>
                <w:rFonts w:cs="Arial"/>
              </w:rPr>
              <w:t xml:space="preserve">Даролутамид 600 </w:t>
            </w:r>
            <w:r w:rsidRPr="00F80502">
              <w:rPr>
                <w:rFonts w:cs="Arial"/>
                <w:lang w:val="en-US"/>
              </w:rPr>
              <w:t xml:space="preserve">mg </w:t>
            </w:r>
            <w:r w:rsidRPr="00F80502">
              <w:rPr>
                <w:rFonts w:cs="Arial"/>
              </w:rPr>
              <w:t>ДД, 5 дни</w:t>
            </w:r>
          </w:p>
        </w:tc>
        <w:tc>
          <w:tcPr>
            <w:tcW w:w="3192" w:type="dxa"/>
            <w:vAlign w:val="bottom"/>
          </w:tcPr>
          <w:p w14:paraId="09F5D8B5" w14:textId="57A2370F"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единична доза</w:t>
            </w:r>
          </w:p>
        </w:tc>
        <w:tc>
          <w:tcPr>
            <w:tcW w:w="3192" w:type="dxa"/>
            <w:vAlign w:val="bottom"/>
          </w:tcPr>
          <w:p w14:paraId="3787551F" w14:textId="05272FDE" w:rsidR="006C600B" w:rsidRPr="00F80502" w:rsidRDefault="006C600B" w:rsidP="006C600B">
            <w:pPr>
              <w:rPr>
                <w:rFonts w:cs="Arial"/>
              </w:rPr>
            </w:pPr>
            <w:r w:rsidRPr="00F80502">
              <w:rPr>
                <w:rFonts w:cs="Arial"/>
              </w:rPr>
              <w:t xml:space="preserve">5,2 пъти </w:t>
            </w:r>
            <w:r w:rsidRPr="00F80502">
              <w:rPr>
                <w:rFonts w:cs="Arial"/>
                <w:lang w:val="en-US"/>
              </w:rPr>
              <w:t>↑</w:t>
            </w:r>
          </w:p>
        </w:tc>
      </w:tr>
      <w:tr w:rsidR="006C600B" w14:paraId="12B06E47" w14:textId="77777777" w:rsidTr="006C600B">
        <w:tc>
          <w:tcPr>
            <w:tcW w:w="3192" w:type="dxa"/>
          </w:tcPr>
          <w:p w14:paraId="75ECC6C3" w14:textId="4B63FCF6" w:rsidR="006C600B" w:rsidRPr="00F80502" w:rsidRDefault="006C600B" w:rsidP="006C600B">
            <w:pPr>
              <w:rPr>
                <w:rFonts w:cs="Arial"/>
              </w:rPr>
            </w:pPr>
            <w:r w:rsidRPr="00F80502">
              <w:rPr>
                <w:rFonts w:cs="Arial"/>
              </w:rPr>
              <w:lastRenderedPageBreak/>
              <w:t xml:space="preserve">Регорафениб 160 </w:t>
            </w:r>
            <w:r w:rsidRPr="00F80502">
              <w:rPr>
                <w:rFonts w:cs="Arial"/>
                <w:lang w:val="en-US"/>
              </w:rPr>
              <w:t xml:space="preserve">mg, </w:t>
            </w:r>
            <w:r w:rsidRPr="00F80502">
              <w:rPr>
                <w:rFonts w:cs="Arial"/>
              </w:rPr>
              <w:t>ВД, 14 дни</w:t>
            </w:r>
          </w:p>
        </w:tc>
        <w:tc>
          <w:tcPr>
            <w:tcW w:w="3192" w:type="dxa"/>
          </w:tcPr>
          <w:p w14:paraId="17922685" w14:textId="55EC54BD"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единична доза</w:t>
            </w:r>
          </w:p>
        </w:tc>
        <w:tc>
          <w:tcPr>
            <w:tcW w:w="3192" w:type="dxa"/>
          </w:tcPr>
          <w:p w14:paraId="5CDC8392" w14:textId="667BBBA9" w:rsidR="006C600B" w:rsidRPr="00F80502" w:rsidRDefault="006C600B" w:rsidP="006C600B">
            <w:pPr>
              <w:rPr>
                <w:rFonts w:cs="Arial"/>
              </w:rPr>
            </w:pPr>
            <w:r w:rsidRPr="00F80502">
              <w:rPr>
                <w:rFonts w:cs="Arial"/>
              </w:rPr>
              <w:t xml:space="preserve">3,8 пъти </w:t>
            </w:r>
            <w:r w:rsidRPr="00F80502">
              <w:rPr>
                <w:rFonts w:cs="Arial"/>
                <w:lang w:val="en-US"/>
              </w:rPr>
              <w:t>↑</w:t>
            </w:r>
          </w:p>
        </w:tc>
      </w:tr>
      <w:tr w:rsidR="006C600B" w14:paraId="67F78750" w14:textId="77777777" w:rsidTr="006C600B">
        <w:tc>
          <w:tcPr>
            <w:tcW w:w="3192" w:type="dxa"/>
            <w:vAlign w:val="bottom"/>
          </w:tcPr>
          <w:p w14:paraId="15836566" w14:textId="33DB3CE7" w:rsidR="006C600B" w:rsidRPr="00F80502" w:rsidRDefault="006C600B" w:rsidP="006C600B">
            <w:pPr>
              <w:rPr>
                <w:rFonts w:cs="Arial"/>
              </w:rPr>
            </w:pPr>
            <w:r w:rsidRPr="00F80502">
              <w:rPr>
                <w:rFonts w:cs="Arial"/>
              </w:rPr>
              <w:t xml:space="preserve">Атазанавир 300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lang w:val="ru-RU"/>
              </w:rPr>
              <w:t xml:space="preserve"> </w:t>
            </w:r>
            <w:r w:rsidRPr="00F80502">
              <w:rPr>
                <w:rFonts w:cs="Arial"/>
              </w:rPr>
              <w:t>ВД, 8 дни</w:t>
            </w:r>
          </w:p>
        </w:tc>
        <w:tc>
          <w:tcPr>
            <w:tcW w:w="3192" w:type="dxa"/>
          </w:tcPr>
          <w:p w14:paraId="6CD5B818" w14:textId="7CBC4314"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5E0459D7" w14:textId="5D665C50" w:rsidR="006C600B" w:rsidRPr="00F80502" w:rsidRDefault="006C600B" w:rsidP="006C600B">
            <w:pPr>
              <w:rPr>
                <w:rFonts w:cs="Arial"/>
              </w:rPr>
            </w:pPr>
            <w:r w:rsidRPr="00F80502">
              <w:rPr>
                <w:rFonts w:cs="Arial"/>
              </w:rPr>
              <w:t xml:space="preserve">3,1 пъти </w:t>
            </w:r>
            <w:r w:rsidRPr="00F80502">
              <w:rPr>
                <w:rFonts w:cs="Arial"/>
                <w:lang w:val="en-US"/>
              </w:rPr>
              <w:t>↑</w:t>
            </w:r>
          </w:p>
        </w:tc>
      </w:tr>
      <w:tr w:rsidR="006C600B" w14:paraId="426627AD" w14:textId="77777777" w:rsidTr="006C600B">
        <w:tc>
          <w:tcPr>
            <w:tcW w:w="3192" w:type="dxa"/>
            <w:vAlign w:val="bottom"/>
          </w:tcPr>
          <w:p w14:paraId="1E0EEBB8" w14:textId="3AF04141" w:rsidR="006C600B" w:rsidRPr="00F80502" w:rsidRDefault="006C600B" w:rsidP="006C600B">
            <w:pPr>
              <w:rPr>
                <w:rFonts w:cs="Arial"/>
              </w:rPr>
            </w:pPr>
            <w:r w:rsidRPr="00F80502">
              <w:rPr>
                <w:rFonts w:cs="Arial"/>
              </w:rPr>
              <w:t xml:space="preserve">Велпатасвир 100 </w:t>
            </w:r>
            <w:r w:rsidRPr="00F80502">
              <w:rPr>
                <w:rFonts w:cs="Arial"/>
                <w:lang w:val="en-US"/>
              </w:rPr>
              <w:t xml:space="preserve">mg </w:t>
            </w:r>
            <w:r w:rsidRPr="00F80502">
              <w:rPr>
                <w:rFonts w:cs="Arial"/>
              </w:rPr>
              <w:t>ВД</w:t>
            </w:r>
          </w:p>
        </w:tc>
        <w:tc>
          <w:tcPr>
            <w:tcW w:w="3192" w:type="dxa"/>
            <w:vAlign w:val="bottom"/>
          </w:tcPr>
          <w:p w14:paraId="3D75BBA6" w14:textId="2E042C70"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vAlign w:val="bottom"/>
          </w:tcPr>
          <w:p w14:paraId="68ACA5EB" w14:textId="712985A6" w:rsidR="006C600B" w:rsidRPr="00F80502" w:rsidRDefault="006C600B" w:rsidP="006C600B">
            <w:pPr>
              <w:rPr>
                <w:rFonts w:cs="Arial"/>
              </w:rPr>
            </w:pPr>
            <w:r w:rsidRPr="00F80502">
              <w:rPr>
                <w:rFonts w:cs="Arial"/>
              </w:rPr>
              <w:t xml:space="preserve">2,7 пъти </w:t>
            </w:r>
            <w:r w:rsidRPr="00F80502">
              <w:rPr>
                <w:rFonts w:cs="Arial"/>
                <w:lang w:val="en-US"/>
              </w:rPr>
              <w:t>↑</w:t>
            </w:r>
          </w:p>
        </w:tc>
      </w:tr>
      <w:tr w:rsidR="006C600B" w14:paraId="44647B48" w14:textId="77777777" w:rsidTr="006C600B">
        <w:tc>
          <w:tcPr>
            <w:tcW w:w="3192" w:type="dxa"/>
            <w:vAlign w:val="bottom"/>
          </w:tcPr>
          <w:p w14:paraId="640CE2A0" w14:textId="60F91DA6" w:rsidR="006C600B" w:rsidRPr="00F80502" w:rsidRDefault="006C600B" w:rsidP="006C600B">
            <w:pPr>
              <w:rPr>
                <w:rFonts w:cs="Arial"/>
              </w:rPr>
            </w:pPr>
            <w:r w:rsidRPr="00F80502">
              <w:rPr>
                <w:rFonts w:cs="Arial"/>
              </w:rPr>
              <w:t xml:space="preserve">Омбитасвир 25 </w:t>
            </w:r>
            <w:r w:rsidRPr="00F80502">
              <w:rPr>
                <w:rFonts w:cs="Arial"/>
                <w:lang w:val="en-US"/>
              </w:rPr>
              <w:t>mg</w:t>
            </w:r>
            <w:r w:rsidRPr="00F80502">
              <w:rPr>
                <w:rFonts w:cs="Arial"/>
              </w:rPr>
              <w:t xml:space="preserve">/паритапревир 150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rPr>
              <w:t xml:space="preserve"> ВД/ дасабувир 400 </w:t>
            </w:r>
            <w:r w:rsidRPr="00F80502">
              <w:rPr>
                <w:rFonts w:cs="Arial"/>
                <w:lang w:val="en-US"/>
              </w:rPr>
              <w:t>mg</w:t>
            </w:r>
            <w:r w:rsidRPr="00F80502">
              <w:rPr>
                <w:rFonts w:cs="Arial"/>
              </w:rPr>
              <w:t xml:space="preserve"> ДД, 14 дни</w:t>
            </w:r>
          </w:p>
        </w:tc>
        <w:tc>
          <w:tcPr>
            <w:tcW w:w="3192" w:type="dxa"/>
          </w:tcPr>
          <w:p w14:paraId="5D5EF89A" w14:textId="4FF35C52"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единична доза</w:t>
            </w:r>
          </w:p>
        </w:tc>
        <w:tc>
          <w:tcPr>
            <w:tcW w:w="3192" w:type="dxa"/>
          </w:tcPr>
          <w:p w14:paraId="1F741C0A" w14:textId="462988A9" w:rsidR="006C600B" w:rsidRPr="00F80502" w:rsidRDefault="006C600B" w:rsidP="006C600B">
            <w:pPr>
              <w:rPr>
                <w:rFonts w:cs="Arial"/>
              </w:rPr>
            </w:pPr>
            <w:r w:rsidRPr="00F80502">
              <w:rPr>
                <w:rFonts w:cs="Arial"/>
              </w:rPr>
              <w:t xml:space="preserve">2,6 пъти </w:t>
            </w:r>
            <w:r w:rsidRPr="00F80502">
              <w:rPr>
                <w:rFonts w:cs="Arial"/>
                <w:lang w:val="en-US"/>
              </w:rPr>
              <w:t>↑</w:t>
            </w:r>
          </w:p>
        </w:tc>
      </w:tr>
      <w:tr w:rsidR="006C600B" w14:paraId="26468B4D" w14:textId="77777777" w:rsidTr="006C600B">
        <w:tc>
          <w:tcPr>
            <w:tcW w:w="3192" w:type="dxa"/>
            <w:vAlign w:val="bottom"/>
          </w:tcPr>
          <w:p w14:paraId="5DDA5637" w14:textId="426C9130" w:rsidR="006C600B" w:rsidRPr="00F80502" w:rsidRDefault="006C600B" w:rsidP="006C600B">
            <w:pPr>
              <w:rPr>
                <w:rFonts w:cs="Arial"/>
              </w:rPr>
            </w:pPr>
            <w:r w:rsidRPr="00F80502">
              <w:rPr>
                <w:rFonts w:cs="Arial"/>
              </w:rPr>
              <w:t xml:space="preserve">Гразопревир 200 </w:t>
            </w:r>
            <w:r w:rsidRPr="00F80502">
              <w:rPr>
                <w:rFonts w:cs="Arial"/>
                <w:lang w:val="en-US"/>
              </w:rPr>
              <w:t>mg</w:t>
            </w:r>
            <w:r w:rsidRPr="00F80502">
              <w:rPr>
                <w:rFonts w:cs="Arial"/>
              </w:rPr>
              <w:t xml:space="preserve">/елбасвир 50 </w:t>
            </w:r>
            <w:r w:rsidRPr="00F80502">
              <w:rPr>
                <w:rFonts w:cs="Arial"/>
                <w:lang w:val="en-US"/>
              </w:rPr>
              <w:t>mg</w:t>
            </w:r>
            <w:r w:rsidRPr="00F80502">
              <w:rPr>
                <w:rFonts w:cs="Arial"/>
                <w:lang w:val="ru-RU"/>
              </w:rPr>
              <w:t xml:space="preserve"> </w:t>
            </w:r>
            <w:r w:rsidRPr="00F80502">
              <w:rPr>
                <w:rFonts w:cs="Arial"/>
              </w:rPr>
              <w:t>ВД, 11 дни</w:t>
            </w:r>
          </w:p>
        </w:tc>
        <w:tc>
          <w:tcPr>
            <w:tcW w:w="3192" w:type="dxa"/>
          </w:tcPr>
          <w:p w14:paraId="1C2A6CC0" w14:textId="5A0AB773"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229AC364" w14:textId="682CAEE3" w:rsidR="006C600B" w:rsidRPr="00F80502" w:rsidRDefault="006C600B" w:rsidP="006C600B">
            <w:pPr>
              <w:rPr>
                <w:rFonts w:cs="Arial"/>
              </w:rPr>
            </w:pPr>
            <w:r w:rsidRPr="00F80502">
              <w:rPr>
                <w:rFonts w:cs="Arial"/>
              </w:rPr>
              <w:t xml:space="preserve">2,3 пъти </w:t>
            </w:r>
            <w:r w:rsidRPr="00F80502">
              <w:rPr>
                <w:rFonts w:cs="Arial"/>
                <w:lang w:val="en-US"/>
              </w:rPr>
              <w:t>↑</w:t>
            </w:r>
          </w:p>
        </w:tc>
      </w:tr>
      <w:tr w:rsidR="006C600B" w14:paraId="5E9A98E3" w14:textId="77777777" w:rsidTr="006C600B">
        <w:tc>
          <w:tcPr>
            <w:tcW w:w="3192" w:type="dxa"/>
            <w:vAlign w:val="bottom"/>
          </w:tcPr>
          <w:p w14:paraId="7B5AD6BF" w14:textId="153E1AD3" w:rsidR="006C600B" w:rsidRPr="00F80502" w:rsidRDefault="006C600B" w:rsidP="006C600B">
            <w:pPr>
              <w:rPr>
                <w:rFonts w:cs="Arial"/>
              </w:rPr>
            </w:pPr>
            <w:r w:rsidRPr="00F80502">
              <w:rPr>
                <w:rFonts w:cs="Arial"/>
              </w:rPr>
              <w:t xml:space="preserve">Глекапревир 400 </w:t>
            </w:r>
            <w:r w:rsidRPr="00F80502">
              <w:rPr>
                <w:rFonts w:cs="Arial"/>
                <w:lang w:val="en-US"/>
              </w:rPr>
              <w:t>mg</w:t>
            </w:r>
            <w:r w:rsidRPr="00F80502">
              <w:rPr>
                <w:rFonts w:cs="Arial"/>
              </w:rPr>
              <w:t xml:space="preserve">/пибрентасвир 120 </w:t>
            </w:r>
            <w:r w:rsidRPr="00F80502">
              <w:rPr>
                <w:rFonts w:cs="Arial"/>
                <w:lang w:val="en-US"/>
              </w:rPr>
              <w:t>mg</w:t>
            </w:r>
            <w:r w:rsidRPr="00F80502">
              <w:rPr>
                <w:rFonts w:cs="Arial"/>
                <w:lang w:val="ru-RU"/>
              </w:rPr>
              <w:t xml:space="preserve"> </w:t>
            </w:r>
            <w:r w:rsidRPr="00F80502">
              <w:rPr>
                <w:rFonts w:cs="Arial"/>
              </w:rPr>
              <w:t>ВД, 7 дни</w:t>
            </w:r>
          </w:p>
        </w:tc>
        <w:tc>
          <w:tcPr>
            <w:tcW w:w="3192" w:type="dxa"/>
          </w:tcPr>
          <w:p w14:paraId="66ED4C0E" w14:textId="0A97DAC3"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ВД, 7 дни</w:t>
            </w:r>
          </w:p>
        </w:tc>
        <w:tc>
          <w:tcPr>
            <w:tcW w:w="3192" w:type="dxa"/>
          </w:tcPr>
          <w:p w14:paraId="388B99DE" w14:textId="7EB0109A" w:rsidR="006C600B" w:rsidRPr="00F80502" w:rsidRDefault="006C600B" w:rsidP="006C600B">
            <w:pPr>
              <w:rPr>
                <w:rFonts w:cs="Arial"/>
              </w:rPr>
            </w:pPr>
            <w:r w:rsidRPr="00F80502">
              <w:rPr>
                <w:rFonts w:cs="Arial"/>
              </w:rPr>
              <w:t xml:space="preserve">2,2 пъти </w:t>
            </w:r>
            <w:r w:rsidRPr="00F80502">
              <w:rPr>
                <w:rFonts w:cs="Arial"/>
                <w:lang w:val="en-US"/>
              </w:rPr>
              <w:t>↑</w:t>
            </w:r>
          </w:p>
        </w:tc>
      </w:tr>
      <w:tr w:rsidR="006C600B" w14:paraId="4FF33A7F" w14:textId="77777777" w:rsidTr="006C600B">
        <w:tc>
          <w:tcPr>
            <w:tcW w:w="3192" w:type="dxa"/>
          </w:tcPr>
          <w:p w14:paraId="6BE821FE" w14:textId="4379D2C4" w:rsidR="006C600B" w:rsidRPr="00F80502" w:rsidRDefault="006C600B" w:rsidP="006C600B">
            <w:pPr>
              <w:rPr>
                <w:rFonts w:cs="Arial"/>
              </w:rPr>
            </w:pPr>
            <w:r w:rsidRPr="00F80502">
              <w:rPr>
                <w:rFonts w:cs="Arial"/>
              </w:rPr>
              <w:t xml:space="preserve">Лопинавир 400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lang w:val="ru-RU"/>
              </w:rPr>
              <w:t xml:space="preserve"> </w:t>
            </w:r>
            <w:r w:rsidRPr="00F80502">
              <w:rPr>
                <w:rFonts w:cs="Arial"/>
              </w:rPr>
              <w:t>ДД, 17 дни</w:t>
            </w:r>
          </w:p>
        </w:tc>
        <w:tc>
          <w:tcPr>
            <w:tcW w:w="3192" w:type="dxa"/>
          </w:tcPr>
          <w:p w14:paraId="436CEBD5" w14:textId="3397758E" w:rsidR="006C600B" w:rsidRPr="00F80502" w:rsidRDefault="006C600B" w:rsidP="006C600B">
            <w:pPr>
              <w:rPr>
                <w:rFonts w:cs="Arial"/>
              </w:rPr>
            </w:pPr>
            <w:r w:rsidRPr="00F80502">
              <w:rPr>
                <w:rFonts w:cs="Arial"/>
              </w:rPr>
              <w:t xml:space="preserve">20 </w:t>
            </w:r>
            <w:r w:rsidRPr="00F80502">
              <w:rPr>
                <w:rFonts w:cs="Arial"/>
                <w:lang w:val="en-US"/>
              </w:rPr>
              <w:t xml:space="preserve">mg </w:t>
            </w:r>
            <w:r w:rsidRPr="00F80502">
              <w:rPr>
                <w:rFonts w:cs="Arial"/>
              </w:rPr>
              <w:t>ВД, 7 дни</w:t>
            </w:r>
          </w:p>
        </w:tc>
        <w:tc>
          <w:tcPr>
            <w:tcW w:w="3192" w:type="dxa"/>
          </w:tcPr>
          <w:p w14:paraId="44A02D36" w14:textId="5485A5F2" w:rsidR="006C600B" w:rsidRPr="00F80502" w:rsidRDefault="006C600B" w:rsidP="006C600B">
            <w:pPr>
              <w:rPr>
                <w:rFonts w:cs="Arial"/>
              </w:rPr>
            </w:pPr>
            <w:r w:rsidRPr="00F80502">
              <w:rPr>
                <w:rFonts w:cs="Arial"/>
              </w:rPr>
              <w:t xml:space="preserve">2,1 пъти </w:t>
            </w:r>
            <w:r w:rsidRPr="00F80502">
              <w:rPr>
                <w:rFonts w:cs="Arial"/>
                <w:lang w:val="en-US"/>
              </w:rPr>
              <w:t>↑</w:t>
            </w:r>
          </w:p>
        </w:tc>
      </w:tr>
      <w:tr w:rsidR="006C600B" w14:paraId="4635F99F" w14:textId="77777777" w:rsidTr="006C600B">
        <w:tc>
          <w:tcPr>
            <w:tcW w:w="3192" w:type="dxa"/>
          </w:tcPr>
          <w:p w14:paraId="4117F7B9" w14:textId="263C1B31" w:rsidR="006C600B" w:rsidRPr="00F80502" w:rsidRDefault="006C600B" w:rsidP="006C600B">
            <w:pPr>
              <w:rPr>
                <w:rFonts w:cs="Arial"/>
              </w:rPr>
            </w:pPr>
            <w:r w:rsidRPr="00F80502">
              <w:rPr>
                <w:rFonts w:cs="Arial"/>
              </w:rPr>
              <w:t xml:space="preserve">Клопидогрел 300 </w:t>
            </w:r>
            <w:r w:rsidRPr="00F80502">
              <w:rPr>
                <w:rFonts w:cs="Arial"/>
                <w:lang w:val="en-US"/>
              </w:rPr>
              <w:t>mg</w:t>
            </w:r>
            <w:r w:rsidRPr="00F80502">
              <w:rPr>
                <w:rFonts w:cs="Arial"/>
                <w:lang w:val="ru-RU"/>
              </w:rPr>
              <w:t xml:space="preserve"> </w:t>
            </w:r>
            <w:r w:rsidRPr="00F80502">
              <w:rPr>
                <w:rFonts w:cs="Arial"/>
              </w:rPr>
              <w:t xml:space="preserve">натоварваща доза, последвана от 75 </w:t>
            </w:r>
            <w:r w:rsidRPr="00F80502">
              <w:rPr>
                <w:rFonts w:cs="Arial"/>
                <w:lang w:val="en-US"/>
              </w:rPr>
              <w:t>mg</w:t>
            </w:r>
            <w:r w:rsidRPr="00F80502">
              <w:rPr>
                <w:rFonts w:cs="Arial"/>
                <w:lang w:val="ru-RU"/>
              </w:rPr>
              <w:t xml:space="preserve"> </w:t>
            </w:r>
            <w:r w:rsidRPr="00F80502">
              <w:rPr>
                <w:rFonts w:cs="Arial"/>
              </w:rPr>
              <w:t>на 24 часа</w:t>
            </w:r>
          </w:p>
        </w:tc>
        <w:tc>
          <w:tcPr>
            <w:tcW w:w="3192" w:type="dxa"/>
          </w:tcPr>
          <w:p w14:paraId="4F874906" w14:textId="6AEBFE51" w:rsidR="006C600B" w:rsidRPr="00F80502" w:rsidRDefault="006C600B" w:rsidP="006C600B">
            <w:pPr>
              <w:rPr>
                <w:rFonts w:cs="Arial"/>
              </w:rPr>
            </w:pPr>
            <w:r w:rsidRPr="00F80502">
              <w:rPr>
                <w:rFonts w:cs="Arial"/>
              </w:rPr>
              <w:t xml:space="preserve">20 </w:t>
            </w:r>
            <w:r w:rsidRPr="00F80502">
              <w:rPr>
                <w:rFonts w:cs="Arial"/>
                <w:lang w:val="en-US"/>
              </w:rPr>
              <w:t xml:space="preserve">mg, </w:t>
            </w:r>
            <w:r w:rsidRPr="00F80502">
              <w:rPr>
                <w:rFonts w:cs="Arial"/>
              </w:rPr>
              <w:t>единична доза</w:t>
            </w:r>
          </w:p>
        </w:tc>
        <w:tc>
          <w:tcPr>
            <w:tcW w:w="3192" w:type="dxa"/>
          </w:tcPr>
          <w:p w14:paraId="14095CB3" w14:textId="7A884941" w:rsidR="006C600B" w:rsidRPr="00F80502" w:rsidRDefault="006C600B" w:rsidP="006C600B">
            <w:pPr>
              <w:rPr>
                <w:rFonts w:cs="Arial"/>
              </w:rPr>
            </w:pPr>
            <w:r w:rsidRPr="00F80502">
              <w:rPr>
                <w:rFonts w:cs="Arial"/>
              </w:rPr>
              <w:t xml:space="preserve">2 пъти </w:t>
            </w:r>
            <w:r w:rsidRPr="00F80502">
              <w:rPr>
                <w:rFonts w:cs="Arial"/>
                <w:lang w:val="en-US"/>
              </w:rPr>
              <w:t>↑</w:t>
            </w:r>
          </w:p>
        </w:tc>
      </w:tr>
      <w:tr w:rsidR="006C600B" w14:paraId="45411D12" w14:textId="77777777" w:rsidTr="006C600B">
        <w:tc>
          <w:tcPr>
            <w:tcW w:w="3192" w:type="dxa"/>
            <w:vAlign w:val="bottom"/>
          </w:tcPr>
          <w:p w14:paraId="1FB62440" w14:textId="596F4F1A" w:rsidR="006C600B" w:rsidRPr="00F80502" w:rsidRDefault="006C600B" w:rsidP="006C600B">
            <w:pPr>
              <w:rPr>
                <w:rFonts w:cs="Arial"/>
              </w:rPr>
            </w:pPr>
            <w:r w:rsidRPr="00F80502">
              <w:rPr>
                <w:rFonts w:cs="Arial"/>
              </w:rPr>
              <w:t xml:space="preserve">Гемифиброзил 600 </w:t>
            </w:r>
            <w:r w:rsidRPr="00F80502">
              <w:rPr>
                <w:rFonts w:cs="Arial"/>
                <w:lang w:val="en-US"/>
              </w:rPr>
              <w:t xml:space="preserve">mg </w:t>
            </w:r>
            <w:r w:rsidRPr="00F80502">
              <w:rPr>
                <w:rFonts w:cs="Arial"/>
              </w:rPr>
              <w:t>ДД, 7 дни</w:t>
            </w:r>
          </w:p>
        </w:tc>
        <w:tc>
          <w:tcPr>
            <w:tcW w:w="3192" w:type="dxa"/>
            <w:vAlign w:val="bottom"/>
          </w:tcPr>
          <w:p w14:paraId="29997CC6" w14:textId="1E3A8877" w:rsidR="006C600B" w:rsidRPr="00F80502" w:rsidRDefault="006C600B" w:rsidP="006C600B">
            <w:pPr>
              <w:rPr>
                <w:rFonts w:cs="Arial"/>
              </w:rPr>
            </w:pPr>
            <w:r w:rsidRPr="00F80502">
              <w:rPr>
                <w:rFonts w:cs="Arial"/>
              </w:rPr>
              <w:t xml:space="preserve">80 </w:t>
            </w:r>
            <w:r w:rsidRPr="00F80502">
              <w:rPr>
                <w:rFonts w:cs="Arial"/>
                <w:lang w:val="en-US"/>
              </w:rPr>
              <w:t xml:space="preserve">mg, </w:t>
            </w:r>
            <w:r w:rsidRPr="00F80502">
              <w:rPr>
                <w:rFonts w:cs="Arial"/>
              </w:rPr>
              <w:t>единична доза</w:t>
            </w:r>
          </w:p>
        </w:tc>
        <w:tc>
          <w:tcPr>
            <w:tcW w:w="3192" w:type="dxa"/>
            <w:vAlign w:val="bottom"/>
          </w:tcPr>
          <w:p w14:paraId="00548363" w14:textId="469205E9" w:rsidR="006C600B" w:rsidRPr="00F80502" w:rsidRDefault="006C600B" w:rsidP="006C600B">
            <w:pPr>
              <w:rPr>
                <w:rFonts w:cs="Arial"/>
              </w:rPr>
            </w:pPr>
            <w:r w:rsidRPr="00F80502">
              <w:rPr>
                <w:rFonts w:cs="Arial"/>
              </w:rPr>
              <w:t xml:space="preserve">1,9 пъти </w:t>
            </w:r>
            <w:r w:rsidRPr="00F80502">
              <w:rPr>
                <w:rFonts w:cs="Arial"/>
                <w:lang w:val="en-US"/>
              </w:rPr>
              <w:t>↑</w:t>
            </w:r>
          </w:p>
        </w:tc>
      </w:tr>
      <w:tr w:rsidR="00F80502" w14:paraId="47B6D15B" w14:textId="77777777" w:rsidTr="00B84E59">
        <w:tc>
          <w:tcPr>
            <w:tcW w:w="9576" w:type="dxa"/>
            <w:gridSpan w:val="3"/>
          </w:tcPr>
          <w:p w14:paraId="08ABF3DB" w14:textId="74181AFB" w:rsidR="00F80502" w:rsidRPr="00F80502" w:rsidRDefault="00F80502" w:rsidP="00A70FDA">
            <w:pPr>
              <w:rPr>
                <w:rFonts w:cs="Arial"/>
              </w:rPr>
            </w:pPr>
            <w:r w:rsidRPr="00F80502">
              <w:rPr>
                <w:rFonts w:cs="Arial"/>
              </w:rPr>
              <w:t xml:space="preserve">Повишаване на </w:t>
            </w:r>
            <w:r w:rsidRPr="00F80502">
              <w:rPr>
                <w:rFonts w:cs="Arial"/>
                <w:lang w:val="en-US"/>
              </w:rPr>
              <w:t>AUC</w:t>
            </w:r>
            <w:r w:rsidRPr="00F80502">
              <w:rPr>
                <w:rFonts w:cs="Arial"/>
                <w:lang w:val="ru-RU"/>
              </w:rPr>
              <w:t xml:space="preserve"> </w:t>
            </w:r>
            <w:r w:rsidRPr="00F80502">
              <w:rPr>
                <w:rFonts w:cs="Arial"/>
              </w:rPr>
              <w:t>на розувастатин по-малко от 2 пъти</w:t>
            </w:r>
          </w:p>
        </w:tc>
      </w:tr>
      <w:tr w:rsidR="00F80502" w14:paraId="6CE43C3E" w14:textId="77777777" w:rsidTr="007B12B9">
        <w:tc>
          <w:tcPr>
            <w:tcW w:w="3192" w:type="dxa"/>
            <w:vAlign w:val="bottom"/>
          </w:tcPr>
          <w:p w14:paraId="4B8A5DC2" w14:textId="7CEFD7A8" w:rsidR="00F80502" w:rsidRPr="00F80502" w:rsidRDefault="00F80502" w:rsidP="00F80502">
            <w:pPr>
              <w:rPr>
                <w:rFonts w:cs="Arial"/>
              </w:rPr>
            </w:pPr>
            <w:r w:rsidRPr="00F80502">
              <w:rPr>
                <w:rFonts w:cs="Arial"/>
              </w:rPr>
              <w:t>Дозов режим на взаимодействащото лекарство</w:t>
            </w:r>
          </w:p>
        </w:tc>
        <w:tc>
          <w:tcPr>
            <w:tcW w:w="3192" w:type="dxa"/>
          </w:tcPr>
          <w:p w14:paraId="163BC32E" w14:textId="18313671" w:rsidR="00F80502" w:rsidRPr="00F80502" w:rsidRDefault="00F80502" w:rsidP="00F80502">
            <w:pPr>
              <w:rPr>
                <w:rFonts w:cs="Arial"/>
              </w:rPr>
            </w:pPr>
            <w:r w:rsidRPr="00F80502">
              <w:rPr>
                <w:rFonts w:cs="Arial"/>
              </w:rPr>
              <w:t>Дозов режим на розувастатин</w:t>
            </w:r>
          </w:p>
        </w:tc>
        <w:tc>
          <w:tcPr>
            <w:tcW w:w="3192" w:type="dxa"/>
            <w:vAlign w:val="bottom"/>
          </w:tcPr>
          <w:p w14:paraId="0DBB7E2D" w14:textId="33024639" w:rsidR="00F80502" w:rsidRPr="00F80502" w:rsidRDefault="00F80502" w:rsidP="00F80502">
            <w:pPr>
              <w:rPr>
                <w:rFonts w:cs="Arial"/>
              </w:rPr>
            </w:pPr>
            <w:r w:rsidRPr="00F80502">
              <w:rPr>
                <w:rFonts w:cs="Arial"/>
              </w:rPr>
              <w:t xml:space="preserve">Промяна в </w:t>
            </w:r>
            <w:r w:rsidRPr="00F80502">
              <w:rPr>
                <w:rFonts w:cs="Arial"/>
                <w:lang w:val="en-US"/>
              </w:rPr>
              <w:t>AUC</w:t>
            </w:r>
            <w:r w:rsidRPr="00F80502">
              <w:rPr>
                <w:rFonts w:cs="Arial"/>
                <w:lang w:val="ru-RU"/>
              </w:rPr>
              <w:t xml:space="preserve">* </w:t>
            </w:r>
            <w:r w:rsidRPr="00F80502">
              <w:rPr>
                <w:rFonts w:cs="Arial"/>
              </w:rPr>
              <w:t>на розувастатин</w:t>
            </w:r>
          </w:p>
        </w:tc>
      </w:tr>
      <w:tr w:rsidR="00F80502" w14:paraId="7A53D39F" w14:textId="77777777" w:rsidTr="007B12B9">
        <w:tc>
          <w:tcPr>
            <w:tcW w:w="3192" w:type="dxa"/>
            <w:vAlign w:val="bottom"/>
          </w:tcPr>
          <w:p w14:paraId="0AE803B3" w14:textId="794CC2E2" w:rsidR="00F80502" w:rsidRPr="00F80502" w:rsidRDefault="00F80502" w:rsidP="00F80502">
            <w:pPr>
              <w:rPr>
                <w:rFonts w:cs="Arial"/>
              </w:rPr>
            </w:pPr>
            <w:r w:rsidRPr="00F80502">
              <w:rPr>
                <w:rFonts w:cs="Arial"/>
              </w:rPr>
              <w:t xml:space="preserve">Елтромбопаг 75 </w:t>
            </w:r>
            <w:r w:rsidRPr="00F80502">
              <w:rPr>
                <w:rFonts w:cs="Arial"/>
                <w:lang w:val="en-US"/>
              </w:rPr>
              <w:t xml:space="preserve">mg </w:t>
            </w:r>
            <w:r w:rsidRPr="00F80502">
              <w:rPr>
                <w:rFonts w:cs="Arial"/>
              </w:rPr>
              <w:t>ВД, 10 дни</w:t>
            </w:r>
          </w:p>
        </w:tc>
        <w:tc>
          <w:tcPr>
            <w:tcW w:w="3192" w:type="dxa"/>
            <w:vAlign w:val="bottom"/>
          </w:tcPr>
          <w:p w14:paraId="01E2902C" w14:textId="10DD5190"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vAlign w:val="bottom"/>
          </w:tcPr>
          <w:p w14:paraId="6BC1868E" w14:textId="158EC5BA" w:rsidR="00F80502" w:rsidRPr="00F80502" w:rsidRDefault="00F80502" w:rsidP="00F80502">
            <w:pPr>
              <w:rPr>
                <w:rFonts w:cs="Arial"/>
              </w:rPr>
            </w:pPr>
            <w:r w:rsidRPr="00F80502">
              <w:rPr>
                <w:rFonts w:cs="Arial"/>
              </w:rPr>
              <w:t xml:space="preserve">1,6 пъти </w:t>
            </w:r>
            <w:r w:rsidRPr="00F80502">
              <w:rPr>
                <w:rFonts w:cs="Arial"/>
                <w:lang w:val="en-US"/>
              </w:rPr>
              <w:t>↑</w:t>
            </w:r>
          </w:p>
        </w:tc>
      </w:tr>
      <w:tr w:rsidR="00F80502" w14:paraId="6952165C" w14:textId="77777777" w:rsidTr="007B12B9">
        <w:tc>
          <w:tcPr>
            <w:tcW w:w="3192" w:type="dxa"/>
            <w:vAlign w:val="bottom"/>
          </w:tcPr>
          <w:p w14:paraId="7CEA6A07" w14:textId="21441DD4" w:rsidR="00F80502" w:rsidRPr="00F80502" w:rsidRDefault="00F80502" w:rsidP="00F80502">
            <w:pPr>
              <w:rPr>
                <w:rFonts w:cs="Arial"/>
              </w:rPr>
            </w:pPr>
            <w:r w:rsidRPr="00F80502">
              <w:rPr>
                <w:rFonts w:cs="Arial"/>
              </w:rPr>
              <w:t xml:space="preserve">Дарунавир 600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lang w:val="ru-RU"/>
              </w:rPr>
              <w:t xml:space="preserve"> </w:t>
            </w:r>
            <w:r w:rsidRPr="00F80502">
              <w:rPr>
                <w:rFonts w:cs="Arial"/>
              </w:rPr>
              <w:t>ДД, 7 дни</w:t>
            </w:r>
          </w:p>
        </w:tc>
        <w:tc>
          <w:tcPr>
            <w:tcW w:w="3192" w:type="dxa"/>
          </w:tcPr>
          <w:p w14:paraId="47F284B4" w14:textId="4D391CC4"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ВД, 7 дни</w:t>
            </w:r>
          </w:p>
        </w:tc>
        <w:tc>
          <w:tcPr>
            <w:tcW w:w="3192" w:type="dxa"/>
          </w:tcPr>
          <w:p w14:paraId="3DD9D877" w14:textId="2311615F" w:rsidR="00F80502" w:rsidRPr="00F80502" w:rsidRDefault="00F80502" w:rsidP="00F80502">
            <w:pPr>
              <w:rPr>
                <w:rFonts w:cs="Arial"/>
              </w:rPr>
            </w:pPr>
            <w:r w:rsidRPr="00F80502">
              <w:rPr>
                <w:rFonts w:cs="Arial"/>
              </w:rPr>
              <w:t xml:space="preserve">1,5 пъти </w:t>
            </w:r>
            <w:r w:rsidRPr="00F80502">
              <w:rPr>
                <w:rFonts w:cs="Arial"/>
                <w:lang w:val="en-US"/>
              </w:rPr>
              <w:t>↑</w:t>
            </w:r>
          </w:p>
        </w:tc>
      </w:tr>
      <w:tr w:rsidR="00F80502" w14:paraId="7F42D71B" w14:textId="77777777" w:rsidTr="007B12B9">
        <w:tc>
          <w:tcPr>
            <w:tcW w:w="3192" w:type="dxa"/>
            <w:vAlign w:val="bottom"/>
          </w:tcPr>
          <w:p w14:paraId="0D30AC0E" w14:textId="6CD14F01" w:rsidR="00F80502" w:rsidRPr="00F80502" w:rsidRDefault="00F80502" w:rsidP="00F80502">
            <w:pPr>
              <w:rPr>
                <w:rFonts w:cs="Arial"/>
              </w:rPr>
            </w:pPr>
            <w:r w:rsidRPr="00F80502">
              <w:rPr>
                <w:rFonts w:cs="Arial"/>
              </w:rPr>
              <w:t xml:space="preserve">Типранавир 500 </w:t>
            </w:r>
            <w:r w:rsidRPr="00F80502">
              <w:rPr>
                <w:rFonts w:cs="Arial"/>
                <w:lang w:val="en-US"/>
              </w:rPr>
              <w:t>mg</w:t>
            </w:r>
            <w:r w:rsidRPr="00F80502">
              <w:rPr>
                <w:rFonts w:cs="Arial"/>
              </w:rPr>
              <w:t xml:space="preserve">/ритонавир 200 </w:t>
            </w:r>
            <w:r w:rsidRPr="00F80502">
              <w:rPr>
                <w:rFonts w:cs="Arial"/>
                <w:lang w:val="en-US"/>
              </w:rPr>
              <w:t>mg</w:t>
            </w:r>
            <w:r w:rsidRPr="00F80502">
              <w:rPr>
                <w:rFonts w:cs="Arial"/>
                <w:lang w:val="ru-RU"/>
              </w:rPr>
              <w:t xml:space="preserve"> </w:t>
            </w:r>
            <w:r w:rsidRPr="00F80502">
              <w:rPr>
                <w:rFonts w:cs="Arial"/>
              </w:rPr>
              <w:t>ДД, 11 дни</w:t>
            </w:r>
          </w:p>
        </w:tc>
        <w:tc>
          <w:tcPr>
            <w:tcW w:w="3192" w:type="dxa"/>
          </w:tcPr>
          <w:p w14:paraId="1F454664" w14:textId="34D0BCDE"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3FAA31BC" w14:textId="46EA72E1" w:rsidR="00F80502" w:rsidRPr="00F80502" w:rsidRDefault="00F80502" w:rsidP="00F80502">
            <w:pPr>
              <w:rPr>
                <w:rFonts w:cs="Arial"/>
              </w:rPr>
            </w:pPr>
            <w:r w:rsidRPr="00F80502">
              <w:rPr>
                <w:rFonts w:cs="Arial"/>
              </w:rPr>
              <w:t xml:space="preserve">1,4 пъти </w:t>
            </w:r>
            <w:r w:rsidRPr="00F80502">
              <w:rPr>
                <w:rFonts w:cs="Arial"/>
                <w:lang w:val="en-US"/>
              </w:rPr>
              <w:t>↑</w:t>
            </w:r>
          </w:p>
        </w:tc>
      </w:tr>
      <w:tr w:rsidR="00F80502" w14:paraId="7448C3B7" w14:textId="77777777" w:rsidTr="006C600B">
        <w:tc>
          <w:tcPr>
            <w:tcW w:w="3192" w:type="dxa"/>
          </w:tcPr>
          <w:p w14:paraId="42431088" w14:textId="2B460099" w:rsidR="00F80502" w:rsidRPr="00F80502" w:rsidRDefault="00F80502" w:rsidP="00F80502">
            <w:pPr>
              <w:rPr>
                <w:rFonts w:cs="Arial"/>
              </w:rPr>
            </w:pPr>
            <w:r w:rsidRPr="00F80502">
              <w:rPr>
                <w:rFonts w:cs="Arial"/>
              </w:rPr>
              <w:t xml:space="preserve">Дронедарон 400 </w:t>
            </w:r>
            <w:r w:rsidRPr="00F80502">
              <w:rPr>
                <w:rFonts w:cs="Arial"/>
                <w:lang w:val="en-US"/>
              </w:rPr>
              <w:t xml:space="preserve">mg </w:t>
            </w:r>
            <w:r w:rsidRPr="00F80502">
              <w:rPr>
                <w:rFonts w:cs="Arial"/>
              </w:rPr>
              <w:t>ДД</w:t>
            </w:r>
          </w:p>
        </w:tc>
        <w:tc>
          <w:tcPr>
            <w:tcW w:w="3192" w:type="dxa"/>
          </w:tcPr>
          <w:p w14:paraId="21DE16A3" w14:textId="3791C5C6" w:rsidR="00F80502" w:rsidRPr="00F80502" w:rsidRDefault="00F80502" w:rsidP="00F80502">
            <w:pPr>
              <w:rPr>
                <w:rFonts w:cs="Arial"/>
              </w:rPr>
            </w:pPr>
            <w:r w:rsidRPr="00F80502">
              <w:rPr>
                <w:rFonts w:cs="Arial"/>
              </w:rPr>
              <w:t>Не е наличен</w:t>
            </w:r>
          </w:p>
        </w:tc>
        <w:tc>
          <w:tcPr>
            <w:tcW w:w="3192" w:type="dxa"/>
          </w:tcPr>
          <w:p w14:paraId="60172DE6" w14:textId="6E5D0EC0" w:rsidR="00F80502" w:rsidRPr="00F80502" w:rsidRDefault="00F80502" w:rsidP="00F80502">
            <w:pPr>
              <w:rPr>
                <w:rFonts w:cs="Arial"/>
              </w:rPr>
            </w:pPr>
            <w:r w:rsidRPr="00F80502">
              <w:rPr>
                <w:rFonts w:cs="Arial"/>
              </w:rPr>
              <w:t>1,4 пъти</w:t>
            </w:r>
            <w:r w:rsidRPr="00F80502">
              <w:rPr>
                <w:rFonts w:cs="Arial"/>
                <w:lang w:val="en-US"/>
              </w:rPr>
              <w:t xml:space="preserve"> ↑</w:t>
            </w:r>
          </w:p>
        </w:tc>
      </w:tr>
      <w:tr w:rsidR="00F80502" w14:paraId="03B26907" w14:textId="77777777" w:rsidTr="006C600B">
        <w:tc>
          <w:tcPr>
            <w:tcW w:w="3192" w:type="dxa"/>
          </w:tcPr>
          <w:p w14:paraId="26894AA7" w14:textId="030BC315" w:rsidR="00F80502" w:rsidRPr="00F80502" w:rsidRDefault="00F80502" w:rsidP="00F80502">
            <w:pPr>
              <w:rPr>
                <w:rFonts w:cs="Arial"/>
              </w:rPr>
            </w:pPr>
            <w:r w:rsidRPr="00F80502">
              <w:rPr>
                <w:rFonts w:cs="Arial"/>
              </w:rPr>
              <w:t xml:space="preserve">Итраконазол 200 </w:t>
            </w:r>
            <w:r w:rsidRPr="00F80502">
              <w:rPr>
                <w:rFonts w:cs="Arial"/>
                <w:lang w:val="en-US"/>
              </w:rPr>
              <w:t xml:space="preserve">mg </w:t>
            </w:r>
            <w:r w:rsidRPr="00F80502">
              <w:rPr>
                <w:rFonts w:cs="Arial"/>
              </w:rPr>
              <w:t>ВД, 5 дни</w:t>
            </w:r>
          </w:p>
        </w:tc>
        <w:tc>
          <w:tcPr>
            <w:tcW w:w="3192" w:type="dxa"/>
          </w:tcPr>
          <w:p w14:paraId="7C01B637" w14:textId="75479C52"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68B85C1B" w14:textId="5744EFA0" w:rsidR="00F80502" w:rsidRPr="00F80502" w:rsidRDefault="00F80502" w:rsidP="00F80502">
            <w:pPr>
              <w:rPr>
                <w:rFonts w:cs="Arial"/>
              </w:rPr>
            </w:pPr>
            <w:r w:rsidRPr="00F80502">
              <w:rPr>
                <w:rFonts w:cs="Arial"/>
              </w:rPr>
              <w:t xml:space="preserve">1,4 пъти </w:t>
            </w:r>
            <w:r w:rsidRPr="00F80502">
              <w:rPr>
                <w:rFonts w:cs="Arial"/>
                <w:lang w:val="en-US"/>
              </w:rPr>
              <w:t>↑</w:t>
            </w:r>
          </w:p>
        </w:tc>
      </w:tr>
      <w:tr w:rsidR="00F80502" w14:paraId="0F8C1C4C" w14:textId="77777777" w:rsidTr="006C600B">
        <w:tc>
          <w:tcPr>
            <w:tcW w:w="3192" w:type="dxa"/>
          </w:tcPr>
          <w:p w14:paraId="6E73F6A0" w14:textId="0AA9A505" w:rsidR="00F80502" w:rsidRPr="00F80502" w:rsidRDefault="00F80502" w:rsidP="00F80502">
            <w:pPr>
              <w:rPr>
                <w:rFonts w:cs="Arial"/>
              </w:rPr>
            </w:pPr>
            <w:r w:rsidRPr="00F80502">
              <w:rPr>
                <w:rFonts w:cs="Arial"/>
              </w:rPr>
              <w:t xml:space="preserve">Езетимиб 10 </w:t>
            </w:r>
            <w:r w:rsidRPr="00F80502">
              <w:rPr>
                <w:rFonts w:cs="Arial"/>
                <w:lang w:val="en-US"/>
              </w:rPr>
              <w:t xml:space="preserve">mg </w:t>
            </w:r>
            <w:r w:rsidRPr="00F80502">
              <w:rPr>
                <w:rFonts w:cs="Arial"/>
              </w:rPr>
              <w:t>ВД, 14 дни</w:t>
            </w:r>
          </w:p>
        </w:tc>
        <w:tc>
          <w:tcPr>
            <w:tcW w:w="3192" w:type="dxa"/>
          </w:tcPr>
          <w:p w14:paraId="71C94418" w14:textId="292C66C4"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ВД, 14 дни</w:t>
            </w:r>
          </w:p>
        </w:tc>
        <w:tc>
          <w:tcPr>
            <w:tcW w:w="3192" w:type="dxa"/>
          </w:tcPr>
          <w:p w14:paraId="5146432E" w14:textId="276F3EA7" w:rsidR="00F80502" w:rsidRPr="00F80502" w:rsidRDefault="00F80502" w:rsidP="00F80502">
            <w:pPr>
              <w:rPr>
                <w:rFonts w:cs="Arial"/>
              </w:rPr>
            </w:pPr>
            <w:r w:rsidRPr="00F80502">
              <w:rPr>
                <w:rFonts w:cs="Arial"/>
              </w:rPr>
              <w:t xml:space="preserve">1,2 пъти </w:t>
            </w:r>
            <w:r w:rsidRPr="00F80502">
              <w:rPr>
                <w:rFonts w:cs="Arial"/>
                <w:lang w:val="en-US"/>
              </w:rPr>
              <w:t>↑</w:t>
            </w:r>
          </w:p>
        </w:tc>
      </w:tr>
      <w:tr w:rsidR="00F80502" w14:paraId="33095906" w14:textId="77777777" w:rsidTr="00F870DC">
        <w:tc>
          <w:tcPr>
            <w:tcW w:w="9576" w:type="dxa"/>
            <w:gridSpan w:val="3"/>
          </w:tcPr>
          <w:p w14:paraId="1CCB019B" w14:textId="78F4A8B3" w:rsidR="00F80502" w:rsidRPr="00F80502" w:rsidRDefault="00F80502" w:rsidP="00F80502">
            <w:pPr>
              <w:rPr>
                <w:rFonts w:cs="Arial"/>
              </w:rPr>
            </w:pPr>
            <w:r w:rsidRPr="00F80502">
              <w:rPr>
                <w:rFonts w:cs="Arial"/>
                <w:lang w:eastAsia="bg-BG"/>
              </w:rPr>
              <w:t xml:space="preserve">Намаляване на </w:t>
            </w:r>
            <w:r w:rsidRPr="00F80502">
              <w:rPr>
                <w:rFonts w:cs="Arial"/>
                <w:lang w:val="en-US"/>
              </w:rPr>
              <w:t>AUC</w:t>
            </w:r>
            <w:r w:rsidRPr="00F80502">
              <w:rPr>
                <w:rFonts w:cs="Arial"/>
                <w:lang w:val="ru-RU"/>
              </w:rPr>
              <w:t xml:space="preserve"> </w:t>
            </w:r>
            <w:r w:rsidRPr="00F80502">
              <w:rPr>
                <w:rFonts w:cs="Arial"/>
                <w:lang w:eastAsia="bg-BG"/>
              </w:rPr>
              <w:t>на розувастатин</w:t>
            </w:r>
          </w:p>
        </w:tc>
      </w:tr>
      <w:tr w:rsidR="00F80502" w14:paraId="090113E9" w14:textId="77777777" w:rsidTr="009611E3">
        <w:tc>
          <w:tcPr>
            <w:tcW w:w="3192" w:type="dxa"/>
            <w:vAlign w:val="bottom"/>
          </w:tcPr>
          <w:p w14:paraId="08A8FA20" w14:textId="7472DD8F" w:rsidR="00F80502" w:rsidRPr="00F80502" w:rsidRDefault="00F80502" w:rsidP="00F80502">
            <w:pPr>
              <w:rPr>
                <w:rFonts w:cs="Arial"/>
              </w:rPr>
            </w:pPr>
            <w:r w:rsidRPr="00F80502">
              <w:rPr>
                <w:rFonts w:cs="Arial"/>
              </w:rPr>
              <w:t>Дозов режим на взаимодействащото лекарство</w:t>
            </w:r>
          </w:p>
        </w:tc>
        <w:tc>
          <w:tcPr>
            <w:tcW w:w="3192" w:type="dxa"/>
          </w:tcPr>
          <w:p w14:paraId="559040EA" w14:textId="75AA9EB9" w:rsidR="00F80502" w:rsidRPr="00F80502" w:rsidRDefault="00F80502" w:rsidP="00F80502">
            <w:pPr>
              <w:rPr>
                <w:rFonts w:cs="Arial"/>
              </w:rPr>
            </w:pPr>
            <w:r w:rsidRPr="00F80502">
              <w:rPr>
                <w:rFonts w:cs="Arial"/>
              </w:rPr>
              <w:t>Дозов режим на розувастатин</w:t>
            </w:r>
          </w:p>
        </w:tc>
        <w:tc>
          <w:tcPr>
            <w:tcW w:w="3192" w:type="dxa"/>
            <w:vAlign w:val="bottom"/>
          </w:tcPr>
          <w:p w14:paraId="1A17400E" w14:textId="2D980F14" w:rsidR="00F80502" w:rsidRPr="00F80502" w:rsidRDefault="00F80502" w:rsidP="00F80502">
            <w:pPr>
              <w:rPr>
                <w:rFonts w:cs="Arial"/>
              </w:rPr>
            </w:pPr>
            <w:r w:rsidRPr="00F80502">
              <w:rPr>
                <w:rFonts w:cs="Arial"/>
              </w:rPr>
              <w:t xml:space="preserve">Промяна в </w:t>
            </w:r>
            <w:r w:rsidRPr="00F80502">
              <w:rPr>
                <w:rFonts w:cs="Arial"/>
                <w:lang w:val="en-US"/>
              </w:rPr>
              <w:t>AUC</w:t>
            </w:r>
            <w:r w:rsidRPr="00F80502">
              <w:rPr>
                <w:rFonts w:cs="Arial"/>
                <w:lang w:val="ru-RU"/>
              </w:rPr>
              <w:t xml:space="preserve">* </w:t>
            </w:r>
            <w:r w:rsidRPr="00F80502">
              <w:rPr>
                <w:rFonts w:cs="Arial"/>
              </w:rPr>
              <w:t>на розувастатин</w:t>
            </w:r>
          </w:p>
        </w:tc>
      </w:tr>
      <w:tr w:rsidR="00F80502" w14:paraId="49CFF26C" w14:textId="77777777" w:rsidTr="009611E3">
        <w:tc>
          <w:tcPr>
            <w:tcW w:w="3192" w:type="dxa"/>
            <w:vAlign w:val="bottom"/>
          </w:tcPr>
          <w:p w14:paraId="3D872D16" w14:textId="77777777" w:rsidR="00F80502" w:rsidRPr="00F80502" w:rsidRDefault="00F80502" w:rsidP="00F80502">
            <w:pPr>
              <w:rPr>
                <w:rFonts w:cs="Arial"/>
              </w:rPr>
            </w:pPr>
            <w:r w:rsidRPr="00F80502">
              <w:rPr>
                <w:rFonts w:cs="Arial"/>
              </w:rPr>
              <w:lastRenderedPageBreak/>
              <w:t xml:space="preserve">Еритромицин 500 </w:t>
            </w:r>
            <w:r w:rsidRPr="00F80502">
              <w:rPr>
                <w:rFonts w:cs="Arial"/>
                <w:lang w:val="en-US"/>
              </w:rPr>
              <w:t>mg</w:t>
            </w:r>
            <w:r w:rsidRPr="00F80502">
              <w:rPr>
                <w:rFonts w:cs="Arial"/>
                <w:lang w:val="ru-RU"/>
              </w:rPr>
              <w:t xml:space="preserve"> </w:t>
            </w:r>
            <w:r w:rsidRPr="00F80502">
              <w:rPr>
                <w:rFonts w:cs="Arial"/>
              </w:rPr>
              <w:t>ЧД, 7 дни</w:t>
            </w:r>
          </w:p>
          <w:p w14:paraId="09657550" w14:textId="05D96F06" w:rsidR="00F80502" w:rsidRPr="00F80502" w:rsidRDefault="00F80502" w:rsidP="00F80502">
            <w:pPr>
              <w:rPr>
                <w:rFonts w:cs="Arial"/>
              </w:rPr>
            </w:pPr>
            <w:r w:rsidRPr="00F80502">
              <w:rPr>
                <w:rFonts w:cs="Arial"/>
              </w:rPr>
              <w:t xml:space="preserve">Байкалин 50 </w:t>
            </w:r>
            <w:r w:rsidRPr="00F80502">
              <w:rPr>
                <w:rFonts w:cs="Arial"/>
                <w:lang w:val="en-US"/>
              </w:rPr>
              <w:t>mg</w:t>
            </w:r>
            <w:r w:rsidRPr="00F80502">
              <w:rPr>
                <w:rFonts w:cs="Arial"/>
                <w:lang w:val="ru-RU"/>
              </w:rPr>
              <w:t xml:space="preserve"> </w:t>
            </w:r>
            <w:r w:rsidRPr="00F80502">
              <w:rPr>
                <w:rFonts w:cs="Arial"/>
              </w:rPr>
              <w:t>ТД, 14 дни</w:t>
            </w:r>
          </w:p>
        </w:tc>
        <w:tc>
          <w:tcPr>
            <w:tcW w:w="3192" w:type="dxa"/>
            <w:vAlign w:val="bottom"/>
          </w:tcPr>
          <w:p w14:paraId="0184FE58" w14:textId="77777777" w:rsidR="00F80502" w:rsidRPr="00F80502" w:rsidRDefault="00F80502" w:rsidP="00F80502">
            <w:pPr>
              <w:rPr>
                <w:rFonts w:cs="Arial"/>
              </w:rPr>
            </w:pPr>
            <w:r w:rsidRPr="00F80502">
              <w:rPr>
                <w:rFonts w:cs="Arial"/>
              </w:rPr>
              <w:t xml:space="preserve">80 </w:t>
            </w:r>
            <w:r w:rsidRPr="00F80502">
              <w:rPr>
                <w:rFonts w:cs="Arial"/>
                <w:lang w:val="en-US"/>
              </w:rPr>
              <w:t>mg</w:t>
            </w:r>
            <w:r w:rsidRPr="00F80502">
              <w:rPr>
                <w:rFonts w:cs="Arial"/>
                <w:lang w:val="ru-RU"/>
              </w:rPr>
              <w:t xml:space="preserve">, </w:t>
            </w:r>
            <w:r w:rsidRPr="00F80502">
              <w:rPr>
                <w:rFonts w:cs="Arial"/>
              </w:rPr>
              <w:t>единична доза</w:t>
            </w:r>
          </w:p>
          <w:p w14:paraId="14524339" w14:textId="661E1C2E" w:rsidR="00F80502" w:rsidRPr="00F80502" w:rsidRDefault="00F80502" w:rsidP="00F80502">
            <w:pPr>
              <w:rPr>
                <w:rFonts w:cs="Arial"/>
              </w:rPr>
            </w:pPr>
            <w:r w:rsidRPr="00F80502">
              <w:rPr>
                <w:rFonts w:cs="Arial"/>
              </w:rPr>
              <w:t xml:space="preserve">20 </w:t>
            </w:r>
            <w:r w:rsidRPr="00F80502">
              <w:rPr>
                <w:rFonts w:cs="Arial"/>
                <w:lang w:val="en-US"/>
              </w:rPr>
              <w:t>mg</w:t>
            </w:r>
            <w:r w:rsidRPr="00F80502">
              <w:rPr>
                <w:rFonts w:cs="Arial"/>
                <w:lang w:val="ru-RU"/>
              </w:rPr>
              <w:t xml:space="preserve">, </w:t>
            </w:r>
            <w:r w:rsidRPr="00F80502">
              <w:rPr>
                <w:rFonts w:cs="Arial"/>
              </w:rPr>
              <w:t>единична доза</w:t>
            </w:r>
          </w:p>
        </w:tc>
        <w:tc>
          <w:tcPr>
            <w:tcW w:w="3192" w:type="dxa"/>
            <w:vAlign w:val="bottom"/>
          </w:tcPr>
          <w:p w14:paraId="2C2C02FB" w14:textId="77777777" w:rsidR="00F80502" w:rsidRPr="00F80502" w:rsidRDefault="00F80502" w:rsidP="00F80502">
            <w:pPr>
              <w:rPr>
                <w:rFonts w:cs="Arial"/>
              </w:rPr>
            </w:pPr>
            <w:r w:rsidRPr="00F80502">
              <w:rPr>
                <w:rFonts w:cs="Arial"/>
              </w:rPr>
              <w:t xml:space="preserve">20% </w:t>
            </w:r>
            <w:r w:rsidRPr="00F80502">
              <w:rPr>
                <w:rFonts w:cs="Arial"/>
                <w:lang w:val="en-US"/>
              </w:rPr>
              <w:t>↓</w:t>
            </w:r>
          </w:p>
          <w:p w14:paraId="32E9AE49" w14:textId="2F7B1633" w:rsidR="00F80502" w:rsidRPr="00F80502" w:rsidRDefault="00F80502" w:rsidP="00F80502">
            <w:pPr>
              <w:rPr>
                <w:rFonts w:cs="Arial"/>
              </w:rPr>
            </w:pPr>
            <w:r w:rsidRPr="00F80502">
              <w:rPr>
                <w:rFonts w:cs="Arial"/>
              </w:rPr>
              <w:t>47%</w:t>
            </w:r>
            <w:r w:rsidRPr="00F80502">
              <w:rPr>
                <w:rFonts w:cs="Arial"/>
                <w:lang w:val="en-US"/>
              </w:rPr>
              <w:t>↓</w:t>
            </w:r>
          </w:p>
        </w:tc>
      </w:tr>
      <w:tr w:rsidR="00F80502" w14:paraId="1BED232D" w14:textId="77777777" w:rsidTr="007E7F5E">
        <w:tc>
          <w:tcPr>
            <w:tcW w:w="9576" w:type="dxa"/>
            <w:gridSpan w:val="3"/>
          </w:tcPr>
          <w:p w14:paraId="09A83C2B"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 Данните, представени като х-кратна промяна, представляват просто съотношение между едновременното и самостоятелното приложение на розувастатин. Данните, представени като %-на промяна, представляват процентната разлика, отнесена към самостоятелното приложение</w:t>
            </w:r>
            <w:r w:rsidRPr="00F80502">
              <w:rPr>
                <w:rFonts w:eastAsia="Times New Roman" w:cs="Arial"/>
                <w:color w:val="000000"/>
                <w:u w:val="single"/>
                <w:lang w:eastAsia="bg-BG"/>
              </w:rPr>
              <w:t xml:space="preserve"> </w:t>
            </w:r>
            <w:r w:rsidRPr="00F80502">
              <w:rPr>
                <w:rFonts w:eastAsia="Times New Roman" w:cs="Arial"/>
                <w:color w:val="000000"/>
                <w:lang w:eastAsia="bg-BG"/>
              </w:rPr>
              <w:t>на розувастатин.</w:t>
            </w:r>
          </w:p>
          <w:p w14:paraId="1618F632"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Увеличението е показано като "</w:t>
            </w:r>
            <w:r w:rsidRPr="00F80502">
              <w:rPr>
                <w:rFonts w:eastAsia="Times New Roman" w:cs="Arial"/>
                <w:color w:val="000000"/>
                <w:lang w:val="ru-RU"/>
              </w:rPr>
              <w:t>↑</w:t>
            </w:r>
            <w:r w:rsidRPr="00F80502">
              <w:rPr>
                <w:rFonts w:eastAsia="Times New Roman" w:cs="Arial"/>
                <w:color w:val="000000"/>
                <w:lang w:eastAsia="bg-BG"/>
              </w:rPr>
              <w:t>", намалението като "</w:t>
            </w:r>
            <w:r w:rsidRPr="00F80502">
              <w:rPr>
                <w:rFonts w:eastAsia="Times New Roman" w:cs="Arial"/>
                <w:color w:val="000000"/>
                <w:lang w:val="ru-RU"/>
              </w:rPr>
              <w:t>↓</w:t>
            </w:r>
            <w:r w:rsidRPr="00F80502">
              <w:rPr>
                <w:rFonts w:eastAsia="Times New Roman" w:cs="Arial"/>
                <w:color w:val="000000"/>
                <w:lang w:eastAsia="bg-BG"/>
              </w:rPr>
              <w:t>"</w:t>
            </w:r>
          </w:p>
          <w:p w14:paraId="56A994F5"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**Няколко проучвания за взаимодействията са проведени с различна дозировка на розувастатин, таблицата показва най-значимите съотношения</w:t>
            </w:r>
          </w:p>
          <w:p w14:paraId="42C46F11" w14:textId="77777777" w:rsidR="00F80502" w:rsidRPr="00F80502" w:rsidRDefault="00F80502" w:rsidP="00F80502">
            <w:pPr>
              <w:spacing w:line="240" w:lineRule="auto"/>
              <w:rPr>
                <w:rFonts w:eastAsia="Times New Roman" w:cs="Arial"/>
              </w:rPr>
            </w:pPr>
            <w:r w:rsidRPr="00F80502">
              <w:rPr>
                <w:rFonts w:eastAsia="Times New Roman" w:cs="Arial"/>
                <w:color w:val="000000"/>
                <w:lang w:val="en-US"/>
              </w:rPr>
              <w:t>AUC</w:t>
            </w:r>
            <w:r w:rsidRPr="00F80502">
              <w:rPr>
                <w:rFonts w:eastAsia="Times New Roman" w:cs="Arial"/>
                <w:color w:val="000000"/>
                <w:lang w:val="ru-RU"/>
              </w:rPr>
              <w:t xml:space="preserve"> </w:t>
            </w:r>
            <w:r w:rsidRPr="00F80502">
              <w:rPr>
                <w:rFonts w:eastAsia="Times New Roman" w:cs="Arial"/>
                <w:color w:val="000000"/>
                <w:lang w:eastAsia="bg-BG"/>
              </w:rPr>
              <w:t>- площ под кривата, ВД = веднъж дневно; ДД = два пъти дневно; ТД = три пъти дневно</w:t>
            </w:r>
          </w:p>
          <w:p w14:paraId="7DE6D7AE" w14:textId="04E5C6E1" w:rsidR="00F80502" w:rsidRPr="00F80502" w:rsidRDefault="00F80502" w:rsidP="00A70FDA">
            <w:pPr>
              <w:rPr>
                <w:rFonts w:cs="Arial"/>
              </w:rPr>
            </w:pPr>
            <w:r w:rsidRPr="00F80502">
              <w:rPr>
                <w:rFonts w:eastAsia="Times New Roman" w:cs="Arial"/>
                <w:color w:val="000000"/>
                <w:lang w:eastAsia="bg-BG"/>
              </w:rPr>
              <w:t>ЧД = четири пъти дневно</w:t>
            </w:r>
          </w:p>
        </w:tc>
      </w:tr>
    </w:tbl>
    <w:p w14:paraId="2EB6FE5C" w14:textId="77A6EE56" w:rsidR="006C600B" w:rsidRDefault="006C600B" w:rsidP="00A70FDA"/>
    <w:p w14:paraId="3AC659C0"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Следните лекарствени продукти/комбинации не са имали клинично значим ефект върху </w:t>
      </w:r>
      <w:r w:rsidRPr="00F80502">
        <w:rPr>
          <w:rFonts w:eastAsia="Times New Roman" w:cs="Arial"/>
          <w:color w:val="000000"/>
          <w:lang w:val="en-US"/>
        </w:rPr>
        <w:t>AUC</w:t>
      </w:r>
      <w:r w:rsidRPr="00F80502">
        <w:rPr>
          <w:rFonts w:eastAsia="Times New Roman" w:cs="Arial"/>
          <w:color w:val="000000"/>
          <w:lang w:val="ru-RU"/>
        </w:rPr>
        <w:t xml:space="preserve"> </w:t>
      </w:r>
      <w:r w:rsidRPr="00F80502">
        <w:rPr>
          <w:rFonts w:eastAsia="Times New Roman" w:cs="Arial"/>
          <w:color w:val="000000"/>
          <w:lang w:eastAsia="bg-BG"/>
        </w:rPr>
        <w:t xml:space="preserve">на розувастатин при едновременно приложение: Алеглизавир 0,3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7 дни дозиране;</w:t>
      </w:r>
    </w:p>
    <w:p w14:paraId="666DDF9B"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Фенофибрат 67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ТД, 7 дни; Флуконазол 200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ВД, 11 дни; Фозампренавир</w:t>
      </w:r>
    </w:p>
    <w:p w14:paraId="20283ABE"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700 </w:t>
      </w:r>
      <w:r w:rsidRPr="00F80502">
        <w:rPr>
          <w:rFonts w:eastAsia="Times New Roman" w:cs="Arial"/>
          <w:color w:val="000000"/>
          <w:lang w:val="en-US"/>
        </w:rPr>
        <w:t>mg</w:t>
      </w:r>
      <w:r w:rsidRPr="00F80502">
        <w:rPr>
          <w:rFonts w:eastAsia="Times New Roman" w:cs="Arial"/>
          <w:color w:val="000000"/>
          <w:lang w:eastAsia="bg-BG"/>
        </w:rPr>
        <w:t xml:space="preserve">/ритонавир 100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ДД, 8 дни; Кетоконазол 200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ДД, 7 дни; Рифампицин 450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ВД, 7 дни; Силимарин 140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ТД, 5 дни.</w:t>
      </w:r>
    </w:p>
    <w:p w14:paraId="08D6A8A4" w14:textId="77777777" w:rsidR="00F80502" w:rsidRPr="00F80502" w:rsidRDefault="00F80502" w:rsidP="00F80502">
      <w:pPr>
        <w:spacing w:line="240" w:lineRule="auto"/>
        <w:rPr>
          <w:rFonts w:eastAsia="Times New Roman" w:cs="Arial"/>
          <w:color w:val="000000"/>
          <w:u w:val="single"/>
          <w:lang w:eastAsia="bg-BG"/>
        </w:rPr>
      </w:pPr>
    </w:p>
    <w:p w14:paraId="4262410C" w14:textId="29143F8C"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Ефекти на розувастатин върху лекарствени продукти, приемани едновременно</w:t>
      </w:r>
    </w:p>
    <w:p w14:paraId="444DCB65" w14:textId="77777777" w:rsidR="00F80502" w:rsidRPr="00F80502" w:rsidRDefault="00F80502" w:rsidP="00F80502">
      <w:pPr>
        <w:spacing w:line="240" w:lineRule="auto"/>
        <w:rPr>
          <w:rFonts w:eastAsia="Times New Roman" w:cs="Arial"/>
          <w:i/>
          <w:iCs/>
          <w:color w:val="000000"/>
          <w:lang w:eastAsia="bg-BG"/>
        </w:rPr>
      </w:pPr>
    </w:p>
    <w:p w14:paraId="4E6641C6" w14:textId="2E1059B2"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Антагонисти на витамин К:</w:t>
      </w:r>
    </w:p>
    <w:p w14:paraId="43F62FA8"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Подобно на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 xml:space="preserve">редуктазата започването на лечение с Розвера или титрирането на дозата му при пациенти, приемащи антагонисти на витамин К (като варфарин или други кумаринови антикоагуланти) може да доведе до повишение на </w:t>
      </w:r>
      <w:r w:rsidRPr="00F80502">
        <w:rPr>
          <w:rFonts w:eastAsia="Times New Roman" w:cs="Arial"/>
          <w:color w:val="000000"/>
          <w:lang w:val="en-US"/>
        </w:rPr>
        <w:t>International</w:t>
      </w:r>
      <w:r w:rsidRPr="00F80502">
        <w:rPr>
          <w:rFonts w:eastAsia="Times New Roman" w:cs="Arial"/>
          <w:color w:val="000000"/>
          <w:lang w:val="ru-RU"/>
        </w:rPr>
        <w:t xml:space="preserve"> </w:t>
      </w:r>
      <w:r w:rsidRPr="00F80502">
        <w:rPr>
          <w:rFonts w:eastAsia="Times New Roman" w:cs="Arial"/>
          <w:color w:val="000000"/>
          <w:lang w:val="en-US"/>
        </w:rPr>
        <w:t>Normalised</w:t>
      </w:r>
      <w:r w:rsidRPr="00F80502">
        <w:rPr>
          <w:rFonts w:eastAsia="Times New Roman" w:cs="Arial"/>
          <w:color w:val="000000"/>
          <w:lang w:val="ru-RU"/>
        </w:rPr>
        <w:t xml:space="preserve"> </w:t>
      </w:r>
      <w:r w:rsidRPr="00F80502">
        <w:rPr>
          <w:rFonts w:eastAsia="Times New Roman" w:cs="Arial"/>
          <w:color w:val="000000"/>
          <w:lang w:val="en-US"/>
        </w:rPr>
        <w:t>Ratio</w:t>
      </w:r>
      <w:r w:rsidRPr="00F80502">
        <w:rPr>
          <w:rFonts w:eastAsia="Times New Roman" w:cs="Arial"/>
          <w:color w:val="000000"/>
          <w:lang w:val="ru-RU"/>
        </w:rPr>
        <w:t xml:space="preserve"> (</w:t>
      </w:r>
      <w:r w:rsidRPr="00F80502">
        <w:rPr>
          <w:rFonts w:eastAsia="Times New Roman" w:cs="Arial"/>
          <w:color w:val="000000"/>
          <w:lang w:val="en-US"/>
        </w:rPr>
        <w:t>INR</w:t>
      </w:r>
      <w:r w:rsidRPr="00F80502">
        <w:rPr>
          <w:rFonts w:eastAsia="Times New Roman" w:cs="Arial"/>
          <w:color w:val="000000"/>
          <w:lang w:val="ru-RU"/>
        </w:rPr>
        <w:t xml:space="preserve">). </w:t>
      </w:r>
      <w:r w:rsidRPr="00F80502">
        <w:rPr>
          <w:rFonts w:eastAsia="Times New Roman" w:cs="Arial"/>
          <w:color w:val="000000"/>
          <w:lang w:eastAsia="bg-BG"/>
        </w:rPr>
        <w:t xml:space="preserve">Прекъсването на лечението или намаляване на дозата на титриране с Розвера може да доведе до намаление на </w:t>
      </w:r>
      <w:r w:rsidRPr="00F80502">
        <w:rPr>
          <w:rFonts w:eastAsia="Times New Roman" w:cs="Arial"/>
          <w:color w:val="000000"/>
          <w:lang w:val="en-US"/>
        </w:rPr>
        <w:t>INR</w:t>
      </w:r>
      <w:r w:rsidRPr="00F80502">
        <w:rPr>
          <w:rFonts w:eastAsia="Times New Roman" w:cs="Arial"/>
          <w:color w:val="000000"/>
          <w:lang w:val="ru-RU"/>
        </w:rPr>
        <w:t xml:space="preserve">. </w:t>
      </w:r>
      <w:r w:rsidRPr="00F80502">
        <w:rPr>
          <w:rFonts w:eastAsia="Times New Roman" w:cs="Arial"/>
          <w:color w:val="000000"/>
          <w:lang w:eastAsia="bg-BG"/>
        </w:rPr>
        <w:t xml:space="preserve">При подобни ситуации се препоръчва мониториране на </w:t>
      </w:r>
      <w:r w:rsidRPr="00F80502">
        <w:rPr>
          <w:rFonts w:eastAsia="Times New Roman" w:cs="Arial"/>
          <w:color w:val="000000"/>
          <w:lang w:val="en-US"/>
        </w:rPr>
        <w:t>INR</w:t>
      </w:r>
      <w:r w:rsidRPr="00F80502">
        <w:rPr>
          <w:rFonts w:eastAsia="Times New Roman" w:cs="Arial"/>
          <w:color w:val="000000"/>
          <w:lang w:val="ru-RU"/>
        </w:rPr>
        <w:t>.</w:t>
      </w:r>
    </w:p>
    <w:p w14:paraId="1F2033AB" w14:textId="77777777" w:rsidR="00F80502" w:rsidRPr="00F80502" w:rsidRDefault="00F80502" w:rsidP="00F80502">
      <w:pPr>
        <w:spacing w:line="240" w:lineRule="auto"/>
        <w:rPr>
          <w:rFonts w:eastAsia="Times New Roman" w:cs="Arial"/>
          <w:i/>
          <w:iCs/>
          <w:color w:val="000000"/>
          <w:lang w:eastAsia="bg-BG"/>
        </w:rPr>
      </w:pPr>
    </w:p>
    <w:p w14:paraId="568F1AFE" w14:textId="7780B156"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Перорални контрацептиви/хормонозаместваща терапия (ХЗТ)'.</w:t>
      </w:r>
    </w:p>
    <w:p w14:paraId="4B0B6FBE"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Едновременният прием на розувастатин и перорални контрацептиви е довело до повишаване на </w:t>
      </w:r>
      <w:r w:rsidRPr="00F80502">
        <w:rPr>
          <w:rFonts w:eastAsia="Times New Roman" w:cs="Arial"/>
          <w:color w:val="000000"/>
          <w:lang w:val="en-US"/>
        </w:rPr>
        <w:t>AUC</w:t>
      </w:r>
      <w:r w:rsidRPr="00F80502">
        <w:rPr>
          <w:rFonts w:eastAsia="Times New Roman" w:cs="Arial"/>
          <w:color w:val="000000"/>
          <w:lang w:val="ru-RU"/>
        </w:rPr>
        <w:t xml:space="preserve"> </w:t>
      </w:r>
      <w:r w:rsidRPr="00F80502">
        <w:rPr>
          <w:rFonts w:eastAsia="Times New Roman" w:cs="Arial"/>
          <w:color w:val="000000"/>
          <w:lang w:eastAsia="bg-BG"/>
        </w:rPr>
        <w:t>на етинилестраднол и норгестрел съответно с 26% и 34% .Тези повишени плазмени концентрации трябва да се вземат под внимание, когато се определя дозировката на пероралните контрацептиви. Няма фармакокинетични данни за пациенти, които приемат едновременно розувастатин и хормоно заместваща терапия и затова подобен ефект не може да се изключи. Въпреки това тази комбинация е била широко прилагана от жени в клинични изпитвания и е била толерирана добре.</w:t>
      </w:r>
    </w:p>
    <w:p w14:paraId="6EC6496B" w14:textId="77777777" w:rsidR="00F80502" w:rsidRPr="00F80502" w:rsidRDefault="00F80502" w:rsidP="00F80502">
      <w:pPr>
        <w:spacing w:line="240" w:lineRule="auto"/>
        <w:rPr>
          <w:rFonts w:eastAsia="Times New Roman" w:cs="Arial"/>
          <w:i/>
          <w:iCs/>
          <w:color w:val="000000"/>
          <w:lang w:eastAsia="bg-BG"/>
        </w:rPr>
      </w:pPr>
    </w:p>
    <w:p w14:paraId="10CAB454" w14:textId="316AF1AD"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Други лекарствени продукти:</w:t>
      </w:r>
    </w:p>
    <w:p w14:paraId="4B74A7FF" w14:textId="77777777"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Дигоксит</w:t>
      </w:r>
      <w:r w:rsidRPr="00F80502">
        <w:rPr>
          <w:rFonts w:eastAsia="Times New Roman" w:cs="Arial"/>
          <w:color w:val="000000"/>
          <w:lang w:eastAsia="bg-BG"/>
        </w:rPr>
        <w:t xml:space="preserve"> Въз основа на данните от специфични проучвания за лекарствени взаимодействия, не се очаква клинично значими взаимодействия с дигоксин.</w:t>
      </w:r>
    </w:p>
    <w:p w14:paraId="17F6871E" w14:textId="77777777" w:rsidR="00F80502" w:rsidRPr="00F80502" w:rsidRDefault="00F80502" w:rsidP="00F80502">
      <w:pPr>
        <w:spacing w:line="240" w:lineRule="auto"/>
        <w:rPr>
          <w:rFonts w:eastAsia="Times New Roman" w:cs="Arial"/>
          <w:i/>
          <w:iCs/>
          <w:color w:val="000000"/>
          <w:lang w:eastAsia="bg-BG"/>
        </w:rPr>
      </w:pPr>
    </w:p>
    <w:p w14:paraId="555DC54A" w14:textId="47FB8A54"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Фузидова киселина:</w:t>
      </w:r>
      <w:r w:rsidRPr="00F80502">
        <w:rPr>
          <w:rFonts w:eastAsia="Times New Roman" w:cs="Arial"/>
          <w:color w:val="000000"/>
          <w:lang w:eastAsia="bg-BG"/>
        </w:rPr>
        <w:t xml:space="preserve"> Рискът от миопатия, включително рабдомиолиза, може да се увеличи при едновременното системно приложение на фузидова киселина със статини. Механизмът на това взаимодействие (независимо дали е фармакодинамичен или фармакокинетичен, или и двете) е . все още неизвестен. Има съобщения за случаи на рабдомиолиза (включително с летален изход) при пациенти, приемащи тази комбинация. Ако лечението с фузидова киселина за системно приложение е необходимо, лечението </w:t>
      </w:r>
      <w:r w:rsidRPr="00F80502">
        <w:rPr>
          <w:rFonts w:eastAsia="Times New Roman" w:cs="Arial"/>
          <w:color w:val="000000"/>
          <w:lang w:eastAsia="bg-BG"/>
        </w:rPr>
        <w:lastRenderedPageBreak/>
        <w:t>със росувастатин трябва да бъде преустановено през целия период на лечение с фузидова киселина. Също така вижте точка 4.4</w:t>
      </w:r>
    </w:p>
    <w:p w14:paraId="0C1D99BA" w14:textId="77777777" w:rsidR="00F80502" w:rsidRPr="00F80502" w:rsidRDefault="00F80502" w:rsidP="00F80502">
      <w:pPr>
        <w:spacing w:line="240" w:lineRule="auto"/>
        <w:rPr>
          <w:rFonts w:eastAsia="Times New Roman" w:cs="Arial"/>
          <w:i/>
          <w:iCs/>
          <w:color w:val="000000"/>
          <w:lang w:eastAsia="bg-BG"/>
        </w:rPr>
      </w:pPr>
    </w:p>
    <w:p w14:paraId="0966980E" w14:textId="67AA5221"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Педиатрична популация:</w:t>
      </w:r>
    </w:p>
    <w:p w14:paraId="3FE40157" w14:textId="77777777" w:rsidR="00F80502" w:rsidRPr="00F80502" w:rsidRDefault="00F80502" w:rsidP="00F80502">
      <w:pPr>
        <w:spacing w:line="240" w:lineRule="auto"/>
        <w:rPr>
          <w:rFonts w:ascii="Times New Roman" w:eastAsia="Times New Roman" w:hAnsi="Times New Roman" w:cs="Times New Roman"/>
          <w:sz w:val="24"/>
          <w:szCs w:val="24"/>
        </w:rPr>
      </w:pPr>
      <w:r w:rsidRPr="00F80502">
        <w:rPr>
          <w:rFonts w:eastAsia="Times New Roman" w:cs="Arial"/>
          <w:color w:val="000000"/>
          <w:lang w:eastAsia="bg-BG"/>
        </w:rPr>
        <w:t>Проучвания за взаимодействия са провеждани само при възрастни. Мащаба на взаимодействията при педиатричната популация не е известен.</w:t>
      </w:r>
    </w:p>
    <w:p w14:paraId="48EFABF7" w14:textId="38A38C3E" w:rsidR="00F80502" w:rsidRPr="00A70FDA" w:rsidRDefault="00F80502" w:rsidP="00A70FDA"/>
    <w:p w14:paraId="5D9F40EA" w14:textId="7547E5E9" w:rsidR="007122AD" w:rsidRDefault="002C50EE" w:rsidP="00936AD0">
      <w:pPr>
        <w:pStyle w:val="Heading2"/>
      </w:pPr>
      <w:r>
        <w:t>4.6. Фертилитет, бременност и кърмене</w:t>
      </w:r>
    </w:p>
    <w:p w14:paraId="624C0F1B" w14:textId="1AEC7B91" w:rsidR="00F80502" w:rsidRDefault="00F80502" w:rsidP="00F80502"/>
    <w:p w14:paraId="2F2D7848"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Розвера е противопоказан по време на бременност и кърмене.</w:t>
      </w:r>
    </w:p>
    <w:p w14:paraId="5694FAD1" w14:textId="77777777" w:rsidR="00F80502" w:rsidRPr="00F80502" w:rsidRDefault="00F80502" w:rsidP="00F80502">
      <w:pPr>
        <w:spacing w:line="240" w:lineRule="auto"/>
        <w:rPr>
          <w:rFonts w:eastAsia="Times New Roman" w:cs="Arial"/>
          <w:color w:val="000000"/>
          <w:u w:val="single"/>
          <w:lang w:eastAsia="bg-BG"/>
        </w:rPr>
      </w:pPr>
    </w:p>
    <w:p w14:paraId="7E6C3373" w14:textId="4C5AE877" w:rsidR="00F80502" w:rsidRPr="00F80502" w:rsidRDefault="00F80502" w:rsidP="00F80502">
      <w:pPr>
        <w:pStyle w:val="Heading3"/>
        <w:rPr>
          <w:rFonts w:eastAsia="Times New Roman"/>
          <w:u w:val="single"/>
        </w:rPr>
      </w:pPr>
      <w:r w:rsidRPr="00F80502">
        <w:rPr>
          <w:rFonts w:eastAsia="Times New Roman"/>
          <w:u w:val="single"/>
          <w:lang w:eastAsia="bg-BG"/>
        </w:rPr>
        <w:t>Бременност</w:t>
      </w:r>
    </w:p>
    <w:p w14:paraId="17FEC60E" w14:textId="08D9C918"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Жени в детеродна възраст трябва да прилагат подходящи контрацептивни мерки.</w:t>
      </w:r>
    </w:p>
    <w:p w14:paraId="0EEAF9FE" w14:textId="77777777" w:rsidR="00F80502" w:rsidRPr="00F80502" w:rsidRDefault="00F80502" w:rsidP="00F80502">
      <w:pPr>
        <w:rPr>
          <w:rFonts w:eastAsia="Times New Roman" w:cs="Arial"/>
          <w:color w:val="000000"/>
          <w:lang w:eastAsia="bg-BG"/>
        </w:rPr>
      </w:pPr>
    </w:p>
    <w:p w14:paraId="7D4D2DB5" w14:textId="678550B9" w:rsidR="00F80502" w:rsidRPr="00F80502" w:rsidRDefault="00F80502" w:rsidP="00F80502">
      <w:pPr>
        <w:rPr>
          <w:rFonts w:eastAsia="Times New Roman" w:cs="Arial"/>
          <w:color w:val="000000"/>
          <w:lang w:eastAsia="bg-BG"/>
        </w:rPr>
      </w:pPr>
      <w:r w:rsidRPr="00F80502">
        <w:rPr>
          <w:rFonts w:eastAsia="Times New Roman" w:cs="Arial"/>
          <w:color w:val="000000"/>
          <w:lang w:eastAsia="bg-BG"/>
        </w:rPr>
        <w:t>Холестеролът и други продукти на холестероловия биосинтез са важни за развитието</w:t>
      </w:r>
      <w:r w:rsidRPr="00F80502">
        <w:rPr>
          <w:rFonts w:eastAsia="Times New Roman" w:cs="Arial"/>
          <w:color w:val="000000"/>
          <w:lang w:val="ru-RU"/>
        </w:rPr>
        <w:t xml:space="preserve"> </w:t>
      </w:r>
      <w:r w:rsidRPr="00F80502">
        <w:rPr>
          <w:rFonts w:eastAsia="Times New Roman" w:cs="Arial"/>
          <w:color w:val="000000"/>
          <w:lang w:eastAsia="bg-BG"/>
        </w:rPr>
        <w:t xml:space="preserve">на плода Ето защо потенциалният риск от инхибиране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е по-голям в сравнение с ползата от лечението по време на бременност. Изследванията върху животни осигуряват ограничени данни за репродуктивна токсичност (вж. точка 5.3). Ако пациентка забременее по време на лечение с това лекарство, приема трябва да бъде незабавно преустановенен</w:t>
      </w:r>
    </w:p>
    <w:p w14:paraId="0076C60B" w14:textId="679838A2" w:rsidR="00F80502" w:rsidRPr="00F80502" w:rsidRDefault="00F80502" w:rsidP="00F80502">
      <w:pPr>
        <w:rPr>
          <w:rFonts w:eastAsia="Times New Roman" w:cs="Arial"/>
          <w:color w:val="000000"/>
          <w:lang w:eastAsia="bg-BG"/>
        </w:rPr>
      </w:pPr>
    </w:p>
    <w:p w14:paraId="43E2FD4B" w14:textId="77777777" w:rsidR="00F80502" w:rsidRPr="00F80502" w:rsidRDefault="00F80502" w:rsidP="00F80502">
      <w:pPr>
        <w:pStyle w:val="Heading3"/>
        <w:rPr>
          <w:rFonts w:eastAsia="Times New Roman"/>
          <w:u w:val="single"/>
        </w:rPr>
      </w:pPr>
      <w:r w:rsidRPr="00F80502">
        <w:rPr>
          <w:rFonts w:eastAsia="Times New Roman"/>
          <w:u w:val="single"/>
          <w:lang w:eastAsia="bg-BG"/>
        </w:rPr>
        <w:t>Кърмене</w:t>
      </w:r>
    </w:p>
    <w:p w14:paraId="761BF465"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Розувастатин се екскретира в млякото на плъхове. Няма установени данни за отделяне в млякото при хората (вж. точка 4.3).</w:t>
      </w:r>
    </w:p>
    <w:p w14:paraId="55C1983C" w14:textId="77777777" w:rsidR="00F80502" w:rsidRPr="00F80502" w:rsidRDefault="00F80502" w:rsidP="00F80502"/>
    <w:p w14:paraId="5DD7A76D" w14:textId="52940C5F" w:rsidR="007122AD" w:rsidRDefault="002C50EE" w:rsidP="00936AD0">
      <w:pPr>
        <w:pStyle w:val="Heading2"/>
      </w:pPr>
      <w:r>
        <w:t>4.7. Ефекти върху способността за шофиране и работа с машини</w:t>
      </w:r>
    </w:p>
    <w:p w14:paraId="14AB810A" w14:textId="12821F06" w:rsidR="00F80502" w:rsidRDefault="00F80502" w:rsidP="00F80502"/>
    <w:p w14:paraId="24ECDA1C" w14:textId="09B817A8" w:rsidR="00F80502" w:rsidRDefault="00F80502" w:rsidP="00F80502">
      <w:r>
        <w:t>Не са провеждани проучвания за установяване на влиянието на розувастатин върху способността за шофиране и работа с машини. Въз основа на фармакодинамичните свойства, не се очаква розувастатин да повлияе неблагоприятно тези способности. При шофиране или работа с машини трябва да се има предвид, че приемането на лекарството може да предизвика световъртеж.</w:t>
      </w:r>
    </w:p>
    <w:p w14:paraId="76703D61" w14:textId="77777777" w:rsidR="00F80502" w:rsidRPr="00F80502" w:rsidRDefault="00F80502" w:rsidP="00F80502"/>
    <w:p w14:paraId="44CE30A3" w14:textId="39B18332" w:rsidR="007122AD" w:rsidRDefault="002C50EE" w:rsidP="00936AD0">
      <w:pPr>
        <w:pStyle w:val="Heading2"/>
      </w:pPr>
      <w:r>
        <w:t>4.8. Нежелани лекарствени реакции</w:t>
      </w:r>
    </w:p>
    <w:p w14:paraId="6A02D527" w14:textId="4AEF98AA" w:rsidR="00F80502" w:rsidRDefault="00F80502" w:rsidP="00F80502"/>
    <w:p w14:paraId="10DC3AFB"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Обобщение на профила на безопасност</w:t>
      </w:r>
    </w:p>
    <w:p w14:paraId="6BCF7025"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Нежеланите реакции, наблюдавани при употребата на розувастатин, обикновено са леки и преходни. При контролираните клинични изпитвания под 4% от пациентите, лекувани с розувастатин, са прекъснали лечението поради нежелани реакции.</w:t>
      </w:r>
    </w:p>
    <w:p w14:paraId="73E640B9" w14:textId="77777777" w:rsidR="00F80502" w:rsidRPr="00F80502" w:rsidRDefault="00F80502" w:rsidP="00F80502">
      <w:pPr>
        <w:spacing w:line="240" w:lineRule="auto"/>
        <w:rPr>
          <w:rFonts w:eastAsia="Times New Roman" w:cs="Arial"/>
          <w:color w:val="000000"/>
          <w:u w:val="single"/>
          <w:lang w:eastAsia="bg-BG"/>
        </w:rPr>
      </w:pPr>
    </w:p>
    <w:p w14:paraId="100E27CA" w14:textId="13886DBA"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Табличен вид на нежеланите реакции</w:t>
      </w:r>
    </w:p>
    <w:p w14:paraId="0A193D0A"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Базирана на клинични проучвания и продължителен пост-маркетингов опит, следната таблица показва профила на нежеланите реакции на розувастатин. Нежеланите реакции, изброени по- долу са класифицирани спрямо честотата и системо-органен клас (СОК).</w:t>
      </w:r>
    </w:p>
    <w:p w14:paraId="32F3EEC9" w14:textId="77777777" w:rsidR="00F80502" w:rsidRPr="00F80502" w:rsidRDefault="00F80502" w:rsidP="00F80502">
      <w:pPr>
        <w:spacing w:line="240" w:lineRule="auto"/>
        <w:rPr>
          <w:rFonts w:eastAsia="Times New Roman" w:cs="Arial"/>
          <w:color w:val="000000"/>
          <w:lang w:eastAsia="bg-BG"/>
        </w:rPr>
      </w:pPr>
    </w:p>
    <w:p w14:paraId="26F8550E"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Много чести (&gt; 1/10)</w:t>
      </w:r>
    </w:p>
    <w:p w14:paraId="6E4FFAAC"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Чести(&gt; 1/100 до &lt; 1/10)</w:t>
      </w:r>
    </w:p>
    <w:p w14:paraId="73ED7FA8"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lastRenderedPageBreak/>
        <w:t>Нечести (&gt; 1/1 000 до &lt;1/100)</w:t>
      </w:r>
    </w:p>
    <w:p w14:paraId="70550EBE"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Редки (&gt; 1/10 000 до &lt; 1/1 000)</w:t>
      </w:r>
    </w:p>
    <w:p w14:paraId="2C5EC4E6"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Много редки (&lt; 1/10 000)</w:t>
      </w:r>
    </w:p>
    <w:p w14:paraId="11F27CA1" w14:textId="1EC95215"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С неизвестна честота (не може да бъде оценена от наличните данни)</w:t>
      </w:r>
    </w:p>
    <w:p w14:paraId="08BF18C4" w14:textId="77777777" w:rsidR="00F80502" w:rsidRPr="00F80502" w:rsidRDefault="00F80502" w:rsidP="00F80502">
      <w:pPr>
        <w:spacing w:line="240" w:lineRule="auto"/>
        <w:rPr>
          <w:rFonts w:eastAsia="Times New Roman" w:cs="Arial"/>
          <w:color w:val="000000"/>
          <w:lang w:eastAsia="bg-BG"/>
        </w:rPr>
      </w:pPr>
    </w:p>
    <w:p w14:paraId="1EA3F8B1" w14:textId="4AB47A2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Таблица 2. Нежелани реакции, базирани на данни от клинични проучвания и пост маркетингов опит</w:t>
      </w:r>
    </w:p>
    <w:p w14:paraId="64C09749" w14:textId="4F2687F1" w:rsidR="00F80502" w:rsidRDefault="00F80502" w:rsidP="00F80502"/>
    <w:tbl>
      <w:tblPr>
        <w:tblStyle w:val="TableGrid"/>
        <w:tblW w:w="0" w:type="auto"/>
        <w:tblLook w:val="04A0" w:firstRow="1" w:lastRow="0" w:firstColumn="1" w:lastColumn="0" w:noHBand="0" w:noVBand="1"/>
      </w:tblPr>
      <w:tblGrid>
        <w:gridCol w:w="1740"/>
        <w:gridCol w:w="1301"/>
        <w:gridCol w:w="1157"/>
        <w:gridCol w:w="1851"/>
        <w:gridCol w:w="1733"/>
        <w:gridCol w:w="1568"/>
      </w:tblGrid>
      <w:tr w:rsidR="00F80502" w14:paraId="34105824" w14:textId="77777777" w:rsidTr="00F80502">
        <w:tc>
          <w:tcPr>
            <w:tcW w:w="1784" w:type="dxa"/>
            <w:vAlign w:val="bottom"/>
          </w:tcPr>
          <w:p w14:paraId="6499BB7B" w14:textId="6F4430CD" w:rsidR="00F80502" w:rsidRDefault="00F80502" w:rsidP="00F80502">
            <w:r>
              <w:rPr>
                <w:b/>
                <w:bCs/>
              </w:rPr>
              <w:t>Системо- органен клас</w:t>
            </w:r>
          </w:p>
        </w:tc>
        <w:tc>
          <w:tcPr>
            <w:tcW w:w="1331" w:type="dxa"/>
          </w:tcPr>
          <w:p w14:paraId="78BA4B00" w14:textId="26112887" w:rsidR="00F80502" w:rsidRDefault="00F80502" w:rsidP="00F80502">
            <w:r>
              <w:rPr>
                <w:b/>
                <w:bCs/>
              </w:rPr>
              <w:t>Чести</w:t>
            </w:r>
          </w:p>
        </w:tc>
        <w:tc>
          <w:tcPr>
            <w:tcW w:w="1184" w:type="dxa"/>
          </w:tcPr>
          <w:p w14:paraId="1DDC3FBB" w14:textId="7B4C86DA" w:rsidR="00F80502" w:rsidRDefault="00F80502" w:rsidP="00F80502">
            <w:r>
              <w:rPr>
                <w:b/>
                <w:bCs/>
              </w:rPr>
              <w:t>Нечести</w:t>
            </w:r>
          </w:p>
        </w:tc>
        <w:tc>
          <w:tcPr>
            <w:tcW w:w="1896" w:type="dxa"/>
          </w:tcPr>
          <w:p w14:paraId="25859ECF" w14:textId="41DE41CC" w:rsidR="00F80502" w:rsidRDefault="00F80502" w:rsidP="00F80502">
            <w:r>
              <w:rPr>
                <w:b/>
                <w:bCs/>
              </w:rPr>
              <w:t>Редки</w:t>
            </w:r>
          </w:p>
        </w:tc>
        <w:tc>
          <w:tcPr>
            <w:tcW w:w="1775" w:type="dxa"/>
          </w:tcPr>
          <w:p w14:paraId="122A35AE" w14:textId="068EF878" w:rsidR="00F80502" w:rsidRDefault="00F80502" w:rsidP="00F80502">
            <w:r>
              <w:rPr>
                <w:b/>
                <w:bCs/>
              </w:rPr>
              <w:t>Много редки</w:t>
            </w:r>
          </w:p>
        </w:tc>
        <w:tc>
          <w:tcPr>
            <w:tcW w:w="1606" w:type="dxa"/>
            <w:vAlign w:val="bottom"/>
          </w:tcPr>
          <w:p w14:paraId="785A1CD0" w14:textId="35DEC067" w:rsidR="00F80502" w:rsidRDefault="00F80502" w:rsidP="00F80502">
            <w:r>
              <w:rPr>
                <w:b/>
                <w:bCs/>
              </w:rPr>
              <w:t>С неизвестна честота</w:t>
            </w:r>
          </w:p>
        </w:tc>
      </w:tr>
      <w:tr w:rsidR="00F80502" w14:paraId="74ECEBD6" w14:textId="77777777" w:rsidTr="00F80502">
        <w:tc>
          <w:tcPr>
            <w:tcW w:w="1784" w:type="dxa"/>
            <w:vAlign w:val="bottom"/>
          </w:tcPr>
          <w:p w14:paraId="72122B3A" w14:textId="3D87FAB9" w:rsidR="00F80502" w:rsidRDefault="00F80502" w:rsidP="00F80502">
            <w:r>
              <w:rPr>
                <w:i/>
                <w:iCs/>
              </w:rPr>
              <w:t>Нарушения на кръвта и лимфната система</w:t>
            </w:r>
          </w:p>
        </w:tc>
        <w:tc>
          <w:tcPr>
            <w:tcW w:w="1331" w:type="dxa"/>
          </w:tcPr>
          <w:p w14:paraId="3E113B38" w14:textId="77777777" w:rsidR="00F80502" w:rsidRDefault="00F80502" w:rsidP="00F80502"/>
        </w:tc>
        <w:tc>
          <w:tcPr>
            <w:tcW w:w="1184" w:type="dxa"/>
          </w:tcPr>
          <w:p w14:paraId="3619A398" w14:textId="77777777" w:rsidR="00F80502" w:rsidRDefault="00F80502" w:rsidP="00F80502"/>
        </w:tc>
        <w:tc>
          <w:tcPr>
            <w:tcW w:w="1896" w:type="dxa"/>
          </w:tcPr>
          <w:p w14:paraId="10A5C64E" w14:textId="24AA53BD" w:rsidR="00F80502" w:rsidRDefault="00F80502" w:rsidP="00F80502">
            <w:r>
              <w:t>Тромбоцитопения</w:t>
            </w:r>
          </w:p>
        </w:tc>
        <w:tc>
          <w:tcPr>
            <w:tcW w:w="1775" w:type="dxa"/>
          </w:tcPr>
          <w:p w14:paraId="42B547C5" w14:textId="77777777" w:rsidR="00F80502" w:rsidRDefault="00F80502" w:rsidP="00F80502"/>
        </w:tc>
        <w:tc>
          <w:tcPr>
            <w:tcW w:w="1606" w:type="dxa"/>
          </w:tcPr>
          <w:p w14:paraId="3F8F3B90" w14:textId="77777777" w:rsidR="00F80502" w:rsidRDefault="00F80502" w:rsidP="00F80502"/>
        </w:tc>
      </w:tr>
      <w:tr w:rsidR="00F80502" w14:paraId="64EA4558" w14:textId="77777777" w:rsidTr="00F80502">
        <w:tc>
          <w:tcPr>
            <w:tcW w:w="1784" w:type="dxa"/>
          </w:tcPr>
          <w:p w14:paraId="4020597E" w14:textId="355B4CE8" w:rsidR="00F80502" w:rsidRDefault="00F80502" w:rsidP="00F80502">
            <w:r>
              <w:rPr>
                <w:i/>
                <w:iCs/>
              </w:rPr>
              <w:t>Нарушения на имунната система</w:t>
            </w:r>
          </w:p>
        </w:tc>
        <w:tc>
          <w:tcPr>
            <w:tcW w:w="1331" w:type="dxa"/>
          </w:tcPr>
          <w:p w14:paraId="34160E37" w14:textId="77777777" w:rsidR="00F80502" w:rsidRDefault="00F80502" w:rsidP="00F80502"/>
        </w:tc>
        <w:tc>
          <w:tcPr>
            <w:tcW w:w="1184" w:type="dxa"/>
          </w:tcPr>
          <w:p w14:paraId="4D2C2CD8" w14:textId="77777777" w:rsidR="00F80502" w:rsidRDefault="00F80502" w:rsidP="00F80502"/>
        </w:tc>
        <w:tc>
          <w:tcPr>
            <w:tcW w:w="1896" w:type="dxa"/>
            <w:vAlign w:val="bottom"/>
          </w:tcPr>
          <w:p w14:paraId="32C144A5" w14:textId="0AA2328E" w:rsidR="00F80502" w:rsidRDefault="00F80502" w:rsidP="00F80502">
            <w:r>
              <w:t>Реакции на свръхчувстви</w:t>
            </w:r>
            <w:r>
              <w:softHyphen/>
              <w:t>телност, включително ангиоедем</w:t>
            </w:r>
          </w:p>
        </w:tc>
        <w:tc>
          <w:tcPr>
            <w:tcW w:w="1775" w:type="dxa"/>
          </w:tcPr>
          <w:p w14:paraId="3B73302E" w14:textId="77777777" w:rsidR="00F80502" w:rsidRDefault="00F80502" w:rsidP="00F80502"/>
        </w:tc>
        <w:tc>
          <w:tcPr>
            <w:tcW w:w="1606" w:type="dxa"/>
          </w:tcPr>
          <w:p w14:paraId="4D0C1E11" w14:textId="77777777" w:rsidR="00F80502" w:rsidRDefault="00F80502" w:rsidP="00F80502"/>
        </w:tc>
      </w:tr>
      <w:tr w:rsidR="00F80502" w14:paraId="1B6475BC" w14:textId="77777777" w:rsidTr="00F80502">
        <w:tc>
          <w:tcPr>
            <w:tcW w:w="1784" w:type="dxa"/>
            <w:vAlign w:val="bottom"/>
          </w:tcPr>
          <w:p w14:paraId="0A7332A3" w14:textId="0B7A3600" w:rsidR="00F80502" w:rsidRDefault="00F80502" w:rsidP="00F80502">
            <w:r>
              <w:rPr>
                <w:i/>
                <w:iCs/>
              </w:rPr>
              <w:t>Ендокринни нарушения</w:t>
            </w:r>
          </w:p>
        </w:tc>
        <w:tc>
          <w:tcPr>
            <w:tcW w:w="1331" w:type="dxa"/>
            <w:vAlign w:val="bottom"/>
          </w:tcPr>
          <w:p w14:paraId="006A5FC0" w14:textId="79772D76" w:rsidR="00F80502" w:rsidRDefault="00F80502" w:rsidP="00F80502">
            <w:r>
              <w:t>Захарен диабет</w:t>
            </w:r>
            <w:r w:rsidRPr="00F80502">
              <w:rPr>
                <w:vertAlign w:val="superscript"/>
              </w:rPr>
              <w:t>1</w:t>
            </w:r>
          </w:p>
        </w:tc>
        <w:tc>
          <w:tcPr>
            <w:tcW w:w="1184" w:type="dxa"/>
          </w:tcPr>
          <w:p w14:paraId="0BE7F5A3" w14:textId="77777777" w:rsidR="00F80502" w:rsidRDefault="00F80502" w:rsidP="00F80502"/>
        </w:tc>
        <w:tc>
          <w:tcPr>
            <w:tcW w:w="1896" w:type="dxa"/>
          </w:tcPr>
          <w:p w14:paraId="5CC71A1F" w14:textId="77777777" w:rsidR="00F80502" w:rsidRDefault="00F80502" w:rsidP="00F80502"/>
        </w:tc>
        <w:tc>
          <w:tcPr>
            <w:tcW w:w="1775" w:type="dxa"/>
          </w:tcPr>
          <w:p w14:paraId="5D420D89" w14:textId="77777777" w:rsidR="00F80502" w:rsidRDefault="00F80502" w:rsidP="00F80502"/>
        </w:tc>
        <w:tc>
          <w:tcPr>
            <w:tcW w:w="1606" w:type="dxa"/>
          </w:tcPr>
          <w:p w14:paraId="4A0E2313" w14:textId="77777777" w:rsidR="00F80502" w:rsidRDefault="00F80502" w:rsidP="00F80502"/>
        </w:tc>
      </w:tr>
      <w:tr w:rsidR="00F80502" w14:paraId="2999FA17" w14:textId="77777777" w:rsidTr="00F80502">
        <w:tc>
          <w:tcPr>
            <w:tcW w:w="1784" w:type="dxa"/>
            <w:vAlign w:val="bottom"/>
          </w:tcPr>
          <w:p w14:paraId="78055B00" w14:textId="5731F1BA" w:rsidR="00F80502" w:rsidRDefault="00F80502" w:rsidP="00F80502">
            <w:r>
              <w:rPr>
                <w:i/>
                <w:iCs/>
              </w:rPr>
              <w:t>Психични нарушения</w:t>
            </w:r>
          </w:p>
        </w:tc>
        <w:tc>
          <w:tcPr>
            <w:tcW w:w="1331" w:type="dxa"/>
          </w:tcPr>
          <w:p w14:paraId="00810790" w14:textId="77777777" w:rsidR="00F80502" w:rsidRDefault="00F80502" w:rsidP="00F80502"/>
        </w:tc>
        <w:tc>
          <w:tcPr>
            <w:tcW w:w="1184" w:type="dxa"/>
          </w:tcPr>
          <w:p w14:paraId="710BDCD3" w14:textId="77777777" w:rsidR="00F80502" w:rsidRDefault="00F80502" w:rsidP="00F80502"/>
        </w:tc>
        <w:tc>
          <w:tcPr>
            <w:tcW w:w="1896" w:type="dxa"/>
          </w:tcPr>
          <w:p w14:paraId="6F238FB9" w14:textId="77777777" w:rsidR="00F80502" w:rsidRDefault="00F80502" w:rsidP="00F80502"/>
        </w:tc>
        <w:tc>
          <w:tcPr>
            <w:tcW w:w="1775" w:type="dxa"/>
          </w:tcPr>
          <w:p w14:paraId="424DA85D" w14:textId="77777777" w:rsidR="00F80502" w:rsidRDefault="00F80502" w:rsidP="00F80502"/>
        </w:tc>
        <w:tc>
          <w:tcPr>
            <w:tcW w:w="1606" w:type="dxa"/>
          </w:tcPr>
          <w:p w14:paraId="3840D0E0" w14:textId="321342BD" w:rsidR="00F80502" w:rsidRDefault="00F80502" w:rsidP="00F80502">
            <w:r>
              <w:t>Депресия</w:t>
            </w:r>
          </w:p>
        </w:tc>
      </w:tr>
      <w:tr w:rsidR="00F80502" w14:paraId="4CACA038" w14:textId="77777777" w:rsidTr="00F80502">
        <w:tc>
          <w:tcPr>
            <w:tcW w:w="1784" w:type="dxa"/>
          </w:tcPr>
          <w:p w14:paraId="131C2098" w14:textId="36C5A1F3" w:rsidR="00F80502" w:rsidRDefault="00F80502" w:rsidP="00F80502">
            <w:r>
              <w:rPr>
                <w:i/>
                <w:iCs/>
              </w:rPr>
              <w:t>Нарушения на нервната система</w:t>
            </w:r>
          </w:p>
        </w:tc>
        <w:tc>
          <w:tcPr>
            <w:tcW w:w="1331" w:type="dxa"/>
          </w:tcPr>
          <w:p w14:paraId="56E2B607" w14:textId="77777777" w:rsidR="00F80502" w:rsidRDefault="00F80502" w:rsidP="00F80502">
            <w:r>
              <w:t>Главоболие</w:t>
            </w:r>
          </w:p>
          <w:p w14:paraId="391B31B3" w14:textId="526E00B6" w:rsidR="00F80502" w:rsidRDefault="00F80502" w:rsidP="00F80502">
            <w:r>
              <w:t>Замаяност</w:t>
            </w:r>
          </w:p>
        </w:tc>
        <w:tc>
          <w:tcPr>
            <w:tcW w:w="1184" w:type="dxa"/>
          </w:tcPr>
          <w:p w14:paraId="634E68A2" w14:textId="77777777" w:rsidR="00F80502" w:rsidRDefault="00F80502" w:rsidP="00F80502"/>
        </w:tc>
        <w:tc>
          <w:tcPr>
            <w:tcW w:w="1896" w:type="dxa"/>
          </w:tcPr>
          <w:p w14:paraId="5210E910" w14:textId="77777777" w:rsidR="00F80502" w:rsidRDefault="00F80502" w:rsidP="00F80502"/>
        </w:tc>
        <w:tc>
          <w:tcPr>
            <w:tcW w:w="1775" w:type="dxa"/>
          </w:tcPr>
          <w:p w14:paraId="611E1B9C" w14:textId="77777777" w:rsidR="00F80502" w:rsidRDefault="00F80502" w:rsidP="00F80502">
            <w:r>
              <w:t>Полиневропатия Загуба на</w:t>
            </w:r>
          </w:p>
          <w:p w14:paraId="6DC9FF53" w14:textId="5B16132D" w:rsidR="00F80502" w:rsidRDefault="00F80502" w:rsidP="00F80502">
            <w:r>
              <w:t>паметта</w:t>
            </w:r>
          </w:p>
        </w:tc>
        <w:tc>
          <w:tcPr>
            <w:tcW w:w="1606" w:type="dxa"/>
          </w:tcPr>
          <w:p w14:paraId="45295DDF"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Периферна</w:t>
            </w:r>
          </w:p>
          <w:p w14:paraId="5F0302C3"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невропатия</w:t>
            </w:r>
          </w:p>
          <w:p w14:paraId="118DC903"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Нарушения</w:t>
            </w:r>
          </w:p>
          <w:p w14:paraId="07652739"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на съня</w:t>
            </w:r>
          </w:p>
          <w:p w14:paraId="4E9E72D9"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(включиотелно</w:t>
            </w:r>
          </w:p>
          <w:p w14:paraId="2FA8D110"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безсъние</w:t>
            </w:r>
          </w:p>
          <w:p w14:paraId="7954FE4C" w14:textId="08669DBF" w:rsidR="00F80502" w:rsidRPr="00F80502" w:rsidRDefault="00F80502" w:rsidP="00F80502">
            <w:pPr>
              <w:spacing w:line="240" w:lineRule="auto"/>
              <w:rPr>
                <w:rFonts w:ascii="Times New Roman" w:eastAsia="Times New Roman" w:hAnsi="Times New Roman" w:cs="Times New Roman"/>
                <w:sz w:val="24"/>
                <w:szCs w:val="24"/>
              </w:rPr>
            </w:pPr>
            <w:r w:rsidRPr="00F80502">
              <w:rPr>
                <w:rFonts w:eastAsia="Times New Roman" w:cs="Arial"/>
                <w:color w:val="000000"/>
                <w:lang w:eastAsia="bg-BG"/>
              </w:rPr>
              <w:t>и кошмари)</w:t>
            </w:r>
          </w:p>
        </w:tc>
      </w:tr>
      <w:tr w:rsidR="00F80502" w14:paraId="17BF9578" w14:textId="77777777" w:rsidTr="00F80502">
        <w:tc>
          <w:tcPr>
            <w:tcW w:w="1784" w:type="dxa"/>
          </w:tcPr>
          <w:p w14:paraId="158B72DE" w14:textId="0E68D663" w:rsidR="00F80502" w:rsidRPr="00F80502" w:rsidRDefault="00F80502" w:rsidP="00F80502">
            <w:pPr>
              <w:rPr>
                <w:rFonts w:cs="Arial"/>
              </w:rPr>
            </w:pPr>
            <w:r w:rsidRPr="00F80502">
              <w:rPr>
                <w:rFonts w:cs="Arial"/>
                <w:i/>
                <w:iCs/>
              </w:rPr>
              <w:t>Респираторни, гръдни и медиастинални нарушения</w:t>
            </w:r>
          </w:p>
        </w:tc>
        <w:tc>
          <w:tcPr>
            <w:tcW w:w="1331" w:type="dxa"/>
          </w:tcPr>
          <w:p w14:paraId="21C25F0E" w14:textId="77777777" w:rsidR="00F80502" w:rsidRPr="00F80502" w:rsidRDefault="00F80502" w:rsidP="00F80502">
            <w:pPr>
              <w:rPr>
                <w:rFonts w:cs="Arial"/>
              </w:rPr>
            </w:pPr>
          </w:p>
        </w:tc>
        <w:tc>
          <w:tcPr>
            <w:tcW w:w="1184" w:type="dxa"/>
          </w:tcPr>
          <w:p w14:paraId="38C55C9A" w14:textId="77777777" w:rsidR="00F80502" w:rsidRPr="00F80502" w:rsidRDefault="00F80502" w:rsidP="00F80502">
            <w:pPr>
              <w:rPr>
                <w:rFonts w:cs="Arial"/>
              </w:rPr>
            </w:pPr>
          </w:p>
        </w:tc>
        <w:tc>
          <w:tcPr>
            <w:tcW w:w="1896" w:type="dxa"/>
          </w:tcPr>
          <w:p w14:paraId="067E427C" w14:textId="77777777" w:rsidR="00F80502" w:rsidRPr="00F80502" w:rsidRDefault="00F80502" w:rsidP="00F80502">
            <w:pPr>
              <w:rPr>
                <w:rFonts w:cs="Arial"/>
              </w:rPr>
            </w:pPr>
          </w:p>
        </w:tc>
        <w:tc>
          <w:tcPr>
            <w:tcW w:w="1775" w:type="dxa"/>
          </w:tcPr>
          <w:p w14:paraId="34C94DEA" w14:textId="77777777" w:rsidR="00F80502" w:rsidRPr="00F80502" w:rsidRDefault="00F80502" w:rsidP="00F80502">
            <w:pPr>
              <w:rPr>
                <w:rFonts w:cs="Arial"/>
              </w:rPr>
            </w:pPr>
          </w:p>
        </w:tc>
        <w:tc>
          <w:tcPr>
            <w:tcW w:w="1606" w:type="dxa"/>
          </w:tcPr>
          <w:p w14:paraId="66F551B4" w14:textId="77777777" w:rsidR="00F80502" w:rsidRPr="00F80502" w:rsidRDefault="00F80502" w:rsidP="00F80502">
            <w:pPr>
              <w:rPr>
                <w:rFonts w:cs="Arial"/>
              </w:rPr>
            </w:pPr>
            <w:r w:rsidRPr="00F80502">
              <w:rPr>
                <w:rFonts w:cs="Arial"/>
              </w:rPr>
              <w:t>Кашлица</w:t>
            </w:r>
          </w:p>
          <w:p w14:paraId="29BECCB2" w14:textId="6C4C5A01" w:rsidR="00F80502" w:rsidRPr="00F80502" w:rsidRDefault="00F80502" w:rsidP="00F80502">
            <w:pPr>
              <w:rPr>
                <w:rFonts w:cs="Arial"/>
              </w:rPr>
            </w:pPr>
            <w:r w:rsidRPr="00F80502">
              <w:rPr>
                <w:rFonts w:cs="Arial"/>
              </w:rPr>
              <w:t>Диспнеа</w:t>
            </w:r>
          </w:p>
        </w:tc>
      </w:tr>
      <w:tr w:rsidR="00F80502" w14:paraId="54A6C85E" w14:textId="77777777" w:rsidTr="00F80502">
        <w:tc>
          <w:tcPr>
            <w:tcW w:w="1784" w:type="dxa"/>
          </w:tcPr>
          <w:p w14:paraId="2BD5D70A" w14:textId="4825BC9E" w:rsidR="00F80502" w:rsidRPr="00F80502" w:rsidRDefault="00F80502" w:rsidP="00F80502">
            <w:pPr>
              <w:rPr>
                <w:rFonts w:cs="Arial"/>
              </w:rPr>
            </w:pPr>
            <w:r w:rsidRPr="00F80502">
              <w:rPr>
                <w:rFonts w:cs="Arial"/>
                <w:i/>
                <w:iCs/>
              </w:rPr>
              <w:t>Стомашно- чревни нарушения</w:t>
            </w:r>
          </w:p>
        </w:tc>
        <w:tc>
          <w:tcPr>
            <w:tcW w:w="1331" w:type="dxa"/>
          </w:tcPr>
          <w:p w14:paraId="45A7682F" w14:textId="6AC1D4BC" w:rsidR="00F80502" w:rsidRPr="00F80502" w:rsidRDefault="00F80502" w:rsidP="00F80502">
            <w:pPr>
              <w:rPr>
                <w:rFonts w:cs="Arial"/>
              </w:rPr>
            </w:pPr>
            <w:r w:rsidRPr="00F80502">
              <w:rPr>
                <w:rFonts w:cs="Arial"/>
              </w:rPr>
              <w:t>Запек Гадене Коремна болка</w:t>
            </w:r>
          </w:p>
        </w:tc>
        <w:tc>
          <w:tcPr>
            <w:tcW w:w="1184" w:type="dxa"/>
          </w:tcPr>
          <w:p w14:paraId="4254ACD7" w14:textId="77777777" w:rsidR="00F80502" w:rsidRPr="00F80502" w:rsidRDefault="00F80502" w:rsidP="00F80502">
            <w:pPr>
              <w:rPr>
                <w:rFonts w:cs="Arial"/>
              </w:rPr>
            </w:pPr>
          </w:p>
        </w:tc>
        <w:tc>
          <w:tcPr>
            <w:tcW w:w="1896" w:type="dxa"/>
          </w:tcPr>
          <w:p w14:paraId="45777ECF" w14:textId="290B1A3F" w:rsidR="00F80502" w:rsidRPr="00F80502" w:rsidRDefault="00F80502" w:rsidP="00F80502">
            <w:pPr>
              <w:rPr>
                <w:rFonts w:cs="Arial"/>
              </w:rPr>
            </w:pPr>
            <w:r w:rsidRPr="00F80502">
              <w:rPr>
                <w:rFonts w:cs="Arial"/>
              </w:rPr>
              <w:t>Панкреатит</w:t>
            </w:r>
          </w:p>
        </w:tc>
        <w:tc>
          <w:tcPr>
            <w:tcW w:w="1775" w:type="dxa"/>
          </w:tcPr>
          <w:p w14:paraId="1448A8B6" w14:textId="77777777" w:rsidR="00F80502" w:rsidRPr="00F80502" w:rsidRDefault="00F80502" w:rsidP="00F80502">
            <w:pPr>
              <w:rPr>
                <w:rFonts w:cs="Arial"/>
              </w:rPr>
            </w:pPr>
          </w:p>
        </w:tc>
        <w:tc>
          <w:tcPr>
            <w:tcW w:w="1606" w:type="dxa"/>
          </w:tcPr>
          <w:p w14:paraId="427D1BF8" w14:textId="29FAB695" w:rsidR="00F80502" w:rsidRPr="00F80502" w:rsidRDefault="00F80502" w:rsidP="00F80502">
            <w:pPr>
              <w:rPr>
                <w:rFonts w:cs="Arial"/>
              </w:rPr>
            </w:pPr>
            <w:r w:rsidRPr="00F80502">
              <w:rPr>
                <w:rFonts w:cs="Arial"/>
              </w:rPr>
              <w:t>Диария</w:t>
            </w:r>
          </w:p>
        </w:tc>
      </w:tr>
      <w:tr w:rsidR="00F80502" w14:paraId="2D97DDCD" w14:textId="77777777" w:rsidTr="00F80502">
        <w:tc>
          <w:tcPr>
            <w:tcW w:w="1784" w:type="dxa"/>
          </w:tcPr>
          <w:p w14:paraId="1D619EBC" w14:textId="123B47DA" w:rsidR="00F80502" w:rsidRPr="00F80502" w:rsidRDefault="00F80502" w:rsidP="00F80502">
            <w:pPr>
              <w:rPr>
                <w:rFonts w:cs="Arial"/>
              </w:rPr>
            </w:pPr>
            <w:r w:rsidRPr="00F80502">
              <w:rPr>
                <w:rFonts w:cs="Arial"/>
                <w:i/>
                <w:iCs/>
              </w:rPr>
              <w:t>Хепато- билиарни нарушения</w:t>
            </w:r>
          </w:p>
        </w:tc>
        <w:tc>
          <w:tcPr>
            <w:tcW w:w="1331" w:type="dxa"/>
          </w:tcPr>
          <w:p w14:paraId="45134AF1" w14:textId="77777777" w:rsidR="00F80502" w:rsidRPr="00F80502" w:rsidRDefault="00F80502" w:rsidP="00F80502">
            <w:pPr>
              <w:rPr>
                <w:rFonts w:cs="Arial"/>
              </w:rPr>
            </w:pPr>
          </w:p>
        </w:tc>
        <w:tc>
          <w:tcPr>
            <w:tcW w:w="1184" w:type="dxa"/>
          </w:tcPr>
          <w:p w14:paraId="102EE5AE" w14:textId="77777777" w:rsidR="00F80502" w:rsidRPr="00F80502" w:rsidRDefault="00F80502" w:rsidP="00F80502">
            <w:pPr>
              <w:rPr>
                <w:rFonts w:cs="Arial"/>
              </w:rPr>
            </w:pPr>
          </w:p>
        </w:tc>
        <w:tc>
          <w:tcPr>
            <w:tcW w:w="1896" w:type="dxa"/>
          </w:tcPr>
          <w:p w14:paraId="722E0DCA" w14:textId="074021E2" w:rsidR="00F80502" w:rsidRPr="00F80502" w:rsidRDefault="00F80502" w:rsidP="00F80502">
            <w:pPr>
              <w:rPr>
                <w:rFonts w:cs="Arial"/>
              </w:rPr>
            </w:pPr>
            <w:r w:rsidRPr="00F80502">
              <w:rPr>
                <w:rFonts w:cs="Arial"/>
              </w:rPr>
              <w:t>Повишени чернодробни трансаминази</w:t>
            </w:r>
          </w:p>
        </w:tc>
        <w:tc>
          <w:tcPr>
            <w:tcW w:w="1775" w:type="dxa"/>
          </w:tcPr>
          <w:p w14:paraId="6BD3E675" w14:textId="42608A9B" w:rsidR="00F80502" w:rsidRPr="00F80502" w:rsidRDefault="00F80502" w:rsidP="00F80502">
            <w:pPr>
              <w:rPr>
                <w:rFonts w:cs="Arial"/>
              </w:rPr>
            </w:pPr>
            <w:r w:rsidRPr="00F80502">
              <w:rPr>
                <w:rFonts w:cs="Arial"/>
              </w:rPr>
              <w:t>Жълтеница Хепатит</w:t>
            </w:r>
          </w:p>
        </w:tc>
        <w:tc>
          <w:tcPr>
            <w:tcW w:w="1606" w:type="dxa"/>
          </w:tcPr>
          <w:p w14:paraId="3B3CFBE2" w14:textId="77777777" w:rsidR="00F80502" w:rsidRPr="00F80502" w:rsidRDefault="00F80502" w:rsidP="00F80502">
            <w:pPr>
              <w:rPr>
                <w:rFonts w:cs="Arial"/>
              </w:rPr>
            </w:pPr>
          </w:p>
        </w:tc>
      </w:tr>
      <w:tr w:rsidR="00F80502" w14:paraId="31F87F73" w14:textId="77777777" w:rsidTr="00F80502">
        <w:tc>
          <w:tcPr>
            <w:tcW w:w="1784" w:type="dxa"/>
          </w:tcPr>
          <w:p w14:paraId="3624CD00" w14:textId="0CB23C4C" w:rsidR="00F80502" w:rsidRPr="00F80502" w:rsidRDefault="00F80502" w:rsidP="00F80502">
            <w:pPr>
              <w:rPr>
                <w:rFonts w:cs="Arial"/>
              </w:rPr>
            </w:pPr>
            <w:r w:rsidRPr="00F80502">
              <w:rPr>
                <w:rFonts w:cs="Arial"/>
                <w:i/>
                <w:iCs/>
              </w:rPr>
              <w:t>Нарушения на кожата и подкожната тъкан</w:t>
            </w:r>
          </w:p>
        </w:tc>
        <w:tc>
          <w:tcPr>
            <w:tcW w:w="1331" w:type="dxa"/>
          </w:tcPr>
          <w:p w14:paraId="3CD95670" w14:textId="77777777" w:rsidR="00F80502" w:rsidRPr="00F80502" w:rsidRDefault="00F80502" w:rsidP="00F80502">
            <w:pPr>
              <w:rPr>
                <w:rFonts w:cs="Arial"/>
              </w:rPr>
            </w:pPr>
          </w:p>
        </w:tc>
        <w:tc>
          <w:tcPr>
            <w:tcW w:w="1184" w:type="dxa"/>
          </w:tcPr>
          <w:p w14:paraId="78D5CD91" w14:textId="2CBFD6E0" w:rsidR="00F80502" w:rsidRPr="00F80502" w:rsidRDefault="00F80502" w:rsidP="00F80502">
            <w:pPr>
              <w:rPr>
                <w:rFonts w:cs="Arial"/>
              </w:rPr>
            </w:pPr>
            <w:r w:rsidRPr="00F80502">
              <w:rPr>
                <w:rFonts w:cs="Arial"/>
              </w:rPr>
              <w:t>Пруритус Обрив Уртикария</w:t>
            </w:r>
          </w:p>
        </w:tc>
        <w:tc>
          <w:tcPr>
            <w:tcW w:w="1896" w:type="dxa"/>
          </w:tcPr>
          <w:p w14:paraId="3D3C2D6F" w14:textId="77777777" w:rsidR="00F80502" w:rsidRPr="00F80502" w:rsidRDefault="00F80502" w:rsidP="00F80502">
            <w:pPr>
              <w:rPr>
                <w:rFonts w:cs="Arial"/>
              </w:rPr>
            </w:pPr>
          </w:p>
        </w:tc>
        <w:tc>
          <w:tcPr>
            <w:tcW w:w="1775" w:type="dxa"/>
          </w:tcPr>
          <w:p w14:paraId="48A7DB9B" w14:textId="77777777" w:rsidR="00F80502" w:rsidRPr="00F80502" w:rsidRDefault="00F80502" w:rsidP="00F80502">
            <w:pPr>
              <w:rPr>
                <w:rFonts w:cs="Arial"/>
              </w:rPr>
            </w:pPr>
          </w:p>
        </w:tc>
        <w:tc>
          <w:tcPr>
            <w:tcW w:w="1606" w:type="dxa"/>
          </w:tcPr>
          <w:p w14:paraId="6AA0B2CE" w14:textId="56A309BE" w:rsidR="00F80502" w:rsidRPr="00F80502" w:rsidRDefault="00F80502" w:rsidP="00F80502">
            <w:pPr>
              <w:rPr>
                <w:rFonts w:cs="Arial"/>
              </w:rPr>
            </w:pPr>
            <w:r w:rsidRPr="00F80502">
              <w:rPr>
                <w:rFonts w:cs="Arial"/>
              </w:rPr>
              <w:t xml:space="preserve">Синдром на </w:t>
            </w:r>
            <w:r w:rsidRPr="00F80502">
              <w:rPr>
                <w:rFonts w:cs="Arial"/>
                <w:lang w:val="en-US"/>
              </w:rPr>
              <w:t>Stevens</w:t>
            </w:r>
            <w:r w:rsidRPr="00F80502">
              <w:rPr>
                <w:rFonts w:cs="Arial"/>
                <w:lang w:val="ru-RU"/>
              </w:rPr>
              <w:t xml:space="preserve">- </w:t>
            </w:r>
            <w:r w:rsidRPr="00F80502">
              <w:rPr>
                <w:rFonts w:cs="Arial"/>
                <w:lang w:val="en-US"/>
              </w:rPr>
              <w:t>Johnson</w:t>
            </w:r>
            <w:r w:rsidRPr="00F80502">
              <w:rPr>
                <w:rFonts w:cs="Arial"/>
                <w:lang w:val="ru-RU"/>
              </w:rPr>
              <w:t xml:space="preserve"> </w:t>
            </w:r>
            <w:r w:rsidRPr="00F80502">
              <w:rPr>
                <w:rFonts w:cs="Arial"/>
              </w:rPr>
              <w:t xml:space="preserve">Лекарствена реакция с </w:t>
            </w:r>
            <w:r w:rsidRPr="00F80502">
              <w:rPr>
                <w:rFonts w:cs="Arial"/>
              </w:rPr>
              <w:lastRenderedPageBreak/>
              <w:t xml:space="preserve">еозинофилия и системни симптоми </w:t>
            </w:r>
            <w:r w:rsidRPr="00F80502">
              <w:rPr>
                <w:rFonts w:cs="Arial"/>
                <w:lang w:val="ru-RU"/>
              </w:rPr>
              <w:t>(</w:t>
            </w:r>
            <w:r w:rsidRPr="00F80502">
              <w:rPr>
                <w:rFonts w:cs="Arial"/>
                <w:lang w:val="en-US"/>
              </w:rPr>
              <w:t>DRESS</w:t>
            </w:r>
            <w:r w:rsidRPr="00F80502">
              <w:rPr>
                <w:rFonts w:cs="Arial"/>
                <w:lang w:val="ru-RU"/>
              </w:rPr>
              <w:t>)</w:t>
            </w:r>
          </w:p>
        </w:tc>
      </w:tr>
      <w:tr w:rsidR="00F80502" w14:paraId="3CC70B12" w14:textId="77777777" w:rsidTr="00F80502">
        <w:tc>
          <w:tcPr>
            <w:tcW w:w="1784" w:type="dxa"/>
          </w:tcPr>
          <w:p w14:paraId="253E26DC" w14:textId="47B9AAF8" w:rsidR="00F80502" w:rsidRPr="00F80502" w:rsidRDefault="00F80502" w:rsidP="00F80502">
            <w:pPr>
              <w:rPr>
                <w:rFonts w:cs="Arial"/>
              </w:rPr>
            </w:pPr>
            <w:r w:rsidRPr="00F80502">
              <w:rPr>
                <w:rFonts w:cs="Arial"/>
                <w:i/>
                <w:iCs/>
              </w:rPr>
              <w:lastRenderedPageBreak/>
              <w:t>Нарушения на мускул но- скелетната система и съединителнат а тъкан</w:t>
            </w:r>
          </w:p>
        </w:tc>
        <w:tc>
          <w:tcPr>
            <w:tcW w:w="1331" w:type="dxa"/>
          </w:tcPr>
          <w:p w14:paraId="5C6595B8" w14:textId="38E0C9FB" w:rsidR="00F80502" w:rsidRPr="00F80502" w:rsidRDefault="00F80502" w:rsidP="00F80502">
            <w:pPr>
              <w:rPr>
                <w:rFonts w:cs="Arial"/>
              </w:rPr>
            </w:pPr>
            <w:r w:rsidRPr="00F80502">
              <w:rPr>
                <w:rFonts w:cs="Arial"/>
              </w:rPr>
              <w:t>Миалгия</w:t>
            </w:r>
          </w:p>
        </w:tc>
        <w:tc>
          <w:tcPr>
            <w:tcW w:w="1184" w:type="dxa"/>
          </w:tcPr>
          <w:p w14:paraId="402D9ED7" w14:textId="77777777" w:rsidR="00F80502" w:rsidRPr="00F80502" w:rsidRDefault="00F80502" w:rsidP="00F80502">
            <w:pPr>
              <w:rPr>
                <w:rFonts w:cs="Arial"/>
              </w:rPr>
            </w:pPr>
          </w:p>
        </w:tc>
        <w:tc>
          <w:tcPr>
            <w:tcW w:w="1896" w:type="dxa"/>
          </w:tcPr>
          <w:p w14:paraId="313386A2" w14:textId="22B16C84" w:rsidR="00F80502" w:rsidRPr="00F80502" w:rsidRDefault="00F80502" w:rsidP="00F80502">
            <w:pPr>
              <w:rPr>
                <w:rFonts w:cs="Arial"/>
              </w:rPr>
            </w:pPr>
            <w:r w:rsidRPr="00F80502">
              <w:rPr>
                <w:rFonts w:cs="Arial"/>
              </w:rPr>
              <w:t>Миопатия (включително миозит) Рабдомиолиза, Лупус-подобен синдром, Руптура на мускул</w:t>
            </w:r>
          </w:p>
        </w:tc>
        <w:tc>
          <w:tcPr>
            <w:tcW w:w="1775" w:type="dxa"/>
          </w:tcPr>
          <w:p w14:paraId="20C0B73E" w14:textId="0B9CBEA0" w:rsidR="00F80502" w:rsidRPr="00F80502" w:rsidRDefault="00F80502" w:rsidP="00F80502">
            <w:pPr>
              <w:rPr>
                <w:rFonts w:cs="Arial"/>
              </w:rPr>
            </w:pPr>
            <w:r w:rsidRPr="00F80502">
              <w:rPr>
                <w:rFonts w:cs="Arial"/>
              </w:rPr>
              <w:t>Артралгия</w:t>
            </w:r>
          </w:p>
        </w:tc>
        <w:tc>
          <w:tcPr>
            <w:tcW w:w="1606" w:type="dxa"/>
          </w:tcPr>
          <w:p w14:paraId="1749BC38" w14:textId="77777777" w:rsidR="00F80502" w:rsidRPr="00F80502" w:rsidRDefault="00F80502" w:rsidP="00F80502">
            <w:pPr>
              <w:rPr>
                <w:rFonts w:cs="Arial"/>
              </w:rPr>
            </w:pPr>
            <w:r w:rsidRPr="00F80502">
              <w:rPr>
                <w:rFonts w:cs="Arial"/>
              </w:rPr>
              <w:t>Имуно медиирана некротизи- раща миопатия</w:t>
            </w:r>
          </w:p>
          <w:p w14:paraId="1C427674" w14:textId="02C67DC0" w:rsidR="00F80502" w:rsidRPr="00F80502" w:rsidRDefault="00F80502" w:rsidP="00F80502">
            <w:pPr>
              <w:rPr>
                <w:rFonts w:cs="Arial"/>
              </w:rPr>
            </w:pPr>
            <w:r w:rsidRPr="00F80502">
              <w:rPr>
                <w:rFonts w:cs="Arial"/>
              </w:rPr>
              <w:t>Увреждане на сухожилие, понякога усложнени от разкъсване</w:t>
            </w:r>
          </w:p>
        </w:tc>
      </w:tr>
      <w:tr w:rsidR="00F80502" w14:paraId="1E9D383F" w14:textId="77777777" w:rsidTr="00F80502">
        <w:tc>
          <w:tcPr>
            <w:tcW w:w="1784" w:type="dxa"/>
          </w:tcPr>
          <w:p w14:paraId="3B007D98" w14:textId="13D2D438" w:rsidR="00F80502" w:rsidRPr="00F80502" w:rsidRDefault="00F80502" w:rsidP="00F80502">
            <w:pPr>
              <w:rPr>
                <w:rFonts w:cs="Arial"/>
              </w:rPr>
            </w:pPr>
            <w:r w:rsidRPr="00F80502">
              <w:rPr>
                <w:rFonts w:cs="Arial"/>
                <w:i/>
                <w:iCs/>
              </w:rPr>
              <w:t>Нарушения на бъбреците ипикочните пътища</w:t>
            </w:r>
          </w:p>
        </w:tc>
        <w:tc>
          <w:tcPr>
            <w:tcW w:w="1331" w:type="dxa"/>
          </w:tcPr>
          <w:p w14:paraId="1CDEF1B5" w14:textId="77777777" w:rsidR="00F80502" w:rsidRPr="00F80502" w:rsidRDefault="00F80502" w:rsidP="00F80502">
            <w:pPr>
              <w:rPr>
                <w:rFonts w:cs="Arial"/>
              </w:rPr>
            </w:pPr>
          </w:p>
        </w:tc>
        <w:tc>
          <w:tcPr>
            <w:tcW w:w="1184" w:type="dxa"/>
          </w:tcPr>
          <w:p w14:paraId="2FEB7D27" w14:textId="77777777" w:rsidR="00F80502" w:rsidRPr="00F80502" w:rsidRDefault="00F80502" w:rsidP="00F80502">
            <w:pPr>
              <w:rPr>
                <w:rFonts w:cs="Arial"/>
              </w:rPr>
            </w:pPr>
          </w:p>
        </w:tc>
        <w:tc>
          <w:tcPr>
            <w:tcW w:w="1896" w:type="dxa"/>
          </w:tcPr>
          <w:p w14:paraId="782D172F" w14:textId="77777777" w:rsidR="00F80502" w:rsidRPr="00F80502" w:rsidRDefault="00F80502" w:rsidP="00F80502">
            <w:pPr>
              <w:rPr>
                <w:rFonts w:cs="Arial"/>
              </w:rPr>
            </w:pPr>
          </w:p>
        </w:tc>
        <w:tc>
          <w:tcPr>
            <w:tcW w:w="1775" w:type="dxa"/>
          </w:tcPr>
          <w:p w14:paraId="74DF53FE" w14:textId="1A2414EE" w:rsidR="00F80502" w:rsidRPr="00F80502" w:rsidRDefault="00F80502" w:rsidP="00F80502">
            <w:pPr>
              <w:rPr>
                <w:rFonts w:cs="Arial"/>
              </w:rPr>
            </w:pPr>
            <w:r w:rsidRPr="00F80502">
              <w:rPr>
                <w:rFonts w:cs="Arial"/>
              </w:rPr>
              <w:t>Хематурия</w:t>
            </w:r>
          </w:p>
        </w:tc>
        <w:tc>
          <w:tcPr>
            <w:tcW w:w="1606" w:type="dxa"/>
          </w:tcPr>
          <w:p w14:paraId="36A62319" w14:textId="77777777" w:rsidR="00F80502" w:rsidRPr="00F80502" w:rsidRDefault="00F80502" w:rsidP="00F80502">
            <w:pPr>
              <w:rPr>
                <w:rFonts w:cs="Arial"/>
              </w:rPr>
            </w:pPr>
          </w:p>
        </w:tc>
      </w:tr>
      <w:tr w:rsidR="00F80502" w14:paraId="03281C12" w14:textId="77777777" w:rsidTr="00F80502">
        <w:tc>
          <w:tcPr>
            <w:tcW w:w="1784" w:type="dxa"/>
          </w:tcPr>
          <w:p w14:paraId="10838B47" w14:textId="7543BBDC" w:rsidR="00F80502" w:rsidRPr="00F80502" w:rsidRDefault="00F80502" w:rsidP="00F80502">
            <w:pPr>
              <w:rPr>
                <w:rFonts w:cs="Arial"/>
              </w:rPr>
            </w:pPr>
            <w:r w:rsidRPr="00F80502">
              <w:rPr>
                <w:rFonts w:cs="Arial"/>
                <w:i/>
                <w:iCs/>
              </w:rPr>
              <w:t>Нарушения на възпроизводите лната система и гърдата</w:t>
            </w:r>
          </w:p>
        </w:tc>
        <w:tc>
          <w:tcPr>
            <w:tcW w:w="1331" w:type="dxa"/>
          </w:tcPr>
          <w:p w14:paraId="2182D3B9" w14:textId="77777777" w:rsidR="00F80502" w:rsidRPr="00F80502" w:rsidRDefault="00F80502" w:rsidP="00F80502">
            <w:pPr>
              <w:rPr>
                <w:rFonts w:cs="Arial"/>
              </w:rPr>
            </w:pPr>
          </w:p>
        </w:tc>
        <w:tc>
          <w:tcPr>
            <w:tcW w:w="1184" w:type="dxa"/>
          </w:tcPr>
          <w:p w14:paraId="33012B23" w14:textId="77777777" w:rsidR="00F80502" w:rsidRPr="00F80502" w:rsidRDefault="00F80502" w:rsidP="00F80502">
            <w:pPr>
              <w:rPr>
                <w:rFonts w:cs="Arial"/>
              </w:rPr>
            </w:pPr>
          </w:p>
        </w:tc>
        <w:tc>
          <w:tcPr>
            <w:tcW w:w="1896" w:type="dxa"/>
          </w:tcPr>
          <w:p w14:paraId="4EE0A9C4" w14:textId="77777777" w:rsidR="00F80502" w:rsidRPr="00F80502" w:rsidRDefault="00F80502" w:rsidP="00F80502">
            <w:pPr>
              <w:rPr>
                <w:rFonts w:cs="Arial"/>
              </w:rPr>
            </w:pPr>
          </w:p>
        </w:tc>
        <w:tc>
          <w:tcPr>
            <w:tcW w:w="1775" w:type="dxa"/>
          </w:tcPr>
          <w:p w14:paraId="1BDDAC0E" w14:textId="428AD91D" w:rsidR="00F80502" w:rsidRPr="00F80502" w:rsidRDefault="00F80502" w:rsidP="00F80502">
            <w:pPr>
              <w:rPr>
                <w:rFonts w:cs="Arial"/>
              </w:rPr>
            </w:pPr>
            <w:r w:rsidRPr="00F80502">
              <w:rPr>
                <w:rFonts w:cs="Arial"/>
              </w:rPr>
              <w:t>Гинекомастия</w:t>
            </w:r>
          </w:p>
        </w:tc>
        <w:tc>
          <w:tcPr>
            <w:tcW w:w="1606" w:type="dxa"/>
          </w:tcPr>
          <w:p w14:paraId="221E657C" w14:textId="77777777" w:rsidR="00F80502" w:rsidRPr="00F80502" w:rsidRDefault="00F80502" w:rsidP="00F80502">
            <w:pPr>
              <w:rPr>
                <w:rFonts w:cs="Arial"/>
              </w:rPr>
            </w:pPr>
          </w:p>
        </w:tc>
      </w:tr>
      <w:tr w:rsidR="00F80502" w14:paraId="4CC72387" w14:textId="77777777" w:rsidTr="00F80502">
        <w:tc>
          <w:tcPr>
            <w:tcW w:w="1784" w:type="dxa"/>
          </w:tcPr>
          <w:p w14:paraId="63B8007B" w14:textId="5D4A229A" w:rsidR="00F80502" w:rsidRPr="00F80502" w:rsidRDefault="00F80502" w:rsidP="00F80502">
            <w:pPr>
              <w:rPr>
                <w:rFonts w:cs="Arial"/>
              </w:rPr>
            </w:pPr>
            <w:r w:rsidRPr="00F80502">
              <w:rPr>
                <w:rFonts w:cs="Arial"/>
                <w:i/>
                <w:iCs/>
              </w:rPr>
              <w:t>Общ</w:t>
            </w:r>
            <w:r>
              <w:rPr>
                <w:rFonts w:cs="Arial"/>
                <w:i/>
                <w:iCs/>
              </w:rPr>
              <w:t xml:space="preserve">и нарушения и ефекти на мястото </w:t>
            </w:r>
            <w:r w:rsidRPr="00F80502">
              <w:rPr>
                <w:rFonts w:cs="Arial"/>
                <w:i/>
                <w:iCs/>
              </w:rPr>
              <w:t>на</w:t>
            </w:r>
          </w:p>
          <w:p w14:paraId="34C97FBC" w14:textId="24F74B72" w:rsidR="00F80502" w:rsidRPr="00F80502" w:rsidRDefault="00F80502" w:rsidP="00F80502">
            <w:pPr>
              <w:rPr>
                <w:rFonts w:cs="Arial"/>
              </w:rPr>
            </w:pPr>
            <w:r w:rsidRPr="00F80502">
              <w:rPr>
                <w:rFonts w:cs="Arial"/>
                <w:i/>
                <w:iCs/>
              </w:rPr>
              <w:t>приложение</w:t>
            </w:r>
          </w:p>
        </w:tc>
        <w:tc>
          <w:tcPr>
            <w:tcW w:w="1331" w:type="dxa"/>
          </w:tcPr>
          <w:p w14:paraId="313614AF" w14:textId="3E16294F" w:rsidR="00F80502" w:rsidRPr="00F80502" w:rsidRDefault="00F80502" w:rsidP="00F80502">
            <w:pPr>
              <w:rPr>
                <w:rFonts w:cs="Arial"/>
              </w:rPr>
            </w:pPr>
            <w:r w:rsidRPr="00F80502">
              <w:rPr>
                <w:rFonts w:cs="Arial"/>
              </w:rPr>
              <w:t>Астения</w:t>
            </w:r>
          </w:p>
        </w:tc>
        <w:tc>
          <w:tcPr>
            <w:tcW w:w="1184" w:type="dxa"/>
          </w:tcPr>
          <w:p w14:paraId="02C44FB3" w14:textId="77777777" w:rsidR="00F80502" w:rsidRPr="00F80502" w:rsidRDefault="00F80502" w:rsidP="00F80502">
            <w:pPr>
              <w:rPr>
                <w:rFonts w:cs="Arial"/>
              </w:rPr>
            </w:pPr>
          </w:p>
        </w:tc>
        <w:tc>
          <w:tcPr>
            <w:tcW w:w="1896" w:type="dxa"/>
          </w:tcPr>
          <w:p w14:paraId="40323C80" w14:textId="77777777" w:rsidR="00F80502" w:rsidRPr="00F80502" w:rsidRDefault="00F80502" w:rsidP="00F80502">
            <w:pPr>
              <w:rPr>
                <w:rFonts w:cs="Arial"/>
              </w:rPr>
            </w:pPr>
          </w:p>
        </w:tc>
        <w:tc>
          <w:tcPr>
            <w:tcW w:w="1775" w:type="dxa"/>
          </w:tcPr>
          <w:p w14:paraId="6247D65D" w14:textId="77777777" w:rsidR="00F80502" w:rsidRPr="00F80502" w:rsidRDefault="00F80502" w:rsidP="00F80502">
            <w:pPr>
              <w:rPr>
                <w:rFonts w:cs="Arial"/>
              </w:rPr>
            </w:pPr>
          </w:p>
        </w:tc>
        <w:tc>
          <w:tcPr>
            <w:tcW w:w="1606" w:type="dxa"/>
          </w:tcPr>
          <w:p w14:paraId="78F792C9" w14:textId="733B8DD1" w:rsidR="00F80502" w:rsidRPr="00F80502" w:rsidRDefault="00F80502" w:rsidP="00F80502">
            <w:pPr>
              <w:rPr>
                <w:rFonts w:cs="Arial"/>
              </w:rPr>
            </w:pPr>
            <w:r w:rsidRPr="00F80502">
              <w:rPr>
                <w:rFonts w:cs="Arial"/>
              </w:rPr>
              <w:t>Оток</w:t>
            </w:r>
          </w:p>
        </w:tc>
      </w:tr>
    </w:tbl>
    <w:p w14:paraId="1174F9F4" w14:textId="26E9B3DC" w:rsidR="00F80502" w:rsidRPr="00F80502" w:rsidRDefault="00F80502" w:rsidP="00F80502">
      <w:pPr>
        <w:spacing w:line="240" w:lineRule="auto"/>
        <w:rPr>
          <w:rFonts w:eastAsia="Times New Roman" w:cs="Arial"/>
        </w:rPr>
      </w:pPr>
      <w:r w:rsidRPr="00F80502">
        <w:rPr>
          <w:rFonts w:eastAsia="Times New Roman" w:cs="Arial"/>
          <w:color w:val="000000"/>
          <w:vertAlign w:val="superscript"/>
          <w:lang w:eastAsia="bg-BG"/>
        </w:rPr>
        <w:t>1</w:t>
      </w:r>
      <w:r w:rsidRPr="00F80502">
        <w:rPr>
          <w:rFonts w:eastAsia="Times New Roman" w:cs="Arial"/>
          <w:color w:val="000000"/>
          <w:lang w:eastAsia="bg-BG"/>
        </w:rPr>
        <w:t>Честотата ще зависи от наличието или липсата на рискови фактори (кръвна глюкоза на гладно</w:t>
      </w:r>
    </w:p>
    <w:p w14:paraId="4FA5B5AB"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 5,6 </w:t>
      </w:r>
      <w:r w:rsidRPr="00F80502">
        <w:rPr>
          <w:rFonts w:eastAsia="Times New Roman" w:cs="Arial"/>
          <w:color w:val="000000"/>
          <w:lang w:val="en-US"/>
        </w:rPr>
        <w:t>mmol</w:t>
      </w:r>
      <w:r w:rsidRPr="00F80502">
        <w:rPr>
          <w:rFonts w:eastAsia="Times New Roman" w:cs="Arial"/>
          <w:color w:val="000000"/>
          <w:lang w:val="ru-RU"/>
        </w:rPr>
        <w:t>/</w:t>
      </w:r>
      <w:r w:rsidRPr="00F80502">
        <w:rPr>
          <w:rFonts w:eastAsia="Times New Roman" w:cs="Arial"/>
          <w:color w:val="000000"/>
          <w:lang w:val="en-US"/>
        </w:rPr>
        <w:t>L</w:t>
      </w:r>
      <w:r w:rsidRPr="00F80502">
        <w:rPr>
          <w:rFonts w:eastAsia="Times New Roman" w:cs="Arial"/>
          <w:color w:val="000000"/>
          <w:lang w:val="ru-RU"/>
        </w:rPr>
        <w:t xml:space="preserve">, </w:t>
      </w:r>
      <w:r w:rsidRPr="00F80502">
        <w:rPr>
          <w:rFonts w:eastAsia="Times New Roman" w:cs="Arial"/>
          <w:color w:val="000000"/>
          <w:lang w:eastAsia="bg-BG"/>
        </w:rPr>
        <w:t xml:space="preserve">ИТМ &gt;30 </w:t>
      </w:r>
      <w:r w:rsidRPr="00F80502">
        <w:rPr>
          <w:rFonts w:eastAsia="Times New Roman" w:cs="Arial"/>
          <w:color w:val="000000"/>
          <w:lang w:val="en-US"/>
        </w:rPr>
        <w:t>kg</w:t>
      </w:r>
      <w:r w:rsidRPr="00F80502">
        <w:rPr>
          <w:rFonts w:eastAsia="Times New Roman" w:cs="Arial"/>
          <w:color w:val="000000"/>
          <w:lang w:val="ru-RU"/>
        </w:rPr>
        <w:t>/</w:t>
      </w:r>
      <w:r w:rsidRPr="00F80502">
        <w:rPr>
          <w:rFonts w:eastAsia="Times New Roman" w:cs="Arial"/>
          <w:color w:val="000000"/>
          <w:lang w:val="en-US"/>
        </w:rPr>
        <w:t>m</w:t>
      </w:r>
      <w:r w:rsidRPr="00F80502">
        <w:rPr>
          <w:rFonts w:eastAsia="Times New Roman" w:cs="Arial"/>
          <w:color w:val="000000"/>
          <w:vertAlign w:val="superscript"/>
          <w:lang w:val="ru-RU"/>
        </w:rPr>
        <w:t>2</w:t>
      </w:r>
      <w:r w:rsidRPr="00F80502">
        <w:rPr>
          <w:rFonts w:eastAsia="Times New Roman" w:cs="Arial"/>
          <w:color w:val="000000"/>
          <w:lang w:val="ru-RU"/>
        </w:rPr>
        <w:t xml:space="preserve">, </w:t>
      </w:r>
      <w:r w:rsidRPr="00F80502">
        <w:rPr>
          <w:rFonts w:eastAsia="Times New Roman" w:cs="Arial"/>
          <w:color w:val="000000"/>
          <w:lang w:eastAsia="bg-BG"/>
        </w:rPr>
        <w:t>повишени триглицериди, анамнеза за хипертония).</w:t>
      </w:r>
    </w:p>
    <w:p w14:paraId="76323597" w14:textId="77777777" w:rsidR="00F80502" w:rsidRPr="00F80502" w:rsidRDefault="00F80502" w:rsidP="00F80502">
      <w:pPr>
        <w:spacing w:line="240" w:lineRule="auto"/>
        <w:rPr>
          <w:rFonts w:eastAsia="Times New Roman" w:cs="Arial"/>
          <w:color w:val="000000"/>
          <w:lang w:eastAsia="bg-BG"/>
        </w:rPr>
      </w:pPr>
    </w:p>
    <w:p w14:paraId="23374B85" w14:textId="66D78C67"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Както при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честотата на нежеланите лекарствени реакции зависи от дозата на лекарството.</w:t>
      </w:r>
    </w:p>
    <w:p w14:paraId="1045F513" w14:textId="77777777" w:rsidR="00F80502" w:rsidRPr="00F80502" w:rsidRDefault="00F80502" w:rsidP="00F80502">
      <w:pPr>
        <w:spacing w:line="240" w:lineRule="auto"/>
        <w:rPr>
          <w:rFonts w:eastAsia="Times New Roman" w:cs="Arial"/>
          <w:color w:val="000000"/>
          <w:u w:val="single"/>
          <w:lang w:eastAsia="bg-BG"/>
        </w:rPr>
      </w:pPr>
    </w:p>
    <w:p w14:paraId="1B590476" w14:textId="3BBE5815"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Описание на определени нежелани реакции</w:t>
      </w:r>
    </w:p>
    <w:p w14:paraId="410CDFDC" w14:textId="77777777" w:rsidR="00F80502" w:rsidRPr="00F80502" w:rsidRDefault="00F80502" w:rsidP="00F80502">
      <w:pPr>
        <w:spacing w:line="240" w:lineRule="auto"/>
        <w:rPr>
          <w:rFonts w:eastAsia="Times New Roman" w:cs="Arial"/>
        </w:rPr>
      </w:pPr>
    </w:p>
    <w:p w14:paraId="0EB2F6CD" w14:textId="77777777" w:rsidR="00F80502" w:rsidRPr="00F80502" w:rsidRDefault="00F80502" w:rsidP="00F80502">
      <w:pPr>
        <w:rPr>
          <w:rFonts w:eastAsia="Times New Roman" w:cs="Arial"/>
        </w:rPr>
      </w:pPr>
      <w:r w:rsidRPr="00F80502">
        <w:rPr>
          <w:rFonts w:eastAsia="Times New Roman" w:cs="Arial"/>
          <w:i/>
          <w:iCs/>
          <w:color w:val="000000"/>
          <w:lang w:eastAsia="bg-BG"/>
        </w:rPr>
        <w:t>Ефекти върху бъбреците:</w:t>
      </w:r>
      <w:r w:rsidRPr="00F80502">
        <w:rPr>
          <w:rFonts w:eastAsia="Times New Roman" w:cs="Arial"/>
          <w:color w:val="000000"/>
          <w:lang w:eastAsia="bg-BG"/>
        </w:rPr>
        <w:t xml:space="preserve"> При пациенти, лекувани с розувастатин, е наблюдавана протеинурия, установена при изследване с тест-лентички и която е с предимно тубулен произход. В определени моменти от лечението при &lt;1% от пациентите на 10 и 20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 xml:space="preserve">и при приблизително 3% от пациентите, лекувани с 40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 xml:space="preserve">са наблюдавани промени в изследванията за протеин в урината от отрицателен резултат или следи до ++. Незначително отклонение в посока от отрицателен резултат или следи към + е наблюдавано при доза 20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В повечето случаи протеинурията намалява или изчезва спонтанно в процеса на лечението и не е доказано да предшества остро и прогресивно бъбречно заболяване. От прегледа на данните при клиничните опити и пост-</w:t>
      </w:r>
      <w:r w:rsidRPr="00F80502">
        <w:rPr>
          <w:rFonts w:eastAsia="Times New Roman" w:cs="Arial"/>
          <w:color w:val="000000"/>
          <w:lang w:eastAsia="bg-BG"/>
        </w:rPr>
        <w:lastRenderedPageBreak/>
        <w:t>маркетинговите проучвания до сега не е идентифицирана причинна връзка между протеинурията и остро или прогресивно бъбречно заболяване.</w:t>
      </w:r>
    </w:p>
    <w:p w14:paraId="675D189E" w14:textId="77777777" w:rsidR="00F80502" w:rsidRPr="00F80502" w:rsidRDefault="00F80502" w:rsidP="00F80502">
      <w:pPr>
        <w:spacing w:line="240" w:lineRule="auto"/>
        <w:rPr>
          <w:rFonts w:eastAsia="Times New Roman" w:cs="Arial"/>
          <w:color w:val="000000"/>
          <w:lang w:eastAsia="bg-BG"/>
        </w:rPr>
      </w:pPr>
    </w:p>
    <w:p w14:paraId="02B2E18E" w14:textId="5E89CBD2" w:rsidR="00F80502" w:rsidRPr="00F80502" w:rsidRDefault="00F80502" w:rsidP="00F80502">
      <w:pPr>
        <w:spacing w:line="240" w:lineRule="auto"/>
        <w:rPr>
          <w:rFonts w:eastAsia="Times New Roman" w:cs="Arial"/>
        </w:rPr>
      </w:pPr>
      <w:r w:rsidRPr="00F80502">
        <w:rPr>
          <w:rFonts w:eastAsia="Times New Roman" w:cs="Arial"/>
          <w:color w:val="000000"/>
          <w:lang w:eastAsia="bg-BG"/>
        </w:rPr>
        <w:t>При пациенти, третирани с розувастатин е наблюдавана хематурия, но клиничните данни сочат, че честотата й е ниска.</w:t>
      </w:r>
    </w:p>
    <w:p w14:paraId="70FE1573" w14:textId="77777777" w:rsidR="00F80502" w:rsidRPr="00F80502" w:rsidRDefault="00F80502" w:rsidP="00F80502">
      <w:pPr>
        <w:spacing w:line="240" w:lineRule="auto"/>
        <w:rPr>
          <w:rFonts w:eastAsia="Times New Roman" w:cs="Arial"/>
          <w:i/>
          <w:iCs/>
          <w:color w:val="000000"/>
          <w:lang w:eastAsia="bg-BG"/>
        </w:rPr>
      </w:pPr>
    </w:p>
    <w:p w14:paraId="2383B837" w14:textId="50A8A63B" w:rsidR="00F80502" w:rsidRPr="00F80502" w:rsidRDefault="00F80502" w:rsidP="00F80502">
      <w:pPr>
        <w:spacing w:line="240" w:lineRule="auto"/>
        <w:rPr>
          <w:rFonts w:eastAsia="Times New Roman" w:cs="Arial"/>
        </w:rPr>
      </w:pPr>
      <w:r w:rsidRPr="00F80502">
        <w:rPr>
          <w:rFonts w:eastAsia="Times New Roman" w:cs="Arial"/>
          <w:i/>
          <w:iCs/>
          <w:color w:val="000000"/>
          <w:lang w:eastAsia="bg-BG"/>
        </w:rPr>
        <w:t>Ефекти върху скелетната мускулатура:</w:t>
      </w:r>
      <w:r w:rsidRPr="00F80502">
        <w:rPr>
          <w:rFonts w:eastAsia="Times New Roman" w:cs="Arial"/>
          <w:color w:val="000000"/>
          <w:lang w:eastAsia="bg-BG"/>
        </w:rPr>
        <w:t xml:space="preserve"> Както при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 xml:space="preserve">редуктазата въздействия върху скелетната мускулатура като напр. миалгия, миопатия (включително миозит) и рядко рабдомиолиза с или без остро бъбречна недостатъчност, са установени при пациенти лекувани с розувастатин - във всички терапевтични дози, особено в дози &gt; 20 </w:t>
      </w:r>
      <w:r w:rsidRPr="00F80502">
        <w:rPr>
          <w:rFonts w:eastAsia="Times New Roman" w:cs="Arial"/>
          <w:color w:val="000000"/>
          <w:lang w:val="en-US"/>
        </w:rPr>
        <w:t>mg</w:t>
      </w:r>
      <w:r w:rsidRPr="00F80502">
        <w:rPr>
          <w:rFonts w:eastAsia="Times New Roman" w:cs="Arial"/>
          <w:color w:val="000000"/>
          <w:lang w:val="ru-RU"/>
        </w:rPr>
        <w:t>.</w:t>
      </w:r>
    </w:p>
    <w:p w14:paraId="33ACB9DA" w14:textId="77777777" w:rsidR="00F80502" w:rsidRPr="00F80502" w:rsidRDefault="00F80502" w:rsidP="00F80502">
      <w:pPr>
        <w:spacing w:line="240" w:lineRule="auto"/>
        <w:rPr>
          <w:rFonts w:eastAsia="Times New Roman" w:cs="Arial"/>
          <w:color w:val="000000"/>
          <w:lang w:eastAsia="bg-BG"/>
        </w:rPr>
      </w:pPr>
    </w:p>
    <w:p w14:paraId="0F3ECF3B" w14:textId="798663B9" w:rsidR="00F80502" w:rsidRPr="00F80502" w:rsidRDefault="00F80502" w:rsidP="00F80502">
      <w:pPr>
        <w:spacing w:line="240" w:lineRule="auto"/>
        <w:rPr>
          <w:rFonts w:eastAsia="Times New Roman" w:cs="Arial"/>
        </w:rPr>
      </w:pPr>
      <w:r w:rsidRPr="00F80502">
        <w:rPr>
          <w:rFonts w:eastAsia="Times New Roman" w:cs="Arial"/>
          <w:color w:val="000000"/>
          <w:lang w:eastAsia="bg-BG"/>
        </w:rPr>
        <w:t>Дозо-зависимо увеличение на нивото на СК е наблюдавано при малък брой пациенти, приемащи розувастатин; множеството от случаите са леки, асимптоматични и преходни. Ако нивото на СК се повиши (&gt; 5 х ГРГ), лечението трябва временно да се преустанови (вж. точка 4.4).</w:t>
      </w:r>
    </w:p>
    <w:p w14:paraId="58AA9269" w14:textId="77777777" w:rsidR="00F80502" w:rsidRPr="00F80502" w:rsidRDefault="00F80502" w:rsidP="00F80502">
      <w:pPr>
        <w:spacing w:line="240" w:lineRule="auto"/>
        <w:rPr>
          <w:rFonts w:eastAsia="Times New Roman" w:cs="Arial"/>
          <w:i/>
          <w:iCs/>
          <w:color w:val="000000"/>
          <w:lang w:eastAsia="bg-BG"/>
        </w:rPr>
      </w:pPr>
    </w:p>
    <w:p w14:paraId="77A0CC38" w14:textId="0462AD9A" w:rsidR="00F80502" w:rsidRPr="00F80502" w:rsidRDefault="00F80502" w:rsidP="00F80502">
      <w:pPr>
        <w:spacing w:line="240" w:lineRule="auto"/>
        <w:rPr>
          <w:rFonts w:eastAsia="Times New Roman" w:cs="Arial"/>
        </w:rPr>
      </w:pPr>
      <w:r w:rsidRPr="00F80502">
        <w:rPr>
          <w:rFonts w:eastAsia="Times New Roman" w:cs="Arial"/>
          <w:i/>
          <w:iCs/>
          <w:color w:val="000000"/>
          <w:lang w:eastAsia="bg-BG"/>
        </w:rPr>
        <w:t>Ефекти върху черния дроб:</w:t>
      </w:r>
      <w:r w:rsidRPr="00F80502">
        <w:rPr>
          <w:rFonts w:eastAsia="Times New Roman" w:cs="Arial"/>
          <w:color w:val="000000"/>
          <w:lang w:eastAsia="bg-BG"/>
        </w:rPr>
        <w:t xml:space="preserve"> Както при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увеличение на трансаминазите, свързано с дозировката е наблюдавано при малък брой пациенти на розувастатин; по-голяма част от случаите са леки, асимптоматични и преходни.</w:t>
      </w:r>
    </w:p>
    <w:p w14:paraId="2B60E41E" w14:textId="77777777" w:rsidR="00F80502" w:rsidRPr="00F80502" w:rsidRDefault="00F80502" w:rsidP="00F80502">
      <w:pPr>
        <w:spacing w:line="240" w:lineRule="auto"/>
        <w:rPr>
          <w:rFonts w:eastAsia="Times New Roman" w:cs="Arial"/>
          <w:color w:val="000000"/>
          <w:lang w:eastAsia="bg-BG"/>
        </w:rPr>
      </w:pPr>
    </w:p>
    <w:p w14:paraId="6EC76C9D" w14:textId="22BF9918" w:rsidR="00F80502" w:rsidRPr="00F80502" w:rsidRDefault="00F80502" w:rsidP="00F80502">
      <w:pPr>
        <w:spacing w:line="240" w:lineRule="auto"/>
        <w:rPr>
          <w:rFonts w:eastAsia="Times New Roman" w:cs="Arial"/>
        </w:rPr>
      </w:pPr>
      <w:r w:rsidRPr="00F80502">
        <w:rPr>
          <w:rFonts w:eastAsia="Times New Roman" w:cs="Arial"/>
          <w:color w:val="000000"/>
          <w:lang w:eastAsia="bg-BG"/>
        </w:rPr>
        <w:t>Следните нежелани реакции са докладвани при някои статини:</w:t>
      </w:r>
    </w:p>
    <w:p w14:paraId="3302B2F0" w14:textId="77777777" w:rsidR="00F80502" w:rsidRPr="00F80502" w:rsidRDefault="00F80502" w:rsidP="00F80502">
      <w:pPr>
        <w:pStyle w:val="ListParagraph"/>
        <w:numPr>
          <w:ilvl w:val="0"/>
          <w:numId w:val="40"/>
        </w:numPr>
        <w:spacing w:line="240" w:lineRule="auto"/>
        <w:rPr>
          <w:rFonts w:eastAsia="Times New Roman" w:cs="Arial"/>
        </w:rPr>
      </w:pPr>
      <w:r w:rsidRPr="00F80502">
        <w:rPr>
          <w:rFonts w:eastAsia="Times New Roman" w:cs="Arial"/>
          <w:color w:val="000000"/>
          <w:lang w:eastAsia="bg-BG"/>
        </w:rPr>
        <w:t>Сексуална дисфункция</w:t>
      </w:r>
    </w:p>
    <w:p w14:paraId="646EECBE" w14:textId="77777777" w:rsidR="00F80502" w:rsidRPr="00F80502" w:rsidRDefault="00F80502" w:rsidP="00F80502">
      <w:pPr>
        <w:pStyle w:val="ListParagraph"/>
        <w:numPr>
          <w:ilvl w:val="0"/>
          <w:numId w:val="40"/>
        </w:numPr>
        <w:spacing w:line="240" w:lineRule="auto"/>
        <w:rPr>
          <w:rFonts w:eastAsia="Times New Roman" w:cs="Arial"/>
        </w:rPr>
      </w:pPr>
      <w:r w:rsidRPr="00F80502">
        <w:rPr>
          <w:rFonts w:eastAsia="Times New Roman" w:cs="Arial"/>
          <w:color w:val="000000"/>
          <w:lang w:eastAsia="bg-BG"/>
        </w:rPr>
        <w:t>Изолирани случаи на интерстициална белодробна болест, особено при продължителна терапия (вж. точка 4.4).</w:t>
      </w:r>
    </w:p>
    <w:p w14:paraId="0DE60590" w14:textId="77777777" w:rsidR="00F80502" w:rsidRPr="00F80502" w:rsidRDefault="00F80502" w:rsidP="00F80502">
      <w:pPr>
        <w:spacing w:line="240" w:lineRule="auto"/>
        <w:rPr>
          <w:rFonts w:eastAsia="Times New Roman" w:cs="Arial"/>
          <w:color w:val="000000"/>
          <w:lang w:eastAsia="bg-BG"/>
        </w:rPr>
      </w:pPr>
    </w:p>
    <w:p w14:paraId="60E2123C" w14:textId="481FFAD1"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Докладваната честота на рабдомиолиза, сериозни бъбречни и чернодробни увреждания (основно - увеличени чернодробни трансаминази) е по- висока при 40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дозировка.</w:t>
      </w:r>
    </w:p>
    <w:p w14:paraId="01998466" w14:textId="77777777" w:rsidR="00F80502" w:rsidRPr="00F80502" w:rsidRDefault="00F80502" w:rsidP="00F80502">
      <w:pPr>
        <w:spacing w:line="240" w:lineRule="auto"/>
        <w:rPr>
          <w:rFonts w:eastAsia="Times New Roman" w:cs="Arial"/>
          <w:color w:val="000000"/>
          <w:u w:val="single"/>
          <w:lang w:eastAsia="bg-BG"/>
        </w:rPr>
      </w:pPr>
    </w:p>
    <w:p w14:paraId="5BE266CE" w14:textId="4C700C6D"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Педиатрична популация</w:t>
      </w:r>
      <w:r w:rsidRPr="00F80502">
        <w:rPr>
          <w:rFonts w:eastAsia="Times New Roman" w:cs="Arial"/>
          <w:color w:val="000000"/>
          <w:lang w:eastAsia="bg-BG"/>
        </w:rPr>
        <w:t>:</w:t>
      </w:r>
    </w:p>
    <w:p w14:paraId="178ED2F7"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При 52-седмично клинично проучване при деца и юноши се наблюдава по-често в сравнение с възрастни повишаване на креатин киназата повече от &gt;10 х ГРГ и мускулни симптоми след упражнения или повишена физическа активност (вж. точка 4.4). От друга страна, профилът на безопасност на розувастатин е сходен при деца и юноши в сравнение с този при възрастните.</w:t>
      </w:r>
    </w:p>
    <w:p w14:paraId="2E09D617" w14:textId="77777777" w:rsidR="00F80502" w:rsidRPr="00F80502" w:rsidRDefault="00F80502" w:rsidP="00F80502">
      <w:pPr>
        <w:spacing w:line="240" w:lineRule="auto"/>
        <w:rPr>
          <w:rFonts w:eastAsia="Times New Roman" w:cs="Arial"/>
          <w:color w:val="000000"/>
          <w:u w:val="single"/>
          <w:lang w:eastAsia="bg-BG"/>
        </w:rPr>
      </w:pPr>
    </w:p>
    <w:p w14:paraId="5D40174F" w14:textId="7978E583"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Съобщаване на подозирани нежелани реакции</w:t>
      </w:r>
    </w:p>
    <w:p w14:paraId="6E77AC67"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w:t>
      </w:r>
    </w:p>
    <w:p w14:paraId="13E2A72C"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ул. „Дамян Груев” № 8 </w:t>
      </w:r>
    </w:p>
    <w:p w14:paraId="59468F9F"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1303 София </w:t>
      </w:r>
    </w:p>
    <w:p w14:paraId="4BFB3026"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тел.:+35 928903417 </w:t>
      </w:r>
    </w:p>
    <w:p w14:paraId="7ECB19C5" w14:textId="0300AD0B"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уебсайт: </w:t>
      </w:r>
      <w:hyperlink r:id="rId5" w:history="1">
        <w:r w:rsidRPr="00F80502">
          <w:rPr>
            <w:rFonts w:eastAsia="Times New Roman" w:cs="Arial"/>
            <w:color w:val="000000"/>
            <w:u w:val="single"/>
            <w:lang w:val="en-US"/>
          </w:rPr>
          <w:t>www</w:t>
        </w:r>
        <w:r w:rsidRPr="00F80502">
          <w:rPr>
            <w:rFonts w:eastAsia="Times New Roman" w:cs="Arial"/>
            <w:color w:val="000000"/>
            <w:u w:val="single"/>
            <w:lang w:val="ru-RU"/>
          </w:rPr>
          <w:t>.</w:t>
        </w:r>
        <w:r w:rsidRPr="00F80502">
          <w:rPr>
            <w:rFonts w:eastAsia="Times New Roman" w:cs="Arial"/>
            <w:color w:val="000000"/>
            <w:u w:val="single"/>
            <w:lang w:val="en-US"/>
          </w:rPr>
          <w:t>bda</w:t>
        </w:r>
        <w:r w:rsidRPr="00F80502">
          <w:rPr>
            <w:rFonts w:eastAsia="Times New Roman" w:cs="Arial"/>
            <w:color w:val="000000"/>
            <w:u w:val="single"/>
            <w:lang w:val="ru-RU"/>
          </w:rPr>
          <w:t>.</w:t>
        </w:r>
        <w:r w:rsidRPr="00F80502">
          <w:rPr>
            <w:rFonts w:eastAsia="Times New Roman" w:cs="Arial"/>
            <w:color w:val="000000"/>
            <w:u w:val="single"/>
            <w:lang w:val="en-US"/>
          </w:rPr>
          <w:t>bg</w:t>
        </w:r>
      </w:hyperlink>
    </w:p>
    <w:p w14:paraId="1439F74E" w14:textId="6EA5D22A" w:rsidR="00F80502" w:rsidRPr="00F80502" w:rsidRDefault="00F80502" w:rsidP="00F80502"/>
    <w:p w14:paraId="5A87DBA3" w14:textId="0BF42E92" w:rsidR="007122AD" w:rsidRDefault="002C50EE" w:rsidP="00936AD0">
      <w:pPr>
        <w:pStyle w:val="Heading2"/>
      </w:pPr>
      <w:r>
        <w:t>4.9. Предозиране</w:t>
      </w:r>
    </w:p>
    <w:p w14:paraId="31AB5322" w14:textId="14A10CC1" w:rsidR="00F80502" w:rsidRDefault="00F80502" w:rsidP="00F80502"/>
    <w:p w14:paraId="017313F2" w14:textId="604F90ED" w:rsidR="00F80502" w:rsidRPr="00F80502" w:rsidRDefault="00F80502" w:rsidP="00F80502">
      <w:pPr>
        <w:rPr>
          <w:sz w:val="24"/>
          <w:szCs w:val="24"/>
        </w:rPr>
      </w:pPr>
      <w:r w:rsidRPr="00F80502">
        <w:rPr>
          <w:lang w:eastAsia="bg-BG"/>
        </w:rPr>
        <w:lastRenderedPageBreak/>
        <w:t>Няма специфично лечение в случай на предозиране. При предозиране пациентът трябва да се лекува симптоматично и да се започнат поддържащи мерки според нуждата. Чернодробната</w:t>
      </w:r>
      <w:r>
        <w:rPr>
          <w:sz w:val="24"/>
          <w:szCs w:val="24"/>
        </w:rPr>
        <w:t xml:space="preserve"> </w:t>
      </w:r>
      <w:r w:rsidRPr="00F80502">
        <w:rPr>
          <w:lang w:eastAsia="bg-BG"/>
        </w:rPr>
        <w:t>функция и нивата на СК трябва да се следят. Малко е вероятно хемодиализата да бъде от полза</w:t>
      </w:r>
      <w:r>
        <w:rPr>
          <w:lang w:eastAsia="bg-BG"/>
        </w:rPr>
        <w:t>.</w:t>
      </w:r>
    </w:p>
    <w:p w14:paraId="02081B24" w14:textId="1F46E296" w:rsidR="00395555" w:rsidRPr="00395555" w:rsidRDefault="002C50EE" w:rsidP="008A6AF2">
      <w:pPr>
        <w:pStyle w:val="Heading1"/>
      </w:pPr>
      <w:r>
        <w:t>5. ФАРМАКОЛОГИЧНИ СВОЙСТВА</w:t>
      </w:r>
    </w:p>
    <w:p w14:paraId="7DE36AC8" w14:textId="6777B2A8" w:rsidR="00B6672E" w:rsidRDefault="002C50EE" w:rsidP="00936AD0">
      <w:pPr>
        <w:pStyle w:val="Heading2"/>
      </w:pPr>
      <w:r>
        <w:t>5.1. Фармакодинамични свойства</w:t>
      </w:r>
    </w:p>
    <w:p w14:paraId="760DB9B5" w14:textId="079A5D6D" w:rsidR="00F80502" w:rsidRDefault="00F80502" w:rsidP="00F80502"/>
    <w:p w14:paraId="52E06363"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Фармакотерапевтична група: липидопонижаващи средства,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АТС код: С10АА07.</w:t>
      </w:r>
    </w:p>
    <w:p w14:paraId="2441129D" w14:textId="77777777" w:rsidR="00F80502" w:rsidRPr="00F80502" w:rsidRDefault="00F80502" w:rsidP="00F80502">
      <w:pPr>
        <w:spacing w:line="240" w:lineRule="auto"/>
        <w:rPr>
          <w:rFonts w:eastAsia="Times New Roman" w:cs="Arial"/>
          <w:color w:val="000000"/>
          <w:u w:val="single"/>
          <w:lang w:eastAsia="bg-BG"/>
        </w:rPr>
      </w:pPr>
    </w:p>
    <w:p w14:paraId="0551A96E" w14:textId="2D2FF7C5"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Механизъм на действие</w:t>
      </w:r>
    </w:p>
    <w:p w14:paraId="28DD99FC"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Розувастатин е селективен и конкурентен инхибитор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скорост- ограничаващия ензим, който превръща 3-хидрокси-3-метил глутарил коензим А в мевалонат, прекурсор на холестерола. Основно въздействие розувастатин оказва върху черния дроб, органът в който се извършва намаляване нивото на холестерол.</w:t>
      </w:r>
    </w:p>
    <w:p w14:paraId="4C6E0BE7" w14:textId="77777777" w:rsidR="00F80502" w:rsidRPr="00F80502" w:rsidRDefault="00F80502" w:rsidP="00F80502">
      <w:pPr>
        <w:spacing w:line="240" w:lineRule="auto"/>
        <w:rPr>
          <w:rFonts w:eastAsia="Times New Roman" w:cs="Arial"/>
          <w:color w:val="000000"/>
          <w:lang w:eastAsia="bg-BG"/>
        </w:rPr>
      </w:pPr>
    </w:p>
    <w:p w14:paraId="586914CA" w14:textId="6F73E6E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Розувастатин увеличава броя на чернодробните </w:t>
      </w:r>
      <w:r w:rsidRPr="00F80502">
        <w:rPr>
          <w:rFonts w:eastAsia="Times New Roman" w:cs="Arial"/>
          <w:color w:val="000000"/>
          <w:lang w:val="en-US"/>
        </w:rPr>
        <w:t>LDL</w:t>
      </w:r>
      <w:r w:rsidRPr="00F80502">
        <w:rPr>
          <w:rFonts w:eastAsia="Times New Roman" w:cs="Arial"/>
          <w:color w:val="000000"/>
          <w:lang w:val="ru-RU"/>
        </w:rPr>
        <w:t xml:space="preserve"> </w:t>
      </w:r>
      <w:r w:rsidRPr="00F80502">
        <w:rPr>
          <w:rFonts w:eastAsia="Times New Roman" w:cs="Arial"/>
          <w:color w:val="000000"/>
          <w:lang w:eastAsia="bg-BG"/>
        </w:rPr>
        <w:t xml:space="preserve">рецептори върху клетъчната повърхност, като засилва поемането и катаболизма на </w:t>
      </w:r>
      <w:r w:rsidRPr="00F80502">
        <w:rPr>
          <w:rFonts w:eastAsia="Times New Roman" w:cs="Arial"/>
          <w:color w:val="000000"/>
          <w:lang w:val="en-US"/>
        </w:rPr>
        <w:t>LDL</w:t>
      </w:r>
      <w:r w:rsidRPr="00F80502">
        <w:rPr>
          <w:rFonts w:eastAsia="Times New Roman" w:cs="Arial"/>
          <w:color w:val="000000"/>
          <w:lang w:val="ru-RU"/>
        </w:rPr>
        <w:t xml:space="preserve"> </w:t>
      </w:r>
      <w:r w:rsidRPr="00F80502">
        <w:rPr>
          <w:rFonts w:eastAsia="Times New Roman" w:cs="Arial"/>
          <w:color w:val="000000"/>
          <w:lang w:eastAsia="bg-BG"/>
        </w:rPr>
        <w:t xml:space="preserve">и инхибира чернодробната синтеза на </w:t>
      </w:r>
      <w:r w:rsidRPr="00F80502">
        <w:rPr>
          <w:rFonts w:eastAsia="Times New Roman" w:cs="Arial"/>
          <w:color w:val="000000"/>
          <w:lang w:val="en-US"/>
        </w:rPr>
        <w:t>VLDL</w:t>
      </w:r>
      <w:r w:rsidRPr="00F80502">
        <w:rPr>
          <w:rFonts w:eastAsia="Times New Roman" w:cs="Arial"/>
          <w:color w:val="000000"/>
          <w:lang w:val="ru-RU"/>
        </w:rPr>
        <w:t xml:space="preserve">, </w:t>
      </w:r>
      <w:r w:rsidRPr="00F80502">
        <w:rPr>
          <w:rFonts w:eastAsia="Times New Roman" w:cs="Arial"/>
          <w:color w:val="000000"/>
          <w:lang w:eastAsia="bg-BG"/>
        </w:rPr>
        <w:t xml:space="preserve">като по този начин намалява общия брой на </w:t>
      </w:r>
      <w:r w:rsidRPr="00F80502">
        <w:rPr>
          <w:rFonts w:eastAsia="Times New Roman" w:cs="Arial"/>
          <w:color w:val="000000"/>
          <w:lang w:val="en-US"/>
        </w:rPr>
        <w:t>VLDL</w:t>
      </w:r>
      <w:r w:rsidRPr="00F80502">
        <w:rPr>
          <w:rFonts w:eastAsia="Times New Roman" w:cs="Arial"/>
          <w:color w:val="000000"/>
          <w:lang w:val="ru-RU"/>
        </w:rPr>
        <w:t xml:space="preserve"> </w:t>
      </w:r>
      <w:r w:rsidRPr="00F80502">
        <w:rPr>
          <w:rFonts w:eastAsia="Times New Roman" w:cs="Arial"/>
          <w:color w:val="000000"/>
          <w:lang w:eastAsia="bg-BG"/>
        </w:rPr>
        <w:t xml:space="preserve">и </w:t>
      </w:r>
      <w:r w:rsidRPr="00F80502">
        <w:rPr>
          <w:rFonts w:eastAsia="Times New Roman" w:cs="Arial"/>
          <w:color w:val="000000"/>
          <w:lang w:val="en-US"/>
        </w:rPr>
        <w:t>LDL</w:t>
      </w:r>
      <w:r w:rsidRPr="00F80502">
        <w:rPr>
          <w:rFonts w:eastAsia="Times New Roman" w:cs="Arial"/>
          <w:color w:val="000000"/>
          <w:lang w:val="ru-RU"/>
        </w:rPr>
        <w:t xml:space="preserve"> </w:t>
      </w:r>
      <w:r w:rsidRPr="00F80502">
        <w:rPr>
          <w:rFonts w:eastAsia="Times New Roman" w:cs="Arial"/>
          <w:color w:val="000000"/>
          <w:lang w:eastAsia="bg-BG"/>
        </w:rPr>
        <w:t>частици.</w:t>
      </w:r>
    </w:p>
    <w:p w14:paraId="7AC61719" w14:textId="77777777" w:rsidR="00F80502" w:rsidRPr="00F80502" w:rsidRDefault="00F80502" w:rsidP="00F80502">
      <w:pPr>
        <w:spacing w:line="240" w:lineRule="auto"/>
        <w:rPr>
          <w:rFonts w:eastAsia="Times New Roman" w:cs="Arial"/>
          <w:color w:val="000000"/>
          <w:u w:val="single"/>
          <w:lang w:eastAsia="bg-BG"/>
        </w:rPr>
      </w:pPr>
    </w:p>
    <w:p w14:paraId="524F64B8" w14:textId="34CB6A9F"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Фармакодинамични ефекти</w:t>
      </w:r>
    </w:p>
    <w:p w14:paraId="4AD7D0CB"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Розувастатин намалява повишения </w:t>
      </w:r>
      <w:r w:rsidRPr="00F80502">
        <w:rPr>
          <w:rFonts w:eastAsia="Times New Roman" w:cs="Arial"/>
          <w:color w:val="000000"/>
          <w:lang w:val="en-US"/>
        </w:rPr>
        <w:t>LDL</w:t>
      </w:r>
      <w:r w:rsidRPr="00F80502">
        <w:rPr>
          <w:rFonts w:eastAsia="Times New Roman" w:cs="Arial"/>
          <w:color w:val="000000"/>
          <w:lang w:eastAsia="bg-BG"/>
        </w:rPr>
        <w:t xml:space="preserve">-холестерол, общия холестерол и триглицерилите и повишава </w:t>
      </w:r>
      <w:r w:rsidRPr="00F80502">
        <w:rPr>
          <w:rFonts w:eastAsia="Times New Roman" w:cs="Arial"/>
          <w:color w:val="000000"/>
          <w:lang w:val="en-US"/>
        </w:rPr>
        <w:t>HDL</w:t>
      </w:r>
      <w:r w:rsidRPr="00F80502">
        <w:rPr>
          <w:rFonts w:eastAsia="Times New Roman" w:cs="Arial"/>
          <w:color w:val="000000"/>
          <w:lang w:eastAsia="bg-BG"/>
        </w:rPr>
        <w:t>-холестерола. Той също понижава АроВ, не</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val="en-US"/>
        </w:rPr>
        <w:t>VLDL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val="en-US"/>
        </w:rPr>
        <w:t>VLDL</w:t>
      </w:r>
      <w:r w:rsidRPr="00F80502">
        <w:rPr>
          <w:rFonts w:eastAsia="Times New Roman" w:cs="Arial"/>
          <w:color w:val="000000"/>
          <w:lang w:val="ru-RU"/>
        </w:rPr>
        <w:t>-</w:t>
      </w:r>
      <w:r w:rsidRPr="00F80502">
        <w:rPr>
          <w:rFonts w:eastAsia="Times New Roman" w:cs="Arial"/>
          <w:color w:val="000000"/>
          <w:lang w:val="en-US"/>
        </w:rPr>
        <w:t>TG</w:t>
      </w:r>
      <w:r w:rsidRPr="00F80502">
        <w:rPr>
          <w:rFonts w:eastAsia="Times New Roman" w:cs="Arial"/>
          <w:color w:val="000000"/>
          <w:lang w:val="ru-RU"/>
        </w:rPr>
        <w:t xml:space="preserve"> </w:t>
      </w:r>
      <w:r w:rsidRPr="00F80502">
        <w:rPr>
          <w:rFonts w:eastAsia="Times New Roman" w:cs="Arial"/>
          <w:color w:val="000000"/>
          <w:lang w:eastAsia="bg-BG"/>
        </w:rPr>
        <w:t>и увеличава АроА</w:t>
      </w:r>
      <w:r w:rsidRPr="00F80502">
        <w:rPr>
          <w:rFonts w:eastAsia="Times New Roman" w:cs="Arial"/>
          <w:color w:val="000000"/>
          <w:lang w:val="ru-RU"/>
        </w:rPr>
        <w:t>-</w:t>
      </w:r>
      <w:r w:rsidRPr="00F80502">
        <w:rPr>
          <w:rFonts w:eastAsia="Times New Roman" w:cs="Arial"/>
          <w:color w:val="000000"/>
          <w:lang w:val="en-US"/>
        </w:rPr>
        <w:t>I</w:t>
      </w:r>
      <w:r w:rsidRPr="00F80502">
        <w:rPr>
          <w:rFonts w:eastAsia="Times New Roman" w:cs="Arial"/>
          <w:color w:val="000000"/>
          <w:lang w:val="ru-RU"/>
        </w:rPr>
        <w:t xml:space="preserve"> </w:t>
      </w:r>
      <w:r w:rsidRPr="00F80502">
        <w:rPr>
          <w:rFonts w:eastAsia="Times New Roman" w:cs="Arial"/>
          <w:color w:val="000000"/>
          <w:lang w:eastAsia="bg-BG"/>
        </w:rPr>
        <w:t xml:space="preserve">(вж. Таблица 3). Розувастатин понижава и съотношенията </w:t>
      </w:r>
      <w:r w:rsidRPr="00F80502">
        <w:rPr>
          <w:rFonts w:eastAsia="Times New Roman" w:cs="Arial"/>
          <w:color w:val="000000"/>
          <w:lang w:val="en-US"/>
        </w:rPr>
        <w:t>LDL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 xml:space="preserve">общ </w:t>
      </w:r>
      <w:r w:rsidRPr="00F80502">
        <w:rPr>
          <w:rFonts w:eastAsia="Times New Roman" w:cs="Arial"/>
          <w:color w:val="000000"/>
          <w:lang w:val="en-US"/>
        </w:rPr>
        <w:t>C</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не</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и АроВ/АроА-1.</w:t>
      </w:r>
    </w:p>
    <w:p w14:paraId="36895C9E" w14:textId="77777777" w:rsidR="00F80502" w:rsidRPr="00F80502" w:rsidRDefault="00F80502" w:rsidP="00F80502">
      <w:pPr>
        <w:spacing w:line="240" w:lineRule="auto"/>
        <w:rPr>
          <w:rFonts w:eastAsia="Times New Roman" w:cs="Arial"/>
          <w:b/>
          <w:bCs/>
          <w:color w:val="000000"/>
          <w:lang w:eastAsia="bg-BG"/>
        </w:rPr>
      </w:pPr>
    </w:p>
    <w:p w14:paraId="5471CF71" w14:textId="408E4105" w:rsidR="00F80502" w:rsidRPr="00F80502" w:rsidRDefault="00F80502" w:rsidP="00F80502">
      <w:pPr>
        <w:spacing w:line="240" w:lineRule="auto"/>
        <w:rPr>
          <w:rFonts w:eastAsia="Times New Roman" w:cs="Arial"/>
          <w:sz w:val="24"/>
          <w:szCs w:val="24"/>
        </w:rPr>
      </w:pPr>
      <w:r w:rsidRPr="00F80502">
        <w:rPr>
          <w:rFonts w:eastAsia="Times New Roman" w:cs="Arial"/>
          <w:b/>
          <w:bCs/>
          <w:color w:val="000000"/>
          <w:lang w:eastAsia="bg-BG"/>
        </w:rPr>
        <w:t>Таблица 3 - Отговор на дозата при пациенти с първична х</w:t>
      </w:r>
      <w:r>
        <w:rPr>
          <w:rFonts w:eastAsia="Times New Roman" w:cs="Arial"/>
          <w:b/>
          <w:bCs/>
          <w:color w:val="000000"/>
          <w:lang w:eastAsia="bg-BG"/>
        </w:rPr>
        <w:t>иперхолестеролемия (тип IIa и II</w:t>
      </w:r>
      <w:r>
        <w:rPr>
          <w:rFonts w:eastAsia="Times New Roman" w:cs="Arial"/>
          <w:b/>
          <w:bCs/>
          <w:color w:val="000000"/>
          <w:lang w:val="en-US" w:eastAsia="bg-BG"/>
        </w:rPr>
        <w:t>b</w:t>
      </w:r>
      <w:r w:rsidRPr="00F80502">
        <w:rPr>
          <w:rFonts w:eastAsia="Times New Roman" w:cs="Arial"/>
          <w:b/>
          <w:bCs/>
          <w:color w:val="000000"/>
          <w:lang w:eastAsia="bg-BG"/>
        </w:rPr>
        <w:t>) (коригиран среден процент на промяна от изходното ниво)</w:t>
      </w:r>
    </w:p>
    <w:p w14:paraId="47FEDE10" w14:textId="2C613B3A" w:rsidR="00F80502" w:rsidRDefault="00F80502" w:rsidP="00F80502"/>
    <w:tbl>
      <w:tblPr>
        <w:tblStyle w:val="TableGrid"/>
        <w:tblW w:w="0" w:type="auto"/>
        <w:tblLook w:val="04A0" w:firstRow="1" w:lastRow="0" w:firstColumn="1" w:lastColumn="0" w:noHBand="0" w:noVBand="1"/>
      </w:tblPr>
      <w:tblGrid>
        <w:gridCol w:w="1123"/>
        <w:gridCol w:w="1004"/>
        <w:gridCol w:w="1030"/>
        <w:gridCol w:w="1036"/>
        <w:gridCol w:w="1032"/>
        <w:gridCol w:w="1010"/>
        <w:gridCol w:w="1032"/>
        <w:gridCol w:w="1038"/>
        <w:gridCol w:w="1045"/>
      </w:tblGrid>
      <w:tr w:rsidR="00F80502" w14:paraId="383F70C9" w14:textId="77777777" w:rsidTr="00F80502">
        <w:tc>
          <w:tcPr>
            <w:tcW w:w="1064" w:type="dxa"/>
          </w:tcPr>
          <w:p w14:paraId="469A2081" w14:textId="63C48347" w:rsidR="00F80502" w:rsidRPr="00F80502" w:rsidRDefault="00F80502" w:rsidP="00F80502">
            <w:pPr>
              <w:rPr>
                <w:rFonts w:cs="Arial"/>
              </w:rPr>
            </w:pPr>
            <w:r w:rsidRPr="00F80502">
              <w:rPr>
                <w:rFonts w:cs="Arial"/>
                <w:b/>
                <w:bCs/>
              </w:rPr>
              <w:t>Доза</w:t>
            </w:r>
          </w:p>
        </w:tc>
        <w:tc>
          <w:tcPr>
            <w:tcW w:w="1064" w:type="dxa"/>
          </w:tcPr>
          <w:p w14:paraId="21DDBDEC" w14:textId="04ED3096" w:rsidR="00F80502" w:rsidRPr="00F80502" w:rsidRDefault="00F80502" w:rsidP="00F80502">
            <w:pPr>
              <w:rPr>
                <w:rFonts w:cs="Arial"/>
              </w:rPr>
            </w:pPr>
            <w:r w:rsidRPr="00F80502">
              <w:rPr>
                <w:rFonts w:cs="Arial"/>
                <w:b/>
                <w:bCs/>
                <w:lang w:val="en-US"/>
              </w:rPr>
              <w:t>N</w:t>
            </w:r>
          </w:p>
        </w:tc>
        <w:tc>
          <w:tcPr>
            <w:tcW w:w="1064" w:type="dxa"/>
          </w:tcPr>
          <w:p w14:paraId="52CBBE08" w14:textId="1A6D8C4A" w:rsidR="00F80502" w:rsidRPr="00F80502" w:rsidRDefault="00F80502" w:rsidP="00F80502">
            <w:pPr>
              <w:rPr>
                <w:rFonts w:cs="Arial"/>
              </w:rPr>
            </w:pPr>
            <w:r w:rsidRPr="00F80502">
              <w:rPr>
                <w:rFonts w:cs="Arial"/>
                <w:b/>
                <w:bCs/>
                <w:lang w:val="en-US"/>
              </w:rPr>
              <w:t>LDL-C</w:t>
            </w:r>
          </w:p>
        </w:tc>
        <w:tc>
          <w:tcPr>
            <w:tcW w:w="1064" w:type="dxa"/>
          </w:tcPr>
          <w:p w14:paraId="6D4614B1" w14:textId="77ABA349" w:rsidR="00F80502" w:rsidRPr="00F80502" w:rsidRDefault="00F80502" w:rsidP="00F80502">
            <w:pPr>
              <w:rPr>
                <w:rFonts w:cs="Arial"/>
              </w:rPr>
            </w:pPr>
            <w:r w:rsidRPr="00F80502">
              <w:rPr>
                <w:rFonts w:cs="Arial"/>
                <w:b/>
                <w:bCs/>
              </w:rPr>
              <w:t>Общ-С</w:t>
            </w:r>
          </w:p>
        </w:tc>
        <w:tc>
          <w:tcPr>
            <w:tcW w:w="1064" w:type="dxa"/>
          </w:tcPr>
          <w:p w14:paraId="3494B7B2" w14:textId="0EA40E66" w:rsidR="00F80502" w:rsidRPr="00F80502" w:rsidRDefault="00F80502" w:rsidP="00F80502">
            <w:pPr>
              <w:rPr>
                <w:rFonts w:cs="Arial"/>
              </w:rPr>
            </w:pPr>
            <w:r w:rsidRPr="00F80502">
              <w:rPr>
                <w:rFonts w:cs="Arial"/>
                <w:b/>
                <w:bCs/>
                <w:lang w:val="en-US"/>
              </w:rPr>
              <w:t>HDL-C</w:t>
            </w:r>
          </w:p>
        </w:tc>
        <w:tc>
          <w:tcPr>
            <w:tcW w:w="1064" w:type="dxa"/>
          </w:tcPr>
          <w:p w14:paraId="485808FF" w14:textId="46C921AA" w:rsidR="00F80502" w:rsidRPr="00F80502" w:rsidRDefault="00F80502" w:rsidP="00F80502">
            <w:pPr>
              <w:rPr>
                <w:rFonts w:cs="Arial"/>
              </w:rPr>
            </w:pPr>
            <w:r w:rsidRPr="00F80502">
              <w:rPr>
                <w:rFonts w:cs="Arial"/>
                <w:b/>
                <w:bCs/>
                <w:lang w:val="en-US"/>
              </w:rPr>
              <w:t>TG</w:t>
            </w:r>
          </w:p>
        </w:tc>
        <w:tc>
          <w:tcPr>
            <w:tcW w:w="1064" w:type="dxa"/>
          </w:tcPr>
          <w:p w14:paraId="745DF69A" w14:textId="2D1D62F5" w:rsidR="00F80502" w:rsidRPr="00F80502" w:rsidRDefault="00F80502" w:rsidP="00F80502">
            <w:pPr>
              <w:rPr>
                <w:rFonts w:cs="Arial"/>
              </w:rPr>
            </w:pPr>
            <w:r w:rsidRPr="00F80502">
              <w:rPr>
                <w:rFonts w:cs="Arial"/>
                <w:b/>
                <w:bCs/>
              </w:rPr>
              <w:t>не</w:t>
            </w:r>
            <w:r w:rsidRPr="00F80502">
              <w:rPr>
                <w:rFonts w:cs="Arial"/>
                <w:b/>
                <w:bCs/>
                <w:lang w:val="en-US"/>
              </w:rPr>
              <w:t>-HDL-C</w:t>
            </w:r>
          </w:p>
        </w:tc>
        <w:tc>
          <w:tcPr>
            <w:tcW w:w="1064" w:type="dxa"/>
          </w:tcPr>
          <w:p w14:paraId="53CA5539" w14:textId="5B6A0F91" w:rsidR="00F80502" w:rsidRPr="00F80502" w:rsidRDefault="00F80502" w:rsidP="00F80502">
            <w:pPr>
              <w:rPr>
                <w:rFonts w:cs="Arial"/>
              </w:rPr>
            </w:pPr>
            <w:r w:rsidRPr="00F80502">
              <w:rPr>
                <w:rFonts w:cs="Arial"/>
                <w:b/>
                <w:bCs/>
              </w:rPr>
              <w:t>АроВ</w:t>
            </w:r>
          </w:p>
        </w:tc>
        <w:tc>
          <w:tcPr>
            <w:tcW w:w="1064" w:type="dxa"/>
          </w:tcPr>
          <w:p w14:paraId="14345F79" w14:textId="0EE42138" w:rsidR="00F80502" w:rsidRPr="00F80502" w:rsidRDefault="00F80502" w:rsidP="00F80502">
            <w:pPr>
              <w:rPr>
                <w:rFonts w:cs="Arial"/>
              </w:rPr>
            </w:pPr>
            <w:r w:rsidRPr="00F80502">
              <w:rPr>
                <w:rFonts w:cs="Arial"/>
                <w:b/>
                <w:bCs/>
              </w:rPr>
              <w:t>АроА-</w:t>
            </w:r>
            <w:r w:rsidRPr="00F80502">
              <w:rPr>
                <w:rFonts w:cs="Arial"/>
                <w:b/>
                <w:bCs/>
                <w:lang w:val="en-US"/>
              </w:rPr>
              <w:t>I</w:t>
            </w:r>
          </w:p>
        </w:tc>
      </w:tr>
      <w:tr w:rsidR="00F80502" w14:paraId="44C74648" w14:textId="77777777" w:rsidTr="00F80502">
        <w:tc>
          <w:tcPr>
            <w:tcW w:w="1064" w:type="dxa"/>
          </w:tcPr>
          <w:p w14:paraId="74D6A1F6" w14:textId="60DB1844" w:rsidR="00F80502" w:rsidRPr="00F80502" w:rsidRDefault="00F80502" w:rsidP="00F80502">
            <w:pPr>
              <w:rPr>
                <w:rFonts w:cs="Arial"/>
              </w:rPr>
            </w:pPr>
            <w:r w:rsidRPr="00F80502">
              <w:rPr>
                <w:rFonts w:cs="Arial"/>
              </w:rPr>
              <w:t>Плацебо</w:t>
            </w:r>
          </w:p>
        </w:tc>
        <w:tc>
          <w:tcPr>
            <w:tcW w:w="1064" w:type="dxa"/>
          </w:tcPr>
          <w:p w14:paraId="69105D7D" w14:textId="503EC803" w:rsidR="00F80502" w:rsidRPr="00F80502" w:rsidRDefault="00F80502" w:rsidP="00F80502">
            <w:pPr>
              <w:rPr>
                <w:rFonts w:cs="Arial"/>
              </w:rPr>
            </w:pPr>
            <w:r w:rsidRPr="00F80502">
              <w:rPr>
                <w:rFonts w:cs="Arial"/>
              </w:rPr>
              <w:t>13</w:t>
            </w:r>
          </w:p>
        </w:tc>
        <w:tc>
          <w:tcPr>
            <w:tcW w:w="1064" w:type="dxa"/>
          </w:tcPr>
          <w:p w14:paraId="33DF7FD1" w14:textId="138BF6BB" w:rsidR="00F80502" w:rsidRPr="00F80502" w:rsidRDefault="00F80502" w:rsidP="00F80502">
            <w:pPr>
              <w:rPr>
                <w:rFonts w:cs="Arial"/>
              </w:rPr>
            </w:pPr>
            <w:r w:rsidRPr="00F80502">
              <w:rPr>
                <w:rFonts w:cs="Arial"/>
              </w:rPr>
              <w:t>-7</w:t>
            </w:r>
          </w:p>
        </w:tc>
        <w:tc>
          <w:tcPr>
            <w:tcW w:w="1064" w:type="dxa"/>
          </w:tcPr>
          <w:p w14:paraId="203754FC" w14:textId="7B851D07" w:rsidR="00F80502" w:rsidRPr="00F80502" w:rsidRDefault="00F80502" w:rsidP="00F80502">
            <w:pPr>
              <w:rPr>
                <w:rFonts w:cs="Arial"/>
              </w:rPr>
            </w:pPr>
            <w:r w:rsidRPr="00F80502">
              <w:rPr>
                <w:rFonts w:cs="Arial"/>
              </w:rPr>
              <w:t>-5</w:t>
            </w:r>
          </w:p>
        </w:tc>
        <w:tc>
          <w:tcPr>
            <w:tcW w:w="1064" w:type="dxa"/>
          </w:tcPr>
          <w:p w14:paraId="05C41C25" w14:textId="3CB77F1E" w:rsidR="00F80502" w:rsidRPr="00F80502" w:rsidRDefault="00F80502" w:rsidP="00F80502">
            <w:pPr>
              <w:rPr>
                <w:rFonts w:cs="Arial"/>
              </w:rPr>
            </w:pPr>
            <w:r w:rsidRPr="00F80502">
              <w:rPr>
                <w:rFonts w:cs="Arial"/>
              </w:rPr>
              <w:t>3</w:t>
            </w:r>
          </w:p>
        </w:tc>
        <w:tc>
          <w:tcPr>
            <w:tcW w:w="1064" w:type="dxa"/>
          </w:tcPr>
          <w:p w14:paraId="4F786DB0" w14:textId="66947930" w:rsidR="00F80502" w:rsidRPr="00F80502" w:rsidRDefault="00F80502" w:rsidP="00F80502">
            <w:pPr>
              <w:rPr>
                <w:rFonts w:cs="Arial"/>
              </w:rPr>
            </w:pPr>
            <w:r w:rsidRPr="00F80502">
              <w:rPr>
                <w:rFonts w:cs="Arial"/>
              </w:rPr>
              <w:t>-3</w:t>
            </w:r>
          </w:p>
        </w:tc>
        <w:tc>
          <w:tcPr>
            <w:tcW w:w="1064" w:type="dxa"/>
          </w:tcPr>
          <w:p w14:paraId="5A14E642" w14:textId="68FA17BA" w:rsidR="00F80502" w:rsidRPr="00F80502" w:rsidRDefault="00F80502" w:rsidP="00F80502">
            <w:pPr>
              <w:rPr>
                <w:rFonts w:cs="Arial"/>
              </w:rPr>
            </w:pPr>
            <w:r w:rsidRPr="00F80502">
              <w:rPr>
                <w:rFonts w:cs="Arial"/>
              </w:rPr>
              <w:t>-7</w:t>
            </w:r>
          </w:p>
        </w:tc>
        <w:tc>
          <w:tcPr>
            <w:tcW w:w="1064" w:type="dxa"/>
          </w:tcPr>
          <w:p w14:paraId="6ED24C56" w14:textId="5D6D2CFC" w:rsidR="00F80502" w:rsidRPr="00F80502" w:rsidRDefault="00F80502" w:rsidP="00F80502">
            <w:pPr>
              <w:rPr>
                <w:rFonts w:cs="Arial"/>
              </w:rPr>
            </w:pPr>
            <w:r w:rsidRPr="00F80502">
              <w:rPr>
                <w:rFonts w:cs="Arial"/>
              </w:rPr>
              <w:t>-3</w:t>
            </w:r>
          </w:p>
        </w:tc>
        <w:tc>
          <w:tcPr>
            <w:tcW w:w="1064" w:type="dxa"/>
          </w:tcPr>
          <w:p w14:paraId="14C781B2" w14:textId="4063A766" w:rsidR="00F80502" w:rsidRPr="00F80502" w:rsidRDefault="00F80502" w:rsidP="00F80502">
            <w:pPr>
              <w:rPr>
                <w:rFonts w:cs="Arial"/>
              </w:rPr>
            </w:pPr>
            <w:r w:rsidRPr="00F80502">
              <w:rPr>
                <w:rFonts w:cs="Arial"/>
              </w:rPr>
              <w:t>0</w:t>
            </w:r>
          </w:p>
        </w:tc>
      </w:tr>
      <w:tr w:rsidR="00F80502" w14:paraId="31A33842" w14:textId="77777777" w:rsidTr="00F80502">
        <w:tc>
          <w:tcPr>
            <w:tcW w:w="1064" w:type="dxa"/>
          </w:tcPr>
          <w:p w14:paraId="2BE00FF9" w14:textId="4A19C474" w:rsidR="00F80502" w:rsidRPr="00F80502" w:rsidRDefault="00F80502" w:rsidP="00F80502">
            <w:pPr>
              <w:rPr>
                <w:rFonts w:cs="Arial"/>
              </w:rPr>
            </w:pPr>
            <w:r w:rsidRPr="00F80502">
              <w:rPr>
                <w:rFonts w:cs="Arial"/>
              </w:rPr>
              <w:t>5</w:t>
            </w:r>
          </w:p>
        </w:tc>
        <w:tc>
          <w:tcPr>
            <w:tcW w:w="1064" w:type="dxa"/>
          </w:tcPr>
          <w:p w14:paraId="4DD198CD" w14:textId="59926C28" w:rsidR="00F80502" w:rsidRPr="00F80502" w:rsidRDefault="00F80502" w:rsidP="00F80502">
            <w:pPr>
              <w:rPr>
                <w:rFonts w:cs="Arial"/>
              </w:rPr>
            </w:pPr>
            <w:r w:rsidRPr="00F80502">
              <w:rPr>
                <w:rFonts w:cs="Arial"/>
              </w:rPr>
              <w:t>17</w:t>
            </w:r>
          </w:p>
        </w:tc>
        <w:tc>
          <w:tcPr>
            <w:tcW w:w="1064" w:type="dxa"/>
          </w:tcPr>
          <w:p w14:paraId="7CDFC60A" w14:textId="614C2873" w:rsidR="00F80502" w:rsidRPr="00F80502" w:rsidRDefault="00F80502" w:rsidP="00F80502">
            <w:pPr>
              <w:rPr>
                <w:rFonts w:cs="Arial"/>
              </w:rPr>
            </w:pPr>
            <w:r w:rsidRPr="00F80502">
              <w:rPr>
                <w:rFonts w:cs="Arial"/>
              </w:rPr>
              <w:t>-45</w:t>
            </w:r>
          </w:p>
        </w:tc>
        <w:tc>
          <w:tcPr>
            <w:tcW w:w="1064" w:type="dxa"/>
          </w:tcPr>
          <w:p w14:paraId="2FBD581B" w14:textId="41B8AF86" w:rsidR="00F80502" w:rsidRPr="00F80502" w:rsidRDefault="00F80502" w:rsidP="00F80502">
            <w:pPr>
              <w:rPr>
                <w:rFonts w:cs="Arial"/>
              </w:rPr>
            </w:pPr>
            <w:r w:rsidRPr="00F80502">
              <w:rPr>
                <w:rFonts w:cs="Arial"/>
              </w:rPr>
              <w:t>-33</w:t>
            </w:r>
          </w:p>
        </w:tc>
        <w:tc>
          <w:tcPr>
            <w:tcW w:w="1064" w:type="dxa"/>
          </w:tcPr>
          <w:p w14:paraId="0DE9E1FF" w14:textId="65328929" w:rsidR="00F80502" w:rsidRPr="00F80502" w:rsidRDefault="00F80502" w:rsidP="00F80502">
            <w:pPr>
              <w:rPr>
                <w:rFonts w:cs="Arial"/>
              </w:rPr>
            </w:pPr>
            <w:r w:rsidRPr="00F80502">
              <w:rPr>
                <w:rFonts w:cs="Arial"/>
              </w:rPr>
              <w:t>13</w:t>
            </w:r>
          </w:p>
        </w:tc>
        <w:tc>
          <w:tcPr>
            <w:tcW w:w="1064" w:type="dxa"/>
          </w:tcPr>
          <w:p w14:paraId="608FB379" w14:textId="5EC4CFCC" w:rsidR="00F80502" w:rsidRPr="00F80502" w:rsidRDefault="00F80502" w:rsidP="00F80502">
            <w:pPr>
              <w:rPr>
                <w:rFonts w:cs="Arial"/>
              </w:rPr>
            </w:pPr>
            <w:r w:rsidRPr="00F80502">
              <w:rPr>
                <w:rFonts w:cs="Arial"/>
              </w:rPr>
              <w:t>-35</w:t>
            </w:r>
          </w:p>
        </w:tc>
        <w:tc>
          <w:tcPr>
            <w:tcW w:w="1064" w:type="dxa"/>
          </w:tcPr>
          <w:p w14:paraId="03E51FDF" w14:textId="3F64A026" w:rsidR="00F80502" w:rsidRPr="00F80502" w:rsidRDefault="00F80502" w:rsidP="00F80502">
            <w:pPr>
              <w:rPr>
                <w:rFonts w:cs="Arial"/>
              </w:rPr>
            </w:pPr>
            <w:r w:rsidRPr="00F80502">
              <w:rPr>
                <w:rFonts w:cs="Arial"/>
              </w:rPr>
              <w:t>-44</w:t>
            </w:r>
          </w:p>
        </w:tc>
        <w:tc>
          <w:tcPr>
            <w:tcW w:w="1064" w:type="dxa"/>
          </w:tcPr>
          <w:p w14:paraId="08046B9B" w14:textId="12609FE2" w:rsidR="00F80502" w:rsidRPr="00F80502" w:rsidRDefault="00F80502" w:rsidP="00F80502">
            <w:pPr>
              <w:rPr>
                <w:rFonts w:cs="Arial"/>
              </w:rPr>
            </w:pPr>
            <w:r w:rsidRPr="00F80502">
              <w:rPr>
                <w:rFonts w:cs="Arial"/>
              </w:rPr>
              <w:t>-38</w:t>
            </w:r>
          </w:p>
        </w:tc>
        <w:tc>
          <w:tcPr>
            <w:tcW w:w="1064" w:type="dxa"/>
          </w:tcPr>
          <w:p w14:paraId="2CA0D8A0" w14:textId="1FE25EEB" w:rsidR="00F80502" w:rsidRPr="00F80502" w:rsidRDefault="00F80502" w:rsidP="00F80502">
            <w:pPr>
              <w:rPr>
                <w:rFonts w:cs="Arial"/>
              </w:rPr>
            </w:pPr>
            <w:r w:rsidRPr="00F80502">
              <w:rPr>
                <w:rFonts w:cs="Arial"/>
              </w:rPr>
              <w:t>4</w:t>
            </w:r>
          </w:p>
        </w:tc>
      </w:tr>
      <w:tr w:rsidR="00F80502" w14:paraId="1FA07788" w14:textId="77777777" w:rsidTr="00F80502">
        <w:tc>
          <w:tcPr>
            <w:tcW w:w="1064" w:type="dxa"/>
          </w:tcPr>
          <w:p w14:paraId="5DB2166A" w14:textId="4A603197" w:rsidR="00F80502" w:rsidRPr="00F80502" w:rsidRDefault="00F80502" w:rsidP="00F80502">
            <w:pPr>
              <w:rPr>
                <w:rFonts w:cs="Arial"/>
              </w:rPr>
            </w:pPr>
            <w:r w:rsidRPr="00F80502">
              <w:rPr>
                <w:rFonts w:cs="Arial"/>
              </w:rPr>
              <w:t>10</w:t>
            </w:r>
          </w:p>
        </w:tc>
        <w:tc>
          <w:tcPr>
            <w:tcW w:w="1064" w:type="dxa"/>
          </w:tcPr>
          <w:p w14:paraId="1412C391" w14:textId="675B4DFD" w:rsidR="00F80502" w:rsidRPr="00F80502" w:rsidRDefault="00F80502" w:rsidP="00F80502">
            <w:pPr>
              <w:rPr>
                <w:rFonts w:cs="Arial"/>
              </w:rPr>
            </w:pPr>
            <w:r w:rsidRPr="00F80502">
              <w:rPr>
                <w:rFonts w:cs="Arial"/>
              </w:rPr>
              <w:t>17</w:t>
            </w:r>
          </w:p>
        </w:tc>
        <w:tc>
          <w:tcPr>
            <w:tcW w:w="1064" w:type="dxa"/>
          </w:tcPr>
          <w:p w14:paraId="2EE54A19" w14:textId="34CBBE79" w:rsidR="00F80502" w:rsidRPr="00F80502" w:rsidRDefault="00F80502" w:rsidP="00F80502">
            <w:pPr>
              <w:rPr>
                <w:rFonts w:cs="Arial"/>
              </w:rPr>
            </w:pPr>
            <w:r w:rsidRPr="00F80502">
              <w:rPr>
                <w:rFonts w:cs="Arial"/>
              </w:rPr>
              <w:t>-52</w:t>
            </w:r>
          </w:p>
        </w:tc>
        <w:tc>
          <w:tcPr>
            <w:tcW w:w="1064" w:type="dxa"/>
          </w:tcPr>
          <w:p w14:paraId="2D58724E" w14:textId="07570073" w:rsidR="00F80502" w:rsidRPr="00F80502" w:rsidRDefault="00F80502" w:rsidP="00F80502">
            <w:pPr>
              <w:rPr>
                <w:rFonts w:cs="Arial"/>
              </w:rPr>
            </w:pPr>
            <w:r w:rsidRPr="00F80502">
              <w:rPr>
                <w:rFonts w:cs="Arial"/>
              </w:rPr>
              <w:t>-36</w:t>
            </w:r>
          </w:p>
        </w:tc>
        <w:tc>
          <w:tcPr>
            <w:tcW w:w="1064" w:type="dxa"/>
          </w:tcPr>
          <w:p w14:paraId="3525F048" w14:textId="2FB9031C" w:rsidR="00F80502" w:rsidRPr="00F80502" w:rsidRDefault="00F80502" w:rsidP="00F80502">
            <w:pPr>
              <w:rPr>
                <w:rFonts w:cs="Arial"/>
              </w:rPr>
            </w:pPr>
            <w:r w:rsidRPr="00F80502">
              <w:rPr>
                <w:rFonts w:cs="Arial"/>
              </w:rPr>
              <w:t>14</w:t>
            </w:r>
          </w:p>
        </w:tc>
        <w:tc>
          <w:tcPr>
            <w:tcW w:w="1064" w:type="dxa"/>
          </w:tcPr>
          <w:p w14:paraId="0B7FBABF" w14:textId="67B92003" w:rsidR="00F80502" w:rsidRPr="00F80502" w:rsidRDefault="00F80502" w:rsidP="00F80502">
            <w:pPr>
              <w:rPr>
                <w:rFonts w:cs="Arial"/>
              </w:rPr>
            </w:pPr>
            <w:r w:rsidRPr="00F80502">
              <w:rPr>
                <w:rFonts w:cs="Arial"/>
              </w:rPr>
              <w:t>-10</w:t>
            </w:r>
          </w:p>
        </w:tc>
        <w:tc>
          <w:tcPr>
            <w:tcW w:w="1064" w:type="dxa"/>
          </w:tcPr>
          <w:p w14:paraId="3E2BFAE4" w14:textId="440E00EF" w:rsidR="00F80502" w:rsidRPr="00F80502" w:rsidRDefault="00F80502" w:rsidP="00F80502">
            <w:pPr>
              <w:rPr>
                <w:rFonts w:cs="Arial"/>
              </w:rPr>
            </w:pPr>
            <w:r w:rsidRPr="00F80502">
              <w:rPr>
                <w:rFonts w:cs="Arial"/>
              </w:rPr>
              <w:t>-48</w:t>
            </w:r>
          </w:p>
        </w:tc>
        <w:tc>
          <w:tcPr>
            <w:tcW w:w="1064" w:type="dxa"/>
          </w:tcPr>
          <w:p w14:paraId="3844DDF0" w14:textId="6846B59A" w:rsidR="00F80502" w:rsidRPr="00F80502" w:rsidRDefault="00F80502" w:rsidP="00F80502">
            <w:pPr>
              <w:rPr>
                <w:rFonts w:cs="Arial"/>
              </w:rPr>
            </w:pPr>
            <w:r w:rsidRPr="00F80502">
              <w:rPr>
                <w:rFonts w:cs="Arial"/>
              </w:rPr>
              <w:t>-42</w:t>
            </w:r>
          </w:p>
        </w:tc>
        <w:tc>
          <w:tcPr>
            <w:tcW w:w="1064" w:type="dxa"/>
          </w:tcPr>
          <w:p w14:paraId="45030340" w14:textId="7BB1BA8B" w:rsidR="00F80502" w:rsidRPr="00F80502" w:rsidRDefault="00F80502" w:rsidP="00F80502">
            <w:pPr>
              <w:rPr>
                <w:rFonts w:cs="Arial"/>
              </w:rPr>
            </w:pPr>
            <w:r w:rsidRPr="00F80502">
              <w:rPr>
                <w:rFonts w:cs="Arial"/>
              </w:rPr>
              <w:t>4</w:t>
            </w:r>
          </w:p>
        </w:tc>
      </w:tr>
      <w:tr w:rsidR="00F80502" w14:paraId="1914BAF1" w14:textId="77777777" w:rsidTr="00F80502">
        <w:tc>
          <w:tcPr>
            <w:tcW w:w="1064" w:type="dxa"/>
          </w:tcPr>
          <w:p w14:paraId="6A16689B" w14:textId="6C4E7263" w:rsidR="00F80502" w:rsidRPr="00F80502" w:rsidRDefault="00F80502" w:rsidP="00F80502">
            <w:pPr>
              <w:rPr>
                <w:rFonts w:cs="Arial"/>
              </w:rPr>
            </w:pPr>
            <w:r w:rsidRPr="00F80502">
              <w:rPr>
                <w:rFonts w:cs="Arial"/>
              </w:rPr>
              <w:t>20</w:t>
            </w:r>
          </w:p>
        </w:tc>
        <w:tc>
          <w:tcPr>
            <w:tcW w:w="1064" w:type="dxa"/>
          </w:tcPr>
          <w:p w14:paraId="78B7F818" w14:textId="405B86ED" w:rsidR="00F80502" w:rsidRPr="00F80502" w:rsidRDefault="00F80502" w:rsidP="00F80502">
            <w:pPr>
              <w:rPr>
                <w:rFonts w:cs="Arial"/>
                <w:lang w:val="en-US"/>
              </w:rPr>
            </w:pPr>
            <w:r w:rsidRPr="00F80502">
              <w:rPr>
                <w:rFonts w:cs="Arial"/>
              </w:rPr>
              <w:t>17</w:t>
            </w:r>
            <w:r>
              <w:rPr>
                <w:rFonts w:cs="Arial"/>
                <w:lang w:val="en-US"/>
              </w:rPr>
              <w:t xml:space="preserve"> </w:t>
            </w:r>
          </w:p>
        </w:tc>
        <w:tc>
          <w:tcPr>
            <w:tcW w:w="1064" w:type="dxa"/>
          </w:tcPr>
          <w:p w14:paraId="44B59F3D" w14:textId="12ADBD4F" w:rsidR="00F80502" w:rsidRPr="00F80502" w:rsidRDefault="00F80502" w:rsidP="00F80502">
            <w:pPr>
              <w:rPr>
                <w:rFonts w:cs="Arial"/>
              </w:rPr>
            </w:pPr>
            <w:r w:rsidRPr="00F80502">
              <w:rPr>
                <w:rFonts w:cs="Arial"/>
              </w:rPr>
              <w:t>-55</w:t>
            </w:r>
          </w:p>
        </w:tc>
        <w:tc>
          <w:tcPr>
            <w:tcW w:w="1064" w:type="dxa"/>
          </w:tcPr>
          <w:p w14:paraId="06AABE02" w14:textId="2E443E7E" w:rsidR="00F80502" w:rsidRPr="00F80502" w:rsidRDefault="00F80502" w:rsidP="00F80502">
            <w:pPr>
              <w:rPr>
                <w:rFonts w:cs="Arial"/>
              </w:rPr>
            </w:pPr>
            <w:r w:rsidRPr="00F80502">
              <w:rPr>
                <w:rFonts w:cs="Arial"/>
              </w:rPr>
              <w:t>-40</w:t>
            </w:r>
          </w:p>
        </w:tc>
        <w:tc>
          <w:tcPr>
            <w:tcW w:w="1064" w:type="dxa"/>
          </w:tcPr>
          <w:p w14:paraId="5F47F3D8" w14:textId="0B1E237F" w:rsidR="00F80502" w:rsidRPr="00F80502" w:rsidRDefault="00F80502" w:rsidP="00F80502">
            <w:pPr>
              <w:rPr>
                <w:rFonts w:cs="Arial"/>
              </w:rPr>
            </w:pPr>
            <w:r w:rsidRPr="00F80502">
              <w:rPr>
                <w:rFonts w:cs="Arial"/>
              </w:rPr>
              <w:t>8</w:t>
            </w:r>
          </w:p>
        </w:tc>
        <w:tc>
          <w:tcPr>
            <w:tcW w:w="1064" w:type="dxa"/>
          </w:tcPr>
          <w:p w14:paraId="66628A3F" w14:textId="1E4469B3" w:rsidR="00F80502" w:rsidRPr="00F80502" w:rsidRDefault="00F80502" w:rsidP="00F80502">
            <w:pPr>
              <w:rPr>
                <w:rFonts w:cs="Arial"/>
              </w:rPr>
            </w:pPr>
            <w:r w:rsidRPr="00F80502">
              <w:rPr>
                <w:rFonts w:cs="Arial"/>
              </w:rPr>
              <w:t>-23</w:t>
            </w:r>
          </w:p>
        </w:tc>
        <w:tc>
          <w:tcPr>
            <w:tcW w:w="1064" w:type="dxa"/>
          </w:tcPr>
          <w:p w14:paraId="6D5E787D" w14:textId="4197B219" w:rsidR="00F80502" w:rsidRPr="00F80502" w:rsidRDefault="00F80502" w:rsidP="00F80502">
            <w:pPr>
              <w:rPr>
                <w:rFonts w:cs="Arial"/>
              </w:rPr>
            </w:pPr>
            <w:r w:rsidRPr="00F80502">
              <w:rPr>
                <w:rFonts w:cs="Arial"/>
              </w:rPr>
              <w:t>-51</w:t>
            </w:r>
          </w:p>
        </w:tc>
        <w:tc>
          <w:tcPr>
            <w:tcW w:w="1064" w:type="dxa"/>
          </w:tcPr>
          <w:p w14:paraId="5C4138F0" w14:textId="73983A27" w:rsidR="00F80502" w:rsidRPr="00F80502" w:rsidRDefault="00F80502" w:rsidP="00F80502">
            <w:pPr>
              <w:rPr>
                <w:rFonts w:cs="Arial"/>
              </w:rPr>
            </w:pPr>
            <w:r w:rsidRPr="00F80502">
              <w:rPr>
                <w:rFonts w:cs="Arial"/>
              </w:rPr>
              <w:t>-46</w:t>
            </w:r>
          </w:p>
        </w:tc>
        <w:tc>
          <w:tcPr>
            <w:tcW w:w="1064" w:type="dxa"/>
          </w:tcPr>
          <w:p w14:paraId="4D322DD2" w14:textId="31FBD88A" w:rsidR="00F80502" w:rsidRPr="00F80502" w:rsidRDefault="00F80502" w:rsidP="00F80502">
            <w:pPr>
              <w:rPr>
                <w:rFonts w:cs="Arial"/>
              </w:rPr>
            </w:pPr>
            <w:r w:rsidRPr="00F80502">
              <w:rPr>
                <w:rFonts w:cs="Arial"/>
              </w:rPr>
              <w:t>5</w:t>
            </w:r>
          </w:p>
        </w:tc>
      </w:tr>
      <w:tr w:rsidR="00F80502" w14:paraId="45CC9302" w14:textId="77777777" w:rsidTr="00F80502">
        <w:tc>
          <w:tcPr>
            <w:tcW w:w="1064" w:type="dxa"/>
          </w:tcPr>
          <w:p w14:paraId="4B54675F" w14:textId="25AEEF0A" w:rsidR="00F80502" w:rsidRPr="00F80502" w:rsidRDefault="00F80502" w:rsidP="00F80502">
            <w:pPr>
              <w:rPr>
                <w:rFonts w:cs="Arial"/>
              </w:rPr>
            </w:pPr>
            <w:r w:rsidRPr="00F80502">
              <w:rPr>
                <w:rFonts w:cs="Arial"/>
              </w:rPr>
              <w:t>40</w:t>
            </w:r>
          </w:p>
        </w:tc>
        <w:tc>
          <w:tcPr>
            <w:tcW w:w="1064" w:type="dxa"/>
          </w:tcPr>
          <w:p w14:paraId="000E8DB8" w14:textId="4315225B" w:rsidR="00F80502" w:rsidRPr="00F80502" w:rsidRDefault="00F80502" w:rsidP="00F80502">
            <w:pPr>
              <w:rPr>
                <w:rFonts w:cs="Arial"/>
              </w:rPr>
            </w:pPr>
            <w:r w:rsidRPr="00F80502">
              <w:rPr>
                <w:rFonts w:cs="Arial"/>
              </w:rPr>
              <w:t>18</w:t>
            </w:r>
          </w:p>
        </w:tc>
        <w:tc>
          <w:tcPr>
            <w:tcW w:w="1064" w:type="dxa"/>
          </w:tcPr>
          <w:p w14:paraId="495F7607" w14:textId="1CD3E117" w:rsidR="00F80502" w:rsidRPr="00F80502" w:rsidRDefault="00F80502" w:rsidP="00F80502">
            <w:pPr>
              <w:rPr>
                <w:rFonts w:cs="Arial"/>
              </w:rPr>
            </w:pPr>
            <w:r w:rsidRPr="00F80502">
              <w:rPr>
                <w:rFonts w:cs="Arial"/>
              </w:rPr>
              <w:t>-63</w:t>
            </w:r>
          </w:p>
        </w:tc>
        <w:tc>
          <w:tcPr>
            <w:tcW w:w="1064" w:type="dxa"/>
          </w:tcPr>
          <w:p w14:paraId="6E3FCE7F" w14:textId="076EF5A4" w:rsidR="00F80502" w:rsidRPr="00F80502" w:rsidRDefault="00F80502" w:rsidP="00F80502">
            <w:pPr>
              <w:rPr>
                <w:rFonts w:cs="Arial"/>
              </w:rPr>
            </w:pPr>
            <w:r w:rsidRPr="00F80502">
              <w:rPr>
                <w:rFonts w:cs="Arial"/>
              </w:rPr>
              <w:t>-46</w:t>
            </w:r>
          </w:p>
        </w:tc>
        <w:tc>
          <w:tcPr>
            <w:tcW w:w="1064" w:type="dxa"/>
          </w:tcPr>
          <w:p w14:paraId="20E1D174" w14:textId="46D25697" w:rsidR="00F80502" w:rsidRPr="00F80502" w:rsidRDefault="00F80502" w:rsidP="00F80502">
            <w:pPr>
              <w:rPr>
                <w:rFonts w:cs="Arial"/>
              </w:rPr>
            </w:pPr>
            <w:r w:rsidRPr="00F80502">
              <w:rPr>
                <w:rFonts w:cs="Arial"/>
              </w:rPr>
              <w:t>10</w:t>
            </w:r>
          </w:p>
        </w:tc>
        <w:tc>
          <w:tcPr>
            <w:tcW w:w="1064" w:type="dxa"/>
          </w:tcPr>
          <w:p w14:paraId="122D1799" w14:textId="0E50B9AC" w:rsidR="00F80502" w:rsidRPr="00F80502" w:rsidRDefault="00F80502" w:rsidP="00F80502">
            <w:pPr>
              <w:rPr>
                <w:rFonts w:cs="Arial"/>
              </w:rPr>
            </w:pPr>
            <w:r w:rsidRPr="00F80502">
              <w:rPr>
                <w:rFonts w:cs="Arial"/>
              </w:rPr>
              <w:t>-28</w:t>
            </w:r>
          </w:p>
        </w:tc>
        <w:tc>
          <w:tcPr>
            <w:tcW w:w="1064" w:type="dxa"/>
          </w:tcPr>
          <w:p w14:paraId="66EF14DB" w14:textId="49EFB4A8" w:rsidR="00F80502" w:rsidRPr="00F80502" w:rsidRDefault="00F80502" w:rsidP="00F80502">
            <w:pPr>
              <w:rPr>
                <w:rFonts w:cs="Arial"/>
              </w:rPr>
            </w:pPr>
            <w:r w:rsidRPr="00F80502">
              <w:rPr>
                <w:rFonts w:cs="Arial"/>
              </w:rPr>
              <w:t>-60</w:t>
            </w:r>
          </w:p>
        </w:tc>
        <w:tc>
          <w:tcPr>
            <w:tcW w:w="1064" w:type="dxa"/>
          </w:tcPr>
          <w:p w14:paraId="7D001250" w14:textId="0BF25B37" w:rsidR="00F80502" w:rsidRPr="00F80502" w:rsidRDefault="00F80502" w:rsidP="00F80502">
            <w:pPr>
              <w:rPr>
                <w:rFonts w:cs="Arial"/>
              </w:rPr>
            </w:pPr>
            <w:r w:rsidRPr="00F80502">
              <w:rPr>
                <w:rFonts w:cs="Arial"/>
              </w:rPr>
              <w:t>-54</w:t>
            </w:r>
          </w:p>
        </w:tc>
        <w:tc>
          <w:tcPr>
            <w:tcW w:w="1064" w:type="dxa"/>
          </w:tcPr>
          <w:p w14:paraId="06CB7177" w14:textId="6BA1F9B6" w:rsidR="00F80502" w:rsidRPr="00F80502" w:rsidRDefault="00F80502" w:rsidP="00F80502">
            <w:pPr>
              <w:rPr>
                <w:rFonts w:cs="Arial"/>
              </w:rPr>
            </w:pPr>
            <w:r w:rsidRPr="00F80502">
              <w:rPr>
                <w:rFonts w:cs="Arial"/>
              </w:rPr>
              <w:t>0</w:t>
            </w:r>
          </w:p>
        </w:tc>
      </w:tr>
    </w:tbl>
    <w:p w14:paraId="2929F4D1" w14:textId="1253FC35" w:rsidR="00F80502" w:rsidRDefault="00F80502" w:rsidP="00F80502"/>
    <w:p w14:paraId="5BFD8517"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Терапевтичният отговор към лечението се забелязва до 1 седмица от началото на терапията и 90% от максималния отговор се постига до 2 седмици. Максималният отговор </w:t>
      </w:r>
      <w:r w:rsidRPr="00F80502">
        <w:rPr>
          <w:rFonts w:eastAsia="Times New Roman" w:cs="Arial"/>
          <w:i/>
          <w:iCs/>
          <w:color w:val="000000"/>
          <w:lang w:eastAsia="bg-BG"/>
        </w:rPr>
        <w:t xml:space="preserve">обикновено се </w:t>
      </w:r>
      <w:r w:rsidRPr="00F80502">
        <w:rPr>
          <w:rFonts w:eastAsia="Times New Roman" w:cs="Arial"/>
          <w:color w:val="000000"/>
          <w:lang w:eastAsia="bg-BG"/>
        </w:rPr>
        <w:t>постига към 4-та седмица и се поддържа след това.</w:t>
      </w:r>
    </w:p>
    <w:p w14:paraId="5BF971D7" w14:textId="77777777" w:rsidR="00F80502" w:rsidRPr="00F626A0" w:rsidRDefault="00F80502" w:rsidP="00F80502">
      <w:pPr>
        <w:spacing w:line="240" w:lineRule="auto"/>
        <w:rPr>
          <w:rFonts w:eastAsia="Times New Roman" w:cs="Arial"/>
          <w:color w:val="000000"/>
          <w:u w:val="single"/>
          <w:lang w:eastAsia="bg-BG"/>
        </w:rPr>
      </w:pPr>
    </w:p>
    <w:p w14:paraId="27E7AC7B" w14:textId="0FF8EF1A"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Клинична ефикасност и безопасност</w:t>
      </w:r>
    </w:p>
    <w:p w14:paraId="5A263288" w14:textId="77777777" w:rsidR="00F80502" w:rsidRPr="00F626A0" w:rsidRDefault="00F80502" w:rsidP="00F80502">
      <w:pPr>
        <w:spacing w:line="240" w:lineRule="auto"/>
        <w:rPr>
          <w:rFonts w:eastAsia="Times New Roman" w:cs="Arial"/>
          <w:color w:val="000000"/>
          <w:lang w:eastAsia="bg-BG"/>
        </w:rPr>
      </w:pPr>
    </w:p>
    <w:p w14:paraId="7DD0BE73" w14:textId="0B912431" w:rsidR="00F80502" w:rsidRPr="00F80502" w:rsidRDefault="00F80502" w:rsidP="00F80502">
      <w:pPr>
        <w:spacing w:line="240" w:lineRule="auto"/>
        <w:rPr>
          <w:rFonts w:eastAsia="Times New Roman" w:cs="Arial"/>
        </w:rPr>
      </w:pPr>
      <w:r w:rsidRPr="00F80502">
        <w:rPr>
          <w:rFonts w:eastAsia="Times New Roman" w:cs="Arial"/>
          <w:color w:val="000000"/>
          <w:lang w:eastAsia="bg-BG"/>
        </w:rPr>
        <w:t>Розувастатин е ефективен при възрастни хора, страдащи от хиперхолестеролемия с или без хипертриглицеридемия, независимо от расова принадлежност, пол или възраст и при специални групи като диабетици или пациенти с фамилна хиперхолестеролемия.</w:t>
      </w:r>
    </w:p>
    <w:p w14:paraId="3083D486" w14:textId="77777777" w:rsidR="00F80502" w:rsidRPr="00F626A0" w:rsidRDefault="00F80502" w:rsidP="00F80502">
      <w:pPr>
        <w:spacing w:line="240" w:lineRule="auto"/>
        <w:rPr>
          <w:rFonts w:eastAsia="Times New Roman" w:cs="Arial"/>
          <w:color w:val="000000"/>
          <w:lang w:eastAsia="bg-BG"/>
        </w:rPr>
      </w:pPr>
    </w:p>
    <w:p w14:paraId="4C2744D4" w14:textId="066D773B" w:rsidR="00F80502" w:rsidRPr="00F80502" w:rsidRDefault="00F80502" w:rsidP="00F80502">
      <w:pPr>
        <w:spacing w:line="240" w:lineRule="auto"/>
        <w:rPr>
          <w:rFonts w:eastAsia="Times New Roman" w:cs="Arial"/>
        </w:rPr>
      </w:pPr>
      <w:r w:rsidRPr="00F80502">
        <w:rPr>
          <w:rFonts w:eastAsia="Times New Roman" w:cs="Arial"/>
          <w:color w:val="000000"/>
          <w:lang w:eastAsia="bg-BG"/>
        </w:rPr>
        <w:lastRenderedPageBreak/>
        <w:t xml:space="preserve">Обобщените данни от III фаза на клиничните проучвания показват, че розувастатин е ефективен при лечение на голяма част от пациенти с тип Па и ПЬ хиперхолестеролемия (средна изходна стойност на </w:t>
      </w:r>
      <w:r w:rsidRPr="00F80502">
        <w:rPr>
          <w:rFonts w:eastAsia="Times New Roman" w:cs="Arial"/>
          <w:color w:val="000000"/>
          <w:lang w:val="en-US"/>
        </w:rPr>
        <w:t>LDL</w:t>
      </w:r>
      <w:r w:rsidRPr="00F80502">
        <w:rPr>
          <w:rFonts w:eastAsia="Times New Roman" w:cs="Arial"/>
          <w:color w:val="000000"/>
          <w:lang w:eastAsia="bg-BG"/>
        </w:rPr>
        <w:t xml:space="preserve">-С около 4,8 </w:t>
      </w:r>
      <w:r w:rsidRPr="00F80502">
        <w:rPr>
          <w:rFonts w:eastAsia="Times New Roman" w:cs="Arial"/>
          <w:color w:val="000000"/>
          <w:lang w:val="en-US"/>
        </w:rPr>
        <w:t>mmol</w:t>
      </w:r>
      <w:r w:rsidRPr="00F80502">
        <w:rPr>
          <w:rFonts w:eastAsia="Times New Roman" w:cs="Arial"/>
          <w:color w:val="000000"/>
          <w:lang w:val="ru-RU"/>
        </w:rPr>
        <w:t xml:space="preserve">/1) </w:t>
      </w:r>
      <w:r w:rsidRPr="00F80502">
        <w:rPr>
          <w:rFonts w:eastAsia="Times New Roman" w:cs="Arial"/>
          <w:color w:val="000000"/>
          <w:lang w:eastAsia="bg-BG"/>
        </w:rPr>
        <w:t xml:space="preserve">според определените от Европейската Общност по Атеросклероза прицелни стойности </w:t>
      </w:r>
      <w:r w:rsidRPr="00F80502">
        <w:rPr>
          <w:rFonts w:eastAsia="Times New Roman" w:cs="Arial"/>
          <w:color w:val="000000"/>
          <w:lang w:val="ru-RU"/>
        </w:rPr>
        <w:t>(</w:t>
      </w:r>
      <w:r w:rsidRPr="00F80502">
        <w:rPr>
          <w:rFonts w:eastAsia="Times New Roman" w:cs="Arial"/>
          <w:color w:val="000000"/>
          <w:lang w:val="en-US"/>
        </w:rPr>
        <w:t>EAS</w:t>
      </w:r>
      <w:r w:rsidRPr="00F80502">
        <w:rPr>
          <w:rFonts w:eastAsia="Times New Roman" w:cs="Arial"/>
          <w:color w:val="000000"/>
          <w:lang w:val="ru-RU"/>
        </w:rPr>
        <w:t xml:space="preserve">; </w:t>
      </w:r>
      <w:r w:rsidRPr="00F80502">
        <w:rPr>
          <w:rFonts w:eastAsia="Times New Roman" w:cs="Arial"/>
          <w:color w:val="000000"/>
          <w:lang w:eastAsia="bg-BG"/>
        </w:rPr>
        <w:t xml:space="preserve">1998); Около 80% от пациентите на 10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u w:val="single"/>
          <w:lang w:eastAsia="bg-BG"/>
        </w:rPr>
        <w:t xml:space="preserve">ся </w:t>
      </w:r>
      <w:r w:rsidRPr="00F80502">
        <w:rPr>
          <w:rFonts w:eastAsia="Times New Roman" w:cs="Arial"/>
          <w:color w:val="000000"/>
          <w:lang w:eastAsia="bg-BG"/>
        </w:rPr>
        <w:t xml:space="preserve">достигнали желаните стойности на </w:t>
      </w:r>
      <w:r w:rsidRPr="00F80502">
        <w:rPr>
          <w:rFonts w:eastAsia="Times New Roman" w:cs="Arial"/>
          <w:color w:val="000000"/>
          <w:lang w:val="en-US"/>
        </w:rPr>
        <w:t>LDL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 xml:space="preserve">(&lt;3 </w:t>
      </w:r>
      <w:r w:rsidRPr="00F80502">
        <w:rPr>
          <w:rFonts w:eastAsia="Times New Roman" w:cs="Arial"/>
          <w:color w:val="000000"/>
          <w:lang w:val="en-US"/>
        </w:rPr>
        <w:t>mmol</w:t>
      </w:r>
      <w:r w:rsidRPr="00F80502">
        <w:rPr>
          <w:rFonts w:eastAsia="Times New Roman" w:cs="Arial"/>
          <w:color w:val="000000"/>
          <w:lang w:val="ru-RU"/>
        </w:rPr>
        <w:t xml:space="preserve">/1) </w:t>
      </w:r>
      <w:r w:rsidRPr="00F80502">
        <w:rPr>
          <w:rFonts w:eastAsia="Times New Roman" w:cs="Arial"/>
          <w:color w:val="000000"/>
          <w:lang w:eastAsia="bg-BG"/>
        </w:rPr>
        <w:t xml:space="preserve">според </w:t>
      </w:r>
      <w:r w:rsidRPr="00F80502">
        <w:rPr>
          <w:rFonts w:eastAsia="Times New Roman" w:cs="Arial"/>
          <w:color w:val="000000"/>
          <w:lang w:val="en-US"/>
        </w:rPr>
        <w:t>EAS</w:t>
      </w:r>
      <w:r w:rsidRPr="00F80502">
        <w:rPr>
          <w:rFonts w:eastAsia="Times New Roman" w:cs="Arial"/>
          <w:color w:val="000000"/>
          <w:lang w:val="ru-RU"/>
        </w:rPr>
        <w:t>.</w:t>
      </w:r>
    </w:p>
    <w:p w14:paraId="6BE19E7E" w14:textId="77777777" w:rsidR="00F80502" w:rsidRPr="00F626A0" w:rsidRDefault="00F80502" w:rsidP="00F80502">
      <w:pPr>
        <w:spacing w:line="240" w:lineRule="auto"/>
        <w:rPr>
          <w:rFonts w:eastAsia="Times New Roman" w:cs="Arial"/>
          <w:color w:val="000000"/>
          <w:lang w:eastAsia="bg-BG"/>
        </w:rPr>
      </w:pPr>
    </w:p>
    <w:p w14:paraId="19884705" w14:textId="4C7CD419"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В голямо проучване, на 435 пациенти с хетерозиготна фамилна хиперхолестеролемия са давани розувастатин от 20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 xml:space="preserve">до 80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при дизайн с нарастване при титрирането на дозите. Всички</w:t>
      </w:r>
    </w:p>
    <w:p w14:paraId="45C7D493" w14:textId="77777777" w:rsidR="00F626A0" w:rsidRPr="00F626A0" w:rsidRDefault="00F80502" w:rsidP="00F626A0">
      <w:pPr>
        <w:rPr>
          <w:rFonts w:eastAsia="Times New Roman" w:cs="Arial"/>
        </w:rPr>
      </w:pPr>
      <w:r w:rsidRPr="00F626A0">
        <w:rPr>
          <w:rFonts w:eastAsia="Times New Roman" w:cs="Arial"/>
          <w:color w:val="000000"/>
          <w:lang w:eastAsia="bg-BG"/>
        </w:rPr>
        <w:t>дози са показали благоприятен ефект върху липидните показатели и лечениетио за достигане на</w:t>
      </w:r>
      <w:r w:rsidR="00F626A0" w:rsidRPr="00F626A0">
        <w:rPr>
          <w:rFonts w:eastAsia="Times New Roman" w:cs="Arial"/>
          <w:color w:val="000000"/>
          <w:lang w:val="ru-RU" w:eastAsia="bg-BG"/>
        </w:rPr>
        <w:t xml:space="preserve"> </w:t>
      </w:r>
      <w:r w:rsidR="00F626A0" w:rsidRPr="00F626A0">
        <w:rPr>
          <w:rFonts w:eastAsia="Times New Roman" w:cs="Arial"/>
          <w:color w:val="000000"/>
          <w:lang w:eastAsia="bg-BG"/>
        </w:rPr>
        <w:t xml:space="preserve">прицелните цели. След титриране на дневна доза от 40 </w:t>
      </w:r>
      <w:r w:rsidR="00F626A0" w:rsidRPr="00F626A0">
        <w:rPr>
          <w:rFonts w:eastAsia="Times New Roman" w:cs="Arial"/>
          <w:color w:val="000000"/>
          <w:lang w:val="en-US"/>
        </w:rPr>
        <w:t>mg</w:t>
      </w:r>
      <w:r w:rsidR="00F626A0" w:rsidRPr="00F626A0">
        <w:rPr>
          <w:rFonts w:eastAsia="Times New Roman" w:cs="Arial"/>
          <w:color w:val="000000"/>
          <w:lang w:val="ru-RU"/>
        </w:rPr>
        <w:t xml:space="preserve"> </w:t>
      </w:r>
      <w:r w:rsidR="00F626A0" w:rsidRPr="00F626A0">
        <w:rPr>
          <w:rFonts w:eastAsia="Times New Roman" w:cs="Arial"/>
          <w:color w:val="000000"/>
          <w:lang w:eastAsia="bg-BG"/>
        </w:rPr>
        <w:t xml:space="preserve">(12 седмици от лечението), </w:t>
      </w:r>
      <w:r w:rsidR="00F626A0" w:rsidRPr="00F626A0">
        <w:rPr>
          <w:rFonts w:eastAsia="Times New Roman" w:cs="Arial"/>
          <w:color w:val="000000"/>
          <w:lang w:val="en-US"/>
        </w:rPr>
        <w:t>LDL</w:t>
      </w:r>
      <w:r w:rsidR="00F626A0" w:rsidRPr="00F626A0">
        <w:rPr>
          <w:rFonts w:eastAsia="Times New Roman" w:cs="Arial"/>
          <w:color w:val="000000"/>
          <w:lang w:eastAsia="bg-BG"/>
        </w:rPr>
        <w:t xml:space="preserve">-С е била намалена с 53%. 33% от пациентите, достигнали </w:t>
      </w:r>
      <w:r w:rsidR="00F626A0" w:rsidRPr="00F626A0">
        <w:rPr>
          <w:rFonts w:eastAsia="Times New Roman" w:cs="Arial"/>
          <w:color w:val="000000"/>
          <w:lang w:val="en-US"/>
        </w:rPr>
        <w:t>EAS</w:t>
      </w:r>
      <w:r w:rsidR="00F626A0" w:rsidRPr="00F626A0">
        <w:rPr>
          <w:rFonts w:eastAsia="Times New Roman" w:cs="Arial"/>
          <w:color w:val="000000"/>
          <w:lang w:val="ru-RU"/>
        </w:rPr>
        <w:t xml:space="preserve"> </w:t>
      </w:r>
      <w:r w:rsidR="00F626A0" w:rsidRPr="00F626A0">
        <w:rPr>
          <w:rFonts w:eastAsia="Times New Roman" w:cs="Arial"/>
          <w:color w:val="000000"/>
          <w:lang w:eastAsia="bg-BG"/>
        </w:rPr>
        <w:t xml:space="preserve">насоки за </w:t>
      </w:r>
      <w:r w:rsidR="00F626A0" w:rsidRPr="00F626A0">
        <w:rPr>
          <w:rFonts w:eastAsia="Times New Roman" w:cs="Arial"/>
          <w:color w:val="000000"/>
          <w:lang w:val="en-US"/>
        </w:rPr>
        <w:t>LDL</w:t>
      </w:r>
      <w:r w:rsidR="00F626A0" w:rsidRPr="00F626A0">
        <w:rPr>
          <w:rFonts w:eastAsia="Times New Roman" w:cs="Arial"/>
          <w:color w:val="000000"/>
          <w:lang w:eastAsia="bg-BG"/>
        </w:rPr>
        <w:t xml:space="preserve">-С нива (&lt;3 </w:t>
      </w:r>
      <w:r w:rsidR="00F626A0" w:rsidRPr="00F626A0">
        <w:rPr>
          <w:rFonts w:eastAsia="Times New Roman" w:cs="Arial"/>
          <w:color w:val="000000"/>
          <w:lang w:val="en-US"/>
        </w:rPr>
        <w:t>mmo</w:t>
      </w:r>
      <w:r w:rsidR="00F626A0" w:rsidRPr="00F626A0">
        <w:rPr>
          <w:rFonts w:eastAsia="Times New Roman" w:cs="Arial"/>
          <w:color w:val="000000"/>
          <w:lang w:eastAsia="bg-BG"/>
        </w:rPr>
        <w:t>1/1).</w:t>
      </w:r>
    </w:p>
    <w:p w14:paraId="144986DA" w14:textId="77777777" w:rsidR="00F626A0" w:rsidRPr="00F626A0" w:rsidRDefault="00F626A0" w:rsidP="00F626A0">
      <w:pPr>
        <w:spacing w:line="240" w:lineRule="auto"/>
        <w:rPr>
          <w:rFonts w:eastAsia="Times New Roman" w:cs="Arial"/>
          <w:color w:val="000000"/>
          <w:lang w:eastAsia="bg-BG"/>
        </w:rPr>
      </w:pPr>
    </w:p>
    <w:p w14:paraId="1E32E026" w14:textId="34DCC39F"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едно отворено проучване с форсирано титриране на дозата при 42 пациента (включително 8 педиатрични пациента) с хомозиготна фамилна хиперхолестеролемия са отчетени резултатите от приемане на 20-40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розувастатин. В общата популация средното понижение на </w:t>
      </w:r>
      <w:r w:rsidRPr="00F626A0">
        <w:rPr>
          <w:rFonts w:eastAsia="Times New Roman" w:cs="Arial"/>
          <w:color w:val="000000"/>
          <w:lang w:val="en-US"/>
        </w:rPr>
        <w:t>LDL</w:t>
      </w:r>
      <w:r w:rsidRPr="00F626A0">
        <w:rPr>
          <w:rFonts w:eastAsia="Times New Roman" w:cs="Arial"/>
          <w:color w:val="000000"/>
          <w:lang w:eastAsia="bg-BG"/>
        </w:rPr>
        <w:t>-С е 22%.</w:t>
      </w:r>
    </w:p>
    <w:p w14:paraId="6799C481" w14:textId="77777777" w:rsidR="00F626A0" w:rsidRPr="00F626A0" w:rsidRDefault="00F626A0" w:rsidP="00F626A0">
      <w:pPr>
        <w:spacing w:line="240" w:lineRule="auto"/>
        <w:rPr>
          <w:rFonts w:eastAsia="Times New Roman" w:cs="Arial"/>
          <w:color w:val="000000"/>
          <w:lang w:eastAsia="bg-BG"/>
        </w:rPr>
      </w:pPr>
    </w:p>
    <w:p w14:paraId="20CDD5FE" w14:textId="63C715BC"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При клинични изпитвания с ограничен брой пациенти розувастатин показва адитивна ефективност при намаляване на триглицеридите, когато е приеман в комбинация е фенофибрат и увеличение на нивото на </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в комбинация с ниацин (вж. точка 4.4).</w:t>
      </w:r>
    </w:p>
    <w:p w14:paraId="5BCCC37E" w14:textId="77777777" w:rsidR="00F626A0" w:rsidRPr="00F626A0" w:rsidRDefault="00F626A0" w:rsidP="00F626A0">
      <w:pPr>
        <w:spacing w:line="240" w:lineRule="auto"/>
        <w:rPr>
          <w:rFonts w:eastAsia="Times New Roman" w:cs="Arial"/>
          <w:color w:val="000000"/>
          <w:lang w:eastAsia="bg-BG"/>
        </w:rPr>
      </w:pPr>
    </w:p>
    <w:p w14:paraId="13972FFE" w14:textId="111488B2"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едно мултицентрово, двойно сляпо, плацебо-контролирано клинично проучване </w:t>
      </w:r>
      <w:r w:rsidRPr="00F626A0">
        <w:rPr>
          <w:rFonts w:eastAsia="Times New Roman" w:cs="Arial"/>
          <w:color w:val="000000"/>
        </w:rPr>
        <w:t>(</w:t>
      </w:r>
      <w:r w:rsidRPr="00F626A0">
        <w:rPr>
          <w:rFonts w:eastAsia="Times New Roman" w:cs="Arial"/>
          <w:color w:val="000000"/>
          <w:lang w:val="en-US"/>
        </w:rPr>
        <w:t>METEOR</w:t>
      </w:r>
      <w:r w:rsidRPr="00F626A0">
        <w:rPr>
          <w:rFonts w:eastAsia="Times New Roman" w:cs="Arial"/>
          <w:color w:val="000000"/>
        </w:rPr>
        <w:t xml:space="preserve">), </w:t>
      </w:r>
      <w:r w:rsidRPr="00F626A0">
        <w:rPr>
          <w:rFonts w:eastAsia="Times New Roman" w:cs="Arial"/>
          <w:color w:val="000000"/>
          <w:lang w:eastAsia="bg-BG"/>
        </w:rPr>
        <w:t xml:space="preserve">984 пациента между 45 и 70 години с нисък риск за исхемична болест на сърцето (дефинирано като </w:t>
      </w:r>
      <w:r w:rsidRPr="00F626A0">
        <w:rPr>
          <w:rFonts w:eastAsia="Times New Roman" w:cs="Arial"/>
          <w:color w:val="000000"/>
          <w:lang w:val="en-US"/>
        </w:rPr>
        <w:t>Framingham</w:t>
      </w:r>
      <w:r w:rsidRPr="00F626A0">
        <w:rPr>
          <w:rFonts w:eastAsia="Times New Roman" w:cs="Arial"/>
          <w:color w:val="000000"/>
        </w:rPr>
        <w:t xml:space="preserve"> </w:t>
      </w:r>
      <w:r w:rsidRPr="00F626A0">
        <w:rPr>
          <w:rFonts w:eastAsia="Times New Roman" w:cs="Arial"/>
          <w:color w:val="000000"/>
          <w:lang w:eastAsia="bg-BG"/>
        </w:rPr>
        <w:t xml:space="preserve">риск &lt;10% за 10 г) и със средни </w:t>
      </w:r>
      <w:r w:rsidRPr="00F626A0">
        <w:rPr>
          <w:rFonts w:eastAsia="Times New Roman" w:cs="Arial"/>
          <w:color w:val="000000"/>
          <w:lang w:val="en-US"/>
        </w:rPr>
        <w:t>LDL</w:t>
      </w:r>
      <w:r w:rsidRPr="00F626A0">
        <w:rPr>
          <w:rFonts w:eastAsia="Times New Roman" w:cs="Arial"/>
          <w:color w:val="000000"/>
        </w:rPr>
        <w:t>-</w:t>
      </w:r>
      <w:r w:rsidRPr="00F626A0">
        <w:rPr>
          <w:rFonts w:eastAsia="Times New Roman" w:cs="Arial"/>
          <w:color w:val="000000"/>
          <w:lang w:val="en-US"/>
        </w:rPr>
        <w:t>C</w:t>
      </w:r>
      <w:r w:rsidRPr="00F626A0">
        <w:rPr>
          <w:rFonts w:eastAsia="Times New Roman" w:cs="Arial"/>
          <w:color w:val="000000"/>
        </w:rPr>
        <w:t xml:space="preserve"> </w:t>
      </w:r>
      <w:r w:rsidRPr="00F626A0">
        <w:rPr>
          <w:rFonts w:eastAsia="Times New Roman" w:cs="Arial"/>
          <w:color w:val="000000"/>
          <w:lang w:eastAsia="bg-BG"/>
        </w:rPr>
        <w:t xml:space="preserve">4,0 </w:t>
      </w:r>
      <w:r w:rsidRPr="00F626A0">
        <w:rPr>
          <w:rFonts w:eastAsia="Times New Roman" w:cs="Arial"/>
          <w:color w:val="000000"/>
          <w:lang w:val="en-US"/>
        </w:rPr>
        <w:t>mmol</w:t>
      </w:r>
      <w:r w:rsidRPr="00F626A0">
        <w:rPr>
          <w:rFonts w:eastAsia="Times New Roman" w:cs="Arial"/>
          <w:color w:val="000000"/>
        </w:rPr>
        <w:t>/</w:t>
      </w:r>
      <w:r w:rsidRPr="00F626A0">
        <w:rPr>
          <w:rFonts w:eastAsia="Times New Roman" w:cs="Arial"/>
          <w:color w:val="000000"/>
          <w:lang w:val="en-US"/>
        </w:rPr>
        <w:t>l</w:t>
      </w:r>
      <w:r w:rsidRPr="00F626A0">
        <w:rPr>
          <w:rFonts w:eastAsia="Times New Roman" w:cs="Arial"/>
          <w:color w:val="000000"/>
        </w:rPr>
        <w:t xml:space="preserve"> </w:t>
      </w:r>
      <w:r w:rsidRPr="00F626A0">
        <w:rPr>
          <w:rFonts w:eastAsia="Times New Roman" w:cs="Arial"/>
          <w:color w:val="000000"/>
          <w:lang w:eastAsia="bg-BG"/>
        </w:rPr>
        <w:t xml:space="preserve">(154,5 </w:t>
      </w:r>
      <w:r w:rsidRPr="00F626A0">
        <w:rPr>
          <w:rFonts w:eastAsia="Times New Roman" w:cs="Arial"/>
          <w:color w:val="000000"/>
          <w:lang w:val="en-US"/>
        </w:rPr>
        <w:t>mg</w:t>
      </w:r>
      <w:r w:rsidRPr="00F626A0">
        <w:rPr>
          <w:rFonts w:eastAsia="Times New Roman" w:cs="Arial"/>
          <w:color w:val="000000"/>
        </w:rPr>
        <w:t>/</w:t>
      </w:r>
      <w:r w:rsidRPr="00F626A0">
        <w:rPr>
          <w:rFonts w:eastAsia="Times New Roman" w:cs="Arial"/>
          <w:color w:val="000000"/>
          <w:lang w:val="en-US"/>
        </w:rPr>
        <w:t>dL</w:t>
      </w:r>
      <w:r w:rsidRPr="00F626A0">
        <w:rPr>
          <w:rFonts w:eastAsia="Times New Roman" w:cs="Arial"/>
          <w:color w:val="000000"/>
        </w:rPr>
        <w:t xml:space="preserve">), </w:t>
      </w:r>
      <w:r w:rsidRPr="00F626A0">
        <w:rPr>
          <w:rFonts w:eastAsia="Times New Roman" w:cs="Arial"/>
          <w:color w:val="000000"/>
          <w:lang w:eastAsia="bg-BG"/>
        </w:rPr>
        <w:t xml:space="preserve">но със субклинична атеросклероза установена чрез измерване на </w:t>
      </w:r>
      <w:r w:rsidRPr="00F626A0">
        <w:rPr>
          <w:rFonts w:eastAsia="Times New Roman" w:cs="Arial"/>
          <w:color w:val="000000"/>
          <w:lang w:val="en-US"/>
        </w:rPr>
        <w:t>CIMT</w:t>
      </w:r>
      <w:r w:rsidRPr="00F626A0">
        <w:rPr>
          <w:rFonts w:eastAsia="Times New Roman" w:cs="Arial"/>
          <w:color w:val="000000"/>
        </w:rPr>
        <w:t xml:space="preserve"> (</w:t>
      </w:r>
      <w:r w:rsidRPr="00F626A0">
        <w:rPr>
          <w:rFonts w:eastAsia="Times New Roman" w:cs="Arial"/>
          <w:color w:val="000000"/>
          <w:lang w:val="en-US"/>
        </w:rPr>
        <w:t>Carotid</w:t>
      </w:r>
      <w:r w:rsidRPr="00F626A0">
        <w:rPr>
          <w:rFonts w:eastAsia="Times New Roman" w:cs="Arial"/>
          <w:color w:val="000000"/>
        </w:rPr>
        <w:t xml:space="preserve"> </w:t>
      </w:r>
      <w:r w:rsidRPr="00F626A0">
        <w:rPr>
          <w:rFonts w:eastAsia="Times New Roman" w:cs="Arial"/>
          <w:color w:val="000000"/>
          <w:lang w:val="en-US"/>
        </w:rPr>
        <w:t>Intima</w:t>
      </w:r>
      <w:r w:rsidRPr="00F626A0">
        <w:rPr>
          <w:rFonts w:eastAsia="Times New Roman" w:cs="Arial"/>
          <w:color w:val="000000"/>
        </w:rPr>
        <w:t xml:space="preserve"> </w:t>
      </w:r>
      <w:r w:rsidRPr="00F626A0">
        <w:rPr>
          <w:rFonts w:eastAsia="Times New Roman" w:cs="Arial"/>
          <w:color w:val="000000"/>
          <w:lang w:val="en-US"/>
        </w:rPr>
        <w:t>Media</w:t>
      </w:r>
      <w:r w:rsidRPr="00F626A0">
        <w:rPr>
          <w:rFonts w:eastAsia="Times New Roman" w:cs="Arial"/>
          <w:color w:val="000000"/>
        </w:rPr>
        <w:t xml:space="preserve"> </w:t>
      </w:r>
      <w:r w:rsidRPr="00F626A0">
        <w:rPr>
          <w:rFonts w:eastAsia="Times New Roman" w:cs="Arial"/>
          <w:color w:val="000000"/>
          <w:lang w:val="en-US"/>
        </w:rPr>
        <w:t>Thickness</w:t>
      </w:r>
      <w:r w:rsidRPr="00F626A0">
        <w:rPr>
          <w:rFonts w:eastAsia="Times New Roman" w:cs="Arial"/>
          <w:color w:val="000000"/>
        </w:rPr>
        <w:t xml:space="preserve">) </w:t>
      </w:r>
      <w:r w:rsidRPr="00F626A0">
        <w:rPr>
          <w:rFonts w:eastAsia="Times New Roman" w:cs="Arial"/>
          <w:color w:val="000000"/>
          <w:lang w:eastAsia="bg-BG"/>
        </w:rPr>
        <w:t xml:space="preserve">бяха рандомизирани на 40 </w:t>
      </w:r>
      <w:r w:rsidRPr="00F626A0">
        <w:rPr>
          <w:rFonts w:eastAsia="Times New Roman" w:cs="Arial"/>
          <w:color w:val="000000"/>
          <w:lang w:val="en-US"/>
        </w:rPr>
        <w:t>mg</w:t>
      </w:r>
      <w:r w:rsidRPr="00F626A0">
        <w:rPr>
          <w:rFonts w:eastAsia="Times New Roman" w:cs="Arial"/>
          <w:color w:val="000000"/>
        </w:rPr>
        <w:t xml:space="preserve"> </w:t>
      </w:r>
      <w:r w:rsidRPr="00F626A0">
        <w:rPr>
          <w:rFonts w:eastAsia="Times New Roman" w:cs="Arial"/>
          <w:color w:val="000000"/>
          <w:lang w:eastAsia="bg-BG"/>
        </w:rPr>
        <w:t xml:space="preserve">розувастатин веднъж дневно или плацебо за 2 години. Розувастатин значително забави прогресията на максималното </w:t>
      </w:r>
      <w:r w:rsidRPr="00F626A0">
        <w:rPr>
          <w:rFonts w:eastAsia="Times New Roman" w:cs="Arial"/>
          <w:color w:val="000000"/>
          <w:lang w:val="en-US"/>
        </w:rPr>
        <w:t>CIMT</w:t>
      </w:r>
      <w:r w:rsidRPr="00F626A0">
        <w:rPr>
          <w:rFonts w:eastAsia="Times New Roman" w:cs="Arial"/>
          <w:color w:val="000000"/>
          <w:lang w:val="ru-RU"/>
        </w:rPr>
        <w:t xml:space="preserve"> </w:t>
      </w:r>
      <w:r w:rsidRPr="00F626A0">
        <w:rPr>
          <w:rFonts w:eastAsia="Times New Roman" w:cs="Arial"/>
          <w:color w:val="000000"/>
          <w:lang w:eastAsia="bg-BG"/>
        </w:rPr>
        <w:t xml:space="preserve">на всички 12 места на каротидните артерии в сравнение с плацебо -0,0145 </w:t>
      </w:r>
      <w:r w:rsidRPr="00F626A0">
        <w:rPr>
          <w:rFonts w:eastAsia="Times New Roman" w:cs="Arial"/>
          <w:color w:val="000000"/>
          <w:lang w:val="en-US"/>
        </w:rPr>
        <w:t>mm</w:t>
      </w:r>
      <w:r w:rsidRPr="00F626A0">
        <w:rPr>
          <w:rFonts w:eastAsia="Times New Roman" w:cs="Arial"/>
          <w:color w:val="000000"/>
          <w:lang w:eastAsia="bg-BG"/>
        </w:rPr>
        <w:t xml:space="preserve">/година [95% С1 -0,0196, -0,0093; р&lt;0,0001]. Промяната спрямо изходните стойности за розувастатин групата е - 0,0014 </w:t>
      </w:r>
      <w:r w:rsidRPr="00F626A0">
        <w:rPr>
          <w:rFonts w:eastAsia="Times New Roman" w:cs="Arial"/>
          <w:color w:val="000000"/>
          <w:lang w:val="en-US"/>
        </w:rPr>
        <w:t>mm</w:t>
      </w:r>
      <w:r w:rsidRPr="00F626A0">
        <w:rPr>
          <w:rFonts w:eastAsia="Times New Roman" w:cs="Arial"/>
          <w:color w:val="000000"/>
          <w:lang w:eastAsia="bg-BG"/>
        </w:rPr>
        <w:t xml:space="preserve">/година (1,12%/година (несигнификантно) в сравнение с плацебо групата с прогресия от +0,0131 </w:t>
      </w:r>
      <w:r w:rsidRPr="00F626A0">
        <w:rPr>
          <w:rFonts w:eastAsia="Times New Roman" w:cs="Arial"/>
          <w:color w:val="000000"/>
          <w:lang w:val="en-US"/>
        </w:rPr>
        <w:t>mm</w:t>
      </w:r>
      <w:r w:rsidRPr="00F626A0">
        <w:rPr>
          <w:rFonts w:eastAsia="Times New Roman" w:cs="Arial"/>
          <w:color w:val="000000"/>
          <w:lang w:eastAsia="bg-BG"/>
        </w:rPr>
        <w:t xml:space="preserve">/година (1.12/година </w:t>
      </w:r>
      <w:r w:rsidRPr="00F626A0">
        <w:rPr>
          <w:rFonts w:eastAsia="Times New Roman" w:cs="Arial"/>
          <w:i/>
          <w:iCs/>
          <w:color w:val="000000"/>
          <w:lang w:eastAsia="bg-BG"/>
        </w:rPr>
        <w:t>(р&lt;0,0001)). Не е</w:t>
      </w:r>
      <w:r w:rsidRPr="00F626A0">
        <w:rPr>
          <w:rFonts w:eastAsia="Times New Roman" w:cs="Arial"/>
          <w:color w:val="000000"/>
          <w:lang w:eastAsia="bg-BG"/>
        </w:rPr>
        <w:t xml:space="preserve"> демонстрирана директна взаимовръзка между понижението на </w:t>
      </w:r>
      <w:r w:rsidRPr="00F626A0">
        <w:rPr>
          <w:rFonts w:eastAsia="Times New Roman" w:cs="Arial"/>
          <w:color w:val="000000"/>
          <w:lang w:val="en-US"/>
        </w:rPr>
        <w:t>CIMT</w:t>
      </w:r>
      <w:r w:rsidRPr="00F626A0">
        <w:rPr>
          <w:rFonts w:eastAsia="Times New Roman" w:cs="Arial"/>
          <w:color w:val="000000"/>
          <w:lang w:val="ru-RU"/>
        </w:rPr>
        <w:t xml:space="preserve"> </w:t>
      </w:r>
      <w:r w:rsidRPr="00F626A0">
        <w:rPr>
          <w:rFonts w:eastAsia="Times New Roman" w:cs="Arial"/>
          <w:color w:val="000000"/>
          <w:lang w:eastAsia="bg-BG"/>
        </w:rPr>
        <w:t xml:space="preserve">нивата и понижения риск от сърдечносъдови събития. Популацията в проучването </w:t>
      </w:r>
      <w:r w:rsidRPr="00F626A0">
        <w:rPr>
          <w:rFonts w:eastAsia="Times New Roman" w:cs="Arial"/>
          <w:color w:val="000000"/>
          <w:lang w:val="en-US"/>
        </w:rPr>
        <w:t>METEOR</w:t>
      </w:r>
      <w:r w:rsidRPr="00F626A0">
        <w:rPr>
          <w:rFonts w:eastAsia="Times New Roman" w:cs="Arial"/>
          <w:color w:val="000000"/>
          <w:lang w:val="ru-RU"/>
        </w:rPr>
        <w:t xml:space="preserve"> </w:t>
      </w:r>
      <w:r w:rsidRPr="00F626A0">
        <w:rPr>
          <w:rFonts w:eastAsia="Times New Roman" w:cs="Arial"/>
          <w:color w:val="000000"/>
          <w:lang w:eastAsia="bg-BG"/>
        </w:rPr>
        <w:t xml:space="preserve">е с нисък риск от исхемична болест на сърцето и не е представителна за таргетната популация на розувастатин 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Дозировката от 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трябва да се предписва само при пациенти с тежка хиперхолестеролемия с висок сърдечносъдов риск (вж. точка 4.2).</w:t>
      </w:r>
    </w:p>
    <w:p w14:paraId="6B2E9FEB" w14:textId="77777777" w:rsidR="00F626A0" w:rsidRPr="00F626A0" w:rsidRDefault="00F626A0" w:rsidP="00F626A0">
      <w:pPr>
        <w:spacing w:line="240" w:lineRule="auto"/>
        <w:rPr>
          <w:rFonts w:eastAsia="Times New Roman" w:cs="Arial"/>
          <w:color w:val="000000"/>
          <w:lang w:eastAsia="bg-BG"/>
        </w:rPr>
      </w:pPr>
    </w:p>
    <w:p w14:paraId="2A18D806" w14:textId="5974A6C4"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проучването </w:t>
      </w:r>
      <w:r w:rsidRPr="00F626A0">
        <w:rPr>
          <w:rFonts w:eastAsia="Times New Roman" w:cs="Arial"/>
          <w:color w:val="000000"/>
          <w:lang w:val="en-US"/>
        </w:rPr>
        <w:t>Justification</w:t>
      </w:r>
      <w:r w:rsidRPr="00F626A0">
        <w:rPr>
          <w:rFonts w:eastAsia="Times New Roman" w:cs="Arial"/>
          <w:color w:val="000000"/>
        </w:rPr>
        <w:t xml:space="preserve"> </w:t>
      </w:r>
      <w:r w:rsidRPr="00F626A0">
        <w:rPr>
          <w:rFonts w:eastAsia="Times New Roman" w:cs="Arial"/>
          <w:color w:val="000000"/>
          <w:lang w:val="en-US"/>
        </w:rPr>
        <w:t>for</w:t>
      </w:r>
      <w:r w:rsidRPr="00F626A0">
        <w:rPr>
          <w:rFonts w:eastAsia="Times New Roman" w:cs="Arial"/>
          <w:color w:val="000000"/>
        </w:rPr>
        <w:t xml:space="preserve"> </w:t>
      </w:r>
      <w:r w:rsidRPr="00F626A0">
        <w:rPr>
          <w:rFonts w:eastAsia="Times New Roman" w:cs="Arial"/>
          <w:color w:val="000000"/>
          <w:lang w:val="en-US"/>
        </w:rPr>
        <w:t>the</w:t>
      </w:r>
      <w:r w:rsidRPr="00F626A0">
        <w:rPr>
          <w:rFonts w:eastAsia="Times New Roman" w:cs="Arial"/>
          <w:color w:val="000000"/>
        </w:rPr>
        <w:t xml:space="preserve"> </w:t>
      </w:r>
      <w:r w:rsidRPr="00F626A0">
        <w:rPr>
          <w:rFonts w:eastAsia="Times New Roman" w:cs="Arial"/>
          <w:color w:val="000000"/>
          <w:lang w:val="en-US"/>
        </w:rPr>
        <w:t>Use</w:t>
      </w:r>
      <w:r w:rsidRPr="00F626A0">
        <w:rPr>
          <w:rFonts w:eastAsia="Times New Roman" w:cs="Arial"/>
          <w:color w:val="000000"/>
        </w:rPr>
        <w:t xml:space="preserve"> </w:t>
      </w:r>
      <w:r w:rsidRPr="00F626A0">
        <w:rPr>
          <w:rFonts w:eastAsia="Times New Roman" w:cs="Arial"/>
          <w:color w:val="000000"/>
          <w:lang w:val="en-US"/>
        </w:rPr>
        <w:t>of</w:t>
      </w:r>
      <w:r w:rsidRPr="00F626A0">
        <w:rPr>
          <w:rFonts w:eastAsia="Times New Roman" w:cs="Arial"/>
          <w:color w:val="000000"/>
        </w:rPr>
        <w:t xml:space="preserve"> </w:t>
      </w:r>
      <w:r w:rsidRPr="00F626A0">
        <w:rPr>
          <w:rFonts w:eastAsia="Times New Roman" w:cs="Arial"/>
          <w:color w:val="000000"/>
          <w:lang w:val="en-US"/>
        </w:rPr>
        <w:t>Statins</w:t>
      </w:r>
      <w:r w:rsidRPr="00F626A0">
        <w:rPr>
          <w:rFonts w:eastAsia="Times New Roman" w:cs="Arial"/>
          <w:color w:val="000000"/>
        </w:rPr>
        <w:t xml:space="preserve"> </w:t>
      </w:r>
      <w:r w:rsidRPr="00F626A0">
        <w:rPr>
          <w:rFonts w:eastAsia="Times New Roman" w:cs="Arial"/>
          <w:color w:val="000000"/>
          <w:lang w:val="en-US"/>
        </w:rPr>
        <w:t>in</w:t>
      </w:r>
      <w:r w:rsidRPr="00F626A0">
        <w:rPr>
          <w:rFonts w:eastAsia="Times New Roman" w:cs="Arial"/>
          <w:color w:val="000000"/>
        </w:rPr>
        <w:t xml:space="preserve"> </w:t>
      </w:r>
      <w:r w:rsidRPr="00F626A0">
        <w:rPr>
          <w:rFonts w:eastAsia="Times New Roman" w:cs="Arial"/>
          <w:color w:val="000000"/>
          <w:lang w:val="en-US"/>
        </w:rPr>
        <w:t>Primary</w:t>
      </w:r>
      <w:r w:rsidRPr="00F626A0">
        <w:rPr>
          <w:rFonts w:eastAsia="Times New Roman" w:cs="Arial"/>
          <w:color w:val="000000"/>
        </w:rPr>
        <w:t xml:space="preserve"> </w:t>
      </w:r>
      <w:r w:rsidRPr="00F626A0">
        <w:rPr>
          <w:rFonts w:eastAsia="Times New Roman" w:cs="Arial"/>
          <w:color w:val="000000"/>
          <w:lang w:val="en-US"/>
        </w:rPr>
        <w:t>Prevention</w:t>
      </w:r>
      <w:r w:rsidRPr="00F626A0">
        <w:rPr>
          <w:rFonts w:eastAsia="Times New Roman" w:cs="Arial"/>
          <w:color w:val="000000"/>
        </w:rPr>
        <w:t xml:space="preserve">: </w:t>
      </w:r>
      <w:r w:rsidRPr="00F626A0">
        <w:rPr>
          <w:rFonts w:eastAsia="Times New Roman" w:cs="Arial"/>
          <w:color w:val="000000"/>
          <w:lang w:val="en-US"/>
        </w:rPr>
        <w:t>An</w:t>
      </w:r>
      <w:r w:rsidRPr="00F626A0">
        <w:rPr>
          <w:rFonts w:eastAsia="Times New Roman" w:cs="Arial"/>
          <w:color w:val="000000"/>
        </w:rPr>
        <w:t xml:space="preserve"> </w:t>
      </w:r>
      <w:r w:rsidRPr="00F626A0">
        <w:rPr>
          <w:rFonts w:eastAsia="Times New Roman" w:cs="Arial"/>
          <w:color w:val="000000"/>
          <w:lang w:val="en-US"/>
        </w:rPr>
        <w:t>Intervention</w:t>
      </w:r>
      <w:r w:rsidRPr="00F626A0">
        <w:rPr>
          <w:rFonts w:eastAsia="Times New Roman" w:cs="Arial"/>
          <w:color w:val="000000"/>
        </w:rPr>
        <w:t xml:space="preserve"> </w:t>
      </w:r>
      <w:r w:rsidRPr="00F626A0">
        <w:rPr>
          <w:rFonts w:eastAsia="Times New Roman" w:cs="Arial"/>
          <w:color w:val="000000"/>
          <w:lang w:val="en-US"/>
        </w:rPr>
        <w:t>Trial</w:t>
      </w:r>
      <w:r w:rsidRPr="00F626A0">
        <w:rPr>
          <w:rFonts w:eastAsia="Times New Roman" w:cs="Arial"/>
          <w:color w:val="000000"/>
        </w:rPr>
        <w:t xml:space="preserve"> </w:t>
      </w:r>
      <w:r w:rsidRPr="00F626A0">
        <w:rPr>
          <w:rFonts w:eastAsia="Times New Roman" w:cs="Arial"/>
          <w:color w:val="000000"/>
          <w:lang w:val="en-US"/>
        </w:rPr>
        <w:t>Evaluating</w:t>
      </w:r>
      <w:r w:rsidRPr="00F626A0">
        <w:rPr>
          <w:rFonts w:eastAsia="Times New Roman" w:cs="Arial"/>
          <w:color w:val="000000"/>
        </w:rPr>
        <w:t xml:space="preserve"> </w:t>
      </w:r>
      <w:r w:rsidRPr="00F626A0">
        <w:rPr>
          <w:rFonts w:eastAsia="Times New Roman" w:cs="Arial"/>
          <w:color w:val="000000"/>
          <w:lang w:val="en-US"/>
        </w:rPr>
        <w:t>Rosuvastatin</w:t>
      </w:r>
      <w:r w:rsidRPr="00F626A0">
        <w:rPr>
          <w:rFonts w:eastAsia="Times New Roman" w:cs="Arial"/>
          <w:color w:val="000000"/>
        </w:rPr>
        <w:t xml:space="preserve"> (</w:t>
      </w:r>
      <w:r w:rsidRPr="00F626A0">
        <w:rPr>
          <w:rFonts w:eastAsia="Times New Roman" w:cs="Arial"/>
          <w:color w:val="000000"/>
          <w:lang w:val="en-US"/>
        </w:rPr>
        <w:t>JUPITER</w:t>
      </w:r>
      <w:r w:rsidRPr="00F626A0">
        <w:rPr>
          <w:rFonts w:eastAsia="Times New Roman" w:cs="Arial"/>
          <w:color w:val="000000"/>
        </w:rPr>
        <w:t xml:space="preserve">) </w:t>
      </w:r>
      <w:r w:rsidRPr="00F626A0">
        <w:rPr>
          <w:rFonts w:eastAsia="Times New Roman" w:cs="Arial"/>
          <w:color w:val="000000"/>
          <w:lang w:eastAsia="bg-BG"/>
        </w:rPr>
        <w:t>е оценяван ефекта на розувастатин върху развитието на големи атеросклеротични сърдечносъдови инциденти е оценяван при 17 802 мъже (≥ 50 години) и жени (≥ 60 години).</w:t>
      </w:r>
    </w:p>
    <w:p w14:paraId="5296075C" w14:textId="77777777" w:rsidR="00F626A0" w:rsidRPr="00F626A0" w:rsidRDefault="00F626A0" w:rsidP="00F626A0">
      <w:pPr>
        <w:spacing w:line="240" w:lineRule="auto"/>
        <w:rPr>
          <w:rFonts w:eastAsia="Times New Roman" w:cs="Arial"/>
          <w:color w:val="000000"/>
          <w:lang w:eastAsia="bg-BG"/>
        </w:rPr>
      </w:pPr>
    </w:p>
    <w:p w14:paraId="1624333A" w14:textId="76B9D7BB"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Участниците </w:t>
      </w:r>
      <w:r w:rsidRPr="00F626A0">
        <w:rPr>
          <w:rFonts w:eastAsia="Times New Roman" w:cs="Arial"/>
          <w:i/>
          <w:iCs/>
          <w:color w:val="000000"/>
          <w:lang w:eastAsia="bg-BG"/>
        </w:rPr>
        <w:t>в</w:t>
      </w:r>
      <w:r w:rsidRPr="00F626A0">
        <w:rPr>
          <w:rFonts w:eastAsia="Times New Roman" w:cs="Arial"/>
          <w:color w:val="000000"/>
          <w:lang w:eastAsia="bg-BG"/>
        </w:rPr>
        <w:t xml:space="preserve"> проучването са рандомизирани на плацебо (</w:t>
      </w:r>
      <w:r w:rsidRPr="00F626A0">
        <w:rPr>
          <w:rFonts w:eastAsia="Times New Roman" w:cs="Arial"/>
          <w:color w:val="000000"/>
          <w:lang w:val="en-US"/>
        </w:rPr>
        <w:t>n</w:t>
      </w:r>
      <w:r w:rsidRPr="00F626A0">
        <w:rPr>
          <w:rFonts w:eastAsia="Times New Roman" w:cs="Arial"/>
          <w:color w:val="000000"/>
          <w:lang w:val="ru-RU"/>
        </w:rPr>
        <w:t>=</w:t>
      </w:r>
      <w:r w:rsidRPr="00F626A0">
        <w:rPr>
          <w:rFonts w:eastAsia="Times New Roman" w:cs="Arial"/>
          <w:color w:val="000000"/>
          <w:lang w:eastAsia="bg-BG"/>
        </w:rPr>
        <w:t xml:space="preserve">8901) или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веднъж дневно (</w:t>
      </w:r>
      <w:r w:rsidRPr="00F626A0">
        <w:rPr>
          <w:rFonts w:eastAsia="Times New Roman" w:cs="Arial"/>
          <w:color w:val="000000"/>
          <w:lang w:val="en-US"/>
        </w:rPr>
        <w:t>n</w:t>
      </w:r>
      <w:r w:rsidRPr="00F626A0">
        <w:rPr>
          <w:rFonts w:eastAsia="Times New Roman" w:cs="Arial"/>
          <w:color w:val="000000"/>
          <w:lang w:val="ru-RU"/>
        </w:rPr>
        <w:t>=</w:t>
      </w:r>
      <w:r w:rsidRPr="00F626A0">
        <w:rPr>
          <w:rFonts w:eastAsia="Times New Roman" w:cs="Arial"/>
          <w:color w:val="000000"/>
          <w:lang w:eastAsia="bg-BG"/>
        </w:rPr>
        <w:t>8901) и са проследявани при средна продължителност от 2 години.</w:t>
      </w:r>
    </w:p>
    <w:p w14:paraId="3DACFDD6" w14:textId="77777777" w:rsidR="00F626A0" w:rsidRPr="00F626A0" w:rsidRDefault="00F626A0" w:rsidP="00F626A0">
      <w:pPr>
        <w:spacing w:line="240" w:lineRule="auto"/>
        <w:rPr>
          <w:rFonts w:eastAsia="Times New Roman" w:cs="Arial"/>
          <w:color w:val="000000"/>
          <w:lang w:eastAsia="bg-BG"/>
        </w:rPr>
      </w:pPr>
    </w:p>
    <w:p w14:paraId="05CDF1C5" w14:textId="60A539F3" w:rsidR="00F626A0" w:rsidRPr="00F626A0" w:rsidRDefault="00F626A0" w:rsidP="00F626A0">
      <w:pPr>
        <w:spacing w:line="240" w:lineRule="auto"/>
        <w:rPr>
          <w:rFonts w:eastAsia="Times New Roman" w:cs="Arial"/>
        </w:rPr>
      </w:pPr>
      <w:r w:rsidRPr="00F626A0">
        <w:rPr>
          <w:rFonts w:eastAsia="Times New Roman" w:cs="Arial"/>
          <w:color w:val="000000"/>
          <w:lang w:eastAsia="bg-BG"/>
        </w:rPr>
        <w:lastRenderedPageBreak/>
        <w:t xml:space="preserve">Концентрацията на </w:t>
      </w:r>
      <w:r w:rsidRPr="00F626A0">
        <w:rPr>
          <w:rFonts w:eastAsia="Times New Roman" w:cs="Arial"/>
          <w:color w:val="000000"/>
          <w:lang w:val="en-US"/>
        </w:rPr>
        <w:t>LDL</w:t>
      </w:r>
      <w:r w:rsidRPr="00F626A0">
        <w:rPr>
          <w:rFonts w:eastAsia="Times New Roman" w:cs="Arial"/>
          <w:color w:val="000000"/>
          <w:lang w:eastAsia="bg-BG"/>
        </w:rPr>
        <w:t>-холестерол а е намалена с 45% (р&lt;0,001) в групата на розувастатин в сравнение с плацебо групата.</w:t>
      </w:r>
    </w:p>
    <w:p w14:paraId="5AD105E8" w14:textId="77777777" w:rsidR="00F626A0" w:rsidRPr="00F626A0" w:rsidRDefault="00F626A0" w:rsidP="00F626A0">
      <w:pPr>
        <w:spacing w:line="240" w:lineRule="auto"/>
        <w:rPr>
          <w:rFonts w:eastAsia="Times New Roman" w:cs="Arial"/>
          <w:color w:val="000000"/>
          <w:lang w:eastAsia="bg-BG"/>
        </w:rPr>
      </w:pPr>
    </w:p>
    <w:p w14:paraId="48C0C0CC" w14:textId="3EFF14E2" w:rsidR="00F626A0" w:rsidRPr="00F626A0" w:rsidRDefault="00F626A0" w:rsidP="00F626A0">
      <w:pPr>
        <w:spacing w:line="240" w:lineRule="auto"/>
        <w:rPr>
          <w:rFonts w:eastAsia="Times New Roman" w:cs="Arial"/>
          <w:color w:val="000000"/>
          <w:lang w:eastAsia="bg-BG"/>
        </w:rPr>
      </w:pPr>
      <w:r w:rsidRPr="00F626A0">
        <w:rPr>
          <w:rFonts w:eastAsia="Times New Roman" w:cs="Arial"/>
          <w:color w:val="000000"/>
          <w:lang w:eastAsia="bg-BG"/>
        </w:rPr>
        <w:t xml:space="preserve">При </w:t>
      </w:r>
      <w:r w:rsidRPr="00F626A0">
        <w:rPr>
          <w:rFonts w:eastAsia="Times New Roman" w:cs="Arial"/>
          <w:color w:val="000000"/>
          <w:lang w:val="en-US"/>
        </w:rPr>
        <w:t>post</w:t>
      </w:r>
      <w:r w:rsidRPr="00F626A0">
        <w:rPr>
          <w:rFonts w:eastAsia="Times New Roman" w:cs="Arial"/>
          <w:color w:val="000000"/>
          <w:lang w:val="ru-RU"/>
        </w:rPr>
        <w:t>-</w:t>
      </w:r>
      <w:r w:rsidRPr="00F626A0">
        <w:rPr>
          <w:rFonts w:eastAsia="Times New Roman" w:cs="Arial"/>
          <w:color w:val="000000"/>
          <w:lang w:val="en-US"/>
        </w:rPr>
        <w:t>hoc</w:t>
      </w:r>
      <w:r w:rsidRPr="00F626A0">
        <w:rPr>
          <w:rFonts w:eastAsia="Times New Roman" w:cs="Arial"/>
          <w:color w:val="000000"/>
          <w:lang w:val="ru-RU"/>
        </w:rPr>
        <w:t xml:space="preserve"> </w:t>
      </w:r>
      <w:r w:rsidRPr="00F626A0">
        <w:rPr>
          <w:rFonts w:eastAsia="Times New Roman" w:cs="Arial"/>
          <w:color w:val="000000"/>
          <w:lang w:eastAsia="bg-BG"/>
        </w:rPr>
        <w:t xml:space="preserve">анализ на лица в групата на висока степен на риск с основния резултат </w:t>
      </w:r>
      <w:r w:rsidRPr="00F626A0">
        <w:rPr>
          <w:rFonts w:eastAsia="Times New Roman" w:cs="Arial"/>
          <w:color w:val="000000"/>
          <w:lang w:val="en-US"/>
        </w:rPr>
        <w:t>Framingham</w:t>
      </w:r>
      <w:r w:rsidRPr="00F626A0">
        <w:rPr>
          <w:rFonts w:eastAsia="Times New Roman" w:cs="Arial"/>
          <w:color w:val="000000"/>
          <w:lang w:val="ru-RU"/>
        </w:rPr>
        <w:t xml:space="preserve"> </w:t>
      </w:r>
      <w:r w:rsidRPr="00F626A0">
        <w:rPr>
          <w:rFonts w:eastAsia="Times New Roman" w:cs="Arial"/>
          <w:color w:val="000000"/>
          <w:lang w:eastAsia="bg-BG"/>
        </w:rPr>
        <w:t xml:space="preserve">&gt; 20% (1558 лица) има значително намаление на комбинираната крайна точка от сърдечносъдова смърт, инсулт и инфаркт на миокарда (р = 0,028 ) при лечението с розувастатин в сравнение с плацебо. Абсолютното намаляване на риска в случай на 1000 пациенто-години е 8,8. Общата смъртност е непроменена в тази високо-рискова група (р=0,193). При </w:t>
      </w:r>
      <w:r w:rsidRPr="00F626A0">
        <w:rPr>
          <w:rFonts w:eastAsia="Times New Roman" w:cs="Arial"/>
          <w:color w:val="000000"/>
          <w:lang w:val="en-US"/>
        </w:rPr>
        <w:t>post</w:t>
      </w:r>
      <w:r w:rsidRPr="00F626A0">
        <w:rPr>
          <w:rFonts w:eastAsia="Times New Roman" w:cs="Arial"/>
          <w:color w:val="000000"/>
          <w:lang w:val="ru-RU"/>
        </w:rPr>
        <w:t>-</w:t>
      </w:r>
      <w:r w:rsidRPr="00F626A0">
        <w:rPr>
          <w:rFonts w:eastAsia="Times New Roman" w:cs="Arial"/>
          <w:color w:val="000000"/>
          <w:lang w:val="en-US"/>
        </w:rPr>
        <w:t>hoc</w:t>
      </w:r>
      <w:r w:rsidRPr="00F626A0">
        <w:rPr>
          <w:rFonts w:eastAsia="Times New Roman" w:cs="Arial"/>
          <w:color w:val="000000"/>
          <w:lang w:val="ru-RU"/>
        </w:rPr>
        <w:t xml:space="preserve"> </w:t>
      </w:r>
      <w:r w:rsidRPr="00F626A0">
        <w:rPr>
          <w:rFonts w:eastAsia="Times New Roman" w:cs="Arial"/>
          <w:color w:val="000000"/>
          <w:lang w:eastAsia="bg-BG"/>
        </w:rPr>
        <w:t xml:space="preserve">анализ на лица в подгрупа с висока степен на риск (9302 лица общо) с изходен риск </w:t>
      </w:r>
      <w:r w:rsidRPr="00F626A0">
        <w:rPr>
          <w:rFonts w:eastAsia="Times New Roman" w:cs="Arial"/>
          <w:color w:val="000000"/>
          <w:lang w:val="en-US"/>
        </w:rPr>
        <w:t>SCORE</w:t>
      </w:r>
      <w:r w:rsidRPr="00F626A0">
        <w:rPr>
          <w:rFonts w:eastAsia="Times New Roman" w:cs="Arial"/>
          <w:color w:val="000000"/>
          <w:lang w:val="ru-RU"/>
        </w:rPr>
        <w:t xml:space="preserve"> </w:t>
      </w:r>
      <w:r w:rsidRPr="00F626A0">
        <w:rPr>
          <w:rFonts w:eastAsia="Times New Roman" w:cs="Arial"/>
          <w:color w:val="000000"/>
          <w:lang w:eastAsia="bg-BG"/>
        </w:rPr>
        <w:t>≥ 5% (екстраполирани да се включат над 65 години) има значително намаление на комбинираната крайна точка от сърдечносъдова смърт , инсулт и инфаркт на миокарда (р = 0,0003) при лечението с розувастатин в сравнение с плацебо. Абсолютното намаление на риска в случаите е била 5,1 на 1000 пациенто-години. Общата смъртност е непроменена в тази висока рискова група (р = 0,076).</w:t>
      </w:r>
    </w:p>
    <w:p w14:paraId="664F4D8D" w14:textId="77777777" w:rsidR="00F626A0" w:rsidRPr="00F626A0" w:rsidRDefault="00F626A0" w:rsidP="00F626A0">
      <w:pPr>
        <w:spacing w:line="240" w:lineRule="auto"/>
        <w:rPr>
          <w:rFonts w:eastAsia="Times New Roman" w:cs="Arial"/>
          <w:color w:val="000000"/>
          <w:lang w:eastAsia="bg-BG"/>
        </w:rPr>
      </w:pPr>
    </w:p>
    <w:p w14:paraId="25B12EB9" w14:textId="1FDC6D06"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проучването </w:t>
      </w:r>
      <w:r w:rsidRPr="00F626A0">
        <w:rPr>
          <w:rFonts w:eastAsia="Times New Roman" w:cs="Arial"/>
          <w:color w:val="000000"/>
          <w:lang w:val="en-US"/>
        </w:rPr>
        <w:t>JUPITER</w:t>
      </w:r>
      <w:r w:rsidRPr="00F626A0">
        <w:rPr>
          <w:rFonts w:eastAsia="Times New Roman" w:cs="Arial"/>
          <w:color w:val="000000"/>
          <w:lang w:val="ru-RU"/>
        </w:rPr>
        <w:t xml:space="preserve"> </w:t>
      </w:r>
      <w:r w:rsidRPr="00F626A0">
        <w:rPr>
          <w:rFonts w:eastAsia="Times New Roman" w:cs="Arial"/>
          <w:color w:val="000000"/>
          <w:lang w:eastAsia="bg-BG"/>
        </w:rPr>
        <w:t>6,6% от групата на розувастатин и 6,2% от плацебо групата пациенти, са преустановили използването на изпитваното лекарство поради нежелана реакция. Най-</w:t>
      </w:r>
    </w:p>
    <w:p w14:paraId="7F34CA25" w14:textId="77777777" w:rsidR="00F626A0" w:rsidRPr="00F626A0" w:rsidRDefault="00F626A0" w:rsidP="00F626A0">
      <w:pPr>
        <w:rPr>
          <w:rFonts w:eastAsia="Times New Roman" w:cs="Arial"/>
        </w:rPr>
      </w:pPr>
      <w:r w:rsidRPr="00F626A0">
        <w:rPr>
          <w:rFonts w:eastAsia="Times New Roman" w:cs="Arial"/>
          <w:color w:val="000000"/>
          <w:lang w:eastAsia="bg-BG"/>
        </w:rPr>
        <w:t xml:space="preserve">честите нежелани реакции, които довеждат до прекратяване на лечението са:миалгия (0,3% при розувастатин, 0,2% плацебо), коремна болка (0,03% при розувастатин, </w:t>
      </w:r>
      <w:r w:rsidRPr="00F626A0">
        <w:rPr>
          <w:rFonts w:eastAsia="Times New Roman" w:cs="Arial"/>
          <w:color w:val="000000"/>
          <w:lang w:val="ru-RU"/>
        </w:rPr>
        <w:t>0,02%</w:t>
      </w:r>
      <w:r w:rsidRPr="00F626A0">
        <w:rPr>
          <w:rFonts w:eastAsia="Times New Roman" w:cs="Arial"/>
          <w:color w:val="000000"/>
          <w:lang w:eastAsia="bg-BG"/>
        </w:rPr>
        <w:t xml:space="preserve"> плацебо) и обрив (0,02% при розувастатин, 0,03% плацебо). Най-честите нежелани реакции с честота по-голяма или равна на плацебо са инфекция на пикочните пътища (8,7% при розувастатин, 8.6% плацебо), назофарингит (7,6% при розувастатин, 7,2% плацебо), болки в гърба (7,6% при розувастатин, 6,9% плацебо) и миалгия (7,6% при розувастатин, 6.6% плацебо).</w:t>
      </w:r>
    </w:p>
    <w:p w14:paraId="2541738A" w14:textId="77777777" w:rsidR="00F626A0" w:rsidRPr="00F626A0" w:rsidRDefault="00F626A0" w:rsidP="00F626A0">
      <w:pPr>
        <w:spacing w:line="240" w:lineRule="auto"/>
        <w:rPr>
          <w:rFonts w:eastAsia="Times New Roman" w:cs="Arial"/>
          <w:color w:val="000000"/>
          <w:u w:val="single"/>
          <w:lang w:eastAsia="bg-BG"/>
        </w:rPr>
      </w:pPr>
    </w:p>
    <w:p w14:paraId="273BFA4F" w14:textId="27EC09D2" w:rsidR="00F626A0" w:rsidRPr="00F626A0" w:rsidRDefault="00F626A0" w:rsidP="00F626A0">
      <w:pPr>
        <w:spacing w:line="240" w:lineRule="auto"/>
        <w:rPr>
          <w:rFonts w:eastAsia="Times New Roman" w:cs="Arial"/>
        </w:rPr>
      </w:pPr>
      <w:r w:rsidRPr="00F626A0">
        <w:rPr>
          <w:rFonts w:eastAsia="Times New Roman" w:cs="Arial"/>
          <w:color w:val="000000"/>
          <w:u w:val="single"/>
          <w:lang w:eastAsia="bg-BG"/>
        </w:rPr>
        <w:t>Педиатрична популация</w:t>
      </w:r>
    </w:p>
    <w:p w14:paraId="42FE6EC2" w14:textId="77777777" w:rsidR="00F626A0" w:rsidRPr="00F626A0" w:rsidRDefault="00F626A0" w:rsidP="00F626A0">
      <w:pPr>
        <w:spacing w:line="240" w:lineRule="auto"/>
        <w:rPr>
          <w:rFonts w:eastAsia="Times New Roman" w:cs="Arial"/>
        </w:rPr>
      </w:pPr>
      <w:r w:rsidRPr="00F626A0">
        <w:rPr>
          <w:rFonts w:eastAsia="Times New Roman" w:cs="Arial"/>
          <w:color w:val="000000"/>
          <w:lang w:eastAsia="bg-BG"/>
        </w:rPr>
        <w:t>В двойносляпо, рандомизирано, мултицентрово, плацебо-контролирано, 12-седмично проучване (</w:t>
      </w:r>
      <w:r w:rsidRPr="00F626A0">
        <w:rPr>
          <w:rFonts w:eastAsia="Times New Roman" w:cs="Arial"/>
          <w:color w:val="000000"/>
          <w:lang w:val="en-US"/>
        </w:rPr>
        <w:t>n</w:t>
      </w:r>
      <w:r w:rsidRPr="00F626A0">
        <w:rPr>
          <w:rFonts w:eastAsia="Times New Roman" w:cs="Arial"/>
          <w:color w:val="000000"/>
          <w:lang w:eastAsia="bg-BG"/>
        </w:rPr>
        <w:t xml:space="preserve">=176, 97 от мъжки пол и 79 от женски пол), </w:t>
      </w:r>
      <w:r w:rsidRPr="00F626A0">
        <w:rPr>
          <w:rFonts w:eastAsia="Times New Roman" w:cs="Arial"/>
          <w:i/>
          <w:iCs/>
          <w:color w:val="000000"/>
          <w:lang w:eastAsia="bg-BG"/>
        </w:rPr>
        <w:t>последвано от</w:t>
      </w:r>
      <w:r w:rsidRPr="00F626A0">
        <w:rPr>
          <w:rFonts w:eastAsia="Times New Roman" w:cs="Arial"/>
          <w:color w:val="000000"/>
          <w:lang w:eastAsia="bg-BG"/>
        </w:rPr>
        <w:t xml:space="preserve"> 40-седмична, открита фаза с титриране на дозата на розувастатин </w:t>
      </w:r>
      <w:r w:rsidRPr="00F626A0">
        <w:rPr>
          <w:rFonts w:eastAsia="Times New Roman" w:cs="Arial"/>
          <w:color w:val="000000"/>
          <w:lang w:val="ru-RU"/>
        </w:rPr>
        <w:t>(</w:t>
      </w:r>
      <w:r w:rsidRPr="00F626A0">
        <w:rPr>
          <w:rFonts w:eastAsia="Times New Roman" w:cs="Arial"/>
          <w:color w:val="000000"/>
          <w:lang w:val="en-US"/>
        </w:rPr>
        <w:t>N</w:t>
      </w:r>
      <w:r w:rsidRPr="00F626A0">
        <w:rPr>
          <w:rFonts w:eastAsia="Times New Roman" w:cs="Arial"/>
          <w:color w:val="000000"/>
          <w:lang w:val="ru-RU"/>
        </w:rPr>
        <w:t xml:space="preserve"> </w:t>
      </w:r>
      <w:r w:rsidRPr="00F626A0">
        <w:rPr>
          <w:rFonts w:eastAsia="Times New Roman" w:cs="Arial"/>
          <w:color w:val="000000"/>
          <w:lang w:eastAsia="bg-BG"/>
        </w:rPr>
        <w:t xml:space="preserve">= 173, 96 от мъжки пол и 77 от женски пол), пациенти на възраст 10-17 години (стадий </w:t>
      </w:r>
      <w:r w:rsidRPr="00F626A0">
        <w:rPr>
          <w:rFonts w:eastAsia="Times New Roman" w:cs="Arial"/>
          <w:color w:val="000000"/>
          <w:lang w:val="en-US"/>
        </w:rPr>
        <w:t>II</w:t>
      </w:r>
      <w:r w:rsidRPr="00F626A0">
        <w:rPr>
          <w:rFonts w:eastAsia="Times New Roman" w:cs="Arial"/>
          <w:color w:val="000000"/>
          <w:lang w:val="ru-RU"/>
        </w:rPr>
        <w:t>-</w:t>
      </w:r>
      <w:r w:rsidRPr="00F626A0">
        <w:rPr>
          <w:rFonts w:eastAsia="Times New Roman" w:cs="Arial"/>
          <w:color w:val="000000"/>
          <w:lang w:val="en-US"/>
        </w:rPr>
        <w:t>V</w:t>
      </w:r>
      <w:r w:rsidRPr="00F626A0">
        <w:rPr>
          <w:rFonts w:eastAsia="Times New Roman" w:cs="Arial"/>
          <w:color w:val="000000"/>
          <w:lang w:val="ru-RU"/>
        </w:rPr>
        <w:t xml:space="preserve"> </w:t>
      </w:r>
      <w:r w:rsidRPr="00F626A0">
        <w:rPr>
          <w:rFonts w:eastAsia="Times New Roman" w:cs="Arial"/>
          <w:color w:val="000000"/>
          <w:lang w:eastAsia="bg-BG"/>
        </w:rPr>
        <w:t xml:space="preserve">по </w:t>
      </w:r>
      <w:r w:rsidRPr="00F626A0">
        <w:rPr>
          <w:rFonts w:eastAsia="Times New Roman" w:cs="Arial"/>
          <w:color w:val="000000"/>
          <w:lang w:val="en-US"/>
        </w:rPr>
        <w:t>Tanner</w:t>
      </w:r>
      <w:r w:rsidRPr="00F626A0">
        <w:rPr>
          <w:rFonts w:eastAsia="Times New Roman" w:cs="Arial"/>
          <w:color w:val="000000"/>
          <w:lang w:val="ru-RU"/>
        </w:rPr>
        <w:t xml:space="preserve">, </w:t>
      </w:r>
      <w:r w:rsidRPr="00F626A0">
        <w:rPr>
          <w:rFonts w:eastAsia="Times New Roman" w:cs="Arial"/>
          <w:color w:val="000000"/>
          <w:lang w:eastAsia="bg-BG"/>
        </w:rPr>
        <w:t xml:space="preserve">момичета поне 1 година след началото на менструацията) с хетерозиготна фамилна хиперхолестеролемия получиха розувастатин 5, 10 или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или плацебо дневно за 12 седмици, а след това всички получаваха розувастатин дневно в продължение на 40 седмици. При включване в проучването, приблизително 30% от пациентите са били 10-13 годишни и приблизително 17%, 18%, 40% и 25% са били съответно в стадий II, </w:t>
      </w:r>
      <w:r w:rsidRPr="00F626A0">
        <w:rPr>
          <w:rFonts w:eastAsia="Times New Roman" w:cs="Arial"/>
          <w:color w:val="000000"/>
          <w:lang w:val="en-US"/>
        </w:rPr>
        <w:t>III</w:t>
      </w:r>
      <w:r w:rsidRPr="00F626A0">
        <w:rPr>
          <w:rFonts w:eastAsia="Times New Roman" w:cs="Arial"/>
          <w:color w:val="000000"/>
          <w:lang w:val="ru-RU"/>
        </w:rPr>
        <w:t xml:space="preserve">, </w:t>
      </w:r>
      <w:r w:rsidRPr="00F626A0">
        <w:rPr>
          <w:rFonts w:eastAsia="Times New Roman" w:cs="Arial"/>
          <w:color w:val="000000"/>
          <w:lang w:eastAsia="bg-BG"/>
        </w:rPr>
        <w:t xml:space="preserve">IV, V по </w:t>
      </w:r>
      <w:r w:rsidRPr="00F626A0">
        <w:rPr>
          <w:rFonts w:eastAsia="Times New Roman" w:cs="Arial"/>
          <w:color w:val="000000"/>
          <w:lang w:val="en-US"/>
        </w:rPr>
        <w:t>Tanner</w:t>
      </w:r>
      <w:r w:rsidRPr="00F626A0">
        <w:rPr>
          <w:rFonts w:eastAsia="Times New Roman" w:cs="Arial"/>
          <w:color w:val="000000"/>
          <w:lang w:val="ru-RU"/>
        </w:rPr>
        <w:t>.</w:t>
      </w:r>
    </w:p>
    <w:p w14:paraId="4CE018B8" w14:textId="77777777" w:rsidR="00F626A0" w:rsidRPr="00F626A0" w:rsidRDefault="00F626A0" w:rsidP="00F626A0">
      <w:pPr>
        <w:spacing w:line="240" w:lineRule="auto"/>
        <w:rPr>
          <w:rFonts w:eastAsia="Times New Roman" w:cs="Arial"/>
          <w:color w:val="000000"/>
          <w:lang w:val="en-US"/>
        </w:rPr>
      </w:pPr>
    </w:p>
    <w:p w14:paraId="35EBDBF3" w14:textId="5AFA3C17" w:rsidR="00F626A0" w:rsidRPr="00F626A0" w:rsidRDefault="00F626A0" w:rsidP="00F626A0">
      <w:pPr>
        <w:spacing w:line="240" w:lineRule="auto"/>
        <w:rPr>
          <w:rFonts w:eastAsia="Times New Roman" w:cs="Arial"/>
        </w:rPr>
      </w:pPr>
      <w:r w:rsidRPr="00F626A0">
        <w:rPr>
          <w:rFonts w:eastAsia="Times New Roman" w:cs="Arial"/>
          <w:color w:val="000000"/>
          <w:lang w:val="en-US"/>
        </w:rPr>
        <w:t>LDL</w:t>
      </w:r>
      <w:r w:rsidRPr="00F626A0">
        <w:rPr>
          <w:rFonts w:eastAsia="Times New Roman" w:cs="Arial"/>
          <w:color w:val="000000"/>
          <w:lang w:eastAsia="bg-BG"/>
        </w:rPr>
        <w:t xml:space="preserve">-холестеролът е понижен 38,3%, 44,6% и 50,0% от розувастатин 5, 10 и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съответно, в сравнение с 0,7% за плацебо.</w:t>
      </w:r>
    </w:p>
    <w:p w14:paraId="2EDF5B5E" w14:textId="77777777" w:rsidR="00F626A0" w:rsidRPr="00F626A0" w:rsidRDefault="00F626A0" w:rsidP="00F626A0">
      <w:pPr>
        <w:spacing w:line="240" w:lineRule="auto"/>
        <w:rPr>
          <w:rFonts w:eastAsia="Times New Roman" w:cs="Arial"/>
          <w:color w:val="000000"/>
          <w:lang w:eastAsia="bg-BG"/>
        </w:rPr>
      </w:pPr>
    </w:p>
    <w:p w14:paraId="3461BA17" w14:textId="4C2126EE"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края на 40-седмичното, открито, целящо титриране, при дозиране до максимум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веднъж дневно, 70 от 173 пациенти (40,5%) са постигнали целта за </w:t>
      </w:r>
      <w:r w:rsidRPr="00F626A0">
        <w:rPr>
          <w:rFonts w:eastAsia="Times New Roman" w:cs="Arial"/>
          <w:color w:val="000000"/>
          <w:lang w:val="en-US"/>
        </w:rPr>
        <w:t>LDL</w:t>
      </w:r>
      <w:r w:rsidRPr="00F626A0">
        <w:rPr>
          <w:rFonts w:eastAsia="Times New Roman" w:cs="Arial"/>
          <w:color w:val="000000"/>
          <w:lang w:eastAsia="bg-BG"/>
        </w:rPr>
        <w:t xml:space="preserve">-холестерол по-малко от 2,8 </w:t>
      </w:r>
      <w:r w:rsidRPr="00F626A0">
        <w:rPr>
          <w:rFonts w:eastAsia="Times New Roman" w:cs="Arial"/>
          <w:color w:val="000000"/>
          <w:lang w:val="en-US"/>
        </w:rPr>
        <w:t>mmol</w:t>
      </w:r>
      <w:r w:rsidRPr="00F626A0">
        <w:rPr>
          <w:rFonts w:eastAsia="Times New Roman" w:cs="Arial"/>
          <w:color w:val="000000"/>
          <w:lang w:val="ru-RU"/>
        </w:rPr>
        <w:t>/</w:t>
      </w:r>
      <w:r w:rsidRPr="00F626A0">
        <w:rPr>
          <w:rFonts w:eastAsia="Times New Roman" w:cs="Arial"/>
          <w:color w:val="000000"/>
          <w:lang w:val="en-US"/>
        </w:rPr>
        <w:t>l</w:t>
      </w:r>
      <w:r w:rsidRPr="00F626A0">
        <w:rPr>
          <w:rFonts w:eastAsia="Times New Roman" w:cs="Arial"/>
          <w:color w:val="000000"/>
          <w:lang w:val="ru-RU"/>
        </w:rPr>
        <w:t>.</w:t>
      </w:r>
    </w:p>
    <w:p w14:paraId="0AAA111B" w14:textId="77777777" w:rsidR="00F626A0" w:rsidRPr="00F626A0" w:rsidRDefault="00F626A0" w:rsidP="00F626A0">
      <w:pPr>
        <w:spacing w:line="240" w:lineRule="auto"/>
        <w:rPr>
          <w:rFonts w:eastAsia="Times New Roman" w:cs="Arial"/>
          <w:color w:val="000000"/>
          <w:lang w:eastAsia="bg-BG"/>
        </w:rPr>
      </w:pPr>
    </w:p>
    <w:p w14:paraId="242CE2C4" w14:textId="49C0F5FF" w:rsidR="00F626A0" w:rsidRPr="00F626A0" w:rsidRDefault="00F626A0" w:rsidP="00F626A0">
      <w:pPr>
        <w:spacing w:line="240" w:lineRule="auto"/>
        <w:rPr>
          <w:rFonts w:eastAsia="Times New Roman" w:cs="Arial"/>
        </w:rPr>
      </w:pPr>
      <w:r w:rsidRPr="00F626A0">
        <w:rPr>
          <w:rFonts w:eastAsia="Times New Roman" w:cs="Arial"/>
          <w:color w:val="000000"/>
          <w:lang w:eastAsia="bg-BG"/>
        </w:rPr>
        <w:t>След 52 седмици на изследваното лечение, не е установен ефект върху растежа, теглото, ИТМ или половото съзряване (вж. раздел 4.4). Това проучване (</w:t>
      </w:r>
      <w:r w:rsidRPr="00F626A0">
        <w:rPr>
          <w:rFonts w:eastAsia="Times New Roman" w:cs="Arial"/>
          <w:color w:val="000000"/>
          <w:lang w:val="en-US"/>
        </w:rPr>
        <w:t>n</w:t>
      </w:r>
      <w:r w:rsidRPr="00F626A0">
        <w:rPr>
          <w:rFonts w:eastAsia="Times New Roman" w:cs="Arial"/>
          <w:color w:val="000000"/>
          <w:lang w:eastAsia="bg-BG"/>
        </w:rPr>
        <w:t>=176) не е предназначен за сравняване на редки нежелани лекарствени реакции.</w:t>
      </w:r>
    </w:p>
    <w:p w14:paraId="08E94637" w14:textId="77777777" w:rsidR="00F626A0" w:rsidRPr="00F626A0" w:rsidRDefault="00F626A0" w:rsidP="00F626A0">
      <w:pPr>
        <w:spacing w:line="240" w:lineRule="auto"/>
        <w:rPr>
          <w:rFonts w:eastAsia="Times New Roman" w:cs="Arial"/>
          <w:color w:val="000000"/>
          <w:lang w:eastAsia="bg-BG"/>
        </w:rPr>
      </w:pPr>
    </w:p>
    <w:p w14:paraId="69044DF2" w14:textId="395EE7A4"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Розувастатин е изследван и в 2-годишно открито клинично проучване с титриране на дозата до желаната доза при 198 деца с хетерозиготна фамилна хиперхолестеролемия </w:t>
      </w:r>
      <w:r w:rsidRPr="00F626A0">
        <w:rPr>
          <w:rFonts w:eastAsia="Times New Roman" w:cs="Arial"/>
          <w:color w:val="000000"/>
          <w:lang w:eastAsia="bg-BG"/>
        </w:rPr>
        <w:lastRenderedPageBreak/>
        <w:t xml:space="preserve">на възраст от 6 до 17 години (88 момчета и 110 момичета, стадий по Танер </w:t>
      </w:r>
      <w:r w:rsidRPr="00F626A0">
        <w:rPr>
          <w:rFonts w:eastAsia="Times New Roman" w:cs="Arial"/>
          <w:color w:val="000000"/>
          <w:lang w:val="ru-RU"/>
        </w:rPr>
        <w:t>&lt;</w:t>
      </w:r>
      <w:r w:rsidRPr="00F626A0">
        <w:rPr>
          <w:rFonts w:eastAsia="Times New Roman" w:cs="Arial"/>
          <w:color w:val="000000"/>
          <w:lang w:val="en-US"/>
        </w:rPr>
        <w:t>II</w:t>
      </w:r>
      <w:r w:rsidRPr="00F626A0">
        <w:rPr>
          <w:rFonts w:eastAsia="Times New Roman" w:cs="Arial"/>
          <w:color w:val="000000"/>
          <w:lang w:val="ru-RU"/>
        </w:rPr>
        <w:t>-</w:t>
      </w:r>
      <w:r w:rsidRPr="00F626A0">
        <w:rPr>
          <w:rFonts w:eastAsia="Times New Roman" w:cs="Arial"/>
          <w:color w:val="000000"/>
          <w:lang w:val="en-US"/>
        </w:rPr>
        <w:t>V</w:t>
      </w:r>
      <w:r w:rsidRPr="00F626A0">
        <w:rPr>
          <w:rFonts w:eastAsia="Times New Roman" w:cs="Arial"/>
          <w:color w:val="000000"/>
          <w:lang w:val="ru-RU"/>
        </w:rPr>
        <w:t xml:space="preserve">). </w:t>
      </w:r>
      <w:r w:rsidRPr="00F626A0">
        <w:rPr>
          <w:rFonts w:eastAsia="Times New Roman" w:cs="Arial"/>
          <w:color w:val="000000"/>
          <w:lang w:eastAsia="bg-BG"/>
        </w:rPr>
        <w:t xml:space="preserve">Началната доза за всички пациенти е 5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розувастатин веднъж дневно. При пациенти на възраст от 6 до 9 години (</w:t>
      </w:r>
      <w:r w:rsidRPr="00F626A0">
        <w:rPr>
          <w:rFonts w:eastAsia="Times New Roman" w:cs="Arial"/>
          <w:color w:val="000000"/>
          <w:lang w:val="en-US"/>
        </w:rPr>
        <w:t>n</w:t>
      </w:r>
      <w:r w:rsidRPr="00F626A0">
        <w:rPr>
          <w:rFonts w:eastAsia="Times New Roman" w:cs="Arial"/>
          <w:color w:val="000000"/>
          <w:lang w:eastAsia="bg-BG"/>
        </w:rPr>
        <w:t xml:space="preserve"> = 64) дозата може да се титрира до максимална доза от 10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веднъж дневно, а при пациенти на възраст от 10 до 17 години </w:t>
      </w:r>
      <w:r w:rsidRPr="00F626A0">
        <w:rPr>
          <w:rFonts w:eastAsia="Times New Roman" w:cs="Arial"/>
          <w:color w:val="000000"/>
          <w:lang w:val="ru-RU"/>
        </w:rPr>
        <w:t>(</w:t>
      </w:r>
      <w:r w:rsidRPr="00F626A0">
        <w:rPr>
          <w:rFonts w:eastAsia="Times New Roman" w:cs="Arial"/>
          <w:color w:val="000000"/>
          <w:lang w:val="en-US"/>
        </w:rPr>
        <w:t>n</w:t>
      </w:r>
      <w:r w:rsidRPr="00F626A0">
        <w:rPr>
          <w:rFonts w:eastAsia="Times New Roman" w:cs="Arial"/>
          <w:color w:val="000000"/>
          <w:lang w:val="ru-RU"/>
        </w:rPr>
        <w:t xml:space="preserve"> </w:t>
      </w:r>
      <w:r w:rsidRPr="00F626A0">
        <w:rPr>
          <w:rFonts w:eastAsia="Times New Roman" w:cs="Arial"/>
          <w:color w:val="000000"/>
          <w:lang w:eastAsia="bg-BG"/>
        </w:rPr>
        <w:t xml:space="preserve">= 134) до максимална доза от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веднъж дневно.</w:t>
      </w:r>
    </w:p>
    <w:p w14:paraId="7D507473" w14:textId="77777777" w:rsidR="00F626A0" w:rsidRPr="00F626A0" w:rsidRDefault="00F626A0" w:rsidP="00F626A0">
      <w:pPr>
        <w:spacing w:line="240" w:lineRule="auto"/>
        <w:rPr>
          <w:rFonts w:eastAsia="Times New Roman" w:cs="Arial"/>
          <w:color w:val="000000"/>
          <w:lang w:eastAsia="bg-BG"/>
        </w:rPr>
      </w:pPr>
    </w:p>
    <w:p w14:paraId="652F2776" w14:textId="783751F7"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След 24-месечно лечение с розувастатин, </w:t>
      </w:r>
      <w:r w:rsidRPr="00F626A0">
        <w:rPr>
          <w:rFonts w:eastAsia="Times New Roman" w:cs="Arial"/>
          <w:color w:val="000000"/>
          <w:lang w:val="en-US"/>
        </w:rPr>
        <w:t>LS</w:t>
      </w:r>
      <w:r w:rsidRPr="00F626A0">
        <w:rPr>
          <w:rFonts w:eastAsia="Times New Roman" w:cs="Arial"/>
          <w:color w:val="000000"/>
          <w:lang w:val="ru-RU"/>
        </w:rPr>
        <w:t xml:space="preserve"> </w:t>
      </w:r>
      <w:r w:rsidRPr="00F626A0">
        <w:rPr>
          <w:rFonts w:eastAsia="Times New Roman" w:cs="Arial"/>
          <w:color w:val="000000"/>
          <w:lang w:eastAsia="bg-BG"/>
        </w:rPr>
        <w:t xml:space="preserve">на средния процент на намаление на </w:t>
      </w:r>
      <w:r w:rsidRPr="00F626A0">
        <w:rPr>
          <w:rFonts w:eastAsia="Times New Roman" w:cs="Arial"/>
          <w:color w:val="000000"/>
          <w:lang w:val="en-US"/>
        </w:rPr>
        <w:t>LDL</w:t>
      </w:r>
      <w:r w:rsidRPr="00F626A0">
        <w:rPr>
          <w:rFonts w:eastAsia="Times New Roman" w:cs="Arial"/>
          <w:color w:val="000000"/>
          <w:lang w:eastAsia="bg-BG"/>
        </w:rPr>
        <w:t xml:space="preserve">- холестерол спрямо изходната стойност е -43% (изходно ниво: 236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месец 24: 133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За всяка възрастова група, </w:t>
      </w:r>
      <w:r w:rsidRPr="00F626A0">
        <w:rPr>
          <w:rFonts w:eastAsia="Times New Roman" w:cs="Arial"/>
          <w:color w:val="000000"/>
          <w:lang w:val="en-US"/>
        </w:rPr>
        <w:t>LS</w:t>
      </w:r>
      <w:r w:rsidRPr="00F626A0">
        <w:rPr>
          <w:rFonts w:eastAsia="Times New Roman" w:cs="Arial"/>
          <w:color w:val="000000"/>
          <w:lang w:val="ru-RU"/>
        </w:rPr>
        <w:t xml:space="preserve"> </w:t>
      </w:r>
      <w:r w:rsidRPr="00F626A0">
        <w:rPr>
          <w:rFonts w:eastAsia="Times New Roman" w:cs="Arial"/>
          <w:color w:val="000000"/>
          <w:lang w:eastAsia="bg-BG"/>
        </w:rPr>
        <w:t xml:space="preserve">на средния процент на намаление на </w:t>
      </w:r>
      <w:r w:rsidRPr="00F626A0">
        <w:rPr>
          <w:rFonts w:eastAsia="Times New Roman" w:cs="Arial"/>
          <w:color w:val="000000"/>
          <w:lang w:val="en-US"/>
        </w:rPr>
        <w:t>LDL</w:t>
      </w:r>
      <w:r w:rsidRPr="00F626A0">
        <w:rPr>
          <w:rFonts w:eastAsia="Times New Roman" w:cs="Arial"/>
          <w:color w:val="000000"/>
          <w:lang w:eastAsia="bg-BG"/>
        </w:rPr>
        <w:t xml:space="preserve">-холестерол спрямо изходната стойност е -43% (изходно ниво: 234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месец 24: 124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- 45% (изходно ниво: 234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124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и -35% (изходно ниво: 241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месец 24: 153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във възрастови групи 6 до &lt;10, 10 до &lt;14, и 14 до &lt;18 съответно.</w:t>
      </w:r>
    </w:p>
    <w:p w14:paraId="49A1DC34" w14:textId="77777777" w:rsidR="00F626A0" w:rsidRPr="00F626A0" w:rsidRDefault="00F626A0" w:rsidP="00F626A0">
      <w:pPr>
        <w:spacing w:line="240" w:lineRule="auto"/>
        <w:rPr>
          <w:rFonts w:eastAsia="Times New Roman" w:cs="Arial"/>
          <w:color w:val="000000"/>
          <w:lang w:eastAsia="bg-BG"/>
        </w:rPr>
      </w:pPr>
    </w:p>
    <w:p w14:paraId="5D09BEF2" w14:textId="12906C92"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Розувастатин 5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 10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и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също постигна статистически значими средни промени спрямо изходното ниво за следните вторични показатели на липиди и липопротеините: </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ТС,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val="en-US"/>
        </w:rPr>
        <w:t>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 xml:space="preserve"> </w:t>
      </w:r>
      <w:r w:rsidRPr="00F626A0">
        <w:rPr>
          <w:rFonts w:eastAsia="Times New Roman" w:cs="Arial"/>
          <w:color w:val="000000"/>
          <w:lang w:eastAsia="bg-BG"/>
        </w:rPr>
        <w:t xml:space="preserve">-С, </w:t>
      </w:r>
      <w:r w:rsidRPr="00F626A0">
        <w:rPr>
          <w:rFonts w:eastAsia="Times New Roman" w:cs="Arial"/>
          <w:color w:val="000000"/>
          <w:lang w:val="en-US"/>
        </w:rPr>
        <w:t>TG</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без </w:t>
      </w:r>
      <w:r w:rsidRPr="00F626A0">
        <w:rPr>
          <w:rFonts w:eastAsia="Times New Roman" w:cs="Arial"/>
          <w:color w:val="000000"/>
          <w:lang w:val="en-US"/>
        </w:rPr>
        <w:t>HDL</w:t>
      </w:r>
      <w:r w:rsidRPr="00F626A0">
        <w:rPr>
          <w:rFonts w:eastAsia="Times New Roman" w:cs="Arial"/>
          <w:color w:val="000000"/>
          <w:lang w:val="ru-RU"/>
        </w:rPr>
        <w:t xml:space="preserve"> </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АроВ, АроВ/АроА- 1. Всяка от тези промени е в посока на подобрен липиден отговор и се поддържа в продължение на 2 години.</w:t>
      </w:r>
    </w:p>
    <w:p w14:paraId="76373F74" w14:textId="77777777" w:rsidR="00F626A0" w:rsidRPr="00F626A0" w:rsidRDefault="00F626A0" w:rsidP="00F626A0">
      <w:pPr>
        <w:spacing w:line="240" w:lineRule="auto"/>
        <w:rPr>
          <w:rFonts w:eastAsia="Times New Roman" w:cs="Arial"/>
          <w:color w:val="000000"/>
          <w:lang w:eastAsia="bg-BG"/>
        </w:rPr>
      </w:pPr>
    </w:p>
    <w:p w14:paraId="59EF2507" w14:textId="61899573" w:rsidR="00F626A0" w:rsidRPr="00F626A0" w:rsidRDefault="00F626A0" w:rsidP="00F626A0">
      <w:pPr>
        <w:spacing w:line="240" w:lineRule="auto"/>
        <w:rPr>
          <w:rFonts w:eastAsia="Times New Roman" w:cs="Arial"/>
        </w:rPr>
      </w:pPr>
      <w:r w:rsidRPr="00F626A0">
        <w:rPr>
          <w:rFonts w:eastAsia="Times New Roman" w:cs="Arial"/>
          <w:color w:val="000000"/>
          <w:lang w:eastAsia="bg-BG"/>
        </w:rPr>
        <w:t>Не е установен ефект върху растежа, теглото, ИТМ или половото съзряване след 24 месеца лечение (вж. точка 4.4).</w:t>
      </w:r>
    </w:p>
    <w:p w14:paraId="14D7E408" w14:textId="77777777" w:rsidR="00F626A0" w:rsidRPr="00F626A0" w:rsidRDefault="00F626A0" w:rsidP="00F626A0">
      <w:pPr>
        <w:spacing w:line="240" w:lineRule="auto"/>
        <w:rPr>
          <w:rFonts w:eastAsia="Times New Roman" w:cs="Arial"/>
          <w:color w:val="000000"/>
          <w:lang w:eastAsia="bg-BG"/>
        </w:rPr>
      </w:pPr>
    </w:p>
    <w:p w14:paraId="466C5296" w14:textId="408A4DCF"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Розувастатин е проучен в рандомизирано, двойносляпо, плацебо-контролирано, многоцентрово, кръстосано проучване с доза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веднъж дневно, спрямо плацебо при 14 деца и юноши (на възраст 6 до 17 години) с хомозиготна фамилна хиперхолестеролемия. Проучването включва активна 4-седмична встъпителна фаза на диета, по време на която пациентите са лекувани розувастатин 10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една кръстосана фаза, която включва период от 6 седмично лечение с</w:t>
      </w:r>
    </w:p>
    <w:p w14:paraId="44A9248D" w14:textId="3953B49D" w:rsidR="00F626A0" w:rsidRPr="00F626A0" w:rsidRDefault="00F626A0" w:rsidP="00F626A0">
      <w:pPr>
        <w:spacing w:line="240" w:lineRule="auto"/>
        <w:rPr>
          <w:rFonts w:eastAsia="Times New Roman" w:cs="Arial"/>
          <w:color w:val="000000"/>
          <w:lang w:val="en-US"/>
        </w:rPr>
      </w:pPr>
      <w:r w:rsidRPr="00F626A0">
        <w:rPr>
          <w:rFonts w:eastAsia="Times New Roman" w:cs="Arial"/>
          <w:color w:val="000000"/>
          <w:lang w:eastAsia="bg-BG"/>
        </w:rPr>
        <w:t xml:space="preserve">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предшествана или последвана от 6-седмично лечение с плацебо и</w:t>
      </w:r>
      <w:r w:rsidRPr="00F626A0">
        <w:rPr>
          <w:rFonts w:eastAsia="Times New Roman" w:cs="Arial"/>
          <w:color w:val="000000"/>
          <w:vertAlign w:val="superscript"/>
          <w:lang w:eastAsia="bg-BG"/>
        </w:rPr>
        <w:t xml:space="preserve"> </w:t>
      </w:r>
      <w:r w:rsidRPr="00F626A0">
        <w:rPr>
          <w:rFonts w:eastAsia="Times New Roman" w:cs="Arial"/>
          <w:color w:val="000000"/>
          <w:lang w:eastAsia="bg-BG"/>
        </w:rPr>
        <w:t>поддържаща 12-седмична фаза, през която всички пациенти са лекувани с розувастатин 20</w:t>
      </w:r>
      <w:r w:rsidRPr="00F626A0">
        <w:rPr>
          <w:rFonts w:eastAsia="Times New Roman" w:cs="Arial"/>
          <w:color w:val="000000"/>
          <w:lang w:val="en-US"/>
        </w:rPr>
        <w:t>mg</w:t>
      </w:r>
    </w:p>
    <w:p w14:paraId="5B44BD3B" w14:textId="771C643C" w:rsidR="00F626A0" w:rsidRPr="00F626A0" w:rsidRDefault="00F626A0" w:rsidP="00F626A0">
      <w:pPr>
        <w:spacing w:line="240" w:lineRule="auto"/>
        <w:rPr>
          <w:rFonts w:eastAsia="Times New Roman" w:cs="Arial"/>
          <w:color w:val="000000"/>
          <w:lang w:val="en-US"/>
        </w:rPr>
      </w:pPr>
    </w:p>
    <w:p w14:paraId="2ED3C88A" w14:textId="77777777" w:rsidR="00F626A0" w:rsidRPr="00F626A0" w:rsidRDefault="00F626A0" w:rsidP="00F626A0">
      <w:pPr>
        <w:spacing w:line="240" w:lineRule="auto"/>
        <w:rPr>
          <w:rFonts w:eastAsia="Times New Roman" w:cs="Arial"/>
        </w:rPr>
      </w:pPr>
      <w:r w:rsidRPr="00F626A0">
        <w:rPr>
          <w:rFonts w:eastAsia="Times New Roman" w:cs="Arial"/>
          <w:color w:val="000000"/>
          <w:lang w:eastAsia="bg-BG"/>
        </w:rPr>
        <w:t>Пациентите, които постъпват в проучването на терапия с езетимиб или афераза, продължават лечението си през целия период на проучването.</w:t>
      </w:r>
    </w:p>
    <w:p w14:paraId="3FA0FB24" w14:textId="77777777" w:rsidR="00F626A0" w:rsidRPr="00F626A0" w:rsidRDefault="00F626A0" w:rsidP="00F626A0">
      <w:pPr>
        <w:spacing w:line="240" w:lineRule="auto"/>
        <w:rPr>
          <w:rFonts w:eastAsia="Times New Roman" w:cs="Arial"/>
          <w:color w:val="000000"/>
          <w:lang w:eastAsia="bg-BG"/>
        </w:rPr>
      </w:pPr>
    </w:p>
    <w:p w14:paraId="0DC11D05" w14:textId="5C04CFB3"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Статистически сигнификантно (р=0,005) намаление на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(22,3%, 85,4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или 2,2 </w:t>
      </w:r>
      <w:r w:rsidRPr="00F626A0">
        <w:rPr>
          <w:rFonts w:eastAsia="Times New Roman" w:cs="Arial"/>
          <w:color w:val="000000"/>
          <w:lang w:val="en-US"/>
        </w:rPr>
        <w:t>mmol</w:t>
      </w:r>
      <w:r w:rsidRPr="00F626A0">
        <w:rPr>
          <w:rFonts w:eastAsia="Times New Roman" w:cs="Arial"/>
          <w:color w:val="000000"/>
          <w:lang w:val="ru-RU"/>
        </w:rPr>
        <w:t>/</w:t>
      </w:r>
      <w:r w:rsidRPr="00F626A0">
        <w:rPr>
          <w:rFonts w:eastAsia="Times New Roman" w:cs="Arial"/>
          <w:color w:val="000000"/>
          <w:lang w:val="en-US"/>
        </w:rPr>
        <w:t>L</w:t>
      </w:r>
      <w:r w:rsidRPr="00F626A0">
        <w:rPr>
          <w:rFonts w:eastAsia="Times New Roman" w:cs="Arial"/>
          <w:color w:val="000000"/>
          <w:lang w:val="ru-RU"/>
        </w:rPr>
        <w:t xml:space="preserve">) </w:t>
      </w:r>
      <w:r w:rsidRPr="00F626A0">
        <w:rPr>
          <w:rFonts w:eastAsia="Times New Roman" w:cs="Arial"/>
          <w:color w:val="000000"/>
          <w:lang w:eastAsia="bg-BG"/>
        </w:rPr>
        <w:t xml:space="preserve">е наблюдавано след 6 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в сравнение с плацебо. Наблюдавани са статистически значими намаления в общия холестерол (20,1%, р=0,003), в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(22,9%, р=0,003) и в АроВ (17,1%, р=0,024). Понижаване също се наблюдава на триглицеридите, съотношенията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общ</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 xml:space="preserve">- </w:t>
      </w:r>
      <w:r w:rsidRPr="00F626A0">
        <w:rPr>
          <w:rFonts w:eastAsia="Times New Roman" w:cs="Arial"/>
          <w:color w:val="000000"/>
          <w:lang w:eastAsia="bg-BG"/>
        </w:rPr>
        <w:t xml:space="preserve">С и АроВ/АроА-1 след 6-седмици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 сравнение с плацебо. Намалението на </w:t>
      </w:r>
      <w:r w:rsidRPr="00F626A0">
        <w:rPr>
          <w:rFonts w:eastAsia="Times New Roman" w:cs="Arial"/>
          <w:color w:val="000000"/>
          <w:lang w:val="en-US"/>
        </w:rPr>
        <w:t>LDL</w:t>
      </w:r>
      <w:r w:rsidRPr="00F626A0">
        <w:rPr>
          <w:rFonts w:eastAsia="Times New Roman" w:cs="Arial"/>
          <w:color w:val="000000"/>
          <w:lang w:eastAsia="bg-BG"/>
        </w:rPr>
        <w:t xml:space="preserve">-С след 6 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последвано от 6 седмици на лечение с палцебо се запазва в рамките на 12- седмично непрекъснато лечение. Един пациент е имал по-нататъшно понижаване на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(8,0%), общ -С (6,7%) и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(7,4%) след 6-седмично лечение с 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след титриране на дозата.</w:t>
      </w:r>
    </w:p>
    <w:p w14:paraId="392BC861" w14:textId="77777777" w:rsidR="00F626A0" w:rsidRPr="00F626A0" w:rsidRDefault="00F626A0" w:rsidP="00F626A0">
      <w:pPr>
        <w:spacing w:line="240" w:lineRule="auto"/>
        <w:rPr>
          <w:rFonts w:eastAsia="Times New Roman" w:cs="Arial"/>
          <w:color w:val="000000"/>
          <w:lang w:eastAsia="bg-BG"/>
        </w:rPr>
      </w:pPr>
    </w:p>
    <w:p w14:paraId="4482F5D9" w14:textId="1DCF6A40"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По време на разширено отворено проучване, при 9 от тези пациенти на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розувастатин за период не по-дълъг от 90 седмици, понижението на </w:t>
      </w:r>
      <w:r w:rsidRPr="00F626A0">
        <w:rPr>
          <w:rFonts w:eastAsia="Times New Roman" w:cs="Arial"/>
          <w:color w:val="000000"/>
          <w:lang w:val="en-US"/>
        </w:rPr>
        <w:t>LDL</w:t>
      </w:r>
      <w:r w:rsidRPr="00F626A0">
        <w:rPr>
          <w:rFonts w:eastAsia="Times New Roman" w:cs="Arial"/>
          <w:color w:val="000000"/>
          <w:lang w:eastAsia="bg-BG"/>
        </w:rPr>
        <w:t>-С се запазва в рамките на -12,1% до - 21,3%.</w:t>
      </w:r>
    </w:p>
    <w:p w14:paraId="742F9F40" w14:textId="77777777" w:rsidR="00F626A0" w:rsidRPr="00F626A0" w:rsidRDefault="00F626A0" w:rsidP="00F626A0">
      <w:pPr>
        <w:spacing w:line="240" w:lineRule="auto"/>
        <w:rPr>
          <w:rFonts w:eastAsia="Times New Roman" w:cs="Arial"/>
          <w:color w:val="000000"/>
          <w:lang w:eastAsia="bg-BG"/>
        </w:rPr>
      </w:pPr>
    </w:p>
    <w:p w14:paraId="6F1E660A" w14:textId="5FB314BE" w:rsidR="00F626A0" w:rsidRPr="00F626A0" w:rsidRDefault="00F626A0" w:rsidP="00F626A0">
      <w:pPr>
        <w:spacing w:line="240" w:lineRule="auto"/>
        <w:rPr>
          <w:rFonts w:eastAsia="Times New Roman" w:cs="Arial"/>
        </w:rPr>
      </w:pPr>
      <w:r w:rsidRPr="00F626A0">
        <w:rPr>
          <w:rFonts w:eastAsia="Times New Roman" w:cs="Arial"/>
          <w:color w:val="000000"/>
          <w:lang w:eastAsia="bg-BG"/>
        </w:rPr>
        <w:lastRenderedPageBreak/>
        <w:t xml:space="preserve">При 7-те оценявани деца и юноши (на възраст 8 до 17 години) с хомозиготна фамилна хиперхолестеролемия от отвореното проучване с форсирано титриране (вж. по-горе), процентното понижение на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(21,0%), общ-С (19,2%), и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(21,0%) от изходното ниво, след 6 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е в съответствие с тези, наблюдавани в посоченото по-горе проучване при деца и юноши с хомозиготна фамилна хиперхолестеролемия.</w:t>
      </w:r>
    </w:p>
    <w:p w14:paraId="50447D4C" w14:textId="77777777" w:rsidR="00F626A0" w:rsidRPr="00F626A0" w:rsidRDefault="00F626A0" w:rsidP="00F626A0">
      <w:pPr>
        <w:spacing w:line="240" w:lineRule="auto"/>
        <w:rPr>
          <w:rFonts w:eastAsia="Times New Roman" w:cs="Arial"/>
          <w:color w:val="000000"/>
          <w:lang w:eastAsia="bg-BG"/>
        </w:rPr>
      </w:pPr>
    </w:p>
    <w:p w14:paraId="7C3D7029" w14:textId="61FD5F79" w:rsidR="00F626A0" w:rsidRPr="00F626A0" w:rsidRDefault="00F626A0" w:rsidP="00F626A0">
      <w:pPr>
        <w:spacing w:line="240" w:lineRule="auto"/>
        <w:rPr>
          <w:rFonts w:eastAsia="Times New Roman" w:cs="Arial"/>
        </w:rPr>
      </w:pPr>
      <w:r w:rsidRPr="00F626A0">
        <w:rPr>
          <w:rFonts w:eastAsia="Times New Roman" w:cs="Arial"/>
          <w:color w:val="000000"/>
          <w:lang w:eastAsia="bg-BG"/>
        </w:rPr>
        <w:t>Европейската агенция по лекарствата освобождава от задължението за предоставяне на резултатите от проучванията с розувастатин във всички подгрупи на педиатричната популация при лечение на хомозиготна фамилна хиперхолестеролемия, първична комбинирана (смесена) дислипидемия и за профилактика на сърдечносъдовите събития (вж. точка 4.2 за информация относно употреба в педиатрията).</w:t>
      </w:r>
    </w:p>
    <w:p w14:paraId="3AFF3A05" w14:textId="3AC0D19B" w:rsidR="00F80502" w:rsidRPr="00F626A0" w:rsidRDefault="00F80502" w:rsidP="00F626A0"/>
    <w:p w14:paraId="78DD93AA" w14:textId="1235F3BD" w:rsidR="00B6672E" w:rsidRDefault="002C50EE" w:rsidP="00936AD0">
      <w:pPr>
        <w:pStyle w:val="Heading2"/>
      </w:pPr>
      <w:r>
        <w:t>5.2. Фармакокинетични свойства</w:t>
      </w:r>
    </w:p>
    <w:p w14:paraId="3AD457A0" w14:textId="7F327747" w:rsidR="00F626A0" w:rsidRDefault="00F626A0" w:rsidP="00F626A0"/>
    <w:p w14:paraId="4921B2AE" w14:textId="77777777" w:rsidR="00F626A0" w:rsidRPr="00F626A0" w:rsidRDefault="00F626A0" w:rsidP="00F626A0">
      <w:pPr>
        <w:pStyle w:val="Heading3"/>
        <w:rPr>
          <w:rFonts w:eastAsia="Times New Roman"/>
          <w:u w:val="single"/>
        </w:rPr>
      </w:pPr>
      <w:r w:rsidRPr="00F626A0">
        <w:rPr>
          <w:rFonts w:eastAsia="Times New Roman"/>
          <w:u w:val="single"/>
          <w:lang w:eastAsia="bg-BG"/>
        </w:rPr>
        <w:t>Абсорбция</w:t>
      </w:r>
    </w:p>
    <w:p w14:paraId="2CD09614"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Максимални плазмени нива на розувастатин се достигат 5 часа след перорално приложение. Абсолютната бионаличност е приблизително 20%.</w:t>
      </w:r>
    </w:p>
    <w:p w14:paraId="56B49821" w14:textId="77777777" w:rsidR="00F626A0" w:rsidRPr="00F626A0" w:rsidRDefault="00F626A0" w:rsidP="00F626A0">
      <w:pPr>
        <w:spacing w:line="240" w:lineRule="auto"/>
        <w:rPr>
          <w:rFonts w:eastAsia="Times New Roman" w:cs="Arial"/>
          <w:color w:val="000000"/>
          <w:u w:val="single"/>
          <w:lang w:eastAsia="bg-BG"/>
        </w:rPr>
      </w:pPr>
    </w:p>
    <w:p w14:paraId="591A4113" w14:textId="3195B103" w:rsidR="00F626A0" w:rsidRPr="00F626A0" w:rsidRDefault="00F626A0" w:rsidP="00F626A0">
      <w:pPr>
        <w:pStyle w:val="Heading3"/>
        <w:rPr>
          <w:rFonts w:eastAsia="Times New Roman"/>
          <w:u w:val="single"/>
        </w:rPr>
      </w:pPr>
      <w:r w:rsidRPr="00F626A0">
        <w:rPr>
          <w:rFonts w:eastAsia="Times New Roman"/>
          <w:u w:val="single"/>
          <w:lang w:eastAsia="bg-BG"/>
        </w:rPr>
        <w:t>Разпределение</w:t>
      </w:r>
    </w:p>
    <w:p w14:paraId="5F3F5E80"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Розувастатин се поема основно от черния дроб, който е основното място на синтезиране на холестерола и отделяне на </w:t>
      </w:r>
      <w:r w:rsidRPr="00F626A0">
        <w:rPr>
          <w:rFonts w:eastAsia="Times New Roman" w:cs="Arial"/>
          <w:color w:val="000000"/>
          <w:lang w:val="en-US"/>
        </w:rPr>
        <w:t>LDL</w:t>
      </w:r>
      <w:r w:rsidRPr="00F626A0">
        <w:rPr>
          <w:rFonts w:eastAsia="Times New Roman" w:cs="Arial"/>
          <w:color w:val="000000"/>
          <w:lang w:eastAsia="bg-BG"/>
        </w:rPr>
        <w:t>-С. Обемът на разпределение на розувастатин е приблизително 134 1. Розувастатин се свързва с плазмените протеини, предимно албумина, приблизително в 90%.</w:t>
      </w:r>
    </w:p>
    <w:p w14:paraId="414FE875" w14:textId="77777777" w:rsidR="00F626A0" w:rsidRPr="00F626A0" w:rsidRDefault="00F626A0" w:rsidP="00F626A0">
      <w:pPr>
        <w:spacing w:line="240" w:lineRule="auto"/>
        <w:rPr>
          <w:rFonts w:eastAsia="Times New Roman" w:cs="Arial"/>
          <w:color w:val="000000"/>
          <w:u w:val="single"/>
          <w:lang w:eastAsia="bg-BG"/>
        </w:rPr>
      </w:pPr>
    </w:p>
    <w:p w14:paraId="1D194438" w14:textId="4719BC0C" w:rsidR="00F626A0" w:rsidRPr="00F626A0" w:rsidRDefault="00F626A0" w:rsidP="00F626A0">
      <w:pPr>
        <w:pStyle w:val="Heading3"/>
        <w:rPr>
          <w:rFonts w:eastAsia="Times New Roman"/>
          <w:u w:val="single"/>
        </w:rPr>
      </w:pPr>
      <w:r w:rsidRPr="00F626A0">
        <w:rPr>
          <w:rFonts w:eastAsia="Times New Roman"/>
          <w:u w:val="single"/>
          <w:lang w:eastAsia="bg-BG"/>
        </w:rPr>
        <w:t>Биотрансформация</w:t>
      </w:r>
    </w:p>
    <w:p w14:paraId="6D5AEB83"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Метаболизмът на розувастатин е ограничен (около 10%). </w:t>
      </w:r>
      <w:r w:rsidRPr="00F626A0">
        <w:rPr>
          <w:rFonts w:eastAsia="Times New Roman" w:cs="Arial"/>
          <w:i/>
          <w:iCs/>
          <w:color w:val="000000"/>
          <w:lang w:val="en-US"/>
        </w:rPr>
        <w:t>In</w:t>
      </w:r>
      <w:r w:rsidRPr="00F626A0">
        <w:rPr>
          <w:rFonts w:eastAsia="Times New Roman" w:cs="Arial"/>
          <w:i/>
          <w:iCs/>
          <w:color w:val="000000"/>
          <w:lang w:val="ru-RU"/>
        </w:rPr>
        <w:t xml:space="preserve"> </w:t>
      </w:r>
      <w:r w:rsidRPr="00F626A0">
        <w:rPr>
          <w:rFonts w:eastAsia="Times New Roman" w:cs="Arial"/>
          <w:i/>
          <w:iCs/>
          <w:color w:val="000000"/>
          <w:lang w:val="en-US"/>
        </w:rPr>
        <w:t>vitro</w:t>
      </w:r>
      <w:r w:rsidRPr="00F626A0">
        <w:rPr>
          <w:rFonts w:eastAsia="Times New Roman" w:cs="Arial"/>
          <w:color w:val="000000"/>
          <w:lang w:val="ru-RU"/>
        </w:rPr>
        <w:t xml:space="preserve"> </w:t>
      </w:r>
      <w:r w:rsidRPr="00F626A0">
        <w:rPr>
          <w:rFonts w:eastAsia="Times New Roman" w:cs="Arial"/>
          <w:color w:val="000000"/>
          <w:lang w:eastAsia="bg-BG"/>
        </w:rPr>
        <w:t xml:space="preserve">проучвания на метаболизма с използване на човешки хепатоцити показват, че розувастатин е слаб субстрат за цитохром Р450 обусловен метаболизъм. СУР 2С9 е основния изоензим, който участва в метаболизма на розувастатин, </w:t>
      </w:r>
      <w:r w:rsidRPr="00F626A0">
        <w:rPr>
          <w:rFonts w:eastAsia="Times New Roman" w:cs="Arial"/>
          <w:color w:val="000000"/>
          <w:lang w:val="en-US"/>
        </w:rPr>
        <w:t>a</w:t>
      </w:r>
      <w:r w:rsidRPr="00F626A0">
        <w:rPr>
          <w:rFonts w:eastAsia="Times New Roman" w:cs="Arial"/>
          <w:color w:val="000000"/>
          <w:lang w:val="ru-RU"/>
        </w:rPr>
        <w:t xml:space="preserve"> </w:t>
      </w:r>
      <w:r w:rsidRPr="00F626A0">
        <w:rPr>
          <w:rFonts w:eastAsia="Times New Roman" w:cs="Arial"/>
          <w:color w:val="000000"/>
          <w:lang w:eastAsia="bg-BG"/>
        </w:rPr>
        <w:t xml:space="preserve">2С19, ЗА4 и </w:t>
      </w:r>
      <w:r w:rsidRPr="00F626A0">
        <w:rPr>
          <w:rFonts w:eastAsia="Times New Roman" w:cs="Arial"/>
          <w:color w:val="000000"/>
          <w:lang w:val="ru-RU"/>
        </w:rPr>
        <w:t>2</w:t>
      </w:r>
      <w:r w:rsidRPr="00F626A0">
        <w:rPr>
          <w:rFonts w:eastAsia="Times New Roman" w:cs="Arial"/>
          <w:color w:val="000000"/>
          <w:lang w:val="en-US"/>
        </w:rPr>
        <w:t>D</w:t>
      </w:r>
      <w:r w:rsidRPr="00F626A0">
        <w:rPr>
          <w:rFonts w:eastAsia="Times New Roman" w:cs="Arial"/>
          <w:color w:val="000000"/>
          <w:lang w:val="ru-RU"/>
        </w:rPr>
        <w:t xml:space="preserve">6 </w:t>
      </w:r>
      <w:r w:rsidRPr="00F626A0">
        <w:rPr>
          <w:rFonts w:eastAsia="Times New Roman" w:cs="Arial"/>
          <w:color w:val="000000"/>
          <w:lang w:eastAsia="bg-BG"/>
        </w:rPr>
        <w:t xml:space="preserve">участват в по-малка степен. Основните метаболити са </w:t>
      </w:r>
      <w:r w:rsidRPr="00F626A0">
        <w:rPr>
          <w:rFonts w:eastAsia="Times New Roman" w:cs="Arial"/>
          <w:color w:val="000000"/>
          <w:lang w:val="en-US"/>
        </w:rPr>
        <w:t>N</w:t>
      </w:r>
      <w:r w:rsidRPr="00F626A0">
        <w:rPr>
          <w:rFonts w:eastAsia="Times New Roman" w:cs="Arial"/>
          <w:color w:val="000000"/>
          <w:lang w:val="ru-RU"/>
        </w:rPr>
        <w:t xml:space="preserve">- </w:t>
      </w:r>
      <w:r w:rsidRPr="00F626A0">
        <w:rPr>
          <w:rFonts w:eastAsia="Times New Roman" w:cs="Arial"/>
          <w:color w:val="000000"/>
          <w:lang w:eastAsia="bg-BG"/>
        </w:rPr>
        <w:t xml:space="preserve">дезметил и лактон. </w:t>
      </w:r>
      <w:r w:rsidRPr="00F626A0">
        <w:rPr>
          <w:rFonts w:eastAsia="Times New Roman" w:cs="Arial"/>
          <w:color w:val="000000"/>
          <w:lang w:val="en-US"/>
        </w:rPr>
        <w:t>N</w:t>
      </w:r>
      <w:r w:rsidRPr="00F626A0">
        <w:rPr>
          <w:rFonts w:eastAsia="Times New Roman" w:cs="Arial"/>
          <w:color w:val="000000"/>
          <w:lang w:eastAsia="bg-BG"/>
        </w:rPr>
        <w:t>-дезметил е около 50% по-малко активен в сравнение с розувастатин, докато лактон се счита за клинично неактивен. Розувастатин определя повече от 90%</w:t>
      </w:r>
      <w:r w:rsidRPr="00F626A0">
        <w:rPr>
          <w:rFonts w:eastAsia="Times New Roman" w:cs="Arial"/>
          <w:color w:val="000000"/>
          <w:lang w:val="ru-RU"/>
        </w:rPr>
        <w:t xml:space="preserve"> </w:t>
      </w:r>
      <w:r w:rsidRPr="00F626A0">
        <w:rPr>
          <w:rFonts w:eastAsia="Times New Roman" w:cs="Arial"/>
          <w:color w:val="000000"/>
          <w:lang w:eastAsia="bg-BG"/>
        </w:rPr>
        <w:t xml:space="preserve">от активността на циркулиращия </w:t>
      </w:r>
      <w:r w:rsidRPr="00F626A0">
        <w:rPr>
          <w:rFonts w:eastAsia="Times New Roman" w:cs="Arial"/>
          <w:color w:val="000000"/>
          <w:lang w:val="en-US"/>
        </w:rPr>
        <w:t>HMG</w:t>
      </w:r>
      <w:r w:rsidRPr="00F626A0">
        <w:rPr>
          <w:rFonts w:eastAsia="Times New Roman" w:cs="Arial"/>
          <w:color w:val="000000"/>
          <w:lang w:val="ru-RU"/>
        </w:rPr>
        <w:t>-</w:t>
      </w:r>
      <w:r w:rsidRPr="00F626A0">
        <w:rPr>
          <w:rFonts w:eastAsia="Times New Roman" w:cs="Arial"/>
          <w:color w:val="000000"/>
          <w:lang w:val="en-US"/>
        </w:rPr>
        <w:t>CoA</w:t>
      </w:r>
      <w:r w:rsidRPr="00F626A0">
        <w:rPr>
          <w:rFonts w:eastAsia="Times New Roman" w:cs="Arial"/>
          <w:color w:val="000000"/>
          <w:lang w:val="ru-RU"/>
        </w:rPr>
        <w:t xml:space="preserve"> </w:t>
      </w:r>
      <w:r w:rsidRPr="00F626A0">
        <w:rPr>
          <w:rFonts w:eastAsia="Times New Roman" w:cs="Arial"/>
          <w:color w:val="000000"/>
          <w:lang w:eastAsia="bg-BG"/>
        </w:rPr>
        <w:t>инхибитор на редуктазата.</w:t>
      </w:r>
    </w:p>
    <w:p w14:paraId="64C07A1E" w14:textId="77777777" w:rsidR="00F626A0" w:rsidRPr="00F626A0" w:rsidRDefault="00F626A0" w:rsidP="00F626A0">
      <w:pPr>
        <w:spacing w:line="240" w:lineRule="auto"/>
        <w:rPr>
          <w:rFonts w:eastAsia="Times New Roman" w:cs="Arial"/>
          <w:color w:val="000000"/>
          <w:u w:val="single"/>
          <w:lang w:eastAsia="bg-BG"/>
        </w:rPr>
      </w:pPr>
    </w:p>
    <w:p w14:paraId="5409F241" w14:textId="3160AC58" w:rsidR="00F626A0" w:rsidRPr="00F626A0" w:rsidRDefault="00F626A0" w:rsidP="00F626A0">
      <w:pPr>
        <w:pStyle w:val="Heading3"/>
        <w:rPr>
          <w:rFonts w:eastAsia="Times New Roman"/>
          <w:u w:val="single"/>
        </w:rPr>
      </w:pPr>
      <w:r w:rsidRPr="00F626A0">
        <w:rPr>
          <w:rFonts w:eastAsia="Times New Roman"/>
          <w:u w:val="single"/>
          <w:lang w:eastAsia="bg-BG"/>
        </w:rPr>
        <w:t>Елиминиране</w:t>
      </w:r>
    </w:p>
    <w:p w14:paraId="2C4851A4" w14:textId="77777777" w:rsidR="00F626A0" w:rsidRPr="00F626A0" w:rsidRDefault="00F626A0" w:rsidP="00F626A0">
      <w:pPr>
        <w:rPr>
          <w:rFonts w:eastAsia="Times New Roman" w:cs="Arial"/>
          <w:sz w:val="24"/>
          <w:szCs w:val="24"/>
        </w:rPr>
      </w:pPr>
      <w:r w:rsidRPr="00F626A0">
        <w:rPr>
          <w:rFonts w:eastAsia="Times New Roman" w:cs="Arial"/>
          <w:color w:val="000000"/>
          <w:lang w:eastAsia="bg-BG"/>
        </w:rPr>
        <w:t xml:space="preserve">Приблизително 90% от розувастатин се елиминират като непроменено </w:t>
      </w:r>
      <w:r w:rsidRPr="00F626A0">
        <w:rPr>
          <w:rFonts w:eastAsia="Times New Roman" w:cs="Arial"/>
          <w:i/>
          <w:iCs/>
          <w:color w:val="000000"/>
          <w:lang w:eastAsia="bg-BG"/>
        </w:rPr>
        <w:t xml:space="preserve">лекарство с фекалиите </w:t>
      </w:r>
      <w:r w:rsidRPr="00F626A0">
        <w:rPr>
          <w:rFonts w:eastAsia="Times New Roman" w:cs="Arial"/>
          <w:color w:val="000000"/>
          <w:lang w:eastAsia="bg-BG"/>
        </w:rPr>
        <w:t>(абсорбирано и неабсорбирано лекарствено вещество), като останалата част са екскретира с урината. Около 5 % се екскретира непроменен в урината. Плазменият полуживот е около 20</w:t>
      </w:r>
      <w:r w:rsidRPr="00F626A0">
        <w:rPr>
          <w:rFonts w:eastAsia="Times New Roman" w:cs="Arial"/>
          <w:color w:val="000000"/>
          <w:lang w:val="ru-RU" w:eastAsia="bg-BG"/>
        </w:rPr>
        <w:t xml:space="preserve"> </w:t>
      </w:r>
      <w:r w:rsidRPr="00F626A0">
        <w:rPr>
          <w:rFonts w:eastAsia="Times New Roman" w:cs="Arial"/>
          <w:color w:val="000000"/>
          <w:lang w:eastAsia="bg-BG"/>
        </w:rPr>
        <w:t>часа. Елиминационният полуживот не се увеличава с увеличаване на дозата. Средният плазмен клирънс е приблизително 50 литра/час (коефициент на вариабилност 21,7 %). Както при други инхибитори на редуктазата чернодробното поемане на розувастатин включва мембранния преносител ОАТР-С. Този преносител е важен за чернодробното елиминиране на розувастатин.</w:t>
      </w:r>
    </w:p>
    <w:p w14:paraId="1FEE1958" w14:textId="77777777" w:rsidR="00F626A0" w:rsidRPr="00F626A0" w:rsidRDefault="00F626A0" w:rsidP="00F626A0">
      <w:pPr>
        <w:spacing w:line="240" w:lineRule="auto"/>
        <w:rPr>
          <w:rFonts w:eastAsia="Times New Roman" w:cs="Arial"/>
          <w:color w:val="000000"/>
          <w:u w:val="single"/>
          <w:lang w:eastAsia="bg-BG"/>
        </w:rPr>
      </w:pPr>
    </w:p>
    <w:p w14:paraId="6D70B9AC" w14:textId="2F105087" w:rsidR="00F626A0" w:rsidRPr="00F626A0" w:rsidRDefault="00F626A0" w:rsidP="00F626A0">
      <w:pPr>
        <w:spacing w:line="240" w:lineRule="auto"/>
        <w:rPr>
          <w:rFonts w:eastAsia="Times New Roman" w:cs="Arial"/>
          <w:color w:val="000000"/>
          <w:u w:val="single"/>
          <w:lang w:eastAsia="bg-BG"/>
        </w:rPr>
      </w:pPr>
      <w:r w:rsidRPr="00F626A0">
        <w:rPr>
          <w:rFonts w:eastAsia="Times New Roman" w:cs="Arial"/>
          <w:color w:val="000000"/>
          <w:u w:val="single"/>
          <w:lang w:eastAsia="bg-BG"/>
        </w:rPr>
        <w:t>Линейност/нелинейност</w:t>
      </w:r>
    </w:p>
    <w:p w14:paraId="188FE510"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Системната експозиция на розувастатин се увеличава пропорционално на приеманата доза. Няма промяна във фармакокинетичните параметри при многократно дозиране.</w:t>
      </w:r>
    </w:p>
    <w:p w14:paraId="514CA928" w14:textId="77777777" w:rsidR="00F626A0" w:rsidRPr="00F626A0" w:rsidRDefault="00F626A0" w:rsidP="00F626A0">
      <w:pPr>
        <w:spacing w:line="240" w:lineRule="auto"/>
        <w:rPr>
          <w:rFonts w:eastAsia="Times New Roman" w:cs="Arial"/>
          <w:b/>
          <w:bCs/>
          <w:color w:val="000000"/>
          <w:lang w:eastAsia="bg-BG"/>
        </w:rPr>
      </w:pPr>
    </w:p>
    <w:p w14:paraId="635347BD" w14:textId="0C4F17B1" w:rsidR="00F626A0" w:rsidRPr="00F626A0" w:rsidRDefault="00F626A0" w:rsidP="00F626A0">
      <w:pPr>
        <w:spacing w:line="240" w:lineRule="auto"/>
        <w:rPr>
          <w:rFonts w:eastAsia="Times New Roman" w:cs="Arial"/>
          <w:sz w:val="24"/>
          <w:szCs w:val="24"/>
        </w:rPr>
      </w:pPr>
      <w:r w:rsidRPr="00F626A0">
        <w:rPr>
          <w:rFonts w:eastAsia="Times New Roman" w:cs="Arial"/>
          <w:b/>
          <w:bCs/>
          <w:color w:val="000000"/>
          <w:lang w:eastAsia="bg-BG"/>
        </w:rPr>
        <w:t>Специални популации:</w:t>
      </w:r>
    </w:p>
    <w:p w14:paraId="4315CA61" w14:textId="77777777" w:rsidR="00F626A0" w:rsidRPr="00F626A0" w:rsidRDefault="00F626A0" w:rsidP="00F626A0">
      <w:pPr>
        <w:spacing w:line="240" w:lineRule="auto"/>
        <w:rPr>
          <w:rFonts w:eastAsia="Times New Roman" w:cs="Arial"/>
          <w:i/>
          <w:iCs/>
          <w:color w:val="000000"/>
          <w:lang w:eastAsia="bg-BG"/>
        </w:rPr>
      </w:pPr>
    </w:p>
    <w:p w14:paraId="0CF40EF5" w14:textId="050244CB"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Възраст и пол</w:t>
      </w:r>
    </w:p>
    <w:p w14:paraId="09EE72B2"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Възрастта или полът нямат клинично значим ефект върху фармакокинетиката на розувастатин при възрастни. Експозицията при деца и юноши с хетерозиготна фамилна хиперхолестеролемия изглежда сравнима или по-ниска от тази при възрастни пациенти с дислипидемия (вж. "Педиатрична популация" по-долу).</w:t>
      </w:r>
    </w:p>
    <w:p w14:paraId="7EFAAA87" w14:textId="77777777" w:rsidR="00F626A0" w:rsidRPr="00F626A0" w:rsidRDefault="00F626A0" w:rsidP="00F626A0">
      <w:pPr>
        <w:spacing w:line="240" w:lineRule="auto"/>
        <w:rPr>
          <w:rFonts w:eastAsia="Times New Roman" w:cs="Arial"/>
          <w:i/>
          <w:iCs/>
          <w:color w:val="000000"/>
          <w:lang w:eastAsia="bg-BG"/>
        </w:rPr>
      </w:pPr>
    </w:p>
    <w:p w14:paraId="1BB2D827" w14:textId="3601D2A4"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Раса</w:t>
      </w:r>
    </w:p>
    <w:p w14:paraId="371B2091"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Фармакокинетичните проучвания показват, че при индивиди от азиатската раса (японци, китайци, филипинци, виетнамци и корейци), се наблюдава двукратно повишаване в средната </w:t>
      </w:r>
      <w:r w:rsidRPr="00F626A0">
        <w:rPr>
          <w:rFonts w:eastAsia="Times New Roman" w:cs="Arial"/>
          <w:color w:val="000000"/>
          <w:lang w:val="en-US"/>
        </w:rPr>
        <w:t>AUC</w:t>
      </w:r>
      <w:r w:rsidRPr="00F626A0">
        <w:rPr>
          <w:rFonts w:eastAsia="Times New Roman" w:cs="Arial"/>
          <w:color w:val="000000"/>
          <w:lang w:val="ru-RU"/>
        </w:rPr>
        <w:t xml:space="preserve"> </w:t>
      </w:r>
      <w:r w:rsidRPr="00F626A0">
        <w:rPr>
          <w:rFonts w:eastAsia="Times New Roman" w:cs="Arial"/>
          <w:color w:val="000000"/>
          <w:lang w:eastAsia="bg-BG"/>
        </w:rPr>
        <w:t>и С</w:t>
      </w:r>
      <w:r w:rsidRPr="00F626A0">
        <w:rPr>
          <w:rFonts w:eastAsia="Times New Roman" w:cs="Arial"/>
          <w:color w:val="000000"/>
          <w:vertAlign w:val="subscript"/>
          <w:lang w:val="en-US"/>
        </w:rPr>
        <w:t>max</w:t>
      </w:r>
      <w:r w:rsidRPr="00F626A0">
        <w:rPr>
          <w:rFonts w:eastAsia="Times New Roman" w:cs="Arial"/>
          <w:color w:val="000000"/>
          <w:lang w:eastAsia="bg-BG"/>
        </w:rPr>
        <w:t xml:space="preserve">, отколкото при индивиди от кавказката раса. При индийци е налице повишаване </w:t>
      </w:r>
      <w:r w:rsidRPr="00F626A0">
        <w:rPr>
          <w:rFonts w:eastAsia="Times New Roman" w:cs="Arial"/>
          <w:i/>
          <w:iCs/>
          <w:color w:val="000000"/>
          <w:lang w:eastAsia="bg-BG"/>
        </w:rPr>
        <w:t xml:space="preserve">на </w:t>
      </w:r>
      <w:r w:rsidRPr="00F626A0">
        <w:rPr>
          <w:rFonts w:eastAsia="Times New Roman" w:cs="Arial"/>
          <w:color w:val="000000"/>
          <w:lang w:val="en-US"/>
        </w:rPr>
        <w:t>AUC</w:t>
      </w:r>
      <w:r w:rsidRPr="00F626A0">
        <w:rPr>
          <w:rFonts w:eastAsia="Times New Roman" w:cs="Arial"/>
          <w:color w:val="000000"/>
          <w:lang w:val="ru-RU"/>
        </w:rPr>
        <w:t xml:space="preserve"> </w:t>
      </w:r>
      <w:r w:rsidRPr="00F626A0">
        <w:rPr>
          <w:rFonts w:eastAsia="Times New Roman" w:cs="Arial"/>
          <w:color w:val="000000"/>
          <w:lang w:eastAsia="bg-BG"/>
        </w:rPr>
        <w:t>и С</w:t>
      </w:r>
      <w:r w:rsidRPr="00F626A0">
        <w:rPr>
          <w:rFonts w:eastAsia="Times New Roman" w:cs="Arial"/>
          <w:color w:val="000000"/>
          <w:vertAlign w:val="subscript"/>
          <w:lang w:val="en-US"/>
        </w:rPr>
        <w:t>max</w:t>
      </w:r>
      <w:r w:rsidRPr="00F626A0">
        <w:rPr>
          <w:rFonts w:eastAsia="Times New Roman" w:cs="Arial"/>
          <w:color w:val="000000"/>
          <w:lang w:eastAsia="bg-BG"/>
        </w:rPr>
        <w:t xml:space="preserve"> 1,3 пъти. Един популационен фармакокинетичен анализ показва, че между индивидите от кавказката и от черната раса няма клинично значими различия.</w:t>
      </w:r>
    </w:p>
    <w:p w14:paraId="7A9E69D7" w14:textId="77777777" w:rsidR="00F626A0" w:rsidRPr="00F626A0" w:rsidRDefault="00F626A0" w:rsidP="00F626A0">
      <w:pPr>
        <w:spacing w:line="240" w:lineRule="auto"/>
        <w:rPr>
          <w:rFonts w:eastAsia="Times New Roman" w:cs="Arial"/>
          <w:i/>
          <w:iCs/>
          <w:color w:val="000000"/>
          <w:lang w:eastAsia="bg-BG"/>
        </w:rPr>
      </w:pPr>
    </w:p>
    <w:p w14:paraId="26BD30B2" w14:textId="716CEBC9"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Бъбречно увреждане</w:t>
      </w:r>
    </w:p>
    <w:p w14:paraId="4301E439"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В едно проучване на лица с различна степен на бъбречно увреждане, лекото до умерено бъбречно заболяване не е повлияло плазмените концентрации на розувастатин или на неговия </w:t>
      </w:r>
      <w:r w:rsidRPr="00F626A0">
        <w:rPr>
          <w:rFonts w:eastAsia="Times New Roman" w:cs="Arial"/>
          <w:color w:val="000000"/>
          <w:lang w:val="en-US"/>
        </w:rPr>
        <w:t>N</w:t>
      </w:r>
      <w:r w:rsidRPr="00F626A0">
        <w:rPr>
          <w:rFonts w:eastAsia="Times New Roman" w:cs="Arial"/>
          <w:color w:val="000000"/>
          <w:lang w:eastAsia="bg-BG"/>
        </w:rPr>
        <w:t xml:space="preserve">-дезметил метаболит. Лица с тежко увреждане обаче (креатининов клирънс &lt; 30 </w:t>
      </w:r>
      <w:r w:rsidRPr="00F626A0">
        <w:rPr>
          <w:rFonts w:eastAsia="Times New Roman" w:cs="Arial"/>
          <w:color w:val="000000"/>
          <w:lang w:val="en-US"/>
        </w:rPr>
        <w:t>ml</w:t>
      </w:r>
      <w:r w:rsidRPr="00F626A0">
        <w:rPr>
          <w:rFonts w:eastAsia="Times New Roman" w:cs="Arial"/>
          <w:color w:val="000000"/>
          <w:lang w:val="ru-RU"/>
        </w:rPr>
        <w:t>/</w:t>
      </w:r>
      <w:r w:rsidRPr="00F626A0">
        <w:rPr>
          <w:rFonts w:eastAsia="Times New Roman" w:cs="Arial"/>
          <w:color w:val="000000"/>
          <w:lang w:val="en-US"/>
        </w:rPr>
        <w:t>min</w:t>
      </w:r>
      <w:r w:rsidRPr="00F626A0">
        <w:rPr>
          <w:rFonts w:eastAsia="Times New Roman" w:cs="Arial"/>
          <w:color w:val="000000"/>
          <w:lang w:val="ru-RU"/>
        </w:rPr>
        <w:t xml:space="preserve">) </w:t>
      </w:r>
      <w:r w:rsidRPr="00F626A0">
        <w:rPr>
          <w:rFonts w:eastAsia="Times New Roman" w:cs="Arial"/>
          <w:color w:val="000000"/>
          <w:lang w:eastAsia="bg-BG"/>
        </w:rPr>
        <w:t xml:space="preserve">са имали </w:t>
      </w:r>
      <w:r w:rsidRPr="00F626A0">
        <w:rPr>
          <w:rFonts w:eastAsia="Times New Roman" w:cs="Arial"/>
          <w:i/>
          <w:iCs/>
          <w:color w:val="000000"/>
          <w:lang w:eastAsia="bg-BG"/>
        </w:rPr>
        <w:t>3</w:t>
      </w:r>
      <w:r w:rsidRPr="00F626A0">
        <w:rPr>
          <w:rFonts w:eastAsia="Times New Roman" w:cs="Arial"/>
          <w:color w:val="000000"/>
          <w:lang w:eastAsia="bg-BG"/>
        </w:rPr>
        <w:t xml:space="preserve"> пъти увеличение на плазмената концентрация в сравнение със здрави доброволци и 9 пъти по-висока концентрация на </w:t>
      </w:r>
      <w:r w:rsidRPr="00F626A0">
        <w:rPr>
          <w:rFonts w:eastAsia="Times New Roman" w:cs="Arial"/>
          <w:color w:val="000000"/>
          <w:lang w:val="en-US"/>
        </w:rPr>
        <w:t>N</w:t>
      </w:r>
      <w:r w:rsidRPr="00F626A0">
        <w:rPr>
          <w:rFonts w:eastAsia="Times New Roman" w:cs="Arial"/>
          <w:color w:val="000000"/>
          <w:lang w:eastAsia="bg-BG"/>
        </w:rPr>
        <w:t>-дезметил метаболита. Равновесните плазмени концентрации на розувастатин при пациенти на хемодиализа са приблизително 50% по-високи в сравнение със здрави доброволци.</w:t>
      </w:r>
    </w:p>
    <w:p w14:paraId="3E2F1A50" w14:textId="77777777" w:rsidR="00F626A0" w:rsidRPr="00F626A0" w:rsidRDefault="00F626A0" w:rsidP="00F626A0">
      <w:pPr>
        <w:spacing w:line="240" w:lineRule="auto"/>
        <w:rPr>
          <w:rFonts w:eastAsia="Times New Roman" w:cs="Arial"/>
          <w:i/>
          <w:iCs/>
          <w:color w:val="000000"/>
          <w:lang w:eastAsia="bg-BG"/>
        </w:rPr>
      </w:pPr>
    </w:p>
    <w:p w14:paraId="3A9D2417" w14:textId="2A4F45A2"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Чернодробно увреждане</w:t>
      </w:r>
    </w:p>
    <w:p w14:paraId="397E67D7"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В едно проучване на лица с различна степен на чернодробно увреждане не са получени данни за повишена експозиция на розувастатин при пациенти с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 xml:space="preserve">7 или по- нисък. При двама пациенти с тежко чернодробно увреждане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 xml:space="preserve">8 и 9) системната експозиция е била увеличена най-малко два пъти в сравнение с лица с по-нисък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 xml:space="preserve">Няма данни за пациенти с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над 9.</w:t>
      </w:r>
    </w:p>
    <w:p w14:paraId="22D02FF6" w14:textId="77777777" w:rsidR="00F626A0" w:rsidRPr="00F626A0" w:rsidRDefault="00F626A0" w:rsidP="00F626A0">
      <w:pPr>
        <w:spacing w:line="240" w:lineRule="auto"/>
        <w:rPr>
          <w:rFonts w:eastAsia="Times New Roman" w:cs="Arial"/>
          <w:i/>
          <w:iCs/>
          <w:color w:val="000000"/>
          <w:lang w:eastAsia="bg-BG"/>
        </w:rPr>
      </w:pPr>
    </w:p>
    <w:p w14:paraId="416262A5" w14:textId="30114D53"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Генетични полиморфизма</w:t>
      </w:r>
    </w:p>
    <w:p w14:paraId="766F2EFA"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Диспозицията на </w:t>
      </w:r>
      <w:r w:rsidRPr="00F626A0">
        <w:rPr>
          <w:rFonts w:eastAsia="Times New Roman" w:cs="Arial"/>
          <w:color w:val="000000"/>
          <w:lang w:val="en-US"/>
        </w:rPr>
        <w:t>HMG</w:t>
      </w:r>
      <w:r w:rsidRPr="00F626A0">
        <w:rPr>
          <w:rFonts w:eastAsia="Times New Roman" w:cs="Arial"/>
          <w:color w:val="000000"/>
          <w:lang w:val="ru-RU"/>
        </w:rPr>
        <w:t>-</w:t>
      </w:r>
      <w:r w:rsidRPr="00F626A0">
        <w:rPr>
          <w:rFonts w:eastAsia="Times New Roman" w:cs="Arial"/>
          <w:color w:val="000000"/>
          <w:lang w:val="en-US"/>
        </w:rPr>
        <w:t>CoA</w:t>
      </w:r>
      <w:r w:rsidRPr="00F626A0">
        <w:rPr>
          <w:rFonts w:eastAsia="Times New Roman" w:cs="Arial"/>
          <w:color w:val="000000"/>
          <w:lang w:val="ru-RU"/>
        </w:rPr>
        <w:t xml:space="preserve"> </w:t>
      </w:r>
      <w:r w:rsidRPr="00F626A0">
        <w:rPr>
          <w:rFonts w:eastAsia="Times New Roman" w:cs="Arial"/>
          <w:color w:val="000000"/>
          <w:lang w:eastAsia="bg-BG"/>
        </w:rPr>
        <w:t xml:space="preserve">редуктазните инхибитори, включително розувастатин, е свързана с транспортни протеини ОАТР1В1 и </w:t>
      </w:r>
      <w:r w:rsidRPr="00F626A0">
        <w:rPr>
          <w:rFonts w:eastAsia="Times New Roman" w:cs="Arial"/>
          <w:color w:val="000000"/>
          <w:lang w:val="en-US"/>
        </w:rPr>
        <w:t>BCRP</w:t>
      </w:r>
      <w:r w:rsidRPr="00F626A0">
        <w:rPr>
          <w:rFonts w:eastAsia="Times New Roman" w:cs="Arial"/>
          <w:color w:val="000000"/>
          <w:lang w:val="ru-RU"/>
        </w:rPr>
        <w:t xml:space="preserve">. </w:t>
      </w:r>
      <w:r w:rsidRPr="00F626A0">
        <w:rPr>
          <w:rFonts w:eastAsia="Times New Roman" w:cs="Arial"/>
          <w:color w:val="000000"/>
          <w:lang w:eastAsia="bg-BG"/>
        </w:rPr>
        <w:t xml:space="preserve">При пациенти с генетичен полиморфизъм на </w:t>
      </w:r>
      <w:r w:rsidRPr="00F626A0">
        <w:rPr>
          <w:rFonts w:eastAsia="Times New Roman" w:cs="Arial"/>
          <w:color w:val="000000"/>
          <w:lang w:val="en-US"/>
        </w:rPr>
        <w:t>SLCO</w:t>
      </w:r>
      <w:r w:rsidRPr="00F626A0">
        <w:rPr>
          <w:rFonts w:eastAsia="Times New Roman" w:cs="Arial"/>
          <w:color w:val="000000"/>
          <w:lang w:val="ru-RU"/>
        </w:rPr>
        <w:t>1</w:t>
      </w:r>
      <w:r w:rsidRPr="00F626A0">
        <w:rPr>
          <w:rFonts w:eastAsia="Times New Roman" w:cs="Arial"/>
          <w:color w:val="000000"/>
          <w:lang w:val="en-US"/>
        </w:rPr>
        <w:t>B</w:t>
      </w:r>
      <w:r w:rsidRPr="00F626A0">
        <w:rPr>
          <w:rFonts w:eastAsia="Times New Roman" w:cs="Arial"/>
          <w:color w:val="000000"/>
          <w:lang w:val="ru-RU"/>
        </w:rPr>
        <w:t xml:space="preserve">1 </w:t>
      </w:r>
      <w:r w:rsidRPr="00F626A0">
        <w:rPr>
          <w:rFonts w:eastAsia="Times New Roman" w:cs="Arial"/>
          <w:color w:val="000000"/>
          <w:lang w:eastAsia="bg-BG"/>
        </w:rPr>
        <w:t xml:space="preserve">(ОАТР1В1) и/или </w:t>
      </w:r>
      <w:r w:rsidRPr="00F626A0">
        <w:rPr>
          <w:rFonts w:eastAsia="Times New Roman" w:cs="Arial"/>
          <w:color w:val="000000"/>
          <w:lang w:val="en-US"/>
        </w:rPr>
        <w:t>ABCG</w:t>
      </w:r>
      <w:r w:rsidRPr="00F626A0">
        <w:rPr>
          <w:rFonts w:eastAsia="Times New Roman" w:cs="Arial"/>
          <w:color w:val="000000"/>
          <w:lang w:val="ru-RU"/>
        </w:rPr>
        <w:t>2 (</w:t>
      </w:r>
      <w:r w:rsidRPr="00F626A0">
        <w:rPr>
          <w:rFonts w:eastAsia="Times New Roman" w:cs="Arial"/>
          <w:color w:val="000000"/>
          <w:lang w:val="en-US"/>
        </w:rPr>
        <w:t>BCRP</w:t>
      </w:r>
      <w:r w:rsidRPr="00F626A0">
        <w:rPr>
          <w:rFonts w:eastAsia="Times New Roman" w:cs="Arial"/>
          <w:color w:val="000000"/>
          <w:lang w:val="ru-RU"/>
        </w:rPr>
        <w:t xml:space="preserve">) </w:t>
      </w:r>
      <w:r w:rsidRPr="00F626A0">
        <w:rPr>
          <w:rFonts w:eastAsia="Times New Roman" w:cs="Arial"/>
          <w:color w:val="000000"/>
          <w:lang w:eastAsia="bg-BG"/>
        </w:rPr>
        <w:t xml:space="preserve">има риск от повишаване на експозиция на розувастатин. Индивидуален полиморфизъм на </w:t>
      </w:r>
      <w:r w:rsidRPr="00F626A0">
        <w:rPr>
          <w:rFonts w:eastAsia="Times New Roman" w:cs="Arial"/>
          <w:color w:val="000000"/>
          <w:lang w:val="en-US"/>
        </w:rPr>
        <w:t>SLCO</w:t>
      </w:r>
      <w:r w:rsidRPr="00F626A0">
        <w:rPr>
          <w:rFonts w:eastAsia="Times New Roman" w:cs="Arial"/>
          <w:color w:val="000000"/>
          <w:lang w:val="ru-RU"/>
        </w:rPr>
        <w:t>1</w:t>
      </w:r>
      <w:r w:rsidRPr="00F626A0">
        <w:rPr>
          <w:rFonts w:eastAsia="Times New Roman" w:cs="Arial"/>
          <w:color w:val="000000"/>
          <w:lang w:val="en-US"/>
        </w:rPr>
        <w:t>B</w:t>
      </w:r>
      <w:r w:rsidRPr="00F626A0">
        <w:rPr>
          <w:rFonts w:eastAsia="Times New Roman" w:cs="Arial"/>
          <w:color w:val="000000"/>
          <w:lang w:val="ru-RU"/>
        </w:rPr>
        <w:t xml:space="preserve">1 </w:t>
      </w:r>
      <w:r w:rsidRPr="00F626A0">
        <w:rPr>
          <w:rFonts w:eastAsia="Times New Roman" w:cs="Arial"/>
          <w:color w:val="000000"/>
          <w:lang w:eastAsia="bg-BG"/>
        </w:rPr>
        <w:t>с.52</w:t>
      </w:r>
      <w:r w:rsidRPr="00F626A0">
        <w:rPr>
          <w:rFonts w:eastAsia="Times New Roman" w:cs="Arial"/>
          <w:color w:val="000000"/>
          <w:lang w:val="en-US"/>
        </w:rPr>
        <w:t>ICC</w:t>
      </w:r>
      <w:r w:rsidRPr="00F626A0">
        <w:rPr>
          <w:rFonts w:eastAsia="Times New Roman" w:cs="Arial"/>
          <w:color w:val="000000"/>
          <w:lang w:val="ru-RU"/>
        </w:rPr>
        <w:t xml:space="preserve"> </w:t>
      </w:r>
      <w:r w:rsidRPr="00F626A0">
        <w:rPr>
          <w:rFonts w:eastAsia="Times New Roman" w:cs="Arial"/>
          <w:color w:val="000000"/>
          <w:lang w:eastAsia="bg-BG"/>
        </w:rPr>
        <w:t xml:space="preserve">и </w:t>
      </w:r>
      <w:r w:rsidRPr="00F626A0">
        <w:rPr>
          <w:rFonts w:eastAsia="Times New Roman" w:cs="Arial"/>
          <w:color w:val="000000"/>
          <w:lang w:val="en-US"/>
        </w:rPr>
        <w:t>ABCG</w:t>
      </w:r>
      <w:r w:rsidRPr="00F626A0">
        <w:rPr>
          <w:rFonts w:eastAsia="Times New Roman" w:cs="Arial"/>
          <w:color w:val="000000"/>
          <w:lang w:val="ru-RU"/>
        </w:rPr>
        <w:t xml:space="preserve">2 </w:t>
      </w:r>
      <w:r w:rsidRPr="00F626A0">
        <w:rPr>
          <w:rFonts w:eastAsia="Times New Roman" w:cs="Arial"/>
          <w:color w:val="000000"/>
          <w:lang w:eastAsia="bg-BG"/>
        </w:rPr>
        <w:t xml:space="preserve">с.421 АА е свързан с по-висока експозиция </w:t>
      </w:r>
      <w:r w:rsidRPr="00F626A0">
        <w:rPr>
          <w:rFonts w:eastAsia="Times New Roman" w:cs="Arial"/>
          <w:color w:val="000000"/>
          <w:lang w:val="ru-RU"/>
        </w:rPr>
        <w:t>(</w:t>
      </w:r>
      <w:r w:rsidRPr="00F626A0">
        <w:rPr>
          <w:rFonts w:eastAsia="Times New Roman" w:cs="Arial"/>
          <w:color w:val="000000"/>
          <w:lang w:val="en-US"/>
        </w:rPr>
        <w:t>AUC</w:t>
      </w:r>
      <w:r w:rsidRPr="00F626A0">
        <w:rPr>
          <w:rFonts w:eastAsia="Times New Roman" w:cs="Arial"/>
          <w:color w:val="000000"/>
          <w:lang w:val="ru-RU"/>
        </w:rPr>
        <w:t xml:space="preserve">) </w:t>
      </w:r>
      <w:r w:rsidRPr="00F626A0">
        <w:rPr>
          <w:rFonts w:eastAsia="Times New Roman" w:cs="Arial"/>
          <w:color w:val="000000"/>
          <w:lang w:eastAsia="bg-BG"/>
        </w:rPr>
        <w:t xml:space="preserve">на розувастатин в сравнение с генотипове </w:t>
      </w:r>
      <w:r w:rsidRPr="00F626A0">
        <w:rPr>
          <w:rFonts w:eastAsia="Times New Roman" w:cs="Arial"/>
          <w:color w:val="000000"/>
          <w:lang w:val="en-US"/>
        </w:rPr>
        <w:t>SLCO</w:t>
      </w:r>
      <w:r w:rsidRPr="00F626A0">
        <w:rPr>
          <w:rFonts w:eastAsia="Times New Roman" w:cs="Arial"/>
          <w:color w:val="000000"/>
          <w:lang w:val="ru-RU"/>
        </w:rPr>
        <w:t>1</w:t>
      </w:r>
      <w:r w:rsidRPr="00F626A0">
        <w:rPr>
          <w:rFonts w:eastAsia="Times New Roman" w:cs="Arial"/>
          <w:color w:val="000000"/>
          <w:lang w:val="en-US"/>
        </w:rPr>
        <w:t>B</w:t>
      </w:r>
      <w:r w:rsidRPr="00F626A0">
        <w:rPr>
          <w:rFonts w:eastAsia="Times New Roman" w:cs="Arial"/>
          <w:color w:val="000000"/>
          <w:lang w:val="ru-RU"/>
        </w:rPr>
        <w:t xml:space="preserve">1 </w:t>
      </w:r>
      <w:r w:rsidRPr="00F626A0">
        <w:rPr>
          <w:rFonts w:eastAsia="Times New Roman" w:cs="Arial"/>
          <w:color w:val="000000"/>
          <w:lang w:eastAsia="bg-BG"/>
        </w:rPr>
        <w:t xml:space="preserve">С.521ТТ или </w:t>
      </w:r>
      <w:r w:rsidRPr="00F626A0">
        <w:rPr>
          <w:rFonts w:eastAsia="Times New Roman" w:cs="Arial"/>
          <w:color w:val="000000"/>
          <w:lang w:val="en-US"/>
        </w:rPr>
        <w:t>ABCG</w:t>
      </w:r>
      <w:r w:rsidRPr="00F626A0">
        <w:rPr>
          <w:rFonts w:eastAsia="Times New Roman" w:cs="Arial"/>
          <w:color w:val="000000"/>
          <w:lang w:val="ru-RU"/>
        </w:rPr>
        <w:t xml:space="preserve">2 </w:t>
      </w:r>
      <w:r w:rsidRPr="00F626A0">
        <w:rPr>
          <w:rFonts w:eastAsia="Times New Roman" w:cs="Arial"/>
          <w:color w:val="000000"/>
          <w:lang w:eastAsia="bg-BG"/>
        </w:rPr>
        <w:t>С.421СС. Това специфично генотипизиране не се установява в клиничната практика, но при пациенти, за които е известно, че имат такива видове полиморфизми, се препоръчва по-ниска дневна доза розувастатин.</w:t>
      </w:r>
    </w:p>
    <w:p w14:paraId="74739C12" w14:textId="77777777" w:rsidR="00F626A0" w:rsidRPr="00F626A0" w:rsidRDefault="00F626A0" w:rsidP="00F626A0">
      <w:pPr>
        <w:spacing w:line="240" w:lineRule="auto"/>
        <w:rPr>
          <w:rFonts w:eastAsia="Times New Roman" w:cs="Arial"/>
          <w:i/>
          <w:iCs/>
          <w:color w:val="000000"/>
          <w:lang w:eastAsia="bg-BG"/>
        </w:rPr>
      </w:pPr>
    </w:p>
    <w:p w14:paraId="226A2143" w14:textId="27CCBCCC"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Педиатрична популация</w:t>
      </w:r>
    </w:p>
    <w:p w14:paraId="4E16DD0C" w14:textId="4AEEBE81"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Две фармакокинетични проучвания с розувастатин (прилаган под формата на</w:t>
      </w:r>
      <w:r w:rsidRPr="00F626A0">
        <w:rPr>
          <w:rFonts w:eastAsia="Times New Roman" w:cs="Arial"/>
          <w:color w:val="000000"/>
          <w:lang w:val="ru-RU"/>
        </w:rPr>
        <w:t xml:space="preserve"> </w:t>
      </w:r>
      <w:r w:rsidRPr="00F626A0">
        <w:rPr>
          <w:rFonts w:eastAsia="Times New Roman" w:cs="Arial"/>
          <w:color w:val="000000"/>
          <w:lang w:eastAsia="bg-BG"/>
        </w:rPr>
        <w:t>таблетки) при педиатрични пациенти с хетерозиготна фамилна хиперхолестеролемия на възраст 10-17 или 6-17 години (общо 214 пациенти) показват, че експозицията при педиатрични пациенти изглежда</w:t>
      </w:r>
      <w:r w:rsidRPr="00F626A0">
        <w:rPr>
          <w:rFonts w:eastAsia="Times New Roman" w:cs="Arial"/>
          <w:sz w:val="24"/>
          <w:szCs w:val="24"/>
          <w:lang w:val="ru-RU"/>
        </w:rPr>
        <w:t xml:space="preserve"> </w:t>
      </w:r>
      <w:r w:rsidRPr="00F626A0">
        <w:rPr>
          <w:rFonts w:eastAsia="Times New Roman" w:cs="Arial"/>
          <w:color w:val="000000"/>
          <w:lang w:eastAsia="bg-BG"/>
        </w:rPr>
        <w:t>сравнима или по-ниска от тази при възрастни пациенти. Експозицията на розувастатин е била предвидима по отношение на дозата и времето в продължение на 2 годишен период</w:t>
      </w:r>
      <w:r w:rsidRPr="00F626A0">
        <w:rPr>
          <w:rFonts w:eastAsia="Times New Roman" w:cs="Arial"/>
          <w:color w:val="000000"/>
          <w:lang w:val="ru-RU" w:eastAsia="bg-BG"/>
        </w:rPr>
        <w:t>.</w:t>
      </w:r>
    </w:p>
    <w:p w14:paraId="4FB791BE" w14:textId="440F2D22" w:rsidR="00B6672E" w:rsidRDefault="002C50EE" w:rsidP="00936AD0">
      <w:pPr>
        <w:pStyle w:val="Heading2"/>
      </w:pPr>
      <w:r>
        <w:lastRenderedPageBreak/>
        <w:t>5.3. Предклинични данни за безопасност</w:t>
      </w:r>
    </w:p>
    <w:p w14:paraId="15435C21" w14:textId="54320B3E" w:rsidR="00F626A0" w:rsidRDefault="00F626A0" w:rsidP="00F626A0"/>
    <w:p w14:paraId="392CA83A" w14:textId="77777777" w:rsidR="00F626A0" w:rsidRPr="00F626A0" w:rsidRDefault="00F626A0" w:rsidP="00F626A0">
      <w:pPr>
        <w:rPr>
          <w:sz w:val="24"/>
          <w:szCs w:val="24"/>
        </w:rPr>
      </w:pPr>
      <w:r w:rsidRPr="00F626A0">
        <w:rPr>
          <w:lang w:eastAsia="bg-BG"/>
        </w:rPr>
        <w:t xml:space="preserve">Предклиничните данни не са показали повишен риск при хора въз основа на стандартните проучвания за безопасност върху основните системи, токсичност след многократно приложение, генотоксичност и канцерогенен потенциал. Специфични тестове за въздействие върху </w:t>
      </w:r>
      <w:r w:rsidRPr="00F626A0">
        <w:rPr>
          <w:lang w:val="en-US"/>
        </w:rPr>
        <w:t>hERG</w:t>
      </w:r>
      <w:r w:rsidRPr="00F626A0">
        <w:rPr>
          <w:lang w:val="ru-RU"/>
        </w:rPr>
        <w:t xml:space="preserve"> </w:t>
      </w:r>
      <w:r w:rsidRPr="00F626A0">
        <w:rPr>
          <w:lang w:eastAsia="bg-BG"/>
        </w:rPr>
        <w:t>не са оценявани. Нежеланите реакции, които не са наблюдавани в клинични проучвания, но се наблюдават при животни при нива на експозиция, подобни на нивата на клинична експозиция са както следва: При проучванията за токсичността на многократните дози са открити хистопатологични промени на черния дроб, които вероятно се дължат на фармакологичното действие на розувастатин са наблюдавани при мишки, плъхове, както и в по-малка степен с последици върху жлъчния мехур при кучета, но не и при маймуни. Освен това, тестикуларна токсичност е наблюдавана при маймуни и кучета, при по-високи дози. Репродуктивна токсичност е наблюдавана при плъхове, с намален брой на котилото, намалено тегло на котилото и оцеляване на малките се наблюдава при токсични за майката дози, като системните експозиции са няколко пъти над терапевтичните нива на експозиция.</w:t>
      </w:r>
    </w:p>
    <w:p w14:paraId="1EE63EA4" w14:textId="77777777" w:rsidR="00F626A0" w:rsidRPr="00F626A0" w:rsidRDefault="00F626A0" w:rsidP="00F626A0"/>
    <w:p w14:paraId="1BA6531D" w14:textId="013E94C9" w:rsidR="00B6672E" w:rsidRDefault="002C50EE" w:rsidP="00936AD0">
      <w:pPr>
        <w:pStyle w:val="Heading1"/>
      </w:pPr>
      <w:r>
        <w:t>7. ПРИТЕЖАТЕЛ НА РАЗРЕШЕНИЕТО ЗА УПОТРЕБА</w:t>
      </w:r>
    </w:p>
    <w:p w14:paraId="58DEA315" w14:textId="70234215" w:rsidR="00F626A0" w:rsidRDefault="00F626A0" w:rsidP="00F626A0"/>
    <w:p w14:paraId="13AB02B0" w14:textId="7173FD2A" w:rsidR="00F626A0" w:rsidRPr="00F626A0" w:rsidRDefault="00F626A0" w:rsidP="00F626A0">
      <w:r>
        <w:t xml:space="preserve">KRKA, d.d., Novo mesto, Smarjeska cesta 6, 8501 Novo mesto, </w:t>
      </w:r>
      <w:r>
        <w:rPr>
          <w:lang w:eastAsia="bg-BG"/>
        </w:rPr>
        <w:t>Словения</w:t>
      </w:r>
    </w:p>
    <w:p w14:paraId="508F3A54" w14:textId="48C3B7A5" w:rsidR="00B6672E" w:rsidRDefault="00936AD0" w:rsidP="00936AD0">
      <w:pPr>
        <w:pStyle w:val="Heading1"/>
      </w:pPr>
      <w:r>
        <w:t>8.</w:t>
      </w:r>
      <w:r w:rsidR="002C50EE">
        <w:t>НОМЕР НА РАЗРЕШЕНИЕТО ЗА УПОТРЕБА</w:t>
      </w:r>
    </w:p>
    <w:p w14:paraId="1769202B" w14:textId="3703C253" w:rsidR="00F626A0" w:rsidRDefault="00F626A0" w:rsidP="00F626A0"/>
    <w:p w14:paraId="62D56026" w14:textId="77777777" w:rsidR="00F626A0" w:rsidRPr="00F626A0" w:rsidRDefault="00F626A0" w:rsidP="00F626A0">
      <w:pPr>
        <w:rPr>
          <w:sz w:val="24"/>
          <w:szCs w:val="24"/>
        </w:rPr>
      </w:pPr>
      <w:r>
        <w:rPr>
          <w:lang w:val="en-US"/>
        </w:rPr>
        <w:t>Pe</w:t>
      </w:r>
      <w:r w:rsidRPr="00F626A0">
        <w:t xml:space="preserve">г. №: 20110456 - </w:t>
      </w:r>
      <w:r w:rsidRPr="00F626A0">
        <w:rPr>
          <w:lang w:eastAsia="bg-BG"/>
        </w:rPr>
        <w:t xml:space="preserve">Розвера </w:t>
      </w:r>
      <w:r w:rsidRPr="00F626A0">
        <w:t xml:space="preserve">5 </w:t>
      </w:r>
      <w:r w:rsidRPr="00F626A0">
        <w:rPr>
          <w:lang w:val="en-US"/>
        </w:rPr>
        <w:t>mg</w:t>
      </w:r>
    </w:p>
    <w:p w14:paraId="2ED66B45" w14:textId="77777777" w:rsidR="00F626A0" w:rsidRPr="00F626A0" w:rsidRDefault="00F626A0" w:rsidP="00F626A0">
      <w:pPr>
        <w:rPr>
          <w:sz w:val="24"/>
          <w:szCs w:val="24"/>
        </w:rPr>
      </w:pPr>
      <w:r>
        <w:rPr>
          <w:lang w:val="en-US"/>
        </w:rPr>
        <w:t>Pe</w:t>
      </w:r>
      <w:r w:rsidRPr="00F626A0">
        <w:t xml:space="preserve">г. №: 20110457 - </w:t>
      </w:r>
      <w:r w:rsidRPr="00F626A0">
        <w:rPr>
          <w:lang w:eastAsia="bg-BG"/>
        </w:rPr>
        <w:t xml:space="preserve">Розвера </w:t>
      </w:r>
      <w:r w:rsidRPr="00F626A0">
        <w:t xml:space="preserve">10 </w:t>
      </w:r>
      <w:r w:rsidRPr="00F626A0">
        <w:rPr>
          <w:lang w:val="en-US"/>
        </w:rPr>
        <w:t>mg</w:t>
      </w:r>
    </w:p>
    <w:p w14:paraId="72DE0B42" w14:textId="77777777" w:rsidR="00F626A0" w:rsidRPr="00F626A0" w:rsidRDefault="00F626A0" w:rsidP="00F626A0">
      <w:pPr>
        <w:rPr>
          <w:sz w:val="24"/>
          <w:szCs w:val="24"/>
        </w:rPr>
      </w:pPr>
      <w:r>
        <w:rPr>
          <w:lang w:val="en-US"/>
        </w:rPr>
        <w:t>Pe</w:t>
      </w:r>
      <w:r w:rsidRPr="00F626A0">
        <w:t xml:space="preserve">г. №: 20110458 - </w:t>
      </w:r>
      <w:r w:rsidRPr="00F626A0">
        <w:rPr>
          <w:lang w:eastAsia="bg-BG"/>
        </w:rPr>
        <w:t xml:space="preserve">Розвера </w:t>
      </w:r>
      <w:r w:rsidRPr="00F626A0">
        <w:t xml:space="preserve">15 </w:t>
      </w:r>
      <w:r w:rsidRPr="00F626A0">
        <w:rPr>
          <w:lang w:val="en-US"/>
        </w:rPr>
        <w:t>mg</w:t>
      </w:r>
    </w:p>
    <w:p w14:paraId="4B62D0F9" w14:textId="77777777" w:rsidR="00F626A0" w:rsidRPr="00F626A0" w:rsidRDefault="00F626A0" w:rsidP="00F626A0">
      <w:pPr>
        <w:rPr>
          <w:sz w:val="24"/>
          <w:szCs w:val="24"/>
        </w:rPr>
      </w:pPr>
      <w:r>
        <w:rPr>
          <w:lang w:val="en-US"/>
        </w:rPr>
        <w:t>Pe</w:t>
      </w:r>
      <w:r w:rsidRPr="00F626A0">
        <w:t xml:space="preserve">г. №: 20110459 - </w:t>
      </w:r>
      <w:r w:rsidRPr="00F626A0">
        <w:rPr>
          <w:lang w:eastAsia="bg-BG"/>
        </w:rPr>
        <w:t xml:space="preserve">Розвера </w:t>
      </w:r>
      <w:r w:rsidRPr="00F626A0">
        <w:t xml:space="preserve">20 </w:t>
      </w:r>
      <w:r w:rsidRPr="00F626A0">
        <w:rPr>
          <w:lang w:val="en-US"/>
        </w:rPr>
        <w:t>mg</w:t>
      </w:r>
    </w:p>
    <w:p w14:paraId="28F7ACD0" w14:textId="77777777" w:rsidR="00F626A0" w:rsidRPr="00F626A0" w:rsidRDefault="00F626A0" w:rsidP="00F626A0">
      <w:pPr>
        <w:rPr>
          <w:sz w:val="24"/>
          <w:szCs w:val="24"/>
        </w:rPr>
      </w:pPr>
      <w:r>
        <w:rPr>
          <w:lang w:val="en-US"/>
        </w:rPr>
        <w:t>P</w:t>
      </w:r>
      <w:r w:rsidRPr="00F626A0">
        <w:t xml:space="preserve">ег. №: 20110460 - </w:t>
      </w:r>
      <w:r w:rsidRPr="00F626A0">
        <w:rPr>
          <w:lang w:eastAsia="bg-BG"/>
        </w:rPr>
        <w:t xml:space="preserve">Розвера </w:t>
      </w:r>
      <w:r w:rsidRPr="00F626A0">
        <w:t xml:space="preserve">30 </w:t>
      </w:r>
      <w:r w:rsidRPr="00F626A0">
        <w:rPr>
          <w:lang w:val="en-US"/>
        </w:rPr>
        <w:t>mg</w:t>
      </w:r>
    </w:p>
    <w:p w14:paraId="40AD5E8F" w14:textId="77777777" w:rsidR="00F626A0" w:rsidRPr="00F626A0" w:rsidRDefault="00F626A0" w:rsidP="00F626A0">
      <w:pPr>
        <w:rPr>
          <w:sz w:val="24"/>
          <w:szCs w:val="24"/>
        </w:rPr>
      </w:pPr>
      <w:r>
        <w:rPr>
          <w:lang w:val="en-US"/>
        </w:rPr>
        <w:t>Pe</w:t>
      </w:r>
      <w:r w:rsidRPr="00F626A0">
        <w:t xml:space="preserve">г. №: 20110461 - </w:t>
      </w:r>
      <w:r w:rsidRPr="00F626A0">
        <w:rPr>
          <w:lang w:eastAsia="bg-BG"/>
        </w:rPr>
        <w:t xml:space="preserve">Розвера </w:t>
      </w:r>
      <w:r w:rsidRPr="00F626A0">
        <w:t xml:space="preserve">40 </w:t>
      </w:r>
      <w:r w:rsidRPr="00F626A0">
        <w:rPr>
          <w:lang w:val="en-US"/>
        </w:rPr>
        <w:t>mg</w:t>
      </w:r>
    </w:p>
    <w:p w14:paraId="71AF424A" w14:textId="45E6F295" w:rsidR="00F626A0" w:rsidRPr="00F626A0" w:rsidRDefault="00F626A0" w:rsidP="00F626A0"/>
    <w:p w14:paraId="2CCB5832" w14:textId="47F50F33" w:rsidR="007C605B" w:rsidRDefault="002C50EE" w:rsidP="007C605B">
      <w:pPr>
        <w:pStyle w:val="Heading1"/>
      </w:pPr>
      <w:r>
        <w:t>9. ДАТА НА ПЪРВО РАЗРЕШАВАНЕ/ПОДНОВЯВАНЕ НА РАЗРЕШЕНИЕТО ЗА УПОТРЕБА</w:t>
      </w:r>
    </w:p>
    <w:p w14:paraId="1F5505E6" w14:textId="1BD01163" w:rsidR="00F626A0" w:rsidRDefault="00F626A0" w:rsidP="00F626A0"/>
    <w:p w14:paraId="7B62BFBF" w14:textId="77777777" w:rsidR="00F626A0" w:rsidRPr="00F626A0" w:rsidRDefault="00F626A0" w:rsidP="00F626A0">
      <w:pPr>
        <w:rPr>
          <w:sz w:val="24"/>
          <w:szCs w:val="24"/>
        </w:rPr>
      </w:pPr>
      <w:r w:rsidRPr="00F626A0">
        <w:rPr>
          <w:lang w:eastAsia="bg-BG"/>
        </w:rPr>
        <w:t>Дата на първо разрешаване: 28.07.2011</w:t>
      </w:r>
    </w:p>
    <w:p w14:paraId="1662F0D5" w14:textId="77777777" w:rsidR="00F626A0" w:rsidRPr="00F626A0" w:rsidRDefault="00F626A0" w:rsidP="00F626A0">
      <w:pPr>
        <w:rPr>
          <w:sz w:val="24"/>
          <w:szCs w:val="24"/>
        </w:rPr>
      </w:pPr>
      <w:r w:rsidRPr="00F626A0">
        <w:rPr>
          <w:lang w:eastAsia="bg-BG"/>
        </w:rPr>
        <w:t>Дата на последно подновяване: 13.06.2016</w:t>
      </w:r>
    </w:p>
    <w:p w14:paraId="1837CBB9" w14:textId="77777777" w:rsidR="00F626A0" w:rsidRPr="00F626A0" w:rsidRDefault="00F626A0" w:rsidP="00F626A0"/>
    <w:p w14:paraId="0E9D0119" w14:textId="0245C6D7" w:rsidR="002C50EE" w:rsidRDefault="002C50EE" w:rsidP="002C50EE">
      <w:pPr>
        <w:pStyle w:val="Heading1"/>
      </w:pPr>
      <w:r>
        <w:t>10. ДАТА НА АКТУАЛИЗИРАНЕ НА ТЕКСТА</w:t>
      </w:r>
    </w:p>
    <w:bookmarkEnd w:id="0"/>
    <w:p w14:paraId="43FB38A2" w14:textId="728B9028" w:rsidR="007C605B" w:rsidRPr="003E3126" w:rsidRDefault="00F626A0" w:rsidP="00F626A0">
      <w:r>
        <w:t>03 Юни 2022</w:t>
      </w:r>
      <w:bookmarkStart w:id="3" w:name="_GoBack"/>
      <w:bookmarkEnd w:id="3"/>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8501E9"/>
    <w:multiLevelType w:val="hybridMultilevel"/>
    <w:tmpl w:val="E1CE5DDE"/>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936502"/>
    <w:multiLevelType w:val="hybridMultilevel"/>
    <w:tmpl w:val="5EFA26FC"/>
    <w:lvl w:ilvl="0" w:tplc="BD76ECB4">
      <w:start w:val="4"/>
      <w:numFmt w:val="bullet"/>
      <w:lvlText w:val="-"/>
      <w:lvlJc w:val="left"/>
      <w:pPr>
        <w:ind w:left="720" w:hanging="360"/>
      </w:pPr>
      <w:rPr>
        <w:rFonts w:ascii="Times New Roman" w:eastAsia="Times New Roman"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8379D9"/>
    <w:multiLevelType w:val="hybridMultilevel"/>
    <w:tmpl w:val="BEECD9CE"/>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F5438C"/>
    <w:multiLevelType w:val="hybridMultilevel"/>
    <w:tmpl w:val="12B05E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1"/>
  </w:num>
  <w:num w:numId="2">
    <w:abstractNumId w:val="0"/>
  </w:num>
  <w:num w:numId="3">
    <w:abstractNumId w:val="14"/>
  </w:num>
  <w:num w:numId="4">
    <w:abstractNumId w:val="3"/>
  </w:num>
  <w:num w:numId="5">
    <w:abstractNumId w:val="1"/>
  </w:num>
  <w:num w:numId="6">
    <w:abstractNumId w:val="18"/>
  </w:num>
  <w:num w:numId="7">
    <w:abstractNumId w:val="12"/>
  </w:num>
  <w:num w:numId="8">
    <w:abstractNumId w:val="17"/>
  </w:num>
  <w:num w:numId="9">
    <w:abstractNumId w:val="2"/>
  </w:num>
  <w:num w:numId="10">
    <w:abstractNumId w:val="4"/>
  </w:num>
  <w:num w:numId="11">
    <w:abstractNumId w:val="34"/>
  </w:num>
  <w:num w:numId="12">
    <w:abstractNumId w:val="15"/>
  </w:num>
  <w:num w:numId="13">
    <w:abstractNumId w:val="21"/>
  </w:num>
  <w:num w:numId="14">
    <w:abstractNumId w:val="13"/>
  </w:num>
  <w:num w:numId="15">
    <w:abstractNumId w:val="33"/>
  </w:num>
  <w:num w:numId="16">
    <w:abstractNumId w:val="11"/>
  </w:num>
  <w:num w:numId="17">
    <w:abstractNumId w:val="27"/>
  </w:num>
  <w:num w:numId="18">
    <w:abstractNumId w:val="8"/>
  </w:num>
  <w:num w:numId="19">
    <w:abstractNumId w:val="29"/>
  </w:num>
  <w:num w:numId="20">
    <w:abstractNumId w:val="26"/>
  </w:num>
  <w:num w:numId="21">
    <w:abstractNumId w:val="19"/>
  </w:num>
  <w:num w:numId="22">
    <w:abstractNumId w:val="28"/>
  </w:num>
  <w:num w:numId="23">
    <w:abstractNumId w:val="20"/>
  </w:num>
  <w:num w:numId="24">
    <w:abstractNumId w:val="9"/>
  </w:num>
  <w:num w:numId="25">
    <w:abstractNumId w:val="25"/>
  </w:num>
  <w:num w:numId="26">
    <w:abstractNumId w:val="23"/>
  </w:num>
  <w:num w:numId="27">
    <w:abstractNumId w:val="35"/>
  </w:num>
  <w:num w:numId="28">
    <w:abstractNumId w:val="6"/>
  </w:num>
  <w:num w:numId="29">
    <w:abstractNumId w:val="22"/>
  </w:num>
  <w:num w:numId="30">
    <w:abstractNumId w:val="39"/>
  </w:num>
  <w:num w:numId="31">
    <w:abstractNumId w:val="5"/>
  </w:num>
  <w:num w:numId="32">
    <w:abstractNumId w:val="37"/>
  </w:num>
  <w:num w:numId="33">
    <w:abstractNumId w:val="32"/>
  </w:num>
  <w:num w:numId="34">
    <w:abstractNumId w:val="36"/>
  </w:num>
  <w:num w:numId="35">
    <w:abstractNumId w:val="7"/>
  </w:num>
  <w:num w:numId="36">
    <w:abstractNumId w:val="10"/>
  </w:num>
  <w:num w:numId="37">
    <w:abstractNumId w:val="24"/>
  </w:num>
  <w:num w:numId="38">
    <w:abstractNumId w:val="30"/>
  </w:num>
  <w:num w:numId="39">
    <w:abstractNumId w:val="38"/>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6C600B"/>
    <w:rsid w:val="007122AD"/>
    <w:rsid w:val="0075649D"/>
    <w:rsid w:val="007C605B"/>
    <w:rsid w:val="008134C8"/>
    <w:rsid w:val="00814073"/>
    <w:rsid w:val="00826F0D"/>
    <w:rsid w:val="00893B92"/>
    <w:rsid w:val="008A6AF2"/>
    <w:rsid w:val="008C70A2"/>
    <w:rsid w:val="00936AD0"/>
    <w:rsid w:val="009773E4"/>
    <w:rsid w:val="009B171C"/>
    <w:rsid w:val="009F1313"/>
    <w:rsid w:val="00A20351"/>
    <w:rsid w:val="00A65A81"/>
    <w:rsid w:val="00A70FDA"/>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D466D"/>
    <w:rsid w:val="00EB6364"/>
    <w:rsid w:val="00F37B64"/>
    <w:rsid w:val="00F626A0"/>
    <w:rsid w:val="00F80502"/>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8681</Words>
  <Characters>49482</Characters>
  <Application>Microsoft Office Word</Application>
  <DocSecurity>0</DocSecurity>
  <Lines>412</Lines>
  <Paragraphs>116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2022-09-12T15:04:00Z</dcterms:created>
  <dcterms:modified xsi:type="dcterms:W3CDTF">2022-09-12T15:04:00Z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