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09CEB67B" w:rsidR="002C50EE" w:rsidRDefault="002C50EE" w:rsidP="002C50EE">
      <w:pPr>
        <w:pStyle w:val="Heading1"/>
        <w:jc w:val="center"/>
      </w:pPr>
      <w:bookmarkStart w:id="0" w:name="_Hlk63124480"/>
      <w:r>
        <w:t>КРАТКА ХАРАКТЕРИСТИКА НА ПРОДУКТА</w:t>
      </w:r>
    </w:p>
    <w:p w14:paraId="5A3B4435" w14:textId="77777777" w:rsidR="0091385D" w:rsidRPr="0091385D" w:rsidRDefault="0091385D" w:rsidP="0091385D"/>
    <w:p w14:paraId="3320F4BE" w14:textId="2EB48694" w:rsidR="00C40420" w:rsidRDefault="00DD466D" w:rsidP="004A448E">
      <w:pPr>
        <w:pStyle w:val="Heading1"/>
      </w:pPr>
      <w:r>
        <w:t>1.ИМЕ НА ЛЕКАРСТВЕНИЯ ПРОДУКТ</w:t>
      </w:r>
    </w:p>
    <w:p w14:paraId="5E9BA472" w14:textId="7B7F9CBA" w:rsidR="0091385D" w:rsidRDefault="0091385D" w:rsidP="0091385D"/>
    <w:p w14:paraId="5BE65F11" w14:textId="77777777" w:rsidR="00687C77" w:rsidRPr="00687C77" w:rsidRDefault="00687C77" w:rsidP="00687C77">
      <w:pPr>
        <w:spacing w:line="240" w:lineRule="auto"/>
        <w:rPr>
          <w:rFonts w:ascii="Times New Roman" w:eastAsia="Times New Roman" w:hAnsi="Times New Roman" w:cs="Times New Roman"/>
          <w:sz w:val="24"/>
          <w:szCs w:val="24"/>
          <w:lang w:eastAsia="bg-BG"/>
        </w:rPr>
      </w:pPr>
    </w:p>
    <w:p w14:paraId="2FDA056A"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 xml:space="preserve">Ровамет 750 000 </w:t>
      </w:r>
      <w:r w:rsidRPr="00687C77">
        <w:rPr>
          <w:rFonts w:eastAsia="Times New Roman" w:cs="Arial"/>
          <w:color w:val="000000"/>
          <w:lang w:val="en-US"/>
        </w:rPr>
        <w:t>IU/1</w:t>
      </w:r>
      <w:r w:rsidRPr="00687C77">
        <w:rPr>
          <w:rFonts w:eastAsia="Times New Roman" w:cs="Arial"/>
          <w:color w:val="000000"/>
          <w:lang w:eastAsia="bg-BG"/>
        </w:rPr>
        <w:t xml:space="preserve">25 </w:t>
      </w:r>
      <w:r w:rsidRPr="00687C77">
        <w:rPr>
          <w:rFonts w:eastAsia="Times New Roman" w:cs="Arial"/>
          <w:color w:val="000000"/>
          <w:lang w:val="en-US"/>
        </w:rPr>
        <w:t xml:space="preserve">mg </w:t>
      </w:r>
      <w:r w:rsidRPr="00687C77">
        <w:rPr>
          <w:rFonts w:eastAsia="Times New Roman" w:cs="Arial"/>
          <w:color w:val="000000"/>
          <w:lang w:eastAsia="bg-BG"/>
        </w:rPr>
        <w:t>филмирани таблетки</w:t>
      </w:r>
    </w:p>
    <w:p w14:paraId="69AC8148" w14:textId="5A0E7F1C" w:rsidR="00EC41ED" w:rsidRPr="00BD48DC" w:rsidRDefault="00687C77" w:rsidP="00687C77">
      <w:pPr>
        <w:rPr>
          <w:rFonts w:cs="Arial"/>
        </w:rPr>
      </w:pPr>
      <w:proofErr w:type="spellStart"/>
      <w:r w:rsidRPr="00BD48DC">
        <w:rPr>
          <w:rFonts w:eastAsia="Times New Roman" w:cs="Arial"/>
          <w:color w:val="000000"/>
          <w:lang w:val="en-US"/>
        </w:rPr>
        <w:t>Rovamet</w:t>
      </w:r>
      <w:proofErr w:type="spellEnd"/>
      <w:r w:rsidRPr="00BD48DC">
        <w:rPr>
          <w:rFonts w:eastAsia="Times New Roman" w:cs="Arial"/>
          <w:color w:val="000000"/>
          <w:lang w:val="en-US"/>
        </w:rPr>
        <w:t xml:space="preserve"> </w:t>
      </w:r>
      <w:r w:rsidRPr="00BD48DC">
        <w:rPr>
          <w:rFonts w:eastAsia="Times New Roman" w:cs="Arial"/>
          <w:color w:val="000000"/>
          <w:lang w:eastAsia="bg-BG"/>
        </w:rPr>
        <w:t xml:space="preserve">750 000 </w:t>
      </w:r>
      <w:r w:rsidRPr="00BD48DC">
        <w:rPr>
          <w:rFonts w:eastAsia="Times New Roman" w:cs="Arial"/>
          <w:color w:val="000000"/>
          <w:lang w:val="en-US"/>
        </w:rPr>
        <w:t>IU</w:t>
      </w:r>
      <w:r w:rsidRPr="00BD48DC">
        <w:rPr>
          <w:rFonts w:eastAsia="Times New Roman" w:cs="Arial"/>
          <w:color w:val="000000"/>
          <w:lang w:eastAsia="bg-BG"/>
        </w:rPr>
        <w:t xml:space="preserve">/125 </w:t>
      </w:r>
      <w:r w:rsidRPr="00BD48DC">
        <w:rPr>
          <w:rFonts w:eastAsia="Times New Roman" w:cs="Arial"/>
          <w:color w:val="000000"/>
          <w:lang w:val="en-US"/>
        </w:rPr>
        <w:t>mg film-coated tablets</w:t>
      </w:r>
    </w:p>
    <w:p w14:paraId="1E8447D1" w14:textId="77777777" w:rsidR="0091385D" w:rsidRPr="0091385D" w:rsidRDefault="0091385D" w:rsidP="0091385D"/>
    <w:p w14:paraId="6920A680" w14:textId="53C3EFCC" w:rsidR="00C40420" w:rsidRDefault="00DD466D" w:rsidP="004A448E">
      <w:pPr>
        <w:pStyle w:val="Heading1"/>
      </w:pPr>
      <w:r>
        <w:t>2. КАЧЕСТВЕН И КОЛИЧЕСТВЕН СЪСТАВ</w:t>
      </w:r>
    </w:p>
    <w:p w14:paraId="1ED33AE8" w14:textId="478BAC70" w:rsidR="0091385D" w:rsidRDefault="0091385D" w:rsidP="0091385D"/>
    <w:p w14:paraId="79619040"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 xml:space="preserve">Всяка филмирана таблетка съдържа 750 000 </w:t>
      </w:r>
      <w:r w:rsidRPr="00687C77">
        <w:rPr>
          <w:rFonts w:eastAsia="Times New Roman" w:cs="Arial"/>
          <w:color w:val="000000"/>
          <w:lang w:val="en-US"/>
        </w:rPr>
        <w:t>IU</w:t>
      </w:r>
      <w:r w:rsidRPr="00687C77">
        <w:rPr>
          <w:rFonts w:eastAsia="Times New Roman" w:cs="Arial"/>
          <w:color w:val="000000"/>
          <w:lang w:eastAsia="bg-BG"/>
        </w:rPr>
        <w:t xml:space="preserve"> спирамицин </w:t>
      </w:r>
      <w:r w:rsidRPr="00687C77">
        <w:rPr>
          <w:rFonts w:eastAsia="Times New Roman" w:cs="Arial"/>
          <w:color w:val="000000"/>
          <w:lang w:val="en-US"/>
        </w:rPr>
        <w:t>(</w:t>
      </w:r>
      <w:proofErr w:type="spellStart"/>
      <w:r w:rsidRPr="00687C77">
        <w:rPr>
          <w:rFonts w:eastAsia="Times New Roman" w:cs="Arial"/>
          <w:color w:val="000000"/>
          <w:lang w:val="en-US"/>
        </w:rPr>
        <w:t>spiramycin</w:t>
      </w:r>
      <w:proofErr w:type="spellEnd"/>
      <w:r w:rsidRPr="00687C77">
        <w:rPr>
          <w:rFonts w:eastAsia="Times New Roman" w:cs="Arial"/>
          <w:color w:val="000000"/>
          <w:lang w:val="en-US"/>
        </w:rPr>
        <w:t xml:space="preserve">) </w:t>
      </w:r>
      <w:r w:rsidRPr="00687C77">
        <w:rPr>
          <w:rFonts w:eastAsia="Times New Roman" w:cs="Arial"/>
          <w:color w:val="000000"/>
          <w:lang w:eastAsia="bg-BG"/>
        </w:rPr>
        <w:t xml:space="preserve">и 125 </w:t>
      </w:r>
      <w:r w:rsidRPr="00687C77">
        <w:rPr>
          <w:rFonts w:eastAsia="Times New Roman" w:cs="Arial"/>
          <w:color w:val="000000"/>
          <w:lang w:val="en-US"/>
        </w:rPr>
        <w:t xml:space="preserve">mg </w:t>
      </w:r>
      <w:r w:rsidRPr="00687C77">
        <w:rPr>
          <w:rFonts w:eastAsia="Times New Roman" w:cs="Arial"/>
          <w:color w:val="000000"/>
          <w:lang w:eastAsia="bg-BG"/>
        </w:rPr>
        <w:t xml:space="preserve">метронидазол </w:t>
      </w:r>
      <w:r w:rsidRPr="00687C77">
        <w:rPr>
          <w:rFonts w:eastAsia="Times New Roman" w:cs="Arial"/>
          <w:color w:val="000000"/>
          <w:lang w:val="en-US"/>
        </w:rPr>
        <w:t>(metronidazole).</w:t>
      </w:r>
    </w:p>
    <w:p w14:paraId="5764CD2A" w14:textId="77777777" w:rsidR="00687C77" w:rsidRPr="00BD48DC" w:rsidRDefault="00687C77" w:rsidP="00687C77">
      <w:pPr>
        <w:rPr>
          <w:rFonts w:eastAsia="Times New Roman" w:cs="Arial"/>
          <w:color w:val="000000"/>
          <w:lang w:eastAsia="bg-BG"/>
        </w:rPr>
      </w:pPr>
    </w:p>
    <w:p w14:paraId="54632B43" w14:textId="11006664" w:rsidR="00EC41ED" w:rsidRPr="00BD48DC" w:rsidRDefault="00687C77" w:rsidP="00687C77">
      <w:pPr>
        <w:rPr>
          <w:rFonts w:cs="Arial"/>
        </w:rPr>
      </w:pPr>
      <w:r w:rsidRPr="00BD48DC">
        <w:rPr>
          <w:rFonts w:eastAsia="Times New Roman" w:cs="Arial"/>
          <w:color w:val="000000"/>
          <w:lang w:eastAsia="bg-BG"/>
        </w:rPr>
        <w:t>За пълния списък на помощните вещества вижте точка 6.1.</w:t>
      </w:r>
    </w:p>
    <w:p w14:paraId="3C47C299" w14:textId="77777777" w:rsidR="00A73575" w:rsidRPr="0091385D" w:rsidRDefault="00A73575" w:rsidP="0091385D"/>
    <w:p w14:paraId="614984C4" w14:textId="3FC552C3" w:rsidR="008A6AF2" w:rsidRDefault="00DD466D" w:rsidP="002C50EE">
      <w:pPr>
        <w:pStyle w:val="Heading1"/>
      </w:pPr>
      <w:r>
        <w:t>3. ЛЕКАРСТВЕНА ФОРМА</w:t>
      </w:r>
    </w:p>
    <w:p w14:paraId="1004E96C" w14:textId="67F9C61D" w:rsidR="0091385D" w:rsidRDefault="0091385D" w:rsidP="0091385D"/>
    <w:p w14:paraId="7FBC48E9"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Филмирана таблетка</w:t>
      </w:r>
    </w:p>
    <w:p w14:paraId="1C8FF541" w14:textId="77777777" w:rsidR="00687C77" w:rsidRPr="00BD48DC" w:rsidRDefault="00687C77" w:rsidP="00687C77">
      <w:pPr>
        <w:rPr>
          <w:rFonts w:eastAsia="Times New Roman" w:cs="Arial"/>
          <w:color w:val="000000"/>
          <w:lang w:eastAsia="bg-BG"/>
        </w:rPr>
      </w:pPr>
    </w:p>
    <w:p w14:paraId="743244F0" w14:textId="191D854F" w:rsidR="00EC41ED" w:rsidRPr="00BD48DC" w:rsidRDefault="00687C77" w:rsidP="00687C77">
      <w:pPr>
        <w:rPr>
          <w:rFonts w:cs="Arial"/>
        </w:rPr>
      </w:pPr>
      <w:r w:rsidRPr="00BD48DC">
        <w:rPr>
          <w:rFonts w:eastAsia="Times New Roman" w:cs="Arial"/>
          <w:color w:val="000000"/>
          <w:lang w:eastAsia="bg-BG"/>
        </w:rPr>
        <w:t xml:space="preserve">Бели, кръгли, двойноизпъкнали филмирани таблетки, гравирани с </w:t>
      </w:r>
      <w:r w:rsidRPr="00BD48DC">
        <w:rPr>
          <w:rFonts w:eastAsia="Times New Roman" w:cs="Arial"/>
          <w:color w:val="000000"/>
          <w:lang w:val="en-US"/>
        </w:rPr>
        <w:t xml:space="preserve">„SM“ </w:t>
      </w:r>
      <w:r w:rsidRPr="00BD48DC">
        <w:rPr>
          <w:rFonts w:eastAsia="Times New Roman" w:cs="Arial"/>
          <w:color w:val="000000"/>
          <w:lang w:eastAsia="bg-BG"/>
        </w:rPr>
        <w:t>от едната страна.</w:t>
      </w:r>
    </w:p>
    <w:p w14:paraId="7D287A22" w14:textId="77777777" w:rsidR="00A73575" w:rsidRPr="0091385D" w:rsidRDefault="00A73575" w:rsidP="0091385D"/>
    <w:p w14:paraId="490FC2C4" w14:textId="76FABE77" w:rsidR="002C50EE" w:rsidRDefault="002C50EE" w:rsidP="002C50EE">
      <w:pPr>
        <w:pStyle w:val="Heading1"/>
      </w:pPr>
      <w:r>
        <w:t>4. КЛИНИЧНИ ДАННИ</w:t>
      </w:r>
    </w:p>
    <w:p w14:paraId="0C69CBC7" w14:textId="77777777" w:rsidR="0091385D" w:rsidRPr="0091385D" w:rsidRDefault="0091385D" w:rsidP="0091385D"/>
    <w:p w14:paraId="0C8E6903" w14:textId="51BB3E2D" w:rsidR="008134C8" w:rsidRDefault="002C50EE" w:rsidP="004A448E">
      <w:pPr>
        <w:pStyle w:val="Heading2"/>
      </w:pPr>
      <w:r>
        <w:t>4.1. Терапевтични показания</w:t>
      </w:r>
    </w:p>
    <w:p w14:paraId="174D169F" w14:textId="0369962D" w:rsidR="0091385D" w:rsidRDefault="0091385D" w:rsidP="0091385D"/>
    <w:p w14:paraId="767B4DB3"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Показанията се определят от спектъра на антибактериалната активност и фармакокинетичните характеристики на продукта. Те са съобразени с резултатите от клиничните изпитвания върху този лекарствен продукт и мястото му в спектъра от съвременни антибактериални средства.</w:t>
      </w:r>
    </w:p>
    <w:p w14:paraId="0AD04AE6" w14:textId="77777777" w:rsidR="00687C77" w:rsidRPr="00BD48DC" w:rsidRDefault="00687C77" w:rsidP="00687C77">
      <w:pPr>
        <w:spacing w:line="240" w:lineRule="auto"/>
        <w:rPr>
          <w:rFonts w:eastAsia="Times New Roman" w:cs="Arial"/>
          <w:b/>
          <w:bCs/>
          <w:color w:val="000000"/>
          <w:lang w:eastAsia="bg-BG"/>
        </w:rPr>
      </w:pPr>
    </w:p>
    <w:p w14:paraId="7360CA21" w14:textId="6BBB4844" w:rsidR="00687C77" w:rsidRPr="00687C77" w:rsidRDefault="00687C77" w:rsidP="00687C77">
      <w:pPr>
        <w:spacing w:line="240" w:lineRule="auto"/>
        <w:rPr>
          <w:rFonts w:eastAsia="Times New Roman" w:cs="Arial"/>
          <w:lang w:eastAsia="bg-BG"/>
        </w:rPr>
      </w:pPr>
      <w:r w:rsidRPr="00687C77">
        <w:rPr>
          <w:rFonts w:eastAsia="Times New Roman" w:cs="Arial"/>
          <w:b/>
          <w:bCs/>
          <w:color w:val="000000"/>
          <w:lang w:eastAsia="bg-BG"/>
        </w:rPr>
        <w:t xml:space="preserve">Лечение </w:t>
      </w:r>
      <w:r w:rsidRPr="00687C77">
        <w:rPr>
          <w:rFonts w:eastAsia="Times New Roman" w:cs="Arial"/>
          <w:color w:val="000000"/>
          <w:lang w:eastAsia="bg-BG"/>
        </w:rPr>
        <w:t>на остри, хронични или рецидивиращи стоматологични инфекции като:</w:t>
      </w:r>
    </w:p>
    <w:p w14:paraId="3F3D9F31" w14:textId="77777777" w:rsidR="00687C77" w:rsidRPr="00BD48DC" w:rsidRDefault="00687C77" w:rsidP="00687C77">
      <w:pPr>
        <w:pStyle w:val="ListParagraph"/>
        <w:numPr>
          <w:ilvl w:val="0"/>
          <w:numId w:val="36"/>
        </w:numPr>
        <w:spacing w:line="240" w:lineRule="auto"/>
        <w:rPr>
          <w:rFonts w:eastAsia="Times New Roman" w:cs="Arial"/>
          <w:color w:val="000000"/>
          <w:lang w:eastAsia="bg-BG"/>
        </w:rPr>
      </w:pPr>
      <w:r w:rsidRPr="00BD48DC">
        <w:rPr>
          <w:rFonts w:eastAsia="Times New Roman" w:cs="Arial"/>
          <w:color w:val="000000"/>
          <w:lang w:eastAsia="bg-BG"/>
        </w:rPr>
        <w:t>зъбни абсцеси, флегмони, перимаксиларен синуит, перикоронити;</w:t>
      </w:r>
    </w:p>
    <w:p w14:paraId="6DDF20DE" w14:textId="77777777" w:rsidR="00687C77" w:rsidRPr="00BD48DC" w:rsidRDefault="00687C77" w:rsidP="00687C77">
      <w:pPr>
        <w:pStyle w:val="ListParagraph"/>
        <w:numPr>
          <w:ilvl w:val="0"/>
          <w:numId w:val="36"/>
        </w:numPr>
        <w:spacing w:line="240" w:lineRule="auto"/>
        <w:rPr>
          <w:rFonts w:eastAsia="Times New Roman" w:cs="Arial"/>
          <w:color w:val="000000"/>
          <w:lang w:eastAsia="bg-BG"/>
        </w:rPr>
      </w:pPr>
      <w:r w:rsidRPr="00BD48DC">
        <w:rPr>
          <w:rFonts w:eastAsia="Times New Roman" w:cs="Arial"/>
          <w:color w:val="000000"/>
          <w:lang w:eastAsia="bg-BG"/>
        </w:rPr>
        <w:t>гингивити, стоматити;</w:t>
      </w:r>
    </w:p>
    <w:p w14:paraId="4F5E0838" w14:textId="77777777" w:rsidR="00687C77" w:rsidRPr="00BD48DC" w:rsidRDefault="00687C77" w:rsidP="00687C77">
      <w:pPr>
        <w:pStyle w:val="ListParagraph"/>
        <w:numPr>
          <w:ilvl w:val="0"/>
          <w:numId w:val="36"/>
        </w:numPr>
        <w:spacing w:line="240" w:lineRule="auto"/>
        <w:rPr>
          <w:rFonts w:eastAsia="Times New Roman" w:cs="Arial"/>
          <w:color w:val="000000"/>
          <w:lang w:eastAsia="bg-BG"/>
        </w:rPr>
      </w:pPr>
      <w:r w:rsidRPr="00BD48DC">
        <w:rPr>
          <w:rFonts w:eastAsia="Times New Roman" w:cs="Arial"/>
          <w:color w:val="000000"/>
          <w:lang w:eastAsia="bg-BG"/>
        </w:rPr>
        <w:t>пародонтити;</w:t>
      </w:r>
    </w:p>
    <w:p w14:paraId="2961F3A1" w14:textId="13AC2D99" w:rsidR="00687C77" w:rsidRPr="00BD48DC" w:rsidRDefault="00687C77" w:rsidP="00687C77">
      <w:pPr>
        <w:pStyle w:val="ListParagraph"/>
        <w:numPr>
          <w:ilvl w:val="0"/>
          <w:numId w:val="36"/>
        </w:numPr>
        <w:spacing w:line="240" w:lineRule="auto"/>
        <w:rPr>
          <w:rFonts w:eastAsia="Times New Roman" w:cs="Arial"/>
          <w:color w:val="000000"/>
          <w:lang w:eastAsia="bg-BG"/>
        </w:rPr>
      </w:pPr>
      <w:r w:rsidRPr="00BD48DC">
        <w:rPr>
          <w:rFonts w:eastAsia="Times New Roman" w:cs="Arial"/>
          <w:color w:val="000000"/>
          <w:lang w:eastAsia="bg-BG"/>
        </w:rPr>
        <w:t>паротити, субмаксилити.</w:t>
      </w:r>
    </w:p>
    <w:p w14:paraId="74B64979" w14:textId="77777777" w:rsidR="00687C77" w:rsidRPr="00BD48DC" w:rsidRDefault="00687C77" w:rsidP="00687C77">
      <w:pPr>
        <w:spacing w:line="240" w:lineRule="auto"/>
        <w:rPr>
          <w:rFonts w:eastAsia="Times New Roman" w:cs="Arial"/>
          <w:b/>
          <w:bCs/>
          <w:color w:val="000000"/>
          <w:lang w:eastAsia="bg-BG"/>
        </w:rPr>
      </w:pPr>
    </w:p>
    <w:p w14:paraId="2DCC31D2" w14:textId="73D60622" w:rsidR="00687C77" w:rsidRPr="00687C77" w:rsidRDefault="00687C77" w:rsidP="00687C77">
      <w:pPr>
        <w:spacing w:line="240" w:lineRule="auto"/>
        <w:rPr>
          <w:rFonts w:eastAsia="Times New Roman" w:cs="Arial"/>
          <w:lang w:eastAsia="bg-BG"/>
        </w:rPr>
      </w:pPr>
      <w:r w:rsidRPr="00687C77">
        <w:rPr>
          <w:rFonts w:eastAsia="Times New Roman" w:cs="Arial"/>
          <w:b/>
          <w:bCs/>
          <w:color w:val="000000"/>
          <w:lang w:eastAsia="bg-BG"/>
        </w:rPr>
        <w:t xml:space="preserve">Профилактика </w:t>
      </w:r>
      <w:r w:rsidRPr="00687C77">
        <w:rPr>
          <w:rFonts w:eastAsia="Times New Roman" w:cs="Arial"/>
          <w:color w:val="000000"/>
          <w:lang w:eastAsia="bg-BG"/>
        </w:rPr>
        <w:t>на локални инфекции като постоперативни усложнения след стоматологични оперативни интервенции.</w:t>
      </w:r>
    </w:p>
    <w:p w14:paraId="0D9FFFF6"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Не е доказана ефективност в предпазването от инфекциозен ендокардит.</w:t>
      </w:r>
    </w:p>
    <w:p w14:paraId="6DFA4B9D" w14:textId="4E2B3C76" w:rsidR="0091385D" w:rsidRPr="00BD48DC" w:rsidRDefault="00687C77" w:rsidP="00687C77">
      <w:pPr>
        <w:rPr>
          <w:rFonts w:cs="Arial"/>
        </w:rPr>
      </w:pPr>
      <w:r w:rsidRPr="00BD48DC">
        <w:rPr>
          <w:rFonts w:eastAsia="Times New Roman" w:cs="Arial"/>
          <w:color w:val="000000"/>
          <w:lang w:eastAsia="bg-BG"/>
        </w:rPr>
        <w:t>Трябва да се взимат под внимание официалните препоръки за правилна употреба на антибактериални средства.</w:t>
      </w:r>
    </w:p>
    <w:p w14:paraId="642F56D9" w14:textId="77777777" w:rsidR="00EC41ED" w:rsidRPr="0091385D" w:rsidRDefault="00EC41ED" w:rsidP="0091385D"/>
    <w:p w14:paraId="30BE2C7B" w14:textId="3633C1E4" w:rsidR="008134C8" w:rsidRDefault="002C50EE" w:rsidP="004A448E">
      <w:pPr>
        <w:pStyle w:val="Heading2"/>
      </w:pPr>
      <w:r>
        <w:t>4.2. Дозировка и начин на приложение</w:t>
      </w:r>
    </w:p>
    <w:p w14:paraId="7AA22B68" w14:textId="0723B40D" w:rsidR="0091385D" w:rsidRDefault="0091385D" w:rsidP="0091385D"/>
    <w:p w14:paraId="74D54C03" w14:textId="77777777" w:rsidR="00687C77" w:rsidRPr="00AF11EB" w:rsidRDefault="00687C77" w:rsidP="00AF11EB">
      <w:pPr>
        <w:pStyle w:val="Heading3"/>
        <w:rPr>
          <w:rFonts w:eastAsia="Times New Roman"/>
          <w:u w:val="single"/>
          <w:lang w:eastAsia="bg-BG"/>
        </w:rPr>
      </w:pPr>
      <w:r w:rsidRPr="00AF11EB">
        <w:rPr>
          <w:rFonts w:eastAsia="Times New Roman"/>
          <w:u w:val="single"/>
          <w:lang w:eastAsia="bg-BG"/>
        </w:rPr>
        <w:t>Дозировка</w:t>
      </w:r>
    </w:p>
    <w:p w14:paraId="3146A524" w14:textId="77777777" w:rsidR="00687C77" w:rsidRPr="00BD48DC" w:rsidRDefault="00687C77" w:rsidP="00687C77">
      <w:pPr>
        <w:spacing w:line="240" w:lineRule="auto"/>
        <w:rPr>
          <w:rFonts w:eastAsia="Times New Roman" w:cs="Arial"/>
          <w:i/>
          <w:iCs/>
          <w:color w:val="000000"/>
          <w:u w:val="single"/>
          <w:lang w:eastAsia="bg-BG"/>
        </w:rPr>
      </w:pPr>
    </w:p>
    <w:p w14:paraId="35D1F8AA" w14:textId="53EC74B8" w:rsidR="00687C77" w:rsidRPr="00687C77" w:rsidRDefault="00687C77" w:rsidP="00687C77">
      <w:pPr>
        <w:spacing w:line="240" w:lineRule="auto"/>
        <w:rPr>
          <w:rFonts w:eastAsia="Times New Roman" w:cs="Arial"/>
          <w:lang w:eastAsia="bg-BG"/>
        </w:rPr>
      </w:pPr>
      <w:r w:rsidRPr="00687C77">
        <w:rPr>
          <w:rFonts w:eastAsia="Times New Roman" w:cs="Arial"/>
          <w:i/>
          <w:iCs/>
          <w:color w:val="000000"/>
          <w:u w:val="single"/>
          <w:lang w:eastAsia="bg-BG"/>
        </w:rPr>
        <w:t>Лечение</w:t>
      </w:r>
    </w:p>
    <w:p w14:paraId="1927BDBA" w14:textId="77777777" w:rsidR="00687C77" w:rsidRPr="00BD48DC" w:rsidRDefault="00687C77" w:rsidP="00687C77">
      <w:pPr>
        <w:spacing w:line="240" w:lineRule="auto"/>
        <w:rPr>
          <w:rFonts w:eastAsia="Times New Roman" w:cs="Arial"/>
          <w:i/>
          <w:iCs/>
          <w:color w:val="000000"/>
          <w:lang w:eastAsia="bg-BG"/>
        </w:rPr>
      </w:pPr>
    </w:p>
    <w:p w14:paraId="533D690C" w14:textId="7E3A2EF1" w:rsidR="00687C77" w:rsidRPr="00687C77" w:rsidRDefault="00687C77" w:rsidP="00687C77">
      <w:pPr>
        <w:spacing w:line="240" w:lineRule="auto"/>
        <w:rPr>
          <w:rFonts w:eastAsia="Times New Roman" w:cs="Arial"/>
          <w:lang w:eastAsia="bg-BG"/>
        </w:rPr>
      </w:pPr>
      <w:r w:rsidRPr="00687C77">
        <w:rPr>
          <w:rFonts w:eastAsia="Times New Roman" w:cs="Arial"/>
          <w:i/>
          <w:iCs/>
          <w:color w:val="000000"/>
          <w:lang w:eastAsia="bg-BG"/>
        </w:rPr>
        <w:t>Възрастни и деца над 15 години</w:t>
      </w:r>
    </w:p>
    <w:p w14:paraId="75F3E2A6"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Дневната доза е 4-6 таблетки Ровамет, разделени в 2-3 приема по време на хранене (3</w:t>
      </w:r>
      <w:r w:rsidRPr="00687C77">
        <w:rPr>
          <w:rFonts w:eastAsia="Times New Roman" w:cs="Arial"/>
          <w:color w:val="000000"/>
          <w:lang w:val="en-US"/>
        </w:rPr>
        <w:t xml:space="preserve"> 000 000</w:t>
      </w:r>
      <w:r w:rsidRPr="00687C77">
        <w:rPr>
          <w:rFonts w:eastAsia="Times New Roman" w:cs="Arial"/>
          <w:color w:val="000000"/>
          <w:lang w:eastAsia="bg-BG"/>
        </w:rPr>
        <w:t xml:space="preserve"> до 4 500 000 </w:t>
      </w:r>
      <w:r w:rsidRPr="00687C77">
        <w:rPr>
          <w:rFonts w:eastAsia="Times New Roman" w:cs="Arial"/>
          <w:color w:val="000000"/>
          <w:lang w:val="en-US"/>
        </w:rPr>
        <w:t xml:space="preserve">IU </w:t>
      </w:r>
      <w:r w:rsidRPr="00687C77">
        <w:rPr>
          <w:rFonts w:eastAsia="Times New Roman" w:cs="Arial"/>
          <w:color w:val="000000"/>
          <w:lang w:eastAsia="bg-BG"/>
        </w:rPr>
        <w:t xml:space="preserve">спирамицин и 500 до 750 </w:t>
      </w:r>
      <w:r w:rsidRPr="00687C77">
        <w:rPr>
          <w:rFonts w:eastAsia="Times New Roman" w:cs="Arial"/>
          <w:color w:val="000000"/>
          <w:lang w:val="en-US"/>
        </w:rPr>
        <w:t xml:space="preserve">mg </w:t>
      </w:r>
      <w:r w:rsidRPr="00687C77">
        <w:rPr>
          <w:rFonts w:eastAsia="Times New Roman" w:cs="Arial"/>
          <w:color w:val="000000"/>
          <w:lang w:eastAsia="bg-BG"/>
        </w:rPr>
        <w:t>метронидазол).</w:t>
      </w:r>
      <w:r w:rsidRPr="00687C77">
        <w:rPr>
          <w:rFonts w:eastAsia="Times New Roman" w:cs="Arial"/>
          <w:color w:val="000000"/>
          <w:lang w:val="en-US"/>
        </w:rPr>
        <w:t xml:space="preserve"> </w:t>
      </w:r>
    </w:p>
    <w:p w14:paraId="284AECB9"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При тежки инфекции дозата може да бъде повишена до 8 таблетки дневно.</w:t>
      </w:r>
    </w:p>
    <w:p w14:paraId="1A93906D" w14:textId="77777777" w:rsidR="00687C77" w:rsidRPr="00BD48DC" w:rsidRDefault="00687C77" w:rsidP="00687C77">
      <w:pPr>
        <w:spacing w:line="240" w:lineRule="auto"/>
        <w:rPr>
          <w:rFonts w:eastAsia="Times New Roman" w:cs="Arial"/>
          <w:i/>
          <w:iCs/>
          <w:color w:val="000000"/>
          <w:lang w:eastAsia="bg-BG"/>
        </w:rPr>
      </w:pPr>
    </w:p>
    <w:p w14:paraId="5D6836C5" w14:textId="24A64AE2" w:rsidR="00687C77" w:rsidRPr="00687C77" w:rsidRDefault="00687C77" w:rsidP="00687C77">
      <w:pPr>
        <w:spacing w:line="240" w:lineRule="auto"/>
        <w:rPr>
          <w:rFonts w:eastAsia="Times New Roman" w:cs="Arial"/>
          <w:lang w:eastAsia="bg-BG"/>
        </w:rPr>
      </w:pPr>
      <w:r w:rsidRPr="00687C77">
        <w:rPr>
          <w:rFonts w:eastAsia="Times New Roman" w:cs="Arial"/>
          <w:i/>
          <w:iCs/>
          <w:color w:val="000000"/>
          <w:lang w:eastAsia="bg-BG"/>
        </w:rPr>
        <w:t>Педиатрична популация</w:t>
      </w:r>
      <w:r w:rsidRPr="00687C77">
        <w:rPr>
          <w:rFonts w:eastAsia="Times New Roman" w:cs="Arial"/>
          <w:i/>
          <w:iCs/>
          <w:color w:val="000000"/>
          <w:lang w:eastAsia="bg-BG"/>
        </w:rPr>
        <w:tab/>
      </w:r>
    </w:p>
    <w:p w14:paraId="7FBF1BCE" w14:textId="0209FAF0" w:rsidR="00EC41ED" w:rsidRPr="00BD48DC" w:rsidRDefault="00687C77" w:rsidP="00687C77">
      <w:pPr>
        <w:rPr>
          <w:rFonts w:cs="Arial"/>
        </w:rPr>
      </w:pPr>
      <w:r w:rsidRPr="00BD48DC">
        <w:rPr>
          <w:rFonts w:eastAsia="Times New Roman" w:cs="Arial"/>
          <w:color w:val="000000"/>
          <w:lang w:eastAsia="bg-BG"/>
        </w:rPr>
        <w:t>6-10 години - 2 таблетки дневно (1 500 000</w:t>
      </w:r>
      <w:r w:rsidRPr="00BD48DC">
        <w:rPr>
          <w:rFonts w:eastAsia="Times New Roman" w:cs="Arial"/>
          <w:color w:val="000000"/>
          <w:lang w:val="en-US"/>
        </w:rPr>
        <w:t xml:space="preserve">IU </w:t>
      </w:r>
      <w:r w:rsidRPr="00BD48DC">
        <w:rPr>
          <w:rFonts w:eastAsia="Times New Roman" w:cs="Arial"/>
          <w:color w:val="000000"/>
          <w:lang w:eastAsia="bg-BG"/>
        </w:rPr>
        <w:t xml:space="preserve">спирамицин и 250 </w:t>
      </w:r>
      <w:r w:rsidRPr="00BD48DC">
        <w:rPr>
          <w:rFonts w:eastAsia="Times New Roman" w:cs="Arial"/>
          <w:color w:val="000000"/>
          <w:lang w:val="en-US"/>
        </w:rPr>
        <w:t xml:space="preserve">mg </w:t>
      </w:r>
      <w:r w:rsidRPr="00BD48DC">
        <w:rPr>
          <w:rFonts w:eastAsia="Times New Roman" w:cs="Arial"/>
          <w:color w:val="000000"/>
          <w:lang w:eastAsia="bg-BG"/>
        </w:rPr>
        <w:t>метронидазол);</w:t>
      </w:r>
    </w:p>
    <w:p w14:paraId="132F3111" w14:textId="656E2AAD" w:rsidR="005B0F27" w:rsidRPr="00BD48DC" w:rsidRDefault="005B0F27" w:rsidP="0091385D">
      <w:pPr>
        <w:rPr>
          <w:rFonts w:cs="Arial"/>
        </w:rPr>
      </w:pPr>
    </w:p>
    <w:p w14:paraId="1F6A18B4"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 xml:space="preserve">10-15 години - 3 таблетки дневно (2 250 000 </w:t>
      </w:r>
      <w:r w:rsidRPr="00687C77">
        <w:rPr>
          <w:rFonts w:eastAsia="Times New Roman" w:cs="Arial"/>
          <w:color w:val="000000"/>
          <w:lang w:val="en-US"/>
        </w:rPr>
        <w:t>IU</w:t>
      </w:r>
      <w:r w:rsidRPr="00687C77">
        <w:rPr>
          <w:rFonts w:eastAsia="Times New Roman" w:cs="Arial"/>
          <w:color w:val="000000"/>
          <w:lang w:eastAsia="bg-BG"/>
        </w:rPr>
        <w:t xml:space="preserve"> спирамицин и 375 </w:t>
      </w:r>
      <w:r w:rsidRPr="00687C77">
        <w:rPr>
          <w:rFonts w:eastAsia="Times New Roman" w:cs="Arial"/>
          <w:color w:val="000000"/>
          <w:lang w:val="en-US"/>
        </w:rPr>
        <w:t xml:space="preserve">mg </w:t>
      </w:r>
      <w:r w:rsidRPr="00687C77">
        <w:rPr>
          <w:rFonts w:eastAsia="Times New Roman" w:cs="Arial"/>
          <w:color w:val="000000"/>
          <w:lang w:eastAsia="bg-BG"/>
        </w:rPr>
        <w:t>метронидазол).</w:t>
      </w:r>
    </w:p>
    <w:p w14:paraId="20229F22" w14:textId="77777777" w:rsidR="00687C77" w:rsidRPr="00BD48DC" w:rsidRDefault="00687C77" w:rsidP="00687C77">
      <w:pPr>
        <w:spacing w:line="240" w:lineRule="auto"/>
        <w:rPr>
          <w:rFonts w:eastAsia="Times New Roman" w:cs="Arial"/>
          <w:i/>
          <w:iCs/>
          <w:color w:val="000000"/>
          <w:u w:val="single"/>
          <w:lang w:eastAsia="bg-BG"/>
        </w:rPr>
      </w:pPr>
    </w:p>
    <w:p w14:paraId="44426923" w14:textId="546ACC0B" w:rsidR="00687C77" w:rsidRPr="00687C77" w:rsidRDefault="00687C77" w:rsidP="00687C77">
      <w:pPr>
        <w:spacing w:line="240" w:lineRule="auto"/>
        <w:rPr>
          <w:rFonts w:eastAsia="Times New Roman" w:cs="Arial"/>
          <w:lang w:eastAsia="bg-BG"/>
        </w:rPr>
      </w:pPr>
      <w:r w:rsidRPr="00687C77">
        <w:rPr>
          <w:rFonts w:eastAsia="Times New Roman" w:cs="Arial"/>
          <w:i/>
          <w:iCs/>
          <w:color w:val="000000"/>
          <w:u w:val="single"/>
          <w:lang w:eastAsia="bg-BG"/>
        </w:rPr>
        <w:t>Профилактика на локални инфекции като постоперативни усложнения при стоматологични оперативни интервенции</w:t>
      </w:r>
    </w:p>
    <w:p w14:paraId="04D21917" w14:textId="77777777" w:rsidR="00687C77" w:rsidRPr="00BD48DC" w:rsidRDefault="00687C77" w:rsidP="00687C77">
      <w:pPr>
        <w:spacing w:line="240" w:lineRule="auto"/>
        <w:rPr>
          <w:rFonts w:eastAsia="Times New Roman" w:cs="Arial"/>
          <w:i/>
          <w:iCs/>
          <w:color w:val="000000"/>
          <w:lang w:eastAsia="bg-BG"/>
        </w:rPr>
      </w:pPr>
    </w:p>
    <w:p w14:paraId="42C842F3" w14:textId="6B3FACB9" w:rsidR="00687C77" w:rsidRPr="00687C77" w:rsidRDefault="00687C77" w:rsidP="00687C77">
      <w:pPr>
        <w:spacing w:line="240" w:lineRule="auto"/>
        <w:rPr>
          <w:rFonts w:eastAsia="Times New Roman" w:cs="Arial"/>
          <w:lang w:eastAsia="bg-BG"/>
        </w:rPr>
      </w:pPr>
      <w:r w:rsidRPr="00687C77">
        <w:rPr>
          <w:rFonts w:eastAsia="Times New Roman" w:cs="Arial"/>
          <w:i/>
          <w:iCs/>
          <w:color w:val="000000"/>
          <w:lang w:eastAsia="bg-BG"/>
        </w:rPr>
        <w:t>Възрастни и деца над 15 години</w:t>
      </w:r>
    </w:p>
    <w:p w14:paraId="17BD38F3"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Обичайна доза 4 до 6 таблетки дневно в 2 или 3 приема по време на хранене.</w:t>
      </w:r>
    </w:p>
    <w:p w14:paraId="62B08683" w14:textId="77777777" w:rsidR="00687C77" w:rsidRPr="00BD48DC" w:rsidRDefault="00687C77" w:rsidP="00687C77">
      <w:pPr>
        <w:spacing w:line="240" w:lineRule="auto"/>
        <w:rPr>
          <w:rFonts w:eastAsia="Times New Roman" w:cs="Arial"/>
          <w:i/>
          <w:iCs/>
          <w:color w:val="000000"/>
          <w:lang w:eastAsia="bg-BG"/>
        </w:rPr>
      </w:pPr>
    </w:p>
    <w:p w14:paraId="513E7F7E" w14:textId="0B193FC8" w:rsidR="00687C77" w:rsidRPr="00687C77" w:rsidRDefault="00687C77" w:rsidP="00687C77">
      <w:pPr>
        <w:spacing w:line="240" w:lineRule="auto"/>
        <w:rPr>
          <w:rFonts w:eastAsia="Times New Roman" w:cs="Arial"/>
          <w:lang w:eastAsia="bg-BG"/>
        </w:rPr>
      </w:pPr>
      <w:r w:rsidRPr="00687C77">
        <w:rPr>
          <w:rFonts w:eastAsia="Times New Roman" w:cs="Arial"/>
          <w:i/>
          <w:iCs/>
          <w:color w:val="000000"/>
          <w:lang w:eastAsia="bg-BG"/>
        </w:rPr>
        <w:t>Педиатрична популация</w:t>
      </w:r>
    </w:p>
    <w:p w14:paraId="65ADEDF9"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 xml:space="preserve">6-10 години - 2 таблетки дневно (1 500 000 </w:t>
      </w:r>
      <w:r w:rsidRPr="00687C77">
        <w:rPr>
          <w:rFonts w:eastAsia="Times New Roman" w:cs="Arial"/>
          <w:color w:val="000000"/>
          <w:lang w:val="en-US"/>
        </w:rPr>
        <w:t xml:space="preserve">IU </w:t>
      </w:r>
      <w:r w:rsidRPr="00687C77">
        <w:rPr>
          <w:rFonts w:eastAsia="Times New Roman" w:cs="Arial"/>
          <w:color w:val="000000"/>
          <w:lang w:eastAsia="bg-BG"/>
        </w:rPr>
        <w:t xml:space="preserve">спирамицин и 250 </w:t>
      </w:r>
      <w:r w:rsidRPr="00687C77">
        <w:rPr>
          <w:rFonts w:eastAsia="Times New Roman" w:cs="Arial"/>
          <w:color w:val="000000"/>
          <w:lang w:val="en-US"/>
        </w:rPr>
        <w:t xml:space="preserve">mg </w:t>
      </w:r>
      <w:r w:rsidRPr="00687C77">
        <w:rPr>
          <w:rFonts w:eastAsia="Times New Roman" w:cs="Arial"/>
          <w:color w:val="000000"/>
          <w:lang w:eastAsia="bg-BG"/>
        </w:rPr>
        <w:t>метронидазол);</w:t>
      </w:r>
    </w:p>
    <w:p w14:paraId="5C8F4432"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 xml:space="preserve">10-15 години - 3 таблетки дневно (2 250 000 </w:t>
      </w:r>
      <w:r w:rsidRPr="00687C77">
        <w:rPr>
          <w:rFonts w:eastAsia="Times New Roman" w:cs="Arial"/>
          <w:color w:val="000000"/>
          <w:lang w:val="en-US"/>
        </w:rPr>
        <w:t>IU</w:t>
      </w:r>
      <w:r w:rsidRPr="00687C77">
        <w:rPr>
          <w:rFonts w:eastAsia="Times New Roman" w:cs="Arial"/>
          <w:color w:val="000000"/>
          <w:lang w:eastAsia="bg-BG"/>
        </w:rPr>
        <w:t xml:space="preserve"> спирамицин и 375 </w:t>
      </w:r>
      <w:r w:rsidRPr="00687C77">
        <w:rPr>
          <w:rFonts w:eastAsia="Times New Roman" w:cs="Arial"/>
          <w:color w:val="000000"/>
          <w:lang w:val="en-US"/>
        </w:rPr>
        <w:t xml:space="preserve">mg </w:t>
      </w:r>
      <w:r w:rsidRPr="00687C77">
        <w:rPr>
          <w:rFonts w:eastAsia="Times New Roman" w:cs="Arial"/>
          <w:color w:val="000000"/>
          <w:lang w:eastAsia="bg-BG"/>
        </w:rPr>
        <w:t>метронидазол).</w:t>
      </w:r>
    </w:p>
    <w:p w14:paraId="16DD7725" w14:textId="77777777" w:rsidR="00687C77" w:rsidRPr="00BD48DC" w:rsidRDefault="00687C77" w:rsidP="00687C77">
      <w:pPr>
        <w:spacing w:line="240" w:lineRule="auto"/>
        <w:rPr>
          <w:rFonts w:eastAsia="Times New Roman" w:cs="Arial"/>
          <w:color w:val="000000"/>
          <w:u w:val="single"/>
          <w:lang w:eastAsia="bg-BG"/>
        </w:rPr>
      </w:pPr>
    </w:p>
    <w:p w14:paraId="7F380ABA" w14:textId="29254BE6" w:rsidR="00687C77" w:rsidRPr="00AF11EB" w:rsidRDefault="00687C77" w:rsidP="00AF11EB">
      <w:pPr>
        <w:pStyle w:val="Heading3"/>
        <w:rPr>
          <w:rFonts w:eastAsia="Times New Roman"/>
          <w:u w:val="single"/>
          <w:lang w:eastAsia="bg-BG"/>
        </w:rPr>
      </w:pPr>
      <w:r w:rsidRPr="00AF11EB">
        <w:rPr>
          <w:rFonts w:eastAsia="Times New Roman"/>
          <w:u w:val="single"/>
          <w:lang w:eastAsia="bg-BG"/>
        </w:rPr>
        <w:t>Начин на приложение</w:t>
      </w:r>
    </w:p>
    <w:p w14:paraId="2400763C"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Перорално приложение.</w:t>
      </w:r>
    </w:p>
    <w:p w14:paraId="4E6822FC" w14:textId="40C4AE98" w:rsidR="00687C77" w:rsidRPr="00BD48DC" w:rsidRDefault="00687C77" w:rsidP="00687C77">
      <w:pPr>
        <w:rPr>
          <w:rFonts w:cs="Arial"/>
        </w:rPr>
      </w:pPr>
      <w:r w:rsidRPr="00BD48DC">
        <w:rPr>
          <w:rFonts w:eastAsia="Times New Roman" w:cs="Arial"/>
          <w:color w:val="000000"/>
          <w:lang w:eastAsia="bg-BG"/>
        </w:rPr>
        <w:t>Продължителното лечение с Ровамет трябва да бъде внимателно обмислено.</w:t>
      </w:r>
    </w:p>
    <w:p w14:paraId="51C87EAF" w14:textId="77777777" w:rsidR="00687C77" w:rsidRPr="0091385D" w:rsidRDefault="00687C77" w:rsidP="0091385D"/>
    <w:p w14:paraId="28C984E8" w14:textId="0756AE28" w:rsidR="008134C8" w:rsidRDefault="002C50EE" w:rsidP="004A448E">
      <w:pPr>
        <w:pStyle w:val="Heading2"/>
      </w:pPr>
      <w:r>
        <w:t>4.3. Противопоказания</w:t>
      </w:r>
    </w:p>
    <w:p w14:paraId="2363D607" w14:textId="619A99CE" w:rsidR="0091385D" w:rsidRDefault="0091385D" w:rsidP="0091385D"/>
    <w:p w14:paraId="58A8C0F4" w14:textId="77777777" w:rsidR="00687C77" w:rsidRPr="00BD48DC" w:rsidRDefault="00687C77" w:rsidP="00687C77">
      <w:pPr>
        <w:pStyle w:val="ListParagraph"/>
        <w:numPr>
          <w:ilvl w:val="0"/>
          <w:numId w:val="37"/>
        </w:numPr>
        <w:spacing w:line="240" w:lineRule="auto"/>
        <w:rPr>
          <w:rFonts w:eastAsia="Times New Roman" w:cs="Arial"/>
          <w:color w:val="000000"/>
          <w:lang w:eastAsia="bg-BG"/>
        </w:rPr>
      </w:pPr>
      <w:r w:rsidRPr="00BD48DC">
        <w:rPr>
          <w:rFonts w:eastAsia="Times New Roman" w:cs="Arial"/>
          <w:color w:val="000000"/>
          <w:lang w:eastAsia="bg-BG"/>
        </w:rPr>
        <w:t>Свръхчувствителност към активните вещества, към имидазоли или към някое от помощните вещества, изброени в точка 6.1;</w:t>
      </w:r>
    </w:p>
    <w:p w14:paraId="030B6A4D" w14:textId="1DE0EB1F" w:rsidR="00EC41ED" w:rsidRPr="00BD48DC" w:rsidRDefault="00687C77" w:rsidP="00687C77">
      <w:pPr>
        <w:pStyle w:val="ListParagraph"/>
        <w:numPr>
          <w:ilvl w:val="0"/>
          <w:numId w:val="37"/>
        </w:numPr>
        <w:spacing w:line="240" w:lineRule="auto"/>
        <w:rPr>
          <w:rFonts w:eastAsia="Times New Roman" w:cs="Arial"/>
          <w:color w:val="000000"/>
          <w:lang w:eastAsia="bg-BG"/>
        </w:rPr>
      </w:pPr>
      <w:r w:rsidRPr="00BD48DC">
        <w:rPr>
          <w:rFonts w:eastAsia="Times New Roman" w:cs="Arial"/>
          <w:color w:val="000000"/>
          <w:lang w:eastAsia="bg-BG"/>
        </w:rPr>
        <w:t>Деца под 6 години с оглед на лекарствената форма.</w:t>
      </w:r>
    </w:p>
    <w:p w14:paraId="31B39DC6" w14:textId="77777777" w:rsidR="0091385D" w:rsidRPr="0091385D" w:rsidRDefault="0091385D" w:rsidP="0091385D"/>
    <w:p w14:paraId="212F509C" w14:textId="52B87D4F" w:rsidR="004F498A" w:rsidRDefault="002C50EE" w:rsidP="004A448E">
      <w:pPr>
        <w:pStyle w:val="Heading2"/>
      </w:pPr>
      <w:r>
        <w:t>4.4. Специални предупреждения и предпазни мерки при употреба</w:t>
      </w:r>
    </w:p>
    <w:p w14:paraId="0AAC2B60" w14:textId="1E0703C7" w:rsidR="0091385D" w:rsidRDefault="0091385D" w:rsidP="0091385D"/>
    <w:p w14:paraId="3A29C72A" w14:textId="77777777" w:rsidR="00687C77" w:rsidRPr="00687C77" w:rsidRDefault="00687C77" w:rsidP="00687C77">
      <w:pPr>
        <w:spacing w:line="240" w:lineRule="auto"/>
        <w:rPr>
          <w:rFonts w:eastAsia="Times New Roman" w:cs="Arial"/>
          <w:lang w:eastAsia="bg-BG"/>
        </w:rPr>
      </w:pPr>
      <w:bookmarkStart w:id="1" w:name="bookmark0"/>
      <w:r w:rsidRPr="00687C77">
        <w:rPr>
          <w:rFonts w:eastAsia="Times New Roman" w:cs="Arial"/>
          <w:b/>
          <w:bCs/>
          <w:color w:val="000000"/>
          <w:lang w:eastAsia="bg-BG"/>
        </w:rPr>
        <w:t>Свръхчувствителност/кожа и придатъци</w:t>
      </w:r>
      <w:bookmarkEnd w:id="1"/>
    </w:p>
    <w:p w14:paraId="1FE3B502" w14:textId="77777777" w:rsidR="00687C77" w:rsidRPr="00BD48DC" w:rsidRDefault="00687C77" w:rsidP="00687C77">
      <w:pPr>
        <w:pStyle w:val="ListParagraph"/>
        <w:numPr>
          <w:ilvl w:val="0"/>
          <w:numId w:val="38"/>
        </w:numPr>
        <w:spacing w:line="240" w:lineRule="auto"/>
        <w:rPr>
          <w:rFonts w:eastAsia="Times New Roman" w:cs="Arial"/>
          <w:lang w:eastAsia="bg-BG"/>
        </w:rPr>
      </w:pPr>
      <w:r w:rsidRPr="00BD48DC">
        <w:rPr>
          <w:rFonts w:eastAsia="Times New Roman" w:cs="Arial"/>
          <w:color w:val="000000"/>
          <w:lang w:eastAsia="bg-BG"/>
        </w:rPr>
        <w:t>Могат да възникнат алергични реакции, включително анафилактичен шок, който да бъде животозастрашаващ (вж. точка 4.8). Ако възникне алергична реакция, употребата на метронидазол трябва да се преустанови и да се назначи подходяща терапия.</w:t>
      </w:r>
    </w:p>
    <w:p w14:paraId="45D92DB9" w14:textId="77777777" w:rsidR="00687C77" w:rsidRPr="00BD48DC" w:rsidRDefault="00687C77" w:rsidP="00687C77">
      <w:pPr>
        <w:pStyle w:val="ListParagraph"/>
        <w:numPr>
          <w:ilvl w:val="0"/>
          <w:numId w:val="38"/>
        </w:numPr>
        <w:spacing w:line="240" w:lineRule="auto"/>
        <w:rPr>
          <w:rFonts w:eastAsia="Times New Roman" w:cs="Arial"/>
          <w:lang w:eastAsia="bg-BG"/>
        </w:rPr>
      </w:pPr>
      <w:r w:rsidRPr="00BD48DC">
        <w:rPr>
          <w:rFonts w:eastAsia="Times New Roman" w:cs="Arial"/>
          <w:color w:val="000000"/>
          <w:lang w:eastAsia="bg-BG"/>
        </w:rPr>
        <w:t xml:space="preserve">При употребата на спирамицин/метронидазол са съобщавани случаи на сериозни нежелани кожни реакции като синдром на Стивънс-Джонсън, токсична епидермална некролиза и остра генерализирана екзантематозна пустулоза. </w:t>
      </w:r>
      <w:r w:rsidRPr="00BD48DC">
        <w:rPr>
          <w:rFonts w:eastAsia="Times New Roman" w:cs="Arial"/>
          <w:color w:val="000000"/>
          <w:lang w:eastAsia="bg-BG"/>
        </w:rPr>
        <w:lastRenderedPageBreak/>
        <w:t>Пациентите трябва да бъдат информирани за признаците и симптомите и да бъдат наблюдавани внимателно за поява на кожни реакции.</w:t>
      </w:r>
    </w:p>
    <w:p w14:paraId="3E5A0DC6" w14:textId="3BC313BE" w:rsidR="00687C77" w:rsidRPr="00BD48DC" w:rsidRDefault="00687C77" w:rsidP="00687C77">
      <w:pPr>
        <w:pStyle w:val="ListParagraph"/>
        <w:numPr>
          <w:ilvl w:val="0"/>
          <w:numId w:val="38"/>
        </w:numPr>
        <w:spacing w:line="240" w:lineRule="auto"/>
        <w:rPr>
          <w:rFonts w:eastAsia="Times New Roman" w:cs="Arial"/>
          <w:lang w:eastAsia="bg-BG"/>
        </w:rPr>
      </w:pPr>
      <w:r w:rsidRPr="00BD48DC">
        <w:rPr>
          <w:rFonts w:eastAsia="Times New Roman" w:cs="Arial"/>
          <w:color w:val="000000"/>
          <w:lang w:eastAsia="bg-BG"/>
        </w:rPr>
        <w:t>Ако се появят признаци за синдром на Стивънс-Джонсън, токсична епидермална некролиза (прогресивен кожен обрив с мехури или лигавични ерозии) или остра генерализирана екзантематозна пустулоза (генерализирана еритема с мехури) (вж. точка 4.8), лечението със спирамицин/метронидазол трябва да се преустанови, като повторно приложение на спирамицин или метронидазол самостоятелно или в комбинация е противопоказано.</w:t>
      </w:r>
    </w:p>
    <w:p w14:paraId="6F48FEF3" w14:textId="77777777" w:rsidR="00687C77" w:rsidRPr="00BD48DC" w:rsidRDefault="00687C77" w:rsidP="00687C77">
      <w:pPr>
        <w:spacing w:line="240" w:lineRule="auto"/>
        <w:rPr>
          <w:rFonts w:eastAsia="Times New Roman" w:cs="Arial"/>
          <w:b/>
          <w:bCs/>
          <w:color w:val="000000"/>
          <w:lang w:eastAsia="bg-BG"/>
        </w:rPr>
      </w:pPr>
      <w:bookmarkStart w:id="2" w:name="bookmark2"/>
    </w:p>
    <w:p w14:paraId="1FCF3ACD" w14:textId="1B8F9B64" w:rsidR="00687C77" w:rsidRPr="00687C77" w:rsidRDefault="00687C77" w:rsidP="00687C77">
      <w:pPr>
        <w:spacing w:line="240" w:lineRule="auto"/>
        <w:rPr>
          <w:rFonts w:eastAsia="Times New Roman" w:cs="Arial"/>
          <w:lang w:eastAsia="bg-BG"/>
        </w:rPr>
      </w:pPr>
      <w:r w:rsidRPr="00687C77">
        <w:rPr>
          <w:rFonts w:eastAsia="Times New Roman" w:cs="Arial"/>
          <w:b/>
          <w:bCs/>
          <w:color w:val="000000"/>
          <w:lang w:eastAsia="bg-BG"/>
        </w:rPr>
        <w:t>Централна нервна система</w:t>
      </w:r>
      <w:bookmarkEnd w:id="2"/>
    </w:p>
    <w:p w14:paraId="40DD3A83" w14:textId="77777777" w:rsidR="00687C77" w:rsidRPr="00BD48DC" w:rsidRDefault="00687C77" w:rsidP="00687C77">
      <w:pPr>
        <w:pStyle w:val="ListParagraph"/>
        <w:numPr>
          <w:ilvl w:val="0"/>
          <w:numId w:val="39"/>
        </w:numPr>
        <w:spacing w:line="240" w:lineRule="auto"/>
        <w:rPr>
          <w:rFonts w:eastAsia="Times New Roman" w:cs="Arial"/>
          <w:lang w:eastAsia="bg-BG"/>
        </w:rPr>
      </w:pPr>
      <w:r w:rsidRPr="00BD48DC">
        <w:rPr>
          <w:rFonts w:eastAsia="Times New Roman" w:cs="Arial"/>
          <w:color w:val="000000"/>
          <w:lang w:eastAsia="bg-BG"/>
        </w:rPr>
        <w:t>Ако са налице симптоми на енцефалопатия или церебрален синдром, лечението трябва незабавно да се преоцени и употребата на метронидазол да се преустанови.</w:t>
      </w:r>
    </w:p>
    <w:p w14:paraId="43C1AE1B" w14:textId="1DDA4F71" w:rsidR="00687C77" w:rsidRPr="00BD48DC" w:rsidRDefault="00687C77" w:rsidP="00687C77">
      <w:pPr>
        <w:pStyle w:val="ListParagraph"/>
        <w:numPr>
          <w:ilvl w:val="0"/>
          <w:numId w:val="39"/>
        </w:numPr>
        <w:spacing w:line="240" w:lineRule="auto"/>
        <w:rPr>
          <w:rFonts w:eastAsia="Times New Roman" w:cs="Arial"/>
          <w:lang w:eastAsia="bg-BG"/>
        </w:rPr>
      </w:pPr>
      <w:r w:rsidRPr="00BD48DC">
        <w:rPr>
          <w:rFonts w:eastAsia="Times New Roman" w:cs="Arial"/>
          <w:color w:val="000000"/>
          <w:lang w:eastAsia="bg-BG"/>
        </w:rPr>
        <w:t xml:space="preserve">През пост-маркетинговия период са съобщавани случаи на енцефалопатия при употреба на метронидазол. Наблюдавани са също някои случаи на </w:t>
      </w:r>
      <w:r w:rsidRPr="00BD48DC">
        <w:rPr>
          <w:rFonts w:eastAsia="Times New Roman" w:cs="Arial"/>
          <w:color w:val="000000"/>
          <w:lang w:val="en-US"/>
        </w:rPr>
        <w:t xml:space="preserve">MRI </w:t>
      </w:r>
      <w:r w:rsidRPr="00BD48DC">
        <w:rPr>
          <w:rFonts w:eastAsia="Times New Roman" w:cs="Arial"/>
          <w:color w:val="000000"/>
          <w:lang w:eastAsia="bg-BG"/>
        </w:rPr>
        <w:t>промени асоциирани с енцефалопатия(вж. точка 4.8).</w:t>
      </w:r>
    </w:p>
    <w:p w14:paraId="276680D4" w14:textId="77777777" w:rsidR="00687C77" w:rsidRPr="00BD48DC" w:rsidRDefault="00687C77" w:rsidP="00687C77">
      <w:pPr>
        <w:pStyle w:val="ListParagraph"/>
        <w:numPr>
          <w:ilvl w:val="0"/>
          <w:numId w:val="39"/>
        </w:numPr>
        <w:spacing w:line="240" w:lineRule="auto"/>
        <w:rPr>
          <w:rFonts w:eastAsia="Times New Roman" w:cs="Arial"/>
          <w:lang w:eastAsia="bg-BG"/>
        </w:rPr>
      </w:pPr>
      <w:r w:rsidRPr="00BD48DC">
        <w:rPr>
          <w:rFonts w:eastAsia="Times New Roman" w:cs="Arial"/>
          <w:color w:val="000000"/>
          <w:lang w:eastAsia="bg-BG"/>
        </w:rPr>
        <w:t xml:space="preserve">Наблюдаваните увреждания са най-често локализирани в малкия мозък (особено в </w:t>
      </w:r>
      <w:r w:rsidRPr="00BD48DC">
        <w:rPr>
          <w:rFonts w:eastAsia="Times New Roman" w:cs="Arial"/>
          <w:i/>
          <w:iCs/>
          <w:color w:val="000000"/>
          <w:lang w:val="en-US"/>
        </w:rPr>
        <w:t>dentate nucleus)</w:t>
      </w:r>
      <w:r w:rsidRPr="00BD48DC">
        <w:rPr>
          <w:rFonts w:eastAsia="Times New Roman" w:cs="Arial"/>
          <w:color w:val="000000"/>
          <w:lang w:val="en-US"/>
        </w:rPr>
        <w:t xml:space="preserve"> </w:t>
      </w:r>
      <w:r w:rsidRPr="00BD48DC">
        <w:rPr>
          <w:rFonts w:eastAsia="Times New Roman" w:cs="Arial"/>
          <w:color w:val="000000"/>
          <w:lang w:eastAsia="bg-BG"/>
        </w:rPr>
        <w:t xml:space="preserve">и в сплениума на мазолестото тяло </w:t>
      </w:r>
      <w:r w:rsidRPr="00BD48DC">
        <w:rPr>
          <w:rFonts w:eastAsia="Times New Roman" w:cs="Arial"/>
          <w:i/>
          <w:iCs/>
          <w:color w:val="000000"/>
          <w:lang w:val="en-US"/>
        </w:rPr>
        <w:t>(corpus callosum).</w:t>
      </w:r>
      <w:r w:rsidRPr="00BD48DC">
        <w:rPr>
          <w:rFonts w:eastAsia="Times New Roman" w:cs="Arial"/>
          <w:color w:val="000000"/>
          <w:lang w:val="en-US"/>
        </w:rPr>
        <w:t xml:space="preserve"> </w:t>
      </w:r>
      <w:r w:rsidRPr="00BD48DC">
        <w:rPr>
          <w:rFonts w:eastAsia="Times New Roman" w:cs="Arial"/>
          <w:color w:val="000000"/>
          <w:lang w:eastAsia="bg-BG"/>
        </w:rPr>
        <w:t xml:space="preserve">Много от случаите на енцефалопатни промени в </w:t>
      </w:r>
      <w:r w:rsidRPr="00BD48DC">
        <w:rPr>
          <w:rFonts w:eastAsia="Times New Roman" w:cs="Arial"/>
          <w:color w:val="000000"/>
          <w:lang w:val="en-US"/>
        </w:rPr>
        <w:t xml:space="preserve">MRI </w:t>
      </w:r>
      <w:r w:rsidRPr="00BD48DC">
        <w:rPr>
          <w:rFonts w:eastAsia="Times New Roman" w:cs="Arial"/>
          <w:color w:val="000000"/>
          <w:lang w:eastAsia="bg-BG"/>
        </w:rPr>
        <w:t>са възстановими при преустановяване на употребата. Съобщавани са много редки случаи на фатален изход.</w:t>
      </w:r>
    </w:p>
    <w:p w14:paraId="1642A370" w14:textId="77777777" w:rsidR="00687C77" w:rsidRPr="00BD48DC" w:rsidRDefault="00687C77" w:rsidP="00687C77">
      <w:pPr>
        <w:pStyle w:val="ListParagraph"/>
        <w:numPr>
          <w:ilvl w:val="0"/>
          <w:numId w:val="39"/>
        </w:numPr>
        <w:spacing w:line="240" w:lineRule="auto"/>
        <w:rPr>
          <w:rFonts w:eastAsia="Times New Roman" w:cs="Arial"/>
          <w:lang w:eastAsia="bg-BG"/>
        </w:rPr>
      </w:pPr>
      <w:r w:rsidRPr="00BD48DC">
        <w:rPr>
          <w:rFonts w:eastAsia="Times New Roman" w:cs="Arial"/>
          <w:color w:val="000000"/>
          <w:lang w:eastAsia="bg-BG"/>
        </w:rPr>
        <w:t>Пациентите трябва да бъдат наблюдавани за признаци, показателни заенцефалопатия и за обостряне на симптомите при пациенти с нарушения на централната нервна система.</w:t>
      </w:r>
    </w:p>
    <w:p w14:paraId="0E28BBDE" w14:textId="0F60F924" w:rsidR="007A2185" w:rsidRPr="00BD48DC" w:rsidRDefault="00687C77" w:rsidP="00687C77">
      <w:pPr>
        <w:pStyle w:val="ListParagraph"/>
        <w:numPr>
          <w:ilvl w:val="0"/>
          <w:numId w:val="39"/>
        </w:numPr>
        <w:spacing w:line="240" w:lineRule="auto"/>
        <w:rPr>
          <w:rFonts w:eastAsia="Times New Roman" w:cs="Arial"/>
          <w:lang w:eastAsia="bg-BG"/>
        </w:rPr>
      </w:pPr>
      <w:r w:rsidRPr="00BD48DC">
        <w:rPr>
          <w:rFonts w:eastAsia="Times New Roman" w:cs="Arial"/>
          <w:color w:val="000000"/>
          <w:lang w:eastAsia="bg-BG"/>
        </w:rPr>
        <w:t>Ако по време на приложението на метронидазол възникне асептичен менингит.</w:t>
      </w:r>
      <w:r w:rsidRPr="00BD48DC">
        <w:rPr>
          <w:rFonts w:eastAsia="Times New Roman" w:cs="Arial"/>
          <w:color w:val="000000"/>
          <w:vertAlign w:val="superscript"/>
          <w:lang w:eastAsia="bg-BG"/>
        </w:rPr>
        <w:t xml:space="preserve"> </w:t>
      </w:r>
      <w:r w:rsidRPr="00BD48DC">
        <w:rPr>
          <w:rFonts w:eastAsia="Times New Roman" w:cs="Arial"/>
          <w:color w:val="000000"/>
          <w:lang w:eastAsia="bg-BG"/>
        </w:rPr>
        <w:t>лечението не трябва да се възобновява повторно, а при пациенти със сериозни инфекции. съотношението полза/риск трябва да се оцени.</w:t>
      </w:r>
    </w:p>
    <w:p w14:paraId="24E3E82F" w14:textId="5B266A94" w:rsidR="0091385D" w:rsidRPr="00BD48DC" w:rsidRDefault="0091385D" w:rsidP="0091385D">
      <w:pPr>
        <w:rPr>
          <w:rFonts w:cs="Arial"/>
        </w:rPr>
      </w:pPr>
    </w:p>
    <w:p w14:paraId="13DAB871" w14:textId="77777777" w:rsidR="00687C77" w:rsidRPr="00687C77" w:rsidRDefault="00687C77" w:rsidP="00687C77">
      <w:pPr>
        <w:spacing w:line="240" w:lineRule="auto"/>
        <w:rPr>
          <w:rFonts w:eastAsia="Times New Roman" w:cs="Arial"/>
          <w:lang w:eastAsia="bg-BG"/>
        </w:rPr>
      </w:pPr>
      <w:r w:rsidRPr="00687C77">
        <w:rPr>
          <w:rFonts w:eastAsia="Times New Roman" w:cs="Arial"/>
          <w:b/>
          <w:bCs/>
          <w:color w:val="000000"/>
          <w:lang w:eastAsia="bg-BG"/>
        </w:rPr>
        <w:t>Периферна нервна система</w:t>
      </w:r>
    </w:p>
    <w:p w14:paraId="48E27129" w14:textId="3197C6F8" w:rsidR="00687C77" w:rsidRPr="00BD48DC" w:rsidRDefault="00687C77" w:rsidP="00687C77">
      <w:pPr>
        <w:pStyle w:val="ListParagraph"/>
        <w:numPr>
          <w:ilvl w:val="0"/>
          <w:numId w:val="40"/>
        </w:numPr>
        <w:spacing w:line="240" w:lineRule="auto"/>
        <w:rPr>
          <w:rFonts w:eastAsia="Times New Roman" w:cs="Arial"/>
          <w:lang w:eastAsia="bg-BG"/>
        </w:rPr>
      </w:pPr>
      <w:r w:rsidRPr="00BD48DC">
        <w:rPr>
          <w:rFonts w:eastAsia="Times New Roman" w:cs="Arial"/>
          <w:color w:val="000000"/>
          <w:lang w:eastAsia="bg-BG"/>
        </w:rPr>
        <w:t>Пациентите трябва да бъдат наблюдавани за признаци, показателни за периферна невропатия, особено по време на дългосрочна терапия и при пациенти с тежки, хронични или прогресиращи нарушения на периферната нервна система.</w:t>
      </w:r>
    </w:p>
    <w:p w14:paraId="24A7F9BF" w14:textId="77777777" w:rsidR="00687C77" w:rsidRPr="00BD48DC" w:rsidRDefault="00687C77" w:rsidP="00687C77">
      <w:pPr>
        <w:spacing w:line="240" w:lineRule="auto"/>
        <w:rPr>
          <w:rFonts w:eastAsia="Times New Roman" w:cs="Arial"/>
          <w:b/>
          <w:bCs/>
          <w:color w:val="000000"/>
          <w:lang w:eastAsia="bg-BG"/>
        </w:rPr>
      </w:pPr>
    </w:p>
    <w:p w14:paraId="321C0EE2" w14:textId="3BBEE019" w:rsidR="00687C77" w:rsidRPr="00687C77" w:rsidRDefault="00687C77" w:rsidP="00687C77">
      <w:pPr>
        <w:spacing w:line="240" w:lineRule="auto"/>
        <w:rPr>
          <w:rFonts w:eastAsia="Times New Roman" w:cs="Arial"/>
          <w:lang w:eastAsia="bg-BG"/>
        </w:rPr>
      </w:pPr>
      <w:r w:rsidRPr="00687C77">
        <w:rPr>
          <w:rFonts w:eastAsia="Times New Roman" w:cs="Arial"/>
          <w:b/>
          <w:bCs/>
          <w:color w:val="000000"/>
          <w:lang w:eastAsia="bg-BG"/>
        </w:rPr>
        <w:t>Психич нарушения</w:t>
      </w:r>
    </w:p>
    <w:p w14:paraId="6754EEE4" w14:textId="721A1FB8" w:rsidR="00687C77" w:rsidRPr="00AF11EB" w:rsidRDefault="00687C77" w:rsidP="00687C77">
      <w:pPr>
        <w:pStyle w:val="ListParagraph"/>
        <w:numPr>
          <w:ilvl w:val="0"/>
          <w:numId w:val="40"/>
        </w:numPr>
        <w:spacing w:line="240" w:lineRule="auto"/>
        <w:rPr>
          <w:rFonts w:eastAsia="Times New Roman" w:cs="Arial"/>
          <w:lang w:eastAsia="bg-BG"/>
        </w:rPr>
      </w:pPr>
      <w:r w:rsidRPr="00BD48DC">
        <w:rPr>
          <w:rFonts w:eastAsia="Times New Roman" w:cs="Arial"/>
          <w:color w:val="000000"/>
          <w:lang w:eastAsia="bg-BG"/>
        </w:rPr>
        <w:t>По време на започване на лечението могат да възникнат психични реакции с високо-</w:t>
      </w:r>
      <w:r w:rsidRPr="00AF11EB">
        <w:rPr>
          <w:rFonts w:eastAsia="Times New Roman" w:cs="Arial"/>
          <w:color w:val="000000"/>
          <w:lang w:eastAsia="bg-BG"/>
        </w:rPr>
        <w:t>рисково поведение, при пациенти с анамнеза за психични нарушения (вж. точка 4.8). Ако това се случи, употребата на метронидазол трябва да се преустанови, да се информира лекарят и незабавно да се предприемат необходимите мерки.</w:t>
      </w:r>
    </w:p>
    <w:p w14:paraId="5B71E72F" w14:textId="77777777" w:rsidR="00687C77" w:rsidRPr="00BD48DC" w:rsidRDefault="00687C77" w:rsidP="00687C77">
      <w:pPr>
        <w:spacing w:line="240" w:lineRule="auto"/>
        <w:rPr>
          <w:rFonts w:eastAsia="Times New Roman" w:cs="Arial"/>
          <w:b/>
          <w:bCs/>
          <w:color w:val="000000"/>
          <w:lang w:eastAsia="bg-BG"/>
        </w:rPr>
      </w:pPr>
      <w:bookmarkStart w:id="3" w:name="bookmark4"/>
    </w:p>
    <w:p w14:paraId="405D7EDD" w14:textId="43D19C9C" w:rsidR="00687C77" w:rsidRPr="00687C77" w:rsidRDefault="00687C77" w:rsidP="00687C77">
      <w:pPr>
        <w:spacing w:line="240" w:lineRule="auto"/>
        <w:rPr>
          <w:rFonts w:eastAsia="Times New Roman" w:cs="Arial"/>
          <w:lang w:eastAsia="bg-BG"/>
        </w:rPr>
      </w:pPr>
      <w:r w:rsidRPr="00687C77">
        <w:rPr>
          <w:rFonts w:eastAsia="Times New Roman" w:cs="Arial"/>
          <w:b/>
          <w:bCs/>
          <w:color w:val="000000"/>
          <w:lang w:eastAsia="bg-BG"/>
        </w:rPr>
        <w:t>Хематологични ефекти</w:t>
      </w:r>
      <w:bookmarkEnd w:id="3"/>
    </w:p>
    <w:p w14:paraId="0C0308A0" w14:textId="77777777" w:rsidR="00687C77" w:rsidRPr="00BD48DC" w:rsidRDefault="00687C77" w:rsidP="00687C77">
      <w:pPr>
        <w:pStyle w:val="ListParagraph"/>
        <w:numPr>
          <w:ilvl w:val="0"/>
          <w:numId w:val="40"/>
        </w:numPr>
        <w:spacing w:line="240" w:lineRule="auto"/>
        <w:rPr>
          <w:rFonts w:eastAsia="Times New Roman" w:cs="Arial"/>
          <w:lang w:eastAsia="bg-BG"/>
        </w:rPr>
      </w:pPr>
      <w:r w:rsidRPr="00BD48DC">
        <w:rPr>
          <w:rFonts w:eastAsia="Times New Roman" w:cs="Arial"/>
          <w:color w:val="000000"/>
          <w:lang w:eastAsia="bg-BG"/>
        </w:rPr>
        <w:t>При пациенти с анамнеза за хематологични нарушения и при тези, получаващи високи дози и/или дългосрочно лечение, трябва редовно да се провеждат кръвни тестове с диференциално броене на белите кръвни клетки.</w:t>
      </w:r>
    </w:p>
    <w:p w14:paraId="5EC64603" w14:textId="7B79D591" w:rsidR="00687C77" w:rsidRPr="00BD48DC" w:rsidRDefault="00687C77" w:rsidP="00687C77">
      <w:pPr>
        <w:pStyle w:val="ListParagraph"/>
        <w:numPr>
          <w:ilvl w:val="0"/>
          <w:numId w:val="40"/>
        </w:numPr>
        <w:spacing w:line="240" w:lineRule="auto"/>
        <w:rPr>
          <w:rFonts w:eastAsia="Times New Roman" w:cs="Arial"/>
          <w:lang w:eastAsia="bg-BG"/>
        </w:rPr>
      </w:pPr>
      <w:r w:rsidRPr="00BD48DC">
        <w:rPr>
          <w:rFonts w:eastAsia="Times New Roman" w:cs="Arial"/>
          <w:color w:val="000000"/>
          <w:lang w:eastAsia="bg-BG"/>
        </w:rPr>
        <w:t>При пациенти с левкемия, продължителността на лечението зависи от сериозността на инфекцията.</w:t>
      </w:r>
    </w:p>
    <w:p w14:paraId="23EC85B1" w14:textId="77777777" w:rsidR="00687C77" w:rsidRPr="00BD48DC" w:rsidRDefault="00687C77" w:rsidP="00687C77">
      <w:pPr>
        <w:spacing w:line="240" w:lineRule="auto"/>
        <w:rPr>
          <w:rFonts w:eastAsia="Times New Roman" w:cs="Arial"/>
          <w:b/>
          <w:bCs/>
          <w:color w:val="000000"/>
          <w:lang w:eastAsia="bg-BG"/>
        </w:rPr>
      </w:pPr>
      <w:bookmarkStart w:id="4" w:name="bookmark6"/>
    </w:p>
    <w:p w14:paraId="7778C44B" w14:textId="23FC5F9B" w:rsidR="00687C77" w:rsidRPr="00687C77" w:rsidRDefault="00687C77" w:rsidP="00687C77">
      <w:pPr>
        <w:spacing w:line="240" w:lineRule="auto"/>
        <w:rPr>
          <w:rFonts w:eastAsia="Times New Roman" w:cs="Arial"/>
          <w:lang w:eastAsia="bg-BG"/>
        </w:rPr>
      </w:pPr>
      <w:r w:rsidRPr="00687C77">
        <w:rPr>
          <w:rFonts w:eastAsia="Times New Roman" w:cs="Arial"/>
          <w:b/>
          <w:bCs/>
          <w:color w:val="000000"/>
          <w:lang w:eastAsia="bg-BG"/>
        </w:rPr>
        <w:t xml:space="preserve">Удължаване на </w:t>
      </w:r>
      <w:r w:rsidRPr="00687C77">
        <w:rPr>
          <w:rFonts w:eastAsia="Times New Roman" w:cs="Arial"/>
          <w:b/>
          <w:bCs/>
          <w:color w:val="000000"/>
          <w:lang w:val="en-US"/>
        </w:rPr>
        <w:t xml:space="preserve">QT </w:t>
      </w:r>
      <w:r w:rsidRPr="00687C77">
        <w:rPr>
          <w:rFonts w:eastAsia="Times New Roman" w:cs="Arial"/>
          <w:b/>
          <w:bCs/>
          <w:color w:val="000000"/>
          <w:lang w:eastAsia="bg-BG"/>
        </w:rPr>
        <w:t>интервала</w:t>
      </w:r>
      <w:bookmarkEnd w:id="4"/>
    </w:p>
    <w:p w14:paraId="3E6D9AD5" w14:textId="77777777" w:rsidR="00687C77" w:rsidRPr="00BD48DC" w:rsidRDefault="00687C77" w:rsidP="00687C77">
      <w:pPr>
        <w:pStyle w:val="ListParagraph"/>
        <w:numPr>
          <w:ilvl w:val="0"/>
          <w:numId w:val="41"/>
        </w:numPr>
        <w:spacing w:line="240" w:lineRule="auto"/>
        <w:rPr>
          <w:rFonts w:eastAsia="Times New Roman" w:cs="Arial"/>
          <w:lang w:eastAsia="bg-BG"/>
        </w:rPr>
      </w:pPr>
      <w:r w:rsidRPr="00BD48DC">
        <w:rPr>
          <w:rFonts w:eastAsia="Times New Roman" w:cs="Arial"/>
          <w:color w:val="000000"/>
          <w:lang w:eastAsia="bg-BG"/>
        </w:rPr>
        <w:t xml:space="preserve">При пациенти, приемащи макролиди, включително спирамицин са съобщавани случаи на удължаване на </w:t>
      </w:r>
      <w:r w:rsidRPr="00BD48DC">
        <w:rPr>
          <w:rFonts w:eastAsia="Times New Roman" w:cs="Arial"/>
          <w:color w:val="000000"/>
          <w:lang w:val="en-US"/>
        </w:rPr>
        <w:t xml:space="preserve">QT </w:t>
      </w:r>
      <w:r w:rsidRPr="00BD48DC">
        <w:rPr>
          <w:rFonts w:eastAsia="Times New Roman" w:cs="Arial"/>
          <w:color w:val="000000"/>
          <w:lang w:eastAsia="bg-BG"/>
        </w:rPr>
        <w:t>интервала.</w:t>
      </w:r>
    </w:p>
    <w:p w14:paraId="20480153" w14:textId="77777777" w:rsidR="00687C77" w:rsidRPr="00BD48DC" w:rsidRDefault="00687C77" w:rsidP="00687C77">
      <w:pPr>
        <w:pStyle w:val="ListParagraph"/>
        <w:numPr>
          <w:ilvl w:val="0"/>
          <w:numId w:val="41"/>
        </w:numPr>
        <w:spacing w:line="240" w:lineRule="auto"/>
        <w:rPr>
          <w:rFonts w:eastAsia="Times New Roman" w:cs="Arial"/>
          <w:lang w:eastAsia="bg-BG"/>
        </w:rPr>
      </w:pPr>
      <w:r w:rsidRPr="00BD48DC">
        <w:rPr>
          <w:rFonts w:eastAsia="Times New Roman" w:cs="Arial"/>
          <w:color w:val="000000"/>
          <w:lang w:eastAsia="bg-BG"/>
        </w:rPr>
        <w:lastRenderedPageBreak/>
        <w:t xml:space="preserve">Спирамицин трябва да се прилага с повишено внимание при пациенти при които съществува риск от удължаване на </w:t>
      </w:r>
      <w:r w:rsidRPr="00BD48DC">
        <w:rPr>
          <w:rFonts w:eastAsia="Times New Roman" w:cs="Arial"/>
          <w:color w:val="000000"/>
          <w:lang w:val="en-US"/>
        </w:rPr>
        <w:t xml:space="preserve">QT </w:t>
      </w:r>
      <w:r w:rsidRPr="00BD48DC">
        <w:rPr>
          <w:rFonts w:eastAsia="Times New Roman" w:cs="Arial"/>
          <w:color w:val="000000"/>
          <w:lang w:eastAsia="bg-BG"/>
        </w:rPr>
        <w:t>интервала като например:</w:t>
      </w:r>
    </w:p>
    <w:p w14:paraId="59E1F502" w14:textId="77777777" w:rsidR="00687C77" w:rsidRPr="00BD48DC" w:rsidRDefault="00687C77" w:rsidP="00687C77">
      <w:pPr>
        <w:pStyle w:val="ListParagraph"/>
        <w:numPr>
          <w:ilvl w:val="0"/>
          <w:numId w:val="44"/>
        </w:numPr>
        <w:spacing w:line="240" w:lineRule="auto"/>
        <w:rPr>
          <w:rFonts w:eastAsia="Times New Roman" w:cs="Arial"/>
          <w:lang w:eastAsia="bg-BG"/>
        </w:rPr>
      </w:pPr>
      <w:r w:rsidRPr="00BD48DC">
        <w:rPr>
          <w:rFonts w:eastAsia="Times New Roman" w:cs="Arial"/>
          <w:color w:val="000000"/>
          <w:lang w:eastAsia="bg-BG"/>
        </w:rPr>
        <w:t xml:space="preserve">съществуващ електролитен дисбаланс (напр. хипокалиемия, хипомагнезиемия) </w:t>
      </w:r>
    </w:p>
    <w:p w14:paraId="5AF02D10" w14:textId="77777777" w:rsidR="00687C77" w:rsidRPr="00BD48DC" w:rsidRDefault="00687C77" w:rsidP="00687C77">
      <w:pPr>
        <w:pStyle w:val="ListParagraph"/>
        <w:numPr>
          <w:ilvl w:val="0"/>
          <w:numId w:val="44"/>
        </w:numPr>
        <w:spacing w:line="240" w:lineRule="auto"/>
        <w:rPr>
          <w:rFonts w:eastAsia="Times New Roman" w:cs="Arial"/>
          <w:lang w:eastAsia="bg-BG"/>
        </w:rPr>
      </w:pPr>
      <w:r w:rsidRPr="00BD48DC">
        <w:rPr>
          <w:rFonts w:eastAsia="Times New Roman" w:cs="Arial"/>
          <w:color w:val="000000"/>
          <w:lang w:eastAsia="bg-BG"/>
        </w:rPr>
        <w:t xml:space="preserve">вроден синдром на удължения </w:t>
      </w:r>
      <w:r w:rsidRPr="00BD48DC">
        <w:rPr>
          <w:rFonts w:eastAsia="Times New Roman" w:cs="Arial"/>
          <w:color w:val="000000"/>
          <w:lang w:val="en-US"/>
        </w:rPr>
        <w:t xml:space="preserve">QT </w:t>
      </w:r>
      <w:r w:rsidRPr="00BD48DC">
        <w:rPr>
          <w:rFonts w:eastAsia="Times New Roman" w:cs="Arial"/>
          <w:color w:val="000000"/>
          <w:lang w:eastAsia="bg-BG"/>
        </w:rPr>
        <w:t xml:space="preserve">интервал </w:t>
      </w:r>
    </w:p>
    <w:p w14:paraId="2E927F65" w14:textId="77777777" w:rsidR="00687C77" w:rsidRPr="00BD48DC" w:rsidRDefault="00687C77" w:rsidP="00687C77">
      <w:pPr>
        <w:pStyle w:val="ListParagraph"/>
        <w:numPr>
          <w:ilvl w:val="0"/>
          <w:numId w:val="44"/>
        </w:numPr>
        <w:spacing w:line="240" w:lineRule="auto"/>
        <w:rPr>
          <w:rFonts w:eastAsia="Times New Roman" w:cs="Arial"/>
          <w:lang w:eastAsia="bg-BG"/>
        </w:rPr>
      </w:pPr>
      <w:r w:rsidRPr="00BD48DC">
        <w:rPr>
          <w:rFonts w:eastAsia="Times New Roman" w:cs="Arial"/>
          <w:color w:val="000000"/>
          <w:lang w:eastAsia="bg-BG"/>
        </w:rPr>
        <w:t>сърдечно-съдово заболяване (напр. сърдечна недостатъчност, миокарден инфаркт, брадикардия)</w:t>
      </w:r>
    </w:p>
    <w:p w14:paraId="0CAD1FE4" w14:textId="39A29DF4" w:rsidR="00687C77" w:rsidRPr="00BD48DC" w:rsidRDefault="00687C77" w:rsidP="00687C77">
      <w:pPr>
        <w:pStyle w:val="ListParagraph"/>
        <w:numPr>
          <w:ilvl w:val="0"/>
          <w:numId w:val="44"/>
        </w:numPr>
        <w:spacing w:line="240" w:lineRule="auto"/>
        <w:rPr>
          <w:rFonts w:eastAsia="Times New Roman" w:cs="Arial"/>
          <w:lang w:eastAsia="bg-BG"/>
        </w:rPr>
      </w:pPr>
      <w:r w:rsidRPr="00BD48DC">
        <w:rPr>
          <w:rFonts w:eastAsia="Times New Roman" w:cs="Arial"/>
          <w:color w:val="000000"/>
          <w:lang w:eastAsia="bg-BG"/>
        </w:rPr>
        <w:t xml:space="preserve">съвместна употреба на лекарства, за които е установено, че удължават </w:t>
      </w:r>
      <w:r w:rsidRPr="00BD48DC">
        <w:rPr>
          <w:rFonts w:eastAsia="Times New Roman" w:cs="Arial"/>
          <w:color w:val="000000"/>
          <w:lang w:val="en-US"/>
        </w:rPr>
        <w:t xml:space="preserve">QT </w:t>
      </w:r>
      <w:r w:rsidRPr="00BD48DC">
        <w:rPr>
          <w:rFonts w:eastAsia="Times New Roman" w:cs="Arial"/>
          <w:color w:val="000000"/>
          <w:lang w:eastAsia="bg-BG"/>
        </w:rPr>
        <w:t xml:space="preserve">интервала (напр. клас </w:t>
      </w:r>
      <w:r w:rsidRPr="00BD48DC">
        <w:rPr>
          <w:rFonts w:eastAsia="Times New Roman" w:cs="Arial"/>
          <w:color w:val="000000"/>
          <w:lang w:val="en-US"/>
        </w:rPr>
        <w:t xml:space="preserve">IA </w:t>
      </w:r>
      <w:r w:rsidRPr="00BD48DC">
        <w:rPr>
          <w:rFonts w:eastAsia="Times New Roman" w:cs="Arial"/>
          <w:color w:val="000000"/>
          <w:lang w:eastAsia="bg-BG"/>
        </w:rPr>
        <w:t>и клас III антиаритмични средства, трициклични антидепресанти, някои антибиотици, някои антипсихотични лекарства).</w:t>
      </w:r>
    </w:p>
    <w:p w14:paraId="68AD30BD" w14:textId="77777777" w:rsidR="00687C77" w:rsidRPr="00BD48DC" w:rsidRDefault="00687C77" w:rsidP="00687C77">
      <w:pPr>
        <w:pStyle w:val="ListParagraph"/>
        <w:numPr>
          <w:ilvl w:val="0"/>
          <w:numId w:val="45"/>
        </w:numPr>
        <w:spacing w:line="240" w:lineRule="auto"/>
        <w:rPr>
          <w:rFonts w:eastAsia="Times New Roman" w:cs="Arial"/>
          <w:lang w:eastAsia="bg-BG"/>
        </w:rPr>
      </w:pPr>
      <w:r w:rsidRPr="00BD48DC">
        <w:rPr>
          <w:rFonts w:eastAsia="Times New Roman" w:cs="Arial"/>
          <w:color w:val="000000"/>
          <w:lang w:eastAsia="bg-BG"/>
        </w:rPr>
        <w:t xml:space="preserve">Пациентите в старческа възраст, новородените и жените могат да бъдат по-чувствителни към лекарства, удължаващи </w:t>
      </w:r>
      <w:r w:rsidRPr="00BD48DC">
        <w:rPr>
          <w:rFonts w:eastAsia="Times New Roman" w:cs="Arial"/>
          <w:color w:val="000000"/>
          <w:lang w:val="en-US"/>
        </w:rPr>
        <w:t xml:space="preserve">QT </w:t>
      </w:r>
      <w:r w:rsidRPr="00BD48DC">
        <w:rPr>
          <w:rFonts w:eastAsia="Times New Roman" w:cs="Arial"/>
          <w:color w:val="000000"/>
          <w:lang w:eastAsia="bg-BG"/>
        </w:rPr>
        <w:t>интервала (вж. точки 4.2,4.5, 4.8 и 4.9).</w:t>
      </w:r>
    </w:p>
    <w:p w14:paraId="68A884D2" w14:textId="77777777" w:rsidR="00687C77" w:rsidRPr="00BD48DC" w:rsidRDefault="00687C77" w:rsidP="00687C77">
      <w:pPr>
        <w:spacing w:line="240" w:lineRule="auto"/>
        <w:rPr>
          <w:rFonts w:eastAsia="Times New Roman" w:cs="Arial"/>
          <w:b/>
          <w:bCs/>
          <w:color w:val="000000"/>
          <w:lang w:eastAsia="bg-BG"/>
        </w:rPr>
      </w:pPr>
      <w:bookmarkStart w:id="5" w:name="bookmark8"/>
    </w:p>
    <w:p w14:paraId="5733A45E" w14:textId="7CBFE45B" w:rsidR="00687C77" w:rsidRPr="00687C77" w:rsidRDefault="00687C77" w:rsidP="00687C77">
      <w:pPr>
        <w:spacing w:line="240" w:lineRule="auto"/>
        <w:rPr>
          <w:rFonts w:eastAsia="Times New Roman" w:cs="Arial"/>
          <w:lang w:eastAsia="bg-BG"/>
        </w:rPr>
      </w:pPr>
      <w:r w:rsidRPr="00687C77">
        <w:rPr>
          <w:rFonts w:eastAsia="Times New Roman" w:cs="Arial"/>
          <w:b/>
          <w:bCs/>
          <w:color w:val="000000"/>
          <w:lang w:eastAsia="bg-BG"/>
        </w:rPr>
        <w:t>Хлюкозо-6-фосфат ензимна недостатъчност</w:t>
      </w:r>
      <w:bookmarkEnd w:id="5"/>
    </w:p>
    <w:p w14:paraId="5C416795" w14:textId="77777777" w:rsidR="00687C77" w:rsidRPr="00BD48DC" w:rsidRDefault="00687C77" w:rsidP="00687C77">
      <w:pPr>
        <w:pStyle w:val="ListParagraph"/>
        <w:numPr>
          <w:ilvl w:val="0"/>
          <w:numId w:val="45"/>
        </w:numPr>
        <w:spacing w:line="240" w:lineRule="auto"/>
        <w:rPr>
          <w:rFonts w:eastAsia="Times New Roman" w:cs="Arial"/>
          <w:lang w:eastAsia="bg-BG"/>
        </w:rPr>
      </w:pPr>
      <w:r w:rsidRPr="00BD48DC">
        <w:rPr>
          <w:rFonts w:eastAsia="Times New Roman" w:cs="Arial"/>
          <w:color w:val="000000"/>
          <w:lang w:eastAsia="bg-BG"/>
        </w:rPr>
        <w:t>Случаи на остра хемолитична анемия са съобщавани при пациенти с дефицит на глюкозо- 6-фосфат дехидрогеназа, употребяващи спирамицин перорално или инжекционно.</w:t>
      </w:r>
    </w:p>
    <w:p w14:paraId="66465BE4" w14:textId="1C53F742" w:rsidR="00687C77" w:rsidRPr="00BD48DC" w:rsidRDefault="00687C77" w:rsidP="00687C77">
      <w:pPr>
        <w:pStyle w:val="ListParagraph"/>
        <w:spacing w:line="240" w:lineRule="auto"/>
        <w:rPr>
          <w:rFonts w:eastAsia="Times New Roman" w:cs="Arial"/>
          <w:lang w:eastAsia="bg-BG"/>
        </w:rPr>
      </w:pPr>
      <w:r w:rsidRPr="00BD48DC">
        <w:rPr>
          <w:rFonts w:eastAsia="Times New Roman" w:cs="Arial"/>
          <w:color w:val="000000"/>
          <w:lang w:eastAsia="bg-BG"/>
        </w:rPr>
        <w:t>Поради това спирамицин не трябва да се предписва и стриктно се препоръчва използване на алтернативно лечение, ако е възможно.</w:t>
      </w:r>
    </w:p>
    <w:p w14:paraId="34402F8B"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Ако не съществува алтернатива, трябва да се обмисли риска от хемолитична анемия, както и потенциалните очаквани ползи от лечението трябва да са базирани индивидуално. Ако е необходимо продуктът да бъде предписан, то трябва да се осъществи наблюдение за начални признаци на хемолитична анемия.</w:t>
      </w:r>
    </w:p>
    <w:p w14:paraId="43D5D101" w14:textId="77777777" w:rsidR="00687C77" w:rsidRPr="00BD48DC" w:rsidRDefault="00687C77" w:rsidP="00687C77">
      <w:pPr>
        <w:spacing w:line="240" w:lineRule="auto"/>
        <w:rPr>
          <w:rFonts w:eastAsia="Times New Roman" w:cs="Arial"/>
          <w:b/>
          <w:bCs/>
          <w:color w:val="000000"/>
          <w:lang w:eastAsia="bg-BG"/>
        </w:rPr>
      </w:pPr>
      <w:bookmarkStart w:id="6" w:name="bookmark10"/>
    </w:p>
    <w:p w14:paraId="1D6CA8B0" w14:textId="7FFA63DB" w:rsidR="00687C77" w:rsidRPr="00687C77" w:rsidRDefault="00687C77" w:rsidP="00687C77">
      <w:pPr>
        <w:spacing w:line="240" w:lineRule="auto"/>
        <w:rPr>
          <w:rFonts w:eastAsia="Times New Roman" w:cs="Arial"/>
          <w:lang w:eastAsia="bg-BG"/>
        </w:rPr>
      </w:pPr>
      <w:r w:rsidRPr="00687C77">
        <w:rPr>
          <w:rFonts w:eastAsia="Times New Roman" w:cs="Arial"/>
          <w:b/>
          <w:bCs/>
          <w:color w:val="000000"/>
          <w:lang w:eastAsia="bg-BG"/>
        </w:rPr>
        <w:t>Взаимодействия с други лекарствени продукти</w:t>
      </w:r>
      <w:bookmarkEnd w:id="6"/>
    </w:p>
    <w:p w14:paraId="3461A585" w14:textId="77777777" w:rsidR="00687C77" w:rsidRPr="00BD48DC" w:rsidRDefault="00687C77" w:rsidP="00687C77">
      <w:pPr>
        <w:pStyle w:val="ListParagraph"/>
        <w:numPr>
          <w:ilvl w:val="0"/>
          <w:numId w:val="45"/>
        </w:numPr>
        <w:spacing w:line="240" w:lineRule="auto"/>
        <w:rPr>
          <w:rFonts w:eastAsia="Times New Roman" w:cs="Arial"/>
          <w:lang w:eastAsia="bg-BG"/>
        </w:rPr>
      </w:pPr>
      <w:r w:rsidRPr="00BD48DC">
        <w:rPr>
          <w:rFonts w:eastAsia="Times New Roman" w:cs="Arial"/>
          <w:color w:val="000000"/>
          <w:lang w:eastAsia="bg-BG"/>
        </w:rPr>
        <w:t>Не се препоръчва съвместна употреба на метронидазол и алкохол (вж. точка 4.5).</w:t>
      </w:r>
    </w:p>
    <w:p w14:paraId="244A4C73" w14:textId="77777777" w:rsidR="00687C77" w:rsidRPr="00BD48DC" w:rsidRDefault="00687C77" w:rsidP="00687C77">
      <w:pPr>
        <w:pStyle w:val="ListParagraph"/>
        <w:numPr>
          <w:ilvl w:val="0"/>
          <w:numId w:val="45"/>
        </w:numPr>
        <w:spacing w:line="240" w:lineRule="auto"/>
        <w:rPr>
          <w:rFonts w:eastAsia="Times New Roman" w:cs="Arial"/>
          <w:lang w:eastAsia="bg-BG"/>
        </w:rPr>
      </w:pPr>
      <w:r w:rsidRPr="00BD48DC">
        <w:rPr>
          <w:rFonts w:eastAsia="Times New Roman" w:cs="Arial"/>
          <w:color w:val="000000"/>
          <w:lang w:eastAsia="bg-BG"/>
        </w:rPr>
        <w:t>Не се препоръчва съвместна употреба на метронидазол и бусулфан (вж. точка 4.5).</w:t>
      </w:r>
    </w:p>
    <w:p w14:paraId="05271F93" w14:textId="0E9C7BE9" w:rsidR="00687C77" w:rsidRPr="00BD48DC" w:rsidRDefault="00687C77" w:rsidP="00687C77">
      <w:pPr>
        <w:pStyle w:val="ListParagraph"/>
        <w:numPr>
          <w:ilvl w:val="0"/>
          <w:numId w:val="45"/>
        </w:numPr>
        <w:spacing w:line="240" w:lineRule="auto"/>
        <w:rPr>
          <w:rFonts w:eastAsia="Times New Roman" w:cs="Arial"/>
          <w:lang w:eastAsia="bg-BG"/>
        </w:rPr>
      </w:pPr>
      <w:r w:rsidRPr="00BD48DC">
        <w:rPr>
          <w:rFonts w:eastAsia="Times New Roman" w:cs="Arial"/>
          <w:color w:val="000000"/>
          <w:lang w:eastAsia="bg-BG"/>
        </w:rPr>
        <w:t>Не се препоръчва съвместна употреба на метронидазол и дисулфирам (вж. точка 4.5).</w:t>
      </w:r>
    </w:p>
    <w:p w14:paraId="29C1843A" w14:textId="77777777" w:rsidR="00687C77" w:rsidRPr="00BD48DC" w:rsidRDefault="00687C77" w:rsidP="00687C77">
      <w:pPr>
        <w:spacing w:line="240" w:lineRule="auto"/>
        <w:rPr>
          <w:rFonts w:eastAsia="Times New Roman" w:cs="Arial"/>
          <w:b/>
          <w:bCs/>
          <w:color w:val="000000"/>
          <w:lang w:eastAsia="bg-BG"/>
        </w:rPr>
      </w:pPr>
      <w:bookmarkStart w:id="7" w:name="bookmark12"/>
    </w:p>
    <w:p w14:paraId="48F2F795" w14:textId="42A75DAD" w:rsidR="00687C77" w:rsidRPr="00687C77" w:rsidRDefault="00687C77" w:rsidP="00687C77">
      <w:pPr>
        <w:spacing w:line="240" w:lineRule="auto"/>
        <w:rPr>
          <w:rFonts w:eastAsia="Times New Roman" w:cs="Arial"/>
          <w:lang w:eastAsia="bg-BG"/>
        </w:rPr>
      </w:pPr>
      <w:r w:rsidRPr="00687C77">
        <w:rPr>
          <w:rFonts w:eastAsia="Times New Roman" w:cs="Arial"/>
          <w:b/>
          <w:bCs/>
          <w:color w:val="000000"/>
          <w:lang w:eastAsia="bg-BG"/>
        </w:rPr>
        <w:t>Взаимодействия с лабораторни тестове</w:t>
      </w:r>
      <w:bookmarkEnd w:id="7"/>
    </w:p>
    <w:p w14:paraId="2C10FD46" w14:textId="77777777" w:rsidR="00687C77" w:rsidRPr="00BD48DC" w:rsidRDefault="00687C77" w:rsidP="00687C77">
      <w:pPr>
        <w:pStyle w:val="ListParagraph"/>
        <w:numPr>
          <w:ilvl w:val="0"/>
          <w:numId w:val="46"/>
        </w:numPr>
        <w:spacing w:line="240" w:lineRule="auto"/>
        <w:rPr>
          <w:rFonts w:eastAsia="Times New Roman" w:cs="Arial"/>
          <w:lang w:eastAsia="bg-BG"/>
        </w:rPr>
      </w:pPr>
      <w:r w:rsidRPr="00BD48DC">
        <w:rPr>
          <w:rFonts w:eastAsia="Times New Roman" w:cs="Arial"/>
          <w:color w:val="000000"/>
          <w:lang w:eastAsia="bg-BG"/>
        </w:rPr>
        <w:t>Метронидазол може да потисне трепонемите и следователно да доведе до фалшиво положителни резултати на теста на Нелсън.</w:t>
      </w:r>
    </w:p>
    <w:p w14:paraId="22D140B8" w14:textId="77777777" w:rsidR="00687C77" w:rsidRPr="00687C77" w:rsidRDefault="00687C77" w:rsidP="00687C77">
      <w:pPr>
        <w:spacing w:line="240" w:lineRule="auto"/>
        <w:rPr>
          <w:rFonts w:eastAsia="Times New Roman" w:cs="Arial"/>
          <w:lang w:eastAsia="bg-BG"/>
        </w:rPr>
      </w:pPr>
    </w:p>
    <w:p w14:paraId="50ACA7F6"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Съобщени са случаи на тежка хепатотоксичност/остра чернодробна недостатъчност,</w:t>
      </w:r>
    </w:p>
    <w:p w14:paraId="0AB46F66"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включително случаи с летален изход, с много бързо начало след започване на лечение с</w:t>
      </w:r>
    </w:p>
    <w:p w14:paraId="08EA963F" w14:textId="7FE4CA45"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продукти, съдържащи метронидазол за системно приложение, при пациенти със синдром на</w:t>
      </w:r>
      <w:r w:rsidR="00AF11EB">
        <w:rPr>
          <w:rFonts w:eastAsia="Times New Roman" w:cs="Arial"/>
          <w:lang w:eastAsia="bg-BG"/>
        </w:rPr>
        <w:t xml:space="preserve"> </w:t>
      </w:r>
      <w:bookmarkStart w:id="8" w:name="_GoBack"/>
      <w:bookmarkEnd w:id="8"/>
      <w:r w:rsidRPr="00687C77">
        <w:rPr>
          <w:rFonts w:eastAsia="Times New Roman" w:cs="Arial"/>
          <w:color w:val="000000"/>
          <w:lang w:val="en-US"/>
        </w:rPr>
        <w:t xml:space="preserve">Cockayne. </w:t>
      </w:r>
      <w:r w:rsidRPr="00687C77">
        <w:rPr>
          <w:rFonts w:eastAsia="Times New Roman" w:cs="Arial"/>
          <w:color w:val="000000"/>
          <w:lang w:eastAsia="bg-BG"/>
        </w:rPr>
        <w:t>Поради това при тази популация метронидазол трябва да се използва след</w:t>
      </w:r>
    </w:p>
    <w:p w14:paraId="6BD3A95F" w14:textId="2A92B253" w:rsidR="00687C77" w:rsidRPr="00BD48DC" w:rsidRDefault="00687C77" w:rsidP="00687C77">
      <w:pPr>
        <w:rPr>
          <w:rFonts w:cs="Arial"/>
        </w:rPr>
      </w:pPr>
      <w:r w:rsidRPr="00BD48DC">
        <w:rPr>
          <w:rFonts w:eastAsia="Times New Roman" w:cs="Arial"/>
          <w:color w:val="000000"/>
          <w:lang w:eastAsia="bg-BG"/>
        </w:rPr>
        <w:t>внимателна оценка на съотношението полза/риск и само ако липсва алтсрнативно лечение.</w:t>
      </w:r>
    </w:p>
    <w:p w14:paraId="01C7685E" w14:textId="476E9459" w:rsidR="00687C77" w:rsidRPr="00BD48DC" w:rsidRDefault="00687C77" w:rsidP="0091385D">
      <w:pPr>
        <w:rPr>
          <w:rFonts w:cs="Arial"/>
        </w:rPr>
      </w:pPr>
    </w:p>
    <w:p w14:paraId="004D1EDB"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 xml:space="preserve">Изследвания на чернодробните функционални показатели трябва да се правят непосредствено преди началото на лечението, през цялото време на лечението и след края на лечението, докато чернодробните функционални показатели достигнат нормалните си стойности или докато се достигнат изходните стойности. Ако чернодробните функционални показатели се повишат значително по време на лечението, приемът на лекарството трябва да се преустанови. Пациентите със синдром на </w:t>
      </w:r>
      <w:proofErr w:type="spellStart"/>
      <w:r w:rsidRPr="00687C77">
        <w:rPr>
          <w:rFonts w:eastAsia="Times New Roman" w:cs="Arial"/>
          <w:color w:val="000000"/>
          <w:lang w:val="en-US"/>
        </w:rPr>
        <w:t>Cockayne</w:t>
      </w:r>
      <w:proofErr w:type="spellEnd"/>
      <w:r w:rsidRPr="00687C77">
        <w:rPr>
          <w:rFonts w:eastAsia="Times New Roman" w:cs="Arial"/>
          <w:color w:val="000000"/>
          <w:lang w:val="en-US"/>
        </w:rPr>
        <w:t xml:space="preserve"> </w:t>
      </w:r>
      <w:r w:rsidRPr="00687C77">
        <w:rPr>
          <w:rFonts w:eastAsia="Times New Roman" w:cs="Arial"/>
          <w:color w:val="000000"/>
          <w:lang w:eastAsia="bg-BG"/>
        </w:rPr>
        <w:t>трябва да бъдат посъветвани да съобщават незабавно на своя лекар всички симптоми на потенциално увреждане на черния дроб и да спрат приема на метронидазол.</w:t>
      </w:r>
    </w:p>
    <w:p w14:paraId="31D1A65E" w14:textId="77777777" w:rsidR="00687C77" w:rsidRPr="00BD48DC" w:rsidRDefault="00687C77" w:rsidP="00687C77">
      <w:pPr>
        <w:spacing w:line="240" w:lineRule="auto"/>
        <w:rPr>
          <w:rFonts w:eastAsia="Times New Roman" w:cs="Arial"/>
          <w:color w:val="000000"/>
          <w:u w:val="single"/>
          <w:lang w:eastAsia="bg-BG"/>
        </w:rPr>
      </w:pPr>
    </w:p>
    <w:p w14:paraId="29A563FE" w14:textId="5294CEE2" w:rsidR="00687C77" w:rsidRPr="00687C77" w:rsidRDefault="00687C77" w:rsidP="00687C77">
      <w:pPr>
        <w:spacing w:line="240" w:lineRule="auto"/>
        <w:rPr>
          <w:rFonts w:eastAsia="Times New Roman" w:cs="Arial"/>
          <w:lang w:eastAsia="bg-BG"/>
        </w:rPr>
      </w:pPr>
      <w:r w:rsidRPr="00687C77">
        <w:rPr>
          <w:rFonts w:eastAsia="Times New Roman" w:cs="Arial"/>
          <w:color w:val="000000"/>
          <w:u w:val="single"/>
          <w:lang w:eastAsia="bg-BG"/>
        </w:rPr>
        <w:t>Помощни вещества</w:t>
      </w:r>
    </w:p>
    <w:p w14:paraId="48F9D619" w14:textId="77777777" w:rsidR="00687C77" w:rsidRPr="00687C77" w:rsidRDefault="00687C77" w:rsidP="00687C77">
      <w:pPr>
        <w:spacing w:line="240" w:lineRule="auto"/>
        <w:rPr>
          <w:rFonts w:eastAsia="Times New Roman" w:cs="Arial"/>
          <w:lang w:eastAsia="bg-BG"/>
        </w:rPr>
      </w:pPr>
      <w:r w:rsidRPr="00687C77">
        <w:rPr>
          <w:rFonts w:eastAsia="Times New Roman" w:cs="Arial"/>
          <w:i/>
          <w:iCs/>
          <w:color w:val="000000"/>
          <w:lang w:eastAsia="bg-BG"/>
        </w:rPr>
        <w:t>Натрий</w:t>
      </w:r>
    </w:p>
    <w:p w14:paraId="783E04F4" w14:textId="3397689B" w:rsidR="00687C77" w:rsidRPr="00BD48DC" w:rsidRDefault="00687C77" w:rsidP="00687C77">
      <w:pPr>
        <w:rPr>
          <w:rFonts w:cs="Arial"/>
        </w:rPr>
      </w:pPr>
      <w:r w:rsidRPr="00BD48DC">
        <w:rPr>
          <w:rFonts w:eastAsia="Times New Roman" w:cs="Arial"/>
          <w:color w:val="000000"/>
          <w:lang w:eastAsia="bg-BG"/>
        </w:rPr>
        <w:t xml:space="preserve">Това лекарство съдържа по-малко от 1 </w:t>
      </w:r>
      <w:proofErr w:type="spellStart"/>
      <w:r w:rsidRPr="00BD48DC">
        <w:rPr>
          <w:rFonts w:eastAsia="Times New Roman" w:cs="Arial"/>
          <w:color w:val="000000"/>
          <w:lang w:val="en-US"/>
        </w:rPr>
        <w:t>mmol</w:t>
      </w:r>
      <w:proofErr w:type="spellEnd"/>
      <w:r w:rsidRPr="00BD48DC">
        <w:rPr>
          <w:rFonts w:eastAsia="Times New Roman" w:cs="Arial"/>
          <w:color w:val="000000"/>
          <w:lang w:val="en-US"/>
        </w:rPr>
        <w:t xml:space="preserve"> </w:t>
      </w:r>
      <w:r w:rsidRPr="00BD48DC">
        <w:rPr>
          <w:rFonts w:eastAsia="Times New Roman" w:cs="Arial"/>
          <w:color w:val="000000"/>
          <w:lang w:eastAsia="bg-BG"/>
        </w:rPr>
        <w:t xml:space="preserve">натрий (23 </w:t>
      </w:r>
      <w:r w:rsidRPr="00BD48DC">
        <w:rPr>
          <w:rFonts w:eastAsia="Times New Roman" w:cs="Arial"/>
          <w:color w:val="000000"/>
          <w:lang w:val="en-US"/>
        </w:rPr>
        <w:t xml:space="preserve">mg) </w:t>
      </w:r>
      <w:r w:rsidRPr="00BD48DC">
        <w:rPr>
          <w:rFonts w:eastAsia="Times New Roman" w:cs="Arial"/>
          <w:color w:val="000000"/>
          <w:lang w:eastAsia="bg-BG"/>
        </w:rPr>
        <w:t>на филмирана таблетка, т.е. може да се каже, че практически не съдържа натрий.</w:t>
      </w:r>
    </w:p>
    <w:p w14:paraId="022E6715" w14:textId="77777777" w:rsidR="00687C77" w:rsidRPr="0091385D" w:rsidRDefault="00687C77" w:rsidP="0091385D"/>
    <w:p w14:paraId="619DED1E" w14:textId="564F257F"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355E4B7C" w14:textId="7D829F6C" w:rsidR="0091385D" w:rsidRDefault="0091385D" w:rsidP="0091385D"/>
    <w:p w14:paraId="5BD1654F" w14:textId="77777777" w:rsidR="00687C77" w:rsidRPr="00687C77" w:rsidRDefault="00687C77" w:rsidP="00687C77">
      <w:pPr>
        <w:spacing w:line="240" w:lineRule="auto"/>
        <w:rPr>
          <w:rFonts w:eastAsia="Times New Roman" w:cs="Arial"/>
          <w:lang w:eastAsia="bg-BG"/>
        </w:rPr>
      </w:pPr>
      <w:r w:rsidRPr="00687C77">
        <w:rPr>
          <w:rFonts w:eastAsia="Times New Roman" w:cs="Arial"/>
          <w:b/>
          <w:bCs/>
          <w:color w:val="000000"/>
          <w:u w:val="single"/>
          <w:lang w:eastAsia="bg-BG"/>
        </w:rPr>
        <w:t>Свързани със спирамицин</w:t>
      </w:r>
    </w:p>
    <w:p w14:paraId="4A30DF9C" w14:textId="77777777" w:rsidR="00687C77" w:rsidRPr="00BD48DC" w:rsidRDefault="00687C77" w:rsidP="00687C77">
      <w:pPr>
        <w:spacing w:line="240" w:lineRule="auto"/>
        <w:rPr>
          <w:rFonts w:eastAsia="Times New Roman" w:cs="Arial"/>
          <w:i/>
          <w:iCs/>
          <w:color w:val="000000"/>
          <w:lang w:eastAsia="bg-BG"/>
        </w:rPr>
      </w:pPr>
    </w:p>
    <w:p w14:paraId="0B28643D" w14:textId="1C1E1C50" w:rsidR="00687C77" w:rsidRPr="00687C77" w:rsidRDefault="00687C77" w:rsidP="00687C77">
      <w:pPr>
        <w:spacing w:line="240" w:lineRule="auto"/>
        <w:rPr>
          <w:rFonts w:eastAsia="Times New Roman" w:cs="Arial"/>
          <w:lang w:eastAsia="bg-BG"/>
        </w:rPr>
      </w:pPr>
      <w:r w:rsidRPr="00687C77">
        <w:rPr>
          <w:rFonts w:eastAsia="Times New Roman" w:cs="Arial"/>
          <w:i/>
          <w:iCs/>
          <w:color w:val="000000"/>
          <w:lang w:eastAsia="bg-BG"/>
        </w:rPr>
        <w:t>Комбинации, изискващи повишено внимание</w:t>
      </w:r>
    </w:p>
    <w:p w14:paraId="59F160DE" w14:textId="77777777" w:rsidR="00687C77" w:rsidRPr="00BD48DC" w:rsidRDefault="00687C77" w:rsidP="00687C77">
      <w:pPr>
        <w:spacing w:line="240" w:lineRule="auto"/>
        <w:rPr>
          <w:rFonts w:eastAsia="Times New Roman" w:cs="Arial"/>
          <w:b/>
          <w:bCs/>
          <w:color w:val="000000"/>
          <w:lang w:eastAsia="bg-BG"/>
        </w:rPr>
      </w:pPr>
    </w:p>
    <w:p w14:paraId="279A3827" w14:textId="6C537D0E" w:rsidR="00687C77" w:rsidRPr="00BD48DC" w:rsidRDefault="00687C77" w:rsidP="00687C77">
      <w:pPr>
        <w:pStyle w:val="ListParagraph"/>
        <w:numPr>
          <w:ilvl w:val="0"/>
          <w:numId w:val="46"/>
        </w:numPr>
        <w:spacing w:line="240" w:lineRule="auto"/>
        <w:rPr>
          <w:rFonts w:eastAsia="Times New Roman" w:cs="Arial"/>
          <w:lang w:eastAsia="bg-BG"/>
        </w:rPr>
      </w:pPr>
      <w:r w:rsidRPr="00BD48DC">
        <w:rPr>
          <w:rFonts w:eastAsia="Times New Roman" w:cs="Arial"/>
          <w:b/>
          <w:bCs/>
          <w:color w:val="000000"/>
          <w:lang w:eastAsia="bg-BG"/>
        </w:rPr>
        <w:t xml:space="preserve">Лекарства, предизвикващи </w:t>
      </w:r>
      <w:proofErr w:type="spellStart"/>
      <w:r w:rsidRPr="00BD48DC">
        <w:rPr>
          <w:rFonts w:eastAsia="Times New Roman" w:cs="Arial"/>
          <w:b/>
          <w:bCs/>
          <w:color w:val="000000"/>
          <w:lang w:val="en-US"/>
        </w:rPr>
        <w:t>torsades</w:t>
      </w:r>
      <w:proofErr w:type="spellEnd"/>
      <w:r w:rsidRPr="00BD48DC">
        <w:rPr>
          <w:rFonts w:eastAsia="Times New Roman" w:cs="Arial"/>
          <w:b/>
          <w:bCs/>
          <w:color w:val="000000"/>
          <w:lang w:val="en-US"/>
        </w:rPr>
        <w:t xml:space="preserve"> de pointes: </w:t>
      </w:r>
      <w:r w:rsidRPr="00BD48DC">
        <w:rPr>
          <w:rFonts w:eastAsia="Times New Roman" w:cs="Arial"/>
          <w:color w:val="000000"/>
          <w:lang w:eastAsia="bg-BG"/>
        </w:rPr>
        <w:t xml:space="preserve">клас </w:t>
      </w:r>
      <w:r w:rsidRPr="00BD48DC">
        <w:rPr>
          <w:rFonts w:eastAsia="Times New Roman" w:cs="Arial"/>
          <w:color w:val="000000"/>
          <w:lang w:val="en-US"/>
        </w:rPr>
        <w:t xml:space="preserve">IA </w:t>
      </w:r>
      <w:r w:rsidRPr="00BD48DC">
        <w:rPr>
          <w:rFonts w:eastAsia="Times New Roman" w:cs="Arial"/>
          <w:color w:val="000000"/>
          <w:lang w:eastAsia="bg-BG"/>
        </w:rPr>
        <w:t xml:space="preserve">антиаритмични средства (хинидин, хидрохинидин, дизопирамид), клас III антиаритмици (амиодарон, соталол, дофетилид, ибутилид), султоприд (бензамиден невролептик) и други (съединения на арсена, бепридил, цисаприд, дифеманил, доласетрон </w:t>
      </w:r>
      <w:proofErr w:type="spellStart"/>
      <w:r w:rsidRPr="00BD48DC">
        <w:rPr>
          <w:rFonts w:eastAsia="Times New Roman" w:cs="Arial"/>
          <w:color w:val="000000"/>
          <w:lang w:val="en-US"/>
        </w:rPr>
        <w:t>i.v.</w:t>
      </w:r>
      <w:proofErr w:type="spellEnd"/>
      <w:r w:rsidRPr="00BD48DC">
        <w:rPr>
          <w:rFonts w:eastAsia="Times New Roman" w:cs="Arial"/>
          <w:color w:val="000000"/>
          <w:lang w:eastAsia="bg-BG"/>
        </w:rPr>
        <w:t xml:space="preserve">, еритромицин </w:t>
      </w:r>
      <w:proofErr w:type="spellStart"/>
      <w:r w:rsidRPr="00BD48DC">
        <w:rPr>
          <w:rFonts w:eastAsia="Times New Roman" w:cs="Arial"/>
          <w:color w:val="000000"/>
          <w:lang w:val="en-US"/>
        </w:rPr>
        <w:t>i.v.</w:t>
      </w:r>
      <w:proofErr w:type="spellEnd"/>
      <w:r w:rsidRPr="00BD48DC">
        <w:rPr>
          <w:rFonts w:eastAsia="Times New Roman" w:cs="Arial"/>
          <w:color w:val="000000"/>
          <w:lang w:val="en-US"/>
        </w:rPr>
        <w:t xml:space="preserve">, </w:t>
      </w:r>
      <w:r w:rsidRPr="00BD48DC">
        <w:rPr>
          <w:rFonts w:eastAsia="Times New Roman" w:cs="Arial"/>
          <w:color w:val="000000"/>
          <w:lang w:eastAsia="bg-BG"/>
        </w:rPr>
        <w:t xml:space="preserve">левофлоксацин, мизоластин, моксифлоксацин, прукалоприд, торемифен, </w:t>
      </w:r>
      <w:proofErr w:type="spellStart"/>
      <w:r w:rsidRPr="00BD48DC">
        <w:rPr>
          <w:rFonts w:eastAsia="Times New Roman" w:cs="Arial"/>
          <w:color w:val="000000"/>
          <w:lang w:val="en-US"/>
        </w:rPr>
        <w:t>i.v.</w:t>
      </w:r>
      <w:proofErr w:type="spellEnd"/>
      <w:r w:rsidRPr="00BD48DC">
        <w:rPr>
          <w:rFonts w:eastAsia="Times New Roman" w:cs="Arial"/>
          <w:color w:val="000000"/>
          <w:lang w:val="en-US"/>
        </w:rPr>
        <w:t xml:space="preserve"> </w:t>
      </w:r>
      <w:r w:rsidRPr="00BD48DC">
        <w:rPr>
          <w:rFonts w:eastAsia="Times New Roman" w:cs="Arial"/>
          <w:color w:val="000000"/>
          <w:lang w:eastAsia="bg-BG"/>
        </w:rPr>
        <w:t xml:space="preserve">винкамин) Повишен риск от вентрикуларни аритмии, особено </w:t>
      </w:r>
      <w:proofErr w:type="spellStart"/>
      <w:r w:rsidRPr="00BD48DC">
        <w:rPr>
          <w:rFonts w:eastAsia="Times New Roman" w:cs="Arial"/>
          <w:color w:val="000000"/>
          <w:lang w:val="en-US"/>
        </w:rPr>
        <w:t>torsades</w:t>
      </w:r>
      <w:proofErr w:type="spellEnd"/>
      <w:r w:rsidRPr="00BD48DC">
        <w:rPr>
          <w:rFonts w:eastAsia="Times New Roman" w:cs="Arial"/>
          <w:color w:val="000000"/>
          <w:lang w:val="en-US"/>
        </w:rPr>
        <w:t xml:space="preserve"> de pointes.</w:t>
      </w:r>
    </w:p>
    <w:p w14:paraId="72597111" w14:textId="77777777" w:rsidR="00687C77" w:rsidRPr="00BD48DC" w:rsidRDefault="00687C77" w:rsidP="00687C77">
      <w:pPr>
        <w:spacing w:line="240" w:lineRule="auto"/>
        <w:rPr>
          <w:rFonts w:eastAsia="Times New Roman" w:cs="Arial"/>
          <w:b/>
          <w:bCs/>
          <w:color w:val="000000"/>
          <w:lang w:eastAsia="bg-BG"/>
        </w:rPr>
      </w:pPr>
    </w:p>
    <w:p w14:paraId="6268E84A" w14:textId="43A37F5A" w:rsidR="00687C77" w:rsidRPr="00BD48DC" w:rsidRDefault="00687C77" w:rsidP="00687C77">
      <w:pPr>
        <w:pStyle w:val="ListParagraph"/>
        <w:numPr>
          <w:ilvl w:val="0"/>
          <w:numId w:val="46"/>
        </w:numPr>
        <w:spacing w:line="240" w:lineRule="auto"/>
        <w:rPr>
          <w:rFonts w:eastAsia="Times New Roman" w:cs="Arial"/>
          <w:lang w:eastAsia="bg-BG"/>
        </w:rPr>
      </w:pPr>
      <w:r w:rsidRPr="00BD48DC">
        <w:rPr>
          <w:rFonts w:eastAsia="Times New Roman" w:cs="Arial"/>
          <w:b/>
          <w:bCs/>
          <w:color w:val="000000"/>
          <w:lang w:eastAsia="bg-BG"/>
        </w:rPr>
        <w:t>Леводопа (комбинирана с карбидопа)</w:t>
      </w:r>
    </w:p>
    <w:p w14:paraId="6DA43A98"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Абсорбцията на карбидопа се инхибира с понижаване плазмените нива на леводопа. Клиничните данни трябва да се проследяват и ако се налага да се коригира дозата на леводопа.</w:t>
      </w:r>
    </w:p>
    <w:p w14:paraId="4989B9A3" w14:textId="77777777" w:rsidR="00687C77" w:rsidRPr="00BD48DC" w:rsidRDefault="00687C77" w:rsidP="00687C77">
      <w:pPr>
        <w:spacing w:line="240" w:lineRule="auto"/>
        <w:rPr>
          <w:rFonts w:eastAsia="Times New Roman" w:cs="Arial"/>
          <w:b/>
          <w:bCs/>
          <w:color w:val="000000"/>
          <w:u w:val="single"/>
          <w:lang w:eastAsia="bg-BG"/>
        </w:rPr>
      </w:pPr>
    </w:p>
    <w:p w14:paraId="5068BFA5" w14:textId="25124910" w:rsidR="00687C77" w:rsidRPr="00687C77" w:rsidRDefault="00687C77" w:rsidP="00687C77">
      <w:pPr>
        <w:spacing w:line="240" w:lineRule="auto"/>
        <w:rPr>
          <w:rFonts w:eastAsia="Times New Roman" w:cs="Arial"/>
          <w:lang w:eastAsia="bg-BG"/>
        </w:rPr>
      </w:pPr>
      <w:r w:rsidRPr="00687C77">
        <w:rPr>
          <w:rFonts w:eastAsia="Times New Roman" w:cs="Arial"/>
          <w:b/>
          <w:bCs/>
          <w:color w:val="000000"/>
          <w:u w:val="single"/>
          <w:lang w:eastAsia="bg-BG"/>
        </w:rPr>
        <w:t>Свързани с метронидазол</w:t>
      </w:r>
    </w:p>
    <w:p w14:paraId="30F65F7E" w14:textId="77777777" w:rsidR="00687C77" w:rsidRPr="00BD48DC" w:rsidRDefault="00687C77" w:rsidP="00687C77">
      <w:pPr>
        <w:spacing w:line="240" w:lineRule="auto"/>
        <w:rPr>
          <w:rFonts w:eastAsia="Times New Roman" w:cs="Arial"/>
          <w:b/>
          <w:bCs/>
          <w:color w:val="000000"/>
          <w:lang w:eastAsia="bg-BG"/>
        </w:rPr>
      </w:pPr>
    </w:p>
    <w:p w14:paraId="5D8D0278" w14:textId="531D0DE9" w:rsidR="00687C77" w:rsidRPr="00BD48DC" w:rsidRDefault="00687C77" w:rsidP="00687C77">
      <w:pPr>
        <w:pStyle w:val="ListParagraph"/>
        <w:numPr>
          <w:ilvl w:val="0"/>
          <w:numId w:val="47"/>
        </w:numPr>
        <w:spacing w:line="240" w:lineRule="auto"/>
        <w:rPr>
          <w:rFonts w:eastAsia="Times New Roman" w:cs="Arial"/>
          <w:lang w:eastAsia="bg-BG"/>
        </w:rPr>
      </w:pPr>
      <w:r w:rsidRPr="00BD48DC">
        <w:rPr>
          <w:rFonts w:eastAsia="Times New Roman" w:cs="Arial"/>
          <w:b/>
          <w:bCs/>
          <w:color w:val="000000"/>
          <w:lang w:eastAsia="bg-BG"/>
        </w:rPr>
        <w:t>Дисулфирам подобни реакции</w:t>
      </w:r>
    </w:p>
    <w:p w14:paraId="05A49428"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Много лекарствени продукти могат да предизвикат дисулфирам подобни реакции, когато се приемат с алкохол, поради което не се препоръчва комбинираната им употреба с алкохол.</w:t>
      </w:r>
    </w:p>
    <w:p w14:paraId="15D47EDA" w14:textId="77777777" w:rsidR="00687C77" w:rsidRPr="00687C77" w:rsidRDefault="00687C77" w:rsidP="00687C77">
      <w:pPr>
        <w:spacing w:line="240" w:lineRule="auto"/>
        <w:rPr>
          <w:rFonts w:eastAsia="Times New Roman" w:cs="Arial"/>
          <w:lang w:eastAsia="bg-BG"/>
        </w:rPr>
      </w:pPr>
      <w:r w:rsidRPr="00687C77">
        <w:rPr>
          <w:rFonts w:eastAsia="Times New Roman" w:cs="Arial"/>
          <w:i/>
          <w:iCs/>
          <w:color w:val="000000"/>
          <w:lang w:eastAsia="bg-BG"/>
        </w:rPr>
        <w:t>Комбинации, които не се препоръчват</w:t>
      </w:r>
    </w:p>
    <w:p w14:paraId="0F408CBF" w14:textId="77777777" w:rsidR="00687C77" w:rsidRPr="00BD48DC" w:rsidRDefault="00687C77" w:rsidP="00687C77">
      <w:pPr>
        <w:spacing w:line="240" w:lineRule="auto"/>
        <w:rPr>
          <w:rFonts w:eastAsia="Times New Roman" w:cs="Arial"/>
          <w:b/>
          <w:bCs/>
          <w:color w:val="000000"/>
          <w:lang w:eastAsia="bg-BG"/>
        </w:rPr>
      </w:pPr>
    </w:p>
    <w:p w14:paraId="14132D24" w14:textId="1551E345" w:rsidR="00687C77" w:rsidRPr="00BD48DC" w:rsidRDefault="00687C77" w:rsidP="00687C77">
      <w:pPr>
        <w:pStyle w:val="ListParagraph"/>
        <w:numPr>
          <w:ilvl w:val="0"/>
          <w:numId w:val="47"/>
        </w:numPr>
        <w:spacing w:line="240" w:lineRule="auto"/>
        <w:rPr>
          <w:rFonts w:eastAsia="Times New Roman" w:cs="Arial"/>
          <w:lang w:eastAsia="bg-BG"/>
        </w:rPr>
      </w:pPr>
      <w:bookmarkStart w:id="9" w:name="bookmark7"/>
      <w:r w:rsidRPr="00BD48DC">
        <w:rPr>
          <w:rFonts w:eastAsia="Times New Roman" w:cs="Arial"/>
          <w:b/>
          <w:bCs/>
          <w:color w:val="000000"/>
          <w:lang w:eastAsia="bg-BG"/>
        </w:rPr>
        <w:t>Алкохол (напитка или помощно вещество)</w:t>
      </w:r>
      <w:bookmarkEnd w:id="9"/>
    </w:p>
    <w:p w14:paraId="3EB77D8B"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Може да възникне дисулфирам подобна реакция (горещи вълни, зачервяване, повръщане, тахикардия). Да се избягва приемането на алкохолни напитки и лекарства, съдържащи алкохол. Алкохолните напитки или лекарствените продукти, съдържащи алкохол, не бива да се консумират отново докато лекарственото вещество не се елиминира напълно.</w:t>
      </w:r>
    </w:p>
    <w:p w14:paraId="20581191"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ЕлиминационНият полуживот на лекарственото вещество трябва да се използва за справка.</w:t>
      </w:r>
    </w:p>
    <w:p w14:paraId="5FCD780E" w14:textId="77777777" w:rsidR="00687C77" w:rsidRPr="00BD48DC" w:rsidRDefault="00687C77" w:rsidP="00687C77">
      <w:pPr>
        <w:spacing w:line="240" w:lineRule="auto"/>
        <w:rPr>
          <w:rFonts w:eastAsia="Times New Roman" w:cs="Arial"/>
          <w:b/>
          <w:bCs/>
          <w:color w:val="000000"/>
          <w:lang w:eastAsia="bg-BG"/>
        </w:rPr>
      </w:pPr>
    </w:p>
    <w:p w14:paraId="6DA6B9DF" w14:textId="4652AFFF" w:rsidR="00687C77" w:rsidRPr="00BD48DC" w:rsidRDefault="00687C77" w:rsidP="00687C77">
      <w:pPr>
        <w:pStyle w:val="ListParagraph"/>
        <w:numPr>
          <w:ilvl w:val="0"/>
          <w:numId w:val="47"/>
        </w:numPr>
        <w:spacing w:line="240" w:lineRule="auto"/>
        <w:rPr>
          <w:rFonts w:eastAsia="Times New Roman" w:cs="Arial"/>
          <w:lang w:eastAsia="bg-BG"/>
        </w:rPr>
      </w:pPr>
      <w:bookmarkStart w:id="10" w:name="bookmark9"/>
      <w:r w:rsidRPr="00BD48DC">
        <w:rPr>
          <w:rFonts w:eastAsia="Times New Roman" w:cs="Arial"/>
          <w:b/>
          <w:bCs/>
          <w:color w:val="000000"/>
          <w:lang w:eastAsia="bg-BG"/>
        </w:rPr>
        <w:t>Бусулфан</w:t>
      </w:r>
      <w:bookmarkEnd w:id="10"/>
    </w:p>
    <w:p w14:paraId="303583D1"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С високи дози бусулфан, метронидазол индуцира двойно концентрацията на бусулфан.</w:t>
      </w:r>
    </w:p>
    <w:p w14:paraId="19BA74AB" w14:textId="77777777" w:rsidR="00687C77" w:rsidRPr="00BD48DC" w:rsidRDefault="00687C77" w:rsidP="00687C77">
      <w:pPr>
        <w:spacing w:line="240" w:lineRule="auto"/>
        <w:rPr>
          <w:rFonts w:eastAsia="Times New Roman" w:cs="Arial"/>
          <w:b/>
          <w:bCs/>
          <w:color w:val="000000"/>
          <w:lang w:eastAsia="bg-BG"/>
        </w:rPr>
      </w:pPr>
      <w:bookmarkStart w:id="11" w:name="bookmark11"/>
    </w:p>
    <w:p w14:paraId="100EC0AC" w14:textId="68838CB9" w:rsidR="00687C77" w:rsidRPr="00BD48DC" w:rsidRDefault="00687C77" w:rsidP="00687C77">
      <w:pPr>
        <w:pStyle w:val="ListParagraph"/>
        <w:numPr>
          <w:ilvl w:val="0"/>
          <w:numId w:val="47"/>
        </w:numPr>
        <w:spacing w:line="240" w:lineRule="auto"/>
        <w:rPr>
          <w:rFonts w:eastAsia="Times New Roman" w:cs="Arial"/>
          <w:lang w:eastAsia="bg-BG"/>
        </w:rPr>
      </w:pPr>
      <w:r w:rsidRPr="00BD48DC">
        <w:rPr>
          <w:rFonts w:eastAsia="Times New Roman" w:cs="Arial"/>
          <w:b/>
          <w:bCs/>
          <w:color w:val="000000"/>
          <w:lang w:eastAsia="bg-BG"/>
        </w:rPr>
        <w:t>Дисулфирам</w:t>
      </w:r>
      <w:bookmarkEnd w:id="11"/>
    </w:p>
    <w:p w14:paraId="5B2761C5" w14:textId="21022E80" w:rsidR="0091385D" w:rsidRPr="00BD48DC" w:rsidRDefault="00687C77" w:rsidP="00687C77">
      <w:pPr>
        <w:rPr>
          <w:rFonts w:cs="Arial"/>
        </w:rPr>
      </w:pPr>
      <w:r w:rsidRPr="00BD48DC">
        <w:rPr>
          <w:rFonts w:eastAsia="Times New Roman" w:cs="Arial"/>
          <w:color w:val="000000"/>
          <w:lang w:eastAsia="bg-BG"/>
        </w:rPr>
        <w:t>Съществува риск от остри психотични епизоди или обърканост, които са обратими при</w:t>
      </w:r>
      <w:r w:rsidRPr="00BD48DC">
        <w:rPr>
          <w:rFonts w:eastAsia="Times New Roman" w:cs="Arial"/>
          <w:i/>
          <w:iCs/>
          <w:color w:val="000000"/>
          <w:lang w:eastAsia="bg-BG"/>
        </w:rPr>
        <w:t xml:space="preserve"> </w:t>
      </w:r>
      <w:r w:rsidRPr="00BD48DC">
        <w:rPr>
          <w:rFonts w:eastAsia="Times New Roman" w:cs="Arial"/>
          <w:color w:val="000000"/>
          <w:lang w:eastAsia="bg-BG"/>
        </w:rPr>
        <w:t>прекратяване на комбинираното лечение.</w:t>
      </w:r>
    </w:p>
    <w:p w14:paraId="0395BD2E" w14:textId="55E685F8" w:rsidR="007A2185" w:rsidRPr="00BD48DC" w:rsidRDefault="007A2185" w:rsidP="0091385D">
      <w:pPr>
        <w:rPr>
          <w:rFonts w:cs="Arial"/>
        </w:rPr>
      </w:pPr>
    </w:p>
    <w:p w14:paraId="33537DE4" w14:textId="77777777" w:rsidR="00687C77" w:rsidRPr="00687C77" w:rsidRDefault="00687C77" w:rsidP="00687C77">
      <w:pPr>
        <w:spacing w:line="240" w:lineRule="auto"/>
        <w:rPr>
          <w:rFonts w:eastAsia="Times New Roman" w:cs="Arial"/>
          <w:lang w:eastAsia="bg-BG"/>
        </w:rPr>
      </w:pPr>
      <w:r w:rsidRPr="00687C77">
        <w:rPr>
          <w:rFonts w:eastAsia="Times New Roman" w:cs="Arial"/>
          <w:i/>
          <w:iCs/>
          <w:color w:val="000000"/>
          <w:lang w:eastAsia="bg-BG"/>
        </w:rPr>
        <w:t>Комбинации, които изискват специално внимание</w:t>
      </w:r>
    </w:p>
    <w:p w14:paraId="4B4691DA" w14:textId="77777777" w:rsidR="00687C77" w:rsidRPr="00BD48DC" w:rsidRDefault="00687C77" w:rsidP="00687C77">
      <w:pPr>
        <w:spacing w:line="240" w:lineRule="auto"/>
        <w:rPr>
          <w:rFonts w:eastAsia="Times New Roman" w:cs="Arial"/>
          <w:b/>
          <w:bCs/>
          <w:color w:val="000000"/>
          <w:lang w:eastAsia="bg-BG"/>
        </w:rPr>
      </w:pPr>
    </w:p>
    <w:p w14:paraId="25116CFF" w14:textId="4AD7939C" w:rsidR="00687C77" w:rsidRPr="00BD48DC" w:rsidRDefault="00687C77" w:rsidP="00687C77">
      <w:pPr>
        <w:pStyle w:val="ListParagraph"/>
        <w:numPr>
          <w:ilvl w:val="0"/>
          <w:numId w:val="47"/>
        </w:numPr>
        <w:spacing w:line="240" w:lineRule="auto"/>
        <w:rPr>
          <w:rFonts w:eastAsia="Times New Roman" w:cs="Arial"/>
          <w:lang w:eastAsia="bg-BG"/>
        </w:rPr>
      </w:pPr>
      <w:r w:rsidRPr="00BD48DC">
        <w:rPr>
          <w:rFonts w:eastAsia="Times New Roman" w:cs="Arial"/>
          <w:b/>
          <w:bCs/>
          <w:color w:val="000000"/>
          <w:lang w:eastAsia="bg-BG"/>
        </w:rPr>
        <w:t>Ензим-индуциращи антиконвулсанти</w:t>
      </w:r>
    </w:p>
    <w:p w14:paraId="288F2BF5"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Намаляват се серумните концентрации на метронидазол, поради повишаванена чернодробния метаболизъм на метронидазол под влияние наиндуктора.</w:t>
      </w:r>
    </w:p>
    <w:p w14:paraId="17962E1F"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Необходимо е клинично наблюдение и при необходимост да се коригира дозата на метронидазол по време на лечението и след спиране на лечението с ензим-индуциращи антиконвулсанти.</w:t>
      </w:r>
    </w:p>
    <w:p w14:paraId="2825BD30" w14:textId="77777777" w:rsidR="00687C77" w:rsidRPr="00BD48DC" w:rsidRDefault="00687C77" w:rsidP="00687C77">
      <w:pPr>
        <w:spacing w:line="240" w:lineRule="auto"/>
        <w:rPr>
          <w:rFonts w:eastAsia="Times New Roman" w:cs="Arial"/>
          <w:b/>
          <w:bCs/>
          <w:color w:val="000000"/>
          <w:lang w:eastAsia="bg-BG"/>
        </w:rPr>
      </w:pPr>
    </w:p>
    <w:p w14:paraId="7774261D" w14:textId="46BBA7EB" w:rsidR="00687C77" w:rsidRPr="00BD48DC" w:rsidRDefault="00687C77" w:rsidP="00687C77">
      <w:pPr>
        <w:pStyle w:val="ListParagraph"/>
        <w:numPr>
          <w:ilvl w:val="0"/>
          <w:numId w:val="47"/>
        </w:numPr>
        <w:spacing w:line="240" w:lineRule="auto"/>
        <w:rPr>
          <w:rFonts w:eastAsia="Times New Roman" w:cs="Arial"/>
          <w:lang w:eastAsia="bg-BG"/>
        </w:rPr>
      </w:pPr>
      <w:r w:rsidRPr="00BD48DC">
        <w:rPr>
          <w:rFonts w:eastAsia="Times New Roman" w:cs="Arial"/>
          <w:b/>
          <w:bCs/>
          <w:color w:val="000000"/>
          <w:lang w:eastAsia="bg-BG"/>
        </w:rPr>
        <w:t>Рифампицин</w:t>
      </w:r>
    </w:p>
    <w:p w14:paraId="3DE711FC"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Рифампицин предизвиква намаляване на серумните концентрации на метронидазол, поради повишаване на чернодробния му метаболизъм.</w:t>
      </w:r>
    </w:p>
    <w:p w14:paraId="64A9B64E"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Необходимо е клинично наблюдение и при необходимост да се коригира дозата на метронидазол по време на лечението и след спиране на лечението с рифампицин.</w:t>
      </w:r>
    </w:p>
    <w:p w14:paraId="13C34F08" w14:textId="77777777" w:rsidR="00687C77" w:rsidRPr="00BD48DC" w:rsidRDefault="00687C77" w:rsidP="00687C77">
      <w:pPr>
        <w:spacing w:line="240" w:lineRule="auto"/>
        <w:rPr>
          <w:rFonts w:eastAsia="Times New Roman" w:cs="Arial"/>
          <w:b/>
          <w:bCs/>
          <w:color w:val="000000"/>
          <w:lang w:eastAsia="bg-BG"/>
        </w:rPr>
      </w:pPr>
    </w:p>
    <w:p w14:paraId="5DC3AC4B" w14:textId="379CC1CB" w:rsidR="00687C77" w:rsidRPr="00BD48DC" w:rsidRDefault="00687C77" w:rsidP="00687C77">
      <w:pPr>
        <w:pStyle w:val="ListParagraph"/>
        <w:numPr>
          <w:ilvl w:val="0"/>
          <w:numId w:val="47"/>
        </w:numPr>
        <w:spacing w:line="240" w:lineRule="auto"/>
        <w:rPr>
          <w:rFonts w:eastAsia="Times New Roman" w:cs="Arial"/>
          <w:lang w:eastAsia="bg-BG"/>
        </w:rPr>
      </w:pPr>
      <w:r w:rsidRPr="00BD48DC">
        <w:rPr>
          <w:rFonts w:eastAsia="Times New Roman" w:cs="Arial"/>
          <w:b/>
          <w:bCs/>
          <w:color w:val="000000"/>
          <w:lang w:eastAsia="bg-BG"/>
        </w:rPr>
        <w:t>Литий</w:t>
      </w:r>
    </w:p>
    <w:p w14:paraId="36B5B0E8"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Нарастване на серумните нива на литий с възможност за достигане на токсични нива с признаци на литиево предозиране.</w:t>
      </w:r>
    </w:p>
    <w:p w14:paraId="73509131"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Необходимо е стриктно наблюдение на серумните нива на литий и ако се налага, да се коригира дозата на литий.</w:t>
      </w:r>
    </w:p>
    <w:p w14:paraId="298392A0" w14:textId="77777777" w:rsidR="00687C77" w:rsidRPr="00BD48DC" w:rsidRDefault="00687C77" w:rsidP="00687C77">
      <w:pPr>
        <w:spacing w:line="240" w:lineRule="auto"/>
        <w:rPr>
          <w:rFonts w:eastAsia="Times New Roman" w:cs="Arial"/>
          <w:i/>
          <w:iCs/>
          <w:color w:val="000000"/>
          <w:lang w:eastAsia="bg-BG"/>
        </w:rPr>
      </w:pPr>
    </w:p>
    <w:p w14:paraId="74DEE7A1" w14:textId="3C0F141E" w:rsidR="00687C77" w:rsidRPr="00687C77" w:rsidRDefault="00687C77" w:rsidP="00687C77">
      <w:pPr>
        <w:spacing w:line="240" w:lineRule="auto"/>
        <w:rPr>
          <w:rFonts w:eastAsia="Times New Roman" w:cs="Arial"/>
          <w:lang w:eastAsia="bg-BG"/>
        </w:rPr>
      </w:pPr>
      <w:r w:rsidRPr="00687C77">
        <w:rPr>
          <w:rFonts w:eastAsia="Times New Roman" w:cs="Arial"/>
          <w:i/>
          <w:iCs/>
          <w:color w:val="000000"/>
          <w:lang w:eastAsia="bg-BG"/>
        </w:rPr>
        <w:t>Комбинации, които трябва да се имат предвид</w:t>
      </w:r>
    </w:p>
    <w:p w14:paraId="2E9598AE" w14:textId="77777777" w:rsidR="00687C77" w:rsidRPr="00BD48DC" w:rsidRDefault="00687C77" w:rsidP="00687C77">
      <w:pPr>
        <w:spacing w:line="240" w:lineRule="auto"/>
        <w:rPr>
          <w:rFonts w:eastAsia="Times New Roman" w:cs="Arial"/>
          <w:b/>
          <w:bCs/>
          <w:color w:val="000000"/>
          <w:lang w:eastAsia="bg-BG"/>
        </w:rPr>
      </w:pPr>
    </w:p>
    <w:p w14:paraId="2668FBCF" w14:textId="7940309B" w:rsidR="00687C77" w:rsidRPr="00BD48DC" w:rsidRDefault="00687C77" w:rsidP="00687C77">
      <w:pPr>
        <w:pStyle w:val="ListParagraph"/>
        <w:numPr>
          <w:ilvl w:val="0"/>
          <w:numId w:val="47"/>
        </w:numPr>
        <w:spacing w:line="240" w:lineRule="auto"/>
        <w:rPr>
          <w:rFonts w:eastAsia="Times New Roman" w:cs="Arial"/>
          <w:lang w:eastAsia="bg-BG"/>
        </w:rPr>
      </w:pPr>
      <w:r w:rsidRPr="00BD48DC">
        <w:rPr>
          <w:rFonts w:eastAsia="Times New Roman" w:cs="Arial"/>
          <w:b/>
          <w:bCs/>
          <w:color w:val="000000"/>
          <w:lang w:eastAsia="bg-BG"/>
        </w:rPr>
        <w:t>Флуороурацил (и чрез екстраполираме тегафур и капецитабин)</w:t>
      </w:r>
    </w:p>
    <w:p w14:paraId="2490F277"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Повишаване токсичността на флуороурацил поради понижен клирънс.</w:t>
      </w:r>
    </w:p>
    <w:p w14:paraId="630CB31C" w14:textId="77777777" w:rsidR="00687C77" w:rsidRPr="00BD48DC" w:rsidRDefault="00687C77" w:rsidP="00687C77">
      <w:pPr>
        <w:spacing w:line="240" w:lineRule="auto"/>
        <w:rPr>
          <w:rFonts w:eastAsia="Times New Roman" w:cs="Arial"/>
          <w:b/>
          <w:bCs/>
          <w:color w:val="000000"/>
          <w:lang w:eastAsia="bg-BG"/>
        </w:rPr>
      </w:pPr>
    </w:p>
    <w:p w14:paraId="67B296E5" w14:textId="55A2D686" w:rsidR="00687C77" w:rsidRPr="00BD48DC" w:rsidRDefault="00687C77" w:rsidP="00687C77">
      <w:pPr>
        <w:pStyle w:val="ListParagraph"/>
        <w:numPr>
          <w:ilvl w:val="0"/>
          <w:numId w:val="47"/>
        </w:numPr>
        <w:spacing w:line="240" w:lineRule="auto"/>
        <w:rPr>
          <w:rFonts w:eastAsia="Times New Roman" w:cs="Arial"/>
          <w:lang w:eastAsia="bg-BG"/>
        </w:rPr>
      </w:pPr>
      <w:r w:rsidRPr="00BD48DC">
        <w:rPr>
          <w:rFonts w:eastAsia="Times New Roman" w:cs="Arial"/>
          <w:b/>
          <w:bCs/>
          <w:color w:val="000000"/>
          <w:lang w:eastAsia="bg-BG"/>
        </w:rPr>
        <w:t xml:space="preserve">Специални, свързани с отклонения в </w:t>
      </w:r>
      <w:r w:rsidRPr="00BD48DC">
        <w:rPr>
          <w:rFonts w:eastAsia="Times New Roman" w:cs="Arial"/>
          <w:b/>
          <w:bCs/>
          <w:color w:val="000000"/>
          <w:lang w:val="en-US"/>
        </w:rPr>
        <w:t>INR</w:t>
      </w:r>
      <w:r w:rsidRPr="00BD48DC">
        <w:rPr>
          <w:rFonts w:eastAsia="Times New Roman" w:cs="Arial"/>
          <w:b/>
          <w:bCs/>
          <w:color w:val="000000"/>
          <w:lang w:eastAsia="bg-BG"/>
        </w:rPr>
        <w:t>-съотношението</w:t>
      </w:r>
    </w:p>
    <w:p w14:paraId="4953BCF6"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 xml:space="preserve">Голям брой са случаите на засилване на антикоагулантната активност на перорални аникоагуланти при пациенти, лекувани с антибиотици. В зависимост от степента на инфекцията или от наличното възпаление, възрастта на пациента и общото състояние могат да бъдат рисков фактор. Поради тези обстоятелства е трудно да се определи до каква степен самата инфекция или лечението играят роля в отклоненията на </w:t>
      </w:r>
      <w:r w:rsidRPr="00687C77">
        <w:rPr>
          <w:rFonts w:eastAsia="Times New Roman" w:cs="Arial"/>
          <w:color w:val="000000"/>
          <w:lang w:val="en-US"/>
        </w:rPr>
        <w:t xml:space="preserve">INR. </w:t>
      </w:r>
      <w:r w:rsidRPr="00687C77">
        <w:rPr>
          <w:rFonts w:eastAsia="Times New Roman" w:cs="Arial"/>
          <w:color w:val="000000"/>
          <w:lang w:eastAsia="bg-BG"/>
        </w:rPr>
        <w:t>Въпреки това, определени групи антибиотици са по-ангажирани: флуорохинолони, макролиди, циклини, котримоксазол и някои цефалоспорини.</w:t>
      </w:r>
    </w:p>
    <w:p w14:paraId="6EC34E61" w14:textId="77777777" w:rsidR="00687C77" w:rsidRPr="00BD48DC" w:rsidRDefault="00687C77" w:rsidP="00687C77">
      <w:pPr>
        <w:spacing w:line="240" w:lineRule="auto"/>
        <w:rPr>
          <w:rFonts w:eastAsia="Times New Roman" w:cs="Arial"/>
          <w:b/>
          <w:bCs/>
          <w:color w:val="000000"/>
          <w:lang w:eastAsia="bg-BG"/>
        </w:rPr>
      </w:pPr>
    </w:p>
    <w:p w14:paraId="2C85072E" w14:textId="3FC11EB1" w:rsidR="00687C77" w:rsidRPr="00BD48DC" w:rsidRDefault="00687C77" w:rsidP="00687C77">
      <w:pPr>
        <w:pStyle w:val="ListParagraph"/>
        <w:numPr>
          <w:ilvl w:val="0"/>
          <w:numId w:val="47"/>
        </w:numPr>
        <w:spacing w:line="240" w:lineRule="auto"/>
        <w:rPr>
          <w:rFonts w:eastAsia="Times New Roman" w:cs="Arial"/>
          <w:lang w:eastAsia="bg-BG"/>
        </w:rPr>
      </w:pPr>
      <w:r w:rsidRPr="00BD48DC">
        <w:rPr>
          <w:rFonts w:eastAsia="Times New Roman" w:cs="Arial"/>
          <w:b/>
          <w:bCs/>
          <w:color w:val="000000"/>
          <w:lang w:eastAsia="bg-BG"/>
        </w:rPr>
        <w:t>Повлияване на резултатите От лабораторни тестове</w:t>
      </w:r>
    </w:p>
    <w:p w14:paraId="07AE6B44" w14:textId="06713313" w:rsidR="00687C77" w:rsidRPr="00BD48DC" w:rsidRDefault="00687C77" w:rsidP="00687C77">
      <w:pPr>
        <w:rPr>
          <w:rFonts w:cs="Arial"/>
        </w:rPr>
      </w:pPr>
      <w:r w:rsidRPr="00BD48DC">
        <w:rPr>
          <w:rFonts w:eastAsia="Times New Roman" w:cs="Arial"/>
          <w:color w:val="000000"/>
          <w:lang w:eastAsia="bg-BG"/>
        </w:rPr>
        <w:t>Метронидазол може да промени резултатите и да даде фалшиво положителни резултати на Нелсън теста.</w:t>
      </w:r>
    </w:p>
    <w:p w14:paraId="79B1F2F1" w14:textId="77777777" w:rsidR="00687C77" w:rsidRPr="0091385D" w:rsidRDefault="00687C77" w:rsidP="0091385D"/>
    <w:p w14:paraId="394A7584" w14:textId="10DEA5B3" w:rsidR="004F498A" w:rsidRDefault="002C50EE" w:rsidP="004A448E">
      <w:pPr>
        <w:pStyle w:val="Heading2"/>
      </w:pPr>
      <w:r>
        <w:t>4.6. Фертилитет, бременност и кърмене</w:t>
      </w:r>
    </w:p>
    <w:p w14:paraId="4887836B" w14:textId="0528FAED" w:rsidR="0091385D" w:rsidRDefault="0091385D" w:rsidP="0091385D"/>
    <w:p w14:paraId="44527A3E" w14:textId="77777777" w:rsidR="00687C77" w:rsidRPr="00BD48DC" w:rsidRDefault="00687C77" w:rsidP="00BD48DC">
      <w:pPr>
        <w:pStyle w:val="Heading3"/>
        <w:rPr>
          <w:rFonts w:eastAsia="Times New Roman"/>
          <w:u w:val="single"/>
          <w:lang w:eastAsia="bg-BG"/>
        </w:rPr>
      </w:pPr>
      <w:r w:rsidRPr="00BD48DC">
        <w:rPr>
          <w:rFonts w:eastAsia="Times New Roman"/>
          <w:u w:val="single"/>
          <w:lang w:eastAsia="bg-BG"/>
        </w:rPr>
        <w:t>Бременност</w:t>
      </w:r>
    </w:p>
    <w:p w14:paraId="2B2875FD"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При необходимост, този продукт може да се прилага по време на бременност, независимо от нейния етап.</w:t>
      </w:r>
    </w:p>
    <w:p w14:paraId="249E39A8" w14:textId="77777777" w:rsidR="00687C77" w:rsidRPr="00BD48DC" w:rsidRDefault="00687C77" w:rsidP="00687C77">
      <w:pPr>
        <w:spacing w:line="240" w:lineRule="auto"/>
        <w:rPr>
          <w:rFonts w:eastAsia="Times New Roman" w:cs="Arial"/>
          <w:i/>
          <w:iCs/>
          <w:color w:val="000000"/>
          <w:lang w:eastAsia="bg-BG"/>
        </w:rPr>
      </w:pPr>
    </w:p>
    <w:p w14:paraId="4A43401A" w14:textId="25E03000" w:rsidR="00687C77" w:rsidRPr="00687C77" w:rsidRDefault="00687C77" w:rsidP="00687C77">
      <w:pPr>
        <w:spacing w:line="240" w:lineRule="auto"/>
        <w:rPr>
          <w:rFonts w:eastAsia="Times New Roman" w:cs="Arial"/>
          <w:lang w:eastAsia="bg-BG"/>
        </w:rPr>
      </w:pPr>
      <w:r w:rsidRPr="00687C77">
        <w:rPr>
          <w:rFonts w:eastAsia="Times New Roman" w:cs="Arial"/>
          <w:i/>
          <w:iCs/>
          <w:color w:val="000000"/>
          <w:lang w:eastAsia="bg-BG"/>
        </w:rPr>
        <w:t>Метрон идазол</w:t>
      </w:r>
    </w:p>
    <w:p w14:paraId="10FF1371"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lastRenderedPageBreak/>
        <w:t>Клинични наблюдения на голям брой бременни жени показват, че метронидазол няма специфичен тератогенен или фетотоксичен ефект. На практика само епидемиологични проучвания могат да покажат, че няма риск.</w:t>
      </w:r>
    </w:p>
    <w:p w14:paraId="2499A268"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Изследвания при животни не показват тератогенни и ембриотоксични ефекти на метронидазол.</w:t>
      </w:r>
    </w:p>
    <w:p w14:paraId="319FE94D" w14:textId="77777777" w:rsidR="00687C77" w:rsidRPr="00BD48DC" w:rsidRDefault="00687C77" w:rsidP="00687C77">
      <w:pPr>
        <w:spacing w:line="240" w:lineRule="auto"/>
        <w:rPr>
          <w:rFonts w:eastAsia="Times New Roman" w:cs="Arial"/>
          <w:i/>
          <w:iCs/>
          <w:color w:val="000000"/>
          <w:lang w:eastAsia="bg-BG"/>
        </w:rPr>
      </w:pPr>
    </w:p>
    <w:p w14:paraId="34F826C8" w14:textId="6516AAB6" w:rsidR="00687C77" w:rsidRPr="00687C77" w:rsidRDefault="00687C77" w:rsidP="00687C77">
      <w:pPr>
        <w:spacing w:line="240" w:lineRule="auto"/>
        <w:rPr>
          <w:rFonts w:eastAsia="Times New Roman" w:cs="Arial"/>
          <w:lang w:eastAsia="bg-BG"/>
        </w:rPr>
      </w:pPr>
      <w:r w:rsidRPr="00687C77">
        <w:rPr>
          <w:rFonts w:eastAsia="Times New Roman" w:cs="Arial"/>
          <w:i/>
          <w:iCs/>
          <w:color w:val="000000"/>
          <w:lang w:eastAsia="bg-BG"/>
        </w:rPr>
        <w:t>Спирамицин</w:t>
      </w:r>
    </w:p>
    <w:p w14:paraId="2EF48692"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При необходимост, спирамицин може да се прилага по време на бременност. До момента няма данни за тератогенност и фетотоксичност на това лекарствено вещество.</w:t>
      </w:r>
    </w:p>
    <w:p w14:paraId="6BEE6085" w14:textId="77777777" w:rsidR="00687C77" w:rsidRPr="00BD48DC" w:rsidRDefault="00687C77" w:rsidP="00687C77">
      <w:pPr>
        <w:spacing w:line="240" w:lineRule="auto"/>
        <w:rPr>
          <w:rFonts w:eastAsia="Times New Roman" w:cs="Arial"/>
          <w:color w:val="000000"/>
          <w:u w:val="single"/>
          <w:lang w:eastAsia="bg-BG"/>
        </w:rPr>
      </w:pPr>
    </w:p>
    <w:p w14:paraId="75DB668D" w14:textId="5EC5F900" w:rsidR="00687C77" w:rsidRPr="00BD48DC" w:rsidRDefault="00687C77" w:rsidP="00BD48DC">
      <w:pPr>
        <w:pStyle w:val="Heading3"/>
        <w:rPr>
          <w:rFonts w:eastAsia="Times New Roman"/>
          <w:u w:val="single"/>
          <w:lang w:eastAsia="bg-BG"/>
        </w:rPr>
      </w:pPr>
      <w:r w:rsidRPr="00BD48DC">
        <w:rPr>
          <w:rFonts w:eastAsia="Times New Roman"/>
          <w:u w:val="single"/>
          <w:lang w:eastAsia="bg-BG"/>
        </w:rPr>
        <w:t>Кърмене</w:t>
      </w:r>
    </w:p>
    <w:p w14:paraId="102F0D07" w14:textId="3381A102" w:rsidR="007A2185" w:rsidRPr="00BD48DC" w:rsidRDefault="00687C77" w:rsidP="00687C77">
      <w:pPr>
        <w:rPr>
          <w:rFonts w:cs="Arial"/>
        </w:rPr>
      </w:pPr>
      <w:r w:rsidRPr="00BD48DC">
        <w:rPr>
          <w:rFonts w:eastAsia="Times New Roman" w:cs="Arial"/>
          <w:color w:val="000000"/>
          <w:lang w:eastAsia="bg-BG"/>
        </w:rPr>
        <w:t xml:space="preserve">Метронидазол и спирамицин преминават в майчиното мляко в концентрации близки до тези в </w:t>
      </w:r>
      <w:r w:rsidRPr="00BD48DC">
        <w:rPr>
          <w:rFonts w:cs="Arial"/>
        </w:rPr>
        <w:t>плазмата. Поради това, ако се налага лечение в периода на кърмене, препоръчва се преустановяване на кърменето за времето на приемане на продукта и 48 часа след това.</w:t>
      </w:r>
    </w:p>
    <w:p w14:paraId="3E8789C3" w14:textId="77777777" w:rsidR="0091385D" w:rsidRPr="0091385D" w:rsidRDefault="0091385D" w:rsidP="0091385D"/>
    <w:p w14:paraId="064DF1DE" w14:textId="70BCC16C" w:rsidR="00CF77F7" w:rsidRDefault="002C50EE" w:rsidP="004A448E">
      <w:pPr>
        <w:pStyle w:val="Heading2"/>
      </w:pPr>
      <w:r>
        <w:t>4.7. Ефекти върху способността за шофиране и работа с машини</w:t>
      </w:r>
    </w:p>
    <w:p w14:paraId="1455464C" w14:textId="78136F1E" w:rsidR="0091385D" w:rsidRDefault="0091385D" w:rsidP="0091385D"/>
    <w:p w14:paraId="1C9ABB96" w14:textId="4C40AA3C" w:rsidR="007A2185" w:rsidRPr="00BD48DC" w:rsidRDefault="00687C77" w:rsidP="0091385D">
      <w:pPr>
        <w:rPr>
          <w:rFonts w:cs="Arial"/>
        </w:rPr>
      </w:pPr>
      <w:r w:rsidRPr="00BD48DC">
        <w:rPr>
          <w:rFonts w:cs="Arial"/>
        </w:rPr>
        <w:t>Продуктът не повлиява способността за шофиране и работа с машини, но в отделни случаи могат да са наблюдават световъртеж, обърканост, халюцинации, припадъци, конвулсии или очни нарушения и пациентите трябва да бъдат предупредени за това.</w:t>
      </w:r>
    </w:p>
    <w:p w14:paraId="35801A15" w14:textId="77777777" w:rsidR="0091385D" w:rsidRPr="0091385D" w:rsidRDefault="0091385D" w:rsidP="0091385D"/>
    <w:p w14:paraId="4838F52A" w14:textId="058F0B9C" w:rsidR="0091385D" w:rsidRDefault="002C50EE" w:rsidP="007A2185">
      <w:pPr>
        <w:pStyle w:val="Heading2"/>
      </w:pPr>
      <w:r>
        <w:t>4.8. Нежелани лекарствени реакции</w:t>
      </w:r>
    </w:p>
    <w:p w14:paraId="76E0B7A2" w14:textId="5BBD2581" w:rsidR="005B0F27" w:rsidRDefault="005B0F27" w:rsidP="0091385D"/>
    <w:p w14:paraId="01B922E4"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Следната честоти при отчитането на нежеланите лекарствени реакции са взети предвид: много чести (≥1/10), чести (≥1/100 до &lt;1/10), нечести (≥1/1 000 до &lt;1/100), редки (≥1/10 000 до &lt;1/1 000), много редки (&lt;1/10 000) и с неизвестна честота (честотата не може да се определи от наличните данни).</w:t>
      </w:r>
    </w:p>
    <w:p w14:paraId="313C5A3B" w14:textId="77777777" w:rsidR="00687C77" w:rsidRPr="00BD48DC" w:rsidRDefault="00687C77" w:rsidP="00687C77">
      <w:pPr>
        <w:spacing w:line="240" w:lineRule="auto"/>
        <w:rPr>
          <w:rFonts w:eastAsia="Times New Roman" w:cs="Arial"/>
          <w:b/>
          <w:bCs/>
          <w:color w:val="000000"/>
          <w:u w:val="single"/>
          <w:lang w:eastAsia="bg-BG"/>
        </w:rPr>
      </w:pPr>
    </w:p>
    <w:p w14:paraId="367C2AAB" w14:textId="14B65089" w:rsidR="00687C77" w:rsidRPr="00687C77" w:rsidRDefault="00687C77" w:rsidP="00687C77">
      <w:pPr>
        <w:spacing w:line="240" w:lineRule="auto"/>
        <w:rPr>
          <w:rFonts w:eastAsia="Times New Roman" w:cs="Arial"/>
          <w:lang w:eastAsia="bg-BG"/>
        </w:rPr>
      </w:pPr>
      <w:r w:rsidRPr="00687C77">
        <w:rPr>
          <w:rFonts w:eastAsia="Times New Roman" w:cs="Arial"/>
          <w:b/>
          <w:bCs/>
          <w:color w:val="000000"/>
          <w:u w:val="single"/>
          <w:lang w:eastAsia="bg-BG"/>
        </w:rPr>
        <w:t>Свързани със спирамицин</w:t>
      </w:r>
    </w:p>
    <w:p w14:paraId="07BCDE7A" w14:textId="77777777" w:rsidR="00687C77" w:rsidRPr="00BD48DC" w:rsidRDefault="00687C77" w:rsidP="00687C77">
      <w:pPr>
        <w:spacing w:line="240" w:lineRule="auto"/>
        <w:rPr>
          <w:rFonts w:eastAsia="Times New Roman" w:cs="Arial"/>
          <w:i/>
          <w:iCs/>
          <w:color w:val="000000"/>
          <w:u w:val="single"/>
          <w:lang w:eastAsia="bg-BG"/>
        </w:rPr>
      </w:pPr>
    </w:p>
    <w:p w14:paraId="547DB18C" w14:textId="735E67B1" w:rsidR="00687C77" w:rsidRPr="00687C77" w:rsidRDefault="00687C77" w:rsidP="00687C77">
      <w:pPr>
        <w:spacing w:line="240" w:lineRule="auto"/>
        <w:rPr>
          <w:rFonts w:eastAsia="Times New Roman" w:cs="Arial"/>
          <w:lang w:eastAsia="bg-BG"/>
        </w:rPr>
      </w:pPr>
      <w:r w:rsidRPr="00687C77">
        <w:rPr>
          <w:rFonts w:eastAsia="Times New Roman" w:cs="Arial"/>
          <w:i/>
          <w:iCs/>
          <w:color w:val="000000"/>
          <w:u w:val="single"/>
          <w:lang w:eastAsia="bg-BG"/>
        </w:rPr>
        <w:t>Нарушения на кръвта и лимфната система</w:t>
      </w:r>
    </w:p>
    <w:p w14:paraId="75112704" w14:textId="77777777" w:rsidR="00687C77" w:rsidRPr="00687C77" w:rsidRDefault="00687C77" w:rsidP="00687C77">
      <w:pPr>
        <w:spacing w:line="240" w:lineRule="auto"/>
        <w:rPr>
          <w:rFonts w:eastAsia="Times New Roman" w:cs="Arial"/>
          <w:lang w:eastAsia="bg-BG"/>
        </w:rPr>
      </w:pPr>
      <w:r w:rsidRPr="00687C77">
        <w:rPr>
          <w:rFonts w:eastAsia="Times New Roman" w:cs="Arial"/>
          <w:i/>
          <w:iCs/>
          <w:color w:val="000000"/>
          <w:lang w:eastAsia="bg-BG"/>
        </w:rPr>
        <w:t>С неизвестна честота</w:t>
      </w:r>
      <w:r w:rsidRPr="00687C77">
        <w:rPr>
          <w:rFonts w:eastAsia="Times New Roman" w:cs="Arial"/>
          <w:color w:val="000000"/>
          <w:lang w:eastAsia="bg-BG"/>
        </w:rPr>
        <w:tab/>
        <w:t>левкопения, неутропения, хемолитична</w:t>
      </w:r>
      <w:r w:rsidRPr="00687C77">
        <w:rPr>
          <w:rFonts w:eastAsia="Times New Roman" w:cs="Arial"/>
          <w:color w:val="000000"/>
          <w:lang w:eastAsia="bg-BG"/>
        </w:rPr>
        <w:tab/>
        <w:t>анемия.</w:t>
      </w:r>
    </w:p>
    <w:p w14:paraId="31DF37CD" w14:textId="77777777" w:rsidR="00687C77" w:rsidRPr="00BD48DC" w:rsidRDefault="00687C77" w:rsidP="00687C77">
      <w:pPr>
        <w:spacing w:line="240" w:lineRule="auto"/>
        <w:rPr>
          <w:rFonts w:eastAsia="Times New Roman" w:cs="Arial"/>
          <w:i/>
          <w:iCs/>
          <w:color w:val="000000"/>
          <w:u w:val="single"/>
          <w:lang w:eastAsia="bg-BG"/>
        </w:rPr>
      </w:pPr>
    </w:p>
    <w:p w14:paraId="2E12B885" w14:textId="73AF9475" w:rsidR="00687C77" w:rsidRPr="00687C77" w:rsidRDefault="00687C77" w:rsidP="00687C77">
      <w:pPr>
        <w:spacing w:line="240" w:lineRule="auto"/>
        <w:rPr>
          <w:rFonts w:eastAsia="Times New Roman" w:cs="Arial"/>
          <w:lang w:eastAsia="bg-BG"/>
        </w:rPr>
      </w:pPr>
      <w:r w:rsidRPr="00687C77">
        <w:rPr>
          <w:rFonts w:eastAsia="Times New Roman" w:cs="Arial"/>
          <w:i/>
          <w:iCs/>
          <w:color w:val="000000"/>
          <w:u w:val="single"/>
          <w:lang w:eastAsia="bg-BG"/>
        </w:rPr>
        <w:t>Нарушения на нервната система</w:t>
      </w:r>
    </w:p>
    <w:p w14:paraId="1F3D87BB" w14:textId="77777777" w:rsidR="00687C77" w:rsidRPr="00687C77" w:rsidRDefault="00687C77" w:rsidP="00687C77">
      <w:pPr>
        <w:spacing w:line="240" w:lineRule="auto"/>
        <w:rPr>
          <w:rFonts w:eastAsia="Times New Roman" w:cs="Arial"/>
          <w:lang w:eastAsia="bg-BG"/>
        </w:rPr>
      </w:pPr>
      <w:r w:rsidRPr="00687C77">
        <w:rPr>
          <w:rFonts w:eastAsia="Times New Roman" w:cs="Arial"/>
          <w:i/>
          <w:iCs/>
          <w:color w:val="000000"/>
          <w:lang w:eastAsia="bg-BG"/>
        </w:rPr>
        <w:t>Много чести</w:t>
      </w:r>
      <w:r w:rsidRPr="00687C77">
        <w:rPr>
          <w:rFonts w:eastAsia="Times New Roman" w:cs="Arial"/>
          <w:color w:val="000000"/>
          <w:lang w:eastAsia="bg-BG"/>
        </w:rPr>
        <w:tab/>
        <w:t>случайни преходни парестезии;</w:t>
      </w:r>
    </w:p>
    <w:p w14:paraId="168CDA5E" w14:textId="77777777" w:rsidR="00687C77" w:rsidRPr="00687C77" w:rsidRDefault="00687C77" w:rsidP="00687C77">
      <w:pPr>
        <w:spacing w:line="240" w:lineRule="auto"/>
        <w:rPr>
          <w:rFonts w:eastAsia="Times New Roman" w:cs="Arial"/>
          <w:lang w:eastAsia="bg-BG"/>
        </w:rPr>
      </w:pPr>
      <w:r w:rsidRPr="00687C77">
        <w:rPr>
          <w:rFonts w:eastAsia="Times New Roman" w:cs="Arial"/>
          <w:i/>
          <w:iCs/>
          <w:color w:val="000000"/>
          <w:lang w:eastAsia="bg-BG"/>
        </w:rPr>
        <w:t>Чести</w:t>
      </w:r>
      <w:r w:rsidRPr="00687C77">
        <w:rPr>
          <w:rFonts w:eastAsia="Times New Roman" w:cs="Arial"/>
          <w:color w:val="000000"/>
          <w:lang w:eastAsia="bg-BG"/>
        </w:rPr>
        <w:tab/>
        <w:t>временна дисгеузия;</w:t>
      </w:r>
    </w:p>
    <w:p w14:paraId="6F17007D" w14:textId="77777777" w:rsidR="00687C77" w:rsidRPr="00BD48DC" w:rsidRDefault="00687C77" w:rsidP="00687C77">
      <w:pPr>
        <w:spacing w:line="240" w:lineRule="auto"/>
        <w:rPr>
          <w:rFonts w:eastAsia="Times New Roman" w:cs="Arial"/>
          <w:i/>
          <w:iCs/>
          <w:color w:val="000000"/>
          <w:u w:val="single"/>
          <w:lang w:eastAsia="bg-BG"/>
        </w:rPr>
      </w:pPr>
    </w:p>
    <w:p w14:paraId="34A1FBED" w14:textId="5B6C9182" w:rsidR="00687C77" w:rsidRPr="00687C77" w:rsidRDefault="00687C77" w:rsidP="00687C77">
      <w:pPr>
        <w:spacing w:line="240" w:lineRule="auto"/>
        <w:rPr>
          <w:rFonts w:eastAsia="Times New Roman" w:cs="Arial"/>
          <w:lang w:eastAsia="bg-BG"/>
        </w:rPr>
      </w:pPr>
      <w:r w:rsidRPr="00687C77">
        <w:rPr>
          <w:rFonts w:eastAsia="Times New Roman" w:cs="Arial"/>
          <w:i/>
          <w:iCs/>
          <w:color w:val="000000"/>
          <w:u w:val="single"/>
          <w:lang w:eastAsia="bg-BG"/>
        </w:rPr>
        <w:t>Сърдечни нарушения</w:t>
      </w:r>
    </w:p>
    <w:p w14:paraId="454A7A48" w14:textId="77777777" w:rsidR="00687C77" w:rsidRPr="00687C77" w:rsidRDefault="00687C77" w:rsidP="00687C77">
      <w:pPr>
        <w:spacing w:line="240" w:lineRule="auto"/>
        <w:rPr>
          <w:rFonts w:eastAsia="Times New Roman" w:cs="Arial"/>
          <w:lang w:eastAsia="bg-BG"/>
        </w:rPr>
      </w:pPr>
      <w:r w:rsidRPr="00687C77">
        <w:rPr>
          <w:rFonts w:eastAsia="Times New Roman" w:cs="Arial"/>
          <w:i/>
          <w:iCs/>
          <w:color w:val="000000"/>
          <w:lang w:eastAsia="bg-BG"/>
        </w:rPr>
        <w:t>С неизвестна честота</w:t>
      </w:r>
      <w:r w:rsidRPr="00687C77">
        <w:rPr>
          <w:rFonts w:eastAsia="Times New Roman" w:cs="Arial"/>
          <w:color w:val="000000"/>
          <w:lang w:eastAsia="bg-BG"/>
        </w:rPr>
        <w:t xml:space="preserve"> удължен </w:t>
      </w:r>
      <w:r w:rsidRPr="00687C77">
        <w:rPr>
          <w:rFonts w:eastAsia="Times New Roman" w:cs="Arial"/>
          <w:color w:val="000000"/>
          <w:lang w:val="en-US"/>
        </w:rPr>
        <w:t xml:space="preserve">QT </w:t>
      </w:r>
      <w:r w:rsidRPr="00687C77">
        <w:rPr>
          <w:rFonts w:eastAsia="Times New Roman" w:cs="Arial"/>
          <w:color w:val="000000"/>
          <w:lang w:eastAsia="bg-BG"/>
        </w:rPr>
        <w:t xml:space="preserve">интервал, вентрикуларна аритмия, вентрикуларна тахикардия, </w:t>
      </w:r>
      <w:proofErr w:type="spellStart"/>
      <w:r w:rsidRPr="00687C77">
        <w:rPr>
          <w:rFonts w:eastAsia="Times New Roman" w:cs="Arial"/>
          <w:color w:val="000000"/>
          <w:lang w:val="en-US"/>
        </w:rPr>
        <w:t>torsades</w:t>
      </w:r>
      <w:proofErr w:type="spellEnd"/>
      <w:r w:rsidRPr="00687C77">
        <w:rPr>
          <w:rFonts w:eastAsia="Times New Roman" w:cs="Arial"/>
          <w:color w:val="000000"/>
          <w:lang w:val="en-US"/>
        </w:rPr>
        <w:t xml:space="preserve"> de pointes, </w:t>
      </w:r>
      <w:r w:rsidRPr="00687C77">
        <w:rPr>
          <w:rFonts w:eastAsia="Times New Roman" w:cs="Arial"/>
          <w:color w:val="000000"/>
          <w:lang w:eastAsia="bg-BG"/>
        </w:rPr>
        <w:t>които могат да доведат до сърдечен арест.</w:t>
      </w:r>
    </w:p>
    <w:p w14:paraId="5F540997" w14:textId="77777777" w:rsidR="00687C77" w:rsidRPr="00BD48DC" w:rsidRDefault="00687C77" w:rsidP="00687C77">
      <w:pPr>
        <w:spacing w:line="240" w:lineRule="auto"/>
        <w:rPr>
          <w:rFonts w:eastAsia="Times New Roman" w:cs="Arial"/>
          <w:i/>
          <w:iCs/>
          <w:color w:val="000000"/>
          <w:u w:val="single"/>
          <w:lang w:eastAsia="bg-BG"/>
        </w:rPr>
      </w:pPr>
    </w:p>
    <w:p w14:paraId="5541E50F" w14:textId="607ABA90" w:rsidR="00687C77" w:rsidRPr="00687C77" w:rsidRDefault="00687C77" w:rsidP="00687C77">
      <w:pPr>
        <w:spacing w:line="240" w:lineRule="auto"/>
        <w:rPr>
          <w:rFonts w:eastAsia="Times New Roman" w:cs="Arial"/>
          <w:lang w:eastAsia="bg-BG"/>
        </w:rPr>
      </w:pPr>
      <w:r w:rsidRPr="00687C77">
        <w:rPr>
          <w:rFonts w:eastAsia="Times New Roman" w:cs="Arial"/>
          <w:i/>
          <w:iCs/>
          <w:color w:val="000000"/>
          <w:u w:val="single"/>
          <w:lang w:eastAsia="bg-BG"/>
        </w:rPr>
        <w:t>Стомашно-чревни нарушения</w:t>
      </w:r>
    </w:p>
    <w:p w14:paraId="5BFD6689" w14:textId="77777777" w:rsidR="00687C77" w:rsidRPr="00687C77" w:rsidRDefault="00687C77" w:rsidP="00687C77">
      <w:pPr>
        <w:spacing w:line="240" w:lineRule="auto"/>
        <w:rPr>
          <w:rFonts w:eastAsia="Times New Roman" w:cs="Arial"/>
          <w:lang w:eastAsia="bg-BG"/>
        </w:rPr>
      </w:pPr>
      <w:r w:rsidRPr="00687C77">
        <w:rPr>
          <w:rFonts w:eastAsia="Times New Roman" w:cs="Arial"/>
          <w:i/>
          <w:iCs/>
          <w:color w:val="000000"/>
          <w:lang w:eastAsia="bg-BG"/>
        </w:rPr>
        <w:t>Чести</w:t>
      </w:r>
      <w:r w:rsidRPr="00687C77">
        <w:rPr>
          <w:rFonts w:eastAsia="Times New Roman" w:cs="Arial"/>
          <w:color w:val="000000"/>
          <w:lang w:eastAsia="bg-BG"/>
        </w:rPr>
        <w:tab/>
        <w:t>стомашна болка, гадене, повръщане, епигастрална болка, диария.</w:t>
      </w:r>
    </w:p>
    <w:p w14:paraId="235379CD" w14:textId="77777777" w:rsidR="00687C77" w:rsidRPr="00687C77" w:rsidRDefault="00687C77" w:rsidP="00687C77">
      <w:pPr>
        <w:spacing w:line="240" w:lineRule="auto"/>
        <w:rPr>
          <w:rFonts w:eastAsia="Times New Roman" w:cs="Arial"/>
          <w:lang w:eastAsia="bg-BG"/>
        </w:rPr>
      </w:pPr>
      <w:r w:rsidRPr="00687C77">
        <w:rPr>
          <w:rFonts w:eastAsia="Times New Roman" w:cs="Arial"/>
          <w:i/>
          <w:iCs/>
          <w:color w:val="000000"/>
          <w:lang w:eastAsia="bg-BG"/>
        </w:rPr>
        <w:t>Много редки</w:t>
      </w:r>
      <w:r w:rsidRPr="00687C77">
        <w:rPr>
          <w:rFonts w:eastAsia="Times New Roman" w:cs="Arial"/>
          <w:color w:val="000000"/>
          <w:lang w:eastAsia="bg-BG"/>
        </w:rPr>
        <w:tab/>
        <w:t>псевдомембранозен колит.</w:t>
      </w:r>
    </w:p>
    <w:p w14:paraId="59A694B8" w14:textId="77777777" w:rsidR="00687C77" w:rsidRPr="00BD48DC" w:rsidRDefault="00687C77" w:rsidP="00687C77">
      <w:pPr>
        <w:spacing w:line="240" w:lineRule="auto"/>
        <w:rPr>
          <w:rFonts w:eastAsia="Times New Roman" w:cs="Arial"/>
          <w:i/>
          <w:iCs/>
          <w:color w:val="000000"/>
          <w:u w:val="single"/>
          <w:lang w:eastAsia="bg-BG"/>
        </w:rPr>
      </w:pPr>
    </w:p>
    <w:p w14:paraId="547473C1" w14:textId="3600D98C" w:rsidR="00687C77" w:rsidRPr="00687C77" w:rsidRDefault="00687C77" w:rsidP="00687C77">
      <w:pPr>
        <w:spacing w:line="240" w:lineRule="auto"/>
        <w:rPr>
          <w:rFonts w:eastAsia="Times New Roman" w:cs="Arial"/>
          <w:lang w:eastAsia="bg-BG"/>
        </w:rPr>
      </w:pPr>
      <w:r w:rsidRPr="00687C77">
        <w:rPr>
          <w:rFonts w:eastAsia="Times New Roman" w:cs="Arial"/>
          <w:i/>
          <w:iCs/>
          <w:color w:val="000000"/>
          <w:u w:val="single"/>
          <w:lang w:eastAsia="bg-BG"/>
        </w:rPr>
        <w:t>Хепатобилиарни нарушения</w:t>
      </w:r>
    </w:p>
    <w:p w14:paraId="77A04F83" w14:textId="7C9E7D61" w:rsidR="00687C77" w:rsidRPr="00BD48DC" w:rsidRDefault="00687C77" w:rsidP="00687C77">
      <w:pPr>
        <w:spacing w:line="240" w:lineRule="auto"/>
        <w:rPr>
          <w:rFonts w:eastAsia="Times New Roman" w:cs="Arial"/>
          <w:lang w:eastAsia="bg-BG"/>
        </w:rPr>
      </w:pPr>
      <w:r w:rsidRPr="00687C77">
        <w:rPr>
          <w:rFonts w:eastAsia="Times New Roman" w:cs="Arial"/>
          <w:i/>
          <w:iCs/>
          <w:color w:val="000000"/>
          <w:lang w:eastAsia="bg-BG"/>
        </w:rPr>
        <w:t>Много чести</w:t>
      </w:r>
      <w:r w:rsidRPr="00687C77">
        <w:rPr>
          <w:rFonts w:eastAsia="Times New Roman" w:cs="Arial"/>
          <w:color w:val="000000"/>
          <w:lang w:eastAsia="bg-BG"/>
        </w:rPr>
        <w:tab/>
        <w:t>отклонения в резултатите от изследването на чернодробната</w:t>
      </w:r>
      <w:r w:rsidRPr="00BD48DC">
        <w:rPr>
          <w:rFonts w:eastAsia="Times New Roman" w:cs="Arial"/>
          <w:lang w:eastAsia="bg-BG"/>
        </w:rPr>
        <w:t xml:space="preserve"> </w:t>
      </w:r>
      <w:r w:rsidRPr="00687C77">
        <w:rPr>
          <w:rFonts w:eastAsia="Times New Roman" w:cs="Arial"/>
          <w:color w:val="000000"/>
          <w:lang w:eastAsia="bg-BG"/>
        </w:rPr>
        <w:t xml:space="preserve">функция </w:t>
      </w:r>
    </w:p>
    <w:p w14:paraId="441EE539" w14:textId="7213AB52" w:rsidR="00687C77" w:rsidRPr="00687C77" w:rsidRDefault="00687C77" w:rsidP="00687C77">
      <w:pPr>
        <w:spacing w:line="240" w:lineRule="auto"/>
        <w:rPr>
          <w:rFonts w:eastAsia="Times New Roman" w:cs="Arial"/>
          <w:lang w:eastAsia="bg-BG"/>
        </w:rPr>
      </w:pPr>
      <w:r w:rsidRPr="00687C77">
        <w:rPr>
          <w:rFonts w:eastAsia="Times New Roman" w:cs="Arial"/>
          <w:i/>
          <w:iCs/>
          <w:color w:val="000000"/>
          <w:lang w:eastAsia="bg-BG"/>
        </w:rPr>
        <w:t>С неизвестна честота</w:t>
      </w:r>
      <w:r w:rsidRPr="00687C77">
        <w:rPr>
          <w:rFonts w:eastAsia="Times New Roman" w:cs="Arial"/>
          <w:color w:val="000000"/>
          <w:lang w:eastAsia="bg-BG"/>
        </w:rPr>
        <w:tab/>
        <w:t>холестатични/смесени хепатити.</w:t>
      </w:r>
    </w:p>
    <w:p w14:paraId="43822008" w14:textId="77777777" w:rsidR="00687C77" w:rsidRPr="00BD48DC" w:rsidRDefault="00687C77" w:rsidP="00687C77">
      <w:pPr>
        <w:spacing w:line="240" w:lineRule="auto"/>
        <w:rPr>
          <w:rFonts w:eastAsia="Times New Roman" w:cs="Arial"/>
          <w:i/>
          <w:iCs/>
          <w:color w:val="000000"/>
          <w:u w:val="single"/>
          <w:lang w:eastAsia="bg-BG"/>
        </w:rPr>
      </w:pPr>
    </w:p>
    <w:p w14:paraId="704C9B3D" w14:textId="66A42DE9" w:rsidR="00687C77" w:rsidRPr="00687C77" w:rsidRDefault="00687C77" w:rsidP="00687C77">
      <w:pPr>
        <w:spacing w:line="240" w:lineRule="auto"/>
        <w:rPr>
          <w:rFonts w:eastAsia="Times New Roman" w:cs="Arial"/>
          <w:lang w:eastAsia="bg-BG"/>
        </w:rPr>
      </w:pPr>
      <w:r w:rsidRPr="00687C77">
        <w:rPr>
          <w:rFonts w:eastAsia="Times New Roman" w:cs="Arial"/>
          <w:i/>
          <w:iCs/>
          <w:color w:val="000000"/>
          <w:u w:val="single"/>
          <w:lang w:eastAsia="bg-BG"/>
        </w:rPr>
        <w:t>Нарушения на кожата и подкожната тъкан</w:t>
      </w:r>
    </w:p>
    <w:p w14:paraId="45EC63B4" w14:textId="77777777" w:rsidR="00687C77" w:rsidRPr="00687C77" w:rsidRDefault="00687C77" w:rsidP="00687C77">
      <w:pPr>
        <w:spacing w:line="240" w:lineRule="auto"/>
        <w:rPr>
          <w:rFonts w:eastAsia="Times New Roman" w:cs="Arial"/>
          <w:lang w:eastAsia="bg-BG"/>
        </w:rPr>
      </w:pPr>
      <w:r w:rsidRPr="00687C77">
        <w:rPr>
          <w:rFonts w:eastAsia="Times New Roman" w:cs="Arial"/>
          <w:i/>
          <w:iCs/>
          <w:color w:val="000000"/>
          <w:lang w:eastAsia="bg-BG"/>
        </w:rPr>
        <w:t>Чести</w:t>
      </w:r>
      <w:r w:rsidRPr="00687C77">
        <w:rPr>
          <w:rFonts w:eastAsia="Times New Roman" w:cs="Arial"/>
          <w:color w:val="000000"/>
          <w:lang w:eastAsia="bg-BG"/>
        </w:rPr>
        <w:tab/>
        <w:t>обриви</w:t>
      </w:r>
    </w:p>
    <w:p w14:paraId="18B9C3A4" w14:textId="77777777" w:rsidR="00687C77" w:rsidRPr="00687C77" w:rsidRDefault="00687C77" w:rsidP="00687C77">
      <w:pPr>
        <w:spacing w:line="240" w:lineRule="auto"/>
        <w:rPr>
          <w:rFonts w:eastAsia="Times New Roman" w:cs="Arial"/>
          <w:lang w:eastAsia="bg-BG"/>
        </w:rPr>
      </w:pPr>
      <w:r w:rsidRPr="00687C77">
        <w:rPr>
          <w:rFonts w:eastAsia="Times New Roman" w:cs="Arial"/>
          <w:i/>
          <w:iCs/>
          <w:color w:val="000000"/>
          <w:lang w:eastAsia="bg-BG"/>
        </w:rPr>
        <w:t>С неизвестна честота</w:t>
      </w:r>
      <w:r w:rsidRPr="00687C77">
        <w:rPr>
          <w:rFonts w:eastAsia="Times New Roman" w:cs="Arial"/>
          <w:color w:val="000000"/>
          <w:lang w:eastAsia="bg-BG"/>
        </w:rPr>
        <w:t xml:space="preserve"> уртикария, пруритус, оток на Квинке, ангиоедем, анафилактичен шок, синдром на Стивънс-Джонсън, токсична епидермална некролиза, остра генерализирана екзантематозна пустулоза </w:t>
      </w:r>
      <w:r w:rsidRPr="00687C77">
        <w:rPr>
          <w:rFonts w:eastAsia="Times New Roman" w:cs="Arial"/>
          <w:color w:val="000000"/>
          <w:lang w:val="en-US"/>
        </w:rPr>
        <w:t xml:space="preserve">(AGEP) </w:t>
      </w:r>
      <w:r w:rsidRPr="00687C77">
        <w:rPr>
          <w:rFonts w:eastAsia="Times New Roman" w:cs="Arial"/>
          <w:color w:val="000000"/>
          <w:lang w:eastAsia="bg-BG"/>
        </w:rPr>
        <w:t>(вж. точка 4.4).</w:t>
      </w:r>
    </w:p>
    <w:p w14:paraId="26B7FB9D" w14:textId="77777777" w:rsidR="00687C77" w:rsidRPr="00BD48DC" w:rsidRDefault="00687C77" w:rsidP="00687C77">
      <w:pPr>
        <w:spacing w:line="240" w:lineRule="auto"/>
        <w:rPr>
          <w:rFonts w:eastAsia="Times New Roman" w:cs="Arial"/>
          <w:b/>
          <w:bCs/>
          <w:color w:val="000000"/>
          <w:u w:val="single"/>
          <w:lang w:eastAsia="bg-BG"/>
        </w:rPr>
      </w:pPr>
    </w:p>
    <w:p w14:paraId="2993167D" w14:textId="673CE8B3" w:rsidR="00687C77" w:rsidRPr="00687C77" w:rsidRDefault="00687C77" w:rsidP="00687C77">
      <w:pPr>
        <w:spacing w:line="240" w:lineRule="auto"/>
        <w:rPr>
          <w:rFonts w:eastAsia="Times New Roman" w:cs="Arial"/>
          <w:lang w:eastAsia="bg-BG"/>
        </w:rPr>
      </w:pPr>
      <w:r w:rsidRPr="00687C77">
        <w:rPr>
          <w:rFonts w:eastAsia="Times New Roman" w:cs="Arial"/>
          <w:b/>
          <w:bCs/>
          <w:color w:val="000000"/>
          <w:u w:val="single"/>
          <w:lang w:eastAsia="bg-BG"/>
        </w:rPr>
        <w:t>Свързани с метронидазол</w:t>
      </w:r>
    </w:p>
    <w:p w14:paraId="586EEF56" w14:textId="77777777" w:rsidR="00687C77" w:rsidRPr="00BD48DC" w:rsidRDefault="00687C77" w:rsidP="00687C77">
      <w:pPr>
        <w:spacing w:line="240" w:lineRule="auto"/>
        <w:rPr>
          <w:rFonts w:eastAsia="Times New Roman" w:cs="Arial"/>
          <w:i/>
          <w:iCs/>
          <w:color w:val="000000"/>
          <w:u w:val="single"/>
          <w:lang w:eastAsia="bg-BG"/>
        </w:rPr>
      </w:pPr>
    </w:p>
    <w:p w14:paraId="0AD27DD3" w14:textId="7B3C6EAD" w:rsidR="00687C77" w:rsidRPr="00687C77" w:rsidRDefault="00687C77" w:rsidP="00687C77">
      <w:pPr>
        <w:spacing w:line="240" w:lineRule="auto"/>
        <w:rPr>
          <w:rFonts w:eastAsia="Times New Roman" w:cs="Arial"/>
          <w:lang w:eastAsia="bg-BG"/>
        </w:rPr>
      </w:pPr>
      <w:r w:rsidRPr="00687C77">
        <w:rPr>
          <w:rFonts w:eastAsia="Times New Roman" w:cs="Arial"/>
          <w:i/>
          <w:iCs/>
          <w:color w:val="000000"/>
          <w:u w:val="single"/>
          <w:lang w:eastAsia="bg-BG"/>
        </w:rPr>
        <w:t>Нарушения на кръвта и лимфната система</w:t>
      </w:r>
    </w:p>
    <w:p w14:paraId="4831B4E9" w14:textId="77777777" w:rsidR="00687C77" w:rsidRPr="00687C77" w:rsidRDefault="00687C77" w:rsidP="00687C77">
      <w:pPr>
        <w:spacing w:line="240" w:lineRule="auto"/>
        <w:rPr>
          <w:rFonts w:eastAsia="Times New Roman" w:cs="Arial"/>
          <w:lang w:eastAsia="bg-BG"/>
        </w:rPr>
      </w:pPr>
      <w:r w:rsidRPr="00687C77">
        <w:rPr>
          <w:rFonts w:eastAsia="Times New Roman" w:cs="Arial"/>
          <w:i/>
          <w:iCs/>
          <w:color w:val="000000"/>
          <w:lang w:eastAsia="bg-BG"/>
        </w:rPr>
        <w:t>С неизвестна честота</w:t>
      </w:r>
      <w:r w:rsidRPr="00687C77">
        <w:rPr>
          <w:rFonts w:eastAsia="Times New Roman" w:cs="Arial"/>
          <w:color w:val="000000"/>
          <w:lang w:eastAsia="bg-BG"/>
        </w:rPr>
        <w:t xml:space="preserve"> неутропения, агранулоцитоза, тромбоцитопения.</w:t>
      </w:r>
    </w:p>
    <w:p w14:paraId="6F572105" w14:textId="77777777" w:rsidR="00687C77" w:rsidRPr="00BD48DC" w:rsidRDefault="00687C77" w:rsidP="00687C77">
      <w:pPr>
        <w:spacing w:line="240" w:lineRule="auto"/>
        <w:rPr>
          <w:rFonts w:eastAsia="Times New Roman" w:cs="Arial"/>
          <w:i/>
          <w:iCs/>
          <w:color w:val="000000"/>
          <w:u w:val="single"/>
          <w:lang w:eastAsia="bg-BG"/>
        </w:rPr>
      </w:pPr>
    </w:p>
    <w:p w14:paraId="35F61D65" w14:textId="32E0A643" w:rsidR="00687C77" w:rsidRPr="00687C77" w:rsidRDefault="00687C77" w:rsidP="00687C77">
      <w:pPr>
        <w:spacing w:line="240" w:lineRule="auto"/>
        <w:rPr>
          <w:rFonts w:eastAsia="Times New Roman" w:cs="Arial"/>
          <w:lang w:eastAsia="bg-BG"/>
        </w:rPr>
      </w:pPr>
      <w:r w:rsidRPr="00687C77">
        <w:rPr>
          <w:rFonts w:eastAsia="Times New Roman" w:cs="Arial"/>
          <w:i/>
          <w:iCs/>
          <w:color w:val="000000"/>
          <w:u w:val="single"/>
          <w:lang w:eastAsia="bg-BG"/>
        </w:rPr>
        <w:t>Психични нарушения</w:t>
      </w:r>
    </w:p>
    <w:p w14:paraId="3DD281DC" w14:textId="77777777" w:rsidR="00687C77" w:rsidRPr="00687C77" w:rsidRDefault="00687C77" w:rsidP="00687C77">
      <w:pPr>
        <w:spacing w:line="240" w:lineRule="auto"/>
        <w:rPr>
          <w:rFonts w:eastAsia="Times New Roman" w:cs="Arial"/>
          <w:lang w:eastAsia="bg-BG"/>
        </w:rPr>
      </w:pPr>
      <w:r w:rsidRPr="00687C77">
        <w:rPr>
          <w:rFonts w:eastAsia="Times New Roman" w:cs="Arial"/>
          <w:i/>
          <w:iCs/>
          <w:color w:val="000000"/>
          <w:lang w:eastAsia="bg-BG"/>
        </w:rPr>
        <w:t>С неизвестна честота</w:t>
      </w:r>
      <w:r w:rsidRPr="00687C77">
        <w:rPr>
          <w:rFonts w:eastAsia="Times New Roman" w:cs="Arial"/>
          <w:color w:val="000000"/>
          <w:lang w:eastAsia="bg-BG"/>
        </w:rPr>
        <w:t xml:space="preserve"> халюцинации, психични реакции с параноя и/или</w:t>
      </w:r>
    </w:p>
    <w:p w14:paraId="4FCCAA6A"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възможно в някои изолирани случаи мисли или опити за самоубийство (вж. точка 4.4),</w:t>
      </w:r>
    </w:p>
    <w:p w14:paraId="79B28802" w14:textId="77777777" w:rsidR="00687C77" w:rsidRPr="00687C77" w:rsidRDefault="00687C77" w:rsidP="00687C77">
      <w:pPr>
        <w:spacing w:line="240" w:lineRule="auto"/>
        <w:rPr>
          <w:rFonts w:eastAsia="Times New Roman" w:cs="Arial"/>
          <w:lang w:eastAsia="bg-BG"/>
        </w:rPr>
      </w:pPr>
      <w:r w:rsidRPr="00687C77">
        <w:rPr>
          <w:rFonts w:eastAsia="Times New Roman" w:cs="Arial"/>
          <w:color w:val="000000"/>
          <w:lang w:eastAsia="bg-BG"/>
        </w:rPr>
        <w:t>депресивни настроения.</w:t>
      </w:r>
    </w:p>
    <w:p w14:paraId="5118BD52" w14:textId="77777777" w:rsidR="00687C77" w:rsidRPr="00687C77" w:rsidRDefault="00687C77" w:rsidP="00687C77">
      <w:pPr>
        <w:spacing w:line="240" w:lineRule="auto"/>
        <w:rPr>
          <w:rFonts w:eastAsia="Times New Roman" w:cs="Arial"/>
          <w:lang w:eastAsia="bg-BG"/>
        </w:rPr>
      </w:pPr>
    </w:p>
    <w:p w14:paraId="3D23D1B9" w14:textId="77777777" w:rsidR="00687C77" w:rsidRPr="00687C77" w:rsidRDefault="00687C77" w:rsidP="00687C77">
      <w:pPr>
        <w:spacing w:line="240" w:lineRule="auto"/>
        <w:rPr>
          <w:rFonts w:eastAsia="Times New Roman" w:cs="Arial"/>
          <w:lang w:eastAsia="bg-BG"/>
        </w:rPr>
      </w:pPr>
      <w:r w:rsidRPr="00687C77">
        <w:rPr>
          <w:rFonts w:eastAsia="Times New Roman" w:cs="Arial"/>
          <w:i/>
          <w:iCs/>
          <w:color w:val="000000"/>
          <w:u w:val="single"/>
          <w:lang w:eastAsia="bg-BG"/>
        </w:rPr>
        <w:t>Нарушения на нервната система</w:t>
      </w:r>
    </w:p>
    <w:p w14:paraId="2231855E" w14:textId="77777777" w:rsidR="00687C77" w:rsidRPr="00687C77" w:rsidRDefault="00687C77" w:rsidP="00687C77">
      <w:pPr>
        <w:spacing w:line="240" w:lineRule="auto"/>
        <w:rPr>
          <w:rFonts w:eastAsia="Times New Roman" w:cs="Arial"/>
          <w:lang w:eastAsia="bg-BG"/>
        </w:rPr>
      </w:pPr>
      <w:r w:rsidRPr="00687C77">
        <w:rPr>
          <w:rFonts w:eastAsia="Times New Roman" w:cs="Arial"/>
          <w:i/>
          <w:iCs/>
          <w:color w:val="000000"/>
          <w:lang w:eastAsia="bg-BG"/>
        </w:rPr>
        <w:t>С неизвестна честота</w:t>
      </w:r>
      <w:r w:rsidRPr="00687C77">
        <w:rPr>
          <w:rFonts w:eastAsia="Times New Roman" w:cs="Arial"/>
          <w:color w:val="000000"/>
          <w:lang w:eastAsia="bg-BG"/>
        </w:rPr>
        <w:t xml:space="preserve"> периферна сензорна невропатия; главоболие; замайване;</w:t>
      </w:r>
    </w:p>
    <w:p w14:paraId="23F168B0" w14:textId="77777777" w:rsidR="00BD48DC" w:rsidRPr="00BD48DC" w:rsidRDefault="00687C77" w:rsidP="00BD48DC">
      <w:pPr>
        <w:rPr>
          <w:rFonts w:eastAsia="Times New Roman" w:cs="Arial"/>
          <w:lang w:eastAsia="bg-BG"/>
        </w:rPr>
      </w:pPr>
      <w:r w:rsidRPr="00BD48DC">
        <w:rPr>
          <w:rFonts w:eastAsia="Times New Roman" w:cs="Arial"/>
          <w:color w:val="000000"/>
          <w:lang w:eastAsia="bg-BG"/>
        </w:rPr>
        <w:t xml:space="preserve">обърканост; припадъци; енцефалопатия с </w:t>
      </w:r>
      <w:r w:rsidRPr="00BD48DC">
        <w:rPr>
          <w:rFonts w:eastAsia="Times New Roman" w:cs="Arial"/>
          <w:color w:val="000000"/>
          <w:lang w:val="en-US"/>
        </w:rPr>
        <w:t xml:space="preserve">MRI </w:t>
      </w:r>
      <w:r w:rsidRPr="00BD48DC">
        <w:rPr>
          <w:rFonts w:eastAsia="Times New Roman" w:cs="Arial"/>
          <w:color w:val="000000"/>
          <w:lang w:eastAsia="bg-BG"/>
        </w:rPr>
        <w:t>промени, които са обратими при</w:t>
      </w:r>
      <w:r w:rsidR="00BD48DC" w:rsidRPr="00BD48DC">
        <w:rPr>
          <w:rFonts w:eastAsia="Times New Roman" w:cs="Arial"/>
          <w:color w:val="000000"/>
          <w:lang w:eastAsia="bg-BG"/>
        </w:rPr>
        <w:t xml:space="preserve"> преустановяване на употребата. Съобщавани са много редки случаи с фатален изход (вж. „Специални предупреждения и предпазни мерки при употреба“); подостър церебеларен синдром (напр. атаксия, дизартрия, нарушена походка, нистагъм и тремор) (вж. точка </w:t>
      </w:r>
      <w:r w:rsidR="00BD48DC" w:rsidRPr="00BD48DC">
        <w:rPr>
          <w:rFonts w:eastAsia="Times New Roman" w:cs="Arial"/>
          <w:i/>
          <w:iCs/>
          <w:color w:val="000000"/>
          <w:lang w:eastAsia="bg-BG"/>
        </w:rPr>
        <w:t xml:space="preserve">4.4); </w:t>
      </w:r>
      <w:r w:rsidR="00BD48DC" w:rsidRPr="00BD48DC">
        <w:rPr>
          <w:rFonts w:eastAsia="Times New Roman" w:cs="Arial"/>
          <w:color w:val="000000"/>
          <w:lang w:eastAsia="bg-BG"/>
        </w:rPr>
        <w:t>асептичен менингит (вж. „Специални предупреждения и предпазни мерки при употреба“).</w:t>
      </w:r>
    </w:p>
    <w:p w14:paraId="419F6979" w14:textId="77777777" w:rsidR="00BD48DC" w:rsidRPr="00BD48DC" w:rsidRDefault="00BD48DC" w:rsidP="00BD48DC">
      <w:pPr>
        <w:spacing w:line="240" w:lineRule="auto"/>
        <w:rPr>
          <w:rFonts w:eastAsia="Times New Roman" w:cs="Arial"/>
          <w:i/>
          <w:iCs/>
          <w:color w:val="000000"/>
          <w:u w:val="single"/>
          <w:lang w:eastAsia="bg-BG"/>
        </w:rPr>
      </w:pPr>
    </w:p>
    <w:p w14:paraId="7F49F5C9" w14:textId="3BDDA8BF" w:rsidR="00BD48DC" w:rsidRPr="00BD48DC" w:rsidRDefault="00BD48DC" w:rsidP="00BD48DC">
      <w:pPr>
        <w:spacing w:line="240" w:lineRule="auto"/>
        <w:rPr>
          <w:rFonts w:eastAsia="Times New Roman" w:cs="Arial"/>
          <w:lang w:eastAsia="bg-BG"/>
        </w:rPr>
      </w:pPr>
      <w:r w:rsidRPr="00BD48DC">
        <w:rPr>
          <w:rFonts w:eastAsia="Times New Roman" w:cs="Arial"/>
          <w:i/>
          <w:iCs/>
          <w:color w:val="000000"/>
          <w:u w:val="single"/>
          <w:lang w:eastAsia="bg-BG"/>
        </w:rPr>
        <w:t>Нарушения на очитпе</w:t>
      </w:r>
    </w:p>
    <w:p w14:paraId="536715A8" w14:textId="77777777" w:rsidR="00BD48DC" w:rsidRPr="00BD48DC" w:rsidRDefault="00BD48DC" w:rsidP="00BD48DC">
      <w:pPr>
        <w:spacing w:line="240" w:lineRule="auto"/>
        <w:rPr>
          <w:rFonts w:eastAsia="Times New Roman" w:cs="Arial"/>
          <w:lang w:eastAsia="bg-BG"/>
        </w:rPr>
      </w:pPr>
      <w:r w:rsidRPr="00BD48DC">
        <w:rPr>
          <w:rFonts w:eastAsia="Times New Roman" w:cs="Arial"/>
          <w:i/>
          <w:iCs/>
          <w:color w:val="000000"/>
          <w:lang w:eastAsia="bg-BG"/>
        </w:rPr>
        <w:t>С неизвестна честота</w:t>
      </w:r>
      <w:r w:rsidRPr="00BD48DC">
        <w:rPr>
          <w:rFonts w:eastAsia="Times New Roman" w:cs="Arial"/>
          <w:color w:val="000000"/>
          <w:lang w:eastAsia="bg-BG"/>
        </w:rPr>
        <w:t xml:space="preserve"> преходни зрителни нарушения, като двойно виждане, късогледство, замъглено зрение, намалена зрителна острота, промени в цветното зрение; оптична невропатия/неврит.</w:t>
      </w:r>
    </w:p>
    <w:p w14:paraId="2A4889DD" w14:textId="77777777" w:rsidR="00BD48DC" w:rsidRPr="00BD48DC" w:rsidRDefault="00BD48DC" w:rsidP="00BD48DC">
      <w:pPr>
        <w:spacing w:line="240" w:lineRule="auto"/>
        <w:rPr>
          <w:rFonts w:eastAsia="Times New Roman" w:cs="Arial"/>
          <w:i/>
          <w:iCs/>
          <w:color w:val="000000"/>
          <w:u w:val="single"/>
          <w:lang w:eastAsia="bg-BG"/>
        </w:rPr>
      </w:pPr>
    </w:p>
    <w:p w14:paraId="34B6AEC4" w14:textId="5EA63B94" w:rsidR="00BD48DC" w:rsidRPr="00BD48DC" w:rsidRDefault="00BD48DC" w:rsidP="00BD48DC">
      <w:pPr>
        <w:spacing w:line="240" w:lineRule="auto"/>
        <w:rPr>
          <w:rFonts w:eastAsia="Times New Roman" w:cs="Arial"/>
          <w:lang w:eastAsia="bg-BG"/>
        </w:rPr>
      </w:pPr>
      <w:r w:rsidRPr="00BD48DC">
        <w:rPr>
          <w:rFonts w:eastAsia="Times New Roman" w:cs="Arial"/>
          <w:i/>
          <w:iCs/>
          <w:color w:val="000000"/>
          <w:u w:val="single"/>
          <w:lang w:eastAsia="bg-BG"/>
        </w:rPr>
        <w:t>Стомашно-чревни нарушения</w:t>
      </w:r>
    </w:p>
    <w:p w14:paraId="5F5B5BC9" w14:textId="77777777" w:rsidR="00BD48DC" w:rsidRPr="00BD48DC" w:rsidRDefault="00BD48DC" w:rsidP="00BD48DC">
      <w:pPr>
        <w:spacing w:line="240" w:lineRule="auto"/>
        <w:rPr>
          <w:rFonts w:eastAsia="Times New Roman" w:cs="Arial"/>
          <w:lang w:eastAsia="bg-BG"/>
        </w:rPr>
      </w:pPr>
      <w:r w:rsidRPr="00BD48DC">
        <w:rPr>
          <w:rFonts w:eastAsia="Times New Roman" w:cs="Arial"/>
          <w:i/>
          <w:iCs/>
          <w:color w:val="000000"/>
          <w:lang w:eastAsia="bg-BG"/>
        </w:rPr>
        <w:t>С неизвестна честота</w:t>
      </w:r>
      <w:r w:rsidRPr="00BD48DC">
        <w:rPr>
          <w:rFonts w:eastAsia="Times New Roman" w:cs="Arial"/>
          <w:color w:val="000000"/>
          <w:lang w:eastAsia="bg-BG"/>
        </w:rPr>
        <w:t xml:space="preserve"> епигастрална болка, гадене, повръщане, диария; глосит с чувство на сухота в устата, стоматити, вкусови нарушения, анорексия; обратими случаи на панкреатит; обезцветяване на езика или промени във вида му (гъбички инфекции).</w:t>
      </w:r>
    </w:p>
    <w:p w14:paraId="0F3E288C" w14:textId="77777777" w:rsidR="00BD48DC" w:rsidRPr="00BD48DC" w:rsidRDefault="00BD48DC" w:rsidP="00BD48DC">
      <w:pPr>
        <w:spacing w:line="240" w:lineRule="auto"/>
        <w:rPr>
          <w:rFonts w:eastAsia="Times New Roman" w:cs="Arial"/>
          <w:i/>
          <w:iCs/>
          <w:color w:val="000000"/>
          <w:u w:val="single"/>
          <w:lang w:eastAsia="bg-BG"/>
        </w:rPr>
      </w:pPr>
    </w:p>
    <w:p w14:paraId="4EDD0BE7" w14:textId="62A92D5D" w:rsidR="00BD48DC" w:rsidRPr="00BD48DC" w:rsidRDefault="00BD48DC" w:rsidP="00BD48DC">
      <w:pPr>
        <w:spacing w:line="240" w:lineRule="auto"/>
        <w:rPr>
          <w:rFonts w:eastAsia="Times New Roman" w:cs="Arial"/>
          <w:lang w:eastAsia="bg-BG"/>
        </w:rPr>
      </w:pPr>
      <w:r w:rsidRPr="00BD48DC">
        <w:rPr>
          <w:rFonts w:eastAsia="Times New Roman" w:cs="Arial"/>
          <w:i/>
          <w:iCs/>
          <w:color w:val="000000"/>
          <w:u w:val="single"/>
          <w:lang w:eastAsia="bg-BG"/>
        </w:rPr>
        <w:t>Хепатобилиарни нарушения</w:t>
      </w:r>
    </w:p>
    <w:p w14:paraId="111E8D9D" w14:textId="77777777" w:rsidR="00BD48DC" w:rsidRPr="00BD48DC" w:rsidRDefault="00BD48DC" w:rsidP="00BD48DC">
      <w:pPr>
        <w:spacing w:line="240" w:lineRule="auto"/>
        <w:rPr>
          <w:rFonts w:eastAsia="Times New Roman" w:cs="Arial"/>
          <w:lang w:eastAsia="bg-BG"/>
        </w:rPr>
      </w:pPr>
      <w:r w:rsidRPr="00BD48DC">
        <w:rPr>
          <w:rFonts w:eastAsia="Times New Roman" w:cs="Arial"/>
          <w:i/>
          <w:iCs/>
          <w:color w:val="000000"/>
          <w:lang w:eastAsia="bg-BG"/>
        </w:rPr>
        <w:t>С неизвестна честота</w:t>
      </w:r>
      <w:r w:rsidRPr="00BD48DC">
        <w:rPr>
          <w:rFonts w:eastAsia="Times New Roman" w:cs="Arial"/>
          <w:color w:val="000000"/>
          <w:lang w:eastAsia="bg-BG"/>
        </w:rPr>
        <w:t xml:space="preserve"> съобщавани са повишени нива на чернодробните ензими (АСАТ, АЛАТ, алкална фосфатаза), холестатичен или смесен хепатит и хепатоцелуларно чернодробно увреждане, понякога придружавани с жълтеница. Съобщавани са случаи на чернодробна недостатъчност, налагащи чернодробна трансплантация.</w:t>
      </w:r>
    </w:p>
    <w:p w14:paraId="2A498CBE" w14:textId="77777777" w:rsidR="00BD48DC" w:rsidRPr="00BD48DC" w:rsidRDefault="00BD48DC" w:rsidP="00BD48DC">
      <w:pPr>
        <w:spacing w:line="240" w:lineRule="auto"/>
        <w:rPr>
          <w:rFonts w:eastAsia="Times New Roman" w:cs="Arial"/>
          <w:i/>
          <w:iCs/>
          <w:color w:val="000000"/>
          <w:u w:val="single"/>
          <w:lang w:eastAsia="bg-BG"/>
        </w:rPr>
      </w:pPr>
    </w:p>
    <w:p w14:paraId="5C2B7AB4" w14:textId="57246528" w:rsidR="00BD48DC" w:rsidRPr="00BD48DC" w:rsidRDefault="00BD48DC" w:rsidP="00BD48DC">
      <w:pPr>
        <w:spacing w:line="240" w:lineRule="auto"/>
        <w:rPr>
          <w:rFonts w:eastAsia="Times New Roman" w:cs="Arial"/>
          <w:lang w:eastAsia="bg-BG"/>
        </w:rPr>
      </w:pPr>
      <w:r w:rsidRPr="00BD48DC">
        <w:rPr>
          <w:rFonts w:eastAsia="Times New Roman" w:cs="Arial"/>
          <w:i/>
          <w:iCs/>
          <w:color w:val="000000"/>
          <w:u w:val="single"/>
          <w:lang w:eastAsia="bg-BG"/>
        </w:rPr>
        <w:t>Нарушения на кожата и подкожната тъкан</w:t>
      </w:r>
    </w:p>
    <w:p w14:paraId="0B0F2DDA" w14:textId="77777777" w:rsidR="00BD48DC" w:rsidRPr="00BD48DC" w:rsidRDefault="00BD48DC" w:rsidP="00BD48DC">
      <w:pPr>
        <w:spacing w:line="240" w:lineRule="auto"/>
        <w:rPr>
          <w:rFonts w:eastAsia="Times New Roman" w:cs="Arial"/>
          <w:lang w:eastAsia="bg-BG"/>
        </w:rPr>
      </w:pPr>
      <w:r w:rsidRPr="00BD48DC">
        <w:rPr>
          <w:rFonts w:eastAsia="Times New Roman" w:cs="Arial"/>
          <w:i/>
          <w:iCs/>
          <w:color w:val="000000"/>
          <w:lang w:eastAsia="bg-BG"/>
        </w:rPr>
        <w:t>С неизвестна честота</w:t>
      </w:r>
      <w:r w:rsidRPr="00BD48DC">
        <w:rPr>
          <w:rFonts w:eastAsia="Times New Roman" w:cs="Arial"/>
          <w:color w:val="000000"/>
          <w:lang w:eastAsia="bg-BG"/>
        </w:rPr>
        <w:t xml:space="preserve"> зачервяване на лицето, сърбеж, кожен обрив, понякога с треска; уртикария, ангиоедем, анафилактичен шок (вж. точка 4.4); много редки случаи на генерализирана екзематозна пустулоза (вж. точка 4.4); токсична епидермална некролиза; синдром на Стивънс-Джонсън; фиксиран лекарствен обрив.</w:t>
      </w:r>
    </w:p>
    <w:p w14:paraId="32393148" w14:textId="77777777" w:rsidR="00BD48DC" w:rsidRPr="00BD48DC" w:rsidRDefault="00BD48DC" w:rsidP="00BD48DC">
      <w:pPr>
        <w:spacing w:line="240" w:lineRule="auto"/>
        <w:rPr>
          <w:rFonts w:eastAsia="Times New Roman" w:cs="Arial"/>
          <w:i/>
          <w:iCs/>
          <w:color w:val="000000"/>
          <w:u w:val="single"/>
          <w:lang w:eastAsia="bg-BG"/>
        </w:rPr>
      </w:pPr>
    </w:p>
    <w:p w14:paraId="605EAB3B" w14:textId="37361E67" w:rsidR="00BD48DC" w:rsidRPr="00BD48DC" w:rsidRDefault="00BD48DC" w:rsidP="00BD48DC">
      <w:pPr>
        <w:spacing w:line="240" w:lineRule="auto"/>
        <w:rPr>
          <w:rFonts w:eastAsia="Times New Roman" w:cs="Arial"/>
          <w:lang w:eastAsia="bg-BG"/>
        </w:rPr>
      </w:pPr>
      <w:r w:rsidRPr="00BD48DC">
        <w:rPr>
          <w:rFonts w:eastAsia="Times New Roman" w:cs="Arial"/>
          <w:i/>
          <w:iCs/>
          <w:color w:val="000000"/>
          <w:u w:val="single"/>
          <w:lang w:eastAsia="bg-BG"/>
        </w:rPr>
        <w:t>Други нарушения</w:t>
      </w:r>
    </w:p>
    <w:p w14:paraId="2ADBE8A0" w14:textId="77777777" w:rsidR="00BD48DC" w:rsidRPr="00BD48DC" w:rsidRDefault="00BD48DC" w:rsidP="00BD48DC">
      <w:pPr>
        <w:spacing w:line="240" w:lineRule="auto"/>
        <w:rPr>
          <w:rFonts w:eastAsia="Times New Roman" w:cs="Arial"/>
          <w:lang w:eastAsia="bg-BG"/>
        </w:rPr>
      </w:pPr>
      <w:r w:rsidRPr="00BD48DC">
        <w:rPr>
          <w:rFonts w:eastAsia="Times New Roman" w:cs="Arial"/>
          <w:i/>
          <w:iCs/>
          <w:color w:val="000000"/>
          <w:lang w:eastAsia="bg-BG"/>
        </w:rPr>
        <w:lastRenderedPageBreak/>
        <w:t>С неизвестна честота</w:t>
      </w:r>
      <w:r w:rsidRPr="00BD48DC">
        <w:rPr>
          <w:rFonts w:eastAsia="Times New Roman" w:cs="Arial"/>
          <w:color w:val="000000"/>
          <w:lang w:eastAsia="bg-BG"/>
        </w:rPr>
        <w:t xml:space="preserve"> червеникаво-кафяво оцветяване на урината, тъй като могат да бъдат открити водноразтворими пигменти, вероятно от метаболитите.</w:t>
      </w:r>
    </w:p>
    <w:p w14:paraId="3486ECC5" w14:textId="77777777" w:rsidR="00BD48DC" w:rsidRPr="00BD48DC" w:rsidRDefault="00BD48DC" w:rsidP="00BD48DC">
      <w:pPr>
        <w:spacing w:line="240" w:lineRule="auto"/>
        <w:rPr>
          <w:rFonts w:eastAsia="Times New Roman" w:cs="Arial"/>
          <w:color w:val="000000"/>
          <w:u w:val="single"/>
          <w:lang w:eastAsia="bg-BG"/>
        </w:rPr>
      </w:pPr>
    </w:p>
    <w:p w14:paraId="51781512" w14:textId="08C2CEDF" w:rsidR="00BD48DC" w:rsidRPr="00BD48DC" w:rsidRDefault="00BD48DC" w:rsidP="00BD48DC">
      <w:pPr>
        <w:spacing w:line="240" w:lineRule="auto"/>
        <w:rPr>
          <w:rFonts w:eastAsia="Times New Roman" w:cs="Arial"/>
          <w:lang w:eastAsia="bg-BG"/>
        </w:rPr>
      </w:pPr>
      <w:r w:rsidRPr="00BD48DC">
        <w:rPr>
          <w:rFonts w:eastAsia="Times New Roman" w:cs="Arial"/>
          <w:color w:val="000000"/>
          <w:u w:val="single"/>
          <w:lang w:eastAsia="bg-BG"/>
        </w:rPr>
        <w:t>Съобщаване на подозирани нежелани реакции</w:t>
      </w:r>
    </w:p>
    <w:p w14:paraId="0254AACC" w14:textId="06CD304E" w:rsidR="007A2185" w:rsidRPr="00BD48DC" w:rsidRDefault="00BD48DC" w:rsidP="00BD48DC">
      <w:pPr>
        <w:rPr>
          <w:rFonts w:cs="Arial"/>
        </w:rPr>
      </w:pPr>
      <w:r w:rsidRPr="00BD48DC">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 „Дамян Груев” № 8, 1303 София, тел.: 02 8903417, уебсайт: </w:t>
      </w:r>
      <w:r w:rsidRPr="00BD48DC">
        <w:rPr>
          <w:rFonts w:eastAsia="Times New Roman" w:cs="Arial"/>
          <w:lang w:eastAsia="bg-BG"/>
        </w:rPr>
        <w:fldChar w:fldCharType="begin"/>
      </w:r>
      <w:r w:rsidRPr="00BD48DC">
        <w:rPr>
          <w:rFonts w:eastAsia="Times New Roman" w:cs="Arial"/>
          <w:lang w:eastAsia="bg-BG"/>
        </w:rPr>
        <w:instrText xml:space="preserve"> HYPERLINK "http://www.bda.bg" </w:instrText>
      </w:r>
      <w:r w:rsidRPr="00BD48DC">
        <w:rPr>
          <w:rFonts w:eastAsia="Times New Roman" w:cs="Arial"/>
          <w:lang w:eastAsia="bg-BG"/>
        </w:rPr>
      </w:r>
      <w:r w:rsidRPr="00BD48DC">
        <w:rPr>
          <w:rFonts w:eastAsia="Times New Roman" w:cs="Arial"/>
          <w:lang w:eastAsia="bg-BG"/>
        </w:rPr>
        <w:fldChar w:fldCharType="separate"/>
      </w:r>
      <w:r w:rsidRPr="00BD48DC">
        <w:rPr>
          <w:rFonts w:eastAsia="Times New Roman" w:cs="Arial"/>
          <w:color w:val="000000"/>
          <w:lang w:val="en-US"/>
        </w:rPr>
        <w:t>www.bda.bg</w:t>
      </w:r>
      <w:r w:rsidRPr="00BD48DC">
        <w:rPr>
          <w:rFonts w:eastAsia="Times New Roman" w:cs="Arial"/>
          <w:lang w:eastAsia="bg-BG"/>
        </w:rPr>
        <w:fldChar w:fldCharType="end"/>
      </w:r>
      <w:r w:rsidRPr="00BD48DC">
        <w:rPr>
          <w:rFonts w:eastAsia="Times New Roman" w:cs="Arial"/>
          <w:color w:val="000000"/>
          <w:lang w:val="en-US"/>
        </w:rPr>
        <w:t>.</w:t>
      </w:r>
    </w:p>
    <w:p w14:paraId="443BC107" w14:textId="77777777" w:rsidR="005B0F27" w:rsidRPr="0091385D" w:rsidRDefault="005B0F27" w:rsidP="0091385D"/>
    <w:p w14:paraId="0A023CE0" w14:textId="13F87CFD" w:rsidR="00CF77F7" w:rsidRDefault="002C50EE" w:rsidP="004A448E">
      <w:pPr>
        <w:pStyle w:val="Heading2"/>
      </w:pPr>
      <w:r>
        <w:t>4.9. Предозиране</w:t>
      </w:r>
    </w:p>
    <w:p w14:paraId="3EDFC3FC" w14:textId="771B3817" w:rsidR="0091385D" w:rsidRDefault="0091385D" w:rsidP="0091385D"/>
    <w:p w14:paraId="501E51A6" w14:textId="77777777" w:rsidR="00BD48DC" w:rsidRPr="00BD48DC" w:rsidRDefault="00BD48DC" w:rsidP="00BD48DC">
      <w:pPr>
        <w:spacing w:line="240" w:lineRule="auto"/>
        <w:rPr>
          <w:rFonts w:eastAsia="Times New Roman" w:cs="Arial"/>
          <w:lang w:eastAsia="bg-BG"/>
        </w:rPr>
      </w:pPr>
      <w:r w:rsidRPr="00BD48DC">
        <w:rPr>
          <w:rFonts w:eastAsia="Times New Roman" w:cs="Arial"/>
          <w:color w:val="000000"/>
          <w:lang w:eastAsia="bg-BG"/>
        </w:rPr>
        <w:t>Няма специфични антидоти за спирамицин и метронидазол. При евентуално предозиране трябва да се предприеме симптоматично лечение.</w:t>
      </w:r>
    </w:p>
    <w:p w14:paraId="7EE188C1" w14:textId="77777777" w:rsidR="00BD48DC" w:rsidRPr="00BD48DC" w:rsidRDefault="00BD48DC" w:rsidP="00BD48DC">
      <w:pPr>
        <w:spacing w:line="240" w:lineRule="auto"/>
        <w:rPr>
          <w:rFonts w:eastAsia="Times New Roman" w:cs="Arial"/>
          <w:i/>
          <w:iCs/>
          <w:color w:val="000000"/>
          <w:lang w:eastAsia="bg-BG"/>
        </w:rPr>
      </w:pPr>
    </w:p>
    <w:p w14:paraId="362F39BA" w14:textId="7DD8BD42" w:rsidR="00BD48DC" w:rsidRPr="00BD48DC" w:rsidRDefault="00BD48DC" w:rsidP="00BD48DC">
      <w:pPr>
        <w:spacing w:line="240" w:lineRule="auto"/>
        <w:rPr>
          <w:rFonts w:eastAsia="Times New Roman" w:cs="Arial"/>
          <w:lang w:eastAsia="bg-BG"/>
        </w:rPr>
      </w:pPr>
      <w:r w:rsidRPr="00BD48DC">
        <w:rPr>
          <w:rFonts w:eastAsia="Times New Roman" w:cs="Arial"/>
          <w:i/>
          <w:iCs/>
          <w:color w:val="000000"/>
          <w:lang w:eastAsia="bg-BG"/>
        </w:rPr>
        <w:t>Ефекти свързани със спирамицин</w:t>
      </w:r>
    </w:p>
    <w:p w14:paraId="4CC6680A" w14:textId="77777777" w:rsidR="00BD48DC" w:rsidRPr="00BD48DC" w:rsidRDefault="00BD48DC" w:rsidP="00BD48DC">
      <w:pPr>
        <w:spacing w:line="240" w:lineRule="auto"/>
        <w:rPr>
          <w:rFonts w:eastAsia="Times New Roman" w:cs="Arial"/>
          <w:lang w:eastAsia="bg-BG"/>
        </w:rPr>
      </w:pPr>
      <w:r w:rsidRPr="00BD48DC">
        <w:rPr>
          <w:rFonts w:eastAsia="Times New Roman" w:cs="Arial"/>
          <w:color w:val="000000"/>
          <w:lang w:eastAsia="bg-BG"/>
        </w:rPr>
        <w:t>Токсичната доза на спирамицин не е известна.</w:t>
      </w:r>
    </w:p>
    <w:p w14:paraId="72922ECE" w14:textId="77777777" w:rsidR="00BD48DC" w:rsidRPr="00BD48DC" w:rsidRDefault="00BD48DC" w:rsidP="00BD48DC">
      <w:pPr>
        <w:spacing w:line="240" w:lineRule="auto"/>
        <w:rPr>
          <w:rFonts w:eastAsia="Times New Roman" w:cs="Arial"/>
          <w:lang w:eastAsia="bg-BG"/>
        </w:rPr>
      </w:pPr>
      <w:r w:rsidRPr="00BD48DC">
        <w:rPr>
          <w:rFonts w:eastAsia="Times New Roman" w:cs="Arial"/>
          <w:color w:val="000000"/>
          <w:lang w:eastAsia="bg-BG"/>
        </w:rPr>
        <w:t>Стомашно-чревните смущения, като гадене, повръщане, диария, могат да се очакват след прилагане на високи дози.</w:t>
      </w:r>
    </w:p>
    <w:p w14:paraId="6D1A999B" w14:textId="77777777" w:rsidR="00BD48DC" w:rsidRPr="00BD48DC" w:rsidRDefault="00BD48DC" w:rsidP="00BD48DC">
      <w:pPr>
        <w:spacing w:line="240" w:lineRule="auto"/>
        <w:rPr>
          <w:rFonts w:eastAsia="Times New Roman" w:cs="Arial"/>
          <w:lang w:eastAsia="bg-BG"/>
        </w:rPr>
      </w:pPr>
      <w:r w:rsidRPr="00BD48DC">
        <w:rPr>
          <w:rFonts w:eastAsia="Times New Roman" w:cs="Arial"/>
          <w:color w:val="000000"/>
          <w:lang w:eastAsia="bg-BG"/>
        </w:rPr>
        <w:t xml:space="preserve">Наблюдавани са случаи на удължаване на </w:t>
      </w:r>
      <w:r w:rsidRPr="00BD48DC">
        <w:rPr>
          <w:rFonts w:eastAsia="Times New Roman" w:cs="Arial"/>
          <w:color w:val="000000"/>
          <w:lang w:val="en-US"/>
        </w:rPr>
        <w:t xml:space="preserve">QT </w:t>
      </w:r>
      <w:r w:rsidRPr="00BD48DC">
        <w:rPr>
          <w:rFonts w:eastAsia="Times New Roman" w:cs="Arial"/>
          <w:color w:val="000000"/>
          <w:lang w:eastAsia="bg-BG"/>
        </w:rPr>
        <w:t xml:space="preserve">интервала при използване на спирамицин във високи дози при новородени и след интравенозно приложение на спирамицин при пациенти с удължен </w:t>
      </w:r>
      <w:r w:rsidRPr="00BD48DC">
        <w:rPr>
          <w:rFonts w:eastAsia="Times New Roman" w:cs="Arial"/>
          <w:color w:val="000000"/>
          <w:lang w:val="en-US"/>
        </w:rPr>
        <w:t xml:space="preserve">QT </w:t>
      </w:r>
      <w:r w:rsidRPr="00BD48DC">
        <w:rPr>
          <w:rFonts w:eastAsia="Times New Roman" w:cs="Arial"/>
          <w:color w:val="000000"/>
          <w:lang w:eastAsia="bg-BG"/>
        </w:rPr>
        <w:t xml:space="preserve">интервал, които затихват при преустановяване на лечението. При предозиране със спирамицин трябва да бъде направено </w:t>
      </w:r>
      <w:r w:rsidRPr="00BD48DC">
        <w:rPr>
          <w:rFonts w:eastAsia="Times New Roman" w:cs="Arial"/>
          <w:color w:val="000000"/>
          <w:lang w:val="en-US"/>
        </w:rPr>
        <w:t xml:space="preserve">ECG </w:t>
      </w:r>
      <w:r w:rsidRPr="00BD48DC">
        <w:rPr>
          <w:rFonts w:eastAsia="Times New Roman" w:cs="Arial"/>
          <w:color w:val="000000"/>
          <w:lang w:eastAsia="bg-BG"/>
        </w:rPr>
        <w:t xml:space="preserve">за измерване на </w:t>
      </w:r>
      <w:r w:rsidRPr="00BD48DC">
        <w:rPr>
          <w:rFonts w:eastAsia="Times New Roman" w:cs="Arial"/>
          <w:color w:val="000000"/>
          <w:lang w:val="en-US"/>
        </w:rPr>
        <w:t xml:space="preserve">QT </w:t>
      </w:r>
      <w:r w:rsidRPr="00BD48DC">
        <w:rPr>
          <w:rFonts w:eastAsia="Times New Roman" w:cs="Arial"/>
          <w:color w:val="000000"/>
          <w:lang w:eastAsia="bg-BG"/>
        </w:rPr>
        <w:t xml:space="preserve">интервала, особено ако са налице и други рискови фактори (хипокалиемия, вроден удължен </w:t>
      </w:r>
      <w:r w:rsidRPr="00BD48DC">
        <w:rPr>
          <w:rFonts w:eastAsia="Times New Roman" w:cs="Arial"/>
          <w:color w:val="000000"/>
          <w:lang w:val="en-US"/>
        </w:rPr>
        <w:t xml:space="preserve">QT </w:t>
      </w:r>
      <w:r w:rsidRPr="00BD48DC">
        <w:rPr>
          <w:rFonts w:eastAsia="Times New Roman" w:cs="Arial"/>
          <w:color w:val="000000"/>
          <w:lang w:eastAsia="bg-BG"/>
        </w:rPr>
        <w:t xml:space="preserve">интервал, лекарствени комбинации, които водят до удължен </w:t>
      </w:r>
      <w:r w:rsidRPr="00BD48DC">
        <w:rPr>
          <w:rFonts w:eastAsia="Times New Roman" w:cs="Arial"/>
          <w:color w:val="000000"/>
          <w:lang w:val="en-US"/>
        </w:rPr>
        <w:t xml:space="preserve">QT </w:t>
      </w:r>
      <w:r w:rsidRPr="00BD48DC">
        <w:rPr>
          <w:rFonts w:eastAsia="Times New Roman" w:cs="Arial"/>
          <w:color w:val="000000"/>
          <w:lang w:eastAsia="bg-BG"/>
        </w:rPr>
        <w:t xml:space="preserve">интервал и/или предизвикват </w:t>
      </w:r>
      <w:r w:rsidRPr="00BD48DC">
        <w:rPr>
          <w:rFonts w:eastAsia="Times New Roman" w:cs="Arial"/>
          <w:color w:val="000000"/>
          <w:lang w:val="en-US"/>
        </w:rPr>
        <w:t>torsade de pointes.</w:t>
      </w:r>
    </w:p>
    <w:p w14:paraId="3083CA6B" w14:textId="77777777" w:rsidR="00BD48DC" w:rsidRPr="00BD48DC" w:rsidRDefault="00BD48DC" w:rsidP="00BD48DC">
      <w:pPr>
        <w:spacing w:line="240" w:lineRule="auto"/>
        <w:rPr>
          <w:rFonts w:eastAsia="Times New Roman" w:cs="Arial"/>
          <w:lang w:eastAsia="bg-BG"/>
        </w:rPr>
      </w:pPr>
    </w:p>
    <w:p w14:paraId="4AF92F21" w14:textId="77777777" w:rsidR="00BD48DC" w:rsidRPr="00BD48DC" w:rsidRDefault="00BD48DC" w:rsidP="00BD48DC">
      <w:pPr>
        <w:spacing w:line="240" w:lineRule="auto"/>
        <w:rPr>
          <w:rFonts w:eastAsia="Times New Roman" w:cs="Arial"/>
          <w:lang w:eastAsia="bg-BG"/>
        </w:rPr>
      </w:pPr>
      <w:r w:rsidRPr="00BD48DC">
        <w:rPr>
          <w:rFonts w:eastAsia="Times New Roman" w:cs="Arial"/>
          <w:i/>
          <w:iCs/>
          <w:color w:val="000000"/>
          <w:lang w:eastAsia="bg-BG"/>
        </w:rPr>
        <w:t>Ефекти свързани с метронидазол</w:t>
      </w:r>
    </w:p>
    <w:p w14:paraId="6A43B8F3" w14:textId="5491F109" w:rsidR="007A2185" w:rsidRPr="00BD48DC" w:rsidRDefault="00BD48DC" w:rsidP="00BD48DC">
      <w:pPr>
        <w:rPr>
          <w:rFonts w:cs="Arial"/>
        </w:rPr>
      </w:pPr>
      <w:r w:rsidRPr="00BD48DC">
        <w:rPr>
          <w:rFonts w:eastAsia="Times New Roman" w:cs="Arial"/>
          <w:color w:val="000000"/>
          <w:lang w:eastAsia="bg-BG"/>
        </w:rPr>
        <w:t xml:space="preserve">Съобщени са случаи на прием на единична доза от </w:t>
      </w:r>
      <w:r w:rsidRPr="00BD48DC">
        <w:rPr>
          <w:rFonts w:eastAsia="Times New Roman" w:cs="Arial"/>
          <w:color w:val="000000"/>
          <w:lang w:val="en-US"/>
        </w:rPr>
        <w:t xml:space="preserve">12 g. </w:t>
      </w:r>
      <w:r w:rsidRPr="00BD48DC">
        <w:rPr>
          <w:rFonts w:eastAsia="Times New Roman" w:cs="Arial"/>
          <w:color w:val="000000"/>
          <w:lang w:eastAsia="bg-BG"/>
        </w:rPr>
        <w:t>Наблюдаваните симттоми са били повръщане, атаксия и лека дезориентация.</w:t>
      </w:r>
    </w:p>
    <w:p w14:paraId="4B3EF484" w14:textId="7C4DBFFE" w:rsidR="00BD48DC" w:rsidRPr="0091385D" w:rsidRDefault="00BD48DC" w:rsidP="0091385D"/>
    <w:p w14:paraId="02081B24" w14:textId="7CE94171" w:rsidR="00395555" w:rsidRDefault="002C50EE" w:rsidP="008A6AF2">
      <w:pPr>
        <w:pStyle w:val="Heading1"/>
      </w:pPr>
      <w:r>
        <w:t>5. ФАРМАКОЛОГИЧНИ СВОЙСТВА</w:t>
      </w:r>
    </w:p>
    <w:p w14:paraId="1B8079C0" w14:textId="77777777" w:rsidR="0091385D" w:rsidRPr="0091385D" w:rsidRDefault="0091385D" w:rsidP="0091385D"/>
    <w:p w14:paraId="32B6DE66" w14:textId="2ACB6B3B" w:rsidR="00CF77F7" w:rsidRDefault="002C50EE" w:rsidP="004A448E">
      <w:pPr>
        <w:pStyle w:val="Heading2"/>
      </w:pPr>
      <w:r>
        <w:t>5.1. Фармакодинамични свойства</w:t>
      </w:r>
    </w:p>
    <w:p w14:paraId="58DD7DEA" w14:textId="73F11A6B" w:rsidR="0091385D" w:rsidRDefault="0091385D" w:rsidP="0091385D"/>
    <w:p w14:paraId="320C6CAA" w14:textId="77777777" w:rsidR="00BD48DC" w:rsidRPr="00BD48DC" w:rsidRDefault="00BD48DC" w:rsidP="00BD48DC">
      <w:pPr>
        <w:spacing w:line="240" w:lineRule="auto"/>
        <w:rPr>
          <w:rFonts w:eastAsia="Times New Roman" w:cs="Arial"/>
          <w:lang w:eastAsia="bg-BG"/>
        </w:rPr>
      </w:pPr>
      <w:r w:rsidRPr="00BD48DC">
        <w:rPr>
          <w:rFonts w:eastAsia="Times New Roman" w:cs="Arial"/>
          <w:color w:val="000000"/>
          <w:lang w:eastAsia="bg-BG"/>
        </w:rPr>
        <w:t xml:space="preserve">Фармакотерапевтична група: Комбинации на антибактериални средства; спирамицин и метронидазол, АТС код: </w:t>
      </w:r>
      <w:r w:rsidRPr="00BD48DC">
        <w:rPr>
          <w:rFonts w:eastAsia="Times New Roman" w:cs="Arial"/>
          <w:color w:val="000000"/>
          <w:lang w:val="en-US"/>
        </w:rPr>
        <w:t>J01RA04</w:t>
      </w:r>
    </w:p>
    <w:p w14:paraId="26D24036" w14:textId="77777777" w:rsidR="00BD48DC" w:rsidRPr="00BD48DC" w:rsidRDefault="00BD48DC" w:rsidP="00BD48DC">
      <w:pPr>
        <w:spacing w:line="240" w:lineRule="auto"/>
        <w:rPr>
          <w:rFonts w:eastAsia="Times New Roman" w:cs="Arial"/>
          <w:color w:val="000000"/>
          <w:lang w:eastAsia="bg-BG"/>
        </w:rPr>
      </w:pPr>
    </w:p>
    <w:p w14:paraId="21B17586" w14:textId="5AA92A8D" w:rsidR="00BD48DC" w:rsidRPr="00BD48DC" w:rsidRDefault="00BD48DC" w:rsidP="00BD48DC">
      <w:pPr>
        <w:spacing w:line="240" w:lineRule="auto"/>
        <w:rPr>
          <w:rFonts w:eastAsia="Times New Roman" w:cs="Arial"/>
          <w:lang w:eastAsia="bg-BG"/>
        </w:rPr>
      </w:pPr>
      <w:r w:rsidRPr="00BD48DC">
        <w:rPr>
          <w:rFonts w:eastAsia="Times New Roman" w:cs="Arial"/>
          <w:color w:val="000000"/>
          <w:lang w:eastAsia="bg-BG"/>
        </w:rPr>
        <w:t>Ровамет е комбинация от спирамицин - антибиотик, принадлежащ към групата на макролидите и метронидазол - антибиотик, принадлежащ към групата на 5-нито-имидазолите, предназначен специално за букално-зъбната инфекциозна патология.</w:t>
      </w:r>
    </w:p>
    <w:p w14:paraId="01F97925" w14:textId="77777777" w:rsidR="00BD48DC" w:rsidRPr="00BD48DC" w:rsidRDefault="00BD48DC" w:rsidP="00BD48DC">
      <w:pPr>
        <w:spacing w:line="240" w:lineRule="auto"/>
        <w:rPr>
          <w:rFonts w:eastAsia="Times New Roman" w:cs="Arial"/>
          <w:b/>
          <w:bCs/>
          <w:color w:val="000000"/>
          <w:lang w:eastAsia="bg-BG"/>
        </w:rPr>
      </w:pPr>
    </w:p>
    <w:p w14:paraId="2FF65F43" w14:textId="0D07DEC2" w:rsidR="00BD48DC" w:rsidRPr="00BD48DC" w:rsidRDefault="00BD48DC" w:rsidP="00BD48DC">
      <w:pPr>
        <w:spacing w:line="240" w:lineRule="auto"/>
        <w:rPr>
          <w:rFonts w:eastAsia="Times New Roman" w:cs="Arial"/>
          <w:lang w:eastAsia="bg-BG"/>
        </w:rPr>
      </w:pPr>
      <w:r w:rsidRPr="00BD48DC">
        <w:rPr>
          <w:rFonts w:eastAsia="Times New Roman" w:cs="Arial"/>
          <w:b/>
          <w:bCs/>
          <w:color w:val="000000"/>
          <w:lang w:eastAsia="bg-BG"/>
        </w:rPr>
        <w:t xml:space="preserve">Спектър на антибактериалната активност </w:t>
      </w:r>
      <w:r w:rsidRPr="00BD48DC">
        <w:rPr>
          <w:rFonts w:eastAsia="Times New Roman" w:cs="Arial"/>
          <w:color w:val="000000"/>
          <w:lang w:eastAsia="bg-BG"/>
        </w:rPr>
        <w:t>(за антибиотик)</w:t>
      </w:r>
    </w:p>
    <w:p w14:paraId="1DD4EFFF" w14:textId="77777777" w:rsidR="00BD48DC" w:rsidRPr="00BD48DC" w:rsidRDefault="00BD48DC" w:rsidP="00BD48DC">
      <w:pPr>
        <w:spacing w:line="240" w:lineRule="auto"/>
        <w:rPr>
          <w:rFonts w:eastAsia="Times New Roman" w:cs="Arial"/>
          <w:i/>
          <w:iCs/>
          <w:color w:val="000000"/>
          <w:lang w:eastAsia="bg-BG"/>
        </w:rPr>
      </w:pPr>
    </w:p>
    <w:p w14:paraId="19B14F0E" w14:textId="274F0739" w:rsidR="00BD48DC" w:rsidRPr="00BD48DC" w:rsidRDefault="00BD48DC" w:rsidP="00BD48DC">
      <w:pPr>
        <w:spacing w:line="240" w:lineRule="auto"/>
        <w:rPr>
          <w:rFonts w:eastAsia="Times New Roman" w:cs="Arial"/>
          <w:lang w:eastAsia="bg-BG"/>
        </w:rPr>
      </w:pPr>
      <w:r w:rsidRPr="00BD48DC">
        <w:rPr>
          <w:rFonts w:eastAsia="Times New Roman" w:cs="Arial"/>
          <w:i/>
          <w:iCs/>
          <w:color w:val="000000"/>
          <w:lang w:eastAsia="bg-BG"/>
        </w:rPr>
        <w:t>Спирамицин</w:t>
      </w:r>
    </w:p>
    <w:p w14:paraId="42328B07" w14:textId="77777777" w:rsidR="00BD48DC" w:rsidRPr="00BD48DC" w:rsidRDefault="00BD48DC" w:rsidP="00BD48DC">
      <w:pPr>
        <w:spacing w:line="240" w:lineRule="auto"/>
        <w:rPr>
          <w:rFonts w:eastAsia="Times New Roman" w:cs="Arial"/>
          <w:lang w:eastAsia="bg-BG"/>
        </w:rPr>
      </w:pPr>
      <w:r w:rsidRPr="00BD48DC">
        <w:rPr>
          <w:rFonts w:eastAsia="Times New Roman" w:cs="Arial"/>
          <w:color w:val="000000"/>
          <w:lang w:eastAsia="bg-BG"/>
        </w:rPr>
        <w:lastRenderedPageBreak/>
        <w:t>Граничните концентрации, разграничаващи чувствителните от интермедиерните и след това от резистентните щамове са:</w:t>
      </w:r>
    </w:p>
    <w:p w14:paraId="517C4424" w14:textId="77777777" w:rsidR="00BD48DC" w:rsidRPr="00BD48DC" w:rsidRDefault="00BD48DC" w:rsidP="00BD48DC">
      <w:pPr>
        <w:spacing w:line="240" w:lineRule="auto"/>
        <w:rPr>
          <w:rFonts w:eastAsia="Times New Roman" w:cs="Arial"/>
          <w:color w:val="000000"/>
          <w:lang w:val="en-US"/>
        </w:rPr>
      </w:pPr>
    </w:p>
    <w:p w14:paraId="280C5533" w14:textId="5E53D76C" w:rsidR="00BD48DC" w:rsidRPr="00BD48DC" w:rsidRDefault="00BD48DC" w:rsidP="00BD48DC">
      <w:pPr>
        <w:spacing w:line="240" w:lineRule="auto"/>
        <w:rPr>
          <w:rFonts w:eastAsia="Times New Roman" w:cs="Arial"/>
          <w:lang w:eastAsia="bg-BG"/>
        </w:rPr>
      </w:pPr>
      <w:r w:rsidRPr="00BD48DC">
        <w:rPr>
          <w:rFonts w:eastAsia="Times New Roman" w:cs="Arial"/>
          <w:color w:val="000000"/>
          <w:lang w:val="en-US"/>
        </w:rPr>
        <w:t xml:space="preserve">S </w:t>
      </w:r>
      <w:r w:rsidRPr="00BD48DC">
        <w:rPr>
          <w:rFonts w:eastAsia="Times New Roman" w:cs="Arial"/>
          <w:color w:val="000000"/>
          <w:lang w:eastAsia="bg-BG"/>
        </w:rPr>
        <w:t xml:space="preserve">≤ 1 </w:t>
      </w:r>
      <w:r w:rsidRPr="00BD48DC">
        <w:rPr>
          <w:rFonts w:eastAsia="Times New Roman" w:cs="Arial"/>
          <w:color w:val="000000"/>
          <w:lang w:val="en-US"/>
        </w:rPr>
        <w:t xml:space="preserve">mg/1 </w:t>
      </w:r>
      <w:r w:rsidRPr="00BD48DC">
        <w:rPr>
          <w:rFonts w:eastAsia="Times New Roman" w:cs="Arial"/>
          <w:color w:val="000000"/>
          <w:lang w:eastAsia="bg-BG"/>
        </w:rPr>
        <w:t xml:space="preserve">и </w:t>
      </w:r>
      <w:r w:rsidRPr="00BD48DC">
        <w:rPr>
          <w:rFonts w:eastAsia="Times New Roman" w:cs="Arial"/>
          <w:color w:val="000000"/>
          <w:lang w:val="en-US"/>
        </w:rPr>
        <w:t xml:space="preserve">R </w:t>
      </w:r>
      <w:r w:rsidRPr="00BD48DC">
        <w:rPr>
          <w:rFonts w:eastAsia="Times New Roman" w:cs="Arial"/>
          <w:color w:val="000000"/>
          <w:lang w:eastAsia="bg-BG"/>
        </w:rPr>
        <w:t xml:space="preserve">&gt; 4 </w:t>
      </w:r>
      <w:r w:rsidRPr="00BD48DC">
        <w:rPr>
          <w:rFonts w:eastAsia="Times New Roman" w:cs="Arial"/>
          <w:color w:val="000000"/>
          <w:lang w:val="en-US"/>
        </w:rPr>
        <w:t>mg/l</w:t>
      </w:r>
    </w:p>
    <w:p w14:paraId="7C2D4E34" w14:textId="77777777" w:rsidR="00BD48DC" w:rsidRPr="00BD48DC" w:rsidRDefault="00BD48DC" w:rsidP="00BD48DC">
      <w:pPr>
        <w:spacing w:line="240" w:lineRule="auto"/>
        <w:rPr>
          <w:rFonts w:eastAsia="Times New Roman" w:cs="Arial"/>
          <w:lang w:eastAsia="bg-BG"/>
        </w:rPr>
      </w:pPr>
      <w:r w:rsidRPr="00BD48DC">
        <w:rPr>
          <w:rFonts w:eastAsia="Times New Roman" w:cs="Arial"/>
          <w:color w:val="000000"/>
          <w:lang w:eastAsia="bg-BG"/>
        </w:rPr>
        <w:t>Развитието на резистентност към спирамицин е географски и времево зависима. Винаги трябва да има местни данни за резистентността и специално за начина на лечение на отделните инфекции. Само тези данни са достоверни за правилния избор на този антибиотик.</w:t>
      </w:r>
    </w:p>
    <w:p w14:paraId="1DC9B5E5" w14:textId="77777777" w:rsidR="00BD48DC" w:rsidRPr="00BD48DC" w:rsidRDefault="00BD48DC" w:rsidP="00BD48DC">
      <w:pPr>
        <w:spacing w:line="240" w:lineRule="auto"/>
        <w:rPr>
          <w:rFonts w:eastAsia="Times New Roman" w:cs="Arial"/>
          <w:i/>
          <w:iCs/>
          <w:color w:val="000000"/>
          <w:lang w:eastAsia="bg-BG"/>
        </w:rPr>
      </w:pPr>
    </w:p>
    <w:p w14:paraId="711E286F" w14:textId="67896A8E" w:rsidR="00BD48DC" w:rsidRPr="00BD48DC" w:rsidRDefault="00BD48DC" w:rsidP="00BD48DC">
      <w:pPr>
        <w:spacing w:line="240" w:lineRule="auto"/>
        <w:rPr>
          <w:rFonts w:eastAsia="Times New Roman" w:cs="Arial"/>
          <w:lang w:eastAsia="bg-BG"/>
        </w:rPr>
      </w:pPr>
      <w:r w:rsidRPr="00BD48DC">
        <w:rPr>
          <w:rFonts w:eastAsia="Times New Roman" w:cs="Arial"/>
          <w:i/>
          <w:iCs/>
          <w:color w:val="000000"/>
          <w:lang w:eastAsia="bg-BG"/>
        </w:rPr>
        <w:t>Метронидазол</w:t>
      </w:r>
    </w:p>
    <w:p w14:paraId="2D021ACB" w14:textId="77777777" w:rsidR="00BD48DC" w:rsidRPr="00BD48DC" w:rsidRDefault="00BD48DC" w:rsidP="00BD48DC">
      <w:pPr>
        <w:spacing w:line="240" w:lineRule="auto"/>
        <w:rPr>
          <w:rFonts w:eastAsia="Times New Roman" w:cs="Arial"/>
          <w:lang w:eastAsia="bg-BG"/>
        </w:rPr>
      </w:pPr>
      <w:r w:rsidRPr="00BD48DC">
        <w:rPr>
          <w:rFonts w:eastAsia="Times New Roman" w:cs="Arial"/>
          <w:color w:val="000000"/>
          <w:lang w:eastAsia="bg-BG"/>
        </w:rPr>
        <w:t>Граничните концентрации, разграничаващи чувствителните от интермедиерните и след това от резистентните щамове са:</w:t>
      </w:r>
    </w:p>
    <w:p w14:paraId="011396B6" w14:textId="77777777" w:rsidR="00BD48DC" w:rsidRPr="00BD48DC" w:rsidRDefault="00BD48DC" w:rsidP="00BD48DC">
      <w:pPr>
        <w:spacing w:line="240" w:lineRule="auto"/>
        <w:rPr>
          <w:rFonts w:eastAsia="Times New Roman" w:cs="Arial"/>
          <w:color w:val="000000"/>
          <w:lang w:val="en-US"/>
        </w:rPr>
      </w:pPr>
    </w:p>
    <w:p w14:paraId="44CAA9F3" w14:textId="00F639C9" w:rsidR="00BD48DC" w:rsidRPr="00BD48DC" w:rsidRDefault="00BD48DC" w:rsidP="00BD48DC">
      <w:pPr>
        <w:spacing w:line="240" w:lineRule="auto"/>
        <w:rPr>
          <w:rFonts w:eastAsia="Times New Roman" w:cs="Arial"/>
          <w:lang w:eastAsia="bg-BG"/>
        </w:rPr>
      </w:pPr>
      <w:r w:rsidRPr="00BD48DC">
        <w:rPr>
          <w:rFonts w:eastAsia="Times New Roman" w:cs="Arial"/>
          <w:color w:val="000000"/>
          <w:lang w:val="en-US"/>
        </w:rPr>
        <w:t xml:space="preserve">S </w:t>
      </w:r>
      <w:r w:rsidRPr="00BD48DC">
        <w:rPr>
          <w:rFonts w:eastAsia="Times New Roman" w:cs="Arial"/>
          <w:color w:val="000000"/>
          <w:lang w:eastAsia="bg-BG"/>
        </w:rPr>
        <w:t>≤</w:t>
      </w:r>
      <w:r w:rsidRPr="00BD48DC">
        <w:rPr>
          <w:rFonts w:eastAsia="Times New Roman" w:cs="Arial"/>
          <w:color w:val="000000"/>
          <w:lang w:val="en-US"/>
        </w:rPr>
        <w:t xml:space="preserve"> </w:t>
      </w:r>
      <w:r w:rsidRPr="00BD48DC">
        <w:rPr>
          <w:rFonts w:eastAsia="Times New Roman" w:cs="Arial"/>
          <w:color w:val="000000"/>
          <w:lang w:eastAsia="bg-BG"/>
        </w:rPr>
        <w:t xml:space="preserve">4 </w:t>
      </w:r>
      <w:r w:rsidRPr="00BD48DC">
        <w:rPr>
          <w:rFonts w:eastAsia="Times New Roman" w:cs="Arial"/>
          <w:color w:val="000000"/>
          <w:lang w:val="en-US"/>
        </w:rPr>
        <w:t xml:space="preserve">mg/1 </w:t>
      </w:r>
      <w:r w:rsidRPr="00BD48DC">
        <w:rPr>
          <w:rFonts w:eastAsia="Times New Roman" w:cs="Arial"/>
          <w:color w:val="000000"/>
          <w:lang w:eastAsia="bg-BG"/>
        </w:rPr>
        <w:t xml:space="preserve">и </w:t>
      </w:r>
      <w:r w:rsidRPr="00BD48DC">
        <w:rPr>
          <w:rFonts w:eastAsia="Times New Roman" w:cs="Arial"/>
          <w:color w:val="000000"/>
          <w:lang w:val="en-US"/>
        </w:rPr>
        <w:t xml:space="preserve">R </w:t>
      </w:r>
      <w:r w:rsidRPr="00BD48DC">
        <w:rPr>
          <w:rFonts w:eastAsia="Times New Roman" w:cs="Arial"/>
          <w:color w:val="000000"/>
          <w:lang w:eastAsia="bg-BG"/>
        </w:rPr>
        <w:t xml:space="preserve">&gt; 4 </w:t>
      </w:r>
      <w:r w:rsidRPr="00BD48DC">
        <w:rPr>
          <w:rFonts w:eastAsia="Times New Roman" w:cs="Arial"/>
          <w:color w:val="000000"/>
          <w:lang w:val="en-US"/>
        </w:rPr>
        <w:t>mg/l</w:t>
      </w:r>
    </w:p>
    <w:p w14:paraId="2DE69EB4" w14:textId="77777777" w:rsidR="00BD48DC" w:rsidRPr="00BD48DC" w:rsidRDefault="00BD48DC" w:rsidP="00BD48DC">
      <w:pPr>
        <w:spacing w:line="240" w:lineRule="auto"/>
        <w:rPr>
          <w:rFonts w:eastAsia="Times New Roman" w:cs="Arial"/>
          <w:lang w:eastAsia="bg-BG"/>
        </w:rPr>
      </w:pPr>
      <w:r w:rsidRPr="00BD48DC">
        <w:rPr>
          <w:rFonts w:eastAsia="Times New Roman" w:cs="Arial"/>
          <w:color w:val="000000"/>
          <w:lang w:eastAsia="bg-BG"/>
        </w:rPr>
        <w:t>Развитието на резистентност към метронидазол е географски и времево зависима. Винаги трябва да има местни данни за резистентността и специално за начина на лечение на отделните инфекции. Само тези данни са достоверни за правилния избор на този имидазол.</w:t>
      </w:r>
    </w:p>
    <w:p w14:paraId="511A81E6" w14:textId="77777777" w:rsidR="00BD48DC" w:rsidRPr="00BD48DC" w:rsidRDefault="00BD48DC" w:rsidP="00BD48DC">
      <w:pPr>
        <w:spacing w:line="240" w:lineRule="auto"/>
        <w:rPr>
          <w:rFonts w:eastAsia="Times New Roman" w:cs="Arial"/>
          <w:i/>
          <w:iCs/>
          <w:color w:val="000000"/>
          <w:lang w:eastAsia="bg-BG"/>
        </w:rPr>
      </w:pPr>
    </w:p>
    <w:p w14:paraId="0363278D" w14:textId="71186D00" w:rsidR="00BD48DC" w:rsidRPr="00BD48DC" w:rsidRDefault="00BD48DC" w:rsidP="00BD48DC">
      <w:pPr>
        <w:spacing w:line="240" w:lineRule="auto"/>
        <w:rPr>
          <w:rFonts w:eastAsia="Times New Roman" w:cs="Arial"/>
          <w:lang w:eastAsia="bg-BG"/>
        </w:rPr>
      </w:pPr>
      <w:r w:rsidRPr="00BD48DC">
        <w:rPr>
          <w:rFonts w:eastAsia="Times New Roman" w:cs="Arial"/>
          <w:i/>
          <w:iCs/>
          <w:color w:val="000000"/>
          <w:lang w:eastAsia="bg-BG"/>
        </w:rPr>
        <w:t>Синергизъм</w:t>
      </w:r>
    </w:p>
    <w:p w14:paraId="038F692B" w14:textId="0DF0FCA1" w:rsidR="007A2185" w:rsidRPr="00BD48DC" w:rsidRDefault="00BD48DC" w:rsidP="00BD48DC">
      <w:pPr>
        <w:rPr>
          <w:rFonts w:cs="Arial"/>
        </w:rPr>
      </w:pPr>
      <w:r w:rsidRPr="00BD48DC">
        <w:rPr>
          <w:rFonts w:eastAsia="Times New Roman" w:cs="Arial"/>
          <w:color w:val="000000"/>
          <w:lang w:eastAsia="bg-BG"/>
        </w:rPr>
        <w:t xml:space="preserve">Средните </w:t>
      </w:r>
      <w:r w:rsidRPr="00BD48DC">
        <w:rPr>
          <w:rFonts w:eastAsia="Times New Roman" w:cs="Arial"/>
          <w:color w:val="000000"/>
          <w:lang w:val="en-US"/>
        </w:rPr>
        <w:t xml:space="preserve">MIC </w:t>
      </w:r>
      <w:r w:rsidRPr="00BD48DC">
        <w:rPr>
          <w:rFonts w:eastAsia="Times New Roman" w:cs="Arial"/>
          <w:color w:val="000000"/>
          <w:lang w:eastAsia="bg-BG"/>
        </w:rPr>
        <w:t xml:space="preserve">стойности (стойности на минималната инхибираща концентрация) за двете активни вещества поотделно и в комбинация показват, че съществува синергизъм при инхибиране на някои чувствителни бактериални щамове. При </w:t>
      </w:r>
      <w:r w:rsidRPr="00BD48DC">
        <w:rPr>
          <w:rFonts w:eastAsia="Times New Roman" w:cs="Arial"/>
          <w:i/>
          <w:iCs/>
          <w:color w:val="000000"/>
          <w:lang w:eastAsia="bg-BG"/>
        </w:rPr>
        <w:t xml:space="preserve">В. </w:t>
      </w:r>
      <w:proofErr w:type="spellStart"/>
      <w:proofErr w:type="gramStart"/>
      <w:r w:rsidRPr="00BD48DC">
        <w:rPr>
          <w:rFonts w:eastAsia="Times New Roman" w:cs="Arial"/>
          <w:i/>
          <w:iCs/>
          <w:color w:val="000000"/>
          <w:lang w:val="en-US"/>
        </w:rPr>
        <w:t>fragilis</w:t>
      </w:r>
      <w:proofErr w:type="spellEnd"/>
      <w:proofErr w:type="gramEnd"/>
      <w:r w:rsidRPr="00BD48DC">
        <w:rPr>
          <w:rFonts w:eastAsia="Times New Roman" w:cs="Arial"/>
          <w:color w:val="000000"/>
          <w:lang w:val="en-US"/>
        </w:rPr>
        <w:t xml:space="preserve"> </w:t>
      </w:r>
      <w:r w:rsidRPr="00BD48DC">
        <w:rPr>
          <w:rFonts w:eastAsia="Times New Roman" w:cs="Arial"/>
          <w:color w:val="000000"/>
          <w:lang w:eastAsia="bg-BG"/>
        </w:rPr>
        <w:t>е необходим приблизително 16 пъти по-малко спирамицин и 4 пъти по-малко метронидазол.</w:t>
      </w:r>
    </w:p>
    <w:p w14:paraId="36152471" w14:textId="6AF6320E" w:rsidR="0091385D" w:rsidRPr="00BD48DC" w:rsidRDefault="0091385D" w:rsidP="0091385D">
      <w:pPr>
        <w:rPr>
          <w:rFonts w:cs="Arial"/>
        </w:rPr>
      </w:pPr>
    </w:p>
    <w:tbl>
      <w:tblPr>
        <w:tblStyle w:val="TableGrid"/>
        <w:tblW w:w="0" w:type="auto"/>
        <w:tblLook w:val="04A0" w:firstRow="1" w:lastRow="0" w:firstColumn="1" w:lastColumn="0" w:noHBand="0" w:noVBand="1"/>
      </w:tblPr>
      <w:tblGrid>
        <w:gridCol w:w="3116"/>
        <w:gridCol w:w="3117"/>
        <w:gridCol w:w="3117"/>
      </w:tblGrid>
      <w:tr w:rsidR="00BD48DC" w:rsidRPr="00BD48DC" w14:paraId="3C40EDB2" w14:textId="77777777" w:rsidTr="006E1823">
        <w:tc>
          <w:tcPr>
            <w:tcW w:w="9350" w:type="dxa"/>
            <w:gridSpan w:val="3"/>
          </w:tcPr>
          <w:p w14:paraId="076B58F9" w14:textId="1331A9C6" w:rsidR="00BD48DC" w:rsidRPr="00BD48DC" w:rsidRDefault="00BD48DC" w:rsidP="00BD48DC">
            <w:pPr>
              <w:jc w:val="center"/>
              <w:rPr>
                <w:rFonts w:cs="Arial"/>
              </w:rPr>
            </w:pPr>
            <w:r w:rsidRPr="00BD48DC">
              <w:rPr>
                <w:rFonts w:cs="Arial"/>
              </w:rPr>
              <w:t xml:space="preserve">MIC </w:t>
            </w:r>
            <w:r w:rsidRPr="00BD48DC">
              <w:rPr>
                <w:rFonts w:cs="Arial"/>
                <w:lang w:eastAsia="bg-BG"/>
              </w:rPr>
              <w:t>μ</w:t>
            </w:r>
            <w:r w:rsidRPr="00BD48DC">
              <w:rPr>
                <w:rFonts w:cs="Arial"/>
              </w:rPr>
              <w:t>g/ml</w:t>
            </w:r>
          </w:p>
        </w:tc>
      </w:tr>
      <w:tr w:rsidR="00BD48DC" w:rsidRPr="00BD48DC" w14:paraId="68BF4DB5" w14:textId="77777777" w:rsidTr="00BD48DC">
        <w:tc>
          <w:tcPr>
            <w:tcW w:w="3116" w:type="dxa"/>
          </w:tcPr>
          <w:p w14:paraId="21EBAA12" w14:textId="41FAF327" w:rsidR="00BD48DC" w:rsidRPr="00BD48DC" w:rsidRDefault="00BD48DC" w:rsidP="00BD48DC">
            <w:pPr>
              <w:rPr>
                <w:rFonts w:cs="Arial"/>
              </w:rPr>
            </w:pPr>
            <w:r w:rsidRPr="00BD48DC">
              <w:rPr>
                <w:rFonts w:cs="Arial"/>
              </w:rPr>
              <w:t>Бактериални щамове</w:t>
            </w:r>
          </w:p>
        </w:tc>
        <w:tc>
          <w:tcPr>
            <w:tcW w:w="3117" w:type="dxa"/>
          </w:tcPr>
          <w:p w14:paraId="68E8374C" w14:textId="534F0239" w:rsidR="00BD48DC" w:rsidRPr="00BD48DC" w:rsidRDefault="00BD48DC" w:rsidP="00BD48DC">
            <w:pPr>
              <w:rPr>
                <w:rFonts w:cs="Arial"/>
              </w:rPr>
            </w:pPr>
            <w:r w:rsidRPr="00BD48DC">
              <w:rPr>
                <w:rFonts w:cs="Arial"/>
              </w:rPr>
              <w:t>Меланиногенни</w:t>
            </w:r>
          </w:p>
        </w:tc>
        <w:tc>
          <w:tcPr>
            <w:tcW w:w="3117" w:type="dxa"/>
          </w:tcPr>
          <w:p w14:paraId="2F9E58BE" w14:textId="1915237E" w:rsidR="00BD48DC" w:rsidRPr="00BD48DC" w:rsidRDefault="00BD48DC" w:rsidP="00BD48DC">
            <w:pPr>
              <w:rPr>
                <w:rFonts w:cs="Arial"/>
              </w:rPr>
            </w:pPr>
            <w:r w:rsidRPr="00BD48DC">
              <w:rPr>
                <w:rFonts w:cs="Arial"/>
                <w:i/>
                <w:iCs/>
              </w:rPr>
              <w:t xml:space="preserve">В. </w:t>
            </w:r>
            <w:proofErr w:type="spellStart"/>
            <w:r w:rsidRPr="00BD48DC">
              <w:rPr>
                <w:rFonts w:cs="Arial"/>
                <w:i/>
                <w:iCs/>
                <w:lang w:val="en-US"/>
              </w:rPr>
              <w:t>fragilis</w:t>
            </w:r>
            <w:proofErr w:type="spellEnd"/>
          </w:p>
        </w:tc>
      </w:tr>
      <w:tr w:rsidR="00BD48DC" w:rsidRPr="00BD48DC" w14:paraId="199F5026" w14:textId="77777777" w:rsidTr="00BD48DC">
        <w:tc>
          <w:tcPr>
            <w:tcW w:w="3116" w:type="dxa"/>
          </w:tcPr>
          <w:p w14:paraId="0E150D0C" w14:textId="5AFF69FF" w:rsidR="00BD48DC" w:rsidRPr="00BD48DC" w:rsidRDefault="00BD48DC" w:rsidP="00BD48DC">
            <w:pPr>
              <w:rPr>
                <w:rFonts w:cs="Arial"/>
              </w:rPr>
            </w:pPr>
            <w:r w:rsidRPr="00BD48DC">
              <w:rPr>
                <w:rFonts w:cs="Arial"/>
              </w:rPr>
              <w:t>Метронидазол самостоятелно</w:t>
            </w:r>
          </w:p>
        </w:tc>
        <w:tc>
          <w:tcPr>
            <w:tcW w:w="3117" w:type="dxa"/>
          </w:tcPr>
          <w:p w14:paraId="58A2353D" w14:textId="13923195" w:rsidR="00BD48DC" w:rsidRPr="00BD48DC" w:rsidRDefault="00BD48DC" w:rsidP="00BD48DC">
            <w:pPr>
              <w:rPr>
                <w:rFonts w:cs="Arial"/>
              </w:rPr>
            </w:pPr>
            <w:r w:rsidRPr="00BD48DC">
              <w:rPr>
                <w:rFonts w:cs="Arial"/>
              </w:rPr>
              <w:t>0,25</w:t>
            </w:r>
          </w:p>
        </w:tc>
        <w:tc>
          <w:tcPr>
            <w:tcW w:w="3117" w:type="dxa"/>
          </w:tcPr>
          <w:p w14:paraId="61E1419F" w14:textId="6A84E1B7" w:rsidR="00BD48DC" w:rsidRPr="00BD48DC" w:rsidRDefault="00BD48DC" w:rsidP="00BD48DC">
            <w:pPr>
              <w:rPr>
                <w:rFonts w:cs="Arial"/>
              </w:rPr>
            </w:pPr>
            <w:r w:rsidRPr="00BD48DC">
              <w:rPr>
                <w:rFonts w:cs="Arial"/>
              </w:rPr>
              <w:t>0,5</w:t>
            </w:r>
          </w:p>
        </w:tc>
      </w:tr>
      <w:tr w:rsidR="00BD48DC" w:rsidRPr="00BD48DC" w14:paraId="1D226DBC" w14:textId="77777777" w:rsidTr="00BD48DC">
        <w:tc>
          <w:tcPr>
            <w:tcW w:w="3116" w:type="dxa"/>
          </w:tcPr>
          <w:p w14:paraId="0FD27E0D" w14:textId="06D4195A" w:rsidR="00BD48DC" w:rsidRPr="00BD48DC" w:rsidRDefault="00BD48DC" w:rsidP="00BD48DC">
            <w:pPr>
              <w:rPr>
                <w:rFonts w:cs="Arial"/>
              </w:rPr>
            </w:pPr>
            <w:r w:rsidRPr="00BD48DC">
              <w:rPr>
                <w:rFonts w:cs="Arial"/>
              </w:rPr>
              <w:t>Метронидазол + спирамицин 0,125 μ</w:t>
            </w:r>
            <w:r w:rsidRPr="00BD48DC">
              <w:rPr>
                <w:rFonts w:cs="Arial"/>
                <w:lang w:val="en-US"/>
              </w:rPr>
              <w:t>g/ml</w:t>
            </w:r>
          </w:p>
        </w:tc>
        <w:tc>
          <w:tcPr>
            <w:tcW w:w="3117" w:type="dxa"/>
          </w:tcPr>
          <w:p w14:paraId="193A6DB3" w14:textId="11DD4C71" w:rsidR="00BD48DC" w:rsidRPr="00BD48DC" w:rsidRDefault="00BD48DC" w:rsidP="00BD48DC">
            <w:pPr>
              <w:rPr>
                <w:rFonts w:cs="Arial"/>
              </w:rPr>
            </w:pPr>
            <w:r w:rsidRPr="00BD48DC">
              <w:rPr>
                <w:rFonts w:cs="Arial"/>
              </w:rPr>
              <w:t>0,062</w:t>
            </w:r>
          </w:p>
        </w:tc>
        <w:tc>
          <w:tcPr>
            <w:tcW w:w="3117" w:type="dxa"/>
          </w:tcPr>
          <w:p w14:paraId="718F2F9C" w14:textId="71CA4E1C" w:rsidR="00BD48DC" w:rsidRPr="00BD48DC" w:rsidRDefault="00BD48DC" w:rsidP="00BD48DC">
            <w:pPr>
              <w:rPr>
                <w:rFonts w:cs="Arial"/>
              </w:rPr>
            </w:pPr>
            <w:r w:rsidRPr="00BD48DC">
              <w:rPr>
                <w:rFonts w:cs="Arial"/>
              </w:rPr>
              <w:t>0,125</w:t>
            </w:r>
          </w:p>
        </w:tc>
      </w:tr>
      <w:tr w:rsidR="00BD48DC" w:rsidRPr="00BD48DC" w14:paraId="15DB5C85" w14:textId="77777777" w:rsidTr="00BD48DC">
        <w:tc>
          <w:tcPr>
            <w:tcW w:w="3116" w:type="dxa"/>
          </w:tcPr>
          <w:p w14:paraId="4CD874BA" w14:textId="792377D0" w:rsidR="00BD48DC" w:rsidRPr="00BD48DC" w:rsidRDefault="00BD48DC" w:rsidP="00BD48DC">
            <w:pPr>
              <w:rPr>
                <w:rFonts w:cs="Arial"/>
              </w:rPr>
            </w:pPr>
            <w:r w:rsidRPr="00BD48DC">
              <w:rPr>
                <w:rFonts w:cs="Arial"/>
              </w:rPr>
              <w:t>Спирамицин самостоятелно</w:t>
            </w:r>
          </w:p>
        </w:tc>
        <w:tc>
          <w:tcPr>
            <w:tcW w:w="3117" w:type="dxa"/>
          </w:tcPr>
          <w:p w14:paraId="2702DC96" w14:textId="60B85947" w:rsidR="00BD48DC" w:rsidRPr="00BD48DC" w:rsidRDefault="00BD48DC" w:rsidP="00BD48DC">
            <w:pPr>
              <w:rPr>
                <w:rFonts w:cs="Arial"/>
              </w:rPr>
            </w:pPr>
            <w:r w:rsidRPr="00BD48DC">
              <w:rPr>
                <w:rFonts w:cs="Arial"/>
              </w:rPr>
              <w:t>2</w:t>
            </w:r>
          </w:p>
        </w:tc>
        <w:tc>
          <w:tcPr>
            <w:tcW w:w="3117" w:type="dxa"/>
          </w:tcPr>
          <w:p w14:paraId="33D5383D" w14:textId="1B45D63B" w:rsidR="00BD48DC" w:rsidRPr="00BD48DC" w:rsidRDefault="00BD48DC" w:rsidP="00BD48DC">
            <w:pPr>
              <w:rPr>
                <w:rFonts w:cs="Arial"/>
              </w:rPr>
            </w:pPr>
            <w:r w:rsidRPr="00BD48DC">
              <w:rPr>
                <w:rFonts w:cs="Arial"/>
              </w:rPr>
              <w:t>32</w:t>
            </w:r>
          </w:p>
        </w:tc>
      </w:tr>
      <w:tr w:rsidR="00BD48DC" w:rsidRPr="00BD48DC" w14:paraId="38A8B5CD" w14:textId="77777777" w:rsidTr="00CB6B1D">
        <w:tc>
          <w:tcPr>
            <w:tcW w:w="9350" w:type="dxa"/>
            <w:gridSpan w:val="3"/>
          </w:tcPr>
          <w:p w14:paraId="1F952B3E" w14:textId="6B04E462" w:rsidR="00BD48DC" w:rsidRPr="00BD48DC" w:rsidRDefault="00BD48DC" w:rsidP="0091385D">
            <w:pPr>
              <w:rPr>
                <w:rFonts w:cs="Arial"/>
              </w:rPr>
            </w:pPr>
            <w:r w:rsidRPr="00BD48DC">
              <w:rPr>
                <w:rFonts w:cs="Arial"/>
              </w:rPr>
              <w:t>Спирамицин + 0,125 μ</w:t>
            </w:r>
            <w:r w:rsidRPr="00BD48DC">
              <w:rPr>
                <w:rFonts w:cs="Arial"/>
                <w:lang w:val="en-US"/>
              </w:rPr>
              <w:t xml:space="preserve">g/ml </w:t>
            </w:r>
            <w:r w:rsidRPr="00BD48DC">
              <w:rPr>
                <w:rFonts w:cs="Arial"/>
              </w:rPr>
              <w:t>метронидазол 0,125</w:t>
            </w:r>
          </w:p>
        </w:tc>
      </w:tr>
    </w:tbl>
    <w:p w14:paraId="1D76DC41" w14:textId="61385C50" w:rsidR="00BD48DC" w:rsidRPr="0091385D" w:rsidRDefault="00BD48DC" w:rsidP="0091385D"/>
    <w:p w14:paraId="5031193D" w14:textId="408B9A83" w:rsidR="0091385D" w:rsidRDefault="002C50EE" w:rsidP="007A2185">
      <w:pPr>
        <w:pStyle w:val="Heading2"/>
      </w:pPr>
      <w:r>
        <w:t>5.2. Фармакокинетични свойства</w:t>
      </w:r>
    </w:p>
    <w:p w14:paraId="46B35D05" w14:textId="6A0462F4" w:rsidR="007A2185" w:rsidRDefault="007A2185" w:rsidP="007A2185"/>
    <w:p w14:paraId="3EF727A0" w14:textId="77777777" w:rsidR="00BD48DC" w:rsidRPr="00BD48DC" w:rsidRDefault="00BD48DC" w:rsidP="00BD48DC">
      <w:pPr>
        <w:spacing w:line="240" w:lineRule="auto"/>
        <w:rPr>
          <w:rFonts w:eastAsia="Times New Roman" w:cs="Arial"/>
          <w:lang w:eastAsia="bg-BG"/>
        </w:rPr>
      </w:pPr>
      <w:r w:rsidRPr="00BD48DC">
        <w:rPr>
          <w:rFonts w:eastAsia="Times New Roman" w:cs="Arial"/>
          <w:i/>
          <w:iCs/>
          <w:color w:val="000000"/>
          <w:lang w:eastAsia="bg-BG"/>
        </w:rPr>
        <w:t>Спирамицин</w:t>
      </w:r>
    </w:p>
    <w:p w14:paraId="69A63878" w14:textId="77777777" w:rsidR="00BD48DC" w:rsidRPr="00BD48DC" w:rsidRDefault="00BD48DC" w:rsidP="00BD48DC">
      <w:pPr>
        <w:spacing w:line="240" w:lineRule="auto"/>
        <w:rPr>
          <w:rFonts w:eastAsia="Times New Roman" w:cs="Arial"/>
          <w:color w:val="000000"/>
          <w:u w:val="single"/>
          <w:lang w:eastAsia="bg-BG"/>
        </w:rPr>
      </w:pPr>
    </w:p>
    <w:p w14:paraId="2AB7F142" w14:textId="2BE41FD7" w:rsidR="00BD48DC" w:rsidRPr="00BD48DC" w:rsidRDefault="00BD48DC" w:rsidP="00BD48DC">
      <w:pPr>
        <w:pStyle w:val="Heading3"/>
        <w:rPr>
          <w:rFonts w:eastAsia="Times New Roman"/>
          <w:u w:val="single"/>
          <w:lang w:eastAsia="bg-BG"/>
        </w:rPr>
      </w:pPr>
      <w:r w:rsidRPr="00BD48DC">
        <w:rPr>
          <w:rFonts w:eastAsia="Times New Roman"/>
          <w:u w:val="single"/>
          <w:lang w:eastAsia="bg-BG"/>
        </w:rPr>
        <w:t>Абсорбция</w:t>
      </w:r>
    </w:p>
    <w:p w14:paraId="6DAF2A12" w14:textId="77777777" w:rsidR="00BD48DC" w:rsidRPr="00BD48DC" w:rsidRDefault="00BD48DC" w:rsidP="00BD48DC">
      <w:pPr>
        <w:spacing w:line="240" w:lineRule="auto"/>
        <w:rPr>
          <w:rFonts w:eastAsia="Times New Roman" w:cs="Arial"/>
          <w:lang w:eastAsia="bg-BG"/>
        </w:rPr>
      </w:pPr>
      <w:r w:rsidRPr="00BD48DC">
        <w:rPr>
          <w:rFonts w:eastAsia="Times New Roman" w:cs="Arial"/>
          <w:color w:val="000000"/>
          <w:lang w:eastAsia="bg-BG"/>
        </w:rPr>
        <w:t>Спирамицин се абсорбира бързо, макар и непълно. Храната не влияе на абсорбцията.</w:t>
      </w:r>
    </w:p>
    <w:p w14:paraId="73EDDE1C" w14:textId="77777777" w:rsidR="00BD48DC" w:rsidRPr="00BD48DC" w:rsidRDefault="00BD48DC" w:rsidP="00BD48DC">
      <w:pPr>
        <w:spacing w:line="240" w:lineRule="auto"/>
        <w:rPr>
          <w:rFonts w:eastAsia="Times New Roman" w:cs="Arial"/>
          <w:lang w:eastAsia="bg-BG"/>
        </w:rPr>
      </w:pPr>
    </w:p>
    <w:p w14:paraId="076ED5D5" w14:textId="77777777" w:rsidR="00BD48DC" w:rsidRPr="00BD48DC" w:rsidRDefault="00BD48DC" w:rsidP="00BD48DC">
      <w:pPr>
        <w:pStyle w:val="Heading3"/>
        <w:rPr>
          <w:rFonts w:eastAsia="Times New Roman"/>
          <w:u w:val="single"/>
          <w:lang w:eastAsia="bg-BG"/>
        </w:rPr>
      </w:pPr>
      <w:r w:rsidRPr="00BD48DC">
        <w:rPr>
          <w:rFonts w:eastAsia="Times New Roman"/>
          <w:u w:val="single"/>
          <w:lang w:eastAsia="bg-BG"/>
        </w:rPr>
        <w:t>Разпределение</w:t>
      </w:r>
    </w:p>
    <w:p w14:paraId="7890AB75" w14:textId="77777777" w:rsidR="00BD48DC" w:rsidRPr="00BD48DC" w:rsidRDefault="00BD48DC" w:rsidP="00BD48DC">
      <w:pPr>
        <w:rPr>
          <w:rFonts w:eastAsia="Times New Roman" w:cs="Arial"/>
          <w:lang w:eastAsia="bg-BG"/>
        </w:rPr>
      </w:pPr>
      <w:r w:rsidRPr="00BD48DC">
        <w:rPr>
          <w:rFonts w:eastAsia="Times New Roman" w:cs="Arial"/>
          <w:color w:val="000000"/>
          <w:lang w:eastAsia="bg-BG"/>
        </w:rPr>
        <w:t>След перорален прием на 6 М</w:t>
      </w:r>
      <w:r w:rsidRPr="00BD48DC">
        <w:rPr>
          <w:rFonts w:eastAsia="Times New Roman" w:cs="Arial"/>
          <w:color w:val="000000"/>
          <w:lang w:val="en-US"/>
        </w:rPr>
        <w:t>IU</w:t>
      </w:r>
      <w:r w:rsidRPr="00BD48DC">
        <w:rPr>
          <w:rFonts w:eastAsia="Times New Roman" w:cs="Arial"/>
          <w:color w:val="000000"/>
          <w:lang w:eastAsia="bg-BG"/>
        </w:rPr>
        <w:t>, плазмената концентрация достига пик от 3,3 μ</w:t>
      </w:r>
      <w:r w:rsidRPr="00BD48DC">
        <w:rPr>
          <w:rFonts w:eastAsia="Times New Roman" w:cs="Arial"/>
          <w:color w:val="000000"/>
          <w:lang w:val="en-US"/>
        </w:rPr>
        <w:t>g/ml.</w:t>
      </w:r>
      <w:r w:rsidRPr="00BD48DC">
        <w:rPr>
          <w:rFonts w:eastAsia="Times New Roman" w:cs="Arial"/>
          <w:color w:val="000000"/>
          <w:lang w:eastAsia="bg-BG"/>
        </w:rPr>
        <w:t xml:space="preserve"> Плазменият полуживот е приблизително 8 часа. Спирамицин не преминава в цереброспиналната течност. Той се излъчва в майчиното мляко. Свързването с плазмените протеини е ниско (10%). Разпределението на активното вещество в плазмата и тъканите е много добро (бял дроб: 20-60 μ</w:t>
      </w:r>
      <w:r w:rsidRPr="00BD48DC">
        <w:rPr>
          <w:rFonts w:eastAsia="Times New Roman" w:cs="Arial"/>
          <w:color w:val="000000"/>
          <w:lang w:val="en-US"/>
        </w:rPr>
        <w:t xml:space="preserve">g/g, </w:t>
      </w:r>
      <w:r w:rsidRPr="00BD48DC">
        <w:rPr>
          <w:rFonts w:eastAsia="Times New Roman" w:cs="Arial"/>
          <w:color w:val="000000"/>
          <w:lang w:eastAsia="bg-BG"/>
        </w:rPr>
        <w:t>сливици: 20-80 μ</w:t>
      </w:r>
      <w:r w:rsidRPr="00BD48DC">
        <w:rPr>
          <w:rFonts w:eastAsia="Times New Roman" w:cs="Arial"/>
          <w:color w:val="000000"/>
          <w:lang w:val="en-US"/>
        </w:rPr>
        <w:t xml:space="preserve">g/g, </w:t>
      </w:r>
      <w:r w:rsidRPr="00BD48DC">
        <w:rPr>
          <w:rFonts w:eastAsia="Times New Roman" w:cs="Arial"/>
          <w:color w:val="000000"/>
          <w:lang w:eastAsia="bg-BG"/>
        </w:rPr>
        <w:t xml:space="preserve">инфектирани синуси: </w:t>
      </w:r>
      <w:r w:rsidRPr="00BD48DC">
        <w:rPr>
          <w:rFonts w:eastAsia="Times New Roman" w:cs="Arial"/>
          <w:color w:val="000000"/>
          <w:lang w:eastAsia="bg-BG"/>
        </w:rPr>
        <w:lastRenderedPageBreak/>
        <w:t>75-110 μ</w:t>
      </w:r>
      <w:r w:rsidRPr="00BD48DC">
        <w:rPr>
          <w:rFonts w:eastAsia="Times New Roman" w:cs="Arial"/>
          <w:color w:val="000000"/>
          <w:lang w:val="en-US"/>
        </w:rPr>
        <w:t xml:space="preserve">g/g, </w:t>
      </w:r>
      <w:r w:rsidRPr="00BD48DC">
        <w:rPr>
          <w:rFonts w:eastAsia="Times New Roman" w:cs="Arial"/>
          <w:color w:val="000000"/>
          <w:lang w:eastAsia="bg-BG"/>
        </w:rPr>
        <w:t>кости: 5- 100 μ</w:t>
      </w:r>
      <w:r w:rsidRPr="00BD48DC">
        <w:rPr>
          <w:rFonts w:eastAsia="Times New Roman" w:cs="Arial"/>
          <w:color w:val="000000"/>
          <w:lang w:val="en-US"/>
        </w:rPr>
        <w:t xml:space="preserve">g/g). </w:t>
      </w:r>
      <w:r w:rsidRPr="00BD48DC">
        <w:rPr>
          <w:rFonts w:eastAsia="Times New Roman" w:cs="Arial"/>
          <w:color w:val="000000"/>
          <w:lang w:eastAsia="bg-BG"/>
        </w:rPr>
        <w:t>Десет дни след прекъсване приема, нивото на активното вещество в далака, черния дроб и бъбреците е 5 до 7 μ</w:t>
      </w:r>
      <w:r w:rsidRPr="00BD48DC">
        <w:rPr>
          <w:rFonts w:eastAsia="Times New Roman" w:cs="Arial"/>
          <w:color w:val="000000"/>
          <w:lang w:val="en-US"/>
        </w:rPr>
        <w:t xml:space="preserve">g/g. </w:t>
      </w:r>
      <w:r w:rsidRPr="00BD48DC">
        <w:rPr>
          <w:rFonts w:eastAsia="Times New Roman" w:cs="Arial"/>
          <w:color w:val="000000"/>
          <w:lang w:eastAsia="bg-BG"/>
        </w:rPr>
        <w:t>Макролидите проникват и се натрупват във фагоцитите (неутрофили, моноцити, перитонеални и алвеоларни макрофаги). В човешките фагоцити се наблюдават високи концентрации. Активността на макролидите спрямо интрацелуларните бактерии се дължи на тези свойства.</w:t>
      </w:r>
    </w:p>
    <w:p w14:paraId="1DD653C0" w14:textId="77777777" w:rsidR="00BD48DC" w:rsidRPr="00BD48DC" w:rsidRDefault="00BD48DC" w:rsidP="00BD48DC">
      <w:pPr>
        <w:spacing w:line="240" w:lineRule="auto"/>
        <w:rPr>
          <w:rFonts w:eastAsia="Times New Roman" w:cs="Arial"/>
          <w:color w:val="000000"/>
          <w:u w:val="single"/>
          <w:lang w:eastAsia="bg-BG"/>
        </w:rPr>
      </w:pPr>
    </w:p>
    <w:p w14:paraId="610EA65B" w14:textId="3AC11F30" w:rsidR="00BD48DC" w:rsidRPr="00BD48DC" w:rsidRDefault="00BD48DC" w:rsidP="00BD48DC">
      <w:pPr>
        <w:pStyle w:val="Heading3"/>
        <w:rPr>
          <w:rFonts w:eastAsia="Times New Roman"/>
          <w:u w:val="single"/>
          <w:lang w:eastAsia="bg-BG"/>
        </w:rPr>
      </w:pPr>
      <w:r w:rsidRPr="00BD48DC">
        <w:rPr>
          <w:rFonts w:eastAsia="Times New Roman"/>
          <w:u w:val="single"/>
          <w:lang w:eastAsia="bg-BG"/>
        </w:rPr>
        <w:t>Биотрансформация</w:t>
      </w:r>
    </w:p>
    <w:p w14:paraId="0A10DED5" w14:textId="77777777" w:rsidR="00BD48DC" w:rsidRPr="00BD48DC" w:rsidRDefault="00BD48DC" w:rsidP="00BD48DC">
      <w:pPr>
        <w:spacing w:line="240" w:lineRule="auto"/>
        <w:rPr>
          <w:rFonts w:eastAsia="Times New Roman" w:cs="Arial"/>
          <w:lang w:eastAsia="bg-BG"/>
        </w:rPr>
      </w:pPr>
      <w:r w:rsidRPr="00BD48DC">
        <w:rPr>
          <w:rFonts w:eastAsia="Times New Roman" w:cs="Arial"/>
          <w:color w:val="000000"/>
          <w:lang w:eastAsia="bg-BG"/>
        </w:rPr>
        <w:t>Спирамицин се метаболизира в черния дроб и в резултат се получават химически неиндентифицирани, но активни метаболити.</w:t>
      </w:r>
    </w:p>
    <w:p w14:paraId="36EF9FA4" w14:textId="77777777" w:rsidR="00BD48DC" w:rsidRPr="00BD48DC" w:rsidRDefault="00BD48DC" w:rsidP="00BD48DC">
      <w:pPr>
        <w:spacing w:line="240" w:lineRule="auto"/>
        <w:rPr>
          <w:rFonts w:eastAsia="Times New Roman" w:cs="Arial"/>
          <w:color w:val="000000"/>
          <w:u w:val="single"/>
          <w:lang w:eastAsia="bg-BG"/>
        </w:rPr>
      </w:pPr>
    </w:p>
    <w:p w14:paraId="444148D3" w14:textId="4257A206" w:rsidR="00BD48DC" w:rsidRPr="00BD48DC" w:rsidRDefault="00BD48DC" w:rsidP="00BD48DC">
      <w:pPr>
        <w:pStyle w:val="Heading3"/>
        <w:rPr>
          <w:rFonts w:eastAsia="Times New Roman"/>
          <w:u w:val="single"/>
          <w:lang w:eastAsia="bg-BG"/>
        </w:rPr>
      </w:pPr>
      <w:r w:rsidRPr="00BD48DC">
        <w:rPr>
          <w:rFonts w:eastAsia="Times New Roman"/>
          <w:u w:val="single"/>
          <w:lang w:eastAsia="bg-BG"/>
        </w:rPr>
        <w:t>Елиминиране</w:t>
      </w:r>
    </w:p>
    <w:p w14:paraId="5B86795D" w14:textId="77777777" w:rsidR="00BD48DC" w:rsidRPr="00BD48DC" w:rsidRDefault="00BD48DC" w:rsidP="00BD48DC">
      <w:pPr>
        <w:pStyle w:val="ListParagraph"/>
        <w:numPr>
          <w:ilvl w:val="0"/>
          <w:numId w:val="47"/>
        </w:numPr>
        <w:spacing w:line="240" w:lineRule="auto"/>
        <w:rPr>
          <w:rFonts w:eastAsia="Times New Roman" w:cs="Arial"/>
          <w:lang w:eastAsia="bg-BG"/>
        </w:rPr>
      </w:pPr>
      <w:r w:rsidRPr="00BD48DC">
        <w:rPr>
          <w:rFonts w:eastAsia="Times New Roman" w:cs="Arial"/>
          <w:color w:val="000000"/>
          <w:lang w:eastAsia="bg-BG"/>
        </w:rPr>
        <w:t>Чрез урината около 10% от приетата доза</w:t>
      </w:r>
    </w:p>
    <w:p w14:paraId="6E20F224" w14:textId="77777777" w:rsidR="00BD48DC" w:rsidRPr="00BD48DC" w:rsidRDefault="00BD48DC" w:rsidP="00BD48DC">
      <w:pPr>
        <w:pStyle w:val="ListParagraph"/>
        <w:numPr>
          <w:ilvl w:val="0"/>
          <w:numId w:val="47"/>
        </w:numPr>
        <w:spacing w:line="240" w:lineRule="auto"/>
        <w:rPr>
          <w:rFonts w:eastAsia="Times New Roman" w:cs="Arial"/>
          <w:lang w:eastAsia="bg-BG"/>
        </w:rPr>
      </w:pPr>
      <w:r w:rsidRPr="00BD48DC">
        <w:rPr>
          <w:rFonts w:eastAsia="Times New Roman" w:cs="Arial"/>
          <w:color w:val="000000"/>
          <w:lang w:eastAsia="bg-BG"/>
        </w:rPr>
        <w:t>Отделя се чрез урината и жлъчката, където нивата са много по-високи - 15 до 40 пъти спрямо плазмените нива</w:t>
      </w:r>
    </w:p>
    <w:p w14:paraId="5C8C469F" w14:textId="671A1192" w:rsidR="00BD48DC" w:rsidRPr="00BD48DC" w:rsidRDefault="00BD48DC" w:rsidP="00BD48DC">
      <w:pPr>
        <w:pStyle w:val="ListParagraph"/>
        <w:numPr>
          <w:ilvl w:val="0"/>
          <w:numId w:val="47"/>
        </w:numPr>
        <w:spacing w:line="240" w:lineRule="auto"/>
        <w:rPr>
          <w:rFonts w:eastAsia="Times New Roman" w:cs="Arial"/>
          <w:lang w:eastAsia="bg-BG"/>
        </w:rPr>
      </w:pPr>
      <w:r w:rsidRPr="00BD48DC">
        <w:rPr>
          <w:rFonts w:eastAsia="Times New Roman" w:cs="Arial"/>
          <w:color w:val="000000"/>
          <w:lang w:eastAsia="bg-BG"/>
        </w:rPr>
        <w:t>Може да бъде открит във фекалиите</w:t>
      </w:r>
    </w:p>
    <w:p w14:paraId="2E06319A" w14:textId="77777777" w:rsidR="00BD48DC" w:rsidRPr="00BD48DC" w:rsidRDefault="00BD48DC" w:rsidP="00BD48DC">
      <w:pPr>
        <w:spacing w:line="240" w:lineRule="auto"/>
        <w:rPr>
          <w:rFonts w:eastAsia="Times New Roman" w:cs="Arial"/>
          <w:i/>
          <w:iCs/>
          <w:color w:val="000000"/>
          <w:lang w:eastAsia="bg-BG"/>
        </w:rPr>
      </w:pPr>
    </w:p>
    <w:p w14:paraId="0C7E390D" w14:textId="21CC19CA" w:rsidR="00BD48DC" w:rsidRPr="00BD48DC" w:rsidRDefault="00BD48DC" w:rsidP="00BD48DC">
      <w:pPr>
        <w:spacing w:line="240" w:lineRule="auto"/>
        <w:rPr>
          <w:rFonts w:eastAsia="Times New Roman" w:cs="Arial"/>
          <w:lang w:eastAsia="bg-BG"/>
        </w:rPr>
      </w:pPr>
      <w:r w:rsidRPr="00BD48DC">
        <w:rPr>
          <w:rFonts w:eastAsia="Times New Roman" w:cs="Arial"/>
          <w:i/>
          <w:iCs/>
          <w:color w:val="000000"/>
          <w:lang w:eastAsia="bg-BG"/>
        </w:rPr>
        <w:t>Метронидазол</w:t>
      </w:r>
    </w:p>
    <w:p w14:paraId="0D282875" w14:textId="77777777" w:rsidR="00BD48DC" w:rsidRPr="00BD48DC" w:rsidRDefault="00BD48DC" w:rsidP="00BD48DC">
      <w:pPr>
        <w:spacing w:line="240" w:lineRule="auto"/>
        <w:rPr>
          <w:rFonts w:eastAsia="Times New Roman" w:cs="Arial"/>
          <w:color w:val="000000"/>
          <w:lang w:eastAsia="bg-BG"/>
        </w:rPr>
      </w:pPr>
    </w:p>
    <w:p w14:paraId="615F61CA" w14:textId="3EA9A4E8" w:rsidR="00BD48DC" w:rsidRPr="00BD48DC" w:rsidRDefault="00BD48DC" w:rsidP="00BD48DC">
      <w:pPr>
        <w:spacing w:line="240" w:lineRule="auto"/>
        <w:rPr>
          <w:rFonts w:eastAsia="Times New Roman" w:cs="Arial"/>
          <w:lang w:eastAsia="bg-BG"/>
        </w:rPr>
      </w:pPr>
      <w:r w:rsidRPr="00BD48DC">
        <w:rPr>
          <w:rFonts w:eastAsia="Times New Roman" w:cs="Arial"/>
          <w:color w:val="000000"/>
          <w:lang w:eastAsia="bg-BG"/>
        </w:rPr>
        <w:t>След перорален прием метронидазол се абсорбира много бързо, почти 80% за 1 час. След перорално приложение достигнатият на пик на плазмената концентрация е съизмерим с този при парентерално приложение.</w:t>
      </w:r>
    </w:p>
    <w:p w14:paraId="233779D2" w14:textId="77777777" w:rsidR="00BD48DC" w:rsidRPr="00BD48DC" w:rsidRDefault="00BD48DC" w:rsidP="00BD48DC">
      <w:pPr>
        <w:spacing w:line="240" w:lineRule="auto"/>
        <w:rPr>
          <w:rFonts w:eastAsia="Times New Roman" w:cs="Arial"/>
          <w:lang w:eastAsia="bg-BG"/>
        </w:rPr>
      </w:pPr>
      <w:r w:rsidRPr="00BD48DC">
        <w:rPr>
          <w:rFonts w:eastAsia="Times New Roman" w:cs="Arial"/>
          <w:color w:val="000000"/>
          <w:lang w:eastAsia="bg-BG"/>
        </w:rPr>
        <w:t>Бионаличността е 100% при перорален прием. Тя не се влияе при приемането на храна.</w:t>
      </w:r>
    </w:p>
    <w:p w14:paraId="460A6E51" w14:textId="77777777" w:rsidR="00BD48DC" w:rsidRPr="00BD48DC" w:rsidRDefault="00BD48DC" w:rsidP="00BD48DC">
      <w:pPr>
        <w:spacing w:line="240" w:lineRule="auto"/>
        <w:rPr>
          <w:rFonts w:eastAsia="Times New Roman" w:cs="Arial"/>
          <w:color w:val="000000"/>
          <w:u w:val="single"/>
          <w:lang w:eastAsia="bg-BG"/>
        </w:rPr>
      </w:pPr>
    </w:p>
    <w:p w14:paraId="2249354C" w14:textId="58A4D19E" w:rsidR="00BD48DC" w:rsidRPr="00BD48DC" w:rsidRDefault="00BD48DC" w:rsidP="00BD48DC">
      <w:pPr>
        <w:pStyle w:val="Heading3"/>
        <w:rPr>
          <w:rFonts w:eastAsia="Times New Roman"/>
          <w:u w:val="single"/>
          <w:lang w:eastAsia="bg-BG"/>
        </w:rPr>
      </w:pPr>
      <w:r w:rsidRPr="00BD48DC">
        <w:rPr>
          <w:rFonts w:eastAsia="Times New Roman"/>
          <w:u w:val="single"/>
          <w:lang w:eastAsia="bg-BG"/>
        </w:rPr>
        <w:t>Разпределение</w:t>
      </w:r>
    </w:p>
    <w:p w14:paraId="6D8E6D70" w14:textId="77777777" w:rsidR="00BD48DC" w:rsidRPr="00BD48DC" w:rsidRDefault="00BD48DC" w:rsidP="00BD48DC">
      <w:pPr>
        <w:spacing w:line="240" w:lineRule="auto"/>
        <w:rPr>
          <w:rFonts w:eastAsia="Times New Roman" w:cs="Arial"/>
          <w:lang w:eastAsia="bg-BG"/>
        </w:rPr>
      </w:pPr>
      <w:r w:rsidRPr="00BD48DC">
        <w:rPr>
          <w:rFonts w:eastAsia="Times New Roman" w:cs="Arial"/>
          <w:color w:val="000000"/>
          <w:lang w:eastAsia="bg-BG"/>
        </w:rPr>
        <w:t xml:space="preserve">Приблизително 1 час след прием на доза от 500 </w:t>
      </w:r>
      <w:r w:rsidRPr="00BD48DC">
        <w:rPr>
          <w:rFonts w:eastAsia="Times New Roman" w:cs="Arial"/>
          <w:color w:val="000000"/>
          <w:lang w:val="en-US"/>
        </w:rPr>
        <w:t xml:space="preserve">mg, </w:t>
      </w:r>
      <w:r w:rsidRPr="00BD48DC">
        <w:rPr>
          <w:rFonts w:eastAsia="Times New Roman" w:cs="Arial"/>
          <w:color w:val="000000"/>
          <w:lang w:eastAsia="bg-BG"/>
        </w:rPr>
        <w:t>плазмена концентрация достига пик от 10 μ</w:t>
      </w:r>
      <w:r w:rsidRPr="00BD48DC">
        <w:rPr>
          <w:rFonts w:eastAsia="Times New Roman" w:cs="Arial"/>
          <w:color w:val="000000"/>
          <w:lang w:val="en-US"/>
        </w:rPr>
        <w:t xml:space="preserve">g/ml. </w:t>
      </w:r>
      <w:r w:rsidRPr="00BD48DC">
        <w:rPr>
          <w:rFonts w:eastAsia="Times New Roman" w:cs="Arial"/>
          <w:color w:val="000000"/>
          <w:lang w:eastAsia="bg-BG"/>
        </w:rPr>
        <w:t>След три часа средната плазмена концентрация е 13,5 μ</w:t>
      </w:r>
      <w:r w:rsidRPr="00BD48DC">
        <w:rPr>
          <w:rFonts w:eastAsia="Times New Roman" w:cs="Arial"/>
          <w:color w:val="000000"/>
          <w:lang w:val="en-US"/>
        </w:rPr>
        <w:t>g/ml.</w:t>
      </w:r>
    </w:p>
    <w:p w14:paraId="0C0950CF" w14:textId="77777777" w:rsidR="00BD48DC" w:rsidRPr="00BD48DC" w:rsidRDefault="00BD48DC" w:rsidP="00BD48DC">
      <w:pPr>
        <w:spacing w:line="240" w:lineRule="auto"/>
        <w:rPr>
          <w:rFonts w:eastAsia="Times New Roman" w:cs="Arial"/>
          <w:lang w:eastAsia="bg-BG"/>
        </w:rPr>
      </w:pPr>
      <w:r w:rsidRPr="00BD48DC">
        <w:rPr>
          <w:rFonts w:eastAsia="Times New Roman" w:cs="Arial"/>
          <w:color w:val="000000"/>
          <w:lang w:eastAsia="bg-BG"/>
        </w:rPr>
        <w:t>Плазменият полуживот е приблизително 8 до 10 часа. Свързването с плазмените протеини е ниско, около 20%.</w:t>
      </w:r>
    </w:p>
    <w:p w14:paraId="5C6DD70F" w14:textId="77777777" w:rsidR="00BD48DC" w:rsidRPr="00BD48DC" w:rsidRDefault="00BD48DC" w:rsidP="00BD48DC">
      <w:pPr>
        <w:spacing w:line="240" w:lineRule="auto"/>
        <w:rPr>
          <w:rFonts w:eastAsia="Times New Roman" w:cs="Arial"/>
          <w:lang w:eastAsia="bg-BG"/>
        </w:rPr>
      </w:pPr>
      <w:r w:rsidRPr="00BD48DC">
        <w:rPr>
          <w:rFonts w:eastAsia="Times New Roman" w:cs="Arial"/>
          <w:color w:val="000000"/>
          <w:lang w:eastAsia="bg-BG"/>
        </w:rPr>
        <w:t xml:space="preserve">Привидният обем на разпределение е значим (около 40 </w:t>
      </w:r>
      <w:r w:rsidRPr="00BD48DC">
        <w:rPr>
          <w:rFonts w:eastAsia="Times New Roman" w:cs="Arial"/>
          <w:color w:val="000000"/>
          <w:lang w:val="en-US"/>
        </w:rPr>
        <w:t>l</w:t>
      </w:r>
      <w:r w:rsidRPr="00BD48DC">
        <w:rPr>
          <w:rFonts w:eastAsia="Times New Roman" w:cs="Arial"/>
          <w:color w:val="000000"/>
          <w:lang w:eastAsia="bg-BG"/>
        </w:rPr>
        <w:t xml:space="preserve"> или 0,65 </w:t>
      </w:r>
      <w:r w:rsidRPr="00BD48DC">
        <w:rPr>
          <w:rFonts w:eastAsia="Times New Roman" w:cs="Arial"/>
          <w:color w:val="000000"/>
          <w:lang w:val="en-US"/>
        </w:rPr>
        <w:t>l/kg).</w:t>
      </w:r>
    </w:p>
    <w:p w14:paraId="7CE04DAF" w14:textId="77777777" w:rsidR="00BD48DC" w:rsidRPr="00BD48DC" w:rsidRDefault="00BD48DC" w:rsidP="00BD48DC">
      <w:pPr>
        <w:spacing w:line="240" w:lineRule="auto"/>
        <w:rPr>
          <w:rFonts w:eastAsia="Times New Roman" w:cs="Arial"/>
          <w:lang w:eastAsia="bg-BG"/>
        </w:rPr>
      </w:pPr>
      <w:r w:rsidRPr="00BD48DC">
        <w:rPr>
          <w:rFonts w:eastAsia="Times New Roman" w:cs="Arial"/>
          <w:color w:val="000000"/>
          <w:lang w:eastAsia="bg-BG"/>
        </w:rPr>
        <w:t>Дифузията е бърза и с концентрации, подобни на серумнитев белия дроб, бъбреците, черния дроб, кожата, жлъчката, цереброспиналната течност, слюнката, семенната течност и вагиналните секрети. Метронидазол преминава през плацентата и се излъчва в майчиното мляко.</w:t>
      </w:r>
    </w:p>
    <w:p w14:paraId="59899DF0" w14:textId="77777777" w:rsidR="00BD48DC" w:rsidRPr="00BD48DC" w:rsidRDefault="00BD48DC" w:rsidP="00BD48DC">
      <w:pPr>
        <w:spacing w:line="240" w:lineRule="auto"/>
        <w:rPr>
          <w:rFonts w:eastAsia="Times New Roman" w:cs="Arial"/>
          <w:color w:val="000000"/>
          <w:u w:val="single"/>
          <w:lang w:eastAsia="bg-BG"/>
        </w:rPr>
      </w:pPr>
    </w:p>
    <w:p w14:paraId="441140B7" w14:textId="7E713EF8" w:rsidR="00BD48DC" w:rsidRPr="00BD48DC" w:rsidRDefault="00BD48DC" w:rsidP="00BD48DC">
      <w:pPr>
        <w:pStyle w:val="Heading3"/>
        <w:rPr>
          <w:rFonts w:eastAsia="Times New Roman"/>
          <w:u w:val="single"/>
          <w:lang w:eastAsia="bg-BG"/>
        </w:rPr>
      </w:pPr>
      <w:r w:rsidRPr="00BD48DC">
        <w:rPr>
          <w:rFonts w:eastAsia="Times New Roman"/>
          <w:u w:val="single"/>
          <w:lang w:eastAsia="bg-BG"/>
        </w:rPr>
        <w:t>Биотрансформация</w:t>
      </w:r>
    </w:p>
    <w:p w14:paraId="64EC75FC" w14:textId="77777777" w:rsidR="00BD48DC" w:rsidRPr="00BD48DC" w:rsidRDefault="00BD48DC" w:rsidP="00BD48DC">
      <w:pPr>
        <w:spacing w:line="240" w:lineRule="auto"/>
        <w:rPr>
          <w:rFonts w:eastAsia="Times New Roman" w:cs="Arial"/>
          <w:lang w:eastAsia="bg-BG"/>
        </w:rPr>
      </w:pPr>
      <w:r w:rsidRPr="00BD48DC">
        <w:rPr>
          <w:rFonts w:eastAsia="Times New Roman" w:cs="Arial"/>
          <w:color w:val="000000"/>
          <w:lang w:eastAsia="bg-BG"/>
        </w:rPr>
        <w:t>Метаболизмът се извършва главно в черния дроб. Два главни метаболита се получават при окислението:</w:t>
      </w:r>
    </w:p>
    <w:p w14:paraId="54066D7A" w14:textId="77777777" w:rsidR="00BD48DC" w:rsidRPr="00BD48DC" w:rsidRDefault="00BD48DC" w:rsidP="00BD48DC">
      <w:pPr>
        <w:pStyle w:val="ListParagraph"/>
        <w:numPr>
          <w:ilvl w:val="0"/>
          <w:numId w:val="48"/>
        </w:numPr>
        <w:spacing w:line="240" w:lineRule="auto"/>
        <w:rPr>
          <w:rFonts w:eastAsia="Times New Roman" w:cs="Arial"/>
          <w:lang w:eastAsia="bg-BG"/>
        </w:rPr>
      </w:pPr>
      <w:r w:rsidRPr="00BD48DC">
        <w:rPr>
          <w:rFonts w:eastAsia="Times New Roman" w:cs="Arial"/>
          <w:color w:val="000000"/>
          <w:lang w:eastAsia="bg-BG"/>
        </w:rPr>
        <w:t>„алкохолен“ метаболит (главен метаболит) с антибактериална активност спрямо анаеробни бактерии, който е около 30% от метронидазола и с елиминационен полуживот около 11 часа.</w:t>
      </w:r>
    </w:p>
    <w:p w14:paraId="1BEC6118" w14:textId="513AB389" w:rsidR="00BD48DC" w:rsidRPr="00BD48DC" w:rsidRDefault="00BD48DC" w:rsidP="00BD48DC">
      <w:pPr>
        <w:pStyle w:val="ListParagraph"/>
        <w:numPr>
          <w:ilvl w:val="0"/>
          <w:numId w:val="48"/>
        </w:numPr>
        <w:spacing w:line="240" w:lineRule="auto"/>
        <w:rPr>
          <w:rFonts w:eastAsia="Times New Roman" w:cs="Arial"/>
          <w:lang w:eastAsia="bg-BG"/>
        </w:rPr>
      </w:pPr>
      <w:r w:rsidRPr="00BD48DC">
        <w:rPr>
          <w:rFonts w:eastAsia="Times New Roman" w:cs="Arial"/>
          <w:color w:val="000000"/>
          <w:lang w:eastAsia="bg-BG"/>
        </w:rPr>
        <w:t>„кисел“ метаболит, който е в малко количество, с антибактериална активност с около 5% от тази на метронидазола.</w:t>
      </w:r>
    </w:p>
    <w:p w14:paraId="456E7D13" w14:textId="77777777" w:rsidR="00BD48DC" w:rsidRPr="00BD48DC" w:rsidRDefault="00BD48DC" w:rsidP="00BD48DC">
      <w:pPr>
        <w:spacing w:line="240" w:lineRule="auto"/>
        <w:rPr>
          <w:rFonts w:eastAsia="Times New Roman" w:cs="Arial"/>
          <w:color w:val="000000"/>
          <w:u w:val="single"/>
          <w:lang w:eastAsia="bg-BG"/>
        </w:rPr>
      </w:pPr>
    </w:p>
    <w:p w14:paraId="56559EFF" w14:textId="0F7CE51F" w:rsidR="00BD48DC" w:rsidRPr="00BD48DC" w:rsidRDefault="00BD48DC" w:rsidP="00BD48DC">
      <w:pPr>
        <w:pStyle w:val="Heading3"/>
        <w:rPr>
          <w:rFonts w:eastAsia="Times New Roman"/>
          <w:u w:val="single"/>
          <w:lang w:eastAsia="bg-BG"/>
        </w:rPr>
      </w:pPr>
      <w:r w:rsidRPr="00BD48DC">
        <w:rPr>
          <w:rFonts w:eastAsia="Times New Roman"/>
          <w:u w:val="single"/>
          <w:lang w:eastAsia="bg-BG"/>
        </w:rPr>
        <w:t>Елиминиране</w:t>
      </w:r>
    </w:p>
    <w:p w14:paraId="2DC18F34" w14:textId="77777777" w:rsidR="00BD48DC" w:rsidRPr="00BD48DC" w:rsidRDefault="00BD48DC" w:rsidP="00BD48DC">
      <w:pPr>
        <w:spacing w:line="240" w:lineRule="auto"/>
        <w:rPr>
          <w:rFonts w:eastAsia="Times New Roman" w:cs="Arial"/>
          <w:lang w:eastAsia="bg-BG"/>
        </w:rPr>
      </w:pPr>
      <w:r w:rsidRPr="00BD48DC">
        <w:rPr>
          <w:rFonts w:eastAsia="Times New Roman" w:cs="Arial"/>
          <w:color w:val="000000"/>
          <w:lang w:eastAsia="bg-BG"/>
        </w:rPr>
        <w:t>Концентрациите в черния дроб и жлъчката са високи. Концентрацията в червата е ниска. Отделянето с фекалиите е ниско. Отделянето от организма се извършва главно чрез урината, като метронидазол и окислените му метаболити, които се откриват в урината са от около 35 до 65% от приетата доза.</w:t>
      </w:r>
    </w:p>
    <w:p w14:paraId="6EA32C67" w14:textId="77777777" w:rsidR="00BD48DC" w:rsidRPr="00BD48DC" w:rsidRDefault="00BD48DC" w:rsidP="00BD48DC">
      <w:pPr>
        <w:spacing w:line="240" w:lineRule="auto"/>
        <w:rPr>
          <w:rFonts w:eastAsia="Times New Roman" w:cs="Arial"/>
          <w:i/>
          <w:iCs/>
          <w:color w:val="000000"/>
          <w:lang w:eastAsia="bg-BG"/>
        </w:rPr>
      </w:pPr>
    </w:p>
    <w:p w14:paraId="759F8D50" w14:textId="1937040D" w:rsidR="00BD48DC" w:rsidRPr="00BD48DC" w:rsidRDefault="00BD48DC" w:rsidP="00BD48DC">
      <w:pPr>
        <w:spacing w:line="240" w:lineRule="auto"/>
        <w:rPr>
          <w:rFonts w:eastAsia="Times New Roman" w:cs="Arial"/>
          <w:lang w:eastAsia="bg-BG"/>
        </w:rPr>
      </w:pPr>
      <w:r w:rsidRPr="00BD48DC">
        <w:rPr>
          <w:rFonts w:eastAsia="Times New Roman" w:cs="Arial"/>
          <w:i/>
          <w:iCs/>
          <w:color w:val="000000"/>
          <w:lang w:eastAsia="bg-BG"/>
        </w:rPr>
        <w:t>Разпределение в букално-зъбната област</w:t>
      </w:r>
    </w:p>
    <w:p w14:paraId="45551830" w14:textId="0F34378E" w:rsidR="007A2185" w:rsidRPr="00BD48DC" w:rsidRDefault="00BD48DC" w:rsidP="00BD48DC">
      <w:pPr>
        <w:rPr>
          <w:rFonts w:eastAsia="Times New Roman" w:cs="Arial"/>
          <w:color w:val="000000"/>
          <w:lang w:eastAsia="bg-BG"/>
        </w:rPr>
      </w:pPr>
      <w:r w:rsidRPr="00BD48DC">
        <w:rPr>
          <w:rFonts w:eastAsia="Times New Roman" w:cs="Arial"/>
          <w:color w:val="000000"/>
          <w:lang w:eastAsia="bg-BG"/>
        </w:rPr>
        <w:t>Двете съставки на Ровамет се концентрират в слюнката, тъканта на венците и алвеоларната костна тъкан.</w:t>
      </w:r>
    </w:p>
    <w:p w14:paraId="4EE1BB0B" w14:textId="6143FB4E" w:rsidR="0091385D" w:rsidRPr="00BD48DC" w:rsidRDefault="0091385D" w:rsidP="0091385D">
      <w:pPr>
        <w:rPr>
          <w:rFonts w:cs="Arial"/>
        </w:rPr>
      </w:pPr>
    </w:p>
    <w:p w14:paraId="080CCC6F" w14:textId="34F9C07A" w:rsidR="00BD48DC" w:rsidRPr="00BD48DC" w:rsidRDefault="00BD48DC" w:rsidP="0091385D">
      <w:pPr>
        <w:rPr>
          <w:rFonts w:cs="Arial"/>
        </w:rPr>
      </w:pPr>
      <w:r w:rsidRPr="00BD48DC">
        <w:rPr>
          <w:rFonts w:cs="Arial"/>
        </w:rPr>
        <w:t xml:space="preserve">Два часа след прием на спирамицин/метронидазол 750 000 </w:t>
      </w:r>
      <w:r w:rsidRPr="00BD48DC">
        <w:rPr>
          <w:rFonts w:cs="Arial"/>
          <w:lang w:val="en-US"/>
        </w:rPr>
        <w:t xml:space="preserve">IU/125 mg </w:t>
      </w:r>
      <w:r w:rsidRPr="00BD48DC">
        <w:rPr>
          <w:rFonts w:cs="Arial"/>
        </w:rPr>
        <w:t>са измерени концентрациите на спирамицин и метронидазол в човешкия серумен албумин и в по-долу описаните среди. Резултатите, изразени в μ</w:t>
      </w:r>
      <w:r w:rsidRPr="00BD48DC">
        <w:rPr>
          <w:rFonts w:cs="Arial"/>
          <w:lang w:val="en-US"/>
        </w:rPr>
        <w:t xml:space="preserve">g/ml </w:t>
      </w:r>
      <w:r w:rsidRPr="00BD48DC">
        <w:rPr>
          <w:rFonts w:cs="Arial"/>
        </w:rPr>
        <w:t>или μ</w:t>
      </w:r>
      <w:r w:rsidRPr="00BD48DC">
        <w:rPr>
          <w:rFonts w:cs="Arial"/>
          <w:lang w:val="en-US"/>
        </w:rPr>
        <w:t xml:space="preserve">g/g </w:t>
      </w:r>
      <w:r w:rsidRPr="00BD48DC">
        <w:rPr>
          <w:rFonts w:cs="Arial"/>
        </w:rPr>
        <w:t>са следните:</w:t>
      </w:r>
    </w:p>
    <w:p w14:paraId="6C59CB01" w14:textId="2FD54D77" w:rsidR="00BD48DC" w:rsidRPr="00BD48DC" w:rsidRDefault="00BD48DC" w:rsidP="0091385D">
      <w:pPr>
        <w:rPr>
          <w:rFonts w:cs="Arial"/>
        </w:rPr>
      </w:pPr>
    </w:p>
    <w:tbl>
      <w:tblPr>
        <w:tblStyle w:val="TableGrid"/>
        <w:tblW w:w="0" w:type="auto"/>
        <w:tblLook w:val="04A0" w:firstRow="1" w:lastRow="0" w:firstColumn="1" w:lastColumn="0" w:noHBand="0" w:noVBand="1"/>
      </w:tblPr>
      <w:tblGrid>
        <w:gridCol w:w="1870"/>
        <w:gridCol w:w="1870"/>
        <w:gridCol w:w="1870"/>
        <w:gridCol w:w="1870"/>
        <w:gridCol w:w="1870"/>
      </w:tblGrid>
      <w:tr w:rsidR="00BD48DC" w:rsidRPr="00BD48DC" w14:paraId="602A0D0D" w14:textId="77777777" w:rsidTr="00A26356">
        <w:tc>
          <w:tcPr>
            <w:tcW w:w="1870" w:type="dxa"/>
            <w:vAlign w:val="bottom"/>
          </w:tcPr>
          <w:p w14:paraId="0FD18F59" w14:textId="38091C43" w:rsidR="00BD48DC" w:rsidRPr="00BD48DC" w:rsidRDefault="00BD48DC" w:rsidP="00BD48DC">
            <w:pPr>
              <w:rPr>
                <w:rFonts w:cs="Arial"/>
              </w:rPr>
            </w:pPr>
            <w:r w:rsidRPr="00BD48DC">
              <w:rPr>
                <w:rFonts w:cs="Arial"/>
              </w:rPr>
              <w:t>Концентрации</w:t>
            </w:r>
          </w:p>
        </w:tc>
        <w:tc>
          <w:tcPr>
            <w:tcW w:w="1870" w:type="dxa"/>
            <w:vAlign w:val="bottom"/>
          </w:tcPr>
          <w:p w14:paraId="7574F59D" w14:textId="508E1101" w:rsidR="00BD48DC" w:rsidRPr="00BD48DC" w:rsidRDefault="00BD48DC" w:rsidP="00BD48DC">
            <w:pPr>
              <w:rPr>
                <w:rFonts w:cs="Arial"/>
              </w:rPr>
            </w:pPr>
            <w:r w:rsidRPr="00BD48DC">
              <w:rPr>
                <w:rFonts w:cs="Arial"/>
              </w:rPr>
              <w:t>Серум</w:t>
            </w:r>
          </w:p>
        </w:tc>
        <w:tc>
          <w:tcPr>
            <w:tcW w:w="1870" w:type="dxa"/>
            <w:vAlign w:val="bottom"/>
          </w:tcPr>
          <w:p w14:paraId="22FF6F4A" w14:textId="752F24F5" w:rsidR="00BD48DC" w:rsidRPr="00BD48DC" w:rsidRDefault="00BD48DC" w:rsidP="00BD48DC">
            <w:pPr>
              <w:rPr>
                <w:rFonts w:cs="Arial"/>
              </w:rPr>
            </w:pPr>
            <w:r w:rsidRPr="00BD48DC">
              <w:rPr>
                <w:rFonts w:cs="Arial"/>
              </w:rPr>
              <w:t>Слюнка</w:t>
            </w:r>
          </w:p>
        </w:tc>
        <w:tc>
          <w:tcPr>
            <w:tcW w:w="1870" w:type="dxa"/>
            <w:vAlign w:val="bottom"/>
          </w:tcPr>
          <w:p w14:paraId="3C5D290C" w14:textId="2CA9C3CA" w:rsidR="00BD48DC" w:rsidRPr="00BD48DC" w:rsidRDefault="00BD48DC" w:rsidP="00BD48DC">
            <w:pPr>
              <w:rPr>
                <w:rFonts w:cs="Arial"/>
              </w:rPr>
            </w:pPr>
            <w:r w:rsidRPr="00BD48DC">
              <w:rPr>
                <w:rFonts w:cs="Arial"/>
              </w:rPr>
              <w:t>Венци</w:t>
            </w:r>
          </w:p>
        </w:tc>
        <w:tc>
          <w:tcPr>
            <w:tcW w:w="1870" w:type="dxa"/>
            <w:vAlign w:val="bottom"/>
          </w:tcPr>
          <w:p w14:paraId="5CFC8FEB" w14:textId="07C8EEBC" w:rsidR="00BD48DC" w:rsidRPr="00BD48DC" w:rsidRDefault="00BD48DC" w:rsidP="00BD48DC">
            <w:pPr>
              <w:rPr>
                <w:rFonts w:cs="Arial"/>
              </w:rPr>
            </w:pPr>
            <w:r w:rsidRPr="00BD48DC">
              <w:rPr>
                <w:rFonts w:cs="Arial"/>
              </w:rPr>
              <w:t>Алвеоларни кости</w:t>
            </w:r>
          </w:p>
        </w:tc>
      </w:tr>
      <w:tr w:rsidR="00BD48DC" w:rsidRPr="00BD48DC" w14:paraId="26F7E3BF" w14:textId="77777777" w:rsidTr="00A26356">
        <w:tc>
          <w:tcPr>
            <w:tcW w:w="1870" w:type="dxa"/>
            <w:vAlign w:val="bottom"/>
          </w:tcPr>
          <w:p w14:paraId="427B4750" w14:textId="77777777" w:rsidR="00BD48DC" w:rsidRPr="00BD48DC" w:rsidRDefault="00BD48DC" w:rsidP="00BD48DC">
            <w:pPr>
              <w:rPr>
                <w:rFonts w:cs="Arial"/>
              </w:rPr>
            </w:pPr>
            <w:r w:rsidRPr="00BD48DC">
              <w:rPr>
                <w:rFonts w:cs="Arial"/>
              </w:rPr>
              <w:t>Спирамицин</w:t>
            </w:r>
          </w:p>
          <w:p w14:paraId="48438E07" w14:textId="0E6B9791" w:rsidR="00BD48DC" w:rsidRPr="00BD48DC" w:rsidRDefault="00BD48DC" w:rsidP="00BD48DC">
            <w:pPr>
              <w:rPr>
                <w:rFonts w:cs="Arial"/>
              </w:rPr>
            </w:pPr>
            <w:r w:rsidRPr="00BD48DC">
              <w:rPr>
                <w:rFonts w:cs="Arial"/>
              </w:rPr>
              <w:t>Метронидазол</w:t>
            </w:r>
          </w:p>
        </w:tc>
        <w:tc>
          <w:tcPr>
            <w:tcW w:w="1870" w:type="dxa"/>
            <w:vAlign w:val="bottom"/>
          </w:tcPr>
          <w:p w14:paraId="50A23E70" w14:textId="77777777" w:rsidR="00BD48DC" w:rsidRPr="00BD48DC" w:rsidRDefault="00BD48DC" w:rsidP="00BD48DC">
            <w:pPr>
              <w:rPr>
                <w:rFonts w:cs="Arial"/>
              </w:rPr>
            </w:pPr>
            <w:r w:rsidRPr="00BD48DC">
              <w:rPr>
                <w:rFonts w:cs="Arial"/>
              </w:rPr>
              <w:t>0,68 ± 0,22</w:t>
            </w:r>
          </w:p>
          <w:p w14:paraId="62AC885E" w14:textId="7B422155" w:rsidR="00BD48DC" w:rsidRPr="00BD48DC" w:rsidRDefault="00BD48DC" w:rsidP="00BD48DC">
            <w:pPr>
              <w:rPr>
                <w:rFonts w:cs="Arial"/>
              </w:rPr>
            </w:pPr>
            <w:r w:rsidRPr="00BD48DC">
              <w:rPr>
                <w:rFonts w:cs="Arial"/>
              </w:rPr>
              <w:t>35,03 ± 12,35</w:t>
            </w:r>
          </w:p>
        </w:tc>
        <w:tc>
          <w:tcPr>
            <w:tcW w:w="1870" w:type="dxa"/>
            <w:vAlign w:val="bottom"/>
          </w:tcPr>
          <w:p w14:paraId="3305A122" w14:textId="77777777" w:rsidR="00BD48DC" w:rsidRPr="00BD48DC" w:rsidRDefault="00BD48DC" w:rsidP="00BD48DC">
            <w:pPr>
              <w:rPr>
                <w:rFonts w:cs="Arial"/>
              </w:rPr>
            </w:pPr>
            <w:r w:rsidRPr="00BD48DC">
              <w:rPr>
                <w:rFonts w:cs="Arial"/>
              </w:rPr>
              <w:t>1,54 ±0,41</w:t>
            </w:r>
          </w:p>
          <w:p w14:paraId="0FF87896" w14:textId="7A035483" w:rsidR="00BD48DC" w:rsidRPr="00BD48DC" w:rsidRDefault="00BD48DC" w:rsidP="00BD48DC">
            <w:pPr>
              <w:rPr>
                <w:rFonts w:cs="Arial"/>
              </w:rPr>
            </w:pPr>
            <w:r w:rsidRPr="00BD48DC">
              <w:rPr>
                <w:rFonts w:cs="Arial"/>
              </w:rPr>
              <w:t>15,32 ±3,16</w:t>
            </w:r>
          </w:p>
        </w:tc>
        <w:tc>
          <w:tcPr>
            <w:tcW w:w="1870" w:type="dxa"/>
            <w:vAlign w:val="bottom"/>
          </w:tcPr>
          <w:p w14:paraId="6CCE2A83" w14:textId="77777777" w:rsidR="00BD48DC" w:rsidRPr="00BD48DC" w:rsidRDefault="00BD48DC" w:rsidP="00BD48DC">
            <w:pPr>
              <w:rPr>
                <w:rFonts w:cs="Arial"/>
              </w:rPr>
            </w:pPr>
            <w:r w:rsidRPr="00BD48DC">
              <w:rPr>
                <w:rFonts w:cs="Arial"/>
              </w:rPr>
              <w:t>26,63 ± 9,65</w:t>
            </w:r>
          </w:p>
          <w:p w14:paraId="4A36BE53" w14:textId="3C41C66C" w:rsidR="00BD48DC" w:rsidRPr="00BD48DC" w:rsidRDefault="00BD48DC" w:rsidP="00BD48DC">
            <w:pPr>
              <w:rPr>
                <w:rFonts w:cs="Arial"/>
              </w:rPr>
            </w:pPr>
            <w:r w:rsidRPr="00BD48DC">
              <w:rPr>
                <w:rFonts w:cs="Arial"/>
              </w:rPr>
              <w:t>7,34 ± 6,34</w:t>
            </w:r>
          </w:p>
        </w:tc>
        <w:tc>
          <w:tcPr>
            <w:tcW w:w="1870" w:type="dxa"/>
            <w:vAlign w:val="bottom"/>
          </w:tcPr>
          <w:p w14:paraId="4265E730" w14:textId="77777777" w:rsidR="00BD48DC" w:rsidRPr="00BD48DC" w:rsidRDefault="00BD48DC" w:rsidP="00BD48DC">
            <w:pPr>
              <w:rPr>
                <w:rFonts w:cs="Arial"/>
              </w:rPr>
            </w:pPr>
            <w:r w:rsidRPr="00BD48DC">
              <w:rPr>
                <w:rFonts w:cs="Arial"/>
              </w:rPr>
              <w:t>113,9 ± 41,16</w:t>
            </w:r>
          </w:p>
          <w:p w14:paraId="313059F5" w14:textId="5A6300FD" w:rsidR="00BD48DC" w:rsidRPr="00BD48DC" w:rsidRDefault="00BD48DC" w:rsidP="00BD48DC">
            <w:pPr>
              <w:rPr>
                <w:rFonts w:cs="Arial"/>
              </w:rPr>
            </w:pPr>
            <w:r w:rsidRPr="00BD48DC">
              <w:rPr>
                <w:rFonts w:cs="Arial"/>
              </w:rPr>
              <w:t>5,73 ± 2,72</w:t>
            </w:r>
          </w:p>
        </w:tc>
      </w:tr>
    </w:tbl>
    <w:p w14:paraId="25099AF6" w14:textId="77777777" w:rsidR="00BD48DC" w:rsidRDefault="00BD48DC" w:rsidP="0091385D"/>
    <w:p w14:paraId="4ACB781B" w14:textId="77777777" w:rsidR="00BD48DC" w:rsidRPr="0091385D" w:rsidRDefault="00BD48DC" w:rsidP="0091385D"/>
    <w:p w14:paraId="648E39DA" w14:textId="44D16CBD" w:rsidR="00CF77F7" w:rsidRDefault="002C50EE" w:rsidP="004A448E">
      <w:pPr>
        <w:pStyle w:val="Heading2"/>
      </w:pPr>
      <w:r>
        <w:t>5.3. Предклинични данни за безопасност</w:t>
      </w:r>
    </w:p>
    <w:p w14:paraId="20E967BE" w14:textId="751DCF54" w:rsidR="0091385D" w:rsidRDefault="0091385D" w:rsidP="0091385D"/>
    <w:p w14:paraId="13A7B62A" w14:textId="5E77AA83" w:rsidR="007A2185" w:rsidRPr="00BD48DC" w:rsidRDefault="00BD48DC" w:rsidP="0091385D">
      <w:pPr>
        <w:rPr>
          <w:rFonts w:cs="Arial"/>
        </w:rPr>
      </w:pPr>
      <w:r w:rsidRPr="00BD48DC">
        <w:rPr>
          <w:rFonts w:cs="Arial"/>
        </w:rPr>
        <w:t>Неприложимо</w:t>
      </w:r>
    </w:p>
    <w:p w14:paraId="12FFA9B2" w14:textId="77777777" w:rsidR="007A2185" w:rsidRPr="0091385D" w:rsidRDefault="007A2185" w:rsidP="0091385D"/>
    <w:p w14:paraId="6A7820AB" w14:textId="353DB6D2" w:rsidR="008A6AF2" w:rsidRDefault="002C50EE" w:rsidP="00395555">
      <w:pPr>
        <w:pStyle w:val="Heading1"/>
      </w:pPr>
      <w:r>
        <w:t>7. ПРИТЕЖАТЕЛ НА РАЗРЕШЕНИЕТО ЗА УПОТРЕБА</w:t>
      </w:r>
    </w:p>
    <w:p w14:paraId="1B9B651E" w14:textId="24042B6C" w:rsidR="0091385D" w:rsidRDefault="0091385D" w:rsidP="0091385D"/>
    <w:p w14:paraId="0310B247" w14:textId="77777777" w:rsidR="00BD48DC" w:rsidRPr="00BD48DC" w:rsidRDefault="00BD48DC" w:rsidP="00BD48DC">
      <w:pPr>
        <w:spacing w:line="240" w:lineRule="auto"/>
        <w:rPr>
          <w:rFonts w:eastAsia="Times New Roman" w:cs="Arial"/>
          <w:lang w:eastAsia="bg-BG"/>
        </w:rPr>
      </w:pPr>
      <w:r w:rsidRPr="00BD48DC">
        <w:rPr>
          <w:rFonts w:eastAsia="Times New Roman" w:cs="Arial"/>
          <w:color w:val="000000"/>
          <w:lang w:eastAsia="bg-BG"/>
        </w:rPr>
        <w:t>Тева Фарма ЕАД</w:t>
      </w:r>
    </w:p>
    <w:p w14:paraId="329407CA" w14:textId="77777777" w:rsidR="00BD48DC" w:rsidRPr="00BD48DC" w:rsidRDefault="00BD48DC" w:rsidP="00BD48DC">
      <w:pPr>
        <w:spacing w:line="240" w:lineRule="auto"/>
        <w:rPr>
          <w:rFonts w:eastAsia="Times New Roman" w:cs="Arial"/>
          <w:lang w:eastAsia="bg-BG"/>
        </w:rPr>
      </w:pPr>
      <w:r w:rsidRPr="00BD48DC">
        <w:rPr>
          <w:rFonts w:eastAsia="Times New Roman" w:cs="Arial"/>
          <w:color w:val="000000"/>
          <w:lang w:eastAsia="bg-BG"/>
        </w:rPr>
        <w:t>ул. „Люба Величкова“ № 9, 1407 София</w:t>
      </w:r>
    </w:p>
    <w:p w14:paraId="4F02909F" w14:textId="73FBA8DC" w:rsidR="007A2185" w:rsidRPr="00BD48DC" w:rsidRDefault="00BD48DC" w:rsidP="00BD48DC">
      <w:pPr>
        <w:rPr>
          <w:rFonts w:cs="Arial"/>
        </w:rPr>
      </w:pPr>
      <w:r w:rsidRPr="00BD48DC">
        <w:rPr>
          <w:rFonts w:eastAsia="Times New Roman" w:cs="Arial"/>
          <w:color w:val="000000"/>
          <w:lang w:eastAsia="bg-BG"/>
        </w:rPr>
        <w:t>България</w:t>
      </w:r>
    </w:p>
    <w:p w14:paraId="129C7566" w14:textId="77777777" w:rsidR="0091385D" w:rsidRPr="0091385D" w:rsidRDefault="0091385D" w:rsidP="0091385D"/>
    <w:p w14:paraId="7BA1BA64" w14:textId="17509450" w:rsidR="00CF77F7" w:rsidRDefault="002C50EE" w:rsidP="004A448E">
      <w:pPr>
        <w:pStyle w:val="Heading1"/>
      </w:pPr>
      <w:r>
        <w:t>8. НОМЕР НА РАЗРЕШЕНИЕТО ЗА УПОТРЕБА</w:t>
      </w:r>
    </w:p>
    <w:p w14:paraId="095674C4" w14:textId="3072FB0E" w:rsidR="0091385D" w:rsidRDefault="0091385D" w:rsidP="0091385D"/>
    <w:p w14:paraId="46161304" w14:textId="2435E52D" w:rsidR="007A2185" w:rsidRPr="00BD48DC" w:rsidRDefault="00BD48DC" w:rsidP="0091385D">
      <w:pPr>
        <w:rPr>
          <w:rFonts w:cs="Arial"/>
        </w:rPr>
      </w:pPr>
      <w:proofErr w:type="spellStart"/>
      <w:r w:rsidRPr="00BD48DC">
        <w:rPr>
          <w:rFonts w:cs="Arial"/>
          <w:lang w:val="en-US"/>
        </w:rPr>
        <w:t>Pe</w:t>
      </w:r>
      <w:proofErr w:type="spellEnd"/>
      <w:r w:rsidRPr="00BD48DC">
        <w:rPr>
          <w:rFonts w:cs="Arial"/>
        </w:rPr>
        <w:t>г</w:t>
      </w:r>
      <w:r w:rsidRPr="00BD48DC">
        <w:rPr>
          <w:rFonts w:cs="Arial"/>
          <w:lang w:val="en-US"/>
        </w:rPr>
        <w:t xml:space="preserve">. </w:t>
      </w:r>
      <w:r w:rsidRPr="00BD48DC">
        <w:rPr>
          <w:rFonts w:cs="Arial"/>
        </w:rPr>
        <w:t>№: 20060808</w:t>
      </w:r>
    </w:p>
    <w:p w14:paraId="62EF7F8B" w14:textId="77777777" w:rsidR="0091385D" w:rsidRPr="0091385D" w:rsidRDefault="0091385D" w:rsidP="0091385D"/>
    <w:p w14:paraId="2CCB5832" w14:textId="18FCD95B" w:rsidR="007C605B" w:rsidRDefault="002C50EE" w:rsidP="007C605B">
      <w:pPr>
        <w:pStyle w:val="Heading1"/>
      </w:pPr>
      <w:r>
        <w:t>9. ДАТА НА ПЪРВО РАЗРЕШАВАНЕ/ПОДНОВЯВАНЕ НА РАЗРЕШЕНИЕТО ЗА УПОТРЕБА</w:t>
      </w:r>
    </w:p>
    <w:p w14:paraId="372B3414" w14:textId="57E44C81" w:rsidR="0091385D" w:rsidRDefault="0091385D" w:rsidP="0091385D"/>
    <w:p w14:paraId="09124165" w14:textId="77777777" w:rsidR="00BD48DC" w:rsidRPr="00BD48DC" w:rsidRDefault="00BD48DC" w:rsidP="00BD48DC">
      <w:pPr>
        <w:spacing w:line="240" w:lineRule="auto"/>
        <w:rPr>
          <w:rFonts w:eastAsia="Times New Roman" w:cs="Arial"/>
          <w:lang w:eastAsia="bg-BG"/>
        </w:rPr>
      </w:pPr>
      <w:r w:rsidRPr="00BD48DC">
        <w:rPr>
          <w:rFonts w:eastAsia="Times New Roman" w:cs="Arial"/>
          <w:color w:val="000000"/>
          <w:lang w:eastAsia="bg-BG"/>
        </w:rPr>
        <w:t>Дата на първо разрешаване: 29 декември 2006 г.</w:t>
      </w:r>
    </w:p>
    <w:p w14:paraId="6C57D8B6" w14:textId="1C637E7C" w:rsidR="007A2185" w:rsidRPr="00BD48DC" w:rsidRDefault="00BD48DC" w:rsidP="00BD48DC">
      <w:pPr>
        <w:rPr>
          <w:rFonts w:cs="Arial"/>
        </w:rPr>
      </w:pPr>
      <w:r w:rsidRPr="00BD48DC">
        <w:rPr>
          <w:rFonts w:eastAsia="Times New Roman" w:cs="Arial"/>
          <w:color w:val="000000"/>
          <w:lang w:eastAsia="bg-BG"/>
        </w:rPr>
        <w:t>Дата на последно подновяване: 20 февруари 2012 г.</w:t>
      </w:r>
    </w:p>
    <w:p w14:paraId="0A56E09D" w14:textId="77777777" w:rsidR="0091385D" w:rsidRPr="0091385D" w:rsidRDefault="0091385D" w:rsidP="0091385D"/>
    <w:p w14:paraId="0E9D0119" w14:textId="1FEC128A" w:rsidR="002C50EE" w:rsidRDefault="002C50EE" w:rsidP="002C50EE">
      <w:pPr>
        <w:pStyle w:val="Heading1"/>
      </w:pPr>
      <w:r>
        <w:t>10. ДАТА НА АКТУАЛИЗИРАНЕ НА ТЕКСТА</w:t>
      </w:r>
    </w:p>
    <w:p w14:paraId="3E8FFCC4" w14:textId="0121B4E2" w:rsidR="0091385D" w:rsidRDefault="0091385D" w:rsidP="0091385D"/>
    <w:p w14:paraId="0524F1D6" w14:textId="77777777" w:rsidR="007A2185" w:rsidRDefault="007A2185" w:rsidP="0091385D"/>
    <w:p w14:paraId="6B00148E" w14:textId="77777777" w:rsidR="0091385D" w:rsidRPr="0091385D" w:rsidRDefault="0091385D" w:rsidP="0091385D"/>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343722"/>
    <w:multiLevelType w:val="hybridMultilevel"/>
    <w:tmpl w:val="BA3298E6"/>
    <w:lvl w:ilvl="0" w:tplc="D6F61F22">
      <w:start w:val="4"/>
      <w:numFmt w:val="bullet"/>
      <w:lvlText w:val="-"/>
      <w:lvlJc w:val="left"/>
      <w:pPr>
        <w:ind w:left="720" w:hanging="360"/>
      </w:pPr>
      <w:rPr>
        <w:rFonts w:ascii="Times New Roman" w:eastAsia="Times New Roman" w:hAnsi="Times New Roman" w:cs="Times New Roman" w:hint="default"/>
        <w:color w:val="000000"/>
        <w:sz w:val="2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8" w15:restartNumberingAfterBreak="0">
    <w:nsid w:val="136712DB"/>
    <w:multiLevelType w:val="hybridMultilevel"/>
    <w:tmpl w:val="8D0C6992"/>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AB793E"/>
    <w:multiLevelType w:val="hybridMultilevel"/>
    <w:tmpl w:val="F60CDA3C"/>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20464576"/>
    <w:multiLevelType w:val="hybridMultilevel"/>
    <w:tmpl w:val="F790DBAC"/>
    <w:lvl w:ilvl="0" w:tplc="E20A4DDC">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13"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4"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26B81F06"/>
    <w:multiLevelType w:val="hybridMultilevel"/>
    <w:tmpl w:val="2B90BD56"/>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2A18073F"/>
    <w:multiLevelType w:val="hybridMultilevel"/>
    <w:tmpl w:val="6C34753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3A6795"/>
    <w:multiLevelType w:val="hybridMultilevel"/>
    <w:tmpl w:val="0540A0A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37BB416E"/>
    <w:multiLevelType w:val="hybridMultilevel"/>
    <w:tmpl w:val="BEF67A96"/>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3" w15:restartNumberingAfterBreak="0">
    <w:nsid w:val="3EB72B9B"/>
    <w:multiLevelType w:val="hybridMultilevel"/>
    <w:tmpl w:val="490CA4D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5"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A40E00"/>
    <w:multiLevelType w:val="hybridMultilevel"/>
    <w:tmpl w:val="98D0E22C"/>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30"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3D15FD"/>
    <w:multiLevelType w:val="hybridMultilevel"/>
    <w:tmpl w:val="8A5A2726"/>
    <w:lvl w:ilvl="0" w:tplc="9B522CCE">
      <w:start w:val="4"/>
      <w:numFmt w:val="bullet"/>
      <w:lvlText w:val="-"/>
      <w:lvlJc w:val="left"/>
      <w:pPr>
        <w:ind w:left="1080" w:hanging="360"/>
      </w:pPr>
      <w:rPr>
        <w:rFonts w:ascii="Times New Roman" w:eastAsia="Times New Roman" w:hAnsi="Times New Roman" w:cs="Times New Roman" w:hint="default"/>
        <w:color w:val="000000"/>
        <w:sz w:val="20"/>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2"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42E411A"/>
    <w:multiLevelType w:val="hybridMultilevel"/>
    <w:tmpl w:val="38BE5802"/>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5560127B"/>
    <w:multiLevelType w:val="hybridMultilevel"/>
    <w:tmpl w:val="7326F00C"/>
    <w:lvl w:ilvl="0" w:tplc="167E3056">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8"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E700A0A"/>
    <w:multiLevelType w:val="hybridMultilevel"/>
    <w:tmpl w:val="C1240062"/>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9"/>
  </w:num>
  <w:num w:numId="2">
    <w:abstractNumId w:val="0"/>
  </w:num>
  <w:num w:numId="3">
    <w:abstractNumId w:val="18"/>
  </w:num>
  <w:num w:numId="4">
    <w:abstractNumId w:val="3"/>
  </w:num>
  <w:num w:numId="5">
    <w:abstractNumId w:val="1"/>
  </w:num>
  <w:num w:numId="6">
    <w:abstractNumId w:val="24"/>
  </w:num>
  <w:num w:numId="7">
    <w:abstractNumId w:val="14"/>
  </w:num>
  <w:num w:numId="8">
    <w:abstractNumId w:val="22"/>
  </w:num>
  <w:num w:numId="9">
    <w:abstractNumId w:val="2"/>
  </w:num>
  <w:num w:numId="10">
    <w:abstractNumId w:val="4"/>
  </w:num>
  <w:num w:numId="11">
    <w:abstractNumId w:val="42"/>
  </w:num>
  <w:num w:numId="12">
    <w:abstractNumId w:val="21"/>
  </w:num>
  <w:num w:numId="13">
    <w:abstractNumId w:val="27"/>
  </w:num>
  <w:num w:numId="14">
    <w:abstractNumId w:val="17"/>
  </w:num>
  <w:num w:numId="15">
    <w:abstractNumId w:val="41"/>
  </w:num>
  <w:num w:numId="16">
    <w:abstractNumId w:val="13"/>
  </w:num>
  <w:num w:numId="17">
    <w:abstractNumId w:val="34"/>
  </w:num>
  <w:num w:numId="18">
    <w:abstractNumId w:val="9"/>
  </w:num>
  <w:num w:numId="19">
    <w:abstractNumId w:val="38"/>
  </w:num>
  <w:num w:numId="20">
    <w:abstractNumId w:val="33"/>
  </w:num>
  <w:num w:numId="21">
    <w:abstractNumId w:val="25"/>
  </w:num>
  <w:num w:numId="22">
    <w:abstractNumId w:val="35"/>
  </w:num>
  <w:num w:numId="23">
    <w:abstractNumId w:val="26"/>
  </w:num>
  <w:num w:numId="24">
    <w:abstractNumId w:val="10"/>
  </w:num>
  <w:num w:numId="25">
    <w:abstractNumId w:val="32"/>
  </w:num>
  <w:num w:numId="26">
    <w:abstractNumId w:val="30"/>
  </w:num>
  <w:num w:numId="27">
    <w:abstractNumId w:val="44"/>
  </w:num>
  <w:num w:numId="28">
    <w:abstractNumId w:val="7"/>
  </w:num>
  <w:num w:numId="29">
    <w:abstractNumId w:val="29"/>
  </w:num>
  <w:num w:numId="30">
    <w:abstractNumId w:val="47"/>
  </w:num>
  <w:num w:numId="31">
    <w:abstractNumId w:val="6"/>
  </w:num>
  <w:num w:numId="32">
    <w:abstractNumId w:val="46"/>
  </w:num>
  <w:num w:numId="33">
    <w:abstractNumId w:val="40"/>
  </w:num>
  <w:num w:numId="34">
    <w:abstractNumId w:val="45"/>
  </w:num>
  <w:num w:numId="35">
    <w:abstractNumId w:val="19"/>
  </w:num>
  <w:num w:numId="36">
    <w:abstractNumId w:val="16"/>
  </w:num>
  <w:num w:numId="37">
    <w:abstractNumId w:val="23"/>
  </w:num>
  <w:num w:numId="38">
    <w:abstractNumId w:val="43"/>
  </w:num>
  <w:num w:numId="39">
    <w:abstractNumId w:val="20"/>
  </w:num>
  <w:num w:numId="40">
    <w:abstractNumId w:val="15"/>
  </w:num>
  <w:num w:numId="41">
    <w:abstractNumId w:val="8"/>
  </w:num>
  <w:num w:numId="42">
    <w:abstractNumId w:val="37"/>
  </w:num>
  <w:num w:numId="43">
    <w:abstractNumId w:val="5"/>
  </w:num>
  <w:num w:numId="44">
    <w:abstractNumId w:val="31"/>
  </w:num>
  <w:num w:numId="45">
    <w:abstractNumId w:val="28"/>
  </w:num>
  <w:num w:numId="46">
    <w:abstractNumId w:val="36"/>
  </w:num>
  <w:num w:numId="47">
    <w:abstractNumId w:val="11"/>
  </w:num>
  <w:num w:numId="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93A00"/>
    <w:rsid w:val="005A66D9"/>
    <w:rsid w:val="005B0F27"/>
    <w:rsid w:val="00605BCA"/>
    <w:rsid w:val="006158A1"/>
    <w:rsid w:val="00617B1F"/>
    <w:rsid w:val="00672487"/>
    <w:rsid w:val="00672600"/>
    <w:rsid w:val="00681D4A"/>
    <w:rsid w:val="00682341"/>
    <w:rsid w:val="00685882"/>
    <w:rsid w:val="00687C77"/>
    <w:rsid w:val="0075649D"/>
    <w:rsid w:val="007A2185"/>
    <w:rsid w:val="007C605B"/>
    <w:rsid w:val="008134C8"/>
    <w:rsid w:val="00814073"/>
    <w:rsid w:val="00826F0D"/>
    <w:rsid w:val="00893B92"/>
    <w:rsid w:val="008A6AF2"/>
    <w:rsid w:val="008C70A2"/>
    <w:rsid w:val="008F1AF3"/>
    <w:rsid w:val="0091385D"/>
    <w:rsid w:val="009773E4"/>
    <w:rsid w:val="009B171C"/>
    <w:rsid w:val="009F1313"/>
    <w:rsid w:val="00A20351"/>
    <w:rsid w:val="00A65A81"/>
    <w:rsid w:val="00A73575"/>
    <w:rsid w:val="00AA23EC"/>
    <w:rsid w:val="00AC63CE"/>
    <w:rsid w:val="00AE2107"/>
    <w:rsid w:val="00AF11EB"/>
    <w:rsid w:val="00B275A8"/>
    <w:rsid w:val="00BB3B9C"/>
    <w:rsid w:val="00BD48DC"/>
    <w:rsid w:val="00BF2600"/>
    <w:rsid w:val="00C0049F"/>
    <w:rsid w:val="00C07B84"/>
    <w:rsid w:val="00C33464"/>
    <w:rsid w:val="00C40420"/>
    <w:rsid w:val="00C809A7"/>
    <w:rsid w:val="00C83063"/>
    <w:rsid w:val="00C87E90"/>
    <w:rsid w:val="00CA1B57"/>
    <w:rsid w:val="00CF77F7"/>
    <w:rsid w:val="00D86297"/>
    <w:rsid w:val="00DD466D"/>
    <w:rsid w:val="00EB6364"/>
    <w:rsid w:val="00EC41ED"/>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3586</Words>
  <Characters>20441</Characters>
  <Application>Microsoft Office Word</Application>
  <DocSecurity>0</DocSecurity>
  <Lines>170</Lines>
  <Paragraphs>47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2</cp:revision>
  <dcterms:created xsi:type="dcterms:W3CDTF">2023-04-04T17:26:00Z</dcterms:created>
  <dcterms:modified xsi:type="dcterms:W3CDTF">2023-04-04T17:26:00Z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