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13063D5F" w14:textId="77777777" w:rsidR="00305F6D" w:rsidRPr="00305F6D" w:rsidRDefault="00305F6D" w:rsidP="00305F6D">
      <w:pPr>
        <w:spacing w:line="240" w:lineRule="auto"/>
        <w:rPr>
          <w:rFonts w:eastAsia="Times New Roman" w:cs="Arial"/>
          <w:b/>
          <w:bCs/>
          <w:color w:val="000000"/>
          <w:lang w:eastAsia="bg-BG"/>
        </w:rPr>
      </w:pPr>
      <w:r w:rsidRPr="00305F6D">
        <w:rPr>
          <w:rFonts w:eastAsia="Times New Roman" w:cs="Arial"/>
          <w:b/>
          <w:bCs/>
          <w:color w:val="000000"/>
          <w:lang w:eastAsia="bg-BG"/>
        </w:rPr>
        <w:t xml:space="preserve">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w:t>
      </w:r>
    </w:p>
    <w:p w14:paraId="5E66B166" w14:textId="5106F588" w:rsidR="00305F6D" w:rsidRPr="00305F6D" w:rsidRDefault="00305F6D" w:rsidP="00305F6D">
      <w:pPr>
        <w:spacing w:line="240" w:lineRule="auto"/>
        <w:rPr>
          <w:rFonts w:eastAsia="Times New Roman" w:cs="Arial"/>
          <w:lang w:eastAsia="bg-BG"/>
        </w:rPr>
      </w:pPr>
      <w:r w:rsidRPr="00305F6D">
        <w:rPr>
          <w:rFonts w:eastAsia="Times New Roman" w:cs="Arial"/>
          <w:b/>
          <w:bCs/>
          <w:color w:val="000000"/>
          <w:lang w:val="en-US"/>
        </w:rPr>
        <w:t>ROVASTA</w:t>
      </w:r>
      <w:r w:rsidRPr="00305F6D">
        <w:rPr>
          <w:rFonts w:eastAsia="Times New Roman" w:cs="Arial"/>
          <w:b/>
          <w:bCs/>
          <w:color w:val="000000"/>
          <w:lang w:eastAsia="bg-BG"/>
        </w:rPr>
        <w:t xml:space="preserve">10 </w:t>
      </w:r>
      <w:r w:rsidRPr="00305F6D">
        <w:rPr>
          <w:rFonts w:eastAsia="Times New Roman" w:cs="Arial"/>
          <w:b/>
          <w:bCs/>
          <w:color w:val="000000"/>
          <w:lang w:val="en-US"/>
        </w:rPr>
        <w:t>mg film-coated tablets</w:t>
      </w:r>
    </w:p>
    <w:p w14:paraId="045591B4" w14:textId="77777777" w:rsidR="00305F6D" w:rsidRPr="00305F6D" w:rsidRDefault="00305F6D" w:rsidP="00305F6D">
      <w:pPr>
        <w:rPr>
          <w:rFonts w:eastAsia="Times New Roman" w:cs="Arial"/>
          <w:b/>
          <w:bCs/>
          <w:color w:val="000000"/>
          <w:lang w:eastAsia="bg-BG"/>
        </w:rPr>
      </w:pPr>
      <w:r w:rsidRPr="00305F6D">
        <w:rPr>
          <w:rFonts w:eastAsia="Times New Roman" w:cs="Arial"/>
          <w:b/>
          <w:bCs/>
          <w:color w:val="000000"/>
          <w:lang w:eastAsia="bg-BG"/>
        </w:rPr>
        <w:t xml:space="preserve">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w:t>
      </w:r>
    </w:p>
    <w:p w14:paraId="5015A1FD" w14:textId="716D2C9E" w:rsidR="00A73575" w:rsidRPr="00305F6D" w:rsidRDefault="00305F6D" w:rsidP="00305F6D">
      <w:pPr>
        <w:rPr>
          <w:rFonts w:cs="Arial"/>
        </w:rPr>
      </w:pPr>
      <w:r w:rsidRPr="00305F6D">
        <w:rPr>
          <w:rFonts w:eastAsia="Times New Roman" w:cs="Arial"/>
          <w:b/>
          <w:bCs/>
          <w:color w:val="000000"/>
          <w:lang w:val="en-US"/>
        </w:rPr>
        <w:t xml:space="preserve">ROVASTA </w:t>
      </w:r>
      <w:r w:rsidRPr="00305F6D">
        <w:rPr>
          <w:rFonts w:eastAsia="Times New Roman" w:cs="Arial"/>
          <w:b/>
          <w:bCs/>
          <w:color w:val="000000"/>
          <w:lang w:eastAsia="bg-BG"/>
        </w:rPr>
        <w:t xml:space="preserve">20 </w:t>
      </w:r>
      <w:r w:rsidRPr="00305F6D">
        <w:rPr>
          <w:rFonts w:eastAsia="Times New Roman" w:cs="Arial"/>
          <w:b/>
          <w:bCs/>
          <w:color w:val="00000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219C133B"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Всяка филмирана таблетка съдържа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розувастатин </w:t>
      </w:r>
      <w:r w:rsidRPr="00305F6D">
        <w:rPr>
          <w:rFonts w:eastAsia="Times New Roman" w:cs="Arial"/>
          <w:b/>
          <w:bCs/>
          <w:color w:val="000000"/>
          <w:lang w:val="en-US"/>
        </w:rPr>
        <w:t>(</w:t>
      </w:r>
      <w:proofErr w:type="spellStart"/>
      <w:r w:rsidRPr="00305F6D">
        <w:rPr>
          <w:rFonts w:eastAsia="Times New Roman" w:cs="Arial"/>
          <w:b/>
          <w:bCs/>
          <w:color w:val="000000"/>
          <w:lang w:val="en-US"/>
        </w:rPr>
        <w:t>rosuvastatin</w:t>
      </w:r>
      <w:proofErr w:type="spellEnd"/>
      <w:r w:rsidRPr="00305F6D">
        <w:rPr>
          <w:rFonts w:eastAsia="Times New Roman" w:cs="Arial"/>
          <w:b/>
          <w:bCs/>
          <w:color w:val="000000"/>
          <w:lang w:val="en-US"/>
        </w:rPr>
        <w:t xml:space="preserve">), </w:t>
      </w:r>
      <w:r w:rsidRPr="00305F6D">
        <w:rPr>
          <w:rFonts w:eastAsia="Times New Roman" w:cs="Arial"/>
          <w:b/>
          <w:bCs/>
          <w:color w:val="000000"/>
          <w:lang w:eastAsia="bg-BG"/>
        </w:rPr>
        <w:t xml:space="preserve">като розувастатин калций </w:t>
      </w:r>
      <w:r w:rsidRPr="00305F6D">
        <w:rPr>
          <w:rFonts w:eastAsia="Times New Roman" w:cs="Arial"/>
          <w:b/>
          <w:bCs/>
          <w:color w:val="000000"/>
          <w:lang w:val="en-US"/>
        </w:rPr>
        <w:t>(</w:t>
      </w:r>
      <w:proofErr w:type="spellStart"/>
      <w:r w:rsidRPr="00305F6D">
        <w:rPr>
          <w:rFonts w:eastAsia="Times New Roman" w:cs="Arial"/>
          <w:b/>
          <w:bCs/>
          <w:color w:val="000000"/>
          <w:lang w:val="en-US"/>
        </w:rPr>
        <w:t>rosuvastatin</w:t>
      </w:r>
      <w:proofErr w:type="spellEnd"/>
      <w:r w:rsidRPr="00305F6D">
        <w:rPr>
          <w:rFonts w:eastAsia="Times New Roman" w:cs="Arial"/>
          <w:b/>
          <w:bCs/>
          <w:color w:val="000000"/>
          <w:lang w:val="en-US"/>
        </w:rPr>
        <w:t xml:space="preserve"> calcium).</w:t>
      </w:r>
    </w:p>
    <w:p w14:paraId="7B9A705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Всяка филмирана таблетка съдържа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розувастатин </w:t>
      </w:r>
      <w:r w:rsidRPr="00305F6D">
        <w:rPr>
          <w:rFonts w:eastAsia="Times New Roman" w:cs="Arial"/>
          <w:b/>
          <w:bCs/>
          <w:color w:val="000000"/>
          <w:lang w:val="en-US"/>
        </w:rPr>
        <w:t>(</w:t>
      </w:r>
      <w:proofErr w:type="spellStart"/>
      <w:r w:rsidRPr="00305F6D">
        <w:rPr>
          <w:rFonts w:eastAsia="Times New Roman" w:cs="Arial"/>
          <w:b/>
          <w:bCs/>
          <w:color w:val="000000"/>
          <w:lang w:val="en-US"/>
        </w:rPr>
        <w:t>rosuvastastin</w:t>
      </w:r>
      <w:proofErr w:type="spellEnd"/>
      <w:r w:rsidRPr="00305F6D">
        <w:rPr>
          <w:rFonts w:eastAsia="Times New Roman" w:cs="Arial"/>
          <w:b/>
          <w:bCs/>
          <w:color w:val="000000"/>
          <w:lang w:val="en-US"/>
        </w:rPr>
        <w:t xml:space="preserve">), </w:t>
      </w:r>
      <w:r w:rsidRPr="00305F6D">
        <w:rPr>
          <w:rFonts w:eastAsia="Times New Roman" w:cs="Arial"/>
          <w:b/>
          <w:bCs/>
          <w:color w:val="000000"/>
          <w:lang w:eastAsia="bg-BG"/>
        </w:rPr>
        <w:t xml:space="preserve">като розувастатин калций </w:t>
      </w:r>
      <w:r w:rsidRPr="00305F6D">
        <w:rPr>
          <w:rFonts w:eastAsia="Times New Roman" w:cs="Arial"/>
          <w:b/>
          <w:bCs/>
          <w:color w:val="000000"/>
          <w:lang w:val="en-US"/>
        </w:rPr>
        <w:t>(</w:t>
      </w:r>
      <w:proofErr w:type="spellStart"/>
      <w:r w:rsidRPr="00305F6D">
        <w:rPr>
          <w:rFonts w:eastAsia="Times New Roman" w:cs="Arial"/>
          <w:b/>
          <w:bCs/>
          <w:color w:val="000000"/>
          <w:lang w:val="en-US"/>
        </w:rPr>
        <w:t>rosuvastatin</w:t>
      </w:r>
      <w:proofErr w:type="spellEnd"/>
      <w:r w:rsidRPr="00305F6D">
        <w:rPr>
          <w:rFonts w:eastAsia="Times New Roman" w:cs="Arial"/>
          <w:b/>
          <w:bCs/>
          <w:color w:val="000000"/>
          <w:lang w:val="en-US"/>
        </w:rPr>
        <w:t xml:space="preserve"> calcium).</w:t>
      </w:r>
    </w:p>
    <w:p w14:paraId="05BBDC55" w14:textId="77777777" w:rsidR="00305F6D" w:rsidRPr="00305F6D" w:rsidRDefault="00305F6D" w:rsidP="00305F6D">
      <w:pPr>
        <w:spacing w:line="240" w:lineRule="auto"/>
        <w:rPr>
          <w:rFonts w:eastAsia="Times New Roman" w:cs="Arial"/>
          <w:b/>
          <w:bCs/>
          <w:color w:val="000000"/>
          <w:u w:val="single"/>
          <w:lang w:eastAsia="bg-BG"/>
        </w:rPr>
      </w:pPr>
    </w:p>
    <w:p w14:paraId="6ED46C08" w14:textId="4D8BC2C5"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Помощно вещество с известно действие</w:t>
      </w:r>
      <w:r w:rsidRPr="00305F6D">
        <w:rPr>
          <w:rFonts w:eastAsia="Times New Roman" w:cs="Arial"/>
          <w:b/>
          <w:bCs/>
          <w:color w:val="000000"/>
          <w:lang w:eastAsia="bg-BG"/>
        </w:rPr>
        <w:t>: лактоза монохидрат.</w:t>
      </w:r>
    </w:p>
    <w:p w14:paraId="6641522F"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Всяка филмирана таблетка 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съдържа 96.76 </w:t>
      </w:r>
      <w:r w:rsidRPr="00305F6D">
        <w:rPr>
          <w:rFonts w:eastAsia="Times New Roman" w:cs="Arial"/>
          <w:b/>
          <w:bCs/>
          <w:color w:val="000000"/>
          <w:lang w:val="en-US"/>
        </w:rPr>
        <w:t xml:space="preserve">mg </w:t>
      </w:r>
      <w:r w:rsidRPr="00305F6D">
        <w:rPr>
          <w:rFonts w:eastAsia="Times New Roman" w:cs="Arial"/>
          <w:b/>
          <w:bCs/>
          <w:color w:val="000000"/>
          <w:lang w:eastAsia="bg-BG"/>
        </w:rPr>
        <w:t>лактоза монохидрат.</w:t>
      </w:r>
    </w:p>
    <w:p w14:paraId="72FAC8D6"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Всяка филмирана таблетка 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съдържа 193.57 </w:t>
      </w:r>
      <w:r w:rsidRPr="00305F6D">
        <w:rPr>
          <w:rFonts w:eastAsia="Times New Roman" w:cs="Arial"/>
          <w:b/>
          <w:bCs/>
          <w:color w:val="000000"/>
          <w:lang w:val="en-US"/>
        </w:rPr>
        <w:t xml:space="preserve">mg </w:t>
      </w:r>
      <w:r w:rsidRPr="00305F6D">
        <w:rPr>
          <w:rFonts w:eastAsia="Times New Roman" w:cs="Arial"/>
          <w:b/>
          <w:bCs/>
          <w:color w:val="000000"/>
          <w:lang w:eastAsia="bg-BG"/>
        </w:rPr>
        <w:t>лактоза монохидрат.</w:t>
      </w:r>
    </w:p>
    <w:p w14:paraId="0F262945" w14:textId="77777777" w:rsidR="00305F6D" w:rsidRPr="00305F6D" w:rsidRDefault="00305F6D" w:rsidP="00305F6D">
      <w:pPr>
        <w:rPr>
          <w:rFonts w:eastAsia="Times New Roman" w:cs="Arial"/>
          <w:b/>
          <w:bCs/>
          <w:color w:val="000000"/>
          <w:lang w:eastAsia="bg-BG"/>
        </w:rPr>
      </w:pPr>
    </w:p>
    <w:p w14:paraId="03110A50" w14:textId="1300576A" w:rsidR="0091385D" w:rsidRPr="00305F6D" w:rsidRDefault="00305F6D" w:rsidP="00305F6D">
      <w:pPr>
        <w:rPr>
          <w:rFonts w:cs="Arial"/>
        </w:rPr>
      </w:pPr>
      <w:r w:rsidRPr="00305F6D">
        <w:rPr>
          <w:rFonts w:eastAsia="Times New Roman" w:cs="Arial"/>
          <w:b/>
          <w:bCs/>
          <w:color w:val="000000"/>
          <w:lang w:eastAsia="bg-BG"/>
        </w:rPr>
        <w:t>За пълния списък е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2CD8DFC6"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Филмирана таблетка.</w:t>
      </w:r>
    </w:p>
    <w:p w14:paraId="59426FED" w14:textId="77777777" w:rsidR="00305F6D" w:rsidRPr="00305F6D" w:rsidRDefault="00305F6D" w:rsidP="00305F6D">
      <w:pPr>
        <w:spacing w:line="240" w:lineRule="auto"/>
        <w:rPr>
          <w:rFonts w:eastAsia="Times New Roman" w:cs="Arial"/>
          <w:b/>
          <w:bCs/>
          <w:color w:val="000000"/>
          <w:lang w:eastAsia="bg-BG"/>
        </w:rPr>
      </w:pPr>
    </w:p>
    <w:p w14:paraId="170D88EC" w14:textId="2DF63455"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РОВАСТА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Розови, кръгли, двойноизпъкнали, филмирани таблетки, с щампа </w:t>
      </w:r>
      <w:r w:rsidRPr="00305F6D">
        <w:rPr>
          <w:rFonts w:eastAsia="Times New Roman" w:cs="Arial"/>
          <w:b/>
          <w:bCs/>
          <w:color w:val="000000"/>
          <w:lang w:val="en-US"/>
        </w:rPr>
        <w:t xml:space="preserve">‘ROS’ </w:t>
      </w:r>
      <w:r w:rsidRPr="00305F6D">
        <w:rPr>
          <w:rFonts w:eastAsia="Times New Roman" w:cs="Arial"/>
          <w:b/>
          <w:bCs/>
          <w:color w:val="000000"/>
          <w:lang w:eastAsia="bg-BG"/>
        </w:rPr>
        <w:t xml:space="preserve">върху ‘10’ от едната страна и нещамповани от другата страна, с диаметър 7 </w:t>
      </w:r>
      <w:r w:rsidRPr="00305F6D">
        <w:rPr>
          <w:rFonts w:eastAsia="Times New Roman" w:cs="Arial"/>
          <w:b/>
          <w:bCs/>
          <w:color w:val="000000"/>
          <w:lang w:val="en-US"/>
        </w:rPr>
        <w:t>mm.</w:t>
      </w:r>
    </w:p>
    <w:p w14:paraId="4129ADBB" w14:textId="7D4A7EFA" w:rsidR="0091385D" w:rsidRPr="00305F6D" w:rsidRDefault="00305F6D" w:rsidP="00305F6D">
      <w:pPr>
        <w:rPr>
          <w:rFonts w:cs="Arial"/>
        </w:rPr>
      </w:pPr>
      <w:r w:rsidRPr="00305F6D">
        <w:rPr>
          <w:rFonts w:eastAsia="Times New Roman" w:cs="Arial"/>
          <w:b/>
          <w:bCs/>
          <w:color w:val="000000"/>
          <w:lang w:eastAsia="bg-BG"/>
        </w:rPr>
        <w:t xml:space="preserve">РОВАСТА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филмирани таблетки: Розови, кръгли, двойноизпъкнали, филмирани таблетки, с щампа </w:t>
      </w:r>
      <w:r w:rsidRPr="00305F6D">
        <w:rPr>
          <w:rFonts w:eastAsia="Times New Roman" w:cs="Arial"/>
          <w:b/>
          <w:bCs/>
          <w:color w:val="000000"/>
          <w:lang w:val="en-US"/>
        </w:rPr>
        <w:t xml:space="preserve">‘ROS’ </w:t>
      </w:r>
      <w:r w:rsidRPr="00305F6D">
        <w:rPr>
          <w:rFonts w:eastAsia="Times New Roman" w:cs="Arial"/>
          <w:b/>
          <w:bCs/>
          <w:color w:val="000000"/>
          <w:lang w:eastAsia="bg-BG"/>
        </w:rPr>
        <w:t xml:space="preserve">върху ‘20’ от едната страна и нещамповани от другата страна, с диаметър 9 </w:t>
      </w:r>
      <w:r w:rsidRPr="00305F6D">
        <w:rPr>
          <w:rFonts w:eastAsia="Times New Roman" w:cs="Arial"/>
          <w:b/>
          <w:bCs/>
          <w:color w:val="000000"/>
          <w:lang w:val="en-US"/>
        </w:rPr>
        <w:t>mm.</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14D47AA7"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Лечение на хиперхолестеролемия</w:t>
      </w:r>
    </w:p>
    <w:p w14:paraId="3672252C"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Възрастни, младежи и деца на и над 6-годишна възраст с първична хиперхолестеролемия (тип IIа, включително хетерозиготна фамилна хиперхолестеролемия) или смесена дислипидемия (тип II</w:t>
      </w:r>
      <w:r w:rsidRPr="00305F6D">
        <w:rPr>
          <w:rFonts w:eastAsia="Times New Roman" w:cs="Arial"/>
          <w:b/>
          <w:bCs/>
          <w:color w:val="000000"/>
          <w:lang w:val="en-US"/>
        </w:rPr>
        <w:t>b</w:t>
      </w:r>
      <w:r w:rsidRPr="00305F6D">
        <w:rPr>
          <w:rFonts w:eastAsia="Times New Roman" w:cs="Arial"/>
          <w:b/>
          <w:bCs/>
          <w:color w:val="000000"/>
          <w:lang w:eastAsia="bg-BG"/>
        </w:rPr>
        <w:t xml:space="preserve">) като добавка към </w:t>
      </w:r>
      <w:r w:rsidRPr="00305F6D">
        <w:rPr>
          <w:rFonts w:eastAsia="Times New Roman" w:cs="Arial"/>
          <w:b/>
          <w:bCs/>
          <w:color w:val="000000"/>
          <w:lang w:eastAsia="bg-BG"/>
        </w:rPr>
        <w:lastRenderedPageBreak/>
        <w:t>диетата, когато резултатът от диетата и други нефармакологични мерки (иапр. физически упражнения, намаляване на теглото) не е задоволителен.</w:t>
      </w:r>
    </w:p>
    <w:p w14:paraId="5408CDEB"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Възрастни, юноши и деца на възраст на и над 6 години с хомозиготна фамилна хиперхолестеролемия като добавка към диетата, както и с друго липидопонижаващо лечение (напр. </w:t>
      </w:r>
      <w:r w:rsidRPr="00305F6D">
        <w:rPr>
          <w:rFonts w:eastAsia="Times New Roman" w:cs="Arial"/>
          <w:b/>
          <w:bCs/>
          <w:color w:val="000000"/>
          <w:lang w:val="en-US"/>
        </w:rPr>
        <w:t xml:space="preserve">LDL </w:t>
      </w:r>
      <w:r w:rsidRPr="00305F6D">
        <w:rPr>
          <w:rFonts w:eastAsia="Times New Roman" w:cs="Arial"/>
          <w:b/>
          <w:bCs/>
          <w:color w:val="000000"/>
          <w:lang w:eastAsia="bg-BG"/>
        </w:rPr>
        <w:t>афереза) или когато това лечение не е подходящо.</w:t>
      </w:r>
    </w:p>
    <w:p w14:paraId="217369C1" w14:textId="77777777" w:rsidR="00305F6D" w:rsidRPr="00305F6D" w:rsidRDefault="00305F6D" w:rsidP="00305F6D">
      <w:pPr>
        <w:spacing w:line="240" w:lineRule="auto"/>
        <w:rPr>
          <w:rFonts w:eastAsia="Times New Roman" w:cs="Arial"/>
          <w:b/>
          <w:bCs/>
          <w:color w:val="000000"/>
          <w:lang w:eastAsia="bg-BG"/>
        </w:rPr>
      </w:pPr>
    </w:p>
    <w:p w14:paraId="70D08E67" w14:textId="2B4C194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Превенция на кардноваскуларнв събития</w:t>
      </w:r>
    </w:p>
    <w:p w14:paraId="04B2E99C" w14:textId="0BF4040D" w:rsidR="0091385D" w:rsidRPr="00305F6D" w:rsidRDefault="00305F6D" w:rsidP="00305F6D">
      <w:pPr>
        <w:rPr>
          <w:rFonts w:cs="Arial"/>
        </w:rPr>
      </w:pPr>
      <w:r w:rsidRPr="00305F6D">
        <w:rPr>
          <w:rFonts w:eastAsia="Times New Roman" w:cs="Arial"/>
          <w:b/>
          <w:bCs/>
          <w:color w:val="000000"/>
          <w:lang w:eastAsia="bg-BG"/>
        </w:rPr>
        <w:t>Превенция на сериозни кардиоваскуларни събития при пациенти, при които съществува висок риск от първо сърдечно-съдово събитие (вж. точка 5), като допълнение към коригиращите риска фактори.</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18D96A63"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Преди започване на лечението пациентите трябва да бъдат подложени на стандартна понижаваща холестерола диета, която трябва да продължи и по време на лечението. Дозата трябва да бъде индивидуализирана съобразно целите на лечението и отговора на пациента, като се използват консенсусни ръководства.</w:t>
      </w:r>
    </w:p>
    <w:p w14:paraId="1A38505C" w14:textId="77777777" w:rsidR="00305F6D" w:rsidRPr="00305F6D" w:rsidRDefault="00305F6D" w:rsidP="00305F6D">
      <w:pPr>
        <w:spacing w:line="240" w:lineRule="auto"/>
        <w:rPr>
          <w:rFonts w:eastAsia="Times New Roman" w:cs="Arial"/>
          <w:b/>
          <w:bCs/>
          <w:color w:val="000000"/>
          <w:u w:val="single"/>
          <w:lang w:eastAsia="bg-BG"/>
        </w:rPr>
      </w:pPr>
    </w:p>
    <w:p w14:paraId="67D321FE" w14:textId="2B37E426" w:rsidR="00305F6D" w:rsidRPr="00BA0164" w:rsidRDefault="00305F6D" w:rsidP="00BA0164">
      <w:pPr>
        <w:pStyle w:val="Heading3"/>
        <w:rPr>
          <w:rFonts w:eastAsia="Times New Roman"/>
          <w:b/>
          <w:u w:val="single"/>
          <w:lang w:eastAsia="bg-BG"/>
        </w:rPr>
      </w:pPr>
      <w:r w:rsidRPr="00BA0164">
        <w:rPr>
          <w:rFonts w:eastAsia="Times New Roman"/>
          <w:b/>
          <w:u w:val="single"/>
          <w:lang w:eastAsia="bg-BG"/>
        </w:rPr>
        <w:t>Дозировка</w:t>
      </w:r>
    </w:p>
    <w:p w14:paraId="3FB314BB" w14:textId="77777777" w:rsidR="00305F6D" w:rsidRPr="00305F6D" w:rsidRDefault="00305F6D" w:rsidP="00305F6D">
      <w:pPr>
        <w:spacing w:line="240" w:lineRule="auto"/>
        <w:rPr>
          <w:rFonts w:eastAsia="Times New Roman" w:cs="Arial"/>
          <w:b/>
          <w:bCs/>
          <w:i/>
          <w:iCs/>
          <w:color w:val="000000"/>
          <w:u w:val="single"/>
          <w:lang w:eastAsia="bg-BG"/>
        </w:rPr>
      </w:pPr>
    </w:p>
    <w:p w14:paraId="29CBF8CC" w14:textId="7D6FA8FE"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u w:val="single"/>
          <w:lang w:eastAsia="bg-BG"/>
        </w:rPr>
        <w:t>Лечение на хиперхолестеролемия</w:t>
      </w:r>
    </w:p>
    <w:p w14:paraId="111476B0"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Препоръчителната начална доза е 5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или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веднъж дневно както при пациенти, които не са приемали статини, така и при пациенти, които преминават от друг </w:t>
      </w:r>
      <w:r w:rsidRPr="00305F6D">
        <w:rPr>
          <w:rFonts w:eastAsia="Times New Roman" w:cs="Arial"/>
          <w:b/>
          <w:bCs/>
          <w:color w:val="000000"/>
          <w:lang w:val="en-US"/>
        </w:rPr>
        <w:t xml:space="preserve">HMG </w:t>
      </w:r>
      <w:r w:rsidRPr="00305F6D">
        <w:rPr>
          <w:rFonts w:eastAsia="Times New Roman" w:cs="Arial"/>
          <w:b/>
          <w:bCs/>
          <w:color w:val="000000"/>
          <w:lang w:eastAsia="bg-BG"/>
        </w:rPr>
        <w:t xml:space="preserve">СоА редуктазен инхибитор. При избора на начална доза трябва да се вземат предвид нивото на холестерол на индивидуалните пациенти и риска от бъдещи кардиоваскуларни събития, както и потенциалния риск от нежелани реакции (вж. по-долу). Адаптиране на дозата към следващото дозово ниво може да се извърши след 4 седмици, ако е необходимо (вж. точка 5.1). Във връзка с повишената честота на съобщаване на нежелани реакции при дозата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в сравнение с по- ниските дози (вж. точка 4.8), окончателно титриране на дозата до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трябва да се извършва само при пациенти с тежка хиперхолестеролемия с висок риск от кардиоваскуларни събития (в частност, при тези с фамилна хиперхолестеролемия), при които не са постигнати целите на лечението с доза от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и, при които ще се извършва рутинно проследяване (вж. точка 4.4). Препоръчва се лекарско наблюдение при започване на доза от 40 </w:t>
      </w:r>
      <w:r w:rsidRPr="00305F6D">
        <w:rPr>
          <w:rFonts w:eastAsia="Times New Roman" w:cs="Arial"/>
          <w:b/>
          <w:bCs/>
          <w:color w:val="000000"/>
          <w:lang w:val="en-US"/>
        </w:rPr>
        <w:t>mg.</w:t>
      </w:r>
    </w:p>
    <w:p w14:paraId="2DCD0800" w14:textId="77777777" w:rsidR="00305F6D" w:rsidRPr="00305F6D" w:rsidRDefault="00305F6D" w:rsidP="00305F6D">
      <w:pPr>
        <w:spacing w:line="240" w:lineRule="auto"/>
        <w:rPr>
          <w:rFonts w:eastAsia="Times New Roman" w:cs="Arial"/>
          <w:b/>
          <w:bCs/>
          <w:i/>
          <w:iCs/>
          <w:color w:val="000000"/>
          <w:u w:val="single"/>
          <w:lang w:eastAsia="bg-BG"/>
        </w:rPr>
      </w:pPr>
    </w:p>
    <w:p w14:paraId="591A09D7" w14:textId="4D0DF448"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u w:val="single"/>
          <w:lang w:eastAsia="bg-BG"/>
        </w:rPr>
        <w:t>Превенция на кардиоваскуларни събития</w:t>
      </w:r>
    </w:p>
    <w:p w14:paraId="56F8570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В проучването за намаляване на кардиоваскуларния риск използваната доза е била 20 </w:t>
      </w:r>
      <w:r w:rsidRPr="00305F6D">
        <w:rPr>
          <w:rFonts w:eastAsia="Times New Roman" w:cs="Arial"/>
          <w:b/>
          <w:bCs/>
          <w:color w:val="000000"/>
          <w:lang w:val="en-US"/>
        </w:rPr>
        <w:t xml:space="preserve">mg </w:t>
      </w:r>
      <w:r w:rsidRPr="00305F6D">
        <w:rPr>
          <w:rFonts w:eastAsia="Times New Roman" w:cs="Arial"/>
          <w:b/>
          <w:bCs/>
          <w:color w:val="000000"/>
          <w:lang w:eastAsia="bg-BG"/>
        </w:rPr>
        <w:t>дневно (вж. Точка 5.1).</w:t>
      </w:r>
    </w:p>
    <w:p w14:paraId="2486A00E" w14:textId="77777777" w:rsidR="00305F6D" w:rsidRPr="00305F6D" w:rsidRDefault="00305F6D" w:rsidP="00305F6D">
      <w:pPr>
        <w:spacing w:line="240" w:lineRule="auto"/>
        <w:rPr>
          <w:rFonts w:eastAsia="Times New Roman" w:cs="Arial"/>
          <w:b/>
          <w:bCs/>
          <w:color w:val="000000"/>
          <w:u w:val="single"/>
          <w:lang w:eastAsia="bg-BG"/>
        </w:rPr>
      </w:pPr>
    </w:p>
    <w:p w14:paraId="102F3376" w14:textId="2DB8C5B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Педиатрична популапия</w:t>
      </w:r>
    </w:p>
    <w:p w14:paraId="7DD5E4C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Употребата при деца трябва да се провежда само от специалисти.</w:t>
      </w:r>
    </w:p>
    <w:p w14:paraId="4C986461" w14:textId="77777777" w:rsidR="00305F6D" w:rsidRPr="00305F6D" w:rsidRDefault="00305F6D" w:rsidP="00305F6D">
      <w:pPr>
        <w:spacing w:line="240" w:lineRule="auto"/>
        <w:rPr>
          <w:rFonts w:eastAsia="Times New Roman" w:cs="Arial"/>
          <w:b/>
          <w:bCs/>
          <w:color w:val="000000"/>
          <w:u w:val="single"/>
          <w:lang w:eastAsia="bg-BG"/>
        </w:rPr>
      </w:pPr>
    </w:p>
    <w:p w14:paraId="11B64E88" w14:textId="54D3A5C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Деца и младежи на възраст 6 до 17 години (стадий &lt;</w:t>
      </w:r>
      <w:r w:rsidRPr="00305F6D">
        <w:rPr>
          <w:rFonts w:cs="Arial"/>
          <w:color w:val="333333"/>
          <w:shd w:val="clear" w:color="auto" w:fill="FFFFFF"/>
        </w:rPr>
        <w:t>II</w:t>
      </w:r>
      <w:r w:rsidRPr="00305F6D">
        <w:rPr>
          <w:rFonts w:eastAsia="Times New Roman" w:cs="Arial"/>
          <w:b/>
          <w:bCs/>
          <w:color w:val="000000"/>
          <w:u w:val="single"/>
          <w:lang w:eastAsia="bg-BG"/>
        </w:rPr>
        <w:t>-</w:t>
      </w:r>
      <w:r w:rsidRPr="00305F6D">
        <w:rPr>
          <w:rFonts w:eastAsia="Times New Roman" w:cs="Arial"/>
          <w:b/>
          <w:bCs/>
          <w:color w:val="000000"/>
          <w:u w:val="single"/>
          <w:lang w:val="en-US" w:eastAsia="bg-BG"/>
        </w:rPr>
        <w:t>V</w:t>
      </w:r>
      <w:r w:rsidRPr="00305F6D">
        <w:rPr>
          <w:rFonts w:eastAsia="Times New Roman" w:cs="Arial"/>
          <w:b/>
          <w:bCs/>
          <w:color w:val="000000"/>
          <w:u w:val="single"/>
          <w:lang w:eastAsia="bg-BG"/>
        </w:rPr>
        <w:t xml:space="preserve"> по Танер)</w:t>
      </w:r>
    </w:p>
    <w:p w14:paraId="19EF7FB7"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Хетерозиготна фамилна хиперхолестеролемия</w:t>
      </w:r>
    </w:p>
    <w:p w14:paraId="14034DD3"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деца и младежи с хетерозиготна фамилна хиперхолестеролемия обичайната начална доза е 5 </w:t>
      </w:r>
      <w:r w:rsidRPr="00305F6D">
        <w:rPr>
          <w:rFonts w:eastAsia="Times New Roman" w:cs="Arial"/>
          <w:b/>
          <w:bCs/>
          <w:color w:val="000000"/>
          <w:lang w:val="en-US"/>
        </w:rPr>
        <w:t xml:space="preserve">mg </w:t>
      </w:r>
      <w:r w:rsidRPr="00305F6D">
        <w:rPr>
          <w:rFonts w:eastAsia="Times New Roman" w:cs="Arial"/>
          <w:b/>
          <w:bCs/>
          <w:color w:val="000000"/>
          <w:lang w:eastAsia="bg-BG"/>
        </w:rPr>
        <w:t>дневно.</w:t>
      </w:r>
    </w:p>
    <w:p w14:paraId="5DCD4FEC" w14:textId="77777777" w:rsidR="00305F6D" w:rsidRPr="00305F6D" w:rsidRDefault="00305F6D" w:rsidP="00305F6D">
      <w:pPr>
        <w:numPr>
          <w:ilvl w:val="0"/>
          <w:numId w:val="2"/>
        </w:numPr>
        <w:spacing w:line="240" w:lineRule="auto"/>
        <w:rPr>
          <w:rFonts w:eastAsia="Times New Roman" w:cs="Arial"/>
          <w:b/>
          <w:bCs/>
          <w:color w:val="000000"/>
          <w:lang w:eastAsia="bg-BG"/>
        </w:rPr>
      </w:pPr>
      <w:r w:rsidRPr="00305F6D">
        <w:rPr>
          <w:rFonts w:eastAsia="Times New Roman" w:cs="Arial"/>
          <w:b/>
          <w:bCs/>
          <w:color w:val="000000"/>
          <w:lang w:eastAsia="bg-BG"/>
        </w:rPr>
        <w:lastRenderedPageBreak/>
        <w:t xml:space="preserve">При деца на възраст 6 до 9 години с хетерозиготна фамилна хиперхолестеролемия обичайният дозов диапазон е 5 -10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перорално веднъж дневно. Безопасността и ефикасността на дози по-високи от 10 </w:t>
      </w:r>
      <w:r w:rsidRPr="00305F6D">
        <w:rPr>
          <w:rFonts w:eastAsia="Times New Roman" w:cs="Arial"/>
          <w:b/>
          <w:bCs/>
          <w:color w:val="000000"/>
          <w:lang w:val="en-US"/>
        </w:rPr>
        <w:t xml:space="preserve">mg </w:t>
      </w:r>
      <w:r w:rsidRPr="00305F6D">
        <w:rPr>
          <w:rFonts w:eastAsia="Times New Roman" w:cs="Arial"/>
          <w:b/>
          <w:bCs/>
          <w:color w:val="000000"/>
          <w:lang w:eastAsia="bg-BG"/>
        </w:rPr>
        <w:t>не са проучвани при тази популация.</w:t>
      </w:r>
    </w:p>
    <w:p w14:paraId="287FFA63" w14:textId="77777777" w:rsidR="00305F6D" w:rsidRPr="00305F6D" w:rsidRDefault="00305F6D" w:rsidP="00305F6D">
      <w:pPr>
        <w:numPr>
          <w:ilvl w:val="0"/>
          <w:numId w:val="2"/>
        </w:numPr>
        <w:spacing w:line="240" w:lineRule="auto"/>
        <w:rPr>
          <w:rFonts w:eastAsia="Times New Roman" w:cs="Arial"/>
          <w:b/>
          <w:bCs/>
          <w:color w:val="000000"/>
          <w:lang w:eastAsia="bg-BG"/>
        </w:rPr>
      </w:pPr>
      <w:r w:rsidRPr="00305F6D">
        <w:rPr>
          <w:rFonts w:eastAsia="Times New Roman" w:cs="Arial"/>
          <w:b/>
          <w:bCs/>
          <w:color w:val="000000"/>
          <w:lang w:eastAsia="bg-BG"/>
        </w:rPr>
        <w:t xml:space="preserve">При деца на възраст 10 до 17 години с хетерозиготна фамилна хиперхолестеролемия обичайният дозов диапазон е 5 -20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перорално веднъж дневно. Безопасността и ефикасността на дози по-високи от 20 </w:t>
      </w:r>
      <w:r w:rsidRPr="00305F6D">
        <w:rPr>
          <w:rFonts w:eastAsia="Times New Roman" w:cs="Arial"/>
          <w:b/>
          <w:bCs/>
          <w:color w:val="000000"/>
          <w:lang w:val="en-US"/>
        </w:rPr>
        <w:t xml:space="preserve">mg </w:t>
      </w:r>
      <w:r w:rsidRPr="00305F6D">
        <w:rPr>
          <w:rFonts w:eastAsia="Times New Roman" w:cs="Arial"/>
          <w:b/>
          <w:bCs/>
          <w:color w:val="000000"/>
          <w:lang w:eastAsia="bg-BG"/>
        </w:rPr>
        <w:t>не са проучвани при тази популация.</w:t>
      </w:r>
    </w:p>
    <w:p w14:paraId="7AA1C60D" w14:textId="77777777" w:rsidR="00305F6D" w:rsidRPr="00305F6D" w:rsidRDefault="00305F6D" w:rsidP="00305F6D">
      <w:pPr>
        <w:spacing w:line="240" w:lineRule="auto"/>
        <w:rPr>
          <w:rFonts w:eastAsia="Times New Roman" w:cs="Arial"/>
          <w:b/>
          <w:bCs/>
          <w:color w:val="000000"/>
          <w:lang w:eastAsia="bg-BG"/>
        </w:rPr>
      </w:pPr>
    </w:p>
    <w:p w14:paraId="50B55FC9" w14:textId="5BAF998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Титрирането трябва да се провежда съгласно индивидуалния отговор и поносимост на педиатричните пациенти, както се препоръчва в препоръките за лечение на деца (вж. точка 4.4). Децата и младежите трябва да се подложат на стандартна холестероло-понижаваща диета преди да се започне лечение с розувастатин; диетата трябва да се продължи по време на лечението с розувастатин.</w:t>
      </w:r>
    </w:p>
    <w:p w14:paraId="0361D832" w14:textId="77777777" w:rsidR="00305F6D" w:rsidRPr="00305F6D" w:rsidRDefault="00305F6D" w:rsidP="00305F6D">
      <w:pPr>
        <w:spacing w:line="240" w:lineRule="auto"/>
        <w:rPr>
          <w:rFonts w:eastAsia="Times New Roman" w:cs="Arial"/>
          <w:b/>
          <w:bCs/>
          <w:i/>
          <w:iCs/>
          <w:color w:val="000000"/>
          <w:lang w:eastAsia="bg-BG"/>
        </w:rPr>
      </w:pPr>
    </w:p>
    <w:p w14:paraId="59288838" w14:textId="3B3F385B"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Хомозиготна фамилна хиперхолестеролемия</w:t>
      </w:r>
    </w:p>
    <w:p w14:paraId="02FEC342"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деца на възраст от 6 до 17 години с хомозиготна фамилна хиперхолестеролемия, препоръчителната максимална доза </w:t>
      </w:r>
      <w:r w:rsidRPr="00305F6D">
        <w:rPr>
          <w:rFonts w:eastAsia="Times New Roman" w:cs="Arial"/>
          <w:b/>
          <w:bCs/>
          <w:i/>
          <w:iCs/>
          <w:color w:val="000000"/>
          <w:lang w:eastAsia="bg-BG"/>
        </w:rPr>
        <w:t>е</w:t>
      </w:r>
      <w:r w:rsidRPr="00305F6D">
        <w:rPr>
          <w:rFonts w:eastAsia="Times New Roman" w:cs="Arial"/>
          <w:b/>
          <w:bCs/>
          <w:color w:val="000000"/>
          <w:lang w:eastAsia="bg-BG"/>
        </w:rPr>
        <w:t xml:space="preserve"> 20 </w:t>
      </w:r>
      <w:r w:rsidRPr="00305F6D">
        <w:rPr>
          <w:rFonts w:eastAsia="Times New Roman" w:cs="Arial"/>
          <w:b/>
          <w:bCs/>
          <w:color w:val="000000"/>
          <w:lang w:val="en-US"/>
        </w:rPr>
        <w:t xml:space="preserve">mg </w:t>
      </w:r>
      <w:r w:rsidRPr="00305F6D">
        <w:rPr>
          <w:rFonts w:eastAsia="Times New Roman" w:cs="Arial"/>
          <w:b/>
          <w:bCs/>
          <w:color w:val="000000"/>
          <w:lang w:eastAsia="bg-BG"/>
        </w:rPr>
        <w:t>веднъж дневно.</w:t>
      </w:r>
      <w:r w:rsidRPr="00305F6D">
        <w:rPr>
          <w:rFonts w:eastAsia="Times New Roman" w:cs="Arial"/>
          <w:b/>
          <w:bCs/>
          <w:color w:val="000000"/>
          <w:lang w:eastAsia="bg-BG"/>
        </w:rPr>
        <w:tab/>
      </w:r>
    </w:p>
    <w:p w14:paraId="2C658488" w14:textId="77777777" w:rsidR="00305F6D" w:rsidRPr="00305F6D" w:rsidRDefault="00305F6D" w:rsidP="00305F6D">
      <w:pPr>
        <w:rPr>
          <w:rFonts w:eastAsia="Times New Roman" w:cs="Arial"/>
          <w:sz w:val="24"/>
          <w:szCs w:val="24"/>
          <w:lang w:eastAsia="bg-BG"/>
        </w:rPr>
      </w:pPr>
      <w:r w:rsidRPr="00305F6D">
        <w:rPr>
          <w:rFonts w:eastAsia="Times New Roman" w:cs="Arial"/>
          <w:b/>
          <w:bCs/>
          <w:color w:val="000000"/>
          <w:lang w:eastAsia="bg-BG"/>
        </w:rPr>
        <w:t xml:space="preserve">Препоръчва се начална доза от 5 до 10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веднъж дневно в зависимост от възрастта, теглото и предишна употребата на статии. Титрирането до максималната доза от 20 </w:t>
      </w:r>
      <w:r w:rsidRPr="00305F6D">
        <w:rPr>
          <w:rFonts w:eastAsia="Times New Roman" w:cs="Arial"/>
          <w:b/>
          <w:bCs/>
          <w:color w:val="000000"/>
          <w:lang w:val="en-US"/>
        </w:rPr>
        <w:t xml:space="preserve">mg </w:t>
      </w:r>
      <w:r w:rsidRPr="00305F6D">
        <w:rPr>
          <w:rFonts w:eastAsia="Times New Roman" w:cs="Arial"/>
          <w:b/>
          <w:bCs/>
          <w:color w:val="000000"/>
          <w:lang w:eastAsia="bg-BG"/>
        </w:rPr>
        <w:t>веднъж дневно</w:t>
      </w:r>
      <w:r w:rsidRPr="00305F6D">
        <w:rPr>
          <w:rFonts w:eastAsia="Times New Roman" w:cs="Arial"/>
          <w:b/>
          <w:bCs/>
          <w:color w:val="000000"/>
          <w:lang w:val="en-US" w:eastAsia="bg-BG"/>
        </w:rPr>
        <w:t xml:space="preserve"> </w:t>
      </w:r>
      <w:r w:rsidRPr="00305F6D">
        <w:rPr>
          <w:rFonts w:eastAsia="Times New Roman" w:cs="Arial"/>
          <w:b/>
          <w:bCs/>
          <w:color w:val="000000"/>
          <w:lang w:eastAsia="bg-BG"/>
        </w:rPr>
        <w:t>трябва да се извърши съгласно индивидуалния отговор и поносимостта на педиатричните пациенти, както е указано в препоръките за лечение на педиатрична популация (вижте точка 4.4). децата и юношите трябва да се подложат на стандартна холестероло-понижаваща диета преди да се започне лечение с розувастатин; диетата трябва да продължи по време на лечението с розувастатин.</w:t>
      </w:r>
    </w:p>
    <w:p w14:paraId="4D9A247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Данните за дози, различни от 20 </w:t>
      </w:r>
      <w:r w:rsidRPr="00305F6D">
        <w:rPr>
          <w:rFonts w:eastAsia="Times New Roman" w:cs="Arial"/>
          <w:b/>
          <w:bCs/>
          <w:color w:val="000000"/>
          <w:lang w:val="en-US"/>
        </w:rPr>
        <w:t xml:space="preserve">mg </w:t>
      </w:r>
      <w:r w:rsidRPr="00305F6D">
        <w:rPr>
          <w:rFonts w:eastAsia="Times New Roman" w:cs="Arial"/>
          <w:b/>
          <w:bCs/>
          <w:color w:val="000000"/>
          <w:lang w:eastAsia="bg-BG"/>
        </w:rPr>
        <w:t>са ограничени при тази популация.</w:t>
      </w:r>
    </w:p>
    <w:p w14:paraId="63A4AA8B" w14:textId="77777777" w:rsidR="00305F6D" w:rsidRPr="00305F6D" w:rsidRDefault="00305F6D" w:rsidP="00305F6D">
      <w:pPr>
        <w:spacing w:line="240" w:lineRule="auto"/>
        <w:rPr>
          <w:rFonts w:eastAsia="Times New Roman" w:cs="Arial"/>
          <w:b/>
          <w:bCs/>
          <w:color w:val="000000"/>
          <w:lang w:eastAsia="bg-BG"/>
        </w:rPr>
      </w:pPr>
    </w:p>
    <w:p w14:paraId="2D75682F" w14:textId="0D251BB5"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Таблетката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не е подходяща за употреба при педиатрични пациенти.</w:t>
      </w:r>
    </w:p>
    <w:p w14:paraId="645ADEE0" w14:textId="77777777" w:rsidR="00305F6D" w:rsidRPr="00305F6D" w:rsidRDefault="00305F6D" w:rsidP="00305F6D">
      <w:pPr>
        <w:spacing w:line="240" w:lineRule="auto"/>
        <w:rPr>
          <w:rFonts w:eastAsia="Times New Roman" w:cs="Arial"/>
          <w:b/>
          <w:bCs/>
          <w:color w:val="000000"/>
          <w:u w:val="single"/>
          <w:lang w:eastAsia="bg-BG"/>
        </w:rPr>
      </w:pPr>
    </w:p>
    <w:p w14:paraId="0C2A9816" w14:textId="0DB7EF10"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Деца по-малки от 6 години</w:t>
      </w:r>
    </w:p>
    <w:p w14:paraId="591942A2"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Безопасността и ефикасността на употребата при деца по-малки от 6 години не са проучвани. Следователно РОВАСТА не се препоръчва за употреба при деца по-малки от 6 години.</w:t>
      </w:r>
    </w:p>
    <w:p w14:paraId="1FCCC540" w14:textId="77777777" w:rsidR="00305F6D" w:rsidRPr="00305F6D" w:rsidRDefault="00305F6D" w:rsidP="00305F6D">
      <w:pPr>
        <w:spacing w:line="240" w:lineRule="auto"/>
        <w:rPr>
          <w:rFonts w:eastAsia="Times New Roman" w:cs="Arial"/>
          <w:b/>
          <w:bCs/>
          <w:color w:val="000000"/>
          <w:u w:val="single"/>
          <w:lang w:eastAsia="bg-BG"/>
        </w:rPr>
      </w:pPr>
    </w:p>
    <w:p w14:paraId="391E14FF" w14:textId="416D7921"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 xml:space="preserve">Употреба </w:t>
      </w:r>
      <w:r w:rsidRPr="00305F6D">
        <w:rPr>
          <w:rFonts w:eastAsia="Times New Roman" w:cs="Arial"/>
          <w:b/>
          <w:bCs/>
          <w:smallCaps/>
          <w:color w:val="000000"/>
          <w:u w:val="single"/>
          <w:lang w:eastAsia="bg-BG"/>
        </w:rPr>
        <w:t>при</w:t>
      </w:r>
      <w:r w:rsidRPr="00305F6D">
        <w:rPr>
          <w:rFonts w:eastAsia="Times New Roman" w:cs="Arial"/>
          <w:b/>
          <w:bCs/>
          <w:color w:val="000000"/>
          <w:u w:val="single"/>
          <w:lang w:eastAsia="bg-BG"/>
        </w:rPr>
        <w:t xml:space="preserve"> папиенти в старческа възраст</w:t>
      </w:r>
    </w:p>
    <w:p w14:paraId="521853CD"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Начална доза от 5 </w:t>
      </w:r>
      <w:r w:rsidRPr="00305F6D">
        <w:rPr>
          <w:rFonts w:eastAsia="Times New Roman" w:cs="Arial"/>
          <w:b/>
          <w:bCs/>
          <w:color w:val="000000"/>
          <w:lang w:val="en-US"/>
        </w:rPr>
        <w:t xml:space="preserve">mg </w:t>
      </w:r>
      <w:r w:rsidRPr="00305F6D">
        <w:rPr>
          <w:rFonts w:eastAsia="Times New Roman" w:cs="Arial"/>
          <w:b/>
          <w:bCs/>
          <w:color w:val="000000"/>
          <w:lang w:eastAsia="bg-BG"/>
        </w:rPr>
        <w:t>се препоръчва при пациента &gt;70 години (вж. точка 4.4). Не се налага допълнително адаптиране на дозата във връзка с възрастта.</w:t>
      </w:r>
    </w:p>
    <w:p w14:paraId="358B70A7" w14:textId="77777777" w:rsidR="00305F6D" w:rsidRPr="00305F6D" w:rsidRDefault="00305F6D" w:rsidP="00305F6D">
      <w:pPr>
        <w:spacing w:line="240" w:lineRule="auto"/>
        <w:rPr>
          <w:rFonts w:eastAsia="Times New Roman" w:cs="Arial"/>
          <w:b/>
          <w:bCs/>
          <w:color w:val="000000"/>
          <w:u w:val="single"/>
          <w:lang w:eastAsia="bg-BG"/>
        </w:rPr>
      </w:pPr>
    </w:p>
    <w:p w14:paraId="0A53BF29" w14:textId="7791F5B1"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Дозиране пои папиенти с бъбречна недостатъчност</w:t>
      </w:r>
    </w:p>
    <w:p w14:paraId="49D939A6"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Не се изисква адаптиране на дозата при пациенти с леко до умерено бъбречно увреждане. Препоръчителната начална доза е 5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при пациенти с умерено бъбречно увреждане (креатининов клирънс &lt;60 </w:t>
      </w:r>
      <w:r w:rsidRPr="00305F6D">
        <w:rPr>
          <w:rFonts w:eastAsia="Times New Roman" w:cs="Arial"/>
          <w:b/>
          <w:bCs/>
          <w:color w:val="000000"/>
          <w:lang w:val="en-US"/>
        </w:rPr>
        <w:t xml:space="preserve">ml/min). </w:t>
      </w:r>
      <w:r w:rsidRPr="00305F6D">
        <w:rPr>
          <w:rFonts w:eastAsia="Times New Roman" w:cs="Arial"/>
          <w:b/>
          <w:bCs/>
          <w:color w:val="000000"/>
          <w:lang w:eastAsia="bg-BG"/>
        </w:rPr>
        <w:t xml:space="preserve">Дозата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пациенти с умерено бъбречно увреждане. Употребата на РОВАСТА при пациенти с тежко бъбречно увреждане е противопоказана за всички дози (вж. точка 43 и точка 5.2).</w:t>
      </w:r>
    </w:p>
    <w:p w14:paraId="04CE40A0" w14:textId="77777777" w:rsidR="00305F6D" w:rsidRPr="00305F6D" w:rsidRDefault="00305F6D" w:rsidP="00305F6D">
      <w:pPr>
        <w:spacing w:line="240" w:lineRule="auto"/>
        <w:rPr>
          <w:rFonts w:eastAsia="Times New Roman" w:cs="Arial"/>
          <w:b/>
          <w:bCs/>
          <w:color w:val="000000"/>
          <w:u w:val="single"/>
          <w:lang w:eastAsia="bg-BG"/>
        </w:rPr>
      </w:pPr>
    </w:p>
    <w:p w14:paraId="2D856029" w14:textId="28273FFB"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Дозиране при папиенти с чернодробна недостатъчност</w:t>
      </w:r>
    </w:p>
    <w:p w14:paraId="70C6C9FA"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lastRenderedPageBreak/>
        <w:t xml:space="preserve">Не е наблюдавано повишение в системната експозиция на розувастатин при пациенти с оценка по скалата </w:t>
      </w:r>
      <w:r w:rsidRPr="00305F6D">
        <w:rPr>
          <w:rFonts w:eastAsia="Times New Roman" w:cs="Arial"/>
          <w:b/>
          <w:bCs/>
          <w:color w:val="000000"/>
          <w:lang w:val="en-US"/>
        </w:rPr>
        <w:t xml:space="preserve">Child-Pugh </w:t>
      </w:r>
      <w:r w:rsidRPr="00305F6D">
        <w:rPr>
          <w:rFonts w:eastAsia="Times New Roman" w:cs="Arial"/>
          <w:b/>
          <w:bCs/>
          <w:color w:val="000000"/>
          <w:lang w:eastAsia="bg-BG"/>
        </w:rPr>
        <w:t xml:space="preserve">≤ 7. Въпреки това, повишена експозиция е наблюдавана при пациенти с оценка по скалата </w:t>
      </w:r>
      <w:r w:rsidRPr="00305F6D">
        <w:rPr>
          <w:rFonts w:eastAsia="Times New Roman" w:cs="Arial"/>
          <w:b/>
          <w:bCs/>
          <w:color w:val="000000"/>
          <w:lang w:val="en-US"/>
        </w:rPr>
        <w:t xml:space="preserve">Child-Pugh </w:t>
      </w:r>
      <w:r w:rsidRPr="00305F6D">
        <w:rPr>
          <w:rFonts w:eastAsia="Times New Roman" w:cs="Arial"/>
          <w:b/>
          <w:bCs/>
          <w:color w:val="000000"/>
          <w:lang w:eastAsia="bg-BG"/>
        </w:rPr>
        <w:t xml:space="preserve">8 и 9 (вж. точка 5.2). При тези пациенти трябва да се обмисли оценка на чернодробната функция (вж. точка 4.4). Няма наличен опит при пациенти с оценка по скалата </w:t>
      </w:r>
      <w:r w:rsidRPr="00305F6D">
        <w:rPr>
          <w:rFonts w:eastAsia="Times New Roman" w:cs="Arial"/>
          <w:b/>
          <w:bCs/>
          <w:color w:val="000000"/>
          <w:lang w:val="en-US"/>
        </w:rPr>
        <w:t xml:space="preserve">Child-Pugh </w:t>
      </w:r>
      <w:r w:rsidRPr="00305F6D">
        <w:rPr>
          <w:rFonts w:eastAsia="Times New Roman" w:cs="Arial"/>
          <w:b/>
          <w:bCs/>
          <w:color w:val="000000"/>
          <w:lang w:eastAsia="bg-BG"/>
        </w:rPr>
        <w:t>над 9. РОВАСТА е противопоказан при пациенти с активно чернодробно заболяване (вж. точка 4.3).</w:t>
      </w:r>
    </w:p>
    <w:p w14:paraId="2E665DBF" w14:textId="77777777" w:rsidR="00305F6D" w:rsidRPr="00305F6D" w:rsidRDefault="00305F6D" w:rsidP="00305F6D">
      <w:pPr>
        <w:spacing w:line="240" w:lineRule="auto"/>
        <w:rPr>
          <w:rFonts w:eastAsia="Times New Roman" w:cs="Arial"/>
          <w:b/>
          <w:bCs/>
          <w:color w:val="000000"/>
          <w:lang w:eastAsia="bg-BG"/>
        </w:rPr>
      </w:pPr>
    </w:p>
    <w:p w14:paraId="153F67CC" w14:textId="2117F031"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Раса</w:t>
      </w:r>
    </w:p>
    <w:p w14:paraId="3C7DA6D8"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пациенти от азиатски произход е наблюдавана повишена системна експозиция (вж. точки 4.3, 4.4 и 5.2). Препоръчителната начална доза при пациенти от азиатски произход е 5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Доза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тези пациенти.</w:t>
      </w:r>
    </w:p>
    <w:p w14:paraId="1F6A6610" w14:textId="77777777" w:rsidR="00305F6D" w:rsidRPr="00305F6D" w:rsidRDefault="00305F6D" w:rsidP="00305F6D">
      <w:pPr>
        <w:spacing w:line="240" w:lineRule="auto"/>
        <w:rPr>
          <w:rFonts w:eastAsia="Times New Roman" w:cs="Arial"/>
          <w:b/>
          <w:bCs/>
          <w:color w:val="000000"/>
          <w:lang w:eastAsia="bg-BG"/>
        </w:rPr>
      </w:pPr>
    </w:p>
    <w:p w14:paraId="3B768CFA" w14:textId="3F2F94C0"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Генетичен полиморфизъм</w:t>
      </w:r>
    </w:p>
    <w:p w14:paraId="4E0B2ADC"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Известно е, че определени типове генетичен полиморфизъм могат да доведат до повишение в експозицията на розувастатин (вж. точка 5.2). При пациентите, за които е известно, че имат такъв тип полиморфизъм се препоръчва по-ниска дневна доза РОВАСТА.</w:t>
      </w:r>
    </w:p>
    <w:p w14:paraId="039FDFD4" w14:textId="77777777" w:rsidR="00305F6D" w:rsidRPr="00305F6D" w:rsidRDefault="00305F6D" w:rsidP="00305F6D">
      <w:pPr>
        <w:spacing w:line="240" w:lineRule="auto"/>
        <w:rPr>
          <w:rFonts w:eastAsia="Times New Roman" w:cs="Arial"/>
          <w:b/>
          <w:bCs/>
          <w:color w:val="000000"/>
          <w:lang w:eastAsia="bg-BG"/>
        </w:rPr>
      </w:pPr>
    </w:p>
    <w:p w14:paraId="1D78242C" w14:textId="4FDA4542"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Дозиране прн пациенти, предразположени към миопатня</w:t>
      </w:r>
    </w:p>
    <w:p w14:paraId="2510753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Препоръчителната начална доза при пациенти, предразположение към миопатия е 5 </w:t>
      </w:r>
      <w:r w:rsidRPr="00305F6D">
        <w:rPr>
          <w:rFonts w:eastAsia="Times New Roman" w:cs="Arial"/>
          <w:b/>
          <w:bCs/>
          <w:color w:val="000000"/>
          <w:lang w:val="en-US"/>
        </w:rPr>
        <w:t xml:space="preserve">mg </w:t>
      </w:r>
      <w:r w:rsidRPr="00305F6D">
        <w:rPr>
          <w:rFonts w:eastAsia="Times New Roman" w:cs="Arial"/>
          <w:b/>
          <w:bCs/>
          <w:color w:val="000000"/>
          <w:lang w:eastAsia="bg-BG"/>
        </w:rPr>
        <w:t>(вж. точка 4.4).</w:t>
      </w:r>
    </w:p>
    <w:p w14:paraId="036C9E0A"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Доза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някои от тези пациенти (вж. точка 4.3).</w:t>
      </w:r>
    </w:p>
    <w:p w14:paraId="0258BB59" w14:textId="77777777" w:rsidR="00305F6D" w:rsidRPr="00305F6D" w:rsidRDefault="00305F6D" w:rsidP="00305F6D">
      <w:pPr>
        <w:spacing w:line="240" w:lineRule="auto"/>
        <w:rPr>
          <w:rFonts w:eastAsia="Times New Roman" w:cs="Arial"/>
          <w:b/>
          <w:bCs/>
          <w:color w:val="000000"/>
          <w:u w:val="single"/>
          <w:lang w:eastAsia="bg-BG"/>
        </w:rPr>
      </w:pPr>
    </w:p>
    <w:p w14:paraId="78F792D0" w14:textId="0FB087DC"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Съпътстващо лечение</w:t>
      </w:r>
    </w:p>
    <w:p w14:paraId="4CC823B5"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Розувастатин е субстрат на различни транспортерни протеини (като </w:t>
      </w:r>
      <w:r w:rsidRPr="00305F6D">
        <w:rPr>
          <w:rFonts w:eastAsia="Times New Roman" w:cs="Arial"/>
          <w:b/>
          <w:bCs/>
          <w:color w:val="000000"/>
          <w:lang w:val="en-US"/>
        </w:rPr>
        <w:t xml:space="preserve">OATP1B1 </w:t>
      </w:r>
      <w:r w:rsidRPr="00305F6D">
        <w:rPr>
          <w:rFonts w:eastAsia="Times New Roman" w:cs="Arial"/>
          <w:b/>
          <w:bCs/>
          <w:color w:val="000000"/>
          <w:lang w:eastAsia="bg-BG"/>
        </w:rPr>
        <w:t xml:space="preserve">и </w:t>
      </w:r>
      <w:r w:rsidRPr="00305F6D">
        <w:rPr>
          <w:rFonts w:eastAsia="Times New Roman" w:cs="Arial"/>
          <w:b/>
          <w:bCs/>
          <w:color w:val="000000"/>
          <w:lang w:val="en-US"/>
        </w:rPr>
        <w:t>BCR).</w:t>
      </w:r>
    </w:p>
    <w:p w14:paraId="288D8E71" w14:textId="77777777" w:rsidR="00305F6D" w:rsidRPr="00EA6168" w:rsidRDefault="00305F6D" w:rsidP="00305F6D">
      <w:pPr>
        <w:rPr>
          <w:rFonts w:eastAsia="Times New Roman" w:cs="Arial"/>
          <w:sz w:val="24"/>
          <w:szCs w:val="24"/>
          <w:lang w:eastAsia="bg-BG"/>
        </w:rPr>
      </w:pPr>
      <w:r w:rsidRPr="00305F6D">
        <w:rPr>
          <w:rFonts w:eastAsia="Times New Roman" w:cs="Arial"/>
          <w:b/>
          <w:bCs/>
          <w:color w:val="000000"/>
          <w:lang w:eastAsia="bg-BG"/>
        </w:rPr>
        <w:t>Рискът от миопатия (включително рабдомиолиза) се повишава, когато РОВАСТА се прилага съвместно с определени лекарствени продукти, които могат да повишат плазмените концентрации на розувастатин поради взаимодействие с тези транспортерни протеини (напр.</w:t>
      </w:r>
      <w:r>
        <w:rPr>
          <w:rFonts w:eastAsia="Times New Roman" w:cs="Arial"/>
          <w:color w:val="000000"/>
          <w:lang w:val="en-US" w:eastAsia="bg-BG"/>
        </w:rPr>
        <w:t xml:space="preserve"> </w:t>
      </w:r>
      <w:r w:rsidRPr="00EA6168">
        <w:rPr>
          <w:rFonts w:eastAsia="Times New Roman" w:cs="Arial"/>
          <w:b/>
          <w:bCs/>
          <w:color w:val="000000"/>
          <w:lang w:eastAsia="bg-BG"/>
        </w:rPr>
        <w:t>циклоспорин и определени протеазни инхибитори, включително комбинации на ритонавир с атазанавир, лопинавир и/ или типранавир; вж. точка 4.4 и 4.5). Когато е възможно трябва да бъдат взети предвид алтернативни лекарства, и, ако е необходимо, да се има предвид временно преустановяване на лечението с РОВАСТА. В случаите, когато съвместното приложение на тези лекарствени продукти с РОВАСТА е неизбежно, трябва внимателно да се обмислят ползата и рискът от съпътстващото лечение, както и адаптиране на дозата на РОВАСТА (вж. точка 4.5).</w:t>
      </w:r>
    </w:p>
    <w:p w14:paraId="5FF2D8DF" w14:textId="77777777" w:rsidR="00305F6D" w:rsidRPr="00EA6168" w:rsidRDefault="00305F6D" w:rsidP="00305F6D">
      <w:pPr>
        <w:spacing w:line="240" w:lineRule="auto"/>
        <w:rPr>
          <w:rFonts w:eastAsia="Times New Roman" w:cs="Arial"/>
          <w:b/>
          <w:bCs/>
          <w:color w:val="000000"/>
          <w:u w:val="single"/>
          <w:lang w:eastAsia="bg-BG"/>
        </w:rPr>
      </w:pPr>
    </w:p>
    <w:p w14:paraId="599E5A05" w14:textId="5F767EFF" w:rsidR="00305F6D" w:rsidRPr="00BA0164" w:rsidRDefault="00305F6D" w:rsidP="00BA0164">
      <w:pPr>
        <w:pStyle w:val="Heading3"/>
        <w:rPr>
          <w:rFonts w:eastAsia="Times New Roman"/>
          <w:b/>
          <w:u w:val="single"/>
          <w:lang w:eastAsia="bg-BG"/>
        </w:rPr>
      </w:pPr>
      <w:r w:rsidRPr="00BA0164">
        <w:rPr>
          <w:rFonts w:eastAsia="Times New Roman"/>
          <w:b/>
          <w:u w:val="single"/>
          <w:lang w:eastAsia="bg-BG"/>
        </w:rPr>
        <w:t>Начин на приложение</w:t>
      </w:r>
    </w:p>
    <w:p w14:paraId="475300EC" w14:textId="2AF04AE8" w:rsidR="0091385D" w:rsidRPr="00EA6168" w:rsidRDefault="00305F6D" w:rsidP="00305F6D">
      <w:pPr>
        <w:rPr>
          <w:rFonts w:cs="Arial"/>
          <w:lang w:val="en-US"/>
        </w:rPr>
      </w:pPr>
      <w:r w:rsidRPr="00EA6168">
        <w:rPr>
          <w:rFonts w:eastAsia="Times New Roman" w:cs="Arial"/>
          <w:b/>
          <w:bCs/>
          <w:color w:val="000000"/>
          <w:lang w:eastAsia="bg-BG"/>
        </w:rPr>
        <w:t>РОВАСТА може да се приема по всяко време на деня, с или без храна.</w:t>
      </w:r>
    </w:p>
    <w:p w14:paraId="6ACAF645" w14:textId="77777777" w:rsidR="0091385D" w:rsidRPr="0091385D" w:rsidRDefault="0091385D"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38741810"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РОВАСТА е противопоказан:</w:t>
      </w:r>
    </w:p>
    <w:p w14:paraId="6ED9BA16"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със свръхчувствителност към активното вещество или някое от помощните вещества, изброени в точка 6.1.</w:t>
      </w:r>
    </w:p>
    <w:p w14:paraId="4B71ECE0"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 xml:space="preserve">при пациенти с активно чернодробно заболяване, включително необясними, персистиращи елевации на серумните трансаминази и всяко повишаване на </w:t>
      </w:r>
      <w:r w:rsidRPr="00EA6168">
        <w:rPr>
          <w:rFonts w:eastAsia="Times New Roman" w:cs="Arial"/>
          <w:b/>
          <w:bCs/>
          <w:color w:val="000000"/>
          <w:lang w:eastAsia="bg-BG"/>
        </w:rPr>
        <w:lastRenderedPageBreak/>
        <w:t xml:space="preserve">серумните трансаминази, превишаващо 3 пъти нормалните горни граници </w:t>
      </w:r>
      <w:r w:rsidRPr="00EA6168">
        <w:rPr>
          <w:rFonts w:eastAsia="Times New Roman" w:cs="Arial"/>
          <w:b/>
          <w:bCs/>
          <w:color w:val="000000"/>
          <w:lang w:val="en-US"/>
        </w:rPr>
        <w:t>(ULN).</w:t>
      </w:r>
    </w:p>
    <w:p w14:paraId="6B01DDD3"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 xml:space="preserve">при пациенти с тежко бъбречно увреждане (креатининов клирънс &lt;30 </w:t>
      </w:r>
      <w:r w:rsidRPr="00EA6168">
        <w:rPr>
          <w:rFonts w:eastAsia="Times New Roman" w:cs="Arial"/>
          <w:b/>
          <w:bCs/>
          <w:color w:val="000000"/>
          <w:lang w:val="en-US"/>
        </w:rPr>
        <w:t>ml/min).</w:t>
      </w:r>
    </w:p>
    <w:p w14:paraId="62B4A34C"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с миопатия.</w:t>
      </w:r>
    </w:p>
    <w:p w14:paraId="3E274643"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приемащи едновременно комбинация от софосбувир/ велпатасвир/ воксилапревир (вж. точка 4.5).</w:t>
      </w:r>
    </w:p>
    <w:p w14:paraId="64CA63E6" w14:textId="77777777"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пациенти, конто приемат съвместно циклоспорин.</w:t>
      </w:r>
    </w:p>
    <w:p w14:paraId="69E9A84C" w14:textId="2B187843" w:rsidR="00305F6D" w:rsidRPr="00EA6168" w:rsidRDefault="00305F6D" w:rsidP="00305F6D">
      <w:pPr>
        <w:pStyle w:val="ListParagraph"/>
        <w:numPr>
          <w:ilvl w:val="0"/>
          <w:numId w:val="35"/>
        </w:numPr>
        <w:spacing w:line="240" w:lineRule="auto"/>
        <w:rPr>
          <w:rFonts w:eastAsia="Times New Roman" w:cs="Arial"/>
          <w:b/>
          <w:bCs/>
          <w:color w:val="000000"/>
          <w:lang w:eastAsia="bg-BG"/>
        </w:rPr>
      </w:pPr>
      <w:r w:rsidRPr="00EA6168">
        <w:rPr>
          <w:rFonts w:eastAsia="Times New Roman" w:cs="Arial"/>
          <w:b/>
          <w:bCs/>
          <w:color w:val="000000"/>
          <w:lang w:eastAsia="bg-BG"/>
        </w:rPr>
        <w:t>при бременност и кърмене и при жени с детероден потенциал, които не използват подходящи методи за контрацепция.</w:t>
      </w:r>
    </w:p>
    <w:p w14:paraId="6AC99EB2" w14:textId="77777777" w:rsidR="00305F6D" w:rsidRPr="00EA6168"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Дозата от 40 </w:t>
      </w:r>
      <w:r w:rsidRPr="00305F6D">
        <w:rPr>
          <w:rFonts w:eastAsia="Times New Roman" w:cs="Arial"/>
          <w:b/>
          <w:bCs/>
          <w:color w:val="000000"/>
          <w:lang w:val="en-US"/>
        </w:rPr>
        <w:t xml:space="preserve">mg </w:t>
      </w:r>
      <w:r w:rsidRPr="00305F6D">
        <w:rPr>
          <w:rFonts w:eastAsia="Times New Roman" w:cs="Arial"/>
          <w:b/>
          <w:bCs/>
          <w:color w:val="000000"/>
          <w:lang w:eastAsia="bg-BG"/>
        </w:rPr>
        <w:t>е противопоказана при пациенти, предразположени към миопатия/ рабдомиолиза. Предразполагащите фактори включват:</w:t>
      </w:r>
    </w:p>
    <w:p w14:paraId="0E742374"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 xml:space="preserve">умерено бъбречно увреждане (креатининов клирънс &lt; 60 </w:t>
      </w:r>
      <w:r w:rsidRPr="00EA6168">
        <w:rPr>
          <w:rFonts w:eastAsia="Times New Roman" w:cs="Arial"/>
          <w:b/>
          <w:bCs/>
          <w:color w:val="000000"/>
          <w:lang w:val="en-US"/>
        </w:rPr>
        <w:t>ml/min)</w:t>
      </w:r>
    </w:p>
    <w:p w14:paraId="1233BA84"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хипотиреоидизъм</w:t>
      </w:r>
    </w:p>
    <w:p w14:paraId="1AE83727"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лична или фамилна анамнеза за наследствени мускулни разстройства</w:t>
      </w:r>
    </w:p>
    <w:p w14:paraId="3D7C6615"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 xml:space="preserve">предходна анамнеза за мускулна токсичност при употреба на друг </w:t>
      </w:r>
      <w:r w:rsidRPr="00EA6168">
        <w:rPr>
          <w:rFonts w:eastAsia="Times New Roman" w:cs="Arial"/>
          <w:b/>
          <w:bCs/>
          <w:color w:val="000000"/>
          <w:lang w:val="en-US"/>
        </w:rPr>
        <w:t xml:space="preserve">HMG-CoA </w:t>
      </w:r>
      <w:r w:rsidRPr="00EA6168">
        <w:rPr>
          <w:rFonts w:eastAsia="Times New Roman" w:cs="Arial"/>
          <w:b/>
          <w:bCs/>
          <w:color w:val="000000"/>
          <w:lang w:eastAsia="bg-BG"/>
        </w:rPr>
        <w:t>редуктазен инхибитор или фибрат</w:t>
      </w:r>
    </w:p>
    <w:p w14:paraId="22ABEF1E"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злоупотреба с алкохол</w:t>
      </w:r>
    </w:p>
    <w:p w14:paraId="1E7D5F1B" w14:textId="77777777"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състояния, при които е възможно повишение на плазмените нива</w:t>
      </w:r>
    </w:p>
    <w:p w14:paraId="010779C7" w14:textId="77B2B958" w:rsidR="00305F6D" w:rsidRPr="00EA6168" w:rsidRDefault="00305F6D" w:rsidP="00305F6D">
      <w:pPr>
        <w:pStyle w:val="ListParagraph"/>
        <w:numPr>
          <w:ilvl w:val="0"/>
          <w:numId w:val="36"/>
        </w:numPr>
        <w:spacing w:line="240" w:lineRule="auto"/>
        <w:rPr>
          <w:rFonts w:eastAsia="Times New Roman" w:cs="Arial"/>
          <w:sz w:val="24"/>
          <w:szCs w:val="24"/>
          <w:lang w:eastAsia="bg-BG"/>
        </w:rPr>
      </w:pPr>
      <w:r w:rsidRPr="00EA6168">
        <w:rPr>
          <w:rFonts w:eastAsia="Times New Roman" w:cs="Arial"/>
          <w:b/>
          <w:bCs/>
          <w:color w:val="000000"/>
          <w:lang w:eastAsia="bg-BG"/>
        </w:rPr>
        <w:t>пациенти от азиатски произход</w:t>
      </w:r>
    </w:p>
    <w:p w14:paraId="2309EAB0" w14:textId="16D774B4" w:rsidR="0091385D" w:rsidRPr="00EA6168" w:rsidRDefault="00305F6D" w:rsidP="00305F6D">
      <w:pPr>
        <w:pStyle w:val="ListParagraph"/>
        <w:numPr>
          <w:ilvl w:val="0"/>
          <w:numId w:val="36"/>
        </w:numPr>
        <w:rPr>
          <w:rFonts w:cs="Arial"/>
        </w:rPr>
      </w:pPr>
      <w:r w:rsidRPr="00EA6168">
        <w:rPr>
          <w:rFonts w:eastAsia="Times New Roman" w:cs="Arial"/>
          <w:b/>
          <w:bCs/>
          <w:color w:val="000000"/>
          <w:lang w:eastAsia="bg-BG"/>
        </w:rPr>
        <w:t>съвместно приложение с фибрати. (вж. точки 4.4, 4.5 и 5.2)</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4433561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Тежки кожни нежелани реакпии</w:t>
      </w:r>
    </w:p>
    <w:p w14:paraId="0079AEBC"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лечение с розувастатин се съобщава за тежки кожни нежелани реакции, включващи синдром на </w:t>
      </w:r>
      <w:r w:rsidRPr="00305F6D">
        <w:rPr>
          <w:rFonts w:eastAsia="Times New Roman" w:cs="Arial"/>
          <w:b/>
          <w:bCs/>
          <w:color w:val="000000"/>
          <w:lang w:val="en-US"/>
        </w:rPr>
        <w:t xml:space="preserve">Stevens Johnson (SJS) </w:t>
      </w:r>
      <w:r w:rsidRPr="00305F6D">
        <w:rPr>
          <w:rFonts w:eastAsia="Times New Roman" w:cs="Arial"/>
          <w:b/>
          <w:bCs/>
          <w:color w:val="000000"/>
          <w:lang w:eastAsia="bg-BG"/>
        </w:rPr>
        <w:t xml:space="preserve">и лекарствена реакция с еозинофилия и системни симптоми </w:t>
      </w:r>
      <w:r w:rsidRPr="00305F6D">
        <w:rPr>
          <w:rFonts w:eastAsia="Times New Roman" w:cs="Arial"/>
          <w:b/>
          <w:bCs/>
          <w:color w:val="000000"/>
          <w:lang w:val="en-US"/>
        </w:rPr>
        <w:t xml:space="preserve">(DRESS), </w:t>
      </w:r>
      <w:r w:rsidRPr="00305F6D">
        <w:rPr>
          <w:rFonts w:eastAsia="Times New Roman" w:cs="Arial"/>
          <w:b/>
          <w:bCs/>
          <w:color w:val="000000"/>
          <w:lang w:eastAsia="bg-BG"/>
        </w:rPr>
        <w:t>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розувастатин трябва незабавно да се преустанови и да се обмисли алтернативно лечение.</w:t>
      </w:r>
    </w:p>
    <w:p w14:paraId="57310CA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Ако пациентът е развил сериозна реакция, като например </w:t>
      </w:r>
      <w:r w:rsidRPr="00305F6D">
        <w:rPr>
          <w:rFonts w:eastAsia="Times New Roman" w:cs="Arial"/>
          <w:b/>
          <w:bCs/>
          <w:color w:val="000000"/>
          <w:lang w:val="en-US"/>
        </w:rPr>
        <w:t xml:space="preserve">SJS </w:t>
      </w:r>
      <w:r w:rsidRPr="00305F6D">
        <w:rPr>
          <w:rFonts w:eastAsia="Times New Roman" w:cs="Arial"/>
          <w:b/>
          <w:bCs/>
          <w:color w:val="000000"/>
          <w:lang w:eastAsia="bg-BG"/>
        </w:rPr>
        <w:t xml:space="preserve">или </w:t>
      </w:r>
      <w:r w:rsidRPr="00305F6D">
        <w:rPr>
          <w:rFonts w:eastAsia="Times New Roman" w:cs="Arial"/>
          <w:b/>
          <w:bCs/>
          <w:color w:val="000000"/>
          <w:lang w:val="en-US"/>
        </w:rPr>
        <w:t xml:space="preserve">DRESS </w:t>
      </w:r>
      <w:r w:rsidRPr="00305F6D">
        <w:rPr>
          <w:rFonts w:eastAsia="Times New Roman" w:cs="Arial"/>
          <w:b/>
          <w:bCs/>
          <w:color w:val="000000"/>
          <w:lang w:eastAsia="bg-BG"/>
        </w:rPr>
        <w:t>при употреба на розувастатин, лечението с розувастатин не трябва никога да се подновява при този пациенти</w:t>
      </w:r>
    </w:p>
    <w:p w14:paraId="0CB0EBF2" w14:textId="77777777" w:rsidR="00305F6D" w:rsidRPr="00EA6168" w:rsidRDefault="00305F6D" w:rsidP="00305F6D">
      <w:pPr>
        <w:rPr>
          <w:rFonts w:eastAsia="Times New Roman" w:cs="Arial"/>
          <w:b/>
          <w:bCs/>
          <w:strike/>
          <w:color w:val="000000"/>
          <w:u w:val="single"/>
          <w:lang w:eastAsia="bg-BG"/>
        </w:rPr>
      </w:pPr>
    </w:p>
    <w:p w14:paraId="0B3BEE35" w14:textId="179D6824" w:rsidR="0091385D" w:rsidRPr="00EA6168" w:rsidRDefault="00305F6D" w:rsidP="00305F6D">
      <w:pPr>
        <w:rPr>
          <w:rFonts w:cs="Arial"/>
        </w:rPr>
      </w:pPr>
      <w:r w:rsidRPr="00EA6168">
        <w:rPr>
          <w:rFonts w:eastAsia="Times New Roman" w:cs="Arial"/>
          <w:b/>
          <w:bCs/>
          <w:color w:val="000000"/>
          <w:u w:val="single"/>
          <w:lang w:eastAsia="bg-BG"/>
        </w:rPr>
        <w:t>Бъбречни ефекти</w:t>
      </w:r>
    </w:p>
    <w:p w14:paraId="66E4DC57"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пациенти, лекувани с по-високи дози розувастатин, по-конкретно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е наблюдавана протеинурия, установена чрез изследване с тест ленти, която има предимно тубулен произход и в повечето случаи е с преходен или интермитентен характер. Протеинурията не е показана да бъде предшестваща остро или прогресивно бъбречно заболяване (вж. точка 4.8). Честотата на докладване на сериозни бъбречни събития при постмаркетинговата употреба е по-висока при доза от 40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Трябва да се обмисли проследяване на бъбречната функция при рутинното проследяване на пациентите, лекувани с доза от 40 </w:t>
      </w:r>
      <w:r w:rsidRPr="00305F6D">
        <w:rPr>
          <w:rFonts w:eastAsia="Times New Roman" w:cs="Arial"/>
          <w:b/>
          <w:bCs/>
          <w:color w:val="000000"/>
          <w:lang w:val="en-US"/>
        </w:rPr>
        <w:t>mg.</w:t>
      </w:r>
    </w:p>
    <w:p w14:paraId="4C780804" w14:textId="77777777" w:rsidR="00305F6D" w:rsidRPr="00EA6168" w:rsidRDefault="00305F6D" w:rsidP="00305F6D">
      <w:pPr>
        <w:spacing w:line="240" w:lineRule="auto"/>
        <w:rPr>
          <w:rFonts w:eastAsia="Times New Roman" w:cs="Arial"/>
          <w:b/>
          <w:bCs/>
          <w:color w:val="000000"/>
          <w:u w:val="single"/>
          <w:lang w:eastAsia="bg-BG"/>
        </w:rPr>
      </w:pPr>
    </w:p>
    <w:p w14:paraId="74E5DEBA" w14:textId="5E5A6240"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u w:val="single"/>
          <w:lang w:eastAsia="bg-BG"/>
        </w:rPr>
        <w:t>Ефекти на скелетната мускулатура</w:t>
      </w:r>
    </w:p>
    <w:p w14:paraId="319E7FB4"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Ефекти върху скелетната мускулатура като миалгия, миопатия и, рядко рабдомиолиза, са съобщавани при пациенти, лекувани с всички дози розувастатин </w:t>
      </w:r>
      <w:r w:rsidRPr="00305F6D">
        <w:rPr>
          <w:rFonts w:eastAsia="Times New Roman" w:cs="Arial"/>
          <w:b/>
          <w:bCs/>
          <w:color w:val="000000"/>
          <w:lang w:eastAsia="bg-BG"/>
        </w:rPr>
        <w:lastRenderedPageBreak/>
        <w:t xml:space="preserve">и в частност с дози &gt; 20 </w:t>
      </w:r>
      <w:r w:rsidRPr="00305F6D">
        <w:rPr>
          <w:rFonts w:eastAsia="Times New Roman" w:cs="Arial"/>
          <w:b/>
          <w:bCs/>
          <w:color w:val="000000"/>
          <w:lang w:val="en-US"/>
        </w:rPr>
        <w:t xml:space="preserve">mg. </w:t>
      </w:r>
      <w:r w:rsidRPr="00305F6D">
        <w:rPr>
          <w:rFonts w:eastAsia="Times New Roman" w:cs="Arial"/>
          <w:b/>
          <w:bCs/>
          <w:color w:val="000000"/>
          <w:lang w:eastAsia="bg-BG"/>
        </w:rPr>
        <w:t xml:space="preserve">Много рядко са докладвани случаи на рабдомиолиза при употреба на езигимиб в комбинация с </w:t>
      </w:r>
      <w:r w:rsidRPr="00305F6D">
        <w:rPr>
          <w:rFonts w:eastAsia="Times New Roman" w:cs="Arial"/>
          <w:b/>
          <w:bCs/>
          <w:color w:val="000000"/>
          <w:lang w:val="en-US"/>
        </w:rPr>
        <w:t xml:space="preserve">HMG-CoA </w:t>
      </w:r>
      <w:r w:rsidRPr="00305F6D">
        <w:rPr>
          <w:rFonts w:eastAsia="Times New Roman" w:cs="Arial"/>
          <w:b/>
          <w:bCs/>
          <w:color w:val="000000"/>
          <w:lang w:eastAsia="bg-BG"/>
        </w:rPr>
        <w:t>редуктазни инхибитори. Не може да бъде изключено фармакодинамично взаимодействие (вж. точка 4.5) и е необходимо внимание при тяхната съвместна употреба.</w:t>
      </w:r>
    </w:p>
    <w:p w14:paraId="2895F93B" w14:textId="72D0F9BF" w:rsidR="00305F6D" w:rsidRPr="00305F6D" w:rsidRDefault="00EA6168" w:rsidP="00305F6D">
      <w:pPr>
        <w:spacing w:line="240" w:lineRule="auto"/>
        <w:rPr>
          <w:rFonts w:eastAsia="Times New Roman" w:cs="Arial"/>
          <w:sz w:val="24"/>
          <w:szCs w:val="24"/>
          <w:lang w:eastAsia="bg-BG"/>
        </w:rPr>
      </w:pPr>
      <w:r>
        <w:rPr>
          <w:rFonts w:eastAsia="Times New Roman" w:cs="Arial"/>
          <w:b/>
          <w:bCs/>
          <w:color w:val="000000"/>
          <w:lang w:eastAsia="bg-BG"/>
        </w:rPr>
        <w:t>Какт</w:t>
      </w:r>
      <w:r w:rsidR="00305F6D" w:rsidRPr="00305F6D">
        <w:rPr>
          <w:rFonts w:eastAsia="Times New Roman" w:cs="Arial"/>
          <w:b/>
          <w:bCs/>
          <w:color w:val="000000"/>
          <w:lang w:eastAsia="bg-BG"/>
        </w:rPr>
        <w:t xml:space="preserve">о и при другите </w:t>
      </w:r>
      <w:r w:rsidR="00305F6D" w:rsidRPr="00305F6D">
        <w:rPr>
          <w:rFonts w:eastAsia="Times New Roman" w:cs="Arial"/>
          <w:b/>
          <w:bCs/>
          <w:color w:val="000000"/>
          <w:lang w:val="en-US"/>
        </w:rPr>
        <w:t xml:space="preserve">HMG-CoA </w:t>
      </w:r>
      <w:r w:rsidR="00305F6D" w:rsidRPr="00305F6D">
        <w:rPr>
          <w:rFonts w:eastAsia="Times New Roman" w:cs="Arial"/>
          <w:b/>
          <w:bCs/>
          <w:color w:val="000000"/>
          <w:lang w:eastAsia="bg-BG"/>
        </w:rPr>
        <w:t xml:space="preserve">редуктазни инхибитори, честотата на съобщаване на рабдомиолиза, асоциирана с розувастатин, е по-висока при доза от 40 </w:t>
      </w:r>
      <w:r w:rsidR="00305F6D" w:rsidRPr="00305F6D">
        <w:rPr>
          <w:rFonts w:eastAsia="Times New Roman" w:cs="Arial"/>
          <w:b/>
          <w:bCs/>
          <w:color w:val="000000"/>
          <w:lang w:val="en-US"/>
        </w:rPr>
        <w:t>mg.</w:t>
      </w:r>
    </w:p>
    <w:p w14:paraId="1E6330F8" w14:textId="77777777" w:rsidR="00305F6D" w:rsidRPr="00EA6168" w:rsidRDefault="00305F6D" w:rsidP="00305F6D">
      <w:pPr>
        <w:spacing w:line="240" w:lineRule="auto"/>
        <w:rPr>
          <w:rFonts w:eastAsia="Times New Roman" w:cs="Arial"/>
          <w:b/>
          <w:bCs/>
          <w:i/>
          <w:iCs/>
          <w:color w:val="000000"/>
          <w:lang w:eastAsia="bg-BG"/>
        </w:rPr>
      </w:pPr>
    </w:p>
    <w:p w14:paraId="1C8701EF" w14:textId="100B5908"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Измерване на креатинин киназата</w:t>
      </w:r>
    </w:p>
    <w:p w14:paraId="0261FBD4"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Креатинин киназата (СК) не трябва да бъде измервана след усилени упражнения или при наличие на друга основателна причина за повишаване на креатинин киназата, която може да затрудни тълкуването на резултатите. Ако нивата на креатинин киназата са съществено повишени спрямо изходните нива </w:t>
      </w:r>
      <w:r w:rsidRPr="00305F6D">
        <w:rPr>
          <w:rFonts w:eastAsia="Times New Roman" w:cs="Arial"/>
          <w:b/>
          <w:bCs/>
          <w:color w:val="000000"/>
          <w:lang w:val="en-US"/>
        </w:rPr>
        <w:t xml:space="preserve">(&gt;5xULN) </w:t>
      </w:r>
      <w:r w:rsidRPr="00305F6D">
        <w:rPr>
          <w:rFonts w:eastAsia="Times New Roman" w:cs="Arial"/>
          <w:b/>
          <w:bCs/>
          <w:color w:val="000000"/>
          <w:lang w:eastAsia="bg-BG"/>
        </w:rPr>
        <w:t xml:space="preserve">трябва да бъде направено изследване за потвърждаване на резултата в рамките на следващите 5-7 дни. Ако повторното изследване потвърди изходно ниво на креатинин киназата </w:t>
      </w:r>
      <w:r w:rsidRPr="00305F6D">
        <w:rPr>
          <w:rFonts w:eastAsia="Times New Roman" w:cs="Arial"/>
          <w:b/>
          <w:bCs/>
          <w:color w:val="000000"/>
          <w:lang w:val="en-US"/>
        </w:rPr>
        <w:t xml:space="preserve">&gt;5xULN, </w:t>
      </w:r>
      <w:r w:rsidRPr="00305F6D">
        <w:rPr>
          <w:rFonts w:eastAsia="Times New Roman" w:cs="Arial"/>
          <w:b/>
          <w:bCs/>
          <w:color w:val="000000"/>
          <w:lang w:eastAsia="bg-BG"/>
        </w:rPr>
        <w:t>не трябва да бъде започвано лечение.</w:t>
      </w:r>
    </w:p>
    <w:p w14:paraId="65A1ECEE" w14:textId="77777777" w:rsidR="00305F6D" w:rsidRPr="00EA6168" w:rsidRDefault="00305F6D" w:rsidP="00305F6D">
      <w:pPr>
        <w:spacing w:line="240" w:lineRule="auto"/>
        <w:rPr>
          <w:rFonts w:eastAsia="Times New Roman" w:cs="Arial"/>
          <w:b/>
          <w:bCs/>
          <w:i/>
          <w:iCs/>
          <w:color w:val="000000"/>
          <w:lang w:eastAsia="bg-BG"/>
        </w:rPr>
      </w:pPr>
    </w:p>
    <w:p w14:paraId="0406AADE" w14:textId="1B4949D3"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Преди започване на лечение</w:t>
      </w:r>
    </w:p>
    <w:p w14:paraId="0ED5B8A2"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Розувастатин, както и останалите </w:t>
      </w:r>
      <w:r w:rsidRPr="00305F6D">
        <w:rPr>
          <w:rFonts w:eastAsia="Times New Roman" w:cs="Arial"/>
          <w:b/>
          <w:bCs/>
          <w:color w:val="000000"/>
          <w:lang w:val="en-US"/>
        </w:rPr>
        <w:t xml:space="preserve">HMG-CoA </w:t>
      </w:r>
      <w:r w:rsidRPr="00305F6D">
        <w:rPr>
          <w:rFonts w:eastAsia="Times New Roman" w:cs="Arial"/>
          <w:b/>
          <w:bCs/>
          <w:color w:val="000000"/>
          <w:lang w:eastAsia="bg-BG"/>
        </w:rPr>
        <w:t>редуктазни инхибитори трябва да бъдат предписвани с внимание при пациенти с предразполагащи към миопатия/ рабдомиолиза фактори. Тези фактори включват:</w:t>
      </w:r>
    </w:p>
    <w:p w14:paraId="54741112"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бъбречно увреждане</w:t>
      </w:r>
    </w:p>
    <w:p w14:paraId="3FCC1306"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хипотиреоидизъм</w:t>
      </w:r>
    </w:p>
    <w:p w14:paraId="313E802C"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лична или фамилна анамнеза за наследствени мускулни заболявания</w:t>
      </w:r>
    </w:p>
    <w:p w14:paraId="3562A66D"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 xml:space="preserve">анамнеза за мускулна токсичност към други </w:t>
      </w:r>
      <w:r w:rsidRPr="00EA6168">
        <w:rPr>
          <w:rFonts w:eastAsia="Times New Roman" w:cs="Arial"/>
          <w:b/>
          <w:bCs/>
          <w:color w:val="000000"/>
          <w:lang w:val="en-US"/>
        </w:rPr>
        <w:t xml:space="preserve">HMG-CoA </w:t>
      </w:r>
      <w:r w:rsidRPr="00EA6168">
        <w:rPr>
          <w:rFonts w:eastAsia="Times New Roman" w:cs="Arial"/>
          <w:b/>
          <w:bCs/>
          <w:color w:val="000000"/>
          <w:lang w:eastAsia="bg-BG"/>
        </w:rPr>
        <w:t>редуктазни инхибитори или фибрата</w:t>
      </w:r>
    </w:p>
    <w:p w14:paraId="6F08C9FD"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злоупотреба с алкохол</w:t>
      </w:r>
    </w:p>
    <w:p w14:paraId="4D6AA337"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пациенти на възраст над 70 години</w:t>
      </w:r>
    </w:p>
    <w:p w14:paraId="65428AEC" w14:textId="77777777" w:rsidR="00EA6168"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случаи, при които може да се появи повишение на плазмените нива (вж. точки 4.2, 4.5 и 5.2)</w:t>
      </w:r>
    </w:p>
    <w:p w14:paraId="46AA520C" w14:textId="02CBF354" w:rsidR="00305F6D" w:rsidRPr="00EA6168" w:rsidRDefault="00305F6D" w:rsidP="00305F6D">
      <w:pPr>
        <w:pStyle w:val="ListParagraph"/>
        <w:numPr>
          <w:ilvl w:val="0"/>
          <w:numId w:val="37"/>
        </w:numPr>
        <w:spacing w:line="240" w:lineRule="auto"/>
        <w:rPr>
          <w:rFonts w:eastAsia="Times New Roman" w:cs="Arial"/>
          <w:sz w:val="24"/>
          <w:szCs w:val="24"/>
          <w:lang w:eastAsia="bg-BG"/>
        </w:rPr>
      </w:pPr>
      <w:r w:rsidRPr="00EA6168">
        <w:rPr>
          <w:rFonts w:eastAsia="Times New Roman" w:cs="Arial"/>
          <w:b/>
          <w:bCs/>
          <w:color w:val="000000"/>
          <w:lang w:eastAsia="bg-BG"/>
        </w:rPr>
        <w:t>съвместно приложение с фибрата.</w:t>
      </w:r>
    </w:p>
    <w:p w14:paraId="0F1A6111" w14:textId="77777777"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color w:val="000000"/>
          <w:lang w:eastAsia="bg-BG"/>
        </w:rPr>
        <w:t xml:space="preserve">При тези пациенти рискът от лечение трябва да се оцени във връзка с възможните ползи и се препоръчва клинично мониториране. Ако нивата на креатинин киназата са съществено завишени спрямо изходните стойности </w:t>
      </w:r>
      <w:r w:rsidRPr="00305F6D">
        <w:rPr>
          <w:rFonts w:eastAsia="Times New Roman" w:cs="Arial"/>
          <w:b/>
          <w:bCs/>
          <w:color w:val="000000"/>
          <w:lang w:val="en-US"/>
        </w:rPr>
        <w:t xml:space="preserve">(&gt;5xULN) </w:t>
      </w:r>
      <w:r w:rsidRPr="00305F6D">
        <w:rPr>
          <w:rFonts w:eastAsia="Times New Roman" w:cs="Arial"/>
          <w:b/>
          <w:bCs/>
          <w:color w:val="000000"/>
          <w:lang w:eastAsia="bg-BG"/>
        </w:rPr>
        <w:t>не трябва да се започва лечение.</w:t>
      </w:r>
    </w:p>
    <w:p w14:paraId="5BA6F56A" w14:textId="77777777" w:rsidR="00305F6D" w:rsidRPr="00EA6168" w:rsidRDefault="00305F6D" w:rsidP="00305F6D">
      <w:pPr>
        <w:spacing w:line="240" w:lineRule="auto"/>
        <w:rPr>
          <w:rFonts w:eastAsia="Times New Roman" w:cs="Arial"/>
          <w:b/>
          <w:bCs/>
          <w:i/>
          <w:iCs/>
          <w:color w:val="000000"/>
          <w:lang w:eastAsia="bg-BG"/>
        </w:rPr>
      </w:pPr>
    </w:p>
    <w:p w14:paraId="020A8054" w14:textId="450493CD" w:rsidR="00305F6D" w:rsidRPr="00305F6D" w:rsidRDefault="00305F6D" w:rsidP="00305F6D">
      <w:pPr>
        <w:spacing w:line="240" w:lineRule="auto"/>
        <w:rPr>
          <w:rFonts w:eastAsia="Times New Roman" w:cs="Arial"/>
          <w:sz w:val="24"/>
          <w:szCs w:val="24"/>
          <w:lang w:eastAsia="bg-BG"/>
        </w:rPr>
      </w:pPr>
      <w:r w:rsidRPr="00305F6D">
        <w:rPr>
          <w:rFonts w:eastAsia="Times New Roman" w:cs="Arial"/>
          <w:b/>
          <w:bCs/>
          <w:i/>
          <w:iCs/>
          <w:color w:val="000000"/>
          <w:lang w:eastAsia="bg-BG"/>
        </w:rPr>
        <w:t>По време на лечението</w:t>
      </w:r>
    </w:p>
    <w:p w14:paraId="361B2DC2" w14:textId="77777777" w:rsidR="00EA6168" w:rsidRPr="007B364E" w:rsidRDefault="00305F6D" w:rsidP="00EA6168">
      <w:pPr>
        <w:rPr>
          <w:rFonts w:eastAsia="Times New Roman" w:cs="Arial"/>
          <w:sz w:val="24"/>
          <w:szCs w:val="24"/>
          <w:lang w:eastAsia="bg-BG"/>
        </w:rPr>
      </w:pPr>
      <w:r w:rsidRPr="00305F6D">
        <w:rPr>
          <w:rFonts w:eastAsia="Times New Roman" w:cs="Arial"/>
          <w:b/>
          <w:bCs/>
          <w:color w:val="000000"/>
          <w:lang w:eastAsia="bg-BG"/>
        </w:rPr>
        <w:t>Пациентите трябва да бъдат помолени да съобщят за необясними мускулни болки, слабост или крампи незабавно, особено ако са свързани с неразположение и температура. При тези пациенти нивата на креатинин киназата трябва да бъдат измервани. Терапията трябва да бъде преустановена ако нивата на креатинин киназата са отчетливо завишени (&gt;5</w:t>
      </w:r>
      <w:proofErr w:type="spellStart"/>
      <w:r w:rsidRPr="00305F6D">
        <w:rPr>
          <w:rFonts w:eastAsia="Times New Roman" w:cs="Arial"/>
          <w:b/>
          <w:bCs/>
          <w:color w:val="000000"/>
          <w:lang w:val="en-US"/>
        </w:rPr>
        <w:t>xULN</w:t>
      </w:r>
      <w:proofErr w:type="spellEnd"/>
      <w:r w:rsidRPr="00305F6D">
        <w:rPr>
          <w:rFonts w:eastAsia="Times New Roman" w:cs="Arial"/>
          <w:b/>
          <w:bCs/>
          <w:color w:val="000000"/>
          <w:lang w:eastAsia="bg-BG"/>
        </w:rPr>
        <w:t>)</w:t>
      </w:r>
      <w:r w:rsidRPr="00305F6D">
        <w:rPr>
          <w:rFonts w:eastAsia="Times New Roman" w:cs="Arial"/>
          <w:b/>
          <w:bCs/>
          <w:color w:val="000000"/>
          <w:lang w:val="en-US"/>
        </w:rPr>
        <w:t xml:space="preserve"> </w:t>
      </w:r>
      <w:r w:rsidRPr="00305F6D">
        <w:rPr>
          <w:rFonts w:eastAsia="Times New Roman" w:cs="Arial"/>
          <w:b/>
          <w:bCs/>
          <w:color w:val="000000"/>
          <w:lang w:eastAsia="bg-BG"/>
        </w:rPr>
        <w:t>или ако мускулните симптоми са тежки и причиняват дискомфорт (дори и ако нивата на креатинин</w:t>
      </w:r>
      <w:r w:rsidRPr="00EA6168">
        <w:rPr>
          <w:rFonts w:eastAsia="Times New Roman" w:cs="Arial"/>
          <w:sz w:val="24"/>
          <w:szCs w:val="24"/>
          <w:lang w:eastAsia="bg-BG"/>
        </w:rPr>
        <w:t xml:space="preserve"> </w:t>
      </w:r>
      <w:r w:rsidRPr="00EA6168">
        <w:rPr>
          <w:rFonts w:eastAsia="Times New Roman" w:cs="Arial"/>
          <w:b/>
          <w:bCs/>
          <w:color w:val="000000"/>
          <w:lang w:eastAsia="bg-BG"/>
        </w:rPr>
        <w:t xml:space="preserve">киназата са &lt;5х </w:t>
      </w:r>
      <w:r w:rsidRPr="00EA6168">
        <w:rPr>
          <w:rFonts w:eastAsia="Times New Roman" w:cs="Arial"/>
          <w:b/>
          <w:bCs/>
          <w:color w:val="000000"/>
          <w:lang w:val="en-US"/>
        </w:rPr>
        <w:t xml:space="preserve">ULN). </w:t>
      </w:r>
      <w:r w:rsidRPr="00EA6168">
        <w:rPr>
          <w:rFonts w:eastAsia="Times New Roman" w:cs="Arial"/>
          <w:b/>
          <w:bCs/>
          <w:color w:val="000000"/>
          <w:lang w:eastAsia="bg-BG"/>
        </w:rPr>
        <w:t>Ако симптомите изчезнат и нивата на креатинин киназата са върнат към нормалните стойности, трябва да се обмисли повторно започване на РОВАСТА или</w:t>
      </w:r>
      <w:r w:rsidR="00EA6168">
        <w:rPr>
          <w:rFonts w:eastAsia="Times New Roman" w:cs="Arial"/>
          <w:b/>
          <w:bCs/>
          <w:color w:val="000000"/>
          <w:lang w:eastAsia="bg-BG"/>
        </w:rPr>
        <w:t xml:space="preserve"> </w:t>
      </w:r>
      <w:r w:rsidR="00EA6168" w:rsidRPr="007B364E">
        <w:rPr>
          <w:rFonts w:eastAsia="Times New Roman" w:cs="Arial"/>
          <w:b/>
          <w:bCs/>
          <w:color w:val="000000"/>
          <w:lang w:eastAsia="bg-BG"/>
        </w:rPr>
        <w:t xml:space="preserve">алтернативен </w:t>
      </w:r>
      <w:r w:rsidR="00EA6168" w:rsidRPr="007B364E">
        <w:rPr>
          <w:rFonts w:eastAsia="Times New Roman" w:cs="Arial"/>
          <w:b/>
          <w:bCs/>
          <w:color w:val="000000"/>
          <w:lang w:val="en-US"/>
        </w:rPr>
        <w:t xml:space="preserve">HMG-CoA </w:t>
      </w:r>
      <w:r w:rsidR="00EA6168" w:rsidRPr="007B364E">
        <w:rPr>
          <w:rFonts w:eastAsia="Times New Roman" w:cs="Arial"/>
          <w:b/>
          <w:bCs/>
          <w:color w:val="000000"/>
          <w:lang w:eastAsia="bg-BG"/>
        </w:rPr>
        <w:t>редуктазен инхибитор с възможно най-ниската доза и под наблюдение. Рутинното мониториране на нивата на креатинин киназата при асимптоматични пациенти не е основателно.</w:t>
      </w:r>
    </w:p>
    <w:p w14:paraId="2450C861" w14:textId="77777777" w:rsidR="00EA6168" w:rsidRPr="007B364E" w:rsidRDefault="00EA6168" w:rsidP="00EA6168">
      <w:pPr>
        <w:spacing w:line="240" w:lineRule="auto"/>
        <w:rPr>
          <w:rFonts w:eastAsia="Times New Roman" w:cs="Arial"/>
          <w:b/>
          <w:bCs/>
          <w:color w:val="000000"/>
          <w:lang w:eastAsia="bg-BG"/>
        </w:rPr>
      </w:pPr>
    </w:p>
    <w:p w14:paraId="4BB72A57" w14:textId="0172987E"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lastRenderedPageBreak/>
        <w:t>Съобщавани са редки случаи на инуммно медиирана некротизираща миопатия (ИМНМ) по време на или след преустановяване на лечението със статини, включително розувастатин. ИМНМ клинично се характеризира с проксимална мускулна слабост и повишени нива на серумната креатинин киназа, които продължават независимо от преустановяването на лечението със статин.</w:t>
      </w:r>
    </w:p>
    <w:p w14:paraId="0140FF40" w14:textId="77777777" w:rsidR="00EA6168" w:rsidRPr="007B364E" w:rsidRDefault="00EA6168" w:rsidP="00EA6168">
      <w:pPr>
        <w:spacing w:line="240" w:lineRule="auto"/>
        <w:rPr>
          <w:rFonts w:eastAsia="Times New Roman" w:cs="Arial"/>
          <w:b/>
          <w:bCs/>
          <w:color w:val="000000"/>
          <w:lang w:eastAsia="bg-BG"/>
        </w:rPr>
      </w:pPr>
    </w:p>
    <w:p w14:paraId="4CE034A8" w14:textId="03341CC9"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 xml:space="preserve">При клиничните проучвания няма доказателства за повишени ефекти на скелетната мускулатура при малкия брой пациенти, приемали розувастатин съвместно с друга терапия. Въпреки това е наблюдавано увеличение на честотата на миозит и миопатия при пациенти, които са приемали други </w:t>
      </w:r>
      <w:r w:rsidRPr="00EA6168">
        <w:rPr>
          <w:rFonts w:eastAsia="Times New Roman" w:cs="Arial"/>
          <w:b/>
          <w:bCs/>
          <w:color w:val="000000"/>
          <w:lang w:val="en-US"/>
        </w:rPr>
        <w:t xml:space="preserve">HMG-CoA </w:t>
      </w:r>
      <w:r w:rsidRPr="00EA6168">
        <w:rPr>
          <w:rFonts w:eastAsia="Times New Roman" w:cs="Arial"/>
          <w:b/>
          <w:bCs/>
          <w:color w:val="000000"/>
          <w:lang w:eastAsia="bg-BG"/>
        </w:rPr>
        <w:t xml:space="preserve">редукгазни инхибитори съвместно с деривати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Гемфиброзилът повишава риска от миопатия, когато се приема съвместно с някои </w:t>
      </w:r>
      <w:r w:rsidRPr="00EA6168">
        <w:rPr>
          <w:rFonts w:eastAsia="Times New Roman" w:cs="Arial"/>
          <w:b/>
          <w:bCs/>
          <w:color w:val="000000"/>
          <w:lang w:val="en-US"/>
        </w:rPr>
        <w:t xml:space="preserve">HMG-CoA </w:t>
      </w:r>
      <w:r w:rsidRPr="00EA6168">
        <w:rPr>
          <w:rFonts w:eastAsia="Times New Roman" w:cs="Arial"/>
          <w:b/>
          <w:bCs/>
          <w:color w:val="000000"/>
          <w:lang w:eastAsia="bg-BG"/>
        </w:rPr>
        <w:t xml:space="preserve">редукгазни инхибитори. Поради тази причина комбинацията от розувастатин и гемфиброзил не се препоръчва. Ползата от допълнителното понижаване на липидните нива при съвместна употреба на розувастатин и фибрата или ниацин трябва внимателно да се прецени спрямо потенциалния риск от подобни комбинации. Дозата от 40 </w:t>
      </w:r>
      <w:r w:rsidRPr="00EA6168">
        <w:rPr>
          <w:rFonts w:eastAsia="Times New Roman" w:cs="Arial"/>
          <w:b/>
          <w:bCs/>
          <w:color w:val="000000"/>
          <w:lang w:val="en-US"/>
        </w:rPr>
        <w:t xml:space="preserve">mg </w:t>
      </w:r>
      <w:r w:rsidRPr="00EA6168">
        <w:rPr>
          <w:rFonts w:eastAsia="Times New Roman" w:cs="Arial"/>
          <w:b/>
          <w:bCs/>
          <w:color w:val="000000"/>
          <w:lang w:eastAsia="bg-BG"/>
        </w:rPr>
        <w:t>е противопоказана за съвместна употреба с фибрата, (вж. точки 4.5 и 4.8)</w:t>
      </w:r>
    </w:p>
    <w:p w14:paraId="5050DDD5" w14:textId="77777777"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Розувастатин не трябва да бъде приеман съвместно с форми за системно приложение на фузидова киселина или в рамките на 7 дни след преустановяване на лечение с фузидова киселина. При пациенти, при които приложението на фузидова киселина се счита за необходимо, лечението със статини трябва да бъде преустановено по време на лечението с фузидова киселина. Съобщавани са случаи на рабдомиолиза (включително и фатални) при пациенти, приемали фузидова киселина и статини в комбинация (вижте точка 4.5). Пациентите трябва да бъдат посъветвани да потърсят медицинска помощ незабавно, ако почувстват някои от симптомите на мускулна слабост, болка или болезненост.</w:t>
      </w:r>
    </w:p>
    <w:p w14:paraId="63AD1CBB" w14:textId="77777777" w:rsidR="00EA6168" w:rsidRPr="007B364E" w:rsidRDefault="00EA6168" w:rsidP="00EA6168">
      <w:pPr>
        <w:spacing w:line="240" w:lineRule="auto"/>
        <w:rPr>
          <w:rFonts w:eastAsia="Times New Roman" w:cs="Arial"/>
          <w:b/>
          <w:bCs/>
          <w:color w:val="000000"/>
          <w:lang w:eastAsia="bg-BG"/>
        </w:rPr>
      </w:pPr>
    </w:p>
    <w:p w14:paraId="495B1530" w14:textId="4A240A54"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Лечението със статии може да бъде възобновено седем дни след последната доза фузидова киселина.</w:t>
      </w:r>
    </w:p>
    <w:p w14:paraId="42102BF1" w14:textId="77777777" w:rsidR="00EA6168" w:rsidRPr="007B364E" w:rsidRDefault="00EA6168" w:rsidP="00EA6168">
      <w:pPr>
        <w:spacing w:line="240" w:lineRule="auto"/>
        <w:rPr>
          <w:rFonts w:eastAsia="Times New Roman" w:cs="Arial"/>
          <w:b/>
          <w:bCs/>
          <w:color w:val="000000"/>
          <w:lang w:eastAsia="bg-BG"/>
        </w:rPr>
      </w:pPr>
    </w:p>
    <w:p w14:paraId="46489FFD" w14:textId="793003D6"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При извънредни обстоятелства, когато е необходимо продължително системно приложение на фузидова киселина, например за лечение на тежки инфекции, необходимостта от съвместно приложение на РОВАСТА и фузидова киселина трябва да бъде индивидуално оценена, а приложението трябва да се извършва под стриктно лекарско наблюдение.</w:t>
      </w:r>
    </w:p>
    <w:p w14:paraId="78415B7D" w14:textId="77777777" w:rsidR="00EA6168" w:rsidRPr="007B364E" w:rsidRDefault="00EA6168" w:rsidP="00EA6168">
      <w:pPr>
        <w:spacing w:line="240" w:lineRule="auto"/>
        <w:rPr>
          <w:rFonts w:eastAsia="Times New Roman" w:cs="Arial"/>
          <w:b/>
          <w:bCs/>
          <w:color w:val="000000"/>
          <w:lang w:eastAsia="bg-BG"/>
        </w:rPr>
      </w:pPr>
    </w:p>
    <w:p w14:paraId="6B2E86AC" w14:textId="358CDE85"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РОВАСТА не трябва да се прилага при пациенти с остро, сериозно състояние, предполагащо миопатия или предразполагащо към развиване на бъбречна недостатъчност вследствие рабдомиолиза (напр., сепсис, хипотония, голяма операция, травма, тежки метаболитни, ендокринни и електролитни нарушения или неконтролирани гърчове).</w:t>
      </w:r>
    </w:p>
    <w:p w14:paraId="3C45D6D9" w14:textId="77777777" w:rsidR="00EA6168" w:rsidRPr="007B364E" w:rsidRDefault="00EA6168" w:rsidP="00EA6168">
      <w:pPr>
        <w:spacing w:line="240" w:lineRule="auto"/>
        <w:rPr>
          <w:rFonts w:eastAsia="Times New Roman" w:cs="Arial"/>
          <w:b/>
          <w:bCs/>
          <w:color w:val="000000"/>
          <w:u w:val="single"/>
          <w:lang w:eastAsia="bg-BG"/>
        </w:rPr>
      </w:pPr>
    </w:p>
    <w:p w14:paraId="72F1658C" w14:textId="7E5FCCEF"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u w:val="single"/>
          <w:lang w:eastAsia="bg-BG"/>
        </w:rPr>
        <w:t>Чернодробни ефекти</w:t>
      </w:r>
    </w:p>
    <w:p w14:paraId="31D1AFCF" w14:textId="77777777" w:rsidR="00EA6168" w:rsidRPr="00EA6168" w:rsidRDefault="00EA6168" w:rsidP="00EA6168">
      <w:pPr>
        <w:spacing w:line="240" w:lineRule="auto"/>
        <w:rPr>
          <w:rFonts w:eastAsia="Times New Roman" w:cs="Arial"/>
          <w:sz w:val="24"/>
          <w:szCs w:val="24"/>
          <w:lang w:eastAsia="bg-BG"/>
        </w:rPr>
      </w:pPr>
      <w:r w:rsidRPr="00EA6168">
        <w:rPr>
          <w:rFonts w:eastAsia="Times New Roman" w:cs="Arial"/>
          <w:b/>
          <w:bCs/>
          <w:color w:val="000000"/>
          <w:lang w:eastAsia="bg-BG"/>
        </w:rPr>
        <w:t xml:space="preserve">Както и другите </w:t>
      </w:r>
      <w:r w:rsidRPr="00EA6168">
        <w:rPr>
          <w:rFonts w:eastAsia="Times New Roman" w:cs="Arial"/>
          <w:b/>
          <w:bCs/>
          <w:color w:val="000000"/>
          <w:lang w:val="en-US"/>
        </w:rPr>
        <w:t xml:space="preserve">HMG-CoA </w:t>
      </w:r>
      <w:r w:rsidRPr="00EA6168">
        <w:rPr>
          <w:rFonts w:eastAsia="Times New Roman" w:cs="Arial"/>
          <w:b/>
          <w:bCs/>
          <w:color w:val="000000"/>
          <w:lang w:eastAsia="bg-BG"/>
        </w:rPr>
        <w:t>редукгазни инхибитори, РОВАСТА трябва да се прилага с внимание при пациенти, които употребяват големи количества алкохол и/ или имат анамнеза за чернодробно заболяване.</w:t>
      </w:r>
    </w:p>
    <w:p w14:paraId="0A875013" w14:textId="77777777" w:rsidR="007B364E" w:rsidRPr="007B364E" w:rsidRDefault="00EA6168" w:rsidP="007B364E">
      <w:pPr>
        <w:rPr>
          <w:rFonts w:eastAsia="Times New Roman" w:cs="Arial"/>
          <w:lang w:eastAsia="bg-BG"/>
        </w:rPr>
      </w:pPr>
      <w:r w:rsidRPr="007B364E">
        <w:rPr>
          <w:rFonts w:eastAsia="Times New Roman" w:cs="Arial"/>
          <w:b/>
          <w:bCs/>
          <w:color w:val="000000"/>
          <w:lang w:eastAsia="bg-BG"/>
        </w:rPr>
        <w:t xml:space="preserve">Препоръчително е провеждането на изследвания на чернодробната функция преди и 3 месеца след започване на лечението. Приемът на РОВАСТА трябва да бъде преустановен или дозата трябва да бъде намалена ако нивата на серумните </w:t>
      </w:r>
      <w:r w:rsidRPr="007B364E">
        <w:rPr>
          <w:rFonts w:eastAsia="Times New Roman" w:cs="Arial"/>
          <w:b/>
          <w:bCs/>
          <w:color w:val="000000"/>
          <w:lang w:eastAsia="bg-BG"/>
        </w:rPr>
        <w:lastRenderedPageBreak/>
        <w:t xml:space="preserve">трансаминази са по-високи от 2 пъти нормалните горни граници. Честотата на докладване на сериозни чернодробни ефекти </w:t>
      </w:r>
      <w:r w:rsidR="007B364E" w:rsidRPr="007B364E">
        <w:rPr>
          <w:rFonts w:eastAsia="Times New Roman" w:cs="Arial"/>
          <w:b/>
          <w:bCs/>
          <w:color w:val="000000"/>
          <w:lang w:eastAsia="bg-BG"/>
        </w:rPr>
        <w:t xml:space="preserve">(състоящи се предимно от повишени чернодробни трансаминази) в постмаркетинговата употреба е по-висока при доза от 40 </w:t>
      </w:r>
      <w:r w:rsidR="007B364E" w:rsidRPr="007B364E">
        <w:rPr>
          <w:rFonts w:eastAsia="Times New Roman" w:cs="Arial"/>
          <w:b/>
          <w:bCs/>
          <w:color w:val="000000"/>
          <w:lang w:val="en-US"/>
        </w:rPr>
        <w:t>mg.</w:t>
      </w:r>
    </w:p>
    <w:p w14:paraId="57D9EF32" w14:textId="77777777" w:rsidR="007B364E" w:rsidRPr="007B364E" w:rsidRDefault="007B364E" w:rsidP="007B364E">
      <w:pPr>
        <w:spacing w:line="240" w:lineRule="auto"/>
        <w:rPr>
          <w:rFonts w:eastAsia="Times New Roman" w:cs="Arial"/>
          <w:b/>
          <w:bCs/>
          <w:color w:val="000000"/>
          <w:lang w:eastAsia="bg-BG"/>
        </w:rPr>
      </w:pPr>
    </w:p>
    <w:p w14:paraId="0417A0BA" w14:textId="0F3DFB2F"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терапия с РОВАСТА.</w:t>
      </w:r>
    </w:p>
    <w:p w14:paraId="1DBA4D8E" w14:textId="77777777" w:rsidR="007B364E" w:rsidRPr="007B364E" w:rsidRDefault="007B364E" w:rsidP="007B364E">
      <w:pPr>
        <w:spacing w:line="240" w:lineRule="auto"/>
        <w:rPr>
          <w:rFonts w:eastAsia="Times New Roman" w:cs="Arial"/>
          <w:b/>
          <w:bCs/>
          <w:color w:val="000000"/>
          <w:u w:val="single"/>
          <w:lang w:eastAsia="bg-BG"/>
        </w:rPr>
      </w:pPr>
    </w:p>
    <w:p w14:paraId="197DBF69" w14:textId="0745D99F"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Раса</w:t>
      </w:r>
    </w:p>
    <w:p w14:paraId="0824EFB2"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Фармакокинетичните проучвания показват повишена експозиция при субекти от азиатски произход в сравнение с тези от кавказката (бялата) раса (вж. точки 4.2,4.3 и 5.2).</w:t>
      </w:r>
    </w:p>
    <w:p w14:paraId="2701B33C" w14:textId="77777777" w:rsidR="007B364E" w:rsidRPr="007B364E" w:rsidRDefault="007B364E" w:rsidP="007B364E">
      <w:pPr>
        <w:spacing w:line="240" w:lineRule="auto"/>
        <w:rPr>
          <w:rFonts w:eastAsia="Times New Roman" w:cs="Arial"/>
          <w:b/>
          <w:bCs/>
          <w:color w:val="000000"/>
          <w:u w:val="single"/>
          <w:lang w:eastAsia="bg-BG"/>
        </w:rPr>
      </w:pPr>
    </w:p>
    <w:p w14:paraId="0C0C3D42" w14:textId="66A6C5DE"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Протеазни инхибитори</w:t>
      </w:r>
    </w:p>
    <w:p w14:paraId="4C96CC4A"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Повишена системна експозиция на розувастатин е наблюдавана при пациенти, приемащи розувастатин съвместно с различни протеазни инхибитори в комбинация с ритонавир. Трябва да се обмислят внимателно както ползата от понижаване на липидите чрез употреба на РОВАСТА при пациенти с ХИВ, така и потенциалът за повишена концентрация на розувастатин при започване на лечението и повишаване на дозата РОВАСТА при пациенти, лекувани с протеазни инхибитори. Съвместното приложение с определени протеазни инхибитори не се препоръчва, освен ако дозата РОВАСТА не бъде адаптирана (вж. точки 4.2 и 4.5).</w:t>
      </w:r>
    </w:p>
    <w:p w14:paraId="49449221" w14:textId="77777777" w:rsidR="007B364E" w:rsidRPr="007B364E" w:rsidRDefault="007B364E" w:rsidP="007B364E">
      <w:pPr>
        <w:spacing w:line="240" w:lineRule="auto"/>
        <w:rPr>
          <w:rFonts w:eastAsia="Times New Roman" w:cs="Arial"/>
          <w:b/>
          <w:bCs/>
          <w:color w:val="000000"/>
          <w:u w:val="single"/>
          <w:lang w:eastAsia="bg-BG"/>
        </w:rPr>
      </w:pPr>
    </w:p>
    <w:p w14:paraId="50281F61" w14:textId="036B5FBD"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Непоносимост към лактоза</w:t>
      </w:r>
    </w:p>
    <w:p w14:paraId="2E48A6AE"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Пациенти с редки наследствени проблеми на галактозна непоносимост, пълен лактазен дефицит или глюкозо-галактозна малабсорбция не трябва да приемат това лекарство.</w:t>
      </w:r>
    </w:p>
    <w:p w14:paraId="5DD65AEF" w14:textId="77777777" w:rsidR="007B364E" w:rsidRPr="007B364E" w:rsidRDefault="007B364E" w:rsidP="007B364E">
      <w:pPr>
        <w:spacing w:line="240" w:lineRule="auto"/>
        <w:rPr>
          <w:rFonts w:eastAsia="Times New Roman" w:cs="Arial"/>
          <w:b/>
          <w:bCs/>
          <w:color w:val="000000"/>
          <w:u w:val="single"/>
          <w:lang w:eastAsia="bg-BG"/>
        </w:rPr>
      </w:pPr>
    </w:p>
    <w:p w14:paraId="342F1DE7" w14:textId="37F56FFF"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t>Интерстициално белодробно заболяване</w:t>
      </w:r>
    </w:p>
    <w:p w14:paraId="0E9B05B5"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При някои статини са докладвани изолирани случаи на интерстициално белодробно заболяване, особено при дългосрочно лечение (вж. точка 4.8). Клиничните прояви могат да включват дисплея, непродуктивна кашлица и влошаване на общото здравословно състояние (умора, загуба на тегло и температура). Ако има подозрение, че пациентът е развил интерстициално белодробно заболяване, терапията със статии трябва да бъде преустановена.</w:t>
      </w:r>
    </w:p>
    <w:p w14:paraId="6C369B9C"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 xml:space="preserve">Съществуват доказателства, които подсказват, че статините като клас могат да повишан кръвната глюкоза и при някои пациенти, изложени на висок риск от диабет, могат да предизвикат хипергликемия, когато е необходимо диабетно лечение. Този риск обаче се компенсира от понижаването на съдовия риск при употреба на статини и затова не бива да бъде причина за преустановяване на лечението със статини. Пациентите, изложени на риск (глюкоза на гладно 5.6 до 6.9 </w:t>
      </w:r>
      <w:proofErr w:type="spellStart"/>
      <w:r w:rsidRPr="007B364E">
        <w:rPr>
          <w:rFonts w:eastAsia="Times New Roman" w:cs="Arial"/>
          <w:b/>
          <w:bCs/>
          <w:color w:val="000000"/>
          <w:lang w:val="en-US"/>
        </w:rPr>
        <w:t>mmol</w:t>
      </w:r>
      <w:proofErr w:type="spellEnd"/>
      <w:r w:rsidRPr="007B364E">
        <w:rPr>
          <w:rFonts w:eastAsia="Times New Roman" w:cs="Arial"/>
          <w:b/>
          <w:bCs/>
          <w:color w:val="000000"/>
          <w:lang w:val="en-US"/>
        </w:rPr>
        <w:t xml:space="preserve">/L, BMI </w:t>
      </w:r>
      <w:r w:rsidRPr="007B364E">
        <w:rPr>
          <w:rFonts w:eastAsia="Times New Roman" w:cs="Arial"/>
          <w:b/>
          <w:bCs/>
          <w:color w:val="000000"/>
          <w:lang w:eastAsia="bg-BG"/>
        </w:rPr>
        <w:t xml:space="preserve">&gt;30 </w:t>
      </w:r>
      <w:r w:rsidRPr="007B364E">
        <w:rPr>
          <w:rFonts w:eastAsia="Times New Roman" w:cs="Arial"/>
          <w:b/>
          <w:bCs/>
          <w:color w:val="000000"/>
          <w:lang w:val="en-US"/>
        </w:rPr>
        <w:t>kg/m</w:t>
      </w:r>
      <w:r w:rsidRPr="007B364E">
        <w:rPr>
          <w:rFonts w:eastAsia="Times New Roman" w:cs="Arial"/>
          <w:b/>
          <w:bCs/>
          <w:color w:val="000000"/>
          <w:vertAlign w:val="superscript"/>
          <w:lang w:val="en-US"/>
        </w:rPr>
        <w:t>2</w:t>
      </w:r>
      <w:r w:rsidRPr="007B364E">
        <w:rPr>
          <w:rFonts w:eastAsia="Times New Roman" w:cs="Arial"/>
          <w:b/>
          <w:bCs/>
          <w:color w:val="000000"/>
          <w:lang w:val="en-US"/>
        </w:rPr>
        <w:t xml:space="preserve">, </w:t>
      </w:r>
      <w:r w:rsidRPr="007B364E">
        <w:rPr>
          <w:rFonts w:eastAsia="Times New Roman" w:cs="Arial"/>
          <w:b/>
          <w:bCs/>
          <w:color w:val="000000"/>
          <w:lang w:eastAsia="bg-BG"/>
        </w:rPr>
        <w:t>повишени триглицериди, хипертония) трябва да бъдат проследявани както клинично, така и биохимично в съответствие с националните ръководства.</w:t>
      </w:r>
    </w:p>
    <w:p w14:paraId="05FCABFB" w14:textId="77777777" w:rsidR="007B364E" w:rsidRPr="007B364E" w:rsidRDefault="007B364E" w:rsidP="007B364E">
      <w:pPr>
        <w:spacing w:line="240" w:lineRule="auto"/>
        <w:rPr>
          <w:rFonts w:eastAsia="Times New Roman" w:cs="Arial"/>
          <w:lang w:eastAsia="bg-BG"/>
        </w:rPr>
      </w:pPr>
    </w:p>
    <w:p w14:paraId="495E7CD9" w14:textId="77777777" w:rsidR="007B364E"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 xml:space="preserve">В проучването </w:t>
      </w:r>
      <w:r w:rsidRPr="007B364E">
        <w:rPr>
          <w:rFonts w:eastAsia="Times New Roman" w:cs="Arial"/>
          <w:b/>
          <w:bCs/>
          <w:color w:val="000000"/>
          <w:lang w:val="en-US"/>
        </w:rPr>
        <w:t xml:space="preserve">JUPITER </w:t>
      </w:r>
      <w:r w:rsidRPr="007B364E">
        <w:rPr>
          <w:rFonts w:eastAsia="Times New Roman" w:cs="Arial"/>
          <w:b/>
          <w:bCs/>
          <w:color w:val="000000"/>
          <w:lang w:eastAsia="bg-BG"/>
        </w:rPr>
        <w:t xml:space="preserve">докладваната обща честота на захарен диабет е била 2.8% при розувастатин и 2.3% при плацебо, предимно при пациенти с глюкоза на гладно 5.6 до 5.9 </w:t>
      </w:r>
      <w:proofErr w:type="spellStart"/>
      <w:r w:rsidRPr="007B364E">
        <w:rPr>
          <w:rFonts w:eastAsia="Times New Roman" w:cs="Arial"/>
          <w:b/>
          <w:bCs/>
          <w:color w:val="000000"/>
          <w:lang w:val="en-US"/>
        </w:rPr>
        <w:t>mmol</w:t>
      </w:r>
      <w:proofErr w:type="spellEnd"/>
      <w:r w:rsidRPr="007B364E">
        <w:rPr>
          <w:rFonts w:eastAsia="Times New Roman" w:cs="Arial"/>
          <w:b/>
          <w:bCs/>
          <w:color w:val="000000"/>
          <w:lang w:val="en-US"/>
        </w:rPr>
        <w:t>/L.</w:t>
      </w:r>
    </w:p>
    <w:p w14:paraId="358E879D" w14:textId="77777777" w:rsidR="007B364E" w:rsidRPr="007B364E" w:rsidRDefault="007B364E" w:rsidP="007B364E">
      <w:pPr>
        <w:spacing w:line="240" w:lineRule="auto"/>
        <w:rPr>
          <w:rFonts w:eastAsia="Times New Roman" w:cs="Arial"/>
          <w:b/>
          <w:bCs/>
          <w:color w:val="000000"/>
          <w:u w:val="single"/>
          <w:lang w:eastAsia="bg-BG"/>
        </w:rPr>
      </w:pPr>
    </w:p>
    <w:p w14:paraId="48E8614E" w14:textId="45039596" w:rsidR="007B364E" w:rsidRPr="007B364E" w:rsidRDefault="007B364E" w:rsidP="007B364E">
      <w:pPr>
        <w:spacing w:line="240" w:lineRule="auto"/>
        <w:rPr>
          <w:rFonts w:eastAsia="Times New Roman" w:cs="Arial"/>
          <w:lang w:eastAsia="bg-BG"/>
        </w:rPr>
      </w:pPr>
      <w:r w:rsidRPr="007B364E">
        <w:rPr>
          <w:rFonts w:eastAsia="Times New Roman" w:cs="Arial"/>
          <w:b/>
          <w:bCs/>
          <w:color w:val="000000"/>
          <w:u w:val="single"/>
          <w:lang w:eastAsia="bg-BG"/>
        </w:rPr>
        <w:lastRenderedPageBreak/>
        <w:t>Педиатрична популация</w:t>
      </w:r>
    </w:p>
    <w:p w14:paraId="24E3E82F" w14:textId="15E9CA53" w:rsidR="0091385D" w:rsidRPr="007B364E" w:rsidRDefault="007B364E" w:rsidP="007B364E">
      <w:pPr>
        <w:spacing w:line="240" w:lineRule="auto"/>
        <w:rPr>
          <w:rFonts w:eastAsia="Times New Roman" w:cs="Arial"/>
          <w:lang w:eastAsia="bg-BG"/>
        </w:rPr>
      </w:pPr>
      <w:r w:rsidRPr="007B364E">
        <w:rPr>
          <w:rFonts w:eastAsia="Times New Roman" w:cs="Arial"/>
          <w:b/>
          <w:bCs/>
          <w:color w:val="000000"/>
          <w:lang w:eastAsia="bg-BG"/>
        </w:rPr>
        <w:t xml:space="preserve">Оценяването на линейното израстване (височина), тегло, </w:t>
      </w:r>
      <w:r w:rsidRPr="007B364E">
        <w:rPr>
          <w:rFonts w:eastAsia="Times New Roman" w:cs="Arial"/>
          <w:b/>
          <w:bCs/>
          <w:color w:val="000000"/>
          <w:lang w:val="en-US"/>
        </w:rPr>
        <w:t xml:space="preserve">BMI </w:t>
      </w:r>
      <w:r w:rsidRPr="007B364E">
        <w:rPr>
          <w:rFonts w:eastAsia="Times New Roman" w:cs="Arial"/>
          <w:b/>
          <w:bCs/>
          <w:color w:val="000000"/>
          <w:lang w:eastAsia="bg-BG"/>
        </w:rPr>
        <w:t xml:space="preserve">(индекс на телесната маса) и вторичните полови белези на половото съзряване по скалата на </w:t>
      </w:r>
      <w:r w:rsidRPr="007B364E">
        <w:rPr>
          <w:rFonts w:eastAsia="Times New Roman" w:cs="Arial"/>
          <w:b/>
          <w:bCs/>
          <w:color w:val="000000"/>
          <w:lang w:val="en-US"/>
        </w:rPr>
        <w:t>Tanner</w:t>
      </w:r>
      <w:r w:rsidRPr="007B364E">
        <w:rPr>
          <w:rFonts w:eastAsia="Times New Roman" w:cs="Arial"/>
          <w:b/>
          <w:bCs/>
          <w:color w:val="000000"/>
          <w:lang w:eastAsia="bg-BG"/>
        </w:rPr>
        <w:t xml:space="preserve"> при педиатрични пациенти на възраст 6 до 17 години, приемащи розувастатин е ограничено до двугодишен период. След две години на третиране по време на проучването, не е забелязан</w:t>
      </w:r>
      <w:r w:rsidRPr="007B364E">
        <w:rPr>
          <w:rFonts w:eastAsia="Times New Roman" w:cs="Arial"/>
          <w:b/>
          <w:bCs/>
          <w:color w:val="000000"/>
          <w:lang w:val="en-US"/>
        </w:rPr>
        <w:t xml:space="preserve"> </w:t>
      </w:r>
      <w:r w:rsidRPr="007B364E">
        <w:rPr>
          <w:rFonts w:eastAsia="Times New Roman" w:cs="Arial"/>
          <w:b/>
          <w:bCs/>
          <w:color w:val="000000"/>
          <w:lang w:eastAsia="bg-BG"/>
        </w:rPr>
        <w:t xml:space="preserve">никакъв ефект върху растежа, теглото, </w:t>
      </w:r>
      <w:r w:rsidRPr="007B364E">
        <w:rPr>
          <w:rFonts w:eastAsia="Times New Roman" w:cs="Arial"/>
          <w:b/>
          <w:bCs/>
          <w:color w:val="000000"/>
          <w:lang w:val="en-US"/>
        </w:rPr>
        <w:t xml:space="preserve">BMI </w:t>
      </w:r>
      <w:r w:rsidRPr="007B364E">
        <w:rPr>
          <w:rFonts w:eastAsia="Times New Roman" w:cs="Arial"/>
          <w:b/>
          <w:bCs/>
          <w:color w:val="000000"/>
          <w:lang w:eastAsia="bg-BG"/>
        </w:rPr>
        <w:t>или половото съзряване (вж. точка 5.1).</w:t>
      </w:r>
    </w:p>
    <w:p w14:paraId="637CF43F" w14:textId="5EBA490C" w:rsidR="00305F6D" w:rsidRPr="007B364E" w:rsidRDefault="00305F6D" w:rsidP="0091385D">
      <w:pPr>
        <w:rPr>
          <w:rFonts w:cs="Arial"/>
        </w:rPr>
      </w:pPr>
    </w:p>
    <w:p w14:paraId="2B91432D" w14:textId="0A5C02C3" w:rsidR="007B364E" w:rsidRPr="007B364E" w:rsidRDefault="007B364E" w:rsidP="0091385D">
      <w:pPr>
        <w:rPr>
          <w:rFonts w:cs="Arial"/>
          <w:b/>
          <w:bCs/>
        </w:rPr>
      </w:pPr>
      <w:r w:rsidRPr="007B364E">
        <w:rPr>
          <w:rFonts w:cs="Arial"/>
          <w:b/>
          <w:bCs/>
        </w:rPr>
        <w:t xml:space="preserve">В клинично проучване при деца и младежи, които приемат розувастатин за 52 седмици повишаване на СК </w:t>
      </w:r>
      <w:r w:rsidRPr="007B364E">
        <w:rPr>
          <w:rFonts w:cs="Arial"/>
          <w:b/>
          <w:bCs/>
          <w:lang w:val="en-US"/>
        </w:rPr>
        <w:t xml:space="preserve">&gt;10xULN </w:t>
      </w:r>
      <w:r w:rsidRPr="007B364E">
        <w:rPr>
          <w:rFonts w:cs="Arial"/>
          <w:b/>
          <w:bCs/>
        </w:rPr>
        <w:t>и мускулните симптоми след упражнение или повишена физическа активност са наблюдавани по-често в сравнение с наблюдения от клинични проучвания при възрастни (вж. точка 4.8).</w:t>
      </w:r>
    </w:p>
    <w:p w14:paraId="06E2A5DF" w14:textId="77777777" w:rsidR="007B364E" w:rsidRPr="0091385D" w:rsidRDefault="007B364E"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1438FEA4" w14:textId="77777777" w:rsidR="007B364E" w:rsidRDefault="007B364E" w:rsidP="007B364E">
      <w:r>
        <w:rPr>
          <w:b/>
          <w:bCs/>
          <w:u w:val="single"/>
        </w:rPr>
        <w:t>Ефект на съвместно приложените лекарствени продукти върху розувастатин</w:t>
      </w:r>
    </w:p>
    <w:p w14:paraId="698D84E2" w14:textId="77777777" w:rsidR="007B364E" w:rsidRDefault="007B364E" w:rsidP="007B364E">
      <w:r>
        <w:rPr>
          <w:b/>
          <w:bCs/>
          <w:i/>
          <w:iCs/>
        </w:rPr>
        <w:t>Инхибитори на транспортерните протеини:</w:t>
      </w:r>
      <w:r>
        <w:rPr>
          <w:b/>
          <w:bCs/>
        </w:rPr>
        <w:t xml:space="preserve"> Розувастатин е субстрат на определени транспортерни протеини, включително чернодробния ъптейк транспортер ОАТР1В1 и ефлукс транспортера </w:t>
      </w:r>
      <w:r>
        <w:rPr>
          <w:b/>
          <w:bCs/>
          <w:lang w:val="en-US"/>
        </w:rPr>
        <w:t xml:space="preserve">BCRP. </w:t>
      </w:r>
      <w:r>
        <w:rPr>
          <w:b/>
          <w:bCs/>
        </w:rPr>
        <w:t>Съвместното приложение на розувастатин с лекарствени продукти, които са инхибитори на тези транспортерни протеини може да доведе до повишаване на плазмената концентрация на розувастатин и повишен риск от миопатия (вж. точки 4.2, 4.4 и 4.5 Таблица 1).</w:t>
      </w:r>
    </w:p>
    <w:p w14:paraId="04C2236F" w14:textId="77777777" w:rsidR="007B364E" w:rsidRDefault="007B364E" w:rsidP="007B364E">
      <w:pPr>
        <w:rPr>
          <w:b/>
          <w:bCs/>
          <w:i/>
          <w:iCs/>
        </w:rPr>
      </w:pPr>
    </w:p>
    <w:p w14:paraId="752FD1DA" w14:textId="21FD12AC" w:rsidR="007B364E" w:rsidRDefault="007B364E" w:rsidP="007B364E">
      <w:r>
        <w:rPr>
          <w:b/>
          <w:bCs/>
          <w:i/>
          <w:iCs/>
        </w:rPr>
        <w:t>Циклоспорин:</w:t>
      </w:r>
      <w:r>
        <w:rPr>
          <w:b/>
          <w:bCs/>
        </w:rPr>
        <w:t xml:space="preserve"> По време на съвместно лечение с розувастатин и циклоспорин, </w:t>
      </w:r>
      <w:r>
        <w:rPr>
          <w:b/>
          <w:bCs/>
          <w:lang w:val="en-US"/>
        </w:rPr>
        <w:t xml:space="preserve">AUC </w:t>
      </w:r>
      <w:r>
        <w:rPr>
          <w:b/>
          <w:bCs/>
        </w:rPr>
        <w:t>стойностите на розувастатин са били средно 7 пъти по-високи от тези, наблюдавани при здрави доброволци (вж. Таблица 1). РОВАСТА е противопоказан при пациенти, които приемат съвместно циклоспорин (вж. точка 4.3).</w:t>
      </w:r>
    </w:p>
    <w:p w14:paraId="7D260119" w14:textId="77777777" w:rsidR="007B364E" w:rsidRDefault="007B364E" w:rsidP="007B364E">
      <w:pPr>
        <w:rPr>
          <w:b/>
          <w:bCs/>
        </w:rPr>
      </w:pPr>
    </w:p>
    <w:p w14:paraId="46928CC9" w14:textId="26D60FB9" w:rsidR="007B364E" w:rsidRDefault="007B364E" w:rsidP="007B364E">
      <w:r>
        <w:rPr>
          <w:b/>
          <w:bCs/>
        </w:rPr>
        <w:t>Съвместното приложение не повлиява плазмените концентрации на циклоспорин.</w:t>
      </w:r>
    </w:p>
    <w:p w14:paraId="7BF2DB82" w14:textId="77777777" w:rsidR="007B364E" w:rsidRDefault="007B364E" w:rsidP="007B364E">
      <w:pPr>
        <w:rPr>
          <w:b/>
          <w:bCs/>
          <w:i/>
          <w:iCs/>
        </w:rPr>
      </w:pPr>
    </w:p>
    <w:p w14:paraId="7F2FC6C5" w14:textId="36051491" w:rsidR="007B364E" w:rsidRDefault="007B364E" w:rsidP="007B364E">
      <w:r>
        <w:rPr>
          <w:b/>
          <w:bCs/>
          <w:i/>
          <w:iCs/>
        </w:rPr>
        <w:t>Протеазни инхибитори:</w:t>
      </w:r>
      <w:r>
        <w:rPr>
          <w:b/>
          <w:bCs/>
        </w:rPr>
        <w:t xml:space="preserve"> Въпреки, че точният механизъм на взаимодействие е неизвестен, съвместната употреба на протеазни инхибитори може рязко да повиши експозицията на розувастатин (вж. Таблица 1). Например, при фармакокинетично проучване, съвместното приложение на 10 </w:t>
      </w:r>
      <w:r>
        <w:rPr>
          <w:b/>
          <w:bCs/>
          <w:lang w:val="en-US"/>
        </w:rPr>
        <w:t xml:space="preserve">mg </w:t>
      </w:r>
      <w:r>
        <w:rPr>
          <w:b/>
          <w:bCs/>
        </w:rPr>
        <w:t xml:space="preserve">розувастатин в комбинация с два протеазни инхибитора (300 </w:t>
      </w:r>
      <w:r>
        <w:rPr>
          <w:b/>
          <w:bCs/>
          <w:lang w:val="en-US"/>
        </w:rPr>
        <w:t xml:space="preserve">mg </w:t>
      </w:r>
      <w:r>
        <w:rPr>
          <w:b/>
          <w:bCs/>
        </w:rPr>
        <w:t xml:space="preserve">атазанавир/ 100 </w:t>
      </w:r>
      <w:r>
        <w:rPr>
          <w:b/>
          <w:bCs/>
          <w:lang w:val="en-US"/>
        </w:rPr>
        <w:t xml:space="preserve">mg </w:t>
      </w:r>
      <w:r>
        <w:rPr>
          <w:b/>
          <w:bCs/>
        </w:rPr>
        <w:t xml:space="preserve">ритонавир) при здрави доброволци е свързано с приблизително трикратно и седемкратно повишение съответно на </w:t>
      </w:r>
      <w:r>
        <w:rPr>
          <w:b/>
          <w:bCs/>
          <w:lang w:val="en-US"/>
        </w:rPr>
        <w:t xml:space="preserve">AUC </w:t>
      </w:r>
      <w:r>
        <w:rPr>
          <w:b/>
          <w:bCs/>
        </w:rPr>
        <w:t>и Сшах на розувастатин. Съвместно приложение на РОВАСТА и някои комбинации от протеазни инхибитори може да се обмисли след внимателна преценка за адаптиране на дозата РОВАСТА в зависимост от очакваното повишение в експозицията на розувастатин (вж. точки 4.2,</w:t>
      </w:r>
      <w:r>
        <w:rPr>
          <w:b/>
          <w:bCs/>
          <w:lang w:val="en-US"/>
        </w:rPr>
        <w:t xml:space="preserve"> </w:t>
      </w:r>
      <w:r>
        <w:rPr>
          <w:b/>
          <w:bCs/>
        </w:rPr>
        <w:t>4.4 и 4.5 Таблица 1).</w:t>
      </w:r>
    </w:p>
    <w:p w14:paraId="4AD68C4A" w14:textId="77777777" w:rsidR="007B364E" w:rsidRDefault="007B364E" w:rsidP="007B364E">
      <w:pPr>
        <w:rPr>
          <w:b/>
          <w:bCs/>
        </w:rPr>
      </w:pPr>
    </w:p>
    <w:p w14:paraId="66E965E8" w14:textId="2EDC0C74" w:rsidR="007B364E" w:rsidRDefault="007B364E" w:rsidP="007B364E">
      <w:r>
        <w:rPr>
          <w:b/>
          <w:bCs/>
        </w:rPr>
        <w:t>Гемфиброзил и други понижаващи липиднте продукти: Съвместното приложение на РОВАСТА и гемфиброзил има за резултат двукратно повишение на С</w:t>
      </w:r>
      <w:r>
        <w:rPr>
          <w:b/>
          <w:bCs/>
          <w:lang w:val="en-US"/>
        </w:rPr>
        <w:t>max</w:t>
      </w:r>
      <w:r>
        <w:rPr>
          <w:b/>
          <w:bCs/>
        </w:rPr>
        <w:t xml:space="preserve"> и </w:t>
      </w:r>
      <w:r>
        <w:rPr>
          <w:b/>
          <w:bCs/>
          <w:lang w:val="en-US"/>
        </w:rPr>
        <w:t xml:space="preserve">AUC </w:t>
      </w:r>
      <w:r>
        <w:rPr>
          <w:b/>
          <w:bCs/>
        </w:rPr>
        <w:t>на розувастатин (вж. точка 4.4).</w:t>
      </w:r>
    </w:p>
    <w:p w14:paraId="1EE2A902" w14:textId="77777777" w:rsidR="007B364E" w:rsidRDefault="007B364E" w:rsidP="007B364E">
      <w:pPr>
        <w:rPr>
          <w:b/>
          <w:bCs/>
        </w:rPr>
      </w:pPr>
    </w:p>
    <w:p w14:paraId="22F75651" w14:textId="23D0DE08" w:rsidR="007B364E" w:rsidRDefault="007B364E" w:rsidP="007B364E">
      <w:r>
        <w:rPr>
          <w:b/>
          <w:bCs/>
        </w:rPr>
        <w:lastRenderedPageBreak/>
        <w:t xml:space="preserve">Въз основа на данните от специфичните проучвания за взаимодействие не се очаква значимо фармакокинетично взаимодействие с фенофибрат, но въпреки това може да се прояви фармакодинамично взаимодействие. Гемфиброзилът, фенофибратът, другите фибрата и понижаващите липиднте дози (&gt; или равни на 1 </w:t>
      </w:r>
      <w:r>
        <w:rPr>
          <w:b/>
          <w:bCs/>
          <w:lang w:val="en-US"/>
        </w:rPr>
        <w:t>g</w:t>
      </w:r>
      <w:r>
        <w:rPr>
          <w:b/>
          <w:bCs/>
        </w:rPr>
        <w:t xml:space="preserve">/дневно) ниацин (никотинова киселина) повишават риска от миопатия, когато са приемани съвместно с </w:t>
      </w:r>
      <w:r>
        <w:rPr>
          <w:b/>
          <w:bCs/>
          <w:lang w:val="en-US"/>
        </w:rPr>
        <w:t xml:space="preserve">HMG-CoA </w:t>
      </w:r>
      <w:r>
        <w:rPr>
          <w:b/>
          <w:bCs/>
        </w:rPr>
        <w:t xml:space="preserve">редуктазни инхибитори, вероятно поради факта, че те могат да провокират миопатия, когато са приемани самостоятелно. Дозата от 40 </w:t>
      </w:r>
      <w:r>
        <w:rPr>
          <w:b/>
          <w:bCs/>
          <w:lang w:val="en-US"/>
        </w:rPr>
        <w:t xml:space="preserve">mg </w:t>
      </w:r>
      <w:r>
        <w:rPr>
          <w:b/>
          <w:bCs/>
        </w:rPr>
        <w:t xml:space="preserve">е противопоказана при съвместна употреба с фибрат (вж. точки 4.3 и 4.4). Тези пациенти трябва също да започнат лечение с доза от 5 </w:t>
      </w:r>
      <w:r>
        <w:rPr>
          <w:b/>
          <w:bCs/>
          <w:lang w:val="en-US"/>
        </w:rPr>
        <w:t>mg.</w:t>
      </w:r>
    </w:p>
    <w:p w14:paraId="4F089788" w14:textId="77777777" w:rsidR="007B364E" w:rsidRDefault="007B364E" w:rsidP="007B364E">
      <w:pPr>
        <w:rPr>
          <w:b/>
          <w:bCs/>
          <w:i/>
          <w:iCs/>
        </w:rPr>
      </w:pPr>
    </w:p>
    <w:p w14:paraId="05B71D86" w14:textId="26EC370C" w:rsidR="007B364E" w:rsidRDefault="007B364E" w:rsidP="007B364E">
      <w:r>
        <w:rPr>
          <w:b/>
          <w:bCs/>
          <w:i/>
          <w:iCs/>
        </w:rPr>
        <w:t>Езитимиб:</w:t>
      </w:r>
      <w:r>
        <w:rPr>
          <w:b/>
          <w:bCs/>
        </w:rPr>
        <w:t xml:space="preserve"> Съвместното приложение на 10 </w:t>
      </w:r>
      <w:r>
        <w:rPr>
          <w:b/>
          <w:bCs/>
          <w:lang w:val="en-US"/>
        </w:rPr>
        <w:t xml:space="preserve">mg </w:t>
      </w:r>
      <w:r>
        <w:rPr>
          <w:b/>
          <w:bCs/>
        </w:rPr>
        <w:t xml:space="preserve">РОВАСТА и 10 </w:t>
      </w:r>
      <w:r>
        <w:rPr>
          <w:b/>
          <w:bCs/>
          <w:lang w:val="en-US"/>
        </w:rPr>
        <w:t xml:space="preserve">mg </w:t>
      </w:r>
      <w:r>
        <w:rPr>
          <w:b/>
          <w:bCs/>
        </w:rPr>
        <w:t xml:space="preserve">езитимиб води до повишение на </w:t>
      </w:r>
      <w:r>
        <w:rPr>
          <w:b/>
          <w:bCs/>
          <w:lang w:val="en-US"/>
        </w:rPr>
        <w:t xml:space="preserve">AUC </w:t>
      </w:r>
      <w:r>
        <w:rPr>
          <w:b/>
          <w:bCs/>
        </w:rPr>
        <w:t>на розувастатин 1.2 пъти при пациенти с хиперхолестеролемия (вж. Таблица 1). Фармакодинамично взаимодействие между РОВАСТА и езитимиб, което има за резултат нежелани реакции, не може да бъде изключено напълно (вж. точка 4.4).</w:t>
      </w:r>
    </w:p>
    <w:p w14:paraId="0B89220E" w14:textId="77777777" w:rsidR="007B364E" w:rsidRDefault="007B364E" w:rsidP="007B364E">
      <w:pPr>
        <w:rPr>
          <w:b/>
          <w:bCs/>
          <w:i/>
          <w:iCs/>
        </w:rPr>
      </w:pPr>
    </w:p>
    <w:p w14:paraId="196E243E" w14:textId="77777777" w:rsidR="007B364E" w:rsidRPr="00E84873" w:rsidRDefault="007B364E" w:rsidP="007B364E">
      <w:pPr>
        <w:rPr>
          <w:rFonts w:eastAsia="Times New Roman" w:cs="Arial"/>
          <w:sz w:val="24"/>
          <w:szCs w:val="24"/>
          <w:lang w:eastAsia="bg-BG"/>
        </w:rPr>
      </w:pPr>
      <w:r>
        <w:rPr>
          <w:b/>
          <w:bCs/>
          <w:i/>
          <w:iCs/>
        </w:rPr>
        <w:t>Антиациди:</w:t>
      </w:r>
      <w:r>
        <w:rPr>
          <w:b/>
          <w:bCs/>
        </w:rPr>
        <w:t xml:space="preserve"> Едновременното приложение на РОВАСТА и антиацидна суспензия съдържаща алуминиев и магнезиев хидроксид има за резултат понижени на пл</w:t>
      </w:r>
      <w:r w:rsidRPr="00E84873">
        <w:rPr>
          <w:rFonts w:cs="Arial"/>
          <w:b/>
          <w:bCs/>
        </w:rPr>
        <w:t xml:space="preserve">азмените концентрации на розувастатин с приблизително 50%. Този ефект е отслабен, когато антиацидът </w:t>
      </w:r>
      <w:r w:rsidRPr="00E84873">
        <w:rPr>
          <w:rFonts w:eastAsia="Times New Roman" w:cs="Arial"/>
          <w:b/>
          <w:bCs/>
          <w:color w:val="000000"/>
          <w:lang w:eastAsia="bg-BG"/>
        </w:rPr>
        <w:t>е приеман 2 часа след РОВАСТА. Клиничната значимост на това взаимодействие не е изследвана.</w:t>
      </w:r>
    </w:p>
    <w:p w14:paraId="5444C639" w14:textId="77777777" w:rsidR="007B364E" w:rsidRPr="00E84873" w:rsidRDefault="007B364E" w:rsidP="007B364E">
      <w:pPr>
        <w:spacing w:line="240" w:lineRule="auto"/>
        <w:rPr>
          <w:rFonts w:eastAsia="Times New Roman" w:cs="Arial"/>
          <w:b/>
          <w:bCs/>
          <w:i/>
          <w:iCs/>
          <w:color w:val="000000"/>
          <w:lang w:eastAsia="bg-BG"/>
        </w:rPr>
      </w:pPr>
    </w:p>
    <w:p w14:paraId="31711AD8" w14:textId="74113C57"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Еритромицин:</w:t>
      </w:r>
      <w:r w:rsidRPr="007B364E">
        <w:rPr>
          <w:rFonts w:eastAsia="Times New Roman" w:cs="Arial"/>
          <w:b/>
          <w:bCs/>
          <w:color w:val="000000"/>
          <w:lang w:eastAsia="bg-BG"/>
        </w:rPr>
        <w:t xml:space="preserve"> Съвместното приложение на РОВАСТА и еритромицин има за резултат 20% понижение на </w:t>
      </w:r>
      <w:r w:rsidRPr="007B364E">
        <w:rPr>
          <w:rFonts w:eastAsia="Times New Roman" w:cs="Arial"/>
          <w:b/>
          <w:bCs/>
          <w:color w:val="000000"/>
          <w:lang w:val="en-US"/>
        </w:rPr>
        <w:t xml:space="preserve">AUC </w:t>
      </w:r>
      <w:r w:rsidRPr="007B364E">
        <w:rPr>
          <w:rFonts w:eastAsia="Times New Roman" w:cs="Arial"/>
          <w:b/>
          <w:bCs/>
          <w:color w:val="000000"/>
          <w:lang w:eastAsia="bg-BG"/>
        </w:rPr>
        <w:t>и 30% понижение на С</w:t>
      </w:r>
      <w:r w:rsidRPr="007B364E">
        <w:rPr>
          <w:rFonts w:eastAsia="Times New Roman" w:cs="Arial"/>
          <w:b/>
          <w:bCs/>
          <w:color w:val="000000"/>
          <w:lang w:val="en-US"/>
        </w:rPr>
        <w:t xml:space="preserve">max </w:t>
      </w:r>
      <w:r w:rsidRPr="007B364E">
        <w:rPr>
          <w:rFonts w:eastAsia="Times New Roman" w:cs="Arial"/>
          <w:b/>
          <w:bCs/>
          <w:color w:val="000000"/>
          <w:lang w:eastAsia="bg-BG"/>
        </w:rPr>
        <w:t>на розувастатин. Това взаимодействие може да е причинено от повишения чревен мотилитет вследствие приема на еритромицин.</w:t>
      </w:r>
    </w:p>
    <w:p w14:paraId="48F81604" w14:textId="77777777" w:rsidR="007B364E" w:rsidRPr="00E84873" w:rsidRDefault="007B364E" w:rsidP="007B364E">
      <w:pPr>
        <w:spacing w:line="240" w:lineRule="auto"/>
        <w:rPr>
          <w:rFonts w:eastAsia="Times New Roman" w:cs="Arial"/>
          <w:b/>
          <w:bCs/>
          <w:i/>
          <w:iCs/>
          <w:color w:val="000000"/>
          <w:lang w:eastAsia="bg-BG"/>
        </w:rPr>
      </w:pPr>
    </w:p>
    <w:p w14:paraId="5B1F8C69" w14:textId="6D7552D8"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Цитохром Р450 ензими:</w:t>
      </w:r>
      <w:r w:rsidRPr="007B364E">
        <w:rPr>
          <w:rFonts w:eastAsia="Times New Roman" w:cs="Arial"/>
          <w:b/>
          <w:bCs/>
          <w:color w:val="000000"/>
          <w:lang w:eastAsia="bg-BG"/>
        </w:rPr>
        <w:t xml:space="preserve"> Резултатите от </w:t>
      </w:r>
      <w:r w:rsidRPr="007B364E">
        <w:rPr>
          <w:rFonts w:eastAsia="Times New Roman" w:cs="Arial"/>
          <w:b/>
          <w:bCs/>
          <w:i/>
          <w:iCs/>
          <w:color w:val="000000"/>
          <w:lang w:val="en-US"/>
        </w:rPr>
        <w:t>in vitro</w:t>
      </w:r>
      <w:r w:rsidRPr="007B364E">
        <w:rPr>
          <w:rFonts w:eastAsia="Times New Roman" w:cs="Arial"/>
          <w:b/>
          <w:bCs/>
          <w:color w:val="000000"/>
          <w:lang w:val="en-US"/>
        </w:rPr>
        <w:t xml:space="preserve"> </w:t>
      </w:r>
      <w:r w:rsidRPr="007B364E">
        <w:rPr>
          <w:rFonts w:eastAsia="Times New Roman" w:cs="Arial"/>
          <w:b/>
          <w:bCs/>
          <w:color w:val="000000"/>
          <w:lang w:eastAsia="bg-BG"/>
        </w:rPr>
        <w:t xml:space="preserve">и </w:t>
      </w:r>
      <w:r w:rsidRPr="007B364E">
        <w:rPr>
          <w:rFonts w:eastAsia="Times New Roman" w:cs="Arial"/>
          <w:b/>
          <w:bCs/>
          <w:i/>
          <w:iCs/>
          <w:color w:val="000000"/>
          <w:lang w:val="en-US"/>
        </w:rPr>
        <w:t>in vivo</w:t>
      </w:r>
      <w:r w:rsidRPr="007B364E">
        <w:rPr>
          <w:rFonts w:eastAsia="Times New Roman" w:cs="Arial"/>
          <w:b/>
          <w:bCs/>
          <w:color w:val="000000"/>
          <w:lang w:val="en-US"/>
        </w:rPr>
        <w:t xml:space="preserve"> </w:t>
      </w:r>
      <w:r w:rsidRPr="007B364E">
        <w:rPr>
          <w:rFonts w:eastAsia="Times New Roman" w:cs="Arial"/>
          <w:b/>
          <w:bCs/>
          <w:color w:val="000000"/>
          <w:lang w:eastAsia="bg-BG"/>
        </w:rPr>
        <w:t xml:space="preserve">проучванията показват, че розувастатин не е нито инхибитор, нито индуктор на цитохром </w:t>
      </w:r>
      <w:r w:rsidRPr="007B364E">
        <w:rPr>
          <w:rFonts w:eastAsia="Times New Roman" w:cs="Arial"/>
          <w:b/>
          <w:bCs/>
          <w:i/>
          <w:iCs/>
          <w:color w:val="000000"/>
          <w:lang w:eastAsia="bg-BG"/>
        </w:rPr>
        <w:t>Р450</w:t>
      </w:r>
      <w:r w:rsidRPr="007B364E">
        <w:rPr>
          <w:rFonts w:eastAsia="Times New Roman" w:cs="Arial"/>
          <w:b/>
          <w:bCs/>
          <w:color w:val="000000"/>
          <w:lang w:eastAsia="bg-BG"/>
        </w:rPr>
        <w:t xml:space="preserve"> изоензимите. </w:t>
      </w:r>
      <w:r w:rsidRPr="007B364E">
        <w:rPr>
          <w:rFonts w:eastAsia="Times New Roman" w:cs="Arial"/>
          <w:b/>
          <w:bCs/>
          <w:i/>
          <w:iCs/>
          <w:color w:val="000000"/>
          <w:lang w:eastAsia="bg-BG"/>
        </w:rPr>
        <w:t xml:space="preserve">В </w:t>
      </w:r>
      <w:r w:rsidRPr="007B364E">
        <w:rPr>
          <w:rFonts w:eastAsia="Times New Roman" w:cs="Arial"/>
          <w:b/>
          <w:bCs/>
          <w:color w:val="000000"/>
          <w:lang w:eastAsia="bg-BG"/>
        </w:rPr>
        <w:t xml:space="preserve">допълнение, розувастатин е слаб субстрат за тези езоензими. Поради тази причина лекарствени взаимодействия в резултат на метаболизъм, медииран от цитохром Р450 не се очакват. Не са наблюдавани никакви клинично значими взаимодействия между розувастатин и или флуконазол (инхибитор на </w:t>
      </w:r>
      <w:r w:rsidRPr="007B364E">
        <w:rPr>
          <w:rFonts w:eastAsia="Times New Roman" w:cs="Arial"/>
          <w:b/>
          <w:bCs/>
          <w:color w:val="000000"/>
          <w:lang w:val="en-US"/>
        </w:rPr>
        <w:t xml:space="preserve">CYP2C9 </w:t>
      </w:r>
      <w:r w:rsidRPr="007B364E">
        <w:rPr>
          <w:rFonts w:eastAsia="Times New Roman" w:cs="Arial"/>
          <w:b/>
          <w:bCs/>
          <w:color w:val="000000"/>
          <w:lang w:eastAsia="bg-BG"/>
        </w:rPr>
        <w:t xml:space="preserve">и </w:t>
      </w:r>
      <w:r w:rsidRPr="007B364E">
        <w:rPr>
          <w:rFonts w:eastAsia="Times New Roman" w:cs="Arial"/>
          <w:b/>
          <w:bCs/>
          <w:color w:val="000000"/>
          <w:lang w:val="en-US"/>
        </w:rPr>
        <w:t xml:space="preserve">CYP3A4), </w:t>
      </w:r>
      <w:r w:rsidRPr="007B364E">
        <w:rPr>
          <w:rFonts w:eastAsia="Times New Roman" w:cs="Arial"/>
          <w:b/>
          <w:bCs/>
          <w:color w:val="000000"/>
          <w:lang w:eastAsia="bg-BG"/>
        </w:rPr>
        <w:t xml:space="preserve">или кетоконазол (инхибитор на </w:t>
      </w:r>
      <w:r w:rsidRPr="007B364E">
        <w:rPr>
          <w:rFonts w:eastAsia="Times New Roman" w:cs="Arial"/>
          <w:b/>
          <w:bCs/>
          <w:color w:val="000000"/>
          <w:lang w:val="en-US"/>
        </w:rPr>
        <w:t xml:space="preserve">CYP2A6 </w:t>
      </w:r>
      <w:r w:rsidRPr="007B364E">
        <w:rPr>
          <w:rFonts w:eastAsia="Times New Roman" w:cs="Arial"/>
          <w:b/>
          <w:bCs/>
          <w:color w:val="000000"/>
          <w:lang w:eastAsia="bg-BG"/>
        </w:rPr>
        <w:t xml:space="preserve">и </w:t>
      </w:r>
      <w:r w:rsidRPr="007B364E">
        <w:rPr>
          <w:rFonts w:eastAsia="Times New Roman" w:cs="Arial"/>
          <w:b/>
          <w:bCs/>
          <w:color w:val="000000"/>
          <w:lang w:val="en-US"/>
        </w:rPr>
        <w:t>CYP3A4).</w:t>
      </w:r>
    </w:p>
    <w:p w14:paraId="489038E3" w14:textId="77777777" w:rsidR="007B364E" w:rsidRPr="00E84873" w:rsidRDefault="007B364E" w:rsidP="007B364E">
      <w:pPr>
        <w:spacing w:line="240" w:lineRule="auto"/>
        <w:rPr>
          <w:rFonts w:eastAsia="Times New Roman" w:cs="Arial"/>
          <w:b/>
          <w:bCs/>
          <w:i/>
          <w:iCs/>
          <w:color w:val="000000"/>
          <w:lang w:eastAsia="bg-BG"/>
        </w:rPr>
      </w:pPr>
    </w:p>
    <w:p w14:paraId="645A7DF8" w14:textId="70716081"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Тикагрелор:</w:t>
      </w:r>
      <w:r w:rsidRPr="007B364E">
        <w:rPr>
          <w:rFonts w:eastAsia="Times New Roman" w:cs="Arial"/>
          <w:b/>
          <w:bCs/>
          <w:color w:val="000000"/>
          <w:lang w:eastAsia="bg-BG"/>
        </w:rPr>
        <w:t xml:space="preserve"> Тикагрелор може да причини бъбречна недостатъчност и може да повлияе бъбречната екскреция на розувастатин, увеличавайки риска от кумулиране на розувастатин. В някои случаи едновременното приложение на тикагрелор и розувастатин води до намаляване на бъбречната функция, повишено ниво на СРК и рабдомиолиза. Препоръчва се контрол на бъбречна функция и СРК при съпътстваща употреба на тикагрелор и розувастатин.</w:t>
      </w:r>
    </w:p>
    <w:p w14:paraId="2AF79C63" w14:textId="77777777" w:rsidR="007B364E" w:rsidRPr="00E84873" w:rsidRDefault="007B364E" w:rsidP="007B364E">
      <w:pPr>
        <w:spacing w:line="240" w:lineRule="auto"/>
        <w:rPr>
          <w:rFonts w:eastAsia="Times New Roman" w:cs="Arial"/>
          <w:b/>
          <w:bCs/>
          <w:i/>
          <w:iCs/>
          <w:color w:val="000000"/>
          <w:lang w:eastAsia="bg-BG"/>
        </w:rPr>
      </w:pPr>
    </w:p>
    <w:p w14:paraId="7E9F8D86" w14:textId="5FE33866"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i/>
          <w:iCs/>
          <w:color w:val="000000"/>
          <w:lang w:eastAsia="bg-BG"/>
        </w:rPr>
        <w:t>Взаимодействия, които изискват адаптиране на дозата на розувастатин (вж. също Таблица 1):</w:t>
      </w:r>
      <w:r w:rsidRPr="007B364E">
        <w:rPr>
          <w:rFonts w:eastAsia="Times New Roman" w:cs="Arial"/>
          <w:b/>
          <w:bCs/>
          <w:color w:val="000000"/>
          <w:lang w:eastAsia="bg-BG"/>
        </w:rPr>
        <w:t xml:space="preserve"> Когато е необходимо да се прилага РОВАСТА съвместно с други лекарствени продукти, за които е известно, че повишават експозицията на розувастатин, дозите РОВАСТА трябва да се коригират. Ако очакваното повишение на експозицията </w:t>
      </w:r>
      <w:r w:rsidRPr="007B364E">
        <w:rPr>
          <w:rFonts w:eastAsia="Times New Roman" w:cs="Arial"/>
          <w:b/>
          <w:bCs/>
          <w:color w:val="000000"/>
          <w:lang w:val="en-US"/>
        </w:rPr>
        <w:t xml:space="preserve">(AUC) </w:t>
      </w:r>
      <w:r w:rsidRPr="007B364E">
        <w:rPr>
          <w:rFonts w:eastAsia="Times New Roman" w:cs="Arial"/>
          <w:b/>
          <w:bCs/>
          <w:color w:val="000000"/>
          <w:lang w:eastAsia="bg-BG"/>
        </w:rPr>
        <w:t xml:space="preserve">е приблизително двукратно или по-голямо, трябва да се започне с доза РОВАСТА 5 </w:t>
      </w:r>
      <w:r w:rsidRPr="007B364E">
        <w:rPr>
          <w:rFonts w:eastAsia="Times New Roman" w:cs="Arial"/>
          <w:b/>
          <w:bCs/>
          <w:color w:val="000000"/>
          <w:lang w:val="en-US"/>
        </w:rPr>
        <w:t xml:space="preserve">mg </w:t>
      </w:r>
      <w:r w:rsidRPr="007B364E">
        <w:rPr>
          <w:rFonts w:eastAsia="Times New Roman" w:cs="Arial"/>
          <w:b/>
          <w:bCs/>
          <w:color w:val="000000"/>
          <w:lang w:eastAsia="bg-BG"/>
        </w:rPr>
        <w:t xml:space="preserve">веднъж дневно. Максималната дневна доза РОВАСТА трябва да се адаптира така, че да не е вероятно очакваната експозиция </w:t>
      </w:r>
      <w:r w:rsidRPr="007B364E">
        <w:rPr>
          <w:rFonts w:eastAsia="Times New Roman" w:cs="Arial"/>
          <w:b/>
          <w:bCs/>
          <w:color w:val="000000"/>
          <w:lang w:eastAsia="bg-BG"/>
        </w:rPr>
        <w:lastRenderedPageBreak/>
        <w:t xml:space="preserve">на розувастатин да превиши тази на 40 </w:t>
      </w:r>
      <w:r w:rsidRPr="007B364E">
        <w:rPr>
          <w:rFonts w:eastAsia="Times New Roman" w:cs="Arial"/>
          <w:b/>
          <w:bCs/>
          <w:color w:val="000000"/>
          <w:lang w:val="en-US"/>
        </w:rPr>
        <w:t xml:space="preserve">mg </w:t>
      </w:r>
      <w:r w:rsidRPr="007B364E">
        <w:rPr>
          <w:rFonts w:eastAsia="Times New Roman" w:cs="Arial"/>
          <w:b/>
          <w:bCs/>
          <w:color w:val="000000"/>
          <w:lang w:eastAsia="bg-BG"/>
        </w:rPr>
        <w:t xml:space="preserve">дневна доза РОВАСТА, приета без взаимодействащи лекарствени продукти, например доза от 20 </w:t>
      </w:r>
      <w:r w:rsidRPr="007B364E">
        <w:rPr>
          <w:rFonts w:eastAsia="Times New Roman" w:cs="Arial"/>
          <w:b/>
          <w:bCs/>
          <w:color w:val="000000"/>
          <w:lang w:val="en-US"/>
        </w:rPr>
        <w:t xml:space="preserve">mg </w:t>
      </w:r>
      <w:r w:rsidRPr="007B364E">
        <w:rPr>
          <w:rFonts w:eastAsia="Times New Roman" w:cs="Arial"/>
          <w:b/>
          <w:bCs/>
          <w:color w:val="000000"/>
          <w:lang w:eastAsia="bg-BG"/>
        </w:rPr>
        <w:t xml:space="preserve">РОВАСТА с гемфиброзил (1.9 пъти повишение) и доза от 10 </w:t>
      </w:r>
      <w:r w:rsidRPr="007B364E">
        <w:rPr>
          <w:rFonts w:eastAsia="Times New Roman" w:cs="Arial"/>
          <w:b/>
          <w:bCs/>
          <w:color w:val="000000"/>
          <w:lang w:val="en-US"/>
        </w:rPr>
        <w:t xml:space="preserve">mg </w:t>
      </w:r>
      <w:r w:rsidRPr="007B364E">
        <w:rPr>
          <w:rFonts w:eastAsia="Times New Roman" w:cs="Arial"/>
          <w:b/>
          <w:bCs/>
          <w:color w:val="000000"/>
          <w:lang w:eastAsia="bg-BG"/>
        </w:rPr>
        <w:t>РОВАСТА в комбинация с ригонавир/ атазанавир (3.1 пъти повишение).</w:t>
      </w:r>
    </w:p>
    <w:p w14:paraId="4A05463D" w14:textId="77777777" w:rsidR="007B364E" w:rsidRPr="007B364E" w:rsidRDefault="007B364E" w:rsidP="007B364E">
      <w:pPr>
        <w:spacing w:line="240" w:lineRule="auto"/>
        <w:rPr>
          <w:rFonts w:eastAsia="Times New Roman" w:cs="Arial"/>
          <w:sz w:val="24"/>
          <w:szCs w:val="24"/>
          <w:lang w:eastAsia="bg-BG"/>
        </w:rPr>
      </w:pPr>
      <w:r w:rsidRPr="007B364E">
        <w:rPr>
          <w:rFonts w:eastAsia="Times New Roman" w:cs="Arial"/>
          <w:b/>
          <w:bCs/>
          <w:color w:val="000000"/>
          <w:lang w:eastAsia="bg-BG"/>
        </w:rPr>
        <w:t xml:space="preserve">Ако се наблюдава, че лекарственият продукт повишава </w:t>
      </w:r>
      <w:r w:rsidRPr="007B364E">
        <w:rPr>
          <w:rFonts w:eastAsia="Times New Roman" w:cs="Arial"/>
          <w:b/>
          <w:bCs/>
          <w:color w:val="000000"/>
          <w:lang w:val="en-US"/>
        </w:rPr>
        <w:t xml:space="preserve">AUC </w:t>
      </w:r>
      <w:r w:rsidRPr="007B364E">
        <w:rPr>
          <w:rFonts w:eastAsia="Times New Roman" w:cs="Arial"/>
          <w:b/>
          <w:bCs/>
          <w:color w:val="000000"/>
          <w:lang w:eastAsia="bg-BG"/>
        </w:rPr>
        <w:t xml:space="preserve">на розувастатин по-малко от 2 пъти, началната доза не трябва да се намалява, но трябва да се подхожда с внимание, ако дозата на розувастатин се повиши над 20 </w:t>
      </w:r>
      <w:r w:rsidRPr="007B364E">
        <w:rPr>
          <w:rFonts w:eastAsia="Times New Roman" w:cs="Arial"/>
          <w:b/>
          <w:bCs/>
          <w:color w:val="000000"/>
          <w:lang w:val="en-US"/>
        </w:rPr>
        <w:t>mg.</w:t>
      </w:r>
    </w:p>
    <w:p w14:paraId="172AE819" w14:textId="4764760A" w:rsidR="0091385D" w:rsidRPr="00E84873" w:rsidRDefault="007B364E" w:rsidP="007B364E">
      <w:pPr>
        <w:rPr>
          <w:rFonts w:cs="Arial"/>
        </w:rPr>
      </w:pPr>
      <w:r w:rsidRPr="00E84873">
        <w:rPr>
          <w:rFonts w:eastAsia="Times New Roman" w:cs="Arial"/>
          <w:b/>
          <w:bCs/>
          <w:i/>
          <w:iCs/>
          <w:color w:val="000000"/>
          <w:lang w:eastAsia="bg-BG"/>
        </w:rPr>
        <w:t xml:space="preserve">Таблица 1 Ефект на съвместно прилаганите лекарствени продукти върху експозицията на розувастатин </w:t>
      </w:r>
      <w:r w:rsidRPr="00E84873">
        <w:rPr>
          <w:rFonts w:eastAsia="Times New Roman" w:cs="Arial"/>
          <w:b/>
          <w:bCs/>
          <w:i/>
          <w:iCs/>
          <w:color w:val="000000"/>
          <w:lang w:val="en-US"/>
        </w:rPr>
        <w:t xml:space="preserve">(AUC: </w:t>
      </w:r>
      <w:r w:rsidRPr="00E84873">
        <w:rPr>
          <w:rFonts w:eastAsia="Times New Roman" w:cs="Arial"/>
          <w:b/>
          <w:bCs/>
          <w:i/>
          <w:iCs/>
          <w:color w:val="000000"/>
          <w:lang w:eastAsia="bg-BG"/>
        </w:rPr>
        <w:t>в низходящ ред) от публикувани клинични проучвания</w:t>
      </w:r>
    </w:p>
    <w:tbl>
      <w:tblPr>
        <w:tblStyle w:val="TableGrid"/>
        <w:tblW w:w="0" w:type="auto"/>
        <w:tblLook w:val="04A0" w:firstRow="1" w:lastRow="0" w:firstColumn="1" w:lastColumn="0" w:noHBand="0" w:noVBand="1"/>
      </w:tblPr>
      <w:tblGrid>
        <w:gridCol w:w="3154"/>
        <w:gridCol w:w="3098"/>
        <w:gridCol w:w="3098"/>
      </w:tblGrid>
      <w:tr w:rsidR="00E84873" w14:paraId="26E09BF9" w14:textId="77777777" w:rsidTr="00E84873">
        <w:tc>
          <w:tcPr>
            <w:tcW w:w="9350" w:type="dxa"/>
            <w:gridSpan w:val="3"/>
          </w:tcPr>
          <w:p w14:paraId="2AB2C29C" w14:textId="6EF6158E" w:rsidR="00E84873" w:rsidRPr="00E84873" w:rsidRDefault="00E84873" w:rsidP="0091385D">
            <w:r w:rsidRPr="00E84873">
              <w:rPr>
                <w:b/>
                <w:bCs/>
                <w:i/>
                <w:iCs/>
              </w:rPr>
              <w:t xml:space="preserve">Повишаване на </w:t>
            </w:r>
            <w:r w:rsidRPr="00E84873">
              <w:rPr>
                <w:b/>
                <w:bCs/>
                <w:i/>
                <w:iCs/>
                <w:lang w:val="en-US"/>
              </w:rPr>
              <w:t xml:space="preserve">AUC </w:t>
            </w:r>
            <w:r w:rsidRPr="00E84873">
              <w:rPr>
                <w:b/>
                <w:bCs/>
                <w:i/>
                <w:iCs/>
              </w:rPr>
              <w:t>на</w:t>
            </w:r>
            <w:r>
              <w:rPr>
                <w:b/>
                <w:bCs/>
                <w:i/>
                <w:iCs/>
              </w:rPr>
              <w:t xml:space="preserve"> </w:t>
            </w:r>
            <w:r w:rsidRPr="00E84873">
              <w:rPr>
                <w:b/>
                <w:bCs/>
                <w:i/>
                <w:iCs/>
              </w:rPr>
              <w:t>розувастатин 2 пъти или повеч</w:t>
            </w:r>
            <w:r>
              <w:rPr>
                <w:b/>
                <w:bCs/>
                <w:i/>
                <w:iCs/>
              </w:rPr>
              <w:t xml:space="preserve">е </w:t>
            </w:r>
            <w:r w:rsidRPr="00E84873">
              <w:rPr>
                <w:b/>
                <w:bCs/>
                <w:i/>
                <w:iCs/>
              </w:rPr>
              <w:t>от 2 пъти</w:t>
            </w:r>
          </w:p>
        </w:tc>
      </w:tr>
      <w:tr w:rsidR="00E84873" w14:paraId="6584DD69" w14:textId="77777777" w:rsidTr="00E84873">
        <w:tc>
          <w:tcPr>
            <w:tcW w:w="3154" w:type="dxa"/>
            <w:vAlign w:val="bottom"/>
          </w:tcPr>
          <w:p w14:paraId="5128FF68"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11CC719E" w14:textId="2CDB1877" w:rsidR="00E84873" w:rsidRPr="00E84873" w:rsidRDefault="00E84873" w:rsidP="00E84873">
            <w:r w:rsidRPr="00E84873">
              <w:rPr>
                <w:b/>
                <w:bCs/>
                <w:i/>
                <w:iCs/>
              </w:rPr>
              <w:t>взаимодействащото лекарство</w:t>
            </w:r>
          </w:p>
        </w:tc>
        <w:tc>
          <w:tcPr>
            <w:tcW w:w="3098" w:type="dxa"/>
            <w:vAlign w:val="center"/>
          </w:tcPr>
          <w:p w14:paraId="6C466558"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6B2F8789" w14:textId="63AAD22F" w:rsidR="00E84873" w:rsidRPr="00E84873" w:rsidRDefault="00E84873" w:rsidP="00E84873">
            <w:r w:rsidRPr="00E84873">
              <w:rPr>
                <w:b/>
                <w:bCs/>
                <w:i/>
                <w:iCs/>
              </w:rPr>
              <w:t>розувастатин</w:t>
            </w:r>
          </w:p>
        </w:tc>
        <w:tc>
          <w:tcPr>
            <w:tcW w:w="3098" w:type="dxa"/>
            <w:vAlign w:val="center"/>
          </w:tcPr>
          <w:p w14:paraId="196F7FC1" w14:textId="2B4E4099" w:rsidR="00E84873" w:rsidRPr="00E84873" w:rsidRDefault="00E84873" w:rsidP="00E84873">
            <w:r w:rsidRPr="00E84873">
              <w:rPr>
                <w:b/>
                <w:bCs/>
                <w:i/>
                <w:iCs/>
              </w:rPr>
              <w:t xml:space="preserve">Промяна в </w:t>
            </w:r>
            <w:r w:rsidRPr="00E84873">
              <w:rPr>
                <w:b/>
                <w:bCs/>
                <w:i/>
                <w:iCs/>
                <w:lang w:val="en-US"/>
              </w:rPr>
              <w:t xml:space="preserve">AUC* </w:t>
            </w:r>
            <w:r w:rsidRPr="00E84873">
              <w:rPr>
                <w:b/>
                <w:bCs/>
                <w:i/>
                <w:iCs/>
              </w:rPr>
              <w:t>на розувастатин</w:t>
            </w:r>
          </w:p>
        </w:tc>
      </w:tr>
      <w:tr w:rsidR="00E84873" w14:paraId="774F1B13" w14:textId="77777777" w:rsidTr="00E84873">
        <w:tc>
          <w:tcPr>
            <w:tcW w:w="3154" w:type="dxa"/>
            <w:vAlign w:val="bottom"/>
          </w:tcPr>
          <w:p w14:paraId="352EFE3B" w14:textId="7410FA28" w:rsidR="00E84873" w:rsidRPr="00E84873" w:rsidRDefault="00E84873" w:rsidP="00E84873">
            <w:r w:rsidRPr="00E84873">
              <w:rPr>
                <w:b/>
                <w:bCs/>
              </w:rPr>
              <w:t xml:space="preserve">Софосбувир/велпатасвир/ воксилапревир (400 </w:t>
            </w:r>
            <w:r w:rsidRPr="00E84873">
              <w:rPr>
                <w:b/>
                <w:bCs/>
                <w:lang w:val="en-US"/>
              </w:rPr>
              <w:t>mg-</w:t>
            </w:r>
            <w:r w:rsidRPr="00E84873">
              <w:rPr>
                <w:b/>
                <w:bCs/>
              </w:rPr>
              <w:t xml:space="preserve">100 </w:t>
            </w:r>
            <w:r w:rsidRPr="00E84873">
              <w:rPr>
                <w:b/>
                <w:bCs/>
                <w:lang w:val="en-US"/>
              </w:rPr>
              <w:t>mg-</w:t>
            </w:r>
            <w:r w:rsidRPr="00E84873">
              <w:rPr>
                <w:b/>
                <w:bCs/>
              </w:rPr>
              <w:t xml:space="preserve">100 </w:t>
            </w:r>
            <w:r w:rsidRPr="00E84873">
              <w:rPr>
                <w:b/>
                <w:bCs/>
                <w:lang w:val="en-US"/>
              </w:rPr>
              <w:t xml:space="preserve">mg) </w:t>
            </w:r>
            <w:r w:rsidRPr="00E84873">
              <w:rPr>
                <w:b/>
                <w:bCs/>
              </w:rPr>
              <w:t xml:space="preserve">+ воксилапревир 100 </w:t>
            </w:r>
            <w:r w:rsidRPr="00E84873">
              <w:rPr>
                <w:b/>
                <w:bCs/>
                <w:lang w:val="en-US"/>
              </w:rPr>
              <w:t xml:space="preserve">mg </w:t>
            </w:r>
            <w:r w:rsidRPr="00E84873">
              <w:rPr>
                <w:b/>
                <w:bCs/>
              </w:rPr>
              <w:t>веднъж дневно за 15 дни</w:t>
            </w:r>
          </w:p>
        </w:tc>
        <w:tc>
          <w:tcPr>
            <w:tcW w:w="3098" w:type="dxa"/>
          </w:tcPr>
          <w:p w14:paraId="66DBE54A" w14:textId="4A59C2CC"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tcPr>
          <w:p w14:paraId="1CF82924" w14:textId="7092E618" w:rsidR="00E84873" w:rsidRPr="00E84873" w:rsidRDefault="00E84873" w:rsidP="00E84873">
            <w:r w:rsidRPr="00E84873">
              <w:rPr>
                <w:b/>
                <w:bCs/>
              </w:rPr>
              <w:t xml:space="preserve">7,4 пъти ↑ </w:t>
            </w:r>
          </w:p>
        </w:tc>
      </w:tr>
      <w:tr w:rsidR="00E84873" w14:paraId="4C20E929" w14:textId="77777777" w:rsidTr="00E84873">
        <w:tc>
          <w:tcPr>
            <w:tcW w:w="3154" w:type="dxa"/>
            <w:vAlign w:val="bottom"/>
          </w:tcPr>
          <w:p w14:paraId="30CE8F4E" w14:textId="4E922CB1" w:rsidR="00E84873" w:rsidRPr="00E84873" w:rsidRDefault="00E84873" w:rsidP="00E84873">
            <w:r w:rsidRPr="00E84873">
              <w:rPr>
                <w:b/>
                <w:bCs/>
              </w:rPr>
              <w:t xml:space="preserve">Циклоспорин 75 </w:t>
            </w:r>
            <w:r w:rsidRPr="00E84873">
              <w:rPr>
                <w:b/>
                <w:bCs/>
                <w:lang w:val="en-US"/>
              </w:rPr>
              <w:t xml:space="preserve">mg </w:t>
            </w:r>
            <w:r w:rsidRPr="00E84873">
              <w:rPr>
                <w:b/>
                <w:bCs/>
              </w:rPr>
              <w:t xml:space="preserve">два пъти дневно до 200 </w:t>
            </w:r>
            <w:r w:rsidRPr="00E84873">
              <w:rPr>
                <w:b/>
                <w:bCs/>
                <w:lang w:val="en-US"/>
              </w:rPr>
              <w:t xml:space="preserve">mg </w:t>
            </w:r>
            <w:r w:rsidRPr="00E84873">
              <w:rPr>
                <w:b/>
                <w:bCs/>
              </w:rPr>
              <w:t>два пъти дневно, 6 месеца</w:t>
            </w:r>
          </w:p>
        </w:tc>
        <w:tc>
          <w:tcPr>
            <w:tcW w:w="3098" w:type="dxa"/>
          </w:tcPr>
          <w:p w14:paraId="7F5C7049" w14:textId="58C95372" w:rsidR="00E84873" w:rsidRPr="00E84873" w:rsidRDefault="00E84873" w:rsidP="00E84873">
            <w:r w:rsidRPr="00E84873">
              <w:rPr>
                <w:b/>
                <w:bCs/>
              </w:rPr>
              <w:t xml:space="preserve">10 </w:t>
            </w:r>
            <w:r w:rsidRPr="00E84873">
              <w:rPr>
                <w:b/>
                <w:bCs/>
                <w:lang w:val="en-US"/>
              </w:rPr>
              <w:t xml:space="preserve">mg </w:t>
            </w:r>
            <w:r w:rsidRPr="00E84873">
              <w:rPr>
                <w:b/>
                <w:bCs/>
              </w:rPr>
              <w:t>веднъж дневно, 10 дни</w:t>
            </w:r>
          </w:p>
        </w:tc>
        <w:tc>
          <w:tcPr>
            <w:tcW w:w="3098" w:type="dxa"/>
          </w:tcPr>
          <w:p w14:paraId="184C8F44" w14:textId="3E9331C1" w:rsidR="00E84873" w:rsidRPr="00E84873" w:rsidRDefault="00E84873" w:rsidP="00E84873">
            <w:r w:rsidRPr="00E84873">
              <w:rPr>
                <w:b/>
                <w:bCs/>
              </w:rPr>
              <w:t xml:space="preserve">7,1 пъти ↑ </w:t>
            </w:r>
          </w:p>
        </w:tc>
      </w:tr>
      <w:tr w:rsidR="00E84873" w14:paraId="014165D1" w14:textId="77777777" w:rsidTr="00E84873">
        <w:tc>
          <w:tcPr>
            <w:tcW w:w="3154" w:type="dxa"/>
            <w:vAlign w:val="bottom"/>
          </w:tcPr>
          <w:p w14:paraId="259DB259" w14:textId="2FE87DD3" w:rsidR="00E84873" w:rsidRPr="00E84873" w:rsidRDefault="00E84873" w:rsidP="00E84873">
            <w:r w:rsidRPr="00E84873">
              <w:rPr>
                <w:b/>
                <w:bCs/>
              </w:rPr>
              <w:t xml:space="preserve">Даролутамид 600 </w:t>
            </w:r>
            <w:r w:rsidRPr="00E84873">
              <w:rPr>
                <w:b/>
                <w:bCs/>
                <w:lang w:val="en-US"/>
              </w:rPr>
              <w:t xml:space="preserve">mg </w:t>
            </w:r>
            <w:r w:rsidRPr="00E84873">
              <w:rPr>
                <w:b/>
                <w:bCs/>
              </w:rPr>
              <w:t>два пъти дневно, 5 дни</w:t>
            </w:r>
          </w:p>
        </w:tc>
        <w:tc>
          <w:tcPr>
            <w:tcW w:w="3098" w:type="dxa"/>
          </w:tcPr>
          <w:p w14:paraId="2DCFBBC0" w14:textId="052FD0C9" w:rsidR="00E84873" w:rsidRPr="00E84873" w:rsidRDefault="00E84873" w:rsidP="00E84873">
            <w:r w:rsidRPr="00E84873">
              <w:rPr>
                <w:b/>
                <w:bCs/>
              </w:rPr>
              <w:t xml:space="preserve">5 </w:t>
            </w:r>
            <w:r w:rsidRPr="00E84873">
              <w:rPr>
                <w:b/>
                <w:bCs/>
                <w:lang w:val="en-US"/>
              </w:rPr>
              <w:t xml:space="preserve">mg, </w:t>
            </w:r>
            <w:r w:rsidRPr="00E84873">
              <w:rPr>
                <w:b/>
                <w:bCs/>
              </w:rPr>
              <w:t>еднократна доза</w:t>
            </w:r>
          </w:p>
        </w:tc>
        <w:tc>
          <w:tcPr>
            <w:tcW w:w="3098" w:type="dxa"/>
            <w:vAlign w:val="bottom"/>
          </w:tcPr>
          <w:p w14:paraId="1562902A" w14:textId="16696D4A" w:rsidR="00E84873" w:rsidRPr="00E84873" w:rsidRDefault="00E84873" w:rsidP="00E84873">
            <w:r w:rsidRPr="00E84873">
              <w:rPr>
                <w:b/>
                <w:bCs/>
              </w:rPr>
              <w:t xml:space="preserve">5,2 пъти ↑ </w:t>
            </w:r>
          </w:p>
        </w:tc>
      </w:tr>
      <w:tr w:rsidR="00E84873" w14:paraId="3E0E240C" w14:textId="77777777" w:rsidTr="00E84873">
        <w:tc>
          <w:tcPr>
            <w:tcW w:w="3154" w:type="dxa"/>
            <w:vAlign w:val="bottom"/>
          </w:tcPr>
          <w:p w14:paraId="44EBAC23" w14:textId="0BFAEC5A" w:rsidR="00E84873" w:rsidRPr="00E84873" w:rsidRDefault="00E84873" w:rsidP="00E84873">
            <w:r w:rsidRPr="00E84873">
              <w:rPr>
                <w:b/>
                <w:bCs/>
              </w:rPr>
              <w:t xml:space="preserve">Регорафениб 160 </w:t>
            </w:r>
            <w:r w:rsidRPr="00E84873">
              <w:rPr>
                <w:b/>
                <w:bCs/>
                <w:lang w:val="en-US"/>
              </w:rPr>
              <w:t xml:space="preserve">mg </w:t>
            </w:r>
            <w:r w:rsidRPr="00E84873">
              <w:rPr>
                <w:b/>
                <w:bCs/>
              </w:rPr>
              <w:t>веднъж дневно, 14 дни</w:t>
            </w:r>
          </w:p>
        </w:tc>
        <w:tc>
          <w:tcPr>
            <w:tcW w:w="3098" w:type="dxa"/>
            <w:vAlign w:val="center"/>
          </w:tcPr>
          <w:p w14:paraId="203790D0" w14:textId="344A02F3" w:rsidR="00E84873" w:rsidRPr="00E84873" w:rsidRDefault="00E84873" w:rsidP="00E84873">
            <w:r w:rsidRPr="00E84873">
              <w:rPr>
                <w:b/>
                <w:bCs/>
              </w:rPr>
              <w:t xml:space="preserve">5 </w:t>
            </w:r>
            <w:r w:rsidRPr="00E84873">
              <w:rPr>
                <w:b/>
                <w:bCs/>
                <w:lang w:val="en-US"/>
              </w:rPr>
              <w:t xml:space="preserve">mg, </w:t>
            </w:r>
            <w:r w:rsidRPr="00E84873">
              <w:rPr>
                <w:b/>
                <w:bCs/>
              </w:rPr>
              <w:t>еднократна доза</w:t>
            </w:r>
          </w:p>
        </w:tc>
        <w:tc>
          <w:tcPr>
            <w:tcW w:w="3098" w:type="dxa"/>
            <w:vAlign w:val="center"/>
          </w:tcPr>
          <w:p w14:paraId="0EBB2F31" w14:textId="165FFE58" w:rsidR="00E84873" w:rsidRPr="00E84873" w:rsidRDefault="00E84873" w:rsidP="00E84873">
            <w:r w:rsidRPr="00E84873">
              <w:rPr>
                <w:b/>
                <w:bCs/>
              </w:rPr>
              <w:t xml:space="preserve">3,8 пъти ↑ </w:t>
            </w:r>
          </w:p>
        </w:tc>
      </w:tr>
      <w:tr w:rsidR="00E84873" w14:paraId="0ACA5F14" w14:textId="77777777" w:rsidTr="00E84873">
        <w:tc>
          <w:tcPr>
            <w:tcW w:w="3154" w:type="dxa"/>
            <w:vAlign w:val="bottom"/>
          </w:tcPr>
          <w:p w14:paraId="7BAD362E" w14:textId="77777777" w:rsidR="00E84873" w:rsidRPr="00E84873" w:rsidRDefault="00E84873" w:rsidP="00E84873">
            <w:r w:rsidRPr="00E84873">
              <w:rPr>
                <w:b/>
                <w:bCs/>
              </w:rPr>
              <w:t>Атазанавир</w:t>
            </w:r>
            <w:r w:rsidRPr="00E84873">
              <w:rPr>
                <w:b/>
                <w:bCs/>
              </w:rPr>
              <w:tab/>
              <w:t>300</w:t>
            </w:r>
            <w:r w:rsidRPr="00E84873">
              <w:rPr>
                <w:b/>
                <w:bCs/>
              </w:rPr>
              <w:tab/>
            </w:r>
            <w:r w:rsidRPr="00E84873">
              <w:rPr>
                <w:b/>
                <w:bCs/>
                <w:lang w:val="en-US"/>
              </w:rPr>
              <w:t>mg/</w:t>
            </w:r>
          </w:p>
          <w:p w14:paraId="3F89B182" w14:textId="3F04761A" w:rsidR="00E84873" w:rsidRPr="00E84873" w:rsidRDefault="00E84873" w:rsidP="00E84873">
            <w:r w:rsidRPr="00E84873">
              <w:rPr>
                <w:b/>
                <w:bCs/>
              </w:rPr>
              <w:t xml:space="preserve">ритонавир 100 </w:t>
            </w:r>
            <w:r w:rsidRPr="00E84873">
              <w:rPr>
                <w:b/>
                <w:bCs/>
                <w:lang w:val="en-US"/>
              </w:rPr>
              <w:t xml:space="preserve">mg </w:t>
            </w:r>
            <w:r w:rsidRPr="00E84873">
              <w:rPr>
                <w:b/>
                <w:bCs/>
              </w:rPr>
              <w:t>веднъж дневно, 8 дни</w:t>
            </w:r>
          </w:p>
        </w:tc>
        <w:tc>
          <w:tcPr>
            <w:tcW w:w="3098" w:type="dxa"/>
          </w:tcPr>
          <w:p w14:paraId="206B9734" w14:textId="293392CC"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tcPr>
          <w:p w14:paraId="5A946A99" w14:textId="3A935D4C" w:rsidR="00E84873" w:rsidRPr="00E84873" w:rsidRDefault="00E84873" w:rsidP="00E84873">
            <w:r w:rsidRPr="00E84873">
              <w:rPr>
                <w:b/>
                <w:bCs/>
              </w:rPr>
              <w:t xml:space="preserve">3,1 пъти ↑ </w:t>
            </w:r>
          </w:p>
        </w:tc>
      </w:tr>
      <w:tr w:rsidR="00E84873" w14:paraId="5217D582" w14:textId="77777777" w:rsidTr="00E84873">
        <w:tc>
          <w:tcPr>
            <w:tcW w:w="3154" w:type="dxa"/>
            <w:vAlign w:val="bottom"/>
          </w:tcPr>
          <w:p w14:paraId="10AE4089" w14:textId="426F077F" w:rsidR="00E84873" w:rsidRPr="00E84873" w:rsidRDefault="00E84873" w:rsidP="00E84873">
            <w:r w:rsidRPr="00E84873">
              <w:rPr>
                <w:b/>
                <w:bCs/>
              </w:rPr>
              <w:t xml:space="preserve">Велпатасвир 100 </w:t>
            </w:r>
            <w:r w:rsidRPr="00E84873">
              <w:rPr>
                <w:b/>
                <w:bCs/>
                <w:lang w:val="en-US"/>
              </w:rPr>
              <w:t xml:space="preserve">mg </w:t>
            </w:r>
            <w:r w:rsidRPr="00E84873">
              <w:rPr>
                <w:b/>
                <w:bCs/>
              </w:rPr>
              <w:t>веднъж дневно</w:t>
            </w:r>
          </w:p>
        </w:tc>
        <w:tc>
          <w:tcPr>
            <w:tcW w:w="3098" w:type="dxa"/>
            <w:vAlign w:val="center"/>
          </w:tcPr>
          <w:p w14:paraId="07EE7913" w14:textId="387F79A4"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vAlign w:val="center"/>
          </w:tcPr>
          <w:p w14:paraId="62A7954F" w14:textId="0D6A4EA4" w:rsidR="00E84873" w:rsidRPr="00E84873" w:rsidRDefault="00E84873" w:rsidP="00E84873">
            <w:r w:rsidRPr="00E84873">
              <w:rPr>
                <w:b/>
                <w:bCs/>
              </w:rPr>
              <w:t xml:space="preserve">2,7 пъти ↑ </w:t>
            </w:r>
          </w:p>
        </w:tc>
      </w:tr>
      <w:tr w:rsidR="00E84873" w14:paraId="00A73CAA" w14:textId="77777777" w:rsidTr="00E84873">
        <w:tc>
          <w:tcPr>
            <w:tcW w:w="3154" w:type="dxa"/>
            <w:vAlign w:val="bottom"/>
          </w:tcPr>
          <w:p w14:paraId="425796AF" w14:textId="77777777" w:rsidR="00E84873" w:rsidRPr="00E84873" w:rsidRDefault="00E84873" w:rsidP="00E84873">
            <w:r w:rsidRPr="00E84873">
              <w:rPr>
                <w:b/>
                <w:bCs/>
              </w:rPr>
              <w:t>Омбитасвир</w:t>
            </w:r>
            <w:r w:rsidRPr="00E84873">
              <w:rPr>
                <w:b/>
                <w:bCs/>
              </w:rPr>
              <w:tab/>
              <w:t>25</w:t>
            </w:r>
            <w:r w:rsidRPr="00E84873">
              <w:rPr>
                <w:b/>
                <w:bCs/>
              </w:rPr>
              <w:tab/>
            </w:r>
            <w:r w:rsidRPr="00E84873">
              <w:rPr>
                <w:b/>
                <w:bCs/>
                <w:lang w:val="en-US"/>
              </w:rPr>
              <w:t>mg/</w:t>
            </w:r>
          </w:p>
          <w:p w14:paraId="353C9EC0" w14:textId="77777777" w:rsidR="00E84873" w:rsidRPr="00E84873" w:rsidRDefault="00E84873" w:rsidP="00E84873">
            <w:r w:rsidRPr="00E84873">
              <w:rPr>
                <w:b/>
                <w:bCs/>
              </w:rPr>
              <w:t>паритапревир</w:t>
            </w:r>
            <w:r w:rsidRPr="00E84873">
              <w:rPr>
                <w:b/>
                <w:bCs/>
              </w:rPr>
              <w:tab/>
              <w:t xml:space="preserve">150 </w:t>
            </w:r>
            <w:r w:rsidRPr="00E84873">
              <w:rPr>
                <w:b/>
                <w:bCs/>
                <w:lang w:val="en-US"/>
              </w:rPr>
              <w:t>mg/</w:t>
            </w:r>
          </w:p>
          <w:p w14:paraId="7766C5F3" w14:textId="71A30A28" w:rsidR="00E84873" w:rsidRPr="00E84873" w:rsidRDefault="00E84873" w:rsidP="00E84873">
            <w:r w:rsidRPr="00E84873">
              <w:rPr>
                <w:b/>
                <w:bCs/>
              </w:rPr>
              <w:t xml:space="preserve">ритонавир 100 </w:t>
            </w:r>
            <w:r w:rsidRPr="00E84873">
              <w:rPr>
                <w:b/>
                <w:bCs/>
                <w:lang w:val="en-US"/>
              </w:rPr>
              <w:t xml:space="preserve">mg </w:t>
            </w:r>
            <w:r w:rsidRPr="00E84873">
              <w:rPr>
                <w:b/>
                <w:bCs/>
              </w:rPr>
              <w:t xml:space="preserve">веднъж дневно/ дазабувир 400 </w:t>
            </w:r>
            <w:r w:rsidRPr="00E84873">
              <w:rPr>
                <w:b/>
                <w:bCs/>
                <w:lang w:val="en-US"/>
              </w:rPr>
              <w:t xml:space="preserve">mg </w:t>
            </w:r>
            <w:r w:rsidRPr="00E84873">
              <w:rPr>
                <w:b/>
                <w:bCs/>
              </w:rPr>
              <w:t>два пъти дневно, 14 дни</w:t>
            </w:r>
          </w:p>
        </w:tc>
        <w:tc>
          <w:tcPr>
            <w:tcW w:w="3098" w:type="dxa"/>
          </w:tcPr>
          <w:p w14:paraId="3CC4E06E" w14:textId="16C99BA4" w:rsidR="00E84873" w:rsidRPr="00E84873" w:rsidRDefault="00E84873" w:rsidP="00E84873">
            <w:r w:rsidRPr="00E84873">
              <w:rPr>
                <w:b/>
                <w:bCs/>
              </w:rPr>
              <w:t xml:space="preserve">5 </w:t>
            </w:r>
            <w:r w:rsidRPr="00E84873">
              <w:rPr>
                <w:b/>
                <w:bCs/>
                <w:lang w:val="en-US"/>
              </w:rPr>
              <w:t xml:space="preserve">mg, </w:t>
            </w:r>
            <w:r w:rsidRPr="00E84873">
              <w:rPr>
                <w:b/>
                <w:bCs/>
              </w:rPr>
              <w:t>еднократна доза</w:t>
            </w:r>
          </w:p>
        </w:tc>
        <w:tc>
          <w:tcPr>
            <w:tcW w:w="3098" w:type="dxa"/>
          </w:tcPr>
          <w:p w14:paraId="67E2BE31" w14:textId="4F64A6D6" w:rsidR="00E84873" w:rsidRPr="00E84873" w:rsidRDefault="00E84873" w:rsidP="00E84873">
            <w:r w:rsidRPr="00E84873">
              <w:rPr>
                <w:b/>
                <w:bCs/>
              </w:rPr>
              <w:t xml:space="preserve">2,6 пъти ↑ </w:t>
            </w:r>
          </w:p>
        </w:tc>
      </w:tr>
      <w:tr w:rsidR="00E84873" w14:paraId="548D517F" w14:textId="77777777" w:rsidTr="00E84873">
        <w:tc>
          <w:tcPr>
            <w:tcW w:w="3154" w:type="dxa"/>
            <w:vAlign w:val="bottom"/>
          </w:tcPr>
          <w:p w14:paraId="2ACEF796" w14:textId="63614BC9" w:rsidR="00E84873" w:rsidRPr="00E84873" w:rsidRDefault="00E84873" w:rsidP="00E84873">
            <w:r w:rsidRPr="00E84873">
              <w:rPr>
                <w:b/>
                <w:bCs/>
              </w:rPr>
              <w:t xml:space="preserve">Гразопревир 200 </w:t>
            </w:r>
            <w:r w:rsidRPr="00E84873">
              <w:rPr>
                <w:b/>
                <w:bCs/>
                <w:lang w:val="en-US"/>
              </w:rPr>
              <w:t xml:space="preserve">mg/ </w:t>
            </w:r>
            <w:r w:rsidRPr="00E84873">
              <w:rPr>
                <w:b/>
                <w:bCs/>
              </w:rPr>
              <w:t xml:space="preserve">елбасвир 50 </w:t>
            </w:r>
            <w:r w:rsidRPr="00E84873">
              <w:rPr>
                <w:b/>
                <w:bCs/>
                <w:lang w:val="en-US"/>
              </w:rPr>
              <w:t xml:space="preserve">mg </w:t>
            </w:r>
            <w:r w:rsidRPr="00E84873">
              <w:rPr>
                <w:b/>
                <w:bCs/>
              </w:rPr>
              <w:t>веднъж дневно, 11 дни</w:t>
            </w:r>
          </w:p>
        </w:tc>
        <w:tc>
          <w:tcPr>
            <w:tcW w:w="3098" w:type="dxa"/>
            <w:vAlign w:val="center"/>
          </w:tcPr>
          <w:p w14:paraId="60FD0750" w14:textId="26A55B60" w:rsidR="00E84873" w:rsidRPr="00E84873" w:rsidRDefault="00E84873" w:rsidP="00E84873">
            <w:r w:rsidRPr="00E84873">
              <w:rPr>
                <w:b/>
                <w:bCs/>
              </w:rPr>
              <w:t xml:space="preserve">10 </w:t>
            </w:r>
            <w:r w:rsidRPr="00E84873">
              <w:rPr>
                <w:b/>
                <w:bCs/>
                <w:lang w:val="en-US"/>
              </w:rPr>
              <w:t xml:space="preserve">mg, </w:t>
            </w:r>
            <w:r w:rsidRPr="00E84873">
              <w:rPr>
                <w:b/>
                <w:bCs/>
              </w:rPr>
              <w:t>еднократна доза</w:t>
            </w:r>
          </w:p>
        </w:tc>
        <w:tc>
          <w:tcPr>
            <w:tcW w:w="3098" w:type="dxa"/>
            <w:vAlign w:val="center"/>
          </w:tcPr>
          <w:p w14:paraId="660E7AE3" w14:textId="30AF474B" w:rsidR="00E84873" w:rsidRPr="00E84873" w:rsidRDefault="00E84873" w:rsidP="00E84873">
            <w:r w:rsidRPr="00E84873">
              <w:rPr>
                <w:b/>
                <w:bCs/>
              </w:rPr>
              <w:t xml:space="preserve">2,3 пъти ↑ </w:t>
            </w:r>
          </w:p>
        </w:tc>
      </w:tr>
      <w:tr w:rsidR="00E84873" w14:paraId="6F1CD0D7" w14:textId="77777777" w:rsidTr="00E84873">
        <w:tc>
          <w:tcPr>
            <w:tcW w:w="3154" w:type="dxa"/>
            <w:vAlign w:val="bottom"/>
          </w:tcPr>
          <w:p w14:paraId="4F4EE4C8" w14:textId="77777777" w:rsidR="00E84873" w:rsidRPr="00E84873" w:rsidRDefault="00E84873" w:rsidP="00E84873">
            <w:r w:rsidRPr="00E84873">
              <w:rPr>
                <w:b/>
                <w:bCs/>
              </w:rPr>
              <w:t>Глекапревир</w:t>
            </w:r>
            <w:r w:rsidRPr="00E84873">
              <w:rPr>
                <w:b/>
                <w:bCs/>
              </w:rPr>
              <w:tab/>
              <w:t xml:space="preserve">400 </w:t>
            </w:r>
            <w:r w:rsidRPr="00E84873">
              <w:rPr>
                <w:b/>
                <w:bCs/>
                <w:lang w:val="en-US"/>
              </w:rPr>
              <w:t>mg/</w:t>
            </w:r>
          </w:p>
          <w:p w14:paraId="4C7C58B7" w14:textId="20ABB303" w:rsidR="00E84873" w:rsidRPr="00E84873" w:rsidRDefault="00E84873" w:rsidP="00E84873">
            <w:r w:rsidRPr="00E84873">
              <w:rPr>
                <w:b/>
                <w:bCs/>
              </w:rPr>
              <w:t xml:space="preserve">пибрентасвир 120 </w:t>
            </w:r>
            <w:r w:rsidRPr="00E84873">
              <w:rPr>
                <w:b/>
                <w:bCs/>
                <w:lang w:val="en-US"/>
              </w:rPr>
              <w:t xml:space="preserve">mg </w:t>
            </w:r>
            <w:r w:rsidRPr="00E84873">
              <w:rPr>
                <w:b/>
                <w:bCs/>
              </w:rPr>
              <w:t>веднъж дневно, 7 дни</w:t>
            </w:r>
          </w:p>
        </w:tc>
        <w:tc>
          <w:tcPr>
            <w:tcW w:w="3098" w:type="dxa"/>
          </w:tcPr>
          <w:p w14:paraId="59644DAE" w14:textId="75FF3235" w:rsidR="00E84873" w:rsidRPr="00E84873" w:rsidRDefault="00E84873" w:rsidP="00E84873">
            <w:r w:rsidRPr="00E84873">
              <w:rPr>
                <w:b/>
                <w:bCs/>
              </w:rPr>
              <w:t xml:space="preserve">5 </w:t>
            </w:r>
            <w:r w:rsidRPr="00E84873">
              <w:rPr>
                <w:b/>
                <w:bCs/>
                <w:lang w:val="en-US"/>
              </w:rPr>
              <w:t xml:space="preserve">mg </w:t>
            </w:r>
            <w:r w:rsidRPr="00E84873">
              <w:rPr>
                <w:b/>
                <w:bCs/>
              </w:rPr>
              <w:t>веднъж дневно, 7 дни</w:t>
            </w:r>
          </w:p>
        </w:tc>
        <w:tc>
          <w:tcPr>
            <w:tcW w:w="3098" w:type="dxa"/>
          </w:tcPr>
          <w:p w14:paraId="7804E6F2" w14:textId="5A361D54" w:rsidR="00E84873" w:rsidRPr="00E84873" w:rsidRDefault="00E84873" w:rsidP="00E84873">
            <w:r w:rsidRPr="00E84873">
              <w:rPr>
                <w:b/>
                <w:bCs/>
              </w:rPr>
              <w:t xml:space="preserve">2,2 пъти ↑ </w:t>
            </w:r>
          </w:p>
        </w:tc>
      </w:tr>
      <w:tr w:rsidR="00E84873" w14:paraId="1656A837" w14:textId="77777777" w:rsidTr="00E84873">
        <w:tc>
          <w:tcPr>
            <w:tcW w:w="3154" w:type="dxa"/>
            <w:vAlign w:val="bottom"/>
          </w:tcPr>
          <w:p w14:paraId="3F84BCEB" w14:textId="691005F1" w:rsidR="00E84873" w:rsidRPr="00E84873" w:rsidRDefault="00E84873" w:rsidP="00E84873">
            <w:r w:rsidRPr="00E84873">
              <w:rPr>
                <w:b/>
                <w:bCs/>
              </w:rPr>
              <w:t xml:space="preserve">Лопинавир 400 </w:t>
            </w:r>
            <w:r w:rsidRPr="00E84873">
              <w:rPr>
                <w:b/>
                <w:bCs/>
                <w:lang w:val="en-US"/>
              </w:rPr>
              <w:t xml:space="preserve">mg/ </w:t>
            </w:r>
            <w:r w:rsidRPr="00E84873">
              <w:rPr>
                <w:b/>
                <w:bCs/>
              </w:rPr>
              <w:t xml:space="preserve">ритонавир 100 </w:t>
            </w:r>
            <w:r w:rsidRPr="00E84873">
              <w:rPr>
                <w:b/>
                <w:bCs/>
                <w:lang w:val="en-US"/>
              </w:rPr>
              <w:t xml:space="preserve">mg </w:t>
            </w:r>
            <w:r w:rsidRPr="00E84873">
              <w:rPr>
                <w:b/>
                <w:bCs/>
              </w:rPr>
              <w:t>два пъти дневно, 17 дни</w:t>
            </w:r>
          </w:p>
        </w:tc>
        <w:tc>
          <w:tcPr>
            <w:tcW w:w="3098" w:type="dxa"/>
          </w:tcPr>
          <w:p w14:paraId="6250641A" w14:textId="26C0D401" w:rsidR="00E84873" w:rsidRPr="00E84873" w:rsidRDefault="00E84873" w:rsidP="00E84873">
            <w:r w:rsidRPr="00E84873">
              <w:rPr>
                <w:b/>
                <w:bCs/>
              </w:rPr>
              <w:t xml:space="preserve">20 </w:t>
            </w:r>
            <w:r w:rsidRPr="00E84873">
              <w:rPr>
                <w:b/>
                <w:bCs/>
                <w:lang w:val="en-US"/>
              </w:rPr>
              <w:t xml:space="preserve">mg </w:t>
            </w:r>
            <w:r w:rsidRPr="00E84873">
              <w:rPr>
                <w:b/>
                <w:bCs/>
              </w:rPr>
              <w:t>веднъж дневно, 7 дни</w:t>
            </w:r>
          </w:p>
        </w:tc>
        <w:tc>
          <w:tcPr>
            <w:tcW w:w="3098" w:type="dxa"/>
          </w:tcPr>
          <w:p w14:paraId="411D2664" w14:textId="4E9201F4" w:rsidR="00E84873" w:rsidRPr="00E84873" w:rsidRDefault="00E84873" w:rsidP="00E84873">
            <w:r w:rsidRPr="00E84873">
              <w:rPr>
                <w:b/>
                <w:bCs/>
              </w:rPr>
              <w:t xml:space="preserve">2,1 пъти ↑ </w:t>
            </w:r>
          </w:p>
        </w:tc>
      </w:tr>
      <w:tr w:rsidR="00E84873" w14:paraId="41EB10E1" w14:textId="77777777" w:rsidTr="00E84873">
        <w:tc>
          <w:tcPr>
            <w:tcW w:w="3154" w:type="dxa"/>
            <w:vAlign w:val="bottom"/>
          </w:tcPr>
          <w:p w14:paraId="5261D471" w14:textId="77777777" w:rsidR="00E84873" w:rsidRPr="00E84873" w:rsidRDefault="00E84873" w:rsidP="00E84873">
            <w:r w:rsidRPr="00E84873">
              <w:rPr>
                <w:b/>
                <w:bCs/>
              </w:rPr>
              <w:lastRenderedPageBreak/>
              <w:t>Клопидогрел</w:t>
            </w:r>
            <w:r w:rsidRPr="00E84873">
              <w:rPr>
                <w:b/>
                <w:bCs/>
              </w:rPr>
              <w:tab/>
              <w:t>300</w:t>
            </w:r>
            <w:r w:rsidRPr="00E84873">
              <w:rPr>
                <w:b/>
                <w:bCs/>
              </w:rPr>
              <w:tab/>
            </w:r>
            <w:r w:rsidRPr="00E84873">
              <w:rPr>
                <w:b/>
                <w:bCs/>
                <w:lang w:val="en-US"/>
              </w:rPr>
              <w:t>mg</w:t>
            </w:r>
          </w:p>
          <w:p w14:paraId="15801050" w14:textId="0E1FD4FC" w:rsidR="00E84873" w:rsidRPr="00E84873" w:rsidRDefault="00E84873" w:rsidP="00E84873">
            <w:r w:rsidRPr="00E84873">
              <w:rPr>
                <w:b/>
                <w:bCs/>
              </w:rPr>
              <w:t xml:space="preserve">натоварваща доза, последвана от 75 </w:t>
            </w:r>
            <w:r w:rsidRPr="00E84873">
              <w:rPr>
                <w:b/>
                <w:bCs/>
                <w:lang w:val="en-US"/>
              </w:rPr>
              <w:t xml:space="preserve">mg </w:t>
            </w:r>
            <w:r w:rsidRPr="00E84873">
              <w:rPr>
                <w:b/>
                <w:bCs/>
              </w:rPr>
              <w:t>на 24 часа</w:t>
            </w:r>
          </w:p>
        </w:tc>
        <w:tc>
          <w:tcPr>
            <w:tcW w:w="3098" w:type="dxa"/>
          </w:tcPr>
          <w:p w14:paraId="6CFE87BB" w14:textId="763A8A88" w:rsidR="00E84873" w:rsidRPr="00E84873" w:rsidRDefault="00E84873" w:rsidP="00E84873">
            <w:r w:rsidRPr="00E84873">
              <w:rPr>
                <w:b/>
                <w:bCs/>
              </w:rPr>
              <w:t xml:space="preserve">20 </w:t>
            </w:r>
            <w:r w:rsidRPr="00E84873">
              <w:rPr>
                <w:b/>
                <w:bCs/>
                <w:lang w:val="en-US"/>
              </w:rPr>
              <w:t xml:space="preserve">mg, </w:t>
            </w:r>
            <w:r w:rsidRPr="00E84873">
              <w:rPr>
                <w:b/>
                <w:bCs/>
              </w:rPr>
              <w:t>еднократна доза</w:t>
            </w:r>
          </w:p>
        </w:tc>
        <w:tc>
          <w:tcPr>
            <w:tcW w:w="3098" w:type="dxa"/>
          </w:tcPr>
          <w:p w14:paraId="7BA9F363" w14:textId="3EE16C15" w:rsidR="00E84873" w:rsidRPr="00E84873" w:rsidRDefault="00E84873" w:rsidP="00E84873">
            <w:r w:rsidRPr="00E84873">
              <w:rPr>
                <w:b/>
                <w:bCs/>
              </w:rPr>
              <w:t xml:space="preserve">2 пъти ↑ </w:t>
            </w:r>
          </w:p>
        </w:tc>
      </w:tr>
      <w:tr w:rsidR="00E84873" w14:paraId="112B833C" w14:textId="77777777" w:rsidTr="00E84873">
        <w:tc>
          <w:tcPr>
            <w:tcW w:w="3154" w:type="dxa"/>
            <w:vAlign w:val="bottom"/>
          </w:tcPr>
          <w:p w14:paraId="71F36193" w14:textId="6937E02A" w:rsidR="00E84873" w:rsidRDefault="00E84873" w:rsidP="00E84873">
            <w:r>
              <w:rPr>
                <w:b/>
                <w:bCs/>
              </w:rPr>
              <w:t xml:space="preserve">Гемфиброзил 600 </w:t>
            </w:r>
            <w:r>
              <w:rPr>
                <w:b/>
                <w:bCs/>
                <w:lang w:val="en-US"/>
              </w:rPr>
              <w:t xml:space="preserve">mg </w:t>
            </w:r>
            <w:r>
              <w:rPr>
                <w:b/>
                <w:bCs/>
              </w:rPr>
              <w:t>два пъти дневно, 7 дни</w:t>
            </w:r>
          </w:p>
        </w:tc>
        <w:tc>
          <w:tcPr>
            <w:tcW w:w="3098" w:type="dxa"/>
            <w:vAlign w:val="center"/>
          </w:tcPr>
          <w:p w14:paraId="20F33C71" w14:textId="1F9F9A61" w:rsidR="00E84873" w:rsidRDefault="00E84873" w:rsidP="00E84873">
            <w:r>
              <w:rPr>
                <w:b/>
                <w:bCs/>
              </w:rPr>
              <w:t xml:space="preserve">80 </w:t>
            </w:r>
            <w:r>
              <w:rPr>
                <w:b/>
                <w:bCs/>
                <w:lang w:val="en-US"/>
              </w:rPr>
              <w:t xml:space="preserve">mg, </w:t>
            </w:r>
            <w:r>
              <w:rPr>
                <w:b/>
                <w:bCs/>
              </w:rPr>
              <w:t>еднократна доза</w:t>
            </w:r>
          </w:p>
        </w:tc>
        <w:tc>
          <w:tcPr>
            <w:tcW w:w="3098" w:type="dxa"/>
            <w:vAlign w:val="center"/>
          </w:tcPr>
          <w:p w14:paraId="2E626E3A" w14:textId="48F23D06" w:rsidR="00E84873" w:rsidRDefault="00E84873" w:rsidP="00E84873">
            <w:r>
              <w:rPr>
                <w:b/>
                <w:bCs/>
              </w:rPr>
              <w:t xml:space="preserve">1,9 пъти ↑ </w:t>
            </w:r>
          </w:p>
        </w:tc>
      </w:tr>
      <w:tr w:rsidR="00E84873" w14:paraId="5CD0605C" w14:textId="77777777" w:rsidTr="00E84873">
        <w:tc>
          <w:tcPr>
            <w:tcW w:w="9350" w:type="dxa"/>
            <w:gridSpan w:val="3"/>
          </w:tcPr>
          <w:p w14:paraId="3B057E70" w14:textId="144C0FCE" w:rsidR="00E84873" w:rsidRDefault="00E84873" w:rsidP="0091385D">
            <w:r>
              <w:rPr>
                <w:b/>
                <w:bCs/>
                <w:i/>
                <w:iCs/>
              </w:rPr>
              <w:t xml:space="preserve">Повишаване на </w:t>
            </w:r>
            <w:r>
              <w:rPr>
                <w:b/>
                <w:bCs/>
                <w:i/>
                <w:iCs/>
                <w:lang w:val="en-US"/>
              </w:rPr>
              <w:t xml:space="preserve">AUC </w:t>
            </w:r>
            <w:r>
              <w:rPr>
                <w:b/>
                <w:bCs/>
                <w:i/>
                <w:iCs/>
              </w:rPr>
              <w:t>нарозувастатин по-малко от 2 пъти</w:t>
            </w:r>
          </w:p>
        </w:tc>
      </w:tr>
      <w:tr w:rsidR="00E84873" w14:paraId="6A6C42B1" w14:textId="77777777" w:rsidTr="00E84873">
        <w:tc>
          <w:tcPr>
            <w:tcW w:w="3154" w:type="dxa"/>
            <w:vAlign w:val="bottom"/>
          </w:tcPr>
          <w:p w14:paraId="410D82D0" w14:textId="091FAC4C" w:rsidR="00E84873" w:rsidRDefault="00E84873" w:rsidP="00E84873">
            <w:r>
              <w:rPr>
                <w:b/>
                <w:bCs/>
              </w:rPr>
              <w:t xml:space="preserve">Елтромбопаг 75 </w:t>
            </w:r>
            <w:r>
              <w:rPr>
                <w:b/>
                <w:bCs/>
                <w:lang w:val="en-US"/>
              </w:rPr>
              <w:t xml:space="preserve">mg </w:t>
            </w:r>
            <w:r>
              <w:rPr>
                <w:b/>
                <w:bCs/>
              </w:rPr>
              <w:t>веднъж дневно, 10 дни</w:t>
            </w:r>
          </w:p>
        </w:tc>
        <w:tc>
          <w:tcPr>
            <w:tcW w:w="3098" w:type="dxa"/>
            <w:vAlign w:val="center"/>
          </w:tcPr>
          <w:p w14:paraId="3E6033CA" w14:textId="1F219D34" w:rsidR="00E84873" w:rsidRDefault="00E84873" w:rsidP="00E84873">
            <w:r>
              <w:rPr>
                <w:b/>
                <w:bCs/>
              </w:rPr>
              <w:t xml:space="preserve">10 </w:t>
            </w:r>
            <w:r>
              <w:rPr>
                <w:b/>
                <w:bCs/>
                <w:lang w:val="en-US"/>
              </w:rPr>
              <w:t xml:space="preserve">mg, </w:t>
            </w:r>
            <w:r>
              <w:rPr>
                <w:b/>
                <w:bCs/>
              </w:rPr>
              <w:t>еднократна доза</w:t>
            </w:r>
          </w:p>
        </w:tc>
        <w:tc>
          <w:tcPr>
            <w:tcW w:w="3098" w:type="dxa"/>
            <w:vAlign w:val="center"/>
          </w:tcPr>
          <w:p w14:paraId="0BAF9824" w14:textId="67989334" w:rsidR="00E84873" w:rsidRDefault="00E84873" w:rsidP="00E84873">
            <w:r>
              <w:rPr>
                <w:b/>
                <w:bCs/>
              </w:rPr>
              <w:t xml:space="preserve">1,6 пъти ↑ </w:t>
            </w:r>
          </w:p>
        </w:tc>
      </w:tr>
      <w:tr w:rsidR="00E84873" w14:paraId="75AF915C" w14:textId="77777777" w:rsidTr="00E84873">
        <w:tc>
          <w:tcPr>
            <w:tcW w:w="3154" w:type="dxa"/>
            <w:vAlign w:val="bottom"/>
          </w:tcPr>
          <w:p w14:paraId="5647612F" w14:textId="63541E63" w:rsidR="00E84873" w:rsidRDefault="00E84873" w:rsidP="00E84873">
            <w:r>
              <w:rPr>
                <w:b/>
                <w:bCs/>
              </w:rPr>
              <w:t xml:space="preserve">Дарунавир 600 </w:t>
            </w:r>
            <w:r>
              <w:rPr>
                <w:b/>
                <w:bCs/>
                <w:lang w:val="en-US"/>
              </w:rPr>
              <w:t xml:space="preserve">mg/ </w:t>
            </w:r>
            <w:r>
              <w:rPr>
                <w:b/>
                <w:bCs/>
              </w:rPr>
              <w:t xml:space="preserve">ритонавир 100 </w:t>
            </w:r>
            <w:r>
              <w:rPr>
                <w:b/>
                <w:bCs/>
                <w:lang w:val="en-US"/>
              </w:rPr>
              <w:t xml:space="preserve">mg </w:t>
            </w:r>
            <w:r>
              <w:rPr>
                <w:b/>
                <w:bCs/>
              </w:rPr>
              <w:t>два пъти дневно, 7 дни</w:t>
            </w:r>
          </w:p>
        </w:tc>
        <w:tc>
          <w:tcPr>
            <w:tcW w:w="3098" w:type="dxa"/>
            <w:vAlign w:val="center"/>
          </w:tcPr>
          <w:p w14:paraId="0B681C99" w14:textId="2D1E9668" w:rsidR="00E84873" w:rsidRDefault="00E84873" w:rsidP="00E84873">
            <w:r>
              <w:rPr>
                <w:b/>
                <w:bCs/>
              </w:rPr>
              <w:t xml:space="preserve">10 </w:t>
            </w:r>
            <w:r>
              <w:rPr>
                <w:b/>
                <w:bCs/>
                <w:lang w:val="en-US"/>
              </w:rPr>
              <w:t xml:space="preserve">mg </w:t>
            </w:r>
            <w:r>
              <w:rPr>
                <w:b/>
                <w:bCs/>
              </w:rPr>
              <w:t>веднъж дневно, 7 дни</w:t>
            </w:r>
          </w:p>
        </w:tc>
        <w:tc>
          <w:tcPr>
            <w:tcW w:w="3098" w:type="dxa"/>
            <w:vAlign w:val="center"/>
          </w:tcPr>
          <w:p w14:paraId="341DC8DD" w14:textId="097CD07A" w:rsidR="00E84873" w:rsidRDefault="00E84873" w:rsidP="00E84873">
            <w:r>
              <w:rPr>
                <w:b/>
                <w:bCs/>
              </w:rPr>
              <w:t xml:space="preserve">1,5 пъти ↑ </w:t>
            </w:r>
          </w:p>
        </w:tc>
      </w:tr>
      <w:tr w:rsidR="00E84873" w14:paraId="46A676E4" w14:textId="77777777" w:rsidTr="00E84873">
        <w:tc>
          <w:tcPr>
            <w:tcW w:w="3154" w:type="dxa"/>
            <w:vAlign w:val="bottom"/>
          </w:tcPr>
          <w:p w14:paraId="145690BF" w14:textId="77777777" w:rsidR="00E84873" w:rsidRDefault="00E84873" w:rsidP="00E84873">
            <w:r>
              <w:rPr>
                <w:b/>
                <w:bCs/>
              </w:rPr>
              <w:t>Типранавир</w:t>
            </w:r>
            <w:r>
              <w:rPr>
                <w:b/>
                <w:bCs/>
              </w:rPr>
              <w:tab/>
              <w:t>500</w:t>
            </w:r>
            <w:r>
              <w:rPr>
                <w:b/>
                <w:bCs/>
              </w:rPr>
              <w:tab/>
            </w:r>
            <w:r>
              <w:rPr>
                <w:b/>
                <w:bCs/>
                <w:lang w:val="en-US"/>
              </w:rPr>
              <w:t>mg/</w:t>
            </w:r>
          </w:p>
          <w:p w14:paraId="6B6876C6" w14:textId="57FB9A3F" w:rsidR="00E84873" w:rsidRDefault="00E84873" w:rsidP="00E84873">
            <w:r>
              <w:rPr>
                <w:b/>
                <w:bCs/>
              </w:rPr>
              <w:t xml:space="preserve">ритонавир 200 </w:t>
            </w:r>
            <w:r>
              <w:rPr>
                <w:b/>
                <w:bCs/>
                <w:lang w:val="en-US"/>
              </w:rPr>
              <w:t xml:space="preserve">mg </w:t>
            </w:r>
            <w:r>
              <w:rPr>
                <w:b/>
                <w:bCs/>
              </w:rPr>
              <w:t>два пъти дневно, 11 дни</w:t>
            </w:r>
          </w:p>
        </w:tc>
        <w:tc>
          <w:tcPr>
            <w:tcW w:w="3098" w:type="dxa"/>
          </w:tcPr>
          <w:p w14:paraId="21A1699E" w14:textId="6A5938D4" w:rsidR="00E84873" w:rsidRDefault="00E84873" w:rsidP="00E84873">
            <w:r>
              <w:rPr>
                <w:b/>
                <w:bCs/>
              </w:rPr>
              <w:t xml:space="preserve">10 </w:t>
            </w:r>
            <w:r>
              <w:rPr>
                <w:b/>
                <w:bCs/>
                <w:lang w:val="en-US"/>
              </w:rPr>
              <w:t xml:space="preserve">mg, </w:t>
            </w:r>
            <w:r>
              <w:rPr>
                <w:b/>
                <w:bCs/>
              </w:rPr>
              <w:t>еднократна доза</w:t>
            </w:r>
          </w:p>
        </w:tc>
        <w:tc>
          <w:tcPr>
            <w:tcW w:w="3098" w:type="dxa"/>
          </w:tcPr>
          <w:p w14:paraId="485D843A" w14:textId="7BE603F7" w:rsidR="00E84873" w:rsidRDefault="00E84873" w:rsidP="00E84873">
            <w:r>
              <w:rPr>
                <w:b/>
                <w:bCs/>
              </w:rPr>
              <w:t xml:space="preserve">1,4 пъти ↑ </w:t>
            </w:r>
          </w:p>
        </w:tc>
      </w:tr>
      <w:tr w:rsidR="00E84873" w14:paraId="2FBD652E" w14:textId="77777777" w:rsidTr="00E84873">
        <w:tc>
          <w:tcPr>
            <w:tcW w:w="3154" w:type="dxa"/>
            <w:vAlign w:val="bottom"/>
          </w:tcPr>
          <w:p w14:paraId="7B2BF027" w14:textId="42330A99" w:rsidR="00E84873" w:rsidRDefault="00E84873" w:rsidP="00E84873">
            <w:r>
              <w:rPr>
                <w:b/>
                <w:bCs/>
              </w:rPr>
              <w:t xml:space="preserve">Дронедарон 400 </w:t>
            </w:r>
            <w:r>
              <w:rPr>
                <w:b/>
                <w:bCs/>
                <w:lang w:val="en-US"/>
              </w:rPr>
              <w:t xml:space="preserve">mg </w:t>
            </w:r>
            <w:r>
              <w:rPr>
                <w:b/>
                <w:bCs/>
              </w:rPr>
              <w:t>два пъти дневно</w:t>
            </w:r>
          </w:p>
        </w:tc>
        <w:tc>
          <w:tcPr>
            <w:tcW w:w="3098" w:type="dxa"/>
          </w:tcPr>
          <w:p w14:paraId="5FA8F483" w14:textId="3B2A70C4" w:rsidR="00E84873" w:rsidRDefault="00E84873" w:rsidP="00E84873">
            <w:r>
              <w:rPr>
                <w:b/>
                <w:bCs/>
              </w:rPr>
              <w:t>Не е налична</w:t>
            </w:r>
          </w:p>
        </w:tc>
        <w:tc>
          <w:tcPr>
            <w:tcW w:w="3098" w:type="dxa"/>
          </w:tcPr>
          <w:p w14:paraId="6FB9389A" w14:textId="6634D93B" w:rsidR="00E84873" w:rsidRDefault="00E84873" w:rsidP="00E84873">
            <w:r>
              <w:rPr>
                <w:b/>
                <w:bCs/>
              </w:rPr>
              <w:t xml:space="preserve">1,4 пъти ↑ </w:t>
            </w:r>
          </w:p>
        </w:tc>
      </w:tr>
      <w:tr w:rsidR="00E84873" w14:paraId="166746D0" w14:textId="77777777" w:rsidTr="00E84873">
        <w:tc>
          <w:tcPr>
            <w:tcW w:w="3154" w:type="dxa"/>
            <w:vAlign w:val="bottom"/>
          </w:tcPr>
          <w:p w14:paraId="0FDF6BA8" w14:textId="147E97F5" w:rsidR="00E84873" w:rsidRDefault="00E84873" w:rsidP="00E84873">
            <w:r>
              <w:rPr>
                <w:b/>
                <w:bCs/>
              </w:rPr>
              <w:t xml:space="preserve">Итраконазол 200 </w:t>
            </w:r>
            <w:r>
              <w:rPr>
                <w:b/>
                <w:bCs/>
                <w:lang w:val="en-US"/>
              </w:rPr>
              <w:t xml:space="preserve">mg </w:t>
            </w:r>
            <w:r>
              <w:rPr>
                <w:b/>
                <w:bCs/>
              </w:rPr>
              <w:t>веднъж дневно, 5 дни</w:t>
            </w:r>
          </w:p>
        </w:tc>
        <w:tc>
          <w:tcPr>
            <w:tcW w:w="3098" w:type="dxa"/>
          </w:tcPr>
          <w:p w14:paraId="0931CCA0" w14:textId="57985E94" w:rsidR="00E84873" w:rsidRDefault="00E84873" w:rsidP="00E84873">
            <w:r>
              <w:rPr>
                <w:b/>
                <w:bCs/>
              </w:rPr>
              <w:t xml:space="preserve">10 </w:t>
            </w:r>
            <w:r>
              <w:rPr>
                <w:b/>
                <w:bCs/>
                <w:lang w:val="en-US"/>
              </w:rPr>
              <w:t xml:space="preserve">mg, </w:t>
            </w:r>
            <w:r>
              <w:rPr>
                <w:b/>
                <w:bCs/>
              </w:rPr>
              <w:t>еднократна доза</w:t>
            </w:r>
          </w:p>
        </w:tc>
        <w:tc>
          <w:tcPr>
            <w:tcW w:w="3098" w:type="dxa"/>
          </w:tcPr>
          <w:p w14:paraId="5683B944" w14:textId="0B714609" w:rsidR="00E84873" w:rsidRDefault="00E84873" w:rsidP="00E84873">
            <w:r>
              <w:rPr>
                <w:b/>
                <w:bCs/>
              </w:rPr>
              <w:t xml:space="preserve">**1,4 пъти ↑ </w:t>
            </w:r>
          </w:p>
        </w:tc>
      </w:tr>
      <w:tr w:rsidR="00E84873" w14:paraId="3701B6F9" w14:textId="77777777" w:rsidTr="00E84873">
        <w:tc>
          <w:tcPr>
            <w:tcW w:w="3154" w:type="dxa"/>
            <w:vAlign w:val="bottom"/>
          </w:tcPr>
          <w:p w14:paraId="13145CA0" w14:textId="13987AD3" w:rsidR="00E84873" w:rsidRDefault="00E84873" w:rsidP="00E84873">
            <w:r>
              <w:rPr>
                <w:b/>
                <w:bCs/>
              </w:rPr>
              <w:t xml:space="preserve">Езитимиб 10 </w:t>
            </w:r>
            <w:r>
              <w:rPr>
                <w:b/>
                <w:bCs/>
                <w:lang w:val="en-US"/>
              </w:rPr>
              <w:t xml:space="preserve">mg </w:t>
            </w:r>
            <w:r>
              <w:rPr>
                <w:b/>
                <w:bCs/>
              </w:rPr>
              <w:t>веднъж дневно, 14 дни</w:t>
            </w:r>
          </w:p>
        </w:tc>
        <w:tc>
          <w:tcPr>
            <w:tcW w:w="3098" w:type="dxa"/>
          </w:tcPr>
          <w:p w14:paraId="0F322F68" w14:textId="5BACA2EE" w:rsidR="00E84873" w:rsidRDefault="00E84873" w:rsidP="00E84873">
            <w:r>
              <w:rPr>
                <w:b/>
                <w:bCs/>
              </w:rPr>
              <w:t xml:space="preserve">10 </w:t>
            </w:r>
            <w:r>
              <w:rPr>
                <w:b/>
                <w:bCs/>
                <w:lang w:val="en-US"/>
              </w:rPr>
              <w:t xml:space="preserve">mg, </w:t>
            </w:r>
            <w:r>
              <w:rPr>
                <w:b/>
                <w:bCs/>
              </w:rPr>
              <w:t>веднъж дневно, 14 дни</w:t>
            </w:r>
          </w:p>
        </w:tc>
        <w:tc>
          <w:tcPr>
            <w:tcW w:w="3098" w:type="dxa"/>
          </w:tcPr>
          <w:p w14:paraId="135174FD" w14:textId="08F359BC" w:rsidR="00E84873" w:rsidRDefault="00E84873" w:rsidP="00E84873">
            <w:r>
              <w:rPr>
                <w:b/>
                <w:bCs/>
              </w:rPr>
              <w:t xml:space="preserve">**1,2 пъти ↑ </w:t>
            </w:r>
          </w:p>
        </w:tc>
      </w:tr>
      <w:tr w:rsidR="00E84873" w14:paraId="4A1D153B" w14:textId="77777777" w:rsidTr="00E84873">
        <w:tc>
          <w:tcPr>
            <w:tcW w:w="9350" w:type="dxa"/>
            <w:gridSpan w:val="3"/>
          </w:tcPr>
          <w:p w14:paraId="0674CE5A" w14:textId="77777777" w:rsidR="00E84873" w:rsidRDefault="00E84873" w:rsidP="0091385D"/>
        </w:tc>
      </w:tr>
      <w:tr w:rsidR="00E84873" w14:paraId="7F4B25C9" w14:textId="77777777" w:rsidTr="00E84873">
        <w:trPr>
          <w:trHeight w:val="820"/>
        </w:trPr>
        <w:tc>
          <w:tcPr>
            <w:tcW w:w="3154" w:type="dxa"/>
            <w:vAlign w:val="bottom"/>
          </w:tcPr>
          <w:p w14:paraId="02C07783"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044E356C" w14:textId="77777777" w:rsidR="00E84873" w:rsidRPr="00E84873" w:rsidRDefault="00E84873" w:rsidP="00E84873">
            <w:r w:rsidRPr="00E84873">
              <w:rPr>
                <w:b/>
                <w:bCs/>
                <w:i/>
                <w:iCs/>
              </w:rPr>
              <w:t>взаимодействащото</w:t>
            </w:r>
          </w:p>
          <w:p w14:paraId="58C45DA9" w14:textId="476430D3" w:rsidR="00E84873" w:rsidRPr="00E84873" w:rsidRDefault="00E84873" w:rsidP="00E84873">
            <w:r>
              <w:rPr>
                <w:b/>
                <w:bCs/>
                <w:i/>
                <w:iCs/>
              </w:rPr>
              <w:t>лекарство</w:t>
            </w:r>
          </w:p>
        </w:tc>
        <w:tc>
          <w:tcPr>
            <w:tcW w:w="3098" w:type="dxa"/>
            <w:vAlign w:val="bottom"/>
          </w:tcPr>
          <w:p w14:paraId="4A81C394" w14:textId="77777777" w:rsidR="00E84873" w:rsidRPr="00E84873" w:rsidRDefault="00E84873" w:rsidP="00E84873">
            <w:r w:rsidRPr="00E84873">
              <w:rPr>
                <w:b/>
                <w:bCs/>
                <w:i/>
                <w:iCs/>
              </w:rPr>
              <w:t>Дозов</w:t>
            </w:r>
            <w:r w:rsidRPr="00E84873">
              <w:rPr>
                <w:b/>
                <w:bCs/>
                <w:i/>
                <w:iCs/>
              </w:rPr>
              <w:tab/>
              <w:t>режим</w:t>
            </w:r>
            <w:r w:rsidRPr="00E84873">
              <w:rPr>
                <w:b/>
                <w:bCs/>
                <w:i/>
                <w:iCs/>
              </w:rPr>
              <w:tab/>
              <w:t>на</w:t>
            </w:r>
          </w:p>
          <w:p w14:paraId="004A0573" w14:textId="6F38D097" w:rsidR="00E84873" w:rsidRPr="00E84873" w:rsidRDefault="00E84873" w:rsidP="00E84873">
            <w:r w:rsidRPr="00E84873">
              <w:rPr>
                <w:b/>
                <w:bCs/>
                <w:i/>
                <w:iCs/>
              </w:rPr>
              <w:t>розувастатин,</w:t>
            </w:r>
          </w:p>
        </w:tc>
        <w:tc>
          <w:tcPr>
            <w:tcW w:w="3098" w:type="dxa"/>
            <w:vAlign w:val="bottom"/>
          </w:tcPr>
          <w:p w14:paraId="71A72A29" w14:textId="77777777" w:rsidR="00E84873" w:rsidRPr="00E84873" w:rsidRDefault="00E84873" w:rsidP="00E84873">
            <w:r w:rsidRPr="00E84873">
              <w:rPr>
                <w:b/>
                <w:bCs/>
                <w:i/>
                <w:iCs/>
              </w:rPr>
              <w:t>Промяна на</w:t>
            </w:r>
            <w:r w:rsidRPr="00E84873">
              <w:rPr>
                <w:b/>
                <w:bCs/>
                <w:i/>
                <w:iCs/>
                <w:lang w:val="en-US"/>
              </w:rPr>
              <w:t xml:space="preserve"> AUC </w:t>
            </w:r>
            <w:r w:rsidRPr="00E84873">
              <w:rPr>
                <w:b/>
                <w:bCs/>
                <w:i/>
                <w:iCs/>
              </w:rPr>
              <w:t>на</w:t>
            </w:r>
          </w:p>
          <w:p w14:paraId="32BFB337" w14:textId="35096A18" w:rsidR="00E84873" w:rsidRPr="00E84873" w:rsidRDefault="00E84873" w:rsidP="00E84873">
            <w:r w:rsidRPr="00E84873">
              <w:rPr>
                <w:b/>
                <w:bCs/>
                <w:i/>
                <w:iCs/>
              </w:rPr>
              <w:t>розувастатин</w:t>
            </w:r>
          </w:p>
        </w:tc>
      </w:tr>
      <w:tr w:rsidR="00E84873" w14:paraId="1A02FA9E" w14:textId="77777777" w:rsidTr="00E84873">
        <w:tc>
          <w:tcPr>
            <w:tcW w:w="3154" w:type="dxa"/>
          </w:tcPr>
          <w:p w14:paraId="7011A6FA" w14:textId="2BB0443B" w:rsidR="00E84873" w:rsidRDefault="00E84873" w:rsidP="00E84873">
            <w:r>
              <w:rPr>
                <w:b/>
                <w:bCs/>
              </w:rPr>
              <w:t xml:space="preserve">Еритромицин 500 </w:t>
            </w:r>
            <w:r>
              <w:rPr>
                <w:b/>
                <w:bCs/>
                <w:lang w:val="en-US"/>
              </w:rPr>
              <w:t xml:space="preserve">mg </w:t>
            </w:r>
            <w:r>
              <w:rPr>
                <w:b/>
                <w:bCs/>
              </w:rPr>
              <w:t>четири пъти дневно, 7 дни</w:t>
            </w:r>
          </w:p>
        </w:tc>
        <w:tc>
          <w:tcPr>
            <w:tcW w:w="3098" w:type="dxa"/>
          </w:tcPr>
          <w:p w14:paraId="703FC7CB" w14:textId="24364F8C" w:rsidR="00E84873" w:rsidRDefault="00E84873" w:rsidP="00E84873">
            <w:r>
              <w:rPr>
                <w:b/>
                <w:bCs/>
              </w:rPr>
              <w:t xml:space="preserve">80 </w:t>
            </w:r>
            <w:r>
              <w:rPr>
                <w:b/>
                <w:bCs/>
                <w:lang w:val="en-US"/>
              </w:rPr>
              <w:t xml:space="preserve">mg, </w:t>
            </w:r>
            <w:r>
              <w:rPr>
                <w:b/>
                <w:bCs/>
              </w:rPr>
              <w:t>еднократна доза</w:t>
            </w:r>
          </w:p>
        </w:tc>
        <w:tc>
          <w:tcPr>
            <w:tcW w:w="3098" w:type="dxa"/>
          </w:tcPr>
          <w:p w14:paraId="59E0A411" w14:textId="5296659B" w:rsidR="00E84873" w:rsidRDefault="00E84873" w:rsidP="00E84873">
            <w:r>
              <w:rPr>
                <w:b/>
                <w:bCs/>
              </w:rPr>
              <w:t>20% ↓</w:t>
            </w:r>
          </w:p>
        </w:tc>
      </w:tr>
      <w:tr w:rsidR="00E84873" w14:paraId="66E3A2C9" w14:textId="77777777" w:rsidTr="00E84873">
        <w:tc>
          <w:tcPr>
            <w:tcW w:w="3154" w:type="dxa"/>
          </w:tcPr>
          <w:p w14:paraId="7F553C16" w14:textId="6EC4CA8A" w:rsidR="00E84873" w:rsidRDefault="00E84873" w:rsidP="00E84873">
            <w:r>
              <w:rPr>
                <w:b/>
                <w:bCs/>
              </w:rPr>
              <w:t xml:space="preserve">Баикалин 50 </w:t>
            </w:r>
            <w:r>
              <w:rPr>
                <w:b/>
                <w:bCs/>
                <w:lang w:val="en-US"/>
              </w:rPr>
              <w:t xml:space="preserve">mg </w:t>
            </w:r>
            <w:r>
              <w:rPr>
                <w:b/>
                <w:bCs/>
              </w:rPr>
              <w:t>три пъти дневно, 14 дни</w:t>
            </w:r>
          </w:p>
        </w:tc>
        <w:tc>
          <w:tcPr>
            <w:tcW w:w="3098" w:type="dxa"/>
          </w:tcPr>
          <w:p w14:paraId="03EF1D25" w14:textId="0E9B0B2B" w:rsidR="00E84873" w:rsidRDefault="00E84873" w:rsidP="00E84873">
            <w:r>
              <w:rPr>
                <w:b/>
                <w:bCs/>
              </w:rPr>
              <w:t xml:space="preserve">20 </w:t>
            </w:r>
            <w:r>
              <w:rPr>
                <w:b/>
                <w:bCs/>
                <w:lang w:val="en-US"/>
              </w:rPr>
              <w:t xml:space="preserve">mg, </w:t>
            </w:r>
            <w:r>
              <w:rPr>
                <w:b/>
                <w:bCs/>
              </w:rPr>
              <w:t>еднократна доза</w:t>
            </w:r>
          </w:p>
        </w:tc>
        <w:tc>
          <w:tcPr>
            <w:tcW w:w="3098" w:type="dxa"/>
          </w:tcPr>
          <w:p w14:paraId="073DBF61" w14:textId="6D082DFC" w:rsidR="00E84873" w:rsidRDefault="00E84873" w:rsidP="00E84873">
            <w:r>
              <w:rPr>
                <w:b/>
                <w:bCs/>
              </w:rPr>
              <w:t>47% ↓</w:t>
            </w:r>
          </w:p>
        </w:tc>
      </w:tr>
      <w:tr w:rsidR="00E84873" w14:paraId="3F8ED23B" w14:textId="77777777" w:rsidTr="00E84873">
        <w:tc>
          <w:tcPr>
            <w:tcW w:w="9350" w:type="dxa"/>
            <w:gridSpan w:val="3"/>
          </w:tcPr>
          <w:p w14:paraId="70E94DDB" w14:textId="77777777" w:rsidR="00E84873" w:rsidRPr="00E84873" w:rsidRDefault="00E84873" w:rsidP="00E84873">
            <w:pPr>
              <w:spacing w:line="240" w:lineRule="auto"/>
              <w:rPr>
                <w:rFonts w:eastAsia="Times New Roman" w:cs="Arial"/>
                <w:lang w:eastAsia="bg-BG"/>
              </w:rPr>
            </w:pPr>
            <w:r w:rsidRPr="00E84873">
              <w:rPr>
                <w:rFonts w:eastAsia="Times New Roman" w:cs="Arial"/>
                <w:b/>
                <w:bCs/>
                <w:color w:val="000000"/>
                <w:lang w:eastAsia="bg-BG"/>
              </w:rPr>
              <w:t>* Данните, посочени като х пъти промяна, представят просто съотношение между съвместно приложение и самостоятелно приложение на розувастатин. Данните, посочени като % представят процента разлика, отнесена към самостоятелно приложение на розувастатин.</w:t>
            </w:r>
          </w:p>
          <w:p w14:paraId="415CC4EB" w14:textId="77777777" w:rsidR="00E84873" w:rsidRPr="00E84873" w:rsidRDefault="00E84873" w:rsidP="00E84873">
            <w:pPr>
              <w:spacing w:line="240" w:lineRule="auto"/>
              <w:rPr>
                <w:rFonts w:eastAsia="Times New Roman" w:cs="Arial"/>
                <w:lang w:eastAsia="bg-BG"/>
              </w:rPr>
            </w:pPr>
            <w:r w:rsidRPr="00E84873">
              <w:rPr>
                <w:rFonts w:eastAsia="Times New Roman" w:cs="Arial"/>
                <w:b/>
                <w:bCs/>
                <w:color w:val="000000"/>
                <w:lang w:eastAsia="bg-BG"/>
              </w:rPr>
              <w:t>Повишението е представено чрез "</w:t>
            </w:r>
            <w:r w:rsidRPr="00E84873">
              <w:rPr>
                <w:rFonts w:eastAsia="Times New Roman" w:cs="Arial"/>
                <w:b/>
                <w:bCs/>
                <w:color w:val="000000"/>
                <w:lang w:val="en-US"/>
              </w:rPr>
              <w:t>↑</w:t>
            </w:r>
            <w:r w:rsidRPr="00E84873">
              <w:rPr>
                <w:rFonts w:eastAsia="Times New Roman" w:cs="Arial"/>
                <w:b/>
                <w:bCs/>
                <w:color w:val="000000"/>
                <w:lang w:eastAsia="bg-BG"/>
              </w:rPr>
              <w:t>"</w:t>
            </w:r>
            <w:r w:rsidRPr="00E84873">
              <w:rPr>
                <w:rFonts w:eastAsia="Times New Roman" w:cs="Arial"/>
                <w:b/>
                <w:bCs/>
                <w:color w:val="000000"/>
                <w:lang w:val="en-US"/>
              </w:rPr>
              <w:t xml:space="preserve"> </w:t>
            </w:r>
            <w:r w:rsidRPr="00E84873">
              <w:rPr>
                <w:rFonts w:eastAsia="Times New Roman" w:cs="Arial"/>
                <w:b/>
                <w:bCs/>
                <w:color w:val="000000"/>
                <w:lang w:eastAsia="bg-BG"/>
              </w:rPr>
              <w:t>дюнижението чрез “↓”.</w:t>
            </w:r>
          </w:p>
          <w:p w14:paraId="1EFB36AD" w14:textId="77777777" w:rsidR="00E84873" w:rsidRPr="00E84873" w:rsidRDefault="00E84873" w:rsidP="00E84873">
            <w:pPr>
              <w:spacing w:line="240" w:lineRule="auto"/>
              <w:rPr>
                <w:rFonts w:eastAsia="Times New Roman" w:cs="Arial"/>
                <w:lang w:eastAsia="bg-BG"/>
              </w:rPr>
            </w:pPr>
            <w:r w:rsidRPr="00E84873">
              <w:rPr>
                <w:rFonts w:eastAsia="Times New Roman" w:cs="Arial"/>
                <w:b/>
                <w:bCs/>
                <w:color w:val="000000"/>
                <w:lang w:eastAsia="bg-BG"/>
              </w:rPr>
              <w:t>**Няколко проучвания за взаимодействие са проведени с различни дози розувастатин, таблицата представя най-значимото съотношение.</w:t>
            </w:r>
          </w:p>
          <w:p w14:paraId="6C742A7C" w14:textId="266D5361" w:rsidR="00E84873" w:rsidRDefault="00E84873" w:rsidP="00E84873">
            <w:r w:rsidRPr="00E84873">
              <w:rPr>
                <w:rFonts w:eastAsia="Times New Roman" w:cs="Arial"/>
                <w:b/>
                <w:bCs/>
                <w:color w:val="000000"/>
                <w:lang w:val="en-US"/>
              </w:rPr>
              <w:t xml:space="preserve">AUC= </w:t>
            </w:r>
            <w:r w:rsidRPr="00E84873">
              <w:rPr>
                <w:rFonts w:eastAsia="Times New Roman" w:cs="Arial"/>
                <w:b/>
                <w:bCs/>
                <w:color w:val="000000"/>
                <w:lang w:eastAsia="bg-BG"/>
              </w:rPr>
              <w:t>площпод кривата</w:t>
            </w:r>
          </w:p>
        </w:tc>
      </w:tr>
    </w:tbl>
    <w:p w14:paraId="5B2761C5" w14:textId="78375B0D" w:rsidR="0091385D" w:rsidRDefault="0091385D" w:rsidP="0091385D"/>
    <w:p w14:paraId="04A8878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 xml:space="preserve">Следните лекарствени </w:t>
      </w:r>
      <w:r w:rsidRPr="00E84873">
        <w:rPr>
          <w:rFonts w:eastAsia="Times New Roman" w:cs="Arial"/>
          <w:b/>
          <w:bCs/>
          <w:smallCaps/>
          <w:color w:val="000000"/>
          <w:u w:val="single"/>
          <w:lang w:eastAsia="bg-BG"/>
        </w:rPr>
        <w:t>продукти/</w:t>
      </w:r>
      <w:r w:rsidRPr="00E84873">
        <w:rPr>
          <w:rFonts w:eastAsia="Times New Roman" w:cs="Arial"/>
          <w:b/>
          <w:bCs/>
          <w:color w:val="000000"/>
          <w:u w:val="single"/>
          <w:lang w:eastAsia="bg-BG"/>
        </w:rPr>
        <w:t xml:space="preserve"> комбинации не оказват клинично значим ефект върху </w:t>
      </w:r>
      <w:r w:rsidRPr="00E84873">
        <w:rPr>
          <w:rFonts w:eastAsia="Times New Roman" w:cs="Arial"/>
          <w:b/>
          <w:bCs/>
          <w:color w:val="000000"/>
          <w:u w:val="single"/>
          <w:lang w:val="en-US"/>
        </w:rPr>
        <w:t xml:space="preserve">AUC </w:t>
      </w:r>
      <w:r w:rsidRPr="00E84873">
        <w:rPr>
          <w:rFonts w:eastAsia="Times New Roman" w:cs="Arial"/>
          <w:b/>
          <w:bCs/>
          <w:color w:val="000000"/>
          <w:u w:val="single"/>
          <w:lang w:eastAsia="bg-BG"/>
        </w:rPr>
        <w:t xml:space="preserve">на розувастатин при едновременно приложение: Алеглитазар 0.3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приложение за 7 дни: ФеноФибоат 67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7 дни приложение три пъти дневно: Флуконазол 200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11 дни приложение веднъж дневно: Фозампренавир 700 </w:t>
      </w:r>
      <w:r w:rsidRPr="00E84873">
        <w:rPr>
          <w:rFonts w:eastAsia="Times New Roman" w:cs="Arial"/>
          <w:b/>
          <w:bCs/>
          <w:i/>
          <w:iCs/>
          <w:color w:val="000000"/>
          <w:u w:val="single"/>
          <w:lang w:eastAsia="bg-BG"/>
        </w:rPr>
        <w:t>те/</w:t>
      </w:r>
      <w:r w:rsidRPr="00E84873">
        <w:rPr>
          <w:rFonts w:eastAsia="Times New Roman" w:cs="Arial"/>
          <w:b/>
          <w:bCs/>
          <w:color w:val="000000"/>
          <w:u w:val="single"/>
          <w:lang w:eastAsia="bg-BG"/>
        </w:rPr>
        <w:t xml:space="preserve"> ритонавир 100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 xml:space="preserve">8 дни приложение два пъти дневно: Кетоконазол 200 </w:t>
      </w:r>
      <w:r w:rsidRPr="00E84873">
        <w:rPr>
          <w:rFonts w:eastAsia="Times New Roman" w:cs="Arial"/>
          <w:b/>
          <w:bCs/>
          <w:color w:val="000000"/>
          <w:u w:val="single"/>
          <w:lang w:val="en-US"/>
        </w:rPr>
        <w:t xml:space="preserve">me </w:t>
      </w:r>
      <w:r w:rsidRPr="00E84873">
        <w:rPr>
          <w:rFonts w:eastAsia="Times New Roman" w:cs="Arial"/>
          <w:b/>
          <w:bCs/>
          <w:color w:val="000000"/>
          <w:u w:val="single"/>
          <w:lang w:eastAsia="bg-BG"/>
        </w:rPr>
        <w:t xml:space="preserve">7 дни приложение два пъти дневно: Рифампин 450 тя 7 дни приложение веднъж дневно: Силимаоин 140 </w:t>
      </w:r>
      <w:r w:rsidRPr="00E84873">
        <w:rPr>
          <w:rFonts w:eastAsia="Times New Roman" w:cs="Arial"/>
          <w:b/>
          <w:bCs/>
          <w:color w:val="000000"/>
          <w:u w:val="single"/>
          <w:lang w:val="en-US"/>
        </w:rPr>
        <w:t xml:space="preserve">mg </w:t>
      </w:r>
      <w:r w:rsidRPr="00E84873">
        <w:rPr>
          <w:rFonts w:eastAsia="Times New Roman" w:cs="Arial"/>
          <w:b/>
          <w:bCs/>
          <w:color w:val="000000"/>
          <w:u w:val="single"/>
          <w:lang w:eastAsia="bg-BG"/>
        </w:rPr>
        <w:t>5 дни приложение три пъти дневно.</w:t>
      </w:r>
    </w:p>
    <w:p w14:paraId="37F7A361" w14:textId="77777777" w:rsidR="00E84873" w:rsidRPr="00E84873" w:rsidRDefault="00E84873" w:rsidP="00E84873">
      <w:pPr>
        <w:spacing w:line="240" w:lineRule="auto"/>
        <w:rPr>
          <w:rFonts w:eastAsia="Times New Roman" w:cs="Arial"/>
          <w:b/>
          <w:bCs/>
          <w:color w:val="000000"/>
          <w:u w:val="single"/>
          <w:lang w:eastAsia="bg-BG"/>
        </w:rPr>
      </w:pPr>
    </w:p>
    <w:p w14:paraId="5062E3C2" w14:textId="6FDE2328"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Ефект на розувастатин върху съвместно приеманите лекарствени продукти</w:t>
      </w:r>
    </w:p>
    <w:p w14:paraId="7CC87465"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lastRenderedPageBreak/>
        <w:t>Антагонисти на витамин К:</w:t>
      </w:r>
      <w:r w:rsidRPr="00E84873">
        <w:rPr>
          <w:rFonts w:eastAsia="Times New Roman" w:cs="Arial"/>
          <w:b/>
          <w:bCs/>
          <w:color w:val="000000"/>
          <w:lang w:eastAsia="bg-BG"/>
        </w:rPr>
        <w:t xml:space="preserve"> Както </w:t>
      </w:r>
      <w:r w:rsidRPr="00E84873">
        <w:rPr>
          <w:rFonts w:eastAsia="Times New Roman" w:cs="Arial"/>
          <w:b/>
          <w:bCs/>
          <w:i/>
          <w:iCs/>
          <w:color w:val="000000"/>
          <w:lang w:eastAsia="bg-BG"/>
        </w:rPr>
        <w:t>и при</w:t>
      </w:r>
      <w:r w:rsidRPr="00E84873">
        <w:rPr>
          <w:rFonts w:eastAsia="Times New Roman" w:cs="Arial"/>
          <w:b/>
          <w:bCs/>
          <w:color w:val="000000"/>
          <w:lang w:eastAsia="bg-BG"/>
        </w:rPr>
        <w:t xml:space="preserve"> другите </w:t>
      </w:r>
      <w:r w:rsidRPr="00E84873">
        <w:rPr>
          <w:rFonts w:eastAsia="Times New Roman" w:cs="Arial"/>
          <w:b/>
          <w:bCs/>
          <w:color w:val="000000"/>
          <w:lang w:val="en-US"/>
        </w:rPr>
        <w:t xml:space="preserve">HMG-CoA </w:t>
      </w:r>
      <w:r w:rsidRPr="00E84873">
        <w:rPr>
          <w:rFonts w:eastAsia="Times New Roman" w:cs="Arial"/>
          <w:b/>
          <w:bCs/>
          <w:color w:val="000000"/>
          <w:lang w:eastAsia="bg-BG"/>
        </w:rPr>
        <w:t xml:space="preserve">редуктазни инхибитори, започването на лечение или титрирането на дозата розувастатин при пациенти, които приемат съвместно антагонисти на витамин К (като варфарин или други кумаринови антикоагуланти) може да има за резултат повишение на </w:t>
      </w:r>
      <w:r w:rsidRPr="00E84873">
        <w:rPr>
          <w:rFonts w:eastAsia="Times New Roman" w:cs="Arial"/>
          <w:b/>
          <w:bCs/>
          <w:color w:val="000000"/>
          <w:lang w:val="en-US"/>
        </w:rPr>
        <w:t xml:space="preserve">INR. </w:t>
      </w:r>
      <w:r w:rsidRPr="00E84873">
        <w:rPr>
          <w:rFonts w:eastAsia="Times New Roman" w:cs="Arial"/>
          <w:b/>
          <w:bCs/>
          <w:color w:val="000000"/>
          <w:lang w:eastAsia="bg-BG"/>
        </w:rPr>
        <w:t xml:space="preserve">Преустановяването или намаляването на дозата РОВАСТА може да има за резултат понижаване на </w:t>
      </w:r>
      <w:r w:rsidRPr="00E84873">
        <w:rPr>
          <w:rFonts w:eastAsia="Times New Roman" w:cs="Arial"/>
          <w:b/>
          <w:bCs/>
          <w:color w:val="000000"/>
          <w:lang w:val="en-US"/>
        </w:rPr>
        <w:t xml:space="preserve">INR. </w:t>
      </w:r>
      <w:r w:rsidRPr="00E84873">
        <w:rPr>
          <w:rFonts w:eastAsia="Times New Roman" w:cs="Arial"/>
          <w:b/>
          <w:bCs/>
          <w:color w:val="000000"/>
          <w:lang w:eastAsia="bg-BG"/>
        </w:rPr>
        <w:t xml:space="preserve">В подобни ситуации е необходимо подходящо проследяване на </w:t>
      </w:r>
      <w:r w:rsidRPr="00E84873">
        <w:rPr>
          <w:rFonts w:eastAsia="Times New Roman" w:cs="Arial"/>
          <w:b/>
          <w:bCs/>
          <w:color w:val="000000"/>
          <w:lang w:val="en-US"/>
        </w:rPr>
        <w:t>INR.</w:t>
      </w:r>
    </w:p>
    <w:p w14:paraId="3160F685" w14:textId="77777777" w:rsidR="00E84873" w:rsidRPr="00E84873" w:rsidRDefault="00E84873" w:rsidP="00E84873">
      <w:pPr>
        <w:spacing w:line="240" w:lineRule="auto"/>
        <w:rPr>
          <w:rFonts w:eastAsia="Times New Roman" w:cs="Arial"/>
          <w:b/>
          <w:bCs/>
          <w:i/>
          <w:iCs/>
          <w:color w:val="000000"/>
          <w:lang w:eastAsia="bg-BG"/>
        </w:rPr>
      </w:pPr>
    </w:p>
    <w:p w14:paraId="31264E9D" w14:textId="7153A800"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Перорални контрацептиви/ хормонозаместителна терапия:</w:t>
      </w:r>
      <w:r w:rsidRPr="00E84873">
        <w:rPr>
          <w:rFonts w:eastAsia="Times New Roman" w:cs="Arial"/>
          <w:b/>
          <w:bCs/>
          <w:color w:val="000000"/>
          <w:lang w:eastAsia="bg-BG"/>
        </w:rPr>
        <w:t xml:space="preserve"> Съвместното приложение на розувастатин и перорални контрацептиви има за резултат повишение на </w:t>
      </w:r>
      <w:r w:rsidRPr="00E84873">
        <w:rPr>
          <w:rFonts w:eastAsia="Times New Roman" w:cs="Arial"/>
          <w:b/>
          <w:bCs/>
          <w:color w:val="000000"/>
          <w:lang w:val="en-US"/>
        </w:rPr>
        <w:t xml:space="preserve">AUC </w:t>
      </w:r>
      <w:r w:rsidRPr="00E84873">
        <w:rPr>
          <w:rFonts w:eastAsia="Times New Roman" w:cs="Arial"/>
          <w:b/>
          <w:bCs/>
          <w:color w:val="000000"/>
          <w:lang w:eastAsia="bg-BG"/>
        </w:rPr>
        <w:t>на етинил естрадиол и норгестрел съответно с 26% и 34%. Тези повишени плазмени нива трябва да се вземат предвид, когато се избира дозата на пероралния конрацептив. Няма налични фармакокинетични данни при субекти, които приемат съвместно розувастатин и хормонозаместителна терапия и поради тази причина, подобни ефекти не могат да бъдат изключени. Въпреки това, комбинацията е била широко използвана при жени при клиничните проучвания и е толерирана добре.</w:t>
      </w:r>
    </w:p>
    <w:p w14:paraId="6DAF18B4" w14:textId="77777777" w:rsidR="00E84873" w:rsidRPr="00E84873" w:rsidRDefault="00E84873" w:rsidP="00E84873">
      <w:pPr>
        <w:spacing w:line="240" w:lineRule="auto"/>
        <w:rPr>
          <w:rFonts w:eastAsia="Times New Roman" w:cs="Arial"/>
          <w:b/>
          <w:bCs/>
          <w:i/>
          <w:iCs/>
          <w:color w:val="000000"/>
          <w:lang w:eastAsia="bg-BG"/>
        </w:rPr>
      </w:pPr>
    </w:p>
    <w:p w14:paraId="25A2A3B2" w14:textId="7E390CDB"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Други лекарствени продукти:</w:t>
      </w:r>
    </w:p>
    <w:p w14:paraId="6B6EA227"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Дигоксин:</w:t>
      </w:r>
      <w:r w:rsidRPr="00E84873">
        <w:rPr>
          <w:rFonts w:eastAsia="Times New Roman" w:cs="Arial"/>
          <w:b/>
          <w:bCs/>
          <w:color w:val="000000"/>
          <w:lang w:eastAsia="bg-BG"/>
        </w:rPr>
        <w:t xml:space="preserve"> Въз основа на данните от специфични проучвания за взаимодействие не се очаква клинично значимо взаимодействие с дигоксин.</w:t>
      </w:r>
    </w:p>
    <w:p w14:paraId="0E4F9EBE"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i/>
          <w:iCs/>
          <w:color w:val="000000"/>
          <w:lang w:eastAsia="bg-BG"/>
        </w:rPr>
        <w:t>Фузидова киселина:</w:t>
      </w:r>
      <w:r w:rsidRPr="00E84873">
        <w:rPr>
          <w:rFonts w:eastAsia="Times New Roman" w:cs="Arial"/>
          <w:b/>
          <w:bCs/>
          <w:color w:val="000000"/>
          <w:lang w:eastAsia="bg-BG"/>
        </w:rPr>
        <w:t xml:space="preserve"> Рискът от миопатия, включително рабдомиолиза, може да бъде повишен при съвместна употреба на фузидова киселина за системно приложение и статини. Механизмът на това взаимодействие (независимо дали е фармакокинетично, фармакодинамично или и двете) все още не е известен. Съобщавани са случаи на рабдомиолиза (включително и фатални) при пациенти, приемали комбинацията.</w:t>
      </w:r>
    </w:p>
    <w:p w14:paraId="678F4438" w14:textId="77777777" w:rsidR="00E84873" w:rsidRPr="00E84873" w:rsidRDefault="00E84873" w:rsidP="00E84873">
      <w:pPr>
        <w:rPr>
          <w:rFonts w:eastAsia="Times New Roman" w:cs="Arial"/>
          <w:b/>
          <w:bCs/>
          <w:color w:val="000000"/>
          <w:lang w:eastAsia="bg-BG"/>
        </w:rPr>
      </w:pPr>
    </w:p>
    <w:p w14:paraId="7EAD00CC" w14:textId="32437ECE" w:rsidR="007B364E" w:rsidRPr="00E84873" w:rsidRDefault="00E84873" w:rsidP="00E84873">
      <w:pPr>
        <w:rPr>
          <w:rFonts w:eastAsia="Times New Roman" w:cs="Arial"/>
          <w:b/>
          <w:bCs/>
          <w:color w:val="000000"/>
          <w:lang w:eastAsia="bg-BG"/>
        </w:rPr>
      </w:pPr>
      <w:r w:rsidRPr="00E84873">
        <w:rPr>
          <w:rFonts w:eastAsia="Times New Roman" w:cs="Arial"/>
          <w:b/>
          <w:bCs/>
          <w:color w:val="000000"/>
          <w:lang w:eastAsia="bg-BG"/>
        </w:rPr>
        <w:t>Ако приемът на фузидова киселина за системно приложение е необходим, лечението Медостатин трябва да бъде преустановено по време на лечението с фузидова киселина. Вижте също точка 4.4.</w:t>
      </w:r>
    </w:p>
    <w:p w14:paraId="62647203" w14:textId="4276BA60" w:rsidR="00E84873" w:rsidRPr="00E84873" w:rsidRDefault="00E84873" w:rsidP="00E84873">
      <w:pPr>
        <w:rPr>
          <w:rFonts w:eastAsia="Times New Roman" w:cs="Arial"/>
          <w:b/>
          <w:bCs/>
          <w:color w:val="000000"/>
          <w:lang w:eastAsia="bg-BG"/>
        </w:rPr>
      </w:pPr>
    </w:p>
    <w:p w14:paraId="3407680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Педиатрична популапия</w:t>
      </w:r>
    </w:p>
    <w:p w14:paraId="5FD8D42F" w14:textId="1B2D8CC9" w:rsidR="00E84873" w:rsidRPr="00E84873" w:rsidRDefault="00E84873" w:rsidP="00E84873">
      <w:pPr>
        <w:rPr>
          <w:rFonts w:cs="Arial"/>
        </w:rPr>
      </w:pPr>
      <w:r w:rsidRPr="00E84873">
        <w:rPr>
          <w:rFonts w:eastAsia="Times New Roman" w:cs="Arial"/>
          <w:b/>
          <w:bCs/>
          <w:color w:val="000000"/>
          <w:lang w:eastAsia="bg-BG"/>
        </w:rPr>
        <w:t>Проучвания за взаимодействие са провеждани само при възрастни. Степента на взаимодействия в педиатричната популация не е известна.</w:t>
      </w:r>
    </w:p>
    <w:p w14:paraId="4E0779D4" w14:textId="77777777" w:rsidR="00E84873" w:rsidRPr="0091385D" w:rsidRDefault="00E84873"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0EC7AB95"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РОВАСТА е противопоказан при бременност и кърмене.</w:t>
      </w:r>
    </w:p>
    <w:p w14:paraId="1E0BC117" w14:textId="77777777" w:rsidR="00E84873" w:rsidRPr="00E84873" w:rsidRDefault="00E84873" w:rsidP="00E84873">
      <w:pPr>
        <w:spacing w:line="240" w:lineRule="auto"/>
        <w:rPr>
          <w:rFonts w:eastAsia="Times New Roman" w:cs="Arial"/>
          <w:b/>
          <w:bCs/>
          <w:color w:val="000000"/>
          <w:u w:val="single"/>
          <w:lang w:eastAsia="bg-BG"/>
        </w:rPr>
      </w:pPr>
    </w:p>
    <w:p w14:paraId="1D0E2868" w14:textId="09BFCC42" w:rsidR="00E84873" w:rsidRPr="00BA0164" w:rsidRDefault="00E84873" w:rsidP="00E84873">
      <w:pPr>
        <w:pStyle w:val="Heading3"/>
        <w:rPr>
          <w:rFonts w:eastAsia="Times New Roman"/>
          <w:b/>
          <w:u w:val="single"/>
          <w:lang w:eastAsia="bg-BG"/>
        </w:rPr>
      </w:pPr>
      <w:r w:rsidRPr="00BA0164">
        <w:rPr>
          <w:rFonts w:eastAsia="Times New Roman"/>
          <w:b/>
          <w:u w:val="single"/>
          <w:lang w:eastAsia="bg-BG"/>
        </w:rPr>
        <w:t>Бременност</w:t>
      </w:r>
    </w:p>
    <w:p w14:paraId="4330D6E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Жените с детероден потенциал трябва да използват подходящи методи за контрацепция.</w:t>
      </w:r>
    </w:p>
    <w:p w14:paraId="43B038F3"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Тъй като холестеролът и другите продукти на холестерол биосинтеза са важни за развитието на фетуса, потенциалният риск от инхибиране на </w:t>
      </w:r>
      <w:r w:rsidRPr="00E84873">
        <w:rPr>
          <w:rFonts w:eastAsia="Times New Roman" w:cs="Arial"/>
          <w:b/>
          <w:bCs/>
          <w:color w:val="000000"/>
          <w:lang w:val="en-US"/>
        </w:rPr>
        <w:t xml:space="preserve">HMG-CoA </w:t>
      </w:r>
      <w:r w:rsidRPr="00E84873">
        <w:rPr>
          <w:rFonts w:eastAsia="Times New Roman" w:cs="Arial"/>
          <w:b/>
          <w:bCs/>
          <w:color w:val="000000"/>
          <w:lang w:eastAsia="bg-BG"/>
        </w:rPr>
        <w:t>редуктазата е по-голям от предимствата на лечението по време на бременността. Проучванията при животни предоставят ограничени данни за репродуктивната токсичност (вж. точка 5.3). Ако пациент забременее по време на лечението с този продукт, лечението трябва да бъде преустановено незабавно.</w:t>
      </w:r>
    </w:p>
    <w:p w14:paraId="1E1C5F0E" w14:textId="77777777" w:rsidR="00E84873" w:rsidRPr="00E84873" w:rsidRDefault="00E84873" w:rsidP="00E84873">
      <w:pPr>
        <w:spacing w:line="240" w:lineRule="auto"/>
        <w:rPr>
          <w:rFonts w:eastAsia="Times New Roman" w:cs="Arial"/>
          <w:b/>
          <w:bCs/>
          <w:color w:val="000000"/>
          <w:u w:val="single"/>
          <w:lang w:eastAsia="bg-BG"/>
        </w:rPr>
      </w:pPr>
    </w:p>
    <w:p w14:paraId="5A85997E" w14:textId="43FB6346" w:rsidR="00E84873" w:rsidRPr="00BA0164" w:rsidRDefault="00E84873" w:rsidP="00E84873">
      <w:pPr>
        <w:pStyle w:val="Heading3"/>
        <w:rPr>
          <w:rFonts w:eastAsia="Times New Roman"/>
          <w:b/>
          <w:u w:val="single"/>
          <w:lang w:eastAsia="bg-BG"/>
        </w:rPr>
      </w:pPr>
      <w:r w:rsidRPr="00BA0164">
        <w:rPr>
          <w:rFonts w:eastAsia="Times New Roman"/>
          <w:b/>
          <w:u w:val="single"/>
          <w:lang w:eastAsia="bg-BG"/>
        </w:rPr>
        <w:t>Кърмене</w:t>
      </w:r>
    </w:p>
    <w:p w14:paraId="776662C5" w14:textId="525E6119" w:rsidR="0091385D" w:rsidRPr="00E84873" w:rsidRDefault="00E84873" w:rsidP="00E84873">
      <w:pPr>
        <w:rPr>
          <w:rFonts w:cs="Arial"/>
        </w:rPr>
      </w:pPr>
      <w:r w:rsidRPr="00E84873">
        <w:rPr>
          <w:rFonts w:eastAsia="Times New Roman" w:cs="Arial"/>
          <w:b/>
          <w:bCs/>
          <w:color w:val="000000"/>
          <w:lang w:eastAsia="bg-BG"/>
        </w:rPr>
        <w:t>Розувастатин се екскретира в млякото при плъхове. Няма налични данни по отношение на екскрецията в кърмата при хора (вж. точка 4.3).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0E082DD9" w:rsidR="0091385D" w:rsidRPr="00E84873" w:rsidRDefault="00E84873" w:rsidP="0091385D">
      <w:pPr>
        <w:rPr>
          <w:rFonts w:cs="Arial"/>
        </w:rPr>
      </w:pPr>
      <w:r w:rsidRPr="00E84873">
        <w:rPr>
          <w:rFonts w:cs="Arial"/>
          <w:b/>
          <w:bCs/>
        </w:rPr>
        <w:t>Не са провеждани проучвания, които да установят ефекта на розувастатин върху способността за шофиране и работа с машини. Въпреки това, въз основа на фармакодинамичните свойства е малко вероятно розувастатин да повлияе тази способност. При шофиране или работа с машини трябва да се има предвид, че по време на лечението може да се появи замаяност.</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1B981481"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Нежеланите лекарствени реакции при розувастатин са като цяло леки и преходни. При контролирани клинични проучвания при по-малко от 4% от пациентите, лекувани с розувастатин, лечението е преустановено поради нежелани лекарствени реакции.</w:t>
      </w:r>
    </w:p>
    <w:p w14:paraId="7271C4B2" w14:textId="77777777" w:rsidR="00E84873" w:rsidRPr="00E84873" w:rsidRDefault="00E84873" w:rsidP="00E84873">
      <w:pPr>
        <w:spacing w:line="240" w:lineRule="auto"/>
        <w:rPr>
          <w:rFonts w:eastAsia="Times New Roman" w:cs="Arial"/>
          <w:b/>
          <w:bCs/>
          <w:color w:val="000000"/>
          <w:u w:val="single"/>
          <w:lang w:eastAsia="bg-BG"/>
        </w:rPr>
      </w:pPr>
    </w:p>
    <w:p w14:paraId="345758EE" w14:textId="793146B0"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u w:val="single"/>
          <w:lang w:eastAsia="bg-BG"/>
        </w:rPr>
        <w:t>Табличен списък на нежеланите лекарствени реакции</w:t>
      </w:r>
    </w:p>
    <w:p w14:paraId="15FB618E" w14:textId="0C2A75B2"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Въз основа на данните от клиничните проучвания и обширния постмаркегингов опит, следната таблица представя профила на нежелани лекарствени реакции при розувастатин. Нежеланите лекарствени реакции, посоче</w:t>
      </w:r>
      <w:r>
        <w:rPr>
          <w:rFonts w:eastAsia="Times New Roman" w:cs="Arial"/>
          <w:b/>
          <w:bCs/>
          <w:color w:val="000000"/>
          <w:lang w:eastAsia="bg-BG"/>
        </w:rPr>
        <w:t xml:space="preserve">ни по-долу са </w:t>
      </w:r>
      <w:r w:rsidRPr="00E84873">
        <w:rPr>
          <w:rFonts w:eastAsia="Times New Roman" w:cs="Arial"/>
          <w:b/>
          <w:bCs/>
          <w:color w:val="000000"/>
          <w:lang w:eastAsia="bg-BG"/>
        </w:rPr>
        <w:t>класифицирани според честотата и по система орган клас (СОК).</w:t>
      </w:r>
    </w:p>
    <w:p w14:paraId="67DA35D0"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Честотата на нежеланите реакции е определена по следната класификация: Чести (&gt;1/100, но &lt;1/10); Нечести (&gt;1/1 000, но &lt;1/100); Редки (&gt;1/10 000, но &lt;1/1 000); Много редки (&lt;1/10 000); С неизвестна честота (честотата не може да бъде установена от наличните данни).</w:t>
      </w:r>
    </w:p>
    <w:p w14:paraId="6B7B6DD4" w14:textId="77777777" w:rsidR="00E84873" w:rsidRPr="00E84873" w:rsidRDefault="00E84873" w:rsidP="00E84873">
      <w:pPr>
        <w:rPr>
          <w:rFonts w:eastAsia="Times New Roman" w:cs="Arial"/>
          <w:b/>
          <w:bCs/>
          <w:color w:val="000000"/>
          <w:lang w:eastAsia="bg-BG"/>
        </w:rPr>
      </w:pPr>
    </w:p>
    <w:p w14:paraId="570508C4" w14:textId="333DF8B8" w:rsidR="0091385D" w:rsidRPr="00E84873" w:rsidRDefault="00E84873" w:rsidP="00E84873">
      <w:pPr>
        <w:rPr>
          <w:rFonts w:cs="Arial"/>
        </w:rPr>
      </w:pPr>
      <w:r w:rsidRPr="00E84873">
        <w:rPr>
          <w:rFonts w:eastAsia="Times New Roman" w:cs="Arial"/>
          <w:b/>
          <w:bCs/>
          <w:color w:val="000000"/>
          <w:lang w:eastAsia="bg-BG"/>
        </w:rPr>
        <w:t>Таблица 2. Нежелани лекарствени реакции въз основа на данните от клиничните проучвания и постмаркетинговия опит</w:t>
      </w:r>
    </w:p>
    <w:tbl>
      <w:tblPr>
        <w:tblStyle w:val="TableGrid"/>
        <w:tblW w:w="0" w:type="auto"/>
        <w:tblLook w:val="04A0" w:firstRow="1" w:lastRow="0" w:firstColumn="1" w:lastColumn="0" w:noHBand="0" w:noVBand="1"/>
      </w:tblPr>
      <w:tblGrid>
        <w:gridCol w:w="1653"/>
        <w:gridCol w:w="1297"/>
        <w:gridCol w:w="1098"/>
        <w:gridCol w:w="1778"/>
        <w:gridCol w:w="1709"/>
        <w:gridCol w:w="1815"/>
      </w:tblGrid>
      <w:tr w:rsidR="00E84873" w14:paraId="50C80C1E" w14:textId="77777777" w:rsidTr="005E65B2">
        <w:tc>
          <w:tcPr>
            <w:tcW w:w="1653" w:type="dxa"/>
            <w:vAlign w:val="center"/>
          </w:tcPr>
          <w:p w14:paraId="108E4D74" w14:textId="1517F012" w:rsidR="00E84873" w:rsidRPr="00E84873" w:rsidRDefault="00E84873" w:rsidP="00E84873">
            <w:r w:rsidRPr="00E84873">
              <w:rPr>
                <w:b/>
                <w:bCs/>
              </w:rPr>
              <w:t>Система орган клас</w:t>
            </w:r>
          </w:p>
        </w:tc>
        <w:tc>
          <w:tcPr>
            <w:tcW w:w="1297" w:type="dxa"/>
            <w:vAlign w:val="center"/>
          </w:tcPr>
          <w:p w14:paraId="3E3E12AA" w14:textId="52619B69" w:rsidR="00E84873" w:rsidRPr="00E84873" w:rsidRDefault="00E84873" w:rsidP="00E84873">
            <w:r w:rsidRPr="00E84873">
              <w:rPr>
                <w:b/>
                <w:bCs/>
              </w:rPr>
              <w:t>Чести</w:t>
            </w:r>
          </w:p>
        </w:tc>
        <w:tc>
          <w:tcPr>
            <w:tcW w:w="1098" w:type="dxa"/>
            <w:vAlign w:val="center"/>
          </w:tcPr>
          <w:p w14:paraId="6E5ECE16" w14:textId="0593DFD1" w:rsidR="00E84873" w:rsidRPr="00E84873" w:rsidRDefault="00E84873" w:rsidP="00E84873">
            <w:r w:rsidRPr="00E84873">
              <w:rPr>
                <w:b/>
                <w:bCs/>
              </w:rPr>
              <w:t>Нечести</w:t>
            </w:r>
          </w:p>
        </w:tc>
        <w:tc>
          <w:tcPr>
            <w:tcW w:w="1778" w:type="dxa"/>
            <w:vAlign w:val="center"/>
          </w:tcPr>
          <w:p w14:paraId="46150306" w14:textId="14FE1225" w:rsidR="00E84873" w:rsidRPr="00E84873" w:rsidRDefault="00E84873" w:rsidP="00E84873">
            <w:r w:rsidRPr="00E84873">
              <w:rPr>
                <w:b/>
                <w:bCs/>
              </w:rPr>
              <w:t>Редки</w:t>
            </w:r>
          </w:p>
        </w:tc>
        <w:tc>
          <w:tcPr>
            <w:tcW w:w="1709" w:type="dxa"/>
            <w:vAlign w:val="center"/>
          </w:tcPr>
          <w:p w14:paraId="2F21DFB6" w14:textId="720AD846" w:rsidR="00E84873" w:rsidRPr="00E84873" w:rsidRDefault="00E84873" w:rsidP="00E84873">
            <w:r w:rsidRPr="00E84873">
              <w:rPr>
                <w:b/>
                <w:bCs/>
              </w:rPr>
              <w:t>Много редки</w:t>
            </w:r>
          </w:p>
        </w:tc>
        <w:tc>
          <w:tcPr>
            <w:tcW w:w="1815" w:type="dxa"/>
            <w:vAlign w:val="center"/>
          </w:tcPr>
          <w:p w14:paraId="2517F688" w14:textId="77777777" w:rsidR="00E84873" w:rsidRPr="00E84873" w:rsidRDefault="00E84873" w:rsidP="00E84873">
            <w:r w:rsidRPr="00E84873">
              <w:rPr>
                <w:b/>
                <w:bCs/>
              </w:rPr>
              <w:t>С</w:t>
            </w:r>
            <w:r w:rsidRPr="00E84873">
              <w:rPr>
                <w:b/>
                <w:bCs/>
              </w:rPr>
              <w:tab/>
              <w:t>неизвестна</w:t>
            </w:r>
          </w:p>
          <w:p w14:paraId="41901D7D" w14:textId="2359980C" w:rsidR="00E84873" w:rsidRPr="00E84873" w:rsidRDefault="00E84873" w:rsidP="00E84873">
            <w:r w:rsidRPr="00E84873">
              <w:rPr>
                <w:b/>
                <w:bCs/>
              </w:rPr>
              <w:t>честота</w:t>
            </w:r>
          </w:p>
        </w:tc>
      </w:tr>
      <w:tr w:rsidR="00E84873" w14:paraId="26DEF157" w14:textId="77777777" w:rsidTr="005E65B2">
        <w:trPr>
          <w:trHeight w:val="1079"/>
        </w:trPr>
        <w:tc>
          <w:tcPr>
            <w:tcW w:w="1653" w:type="dxa"/>
          </w:tcPr>
          <w:p w14:paraId="3F2AD9A1" w14:textId="77777777" w:rsidR="00E84873" w:rsidRPr="00E84873" w:rsidRDefault="00E84873" w:rsidP="00E84873">
            <w:r w:rsidRPr="00E84873">
              <w:rPr>
                <w:b/>
                <w:bCs/>
                <w:i/>
                <w:iCs/>
              </w:rPr>
              <w:t>Нарушения на кръвта и</w:t>
            </w:r>
          </w:p>
          <w:p w14:paraId="2BA66889" w14:textId="77777777" w:rsidR="00E84873" w:rsidRPr="00E84873" w:rsidRDefault="00E84873" w:rsidP="00E84873">
            <w:r w:rsidRPr="00E84873">
              <w:rPr>
                <w:b/>
                <w:bCs/>
                <w:i/>
                <w:iCs/>
              </w:rPr>
              <w:t>лимфната</w:t>
            </w:r>
          </w:p>
          <w:p w14:paraId="2585AE38" w14:textId="2A051F92" w:rsidR="00E84873" w:rsidRPr="00E84873" w:rsidRDefault="00E84873" w:rsidP="00E84873">
            <w:r>
              <w:rPr>
                <w:b/>
                <w:bCs/>
              </w:rPr>
              <w:t>система</w:t>
            </w:r>
          </w:p>
        </w:tc>
        <w:tc>
          <w:tcPr>
            <w:tcW w:w="1297" w:type="dxa"/>
          </w:tcPr>
          <w:p w14:paraId="14797396" w14:textId="77777777" w:rsidR="00E84873" w:rsidRPr="00E84873" w:rsidRDefault="00E84873" w:rsidP="00E84873"/>
        </w:tc>
        <w:tc>
          <w:tcPr>
            <w:tcW w:w="1098" w:type="dxa"/>
          </w:tcPr>
          <w:p w14:paraId="125401C9" w14:textId="77777777" w:rsidR="00E84873" w:rsidRPr="00E84873" w:rsidRDefault="00E84873" w:rsidP="00E84873"/>
        </w:tc>
        <w:tc>
          <w:tcPr>
            <w:tcW w:w="1778" w:type="dxa"/>
          </w:tcPr>
          <w:p w14:paraId="3BD529A7" w14:textId="14CE6E97" w:rsidR="00E84873" w:rsidRPr="00E84873" w:rsidRDefault="00E84873" w:rsidP="00E84873">
            <w:r w:rsidRPr="00E84873">
              <w:rPr>
                <w:b/>
                <w:bCs/>
              </w:rPr>
              <w:t>Тромбоцигопения</w:t>
            </w:r>
          </w:p>
        </w:tc>
        <w:tc>
          <w:tcPr>
            <w:tcW w:w="1709" w:type="dxa"/>
            <w:vAlign w:val="bottom"/>
          </w:tcPr>
          <w:p w14:paraId="7BABB6E5" w14:textId="77777777" w:rsidR="00E84873" w:rsidRPr="00E84873" w:rsidRDefault="00E84873" w:rsidP="00E84873"/>
        </w:tc>
        <w:tc>
          <w:tcPr>
            <w:tcW w:w="1815" w:type="dxa"/>
            <w:vAlign w:val="bottom"/>
          </w:tcPr>
          <w:p w14:paraId="0594571F" w14:textId="77777777" w:rsidR="00E84873" w:rsidRPr="00E84873" w:rsidRDefault="00E84873" w:rsidP="00E84873"/>
        </w:tc>
      </w:tr>
      <w:tr w:rsidR="00E84873" w14:paraId="2059BE72" w14:textId="77777777" w:rsidTr="005E65B2">
        <w:tc>
          <w:tcPr>
            <w:tcW w:w="1653" w:type="dxa"/>
          </w:tcPr>
          <w:p w14:paraId="1201CCC3" w14:textId="2B8C8C46" w:rsidR="00E84873" w:rsidRDefault="00E84873" w:rsidP="00E84873">
            <w:r>
              <w:rPr>
                <w:b/>
                <w:bCs/>
                <w:i/>
                <w:iCs/>
              </w:rPr>
              <w:t>Нарушения на имунната система</w:t>
            </w:r>
          </w:p>
        </w:tc>
        <w:tc>
          <w:tcPr>
            <w:tcW w:w="1297" w:type="dxa"/>
          </w:tcPr>
          <w:p w14:paraId="6A1900BF" w14:textId="77777777" w:rsidR="00E84873" w:rsidRDefault="00E84873" w:rsidP="00E84873"/>
        </w:tc>
        <w:tc>
          <w:tcPr>
            <w:tcW w:w="1098" w:type="dxa"/>
          </w:tcPr>
          <w:p w14:paraId="5C3E8A28" w14:textId="77777777" w:rsidR="00E84873" w:rsidRDefault="00E84873" w:rsidP="00E84873"/>
        </w:tc>
        <w:tc>
          <w:tcPr>
            <w:tcW w:w="1778" w:type="dxa"/>
            <w:vAlign w:val="bottom"/>
          </w:tcPr>
          <w:p w14:paraId="49EE2029" w14:textId="77777777" w:rsidR="00E84873" w:rsidRDefault="00E84873" w:rsidP="00E84873">
            <w:r>
              <w:rPr>
                <w:b/>
                <w:bCs/>
              </w:rPr>
              <w:t>Реакции</w:t>
            </w:r>
            <w:r>
              <w:rPr>
                <w:b/>
                <w:bCs/>
              </w:rPr>
              <w:tab/>
              <w:t>на</w:t>
            </w:r>
          </w:p>
          <w:p w14:paraId="66471A83" w14:textId="4F54B0B7" w:rsidR="00E84873" w:rsidRDefault="00E84873" w:rsidP="00E84873">
            <w:r>
              <w:rPr>
                <w:b/>
                <w:bCs/>
              </w:rPr>
              <w:t>свръхчувствител</w:t>
            </w:r>
            <w:r>
              <w:rPr>
                <w:b/>
                <w:bCs/>
              </w:rPr>
              <w:softHyphen/>
              <w:t>ност, включително ангиоедем</w:t>
            </w:r>
          </w:p>
        </w:tc>
        <w:tc>
          <w:tcPr>
            <w:tcW w:w="1709" w:type="dxa"/>
          </w:tcPr>
          <w:p w14:paraId="50D108B4" w14:textId="77777777" w:rsidR="00E84873" w:rsidRDefault="00E84873" w:rsidP="00E84873"/>
        </w:tc>
        <w:tc>
          <w:tcPr>
            <w:tcW w:w="1815" w:type="dxa"/>
          </w:tcPr>
          <w:p w14:paraId="7E47B78E" w14:textId="77777777" w:rsidR="00E84873" w:rsidRDefault="00E84873" w:rsidP="00E84873"/>
        </w:tc>
      </w:tr>
      <w:tr w:rsidR="00E84873" w14:paraId="6CF11097" w14:textId="77777777" w:rsidTr="005E65B2">
        <w:tc>
          <w:tcPr>
            <w:tcW w:w="1653" w:type="dxa"/>
            <w:vAlign w:val="bottom"/>
          </w:tcPr>
          <w:p w14:paraId="2DEBD8A2" w14:textId="7F0C44ED" w:rsidR="00E84873" w:rsidRDefault="00E84873" w:rsidP="00E84873">
            <w:r>
              <w:rPr>
                <w:b/>
                <w:bCs/>
                <w:i/>
                <w:iCs/>
              </w:rPr>
              <w:lastRenderedPageBreak/>
              <w:t>Ендокринни нарушения</w:t>
            </w:r>
          </w:p>
        </w:tc>
        <w:tc>
          <w:tcPr>
            <w:tcW w:w="1297" w:type="dxa"/>
            <w:vAlign w:val="bottom"/>
          </w:tcPr>
          <w:p w14:paraId="4BE281B0" w14:textId="14BD403F" w:rsidR="00E84873" w:rsidRDefault="00E84873" w:rsidP="00E84873">
            <w:r>
              <w:rPr>
                <w:b/>
                <w:bCs/>
              </w:rPr>
              <w:t>Захарен диабет</w:t>
            </w:r>
            <w:r>
              <w:rPr>
                <w:b/>
                <w:bCs/>
                <w:vertAlign w:val="superscript"/>
              </w:rPr>
              <w:t>1</w:t>
            </w:r>
          </w:p>
        </w:tc>
        <w:tc>
          <w:tcPr>
            <w:tcW w:w="1098" w:type="dxa"/>
          </w:tcPr>
          <w:p w14:paraId="4B9617AD" w14:textId="77777777" w:rsidR="00E84873" w:rsidRDefault="00E84873" w:rsidP="00E84873"/>
        </w:tc>
        <w:tc>
          <w:tcPr>
            <w:tcW w:w="1778" w:type="dxa"/>
          </w:tcPr>
          <w:p w14:paraId="58172069" w14:textId="77777777" w:rsidR="00E84873" w:rsidRDefault="00E84873" w:rsidP="00E84873"/>
        </w:tc>
        <w:tc>
          <w:tcPr>
            <w:tcW w:w="1709" w:type="dxa"/>
          </w:tcPr>
          <w:p w14:paraId="0A4350D0" w14:textId="77777777" w:rsidR="00E84873" w:rsidRDefault="00E84873" w:rsidP="00E84873"/>
        </w:tc>
        <w:tc>
          <w:tcPr>
            <w:tcW w:w="1815" w:type="dxa"/>
          </w:tcPr>
          <w:p w14:paraId="537FE7EB" w14:textId="77777777" w:rsidR="00E84873" w:rsidRDefault="00E84873" w:rsidP="00E84873"/>
        </w:tc>
      </w:tr>
      <w:tr w:rsidR="00E84873" w14:paraId="409EA01A" w14:textId="77777777" w:rsidTr="005E65B2">
        <w:tc>
          <w:tcPr>
            <w:tcW w:w="1653" w:type="dxa"/>
            <w:vAlign w:val="bottom"/>
          </w:tcPr>
          <w:p w14:paraId="7716521C" w14:textId="3B566603" w:rsidR="00E84873" w:rsidRDefault="00E84873" w:rsidP="00E84873">
            <w:r>
              <w:rPr>
                <w:b/>
                <w:bCs/>
                <w:i/>
                <w:iCs/>
              </w:rPr>
              <w:t>Психиатрични нарушения</w:t>
            </w:r>
          </w:p>
        </w:tc>
        <w:tc>
          <w:tcPr>
            <w:tcW w:w="1297" w:type="dxa"/>
          </w:tcPr>
          <w:p w14:paraId="2E58F3AF" w14:textId="77777777" w:rsidR="00E84873" w:rsidRDefault="00E84873" w:rsidP="00E84873"/>
        </w:tc>
        <w:tc>
          <w:tcPr>
            <w:tcW w:w="1098" w:type="dxa"/>
          </w:tcPr>
          <w:p w14:paraId="25894FA0" w14:textId="77777777" w:rsidR="00E84873" w:rsidRDefault="00E84873" w:rsidP="00E84873"/>
        </w:tc>
        <w:tc>
          <w:tcPr>
            <w:tcW w:w="1778" w:type="dxa"/>
          </w:tcPr>
          <w:p w14:paraId="1FC078CE" w14:textId="77777777" w:rsidR="00E84873" w:rsidRDefault="00E84873" w:rsidP="00E84873"/>
        </w:tc>
        <w:tc>
          <w:tcPr>
            <w:tcW w:w="1709" w:type="dxa"/>
          </w:tcPr>
          <w:p w14:paraId="35E73BD9" w14:textId="77777777" w:rsidR="00E84873" w:rsidRDefault="00E84873" w:rsidP="00E84873"/>
        </w:tc>
        <w:tc>
          <w:tcPr>
            <w:tcW w:w="1815" w:type="dxa"/>
          </w:tcPr>
          <w:p w14:paraId="02EFB27A" w14:textId="7C94529C" w:rsidR="00E84873" w:rsidRDefault="00E84873" w:rsidP="00E84873">
            <w:r>
              <w:rPr>
                <w:b/>
                <w:bCs/>
              </w:rPr>
              <w:t>Депресия</w:t>
            </w:r>
          </w:p>
        </w:tc>
      </w:tr>
      <w:tr w:rsidR="00E84873" w14:paraId="3818A143" w14:textId="77777777" w:rsidTr="005E65B2">
        <w:tc>
          <w:tcPr>
            <w:tcW w:w="1653" w:type="dxa"/>
            <w:vAlign w:val="bottom"/>
          </w:tcPr>
          <w:p w14:paraId="2070DE9D" w14:textId="61321C7C" w:rsidR="00E84873" w:rsidRDefault="00E84873" w:rsidP="00E84873">
            <w:r>
              <w:rPr>
                <w:b/>
                <w:bCs/>
                <w:i/>
                <w:iCs/>
              </w:rPr>
              <w:t>Нарушения на нервната система</w:t>
            </w:r>
          </w:p>
        </w:tc>
        <w:tc>
          <w:tcPr>
            <w:tcW w:w="1297" w:type="dxa"/>
          </w:tcPr>
          <w:p w14:paraId="2518FD5C" w14:textId="5A7BBDF3" w:rsidR="00E84873" w:rsidRDefault="00E84873" w:rsidP="00E84873">
            <w:r>
              <w:rPr>
                <w:b/>
                <w:bCs/>
              </w:rPr>
              <w:t>Главоболие, замаяност</w:t>
            </w:r>
          </w:p>
        </w:tc>
        <w:tc>
          <w:tcPr>
            <w:tcW w:w="1098" w:type="dxa"/>
          </w:tcPr>
          <w:p w14:paraId="4ABC8179" w14:textId="77777777" w:rsidR="00E84873" w:rsidRDefault="00E84873" w:rsidP="00E84873"/>
        </w:tc>
        <w:tc>
          <w:tcPr>
            <w:tcW w:w="1778" w:type="dxa"/>
          </w:tcPr>
          <w:p w14:paraId="3CBFCAA3" w14:textId="77777777" w:rsidR="00E84873" w:rsidRDefault="00E84873" w:rsidP="00E84873"/>
        </w:tc>
        <w:tc>
          <w:tcPr>
            <w:tcW w:w="1709" w:type="dxa"/>
          </w:tcPr>
          <w:p w14:paraId="24CD943A" w14:textId="58330B9C" w:rsidR="00E84873" w:rsidRDefault="00E84873" w:rsidP="00E84873">
            <w:r>
              <w:rPr>
                <w:b/>
                <w:bCs/>
              </w:rPr>
              <w:t>Полиневропатия, Загуба на паметта</w:t>
            </w:r>
          </w:p>
        </w:tc>
        <w:tc>
          <w:tcPr>
            <w:tcW w:w="1815" w:type="dxa"/>
            <w:vAlign w:val="bottom"/>
          </w:tcPr>
          <w:p w14:paraId="395154EF" w14:textId="77777777" w:rsidR="00E84873" w:rsidRDefault="00E84873" w:rsidP="00E84873">
            <w:r>
              <w:rPr>
                <w:b/>
                <w:bCs/>
              </w:rPr>
              <w:t>Периферна невропатия Нарушения на съня (включително безсъние</w:t>
            </w:r>
            <w:r>
              <w:rPr>
                <w:b/>
                <w:bCs/>
              </w:rPr>
              <w:tab/>
              <w:t>и</w:t>
            </w:r>
          </w:p>
          <w:p w14:paraId="7DBC33B5" w14:textId="003438EF" w:rsidR="00E84873" w:rsidRDefault="00E84873" w:rsidP="00E84873">
            <w:r>
              <w:rPr>
                <w:b/>
                <w:bCs/>
              </w:rPr>
              <w:t>кошмари)</w:t>
            </w:r>
          </w:p>
        </w:tc>
      </w:tr>
      <w:tr w:rsidR="005E65B2" w14:paraId="7968E480" w14:textId="77777777" w:rsidTr="005E65B2">
        <w:tc>
          <w:tcPr>
            <w:tcW w:w="1653" w:type="dxa"/>
            <w:vAlign w:val="bottom"/>
          </w:tcPr>
          <w:p w14:paraId="18245F3E" w14:textId="77777777" w:rsidR="005E65B2" w:rsidRDefault="005E65B2" w:rsidP="005E65B2">
            <w:r>
              <w:rPr>
                <w:b/>
                <w:bCs/>
                <w:i/>
                <w:iCs/>
              </w:rPr>
              <w:t>Респираторни, гръдни</w:t>
            </w:r>
            <w:r>
              <w:rPr>
                <w:b/>
                <w:bCs/>
                <w:i/>
                <w:iCs/>
              </w:rPr>
              <w:tab/>
              <w:t>и</w:t>
            </w:r>
          </w:p>
          <w:p w14:paraId="23EF6095" w14:textId="46669F32" w:rsidR="005E65B2" w:rsidRDefault="005E65B2" w:rsidP="005E65B2">
            <w:r>
              <w:rPr>
                <w:b/>
                <w:bCs/>
                <w:i/>
                <w:iCs/>
              </w:rPr>
              <w:t>медиастинални нарушения</w:t>
            </w:r>
          </w:p>
        </w:tc>
        <w:tc>
          <w:tcPr>
            <w:tcW w:w="1297" w:type="dxa"/>
          </w:tcPr>
          <w:p w14:paraId="3158F46B" w14:textId="77777777" w:rsidR="005E65B2" w:rsidRDefault="005E65B2" w:rsidP="005E65B2"/>
        </w:tc>
        <w:tc>
          <w:tcPr>
            <w:tcW w:w="1098" w:type="dxa"/>
          </w:tcPr>
          <w:p w14:paraId="3CA580DE" w14:textId="77777777" w:rsidR="005E65B2" w:rsidRDefault="005E65B2" w:rsidP="005E65B2"/>
        </w:tc>
        <w:tc>
          <w:tcPr>
            <w:tcW w:w="1778" w:type="dxa"/>
          </w:tcPr>
          <w:p w14:paraId="344D8FE1" w14:textId="77777777" w:rsidR="005E65B2" w:rsidRDefault="005E65B2" w:rsidP="005E65B2"/>
        </w:tc>
        <w:tc>
          <w:tcPr>
            <w:tcW w:w="1709" w:type="dxa"/>
          </w:tcPr>
          <w:p w14:paraId="1E956C4E" w14:textId="77777777" w:rsidR="005E65B2" w:rsidRDefault="005E65B2" w:rsidP="005E65B2"/>
        </w:tc>
        <w:tc>
          <w:tcPr>
            <w:tcW w:w="1815" w:type="dxa"/>
          </w:tcPr>
          <w:p w14:paraId="65689D56" w14:textId="69F61A8D" w:rsidR="005E65B2" w:rsidRDefault="005E65B2" w:rsidP="005E65B2">
            <w:r>
              <w:rPr>
                <w:b/>
                <w:bCs/>
              </w:rPr>
              <w:t>Кашлица, диспнея</w:t>
            </w:r>
          </w:p>
        </w:tc>
      </w:tr>
      <w:tr w:rsidR="005E65B2" w14:paraId="170526FC" w14:textId="77777777" w:rsidTr="005E65B2">
        <w:tc>
          <w:tcPr>
            <w:tcW w:w="1653" w:type="dxa"/>
            <w:vAlign w:val="center"/>
          </w:tcPr>
          <w:p w14:paraId="4812F0CB" w14:textId="216587D0" w:rsidR="005E65B2" w:rsidRDefault="005E65B2" w:rsidP="005E65B2">
            <w:r>
              <w:rPr>
                <w:b/>
                <w:bCs/>
                <w:i/>
                <w:iCs/>
              </w:rPr>
              <w:t>Стомашно- чревни нарушения</w:t>
            </w:r>
          </w:p>
        </w:tc>
        <w:tc>
          <w:tcPr>
            <w:tcW w:w="1297" w:type="dxa"/>
            <w:vAlign w:val="bottom"/>
          </w:tcPr>
          <w:p w14:paraId="4F180250" w14:textId="77777777" w:rsidR="005E65B2" w:rsidRDefault="005E65B2" w:rsidP="005E65B2">
            <w:r>
              <w:rPr>
                <w:b/>
                <w:bCs/>
              </w:rPr>
              <w:t>Запек, гадене, болки</w:t>
            </w:r>
            <w:r>
              <w:rPr>
                <w:b/>
                <w:bCs/>
              </w:rPr>
              <w:tab/>
              <w:t>в</w:t>
            </w:r>
          </w:p>
          <w:p w14:paraId="19AC83F9" w14:textId="671DA967" w:rsidR="005E65B2" w:rsidRDefault="005E65B2" w:rsidP="005E65B2">
            <w:r>
              <w:rPr>
                <w:b/>
                <w:bCs/>
              </w:rPr>
              <w:t>корема</w:t>
            </w:r>
          </w:p>
        </w:tc>
        <w:tc>
          <w:tcPr>
            <w:tcW w:w="1098" w:type="dxa"/>
          </w:tcPr>
          <w:p w14:paraId="0A4FB456" w14:textId="77777777" w:rsidR="005E65B2" w:rsidRDefault="005E65B2" w:rsidP="005E65B2"/>
        </w:tc>
        <w:tc>
          <w:tcPr>
            <w:tcW w:w="1778" w:type="dxa"/>
          </w:tcPr>
          <w:p w14:paraId="2EC608A8" w14:textId="77F8B54C" w:rsidR="005E65B2" w:rsidRDefault="005E65B2" w:rsidP="005E65B2">
            <w:r>
              <w:rPr>
                <w:b/>
                <w:bCs/>
              </w:rPr>
              <w:t>Панкреатит</w:t>
            </w:r>
          </w:p>
        </w:tc>
        <w:tc>
          <w:tcPr>
            <w:tcW w:w="1709" w:type="dxa"/>
          </w:tcPr>
          <w:p w14:paraId="7E46DE75" w14:textId="77777777" w:rsidR="005E65B2" w:rsidRDefault="005E65B2" w:rsidP="005E65B2"/>
        </w:tc>
        <w:tc>
          <w:tcPr>
            <w:tcW w:w="1815" w:type="dxa"/>
          </w:tcPr>
          <w:p w14:paraId="7FD12F01" w14:textId="1B501F7F" w:rsidR="005E65B2" w:rsidRDefault="005E65B2" w:rsidP="005E65B2">
            <w:r>
              <w:rPr>
                <w:b/>
                <w:bCs/>
              </w:rPr>
              <w:t>Диария</w:t>
            </w:r>
          </w:p>
        </w:tc>
      </w:tr>
      <w:tr w:rsidR="005E65B2" w14:paraId="1F86E087" w14:textId="77777777" w:rsidTr="005E65B2">
        <w:tc>
          <w:tcPr>
            <w:tcW w:w="1653" w:type="dxa"/>
            <w:vAlign w:val="center"/>
          </w:tcPr>
          <w:p w14:paraId="3BB5617F" w14:textId="6BD4FA6A" w:rsidR="005E65B2" w:rsidRDefault="005E65B2" w:rsidP="005E65B2">
            <w:r>
              <w:rPr>
                <w:b/>
                <w:bCs/>
                <w:i/>
                <w:iCs/>
              </w:rPr>
              <w:t>Хепатобилиарн и нарушения</w:t>
            </w:r>
          </w:p>
        </w:tc>
        <w:tc>
          <w:tcPr>
            <w:tcW w:w="1297" w:type="dxa"/>
          </w:tcPr>
          <w:p w14:paraId="386A17B5" w14:textId="77777777" w:rsidR="005E65B2" w:rsidRDefault="005E65B2" w:rsidP="005E65B2"/>
        </w:tc>
        <w:tc>
          <w:tcPr>
            <w:tcW w:w="1098" w:type="dxa"/>
          </w:tcPr>
          <w:p w14:paraId="591C5B09" w14:textId="77777777" w:rsidR="005E65B2" w:rsidRDefault="005E65B2" w:rsidP="005E65B2"/>
        </w:tc>
        <w:tc>
          <w:tcPr>
            <w:tcW w:w="1778" w:type="dxa"/>
            <w:vAlign w:val="bottom"/>
          </w:tcPr>
          <w:p w14:paraId="2FDD51C5" w14:textId="6497A5F3" w:rsidR="005E65B2" w:rsidRDefault="005E65B2" w:rsidP="005E65B2">
            <w:r>
              <w:rPr>
                <w:b/>
                <w:bCs/>
              </w:rPr>
              <w:t>Повишени нива на чернодробните трансаминази</w:t>
            </w:r>
          </w:p>
        </w:tc>
        <w:tc>
          <w:tcPr>
            <w:tcW w:w="1709" w:type="dxa"/>
          </w:tcPr>
          <w:p w14:paraId="5896C2D0" w14:textId="28C6356B" w:rsidR="005E65B2" w:rsidRDefault="005E65B2" w:rsidP="005E65B2">
            <w:r>
              <w:rPr>
                <w:b/>
                <w:bCs/>
              </w:rPr>
              <w:t>Жълтеница, хепатит</w:t>
            </w:r>
          </w:p>
        </w:tc>
        <w:tc>
          <w:tcPr>
            <w:tcW w:w="1815" w:type="dxa"/>
          </w:tcPr>
          <w:p w14:paraId="2ABC9402" w14:textId="77777777" w:rsidR="005E65B2" w:rsidRDefault="005E65B2" w:rsidP="005E65B2"/>
        </w:tc>
      </w:tr>
      <w:tr w:rsidR="005E65B2" w14:paraId="49AFA6AE" w14:textId="77777777" w:rsidTr="005E65B2">
        <w:tc>
          <w:tcPr>
            <w:tcW w:w="1653" w:type="dxa"/>
          </w:tcPr>
          <w:p w14:paraId="56FC110D" w14:textId="77777777" w:rsidR="005E65B2" w:rsidRDefault="005E65B2" w:rsidP="005E65B2">
            <w:r>
              <w:rPr>
                <w:b/>
                <w:bCs/>
                <w:i/>
                <w:iCs/>
              </w:rPr>
              <w:t>Нарушения на кожата</w:t>
            </w:r>
            <w:r>
              <w:rPr>
                <w:b/>
                <w:bCs/>
                <w:i/>
                <w:iCs/>
              </w:rPr>
              <w:tab/>
              <w:t>и</w:t>
            </w:r>
          </w:p>
          <w:p w14:paraId="14605FAE" w14:textId="1F270EFE" w:rsidR="005E65B2" w:rsidRDefault="005E65B2" w:rsidP="005E65B2">
            <w:r>
              <w:rPr>
                <w:b/>
                <w:bCs/>
                <w:i/>
                <w:iCs/>
              </w:rPr>
              <w:t>подкожната тъкан</w:t>
            </w:r>
          </w:p>
        </w:tc>
        <w:tc>
          <w:tcPr>
            <w:tcW w:w="1297" w:type="dxa"/>
          </w:tcPr>
          <w:p w14:paraId="5043585F" w14:textId="77777777" w:rsidR="005E65B2" w:rsidRDefault="005E65B2" w:rsidP="005E65B2"/>
        </w:tc>
        <w:tc>
          <w:tcPr>
            <w:tcW w:w="1098" w:type="dxa"/>
          </w:tcPr>
          <w:p w14:paraId="42A21D43" w14:textId="3876F5FF" w:rsidR="005E65B2" w:rsidRDefault="005E65B2" w:rsidP="005E65B2">
            <w:r>
              <w:rPr>
                <w:b/>
                <w:bCs/>
              </w:rPr>
              <w:t>Сърбеж, обрив, уртикария</w:t>
            </w:r>
          </w:p>
        </w:tc>
        <w:tc>
          <w:tcPr>
            <w:tcW w:w="1778" w:type="dxa"/>
          </w:tcPr>
          <w:p w14:paraId="60496AA1" w14:textId="77777777" w:rsidR="005E65B2" w:rsidRDefault="005E65B2" w:rsidP="005E65B2"/>
        </w:tc>
        <w:tc>
          <w:tcPr>
            <w:tcW w:w="1709" w:type="dxa"/>
          </w:tcPr>
          <w:p w14:paraId="7B8C93C7" w14:textId="77777777" w:rsidR="005E65B2" w:rsidRDefault="005E65B2" w:rsidP="005E65B2"/>
        </w:tc>
        <w:tc>
          <w:tcPr>
            <w:tcW w:w="1815" w:type="dxa"/>
            <w:vAlign w:val="bottom"/>
          </w:tcPr>
          <w:p w14:paraId="46C81BAA" w14:textId="77777777" w:rsidR="005E65B2" w:rsidRDefault="005E65B2" w:rsidP="005E65B2">
            <w:r>
              <w:rPr>
                <w:b/>
                <w:bCs/>
              </w:rPr>
              <w:t>Синдром</w:t>
            </w:r>
            <w:r>
              <w:rPr>
                <w:b/>
                <w:bCs/>
              </w:rPr>
              <w:tab/>
              <w:t>на</w:t>
            </w:r>
          </w:p>
          <w:p w14:paraId="05DA3568" w14:textId="77777777" w:rsidR="005E65B2" w:rsidRDefault="005E65B2" w:rsidP="005E65B2">
            <w:r>
              <w:rPr>
                <w:b/>
                <w:bCs/>
              </w:rPr>
              <w:t>Стивънс-Джонсън Лекарствена реакция</w:t>
            </w:r>
            <w:r>
              <w:rPr>
                <w:b/>
                <w:bCs/>
              </w:rPr>
              <w:tab/>
              <w:t>с</w:t>
            </w:r>
          </w:p>
          <w:p w14:paraId="1F3F98CC" w14:textId="77777777" w:rsidR="005E65B2" w:rsidRDefault="005E65B2" w:rsidP="005E65B2">
            <w:r>
              <w:rPr>
                <w:b/>
                <w:bCs/>
              </w:rPr>
              <w:t>еозинофилия</w:t>
            </w:r>
            <w:r>
              <w:rPr>
                <w:b/>
                <w:bCs/>
              </w:rPr>
              <w:tab/>
              <w:t>и</w:t>
            </w:r>
          </w:p>
          <w:p w14:paraId="65D57E8F" w14:textId="77777777" w:rsidR="005E65B2" w:rsidRDefault="005E65B2" w:rsidP="005E65B2">
            <w:r>
              <w:rPr>
                <w:b/>
                <w:bCs/>
              </w:rPr>
              <w:t>системни симптоми</w:t>
            </w:r>
          </w:p>
          <w:p w14:paraId="5B0E2BB5" w14:textId="4A65137C" w:rsidR="005E65B2" w:rsidRDefault="005E65B2" w:rsidP="005E65B2">
            <w:r>
              <w:rPr>
                <w:b/>
                <w:bCs/>
                <w:lang w:val="en-US"/>
              </w:rPr>
              <w:t>(DRESS)</w:t>
            </w:r>
          </w:p>
        </w:tc>
      </w:tr>
      <w:tr w:rsidR="005E65B2" w14:paraId="5F954EBB" w14:textId="77777777" w:rsidTr="005E65B2">
        <w:tc>
          <w:tcPr>
            <w:tcW w:w="1653" w:type="dxa"/>
          </w:tcPr>
          <w:p w14:paraId="22A9463A" w14:textId="77777777" w:rsidR="005E65B2" w:rsidRDefault="005E65B2" w:rsidP="005E65B2">
            <w:r>
              <w:rPr>
                <w:b/>
                <w:bCs/>
                <w:i/>
                <w:iCs/>
              </w:rPr>
              <w:t>Мускулно- скелетни</w:t>
            </w:r>
            <w:r>
              <w:rPr>
                <w:b/>
                <w:bCs/>
                <w:i/>
                <w:iCs/>
              </w:rPr>
              <w:tab/>
              <w:t>и</w:t>
            </w:r>
          </w:p>
          <w:p w14:paraId="729A3893" w14:textId="52F7F22A" w:rsidR="005E65B2" w:rsidRDefault="005E65B2" w:rsidP="005E65B2">
            <w:r>
              <w:rPr>
                <w:b/>
                <w:bCs/>
                <w:i/>
                <w:iCs/>
              </w:rPr>
              <w:t>нарушения на съединителнат а тъкан</w:t>
            </w:r>
          </w:p>
        </w:tc>
        <w:tc>
          <w:tcPr>
            <w:tcW w:w="1297" w:type="dxa"/>
          </w:tcPr>
          <w:p w14:paraId="217957AA" w14:textId="0D121FF6" w:rsidR="005E65B2" w:rsidRDefault="005E65B2" w:rsidP="005E65B2">
            <w:r>
              <w:rPr>
                <w:b/>
                <w:bCs/>
              </w:rPr>
              <w:t>Миалгия</w:t>
            </w:r>
          </w:p>
        </w:tc>
        <w:tc>
          <w:tcPr>
            <w:tcW w:w="1098" w:type="dxa"/>
          </w:tcPr>
          <w:p w14:paraId="4724DCC4" w14:textId="77777777" w:rsidR="005E65B2" w:rsidRDefault="005E65B2" w:rsidP="005E65B2"/>
        </w:tc>
        <w:tc>
          <w:tcPr>
            <w:tcW w:w="1778" w:type="dxa"/>
            <w:vAlign w:val="bottom"/>
          </w:tcPr>
          <w:p w14:paraId="0B60C6A9" w14:textId="77777777" w:rsidR="005E65B2" w:rsidRDefault="005E65B2" w:rsidP="005E65B2">
            <w:r>
              <w:rPr>
                <w:b/>
                <w:bCs/>
              </w:rPr>
              <w:t>Миопатия (включително миозит), рабдомиолиза, синдром наподобяващ лупус, разкъсване</w:t>
            </w:r>
            <w:r>
              <w:rPr>
                <w:b/>
                <w:bCs/>
              </w:rPr>
              <w:tab/>
              <w:t>на</w:t>
            </w:r>
          </w:p>
          <w:p w14:paraId="6C361408" w14:textId="1AB1EDE8" w:rsidR="005E65B2" w:rsidRDefault="005E65B2" w:rsidP="005E65B2">
            <w:r>
              <w:rPr>
                <w:b/>
                <w:bCs/>
              </w:rPr>
              <w:lastRenderedPageBreak/>
              <w:t>мускул</w:t>
            </w:r>
          </w:p>
        </w:tc>
        <w:tc>
          <w:tcPr>
            <w:tcW w:w="1709" w:type="dxa"/>
          </w:tcPr>
          <w:p w14:paraId="71AB6606" w14:textId="37008CB6" w:rsidR="005E65B2" w:rsidRDefault="005E65B2" w:rsidP="005E65B2">
            <w:r>
              <w:rPr>
                <w:b/>
                <w:bCs/>
              </w:rPr>
              <w:lastRenderedPageBreak/>
              <w:t>Артралгия</w:t>
            </w:r>
          </w:p>
        </w:tc>
        <w:tc>
          <w:tcPr>
            <w:tcW w:w="1815" w:type="dxa"/>
          </w:tcPr>
          <w:p w14:paraId="2B22FB22" w14:textId="77777777" w:rsidR="005E65B2" w:rsidRDefault="005E65B2" w:rsidP="005E65B2">
            <w:r>
              <w:rPr>
                <w:b/>
                <w:bCs/>
              </w:rPr>
              <w:t>Нарушения</w:t>
            </w:r>
            <w:r>
              <w:rPr>
                <w:b/>
                <w:bCs/>
              </w:rPr>
              <w:tab/>
              <w:t>на</w:t>
            </w:r>
          </w:p>
          <w:p w14:paraId="5775DC67" w14:textId="78091918" w:rsidR="005E65B2" w:rsidRDefault="005E65B2" w:rsidP="005E65B2">
            <w:r>
              <w:rPr>
                <w:b/>
                <w:bCs/>
              </w:rPr>
              <w:t xml:space="preserve">сухожилията, понякога усложнени от руптура Имунномедиирана </w:t>
            </w:r>
            <w:r>
              <w:rPr>
                <w:b/>
                <w:bCs/>
              </w:rPr>
              <w:lastRenderedPageBreak/>
              <w:t>некротизираща миопатия</w:t>
            </w:r>
          </w:p>
        </w:tc>
      </w:tr>
      <w:tr w:rsidR="005E65B2" w14:paraId="27124AFE" w14:textId="77777777" w:rsidTr="005E65B2">
        <w:tc>
          <w:tcPr>
            <w:tcW w:w="1653" w:type="dxa"/>
            <w:vAlign w:val="center"/>
          </w:tcPr>
          <w:p w14:paraId="7DFA4AAD" w14:textId="7CC227AF" w:rsidR="005E65B2" w:rsidRDefault="005E65B2" w:rsidP="005E65B2">
            <w:r>
              <w:rPr>
                <w:b/>
                <w:bCs/>
                <w:i/>
                <w:iCs/>
              </w:rPr>
              <w:lastRenderedPageBreak/>
              <w:t>Нарушения на бъбреците и пикочните пътища</w:t>
            </w:r>
          </w:p>
        </w:tc>
        <w:tc>
          <w:tcPr>
            <w:tcW w:w="1297" w:type="dxa"/>
          </w:tcPr>
          <w:p w14:paraId="060FBA86" w14:textId="77777777" w:rsidR="005E65B2" w:rsidRDefault="005E65B2" w:rsidP="005E65B2"/>
        </w:tc>
        <w:tc>
          <w:tcPr>
            <w:tcW w:w="1098" w:type="dxa"/>
          </w:tcPr>
          <w:p w14:paraId="24735AE8" w14:textId="77777777" w:rsidR="005E65B2" w:rsidRDefault="005E65B2" w:rsidP="005E65B2"/>
        </w:tc>
        <w:tc>
          <w:tcPr>
            <w:tcW w:w="1778" w:type="dxa"/>
          </w:tcPr>
          <w:p w14:paraId="787340E8" w14:textId="77777777" w:rsidR="005E65B2" w:rsidRDefault="005E65B2" w:rsidP="005E65B2"/>
        </w:tc>
        <w:tc>
          <w:tcPr>
            <w:tcW w:w="1709" w:type="dxa"/>
          </w:tcPr>
          <w:p w14:paraId="788E012F" w14:textId="3F7971D0" w:rsidR="005E65B2" w:rsidRDefault="005E65B2" w:rsidP="005E65B2">
            <w:r>
              <w:rPr>
                <w:b/>
                <w:bCs/>
              </w:rPr>
              <w:t>Хематурия</w:t>
            </w:r>
          </w:p>
        </w:tc>
        <w:tc>
          <w:tcPr>
            <w:tcW w:w="1815" w:type="dxa"/>
          </w:tcPr>
          <w:p w14:paraId="7AD0607B" w14:textId="77777777" w:rsidR="005E65B2" w:rsidRDefault="005E65B2" w:rsidP="005E65B2"/>
        </w:tc>
      </w:tr>
      <w:tr w:rsidR="005E65B2" w14:paraId="407AA362" w14:textId="77777777" w:rsidTr="005E65B2">
        <w:tc>
          <w:tcPr>
            <w:tcW w:w="1653" w:type="dxa"/>
          </w:tcPr>
          <w:p w14:paraId="03D3B2F1" w14:textId="4CED677F" w:rsidR="005E65B2" w:rsidRDefault="005E65B2" w:rsidP="005E65B2">
            <w:r>
              <w:rPr>
                <w:b/>
                <w:bCs/>
                <w:i/>
                <w:iCs/>
              </w:rPr>
              <w:t>Нарушения на репродуктивна та система и гърдата</w:t>
            </w:r>
          </w:p>
        </w:tc>
        <w:tc>
          <w:tcPr>
            <w:tcW w:w="1297" w:type="dxa"/>
          </w:tcPr>
          <w:p w14:paraId="6B8471A8" w14:textId="77777777" w:rsidR="005E65B2" w:rsidRDefault="005E65B2" w:rsidP="005E65B2"/>
        </w:tc>
        <w:tc>
          <w:tcPr>
            <w:tcW w:w="1098" w:type="dxa"/>
          </w:tcPr>
          <w:p w14:paraId="53093D61" w14:textId="77777777" w:rsidR="005E65B2" w:rsidRDefault="005E65B2" w:rsidP="005E65B2"/>
        </w:tc>
        <w:tc>
          <w:tcPr>
            <w:tcW w:w="1778" w:type="dxa"/>
          </w:tcPr>
          <w:p w14:paraId="24849C1D" w14:textId="77777777" w:rsidR="005E65B2" w:rsidRDefault="005E65B2" w:rsidP="005E65B2"/>
        </w:tc>
        <w:tc>
          <w:tcPr>
            <w:tcW w:w="1709" w:type="dxa"/>
          </w:tcPr>
          <w:p w14:paraId="0E65D144" w14:textId="4AA8628E" w:rsidR="005E65B2" w:rsidRDefault="005E65B2" w:rsidP="005E65B2">
            <w:r>
              <w:rPr>
                <w:b/>
                <w:bCs/>
              </w:rPr>
              <w:t>Гинекомастия</w:t>
            </w:r>
          </w:p>
        </w:tc>
        <w:tc>
          <w:tcPr>
            <w:tcW w:w="1815" w:type="dxa"/>
          </w:tcPr>
          <w:p w14:paraId="7319D12D" w14:textId="77777777" w:rsidR="005E65B2" w:rsidRDefault="005E65B2" w:rsidP="005E65B2"/>
        </w:tc>
      </w:tr>
      <w:tr w:rsidR="005E65B2" w14:paraId="5AEDA2A9" w14:textId="77777777" w:rsidTr="005E65B2">
        <w:tc>
          <w:tcPr>
            <w:tcW w:w="1653" w:type="dxa"/>
          </w:tcPr>
          <w:p w14:paraId="38D9BF3F" w14:textId="77777777" w:rsidR="005E65B2" w:rsidRDefault="005E65B2" w:rsidP="005E65B2">
            <w:r>
              <w:rPr>
                <w:b/>
                <w:bCs/>
                <w:i/>
                <w:iCs/>
              </w:rPr>
              <w:t>Общи нарушения и ефекти</w:t>
            </w:r>
            <w:r>
              <w:rPr>
                <w:b/>
                <w:bCs/>
                <w:i/>
                <w:iCs/>
              </w:rPr>
              <w:tab/>
              <w:t>на</w:t>
            </w:r>
          </w:p>
          <w:p w14:paraId="148AAFAD" w14:textId="77777777" w:rsidR="005E65B2" w:rsidRDefault="005E65B2" w:rsidP="005E65B2">
            <w:r>
              <w:rPr>
                <w:b/>
                <w:bCs/>
                <w:i/>
                <w:iCs/>
              </w:rPr>
              <w:t>мястото</w:t>
            </w:r>
            <w:r>
              <w:rPr>
                <w:b/>
                <w:bCs/>
                <w:i/>
                <w:iCs/>
              </w:rPr>
              <w:tab/>
              <w:t>на</w:t>
            </w:r>
          </w:p>
          <w:p w14:paraId="3BDAC024" w14:textId="278246E2" w:rsidR="005E65B2" w:rsidRDefault="005E65B2" w:rsidP="005E65B2">
            <w:r>
              <w:rPr>
                <w:b/>
                <w:bCs/>
                <w:i/>
                <w:iCs/>
              </w:rPr>
              <w:t>приложение</w:t>
            </w:r>
          </w:p>
        </w:tc>
        <w:tc>
          <w:tcPr>
            <w:tcW w:w="1297" w:type="dxa"/>
          </w:tcPr>
          <w:p w14:paraId="520A013D" w14:textId="4BE60712" w:rsidR="005E65B2" w:rsidRDefault="005E65B2" w:rsidP="005E65B2">
            <w:r>
              <w:rPr>
                <w:b/>
                <w:bCs/>
              </w:rPr>
              <w:t>Астения</w:t>
            </w:r>
          </w:p>
        </w:tc>
        <w:tc>
          <w:tcPr>
            <w:tcW w:w="1098" w:type="dxa"/>
          </w:tcPr>
          <w:p w14:paraId="64DE6B08" w14:textId="77777777" w:rsidR="005E65B2" w:rsidRDefault="005E65B2" w:rsidP="005E65B2"/>
        </w:tc>
        <w:tc>
          <w:tcPr>
            <w:tcW w:w="1778" w:type="dxa"/>
          </w:tcPr>
          <w:p w14:paraId="43BD04FF" w14:textId="77777777" w:rsidR="005E65B2" w:rsidRDefault="005E65B2" w:rsidP="005E65B2"/>
        </w:tc>
        <w:tc>
          <w:tcPr>
            <w:tcW w:w="1709" w:type="dxa"/>
          </w:tcPr>
          <w:p w14:paraId="4575847A" w14:textId="77777777" w:rsidR="005E65B2" w:rsidRDefault="005E65B2" w:rsidP="005E65B2"/>
        </w:tc>
        <w:tc>
          <w:tcPr>
            <w:tcW w:w="1815" w:type="dxa"/>
          </w:tcPr>
          <w:p w14:paraId="48680DFE" w14:textId="52AA1581" w:rsidR="005E65B2" w:rsidRDefault="005E65B2" w:rsidP="005E65B2">
            <w:r>
              <w:rPr>
                <w:b/>
                <w:bCs/>
              </w:rPr>
              <w:t>Едем</w:t>
            </w:r>
          </w:p>
        </w:tc>
      </w:tr>
      <w:tr w:rsidR="005E65B2" w14:paraId="042FBE03" w14:textId="77777777" w:rsidTr="007072F9">
        <w:tc>
          <w:tcPr>
            <w:tcW w:w="9350" w:type="dxa"/>
            <w:gridSpan w:val="6"/>
          </w:tcPr>
          <w:p w14:paraId="1926E519" w14:textId="4C5FFBE8" w:rsidR="005E65B2" w:rsidRDefault="005E65B2" w:rsidP="0091385D">
            <w:r>
              <w:rPr>
                <w:b/>
                <w:bCs/>
                <w:vertAlign w:val="superscript"/>
                <w:lang w:val="en-US"/>
              </w:rPr>
              <w:t>1</w:t>
            </w:r>
            <w:r>
              <w:rPr>
                <w:b/>
                <w:bCs/>
                <w:lang w:val="en-US"/>
              </w:rPr>
              <w:t xml:space="preserve"> </w:t>
            </w:r>
            <w:r>
              <w:rPr>
                <w:b/>
                <w:bCs/>
              </w:rPr>
              <w:t xml:space="preserve">Честотата ще зависи от наличието или липсата на рискови фактори (глюкоза на гладно ≥ 5.6 </w:t>
            </w:r>
            <w:proofErr w:type="spellStart"/>
            <w:r>
              <w:rPr>
                <w:b/>
                <w:bCs/>
                <w:lang w:val="en-US"/>
              </w:rPr>
              <w:t>mmol</w:t>
            </w:r>
            <w:proofErr w:type="spellEnd"/>
            <w:r>
              <w:rPr>
                <w:b/>
                <w:bCs/>
                <w:lang w:val="en-US"/>
              </w:rPr>
              <w:t xml:space="preserve">/L, </w:t>
            </w:r>
            <w:r>
              <w:rPr>
                <w:b/>
                <w:bCs/>
              </w:rPr>
              <w:t xml:space="preserve">индекс на телесната маса &gt;30 </w:t>
            </w:r>
            <w:r>
              <w:rPr>
                <w:b/>
                <w:bCs/>
                <w:lang w:val="en-US"/>
              </w:rPr>
              <w:t>kg/m</w:t>
            </w:r>
            <w:r>
              <w:rPr>
                <w:b/>
                <w:bCs/>
                <w:vertAlign w:val="superscript"/>
                <w:lang w:val="en-US"/>
              </w:rPr>
              <w:t>2</w:t>
            </w:r>
            <w:r>
              <w:rPr>
                <w:b/>
                <w:bCs/>
                <w:lang w:val="en-US"/>
              </w:rPr>
              <w:t xml:space="preserve">, </w:t>
            </w:r>
            <w:r>
              <w:rPr>
                <w:b/>
                <w:bCs/>
              </w:rPr>
              <w:t>повишени стойности на триглицеридите, анамнеза за хипертония).</w:t>
            </w:r>
          </w:p>
        </w:tc>
      </w:tr>
    </w:tbl>
    <w:p w14:paraId="43E3C48F" w14:textId="53F1F093" w:rsidR="0091385D" w:rsidRDefault="0091385D" w:rsidP="0091385D"/>
    <w:p w14:paraId="655289F1" w14:textId="7777777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Както и при другите </w:t>
      </w:r>
      <w:r w:rsidRPr="00E84873">
        <w:rPr>
          <w:rFonts w:eastAsia="Times New Roman" w:cs="Arial"/>
          <w:b/>
          <w:bCs/>
          <w:color w:val="000000"/>
          <w:lang w:val="en-US"/>
        </w:rPr>
        <w:t xml:space="preserve">HMG-CoA </w:t>
      </w:r>
      <w:r w:rsidRPr="00E84873">
        <w:rPr>
          <w:rFonts w:eastAsia="Times New Roman" w:cs="Arial"/>
          <w:b/>
          <w:bCs/>
          <w:color w:val="000000"/>
          <w:lang w:eastAsia="bg-BG"/>
        </w:rPr>
        <w:t>редуктазни инхибитори честотата на нежеланите реакции е дозозависима.</w:t>
      </w:r>
    </w:p>
    <w:p w14:paraId="785C0DA3" w14:textId="77777777" w:rsidR="00E84873" w:rsidRPr="00E84873" w:rsidRDefault="00E84873" w:rsidP="00E84873">
      <w:pPr>
        <w:spacing w:line="240" w:lineRule="auto"/>
        <w:rPr>
          <w:rFonts w:eastAsia="Times New Roman" w:cs="Arial"/>
          <w:sz w:val="24"/>
          <w:szCs w:val="24"/>
          <w:lang w:eastAsia="bg-BG"/>
        </w:rPr>
      </w:pPr>
    </w:p>
    <w:p w14:paraId="608E37DB" w14:textId="2A82D618"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Бъбречни ефекти: При пациенти, лекувани с розувастатин е наблюдавана протеинурия, установена чрез изследване с тест ленти, която има предимно тубулен произход . Промени в изследванията за протеин в урината от отрицателен резултат или следи до ++ или повече са наблюдавани при &lt;1% от пациентите на определен етап от лечението с 10 </w:t>
      </w:r>
      <w:r w:rsidRPr="00E84873">
        <w:rPr>
          <w:rFonts w:eastAsia="Times New Roman" w:cs="Arial"/>
          <w:b/>
          <w:bCs/>
          <w:color w:val="000000"/>
          <w:lang w:val="en-US"/>
        </w:rPr>
        <w:t xml:space="preserve">mg </w:t>
      </w:r>
      <w:r w:rsidRPr="00E84873">
        <w:rPr>
          <w:rFonts w:eastAsia="Times New Roman" w:cs="Arial"/>
          <w:b/>
          <w:bCs/>
          <w:color w:val="000000"/>
          <w:lang w:eastAsia="bg-BG"/>
        </w:rPr>
        <w:t xml:space="preserve">и 20 </w:t>
      </w:r>
      <w:r w:rsidRPr="00E84873">
        <w:rPr>
          <w:rFonts w:eastAsia="Times New Roman" w:cs="Arial"/>
          <w:b/>
          <w:bCs/>
          <w:color w:val="000000"/>
          <w:lang w:val="en-US"/>
        </w:rPr>
        <w:t xml:space="preserve">mg, </w:t>
      </w:r>
      <w:r w:rsidRPr="00E84873">
        <w:rPr>
          <w:rFonts w:eastAsia="Times New Roman" w:cs="Arial"/>
          <w:b/>
          <w:bCs/>
          <w:color w:val="000000"/>
          <w:lang w:eastAsia="bg-BG"/>
        </w:rPr>
        <w:t xml:space="preserve">и приблизително 3% от пациентите, лекувани с 40 </w:t>
      </w:r>
      <w:r w:rsidRPr="00E84873">
        <w:rPr>
          <w:rFonts w:eastAsia="Times New Roman" w:cs="Arial"/>
          <w:b/>
          <w:bCs/>
          <w:color w:val="000000"/>
          <w:lang w:val="en-US"/>
        </w:rPr>
        <w:t xml:space="preserve">mg. </w:t>
      </w:r>
      <w:r w:rsidRPr="00E84873">
        <w:rPr>
          <w:rFonts w:eastAsia="Times New Roman" w:cs="Arial"/>
          <w:b/>
          <w:bCs/>
          <w:color w:val="000000"/>
          <w:lang w:eastAsia="bg-BG"/>
        </w:rPr>
        <w:t xml:space="preserve">Незначително отклонение в посока от отрицателен резултат или следи към + е наблюдавано при доза от 20 </w:t>
      </w:r>
      <w:r w:rsidRPr="00E84873">
        <w:rPr>
          <w:rFonts w:eastAsia="Times New Roman" w:cs="Arial"/>
          <w:b/>
          <w:bCs/>
          <w:color w:val="000000"/>
          <w:lang w:val="en-US"/>
        </w:rPr>
        <w:t xml:space="preserve">mg. </w:t>
      </w:r>
      <w:r w:rsidRPr="00E84873">
        <w:rPr>
          <w:rFonts w:eastAsia="Times New Roman" w:cs="Arial"/>
          <w:b/>
          <w:bCs/>
          <w:color w:val="000000"/>
          <w:lang w:eastAsia="bg-BG"/>
        </w:rPr>
        <w:t>В повечето случаи протеинурията намалява или изчезва спонтанно в процеса на лечение. Прегледът на данните от клиничните проучвания и постмаркетинговия опит не е показал причинна връзка между протеинурията и острото или прогресивно бъбречно заболяване.</w:t>
      </w:r>
    </w:p>
    <w:p w14:paraId="5A6D2DD0" w14:textId="77777777" w:rsidR="00E84873" w:rsidRPr="00E84873" w:rsidRDefault="00E84873" w:rsidP="00E84873">
      <w:pPr>
        <w:spacing w:line="240" w:lineRule="auto"/>
        <w:rPr>
          <w:rFonts w:eastAsia="Times New Roman" w:cs="Arial"/>
          <w:b/>
          <w:bCs/>
          <w:color w:val="000000"/>
          <w:lang w:eastAsia="bg-BG"/>
        </w:rPr>
      </w:pPr>
    </w:p>
    <w:p w14:paraId="4B01A50C" w14:textId="7B6B3214"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Хематурия е наблюдавана при пациенти, лекувани с розувастатин, но данните от клиничните проучвания показват, че честотата й е ниска.</w:t>
      </w:r>
    </w:p>
    <w:p w14:paraId="2F947F1A" w14:textId="77777777" w:rsidR="00E84873" w:rsidRPr="00E84873" w:rsidRDefault="00E84873" w:rsidP="00E84873">
      <w:pPr>
        <w:spacing w:line="240" w:lineRule="auto"/>
        <w:rPr>
          <w:rFonts w:eastAsia="Times New Roman" w:cs="Arial"/>
          <w:b/>
          <w:bCs/>
          <w:color w:val="000000"/>
          <w:lang w:eastAsia="bg-BG"/>
        </w:rPr>
      </w:pPr>
    </w:p>
    <w:p w14:paraId="1925AB0F" w14:textId="7E842BE2"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Ефекти на скелетната мускулатура: Ефекти върху скелетната мускулатура, като миалгия, миопатия (включително миозит) и, рядко, рабдомиолиза с или без остра бъбречна недостатъчност са докладвани при пациенти, лекувани с розувастатин, при всички дози и особено при дози &gt; 20 </w:t>
      </w:r>
      <w:r w:rsidRPr="00E84873">
        <w:rPr>
          <w:rFonts w:eastAsia="Times New Roman" w:cs="Arial"/>
          <w:b/>
          <w:bCs/>
          <w:color w:val="000000"/>
          <w:lang w:val="en-US"/>
        </w:rPr>
        <w:t>mg.</w:t>
      </w:r>
    </w:p>
    <w:p w14:paraId="2BBC525D" w14:textId="77777777" w:rsidR="00E84873" w:rsidRPr="00E84873" w:rsidRDefault="00E84873" w:rsidP="00E84873">
      <w:pPr>
        <w:spacing w:line="240" w:lineRule="auto"/>
        <w:rPr>
          <w:rFonts w:eastAsia="Times New Roman" w:cs="Arial"/>
          <w:b/>
          <w:bCs/>
          <w:color w:val="000000"/>
          <w:lang w:eastAsia="bg-BG"/>
        </w:rPr>
      </w:pPr>
    </w:p>
    <w:p w14:paraId="55200EED" w14:textId="6EDCE7FA"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Дозозависимо повишение на нивата на креатинин киназата са наблюдавани при пациенти, които приемат розувастатин; повечето случаи са били леки, </w:t>
      </w:r>
      <w:r w:rsidRPr="00E84873">
        <w:rPr>
          <w:rFonts w:eastAsia="Times New Roman" w:cs="Arial"/>
          <w:b/>
          <w:bCs/>
          <w:color w:val="000000"/>
          <w:lang w:eastAsia="bg-BG"/>
        </w:rPr>
        <w:lastRenderedPageBreak/>
        <w:t xml:space="preserve">асимптоматични и преходни. Ако нивата на креатинин киназата се повишат </w:t>
      </w:r>
      <w:r w:rsidRPr="00E84873">
        <w:rPr>
          <w:rFonts w:eastAsia="Times New Roman" w:cs="Arial"/>
          <w:b/>
          <w:bCs/>
          <w:color w:val="000000"/>
          <w:lang w:val="en-US"/>
        </w:rPr>
        <w:t xml:space="preserve">(&gt;5xULN), </w:t>
      </w:r>
      <w:r w:rsidRPr="00E84873">
        <w:rPr>
          <w:rFonts w:eastAsia="Times New Roman" w:cs="Arial"/>
          <w:b/>
          <w:bCs/>
          <w:color w:val="000000"/>
          <w:lang w:eastAsia="bg-BG"/>
        </w:rPr>
        <w:t>лечението трябва да бъде преустановено (вж. точка 4.4).</w:t>
      </w:r>
    </w:p>
    <w:p w14:paraId="7A1F3E2D" w14:textId="77777777" w:rsidR="00E84873" w:rsidRPr="00E84873" w:rsidRDefault="00E84873" w:rsidP="00E84873">
      <w:pPr>
        <w:spacing w:line="240" w:lineRule="auto"/>
        <w:rPr>
          <w:rFonts w:eastAsia="Times New Roman" w:cs="Arial"/>
          <w:b/>
          <w:bCs/>
          <w:color w:val="000000"/>
          <w:lang w:eastAsia="bg-BG"/>
        </w:rPr>
      </w:pPr>
    </w:p>
    <w:p w14:paraId="49E987F1" w14:textId="72B08D07"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 xml:space="preserve">Чернодробни ефекти: Както и при другите </w:t>
      </w:r>
      <w:r w:rsidRPr="00E84873">
        <w:rPr>
          <w:rFonts w:eastAsia="Times New Roman" w:cs="Arial"/>
          <w:b/>
          <w:bCs/>
          <w:color w:val="000000"/>
          <w:lang w:val="en-US"/>
        </w:rPr>
        <w:t xml:space="preserve">HMG-CoA </w:t>
      </w:r>
      <w:r w:rsidRPr="00E84873">
        <w:rPr>
          <w:rFonts w:eastAsia="Times New Roman" w:cs="Arial"/>
          <w:b/>
          <w:bCs/>
          <w:color w:val="000000"/>
          <w:lang w:eastAsia="bg-BG"/>
        </w:rPr>
        <w:t>редуктазни инхибитори, дозозависимо повишение на транаминазите е наблюдавано при малък брой пациенти, които приемат розувастатин; повечето случаи са били леки, асимптоматични и преходни.</w:t>
      </w:r>
    </w:p>
    <w:p w14:paraId="119F4BB3" w14:textId="77777777" w:rsidR="00E84873" w:rsidRPr="00E84873" w:rsidRDefault="00E84873" w:rsidP="00E84873">
      <w:pPr>
        <w:spacing w:line="240" w:lineRule="auto"/>
        <w:rPr>
          <w:rFonts w:eastAsia="Times New Roman" w:cs="Arial"/>
          <w:b/>
          <w:bCs/>
          <w:color w:val="000000"/>
          <w:lang w:eastAsia="bg-BG"/>
        </w:rPr>
      </w:pPr>
    </w:p>
    <w:p w14:paraId="1F110D55" w14:textId="1BA12F46" w:rsidR="00E84873" w:rsidRPr="00E84873" w:rsidRDefault="00E84873" w:rsidP="00E84873">
      <w:pPr>
        <w:spacing w:line="240" w:lineRule="auto"/>
        <w:rPr>
          <w:rFonts w:eastAsia="Times New Roman" w:cs="Arial"/>
          <w:sz w:val="24"/>
          <w:szCs w:val="24"/>
          <w:lang w:eastAsia="bg-BG"/>
        </w:rPr>
      </w:pPr>
      <w:r w:rsidRPr="00E84873">
        <w:rPr>
          <w:rFonts w:eastAsia="Times New Roman" w:cs="Arial"/>
          <w:b/>
          <w:bCs/>
          <w:color w:val="000000"/>
          <w:lang w:eastAsia="bg-BG"/>
        </w:rPr>
        <w:t>Следните нежелани лекарствени реакции са наблюдавани при някои статини:</w:t>
      </w:r>
    </w:p>
    <w:p w14:paraId="44104702" w14:textId="77777777" w:rsidR="00E84873" w:rsidRPr="00E84873" w:rsidRDefault="00E84873" w:rsidP="00E84873">
      <w:pPr>
        <w:pStyle w:val="ListParagraph"/>
        <w:numPr>
          <w:ilvl w:val="0"/>
          <w:numId w:val="38"/>
        </w:numPr>
        <w:spacing w:line="240" w:lineRule="auto"/>
        <w:rPr>
          <w:rFonts w:eastAsia="Times New Roman" w:cs="Arial"/>
          <w:sz w:val="24"/>
          <w:szCs w:val="24"/>
          <w:lang w:eastAsia="bg-BG"/>
        </w:rPr>
      </w:pPr>
      <w:r w:rsidRPr="00E84873">
        <w:rPr>
          <w:rFonts w:eastAsia="Times New Roman" w:cs="Arial"/>
          <w:b/>
          <w:bCs/>
          <w:color w:val="000000"/>
          <w:lang w:eastAsia="bg-BG"/>
        </w:rPr>
        <w:t>Сексуална дисфункция.</w:t>
      </w:r>
    </w:p>
    <w:p w14:paraId="69B7A56D" w14:textId="3C91E523" w:rsidR="00E84873" w:rsidRPr="00E84873" w:rsidRDefault="00E84873" w:rsidP="00E84873">
      <w:pPr>
        <w:pStyle w:val="ListParagraph"/>
        <w:numPr>
          <w:ilvl w:val="0"/>
          <w:numId w:val="38"/>
        </w:numPr>
        <w:spacing w:line="240" w:lineRule="auto"/>
        <w:rPr>
          <w:rFonts w:eastAsia="Times New Roman" w:cs="Arial"/>
          <w:sz w:val="24"/>
          <w:szCs w:val="24"/>
          <w:lang w:eastAsia="bg-BG"/>
        </w:rPr>
      </w:pPr>
      <w:r w:rsidRPr="00E84873">
        <w:rPr>
          <w:rFonts w:eastAsia="Times New Roman" w:cs="Arial"/>
          <w:b/>
          <w:bCs/>
          <w:color w:val="000000"/>
          <w:lang w:eastAsia="bg-BG"/>
        </w:rPr>
        <w:t>Изолирани случаи на интерстициално белодробно заболяване, особено при дългосрочно лечение (вж. Точка 4.4).</w:t>
      </w:r>
    </w:p>
    <w:p w14:paraId="3FB62AA9" w14:textId="77777777" w:rsidR="00E84873" w:rsidRPr="00E84873" w:rsidRDefault="00E84873" w:rsidP="00E84873">
      <w:pPr>
        <w:rPr>
          <w:rFonts w:eastAsia="Times New Roman" w:cs="Arial"/>
          <w:b/>
          <w:bCs/>
          <w:color w:val="000000"/>
          <w:lang w:eastAsia="bg-BG"/>
        </w:rPr>
      </w:pPr>
    </w:p>
    <w:p w14:paraId="03A7191D" w14:textId="2727DF81" w:rsidR="00E84873" w:rsidRPr="00E84873" w:rsidRDefault="00E84873" w:rsidP="00E84873">
      <w:pPr>
        <w:rPr>
          <w:rFonts w:cs="Arial"/>
        </w:rPr>
      </w:pPr>
      <w:r w:rsidRPr="00E84873">
        <w:rPr>
          <w:rFonts w:eastAsia="Times New Roman" w:cs="Arial"/>
          <w:b/>
          <w:bCs/>
          <w:color w:val="000000"/>
          <w:lang w:eastAsia="bg-BG"/>
        </w:rPr>
        <w:t>Честотата на съобщаване на рабдомиолиза, тежки бъбречни събития и тежки чернодробни събития (състоящи се предимно от повишени чернодробни трансаминазни)</w:t>
      </w:r>
      <w:r w:rsidRPr="00E84873">
        <w:rPr>
          <w:rFonts w:eastAsia="Times New Roman" w:cs="Arial"/>
          <w:b/>
          <w:bCs/>
          <w:color w:val="000000"/>
          <w:lang w:val="en-US"/>
        </w:rPr>
        <w:t xml:space="preserve"> e</w:t>
      </w:r>
      <w:r w:rsidRPr="00E84873">
        <w:rPr>
          <w:rFonts w:eastAsia="Times New Roman" w:cs="Arial"/>
          <w:b/>
          <w:bCs/>
          <w:color w:val="000000"/>
          <w:lang w:eastAsia="bg-BG"/>
        </w:rPr>
        <w:t xml:space="preserve"> по-</w:t>
      </w:r>
      <w:r w:rsidRPr="00E84873">
        <w:rPr>
          <w:rFonts w:eastAsia="Times New Roman" w:cs="Arial"/>
          <w:b/>
          <w:bCs/>
          <w:color w:val="000000"/>
          <w:vertAlign w:val="subscript"/>
          <w:lang w:eastAsia="bg-BG"/>
        </w:rPr>
        <w:t xml:space="preserve"> </w:t>
      </w:r>
      <w:r w:rsidRPr="00E84873">
        <w:rPr>
          <w:rFonts w:eastAsia="Times New Roman" w:cs="Arial"/>
          <w:b/>
          <w:bCs/>
          <w:color w:val="000000"/>
          <w:lang w:eastAsia="bg-BG"/>
        </w:rPr>
        <w:t xml:space="preserve">висока при доза от 40 </w:t>
      </w:r>
      <w:r w:rsidRPr="00E84873">
        <w:rPr>
          <w:rFonts w:eastAsia="Times New Roman" w:cs="Arial"/>
          <w:b/>
          <w:bCs/>
          <w:color w:val="000000"/>
          <w:lang w:val="en-US"/>
        </w:rPr>
        <w:t>mg.</w:t>
      </w:r>
    </w:p>
    <w:p w14:paraId="2CC58E8F" w14:textId="4468498E" w:rsidR="00E84873" w:rsidRDefault="00E84873" w:rsidP="0091385D"/>
    <w:p w14:paraId="195F443E"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 xml:space="preserve">Педиатрична популация: Повишени нива на креатинин киназата </w:t>
      </w:r>
      <w:r w:rsidRPr="00B655FB">
        <w:rPr>
          <w:rFonts w:eastAsia="Times New Roman" w:cs="Arial"/>
          <w:b/>
          <w:bCs/>
          <w:color w:val="000000"/>
          <w:lang w:val="en-US"/>
        </w:rPr>
        <w:t xml:space="preserve">&gt;10xULN </w:t>
      </w:r>
      <w:r w:rsidRPr="00B655FB">
        <w:rPr>
          <w:rFonts w:eastAsia="Times New Roman" w:cs="Arial"/>
          <w:b/>
          <w:bCs/>
          <w:color w:val="000000"/>
          <w:lang w:eastAsia="bg-BG"/>
        </w:rPr>
        <w:t>и мускулни симптоми след упражнения или повишена физическа активност са наблюдавани по-често в 52- седмично клинично проучване при деца и юноши в сравнение с възрастни (вж. точка 4.4). От друга гледна точка, профилът на безопасност на розувастатин е бил сходен при деца и юноши в сравнение с възрастни.</w:t>
      </w:r>
    </w:p>
    <w:p w14:paraId="515FC96A" w14:textId="77777777" w:rsidR="00B655FB" w:rsidRPr="00BA0164" w:rsidRDefault="00B655FB" w:rsidP="00B655FB">
      <w:pPr>
        <w:spacing w:line="240" w:lineRule="auto"/>
        <w:rPr>
          <w:rFonts w:eastAsia="Times New Roman" w:cs="Arial"/>
          <w:b/>
          <w:bCs/>
          <w:color w:val="000000"/>
          <w:u w:val="single"/>
          <w:lang w:eastAsia="bg-BG"/>
        </w:rPr>
      </w:pPr>
    </w:p>
    <w:p w14:paraId="76C9B79E" w14:textId="1C67B38C"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u w:val="single"/>
          <w:lang w:eastAsia="bg-BG"/>
        </w:rPr>
        <w:t>Съобщаване на подозирани нежелани реакции</w:t>
      </w:r>
    </w:p>
    <w:p w14:paraId="339611F9"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 риск на лекарствения продукт. От медицинските специалисти се изисква да съобщават всяка подозирана нежелана реакция чрез националната система за съобщаване:</w:t>
      </w:r>
    </w:p>
    <w:p w14:paraId="1F3C54C0"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Изпълнителна агенция по лекарствата</w:t>
      </w:r>
    </w:p>
    <w:p w14:paraId="688C14AD"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ул.,Дамян Груев” № 8</w:t>
      </w:r>
    </w:p>
    <w:p w14:paraId="61022343"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iCs/>
          <w:color w:val="000000"/>
          <w:lang w:eastAsia="bg-BG"/>
        </w:rPr>
        <w:t>1303</w:t>
      </w:r>
      <w:r w:rsidRPr="00B655FB">
        <w:rPr>
          <w:rFonts w:eastAsia="Times New Roman" w:cs="Arial"/>
          <w:b/>
          <w:bCs/>
          <w:color w:val="000000"/>
          <w:lang w:eastAsia="bg-BG"/>
        </w:rPr>
        <w:t xml:space="preserve"> София</w:t>
      </w:r>
    </w:p>
    <w:p w14:paraId="2A0FA931" w14:textId="77777777" w:rsidR="00B655FB" w:rsidRPr="00B655FB" w:rsidRDefault="00B655FB" w:rsidP="00B655FB">
      <w:pPr>
        <w:spacing w:line="240" w:lineRule="auto"/>
        <w:rPr>
          <w:rFonts w:eastAsia="Times New Roman" w:cs="Arial"/>
          <w:b/>
          <w:lang w:eastAsia="bg-BG"/>
        </w:rPr>
      </w:pPr>
      <w:r w:rsidRPr="00B655FB">
        <w:rPr>
          <w:rFonts w:eastAsia="Times New Roman" w:cs="Arial"/>
          <w:b/>
          <w:bCs/>
          <w:color w:val="000000"/>
          <w:lang w:eastAsia="bg-BG"/>
        </w:rPr>
        <w:t>Тел.:+359 2 8903417</w:t>
      </w:r>
    </w:p>
    <w:p w14:paraId="6FDAAAB1" w14:textId="35DA8D33" w:rsidR="00B655FB" w:rsidRPr="00BA0164" w:rsidRDefault="00B655FB" w:rsidP="00B655FB">
      <w:pPr>
        <w:rPr>
          <w:rFonts w:cs="Arial"/>
          <w:b/>
        </w:rPr>
      </w:pPr>
      <w:r w:rsidRPr="00BA0164">
        <w:rPr>
          <w:rFonts w:eastAsia="Times New Roman" w:cs="Arial"/>
          <w:b/>
          <w:bCs/>
          <w:color w:val="000000"/>
          <w:lang w:eastAsia="bg-BG"/>
        </w:rPr>
        <w:t xml:space="preserve">уебсайт: </w:t>
      </w:r>
      <w:hyperlink r:id="rId5" w:history="1">
        <w:r w:rsidRPr="00BA0164">
          <w:rPr>
            <w:rFonts w:eastAsia="Times New Roman" w:cs="Arial"/>
            <w:b/>
            <w:bCs/>
            <w:color w:val="000000"/>
            <w:u w:val="single"/>
            <w:lang w:val="en-US"/>
          </w:rPr>
          <w:t>www.bda.bg</w:t>
        </w:r>
      </w:hyperlink>
    </w:p>
    <w:p w14:paraId="6F60454C" w14:textId="77777777" w:rsidR="00B655FB" w:rsidRPr="0091385D" w:rsidRDefault="00B655FB" w:rsidP="0091385D"/>
    <w:p w14:paraId="0A023CE0" w14:textId="13F87CFD" w:rsidR="00CF77F7" w:rsidRDefault="002C50EE" w:rsidP="004A448E">
      <w:pPr>
        <w:pStyle w:val="Heading2"/>
      </w:pPr>
      <w:r>
        <w:t>4.9. Предозиране</w:t>
      </w:r>
    </w:p>
    <w:p w14:paraId="3EDFC3FC" w14:textId="296E7EBA" w:rsidR="0091385D" w:rsidRDefault="0091385D" w:rsidP="0091385D"/>
    <w:p w14:paraId="0F0079CB" w14:textId="2F70CD1D" w:rsidR="0091385D" w:rsidRDefault="00B655FB" w:rsidP="0091385D">
      <w:r>
        <w:rPr>
          <w:b/>
          <w:bCs/>
        </w:rPr>
        <w:t>Няма специфично лечение в случай на предозиране. В случай на предозиране на пациента трябва да бъдат приложени симптоматични и поддържащи мерки според нуждата. Чернодробната функция и нивата на креатинин киназата трябва да бъдат проследявани. Малко вероятно е хемодиализата да бъде от полза.</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27429919"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lastRenderedPageBreak/>
        <w:t xml:space="preserve">Фармакотерапевтична група: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редукгазни инхибитори</w:t>
      </w:r>
    </w:p>
    <w:p w14:paraId="40F8151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АТСкод: С10АА07</w:t>
      </w:r>
    </w:p>
    <w:p w14:paraId="5B865F7E" w14:textId="77777777" w:rsidR="009160EE" w:rsidRPr="009160EE" w:rsidRDefault="009160EE" w:rsidP="009160EE">
      <w:pPr>
        <w:spacing w:line="240" w:lineRule="auto"/>
        <w:rPr>
          <w:rFonts w:eastAsia="Times New Roman" w:cs="Arial"/>
          <w:b/>
          <w:bCs/>
          <w:color w:val="000000"/>
          <w:u w:val="single"/>
          <w:lang w:eastAsia="bg-BG"/>
        </w:rPr>
      </w:pPr>
    </w:p>
    <w:p w14:paraId="084F1338" w14:textId="3BCDA6D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Механизъм на действие</w:t>
      </w:r>
    </w:p>
    <w:p w14:paraId="5CA0ED5C"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е селективен и конкурентен инхибитор на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редукгазата, скорост-ограничаващият ензим, който превръща 3-хидрокси-3-метилглутарил-коензим А в мелавонат, прекусор на холестерола. Основно въздействие розувастатин оказва върху черния дроб, органът, в който се извършва намаляването на нивото на холестерола.</w:t>
      </w:r>
    </w:p>
    <w:p w14:paraId="2113108A" w14:textId="77777777" w:rsidR="009160EE" w:rsidRPr="009160EE" w:rsidRDefault="009160EE" w:rsidP="009160EE">
      <w:pPr>
        <w:spacing w:line="240" w:lineRule="auto"/>
        <w:rPr>
          <w:rFonts w:eastAsia="Times New Roman" w:cs="Arial"/>
          <w:b/>
          <w:bCs/>
          <w:color w:val="000000"/>
          <w:lang w:eastAsia="bg-BG"/>
        </w:rPr>
      </w:pPr>
    </w:p>
    <w:p w14:paraId="24BECE19" w14:textId="4D0A595D"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увеличава броя на чернодробните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рецептори върху повърхността на клетките, като засилва поемането и катаболизма на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и инхибира чернодробния синтез на </w:t>
      </w:r>
      <w:r w:rsidRPr="009160EE">
        <w:rPr>
          <w:rFonts w:eastAsia="Times New Roman" w:cs="Arial"/>
          <w:b/>
          <w:bCs/>
          <w:color w:val="000000"/>
          <w:lang w:val="en-US"/>
        </w:rPr>
        <w:t xml:space="preserve">VLDL, </w:t>
      </w:r>
      <w:r w:rsidRPr="009160EE">
        <w:rPr>
          <w:rFonts w:eastAsia="Times New Roman" w:cs="Arial"/>
          <w:b/>
          <w:bCs/>
          <w:color w:val="000000"/>
          <w:lang w:eastAsia="bg-BG"/>
        </w:rPr>
        <w:t xml:space="preserve">като по този начан намалява общия брой на </w:t>
      </w:r>
      <w:r w:rsidRPr="009160EE">
        <w:rPr>
          <w:rFonts w:eastAsia="Times New Roman" w:cs="Arial"/>
          <w:b/>
          <w:bCs/>
          <w:color w:val="000000"/>
          <w:lang w:val="en-US"/>
        </w:rPr>
        <w:t xml:space="preserve">VLDL </w:t>
      </w:r>
      <w:r w:rsidRPr="009160EE">
        <w:rPr>
          <w:rFonts w:eastAsia="Times New Roman" w:cs="Arial"/>
          <w:b/>
          <w:bCs/>
          <w:color w:val="000000"/>
          <w:lang w:eastAsia="bg-BG"/>
        </w:rPr>
        <w:t xml:space="preserve">и </w:t>
      </w:r>
      <w:r w:rsidRPr="009160EE">
        <w:rPr>
          <w:rFonts w:eastAsia="Times New Roman" w:cs="Arial"/>
          <w:b/>
          <w:bCs/>
          <w:color w:val="000000"/>
          <w:lang w:val="en-US"/>
        </w:rPr>
        <w:t xml:space="preserve">LDL </w:t>
      </w:r>
      <w:r w:rsidRPr="009160EE">
        <w:rPr>
          <w:rFonts w:eastAsia="Times New Roman" w:cs="Arial"/>
          <w:b/>
          <w:bCs/>
          <w:color w:val="000000"/>
          <w:lang w:eastAsia="bg-BG"/>
        </w:rPr>
        <w:t>частици.</w:t>
      </w:r>
    </w:p>
    <w:p w14:paraId="79333037" w14:textId="77777777" w:rsidR="009160EE" w:rsidRPr="009160EE" w:rsidRDefault="009160EE" w:rsidP="009160EE">
      <w:pPr>
        <w:spacing w:line="240" w:lineRule="auto"/>
        <w:rPr>
          <w:rFonts w:eastAsia="Times New Roman" w:cs="Arial"/>
          <w:b/>
          <w:bCs/>
          <w:color w:val="000000"/>
          <w:u w:val="single"/>
          <w:lang w:eastAsia="bg-BG"/>
        </w:rPr>
      </w:pPr>
    </w:p>
    <w:p w14:paraId="46F5493B" w14:textId="7126D12A"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Фармакодинамични ефекти</w:t>
      </w:r>
    </w:p>
    <w:p w14:paraId="28252AA0" w14:textId="736E4A1B" w:rsidR="0091385D" w:rsidRPr="009160EE" w:rsidRDefault="009160EE" w:rsidP="009160EE">
      <w:pPr>
        <w:rPr>
          <w:rFonts w:eastAsia="Times New Roman" w:cs="Arial"/>
          <w:b/>
          <w:bCs/>
          <w:color w:val="000000"/>
          <w:lang w:eastAsia="bg-BG"/>
        </w:rPr>
      </w:pPr>
      <w:r w:rsidRPr="009160EE">
        <w:rPr>
          <w:rFonts w:eastAsia="Times New Roman" w:cs="Arial"/>
          <w:b/>
          <w:bCs/>
          <w:color w:val="000000"/>
          <w:lang w:eastAsia="bg-BG"/>
        </w:rPr>
        <w:t xml:space="preserve">Розувастатин понижава повишения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холестерол, общия холестерол и триглицеридите и повишава </w:t>
      </w:r>
      <w:r w:rsidRPr="009160EE">
        <w:rPr>
          <w:rFonts w:eastAsia="Times New Roman" w:cs="Arial"/>
          <w:b/>
          <w:bCs/>
          <w:color w:val="000000"/>
          <w:lang w:val="en-US"/>
        </w:rPr>
        <w:t xml:space="preserve">HDL </w:t>
      </w:r>
      <w:r w:rsidRPr="009160EE">
        <w:rPr>
          <w:rFonts w:eastAsia="Times New Roman" w:cs="Arial"/>
          <w:b/>
          <w:bCs/>
          <w:color w:val="000000"/>
          <w:lang w:eastAsia="bg-BG"/>
        </w:rPr>
        <w:t xml:space="preserve">холестерола. Освен това понижава АроВ, не </w:t>
      </w:r>
      <w:r w:rsidRPr="009160EE">
        <w:rPr>
          <w:rFonts w:eastAsia="Times New Roman" w:cs="Arial"/>
          <w:b/>
          <w:bCs/>
          <w:color w:val="000000"/>
          <w:lang w:val="en-US"/>
        </w:rPr>
        <w:t xml:space="preserve">HDL-C, VLDL- </w:t>
      </w:r>
      <w:r w:rsidRPr="009160EE">
        <w:rPr>
          <w:rFonts w:eastAsia="Times New Roman" w:cs="Arial"/>
          <w:b/>
          <w:bCs/>
          <w:color w:val="000000"/>
          <w:lang w:eastAsia="bg-BG"/>
        </w:rPr>
        <w:t xml:space="preserve">С, </w:t>
      </w:r>
      <w:r w:rsidRPr="009160EE">
        <w:rPr>
          <w:rFonts w:eastAsia="Times New Roman" w:cs="Arial"/>
          <w:b/>
          <w:bCs/>
          <w:color w:val="000000"/>
          <w:lang w:val="en-US"/>
        </w:rPr>
        <w:t xml:space="preserve">VLDL-TG </w:t>
      </w:r>
      <w:r w:rsidRPr="009160EE">
        <w:rPr>
          <w:rFonts w:eastAsia="Times New Roman" w:cs="Arial"/>
          <w:b/>
          <w:bCs/>
          <w:color w:val="000000"/>
          <w:lang w:eastAsia="bg-BG"/>
        </w:rPr>
        <w:t>и повишава АроА</w:t>
      </w:r>
      <w:r w:rsidRPr="009160EE">
        <w:rPr>
          <w:rFonts w:eastAsia="Times New Roman" w:cs="Arial"/>
          <w:b/>
          <w:bCs/>
          <w:color w:val="000000"/>
          <w:lang w:val="en-US"/>
        </w:rPr>
        <w:t xml:space="preserve">-I </w:t>
      </w:r>
      <w:r w:rsidRPr="009160EE">
        <w:rPr>
          <w:rFonts w:eastAsia="Times New Roman" w:cs="Arial"/>
          <w:b/>
          <w:bCs/>
          <w:color w:val="000000"/>
          <w:lang w:eastAsia="bg-BG"/>
        </w:rPr>
        <w:t xml:space="preserve">(вж. Таблица 3). В допълнение розувастатин също понижава съотношението </w:t>
      </w:r>
      <w:r w:rsidRPr="009160EE">
        <w:rPr>
          <w:rFonts w:eastAsia="Times New Roman" w:cs="Arial"/>
          <w:b/>
          <w:bCs/>
          <w:color w:val="000000"/>
          <w:lang w:val="en-US"/>
        </w:rPr>
        <w:t xml:space="preserve">LDL-C/HDL-C, </w:t>
      </w:r>
      <w:r w:rsidRPr="009160EE">
        <w:rPr>
          <w:rFonts w:eastAsia="Times New Roman" w:cs="Arial"/>
          <w:b/>
          <w:bCs/>
          <w:color w:val="000000"/>
          <w:lang w:eastAsia="bg-BG"/>
        </w:rPr>
        <w:t xml:space="preserve">общ </w:t>
      </w:r>
      <w:r w:rsidRPr="009160EE">
        <w:rPr>
          <w:rFonts w:eastAsia="Times New Roman" w:cs="Arial"/>
          <w:b/>
          <w:bCs/>
          <w:color w:val="000000"/>
          <w:lang w:val="en-US"/>
        </w:rPr>
        <w:t xml:space="preserve">C/HDL-C </w:t>
      </w:r>
      <w:r w:rsidRPr="009160EE">
        <w:rPr>
          <w:rFonts w:eastAsia="Times New Roman" w:cs="Arial"/>
          <w:b/>
          <w:bCs/>
          <w:color w:val="000000"/>
          <w:lang w:eastAsia="bg-BG"/>
        </w:rPr>
        <w:t xml:space="preserve">и не </w:t>
      </w:r>
      <w:r w:rsidRPr="009160EE">
        <w:rPr>
          <w:rFonts w:eastAsia="Times New Roman" w:cs="Arial"/>
          <w:b/>
          <w:bCs/>
          <w:color w:val="000000"/>
          <w:lang w:val="en-US"/>
        </w:rPr>
        <w:t xml:space="preserve">HDL-C/HDL-C </w:t>
      </w:r>
      <w:r w:rsidRPr="009160EE">
        <w:rPr>
          <w:rFonts w:eastAsia="Times New Roman" w:cs="Arial"/>
          <w:b/>
          <w:bCs/>
          <w:color w:val="000000"/>
          <w:lang w:eastAsia="bg-BG"/>
        </w:rPr>
        <w:t>и АроВ/АроА-1.</w:t>
      </w:r>
    </w:p>
    <w:p w14:paraId="691DF50D" w14:textId="3D4EEEAE" w:rsidR="009160EE" w:rsidRDefault="009160EE" w:rsidP="009160EE">
      <w:pPr>
        <w:rPr>
          <w:rFonts w:ascii="Times New Roman" w:eastAsia="Times New Roman" w:hAnsi="Times New Roman" w:cs="Times New Roman"/>
          <w:b/>
          <w:bCs/>
          <w:color w:val="000000"/>
          <w:lang w:eastAsia="bg-BG"/>
        </w:rPr>
      </w:pPr>
    </w:p>
    <w:p w14:paraId="3A90E06F" w14:textId="77777777" w:rsidR="009160EE" w:rsidRPr="009160EE" w:rsidRDefault="009160EE" w:rsidP="009160EE">
      <w:r w:rsidRPr="009160EE">
        <w:rPr>
          <w:b/>
          <w:bCs/>
        </w:rPr>
        <w:t>Таблица 3 Дозов отговор при пациенти с първична хиперхолестеролемия (тип IIа и</w:t>
      </w:r>
    </w:p>
    <w:p w14:paraId="182765D3" w14:textId="62FECC94" w:rsidR="009160EE" w:rsidRPr="009160EE" w:rsidRDefault="009160EE" w:rsidP="009160EE">
      <w:r w:rsidRPr="009160EE">
        <w:rPr>
          <w:b/>
          <w:bCs/>
        </w:rPr>
        <w:t>II</w:t>
      </w:r>
      <w:r w:rsidRPr="009160EE">
        <w:rPr>
          <w:b/>
          <w:bCs/>
          <w:lang w:val="en-US"/>
        </w:rPr>
        <w:t xml:space="preserve">b) </w:t>
      </w:r>
      <w:r w:rsidRPr="009160EE">
        <w:rPr>
          <w:b/>
          <w:bCs/>
        </w:rPr>
        <w:t>коригнран среден процент на промяна от изходното ниво)</w:t>
      </w:r>
    </w:p>
    <w:tbl>
      <w:tblPr>
        <w:tblStyle w:val="TableGrid"/>
        <w:tblW w:w="0" w:type="auto"/>
        <w:tblLook w:val="04A0" w:firstRow="1" w:lastRow="0" w:firstColumn="1" w:lastColumn="0" w:noHBand="0" w:noVBand="1"/>
      </w:tblPr>
      <w:tblGrid>
        <w:gridCol w:w="1165"/>
        <w:gridCol w:w="1012"/>
        <w:gridCol w:w="1025"/>
        <w:gridCol w:w="1027"/>
        <w:gridCol w:w="1026"/>
        <w:gridCol w:w="1016"/>
        <w:gridCol w:w="1026"/>
        <w:gridCol w:w="1028"/>
        <w:gridCol w:w="1025"/>
      </w:tblGrid>
      <w:tr w:rsidR="009160EE" w14:paraId="715EEB19" w14:textId="77777777" w:rsidTr="00E05F78">
        <w:tc>
          <w:tcPr>
            <w:tcW w:w="1038" w:type="dxa"/>
            <w:vAlign w:val="center"/>
          </w:tcPr>
          <w:p w14:paraId="25EB4FB3" w14:textId="58FFDEB5" w:rsidR="009160EE" w:rsidRDefault="009160EE" w:rsidP="009160EE">
            <w:r>
              <w:rPr>
                <w:b/>
                <w:bCs/>
              </w:rPr>
              <w:t>Доза</w:t>
            </w:r>
          </w:p>
        </w:tc>
        <w:tc>
          <w:tcPr>
            <w:tcW w:w="1039" w:type="dxa"/>
            <w:vAlign w:val="center"/>
          </w:tcPr>
          <w:p w14:paraId="4F5D3DB3" w14:textId="6B0FAB5B" w:rsidR="009160EE" w:rsidRDefault="009160EE" w:rsidP="009160EE">
            <w:r>
              <w:rPr>
                <w:b/>
                <w:bCs/>
                <w:lang w:val="en-US"/>
              </w:rPr>
              <w:t>N</w:t>
            </w:r>
          </w:p>
        </w:tc>
        <w:tc>
          <w:tcPr>
            <w:tcW w:w="1039" w:type="dxa"/>
            <w:vAlign w:val="center"/>
          </w:tcPr>
          <w:p w14:paraId="4714D44B" w14:textId="532DA796" w:rsidR="009160EE" w:rsidRDefault="009160EE" w:rsidP="009160EE">
            <w:r>
              <w:rPr>
                <w:b/>
                <w:bCs/>
                <w:lang w:val="en-US"/>
              </w:rPr>
              <w:t>LDL-C</w:t>
            </w:r>
          </w:p>
        </w:tc>
        <w:tc>
          <w:tcPr>
            <w:tcW w:w="1039" w:type="dxa"/>
            <w:vAlign w:val="center"/>
          </w:tcPr>
          <w:p w14:paraId="05211A0A" w14:textId="19830421" w:rsidR="009160EE" w:rsidRDefault="009160EE" w:rsidP="009160EE">
            <w:r>
              <w:rPr>
                <w:b/>
                <w:bCs/>
              </w:rPr>
              <w:t>Общ-С</w:t>
            </w:r>
          </w:p>
        </w:tc>
        <w:tc>
          <w:tcPr>
            <w:tcW w:w="1039" w:type="dxa"/>
            <w:vAlign w:val="center"/>
          </w:tcPr>
          <w:p w14:paraId="61F0AE79" w14:textId="52422946" w:rsidR="009160EE" w:rsidRDefault="009160EE" w:rsidP="009160EE">
            <w:r>
              <w:rPr>
                <w:b/>
                <w:bCs/>
                <w:lang w:val="en-US"/>
              </w:rPr>
              <w:t>HDL-C</w:t>
            </w:r>
          </w:p>
        </w:tc>
        <w:tc>
          <w:tcPr>
            <w:tcW w:w="1039" w:type="dxa"/>
            <w:vAlign w:val="center"/>
          </w:tcPr>
          <w:p w14:paraId="696244AD" w14:textId="4F36409D" w:rsidR="009160EE" w:rsidRDefault="009160EE" w:rsidP="009160EE">
            <w:r>
              <w:rPr>
                <w:b/>
                <w:bCs/>
                <w:lang w:val="en-US"/>
              </w:rPr>
              <w:t>TG</w:t>
            </w:r>
          </w:p>
        </w:tc>
        <w:tc>
          <w:tcPr>
            <w:tcW w:w="1039" w:type="dxa"/>
            <w:vAlign w:val="center"/>
          </w:tcPr>
          <w:p w14:paraId="79F19030" w14:textId="6F59AD3C" w:rsidR="009160EE" w:rsidRDefault="009160EE" w:rsidP="009160EE">
            <w:r>
              <w:rPr>
                <w:b/>
                <w:bCs/>
              </w:rPr>
              <w:t xml:space="preserve">не </w:t>
            </w:r>
            <w:r>
              <w:rPr>
                <w:b/>
                <w:bCs/>
                <w:lang w:val="en-US"/>
              </w:rPr>
              <w:t xml:space="preserve">HDL- </w:t>
            </w:r>
            <w:r>
              <w:rPr>
                <w:b/>
                <w:bCs/>
              </w:rPr>
              <w:t>С</w:t>
            </w:r>
          </w:p>
        </w:tc>
        <w:tc>
          <w:tcPr>
            <w:tcW w:w="1039" w:type="dxa"/>
            <w:vAlign w:val="center"/>
          </w:tcPr>
          <w:p w14:paraId="43357E7E" w14:textId="5E57CDB5" w:rsidR="009160EE" w:rsidRDefault="009160EE" w:rsidP="009160EE">
            <w:r>
              <w:rPr>
                <w:b/>
                <w:bCs/>
              </w:rPr>
              <w:t>АроВ</w:t>
            </w:r>
          </w:p>
        </w:tc>
        <w:tc>
          <w:tcPr>
            <w:tcW w:w="1039" w:type="dxa"/>
          </w:tcPr>
          <w:p w14:paraId="764287C1" w14:textId="697B7CC8" w:rsidR="009160EE" w:rsidRDefault="009160EE" w:rsidP="009160EE">
            <w:r>
              <w:rPr>
                <w:b/>
                <w:bCs/>
                <w:lang w:val="en-US"/>
              </w:rPr>
              <w:t>Apo-I</w:t>
            </w:r>
          </w:p>
        </w:tc>
      </w:tr>
      <w:tr w:rsidR="009160EE" w14:paraId="631BD7DB" w14:textId="77777777" w:rsidTr="009160EE">
        <w:tc>
          <w:tcPr>
            <w:tcW w:w="1038" w:type="dxa"/>
          </w:tcPr>
          <w:p w14:paraId="616E252D" w14:textId="416EF14D" w:rsidR="009160EE" w:rsidRDefault="009160EE" w:rsidP="009160EE">
            <w:r>
              <w:rPr>
                <w:b/>
                <w:bCs/>
              </w:rPr>
              <w:t>Плацебо</w:t>
            </w:r>
          </w:p>
        </w:tc>
        <w:tc>
          <w:tcPr>
            <w:tcW w:w="1039" w:type="dxa"/>
          </w:tcPr>
          <w:p w14:paraId="59951C5E" w14:textId="582BFF59" w:rsidR="009160EE" w:rsidRDefault="009160EE" w:rsidP="009160EE">
            <w:r>
              <w:rPr>
                <w:b/>
                <w:bCs/>
              </w:rPr>
              <w:t>13</w:t>
            </w:r>
          </w:p>
        </w:tc>
        <w:tc>
          <w:tcPr>
            <w:tcW w:w="1039" w:type="dxa"/>
          </w:tcPr>
          <w:p w14:paraId="486E2700" w14:textId="2AEFD426" w:rsidR="009160EE" w:rsidRDefault="009160EE" w:rsidP="009160EE">
            <w:r>
              <w:rPr>
                <w:b/>
                <w:bCs/>
              </w:rPr>
              <w:t>-7</w:t>
            </w:r>
          </w:p>
        </w:tc>
        <w:tc>
          <w:tcPr>
            <w:tcW w:w="1039" w:type="dxa"/>
          </w:tcPr>
          <w:p w14:paraId="44DB1792" w14:textId="4DAA6EF9" w:rsidR="009160EE" w:rsidRDefault="009160EE" w:rsidP="009160EE">
            <w:r>
              <w:rPr>
                <w:b/>
                <w:bCs/>
              </w:rPr>
              <w:t>-5</w:t>
            </w:r>
          </w:p>
        </w:tc>
        <w:tc>
          <w:tcPr>
            <w:tcW w:w="1039" w:type="dxa"/>
          </w:tcPr>
          <w:p w14:paraId="24241D73" w14:textId="1E703700" w:rsidR="009160EE" w:rsidRDefault="009160EE" w:rsidP="009160EE">
            <w:r>
              <w:rPr>
                <w:b/>
                <w:bCs/>
              </w:rPr>
              <w:t>3</w:t>
            </w:r>
          </w:p>
        </w:tc>
        <w:tc>
          <w:tcPr>
            <w:tcW w:w="1039" w:type="dxa"/>
          </w:tcPr>
          <w:p w14:paraId="188A7D5A" w14:textId="51FACE18" w:rsidR="009160EE" w:rsidRDefault="009160EE" w:rsidP="009160EE">
            <w:r>
              <w:rPr>
                <w:b/>
                <w:bCs/>
              </w:rPr>
              <w:t>-3</w:t>
            </w:r>
          </w:p>
        </w:tc>
        <w:tc>
          <w:tcPr>
            <w:tcW w:w="1039" w:type="dxa"/>
          </w:tcPr>
          <w:p w14:paraId="13F79E7E" w14:textId="1DC1596B" w:rsidR="009160EE" w:rsidRDefault="009160EE" w:rsidP="009160EE">
            <w:r>
              <w:rPr>
                <w:b/>
                <w:bCs/>
              </w:rPr>
              <w:t>-7</w:t>
            </w:r>
          </w:p>
        </w:tc>
        <w:tc>
          <w:tcPr>
            <w:tcW w:w="1039" w:type="dxa"/>
          </w:tcPr>
          <w:p w14:paraId="1D88157A" w14:textId="1D902A86" w:rsidR="009160EE" w:rsidRDefault="009160EE" w:rsidP="009160EE">
            <w:r>
              <w:rPr>
                <w:rFonts w:cs="Arial"/>
                <w:i/>
                <w:iCs/>
              </w:rPr>
              <w:t>-3</w:t>
            </w:r>
          </w:p>
        </w:tc>
        <w:tc>
          <w:tcPr>
            <w:tcW w:w="1039" w:type="dxa"/>
          </w:tcPr>
          <w:p w14:paraId="08ACAAA9" w14:textId="3EBC298D" w:rsidR="009160EE" w:rsidRDefault="009160EE" w:rsidP="009160EE">
            <w:r>
              <w:rPr>
                <w:b/>
                <w:bCs/>
                <w:lang w:val="en-US"/>
              </w:rPr>
              <w:t>0</w:t>
            </w:r>
          </w:p>
        </w:tc>
      </w:tr>
      <w:tr w:rsidR="009160EE" w14:paraId="3039E488" w14:textId="77777777" w:rsidTr="009160EE">
        <w:tc>
          <w:tcPr>
            <w:tcW w:w="1038" w:type="dxa"/>
          </w:tcPr>
          <w:p w14:paraId="3E34CAD2" w14:textId="64141743" w:rsidR="009160EE" w:rsidRPr="009160EE" w:rsidRDefault="009160EE" w:rsidP="009160EE">
            <w:r w:rsidRPr="009160EE">
              <w:rPr>
                <w:b/>
                <w:bCs/>
              </w:rPr>
              <w:t>5</w:t>
            </w:r>
          </w:p>
        </w:tc>
        <w:tc>
          <w:tcPr>
            <w:tcW w:w="1039" w:type="dxa"/>
          </w:tcPr>
          <w:p w14:paraId="0A55A11A" w14:textId="71CD3F67" w:rsidR="009160EE" w:rsidRPr="009160EE" w:rsidRDefault="009160EE" w:rsidP="009160EE">
            <w:r w:rsidRPr="009160EE">
              <w:rPr>
                <w:b/>
                <w:bCs/>
              </w:rPr>
              <w:t>17</w:t>
            </w:r>
          </w:p>
        </w:tc>
        <w:tc>
          <w:tcPr>
            <w:tcW w:w="1039" w:type="dxa"/>
          </w:tcPr>
          <w:p w14:paraId="12120883" w14:textId="6A0638FE" w:rsidR="009160EE" w:rsidRPr="009160EE" w:rsidRDefault="009160EE" w:rsidP="009160EE">
            <w:r w:rsidRPr="009160EE">
              <w:rPr>
                <w:b/>
                <w:bCs/>
              </w:rPr>
              <w:t>-45</w:t>
            </w:r>
          </w:p>
        </w:tc>
        <w:tc>
          <w:tcPr>
            <w:tcW w:w="1039" w:type="dxa"/>
          </w:tcPr>
          <w:p w14:paraId="58DD478E" w14:textId="0BC55BBE" w:rsidR="009160EE" w:rsidRPr="009160EE" w:rsidRDefault="009160EE" w:rsidP="009160EE">
            <w:r w:rsidRPr="009160EE">
              <w:rPr>
                <w:b/>
                <w:bCs/>
              </w:rPr>
              <w:t>-33</w:t>
            </w:r>
          </w:p>
        </w:tc>
        <w:tc>
          <w:tcPr>
            <w:tcW w:w="1039" w:type="dxa"/>
          </w:tcPr>
          <w:p w14:paraId="3C0EF4BE" w14:textId="2D5D37FB" w:rsidR="009160EE" w:rsidRPr="009160EE" w:rsidRDefault="009160EE" w:rsidP="009160EE">
            <w:r w:rsidRPr="009160EE">
              <w:rPr>
                <w:b/>
                <w:bCs/>
              </w:rPr>
              <w:t>13</w:t>
            </w:r>
          </w:p>
        </w:tc>
        <w:tc>
          <w:tcPr>
            <w:tcW w:w="1039" w:type="dxa"/>
          </w:tcPr>
          <w:p w14:paraId="24CFF4EB" w14:textId="6C39553F" w:rsidR="009160EE" w:rsidRPr="009160EE" w:rsidRDefault="009160EE" w:rsidP="009160EE">
            <w:r w:rsidRPr="009160EE">
              <w:rPr>
                <w:b/>
                <w:bCs/>
              </w:rPr>
              <w:t>-35</w:t>
            </w:r>
          </w:p>
        </w:tc>
        <w:tc>
          <w:tcPr>
            <w:tcW w:w="1039" w:type="dxa"/>
          </w:tcPr>
          <w:p w14:paraId="58F39151" w14:textId="6E885383" w:rsidR="009160EE" w:rsidRPr="009160EE" w:rsidRDefault="009160EE" w:rsidP="009160EE">
            <w:r w:rsidRPr="009160EE">
              <w:rPr>
                <w:b/>
                <w:bCs/>
              </w:rPr>
              <w:t>-44</w:t>
            </w:r>
          </w:p>
        </w:tc>
        <w:tc>
          <w:tcPr>
            <w:tcW w:w="1039" w:type="dxa"/>
          </w:tcPr>
          <w:p w14:paraId="131AC83D" w14:textId="7EF8ABB7" w:rsidR="009160EE" w:rsidRPr="009160EE" w:rsidRDefault="009160EE" w:rsidP="009160EE">
            <w:r w:rsidRPr="009160EE">
              <w:rPr>
                <w:b/>
                <w:bCs/>
              </w:rPr>
              <w:t>-38</w:t>
            </w:r>
          </w:p>
        </w:tc>
        <w:tc>
          <w:tcPr>
            <w:tcW w:w="1039" w:type="dxa"/>
          </w:tcPr>
          <w:p w14:paraId="24E097AC" w14:textId="77777777" w:rsidR="009160EE" w:rsidRPr="009160EE" w:rsidRDefault="009160EE" w:rsidP="009160EE">
            <w:r w:rsidRPr="009160EE">
              <w:rPr>
                <w:b/>
                <w:bCs/>
              </w:rPr>
              <w:t>4</w:t>
            </w:r>
          </w:p>
          <w:p w14:paraId="058090A6" w14:textId="77777777" w:rsidR="009160EE" w:rsidRPr="009160EE" w:rsidRDefault="009160EE" w:rsidP="009160EE"/>
        </w:tc>
      </w:tr>
      <w:tr w:rsidR="009160EE" w14:paraId="47ECC42C" w14:textId="77777777" w:rsidTr="009160EE">
        <w:tc>
          <w:tcPr>
            <w:tcW w:w="1038" w:type="dxa"/>
          </w:tcPr>
          <w:p w14:paraId="38010009" w14:textId="572775A1" w:rsidR="009160EE" w:rsidRPr="009160EE" w:rsidRDefault="009160EE" w:rsidP="009160EE">
            <w:r w:rsidRPr="009160EE">
              <w:rPr>
                <w:b/>
                <w:bCs/>
              </w:rPr>
              <w:t>10</w:t>
            </w:r>
          </w:p>
        </w:tc>
        <w:tc>
          <w:tcPr>
            <w:tcW w:w="1039" w:type="dxa"/>
          </w:tcPr>
          <w:p w14:paraId="196B2FD0" w14:textId="1FD87AA8" w:rsidR="009160EE" w:rsidRPr="009160EE" w:rsidRDefault="009160EE" w:rsidP="009160EE">
            <w:r w:rsidRPr="009160EE">
              <w:rPr>
                <w:b/>
                <w:bCs/>
              </w:rPr>
              <w:t>17</w:t>
            </w:r>
          </w:p>
        </w:tc>
        <w:tc>
          <w:tcPr>
            <w:tcW w:w="1039" w:type="dxa"/>
          </w:tcPr>
          <w:p w14:paraId="40161089" w14:textId="4EE6385A" w:rsidR="009160EE" w:rsidRPr="009160EE" w:rsidRDefault="009160EE" w:rsidP="009160EE">
            <w:r w:rsidRPr="009160EE">
              <w:rPr>
                <w:b/>
                <w:bCs/>
              </w:rPr>
              <w:t>-52</w:t>
            </w:r>
          </w:p>
        </w:tc>
        <w:tc>
          <w:tcPr>
            <w:tcW w:w="1039" w:type="dxa"/>
          </w:tcPr>
          <w:p w14:paraId="298526AC" w14:textId="710CACCF" w:rsidR="009160EE" w:rsidRPr="009160EE" w:rsidRDefault="009160EE" w:rsidP="009160EE">
            <w:r w:rsidRPr="009160EE">
              <w:rPr>
                <w:b/>
                <w:bCs/>
              </w:rPr>
              <w:t>-36</w:t>
            </w:r>
          </w:p>
        </w:tc>
        <w:tc>
          <w:tcPr>
            <w:tcW w:w="1039" w:type="dxa"/>
          </w:tcPr>
          <w:p w14:paraId="74295239" w14:textId="0E4E726B" w:rsidR="009160EE" w:rsidRPr="009160EE" w:rsidRDefault="009160EE" w:rsidP="009160EE">
            <w:r w:rsidRPr="009160EE">
              <w:rPr>
                <w:b/>
                <w:bCs/>
              </w:rPr>
              <w:t>14</w:t>
            </w:r>
          </w:p>
        </w:tc>
        <w:tc>
          <w:tcPr>
            <w:tcW w:w="1039" w:type="dxa"/>
          </w:tcPr>
          <w:p w14:paraId="70444852" w14:textId="72883807" w:rsidR="009160EE" w:rsidRPr="009160EE" w:rsidRDefault="009160EE" w:rsidP="009160EE">
            <w:r w:rsidRPr="009160EE">
              <w:rPr>
                <w:b/>
                <w:bCs/>
              </w:rPr>
              <w:t>-10</w:t>
            </w:r>
          </w:p>
        </w:tc>
        <w:tc>
          <w:tcPr>
            <w:tcW w:w="1039" w:type="dxa"/>
          </w:tcPr>
          <w:p w14:paraId="0697561F" w14:textId="6EDA577B" w:rsidR="009160EE" w:rsidRPr="009160EE" w:rsidRDefault="009160EE" w:rsidP="009160EE">
            <w:r w:rsidRPr="009160EE">
              <w:rPr>
                <w:b/>
                <w:bCs/>
              </w:rPr>
              <w:t>-48</w:t>
            </w:r>
          </w:p>
        </w:tc>
        <w:tc>
          <w:tcPr>
            <w:tcW w:w="1039" w:type="dxa"/>
          </w:tcPr>
          <w:p w14:paraId="76CF9F20" w14:textId="495AFC19" w:rsidR="009160EE" w:rsidRPr="009160EE" w:rsidRDefault="009160EE" w:rsidP="009160EE">
            <w:r w:rsidRPr="009160EE">
              <w:rPr>
                <w:b/>
                <w:bCs/>
              </w:rPr>
              <w:t>-42</w:t>
            </w:r>
          </w:p>
        </w:tc>
        <w:tc>
          <w:tcPr>
            <w:tcW w:w="1039" w:type="dxa"/>
          </w:tcPr>
          <w:p w14:paraId="161893DA" w14:textId="42863302" w:rsidR="009160EE" w:rsidRPr="009160EE" w:rsidRDefault="009160EE" w:rsidP="009160EE">
            <w:r w:rsidRPr="009160EE">
              <w:rPr>
                <w:b/>
                <w:bCs/>
              </w:rPr>
              <w:t>4</w:t>
            </w:r>
          </w:p>
        </w:tc>
      </w:tr>
      <w:tr w:rsidR="009160EE" w14:paraId="26E5F12B" w14:textId="77777777" w:rsidTr="009160EE">
        <w:tc>
          <w:tcPr>
            <w:tcW w:w="1038" w:type="dxa"/>
          </w:tcPr>
          <w:p w14:paraId="612EABBE" w14:textId="315FAB18" w:rsidR="009160EE" w:rsidRPr="009160EE" w:rsidRDefault="009160EE" w:rsidP="009160EE">
            <w:r w:rsidRPr="009160EE">
              <w:rPr>
                <w:b/>
                <w:bCs/>
              </w:rPr>
              <w:t>20</w:t>
            </w:r>
          </w:p>
        </w:tc>
        <w:tc>
          <w:tcPr>
            <w:tcW w:w="1039" w:type="dxa"/>
          </w:tcPr>
          <w:p w14:paraId="567F771B" w14:textId="3E33899E" w:rsidR="009160EE" w:rsidRPr="009160EE" w:rsidRDefault="009160EE" w:rsidP="009160EE">
            <w:r w:rsidRPr="009160EE">
              <w:rPr>
                <w:b/>
                <w:bCs/>
              </w:rPr>
              <w:t>17</w:t>
            </w:r>
          </w:p>
        </w:tc>
        <w:tc>
          <w:tcPr>
            <w:tcW w:w="1039" w:type="dxa"/>
          </w:tcPr>
          <w:p w14:paraId="730933E7" w14:textId="5A333A54" w:rsidR="009160EE" w:rsidRPr="009160EE" w:rsidRDefault="009160EE" w:rsidP="009160EE">
            <w:r w:rsidRPr="009160EE">
              <w:rPr>
                <w:b/>
                <w:bCs/>
              </w:rPr>
              <w:t>-55</w:t>
            </w:r>
          </w:p>
        </w:tc>
        <w:tc>
          <w:tcPr>
            <w:tcW w:w="1039" w:type="dxa"/>
          </w:tcPr>
          <w:p w14:paraId="431910BD" w14:textId="7A5190BD" w:rsidR="009160EE" w:rsidRPr="009160EE" w:rsidRDefault="009160EE" w:rsidP="009160EE">
            <w:r w:rsidRPr="009160EE">
              <w:rPr>
                <w:b/>
                <w:bCs/>
              </w:rPr>
              <w:t>-40</w:t>
            </w:r>
          </w:p>
        </w:tc>
        <w:tc>
          <w:tcPr>
            <w:tcW w:w="1039" w:type="dxa"/>
          </w:tcPr>
          <w:p w14:paraId="33A40B30" w14:textId="262A95E7" w:rsidR="009160EE" w:rsidRPr="009160EE" w:rsidRDefault="009160EE" w:rsidP="009160EE">
            <w:r w:rsidRPr="009160EE">
              <w:rPr>
                <w:b/>
                <w:bCs/>
              </w:rPr>
              <w:t>8</w:t>
            </w:r>
          </w:p>
        </w:tc>
        <w:tc>
          <w:tcPr>
            <w:tcW w:w="1039" w:type="dxa"/>
          </w:tcPr>
          <w:p w14:paraId="374DF2D3" w14:textId="4AC5807B" w:rsidR="009160EE" w:rsidRPr="009160EE" w:rsidRDefault="009160EE" w:rsidP="009160EE">
            <w:r w:rsidRPr="009160EE">
              <w:rPr>
                <w:b/>
                <w:bCs/>
              </w:rPr>
              <w:t>-23</w:t>
            </w:r>
          </w:p>
        </w:tc>
        <w:tc>
          <w:tcPr>
            <w:tcW w:w="1039" w:type="dxa"/>
          </w:tcPr>
          <w:p w14:paraId="44695FF2" w14:textId="15DEC60E" w:rsidR="009160EE" w:rsidRPr="009160EE" w:rsidRDefault="009160EE" w:rsidP="009160EE">
            <w:r w:rsidRPr="009160EE">
              <w:rPr>
                <w:b/>
                <w:bCs/>
              </w:rPr>
              <w:t>-51</w:t>
            </w:r>
          </w:p>
        </w:tc>
        <w:tc>
          <w:tcPr>
            <w:tcW w:w="1039" w:type="dxa"/>
          </w:tcPr>
          <w:p w14:paraId="199291D8" w14:textId="1E60B29F" w:rsidR="009160EE" w:rsidRPr="009160EE" w:rsidRDefault="009160EE" w:rsidP="009160EE">
            <w:r w:rsidRPr="009160EE">
              <w:rPr>
                <w:b/>
                <w:bCs/>
              </w:rPr>
              <w:t>-46</w:t>
            </w:r>
          </w:p>
        </w:tc>
        <w:tc>
          <w:tcPr>
            <w:tcW w:w="1039" w:type="dxa"/>
          </w:tcPr>
          <w:p w14:paraId="26F1D786" w14:textId="7EB145B0" w:rsidR="009160EE" w:rsidRPr="009160EE" w:rsidRDefault="009160EE" w:rsidP="009160EE">
            <w:r w:rsidRPr="009160EE">
              <w:rPr>
                <w:b/>
                <w:bCs/>
              </w:rPr>
              <w:t>5</w:t>
            </w:r>
          </w:p>
        </w:tc>
      </w:tr>
      <w:tr w:rsidR="009160EE" w14:paraId="286F49C3" w14:textId="77777777" w:rsidTr="009160EE">
        <w:tc>
          <w:tcPr>
            <w:tcW w:w="1038" w:type="dxa"/>
          </w:tcPr>
          <w:p w14:paraId="5E61CF05" w14:textId="71CB7F86" w:rsidR="009160EE" w:rsidRPr="009160EE" w:rsidRDefault="009160EE" w:rsidP="009160EE">
            <w:r w:rsidRPr="009160EE">
              <w:rPr>
                <w:b/>
                <w:bCs/>
              </w:rPr>
              <w:t>40</w:t>
            </w:r>
          </w:p>
        </w:tc>
        <w:tc>
          <w:tcPr>
            <w:tcW w:w="1039" w:type="dxa"/>
          </w:tcPr>
          <w:p w14:paraId="694FC8D5" w14:textId="26E82AFF" w:rsidR="009160EE" w:rsidRPr="009160EE" w:rsidRDefault="009160EE" w:rsidP="009160EE">
            <w:r w:rsidRPr="009160EE">
              <w:rPr>
                <w:b/>
                <w:bCs/>
              </w:rPr>
              <w:t>18</w:t>
            </w:r>
          </w:p>
        </w:tc>
        <w:tc>
          <w:tcPr>
            <w:tcW w:w="1039" w:type="dxa"/>
          </w:tcPr>
          <w:p w14:paraId="34D8814D" w14:textId="33C64118" w:rsidR="009160EE" w:rsidRPr="009160EE" w:rsidRDefault="009160EE" w:rsidP="009160EE">
            <w:r w:rsidRPr="009160EE">
              <w:rPr>
                <w:b/>
                <w:bCs/>
              </w:rPr>
              <w:t>-63</w:t>
            </w:r>
          </w:p>
        </w:tc>
        <w:tc>
          <w:tcPr>
            <w:tcW w:w="1039" w:type="dxa"/>
          </w:tcPr>
          <w:p w14:paraId="70E52C5B" w14:textId="57BC01FF" w:rsidR="009160EE" w:rsidRPr="009160EE" w:rsidRDefault="009160EE" w:rsidP="009160EE">
            <w:r w:rsidRPr="009160EE">
              <w:rPr>
                <w:b/>
                <w:bCs/>
              </w:rPr>
              <w:t>-46</w:t>
            </w:r>
          </w:p>
        </w:tc>
        <w:tc>
          <w:tcPr>
            <w:tcW w:w="1039" w:type="dxa"/>
          </w:tcPr>
          <w:p w14:paraId="22E3808B" w14:textId="62A56A07" w:rsidR="009160EE" w:rsidRPr="009160EE" w:rsidRDefault="009160EE" w:rsidP="009160EE">
            <w:r w:rsidRPr="009160EE">
              <w:rPr>
                <w:b/>
                <w:bCs/>
              </w:rPr>
              <w:t>10</w:t>
            </w:r>
          </w:p>
        </w:tc>
        <w:tc>
          <w:tcPr>
            <w:tcW w:w="1039" w:type="dxa"/>
          </w:tcPr>
          <w:p w14:paraId="0CC7141D" w14:textId="7EE178F0" w:rsidR="009160EE" w:rsidRPr="009160EE" w:rsidRDefault="009160EE" w:rsidP="009160EE">
            <w:r w:rsidRPr="009160EE">
              <w:rPr>
                <w:b/>
                <w:bCs/>
              </w:rPr>
              <w:t>-28</w:t>
            </w:r>
          </w:p>
        </w:tc>
        <w:tc>
          <w:tcPr>
            <w:tcW w:w="1039" w:type="dxa"/>
          </w:tcPr>
          <w:p w14:paraId="4C5B582D" w14:textId="2AE98CB2" w:rsidR="009160EE" w:rsidRPr="009160EE" w:rsidRDefault="009160EE" w:rsidP="009160EE">
            <w:r w:rsidRPr="009160EE">
              <w:rPr>
                <w:b/>
                <w:bCs/>
              </w:rPr>
              <w:t>-60</w:t>
            </w:r>
          </w:p>
        </w:tc>
        <w:tc>
          <w:tcPr>
            <w:tcW w:w="1039" w:type="dxa"/>
          </w:tcPr>
          <w:p w14:paraId="6752A6AA" w14:textId="5CC745BB" w:rsidR="009160EE" w:rsidRPr="009160EE" w:rsidRDefault="009160EE" w:rsidP="009160EE">
            <w:r w:rsidRPr="009160EE">
              <w:rPr>
                <w:b/>
                <w:bCs/>
              </w:rPr>
              <w:t>-54</w:t>
            </w:r>
          </w:p>
        </w:tc>
        <w:tc>
          <w:tcPr>
            <w:tcW w:w="1039" w:type="dxa"/>
          </w:tcPr>
          <w:p w14:paraId="68D0AC4F" w14:textId="63CAF232" w:rsidR="009160EE" w:rsidRPr="009160EE" w:rsidRDefault="009160EE" w:rsidP="009160EE">
            <w:r w:rsidRPr="009160EE">
              <w:rPr>
                <w:b/>
                <w:bCs/>
              </w:rPr>
              <w:t>0</w:t>
            </w:r>
          </w:p>
        </w:tc>
      </w:tr>
    </w:tbl>
    <w:p w14:paraId="36152471" w14:textId="5392DC04" w:rsidR="0091385D" w:rsidRDefault="0091385D" w:rsidP="0091385D"/>
    <w:p w14:paraId="7B48A876"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Терапевтичният ефект се постига 1 седмица след започване на лечението, а 90% от максималния отговор се постига в рамките на 2 седмици. Максималният отговор се достига в рамките на 4 седмици и се поддържа след това.</w:t>
      </w:r>
    </w:p>
    <w:p w14:paraId="197EDF8A" w14:textId="77777777" w:rsidR="009160EE" w:rsidRPr="009160EE" w:rsidRDefault="009160EE" w:rsidP="009160EE">
      <w:pPr>
        <w:spacing w:line="240" w:lineRule="auto"/>
        <w:rPr>
          <w:rFonts w:eastAsia="Times New Roman" w:cs="Arial"/>
          <w:b/>
          <w:bCs/>
          <w:color w:val="000000"/>
          <w:u w:val="single"/>
          <w:lang w:eastAsia="bg-BG"/>
        </w:rPr>
      </w:pPr>
    </w:p>
    <w:p w14:paraId="2D73C04A" w14:textId="7C02FBB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Клинична ефикасност и безопасност</w:t>
      </w:r>
    </w:p>
    <w:p w14:paraId="4CA48F74"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Розувастатин е ефективен при възрастни с хиперхолестеролемия, с или без хипертриглицеридемия, независимо от расата, пола или възрастта, както и при специални популации като пациенти с диабет или пациенти с фамилна хиперхолестеролемия.</w:t>
      </w:r>
    </w:p>
    <w:p w14:paraId="4FB902FD" w14:textId="77777777" w:rsidR="009160EE" w:rsidRPr="009160EE" w:rsidRDefault="009160EE" w:rsidP="009160EE">
      <w:pPr>
        <w:spacing w:line="240" w:lineRule="auto"/>
        <w:rPr>
          <w:rFonts w:eastAsia="Times New Roman" w:cs="Arial"/>
          <w:b/>
          <w:bCs/>
          <w:color w:val="000000"/>
          <w:lang w:eastAsia="bg-BG"/>
        </w:rPr>
      </w:pPr>
    </w:p>
    <w:p w14:paraId="6020344C" w14:textId="1DE7FF46"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Обобщените данни от фаза III на клиничните проучвания показват, че розувастатин е ефикасен при лечението на повечето пациенти с хиперхолестеролемия тип IIа и II</w:t>
      </w:r>
      <w:r w:rsidRPr="009160EE">
        <w:rPr>
          <w:rFonts w:eastAsia="Times New Roman" w:cs="Arial"/>
          <w:b/>
          <w:bCs/>
          <w:color w:val="000000"/>
          <w:lang w:val="en-US"/>
        </w:rPr>
        <w:t>b</w:t>
      </w:r>
      <w:r w:rsidRPr="009160EE">
        <w:rPr>
          <w:rFonts w:eastAsia="Times New Roman" w:cs="Arial"/>
          <w:b/>
          <w:bCs/>
          <w:color w:val="000000"/>
          <w:lang w:eastAsia="bg-BG"/>
        </w:rPr>
        <w:t xml:space="preserve"> (средна изходна стойност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около 4.8 </w:t>
      </w:r>
      <w:proofErr w:type="spellStart"/>
      <w:r>
        <w:rPr>
          <w:rFonts w:eastAsia="Times New Roman" w:cs="Arial"/>
          <w:b/>
          <w:bCs/>
          <w:color w:val="000000"/>
          <w:lang w:val="en-US"/>
        </w:rPr>
        <w:t>mmol</w:t>
      </w:r>
      <w:proofErr w:type="spellEnd"/>
      <w:r>
        <w:rPr>
          <w:rFonts w:eastAsia="Times New Roman" w:cs="Arial"/>
          <w:b/>
          <w:bCs/>
          <w:color w:val="000000"/>
          <w:lang w:val="en-US"/>
        </w:rPr>
        <w:t>/l</w:t>
      </w:r>
      <w:r w:rsidRPr="009160EE">
        <w:rPr>
          <w:rFonts w:eastAsia="Times New Roman" w:cs="Arial"/>
          <w:b/>
          <w:bCs/>
          <w:color w:val="000000"/>
          <w:lang w:val="en-US"/>
        </w:rPr>
        <w:t xml:space="preserve">) </w:t>
      </w:r>
      <w:r w:rsidRPr="009160EE">
        <w:rPr>
          <w:rFonts w:eastAsia="Times New Roman" w:cs="Arial"/>
          <w:b/>
          <w:bCs/>
          <w:color w:val="000000"/>
          <w:lang w:eastAsia="bg-BG"/>
        </w:rPr>
        <w:t xml:space="preserve">според определените от Европейската общност по атеросклероза прицелни стойности </w:t>
      </w:r>
      <w:r w:rsidRPr="009160EE">
        <w:rPr>
          <w:rFonts w:eastAsia="Times New Roman" w:cs="Arial"/>
          <w:b/>
          <w:bCs/>
          <w:color w:val="000000"/>
          <w:lang w:val="en-US"/>
        </w:rPr>
        <w:t xml:space="preserve">(EAS; </w:t>
      </w:r>
      <w:r w:rsidRPr="009160EE">
        <w:rPr>
          <w:rFonts w:eastAsia="Times New Roman" w:cs="Arial"/>
          <w:b/>
          <w:bCs/>
          <w:color w:val="000000"/>
          <w:lang w:eastAsia="bg-BG"/>
        </w:rPr>
        <w:t xml:space="preserve">1998); около 80% от пациентите, лекувани с 10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са достигнали </w:t>
      </w:r>
      <w:r w:rsidRPr="009160EE">
        <w:rPr>
          <w:rFonts w:eastAsia="Times New Roman" w:cs="Arial"/>
          <w:b/>
          <w:bCs/>
          <w:color w:val="000000"/>
          <w:lang w:val="en-US"/>
        </w:rPr>
        <w:t xml:space="preserve">EAS </w:t>
      </w:r>
      <w:r w:rsidRPr="009160EE">
        <w:rPr>
          <w:rFonts w:eastAsia="Times New Roman" w:cs="Arial"/>
          <w:b/>
          <w:bCs/>
          <w:color w:val="000000"/>
          <w:lang w:eastAsia="bg-BG"/>
        </w:rPr>
        <w:t xml:space="preserve">стойностите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(&lt;3 </w:t>
      </w:r>
      <w:proofErr w:type="spellStart"/>
      <w:r>
        <w:rPr>
          <w:rFonts w:eastAsia="Times New Roman" w:cs="Arial"/>
          <w:b/>
          <w:bCs/>
          <w:color w:val="000000"/>
          <w:lang w:val="en-US"/>
        </w:rPr>
        <w:t>mmol</w:t>
      </w:r>
      <w:proofErr w:type="spellEnd"/>
      <w:r>
        <w:rPr>
          <w:rFonts w:eastAsia="Times New Roman" w:cs="Arial"/>
          <w:b/>
          <w:bCs/>
          <w:color w:val="000000"/>
          <w:lang w:val="en-US"/>
        </w:rPr>
        <w:t>/l</w:t>
      </w:r>
      <w:r w:rsidRPr="009160EE">
        <w:rPr>
          <w:rFonts w:eastAsia="Times New Roman" w:cs="Arial"/>
          <w:b/>
          <w:bCs/>
          <w:color w:val="000000"/>
          <w:lang w:val="en-US"/>
        </w:rPr>
        <w:t>).</w:t>
      </w:r>
    </w:p>
    <w:p w14:paraId="32A7DC28" w14:textId="77777777" w:rsidR="009160EE" w:rsidRPr="009160EE" w:rsidRDefault="009160EE" w:rsidP="009160EE">
      <w:pPr>
        <w:spacing w:line="240" w:lineRule="auto"/>
        <w:rPr>
          <w:rFonts w:eastAsia="Times New Roman" w:cs="Arial"/>
          <w:b/>
          <w:bCs/>
          <w:color w:val="000000"/>
          <w:lang w:eastAsia="bg-BG"/>
        </w:rPr>
      </w:pPr>
    </w:p>
    <w:p w14:paraId="4E833BAC" w14:textId="7A8093C5"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 мащабно проучване 435 пациента с хетерозиготна фамилна хиперхолестеролемия са получавали от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до 80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розувастатин с форсирано титриране. Всички дози са показали положителен ефект върху липидните параметри и лечението. След титриране на дневната доза до 40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(12-седмично лечение)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е намален с 53%. 33% от пациентите са достигнали </w:t>
      </w:r>
      <w:r w:rsidRPr="009160EE">
        <w:rPr>
          <w:rFonts w:eastAsia="Times New Roman" w:cs="Arial"/>
          <w:b/>
          <w:bCs/>
          <w:color w:val="000000"/>
          <w:lang w:val="en-US"/>
        </w:rPr>
        <w:t xml:space="preserve">EAS </w:t>
      </w:r>
      <w:r w:rsidRPr="009160EE">
        <w:rPr>
          <w:rFonts w:eastAsia="Times New Roman" w:cs="Arial"/>
          <w:b/>
          <w:bCs/>
          <w:color w:val="000000"/>
          <w:lang w:eastAsia="bg-BG"/>
        </w:rPr>
        <w:t xml:space="preserve">стойностите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(&lt;3 </w:t>
      </w:r>
      <w:proofErr w:type="spellStart"/>
      <w:r>
        <w:rPr>
          <w:rFonts w:eastAsia="Times New Roman" w:cs="Arial"/>
          <w:b/>
          <w:bCs/>
          <w:color w:val="000000"/>
          <w:lang w:val="en-US"/>
        </w:rPr>
        <w:t>mmol</w:t>
      </w:r>
      <w:proofErr w:type="spellEnd"/>
      <w:r>
        <w:rPr>
          <w:rFonts w:eastAsia="Times New Roman" w:cs="Arial"/>
          <w:b/>
          <w:bCs/>
          <w:color w:val="000000"/>
          <w:lang w:val="en-US"/>
        </w:rPr>
        <w:t>/l</w:t>
      </w:r>
      <w:r w:rsidRPr="009160EE">
        <w:rPr>
          <w:rFonts w:eastAsia="Times New Roman" w:cs="Arial"/>
          <w:b/>
          <w:bCs/>
          <w:color w:val="000000"/>
          <w:lang w:val="en-US"/>
        </w:rPr>
        <w:t>).</w:t>
      </w:r>
    </w:p>
    <w:p w14:paraId="1108070B" w14:textId="77777777" w:rsidR="009160EE" w:rsidRPr="009160EE" w:rsidRDefault="009160EE" w:rsidP="009160EE">
      <w:pPr>
        <w:spacing w:line="240" w:lineRule="auto"/>
        <w:rPr>
          <w:rFonts w:eastAsia="Times New Roman" w:cs="Arial"/>
          <w:b/>
          <w:bCs/>
          <w:color w:val="000000"/>
          <w:lang w:eastAsia="bg-BG"/>
        </w:rPr>
      </w:pPr>
    </w:p>
    <w:p w14:paraId="1B951D30" w14:textId="6CB5AF03"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В отворено клинично проучване с форсирано титриране при 42 пациента (включително 8 педиатрични пациенти) с хомозиготна фамилна хиперхолестеролемия е оценен техният отговор на розувастатин 20 - 40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В общата популация, средното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е 22%.</w:t>
      </w:r>
    </w:p>
    <w:p w14:paraId="7EDE58D1" w14:textId="77777777" w:rsidR="009160EE" w:rsidRPr="009160EE" w:rsidRDefault="009160EE" w:rsidP="009160EE">
      <w:pPr>
        <w:spacing w:line="240" w:lineRule="auto"/>
        <w:rPr>
          <w:rFonts w:eastAsia="Times New Roman" w:cs="Arial"/>
          <w:b/>
          <w:bCs/>
          <w:color w:val="000000"/>
          <w:lang w:eastAsia="bg-BG"/>
        </w:rPr>
      </w:pPr>
    </w:p>
    <w:p w14:paraId="428D7CE6" w14:textId="33527EFC"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В клинични проучвания с ограничен брой пациенти розувастатин е показал адитивна ефективност при понижаване на триглицеридите, когато е приеман съвместно с фенофибрат, и повишаване на нивата </w:t>
      </w:r>
      <w:r w:rsidRPr="009160EE">
        <w:rPr>
          <w:rFonts w:eastAsia="Times New Roman" w:cs="Arial"/>
          <w:b/>
          <w:bCs/>
          <w:color w:val="000000"/>
          <w:lang w:val="en-US"/>
        </w:rPr>
        <w:t xml:space="preserve">HDL-C, </w:t>
      </w:r>
      <w:r w:rsidRPr="009160EE">
        <w:rPr>
          <w:rFonts w:eastAsia="Times New Roman" w:cs="Arial"/>
          <w:b/>
          <w:bCs/>
          <w:color w:val="000000"/>
          <w:lang w:eastAsia="bg-BG"/>
        </w:rPr>
        <w:t>когато е прилаган съвместно с ниацин (вж. точка 4.4).</w:t>
      </w:r>
    </w:p>
    <w:p w14:paraId="7AE55A18" w14:textId="77777777" w:rsidR="009160EE" w:rsidRPr="009160EE" w:rsidRDefault="009160EE" w:rsidP="009160EE">
      <w:pPr>
        <w:rPr>
          <w:rFonts w:eastAsia="Times New Roman" w:cs="Arial"/>
          <w:b/>
          <w:bCs/>
          <w:color w:val="000000"/>
          <w:lang w:eastAsia="bg-BG"/>
        </w:rPr>
      </w:pPr>
    </w:p>
    <w:p w14:paraId="440F5E78" w14:textId="6CBC4D8D" w:rsidR="009160EE" w:rsidRDefault="009160EE" w:rsidP="009160EE">
      <w:pPr>
        <w:rPr>
          <w:rFonts w:eastAsia="Times New Roman" w:cs="Arial"/>
          <w:b/>
          <w:bCs/>
          <w:color w:val="000000"/>
          <w:lang w:val="en-US" w:eastAsia="bg-BG"/>
        </w:rPr>
      </w:pPr>
      <w:r w:rsidRPr="009160EE">
        <w:rPr>
          <w:rFonts w:eastAsia="Times New Roman" w:cs="Arial"/>
          <w:b/>
          <w:bCs/>
          <w:color w:val="000000"/>
          <w:lang w:eastAsia="bg-BG"/>
        </w:rPr>
        <w:t xml:space="preserve">В многоцентрово, двойносляпо, плацебо контролирано клинично проучване </w:t>
      </w:r>
      <w:r w:rsidRPr="009160EE">
        <w:rPr>
          <w:rFonts w:eastAsia="Times New Roman" w:cs="Arial"/>
          <w:b/>
          <w:bCs/>
          <w:color w:val="000000"/>
          <w:lang w:val="en-US"/>
        </w:rPr>
        <w:t xml:space="preserve">(METEOR) </w:t>
      </w:r>
      <w:r w:rsidRPr="009160EE">
        <w:rPr>
          <w:rFonts w:eastAsia="Times New Roman" w:cs="Arial"/>
          <w:b/>
          <w:bCs/>
          <w:color w:val="000000"/>
          <w:lang w:eastAsia="bg-BG"/>
        </w:rPr>
        <w:t xml:space="preserve">984 пациенти на възраст между 45 и 70 години с нисък риск от исхемична болест на сърцето (дефиниран по Фрамингамската скала за риск &lt;10% за 10 години), със средни нива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от 4.0 </w:t>
      </w:r>
      <w:proofErr w:type="spellStart"/>
      <w:r w:rsidRPr="009160EE">
        <w:rPr>
          <w:rFonts w:eastAsia="Times New Roman" w:cs="Arial"/>
          <w:b/>
          <w:bCs/>
          <w:color w:val="000000"/>
          <w:lang w:val="en-US"/>
        </w:rPr>
        <w:t>mmol</w:t>
      </w:r>
      <w:proofErr w:type="spellEnd"/>
      <w:r w:rsidRPr="009160EE">
        <w:rPr>
          <w:rFonts w:eastAsia="Times New Roman" w:cs="Arial"/>
          <w:b/>
          <w:bCs/>
          <w:color w:val="000000"/>
          <w:lang w:val="en-US"/>
        </w:rPr>
        <w:t xml:space="preserve">/l </w:t>
      </w:r>
      <w:r w:rsidRPr="009160EE">
        <w:rPr>
          <w:rFonts w:eastAsia="Times New Roman" w:cs="Arial"/>
          <w:b/>
          <w:bCs/>
          <w:color w:val="000000"/>
          <w:lang w:eastAsia="bg-BG"/>
        </w:rPr>
        <w:t xml:space="preserve">(154.5 </w:t>
      </w:r>
      <w:r w:rsidRPr="009160EE">
        <w:rPr>
          <w:rFonts w:eastAsia="Times New Roman" w:cs="Arial"/>
          <w:b/>
          <w:bCs/>
          <w:color w:val="000000"/>
          <w:lang w:val="en-US"/>
        </w:rPr>
        <w:t>mg/</w:t>
      </w:r>
      <w:proofErr w:type="spellStart"/>
      <w:r w:rsidRPr="009160EE">
        <w:rPr>
          <w:rFonts w:eastAsia="Times New Roman" w:cs="Arial"/>
          <w:b/>
          <w:bCs/>
          <w:color w:val="000000"/>
          <w:lang w:val="en-US"/>
        </w:rPr>
        <w:t>dL</w:t>
      </w:r>
      <w:proofErr w:type="spellEnd"/>
      <w:r w:rsidRPr="009160EE">
        <w:rPr>
          <w:rFonts w:eastAsia="Times New Roman" w:cs="Arial"/>
          <w:b/>
          <w:bCs/>
          <w:color w:val="000000"/>
          <w:lang w:val="en-US"/>
        </w:rPr>
        <w:t xml:space="preserve">), </w:t>
      </w:r>
      <w:r w:rsidRPr="009160EE">
        <w:rPr>
          <w:rFonts w:eastAsia="Times New Roman" w:cs="Arial"/>
          <w:b/>
          <w:bCs/>
          <w:color w:val="000000"/>
          <w:lang w:eastAsia="bg-BG"/>
        </w:rPr>
        <w:t xml:space="preserve">но със субклинична атеросклероза (установена чрез измерване на Дебелината на каротидната интима-медия) са били рандомизирани на 40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розувастатин веднъж дневно или плацебо за 2 години. Розувастатин значимо е забавил прогресирането на максималната дебелина на каротидната интима-медия на всички 12 места на каротидните артерии в сравнение с плацебо с -0.0145 </w:t>
      </w:r>
      <w:r w:rsidRPr="009160EE">
        <w:rPr>
          <w:rFonts w:eastAsia="Times New Roman" w:cs="Arial"/>
          <w:b/>
          <w:bCs/>
          <w:color w:val="000000"/>
          <w:lang w:val="en-US"/>
        </w:rPr>
        <w:t>mm</w:t>
      </w:r>
      <w:r w:rsidRPr="009160EE">
        <w:rPr>
          <w:rFonts w:eastAsia="Times New Roman" w:cs="Arial"/>
          <w:b/>
          <w:bCs/>
          <w:color w:val="000000"/>
          <w:lang w:eastAsia="bg-BG"/>
        </w:rPr>
        <w:t xml:space="preserve">/година [95% </w:t>
      </w:r>
      <w:r w:rsidRPr="009160EE">
        <w:rPr>
          <w:rFonts w:eastAsia="Times New Roman" w:cs="Arial"/>
          <w:b/>
          <w:bCs/>
          <w:color w:val="000000"/>
          <w:lang w:val="en-US"/>
        </w:rPr>
        <w:t xml:space="preserve">CI </w:t>
      </w:r>
      <w:r w:rsidRPr="009160EE">
        <w:rPr>
          <w:rFonts w:eastAsia="Times New Roman" w:cs="Arial"/>
          <w:b/>
          <w:bCs/>
          <w:color w:val="000000"/>
          <w:lang w:eastAsia="bg-BG"/>
        </w:rPr>
        <w:t xml:space="preserve">-0.0196, -0.0093; р&lt;0.0001]. Промяната в изходните стойности е била -0.0014 </w:t>
      </w:r>
      <w:r w:rsidRPr="009160EE">
        <w:rPr>
          <w:rFonts w:eastAsia="Times New Roman" w:cs="Arial"/>
          <w:b/>
          <w:bCs/>
          <w:color w:val="000000"/>
          <w:lang w:val="en-US"/>
        </w:rPr>
        <w:t>mm</w:t>
      </w:r>
      <w:r w:rsidRPr="009160EE">
        <w:rPr>
          <w:rFonts w:eastAsia="Times New Roman" w:cs="Arial"/>
          <w:b/>
          <w:bCs/>
          <w:color w:val="000000"/>
          <w:lang w:eastAsia="bg-BG"/>
        </w:rPr>
        <w:t xml:space="preserve">/година (-0.12%/година (несигнификатно)) за розувастатин в сравнение с прогресия от +0.0131 </w:t>
      </w:r>
      <w:r w:rsidRPr="009160EE">
        <w:rPr>
          <w:rFonts w:eastAsia="Times New Roman" w:cs="Arial"/>
          <w:b/>
          <w:bCs/>
          <w:color w:val="000000"/>
          <w:lang w:val="en-US"/>
        </w:rPr>
        <w:t>mm</w:t>
      </w:r>
      <w:r w:rsidRPr="009160EE">
        <w:rPr>
          <w:rFonts w:eastAsia="Times New Roman" w:cs="Arial"/>
          <w:b/>
          <w:bCs/>
          <w:color w:val="000000"/>
          <w:lang w:eastAsia="bg-BG"/>
        </w:rPr>
        <w:t xml:space="preserve">/година (1.12%/година (р&lt;0.0001)) за плацебо. Не е демонстрирана връзка между намаляването на дебелината на каротидната интима-медия и понижаването на риска от кардиоваскуларни събития. Популацията, проучена в </w:t>
      </w:r>
      <w:r w:rsidRPr="009160EE">
        <w:rPr>
          <w:rFonts w:eastAsia="Times New Roman" w:cs="Arial"/>
          <w:b/>
          <w:bCs/>
          <w:color w:val="000000"/>
          <w:lang w:val="en-US"/>
        </w:rPr>
        <w:t xml:space="preserve">METEOR </w:t>
      </w:r>
      <w:r w:rsidRPr="009160EE">
        <w:rPr>
          <w:rFonts w:eastAsia="Times New Roman" w:cs="Arial"/>
          <w:b/>
          <w:bCs/>
          <w:color w:val="000000"/>
          <w:lang w:eastAsia="bg-BG"/>
        </w:rPr>
        <w:t xml:space="preserve">е със слаб риск от исхемична болест на сърцето и не представлява прицелната популация на розувастатин </w:t>
      </w:r>
      <w:r w:rsidRPr="009160EE">
        <w:rPr>
          <w:rFonts w:eastAsia="Times New Roman" w:cs="Arial"/>
          <w:b/>
          <w:bCs/>
          <w:color w:val="000000"/>
          <w:lang w:val="en-US"/>
        </w:rPr>
        <w:t xml:space="preserve">40 mg. </w:t>
      </w:r>
      <w:r w:rsidRPr="009160EE">
        <w:rPr>
          <w:rFonts w:eastAsia="Times New Roman" w:cs="Arial"/>
          <w:b/>
          <w:bCs/>
          <w:color w:val="000000"/>
          <w:lang w:eastAsia="bg-BG"/>
        </w:rPr>
        <w:t xml:space="preserve">Дозата от </w:t>
      </w:r>
      <w:r w:rsidRPr="009160EE">
        <w:rPr>
          <w:rFonts w:eastAsia="Times New Roman" w:cs="Arial"/>
          <w:b/>
          <w:bCs/>
          <w:color w:val="000000"/>
          <w:lang w:val="en-US"/>
        </w:rPr>
        <w:t xml:space="preserve">40 mg </w:t>
      </w:r>
      <w:r w:rsidRPr="009160EE">
        <w:rPr>
          <w:rFonts w:eastAsia="Times New Roman" w:cs="Arial"/>
          <w:b/>
          <w:bCs/>
          <w:color w:val="000000"/>
          <w:lang w:eastAsia="bg-BG"/>
        </w:rPr>
        <w:t>трябва да бъде предписвана само при пациенти с тежка хиперхолестеролемия с висок кардиоваскуларен риск (вж. точка 4.2).</w:t>
      </w:r>
      <w:r>
        <w:rPr>
          <w:rFonts w:eastAsia="Times New Roman" w:cs="Arial"/>
          <w:b/>
          <w:bCs/>
          <w:color w:val="000000"/>
          <w:lang w:val="en-US" w:eastAsia="bg-BG"/>
        </w:rPr>
        <w:t xml:space="preserve"> </w:t>
      </w:r>
    </w:p>
    <w:p w14:paraId="0EF80F0A" w14:textId="5D65AD00" w:rsidR="009160EE" w:rsidRDefault="009160EE" w:rsidP="009160EE">
      <w:pPr>
        <w:rPr>
          <w:rFonts w:eastAsia="Times New Roman" w:cs="Arial"/>
          <w:b/>
          <w:bCs/>
          <w:color w:val="000000"/>
          <w:lang w:val="en-US" w:eastAsia="bg-BG"/>
        </w:rPr>
      </w:pPr>
    </w:p>
    <w:p w14:paraId="249F8D50"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Проучването </w:t>
      </w:r>
      <w:r w:rsidRPr="009160EE">
        <w:rPr>
          <w:rFonts w:eastAsia="Times New Roman" w:cs="Arial"/>
          <w:b/>
          <w:bCs/>
          <w:color w:val="000000"/>
          <w:lang w:val="en-US"/>
        </w:rPr>
        <w:t xml:space="preserve">JUPITER (Justification for the Use of Statins in Primary Prevention: An Intervention Trial Evaluating </w:t>
      </w:r>
      <w:proofErr w:type="spellStart"/>
      <w:r w:rsidRPr="009160EE">
        <w:rPr>
          <w:rFonts w:eastAsia="Times New Roman" w:cs="Arial"/>
          <w:b/>
          <w:bCs/>
          <w:color w:val="000000"/>
          <w:lang w:val="en-US"/>
        </w:rPr>
        <w:t>Rosuvastatin</w:t>
      </w:r>
      <w:proofErr w:type="spellEnd"/>
      <w:r w:rsidRPr="009160EE">
        <w:rPr>
          <w:rFonts w:eastAsia="Times New Roman" w:cs="Arial"/>
          <w:b/>
          <w:bCs/>
          <w:color w:val="000000"/>
          <w:lang w:val="en-US"/>
        </w:rPr>
        <w:t xml:space="preserve">) </w:t>
      </w:r>
      <w:r w:rsidRPr="009160EE">
        <w:rPr>
          <w:rFonts w:eastAsia="Times New Roman" w:cs="Arial"/>
          <w:b/>
          <w:bCs/>
          <w:color w:val="000000"/>
          <w:lang w:eastAsia="bg-BG"/>
        </w:rPr>
        <w:t>изследва ефектът на розувастатин върху появата на големи атеросклеротични кардиоваскуларни събития при 17 802 мъже (≥</w:t>
      </w:r>
      <w:r w:rsidRPr="009160EE">
        <w:rPr>
          <w:rFonts w:eastAsia="Times New Roman" w:cs="Arial"/>
          <w:b/>
          <w:bCs/>
          <w:color w:val="000000"/>
          <w:lang w:val="en-US"/>
        </w:rPr>
        <w:t xml:space="preserve"> </w:t>
      </w:r>
      <w:r w:rsidRPr="009160EE">
        <w:rPr>
          <w:rFonts w:eastAsia="Times New Roman" w:cs="Arial"/>
          <w:b/>
          <w:bCs/>
          <w:color w:val="000000"/>
          <w:lang w:eastAsia="bg-BG"/>
        </w:rPr>
        <w:t>50 години) и жени (≥ 60 години).</w:t>
      </w:r>
    </w:p>
    <w:p w14:paraId="19B63A8E" w14:textId="77777777" w:rsidR="009160EE" w:rsidRPr="009160EE" w:rsidRDefault="009160EE" w:rsidP="009160EE">
      <w:pPr>
        <w:spacing w:line="240" w:lineRule="auto"/>
        <w:rPr>
          <w:rFonts w:eastAsia="Times New Roman" w:cs="Arial"/>
          <w:b/>
          <w:bCs/>
          <w:color w:val="000000"/>
          <w:lang w:eastAsia="bg-BG"/>
        </w:rPr>
      </w:pPr>
    </w:p>
    <w:p w14:paraId="17FCEE90" w14:textId="576D5DD9"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Участниците в проучването са били произволно рандомизирани на плацебо (</w:t>
      </w:r>
      <w:r w:rsidRPr="009160EE">
        <w:rPr>
          <w:rFonts w:eastAsia="Times New Roman" w:cs="Arial"/>
          <w:b/>
          <w:bCs/>
          <w:color w:val="000000"/>
          <w:lang w:val="en-US"/>
        </w:rPr>
        <w:t>n</w:t>
      </w:r>
      <w:r w:rsidRPr="009160EE">
        <w:rPr>
          <w:rFonts w:eastAsia="Times New Roman" w:cs="Arial"/>
          <w:b/>
          <w:bCs/>
          <w:color w:val="000000"/>
          <w:lang w:eastAsia="bg-BG"/>
        </w:rPr>
        <w:t xml:space="preserve">=8901) или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веднъж дневно (</w:t>
      </w:r>
      <w:r w:rsidRPr="009160EE">
        <w:rPr>
          <w:rFonts w:eastAsia="Times New Roman" w:cs="Arial"/>
          <w:b/>
          <w:bCs/>
          <w:color w:val="000000"/>
          <w:lang w:val="en-US"/>
        </w:rPr>
        <w:t>n=</w:t>
      </w:r>
      <w:r w:rsidRPr="009160EE">
        <w:rPr>
          <w:rFonts w:eastAsia="Times New Roman" w:cs="Arial"/>
          <w:b/>
          <w:bCs/>
          <w:color w:val="000000"/>
          <w:lang w:eastAsia="bg-BG"/>
        </w:rPr>
        <w:t>8901) и са проследени за среден период от 2 години.</w:t>
      </w:r>
    </w:p>
    <w:p w14:paraId="03C7EB5F" w14:textId="77777777" w:rsidR="009160EE" w:rsidRPr="009160EE" w:rsidRDefault="009160EE" w:rsidP="009160EE">
      <w:pPr>
        <w:spacing w:line="240" w:lineRule="auto"/>
        <w:rPr>
          <w:rFonts w:eastAsia="Times New Roman" w:cs="Arial"/>
          <w:b/>
          <w:bCs/>
          <w:color w:val="000000"/>
          <w:lang w:eastAsia="bg-BG"/>
        </w:rPr>
      </w:pPr>
    </w:p>
    <w:p w14:paraId="5D58BC23" w14:textId="7EF12290"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Концентрацията на </w:t>
      </w:r>
      <w:r w:rsidRPr="009160EE">
        <w:rPr>
          <w:rFonts w:eastAsia="Times New Roman" w:cs="Arial"/>
          <w:b/>
          <w:bCs/>
          <w:color w:val="000000"/>
          <w:lang w:val="en-US"/>
        </w:rPr>
        <w:t xml:space="preserve">LDL </w:t>
      </w:r>
      <w:r w:rsidRPr="009160EE">
        <w:rPr>
          <w:rFonts w:eastAsia="Times New Roman" w:cs="Arial"/>
          <w:b/>
          <w:bCs/>
          <w:color w:val="000000"/>
          <w:lang w:eastAsia="bg-BG"/>
        </w:rPr>
        <w:t>холестерол е намалена с 45% (р&lt;0.001) в групата на розувастатин в сравнение с групата на плацебо.</w:t>
      </w:r>
    </w:p>
    <w:p w14:paraId="59D7C6FA" w14:textId="77777777" w:rsidR="009160EE" w:rsidRPr="009160EE" w:rsidRDefault="009160EE" w:rsidP="009160EE">
      <w:pPr>
        <w:spacing w:line="240" w:lineRule="auto"/>
        <w:rPr>
          <w:rFonts w:eastAsia="Times New Roman" w:cs="Arial"/>
          <w:b/>
          <w:bCs/>
          <w:color w:val="000000"/>
          <w:lang w:eastAsia="bg-BG"/>
        </w:rPr>
      </w:pPr>
    </w:p>
    <w:p w14:paraId="303682E7" w14:textId="279D552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lastRenderedPageBreak/>
        <w:t xml:space="preserve">В последващ анализ на високорискова подгрупа субекти с базов риск по Фрамингам &gt;20% (1558 субекта) е наблюдавано значително намаление на комбинираната крайна точка на кардиоваскуларна смърт, инсулт и инфаркт на миокарда (р=0.028) при лечение с розувастатин спрямо плацебо. Абсолютната редукция на риска в честотата на събитията за 1 000 пациенто- години е била 8.8. Общата смъртност е останала непроменена в тази високорискова група (р=0.193). В последващ анализ на високорискова подгрупа субекти (9302 субекта общо) с изходно ниво на </w:t>
      </w:r>
      <w:r w:rsidRPr="009160EE">
        <w:rPr>
          <w:rFonts w:eastAsia="Times New Roman" w:cs="Arial"/>
          <w:b/>
          <w:bCs/>
          <w:color w:val="000000"/>
          <w:lang w:val="en-US"/>
        </w:rPr>
        <w:t xml:space="preserve">SCORE </w:t>
      </w:r>
      <w:r w:rsidRPr="009160EE">
        <w:rPr>
          <w:rFonts w:eastAsia="Times New Roman" w:cs="Arial"/>
          <w:b/>
          <w:bCs/>
          <w:color w:val="000000"/>
          <w:lang w:eastAsia="bg-BG"/>
        </w:rPr>
        <w:t>риска ≥5% (екстраполиран да включи субекти над 65-годишна възраст) е наблюдавана значима редукция на комбинираната крайна точка на кардиоваскуларна смърт, инсулт и инфаркт на миокарда (р=0.0003) при лечение с розувастатин в сравнение с плацебо. Абсолютната редукция на риска в честотата на събитията е била 5.1 за 1 000 пациенто- години. Общата смъртност е останала непроменена при тази високорискова група (р=0.076).</w:t>
      </w:r>
    </w:p>
    <w:p w14:paraId="06EE1F2C" w14:textId="77777777" w:rsidR="009160EE" w:rsidRPr="009160EE" w:rsidRDefault="009160EE" w:rsidP="009160EE">
      <w:pPr>
        <w:spacing w:line="240" w:lineRule="auto"/>
        <w:rPr>
          <w:rFonts w:eastAsia="Times New Roman" w:cs="Arial"/>
          <w:b/>
          <w:bCs/>
          <w:color w:val="000000"/>
          <w:lang w:eastAsia="bg-BG"/>
        </w:rPr>
      </w:pPr>
    </w:p>
    <w:p w14:paraId="364898E2" w14:textId="45F9458D"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В проучването </w:t>
      </w:r>
      <w:r w:rsidRPr="009160EE">
        <w:rPr>
          <w:rFonts w:eastAsia="Times New Roman" w:cs="Arial"/>
          <w:b/>
          <w:bCs/>
          <w:color w:val="000000"/>
          <w:lang w:val="en-US"/>
        </w:rPr>
        <w:t xml:space="preserve">JUPITER </w:t>
      </w:r>
      <w:r w:rsidRPr="009160EE">
        <w:rPr>
          <w:rFonts w:eastAsia="Times New Roman" w:cs="Arial"/>
          <w:b/>
          <w:bCs/>
          <w:color w:val="000000"/>
          <w:lang w:eastAsia="bg-BG"/>
        </w:rPr>
        <w:t>6.6% от пациентите, лекувани с розувастатин, и 6.2% от пациентите, лекувани с плацебо, са прекратили приема на проучваното лекарство поради нежелани лекарствени реакции. Най-честите нежелани лекарствени реакции, водещи до преустановяване на лечението са били: миалгия (0.3% при розувастатин, 0.2% при плацебо), коремна болка (0.03% при розувастатин, 0.02% при плацебо) и обрив (0.02% при розувастатин, 0.03% при плацебо). Най-честите нежелани реакции с ниво по-голямо или равно на плацебо са били инфекции на уринарния тракт (8.7% при розувастатин, 8.6% при плацебо), назофарингит (7.6% при розувастатин, 7.2% при плацебо), болки в гърба (7.6% при розувастатин, 6.9% при плацебо) и миалгия (7.6% при розувастатин, 6.6% при плацебо).</w:t>
      </w:r>
    </w:p>
    <w:p w14:paraId="2DB74F8F" w14:textId="77777777" w:rsidR="009160EE" w:rsidRPr="009160EE" w:rsidRDefault="009160EE" w:rsidP="009160EE">
      <w:pPr>
        <w:spacing w:line="240" w:lineRule="auto"/>
        <w:rPr>
          <w:rFonts w:eastAsia="Times New Roman" w:cs="Arial"/>
          <w:b/>
          <w:bCs/>
          <w:color w:val="000000"/>
          <w:u w:val="single"/>
          <w:lang w:eastAsia="bg-BG"/>
        </w:rPr>
      </w:pPr>
    </w:p>
    <w:p w14:paraId="1A1DDC16" w14:textId="782E9281"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Педиатрична популация</w:t>
      </w:r>
    </w:p>
    <w:p w14:paraId="0691047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В едно двойно-сляпо, рандомизирано, мултицентрово плацебо-контролирано, 12- седмично проучване (</w:t>
      </w:r>
      <w:r w:rsidRPr="009160EE">
        <w:rPr>
          <w:rFonts w:eastAsia="Times New Roman" w:cs="Arial"/>
          <w:b/>
          <w:bCs/>
          <w:color w:val="000000"/>
          <w:lang w:val="en-US"/>
        </w:rPr>
        <w:t>n=</w:t>
      </w:r>
      <w:r w:rsidRPr="009160EE">
        <w:rPr>
          <w:rFonts w:eastAsia="Times New Roman" w:cs="Arial"/>
          <w:b/>
          <w:bCs/>
          <w:color w:val="000000"/>
          <w:lang w:eastAsia="bg-BG"/>
        </w:rPr>
        <w:t>176, 97 от мъжки пол и 79 от женски пол), последвано от 40-седмично (п=173, 96 от мъжки пол и 77 от женски пол) открито, фаза титриране на дозата на розувастатин, пациенти на възраст 10-17 години (стадий II</w:t>
      </w:r>
      <w:r w:rsidRPr="009160EE">
        <w:rPr>
          <w:rFonts w:eastAsia="Times New Roman" w:cs="Arial"/>
          <w:b/>
          <w:bCs/>
          <w:color w:val="000000"/>
          <w:lang w:val="en-US"/>
        </w:rPr>
        <w:t xml:space="preserve">-V </w:t>
      </w:r>
      <w:r w:rsidRPr="009160EE">
        <w:rPr>
          <w:rFonts w:eastAsia="Times New Roman" w:cs="Arial"/>
          <w:b/>
          <w:bCs/>
          <w:color w:val="000000"/>
          <w:lang w:eastAsia="bg-BG"/>
        </w:rPr>
        <w:t xml:space="preserve">по Танер, момичета поне 1 година след началото на менструацията) с хетерозиготна фамилна хиперхолестеролемия получаваха розувастатин 5,10 или 20 </w:t>
      </w:r>
      <w:r w:rsidRPr="009160EE">
        <w:rPr>
          <w:rFonts w:eastAsia="Times New Roman" w:cs="Arial"/>
          <w:b/>
          <w:bCs/>
          <w:color w:val="000000"/>
          <w:lang w:val="en-US"/>
        </w:rPr>
        <w:t xml:space="preserve">mg </w:t>
      </w:r>
      <w:r w:rsidRPr="009160EE">
        <w:rPr>
          <w:rFonts w:eastAsia="Times New Roman" w:cs="Arial"/>
          <w:b/>
          <w:bCs/>
          <w:color w:val="000000"/>
          <w:lang w:eastAsia="bg-BG"/>
        </w:rPr>
        <w:t>или плацебо дневно за 12 седмици и след това всички получаваха розувастатин дневно за 40 седмици. В началото на проучването приблизително 30% от пациентите бяха 10-13 годишни и приблизително 17%, 18%, 40% и 25% бяха в стадии П, Ш, IV и V по Танер.</w:t>
      </w:r>
    </w:p>
    <w:p w14:paraId="33BD1EDB" w14:textId="77777777" w:rsidR="009160EE" w:rsidRPr="009160EE" w:rsidRDefault="009160EE" w:rsidP="009160EE">
      <w:pPr>
        <w:spacing w:line="240" w:lineRule="auto"/>
        <w:rPr>
          <w:rFonts w:eastAsia="Times New Roman" w:cs="Arial"/>
          <w:b/>
          <w:bCs/>
          <w:color w:val="000000"/>
          <w:lang w:val="en-US"/>
        </w:rPr>
      </w:pPr>
    </w:p>
    <w:p w14:paraId="04664113" w14:textId="6C73DB9E"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val="en-US"/>
        </w:rPr>
        <w:t>LDL</w:t>
      </w:r>
      <w:r w:rsidRPr="009160EE">
        <w:rPr>
          <w:rFonts w:eastAsia="Times New Roman" w:cs="Arial"/>
          <w:b/>
          <w:bCs/>
          <w:color w:val="000000"/>
          <w:lang w:eastAsia="bg-BG"/>
        </w:rPr>
        <w:t xml:space="preserve">-холестеролът беше понижен 38.3%, 44.6% и 50.0% от розувастатин 5,10 и 20 </w:t>
      </w:r>
      <w:r w:rsidRPr="009160EE">
        <w:rPr>
          <w:rFonts w:eastAsia="Times New Roman" w:cs="Arial"/>
          <w:b/>
          <w:bCs/>
          <w:color w:val="000000"/>
          <w:lang w:val="en-US"/>
        </w:rPr>
        <w:t xml:space="preserve">mg, </w:t>
      </w:r>
      <w:r w:rsidRPr="009160EE">
        <w:rPr>
          <w:rFonts w:eastAsia="Times New Roman" w:cs="Arial"/>
          <w:b/>
          <w:bCs/>
          <w:color w:val="000000"/>
          <w:lang w:eastAsia="bg-BG"/>
        </w:rPr>
        <w:t>съответно, в сравнение с 0.7% за плацебо.</w:t>
      </w:r>
    </w:p>
    <w:p w14:paraId="60E05CEF" w14:textId="77777777" w:rsidR="009160EE" w:rsidRPr="009160EE" w:rsidRDefault="009160EE" w:rsidP="009160EE">
      <w:pPr>
        <w:spacing w:line="240" w:lineRule="auto"/>
        <w:rPr>
          <w:rFonts w:eastAsia="Times New Roman" w:cs="Arial"/>
          <w:b/>
          <w:bCs/>
          <w:color w:val="000000"/>
          <w:lang w:eastAsia="bg-BG"/>
        </w:rPr>
      </w:pPr>
    </w:p>
    <w:p w14:paraId="61DB2D93" w14:textId="7955851B"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В края на 40-седмичното, открито, целящо титруване проучване, дозиране до м</w:t>
      </w:r>
      <w:r w:rsidRPr="009160EE">
        <w:rPr>
          <w:rFonts w:eastAsia="Times New Roman" w:cs="Arial"/>
          <w:b/>
          <w:bCs/>
          <w:color w:val="000000"/>
          <w:u w:val="single"/>
          <w:lang w:eastAsia="bg-BG"/>
        </w:rPr>
        <w:t>аксим</w:t>
      </w:r>
      <w:r w:rsidRPr="009160EE">
        <w:rPr>
          <w:rFonts w:eastAsia="Times New Roman" w:cs="Arial"/>
          <w:b/>
          <w:bCs/>
          <w:color w:val="000000"/>
          <w:lang w:eastAsia="bg-BG"/>
        </w:rPr>
        <w:t xml:space="preserve">ум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веднъж дневно, 70 от 173 пациенти (40.5%) бяха постигнали целта за </w:t>
      </w:r>
      <w:r w:rsidRPr="009160EE">
        <w:rPr>
          <w:rFonts w:eastAsia="Times New Roman" w:cs="Arial"/>
          <w:b/>
          <w:bCs/>
          <w:color w:val="000000"/>
          <w:lang w:val="en-US"/>
        </w:rPr>
        <w:t>LDL</w:t>
      </w:r>
      <w:r w:rsidRPr="009160EE">
        <w:rPr>
          <w:rFonts w:eastAsia="Times New Roman" w:cs="Arial"/>
          <w:b/>
          <w:bCs/>
          <w:color w:val="000000"/>
          <w:lang w:eastAsia="bg-BG"/>
        </w:rPr>
        <w:t xml:space="preserve">-холестерол от по-малко от 2.8 </w:t>
      </w:r>
      <w:proofErr w:type="spellStart"/>
      <w:r w:rsidRPr="009160EE">
        <w:rPr>
          <w:rFonts w:eastAsia="Times New Roman" w:cs="Arial"/>
          <w:b/>
          <w:bCs/>
          <w:color w:val="000000"/>
          <w:lang w:val="en-US"/>
        </w:rPr>
        <w:t>mmol</w:t>
      </w:r>
      <w:proofErr w:type="spellEnd"/>
      <w:r w:rsidRPr="009160EE">
        <w:rPr>
          <w:rFonts w:eastAsia="Times New Roman" w:cs="Arial"/>
          <w:b/>
          <w:bCs/>
          <w:color w:val="000000"/>
          <w:lang w:val="en-US"/>
        </w:rPr>
        <w:t>/l.</w:t>
      </w:r>
    </w:p>
    <w:p w14:paraId="307038AB" w14:textId="77777777" w:rsidR="009160EE" w:rsidRPr="009160EE" w:rsidRDefault="009160EE" w:rsidP="009160EE">
      <w:pPr>
        <w:spacing w:line="240" w:lineRule="auto"/>
        <w:rPr>
          <w:rFonts w:eastAsia="Times New Roman" w:cs="Arial"/>
          <w:sz w:val="24"/>
          <w:szCs w:val="24"/>
          <w:lang w:eastAsia="bg-BG"/>
        </w:rPr>
      </w:pPr>
    </w:p>
    <w:p w14:paraId="5DC10FEF" w14:textId="6A3EFCB6" w:rsidR="009160EE" w:rsidRPr="009160EE" w:rsidRDefault="009160EE" w:rsidP="009160EE">
      <w:pPr>
        <w:rPr>
          <w:rFonts w:eastAsia="Times New Roman" w:cs="Arial"/>
          <w:sz w:val="24"/>
          <w:szCs w:val="24"/>
          <w:lang w:eastAsia="bg-BG"/>
        </w:rPr>
      </w:pPr>
      <w:r w:rsidRPr="009160EE">
        <w:rPr>
          <w:rFonts w:eastAsia="Times New Roman" w:cs="Arial"/>
          <w:b/>
          <w:bCs/>
          <w:color w:val="000000"/>
          <w:lang w:eastAsia="bg-BG"/>
        </w:rPr>
        <w:t xml:space="preserve">След </w:t>
      </w:r>
      <w:r w:rsidRPr="009160EE">
        <w:rPr>
          <w:rFonts w:eastAsia="Times New Roman" w:cs="Arial"/>
          <w:b/>
          <w:bCs/>
          <w:color w:val="000000"/>
          <w:lang w:val="en-US"/>
        </w:rPr>
        <w:t xml:space="preserve">52 </w:t>
      </w:r>
      <w:r w:rsidRPr="009160EE">
        <w:rPr>
          <w:rFonts w:eastAsia="Times New Roman" w:cs="Arial"/>
          <w:b/>
          <w:bCs/>
          <w:color w:val="000000"/>
          <w:lang w:eastAsia="bg-BG"/>
        </w:rPr>
        <w:t>седмици на изследваното лечение, не беше установен никакъв ефект върху</w:t>
      </w:r>
      <w:r w:rsidRPr="009160EE">
        <w:rPr>
          <w:rFonts w:eastAsia="Times New Roman" w:cs="Arial"/>
          <w:b/>
          <w:bCs/>
          <w:color w:val="000000"/>
          <w:lang w:val="en-US" w:eastAsia="bg-BG"/>
        </w:rPr>
        <w:t xml:space="preserve"> </w:t>
      </w:r>
      <w:r w:rsidRPr="009160EE">
        <w:rPr>
          <w:rFonts w:eastAsia="Times New Roman" w:cs="Arial"/>
          <w:b/>
          <w:bCs/>
          <w:color w:val="000000"/>
          <w:lang w:eastAsia="bg-BG"/>
        </w:rPr>
        <w:t xml:space="preserve">растежа, теглото, </w:t>
      </w:r>
      <w:r w:rsidRPr="009160EE">
        <w:rPr>
          <w:rFonts w:eastAsia="Times New Roman" w:cs="Arial"/>
          <w:b/>
          <w:bCs/>
          <w:color w:val="000000"/>
          <w:lang w:val="en-US"/>
        </w:rPr>
        <w:t xml:space="preserve">BMI </w:t>
      </w:r>
      <w:r w:rsidRPr="009160EE">
        <w:rPr>
          <w:rFonts w:eastAsia="Times New Roman" w:cs="Arial"/>
          <w:b/>
          <w:bCs/>
          <w:color w:val="000000"/>
          <w:lang w:eastAsia="bg-BG"/>
        </w:rPr>
        <w:t xml:space="preserve">или половото съзряване (вж. точка 4.4). Това проучване </w:t>
      </w:r>
      <w:r>
        <w:rPr>
          <w:rFonts w:eastAsia="Times New Roman" w:cs="Arial"/>
          <w:b/>
          <w:bCs/>
          <w:smallCaps/>
          <w:color w:val="000000"/>
          <w:lang w:val="en-US"/>
        </w:rPr>
        <w:t>(</w:t>
      </w:r>
      <w:r w:rsidRPr="009160EE">
        <w:rPr>
          <w:rFonts w:eastAsia="Times New Roman" w:cs="Arial"/>
          <w:b/>
          <w:bCs/>
          <w:color w:val="000000"/>
          <w:lang w:val="en-US"/>
        </w:rPr>
        <w:t>n</w:t>
      </w:r>
      <w:r w:rsidRPr="009160EE">
        <w:rPr>
          <w:rFonts w:eastAsia="Times New Roman" w:cs="Arial"/>
          <w:b/>
          <w:bCs/>
          <w:smallCaps/>
          <w:color w:val="000000"/>
          <w:lang w:val="en-US"/>
        </w:rPr>
        <w:t xml:space="preserve"> =176)</w:t>
      </w:r>
      <w:r w:rsidRPr="009160EE">
        <w:rPr>
          <w:rFonts w:eastAsia="Times New Roman" w:cs="Arial"/>
          <w:b/>
          <w:bCs/>
          <w:color w:val="000000"/>
          <w:lang w:val="en-US"/>
        </w:rPr>
        <w:t xml:space="preserve"> </w:t>
      </w:r>
      <w:r w:rsidRPr="009160EE">
        <w:rPr>
          <w:rFonts w:eastAsia="Times New Roman" w:cs="Arial"/>
          <w:b/>
          <w:bCs/>
          <w:color w:val="000000"/>
          <w:lang w:eastAsia="bg-BG"/>
        </w:rPr>
        <w:t>не беше предназначено за сравняване на редки нежелани лекарствени реакции.</w:t>
      </w:r>
    </w:p>
    <w:p w14:paraId="49474455" w14:textId="77777777" w:rsidR="009160EE" w:rsidRPr="009160EE" w:rsidRDefault="009160EE" w:rsidP="009160EE">
      <w:pPr>
        <w:spacing w:line="240" w:lineRule="auto"/>
        <w:rPr>
          <w:rFonts w:eastAsia="Times New Roman" w:cs="Arial"/>
          <w:b/>
          <w:bCs/>
          <w:color w:val="000000"/>
          <w:lang w:eastAsia="bg-BG"/>
        </w:rPr>
      </w:pPr>
    </w:p>
    <w:p w14:paraId="528D2288" w14:textId="448BFBCA"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е проучван също в едно 2-годишно открито клинично проучване с титриране на дозата до желаната доза при 198 деца с хетерозиготна фамилна </w:t>
      </w:r>
      <w:r w:rsidRPr="009160EE">
        <w:rPr>
          <w:rFonts w:eastAsia="Times New Roman" w:cs="Arial"/>
          <w:b/>
          <w:bCs/>
          <w:color w:val="000000"/>
          <w:lang w:eastAsia="bg-BG"/>
        </w:rPr>
        <w:lastRenderedPageBreak/>
        <w:t xml:space="preserve">хиперхолестеролемия на възраст 6 до 17 години (88 момчета и 110 момичета, стадий по Танер </w:t>
      </w:r>
      <w:r w:rsidRPr="009160EE">
        <w:rPr>
          <w:rFonts w:eastAsia="Times New Roman" w:cs="Arial"/>
          <w:b/>
          <w:bCs/>
          <w:color w:val="000000"/>
          <w:lang w:val="en-US"/>
        </w:rPr>
        <w:t xml:space="preserve">&lt;II-V). </w:t>
      </w:r>
      <w:r w:rsidRPr="009160EE">
        <w:rPr>
          <w:rFonts w:eastAsia="Times New Roman" w:cs="Arial"/>
          <w:b/>
          <w:bCs/>
          <w:color w:val="000000"/>
          <w:lang w:eastAsia="bg-BG"/>
        </w:rPr>
        <w:t xml:space="preserve">Началната доза при всички пациенти е 5 </w:t>
      </w:r>
      <w:r w:rsidRPr="009160EE">
        <w:rPr>
          <w:rFonts w:eastAsia="Times New Roman" w:cs="Arial"/>
          <w:b/>
          <w:bCs/>
          <w:color w:val="000000"/>
          <w:lang w:val="en-US"/>
        </w:rPr>
        <w:t xml:space="preserve">mg </w:t>
      </w:r>
      <w:r w:rsidRPr="009160EE">
        <w:rPr>
          <w:rFonts w:eastAsia="Times New Roman" w:cs="Arial"/>
          <w:b/>
          <w:bCs/>
          <w:color w:val="000000"/>
          <w:lang w:eastAsia="bg-BG"/>
        </w:rPr>
        <w:t>розувастатин веднъж дневно. При пациентите на възраст 6 до 9 години (</w:t>
      </w:r>
      <w:r w:rsidRPr="009160EE">
        <w:rPr>
          <w:rFonts w:eastAsia="Times New Roman" w:cs="Arial"/>
          <w:b/>
          <w:bCs/>
          <w:color w:val="000000"/>
          <w:lang w:val="en-US"/>
        </w:rPr>
        <w:t>n</w:t>
      </w:r>
      <w:r w:rsidRPr="009160EE">
        <w:rPr>
          <w:rFonts w:eastAsia="Times New Roman" w:cs="Arial"/>
          <w:b/>
          <w:bCs/>
          <w:color w:val="000000"/>
          <w:lang w:eastAsia="bg-BG"/>
        </w:rPr>
        <w:t xml:space="preserve">=64) дозата може да се титрира до максимална доза 10 </w:t>
      </w:r>
      <w:r w:rsidRPr="009160EE">
        <w:rPr>
          <w:rFonts w:eastAsia="Times New Roman" w:cs="Arial"/>
          <w:b/>
          <w:bCs/>
          <w:color w:val="000000"/>
          <w:lang w:val="en-US"/>
        </w:rPr>
        <w:t xml:space="preserve">mg </w:t>
      </w:r>
      <w:r w:rsidRPr="009160EE">
        <w:rPr>
          <w:rFonts w:eastAsia="Times New Roman" w:cs="Arial"/>
          <w:b/>
          <w:bCs/>
          <w:color w:val="000000"/>
          <w:lang w:eastAsia="bg-BG"/>
        </w:rPr>
        <w:t>веднъж дневно, а при пациенти на възраст 10 до 17 години (</w:t>
      </w:r>
      <w:r w:rsidRPr="009160EE">
        <w:rPr>
          <w:rFonts w:eastAsia="Times New Roman" w:cs="Arial"/>
          <w:b/>
          <w:bCs/>
          <w:color w:val="000000"/>
          <w:lang w:val="en-US"/>
        </w:rPr>
        <w:t>n</w:t>
      </w:r>
      <w:r w:rsidRPr="009160EE">
        <w:rPr>
          <w:rFonts w:eastAsia="Times New Roman" w:cs="Arial"/>
          <w:b/>
          <w:bCs/>
          <w:color w:val="000000"/>
          <w:lang w:eastAsia="bg-BG"/>
        </w:rPr>
        <w:t xml:space="preserve">=134) до максимална доза 20 </w:t>
      </w:r>
      <w:r w:rsidRPr="009160EE">
        <w:rPr>
          <w:rFonts w:eastAsia="Times New Roman" w:cs="Arial"/>
          <w:b/>
          <w:bCs/>
          <w:color w:val="000000"/>
          <w:lang w:val="en-US"/>
        </w:rPr>
        <w:t xml:space="preserve">mg </w:t>
      </w:r>
      <w:r w:rsidRPr="009160EE">
        <w:rPr>
          <w:rFonts w:eastAsia="Times New Roman" w:cs="Arial"/>
          <w:b/>
          <w:bCs/>
          <w:color w:val="000000"/>
          <w:lang w:eastAsia="bg-BG"/>
        </w:rPr>
        <w:t>веднъж дневно.</w:t>
      </w:r>
    </w:p>
    <w:p w14:paraId="20C97310" w14:textId="77777777" w:rsidR="009160EE" w:rsidRPr="009160EE" w:rsidRDefault="009160EE" w:rsidP="009160EE">
      <w:pPr>
        <w:spacing w:line="240" w:lineRule="auto"/>
        <w:rPr>
          <w:rFonts w:eastAsia="Times New Roman" w:cs="Arial"/>
          <w:b/>
          <w:bCs/>
          <w:color w:val="000000"/>
          <w:lang w:eastAsia="bg-BG"/>
        </w:rPr>
      </w:pPr>
    </w:p>
    <w:p w14:paraId="0B72AC07" w14:textId="4E154373"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След 24 месеца на лечение с розувастатин, </w:t>
      </w:r>
      <w:r w:rsidRPr="009160EE">
        <w:rPr>
          <w:rFonts w:eastAsia="Times New Roman" w:cs="Arial"/>
          <w:b/>
          <w:bCs/>
          <w:color w:val="000000"/>
          <w:lang w:val="en-US"/>
        </w:rPr>
        <w:t xml:space="preserve">LS </w:t>
      </w:r>
      <w:r w:rsidRPr="009160EE">
        <w:rPr>
          <w:rFonts w:eastAsia="Times New Roman" w:cs="Arial"/>
          <w:b/>
          <w:bCs/>
          <w:color w:val="000000"/>
          <w:lang w:eastAsia="bg-BG"/>
        </w:rPr>
        <w:t xml:space="preserve">на средния процент за намаление на </w:t>
      </w:r>
      <w:r w:rsidRPr="009160EE">
        <w:rPr>
          <w:rFonts w:eastAsia="Times New Roman" w:cs="Arial"/>
          <w:b/>
          <w:bCs/>
          <w:color w:val="000000"/>
          <w:lang w:val="en-US"/>
        </w:rPr>
        <w:t xml:space="preserve">LDL- </w:t>
      </w:r>
      <w:r w:rsidRPr="009160EE">
        <w:rPr>
          <w:rFonts w:eastAsia="Times New Roman" w:cs="Arial"/>
          <w:b/>
          <w:bCs/>
          <w:color w:val="000000"/>
          <w:lang w:eastAsia="bg-BG"/>
        </w:rPr>
        <w:t xml:space="preserve">С спрямо изходната стойност е -43% (изходно ниво: 236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133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За всяка възрастова трупа, </w:t>
      </w:r>
      <w:r w:rsidRPr="009160EE">
        <w:rPr>
          <w:rFonts w:eastAsia="Times New Roman" w:cs="Arial"/>
          <w:b/>
          <w:bCs/>
          <w:color w:val="000000"/>
          <w:lang w:val="en-US"/>
        </w:rPr>
        <w:t xml:space="preserve">LS </w:t>
      </w:r>
      <w:r w:rsidRPr="009160EE">
        <w:rPr>
          <w:rFonts w:eastAsia="Times New Roman" w:cs="Arial"/>
          <w:b/>
          <w:bCs/>
          <w:color w:val="000000"/>
          <w:lang w:eastAsia="bg-BG"/>
        </w:rPr>
        <w:t xml:space="preserve">на средния процент на намаление на </w:t>
      </w:r>
      <w:r w:rsidRPr="009160EE">
        <w:rPr>
          <w:rFonts w:eastAsia="Times New Roman" w:cs="Arial"/>
          <w:b/>
          <w:bCs/>
          <w:color w:val="000000"/>
          <w:lang w:val="en-US"/>
        </w:rPr>
        <w:t>LDL</w:t>
      </w:r>
      <w:r w:rsidRPr="009160EE">
        <w:rPr>
          <w:rFonts w:eastAsia="Times New Roman" w:cs="Arial"/>
          <w:b/>
          <w:bCs/>
          <w:color w:val="000000"/>
          <w:lang w:eastAsia="bg-BG"/>
        </w:rPr>
        <w:t xml:space="preserve">-С спрямо изходната стойност е - 43% (изходно ниво: 234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124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-45% (изходно ниво: 234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124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и -35% (изходно ниво: 241 </w:t>
      </w:r>
      <w:r w:rsidRPr="009160EE">
        <w:rPr>
          <w:rFonts w:eastAsia="Times New Roman" w:cs="Arial"/>
          <w:b/>
          <w:bCs/>
          <w:color w:val="000000"/>
          <w:lang w:val="en-US"/>
        </w:rPr>
        <w:t xml:space="preserve">mg/dl, </w:t>
      </w:r>
      <w:r w:rsidRPr="009160EE">
        <w:rPr>
          <w:rFonts w:eastAsia="Times New Roman" w:cs="Arial"/>
          <w:b/>
          <w:bCs/>
          <w:color w:val="000000"/>
          <w:lang w:eastAsia="bg-BG"/>
        </w:rPr>
        <w:t xml:space="preserve">месец 24: 153 </w:t>
      </w:r>
      <w:r w:rsidRPr="009160EE">
        <w:rPr>
          <w:rFonts w:eastAsia="Times New Roman" w:cs="Arial"/>
          <w:b/>
          <w:bCs/>
          <w:color w:val="000000"/>
          <w:lang w:val="en-US"/>
        </w:rPr>
        <w:t xml:space="preserve">mg/dl) </w:t>
      </w:r>
      <w:r w:rsidRPr="009160EE">
        <w:rPr>
          <w:rFonts w:eastAsia="Times New Roman" w:cs="Arial"/>
          <w:b/>
          <w:bCs/>
          <w:color w:val="000000"/>
          <w:lang w:eastAsia="bg-BG"/>
        </w:rPr>
        <w:t>във възрастовите групи 6 до &lt;1 Ор 10 до &lt;14 и 14 до &lt;18 съответно.</w:t>
      </w:r>
    </w:p>
    <w:p w14:paraId="74B50D86" w14:textId="77777777" w:rsidR="009160EE" w:rsidRPr="009160EE" w:rsidRDefault="009160EE" w:rsidP="009160EE">
      <w:pPr>
        <w:spacing w:line="240" w:lineRule="auto"/>
        <w:rPr>
          <w:rFonts w:eastAsia="Times New Roman" w:cs="Arial"/>
          <w:b/>
          <w:bCs/>
          <w:color w:val="000000"/>
          <w:lang w:eastAsia="bg-BG"/>
        </w:rPr>
      </w:pPr>
    </w:p>
    <w:p w14:paraId="493E3C3E" w14:textId="6B4FEFF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5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10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и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достигат също статистически значими средни промени спрямо изходно ниво за следните вторични показатели на липидите и липопротеините: </w:t>
      </w:r>
      <w:r w:rsidRPr="009160EE">
        <w:rPr>
          <w:rFonts w:eastAsia="Times New Roman" w:cs="Arial"/>
          <w:b/>
          <w:bCs/>
          <w:color w:val="000000"/>
          <w:lang w:val="en-US"/>
        </w:rPr>
        <w:t xml:space="preserve">HDL-C, </w:t>
      </w:r>
      <w:r w:rsidRPr="009160EE">
        <w:rPr>
          <w:rFonts w:eastAsia="Times New Roman" w:cs="Arial"/>
          <w:b/>
          <w:bCs/>
          <w:color w:val="000000"/>
          <w:lang w:eastAsia="bg-BG"/>
        </w:rPr>
        <w:t>ТС, не</w:t>
      </w:r>
      <w:r w:rsidRPr="009160EE">
        <w:rPr>
          <w:rFonts w:eastAsia="Times New Roman" w:cs="Arial"/>
          <w:b/>
          <w:bCs/>
          <w:color w:val="000000"/>
          <w:lang w:val="en-US"/>
        </w:rPr>
        <w:t xml:space="preserve">-HDL-C, LDL-C/HDL-C, TC/HDL-C, TG/HDL-C, </w:t>
      </w:r>
      <w:r w:rsidRPr="009160EE">
        <w:rPr>
          <w:rFonts w:eastAsia="Times New Roman" w:cs="Arial"/>
          <w:b/>
          <w:bCs/>
          <w:color w:val="000000"/>
          <w:lang w:eastAsia="bg-BG"/>
        </w:rPr>
        <w:t xml:space="preserve">не </w:t>
      </w:r>
      <w:r w:rsidRPr="009160EE">
        <w:rPr>
          <w:rFonts w:eastAsia="Times New Roman" w:cs="Arial"/>
          <w:b/>
          <w:bCs/>
          <w:color w:val="000000"/>
          <w:lang w:val="en-US"/>
        </w:rPr>
        <w:t xml:space="preserve">HDL C/HDL-C, </w:t>
      </w:r>
      <w:r w:rsidRPr="009160EE">
        <w:rPr>
          <w:rFonts w:eastAsia="Times New Roman" w:cs="Arial"/>
          <w:b/>
          <w:bCs/>
          <w:color w:val="000000"/>
          <w:lang w:eastAsia="bg-BG"/>
        </w:rPr>
        <w:t>АроВ, АроВ/АроА-1. Всяка от тези промени е в посока на подобрен липиден отговор и се поддържа в продължение на 2 години.</w:t>
      </w:r>
    </w:p>
    <w:p w14:paraId="5C44C75E" w14:textId="77777777" w:rsidR="009160EE" w:rsidRPr="009160EE" w:rsidRDefault="009160EE" w:rsidP="009160EE">
      <w:pPr>
        <w:spacing w:line="240" w:lineRule="auto"/>
        <w:rPr>
          <w:rFonts w:eastAsia="Times New Roman" w:cs="Arial"/>
          <w:b/>
          <w:bCs/>
          <w:color w:val="000000"/>
          <w:lang w:eastAsia="bg-BG"/>
        </w:rPr>
      </w:pPr>
    </w:p>
    <w:p w14:paraId="7399FD19" w14:textId="60D4BC3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Не се установява ефект върху растежа, теглото, ИТМ или половото съзряване след 24 месеца на лечение (вж. точка 4.4).</w:t>
      </w:r>
    </w:p>
    <w:p w14:paraId="28604B0E" w14:textId="77777777" w:rsidR="009160EE" w:rsidRPr="009160EE" w:rsidRDefault="009160EE" w:rsidP="009160EE">
      <w:pPr>
        <w:spacing w:line="240" w:lineRule="auto"/>
        <w:rPr>
          <w:rFonts w:eastAsia="Times New Roman" w:cs="Arial"/>
          <w:b/>
          <w:bCs/>
          <w:color w:val="000000"/>
          <w:lang w:eastAsia="bg-BG"/>
        </w:rPr>
      </w:pPr>
    </w:p>
    <w:p w14:paraId="758F9B78" w14:textId="55A14EFE"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е проучен при рандомизирано, двойносляпо, плацебо контролирано многоцентрово, кръстосано проучване с доза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веднъж дневно спрямо плацебо при 14 деца и юноши (на възраст от 6 до 17 години) с хомозиготна фамилна хиперхолестеролемия. Проучването включва активна 4-седмична фаза с диета, по време на която пациентите са лекувани с розувастатин 10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кръстосана фаза, която се състои от 6-седмичен период на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предшестван или сладващ 6-седмичен период на лечение с плацебо, и 12-седмична под държаща фаза, по време на която всички пациенти са лекувани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Пациентите, които при включване са били на лечение с езитимиб или афереза са продължили лечението си през цялото проучване.</w:t>
      </w:r>
    </w:p>
    <w:p w14:paraId="214C404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Статистически значимо (р=0,005)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(22,3%, 85,4 </w:t>
      </w:r>
      <w:r w:rsidRPr="009160EE">
        <w:rPr>
          <w:rFonts w:eastAsia="Times New Roman" w:cs="Arial"/>
          <w:b/>
          <w:bCs/>
          <w:color w:val="000000"/>
          <w:lang w:val="en-US"/>
        </w:rPr>
        <w:t>mg/</w:t>
      </w:r>
      <w:proofErr w:type="spellStart"/>
      <w:r w:rsidRPr="009160EE">
        <w:rPr>
          <w:rFonts w:eastAsia="Times New Roman" w:cs="Arial"/>
          <w:b/>
          <w:bCs/>
          <w:color w:val="000000"/>
          <w:lang w:val="en-US"/>
        </w:rPr>
        <w:t>dL</w:t>
      </w:r>
      <w:proofErr w:type="spellEnd"/>
      <w:r w:rsidRPr="009160EE">
        <w:rPr>
          <w:rFonts w:eastAsia="Times New Roman" w:cs="Arial"/>
          <w:b/>
          <w:bCs/>
          <w:color w:val="000000"/>
          <w:lang w:val="en-US"/>
        </w:rPr>
        <w:t xml:space="preserve"> </w:t>
      </w:r>
      <w:r w:rsidRPr="009160EE">
        <w:rPr>
          <w:rFonts w:eastAsia="Times New Roman" w:cs="Arial"/>
          <w:b/>
          <w:bCs/>
          <w:color w:val="000000"/>
          <w:lang w:eastAsia="bg-BG"/>
        </w:rPr>
        <w:t xml:space="preserve">или 2,2 </w:t>
      </w:r>
      <w:proofErr w:type="spellStart"/>
      <w:r w:rsidRPr="009160EE">
        <w:rPr>
          <w:rFonts w:eastAsia="Times New Roman" w:cs="Arial"/>
          <w:b/>
          <w:bCs/>
          <w:color w:val="000000"/>
          <w:lang w:val="en-US"/>
        </w:rPr>
        <w:t>mmol</w:t>
      </w:r>
      <w:proofErr w:type="spellEnd"/>
      <w:r w:rsidRPr="009160EE">
        <w:rPr>
          <w:rFonts w:eastAsia="Times New Roman" w:cs="Arial"/>
          <w:b/>
          <w:bCs/>
          <w:color w:val="000000"/>
          <w:lang w:val="en-US"/>
        </w:rPr>
        <w:t xml:space="preserve">/L) </w:t>
      </w:r>
      <w:r w:rsidRPr="009160EE">
        <w:rPr>
          <w:rFonts w:eastAsia="Times New Roman" w:cs="Arial"/>
          <w:b/>
          <w:bCs/>
          <w:color w:val="000000"/>
          <w:lang w:eastAsia="bg-BG"/>
        </w:rPr>
        <w:t xml:space="preserve">е наблюдавано след 6 седмици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спрямо плацебо. Наблюдавано е статистически значимо понижение в общия холестерол (20,1%, р=0,003), не</w:t>
      </w:r>
      <w:r w:rsidRPr="009160EE">
        <w:rPr>
          <w:rFonts w:eastAsia="Times New Roman" w:cs="Arial"/>
          <w:b/>
          <w:bCs/>
          <w:color w:val="000000"/>
          <w:lang w:val="en-US"/>
        </w:rPr>
        <w:t xml:space="preserve">- HDL-C </w:t>
      </w:r>
      <w:r w:rsidRPr="009160EE">
        <w:rPr>
          <w:rFonts w:eastAsia="Times New Roman" w:cs="Arial"/>
          <w:b/>
          <w:bCs/>
          <w:color w:val="000000"/>
          <w:lang w:eastAsia="bg-BG"/>
        </w:rPr>
        <w:t xml:space="preserve">(22,9%, р=0,003) и АроВ (17,1%, р=0,024). Наблюдавани са понижения в нивата на триглицеридите, </w:t>
      </w:r>
      <w:r w:rsidRPr="009160EE">
        <w:rPr>
          <w:rFonts w:eastAsia="Times New Roman" w:cs="Arial"/>
          <w:b/>
          <w:bCs/>
          <w:color w:val="000000"/>
          <w:lang w:val="en-US"/>
        </w:rPr>
        <w:t>LDL</w:t>
      </w:r>
      <w:r w:rsidRPr="009160EE">
        <w:rPr>
          <w:rFonts w:eastAsia="Times New Roman" w:cs="Arial"/>
          <w:b/>
          <w:bCs/>
          <w:color w:val="000000"/>
          <w:lang w:eastAsia="bg-BG"/>
        </w:rPr>
        <w:t xml:space="preserve">-С/ </w:t>
      </w:r>
      <w:r w:rsidRPr="009160EE">
        <w:rPr>
          <w:rFonts w:eastAsia="Times New Roman" w:cs="Arial"/>
          <w:b/>
          <w:bCs/>
          <w:color w:val="000000"/>
          <w:lang w:val="en-US"/>
        </w:rPr>
        <w:t xml:space="preserve">HDL-C, </w:t>
      </w:r>
      <w:r w:rsidRPr="009160EE">
        <w:rPr>
          <w:rFonts w:eastAsia="Times New Roman" w:cs="Arial"/>
          <w:b/>
          <w:bCs/>
          <w:color w:val="000000"/>
          <w:lang w:eastAsia="bg-BG"/>
        </w:rPr>
        <w:t xml:space="preserve">Общ холестерол/ </w:t>
      </w:r>
      <w:r w:rsidRPr="009160EE">
        <w:rPr>
          <w:rFonts w:eastAsia="Times New Roman" w:cs="Arial"/>
          <w:b/>
          <w:bCs/>
          <w:color w:val="000000"/>
          <w:lang w:val="en-US"/>
        </w:rPr>
        <w:t xml:space="preserve">HDL-C, </w:t>
      </w:r>
      <w:r w:rsidRPr="009160EE">
        <w:rPr>
          <w:rFonts w:eastAsia="Times New Roman" w:cs="Arial"/>
          <w:b/>
          <w:bCs/>
          <w:color w:val="000000"/>
          <w:lang w:eastAsia="bg-BG"/>
        </w:rPr>
        <w:t>не</w:t>
      </w:r>
      <w:r w:rsidRPr="009160EE">
        <w:rPr>
          <w:rFonts w:eastAsia="Times New Roman" w:cs="Arial"/>
          <w:b/>
          <w:bCs/>
          <w:color w:val="000000"/>
          <w:lang w:val="en-US"/>
        </w:rPr>
        <w:t>-HDL-C/ HDL</w:t>
      </w:r>
      <w:r w:rsidRPr="009160EE">
        <w:rPr>
          <w:rFonts w:eastAsia="Times New Roman" w:cs="Arial"/>
          <w:b/>
          <w:bCs/>
          <w:color w:val="000000"/>
          <w:lang w:eastAsia="bg-BG"/>
        </w:rPr>
        <w:t xml:space="preserve">-С и АроВ/АроА-1 след 6-седмично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спрямо плацебо. Понижението в </w:t>
      </w:r>
      <w:r w:rsidRPr="009160EE">
        <w:rPr>
          <w:rFonts w:eastAsia="Times New Roman" w:cs="Arial"/>
          <w:b/>
          <w:bCs/>
          <w:color w:val="000000"/>
          <w:lang w:val="en-US"/>
        </w:rPr>
        <w:t>LDL</w:t>
      </w:r>
      <w:r w:rsidRPr="009160EE">
        <w:rPr>
          <w:rFonts w:eastAsia="Times New Roman" w:cs="Arial"/>
          <w:b/>
          <w:bCs/>
          <w:color w:val="000000"/>
          <w:lang w:eastAsia="bg-BG"/>
        </w:rPr>
        <w:t xml:space="preserve">-С след 6- седмично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последвано от 6-седмично лечение с плацебо се запазва в рамките на 12-седмична терапия.</w:t>
      </w:r>
    </w:p>
    <w:p w14:paraId="054BD7F7"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 един пациент е наблюдавано допълнително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(8,0%), общия холестерол (6,7%) и не</w:t>
      </w:r>
      <w:r w:rsidRPr="009160EE">
        <w:rPr>
          <w:rFonts w:eastAsia="Times New Roman" w:cs="Arial"/>
          <w:b/>
          <w:bCs/>
          <w:color w:val="000000"/>
          <w:lang w:val="en-US"/>
        </w:rPr>
        <w:t xml:space="preserve">-HDL-C </w:t>
      </w:r>
      <w:r w:rsidRPr="009160EE">
        <w:rPr>
          <w:rFonts w:eastAsia="Times New Roman" w:cs="Arial"/>
          <w:b/>
          <w:bCs/>
          <w:color w:val="000000"/>
          <w:lang w:eastAsia="bg-BG"/>
        </w:rPr>
        <w:t xml:space="preserve">-7,4%) след 6-седмично лечение с 40 </w:t>
      </w:r>
      <w:r w:rsidRPr="009160EE">
        <w:rPr>
          <w:rFonts w:eastAsia="Times New Roman" w:cs="Arial"/>
          <w:b/>
          <w:bCs/>
          <w:color w:val="000000"/>
          <w:lang w:val="en-US"/>
        </w:rPr>
        <w:t xml:space="preserve">mg </w:t>
      </w:r>
      <w:r w:rsidRPr="009160EE">
        <w:rPr>
          <w:rFonts w:eastAsia="Times New Roman" w:cs="Arial"/>
          <w:b/>
          <w:bCs/>
          <w:color w:val="000000"/>
          <w:lang w:eastAsia="bg-BG"/>
        </w:rPr>
        <w:t>доза след титриране.</w:t>
      </w:r>
    </w:p>
    <w:p w14:paraId="49A8DA39"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 удължено отворено лечение на 9 от тези пациенти с 20 </w:t>
      </w:r>
      <w:r w:rsidRPr="009160EE">
        <w:rPr>
          <w:rFonts w:eastAsia="Times New Roman" w:cs="Arial"/>
          <w:b/>
          <w:bCs/>
          <w:color w:val="000000"/>
          <w:lang w:val="en-US"/>
        </w:rPr>
        <w:t xml:space="preserve">mg </w:t>
      </w:r>
      <w:r w:rsidRPr="009160EE">
        <w:rPr>
          <w:rFonts w:eastAsia="Times New Roman" w:cs="Arial"/>
          <w:b/>
          <w:bCs/>
          <w:color w:val="000000"/>
          <w:lang w:eastAsia="bg-BG"/>
        </w:rPr>
        <w:t xml:space="preserve">розувастатин за до 90 седмици, понижението на </w:t>
      </w:r>
      <w:r w:rsidRPr="009160EE">
        <w:rPr>
          <w:rFonts w:eastAsia="Times New Roman" w:cs="Arial"/>
          <w:b/>
          <w:bCs/>
          <w:color w:val="000000"/>
          <w:lang w:val="en-US"/>
        </w:rPr>
        <w:t>LDL</w:t>
      </w:r>
      <w:r w:rsidRPr="009160EE">
        <w:rPr>
          <w:rFonts w:eastAsia="Times New Roman" w:cs="Arial"/>
          <w:b/>
          <w:bCs/>
          <w:color w:val="000000"/>
          <w:lang w:eastAsia="bg-BG"/>
        </w:rPr>
        <w:t>-С е запазено в диапазона -12,1% до -21,3%.</w:t>
      </w:r>
    </w:p>
    <w:p w14:paraId="6387B0AE" w14:textId="77777777" w:rsidR="009160EE" w:rsidRPr="009160EE" w:rsidRDefault="009160EE" w:rsidP="009160EE">
      <w:pPr>
        <w:rPr>
          <w:rFonts w:eastAsia="Times New Roman" w:cs="Arial"/>
          <w:b/>
          <w:bCs/>
          <w:color w:val="000000"/>
          <w:lang w:eastAsia="bg-BG"/>
        </w:rPr>
      </w:pPr>
    </w:p>
    <w:p w14:paraId="56C25834" w14:textId="77777777" w:rsidR="009160EE" w:rsidRPr="009160EE" w:rsidRDefault="009160EE" w:rsidP="009160EE">
      <w:pPr>
        <w:rPr>
          <w:rFonts w:eastAsia="Times New Roman" w:cs="Arial"/>
          <w:sz w:val="24"/>
          <w:szCs w:val="24"/>
          <w:lang w:eastAsia="bg-BG"/>
        </w:rPr>
      </w:pPr>
      <w:r w:rsidRPr="009160EE">
        <w:rPr>
          <w:rFonts w:eastAsia="Times New Roman" w:cs="Arial"/>
          <w:b/>
          <w:bCs/>
          <w:color w:val="000000"/>
          <w:lang w:eastAsia="bg-BG"/>
        </w:rPr>
        <w:t>При 7-те оценявани деца и юноши (на възраст от 8 до 17 години</w:t>
      </w:r>
      <w:r w:rsidRPr="009160EE">
        <w:rPr>
          <w:rFonts w:eastAsia="Times New Roman" w:cs="Arial"/>
          <w:b/>
          <w:bCs/>
          <w:color w:val="000000"/>
          <w:lang w:val="en-US"/>
        </w:rPr>
        <w:t xml:space="preserve"> </w:t>
      </w:r>
      <w:r w:rsidRPr="009160EE">
        <w:rPr>
          <w:rFonts w:eastAsia="Times New Roman" w:cs="Arial"/>
          <w:b/>
          <w:bCs/>
          <w:color w:val="000000"/>
          <w:lang w:eastAsia="bg-BG"/>
        </w:rPr>
        <w:t xml:space="preserve">с хомозиготна фамилна хиперхолестеролемия от отвореното проучване с форсирано титрирдане (вижте по- горе), процентното понижение на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(21,0%), общия холестерол </w:t>
      </w:r>
      <w:r w:rsidRPr="009160EE">
        <w:rPr>
          <w:rFonts w:eastAsia="Times New Roman" w:cs="Arial"/>
          <w:b/>
          <w:bCs/>
          <w:color w:val="000000"/>
          <w:lang w:eastAsia="bg-BG"/>
        </w:rPr>
        <w:lastRenderedPageBreak/>
        <w:t>(19,2%)</w:t>
      </w:r>
      <w:r w:rsidRPr="009160EE">
        <w:rPr>
          <w:rFonts w:eastAsia="Times New Roman" w:cs="Arial"/>
          <w:b/>
          <w:bCs/>
          <w:color w:val="000000"/>
          <w:lang w:val="en-US"/>
        </w:rPr>
        <w:t xml:space="preserve"> </w:t>
      </w:r>
      <w:r w:rsidRPr="009160EE">
        <w:rPr>
          <w:rFonts w:eastAsia="Times New Roman" w:cs="Arial"/>
          <w:b/>
          <w:bCs/>
          <w:color w:val="000000"/>
          <w:lang w:eastAsia="bg-BG"/>
        </w:rPr>
        <w:t>и не-</w:t>
      </w:r>
      <w:r w:rsidRPr="009160EE">
        <w:rPr>
          <w:rFonts w:eastAsia="Times New Roman" w:cs="Arial"/>
          <w:b/>
          <w:bCs/>
          <w:color w:val="000000"/>
          <w:lang w:val="en-US"/>
        </w:rPr>
        <w:t>HDL-C</w:t>
      </w:r>
      <w:r>
        <w:rPr>
          <w:rFonts w:eastAsia="Times New Roman" w:cs="Arial"/>
          <w:b/>
          <w:bCs/>
          <w:color w:val="000000"/>
          <w:lang w:val="en-US"/>
        </w:rPr>
        <w:t xml:space="preserve"> </w:t>
      </w:r>
      <w:r w:rsidRPr="009160EE">
        <w:rPr>
          <w:rFonts w:eastAsia="Times New Roman" w:cs="Arial"/>
          <w:b/>
          <w:bCs/>
          <w:color w:val="000000"/>
          <w:lang w:eastAsia="bg-BG"/>
        </w:rPr>
        <w:t xml:space="preserve">(21,0%) от изходното ниво след 6 седмици на лечение с розувастатин 20 </w:t>
      </w:r>
      <w:r w:rsidRPr="009160EE">
        <w:rPr>
          <w:rFonts w:eastAsia="Times New Roman" w:cs="Arial"/>
          <w:b/>
          <w:bCs/>
          <w:color w:val="000000"/>
          <w:lang w:val="en-US"/>
        </w:rPr>
        <w:t xml:space="preserve">mg </w:t>
      </w:r>
      <w:r w:rsidRPr="009160EE">
        <w:rPr>
          <w:rFonts w:eastAsia="Times New Roman" w:cs="Arial"/>
          <w:b/>
          <w:bCs/>
          <w:color w:val="000000"/>
          <w:lang w:eastAsia="bg-BG"/>
        </w:rPr>
        <w:t>е в съответствие с това, наблюдавано в посоченото по-горе проучване при деца и юноши с хомозиготна фамилна хиперхолестеролемия.</w:t>
      </w:r>
    </w:p>
    <w:p w14:paraId="075924F3" w14:textId="77777777" w:rsidR="009160EE" w:rsidRPr="009160EE" w:rsidRDefault="009160EE" w:rsidP="009160EE">
      <w:pPr>
        <w:rPr>
          <w:rFonts w:eastAsia="Times New Roman" w:cs="Arial"/>
          <w:b/>
          <w:bCs/>
          <w:color w:val="000000"/>
          <w:lang w:eastAsia="bg-BG"/>
        </w:rPr>
      </w:pPr>
    </w:p>
    <w:p w14:paraId="20AAC5F3" w14:textId="43F41F14" w:rsidR="009160EE" w:rsidRPr="009160EE" w:rsidRDefault="009160EE" w:rsidP="009160EE">
      <w:pPr>
        <w:rPr>
          <w:rFonts w:cs="Arial"/>
          <w:lang w:val="en-US"/>
        </w:rPr>
      </w:pPr>
      <w:r w:rsidRPr="009160EE">
        <w:rPr>
          <w:rFonts w:eastAsia="Times New Roman" w:cs="Arial"/>
          <w:b/>
          <w:bCs/>
          <w:color w:val="000000"/>
          <w:lang w:eastAsia="bg-BG"/>
        </w:rPr>
        <w:t>Европейската аганция по лекарствата освобождава от задълженито за предоставяне на резултатите от проучванията с розувастатин при всички подгрупи от педиатричната популация за лечение на хомозиготна фамилна хиперхолестеролемия, първична комбинирана (смесена) дислипидемия и за профилактика на сърдечно-съдовите събития (вж.точка 4.2 за информация относно употреба в педиатрията).</w:t>
      </w:r>
    </w:p>
    <w:p w14:paraId="248BF63D" w14:textId="77777777" w:rsidR="009160EE" w:rsidRPr="0091385D" w:rsidRDefault="009160EE"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6B3A6CC1" w14:textId="77777777"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Абсорбция:</w:t>
      </w:r>
    </w:p>
    <w:p w14:paraId="3B6B0E3E"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Максималните плазмени концентрации на розувастатин се достигат приблизително 5 часа след перорален прием. Абсолютната бионаличност е приблизително 20%.</w:t>
      </w:r>
    </w:p>
    <w:p w14:paraId="3F4896C5" w14:textId="77777777" w:rsidR="009160EE" w:rsidRPr="009160EE" w:rsidRDefault="009160EE" w:rsidP="009160EE">
      <w:pPr>
        <w:spacing w:line="240" w:lineRule="auto"/>
        <w:rPr>
          <w:rFonts w:eastAsia="Times New Roman" w:cs="Arial"/>
          <w:b/>
          <w:bCs/>
          <w:color w:val="000000"/>
          <w:u w:val="single"/>
          <w:lang w:eastAsia="bg-BG"/>
        </w:rPr>
      </w:pPr>
    </w:p>
    <w:p w14:paraId="150E2A2E" w14:textId="0CDE17ED"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Разпределение:</w:t>
      </w:r>
    </w:p>
    <w:p w14:paraId="5B74EF64"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Розувастатин се поема основно от черния дроб, който е основното място на синтезиране на холестерол и </w:t>
      </w:r>
      <w:r w:rsidRPr="009160EE">
        <w:rPr>
          <w:rFonts w:eastAsia="Times New Roman" w:cs="Arial"/>
          <w:b/>
          <w:bCs/>
          <w:color w:val="000000"/>
          <w:lang w:val="en-US"/>
        </w:rPr>
        <w:t xml:space="preserve">LDL-C </w:t>
      </w:r>
      <w:r w:rsidRPr="009160EE">
        <w:rPr>
          <w:rFonts w:eastAsia="Times New Roman" w:cs="Arial"/>
          <w:b/>
          <w:bCs/>
          <w:color w:val="000000"/>
          <w:lang w:eastAsia="bg-BG"/>
        </w:rPr>
        <w:t xml:space="preserve">клирънс. Обемът на разпределение на розувастатин е приблизително 134 </w:t>
      </w:r>
      <w:r w:rsidRPr="009160EE">
        <w:rPr>
          <w:rFonts w:eastAsia="Times New Roman" w:cs="Arial"/>
          <w:b/>
          <w:bCs/>
          <w:color w:val="000000"/>
          <w:lang w:val="en-US"/>
        </w:rPr>
        <w:t xml:space="preserve">L. </w:t>
      </w:r>
      <w:r w:rsidRPr="009160EE">
        <w:rPr>
          <w:rFonts w:eastAsia="Times New Roman" w:cs="Arial"/>
          <w:b/>
          <w:bCs/>
          <w:color w:val="000000"/>
          <w:lang w:eastAsia="bg-BG"/>
        </w:rPr>
        <w:t>Приблизително 90% от розувастатин се свързва с плазмените протеини, основно с албумин.</w:t>
      </w:r>
    </w:p>
    <w:p w14:paraId="762BE431" w14:textId="77777777" w:rsidR="009160EE" w:rsidRPr="009160EE" w:rsidRDefault="009160EE" w:rsidP="009160EE">
      <w:pPr>
        <w:spacing w:line="240" w:lineRule="auto"/>
        <w:rPr>
          <w:rFonts w:eastAsia="Times New Roman" w:cs="Arial"/>
          <w:b/>
          <w:bCs/>
          <w:color w:val="000000"/>
          <w:u w:val="single"/>
          <w:lang w:eastAsia="bg-BG"/>
        </w:rPr>
      </w:pPr>
    </w:p>
    <w:p w14:paraId="3010B083" w14:textId="468473C5"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Биотрансформация:</w:t>
      </w:r>
    </w:p>
    <w:p w14:paraId="0B505B9F"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Метаболизмът на розувастатин е ограничен (приблизително 10%). </w:t>
      </w:r>
      <w:r w:rsidRPr="009160EE">
        <w:rPr>
          <w:rFonts w:eastAsia="Times New Roman" w:cs="Arial"/>
          <w:b/>
          <w:bCs/>
          <w:i/>
          <w:iCs/>
          <w:color w:val="000000"/>
          <w:lang w:val="en-US"/>
        </w:rPr>
        <w:t>In vitro</w:t>
      </w:r>
      <w:r w:rsidRPr="009160EE">
        <w:rPr>
          <w:rFonts w:eastAsia="Times New Roman" w:cs="Arial"/>
          <w:b/>
          <w:bCs/>
          <w:color w:val="000000"/>
          <w:lang w:val="en-US"/>
        </w:rPr>
        <w:t xml:space="preserve"> </w:t>
      </w:r>
      <w:r w:rsidRPr="009160EE">
        <w:rPr>
          <w:rFonts w:eastAsia="Times New Roman" w:cs="Arial"/>
          <w:b/>
          <w:bCs/>
          <w:color w:val="000000"/>
          <w:lang w:eastAsia="bg-BG"/>
        </w:rPr>
        <w:t xml:space="preserve">проучвания на метаболизма с използване на човешки хепатоцити показват, че розувастатин е слаб субстрат на цитохром Р450 обусловен метаболизм. </w:t>
      </w:r>
      <w:r w:rsidRPr="009160EE">
        <w:rPr>
          <w:rFonts w:eastAsia="Times New Roman" w:cs="Arial"/>
          <w:b/>
          <w:bCs/>
          <w:color w:val="000000"/>
          <w:lang w:val="en-US"/>
        </w:rPr>
        <w:t xml:space="preserve">CYP2C9 </w:t>
      </w:r>
      <w:r w:rsidRPr="009160EE">
        <w:rPr>
          <w:rFonts w:eastAsia="Times New Roman" w:cs="Arial"/>
          <w:b/>
          <w:bCs/>
          <w:color w:val="000000"/>
          <w:lang w:eastAsia="bg-BG"/>
        </w:rPr>
        <w:t xml:space="preserve">е основният изоензим, който участва в метаболизма на розувастатин, заедно с 2С19, ЗА4 и </w:t>
      </w:r>
      <w:r w:rsidRPr="009160EE">
        <w:rPr>
          <w:rFonts w:eastAsia="Times New Roman" w:cs="Arial"/>
          <w:b/>
          <w:bCs/>
          <w:color w:val="000000"/>
          <w:lang w:val="en-US"/>
        </w:rPr>
        <w:t xml:space="preserve">2D6, </w:t>
      </w:r>
      <w:r w:rsidRPr="009160EE">
        <w:rPr>
          <w:rFonts w:eastAsia="Times New Roman" w:cs="Arial"/>
          <w:b/>
          <w:bCs/>
          <w:color w:val="000000"/>
          <w:lang w:eastAsia="bg-BG"/>
        </w:rPr>
        <w:t xml:space="preserve">в по-малка степен. Основните идентифицирани метаболити са </w:t>
      </w:r>
      <w:r w:rsidRPr="009160EE">
        <w:rPr>
          <w:rFonts w:eastAsia="Times New Roman" w:cs="Arial"/>
          <w:b/>
          <w:bCs/>
          <w:color w:val="000000"/>
          <w:lang w:val="en-US"/>
        </w:rPr>
        <w:t>N</w:t>
      </w:r>
      <w:r w:rsidRPr="009160EE">
        <w:rPr>
          <w:rFonts w:eastAsia="Times New Roman" w:cs="Arial"/>
          <w:b/>
          <w:bCs/>
          <w:color w:val="000000"/>
          <w:lang w:eastAsia="bg-BG"/>
        </w:rPr>
        <w:t xml:space="preserve">-дезметил и лактон. Метаболитът </w:t>
      </w:r>
      <w:r w:rsidRPr="009160EE">
        <w:rPr>
          <w:rFonts w:eastAsia="Times New Roman" w:cs="Arial"/>
          <w:b/>
          <w:bCs/>
          <w:color w:val="000000"/>
          <w:lang w:val="en-US"/>
        </w:rPr>
        <w:t>N</w:t>
      </w:r>
      <w:r w:rsidRPr="009160EE">
        <w:rPr>
          <w:rFonts w:eastAsia="Times New Roman" w:cs="Arial"/>
          <w:b/>
          <w:bCs/>
          <w:color w:val="000000"/>
          <w:lang w:eastAsia="bg-BG"/>
        </w:rPr>
        <w:t xml:space="preserve">-дезметил е приблизително 50% по-слабо активен от розувастатин, докато лактонът се счита за клинично неактивен. Розувастатин определя повече от 90% от активността на циркулиращия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редуктазен инхибитор.</w:t>
      </w:r>
    </w:p>
    <w:p w14:paraId="741A532B" w14:textId="77777777" w:rsidR="009160EE" w:rsidRPr="009160EE" w:rsidRDefault="009160EE" w:rsidP="009160EE">
      <w:pPr>
        <w:spacing w:line="240" w:lineRule="auto"/>
        <w:rPr>
          <w:rFonts w:eastAsia="Times New Roman" w:cs="Arial"/>
          <w:b/>
          <w:bCs/>
          <w:color w:val="000000"/>
          <w:u w:val="single"/>
          <w:lang w:eastAsia="bg-BG"/>
        </w:rPr>
      </w:pPr>
    </w:p>
    <w:p w14:paraId="24D7A7EC" w14:textId="5ECCDBD5" w:rsidR="009160EE" w:rsidRPr="00BA0164" w:rsidRDefault="009160EE" w:rsidP="009160EE">
      <w:pPr>
        <w:pStyle w:val="Heading3"/>
        <w:rPr>
          <w:rFonts w:eastAsia="Times New Roman"/>
          <w:b/>
          <w:u w:val="single"/>
          <w:lang w:eastAsia="bg-BG"/>
        </w:rPr>
      </w:pPr>
      <w:r w:rsidRPr="00BA0164">
        <w:rPr>
          <w:rFonts w:eastAsia="Times New Roman"/>
          <w:b/>
          <w:u w:val="single"/>
          <w:lang w:eastAsia="bg-BG"/>
        </w:rPr>
        <w:t>Елиминация:</w:t>
      </w:r>
    </w:p>
    <w:p w14:paraId="0051D551"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Приблизително 90% от дозата розувастатин се екскретира в непроменен вид с изпражненията (абсорбирано и неабсорбирано активно вещество), а останалата част се екскретира с урината. Приблизително 5% се екскретират с урината в непроменен вид. Плазменият полуживот е приблизително 19 часа. Плазменият полуживот не се увеличава с увеличаване на дозата. Средният плазмен клирънс е приблизително 50 литра/час (с коефициент на вариране 21.7%). Както и при другите </w:t>
      </w:r>
      <w:r w:rsidRPr="009160EE">
        <w:rPr>
          <w:rFonts w:eastAsia="Times New Roman" w:cs="Arial"/>
          <w:b/>
          <w:bCs/>
          <w:color w:val="000000"/>
          <w:lang w:val="en-US"/>
        </w:rPr>
        <w:t xml:space="preserve">HMG-CoA </w:t>
      </w:r>
      <w:r w:rsidRPr="009160EE">
        <w:rPr>
          <w:rFonts w:eastAsia="Times New Roman" w:cs="Arial"/>
          <w:b/>
          <w:bCs/>
          <w:color w:val="000000"/>
          <w:lang w:eastAsia="bg-BG"/>
        </w:rPr>
        <w:t>редуктазни инхибитори, чернодробното поемане на розувастатин включва мембранния транспортер ОАТР-С. Този транспортер играе важна роля в чернодробното елиминиране на розувастатин.</w:t>
      </w:r>
    </w:p>
    <w:p w14:paraId="549C3A5F" w14:textId="77777777" w:rsidR="009160EE" w:rsidRPr="009160EE" w:rsidRDefault="009160EE" w:rsidP="009160EE">
      <w:pPr>
        <w:spacing w:line="240" w:lineRule="auto"/>
        <w:rPr>
          <w:rFonts w:eastAsia="Times New Roman" w:cs="Arial"/>
          <w:b/>
          <w:bCs/>
          <w:color w:val="000000"/>
          <w:u w:val="single"/>
          <w:lang w:eastAsia="bg-BG"/>
        </w:rPr>
      </w:pPr>
    </w:p>
    <w:p w14:paraId="5E7129F7" w14:textId="30F57BD4"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u w:val="single"/>
          <w:lang w:eastAsia="bg-BG"/>
        </w:rPr>
        <w:t>Линейност/ нелинейност:</w:t>
      </w:r>
    </w:p>
    <w:p w14:paraId="3663C2A6"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lastRenderedPageBreak/>
        <w:t>Системната експозиция на розувастатин се увеличава пропорционално на дозата. Не са наблюдавани промени във фармакокинетичните параметри след многократно дневно дозиране.</w:t>
      </w:r>
    </w:p>
    <w:p w14:paraId="0CC83F8E" w14:textId="77777777" w:rsidR="009160EE" w:rsidRPr="009160EE" w:rsidRDefault="009160EE" w:rsidP="009160EE">
      <w:pPr>
        <w:spacing w:line="240" w:lineRule="auto"/>
        <w:rPr>
          <w:rFonts w:eastAsia="Times New Roman" w:cs="Arial"/>
          <w:b/>
          <w:bCs/>
          <w:color w:val="000000"/>
          <w:lang w:eastAsia="bg-BG"/>
        </w:rPr>
      </w:pPr>
    </w:p>
    <w:p w14:paraId="2C2F1AF8" w14:textId="300D6429"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Специални популации:</w:t>
      </w:r>
    </w:p>
    <w:p w14:paraId="07E9D141" w14:textId="77777777" w:rsidR="009160EE" w:rsidRPr="009160EE" w:rsidRDefault="009160EE" w:rsidP="009160EE">
      <w:pPr>
        <w:rPr>
          <w:rFonts w:eastAsia="Times New Roman" w:cs="Arial"/>
          <w:b/>
          <w:bCs/>
          <w:color w:val="000000"/>
          <w:lang w:eastAsia="bg-BG"/>
        </w:rPr>
      </w:pPr>
    </w:p>
    <w:p w14:paraId="148BA3FC" w14:textId="625A1937" w:rsidR="0091385D" w:rsidRDefault="009160EE" w:rsidP="009160EE">
      <w:pPr>
        <w:rPr>
          <w:rFonts w:eastAsia="Times New Roman" w:cs="Arial"/>
          <w:b/>
          <w:bCs/>
          <w:color w:val="000000"/>
          <w:lang w:eastAsia="bg-BG"/>
        </w:rPr>
      </w:pPr>
      <w:r w:rsidRPr="009160EE">
        <w:rPr>
          <w:rFonts w:eastAsia="Times New Roman" w:cs="Arial"/>
          <w:b/>
          <w:bCs/>
          <w:color w:val="000000"/>
          <w:lang w:eastAsia="bg-BG"/>
        </w:rPr>
        <w:t>Възраст и пол: Не са наблюдавани клинично значими ефекти на възрастта и пола</w:t>
      </w:r>
      <w:r w:rsidRPr="009160EE">
        <w:rPr>
          <w:rFonts w:eastAsia="Times New Roman" w:cs="Arial"/>
          <w:b/>
          <w:bCs/>
          <w:color w:val="000000"/>
          <w:u w:val="single"/>
          <w:lang w:eastAsia="bg-BG"/>
        </w:rPr>
        <w:t xml:space="preserve"> </w:t>
      </w:r>
      <w:r w:rsidRPr="009160EE">
        <w:rPr>
          <w:rFonts w:eastAsia="Times New Roman" w:cs="Arial"/>
          <w:b/>
          <w:bCs/>
          <w:color w:val="000000"/>
          <w:lang w:eastAsia="bg-BG"/>
        </w:rPr>
        <w:t>върху фармакокинетиката на розувастатин при възрастни. Фармакокинетиката на розувастатин при деца и юноши с хетерозиготна фамилна хиперхолестеролемия е сходна с тази при здрави доброволци (вж. раздел „Педиатрична популация” по-долу).</w:t>
      </w:r>
    </w:p>
    <w:p w14:paraId="35864C37" w14:textId="7C26AFC5" w:rsidR="009160EE" w:rsidRDefault="009160EE" w:rsidP="009160EE">
      <w:pPr>
        <w:rPr>
          <w:rFonts w:eastAsia="Times New Roman" w:cs="Arial"/>
          <w:b/>
          <w:bCs/>
          <w:color w:val="000000"/>
          <w:lang w:eastAsia="bg-BG"/>
        </w:rPr>
      </w:pPr>
    </w:p>
    <w:p w14:paraId="2489B9C8"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Раса: Фармакокинетичните проучвания показват приблизително двукратно повишаване на средната </w:t>
      </w:r>
      <w:r w:rsidRPr="009160EE">
        <w:rPr>
          <w:rFonts w:eastAsia="Times New Roman" w:cs="Arial"/>
          <w:b/>
          <w:bCs/>
          <w:color w:val="000000"/>
          <w:lang w:val="en-US"/>
        </w:rPr>
        <w:t xml:space="preserve">AUC </w:t>
      </w:r>
      <w:r w:rsidRPr="009160EE">
        <w:rPr>
          <w:rFonts w:eastAsia="Times New Roman" w:cs="Arial"/>
          <w:b/>
          <w:bCs/>
          <w:color w:val="000000"/>
          <w:lang w:eastAsia="bg-BG"/>
        </w:rPr>
        <w:t xml:space="preserve">и при субекти с азиатски произход (японци, китайци, филипинци, виетнамци и корейци) в сравнение със субектите от кавказката раса; при индийците е налице повишаване на </w:t>
      </w:r>
      <w:r w:rsidRPr="009160EE">
        <w:rPr>
          <w:rFonts w:eastAsia="Times New Roman" w:cs="Arial"/>
          <w:b/>
          <w:bCs/>
          <w:color w:val="000000"/>
          <w:lang w:val="en-US"/>
        </w:rPr>
        <w:t xml:space="preserve">AUC </w:t>
      </w:r>
      <w:r w:rsidRPr="009160EE">
        <w:rPr>
          <w:rFonts w:eastAsia="Times New Roman" w:cs="Arial"/>
          <w:b/>
          <w:bCs/>
          <w:color w:val="000000"/>
          <w:lang w:eastAsia="bg-BG"/>
        </w:rPr>
        <w:t>и С</w:t>
      </w:r>
      <w:r w:rsidRPr="009160EE">
        <w:rPr>
          <w:rFonts w:eastAsia="Times New Roman" w:cs="Arial"/>
          <w:b/>
          <w:bCs/>
          <w:color w:val="000000"/>
          <w:lang w:val="en-US"/>
        </w:rPr>
        <w:t xml:space="preserve">max </w:t>
      </w:r>
      <w:r w:rsidRPr="009160EE">
        <w:rPr>
          <w:rFonts w:eastAsia="Times New Roman" w:cs="Arial"/>
          <w:b/>
          <w:bCs/>
          <w:color w:val="000000"/>
          <w:lang w:eastAsia="bg-BG"/>
        </w:rPr>
        <w:t>приблизително 1.3 пъти. Популационният фармакокинетичен анализ не показва клинично значими различия във фармакокинетиката между субектите от кавказката и черната раса.</w:t>
      </w:r>
    </w:p>
    <w:p w14:paraId="66E472A7" w14:textId="77777777" w:rsidR="009160EE" w:rsidRPr="009160EE" w:rsidRDefault="009160EE" w:rsidP="009160EE">
      <w:pPr>
        <w:spacing w:line="240" w:lineRule="auto"/>
        <w:rPr>
          <w:rFonts w:eastAsia="Times New Roman" w:cs="Arial"/>
          <w:b/>
          <w:bCs/>
          <w:color w:val="000000"/>
          <w:lang w:eastAsia="bg-BG"/>
        </w:rPr>
      </w:pPr>
    </w:p>
    <w:p w14:paraId="52A8EA33" w14:textId="130FF98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Бъбречна недостатъчност: При проучване при субекти с варираща степен на бъбречна недостатъчност, леките до умерени бъбречни заболявания не са оказали ефект върху плазмените концентрации на розувастатин или </w:t>
      </w:r>
      <w:r w:rsidRPr="009160EE">
        <w:rPr>
          <w:rFonts w:eastAsia="Times New Roman" w:cs="Arial"/>
          <w:b/>
          <w:bCs/>
          <w:color w:val="000000"/>
          <w:lang w:val="en-US"/>
        </w:rPr>
        <w:t>N</w:t>
      </w:r>
      <w:r w:rsidRPr="009160EE">
        <w:rPr>
          <w:rFonts w:eastAsia="Times New Roman" w:cs="Arial"/>
          <w:b/>
          <w:bCs/>
          <w:color w:val="000000"/>
          <w:lang w:eastAsia="bg-BG"/>
        </w:rPr>
        <w:t xml:space="preserve">-дезметил метаболита. При субектите с тежко увреждане (СгС1 &lt;30 </w:t>
      </w:r>
      <w:r w:rsidRPr="009160EE">
        <w:rPr>
          <w:rFonts w:eastAsia="Times New Roman" w:cs="Arial"/>
          <w:b/>
          <w:bCs/>
          <w:color w:val="000000"/>
          <w:lang w:val="en-US"/>
        </w:rPr>
        <w:t xml:space="preserve">ml/min) </w:t>
      </w:r>
      <w:r w:rsidRPr="009160EE">
        <w:rPr>
          <w:rFonts w:eastAsia="Times New Roman" w:cs="Arial"/>
          <w:b/>
          <w:bCs/>
          <w:color w:val="000000"/>
          <w:lang w:eastAsia="bg-BG"/>
        </w:rPr>
        <w:t xml:space="preserve">е наблюдавано трикратно повишение в плазмените концентрации и деветкратно повишение в концентрациите на метаболита </w:t>
      </w:r>
      <w:r w:rsidRPr="009160EE">
        <w:rPr>
          <w:rFonts w:eastAsia="Times New Roman" w:cs="Arial"/>
          <w:b/>
          <w:bCs/>
          <w:color w:val="000000"/>
          <w:lang w:val="en-US"/>
        </w:rPr>
        <w:t>N</w:t>
      </w:r>
      <w:r w:rsidRPr="009160EE">
        <w:rPr>
          <w:rFonts w:eastAsia="Times New Roman" w:cs="Arial"/>
          <w:b/>
          <w:bCs/>
          <w:color w:val="000000"/>
          <w:lang w:eastAsia="bg-BG"/>
        </w:rPr>
        <w:t>-дезметил в сравнение с тези при здрави субекти. Равновесните плазмени концентрации на розувастатин при субекти на хемодиализа са били приблизително 50% по-високи в сравнение с тези при здрави доброволци.</w:t>
      </w:r>
    </w:p>
    <w:p w14:paraId="487AF929" w14:textId="77777777" w:rsidR="009160EE" w:rsidRPr="009160EE" w:rsidRDefault="009160EE" w:rsidP="009160EE">
      <w:pPr>
        <w:spacing w:line="240" w:lineRule="auto"/>
        <w:rPr>
          <w:rFonts w:eastAsia="Times New Roman" w:cs="Arial"/>
          <w:b/>
          <w:bCs/>
          <w:color w:val="000000"/>
          <w:lang w:eastAsia="bg-BG"/>
        </w:rPr>
      </w:pPr>
    </w:p>
    <w:p w14:paraId="352D7760" w14:textId="160E951B"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Чернодробна недостатъчност: При проучване при субекти с варираща степен на чернодробна недостатъчност няма доказателства за повишена експозиция на розувастатин при пациенти с </w:t>
      </w:r>
      <w:r w:rsidRPr="009160EE">
        <w:rPr>
          <w:rFonts w:eastAsia="Times New Roman" w:cs="Arial"/>
          <w:b/>
          <w:bCs/>
          <w:color w:val="000000"/>
          <w:lang w:val="en-US"/>
        </w:rPr>
        <w:t xml:space="preserve">Child-Pugh </w:t>
      </w:r>
      <w:r w:rsidRPr="009160EE">
        <w:rPr>
          <w:rFonts w:eastAsia="Times New Roman" w:cs="Arial"/>
          <w:b/>
          <w:bCs/>
          <w:color w:val="000000"/>
          <w:lang w:eastAsia="bg-BG"/>
        </w:rPr>
        <w:t xml:space="preserve">резултат 7 или по-нисък. Въпреки това, при двама пациенти с </w:t>
      </w:r>
      <w:r w:rsidRPr="009160EE">
        <w:rPr>
          <w:rFonts w:eastAsia="Times New Roman" w:cs="Arial"/>
          <w:b/>
          <w:bCs/>
          <w:color w:val="000000"/>
          <w:lang w:val="en-US"/>
        </w:rPr>
        <w:t xml:space="preserve">Child-Pugh </w:t>
      </w:r>
      <w:r w:rsidRPr="009160EE">
        <w:rPr>
          <w:rFonts w:eastAsia="Times New Roman" w:cs="Arial"/>
          <w:b/>
          <w:bCs/>
          <w:color w:val="000000"/>
          <w:lang w:eastAsia="bg-BG"/>
        </w:rPr>
        <w:t xml:space="preserve">резултат 8 и 9 е наблюдавано двукратно повишение в системната експозиция в сравнение със субектите с по-ниски </w:t>
      </w:r>
      <w:r w:rsidRPr="009160EE">
        <w:rPr>
          <w:rFonts w:eastAsia="Times New Roman" w:cs="Arial"/>
          <w:b/>
          <w:bCs/>
          <w:color w:val="000000"/>
          <w:lang w:val="en-US"/>
        </w:rPr>
        <w:t xml:space="preserve">Child-Pugh </w:t>
      </w:r>
      <w:r w:rsidRPr="009160EE">
        <w:rPr>
          <w:rFonts w:eastAsia="Times New Roman" w:cs="Arial"/>
          <w:b/>
          <w:bCs/>
          <w:color w:val="000000"/>
          <w:lang w:eastAsia="bg-BG"/>
        </w:rPr>
        <w:t xml:space="preserve">резултати. Няма наличен опит при пациенти с </w:t>
      </w:r>
      <w:r w:rsidRPr="009160EE">
        <w:rPr>
          <w:rFonts w:eastAsia="Times New Roman" w:cs="Arial"/>
          <w:b/>
          <w:bCs/>
          <w:color w:val="000000"/>
          <w:lang w:val="en-US"/>
        </w:rPr>
        <w:t xml:space="preserve">Child-Pugh </w:t>
      </w:r>
      <w:r w:rsidRPr="009160EE">
        <w:rPr>
          <w:rFonts w:eastAsia="Times New Roman" w:cs="Arial"/>
          <w:b/>
          <w:bCs/>
          <w:color w:val="000000"/>
          <w:lang w:eastAsia="bg-BG"/>
        </w:rPr>
        <w:t>резултат над 9.</w:t>
      </w:r>
    </w:p>
    <w:p w14:paraId="3CACDEE4" w14:textId="77777777" w:rsidR="009160EE" w:rsidRPr="009160EE" w:rsidRDefault="009160EE" w:rsidP="009160EE">
      <w:pPr>
        <w:spacing w:line="240" w:lineRule="auto"/>
        <w:rPr>
          <w:rFonts w:eastAsia="Times New Roman" w:cs="Arial"/>
          <w:b/>
          <w:bCs/>
          <w:color w:val="000000"/>
          <w:lang w:eastAsia="bg-BG"/>
        </w:rPr>
      </w:pPr>
    </w:p>
    <w:p w14:paraId="2C497757" w14:textId="30B57742"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 xml:space="preserve">Генетичен полиморфизъм: Диспозицията на </w:t>
      </w:r>
      <w:r w:rsidRPr="009160EE">
        <w:rPr>
          <w:rFonts w:eastAsia="Times New Roman" w:cs="Arial"/>
          <w:b/>
          <w:bCs/>
          <w:color w:val="000000"/>
          <w:lang w:val="en-US"/>
        </w:rPr>
        <w:t xml:space="preserve">HMG-CoA </w:t>
      </w:r>
      <w:r w:rsidRPr="009160EE">
        <w:rPr>
          <w:rFonts w:eastAsia="Times New Roman" w:cs="Arial"/>
          <w:b/>
          <w:bCs/>
          <w:color w:val="000000"/>
          <w:lang w:eastAsia="bg-BG"/>
        </w:rPr>
        <w:t xml:space="preserve">редуктазните инхибитори, включително разувастатин е свързана с транспортерните протеини ОАТР1В1 и </w:t>
      </w:r>
      <w:r w:rsidRPr="009160EE">
        <w:rPr>
          <w:rFonts w:eastAsia="Times New Roman" w:cs="Arial"/>
          <w:b/>
          <w:bCs/>
          <w:color w:val="000000"/>
          <w:lang w:val="en-US"/>
        </w:rPr>
        <w:t xml:space="preserve">BCRP. </w:t>
      </w:r>
      <w:r w:rsidRPr="009160EE">
        <w:rPr>
          <w:rFonts w:eastAsia="Times New Roman" w:cs="Arial"/>
          <w:b/>
          <w:bCs/>
          <w:color w:val="000000"/>
          <w:lang w:eastAsia="bg-BG"/>
        </w:rPr>
        <w:t xml:space="preserve">При пациенти с генетичен полиморфизъм на </w:t>
      </w:r>
      <w:r w:rsidRPr="009160EE">
        <w:rPr>
          <w:rFonts w:eastAsia="Times New Roman" w:cs="Arial"/>
          <w:b/>
          <w:bCs/>
          <w:color w:val="000000"/>
          <w:lang w:val="en-US"/>
        </w:rPr>
        <w:t xml:space="preserve">SLCO1B1 </w:t>
      </w:r>
      <w:r w:rsidRPr="009160EE">
        <w:rPr>
          <w:rFonts w:eastAsia="Times New Roman" w:cs="Arial"/>
          <w:b/>
          <w:bCs/>
          <w:color w:val="000000"/>
          <w:lang w:eastAsia="bg-BG"/>
        </w:rPr>
        <w:t xml:space="preserve">(ОАТР1В1) и/ или </w:t>
      </w:r>
      <w:r w:rsidRPr="009160EE">
        <w:rPr>
          <w:rFonts w:eastAsia="Times New Roman" w:cs="Arial"/>
          <w:b/>
          <w:bCs/>
          <w:color w:val="000000"/>
          <w:lang w:val="en-US"/>
        </w:rPr>
        <w:t xml:space="preserve">ABCG2 (BCRP) </w:t>
      </w:r>
      <w:r w:rsidRPr="009160EE">
        <w:rPr>
          <w:rFonts w:eastAsia="Times New Roman" w:cs="Arial"/>
          <w:b/>
          <w:bCs/>
          <w:color w:val="000000"/>
          <w:lang w:eastAsia="bg-BG"/>
        </w:rPr>
        <w:t xml:space="preserve">съществува риск от повишаване на експозицията на розувастатин. Индивидуалният полиморфизъм на </w:t>
      </w:r>
      <w:r w:rsidRPr="009160EE">
        <w:rPr>
          <w:rFonts w:eastAsia="Times New Roman" w:cs="Arial"/>
          <w:b/>
          <w:bCs/>
          <w:color w:val="000000"/>
          <w:lang w:val="en-US"/>
        </w:rPr>
        <w:t xml:space="preserve">SLCO1B1 </w:t>
      </w:r>
      <w:r w:rsidRPr="009160EE">
        <w:rPr>
          <w:rFonts w:eastAsia="Times New Roman" w:cs="Arial"/>
          <w:b/>
          <w:bCs/>
          <w:color w:val="000000"/>
          <w:lang w:eastAsia="bg-BG"/>
        </w:rPr>
        <w:t>с.521</w:t>
      </w:r>
      <w:r w:rsidRPr="009160EE">
        <w:rPr>
          <w:rFonts w:eastAsia="Times New Roman" w:cs="Arial"/>
          <w:b/>
          <w:bCs/>
          <w:color w:val="000000"/>
          <w:lang w:val="en-US"/>
        </w:rPr>
        <w:t xml:space="preserve">CC </w:t>
      </w:r>
      <w:r w:rsidRPr="009160EE">
        <w:rPr>
          <w:rFonts w:eastAsia="Times New Roman" w:cs="Arial"/>
          <w:b/>
          <w:bCs/>
          <w:color w:val="000000"/>
          <w:lang w:eastAsia="bg-BG"/>
        </w:rPr>
        <w:t xml:space="preserve">и </w:t>
      </w:r>
      <w:r w:rsidRPr="009160EE">
        <w:rPr>
          <w:rFonts w:eastAsia="Times New Roman" w:cs="Arial"/>
          <w:b/>
          <w:bCs/>
          <w:color w:val="000000"/>
          <w:lang w:val="en-US"/>
        </w:rPr>
        <w:t xml:space="preserve">ABCG2 </w:t>
      </w:r>
      <w:r w:rsidRPr="009160EE">
        <w:rPr>
          <w:rFonts w:eastAsia="Times New Roman" w:cs="Arial"/>
          <w:b/>
          <w:bCs/>
          <w:color w:val="000000"/>
          <w:lang w:eastAsia="bg-BG"/>
        </w:rPr>
        <w:t xml:space="preserve">С.421АА е свързан с повишена експозиция на розувастатин </w:t>
      </w:r>
      <w:r w:rsidRPr="009160EE">
        <w:rPr>
          <w:rFonts w:eastAsia="Times New Roman" w:cs="Arial"/>
          <w:b/>
          <w:bCs/>
          <w:color w:val="000000"/>
          <w:lang w:val="en-US"/>
        </w:rPr>
        <w:t xml:space="preserve">(AUC) </w:t>
      </w:r>
      <w:r w:rsidRPr="009160EE">
        <w:rPr>
          <w:rFonts w:eastAsia="Times New Roman" w:cs="Arial"/>
          <w:b/>
          <w:bCs/>
          <w:color w:val="000000"/>
          <w:lang w:eastAsia="bg-BG"/>
        </w:rPr>
        <w:t xml:space="preserve">в сравнение с генотиповете </w:t>
      </w:r>
      <w:r w:rsidRPr="009160EE">
        <w:rPr>
          <w:rFonts w:eastAsia="Times New Roman" w:cs="Arial"/>
          <w:b/>
          <w:bCs/>
          <w:color w:val="000000"/>
          <w:lang w:val="en-US"/>
        </w:rPr>
        <w:t xml:space="preserve">SLCO1B1 C.521TT </w:t>
      </w:r>
      <w:r w:rsidRPr="009160EE">
        <w:rPr>
          <w:rFonts w:eastAsia="Times New Roman" w:cs="Arial"/>
          <w:b/>
          <w:bCs/>
          <w:color w:val="000000"/>
          <w:lang w:eastAsia="bg-BG"/>
        </w:rPr>
        <w:t xml:space="preserve">или </w:t>
      </w:r>
      <w:r w:rsidRPr="009160EE">
        <w:rPr>
          <w:rFonts w:eastAsia="Times New Roman" w:cs="Arial"/>
          <w:b/>
          <w:bCs/>
          <w:color w:val="000000"/>
          <w:lang w:val="en-US"/>
        </w:rPr>
        <w:t xml:space="preserve">ABCG2 </w:t>
      </w:r>
      <w:r w:rsidRPr="009160EE">
        <w:rPr>
          <w:rFonts w:eastAsia="Times New Roman" w:cs="Arial"/>
          <w:b/>
          <w:bCs/>
          <w:color w:val="000000"/>
          <w:lang w:eastAsia="bg-BG"/>
        </w:rPr>
        <w:t>С.421СС. Тези специфични разлики при генотиповете не са установени в клиничната практика, но при пациенти, за които е известно, че имат тези типове полиморфизъм се препоръчва по-ниска дневна доза РОВАСТА.</w:t>
      </w:r>
    </w:p>
    <w:p w14:paraId="5B1A17CD" w14:textId="77777777" w:rsidR="009160EE" w:rsidRPr="009160EE" w:rsidRDefault="009160EE" w:rsidP="009160EE">
      <w:pPr>
        <w:rPr>
          <w:rFonts w:eastAsia="Times New Roman" w:cs="Arial"/>
          <w:b/>
          <w:bCs/>
          <w:color w:val="000000"/>
          <w:lang w:eastAsia="bg-BG"/>
        </w:rPr>
      </w:pPr>
    </w:p>
    <w:p w14:paraId="733217F1" w14:textId="4EEFA858" w:rsidR="009160EE" w:rsidRPr="009160EE" w:rsidRDefault="009160EE" w:rsidP="009160EE">
      <w:pPr>
        <w:rPr>
          <w:rFonts w:cs="Arial"/>
        </w:rPr>
      </w:pPr>
      <w:r w:rsidRPr="009160EE">
        <w:rPr>
          <w:rFonts w:eastAsia="Times New Roman" w:cs="Arial"/>
          <w:b/>
          <w:bCs/>
          <w:color w:val="000000"/>
          <w:lang w:eastAsia="bg-BG"/>
        </w:rPr>
        <w:t xml:space="preserve">Педиатрична популация: две фармакокинетични проучвания с розувастатин (прилаган под формата на таблетки) при педиатрични пациенти с хетерозиготна фамилна хиперхолестеролемия на възраст 10-17 ири 6-17 години (общо 214 пациенти) показват, че експозицията при педиатричните пациенти изглежда сравнима или по-ниска от тази при възрастните пациенти. Експозицията на </w:t>
      </w:r>
      <w:r w:rsidRPr="009160EE">
        <w:rPr>
          <w:rFonts w:eastAsia="Times New Roman" w:cs="Arial"/>
          <w:b/>
          <w:bCs/>
          <w:color w:val="000000"/>
          <w:lang w:eastAsia="bg-BG"/>
        </w:rPr>
        <w:lastRenderedPageBreak/>
        <w:t>разувастатин е била предвидима по отношение на дозата и времето в продължение на 2-годишен период.</w:t>
      </w:r>
    </w:p>
    <w:p w14:paraId="4EE1BB0B" w14:textId="77777777" w:rsidR="0091385D" w:rsidRPr="0091385D" w:rsidRDefault="0091385D" w:rsidP="0091385D">
      <w:bookmarkStart w:id="1" w:name="_GoBack"/>
      <w:bookmarkEnd w:id="1"/>
    </w:p>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36224C83" w:rsidR="0091385D" w:rsidRDefault="009160EE" w:rsidP="0091385D">
      <w:r>
        <w:rPr>
          <w:b/>
          <w:bCs/>
        </w:rPr>
        <w:t xml:space="preserve">Предклиничните данни не са показали специален риск при хора въз основа на стандартните проучвания за безопасност върху основните системи, генотоксичност, канцерогенен потенциа. Не са провеждани специфични изследвания върху </w:t>
      </w:r>
      <w:proofErr w:type="spellStart"/>
      <w:r>
        <w:rPr>
          <w:b/>
          <w:bCs/>
          <w:lang w:val="en-US"/>
        </w:rPr>
        <w:t>hERG</w:t>
      </w:r>
      <w:proofErr w:type="spellEnd"/>
      <w:r>
        <w:rPr>
          <w:b/>
          <w:bCs/>
          <w:lang w:val="en-US"/>
        </w:rPr>
        <w:t xml:space="preserve">. </w:t>
      </w:r>
      <w:r>
        <w:rPr>
          <w:b/>
          <w:bCs/>
        </w:rPr>
        <w:t>Нежеланите реакции, които не са наблюдавани при клиничните проучвания, но са наблюдавани при животни при нива на експозиция сходни с клиничните са: в изпитвания за токсичност след многократно дозиране са наблюдавани хистопатологични чернодробни промени вследствие на фармакологичното действие на розувастатин при мишки, плъхове и в по-ниска степен в жлъчния мехур при кучета, но не и при маймуни. В допълнение е наблюдавана тестикуларна токсичност при маймуни и кучета при високи дози. Репродуктивна токсичност е наблюдавана при плъхове, за която се съди по намалените големина, тегло и преживяемост на малките, наблюдавани при токсични за майките дози, където системните експозиции са били няколко пъти по-високи от нивото на терапевтичната експозиция.</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6A490431" w14:textId="77777777" w:rsidR="009160EE" w:rsidRPr="009160EE" w:rsidRDefault="009160EE" w:rsidP="009160EE">
      <w:pPr>
        <w:spacing w:line="240" w:lineRule="auto"/>
        <w:rPr>
          <w:rFonts w:eastAsia="Times New Roman" w:cs="Arial"/>
          <w:sz w:val="24"/>
          <w:szCs w:val="24"/>
          <w:lang w:val="en-US" w:eastAsia="bg-BG"/>
        </w:rPr>
      </w:pPr>
      <w:proofErr w:type="spellStart"/>
      <w:r w:rsidRPr="009160EE">
        <w:rPr>
          <w:rFonts w:eastAsia="Times New Roman" w:cs="Arial"/>
          <w:b/>
          <w:bCs/>
          <w:color w:val="000000"/>
          <w:lang w:val="en-US"/>
        </w:rPr>
        <w:t>Medochemie</w:t>
      </w:r>
      <w:proofErr w:type="spellEnd"/>
      <w:r w:rsidRPr="009160EE">
        <w:rPr>
          <w:rFonts w:eastAsia="Times New Roman" w:cs="Arial"/>
          <w:b/>
          <w:bCs/>
          <w:color w:val="000000"/>
          <w:lang w:val="en-US"/>
        </w:rPr>
        <w:t xml:space="preserve"> Ltd.,</w:t>
      </w:r>
    </w:p>
    <w:p w14:paraId="0E32ACFC" w14:textId="77777777" w:rsidR="009160EE" w:rsidRPr="009160EE" w:rsidRDefault="009160EE" w:rsidP="009160EE">
      <w:pPr>
        <w:spacing w:line="240" w:lineRule="auto"/>
        <w:rPr>
          <w:rFonts w:eastAsia="Times New Roman" w:cs="Arial"/>
          <w:sz w:val="24"/>
          <w:szCs w:val="24"/>
          <w:lang w:val="en-US" w:eastAsia="bg-BG"/>
        </w:rPr>
      </w:pPr>
      <w:r w:rsidRPr="009160EE">
        <w:rPr>
          <w:rFonts w:eastAsia="Times New Roman" w:cs="Arial"/>
          <w:b/>
          <w:bCs/>
          <w:color w:val="000000"/>
          <w:lang w:eastAsia="bg-BG"/>
        </w:rPr>
        <w:t xml:space="preserve">1-10 </w:t>
      </w:r>
      <w:proofErr w:type="spellStart"/>
      <w:r w:rsidRPr="009160EE">
        <w:rPr>
          <w:rFonts w:eastAsia="Times New Roman" w:cs="Arial"/>
          <w:b/>
          <w:bCs/>
          <w:color w:val="000000"/>
          <w:lang w:val="en-US"/>
        </w:rPr>
        <w:t>Constantinoupoleos</w:t>
      </w:r>
      <w:proofErr w:type="spellEnd"/>
      <w:r w:rsidRPr="009160EE">
        <w:rPr>
          <w:rFonts w:eastAsia="Times New Roman" w:cs="Arial"/>
          <w:b/>
          <w:bCs/>
          <w:color w:val="000000"/>
          <w:lang w:val="en-US"/>
        </w:rPr>
        <w:t xml:space="preserve"> str.,</w:t>
      </w:r>
    </w:p>
    <w:p w14:paraId="2AEF345A" w14:textId="77777777" w:rsidR="009160EE" w:rsidRDefault="009160EE" w:rsidP="009160EE">
      <w:pPr>
        <w:rPr>
          <w:rFonts w:eastAsia="Times New Roman" w:cs="Arial"/>
          <w:b/>
          <w:bCs/>
          <w:color w:val="000000"/>
          <w:lang w:val="en-US"/>
        </w:rPr>
      </w:pPr>
      <w:r w:rsidRPr="009160EE">
        <w:rPr>
          <w:rFonts w:eastAsia="Times New Roman" w:cs="Arial"/>
          <w:b/>
          <w:bCs/>
          <w:color w:val="000000"/>
          <w:lang w:val="en-US"/>
        </w:rPr>
        <w:t xml:space="preserve">3011, Limassol, </w:t>
      </w:r>
    </w:p>
    <w:p w14:paraId="3FD825DB" w14:textId="05B27996" w:rsidR="0091385D" w:rsidRPr="009160EE" w:rsidRDefault="009160EE" w:rsidP="009160EE">
      <w:pPr>
        <w:rPr>
          <w:rFonts w:cs="Arial"/>
        </w:rPr>
      </w:pPr>
      <w:r w:rsidRPr="009160EE">
        <w:rPr>
          <w:rFonts w:eastAsia="Times New Roman" w:cs="Arial"/>
          <w:b/>
          <w:bCs/>
          <w:color w:val="000000"/>
          <w:lang w:eastAsia="bg-BG"/>
        </w:rPr>
        <w:t>Кипър</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067EF818" w14:textId="77777777" w:rsidR="009160EE" w:rsidRPr="009160EE" w:rsidRDefault="009160EE" w:rsidP="0091385D">
      <w:pPr>
        <w:rPr>
          <w:rFonts w:cs="Arial"/>
          <w:b/>
          <w:bCs/>
        </w:rPr>
      </w:pPr>
      <w:r w:rsidRPr="009160EE">
        <w:rPr>
          <w:rFonts w:cs="Arial"/>
          <w:b/>
          <w:bCs/>
        </w:rPr>
        <w:t>POBACTA</w:t>
      </w:r>
      <w:r w:rsidRPr="009160EE">
        <w:rPr>
          <w:rFonts w:cs="Arial"/>
          <w:b/>
          <w:bCs/>
          <w:lang w:eastAsia="bg-BG"/>
        </w:rPr>
        <w:t xml:space="preserve"> 10 </w:t>
      </w:r>
      <w:r w:rsidRPr="009160EE">
        <w:rPr>
          <w:rFonts w:cs="Arial"/>
          <w:b/>
          <w:bCs/>
        </w:rPr>
        <w:t xml:space="preserve">mg: </w:t>
      </w:r>
    </w:p>
    <w:p w14:paraId="3913AF38" w14:textId="77777777" w:rsidR="009160EE" w:rsidRPr="009160EE" w:rsidRDefault="009160EE" w:rsidP="0091385D">
      <w:pPr>
        <w:rPr>
          <w:rFonts w:cs="Arial"/>
          <w:b/>
          <w:bCs/>
        </w:rPr>
      </w:pPr>
      <w:r w:rsidRPr="009160EE">
        <w:rPr>
          <w:rFonts w:cs="Arial"/>
          <w:b/>
          <w:bCs/>
        </w:rPr>
        <w:t xml:space="preserve">Per. №: 20130443 </w:t>
      </w:r>
    </w:p>
    <w:p w14:paraId="7F70AEBB" w14:textId="77777777" w:rsidR="009160EE" w:rsidRPr="009160EE" w:rsidRDefault="009160EE" w:rsidP="0091385D">
      <w:pPr>
        <w:rPr>
          <w:rFonts w:cs="Arial"/>
          <w:b/>
          <w:bCs/>
        </w:rPr>
      </w:pPr>
      <w:r w:rsidRPr="009160EE">
        <w:rPr>
          <w:rFonts w:cs="Arial"/>
          <w:b/>
          <w:bCs/>
        </w:rPr>
        <w:t xml:space="preserve">POBACTA 20 mg: </w:t>
      </w:r>
    </w:p>
    <w:p w14:paraId="6E892CE5" w14:textId="4335BBC1" w:rsidR="0091385D" w:rsidRPr="009160EE" w:rsidRDefault="009160EE" w:rsidP="0091385D">
      <w:pPr>
        <w:rPr>
          <w:rFonts w:cs="Arial"/>
        </w:rPr>
      </w:pPr>
      <w:r w:rsidRPr="009160EE">
        <w:rPr>
          <w:rFonts w:cs="Arial"/>
          <w:b/>
          <w:bCs/>
        </w:rPr>
        <w:t>Per. №: 20130445</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3EFF6F89" w14:textId="77777777" w:rsidR="009160EE" w:rsidRPr="009160EE" w:rsidRDefault="009160EE" w:rsidP="009160EE">
      <w:pPr>
        <w:spacing w:line="240" w:lineRule="auto"/>
        <w:rPr>
          <w:rFonts w:eastAsia="Times New Roman" w:cs="Arial"/>
          <w:sz w:val="24"/>
          <w:szCs w:val="24"/>
          <w:lang w:eastAsia="bg-BG"/>
        </w:rPr>
      </w:pPr>
      <w:r w:rsidRPr="009160EE">
        <w:rPr>
          <w:rFonts w:eastAsia="Times New Roman" w:cs="Arial"/>
          <w:b/>
          <w:bCs/>
          <w:color w:val="000000"/>
          <w:lang w:eastAsia="bg-BG"/>
        </w:rPr>
        <w:t>Дата на първо разрешаване: 06 декември 2013 г.</w:t>
      </w:r>
    </w:p>
    <w:p w14:paraId="497007FA" w14:textId="6866AA0B" w:rsidR="0091385D" w:rsidRPr="009160EE" w:rsidRDefault="009160EE" w:rsidP="009160EE">
      <w:pPr>
        <w:rPr>
          <w:rFonts w:cs="Arial"/>
        </w:rPr>
      </w:pPr>
      <w:r w:rsidRPr="009160EE">
        <w:rPr>
          <w:rFonts w:eastAsia="Times New Roman" w:cs="Arial"/>
          <w:b/>
          <w:bCs/>
          <w:color w:val="000000"/>
          <w:lang w:eastAsia="bg-BG"/>
        </w:rPr>
        <w:t>Дата на последно подновяване: 07 юни 2018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7965D07F" w:rsidR="0091385D" w:rsidRPr="009160EE" w:rsidRDefault="009160EE" w:rsidP="0091385D">
      <w:pPr>
        <w:rPr>
          <w:rFonts w:cs="Arial"/>
        </w:rPr>
      </w:pPr>
      <w:r w:rsidRPr="009160EE">
        <w:rPr>
          <w:rFonts w:cs="Arial"/>
          <w:b/>
          <w:bCs/>
        </w:rPr>
        <w:lastRenderedPageBreak/>
        <w:t>06/2021</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8474815"/>
    <w:multiLevelType w:val="hybridMultilevel"/>
    <w:tmpl w:val="42B44B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77382"/>
    <w:multiLevelType w:val="hybridMultilevel"/>
    <w:tmpl w:val="18B2B4E2"/>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55428"/>
    <w:multiLevelType w:val="hybridMultilevel"/>
    <w:tmpl w:val="B5E4884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D96E20"/>
    <w:multiLevelType w:val="hybridMultilevel"/>
    <w:tmpl w:val="956A9B18"/>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3"/>
  </w:num>
  <w:num w:numId="12">
    <w:abstractNumId w:val="16"/>
  </w:num>
  <w:num w:numId="13">
    <w:abstractNumId w:val="21"/>
  </w:num>
  <w:num w:numId="14">
    <w:abstractNumId w:val="13"/>
  </w:num>
  <w:num w:numId="15">
    <w:abstractNumId w:val="32"/>
  </w:num>
  <w:num w:numId="16">
    <w:abstractNumId w:val="11"/>
  </w:num>
  <w:num w:numId="17">
    <w:abstractNumId w:val="26"/>
  </w:num>
  <w:num w:numId="18">
    <w:abstractNumId w:val="8"/>
  </w:num>
  <w:num w:numId="19">
    <w:abstractNumId w:val="29"/>
  </w:num>
  <w:num w:numId="20">
    <w:abstractNumId w:val="25"/>
  </w:num>
  <w:num w:numId="21">
    <w:abstractNumId w:val="19"/>
  </w:num>
  <w:num w:numId="22">
    <w:abstractNumId w:val="27"/>
  </w:num>
  <w:num w:numId="23">
    <w:abstractNumId w:val="20"/>
  </w:num>
  <w:num w:numId="24">
    <w:abstractNumId w:val="9"/>
  </w:num>
  <w:num w:numId="25">
    <w:abstractNumId w:val="24"/>
  </w:num>
  <w:num w:numId="26">
    <w:abstractNumId w:val="23"/>
  </w:num>
  <w:num w:numId="27">
    <w:abstractNumId w:val="34"/>
  </w:num>
  <w:num w:numId="28">
    <w:abstractNumId w:val="7"/>
  </w:num>
  <w:num w:numId="29">
    <w:abstractNumId w:val="22"/>
  </w:num>
  <w:num w:numId="30">
    <w:abstractNumId w:val="37"/>
  </w:num>
  <w:num w:numId="31">
    <w:abstractNumId w:val="6"/>
  </w:num>
  <w:num w:numId="32">
    <w:abstractNumId w:val="36"/>
  </w:num>
  <w:num w:numId="33">
    <w:abstractNumId w:val="31"/>
  </w:num>
  <w:num w:numId="34">
    <w:abstractNumId w:val="35"/>
  </w:num>
  <w:num w:numId="35">
    <w:abstractNumId w:val="15"/>
  </w:num>
  <w:num w:numId="36">
    <w:abstractNumId w:val="28"/>
  </w:num>
  <w:num w:numId="37">
    <w:abstractNumId w:val="5"/>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70758"/>
    <w:rsid w:val="002B3C38"/>
    <w:rsid w:val="002B4DBB"/>
    <w:rsid w:val="002C50EE"/>
    <w:rsid w:val="00305F6D"/>
    <w:rsid w:val="00340A0A"/>
    <w:rsid w:val="003765DC"/>
    <w:rsid w:val="00395555"/>
    <w:rsid w:val="003E3126"/>
    <w:rsid w:val="00426E5F"/>
    <w:rsid w:val="004A448E"/>
    <w:rsid w:val="004D4D6B"/>
    <w:rsid w:val="004F1CE7"/>
    <w:rsid w:val="004F498A"/>
    <w:rsid w:val="00517A5B"/>
    <w:rsid w:val="00593A00"/>
    <w:rsid w:val="005A66D9"/>
    <w:rsid w:val="005E65B2"/>
    <w:rsid w:val="00605BCA"/>
    <w:rsid w:val="006158A1"/>
    <w:rsid w:val="00617B1F"/>
    <w:rsid w:val="00672487"/>
    <w:rsid w:val="00672600"/>
    <w:rsid w:val="00681D4A"/>
    <w:rsid w:val="00685882"/>
    <w:rsid w:val="0075649D"/>
    <w:rsid w:val="007B364E"/>
    <w:rsid w:val="007C605B"/>
    <w:rsid w:val="008134C8"/>
    <w:rsid w:val="00814073"/>
    <w:rsid w:val="00826F0D"/>
    <w:rsid w:val="00893B92"/>
    <w:rsid w:val="008A6AF2"/>
    <w:rsid w:val="008C70A2"/>
    <w:rsid w:val="008F1AF3"/>
    <w:rsid w:val="0091385D"/>
    <w:rsid w:val="009160EE"/>
    <w:rsid w:val="009773E4"/>
    <w:rsid w:val="009B171C"/>
    <w:rsid w:val="009F1313"/>
    <w:rsid w:val="00A20351"/>
    <w:rsid w:val="00A65A81"/>
    <w:rsid w:val="00A73575"/>
    <w:rsid w:val="00AA23EC"/>
    <w:rsid w:val="00AC63CE"/>
    <w:rsid w:val="00AE2107"/>
    <w:rsid w:val="00B275A8"/>
    <w:rsid w:val="00B655FB"/>
    <w:rsid w:val="00BA0164"/>
    <w:rsid w:val="00BF2600"/>
    <w:rsid w:val="00C0049F"/>
    <w:rsid w:val="00C07B84"/>
    <w:rsid w:val="00C33464"/>
    <w:rsid w:val="00C40420"/>
    <w:rsid w:val="00C809A7"/>
    <w:rsid w:val="00C83063"/>
    <w:rsid w:val="00C87E90"/>
    <w:rsid w:val="00CA1B57"/>
    <w:rsid w:val="00CF77F7"/>
    <w:rsid w:val="00D5561F"/>
    <w:rsid w:val="00D86297"/>
    <w:rsid w:val="00DD466D"/>
    <w:rsid w:val="00E84873"/>
    <w:rsid w:val="00EA6168"/>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8491</Words>
  <Characters>48403</Characters>
  <Application>Microsoft Office Word</Application>
  <DocSecurity>0</DocSecurity>
  <Lines>403</Lines>
  <Paragraphs>113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2022-11-03T19:02:00Z</dcterms:created>
  <dcterms:modified xsi:type="dcterms:W3CDTF">2022-11-03T19:02:00Z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