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2D514611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065D0D">
        <w:rPr>
          <w:rFonts w:eastAsia="Times New Roman" w:cs="Arial"/>
          <w:color w:val="000000"/>
          <w:lang w:val="en-US"/>
        </w:rPr>
        <w:t>Rowachol</w:t>
      </w:r>
      <w:proofErr w:type="spellEnd"/>
    </w:p>
    <w:p w14:paraId="21F9D5D1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Ровахол</w:t>
      </w:r>
    </w:p>
    <w:p w14:paraId="6C25048B" w14:textId="77777777" w:rsidR="00065D0D" w:rsidRPr="00065D0D" w:rsidRDefault="00065D0D" w:rsidP="00065D0D">
      <w:pPr>
        <w:rPr>
          <w:rFonts w:eastAsia="Times New Roman" w:cs="Arial"/>
          <w:color w:val="000000"/>
          <w:lang w:val="en-US"/>
        </w:rPr>
      </w:pPr>
    </w:p>
    <w:p w14:paraId="69AC8148" w14:textId="0E18E565" w:rsidR="00EC41ED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val="en-US"/>
        </w:rPr>
        <w:t xml:space="preserve">ATC </w:t>
      </w:r>
      <w:r w:rsidRPr="00065D0D">
        <w:rPr>
          <w:rFonts w:eastAsia="Times New Roman" w:cs="Arial"/>
          <w:color w:val="000000"/>
          <w:lang w:eastAsia="bg-BG"/>
        </w:rPr>
        <w:t>А05АХ00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09F614C4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Всяка капсула съдържа:</w:t>
      </w:r>
    </w:p>
    <w:p w14:paraId="1F0327F4" w14:textId="77777777" w:rsidR="00065D0D" w:rsidRPr="00065D0D" w:rsidRDefault="00065D0D" w:rsidP="00065D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875B8D" w14:textId="301133F6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Алфа-Пинен</w:t>
      </w:r>
      <w:r w:rsidRPr="00065D0D">
        <w:rPr>
          <w:rFonts w:eastAsia="Times New Roman" w:cs="Arial"/>
          <w:color w:val="000000"/>
          <w:lang w:eastAsia="bg-BG"/>
        </w:rPr>
        <w:tab/>
        <w:t>13.6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23CFFA7B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Бета-Пинен</w:t>
      </w:r>
      <w:r w:rsidRPr="00065D0D">
        <w:rPr>
          <w:rFonts w:eastAsia="Times New Roman" w:cs="Arial"/>
          <w:color w:val="000000"/>
          <w:lang w:eastAsia="bg-BG"/>
        </w:rPr>
        <w:tab/>
        <w:t>3.4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7CC8F461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Камфен</w:t>
      </w:r>
      <w:r w:rsidRPr="00065D0D">
        <w:rPr>
          <w:rFonts w:eastAsia="Times New Roman" w:cs="Arial"/>
          <w:color w:val="000000"/>
          <w:lang w:eastAsia="bg-BG"/>
        </w:rPr>
        <w:tab/>
        <w:t>5.0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44543A2E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Цинеол</w:t>
      </w:r>
      <w:r w:rsidRPr="00065D0D">
        <w:rPr>
          <w:rFonts w:eastAsia="Times New Roman" w:cs="Arial"/>
          <w:color w:val="000000"/>
          <w:lang w:eastAsia="bg-BG"/>
        </w:rPr>
        <w:tab/>
        <w:t>2.0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6E48C3CF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Ментон</w:t>
      </w:r>
      <w:r w:rsidRPr="00065D0D">
        <w:rPr>
          <w:rFonts w:eastAsia="Times New Roman" w:cs="Arial"/>
          <w:color w:val="000000"/>
          <w:lang w:eastAsia="bg-BG"/>
        </w:rPr>
        <w:tab/>
        <w:t>6.0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788CD8E0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Ментол</w:t>
      </w:r>
      <w:r w:rsidRPr="00065D0D">
        <w:rPr>
          <w:rFonts w:eastAsia="Times New Roman" w:cs="Arial"/>
          <w:color w:val="000000"/>
          <w:lang w:eastAsia="bg-BG"/>
        </w:rPr>
        <w:tab/>
        <w:t>32.0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54632B43" w14:textId="4E69132B" w:rsidR="00EC41ED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Борнеол</w:t>
      </w:r>
      <w:r w:rsidRPr="00065D0D">
        <w:rPr>
          <w:rFonts w:eastAsia="Times New Roman" w:cs="Arial"/>
          <w:color w:val="000000"/>
          <w:lang w:eastAsia="bg-BG"/>
        </w:rPr>
        <w:tab/>
        <w:t>5.0</w:t>
      </w:r>
      <w:r w:rsidRPr="00065D0D">
        <w:rPr>
          <w:rFonts w:eastAsia="Times New Roman" w:cs="Arial"/>
          <w:color w:val="000000"/>
          <w:lang w:eastAsia="bg-BG"/>
        </w:rPr>
        <w:tab/>
        <w:t>мг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7D29FB06" w:rsidR="00EC41ED" w:rsidRDefault="00065D0D" w:rsidP="0091385D">
      <w:r>
        <w:t>Стомашно-устойчиви меки желатинови капсули.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F7E5D48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Съпътстващо симптоматично лечение при чернодробни и жлъчни заболявания (холелитиаза, холецистит, жлъчни колики, дискинезия на жлъчните пътища, възпалителни заболявания на черния дроб).</w:t>
      </w:r>
    </w:p>
    <w:p w14:paraId="6DFA4B9D" w14:textId="7DCD3DDD" w:rsidR="0091385D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Препоръчва се за предоперативно и следоперативно лечение на заболявания на черния дроб и жлъчните пътища, както и предотвратяване образуването на жлъчни камъни.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3EBCD101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u w:val="single"/>
          <w:lang w:eastAsia="bg-BG"/>
        </w:rPr>
        <w:t>Възрастни и деца над 14 години:</w:t>
      </w:r>
    </w:p>
    <w:p w14:paraId="2D232DF7" w14:textId="77777777" w:rsidR="00065D0D" w:rsidRPr="00065D0D" w:rsidRDefault="00065D0D" w:rsidP="00065D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AAD9F1" w14:textId="0EFA2326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Ако лекарят не е предписал друго, обичайната доза е по 1 капсула 3-4 пъти дневно, 30 минути преди хранене</w:t>
      </w:r>
    </w:p>
    <w:p w14:paraId="65732FB5" w14:textId="77777777" w:rsidR="00065D0D" w:rsidRPr="00065D0D" w:rsidRDefault="00065D0D" w:rsidP="00065D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77F6CC" w14:textId="4F5AB233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u w:val="single"/>
          <w:lang w:eastAsia="bg-BG"/>
        </w:rPr>
        <w:t>Деца 6-14 години :</w:t>
      </w:r>
    </w:p>
    <w:p w14:paraId="2E0D4D49" w14:textId="77777777" w:rsidR="00065D0D" w:rsidRPr="00065D0D" w:rsidRDefault="00065D0D" w:rsidP="00065D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43E0E1" w14:textId="04A0F616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Ако лекарят не е предписал друго, обичайната доза е по 1 капсула</w:t>
      </w:r>
      <w:r w:rsidRPr="00065D0D">
        <w:rPr>
          <w:rFonts w:eastAsia="Times New Roman" w:cs="Arial"/>
          <w:color w:val="000000"/>
          <w:lang w:val="en-US"/>
        </w:rPr>
        <w:t xml:space="preserve"> 1-2 </w:t>
      </w:r>
      <w:r w:rsidRPr="00065D0D">
        <w:rPr>
          <w:rFonts w:eastAsia="Times New Roman" w:cs="Arial"/>
          <w:color w:val="000000"/>
          <w:lang w:eastAsia="bg-BG"/>
        </w:rPr>
        <w:t>пъти</w:t>
      </w:r>
    </w:p>
    <w:p w14:paraId="7FBF1BCE" w14:textId="2116D974" w:rsidR="00EC41ED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дневно, 30 минути преди хранене.</w:t>
      </w:r>
    </w:p>
    <w:p w14:paraId="132F3111" w14:textId="39A7294F" w:rsidR="005B0F27" w:rsidRDefault="005B0F27" w:rsidP="0091385D"/>
    <w:p w14:paraId="5CE8879A" w14:textId="7164BE31" w:rsidR="00065D0D" w:rsidRDefault="00065D0D" w:rsidP="0091385D">
      <w:r>
        <w:t>Начин на приложение - перорално.</w:t>
      </w:r>
    </w:p>
    <w:p w14:paraId="23A5E890" w14:textId="77777777" w:rsidR="00065D0D" w:rsidRPr="0091385D" w:rsidRDefault="00065D0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30B6A4D" w14:textId="08FE8167" w:rsidR="00EC41ED" w:rsidRDefault="00065D0D" w:rsidP="0091385D">
      <w:r>
        <w:t>Свръхчувствителност към активните или някое от помощните вещества.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0E28BBDE" w14:textId="0F8BCAFB" w:rsidR="007A2185" w:rsidRDefault="00065D0D" w:rsidP="0091385D">
      <w:r>
        <w:t>При предприемане на консервативна медикаментозна терапия на жлъчно- каменна болест трябва да се има предвид, че наличието на калкулозни образувания може да доведе до проява на усложнения, като обструктивна жълтеница, асцедентен холангит, панкреатит и други. Лекарят трябва да бъде информиран за предприетото лечение (особено при пациенти в напреднала възраст), за да бъде назначено адекватно лечение.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5F2D792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Необходимо е повишено внимание при пациенти, приемащи орални антикоагуланти или други лекарствени средства, метаболизиращи се в черния Дроб.</w:t>
      </w:r>
    </w:p>
    <w:p w14:paraId="5B2761C5" w14:textId="6044CFBB" w:rsidR="0091385D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Препоръчва се намален прием на холестерол-съдържащи продукти в диетата.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65093C17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Поради липса на добре контролирани клинични проучвания, не се препоръчва приемането на Ровахол по време на бременност и кърмене.</w:t>
      </w:r>
    </w:p>
    <w:p w14:paraId="102F0D07" w14:textId="2E533A83" w:rsidR="007A2185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Посъветвайте се с Вашия лекар или фармацевт преди приема на лекарства.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209D200B" w:rsidR="007A2185" w:rsidRDefault="00065D0D" w:rsidP="0091385D">
      <w:r>
        <w:t>Не са установени.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1BC75CB3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Нежеланите лекарствени реакции се класифицират по тяхната специфичност и честота: много чести (≥1/10), чести (≥1/100&lt;1/10), нечести (≥1/1000&lt;1/100), редки (≥1/10000&lt;1/1000), много редки (&lt;1/10000).</w:t>
      </w:r>
    </w:p>
    <w:p w14:paraId="4F97E3E2" w14:textId="77777777" w:rsidR="00065D0D" w:rsidRPr="00065D0D" w:rsidRDefault="00065D0D" w:rsidP="00065D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3BFFB1" w14:textId="2496FDEB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 xml:space="preserve">Ровахол предизвиква леко-степенни и нетипични нежелани лекарствени реакции. Рядко е било наблюдавано оригване и дъх на мента след хранене. Тези реакции могат да се </w:t>
      </w:r>
      <w:r w:rsidRPr="00065D0D">
        <w:rPr>
          <w:rFonts w:eastAsia="Times New Roman" w:cs="Arial"/>
          <w:color w:val="000000"/>
          <w:lang w:eastAsia="bg-BG"/>
        </w:rPr>
        <w:lastRenderedPageBreak/>
        <w:t>потиснат или избегнат чрез прием на продукта на празен стомах 30 минути преди хранене.</w:t>
      </w:r>
    </w:p>
    <w:p w14:paraId="0254AACC" w14:textId="7ACCF9C5" w:rsidR="007A2185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Рядко е било съобщавано за болка и разязвяване на устната лигавица - ефект, който бързо отзвучава след спиране употребата на лекарствения продукт.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6CAA3C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В случай, че капсулите са били поети неотдавна, трябва да се направи стомашна лаваж. Пациентът трябва да бъде поставен под лекарски контрол и при нужда се приложи симптоматично лечение.</w:t>
      </w:r>
    </w:p>
    <w:p w14:paraId="65CBAE9D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Препоръчва се мониториране на сърдечната, дихателна, бъбречна и чернодробна функции.</w:t>
      </w:r>
    </w:p>
    <w:p w14:paraId="51F6AFAD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В резултат от проведените с опитни животни токсикологични изследвания, е било установено, че големи дози етерични масло, могат да доведат до потискане на ЦНС, което може да доведе до настъпване на ступор и спиране на дишането или стимулиране на ЦНС, в резултат на което са били наблюдавани повишена възбудимост и гърчове.</w:t>
      </w:r>
    </w:p>
    <w:p w14:paraId="6A43B8F3" w14:textId="7FBE563D" w:rsidR="007A2185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Стомашното дразнене може да предизвика гадене, повръщане и диария.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3DB1B903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>Ровахол е средство водещо да разтваряне/разпадане на жлъчните камъни. Той разтваря холестероловите жлъчни камъни и предотвратява насищането на жлъчката с холестерол.</w:t>
      </w:r>
    </w:p>
    <w:p w14:paraId="66137F4E" w14:textId="77777777" w:rsidR="00065D0D" w:rsidRPr="00065D0D" w:rsidRDefault="00065D0D" w:rsidP="00065D0D">
      <w:pPr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color w:val="000000"/>
          <w:lang w:eastAsia="bg-BG"/>
        </w:rPr>
        <w:t xml:space="preserve">Продуктът притежава силно изразено холеретично действие, повишава жлъчната секреция и понижава застоя на жлъчка. Той притежава спазмолитичен ефект и потиска болката при спазми на жлъчните пътища. Инхибира ензима </w:t>
      </w:r>
      <w:r w:rsidRPr="00065D0D">
        <w:rPr>
          <w:rFonts w:eastAsia="Times New Roman" w:cs="Arial"/>
          <w:color w:val="000000"/>
          <w:lang w:val="en-US"/>
        </w:rPr>
        <w:t xml:space="preserve">HMG </w:t>
      </w:r>
      <w:r w:rsidRPr="00065D0D">
        <w:rPr>
          <w:rFonts w:eastAsia="Times New Roman" w:cs="Arial"/>
          <w:color w:val="000000"/>
          <w:lang w:eastAsia="bg-BG"/>
        </w:rPr>
        <w:t>СоА редуктаза, като по този начин намалява продукцията на ендогенен холестерол, понижава индекса на насищане на жлъчката, като спомага за разтваряне на жлъчните камъни и предотвратява образуването на нови.</w:t>
      </w:r>
    </w:p>
    <w:p w14:paraId="038F692B" w14:textId="1507BDAA" w:rsidR="007A2185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Продуктът притежава антибактериална активност срещу грам-положителни и грам-отрицателни бактерии.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45551830" w14:textId="435BE3D7" w:rsidR="007A2185" w:rsidRPr="007A2185" w:rsidRDefault="00065D0D" w:rsidP="007A2185">
      <w:r>
        <w:t xml:space="preserve">При проведените изследвания за биоеквивалентност е била отчетена бърза перорална резорбция, напр. ментол се резорбира бързо, метаболизира се в черния дроб и се екскретира в урината и жлъчката под форма на глюкурониди. Времето на полурезорбция е </w:t>
      </w:r>
      <w:r>
        <w:rPr>
          <w:lang w:val="en-US"/>
        </w:rPr>
        <w:t xml:space="preserve">0.373±0.081h; </w:t>
      </w:r>
      <w:r>
        <w:t>максимална плазмена концентрация - конюгати 2.467±0.663 мг</w:t>
      </w:r>
      <w:r>
        <w:rPr>
          <w:lang w:val="en-US"/>
        </w:rPr>
        <w:t xml:space="preserve">-L; </w:t>
      </w:r>
      <w:r>
        <w:t>времето на полуелиминиране Т½-</w:t>
      </w:r>
      <w:r>
        <w:rPr>
          <w:lang w:val="en-US"/>
        </w:rPr>
        <w:t>b</w:t>
      </w:r>
      <w:r>
        <w:t xml:space="preserve">- 0.861±0.178 /средно </w:t>
      </w:r>
      <w:proofErr w:type="spellStart"/>
      <w:r>
        <w:rPr>
          <w:lang w:val="en-US"/>
        </w:rPr>
        <w:t>hr±SEM</w:t>
      </w:r>
      <w:proofErr w:type="spellEnd"/>
      <w:r>
        <w:rPr>
          <w:lang w:val="en-US"/>
        </w:rPr>
        <w:t>/.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6B79EB6D" w:rsidR="007A2185" w:rsidRDefault="00065D0D" w:rsidP="0091385D">
      <w:r>
        <w:t>Изследванията на острата токсичност, хронична токсичност и репродуктивна токсичност на Ровахол не са разкрили никакви проблеми, които е възможно да се появят при употреба от хора.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3A57ED50" w14:textId="77777777" w:rsidR="00065D0D" w:rsidRPr="00065D0D" w:rsidRDefault="00065D0D" w:rsidP="00065D0D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065D0D">
        <w:rPr>
          <w:rFonts w:eastAsia="Times New Roman" w:cs="Arial"/>
          <w:color w:val="000000"/>
          <w:lang w:val="en-US"/>
        </w:rPr>
        <w:t>Rowa</w:t>
      </w:r>
      <w:proofErr w:type="spellEnd"/>
      <w:r w:rsidRPr="00065D0D">
        <w:rPr>
          <w:rFonts w:eastAsia="Times New Roman" w:cs="Arial"/>
          <w:color w:val="000000"/>
          <w:lang w:val="en-US"/>
        </w:rPr>
        <w:t xml:space="preserve">- Wagner </w:t>
      </w:r>
      <w:proofErr w:type="spellStart"/>
      <w:r w:rsidRPr="00065D0D">
        <w:rPr>
          <w:rFonts w:eastAsia="Times New Roman" w:cs="Arial"/>
          <w:color w:val="000000"/>
          <w:lang w:val="en-US"/>
        </w:rPr>
        <w:t>GmbH&amp;Co</w:t>
      </w:r>
      <w:proofErr w:type="spellEnd"/>
      <w:r w:rsidRPr="00065D0D">
        <w:rPr>
          <w:rFonts w:eastAsia="Times New Roman" w:cs="Arial"/>
          <w:color w:val="000000"/>
          <w:lang w:val="en-US"/>
        </w:rPr>
        <w:t xml:space="preserve"> </w:t>
      </w:r>
      <w:proofErr w:type="gramStart"/>
      <w:r w:rsidRPr="00065D0D">
        <w:rPr>
          <w:rFonts w:eastAsia="Times New Roman" w:cs="Arial"/>
          <w:color w:val="000000"/>
          <w:lang w:val="en-US"/>
        </w:rPr>
        <w:t>KG ,</w:t>
      </w:r>
      <w:proofErr w:type="gramEnd"/>
    </w:p>
    <w:p w14:paraId="5A37F632" w14:textId="77777777" w:rsidR="00065D0D" w:rsidRPr="00065D0D" w:rsidRDefault="00065D0D" w:rsidP="00065D0D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065D0D">
        <w:rPr>
          <w:rFonts w:eastAsia="Times New Roman" w:cs="Arial"/>
          <w:color w:val="000000"/>
          <w:lang w:val="en-US"/>
        </w:rPr>
        <w:t>Arzneimittelfabrik</w:t>
      </w:r>
      <w:proofErr w:type="spellEnd"/>
      <w:r w:rsidRPr="00065D0D">
        <w:rPr>
          <w:rFonts w:eastAsia="Times New Roman" w:cs="Arial"/>
          <w:color w:val="000000"/>
          <w:lang w:val="en-US"/>
        </w:rPr>
        <w:t>,</w:t>
      </w:r>
    </w:p>
    <w:p w14:paraId="2FECB7BA" w14:textId="77777777" w:rsidR="00065D0D" w:rsidRPr="00065D0D" w:rsidRDefault="00065D0D" w:rsidP="00065D0D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065D0D">
        <w:rPr>
          <w:rFonts w:eastAsia="Times New Roman" w:cs="Arial"/>
          <w:color w:val="000000"/>
          <w:lang w:val="en-US"/>
        </w:rPr>
        <w:t>Frankenforster</w:t>
      </w:r>
      <w:proofErr w:type="spellEnd"/>
      <w:r w:rsidRPr="00065D0D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65D0D">
        <w:rPr>
          <w:rFonts w:eastAsia="Times New Roman" w:cs="Arial"/>
          <w:color w:val="000000"/>
          <w:lang w:val="en-US"/>
        </w:rPr>
        <w:t>strape</w:t>
      </w:r>
      <w:proofErr w:type="spellEnd"/>
      <w:r w:rsidRPr="00065D0D">
        <w:rPr>
          <w:rFonts w:eastAsia="Times New Roman" w:cs="Arial"/>
          <w:color w:val="000000"/>
          <w:lang w:val="en-US"/>
        </w:rPr>
        <w:t xml:space="preserve"> 77,</w:t>
      </w:r>
    </w:p>
    <w:p w14:paraId="27513310" w14:textId="77777777" w:rsidR="00065D0D" w:rsidRPr="00065D0D" w:rsidRDefault="00065D0D" w:rsidP="00065D0D">
      <w:pPr>
        <w:spacing w:line="240" w:lineRule="auto"/>
        <w:rPr>
          <w:rFonts w:eastAsia="Times New Roman" w:cs="Arial"/>
          <w:lang w:val="en-US" w:eastAsia="bg-BG"/>
        </w:rPr>
      </w:pPr>
      <w:r w:rsidRPr="00065D0D">
        <w:rPr>
          <w:rFonts w:eastAsia="Times New Roman" w:cs="Arial"/>
          <w:color w:val="000000"/>
          <w:lang w:val="en-US"/>
        </w:rPr>
        <w:t xml:space="preserve">D-514-27 </w:t>
      </w:r>
      <w:proofErr w:type="spellStart"/>
      <w:r w:rsidRPr="00065D0D">
        <w:rPr>
          <w:rFonts w:eastAsia="Times New Roman" w:cs="Arial"/>
          <w:color w:val="000000"/>
          <w:lang w:val="en-US"/>
        </w:rPr>
        <w:t>Bergish</w:t>
      </w:r>
      <w:proofErr w:type="spellEnd"/>
      <w:r w:rsidRPr="00065D0D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65D0D">
        <w:rPr>
          <w:rFonts w:eastAsia="Times New Roman" w:cs="Arial"/>
          <w:color w:val="000000"/>
          <w:lang w:val="en-US"/>
        </w:rPr>
        <w:t>Gladbach</w:t>
      </w:r>
      <w:proofErr w:type="spellEnd"/>
      <w:r w:rsidRPr="00065D0D">
        <w:rPr>
          <w:rFonts w:eastAsia="Times New Roman" w:cs="Arial"/>
          <w:color w:val="000000"/>
          <w:lang w:val="en-US"/>
        </w:rPr>
        <w:t>,</w:t>
      </w:r>
    </w:p>
    <w:p w14:paraId="7120B424" w14:textId="77777777" w:rsidR="00065D0D" w:rsidRPr="00065D0D" w:rsidRDefault="00065D0D" w:rsidP="00065D0D">
      <w:pPr>
        <w:spacing w:line="240" w:lineRule="auto"/>
        <w:rPr>
          <w:rFonts w:eastAsia="Times New Roman" w:cs="Arial"/>
          <w:lang w:val="en-US" w:eastAsia="bg-BG"/>
        </w:rPr>
      </w:pPr>
      <w:r w:rsidRPr="00065D0D">
        <w:rPr>
          <w:rFonts w:eastAsia="Times New Roman" w:cs="Arial"/>
          <w:color w:val="000000"/>
          <w:lang w:eastAsia="bg-BG"/>
        </w:rPr>
        <w:t>Германия</w:t>
      </w:r>
    </w:p>
    <w:p w14:paraId="4F02909F" w14:textId="0EABC649" w:rsidR="007A2185" w:rsidRPr="00065D0D" w:rsidRDefault="00065D0D" w:rsidP="00065D0D">
      <w:pPr>
        <w:rPr>
          <w:rFonts w:cs="Arial"/>
        </w:rPr>
      </w:pPr>
      <w:r w:rsidRPr="00065D0D">
        <w:rPr>
          <w:rFonts w:eastAsia="Times New Roman" w:cs="Arial"/>
          <w:color w:val="000000"/>
          <w:lang w:val="en-US"/>
        </w:rPr>
        <w:t>Tel.:+49 2204 61081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6293A325" w14:textId="7AF9613E" w:rsidR="00065D0D" w:rsidRPr="00065D0D" w:rsidRDefault="00FF6FB3" w:rsidP="00065D0D">
      <w:pPr>
        <w:pStyle w:val="ListParagraph"/>
        <w:spacing w:line="240" w:lineRule="auto"/>
        <w:ind w:left="1080"/>
        <w:rPr>
          <w:rFonts w:eastAsia="Times New Roman" w:cs="Arial"/>
          <w:lang w:eastAsia="bg-BG"/>
        </w:rPr>
      </w:pPr>
      <w:r>
        <w:rPr>
          <w:rFonts w:eastAsia="Times New Roman" w:cs="Arial"/>
          <w:color w:val="000000"/>
          <w:lang w:eastAsia="bg-BG"/>
        </w:rPr>
        <w:t>II</w:t>
      </w:r>
      <w:bookmarkStart w:id="1" w:name="_GoBack"/>
      <w:bookmarkEnd w:id="1"/>
      <w:r w:rsidR="00065D0D" w:rsidRPr="00065D0D">
        <w:rPr>
          <w:rFonts w:eastAsia="Times New Roman" w:cs="Arial"/>
          <w:color w:val="000000"/>
          <w:lang w:eastAsia="bg-BG"/>
        </w:rPr>
        <w:t>-515/14.04.97</w:t>
      </w:r>
    </w:p>
    <w:p w14:paraId="54E6C0D8" w14:textId="77777777" w:rsidR="00065D0D" w:rsidRPr="00065D0D" w:rsidRDefault="00065D0D" w:rsidP="00065D0D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065D0D">
        <w:rPr>
          <w:rFonts w:eastAsia="Times New Roman" w:cs="Arial"/>
          <w:b/>
          <w:bCs/>
          <w:color w:val="000000"/>
          <w:lang w:eastAsia="bg-BG"/>
        </w:rPr>
        <w:t>Регистрационен номер</w:t>
      </w:r>
    </w:p>
    <w:p w14:paraId="46161304" w14:textId="338108B8" w:rsidR="007A2185" w:rsidRPr="00065D0D" w:rsidRDefault="00065D0D" w:rsidP="00065D0D">
      <w:pPr>
        <w:pStyle w:val="ListParagraph"/>
        <w:rPr>
          <w:rFonts w:cs="Arial"/>
        </w:rPr>
      </w:pPr>
      <w:r w:rsidRPr="00065D0D">
        <w:rPr>
          <w:rFonts w:eastAsia="Times New Roman" w:cs="Arial"/>
          <w:color w:val="000000"/>
          <w:lang w:eastAsia="bg-BG"/>
        </w:rPr>
        <w:t>Р№ 9700207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03BA18BB" w:rsidR="007A2185" w:rsidRPr="00065D0D" w:rsidRDefault="00FF6FB3" w:rsidP="0091385D">
      <w:pPr>
        <w:rPr>
          <w:rFonts w:cs="Arial"/>
        </w:rPr>
      </w:pPr>
      <w:r>
        <w:rPr>
          <w:rFonts w:cs="Arial"/>
          <w:lang w:val="en-US"/>
        </w:rPr>
        <w:t>II</w:t>
      </w:r>
      <w:r w:rsidR="00065D0D" w:rsidRPr="00065D0D">
        <w:rPr>
          <w:rFonts w:cs="Arial"/>
        </w:rPr>
        <w:t>-8443/05.01.2004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3967FB64" w:rsidR="007A2185" w:rsidRPr="00065D0D" w:rsidRDefault="00065D0D" w:rsidP="0091385D">
      <w:pPr>
        <w:rPr>
          <w:rFonts w:cs="Arial"/>
        </w:rPr>
      </w:pPr>
      <w:r w:rsidRPr="00065D0D">
        <w:rPr>
          <w:rFonts w:cs="Arial"/>
        </w:rPr>
        <w:t>Юни 2008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965519"/>
    <w:multiLevelType w:val="hybridMultilevel"/>
    <w:tmpl w:val="D2C66CD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29374E"/>
    <w:multiLevelType w:val="hybridMultilevel"/>
    <w:tmpl w:val="EEF48CD8"/>
    <w:lvl w:ilvl="0" w:tplc="E3E67C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A44FE"/>
    <w:multiLevelType w:val="hybridMultilevel"/>
    <w:tmpl w:val="32F2CC3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72197"/>
    <w:multiLevelType w:val="hybridMultilevel"/>
    <w:tmpl w:val="9228A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26"/>
  </w:num>
  <w:num w:numId="18">
    <w:abstractNumId w:val="7"/>
  </w:num>
  <w:num w:numId="19">
    <w:abstractNumId w:val="28"/>
  </w:num>
  <w:num w:numId="20">
    <w:abstractNumId w:val="25"/>
  </w:num>
  <w:num w:numId="21">
    <w:abstractNumId w:val="18"/>
  </w:num>
  <w:num w:numId="22">
    <w:abstractNumId w:val="27"/>
  </w:num>
  <w:num w:numId="23">
    <w:abstractNumId w:val="19"/>
  </w:num>
  <w:num w:numId="24">
    <w:abstractNumId w:val="8"/>
  </w:num>
  <w:num w:numId="25">
    <w:abstractNumId w:val="24"/>
  </w:num>
  <w:num w:numId="26">
    <w:abstractNumId w:val="23"/>
  </w:num>
  <w:num w:numId="27">
    <w:abstractNumId w:val="34"/>
  </w:num>
  <w:num w:numId="28">
    <w:abstractNumId w:val="6"/>
  </w:num>
  <w:num w:numId="29">
    <w:abstractNumId w:val="21"/>
  </w:num>
  <w:num w:numId="30">
    <w:abstractNumId w:val="38"/>
  </w:num>
  <w:num w:numId="31">
    <w:abstractNumId w:val="5"/>
  </w:num>
  <w:num w:numId="32">
    <w:abstractNumId w:val="37"/>
  </w:num>
  <w:num w:numId="33">
    <w:abstractNumId w:val="30"/>
  </w:num>
  <w:num w:numId="34">
    <w:abstractNumId w:val="35"/>
  </w:num>
  <w:num w:numId="35">
    <w:abstractNumId w:val="14"/>
  </w:num>
  <w:num w:numId="36">
    <w:abstractNumId w:val="36"/>
  </w:num>
  <w:num w:numId="37">
    <w:abstractNumId w:val="33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65D0D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3</cp:revision>
  <dcterms:created xsi:type="dcterms:W3CDTF">2023-03-06T17:09:00Z</dcterms:created>
  <dcterms:modified xsi:type="dcterms:W3CDTF">2023-03-06T17:53:00Z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