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4F8FED87"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6F4144F3"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12D77955"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 xml:space="preserve">филмирани таблетки </w:t>
      </w:r>
    </w:p>
    <w:p w14:paraId="17D1E9E2" w14:textId="35FF0109"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филмирани таблетки</w:t>
      </w:r>
    </w:p>
    <w:p w14:paraId="6D756985" w14:textId="77777777" w:rsidR="00B579E1" w:rsidRPr="00B579E1" w:rsidRDefault="00B579E1" w:rsidP="00B579E1">
      <w:pPr>
        <w:spacing w:line="240" w:lineRule="auto"/>
        <w:rPr>
          <w:rFonts w:eastAsia="Times New Roman" w:cs="Arial"/>
          <w:color w:val="000000"/>
          <w:szCs w:val="20"/>
          <w:lang w:val="en-US"/>
        </w:rPr>
      </w:pPr>
    </w:p>
    <w:p w14:paraId="6B062F15" w14:textId="42951C8F"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mg/4 mg/1.25 mg film-coated tablets</w:t>
      </w:r>
    </w:p>
    <w:p w14:paraId="67492A5E"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20 mg/4 mg/1.25 mg film-coated tablets</w:t>
      </w:r>
    </w:p>
    <w:p w14:paraId="7CEB4E28"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mg/8 mg/2.5 mg film-coated tablets</w:t>
      </w:r>
    </w:p>
    <w:p w14:paraId="5015A1FD" w14:textId="6A2257F4" w:rsidR="00A73575" w:rsidRPr="00B579E1" w:rsidRDefault="00B579E1" w:rsidP="00B579E1">
      <w:pPr>
        <w:rPr>
          <w:rFonts w:cs="Arial"/>
          <w:sz w:val="24"/>
          <w:lang w:val="en-US"/>
        </w:rPr>
      </w:pPr>
      <w:r w:rsidRPr="00B579E1">
        <w:rPr>
          <w:rFonts w:eastAsia="Times New Roman" w:cs="Arial"/>
          <w:color w:val="000000"/>
          <w:szCs w:val="20"/>
          <w:lang w:val="en-US"/>
        </w:rPr>
        <w:t>Roxiper 20 mg/8 mg/2.5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433ACED"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1D7DC0B0" w14:textId="78E72ADA"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индапамид </w:t>
      </w:r>
      <w:r w:rsidRPr="00B579E1">
        <w:rPr>
          <w:rFonts w:eastAsia="Times New Roman" w:cs="Arial"/>
          <w:i/>
          <w:iCs/>
          <w:color w:val="000000"/>
          <w:szCs w:val="20"/>
          <w:lang w:val="en-US"/>
        </w:rPr>
        <w:t>(indapamide).</w:t>
      </w:r>
    </w:p>
    <w:p w14:paraId="08E5025D" w14:textId="77777777" w:rsidR="00B579E1" w:rsidRPr="00B579E1" w:rsidRDefault="00B579E1" w:rsidP="00B579E1">
      <w:pPr>
        <w:spacing w:line="240" w:lineRule="auto"/>
        <w:rPr>
          <w:rFonts w:eastAsia="Times New Roman" w:cs="Arial"/>
          <w:color w:val="000000"/>
          <w:szCs w:val="20"/>
          <w:u w:val="single"/>
          <w:lang w:eastAsia="bg-BG"/>
        </w:rPr>
      </w:pPr>
    </w:p>
    <w:p w14:paraId="7C55E970" w14:textId="3B88C471"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06E97529"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F49C148" w14:textId="77777777" w:rsidR="00B579E1" w:rsidRPr="00B579E1" w:rsidRDefault="00B579E1" w:rsidP="00B579E1">
      <w:pPr>
        <w:spacing w:line="240" w:lineRule="auto"/>
        <w:rPr>
          <w:rFonts w:eastAsia="Times New Roman" w:cs="Arial"/>
          <w:color w:val="000000"/>
          <w:szCs w:val="20"/>
          <w:u w:val="single"/>
          <w:lang w:eastAsia="bg-BG"/>
        </w:rPr>
      </w:pPr>
    </w:p>
    <w:p w14:paraId="454068F5" w14:textId="49CBECD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53074848"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56FB6FE" w14:textId="77777777" w:rsidR="00B579E1" w:rsidRPr="00B579E1" w:rsidRDefault="00B579E1" w:rsidP="00B579E1">
      <w:pPr>
        <w:spacing w:line="240" w:lineRule="auto"/>
        <w:rPr>
          <w:rFonts w:eastAsia="Times New Roman" w:cs="Arial"/>
          <w:color w:val="000000"/>
          <w:szCs w:val="20"/>
          <w:u w:val="single"/>
          <w:lang w:eastAsia="bg-BG"/>
        </w:rPr>
      </w:pPr>
    </w:p>
    <w:p w14:paraId="596CE4B8" w14:textId="4708534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8F5CA2"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5AF012A6" w14:textId="77777777" w:rsidR="00B579E1" w:rsidRPr="00B579E1" w:rsidRDefault="00B579E1" w:rsidP="00B579E1">
      <w:pPr>
        <w:rPr>
          <w:rFonts w:eastAsia="Times New Roman" w:cs="Arial"/>
          <w:color w:val="000000"/>
          <w:szCs w:val="20"/>
          <w:lang w:eastAsia="bg-BG"/>
        </w:rPr>
      </w:pPr>
    </w:p>
    <w:p w14:paraId="03110A50" w14:textId="6C38D27E" w:rsidR="0091385D" w:rsidRPr="00B579E1" w:rsidRDefault="00B579E1" w:rsidP="00B579E1">
      <w:pPr>
        <w:rPr>
          <w:rFonts w:cs="Arial"/>
          <w:sz w:val="24"/>
        </w:rPr>
      </w:pPr>
      <w:r w:rsidRPr="00B579E1">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77D0508B"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филмирана таблетка (таблетка)</w:t>
      </w:r>
    </w:p>
    <w:p w14:paraId="491DF6CD" w14:textId="77777777" w:rsidR="00B579E1" w:rsidRPr="00B579E1" w:rsidRDefault="00B579E1" w:rsidP="00B579E1">
      <w:pPr>
        <w:spacing w:line="240" w:lineRule="auto"/>
        <w:rPr>
          <w:rFonts w:eastAsia="Times New Roman" w:cs="Arial"/>
          <w:color w:val="000000"/>
          <w:szCs w:val="20"/>
          <w:u w:val="single"/>
          <w:lang w:eastAsia="bg-BG"/>
        </w:rPr>
      </w:pPr>
    </w:p>
    <w:p w14:paraId="0DAECF0C" w14:textId="22238E7C"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 xml:space="preserve">филмирани таблетки </w:t>
      </w:r>
      <w:r w:rsidRPr="00B579E1">
        <w:rPr>
          <w:rFonts w:eastAsia="Times New Roman" w:cs="Arial"/>
          <w:color w:val="000000"/>
          <w:szCs w:val="20"/>
          <w:lang w:eastAsia="bg-BG"/>
        </w:rPr>
        <w:t xml:space="preserve">Червеникавокафяви,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PIR1 </w:t>
      </w:r>
      <w:r w:rsidRPr="00B579E1">
        <w:rPr>
          <w:rFonts w:eastAsia="Times New Roman" w:cs="Arial"/>
          <w:color w:val="000000"/>
          <w:szCs w:val="20"/>
          <w:lang w:eastAsia="bg-BG"/>
        </w:rPr>
        <w:t xml:space="preserve">от </w:t>
      </w:r>
      <w:r w:rsidRPr="00B579E1">
        <w:rPr>
          <w:rFonts w:eastAsia="Times New Roman" w:cs="Arial"/>
          <w:color w:val="000000"/>
          <w:szCs w:val="20"/>
          <w:lang w:eastAsia="bg-BG"/>
        </w:rPr>
        <w:lastRenderedPageBreak/>
        <w:t xml:space="preserve">едната страна на таблетката. Диаметър: приблизително 7,5 </w:t>
      </w:r>
      <w:r w:rsidRPr="00B579E1">
        <w:rPr>
          <w:rFonts w:eastAsia="Times New Roman" w:cs="Arial"/>
          <w:color w:val="000000"/>
          <w:szCs w:val="20"/>
          <w:lang w:val="en-US"/>
        </w:rPr>
        <w:t xml:space="preserve">mm </w:t>
      </w:r>
      <w:r w:rsidRPr="00B579E1">
        <w:rPr>
          <w:rFonts w:eastAsia="Times New Roman" w:cs="Arial"/>
          <w:color w:val="000000"/>
          <w:szCs w:val="20"/>
          <w:lang w:eastAsia="bg-BG"/>
        </w:rPr>
        <w:t>(очертан чрез щанцоване).</w:t>
      </w:r>
    </w:p>
    <w:p w14:paraId="4CC0F92A" w14:textId="77777777" w:rsidR="00B579E1" w:rsidRPr="00B579E1" w:rsidRDefault="00B579E1" w:rsidP="00B579E1">
      <w:pPr>
        <w:spacing w:line="240" w:lineRule="auto"/>
        <w:rPr>
          <w:rFonts w:eastAsia="Times New Roman" w:cs="Arial"/>
          <w:color w:val="000000"/>
          <w:szCs w:val="20"/>
          <w:u w:val="single"/>
          <w:lang w:eastAsia="bg-BG"/>
        </w:rPr>
      </w:pPr>
    </w:p>
    <w:p w14:paraId="0649BE3A" w14:textId="2FD6567E"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mg/4 mg/1</w:t>
      </w:r>
      <w:r w:rsidRPr="00B579E1">
        <w:rPr>
          <w:rFonts w:eastAsia="Times New Roman" w:cs="Arial"/>
          <w:color w:val="000000"/>
          <w:szCs w:val="20"/>
          <w:u w:val="single"/>
          <w:lang w:eastAsia="bg-BG"/>
        </w:rPr>
        <w:t xml:space="preserve">.25 </w:t>
      </w:r>
      <w:r w:rsidRPr="00B579E1">
        <w:rPr>
          <w:rFonts w:eastAsia="Times New Roman" w:cs="Arial"/>
          <w:color w:val="000000"/>
          <w:szCs w:val="20"/>
          <w:u w:val="single"/>
          <w:lang w:val="en-US"/>
        </w:rPr>
        <w:t xml:space="preserve">mg </w:t>
      </w:r>
      <w:r w:rsidRPr="00B579E1">
        <w:rPr>
          <w:rFonts w:eastAsia="Times New Roman" w:cs="Arial"/>
          <w:color w:val="000000"/>
          <w:szCs w:val="20"/>
          <w:u w:val="single"/>
          <w:lang w:eastAsia="bg-BG"/>
        </w:rPr>
        <w:t>филмирани таблетки</w:t>
      </w:r>
    </w:p>
    <w:p w14:paraId="561379C1"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Почти розови, кръгли, леко двойноизпъкнали филмирани таблетки със скосени ръбове, с</w:t>
      </w:r>
    </w:p>
    <w:p w14:paraId="4432D447"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релефно означение </w:t>
      </w:r>
      <w:r w:rsidRPr="00B579E1">
        <w:rPr>
          <w:rFonts w:eastAsia="Times New Roman" w:cs="Arial"/>
          <w:color w:val="000000"/>
          <w:szCs w:val="20"/>
          <w:lang w:val="en-US"/>
        </w:rPr>
        <w:t xml:space="preserve">PIR2 </w:t>
      </w:r>
      <w:r w:rsidRPr="00B579E1">
        <w:rPr>
          <w:rFonts w:eastAsia="Times New Roman" w:cs="Arial"/>
          <w:color w:val="000000"/>
          <w:szCs w:val="20"/>
          <w:lang w:eastAsia="bg-BG"/>
        </w:rPr>
        <w:t>от едната страна на таблетката. Диаметър: приблизително 10</w:t>
      </w:r>
      <w:r w:rsidRPr="00B579E1">
        <w:rPr>
          <w:rFonts w:eastAsia="Times New Roman" w:cs="Arial"/>
          <w:color w:val="000000"/>
          <w:szCs w:val="20"/>
          <w:lang w:val="en-US"/>
        </w:rPr>
        <w:t xml:space="preserve"> mm</w:t>
      </w:r>
      <w:r w:rsidRPr="00B579E1">
        <w:rPr>
          <w:rFonts w:eastAsia="Times New Roman" w:cs="Arial"/>
          <w:color w:val="000000"/>
          <w:szCs w:val="20"/>
          <w:lang w:eastAsia="bg-BG"/>
        </w:rPr>
        <w:t xml:space="preserve"> (очертан чрез щанцоване).</w:t>
      </w:r>
    </w:p>
    <w:p w14:paraId="6D068899" w14:textId="77777777" w:rsidR="00B579E1" w:rsidRPr="00B579E1" w:rsidRDefault="00B579E1" w:rsidP="00B579E1">
      <w:pPr>
        <w:spacing w:line="240" w:lineRule="auto"/>
        <w:rPr>
          <w:rFonts w:eastAsia="Times New Roman" w:cs="Arial"/>
          <w:sz w:val="28"/>
          <w:szCs w:val="24"/>
          <w:lang w:eastAsia="bg-BG"/>
        </w:rPr>
      </w:pPr>
    </w:p>
    <w:p w14:paraId="2EB3497F"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29ADBB" w14:textId="2F1766FA" w:rsidR="0091385D" w:rsidRPr="00B579E1" w:rsidRDefault="00B579E1" w:rsidP="00B579E1">
      <w:pPr>
        <w:rPr>
          <w:rFonts w:cs="Arial"/>
          <w:sz w:val="24"/>
        </w:rPr>
      </w:pPr>
      <w:r w:rsidRPr="00B579E1">
        <w:rPr>
          <w:rFonts w:eastAsia="Times New Roman" w:cs="Arial"/>
          <w:color w:val="000000"/>
          <w:szCs w:val="20"/>
          <w:lang w:eastAsia="bg-BG"/>
        </w:rPr>
        <w:t xml:space="preserve">Светлорозови,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PIR3 </w:t>
      </w:r>
      <w:r w:rsidRPr="00B579E1">
        <w:rPr>
          <w:rFonts w:eastAsia="Times New Roman" w:cs="Arial"/>
          <w:color w:val="000000"/>
          <w:szCs w:val="20"/>
          <w:lang w:eastAsia="bg-BG"/>
        </w:rPr>
        <w:t xml:space="preserve">от едната страна на таблетката. Диаметър: приблизително 10 </w:t>
      </w:r>
      <w:r w:rsidRPr="00B579E1">
        <w:rPr>
          <w:rFonts w:eastAsia="Times New Roman" w:cs="Arial"/>
          <w:color w:val="000000"/>
          <w:szCs w:val="20"/>
          <w:lang w:val="en-US"/>
        </w:rPr>
        <w:t>mm</w:t>
      </w:r>
      <w:r w:rsidRPr="00B579E1">
        <w:rPr>
          <w:rFonts w:eastAsia="Times New Roman" w:cs="Arial"/>
          <w:color w:val="000000"/>
          <w:szCs w:val="20"/>
          <w:lang w:eastAsia="bg-BG"/>
        </w:rPr>
        <w:t xml:space="preserve"> (очертан чрез щанцоване).</w:t>
      </w:r>
    </w:p>
    <w:p w14:paraId="7D287A22" w14:textId="158FD175" w:rsidR="00A73575" w:rsidRDefault="00A73575" w:rsidP="0091385D"/>
    <w:p w14:paraId="16ECC60B"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 xml:space="preserve">Роксипер 20 </w:t>
      </w:r>
      <w:r w:rsidRPr="00A61093">
        <w:rPr>
          <w:rFonts w:eastAsia="Times New Roman" w:cs="Arial"/>
          <w:color w:val="000000"/>
          <w:szCs w:val="20"/>
          <w:u w:val="single"/>
          <w:lang w:val="en-US"/>
        </w:rPr>
        <w:t xml:space="preserve">mg/8 mg/2,5 mg </w:t>
      </w:r>
      <w:r w:rsidRPr="00A61093">
        <w:rPr>
          <w:rFonts w:eastAsia="Times New Roman" w:cs="Arial"/>
          <w:color w:val="000000"/>
          <w:szCs w:val="20"/>
          <w:u w:val="single"/>
          <w:lang w:eastAsia="bg-BG"/>
        </w:rPr>
        <w:t>филмирани таблетки</w:t>
      </w:r>
    </w:p>
    <w:p w14:paraId="49632E4D" w14:textId="14764141" w:rsidR="00A61093" w:rsidRPr="00A61093" w:rsidRDefault="00A61093" w:rsidP="00A61093">
      <w:pPr>
        <w:rPr>
          <w:rFonts w:cs="Arial"/>
          <w:sz w:val="24"/>
        </w:rPr>
      </w:pPr>
      <w:r w:rsidRPr="00A61093">
        <w:rPr>
          <w:rFonts w:eastAsia="Times New Roman" w:cs="Arial"/>
          <w:color w:val="000000"/>
          <w:szCs w:val="20"/>
          <w:lang w:eastAsia="bg-BG"/>
        </w:rPr>
        <w:t xml:space="preserve">Бледо розово-кафяви, кръгли, леко двойноизпъкнали филмирани таблетки със скосени ръбове, с релефно означение </w:t>
      </w:r>
      <w:r w:rsidRPr="00A61093">
        <w:rPr>
          <w:rFonts w:eastAsia="Times New Roman" w:cs="Arial"/>
          <w:color w:val="000000"/>
          <w:szCs w:val="20"/>
          <w:lang w:val="en-US"/>
        </w:rPr>
        <w:t xml:space="preserve">PIR4 </w:t>
      </w:r>
      <w:r w:rsidRPr="00A61093">
        <w:rPr>
          <w:rFonts w:eastAsia="Times New Roman" w:cs="Arial"/>
          <w:color w:val="000000"/>
          <w:szCs w:val="20"/>
          <w:lang w:eastAsia="bg-BG"/>
        </w:rPr>
        <w:t xml:space="preserve">от едната страна на таблетката. Диаметър: приблизително 10 </w:t>
      </w:r>
      <w:r w:rsidRPr="00A61093">
        <w:rPr>
          <w:rFonts w:eastAsia="Times New Roman" w:cs="Arial"/>
          <w:color w:val="000000"/>
          <w:szCs w:val="20"/>
          <w:lang w:val="en-US"/>
        </w:rPr>
        <w:t xml:space="preserve">mm </w:t>
      </w:r>
      <w:r w:rsidRPr="00A61093">
        <w:rPr>
          <w:rFonts w:eastAsia="Times New Roman" w:cs="Arial"/>
          <w:color w:val="000000"/>
          <w:szCs w:val="20"/>
          <w:lang w:eastAsia="bg-BG"/>
        </w:rPr>
        <w:t>(очертан чрез щанцоване).</w:t>
      </w:r>
    </w:p>
    <w:p w14:paraId="39BD6730" w14:textId="77777777" w:rsidR="00A61093" w:rsidRPr="0091385D" w:rsidRDefault="00A61093"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40A00680" w:rsidR="0091385D" w:rsidRDefault="00A61093" w:rsidP="0091385D">
      <w:r>
        <w:rPr>
          <w:sz w:val="20"/>
          <w:szCs w:val="20"/>
        </w:rPr>
        <w:t>Роксипер е показан за заместителна терапия при възрастни пациенти, адекватно контролирани с розувастатин, периндоприл и индапамид, прилагани едновременно в същите дози както в комбинацията за лечение на есенциална хипертония и едно от следните съпътстващи състояния: първична хиперхолестеролемия (тип IIа, включително хетерозиготна фамилна хиперхолестеролемия), смесена дислипидемия (тип II</w:t>
      </w:r>
      <w:r>
        <w:rPr>
          <w:sz w:val="20"/>
          <w:szCs w:val="20"/>
          <w:lang w:val="en-US"/>
        </w:rPr>
        <w:t>b</w:t>
      </w:r>
      <w:r>
        <w:rPr>
          <w:sz w:val="20"/>
          <w:szCs w:val="20"/>
        </w:rPr>
        <w:t>) или хомозиготна фамилна хиперхолестеролемия.</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916F360" w14:textId="77777777" w:rsidR="00A61093" w:rsidRPr="00110CFB" w:rsidRDefault="00A61093" w:rsidP="00110CFB">
      <w:pPr>
        <w:pStyle w:val="Heading3"/>
        <w:rPr>
          <w:rFonts w:eastAsia="Times New Roman"/>
          <w:sz w:val="28"/>
          <w:u w:val="single"/>
          <w:lang w:eastAsia="bg-BG"/>
        </w:rPr>
      </w:pPr>
      <w:r w:rsidRPr="00110CFB">
        <w:rPr>
          <w:rFonts w:eastAsia="Times New Roman"/>
          <w:u w:val="single"/>
          <w:lang w:eastAsia="bg-BG"/>
        </w:rPr>
        <w:t>Дозировка</w:t>
      </w:r>
    </w:p>
    <w:p w14:paraId="09626AF3" w14:textId="77777777" w:rsidR="00A61093" w:rsidRPr="00A61093" w:rsidRDefault="00A61093" w:rsidP="00A61093">
      <w:pPr>
        <w:spacing w:line="240" w:lineRule="auto"/>
        <w:rPr>
          <w:rFonts w:eastAsia="Times New Roman" w:cs="Arial"/>
          <w:color w:val="000000"/>
          <w:szCs w:val="20"/>
          <w:lang w:eastAsia="bg-BG"/>
        </w:rPr>
      </w:pPr>
    </w:p>
    <w:p w14:paraId="3083861D" w14:textId="68791D35"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Препоръчителната доза Роксипер е една таблетка на ден, за предпочитане приемана сутрин и преди хранене.</w:t>
      </w:r>
    </w:p>
    <w:p w14:paraId="63EA745E" w14:textId="77777777" w:rsidR="00A61093" w:rsidRPr="00A61093" w:rsidRDefault="00A61093" w:rsidP="00A61093">
      <w:pPr>
        <w:spacing w:line="240" w:lineRule="auto"/>
        <w:rPr>
          <w:rFonts w:eastAsia="Times New Roman" w:cs="Arial"/>
          <w:color w:val="000000"/>
          <w:szCs w:val="20"/>
          <w:lang w:eastAsia="bg-BG"/>
        </w:rPr>
      </w:pPr>
    </w:p>
    <w:p w14:paraId="40BCD104" w14:textId="1FADA6F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Комбинацията с фиксирани дози не е подходяща за начална терапия.</w:t>
      </w:r>
    </w:p>
    <w:p w14:paraId="0E1135D7" w14:textId="77777777" w:rsidR="00A61093" w:rsidRPr="00A61093" w:rsidRDefault="00A61093" w:rsidP="00A61093">
      <w:pPr>
        <w:spacing w:line="240" w:lineRule="auto"/>
        <w:rPr>
          <w:rFonts w:eastAsia="Times New Roman" w:cs="Arial"/>
          <w:color w:val="000000"/>
          <w:szCs w:val="20"/>
          <w:lang w:eastAsia="bg-BG"/>
        </w:rPr>
      </w:pPr>
    </w:p>
    <w:p w14:paraId="26AB4F0F" w14:textId="347F2DE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Преди преминаване към Роксипер, пациентите трябва да бъдат контролирани на стабилните дози на отделните компоненти, приемани едновременно. Дозата на Роксипер трябва да се базира на дозите на отделните компоненти на комбинацията към момента на преминаване.</w:t>
      </w:r>
    </w:p>
    <w:p w14:paraId="6EF1ADB2" w14:textId="77777777" w:rsidR="00A61093" w:rsidRPr="00A61093" w:rsidRDefault="00A61093" w:rsidP="00A61093">
      <w:pPr>
        <w:spacing w:line="240" w:lineRule="auto"/>
        <w:rPr>
          <w:rFonts w:eastAsia="Times New Roman" w:cs="Arial"/>
          <w:color w:val="000000"/>
          <w:szCs w:val="20"/>
          <w:lang w:eastAsia="bg-BG"/>
        </w:rPr>
      </w:pPr>
    </w:p>
    <w:p w14:paraId="1504CCAA" w14:textId="454B25B0"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Ако се налага промяна на дозировката за някое от активните вещества на фиксираната комбинация поради някаква причина (налр. новодиагностицирано свързано заболяване, промяна на състоянието на пациента или поради лекарствено взаимодействие), трябва отново да се приложат отделните компоненти, за да се определи дозировката.</w:t>
      </w:r>
    </w:p>
    <w:p w14:paraId="76DBAFED" w14:textId="77777777" w:rsidR="00A61093" w:rsidRPr="00A61093" w:rsidRDefault="00A61093" w:rsidP="00A61093">
      <w:pPr>
        <w:spacing w:line="240" w:lineRule="auto"/>
        <w:rPr>
          <w:rFonts w:eastAsia="Times New Roman" w:cs="Arial"/>
          <w:color w:val="000000"/>
          <w:szCs w:val="20"/>
          <w:u w:val="single"/>
          <w:lang w:eastAsia="bg-BG"/>
        </w:rPr>
      </w:pPr>
    </w:p>
    <w:p w14:paraId="742C63E8" w14:textId="48A180EC"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Пациенти в старческа възраст</w:t>
      </w:r>
    </w:p>
    <w:p w14:paraId="6601A66D"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Пациентите в старческа възраст могат да бъдат лекувани след като се вземат предвид бъбречната функция и отговора на кръвното налягане.</w:t>
      </w:r>
    </w:p>
    <w:p w14:paraId="447E0572" w14:textId="77777777" w:rsidR="00A61093" w:rsidRPr="00A61093" w:rsidRDefault="00A61093" w:rsidP="00A61093">
      <w:pPr>
        <w:spacing w:line="240" w:lineRule="auto"/>
        <w:rPr>
          <w:rFonts w:eastAsia="Times New Roman" w:cs="Arial"/>
          <w:color w:val="000000"/>
          <w:szCs w:val="20"/>
          <w:u w:val="single"/>
          <w:lang w:eastAsia="bg-BG"/>
        </w:rPr>
      </w:pPr>
    </w:p>
    <w:p w14:paraId="685A9A35" w14:textId="64F9214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Бъбречно увреждане</w:t>
      </w:r>
    </w:p>
    <w:p w14:paraId="76DAD1B2"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При пациенти с тежко бъбречно увреждане (креатннинов клирънс под 30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лечението е противопоказано. При пациенти с умерено бъбречно увреждане (креатининов клирънс 30- 60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Роксипер в дози 10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 xml:space="preserve">и 20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е противопоказан.</w:t>
      </w:r>
    </w:p>
    <w:p w14:paraId="43AB8FD3"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Роксипер не е подходящ за пациенти с креатининов клирънс &lt;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4.4).</w:t>
      </w:r>
    </w:p>
    <w:p w14:paraId="27B97CBA"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Обичайното медицинско проследяване включва често мониториране на нивата на креатинин и калий.</w:t>
      </w:r>
    </w:p>
    <w:p w14:paraId="705B8312" w14:textId="77777777" w:rsidR="00A61093" w:rsidRPr="00A61093" w:rsidRDefault="00A61093" w:rsidP="00A61093">
      <w:pPr>
        <w:spacing w:line="240" w:lineRule="auto"/>
        <w:rPr>
          <w:rFonts w:eastAsia="Times New Roman" w:cs="Arial"/>
          <w:color w:val="000000"/>
          <w:szCs w:val="20"/>
          <w:u w:val="single"/>
          <w:lang w:eastAsia="bg-BG"/>
        </w:rPr>
      </w:pPr>
    </w:p>
    <w:p w14:paraId="11F2B4B4" w14:textId="31A3B4C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Чернодробно увреждане</w:t>
      </w:r>
    </w:p>
    <w:p w14:paraId="270B1BA8"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тежко чернодробно увреждане лечението е противопоказано. Роксипер е противопоказан при пациенти с активно чернодробно заболяване (вж. точка 4.3).</w:t>
      </w:r>
    </w:p>
    <w:p w14:paraId="7030D3B2" w14:textId="53DDB34F"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пациенти с умерено чернодробно увреждане не се налага промяна на дозата.</w:t>
      </w:r>
    </w:p>
    <w:p w14:paraId="232EDF59" w14:textId="77777777" w:rsidR="00110CFB" w:rsidRPr="00110CFB" w:rsidRDefault="00A61093" w:rsidP="00110CFB">
      <w:pPr>
        <w:rPr>
          <w:rFonts w:eastAsia="Times New Roman" w:cs="Arial"/>
          <w:sz w:val="28"/>
          <w:szCs w:val="24"/>
          <w:lang w:eastAsia="bg-BG"/>
        </w:rPr>
      </w:pPr>
      <w:r w:rsidRPr="00A61093">
        <w:rPr>
          <w:rFonts w:eastAsia="Times New Roman" w:cs="Arial"/>
          <w:color w:val="000000"/>
          <w:szCs w:val="20"/>
          <w:lang w:eastAsia="bg-BG"/>
        </w:rPr>
        <w:t>Няма повишение на системната експозиция на розувастатин при пациенти с резултати или по-</w:t>
      </w:r>
      <w:r w:rsidRPr="00A61093">
        <w:rPr>
          <w:rFonts w:eastAsia="Times New Roman" w:cs="Arial"/>
          <w:color w:val="000000"/>
          <w:szCs w:val="20"/>
          <w:vertAlign w:val="superscript"/>
          <w:lang w:eastAsia="bg-BG"/>
        </w:rPr>
        <w:t xml:space="preserve"> </w:t>
      </w:r>
      <w:r w:rsidRPr="00A61093">
        <w:rPr>
          <w:rFonts w:eastAsia="Times New Roman" w:cs="Arial"/>
          <w:color w:val="000000"/>
          <w:szCs w:val="20"/>
          <w:lang w:eastAsia="bg-BG"/>
        </w:rPr>
        <w:t xml:space="preserve">ниски по скалата на </w:t>
      </w:r>
      <w:r w:rsidRPr="00A61093">
        <w:rPr>
          <w:rFonts w:eastAsia="Times New Roman" w:cs="Arial"/>
          <w:color w:val="000000"/>
          <w:szCs w:val="20"/>
          <w:lang w:val="en-US"/>
        </w:rPr>
        <w:t xml:space="preserve">Child-Pugh. </w:t>
      </w:r>
      <w:r w:rsidRPr="00A61093">
        <w:rPr>
          <w:rFonts w:eastAsia="Times New Roman" w:cs="Arial"/>
          <w:color w:val="000000"/>
          <w:szCs w:val="20"/>
          <w:lang w:eastAsia="bg-BG"/>
        </w:rPr>
        <w:t xml:space="preserve">Наблюдава се, обаче, повишена системна експозиция при пациенти с резултати 8 и 9 по скалата на </w:t>
      </w:r>
      <w:r w:rsidRPr="00A61093">
        <w:rPr>
          <w:rFonts w:eastAsia="Times New Roman" w:cs="Arial"/>
          <w:color w:val="000000"/>
          <w:szCs w:val="20"/>
          <w:lang w:val="en-US"/>
        </w:rPr>
        <w:t xml:space="preserve">Chi Id-Pugh </w:t>
      </w:r>
      <w:r w:rsidRPr="00A61093">
        <w:rPr>
          <w:rFonts w:eastAsia="Times New Roman" w:cs="Arial"/>
          <w:color w:val="000000"/>
          <w:szCs w:val="20"/>
          <w:lang w:eastAsia="bg-BG"/>
        </w:rPr>
        <w:t>(вж. точка 5.2). При тези пациенти трябва</w:t>
      </w:r>
      <w:r w:rsidR="00342287">
        <w:rPr>
          <w:rFonts w:eastAsia="Times New Roman" w:cs="Arial"/>
          <w:color w:val="000000"/>
          <w:szCs w:val="20"/>
          <w:lang w:eastAsia="bg-BG"/>
        </w:rPr>
        <w:t xml:space="preserve"> </w:t>
      </w:r>
      <w:r w:rsidR="00110CFB" w:rsidRPr="00110CFB">
        <w:rPr>
          <w:rFonts w:eastAsia="Times New Roman" w:cs="Arial"/>
          <w:color w:val="000000"/>
          <w:szCs w:val="20"/>
          <w:lang w:eastAsia="bg-BG"/>
        </w:rPr>
        <w:t xml:space="preserve">да вземе предвид оценката на бъбречната функция (вж. точка 4.4). Липсва опит при лица с резултати над 9 по скалата на </w:t>
      </w:r>
      <w:r w:rsidR="00110CFB" w:rsidRPr="00110CFB">
        <w:rPr>
          <w:rFonts w:eastAsia="Times New Roman" w:cs="Arial"/>
          <w:color w:val="000000"/>
          <w:szCs w:val="20"/>
          <w:lang w:val="en-US"/>
        </w:rPr>
        <w:t>Child-Pugh.</w:t>
      </w:r>
    </w:p>
    <w:p w14:paraId="540FB7A2" w14:textId="77777777" w:rsidR="00110CFB" w:rsidRPr="00110CFB" w:rsidRDefault="00110CFB" w:rsidP="00110CFB">
      <w:pPr>
        <w:spacing w:line="240" w:lineRule="auto"/>
        <w:rPr>
          <w:rFonts w:eastAsia="Times New Roman" w:cs="Arial"/>
          <w:color w:val="000000"/>
          <w:szCs w:val="20"/>
          <w:u w:val="single"/>
          <w:lang w:eastAsia="bg-BG"/>
        </w:rPr>
      </w:pPr>
    </w:p>
    <w:p w14:paraId="583B12F3" w14:textId="73927141"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Раса</w:t>
      </w:r>
    </w:p>
    <w:p w14:paraId="6D52E844"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При лица от азиатската раса се наблюдава повишена системна експозиция (вж. точки 4.3,4.4 и 5.2).</w:t>
      </w:r>
    </w:p>
    <w:p w14:paraId="7D5CFE3D" w14:textId="77777777" w:rsidR="00110CFB" w:rsidRPr="00110CFB" w:rsidRDefault="00110CFB" w:rsidP="00110CFB">
      <w:pPr>
        <w:spacing w:line="240" w:lineRule="auto"/>
        <w:rPr>
          <w:rFonts w:eastAsia="Times New Roman" w:cs="Arial"/>
          <w:color w:val="000000"/>
          <w:szCs w:val="20"/>
          <w:u w:val="single"/>
          <w:lang w:eastAsia="bg-BG"/>
        </w:rPr>
      </w:pPr>
    </w:p>
    <w:p w14:paraId="20A55970" w14:textId="7F410B5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Генетичен полиморфизъм</w:t>
      </w:r>
    </w:p>
    <w:p w14:paraId="0264E459"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64D29F95" w14:textId="77777777" w:rsidR="00110CFB" w:rsidRPr="00110CFB" w:rsidRDefault="00110CFB" w:rsidP="00110CFB">
      <w:pPr>
        <w:spacing w:line="240" w:lineRule="auto"/>
        <w:rPr>
          <w:rFonts w:eastAsia="Times New Roman" w:cs="Arial"/>
          <w:color w:val="000000"/>
          <w:szCs w:val="20"/>
          <w:u w:val="single"/>
          <w:lang w:eastAsia="bg-BG"/>
        </w:rPr>
      </w:pPr>
    </w:p>
    <w:p w14:paraId="7398E8D2" w14:textId="6B56324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Съпътстваща терапия</w:t>
      </w:r>
    </w:p>
    <w:p w14:paraId="4C28ACDD"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Розувастатин е субстрат на различни транспортерни протеини (напр. ОАТР1В1 и </w:t>
      </w:r>
      <w:r w:rsidRPr="00110CFB">
        <w:rPr>
          <w:rFonts w:eastAsia="Times New Roman" w:cs="Arial"/>
          <w:color w:val="000000"/>
          <w:szCs w:val="20"/>
          <w:lang w:val="en-US"/>
        </w:rPr>
        <w:t>BCRP).</w:t>
      </w:r>
    </w:p>
    <w:p w14:paraId="4F7C6C55"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F7F13D6" w14:textId="77777777" w:rsidR="00110CFB" w:rsidRPr="00110CFB" w:rsidRDefault="00110CFB" w:rsidP="00110CFB">
      <w:pPr>
        <w:spacing w:line="240" w:lineRule="auto"/>
        <w:rPr>
          <w:rFonts w:eastAsia="Times New Roman" w:cs="Arial"/>
          <w:i/>
          <w:iCs/>
          <w:color w:val="000000"/>
          <w:szCs w:val="20"/>
          <w:lang w:eastAsia="bg-BG"/>
        </w:rPr>
      </w:pPr>
    </w:p>
    <w:p w14:paraId="7354CEBE" w14:textId="7A04A6C7" w:rsidR="00110CFB" w:rsidRPr="00110CFB" w:rsidRDefault="00110CFB" w:rsidP="00110CFB">
      <w:pPr>
        <w:spacing w:line="240" w:lineRule="auto"/>
        <w:rPr>
          <w:rFonts w:eastAsia="Times New Roman" w:cs="Arial"/>
          <w:sz w:val="28"/>
          <w:szCs w:val="24"/>
          <w:lang w:eastAsia="bg-BG"/>
        </w:rPr>
      </w:pPr>
      <w:r w:rsidRPr="00110CFB">
        <w:rPr>
          <w:rFonts w:eastAsia="Times New Roman" w:cs="Arial"/>
          <w:i/>
          <w:iCs/>
          <w:color w:val="000000"/>
          <w:szCs w:val="20"/>
          <w:lang w:eastAsia="bg-BG"/>
        </w:rPr>
        <w:t>Педиатрична популация</w:t>
      </w:r>
    </w:p>
    <w:p w14:paraId="178C555F"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Роксипер не трябва да се прилага при деца и юноши, тъй като ефикасността и поносимостта на Роксипер не са установени при деца и юноши.</w:t>
      </w:r>
    </w:p>
    <w:p w14:paraId="58EDABCF" w14:textId="77777777" w:rsidR="00110CFB" w:rsidRPr="00110CFB" w:rsidRDefault="00110CFB" w:rsidP="00110CFB">
      <w:pPr>
        <w:spacing w:line="240" w:lineRule="auto"/>
        <w:rPr>
          <w:rFonts w:eastAsia="Times New Roman" w:cs="Arial"/>
          <w:color w:val="000000"/>
          <w:szCs w:val="20"/>
          <w:u w:val="single"/>
          <w:lang w:eastAsia="bg-BG"/>
        </w:rPr>
      </w:pPr>
    </w:p>
    <w:p w14:paraId="7DB3EB35" w14:textId="6928AFD0" w:rsidR="00110CFB" w:rsidRPr="00110CFB" w:rsidRDefault="00110CFB" w:rsidP="00110CFB">
      <w:pPr>
        <w:pStyle w:val="Heading3"/>
        <w:rPr>
          <w:rFonts w:eastAsia="Times New Roman"/>
          <w:sz w:val="28"/>
          <w:u w:val="single"/>
          <w:lang w:eastAsia="bg-BG"/>
        </w:rPr>
      </w:pPr>
      <w:r w:rsidRPr="00110CFB">
        <w:rPr>
          <w:rFonts w:eastAsia="Times New Roman"/>
          <w:u w:val="single"/>
          <w:lang w:eastAsia="bg-BG"/>
        </w:rPr>
        <w:t>Начин на приложение</w:t>
      </w:r>
    </w:p>
    <w:p w14:paraId="475300EC" w14:textId="7A535E51" w:rsidR="0091385D" w:rsidRPr="00110CFB" w:rsidRDefault="00110CFB" w:rsidP="00110CFB">
      <w:pPr>
        <w:rPr>
          <w:rFonts w:cs="Arial"/>
          <w:sz w:val="28"/>
        </w:rPr>
      </w:pPr>
      <w:r w:rsidRPr="00110CFB">
        <w:rPr>
          <w:rFonts w:eastAsia="Times New Roman" w:cs="Arial"/>
          <w:color w:val="000000"/>
          <w:szCs w:val="20"/>
          <w:lang w:eastAsia="bg-BG"/>
        </w:rPr>
        <w:t>Перорално приложение</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CCDA281" w14:textId="77777777" w:rsidR="00110CFB" w:rsidRPr="00110CFB" w:rsidRDefault="00110CFB" w:rsidP="00110CFB">
      <w:pPr>
        <w:rPr>
          <w:rFonts w:cs="Arial"/>
          <w:sz w:val="24"/>
        </w:rPr>
      </w:pPr>
      <w:r w:rsidRPr="00110CFB">
        <w:rPr>
          <w:rFonts w:cs="Arial"/>
          <w:szCs w:val="20"/>
          <w:u w:val="single"/>
        </w:rPr>
        <w:t>Свързани с компонента розувастатин:</w:t>
      </w:r>
    </w:p>
    <w:p w14:paraId="1AF450C4" w14:textId="77777777" w:rsidR="00110CFB" w:rsidRPr="00110CFB" w:rsidRDefault="00110CFB" w:rsidP="00697238">
      <w:pPr>
        <w:pStyle w:val="ListParagraph"/>
        <w:numPr>
          <w:ilvl w:val="0"/>
          <w:numId w:val="1"/>
        </w:numPr>
        <w:rPr>
          <w:rFonts w:cs="Arial"/>
          <w:sz w:val="24"/>
        </w:rPr>
      </w:pPr>
      <w:r w:rsidRPr="00110CFB">
        <w:rPr>
          <w:rFonts w:cs="Arial"/>
          <w:szCs w:val="20"/>
        </w:rPr>
        <w:t>Свръхчувствителност към розувастатин.</w:t>
      </w:r>
    </w:p>
    <w:p w14:paraId="6234BFF4" w14:textId="77777777" w:rsidR="00110CFB" w:rsidRPr="00110CFB" w:rsidRDefault="00110CFB" w:rsidP="00697238">
      <w:pPr>
        <w:pStyle w:val="ListParagraph"/>
        <w:numPr>
          <w:ilvl w:val="0"/>
          <w:numId w:val="1"/>
        </w:numPr>
        <w:rPr>
          <w:rFonts w:cs="Arial"/>
          <w:sz w:val="24"/>
        </w:rPr>
      </w:pPr>
      <w:r w:rsidRPr="00110CFB">
        <w:rPr>
          <w:rFonts w:cs="Arial"/>
          <w:szCs w:val="20"/>
        </w:rPr>
        <w:t xml:space="preserve">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110CFB">
        <w:rPr>
          <w:rFonts w:cs="Arial"/>
          <w:szCs w:val="20"/>
          <w:lang w:val="en-US"/>
        </w:rPr>
        <w:t>(ULN).</w:t>
      </w:r>
    </w:p>
    <w:p w14:paraId="19474EDF" w14:textId="77777777" w:rsidR="00110CFB" w:rsidRPr="00110CFB" w:rsidRDefault="00110CFB" w:rsidP="00697238">
      <w:pPr>
        <w:pStyle w:val="ListParagraph"/>
        <w:numPr>
          <w:ilvl w:val="0"/>
          <w:numId w:val="1"/>
        </w:numPr>
        <w:rPr>
          <w:rFonts w:cs="Arial"/>
          <w:sz w:val="24"/>
        </w:rPr>
      </w:pPr>
      <w:r w:rsidRPr="00110CFB">
        <w:rPr>
          <w:rFonts w:cs="Arial"/>
          <w:szCs w:val="20"/>
        </w:rPr>
        <w:t>Пациенти с миопатия.</w:t>
      </w:r>
    </w:p>
    <w:p w14:paraId="4E99F320" w14:textId="77777777" w:rsidR="00110CFB" w:rsidRPr="00110CFB" w:rsidRDefault="00110CFB" w:rsidP="00697238">
      <w:pPr>
        <w:pStyle w:val="ListParagraph"/>
        <w:numPr>
          <w:ilvl w:val="0"/>
          <w:numId w:val="1"/>
        </w:numPr>
        <w:rPr>
          <w:rFonts w:cs="Arial"/>
          <w:sz w:val="24"/>
        </w:rPr>
      </w:pPr>
      <w:r w:rsidRPr="00110CFB">
        <w:rPr>
          <w:rFonts w:cs="Arial"/>
          <w:szCs w:val="20"/>
        </w:rPr>
        <w:t>Пациенти, приемащи едновременно комбинация от софосбувир/велпатасвир/воксилапревир (вж. точка 4.5). - Пациенти, приемащи едновременно циклоспорин.</w:t>
      </w:r>
    </w:p>
    <w:p w14:paraId="3212C476" w14:textId="19904453" w:rsidR="00110CFB" w:rsidRPr="00110CFB" w:rsidRDefault="00110CFB" w:rsidP="00697238">
      <w:pPr>
        <w:pStyle w:val="ListParagraph"/>
        <w:numPr>
          <w:ilvl w:val="0"/>
          <w:numId w:val="1"/>
        </w:numPr>
        <w:rPr>
          <w:rFonts w:cs="Arial"/>
          <w:sz w:val="24"/>
        </w:rPr>
      </w:pPr>
      <w:r w:rsidRPr="00110CFB">
        <w:rPr>
          <w:rFonts w:cs="Arial"/>
          <w:szCs w:val="20"/>
        </w:rPr>
        <w:t>По време на бременност и кърмене и при жени с детероден потенциал, неприлагащи подходящи контрацептивни мерки.</w:t>
      </w:r>
    </w:p>
    <w:p w14:paraId="7A92F6AF" w14:textId="77777777" w:rsidR="00110CFB" w:rsidRPr="00110CFB" w:rsidRDefault="00110CFB" w:rsidP="00110CFB">
      <w:pPr>
        <w:rPr>
          <w:rFonts w:cs="Arial"/>
          <w:szCs w:val="20"/>
          <w:u w:val="single"/>
        </w:rPr>
      </w:pPr>
    </w:p>
    <w:p w14:paraId="1507BD02" w14:textId="354386B1" w:rsidR="00110CFB" w:rsidRPr="00110CFB" w:rsidRDefault="00110CFB" w:rsidP="00110CFB">
      <w:pPr>
        <w:rPr>
          <w:rFonts w:cs="Arial"/>
          <w:sz w:val="24"/>
        </w:rPr>
      </w:pPr>
      <w:r w:rsidRPr="00110CFB">
        <w:rPr>
          <w:rFonts w:cs="Arial"/>
          <w:szCs w:val="20"/>
          <w:u w:val="single"/>
        </w:rPr>
        <w:t>Свързани с компонента периндоприл:</w:t>
      </w:r>
    </w:p>
    <w:p w14:paraId="64EABCE8" w14:textId="77777777" w:rsidR="00110CFB" w:rsidRPr="00110CFB" w:rsidRDefault="00110CFB" w:rsidP="00697238">
      <w:pPr>
        <w:pStyle w:val="ListParagraph"/>
        <w:numPr>
          <w:ilvl w:val="0"/>
          <w:numId w:val="2"/>
        </w:numPr>
        <w:rPr>
          <w:rFonts w:cs="Arial"/>
          <w:sz w:val="24"/>
        </w:rPr>
      </w:pPr>
      <w:r w:rsidRPr="00110CFB">
        <w:rPr>
          <w:rFonts w:cs="Arial"/>
          <w:szCs w:val="20"/>
        </w:rPr>
        <w:t>Свръхчувствителност към периндоприл или към някой друг АСЕ-инхибитор.</w:t>
      </w:r>
    </w:p>
    <w:p w14:paraId="1C5DFF8D" w14:textId="77777777" w:rsidR="00110CFB" w:rsidRPr="00110CFB" w:rsidRDefault="00110CFB" w:rsidP="00697238">
      <w:pPr>
        <w:pStyle w:val="ListParagraph"/>
        <w:numPr>
          <w:ilvl w:val="0"/>
          <w:numId w:val="2"/>
        </w:numPr>
        <w:rPr>
          <w:rFonts w:cs="Arial"/>
          <w:sz w:val="24"/>
        </w:rPr>
      </w:pPr>
      <w:r w:rsidRPr="00110CFB">
        <w:rPr>
          <w:rFonts w:cs="Arial"/>
          <w:szCs w:val="20"/>
        </w:rPr>
        <w:t xml:space="preserve">Анамнеза за ангиоедем (едем на </w:t>
      </w:r>
      <w:r w:rsidRPr="00110CFB">
        <w:rPr>
          <w:rFonts w:cs="Arial"/>
          <w:szCs w:val="20"/>
          <w:lang w:val="en-US"/>
        </w:rPr>
        <w:t xml:space="preserve">Quincke), </w:t>
      </w:r>
      <w:r w:rsidRPr="00110CFB">
        <w:rPr>
          <w:rFonts w:cs="Arial"/>
          <w:szCs w:val="20"/>
        </w:rPr>
        <w:t>свързан с предишно лечение с АСЕ-инхибитор (вж. точка 4.4).</w:t>
      </w:r>
    </w:p>
    <w:p w14:paraId="4F7B7F11" w14:textId="77777777" w:rsidR="00110CFB" w:rsidRPr="00110CFB" w:rsidRDefault="00110CFB" w:rsidP="00697238">
      <w:pPr>
        <w:pStyle w:val="ListParagraph"/>
        <w:numPr>
          <w:ilvl w:val="0"/>
          <w:numId w:val="2"/>
        </w:numPr>
        <w:rPr>
          <w:rFonts w:cs="Arial"/>
          <w:sz w:val="24"/>
        </w:rPr>
      </w:pPr>
      <w:r w:rsidRPr="00110CFB">
        <w:rPr>
          <w:rFonts w:cs="Arial"/>
          <w:szCs w:val="20"/>
        </w:rPr>
        <w:t>Наследствен или идиопатичен ангиоедем.</w:t>
      </w:r>
    </w:p>
    <w:p w14:paraId="06746140" w14:textId="77777777" w:rsidR="00110CFB" w:rsidRPr="00110CFB" w:rsidRDefault="00110CFB" w:rsidP="00697238">
      <w:pPr>
        <w:pStyle w:val="ListParagraph"/>
        <w:numPr>
          <w:ilvl w:val="0"/>
          <w:numId w:val="2"/>
        </w:numPr>
        <w:rPr>
          <w:rFonts w:cs="Arial"/>
          <w:sz w:val="24"/>
        </w:rPr>
      </w:pPr>
      <w:r w:rsidRPr="00110CFB">
        <w:rPr>
          <w:rFonts w:cs="Arial"/>
          <w:szCs w:val="20"/>
        </w:rPr>
        <w:t>Втори и трети триместьр на бременността (вж. точки 4.4 и 4.6).</w:t>
      </w:r>
    </w:p>
    <w:p w14:paraId="45585D8F" w14:textId="77777777" w:rsidR="00110CFB" w:rsidRPr="00110CFB" w:rsidRDefault="00110CFB" w:rsidP="00697238">
      <w:pPr>
        <w:pStyle w:val="ListParagraph"/>
        <w:numPr>
          <w:ilvl w:val="0"/>
          <w:numId w:val="2"/>
        </w:numPr>
        <w:rPr>
          <w:rFonts w:cs="Arial"/>
          <w:sz w:val="24"/>
        </w:rPr>
      </w:pPr>
      <w:r w:rsidRPr="00110CFB">
        <w:rPr>
          <w:rFonts w:cs="Arial"/>
          <w:szCs w:val="20"/>
        </w:rPr>
        <w:t xml:space="preserve">Едновременното приложение на Роксипер с продукти, съдържащи алискирен е  противопоказано при пациенти със захарен диабет или бъбречно увреждане (скорост на гломерулната филтрация </w:t>
      </w:r>
      <w:r w:rsidRPr="00110CFB">
        <w:rPr>
          <w:rFonts w:cs="Arial"/>
          <w:szCs w:val="20"/>
          <w:lang w:val="en-US"/>
        </w:rPr>
        <w:t xml:space="preserve">GFR </w:t>
      </w:r>
      <w:r w:rsidRPr="00110CFB">
        <w:rPr>
          <w:rFonts w:cs="Arial"/>
          <w:szCs w:val="20"/>
        </w:rPr>
        <w:t xml:space="preserve">&lt; 60 </w:t>
      </w:r>
      <w:r w:rsidRPr="00110CFB">
        <w:rPr>
          <w:rFonts w:cs="Arial"/>
          <w:szCs w:val="20"/>
          <w:lang w:val="en-US"/>
        </w:rPr>
        <w:t>ml/min/1,73 m</w:t>
      </w:r>
      <w:r w:rsidRPr="00110CFB">
        <w:rPr>
          <w:rFonts w:cs="Arial"/>
          <w:szCs w:val="20"/>
          <w:vertAlign w:val="superscript"/>
          <w:lang w:val="en-US"/>
        </w:rPr>
        <w:t>2</w:t>
      </w:r>
      <w:r w:rsidRPr="00110CFB">
        <w:rPr>
          <w:rFonts w:cs="Arial"/>
          <w:szCs w:val="20"/>
          <w:lang w:val="en-US"/>
        </w:rPr>
        <w:t xml:space="preserve">) </w:t>
      </w:r>
      <w:r w:rsidRPr="00110CFB">
        <w:rPr>
          <w:rFonts w:cs="Arial"/>
          <w:szCs w:val="20"/>
        </w:rPr>
        <w:t>(вж. точки 4.5 и 5.1).</w:t>
      </w:r>
    </w:p>
    <w:p w14:paraId="0376EED0" w14:textId="1A979C6A" w:rsidR="00110CFB" w:rsidRPr="00110CFB" w:rsidRDefault="00110CFB" w:rsidP="00697238">
      <w:pPr>
        <w:pStyle w:val="ListParagraph"/>
        <w:numPr>
          <w:ilvl w:val="0"/>
          <w:numId w:val="2"/>
        </w:numPr>
        <w:rPr>
          <w:rFonts w:cs="Arial"/>
          <w:sz w:val="28"/>
        </w:rPr>
      </w:pPr>
      <w:r w:rsidRPr="00110CFB">
        <w:rPr>
          <w:rFonts w:eastAsia="Times New Roman" w:cs="Arial"/>
          <w:color w:val="000000"/>
          <w:szCs w:val="20"/>
          <w:lang w:eastAsia="bg-BG"/>
        </w:rPr>
        <w:t>Съпътстваща употреба при терапия със сакубитрил/валсартан. Роксипер не трябва да се започва по-рано от 36 часа след последната доза сакубитрил/валсартан (вж. също точки 4.4 и 4.5).</w:t>
      </w:r>
    </w:p>
    <w:p w14:paraId="04B461A1" w14:textId="4974600F"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Екстракорпорални лечения, водещи до контакт на кръвта с отрицателно заредени повърхности (вж. точка 4.5).</w:t>
      </w:r>
    </w:p>
    <w:p w14:paraId="17121C95" w14:textId="62DFF0B1"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3FE8819B" w14:textId="77777777" w:rsidR="00110CFB" w:rsidRPr="00110CFB" w:rsidRDefault="00110CFB" w:rsidP="00110CFB">
      <w:pPr>
        <w:spacing w:line="240" w:lineRule="auto"/>
        <w:ind w:left="360"/>
        <w:rPr>
          <w:rFonts w:eastAsia="Times New Roman" w:cs="Arial"/>
          <w:color w:val="000000"/>
          <w:szCs w:val="20"/>
          <w:u w:val="single"/>
          <w:lang w:eastAsia="bg-BG"/>
        </w:rPr>
      </w:pPr>
    </w:p>
    <w:p w14:paraId="2CDF315C" w14:textId="6C2E1BAC"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компонента индапамид:</w:t>
      </w:r>
    </w:p>
    <w:p w14:paraId="7F1F5C2C" w14:textId="77777777"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индапамид или към някой друг сулфонамид. </w:t>
      </w:r>
    </w:p>
    <w:p w14:paraId="097556DD" w14:textId="06F4F9CA"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Чернодробна енцефалопатия.</w:t>
      </w:r>
    </w:p>
    <w:p w14:paraId="12FBDB6C" w14:textId="77777777"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чернодробно увреждане. </w:t>
      </w:r>
    </w:p>
    <w:p w14:paraId="759217DA" w14:textId="1B89DD4F"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Хипокалиемия.</w:t>
      </w:r>
    </w:p>
    <w:p w14:paraId="6691093B" w14:textId="77777777" w:rsidR="00110CFB" w:rsidRPr="00110CFB" w:rsidRDefault="00110CFB" w:rsidP="00110CFB">
      <w:pPr>
        <w:pStyle w:val="ListParagraph"/>
        <w:spacing w:line="240" w:lineRule="auto"/>
        <w:rPr>
          <w:rFonts w:eastAsia="Times New Roman" w:cs="Arial"/>
          <w:sz w:val="28"/>
          <w:szCs w:val="24"/>
          <w:lang w:eastAsia="bg-BG"/>
        </w:rPr>
      </w:pPr>
    </w:p>
    <w:p w14:paraId="00A9EF8C" w14:textId="55C0F558"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Роксипер:</w:t>
      </w:r>
    </w:p>
    <w:p w14:paraId="12579053" w14:textId="77777777"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Всички противопоказания, свързани с всеки един от монокомпонентите, изброени по-горе, трябва да се прилагат и за Роксипер.</w:t>
      </w:r>
    </w:p>
    <w:p w14:paraId="17F9ABF4" w14:textId="77777777"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някое от помощните вещества, изброени в точка 6.1 </w:t>
      </w:r>
    </w:p>
    <w:p w14:paraId="4448780D" w14:textId="319E10DD"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бъбречно увреждане (креатининов клирънс под 30 </w:t>
      </w:r>
      <w:r w:rsidRPr="00110CFB">
        <w:rPr>
          <w:rFonts w:eastAsia="Times New Roman" w:cs="Arial"/>
          <w:color w:val="000000"/>
          <w:szCs w:val="20"/>
          <w:lang w:val="en-US"/>
        </w:rPr>
        <w:t>ml/min)</w:t>
      </w:r>
    </w:p>
    <w:p w14:paraId="2B325D08" w14:textId="46972798"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Умерено бъбречно увреждане (креатининов клирънс 30-60 </w:t>
      </w:r>
      <w:r w:rsidRPr="00110CFB">
        <w:rPr>
          <w:rFonts w:eastAsia="Times New Roman" w:cs="Arial"/>
          <w:color w:val="000000"/>
          <w:szCs w:val="20"/>
          <w:lang w:val="en-US"/>
        </w:rPr>
        <w:t xml:space="preserve">ml/min) </w:t>
      </w:r>
      <w:r w:rsidRPr="00110CFB">
        <w:rPr>
          <w:rFonts w:eastAsia="Times New Roman" w:cs="Arial"/>
          <w:color w:val="000000"/>
          <w:szCs w:val="20"/>
          <w:lang w:eastAsia="bg-BG"/>
        </w:rPr>
        <w:t xml:space="preserve">Роксипер в дози 10 </w:t>
      </w:r>
      <w:r w:rsidRPr="00110CFB">
        <w:rPr>
          <w:rFonts w:eastAsia="Times New Roman" w:cs="Arial"/>
          <w:color w:val="000000"/>
          <w:szCs w:val="20"/>
          <w:lang w:val="en-US"/>
        </w:rPr>
        <w:t xml:space="preserve">mg/8 mg/2,5 mg </w:t>
      </w:r>
      <w:r w:rsidRPr="00110CFB">
        <w:rPr>
          <w:rFonts w:eastAsia="Times New Roman" w:cs="Arial"/>
          <w:color w:val="000000"/>
          <w:szCs w:val="20"/>
          <w:lang w:eastAsia="bg-BG"/>
        </w:rPr>
        <w:t xml:space="preserve">и 20 </w:t>
      </w:r>
      <w:r w:rsidRPr="00110CFB">
        <w:rPr>
          <w:rFonts w:eastAsia="Times New Roman" w:cs="Arial"/>
          <w:color w:val="000000"/>
          <w:szCs w:val="20"/>
          <w:lang w:val="en-US"/>
        </w:rPr>
        <w:t>mg/8 mg/2,5 mg</w:t>
      </w:r>
    </w:p>
    <w:p w14:paraId="4F7E3883" w14:textId="77777777" w:rsidR="00110CFB" w:rsidRPr="00110CFB" w:rsidRDefault="00110CFB" w:rsidP="00110CFB">
      <w:pPr>
        <w:spacing w:line="240" w:lineRule="auto"/>
        <w:rPr>
          <w:rFonts w:eastAsia="Times New Roman" w:cs="Arial"/>
          <w:color w:val="000000"/>
          <w:szCs w:val="20"/>
          <w:lang w:eastAsia="bg-BG"/>
        </w:rPr>
      </w:pPr>
    </w:p>
    <w:p w14:paraId="64C5706C" w14:textId="5F8A1616"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Поради липса на достатъчен терапевтичен опит, Роксипер не трябва да се прилага при: </w:t>
      </w:r>
    </w:p>
    <w:p w14:paraId="4627D705" w14:textId="6AA205CD" w:rsidR="00110CFB" w:rsidRPr="00110CFB" w:rsidRDefault="00110CFB" w:rsidP="006972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Пациенти на диализа</w:t>
      </w:r>
    </w:p>
    <w:p w14:paraId="3D6CF8BE" w14:textId="5FD4DC4F" w:rsidR="00110CFB" w:rsidRPr="00110CFB" w:rsidRDefault="00110CFB" w:rsidP="00697238">
      <w:pPr>
        <w:pStyle w:val="ListParagraph"/>
        <w:numPr>
          <w:ilvl w:val="0"/>
          <w:numId w:val="2"/>
        </w:numPr>
        <w:rPr>
          <w:rFonts w:cs="Arial"/>
          <w:sz w:val="28"/>
        </w:rPr>
      </w:pPr>
      <w:r w:rsidRPr="00110CFB">
        <w:rPr>
          <w:rFonts w:eastAsia="Times New Roman" w:cs="Arial"/>
          <w:color w:val="000000"/>
          <w:szCs w:val="20"/>
          <w:lang w:eastAsia="bg-BG"/>
        </w:rPr>
        <w:t>Пациенти с нелекувана декомпенсирана сърдечна недостатъчност.</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51DFC6DC"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Литий</w:t>
      </w:r>
    </w:p>
    <w:p w14:paraId="10DCBB58"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Обикновено не се препоръчва комбинирането на литий с комбинацията на периндоприл и индапамид (вж. точка 4.5).</w:t>
      </w:r>
    </w:p>
    <w:p w14:paraId="28E61F27" w14:textId="77777777" w:rsidR="00110CFB" w:rsidRPr="00110CFB" w:rsidRDefault="00110CFB" w:rsidP="00110CFB">
      <w:pPr>
        <w:spacing w:line="240" w:lineRule="auto"/>
        <w:rPr>
          <w:rFonts w:eastAsia="Times New Roman" w:cs="Arial"/>
          <w:color w:val="000000"/>
          <w:szCs w:val="20"/>
          <w:u w:val="single"/>
          <w:lang w:eastAsia="bg-BG"/>
        </w:rPr>
      </w:pPr>
    </w:p>
    <w:p w14:paraId="7F0BD523" w14:textId="05DA75C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Неутропения/агранулоцитоза/тромбоцитопения/анемия</w:t>
      </w:r>
    </w:p>
    <w:p w14:paraId="03FCAC6F" w14:textId="3F342F50"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lang w:eastAsia="bg-BG"/>
        </w:rPr>
        <w:t>Съобщава се за неутропения/агранулоцитоза, тромбоцитопения и анемия при пациенти, които приемат АСЕ-инхибитори. При пациенти с нормална бъбречна функция и без други усложняващи фактори рядко възниква неутропения. Периндоприл трябва да се прилага с изключителна предпазливост при пациенти с колагенозно-съдово заболяване, пациенти на имуносупресивна терапия, лечение с алопуринол или прокаинамид, или при комбинация от тези усложняващи фактори, особено ако е налице предшестващо нарушена бъбречна функция. Някои от тези пациенти развиват сериозни инфекции, които в отделни случаи не се повлияват от интензивна антибиотична терапия. Ако периндоприл се прилага при такива пациенти, се препоръчва периодично проследяване на броя на белите кръвни клетки, а пациентите трябва да се инструктират да съобщават за всякакви признаци на инфекция (напр. възпалено гърло, треска) (вж. точки 4.5 и 4.8).</w:t>
      </w:r>
    </w:p>
    <w:p w14:paraId="595A8376" w14:textId="77777777" w:rsidR="00110CFB" w:rsidRPr="00110CFB" w:rsidRDefault="00110CFB" w:rsidP="00110CFB">
      <w:pPr>
        <w:spacing w:line="240" w:lineRule="auto"/>
        <w:rPr>
          <w:rFonts w:eastAsia="Times New Roman" w:cs="Arial"/>
          <w:color w:val="000000"/>
          <w:szCs w:val="20"/>
          <w:u w:val="single"/>
          <w:lang w:eastAsia="bg-BG"/>
        </w:rPr>
      </w:pPr>
    </w:p>
    <w:p w14:paraId="0F6FD699" w14:textId="5007E149"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Реноваскуларна хипертония</w:t>
      </w:r>
    </w:p>
    <w:p w14:paraId="1B2050C7" w14:textId="625E10D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При пациенти с двустранна стеноза на бъбречната артерия или стеоза на артерията при един функциониращ бъбрек, лекуван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функцция може да настъпи при минимални изменения в серумния креатинин дори при пациенти с едностранна стеноза на бъбречната артерия. </w:t>
      </w:r>
    </w:p>
    <w:p w14:paraId="21CF0C79" w14:textId="77777777" w:rsidR="00110CFB" w:rsidRPr="00110CFB" w:rsidRDefault="00110CFB" w:rsidP="00110CFB">
      <w:pPr>
        <w:spacing w:line="240" w:lineRule="auto"/>
        <w:rPr>
          <w:rFonts w:eastAsia="Times New Roman" w:cs="Arial"/>
          <w:color w:val="000000"/>
          <w:szCs w:val="20"/>
          <w:lang w:eastAsia="bg-BG"/>
        </w:rPr>
      </w:pPr>
    </w:p>
    <w:p w14:paraId="1D1218D6" w14:textId="41C79C96"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u w:val="single"/>
          <w:lang w:eastAsia="bg-BG"/>
        </w:rPr>
        <w:t>Свръхчувствителност/ангиоедем</w:t>
      </w:r>
    </w:p>
    <w:p w14:paraId="083FB2F5" w14:textId="68343A4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ангиоедем на лицето, крайниците, устните, лигавиците, езика, глотис</w:t>
      </w:r>
      <w:r>
        <w:rPr>
          <w:rFonts w:eastAsia="Times New Roman" w:cs="Arial"/>
          <w:sz w:val="28"/>
          <w:szCs w:val="24"/>
          <w:lang w:eastAsia="bg-BG"/>
        </w:rPr>
        <w:t xml:space="preserve"> </w:t>
      </w:r>
      <w:r w:rsidRPr="00110CFB">
        <w:rPr>
          <w:rFonts w:eastAsia="Times New Roman" w:cs="Arial"/>
          <w:color w:val="000000"/>
          <w:szCs w:val="20"/>
          <w:lang w:eastAsia="bg-BG"/>
        </w:rPr>
        <w:t>и/или ларинкса при пациенти, лекувани с инхибитори на ангиотензин-конвертиращия ензим, включително периндоприл (вж. точка 4.8). Това може да се случи по всяко време в хода на лечението. В такива случаи приложението на периндоприл трябва незабавно да се преустанови и да се назначи подходящо проследяване, което да осигури пълно отзвучаване на симптомите преди изписването на пациента. В случаите, когато отокът се ограничава до лицето и устните, състоянието обикновено отзвучава без лечение, въпреки че приложението на антихистамини помага за облекчаване на симптомите.</w:t>
      </w:r>
    </w:p>
    <w:p w14:paraId="51C8C7F0" w14:textId="77777777" w:rsidR="00110CFB" w:rsidRPr="00110CFB" w:rsidRDefault="00110CFB" w:rsidP="00110CFB">
      <w:pPr>
        <w:spacing w:line="240" w:lineRule="auto"/>
        <w:rPr>
          <w:rFonts w:eastAsia="Times New Roman" w:cs="Arial"/>
          <w:color w:val="000000"/>
          <w:szCs w:val="20"/>
          <w:lang w:eastAsia="bg-BG"/>
        </w:rPr>
      </w:pPr>
    </w:p>
    <w:p w14:paraId="0EC10533" w14:textId="1A91431F"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Ангиоедемът, свързан с оток на ларинкса, може да бъде фатален. При обхващане на езика, глотиса или ларинкса, създаващо риск от обструкция на дихателните пътища, трябва незабавно да се приложи подходящо лечение, което може да включва подкожно приложение на разтвор на епинефрин 1:1 000 (0,3 </w:t>
      </w:r>
      <w:r w:rsidRPr="00110CFB">
        <w:rPr>
          <w:rFonts w:eastAsia="Times New Roman" w:cs="Arial"/>
          <w:color w:val="000000"/>
          <w:szCs w:val="20"/>
          <w:lang w:val="en-US"/>
        </w:rPr>
        <w:t xml:space="preserve">ml </w:t>
      </w:r>
      <w:r w:rsidRPr="00110CFB">
        <w:rPr>
          <w:rFonts w:eastAsia="Times New Roman" w:cs="Arial"/>
          <w:color w:val="000000"/>
          <w:szCs w:val="20"/>
          <w:lang w:eastAsia="bg-BG"/>
        </w:rPr>
        <w:t xml:space="preserve">до 0,5 </w:t>
      </w:r>
      <w:r w:rsidRPr="00110CFB">
        <w:rPr>
          <w:rFonts w:eastAsia="Times New Roman" w:cs="Arial"/>
          <w:color w:val="000000"/>
          <w:szCs w:val="20"/>
          <w:lang w:val="en-US"/>
        </w:rPr>
        <w:t xml:space="preserve">ml) </w:t>
      </w:r>
      <w:r w:rsidRPr="00110CFB">
        <w:rPr>
          <w:rFonts w:eastAsia="Times New Roman" w:cs="Arial"/>
          <w:color w:val="000000"/>
          <w:szCs w:val="20"/>
          <w:lang w:eastAsia="bg-BG"/>
        </w:rPr>
        <w:t>и/или мерки за осигуряване проходимостта на дихателните пътища на пациента.</w:t>
      </w:r>
    </w:p>
    <w:p w14:paraId="27FFABF4" w14:textId="77777777" w:rsidR="00110CFB" w:rsidRPr="00110CFB" w:rsidRDefault="00110CFB" w:rsidP="00110CFB">
      <w:pPr>
        <w:spacing w:line="240" w:lineRule="auto"/>
        <w:rPr>
          <w:rFonts w:eastAsia="Times New Roman" w:cs="Arial"/>
          <w:color w:val="000000"/>
          <w:szCs w:val="20"/>
          <w:lang w:eastAsia="bg-BG"/>
        </w:rPr>
      </w:pPr>
    </w:p>
    <w:p w14:paraId="1DF11EBE" w14:textId="1EAB2D9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Съобщава се, че при чернокожите пациенти, които приемат АСЕ-инхибитори, има по-висока честота на поява на ангиоедем, в сравнение с нечернокожите.</w:t>
      </w:r>
    </w:p>
    <w:p w14:paraId="0EF08F30" w14:textId="77777777" w:rsidR="00110CFB" w:rsidRPr="00110CFB" w:rsidRDefault="00110CFB" w:rsidP="00110CFB">
      <w:pPr>
        <w:spacing w:line="240" w:lineRule="auto"/>
        <w:rPr>
          <w:rFonts w:eastAsia="Times New Roman" w:cs="Arial"/>
          <w:color w:val="000000"/>
          <w:szCs w:val="20"/>
          <w:lang w:eastAsia="bg-BG"/>
        </w:rPr>
      </w:pPr>
    </w:p>
    <w:p w14:paraId="46350EC1" w14:textId="167483CA"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Пациентите с анамнеза за ангиоедем, който не е свързан с лечение с АСЕ-инхибитор, може да са изложени на повишен риск от развитие на ангиоедем, докато приемат АСЕ-инхибитор (вж. точка 4.3).</w:t>
      </w:r>
    </w:p>
    <w:p w14:paraId="6B953397" w14:textId="77777777" w:rsidR="00110CFB" w:rsidRPr="00110CFB" w:rsidRDefault="00110CFB" w:rsidP="00110CFB">
      <w:pPr>
        <w:spacing w:line="240" w:lineRule="auto"/>
        <w:rPr>
          <w:rFonts w:eastAsia="Times New Roman" w:cs="Arial"/>
          <w:color w:val="000000"/>
          <w:szCs w:val="20"/>
          <w:lang w:eastAsia="bg-BG"/>
        </w:rPr>
      </w:pPr>
    </w:p>
    <w:p w14:paraId="7C83D0A2" w14:textId="3DB1DDC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интестинален ангиоедем при пациенти, лекувани с АСЕ-инхибитори. Тези пациенти се оплакват от болка в корема (с или без гадене и повръщане); в някои случаи липсва предшестващ ангиоедем на лицето, а нивата на естераза С-1 са нормални. Ангиоедемът е диагностициран с помощта на процедури, включващи абдоминална компютърна томография или ултразвук, или по време на операция, а симптомите отзвучават след спиране на АСЕ- инхибитора. Интестиналният ангиоедем трябва да се включва в диференциалната диагноза на пациентите на АСЕ-инхибитори с болка в корема.</w:t>
      </w:r>
    </w:p>
    <w:p w14:paraId="6A73B30F" w14:textId="77777777" w:rsidR="00110CFB" w:rsidRPr="00110CFB" w:rsidRDefault="00110CFB" w:rsidP="00110CFB">
      <w:pPr>
        <w:spacing w:line="240" w:lineRule="auto"/>
        <w:rPr>
          <w:rFonts w:eastAsia="Times New Roman" w:cs="Arial"/>
          <w:color w:val="000000"/>
          <w:szCs w:val="20"/>
          <w:lang w:eastAsia="bg-BG"/>
        </w:rPr>
      </w:pPr>
    </w:p>
    <w:p w14:paraId="67E7E4D7" w14:textId="55E9191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220F0F60" w14:textId="77777777" w:rsidR="00110CFB" w:rsidRPr="00110CFB" w:rsidRDefault="00110CFB" w:rsidP="00110CFB">
      <w:pPr>
        <w:spacing w:line="240" w:lineRule="auto"/>
        <w:rPr>
          <w:rFonts w:eastAsia="Times New Roman" w:cs="Arial"/>
          <w:color w:val="000000"/>
          <w:szCs w:val="20"/>
          <w:lang w:eastAsia="bg-BG"/>
        </w:rPr>
      </w:pPr>
    </w:p>
    <w:p w14:paraId="4642EE09" w14:textId="5265AF9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Съпътстващата употреба на АСЕ инхибитори с </w:t>
      </w:r>
      <w:r w:rsidRPr="00110CFB">
        <w:rPr>
          <w:rFonts w:eastAsia="Times New Roman" w:cs="Arial"/>
          <w:color w:val="000000"/>
          <w:szCs w:val="20"/>
          <w:lang w:val="en-US"/>
        </w:rPr>
        <w:t>NEP</w:t>
      </w:r>
      <w:r w:rsidRPr="00110CFB">
        <w:rPr>
          <w:rFonts w:eastAsia="Times New Roman" w:cs="Arial"/>
          <w:color w:val="000000"/>
          <w:szCs w:val="20"/>
          <w:lang w:eastAsia="bg-BG"/>
        </w:rPr>
        <w:t xml:space="preserve">-инхибитори (напр.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3E0B7D3B" w14:textId="77777777" w:rsidR="00110CFB" w:rsidRPr="00110CFB" w:rsidRDefault="00110CFB" w:rsidP="00110CFB">
      <w:pPr>
        <w:spacing w:line="240" w:lineRule="auto"/>
        <w:rPr>
          <w:rFonts w:eastAsia="Times New Roman" w:cs="Arial"/>
          <w:color w:val="000000"/>
          <w:szCs w:val="20"/>
          <w:u w:val="single"/>
          <w:lang w:eastAsia="bg-BG"/>
        </w:rPr>
      </w:pPr>
    </w:p>
    <w:p w14:paraId="10B2B89F" w14:textId="73A9396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Анафилактоидни реакции по време на десенсибилизация</w:t>
      </w:r>
    </w:p>
    <w:p w14:paraId="33616E13"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Има единични съобщения за пациенти, приемащи АСЕ-инхибитори, при които са наблюдавани продължителни животозастрашаващи анафилактоидни реакции по време на лечение за десенсибилизация с отрова на ципокрили насекоми (пчели, оси). АСЕ-инхибиторите трябва да се прилагат с повишено внимание при алергични пациенти, лекувани с десенсибилизация, и да се избягват при тези, подложени на имунотерапията с отрова. Тези реакции обаче могат да се предотвратят чрез временно прекратяване на АСЕ-инхибитора поне 24 часа преди лечението при пациенти, нуждаещи се както от АСЕ-инхибитори, така и от десенсибилизация.</w:t>
      </w:r>
    </w:p>
    <w:p w14:paraId="1F9280D8" w14:textId="77777777" w:rsidR="00110CFB" w:rsidRPr="00110CFB" w:rsidRDefault="00110CFB" w:rsidP="00110CFB">
      <w:pPr>
        <w:rPr>
          <w:rFonts w:eastAsia="Times New Roman" w:cs="Arial"/>
          <w:color w:val="000000"/>
          <w:szCs w:val="20"/>
          <w:u w:val="single"/>
          <w:lang w:eastAsia="bg-BG"/>
        </w:rPr>
      </w:pPr>
    </w:p>
    <w:p w14:paraId="2DDDE5AD" w14:textId="77777777" w:rsidR="008F6299" w:rsidRDefault="00110CFB" w:rsidP="00110CFB">
      <w:pPr>
        <w:rPr>
          <w:rFonts w:eastAsia="Times New Roman" w:cs="Arial"/>
          <w:color w:val="000000"/>
          <w:szCs w:val="20"/>
          <w:lang w:eastAsia="bg-BG"/>
        </w:rPr>
      </w:pPr>
      <w:r w:rsidRPr="00110CFB">
        <w:rPr>
          <w:rFonts w:eastAsia="Times New Roman" w:cs="Arial"/>
          <w:color w:val="000000"/>
          <w:szCs w:val="20"/>
          <w:u w:val="single"/>
          <w:lang w:eastAsia="bg-BG"/>
        </w:rPr>
        <w:t>Анафилактоидни реакции по време на афереза на ли по протеините с ниска плътност (</w:t>
      </w:r>
      <w:r w:rsidRPr="00110CFB">
        <w:rPr>
          <w:rFonts w:eastAsia="Times New Roman" w:cs="Arial"/>
          <w:color w:val="000000"/>
          <w:szCs w:val="20"/>
          <w:u w:val="single"/>
          <w:lang w:val="en-US"/>
        </w:rPr>
        <w:t>LDL)</w:t>
      </w:r>
      <w:r w:rsidRPr="00110CFB">
        <w:rPr>
          <w:rFonts w:eastAsia="Times New Roman" w:cs="Arial"/>
          <w:color w:val="000000"/>
          <w:szCs w:val="20"/>
          <w:lang w:eastAsia="bg-BG"/>
        </w:rPr>
        <w:t xml:space="preserve"> </w:t>
      </w:r>
    </w:p>
    <w:p w14:paraId="0B3BEE35" w14:textId="073FCA4E" w:rsidR="0091385D" w:rsidRDefault="00110CFB" w:rsidP="00110CFB">
      <w:pPr>
        <w:rPr>
          <w:rFonts w:eastAsia="Times New Roman" w:cs="Arial"/>
          <w:color w:val="000000"/>
          <w:szCs w:val="20"/>
          <w:lang w:eastAsia="bg-BG"/>
        </w:rPr>
      </w:pPr>
      <w:r w:rsidRPr="00110CFB">
        <w:rPr>
          <w:rFonts w:eastAsia="Times New Roman" w:cs="Arial"/>
          <w:color w:val="000000"/>
          <w:szCs w:val="20"/>
          <w:lang w:eastAsia="bg-BG"/>
        </w:rPr>
        <w:lastRenderedPageBreak/>
        <w:t>В редки случаи при пациенти, приемащи АСЕ-инхибитори по време на афереза</w:t>
      </w:r>
      <w:r w:rsidRPr="00110CFB">
        <w:rPr>
          <w:rFonts w:eastAsia="Times New Roman" w:cs="Arial"/>
          <w:color w:val="000000"/>
          <w:szCs w:val="20"/>
          <w:lang w:val="en-US"/>
        </w:rPr>
        <w:t xml:space="preserve"> </w:t>
      </w:r>
      <w:r w:rsidRPr="00110CFB">
        <w:rPr>
          <w:rFonts w:eastAsia="Times New Roman" w:cs="Arial"/>
          <w:color w:val="000000"/>
          <w:szCs w:val="20"/>
          <w:lang w:eastAsia="bg-BG"/>
        </w:rPr>
        <w:t xml:space="preserve">на липопротеините с ниска плътност </w:t>
      </w:r>
      <w:r w:rsidRPr="00110CFB">
        <w:rPr>
          <w:rFonts w:eastAsia="Times New Roman" w:cs="Arial"/>
          <w:color w:val="000000"/>
          <w:szCs w:val="20"/>
          <w:lang w:val="en-US"/>
        </w:rPr>
        <w:t xml:space="preserve">(LDL) </w:t>
      </w:r>
      <w:r w:rsidRPr="00110CFB">
        <w:rPr>
          <w:rFonts w:eastAsia="Times New Roman" w:cs="Arial"/>
          <w:color w:val="000000"/>
          <w:szCs w:val="20"/>
          <w:lang w:eastAsia="bg-BG"/>
        </w:rPr>
        <w:t>с декстран сулфат, са наблюдавани животозастрашаващи анафилактоидни реакции. Тези реакции се избягват чрез временно прекратяване на лечението с АСЕ-инхибитор преди всяка афереза.</w:t>
      </w:r>
    </w:p>
    <w:p w14:paraId="3540D519" w14:textId="133BF3DB" w:rsidR="00997B28" w:rsidRDefault="00997B28" w:rsidP="00110CFB">
      <w:pPr>
        <w:rPr>
          <w:rFonts w:eastAsia="Times New Roman" w:cs="Arial"/>
          <w:color w:val="000000"/>
          <w:szCs w:val="20"/>
          <w:lang w:eastAsia="bg-BG"/>
        </w:rPr>
      </w:pPr>
    </w:p>
    <w:p w14:paraId="7434915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Пациенти на хемодиализа</w:t>
      </w:r>
    </w:p>
    <w:p w14:paraId="1FB85AF3"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на диализа с високопропускливи мембрани (напр. </w:t>
      </w:r>
      <w:r w:rsidRPr="00997B28">
        <w:rPr>
          <w:rFonts w:eastAsia="Times New Roman" w:cs="Arial"/>
          <w:color w:val="000000"/>
          <w:szCs w:val="20"/>
          <w:lang w:val="en-US"/>
        </w:rPr>
        <w:t xml:space="preserve">AN </w:t>
      </w:r>
      <w:r w:rsidRPr="00997B28">
        <w:rPr>
          <w:rFonts w:eastAsia="Times New Roman" w:cs="Arial"/>
          <w:color w:val="000000"/>
          <w:szCs w:val="20"/>
          <w:lang w:eastAsia="bg-BG"/>
        </w:rPr>
        <w:t>69®) и едновременно лекувани с АСЕ-инхибитор, се съобщава за анафилактоидни реакции. При тези пациенти трябва да се обмисли използването на различен тип диализна мембрана или на друг клас антихилертензивно средство.</w:t>
      </w:r>
    </w:p>
    <w:p w14:paraId="5038AC9C" w14:textId="77777777" w:rsidR="00997B28" w:rsidRPr="00997B28" w:rsidRDefault="00997B28" w:rsidP="00997B28">
      <w:pPr>
        <w:spacing w:line="240" w:lineRule="auto"/>
        <w:rPr>
          <w:rFonts w:eastAsia="Times New Roman" w:cs="Arial"/>
          <w:color w:val="000000"/>
          <w:szCs w:val="20"/>
          <w:u w:val="single"/>
          <w:lang w:eastAsia="bg-BG"/>
        </w:rPr>
      </w:pPr>
    </w:p>
    <w:p w14:paraId="7E85D37F" w14:textId="5325123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Първичен алдостеронизъм</w:t>
      </w:r>
    </w:p>
    <w:p w14:paraId="6F0FAA5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4ABF00F" w14:textId="77777777" w:rsidR="00997B28" w:rsidRPr="00997B28" w:rsidRDefault="00997B28" w:rsidP="00997B28">
      <w:pPr>
        <w:spacing w:line="240" w:lineRule="auto"/>
        <w:rPr>
          <w:rFonts w:eastAsia="Times New Roman" w:cs="Arial"/>
          <w:color w:val="000000"/>
          <w:szCs w:val="20"/>
          <w:u w:val="single"/>
          <w:lang w:eastAsia="bg-BG"/>
        </w:rPr>
      </w:pPr>
    </w:p>
    <w:p w14:paraId="4705D6F1" w14:textId="1E177338"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Хипокалиемия</w:t>
      </w:r>
    </w:p>
    <w:p w14:paraId="4613BC9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Изчерпването на калия с хипокалиемия е основен риск при приложението на тиазидни диуретици и свързаните с тиазид диуретици. Хипокалиемията може да причини мускулни нарушения. Съобщени са случаи на рабдомиолиза, главно в контекста на тежка хипокалиемия. Рискът от появата на понижени нива на калий (&lt;3,4 </w:t>
      </w:r>
      <w:r w:rsidRPr="00997B28">
        <w:rPr>
          <w:rFonts w:eastAsia="Times New Roman" w:cs="Arial"/>
          <w:color w:val="000000"/>
          <w:szCs w:val="20"/>
          <w:lang w:val="en-US"/>
        </w:rPr>
        <w:t xml:space="preserve">mmol/l) </w:t>
      </w:r>
      <w:r w:rsidRPr="00997B28">
        <w:rPr>
          <w:rFonts w:eastAsia="Times New Roman" w:cs="Arial"/>
          <w:color w:val="000000"/>
          <w:szCs w:val="20"/>
          <w:lang w:eastAsia="bg-BG"/>
        </w:rPr>
        <w:t>трябва да се предотвратява при някои високорискови популации, като пациенти в старческа възраст и/или недохранени лица, без значение дали приемат или не множество лекарства, пациенти с цироза с отоци и асцит, пациенти с коронарна болест и пациенти със сърдечна недостатъчност. В такива случаи хипокалиемията увеличава сърдечната токсичност на сърдечните гликозиди и риска от аритмии.</w:t>
      </w:r>
    </w:p>
    <w:p w14:paraId="7F0D3502" w14:textId="77777777" w:rsidR="00997B28" w:rsidRPr="00997B28" w:rsidRDefault="00997B28" w:rsidP="00997B28">
      <w:pPr>
        <w:spacing w:line="240" w:lineRule="auto"/>
        <w:rPr>
          <w:rFonts w:eastAsia="Times New Roman" w:cs="Arial"/>
          <w:color w:val="000000"/>
          <w:szCs w:val="20"/>
          <w:lang w:eastAsia="bg-BG"/>
        </w:rPr>
      </w:pPr>
    </w:p>
    <w:p w14:paraId="7E368295" w14:textId="2942B45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Комбинацията от периндоприл и индапамид не предотвратява появата на хипокалиемия, особено при пациенти с диабет или при пациенти с бъбречна недостатъчност. Както при всяко антихипертензивно средство в комбинация с диуретик, трябва да се извършва редовно мониториране на плазмените нива на калия.</w:t>
      </w:r>
    </w:p>
    <w:p w14:paraId="75650E47" w14:textId="77777777" w:rsidR="00997B28" w:rsidRPr="00997B28" w:rsidRDefault="00997B28" w:rsidP="00997B28">
      <w:pPr>
        <w:spacing w:line="240" w:lineRule="auto"/>
        <w:rPr>
          <w:rFonts w:eastAsia="Times New Roman" w:cs="Arial"/>
          <w:color w:val="000000"/>
          <w:szCs w:val="20"/>
          <w:lang w:eastAsia="bg-BG"/>
        </w:rPr>
      </w:pPr>
    </w:p>
    <w:p w14:paraId="0C3C81E6" w14:textId="38B791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Хипокалиемия, установена заедно с ниска серумна концентрация на магнезий, може да не се повлияе от лечението, освен ако серумният магнезий не бъде коригиран.</w:t>
      </w:r>
    </w:p>
    <w:p w14:paraId="0D76B557" w14:textId="77777777" w:rsidR="00997B28" w:rsidRPr="00997B28" w:rsidRDefault="00997B28" w:rsidP="00997B28">
      <w:pPr>
        <w:spacing w:line="240" w:lineRule="auto"/>
        <w:rPr>
          <w:rFonts w:eastAsia="Times New Roman" w:cs="Arial"/>
          <w:color w:val="000000"/>
          <w:szCs w:val="20"/>
          <w:u w:val="single"/>
          <w:lang w:eastAsia="bg-BG"/>
        </w:rPr>
      </w:pPr>
    </w:p>
    <w:p w14:paraId="6B01D029" w14:textId="77777777" w:rsidR="00997B28" w:rsidRDefault="00997B28" w:rsidP="00997B28">
      <w:pPr>
        <w:spacing w:line="240" w:lineRule="auto"/>
        <w:rPr>
          <w:rFonts w:eastAsia="Times New Roman" w:cs="Arial"/>
          <w:color w:val="000000"/>
          <w:szCs w:val="20"/>
          <w:u w:val="single"/>
          <w:lang w:eastAsia="bg-BG"/>
        </w:rPr>
      </w:pPr>
      <w:r w:rsidRPr="00997B28">
        <w:rPr>
          <w:rFonts w:eastAsia="Times New Roman" w:cs="Arial"/>
          <w:color w:val="000000"/>
          <w:szCs w:val="20"/>
          <w:u w:val="single"/>
          <w:lang w:eastAsia="bg-BG"/>
        </w:rPr>
        <w:t xml:space="preserve">Калий-съхраняващи лекарства, калиеви добавки или калий-съдържащи заместители на солта </w:t>
      </w:r>
    </w:p>
    <w:p w14:paraId="084FFA19" w14:textId="2C5C464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Обикновено не се препоръчва комбинирането на периндоприл и калий-съхраняващи лекарства, калиеви добавки или калий-съдържащи заместители на солта (вж. точка 4.5).</w:t>
      </w:r>
    </w:p>
    <w:p w14:paraId="12D16E65" w14:textId="77777777" w:rsidR="00997B28" w:rsidRPr="00997B28" w:rsidRDefault="00997B28" w:rsidP="00997B28">
      <w:pPr>
        <w:spacing w:line="240" w:lineRule="auto"/>
        <w:rPr>
          <w:rFonts w:eastAsia="Times New Roman" w:cs="Arial"/>
          <w:color w:val="000000"/>
          <w:szCs w:val="20"/>
          <w:u w:val="single"/>
          <w:lang w:eastAsia="bg-BG"/>
        </w:rPr>
      </w:pPr>
    </w:p>
    <w:p w14:paraId="7F3A44A1" w14:textId="26C5F19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Хиперкалиемия</w:t>
      </w:r>
    </w:p>
    <w:p w14:paraId="7E06CEE1" w14:textId="757CB73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Рисковите фактори за развитието на хиперкалиемия включват бъбречна недостатъчност, влошаване на бъбречната функция, възраст (&gt;70 години), захарен диабет, интеркурентни състояния, по-специално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солта; или пациенти, приемащи други лекарства, свързани с повишаване на серумния калий (напр. хепарин, триметоприм </w:t>
      </w:r>
      <w:r w:rsidRPr="00997B28">
        <w:rPr>
          <w:rFonts w:eastAsia="Times New Roman" w:cs="Arial"/>
          <w:color w:val="000000"/>
          <w:szCs w:val="20"/>
          <w:lang w:eastAsia="bg-BG"/>
        </w:rPr>
        <w:lastRenderedPageBreak/>
        <w:t xml:space="preserve">или ко-тримоксазол, известен също като триметоприм/сулфаметоксазол и особено антагонисти на алдостерона или ангиотензин- рецепторни блокери, ацетилсалицилова киселлина &gt; 3 </w:t>
      </w:r>
      <w:r w:rsidRPr="00997B28">
        <w:rPr>
          <w:rFonts w:eastAsia="Times New Roman" w:cs="Arial"/>
          <w:color w:val="000000"/>
          <w:szCs w:val="20"/>
          <w:lang w:val="en-US"/>
        </w:rPr>
        <w:t>g</w:t>
      </w:r>
      <w:r w:rsidRPr="00997B28">
        <w:rPr>
          <w:rFonts w:eastAsia="Times New Roman" w:cs="Arial"/>
          <w:color w:val="000000"/>
          <w:szCs w:val="20"/>
          <w:lang w:eastAsia="bg-BG"/>
        </w:rPr>
        <w:t>/ден, СОХ-2 инхибитори и неселективни НСПВС, имуносупресиращи лекарствени средства като циклоспорин или такролимус). Употребата на калиеви добавки, калий-съхраняващи диуретици или калий- съдържащи заместители на солта, особено при пациенти с нарушена бъбречна функция, може да доведе до значително повишаване на серумния калий. Хи перкал иемията може да предизвика сериозни, понякога фатални аритмии. Ако едновременното приложение на някое от горепосочените средства се прецени като подходящо, те трябва да се прилагат с повишено внимание и при често мониториране на серумния калий. Калий-съхраняващите диуретици ангиотензин-рецепторните блокери трябва да се прилагат внимателно при пациенти, приемащи</w:t>
      </w:r>
      <w:r>
        <w:rPr>
          <w:rFonts w:eastAsia="Times New Roman" w:cs="Arial"/>
          <w:sz w:val="28"/>
          <w:szCs w:val="24"/>
          <w:lang w:eastAsia="bg-BG"/>
        </w:rPr>
        <w:t xml:space="preserve"> </w:t>
      </w:r>
      <w:r w:rsidRPr="00997B28">
        <w:rPr>
          <w:rFonts w:eastAsia="Times New Roman" w:cs="Arial"/>
          <w:color w:val="000000"/>
          <w:szCs w:val="20"/>
          <w:lang w:eastAsia="bg-BG"/>
        </w:rPr>
        <w:t>АСЕ инхибитори, като серумният калий и бъбречната функция трябва да се проследяват (вж.точка 4.5).</w:t>
      </w:r>
    </w:p>
    <w:p w14:paraId="24E3E82F" w14:textId="4C8E588E" w:rsidR="0091385D" w:rsidRDefault="0091385D" w:rsidP="0091385D"/>
    <w:p w14:paraId="0B819CBA"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Плазмен магнезий</w:t>
      </w:r>
    </w:p>
    <w:p w14:paraId="06664B7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(вж.точки 4.5 и 4.8).</w:t>
      </w:r>
    </w:p>
    <w:p w14:paraId="540E00A1" w14:textId="77777777" w:rsidR="00997B28" w:rsidRPr="00997B28" w:rsidRDefault="00997B28" w:rsidP="00997B28">
      <w:pPr>
        <w:spacing w:line="240" w:lineRule="auto"/>
        <w:rPr>
          <w:rFonts w:eastAsia="Times New Roman" w:cs="Arial"/>
          <w:color w:val="000000"/>
          <w:szCs w:val="20"/>
          <w:u w:val="single"/>
          <w:lang w:eastAsia="bg-BG"/>
        </w:rPr>
      </w:pPr>
    </w:p>
    <w:p w14:paraId="1D6AAB91" w14:textId="62C25399"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Бременност</w:t>
      </w:r>
    </w:p>
    <w:p w14:paraId="20449326" w14:textId="0DF7494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с АСЕ-инхибитори не трябва да се започва по време на бременност. Ако продължаването на лечението с АСЕ-инхибитор не се прецени като съществено, пациентките, които планират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АСЕ-инхибитори трябва незабавно да се прекрати и ако е подходящо, трябва да започне алтернативно лечение (вж. точки 4.3 и 4.6).</w:t>
      </w:r>
    </w:p>
    <w:p w14:paraId="664A3A1F" w14:textId="77777777" w:rsidR="00997B28" w:rsidRPr="00997B28" w:rsidRDefault="00997B28" w:rsidP="00997B28">
      <w:pPr>
        <w:spacing w:line="240" w:lineRule="auto"/>
        <w:rPr>
          <w:rFonts w:eastAsia="Times New Roman" w:cs="Arial"/>
          <w:color w:val="000000"/>
          <w:szCs w:val="20"/>
          <w:u w:val="single"/>
          <w:lang w:eastAsia="bg-BG"/>
        </w:rPr>
      </w:pPr>
    </w:p>
    <w:p w14:paraId="01CDD87F" w14:textId="0C74576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Фоточувствителност</w:t>
      </w:r>
    </w:p>
    <w:p w14:paraId="50F742B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Има съобщения за случаи на реакции на фоточувствителност при тиазиди и свързаните с тиазид диуретици (вж. точка 4.8). Ако по време на лечението се появи реакция на фоточувствителност, се препоръчва прекратяване на лечението. Ако повторното приемане на диуретика се счете за необходимо, се препоръчва да се защитят участъците, изложени на слънчева или изкуствена ултравиолетова </w:t>
      </w:r>
      <w:r w:rsidRPr="00997B28">
        <w:rPr>
          <w:rFonts w:eastAsia="Times New Roman" w:cs="Arial"/>
          <w:color w:val="000000"/>
          <w:szCs w:val="20"/>
          <w:lang w:val="en-US"/>
        </w:rPr>
        <w:t xml:space="preserve">(UVA) </w:t>
      </w:r>
      <w:r w:rsidRPr="00997B28">
        <w:rPr>
          <w:rFonts w:eastAsia="Times New Roman" w:cs="Arial"/>
          <w:color w:val="000000"/>
          <w:szCs w:val="20"/>
          <w:lang w:eastAsia="bg-BG"/>
        </w:rPr>
        <w:t>светлина.</w:t>
      </w:r>
    </w:p>
    <w:p w14:paraId="4D9C9E5E" w14:textId="77777777" w:rsidR="00997B28" w:rsidRPr="00997B28" w:rsidRDefault="00997B28" w:rsidP="00997B28">
      <w:pPr>
        <w:spacing w:line="240" w:lineRule="auto"/>
        <w:rPr>
          <w:rFonts w:eastAsia="Times New Roman" w:cs="Arial"/>
          <w:color w:val="000000"/>
          <w:szCs w:val="20"/>
          <w:u w:val="single"/>
          <w:lang w:eastAsia="bg-BG"/>
        </w:rPr>
      </w:pPr>
    </w:p>
    <w:p w14:paraId="38C88596" w14:textId="14DF17B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Бъбречно увреждане</w:t>
      </w:r>
    </w:p>
    <w:p w14:paraId="7FB9A10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Лечението е противопоказано при случаи на тежко бъбречно увреждане (креатининов клирънс &lt; 30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 xml:space="preserve">Роксипер не е подходящ за пациенти с креатининов клирънс &lt; 60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4.2).</w:t>
      </w:r>
    </w:p>
    <w:p w14:paraId="4934FF1A" w14:textId="77777777" w:rsidR="00997B28" w:rsidRPr="00997B28" w:rsidRDefault="00997B28" w:rsidP="00997B28">
      <w:pPr>
        <w:spacing w:line="240" w:lineRule="auto"/>
        <w:rPr>
          <w:rFonts w:eastAsia="Times New Roman" w:cs="Arial"/>
          <w:color w:val="000000"/>
          <w:szCs w:val="20"/>
          <w:lang w:eastAsia="bg-BG"/>
        </w:rPr>
      </w:pPr>
    </w:p>
    <w:p w14:paraId="0F64A6ED" w14:textId="383AF77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някои пациенти с хипертония, без предшестващи явни бъбречни лезии, и при които бъбречните кръвни изследвания показват функционална бъбречна недостатъчност, лечението трябва да се спре и евентуално да се започне отново с ниска доза или само с една съставка.</w:t>
      </w:r>
    </w:p>
    <w:p w14:paraId="48CDD789" w14:textId="77777777" w:rsidR="00997B28" w:rsidRPr="00997B28" w:rsidRDefault="00997B28" w:rsidP="00997B28">
      <w:pPr>
        <w:spacing w:line="240" w:lineRule="auto"/>
        <w:rPr>
          <w:rFonts w:eastAsia="Times New Roman" w:cs="Arial"/>
          <w:color w:val="000000"/>
          <w:szCs w:val="20"/>
          <w:lang w:eastAsia="bg-BG"/>
        </w:rPr>
      </w:pPr>
    </w:p>
    <w:p w14:paraId="75B57653" w14:textId="77777777" w:rsidR="00997B28" w:rsidRPr="00997B28" w:rsidRDefault="00997B28" w:rsidP="00997B28">
      <w:pPr>
        <w:spacing w:line="240" w:lineRule="auto"/>
        <w:rPr>
          <w:rFonts w:eastAsia="Times New Roman" w:cs="Arial"/>
          <w:color w:val="000000"/>
          <w:szCs w:val="20"/>
          <w:lang w:eastAsia="bg-BG"/>
        </w:rPr>
      </w:pPr>
      <w:r w:rsidRPr="00997B28">
        <w:rPr>
          <w:rFonts w:eastAsia="Times New Roman" w:cs="Arial"/>
          <w:color w:val="000000"/>
          <w:szCs w:val="20"/>
          <w:lang w:eastAsia="bg-BG"/>
        </w:rPr>
        <w:t xml:space="preserve">При тези пациенти обичайното медицинско проследяване ще включва често мониториране на калия и креатинина след втората седмица на лечението и след това на всеки два месеца през периода на терапевтична стабилност. Бъбречна недостатъчност се съобщава главно при пациенти с тежка сърдечна </w:t>
      </w:r>
    </w:p>
    <w:p w14:paraId="236489EC" w14:textId="1BD281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lastRenderedPageBreak/>
        <w:t>недостатъчност или подлежаща бъбречна недостатъчност, включително стеноза на бъбречната артерия.</w:t>
      </w:r>
    </w:p>
    <w:p w14:paraId="23B2F74C" w14:textId="77777777" w:rsidR="00997B28" w:rsidRPr="00997B28" w:rsidRDefault="00997B28" w:rsidP="00997B28">
      <w:pPr>
        <w:spacing w:line="240" w:lineRule="auto"/>
        <w:rPr>
          <w:rFonts w:eastAsia="Times New Roman" w:cs="Arial"/>
          <w:color w:val="000000"/>
          <w:szCs w:val="20"/>
          <w:lang w:eastAsia="bg-BG"/>
        </w:rPr>
      </w:pPr>
    </w:p>
    <w:p w14:paraId="630BE292" w14:textId="4D89349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Лекарственият продукт обикновено не се препоръчва в случай на двустранна стеноза на бъбречната артерия или при единствен функциониращ бъбрек.</w:t>
      </w:r>
    </w:p>
    <w:p w14:paraId="77CE7F83" w14:textId="77777777" w:rsidR="00997B28" w:rsidRPr="00997B28" w:rsidRDefault="00997B28" w:rsidP="00997B28">
      <w:pPr>
        <w:spacing w:line="240" w:lineRule="auto"/>
        <w:rPr>
          <w:rFonts w:eastAsia="Times New Roman" w:cs="Arial"/>
          <w:color w:val="000000"/>
          <w:szCs w:val="20"/>
          <w:lang w:eastAsia="bg-BG"/>
        </w:rPr>
      </w:pPr>
    </w:p>
    <w:p w14:paraId="59FFF1F3" w14:textId="23C5D6C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лекувани с по-високи дози розувастатин, по-конкретно 40 </w:t>
      </w:r>
      <w:r w:rsidRPr="00997B28">
        <w:rPr>
          <w:rFonts w:eastAsia="Times New Roman" w:cs="Arial"/>
          <w:color w:val="000000"/>
          <w:szCs w:val="20"/>
          <w:lang w:val="en-US"/>
        </w:rPr>
        <w:t xml:space="preserve">mg, </w:t>
      </w:r>
      <w:r w:rsidRPr="00997B28">
        <w:rPr>
          <w:rFonts w:eastAsia="Times New Roman" w:cs="Arial"/>
          <w:color w:val="000000"/>
          <w:szCs w:val="20"/>
          <w:lang w:eastAsia="bg-BG"/>
        </w:rPr>
        <w:t>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w:t>
      </w:r>
    </w:p>
    <w:p w14:paraId="151542CF" w14:textId="77777777" w:rsidR="00997B28" w:rsidRPr="00997B28" w:rsidRDefault="00997B28" w:rsidP="00997B28">
      <w:pPr>
        <w:spacing w:line="240" w:lineRule="auto"/>
        <w:rPr>
          <w:rFonts w:eastAsia="Times New Roman" w:cs="Arial"/>
          <w:color w:val="000000"/>
          <w:szCs w:val="20"/>
          <w:u w:val="single"/>
          <w:lang w:eastAsia="bg-BG"/>
        </w:rPr>
      </w:pPr>
    </w:p>
    <w:p w14:paraId="4AF1DB3B" w14:textId="47FECD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Бъбречна функция и диуретици</w:t>
      </w:r>
    </w:p>
    <w:p w14:paraId="3B744C1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Тиазидните диуретици и свързаните с тиазид диуретици са напълно ефективни само при нормална или леко нарушена бъбречна функция (нива на креатинина по-ниски от около 25 </w:t>
      </w:r>
      <w:r w:rsidRPr="00997B28">
        <w:rPr>
          <w:rFonts w:eastAsia="Times New Roman" w:cs="Arial"/>
          <w:color w:val="000000"/>
          <w:szCs w:val="20"/>
          <w:lang w:val="en-US"/>
        </w:rPr>
        <w:t xml:space="preserve">mg/l, </w:t>
      </w:r>
      <w:r w:rsidRPr="00997B28">
        <w:rPr>
          <w:rFonts w:eastAsia="Times New Roman" w:cs="Arial"/>
          <w:color w:val="000000"/>
          <w:szCs w:val="20"/>
          <w:lang w:eastAsia="bg-BG"/>
        </w:rPr>
        <w:t xml:space="preserve">т.е. 220 </w:t>
      </w:r>
      <w:r w:rsidRPr="00997B28">
        <w:rPr>
          <w:rFonts w:eastAsia="Times New Roman" w:cs="Arial"/>
          <w:color w:val="000000"/>
          <w:szCs w:val="20"/>
          <w:lang w:val="en-US"/>
        </w:rPr>
        <w:t xml:space="preserve">micromol/l </w:t>
      </w:r>
      <w:r w:rsidRPr="00997B28">
        <w:rPr>
          <w:rFonts w:eastAsia="Times New Roman" w:cs="Arial"/>
          <w:color w:val="000000"/>
          <w:szCs w:val="20"/>
          <w:lang w:eastAsia="bg-BG"/>
        </w:rPr>
        <w:t>за възрастни).</w:t>
      </w:r>
    </w:p>
    <w:p w14:paraId="73E6127A" w14:textId="77777777" w:rsidR="00997B28" w:rsidRPr="00997B28" w:rsidRDefault="00997B28" w:rsidP="00997B28">
      <w:pPr>
        <w:spacing w:line="240" w:lineRule="auto"/>
        <w:rPr>
          <w:rFonts w:eastAsia="Times New Roman" w:cs="Arial"/>
          <w:color w:val="000000"/>
          <w:szCs w:val="20"/>
          <w:lang w:eastAsia="bg-BG"/>
        </w:rPr>
      </w:pPr>
    </w:p>
    <w:p w14:paraId="7798BAAA" w14:textId="6BB0AC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пациенти в старческа възраст плазмените нива на креатинина трябва да се коригират</w:t>
      </w:r>
      <w:r w:rsidRPr="00997B28">
        <w:rPr>
          <w:rFonts w:eastAsia="Times New Roman" w:cs="Arial"/>
          <w:color w:val="000000"/>
          <w:szCs w:val="20"/>
          <w:u w:val="single"/>
          <w:lang w:eastAsia="bg-BG"/>
        </w:rPr>
        <w:t xml:space="preserve"> </w:t>
      </w:r>
      <w:r w:rsidRPr="00997B28">
        <w:rPr>
          <w:rFonts w:eastAsia="Times New Roman" w:cs="Arial"/>
          <w:color w:val="000000"/>
          <w:szCs w:val="20"/>
          <w:lang w:eastAsia="bg-BG"/>
        </w:rPr>
        <w:t xml:space="preserve">според възрастта, теглото и пола на пациента по формулата на </w:t>
      </w:r>
      <w:r w:rsidRPr="00997B28">
        <w:rPr>
          <w:rFonts w:eastAsia="Times New Roman" w:cs="Arial"/>
          <w:color w:val="000000"/>
          <w:szCs w:val="20"/>
          <w:lang w:val="en-US"/>
        </w:rPr>
        <w:t>Cockroft:</w:t>
      </w:r>
    </w:p>
    <w:p w14:paraId="5EDDA14F" w14:textId="77777777" w:rsidR="00997B28" w:rsidRPr="00997B28" w:rsidRDefault="00997B28" w:rsidP="00997B28">
      <w:pPr>
        <w:spacing w:line="240" w:lineRule="auto"/>
        <w:rPr>
          <w:rFonts w:eastAsia="Times New Roman" w:cs="Arial"/>
          <w:color w:val="000000"/>
          <w:szCs w:val="20"/>
          <w:lang w:val="en-US"/>
        </w:rPr>
      </w:pPr>
    </w:p>
    <w:p w14:paraId="393E0C8F" w14:textId="5C5FB63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val="en-US"/>
        </w:rPr>
        <w:t xml:space="preserve">Clcr </w:t>
      </w:r>
      <w:r w:rsidRPr="00997B28">
        <w:rPr>
          <w:rFonts w:eastAsia="Times New Roman" w:cs="Arial"/>
          <w:color w:val="000000"/>
          <w:szCs w:val="20"/>
          <w:lang w:eastAsia="bg-BG"/>
        </w:rPr>
        <w:t>= (140 - възраст) х телеснотегло/0,814 х плазмено ниво на креатинина</w:t>
      </w:r>
    </w:p>
    <w:p w14:paraId="1C74AD15" w14:textId="77777777" w:rsidR="00997B28" w:rsidRPr="00997B28" w:rsidRDefault="00997B28" w:rsidP="00997B28">
      <w:pPr>
        <w:spacing w:line="240" w:lineRule="auto"/>
        <w:rPr>
          <w:rFonts w:eastAsia="Times New Roman" w:cs="Arial"/>
          <w:sz w:val="28"/>
          <w:szCs w:val="24"/>
          <w:lang w:eastAsia="bg-BG"/>
        </w:rPr>
      </w:pPr>
    </w:p>
    <w:p w14:paraId="4320BE0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където: възрастта е изразена в години,</w:t>
      </w:r>
    </w:p>
    <w:p w14:paraId="0BE81ED3" w14:textId="5A2692EB" w:rsidR="00997B28" w:rsidRPr="00997B28" w:rsidRDefault="00997B28" w:rsidP="00997B28">
      <w:pPr>
        <w:rPr>
          <w:rFonts w:cs="Arial"/>
          <w:sz w:val="24"/>
        </w:rPr>
      </w:pPr>
      <w:r w:rsidRPr="00997B28">
        <w:rPr>
          <w:rFonts w:eastAsia="Times New Roman" w:cs="Arial"/>
          <w:color w:val="000000"/>
          <w:szCs w:val="20"/>
          <w:lang w:eastAsia="bg-BG"/>
        </w:rPr>
        <w:t xml:space="preserve">телесното тегло в </w:t>
      </w:r>
      <w:r w:rsidRPr="00997B28">
        <w:rPr>
          <w:rFonts w:eastAsia="Times New Roman" w:cs="Arial"/>
          <w:color w:val="000000"/>
          <w:szCs w:val="20"/>
          <w:lang w:val="en-US"/>
        </w:rPr>
        <w:t>kg,</w:t>
      </w:r>
    </w:p>
    <w:p w14:paraId="167A5F2C"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плазменото ниво на креатинина в </w:t>
      </w:r>
      <w:r w:rsidRPr="00997B28">
        <w:rPr>
          <w:rFonts w:eastAsia="Times New Roman" w:cs="Arial"/>
          <w:color w:val="000000"/>
          <w:szCs w:val="20"/>
          <w:lang w:val="en-US"/>
        </w:rPr>
        <w:t>micromol/l.</w:t>
      </w:r>
    </w:p>
    <w:p w14:paraId="23334AD2" w14:textId="77777777" w:rsidR="00997B28" w:rsidRPr="00997B28" w:rsidRDefault="00997B28" w:rsidP="00997B28">
      <w:pPr>
        <w:spacing w:line="240" w:lineRule="auto"/>
        <w:rPr>
          <w:rFonts w:eastAsia="Times New Roman" w:cs="Arial"/>
          <w:color w:val="000000"/>
          <w:szCs w:val="20"/>
          <w:lang w:eastAsia="bg-BG"/>
        </w:rPr>
      </w:pPr>
    </w:p>
    <w:p w14:paraId="6FA1E982" w14:textId="59EE39F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Тази формула е подходяща за мъже в старческа възраст и трябва да бъде адаптирана за жени чрез умножаване на получения резултат х 0,85.</w:t>
      </w:r>
    </w:p>
    <w:p w14:paraId="42088CA6" w14:textId="77777777" w:rsidR="00997B28" w:rsidRPr="00997B28" w:rsidRDefault="00997B28" w:rsidP="00997B28">
      <w:pPr>
        <w:spacing w:line="240" w:lineRule="auto"/>
        <w:rPr>
          <w:rFonts w:eastAsia="Times New Roman" w:cs="Arial"/>
          <w:color w:val="000000"/>
          <w:szCs w:val="20"/>
          <w:lang w:eastAsia="bg-BG"/>
        </w:rPr>
      </w:pPr>
    </w:p>
    <w:p w14:paraId="318807DB" w14:textId="01CA1EB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Хиповолемията, появила се в резултат от загубата на вода и натрий, причинена от диуретика в началото на лечението с индапамид, предизвиква понижаване на гломерулната филтрация. Това може да доведе до повишаване на нивата на урея и креатинин в кръвта. Тази преходна функционална бъбречна недостатъчност не води до нежелани последствия при пациенти с нормална бъбречна функция, но може да влоши предшестващо бъбречно увреждане.</w:t>
      </w:r>
    </w:p>
    <w:p w14:paraId="5F1DE96A" w14:textId="77777777" w:rsidR="00997B28" w:rsidRPr="00997B28" w:rsidRDefault="00997B28" w:rsidP="00997B28">
      <w:pPr>
        <w:spacing w:line="240" w:lineRule="auto"/>
        <w:rPr>
          <w:rFonts w:eastAsia="Times New Roman" w:cs="Arial"/>
          <w:color w:val="000000"/>
          <w:szCs w:val="20"/>
          <w:u w:val="single"/>
          <w:lang w:eastAsia="bg-BG"/>
        </w:rPr>
      </w:pPr>
    </w:p>
    <w:p w14:paraId="4AA21820" w14:textId="5EEDAD4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Хипотония и загуба на вода и електролити</w:t>
      </w:r>
    </w:p>
    <w:p w14:paraId="47846CF9"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наличие на предшестващо изчерпване на натрия, съществува риск от внезапна хипотония (особено при индивиди със стеноза на бъбречната артерия). Поради това е необходимо системно изследване за клинични признаци на изчерпване на вода и електролити, които могат да се появят при интеркурентен епизод на диария или повръщане. При такива пациенти трябва да се извършва редовно мониториране на плазмените електролити.</w:t>
      </w:r>
    </w:p>
    <w:p w14:paraId="40F054B0" w14:textId="77777777" w:rsidR="00997B28" w:rsidRPr="00997B28" w:rsidRDefault="00997B28" w:rsidP="00997B28">
      <w:pPr>
        <w:spacing w:line="240" w:lineRule="auto"/>
        <w:rPr>
          <w:rFonts w:eastAsia="Times New Roman" w:cs="Arial"/>
          <w:color w:val="000000"/>
          <w:szCs w:val="20"/>
          <w:lang w:eastAsia="bg-BG"/>
        </w:rPr>
      </w:pPr>
    </w:p>
    <w:p w14:paraId="3E557522" w14:textId="384B6F0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Значителната хипотония може да наложи включване на венозна инфузия на изотоничен разтвор на натриев хлорид. Преходната хипотония не е противопоказание за продължаване на лечението. След възстановяването на достатъчен кръвен обем и кръвно налягане, лечението може да се започне отново с по-ниска доза или само с една от съставките.</w:t>
      </w:r>
    </w:p>
    <w:p w14:paraId="56857BE1" w14:textId="77777777" w:rsidR="00997B28" w:rsidRPr="00997B28" w:rsidRDefault="00997B28" w:rsidP="00997B28">
      <w:pPr>
        <w:spacing w:line="240" w:lineRule="auto"/>
        <w:rPr>
          <w:rFonts w:eastAsia="Times New Roman" w:cs="Arial"/>
          <w:color w:val="000000"/>
          <w:szCs w:val="20"/>
          <w:u w:val="single"/>
          <w:lang w:eastAsia="bg-BG"/>
        </w:rPr>
      </w:pPr>
    </w:p>
    <w:p w14:paraId="6F7B69AC" w14:textId="1990792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lastRenderedPageBreak/>
        <w:t>Риск от артериална хипотония и/или бъбречна недостатъчност (в случаи на сърдечна недостатъчност, изчерпване на вода и електролити и т.н.)</w:t>
      </w:r>
    </w:p>
    <w:p w14:paraId="6C91E0E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Наблюдавана е значителна стимулация на ренин-ангиотензин-алдостероновата система, особено при значителни изчерпвания на вода и електролити (стриктна диета с ограничено съдържание на натрий или продължително диуретично лечение), при пациенти с първоначално ниско кръвно налягане, при случаи на стеноза на бъбречната артерия, застойна сърдечна недостатъчност или цироза с оток и асцит.</w:t>
      </w:r>
    </w:p>
    <w:p w14:paraId="062E464B" w14:textId="77777777" w:rsidR="00997B28" w:rsidRPr="00997B28" w:rsidRDefault="00997B28" w:rsidP="00997B28">
      <w:pPr>
        <w:spacing w:line="240" w:lineRule="auto"/>
        <w:rPr>
          <w:rFonts w:eastAsia="Times New Roman" w:cs="Arial"/>
          <w:color w:val="000000"/>
          <w:szCs w:val="20"/>
          <w:lang w:eastAsia="bg-BG"/>
        </w:rPr>
      </w:pPr>
    </w:p>
    <w:p w14:paraId="336DA34F" w14:textId="6641D250"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Блокирането на тази система с инхибитор на ангиотензин-конвертиращия ензим, следователно, може да причини, особено по време на първото приложение и през първите две седмици от лечението, внезапно спадане на кръвното налягане и/или повишаване на плазмените нива на креатинина, показващо функционална бъбречна недостатъчност. Понякога, макар и рядко, проявите може да са остри в началото и с променливо време до началото.</w:t>
      </w:r>
    </w:p>
    <w:p w14:paraId="101ED9C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В такива случаи лечението с периндоприл трябва да започне с по-ниска доза и да се увеличава постепенно.</w:t>
      </w:r>
    </w:p>
    <w:p w14:paraId="570BA769" w14:textId="77777777" w:rsidR="00997B28" w:rsidRPr="00997B28" w:rsidRDefault="00997B28" w:rsidP="00997B28">
      <w:pPr>
        <w:spacing w:line="240" w:lineRule="auto"/>
        <w:rPr>
          <w:rFonts w:eastAsia="Times New Roman" w:cs="Arial"/>
          <w:color w:val="000000"/>
          <w:szCs w:val="20"/>
          <w:u w:val="single"/>
          <w:lang w:eastAsia="bg-BG"/>
        </w:rPr>
      </w:pPr>
    </w:p>
    <w:p w14:paraId="0A94829B" w14:textId="21A877E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Реноваскуларна хипертония</w:t>
      </w:r>
    </w:p>
    <w:p w14:paraId="7E631E57"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на реноваскуларната хипертония е реваскуларизация. Въпреки това, инхибиторите на ангиотензин-конвертиращия ензим могат да бъдат полезни при пациенти с реноваскуларна хипертония, които очакват коригираща операция или когато такава операция не е възможна. Лечението с периндоприл/индапамид при пациенти с известна или предполагаема стеноза на бъбречната артерия трябва да започне в болнично заведение.</w:t>
      </w:r>
    </w:p>
    <w:p w14:paraId="4220474F" w14:textId="77777777" w:rsidR="00997B28" w:rsidRPr="00997B28" w:rsidRDefault="00997B28" w:rsidP="00997B28">
      <w:pPr>
        <w:spacing w:line="240" w:lineRule="auto"/>
        <w:rPr>
          <w:rFonts w:eastAsia="Times New Roman" w:cs="Arial"/>
          <w:color w:val="000000"/>
          <w:szCs w:val="20"/>
          <w:u w:val="single"/>
          <w:lang w:eastAsia="bg-BG"/>
        </w:rPr>
      </w:pPr>
    </w:p>
    <w:p w14:paraId="3B8FEBFD" w14:textId="75225B95"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Стеноза на аортната или митралната клапа/хипертрофична кардиомиопатия</w:t>
      </w:r>
    </w:p>
    <w:p w14:paraId="1B5D1078"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АСЕ-инхибиторите трябва да се прилагат с повишено внимание при пациенти с обструкция в изходния тракт на лявата камера.</w:t>
      </w:r>
    </w:p>
    <w:p w14:paraId="55277860" w14:textId="77777777" w:rsidR="00997B28" w:rsidRPr="00997B28" w:rsidRDefault="00997B28" w:rsidP="00997B28">
      <w:pPr>
        <w:spacing w:line="240" w:lineRule="auto"/>
        <w:rPr>
          <w:rFonts w:eastAsia="Times New Roman" w:cs="Arial"/>
          <w:color w:val="000000"/>
          <w:szCs w:val="20"/>
          <w:u w:val="single"/>
          <w:lang w:eastAsia="bg-BG"/>
        </w:rPr>
      </w:pPr>
    </w:p>
    <w:p w14:paraId="5C4D90FA" w14:textId="6B5C75FE"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Кашлица</w:t>
      </w:r>
    </w:p>
    <w:p w14:paraId="26F6C496" w14:textId="26BFA84E" w:rsidR="00997B28" w:rsidRPr="00997B28" w:rsidRDefault="00997B28" w:rsidP="00997B28">
      <w:pPr>
        <w:rPr>
          <w:rFonts w:cs="Arial"/>
          <w:sz w:val="24"/>
        </w:rPr>
      </w:pPr>
      <w:r w:rsidRPr="00997B28">
        <w:rPr>
          <w:rFonts w:eastAsia="Times New Roman" w:cs="Arial"/>
          <w:color w:val="000000"/>
          <w:szCs w:val="20"/>
          <w:lang w:eastAsia="bg-BG"/>
        </w:rPr>
        <w:t>При употреба на инхибитори на ангиотензин-конвертиращия ензим се съобщава за суха кашлица. Тя се характеризира с упоритостта си и изчезването си при прекратяване на лечението. При наличие на този симптом, трябва да се има предвид ятрогенна етиология все още се предпочита предписването на инхибитор на ангиотензин-конвертиращия ензим може да се обмисли продължаване на лечението.</w:t>
      </w:r>
    </w:p>
    <w:p w14:paraId="7D652FA9" w14:textId="222D976D" w:rsidR="00997B28" w:rsidRDefault="00997B28" w:rsidP="0091385D"/>
    <w:p w14:paraId="3EAFEAF6"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Интерстициална белодробна болест</w:t>
      </w:r>
    </w:p>
    <w:p w14:paraId="7DD5A32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 интерстициална белодробна болест, лечението със статии трябва да се преустанови.</w:t>
      </w:r>
    </w:p>
    <w:p w14:paraId="317A7B3D" w14:textId="77777777" w:rsidR="005A006E" w:rsidRPr="005A006E" w:rsidRDefault="005A006E" w:rsidP="005A006E">
      <w:pPr>
        <w:spacing w:line="240" w:lineRule="auto"/>
        <w:rPr>
          <w:rFonts w:eastAsia="Times New Roman" w:cs="Arial"/>
          <w:color w:val="000000"/>
          <w:szCs w:val="20"/>
          <w:u w:val="single"/>
          <w:lang w:eastAsia="bg-BG"/>
        </w:rPr>
      </w:pPr>
    </w:p>
    <w:p w14:paraId="07E1DDF4" w14:textId="067429F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Чернодробно увреждане</w:t>
      </w:r>
    </w:p>
    <w:p w14:paraId="7F0C7C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В редки случаи АСЕ-инхибиторите се свързват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Пациентите, приемащи АСЕ-инхибитори, които развиват жълтеница или значително повишение на чернодробните </w:t>
      </w:r>
      <w:r w:rsidRPr="005A006E">
        <w:rPr>
          <w:rFonts w:eastAsia="Times New Roman" w:cs="Arial"/>
          <w:color w:val="000000"/>
          <w:szCs w:val="20"/>
          <w:lang w:eastAsia="bg-BG"/>
        </w:rPr>
        <w:lastRenderedPageBreak/>
        <w:t>ензими, трябва да преустановят приема на АСЕ-инхибитора и да се подложат на подходящо медицинско проследяване (вж. точка 4.8).</w:t>
      </w:r>
    </w:p>
    <w:p w14:paraId="7B0EEBAC" w14:textId="77777777" w:rsidR="005A006E" w:rsidRPr="005A006E" w:rsidRDefault="005A006E" w:rsidP="005A006E">
      <w:pPr>
        <w:spacing w:line="240" w:lineRule="auto"/>
        <w:rPr>
          <w:rFonts w:eastAsia="Times New Roman" w:cs="Arial"/>
          <w:color w:val="000000"/>
          <w:szCs w:val="20"/>
          <w:u w:val="single"/>
          <w:lang w:eastAsia="bg-BG"/>
        </w:rPr>
      </w:pPr>
    </w:p>
    <w:p w14:paraId="1D162606" w14:textId="07A90AC5"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Чернодробна енцефалопатия</w:t>
      </w:r>
    </w:p>
    <w:p w14:paraId="75BD7F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Когато функцията на черния дроб е нарушена, тиазидните диуретици и техните аналози могат да причинят, особено в случай на електролитен дисбаланс, чернодробна енцефалопатия, която може да прогресира до чернодробна кома. В такъв случай, приложението на диуретика трябва незабавно да се спре.</w:t>
      </w:r>
    </w:p>
    <w:p w14:paraId="59B5C2B6" w14:textId="77777777" w:rsidR="00D77795" w:rsidRDefault="00D77795" w:rsidP="005A006E">
      <w:pPr>
        <w:spacing w:line="240" w:lineRule="auto"/>
        <w:rPr>
          <w:rFonts w:eastAsia="Times New Roman" w:cs="Arial"/>
          <w:color w:val="000000"/>
          <w:szCs w:val="20"/>
          <w:u w:val="single"/>
          <w:lang w:eastAsia="bg-BG"/>
        </w:rPr>
      </w:pPr>
    </w:p>
    <w:p w14:paraId="01D64053" w14:textId="53C2229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натрия</w:t>
      </w:r>
    </w:p>
    <w:p w14:paraId="136E54F2"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 трябва да се изследват преди началото на лечението с индапамид, а след това на редовни интервали. Всяко лечение с диуретик би могло да доведе до хипонатриемия, което понякога може да има сериозни последствия. Понижаването на нивата на натрия може първоначално да е асимптоматично и поради това редовното изследване е от съществено значение. Изследването трябва да бъде по-често при пациенти в старческа възраст и при пациенти с цироза (вж. точки 4.8 и 4.9). Хипонатриемията с хиповолемия може да е причина за дехидратация и ортостатична хипотония. Съпътстващата загуба на хлоридни йони може да доведе до вторична компенсаторна метаболитна алкалоза: честотата и степента на този ефект са леки.</w:t>
      </w:r>
    </w:p>
    <w:p w14:paraId="163EF0D0" w14:textId="77777777" w:rsidR="005A006E" w:rsidRPr="005A006E" w:rsidRDefault="005A006E" w:rsidP="005A006E">
      <w:pPr>
        <w:spacing w:line="240" w:lineRule="auto"/>
        <w:rPr>
          <w:rFonts w:eastAsia="Times New Roman" w:cs="Arial"/>
          <w:color w:val="000000"/>
          <w:szCs w:val="20"/>
          <w:u w:val="single"/>
          <w:lang w:eastAsia="bg-BG"/>
        </w:rPr>
      </w:pPr>
    </w:p>
    <w:p w14:paraId="0ABD8284" w14:textId="614103E2"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Удължаване на ОТ интервала</w:t>
      </w:r>
    </w:p>
    <w:p w14:paraId="2344A7B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Лицата с дълъг </w:t>
      </w:r>
      <w:r w:rsidRPr="005A006E">
        <w:rPr>
          <w:rFonts w:eastAsia="Times New Roman" w:cs="Arial"/>
          <w:color w:val="000000"/>
          <w:szCs w:val="20"/>
          <w:lang w:val="en-US"/>
        </w:rPr>
        <w:t xml:space="preserve">QT </w:t>
      </w:r>
      <w:r w:rsidRPr="005A006E">
        <w:rPr>
          <w:rFonts w:eastAsia="Times New Roman" w:cs="Arial"/>
          <w:color w:val="000000"/>
          <w:szCs w:val="20"/>
          <w:lang w:eastAsia="bg-BG"/>
        </w:rPr>
        <w:t xml:space="preserve">интервал са също изложени на риск, независимо от това дали произходът е вроден или ятрогенен. Хипокалиемията, както и брадикардията, действа като фактор, който благоприятства началото на тежки аритмии, по-специално </w:t>
      </w:r>
      <w:r w:rsidRPr="005A006E">
        <w:rPr>
          <w:rFonts w:eastAsia="Times New Roman" w:cs="Arial"/>
          <w:color w:val="000000"/>
          <w:szCs w:val="20"/>
          <w:lang w:val="en-US"/>
        </w:rPr>
        <w:t xml:space="preserve">torsades de pointes, </w:t>
      </w:r>
      <w:r w:rsidRPr="005A006E">
        <w:rPr>
          <w:rFonts w:eastAsia="Times New Roman" w:cs="Arial"/>
          <w:color w:val="000000"/>
          <w:szCs w:val="20"/>
          <w:lang w:eastAsia="bg-BG"/>
        </w:rPr>
        <w:t>които могат да бъдат фатални.</w:t>
      </w:r>
    </w:p>
    <w:p w14:paraId="1A39C3BF" w14:textId="77777777" w:rsidR="005A006E" w:rsidRPr="005A006E" w:rsidRDefault="005A006E" w:rsidP="005A006E">
      <w:pPr>
        <w:spacing w:line="240" w:lineRule="auto"/>
        <w:rPr>
          <w:rFonts w:eastAsia="Times New Roman" w:cs="Arial"/>
          <w:color w:val="000000"/>
          <w:szCs w:val="20"/>
          <w:lang w:eastAsia="bg-BG"/>
        </w:rPr>
      </w:pPr>
    </w:p>
    <w:p w14:paraId="1BE3064D" w14:textId="5052F97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Във всички случаи е необходимо по-често изследване на нивата на калия. Първото измерване на плазмените нива на калий трябва да се извърши през първата седмица след началото на лечението. Ако се открият ниски нива на калий, е необходима корекция.</w:t>
      </w:r>
    </w:p>
    <w:p w14:paraId="53E49E02" w14:textId="77777777" w:rsidR="005A006E" w:rsidRPr="005A006E" w:rsidRDefault="005A006E" w:rsidP="005A006E">
      <w:pPr>
        <w:spacing w:line="240" w:lineRule="auto"/>
        <w:rPr>
          <w:rFonts w:eastAsia="Times New Roman" w:cs="Arial"/>
          <w:color w:val="000000"/>
          <w:szCs w:val="20"/>
          <w:u w:val="single"/>
          <w:lang w:eastAsia="bg-BG"/>
        </w:rPr>
      </w:pPr>
    </w:p>
    <w:p w14:paraId="6F75843F" w14:textId="3517249E"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калция</w:t>
      </w:r>
    </w:p>
    <w:p w14:paraId="0A5F61A5"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Тиазидните диуретици и свързаните с тиазид диуретици могат да намалят отделянето на калций в урината и да причинят леко и преходно повишаване на плазмените нива на калция.</w:t>
      </w:r>
    </w:p>
    <w:p w14:paraId="0831BB0E"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Значително повишените нива на калций може да са свързани с недиагностициран хиперпаратироидизъм. В такива случаи лечението трябва да се спре, преди да се изследва функцията на паращитовидната жлеза.</w:t>
      </w:r>
    </w:p>
    <w:p w14:paraId="6E9EC6B8" w14:textId="77777777" w:rsidR="005A006E" w:rsidRPr="005A006E" w:rsidRDefault="005A006E" w:rsidP="005A006E">
      <w:pPr>
        <w:spacing w:line="240" w:lineRule="auto"/>
        <w:rPr>
          <w:rFonts w:eastAsia="Times New Roman" w:cs="Arial"/>
          <w:color w:val="000000"/>
          <w:szCs w:val="20"/>
          <w:u w:val="single"/>
          <w:lang w:eastAsia="bg-BG"/>
        </w:rPr>
      </w:pPr>
    </w:p>
    <w:p w14:paraId="76E1BFD4" w14:textId="048EA00D"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Пикочна киселина</w:t>
      </w:r>
    </w:p>
    <w:p w14:paraId="4D892D9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Тенденцията към пристъпи на подагра може да се увеличи при пациенти с хиперурикемична</w:t>
      </w:r>
    </w:p>
    <w:p w14:paraId="22A7B4C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болест.</w:t>
      </w:r>
    </w:p>
    <w:p w14:paraId="4BCBB73A" w14:textId="77777777" w:rsidR="005A006E" w:rsidRPr="005A006E" w:rsidRDefault="005A006E" w:rsidP="005A006E">
      <w:pPr>
        <w:spacing w:line="240" w:lineRule="auto"/>
        <w:rPr>
          <w:rFonts w:eastAsia="Times New Roman" w:cs="Arial"/>
          <w:color w:val="000000"/>
          <w:szCs w:val="20"/>
          <w:u w:val="single"/>
          <w:lang w:eastAsia="bg-BG"/>
        </w:rPr>
      </w:pPr>
    </w:p>
    <w:p w14:paraId="16CF20D8" w14:textId="5C3A834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Старческа възраст</w:t>
      </w:r>
    </w:p>
    <w:p w14:paraId="232BBD30"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Бъбречната функция и нивата на калия трябва да се изследват преди началото  на лечението.</w:t>
      </w:r>
    </w:p>
    <w:p w14:paraId="4434EBD9" w14:textId="77777777" w:rsidR="00D77795" w:rsidRPr="00D77795" w:rsidRDefault="005A006E" w:rsidP="00D77795">
      <w:pPr>
        <w:rPr>
          <w:rFonts w:eastAsia="Times New Roman" w:cs="Arial"/>
          <w:lang w:eastAsia="bg-BG"/>
        </w:rPr>
      </w:pPr>
      <w:r w:rsidRPr="005A006E">
        <w:rPr>
          <w:rFonts w:eastAsia="Times New Roman" w:cs="Arial"/>
          <w:color w:val="000000"/>
          <w:szCs w:val="20"/>
          <w:lang w:eastAsia="bg-BG"/>
        </w:rPr>
        <w:t>Началната доза се коригира последващо в зависимост о</w:t>
      </w:r>
      <w:r w:rsidR="00D77795">
        <w:rPr>
          <w:rFonts w:eastAsia="Times New Roman" w:cs="Arial"/>
          <w:color w:val="000000"/>
          <w:szCs w:val="20"/>
          <w:lang w:eastAsia="bg-BG"/>
        </w:rPr>
        <w:t xml:space="preserve">т отговора на кръвното налягане, </w:t>
      </w:r>
      <w:r w:rsidR="00D77795" w:rsidRPr="00D77795">
        <w:rPr>
          <w:rFonts w:eastAsia="Times New Roman" w:cs="Arial"/>
          <w:color w:val="000000"/>
          <w:lang w:eastAsia="bg-BG"/>
        </w:rPr>
        <w:t>особено в случаите на изчерпване на вода и електролити, за да се избегне внезапно настъпване на хипотония.</w:t>
      </w:r>
    </w:p>
    <w:p w14:paraId="738E16A7" w14:textId="77777777" w:rsidR="00D77795" w:rsidRPr="00D77795" w:rsidRDefault="00D77795" w:rsidP="00D77795">
      <w:pPr>
        <w:spacing w:line="240" w:lineRule="auto"/>
        <w:rPr>
          <w:rFonts w:eastAsia="Times New Roman" w:cs="Arial"/>
          <w:color w:val="000000"/>
          <w:u w:val="single"/>
          <w:lang w:eastAsia="bg-BG"/>
        </w:rPr>
      </w:pPr>
    </w:p>
    <w:p w14:paraId="3D48BBF3" w14:textId="4BE03640"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Пациенти с известна атеросклероза</w:t>
      </w:r>
    </w:p>
    <w:p w14:paraId="2A5F242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Рискът от хипотония съществува при всички пациенти, но при пациенти с исхемична болест на сърцето или церебрална циркулаторна недостатъчност трябва да се подходи със специално внимание, започвайки лечението с периндоприл с ниска доза.</w:t>
      </w:r>
    </w:p>
    <w:p w14:paraId="4CBEB986" w14:textId="77777777" w:rsidR="00D77795" w:rsidRPr="00D77795" w:rsidRDefault="00D77795" w:rsidP="00D77795">
      <w:pPr>
        <w:spacing w:line="240" w:lineRule="auto"/>
        <w:rPr>
          <w:rFonts w:eastAsia="Times New Roman" w:cs="Arial"/>
          <w:color w:val="000000"/>
          <w:u w:val="single"/>
          <w:lang w:eastAsia="bg-BG"/>
        </w:rPr>
      </w:pPr>
    </w:p>
    <w:p w14:paraId="1EF9F170" w14:textId="42F5049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Диабетици</w:t>
      </w:r>
    </w:p>
    <w:p w14:paraId="75B01B4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При пациенти с инсулино-зависим захарен дибет (спонтанна тенденция към повишени стойности на серумния калий) лечението трябва да започва под лекарско наблюдение с ниска начална доза.</w:t>
      </w:r>
    </w:p>
    <w:p w14:paraId="001402A3"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През първия месец от лечението с АСЕ-инхибитори на диабетици, които предшестващо са лекувани с перорални антидиабетни средства или инсулин, трябва да се извършва строго мониториране на гликемията (вж. точка 4.5).</w:t>
      </w:r>
    </w:p>
    <w:p w14:paraId="3E32EE84" w14:textId="77777777" w:rsidR="00D77795" w:rsidRPr="00D77795" w:rsidRDefault="00D77795" w:rsidP="00D77795">
      <w:pPr>
        <w:spacing w:line="240" w:lineRule="auto"/>
        <w:rPr>
          <w:rFonts w:eastAsia="Times New Roman" w:cs="Arial"/>
          <w:color w:val="000000"/>
          <w:lang w:eastAsia="bg-BG"/>
        </w:rPr>
      </w:pPr>
    </w:p>
    <w:p w14:paraId="1AB5DA65" w14:textId="7218D86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Някои данни показват, че статините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приложението на съответните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r w:rsidRPr="00D77795">
        <w:rPr>
          <w:rFonts w:eastAsia="Times New Roman" w:cs="Arial"/>
          <w:color w:val="000000"/>
          <w:lang w:val="en-US"/>
        </w:rPr>
        <w:t xml:space="preserve">mmol/l, </w:t>
      </w:r>
      <w:r w:rsidRPr="00D77795">
        <w:rPr>
          <w:rFonts w:eastAsia="Times New Roman" w:cs="Arial"/>
          <w:color w:val="000000"/>
          <w:lang w:eastAsia="bg-BG"/>
        </w:rPr>
        <w:t xml:space="preserve">индекс на телесната маса ИТМ &gt; 30 </w:t>
      </w:r>
      <w:r w:rsidRPr="00D77795">
        <w:rPr>
          <w:rFonts w:eastAsia="Times New Roman" w:cs="Arial"/>
          <w:color w:val="000000"/>
          <w:lang w:val="en-US"/>
        </w:rPr>
        <w:t>kg/m</w:t>
      </w:r>
      <w:r w:rsidRPr="00D77795">
        <w:rPr>
          <w:rFonts w:eastAsia="Times New Roman" w:cs="Arial"/>
          <w:color w:val="000000"/>
          <w:vertAlign w:val="superscript"/>
          <w:lang w:val="en-US"/>
        </w:rPr>
        <w:t>2</w:t>
      </w:r>
      <w:r w:rsidRPr="00D77795">
        <w:rPr>
          <w:rFonts w:eastAsia="Times New Roman" w:cs="Arial"/>
          <w:color w:val="000000"/>
          <w:lang w:val="en-US"/>
        </w:rPr>
        <w:t xml:space="preserve">, </w:t>
      </w:r>
      <w:r w:rsidRPr="00D77795">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4D880A7E"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В проучването </w:t>
      </w:r>
      <w:r w:rsidRPr="00D77795">
        <w:rPr>
          <w:rFonts w:eastAsia="Times New Roman" w:cs="Arial"/>
          <w:color w:val="000000"/>
          <w:lang w:val="en-US"/>
        </w:rPr>
        <w:t xml:space="preserve">JUPITER, </w:t>
      </w:r>
      <w:r w:rsidRPr="00D77795">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r w:rsidRPr="00D77795">
        <w:rPr>
          <w:rFonts w:eastAsia="Times New Roman" w:cs="Arial"/>
          <w:color w:val="000000"/>
          <w:lang w:val="en-US"/>
        </w:rPr>
        <w:t>mmol/l.</w:t>
      </w:r>
    </w:p>
    <w:p w14:paraId="789631EC" w14:textId="77777777" w:rsidR="00D77795" w:rsidRPr="00D77795" w:rsidRDefault="00D77795" w:rsidP="00D77795">
      <w:pPr>
        <w:spacing w:line="240" w:lineRule="auto"/>
        <w:rPr>
          <w:rFonts w:eastAsia="Times New Roman" w:cs="Arial"/>
          <w:color w:val="000000"/>
          <w:u w:val="single"/>
          <w:lang w:eastAsia="bg-BG"/>
        </w:rPr>
      </w:pPr>
    </w:p>
    <w:p w14:paraId="770754EB" w14:textId="30A6584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Кръвна захар</w:t>
      </w:r>
    </w:p>
    <w:p w14:paraId="6F51B0B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Мониторирането на кръвната захар е важно при диабетици, особено когато нивата на калий са ниски.</w:t>
      </w:r>
    </w:p>
    <w:p w14:paraId="4A19FA61" w14:textId="77777777" w:rsidR="00D77795" w:rsidRPr="00D77795" w:rsidRDefault="00D77795" w:rsidP="00D77795">
      <w:pPr>
        <w:spacing w:line="240" w:lineRule="auto"/>
        <w:rPr>
          <w:rFonts w:eastAsia="Times New Roman" w:cs="Arial"/>
          <w:color w:val="000000"/>
          <w:u w:val="single"/>
          <w:lang w:eastAsia="bg-BG"/>
        </w:rPr>
      </w:pPr>
    </w:p>
    <w:p w14:paraId="2BF4FAFA" w14:textId="3506348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Сърдечна недостатъчност/тежка сърдечна недостатъчност</w:t>
      </w:r>
    </w:p>
    <w:p w14:paraId="704D1FF6" w14:textId="765EF96C"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При пациенти с тежка сърдечна недостатъчност (IV степен) или при пациенти с инсулино-зависим захарен диабет (спонтанна тенденция към повишени нива на калия), лечението трябва да започва под лекарско наблюдение и с намалена начална доза. Лечението с бета-блокери при хипертоници с коронарна недостатъчност не трябва да се спира: АСЕ-инхибиторът трябва да се добави към бета-блокера.</w:t>
      </w:r>
    </w:p>
    <w:p w14:paraId="547C4096" w14:textId="77777777" w:rsidR="00D77795" w:rsidRPr="00D77795" w:rsidRDefault="00D77795" w:rsidP="00D77795">
      <w:pPr>
        <w:spacing w:line="240" w:lineRule="auto"/>
        <w:rPr>
          <w:rFonts w:eastAsia="Times New Roman" w:cs="Arial"/>
          <w:color w:val="000000"/>
          <w:u w:val="single"/>
          <w:lang w:eastAsia="bg-BG"/>
        </w:rPr>
      </w:pPr>
    </w:p>
    <w:p w14:paraId="59D003B9" w14:textId="0F5BEC1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Етнически различия</w:t>
      </w:r>
    </w:p>
    <w:p w14:paraId="1C2BA4A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Подобно на останалите инхибитори на ангиотензин-конвертиращия ензим, периндоприл е явно по-малко ефективен при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хипертоници.</w:t>
      </w:r>
    </w:p>
    <w:p w14:paraId="5158695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Фармакокинетичните проучвания показват повишаване на експозицията на розувастатин при лица от азиатската, в сравнение с лица от кавказката раса (вж. точки 4.2, 4.3 и 5.2).</w:t>
      </w:r>
    </w:p>
    <w:p w14:paraId="059CF969" w14:textId="77777777" w:rsidR="00D77795" w:rsidRPr="00D77795" w:rsidRDefault="00D77795" w:rsidP="00D77795">
      <w:pPr>
        <w:spacing w:line="240" w:lineRule="auto"/>
        <w:rPr>
          <w:rFonts w:eastAsia="Times New Roman" w:cs="Arial"/>
          <w:color w:val="000000"/>
          <w:u w:val="single"/>
          <w:lang w:eastAsia="bg-BG"/>
        </w:rPr>
      </w:pPr>
    </w:p>
    <w:p w14:paraId="47CE242B" w14:textId="3DC6905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Хирургична интервенция/анестезия</w:t>
      </w:r>
    </w:p>
    <w:p w14:paraId="4A4E5F3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Инхибиторите на ангиотензин-конвертиращия ензим могат да предизвикат хипотония при анестезия, особено когато използваният анестетик е с потенциално хипотензивно действие. Поради това се препоръчва лечението с дългодействащи инхибитори на ангиотензин-</w:t>
      </w:r>
      <w:r w:rsidRPr="00D77795">
        <w:rPr>
          <w:rFonts w:eastAsia="Times New Roman" w:cs="Arial"/>
          <w:color w:val="000000"/>
          <w:u w:val="single"/>
          <w:lang w:eastAsia="bg-BG"/>
        </w:rPr>
        <w:t xml:space="preserve"> </w:t>
      </w:r>
      <w:r w:rsidRPr="00D77795">
        <w:rPr>
          <w:rFonts w:eastAsia="Times New Roman" w:cs="Arial"/>
          <w:color w:val="000000"/>
          <w:lang w:eastAsia="bg-BG"/>
        </w:rPr>
        <w:t>конвертиращия ензим, като периндоприл, по възможност да се прекрати един ден</w:t>
      </w:r>
      <w:r w:rsidRPr="00D77795">
        <w:rPr>
          <w:rFonts w:eastAsia="Times New Roman" w:cs="Arial"/>
          <w:color w:val="000000"/>
          <w:lang w:val="en-US"/>
        </w:rPr>
        <w:t xml:space="preserve"> </w:t>
      </w:r>
      <w:r w:rsidRPr="00D77795">
        <w:rPr>
          <w:rFonts w:eastAsia="Times New Roman" w:cs="Arial"/>
          <w:color w:val="000000"/>
          <w:lang w:eastAsia="bg-BG"/>
        </w:rPr>
        <w:t>преди хирургичната намеса.</w:t>
      </w:r>
    </w:p>
    <w:p w14:paraId="287327F7" w14:textId="77777777" w:rsidR="00D77795" w:rsidRPr="00D77795" w:rsidRDefault="00D77795" w:rsidP="00D77795">
      <w:pPr>
        <w:spacing w:line="240" w:lineRule="auto"/>
        <w:rPr>
          <w:rFonts w:eastAsia="Times New Roman" w:cs="Arial"/>
          <w:color w:val="000000"/>
          <w:lang w:eastAsia="bg-BG"/>
        </w:rPr>
      </w:pPr>
    </w:p>
    <w:p w14:paraId="3BA863ED" w14:textId="2D0809F8" w:rsidR="00D77795" w:rsidRPr="00D77795" w:rsidRDefault="00D77795" w:rsidP="00D77795">
      <w:pPr>
        <w:spacing w:line="240" w:lineRule="auto"/>
        <w:rPr>
          <w:rFonts w:eastAsia="Times New Roman" w:cs="Arial"/>
          <w:u w:val="single"/>
          <w:lang w:eastAsia="bg-BG"/>
        </w:rPr>
      </w:pPr>
      <w:r w:rsidRPr="00D77795">
        <w:rPr>
          <w:rFonts w:eastAsia="Times New Roman" w:cs="Arial"/>
          <w:color w:val="000000"/>
          <w:u w:val="single"/>
          <w:lang w:eastAsia="bg-BG"/>
        </w:rPr>
        <w:t>Спортисти</w:t>
      </w:r>
    </w:p>
    <w:p w14:paraId="4A16F289" w14:textId="64D10366" w:rsidR="005A006E" w:rsidRPr="00D77795" w:rsidRDefault="00D77795" w:rsidP="00D77795">
      <w:pPr>
        <w:rPr>
          <w:rFonts w:eastAsia="Times New Roman" w:cs="Arial"/>
          <w:color w:val="000000"/>
          <w:lang w:eastAsia="bg-BG"/>
        </w:rPr>
      </w:pPr>
      <w:r w:rsidRPr="00D77795">
        <w:rPr>
          <w:rFonts w:eastAsia="Times New Roman" w:cs="Arial"/>
          <w:color w:val="000000"/>
          <w:lang w:eastAsia="bg-BG"/>
        </w:rPr>
        <w:lastRenderedPageBreak/>
        <w:t>Спортистите трябва да знаят, че този продукт съдържа активното вещество индапамид, което може да доведе до положителна допинг-проба.</w:t>
      </w:r>
    </w:p>
    <w:p w14:paraId="417C43A2" w14:textId="573B870D" w:rsidR="00D77795" w:rsidRPr="00D77795" w:rsidRDefault="00D77795" w:rsidP="00D77795">
      <w:pPr>
        <w:rPr>
          <w:rFonts w:eastAsia="Times New Roman" w:cs="Arial"/>
          <w:color w:val="000000"/>
          <w:lang w:eastAsia="bg-BG"/>
        </w:rPr>
      </w:pPr>
    </w:p>
    <w:p w14:paraId="3CDB7A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Хороидален излив, остра миопия и вторична закритоъгьлна глаукома</w:t>
      </w:r>
    </w:p>
    <w:p w14:paraId="4AECF07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закритоъгьлна глаукома може да доведе до постоянна загуба на зрение. Първоначалното лечение се изразява в спиране на приема на лекарството, колкото може по-скоро. Може да се наложи да се обмисли съответно медицинско или хирургично лечение, ако вътреочното налягане остава неконтролирано. Рисковите фактори за развитието на остра закритоъгьлна глаукома могат да включват предшестваща алергия към сулфонамиди или пеницилини.</w:t>
      </w:r>
    </w:p>
    <w:p w14:paraId="631ABBE9" w14:textId="77777777" w:rsidR="00D77795" w:rsidRPr="00D77795" w:rsidRDefault="00D77795" w:rsidP="00D77795">
      <w:pPr>
        <w:spacing w:line="240" w:lineRule="auto"/>
        <w:rPr>
          <w:rFonts w:eastAsia="Times New Roman" w:cs="Arial"/>
          <w:color w:val="000000"/>
          <w:u w:val="single"/>
          <w:lang w:eastAsia="bg-BG"/>
        </w:rPr>
      </w:pPr>
    </w:p>
    <w:p w14:paraId="7ED1E68F" w14:textId="231E79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Ефекти върху скелетната мускулатура</w:t>
      </w:r>
    </w:p>
    <w:p w14:paraId="5586FA4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Ефекти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D77795">
        <w:rPr>
          <w:rFonts w:eastAsia="Times New Roman" w:cs="Arial"/>
          <w:color w:val="000000"/>
          <w:lang w:val="en-US"/>
        </w:rPr>
        <w:t xml:space="preserve">mg. </w:t>
      </w:r>
      <w:r w:rsidRPr="00D77795">
        <w:rPr>
          <w:rFonts w:eastAsia="Times New Roman" w:cs="Arial"/>
          <w:color w:val="000000"/>
          <w:lang w:eastAsia="bg-BG"/>
        </w:rPr>
        <w:t xml:space="preserve">Много редки случаи на рабдомиолиза са докладвани при приложение на езетимиб в комбинация с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Не може да се изключи фармакодинамично взаимодействие (вж. точка 4.5) и е необходимо да се подхожда с повишено внимание при комбинираното им приложение. Както при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докладваната честота на рабдомиолиза, свързана с розувастатин при пост- маркетинговата употреба, е по-висока при дозата от 40 </w:t>
      </w:r>
      <w:r w:rsidRPr="00D77795">
        <w:rPr>
          <w:rFonts w:eastAsia="Times New Roman" w:cs="Arial"/>
          <w:color w:val="000000"/>
          <w:lang w:val="en-US"/>
        </w:rPr>
        <w:t>mg.</w:t>
      </w:r>
    </w:p>
    <w:p w14:paraId="3046B1C4" w14:textId="77777777" w:rsidR="00D77795" w:rsidRPr="00D77795" w:rsidRDefault="00D77795" w:rsidP="00D77795">
      <w:pPr>
        <w:spacing w:line="240" w:lineRule="auto"/>
        <w:rPr>
          <w:rFonts w:eastAsia="Times New Roman" w:cs="Arial"/>
          <w:color w:val="000000"/>
          <w:u w:val="single"/>
          <w:lang w:eastAsia="bg-BG"/>
        </w:rPr>
      </w:pPr>
    </w:p>
    <w:p w14:paraId="363C5939" w14:textId="706A122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Измерване на креатинкиназата</w:t>
      </w:r>
    </w:p>
    <w:p w14:paraId="4437BAF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w:t>
      </w:r>
      <w:r w:rsidRPr="00D77795">
        <w:rPr>
          <w:rFonts w:eastAsia="Times New Roman" w:cs="Arial"/>
          <w:color w:val="000000"/>
          <w:lang w:val="en-US"/>
        </w:rPr>
        <w:t xml:space="preserve">(&gt;5xULN), </w:t>
      </w:r>
      <w:r w:rsidRPr="00D77795">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w:t>
      </w:r>
      <w:r w:rsidRPr="00D77795">
        <w:rPr>
          <w:rFonts w:eastAsia="Times New Roman" w:cs="Arial"/>
          <w:color w:val="000000"/>
          <w:lang w:val="en-US"/>
        </w:rPr>
        <w:t>&gt;</w:t>
      </w:r>
      <w:r w:rsidRPr="00D77795">
        <w:rPr>
          <w:rFonts w:eastAsia="Times New Roman" w:cs="Arial"/>
          <w:color w:val="000000"/>
          <w:lang w:eastAsia="bg-BG"/>
        </w:rPr>
        <w:t xml:space="preserve"> </w:t>
      </w:r>
      <w:r w:rsidRPr="00D77795">
        <w:rPr>
          <w:rFonts w:eastAsia="Times New Roman" w:cs="Arial"/>
          <w:color w:val="000000"/>
          <w:lang w:val="en-US"/>
        </w:rPr>
        <w:t xml:space="preserve">5xULN, </w:t>
      </w:r>
      <w:r w:rsidRPr="00D77795">
        <w:rPr>
          <w:rFonts w:eastAsia="Times New Roman" w:cs="Arial"/>
          <w:color w:val="000000"/>
          <w:lang w:eastAsia="bg-BG"/>
        </w:rPr>
        <w:t>лечението не трябва да се започва.</w:t>
      </w:r>
    </w:p>
    <w:p w14:paraId="25BA1FFE" w14:textId="77777777" w:rsidR="00D77795" w:rsidRPr="00D77795" w:rsidRDefault="00D77795" w:rsidP="00D77795">
      <w:pPr>
        <w:spacing w:line="240" w:lineRule="auto"/>
        <w:rPr>
          <w:rFonts w:eastAsia="Times New Roman" w:cs="Arial"/>
          <w:color w:val="000000"/>
          <w:u w:val="single"/>
          <w:lang w:eastAsia="bg-BG"/>
        </w:rPr>
      </w:pPr>
    </w:p>
    <w:p w14:paraId="290C9F13" w14:textId="7D61A3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Преди лечението с розувастатин</w:t>
      </w:r>
    </w:p>
    <w:p w14:paraId="643F73B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Розувастатин, както и другите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трябва да се предписва с повишено внимание при пациенти с предразполагащи фактори за развитието на миопатия/рабдомиолиза. Такива фактори са:</w:t>
      </w:r>
    </w:p>
    <w:p w14:paraId="52FF73F3"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бъбречно увреждане;</w:t>
      </w:r>
    </w:p>
    <w:p w14:paraId="4881C159"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хипотиреоидизъм;</w:t>
      </w:r>
    </w:p>
    <w:p w14:paraId="7B005D76"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лична или фамилна анамнеза за наследствено мускулно заболяване;</w:t>
      </w:r>
    </w:p>
    <w:p w14:paraId="59609088"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 xml:space="preserve">предшестваща анамнеза за мускулна токсичност към друг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или фибрат;</w:t>
      </w:r>
    </w:p>
    <w:p w14:paraId="7E24E5AE"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злоупотреба с алкохол;</w:t>
      </w:r>
    </w:p>
    <w:p w14:paraId="78C9D5AB"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възраст &gt;70 години;</w:t>
      </w:r>
    </w:p>
    <w:p w14:paraId="28C594E7" w14:textId="77777777"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състояния, при които може да се настъпи покачване на плазмените нива (вж. точки 4.2, 4.5 и 5.2);</w:t>
      </w:r>
    </w:p>
    <w:p w14:paraId="7BF30A97" w14:textId="37829CC9" w:rsidR="00D77795" w:rsidRPr="00D77795" w:rsidRDefault="00D77795" w:rsidP="006972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едновременно приложение на фибрати.</w:t>
      </w:r>
    </w:p>
    <w:p w14:paraId="26498EF1" w14:textId="77777777" w:rsidR="00D77795" w:rsidRPr="00D77795" w:rsidRDefault="00D77795" w:rsidP="00D77795">
      <w:pPr>
        <w:spacing w:line="240" w:lineRule="auto"/>
        <w:rPr>
          <w:rFonts w:eastAsia="Times New Roman" w:cs="Arial"/>
          <w:color w:val="000000"/>
          <w:lang w:eastAsia="bg-BG"/>
        </w:rPr>
      </w:pPr>
    </w:p>
    <w:p w14:paraId="35EA40A9" w14:textId="13A7C552"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w:t>
      </w:r>
      <w:r w:rsidRPr="00D77795">
        <w:rPr>
          <w:rFonts w:eastAsia="Times New Roman" w:cs="Arial"/>
          <w:color w:val="000000"/>
          <w:lang w:val="en-US"/>
        </w:rPr>
        <w:t xml:space="preserve">(&gt;5xULN), </w:t>
      </w:r>
      <w:r w:rsidRPr="00D77795">
        <w:rPr>
          <w:rFonts w:eastAsia="Times New Roman" w:cs="Arial"/>
          <w:color w:val="000000"/>
          <w:lang w:eastAsia="bg-BG"/>
        </w:rPr>
        <w:t>лечението не трябва да се започва.</w:t>
      </w:r>
    </w:p>
    <w:p w14:paraId="0A125C0A" w14:textId="77777777" w:rsidR="00D77795" w:rsidRPr="00D77795" w:rsidRDefault="00D77795" w:rsidP="00D77795">
      <w:pPr>
        <w:spacing w:line="240" w:lineRule="auto"/>
        <w:rPr>
          <w:rFonts w:eastAsia="Times New Roman" w:cs="Arial"/>
          <w:color w:val="000000"/>
          <w:u w:val="single"/>
          <w:lang w:eastAsia="bg-BG"/>
        </w:rPr>
      </w:pPr>
    </w:p>
    <w:p w14:paraId="76BF6C55" w14:textId="66273B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По време на лечението</w:t>
      </w:r>
      <w:r w:rsidRPr="00D77795">
        <w:rPr>
          <w:rFonts w:eastAsia="Times New Roman" w:cs="Arial"/>
          <w:color w:val="000000"/>
          <w:u w:val="single"/>
          <w:lang w:val="en-US"/>
        </w:rPr>
        <w:t xml:space="preserve"> </w:t>
      </w:r>
    </w:p>
    <w:p w14:paraId="6ADB2B81"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w:t>
      </w:r>
      <w:r w:rsidRPr="00D77795">
        <w:rPr>
          <w:rFonts w:eastAsia="Times New Roman" w:cs="Arial"/>
          <w:color w:val="000000"/>
          <w:lang w:val="en-US"/>
        </w:rPr>
        <w:t xml:space="preserve">(&gt;5xULN) </w:t>
      </w:r>
      <w:r w:rsidRPr="00D77795">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&lt;5х </w:t>
      </w:r>
      <w:r w:rsidRPr="00D77795">
        <w:rPr>
          <w:rFonts w:eastAsia="Times New Roman" w:cs="Arial"/>
          <w:color w:val="000000"/>
          <w:lang w:val="en-US"/>
        </w:rPr>
        <w:t>ULN).</w:t>
      </w:r>
      <w:r w:rsidRPr="00D77795">
        <w:rPr>
          <w:rFonts w:eastAsia="Times New Roman" w:cs="Arial"/>
          <w:color w:val="000000"/>
          <w:lang w:eastAsia="bg-BG"/>
        </w:rPr>
        <w:t xml:space="preserve"> Ако симптомите</w:t>
      </w:r>
      <w:r w:rsidRPr="00D77795">
        <w:rPr>
          <w:rFonts w:eastAsia="Times New Roman" w:cs="Arial"/>
          <w:lang w:eastAsia="bg-BG"/>
        </w:rPr>
        <w:t xml:space="preserve"> </w:t>
      </w:r>
      <w:r w:rsidRPr="00D77795">
        <w:rPr>
          <w:rFonts w:eastAsia="Times New Roman" w:cs="Arial"/>
          <w:color w:val="000000"/>
          <w:lang w:eastAsia="bg-BG"/>
        </w:rPr>
        <w:t xml:space="preserve">отзвучат и нивата на СК се нормализират, може да се обмисли повторно въвеждане на лечението с розувастатин или алтернативен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 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7EF3B14D" w14:textId="77777777" w:rsidR="00D77795" w:rsidRPr="00D77795" w:rsidRDefault="00D77795" w:rsidP="00D77795">
      <w:pPr>
        <w:spacing w:line="240" w:lineRule="auto"/>
        <w:rPr>
          <w:rFonts w:eastAsia="Times New Roman" w:cs="Arial"/>
          <w:color w:val="000000"/>
          <w:lang w:eastAsia="bg-BG"/>
        </w:rPr>
      </w:pPr>
    </w:p>
    <w:p w14:paraId="7520E77A" w14:textId="2CC43A0C"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Поради това комбинацията на розувастатин и гемфиброзил не се препоръчва. Ползата от допълнителни промени в липидните нива в резултат от комбинираното приложение на розувастатин и фибрати или ниацин трябва да бъде внимателно претеглена спрямо потенциалния риск от подобни комбинации. Дозите от 30 </w:t>
      </w:r>
      <w:r w:rsidRPr="00D77795">
        <w:rPr>
          <w:rFonts w:eastAsia="Times New Roman" w:cs="Arial"/>
          <w:color w:val="000000"/>
          <w:lang w:val="en-US"/>
        </w:rPr>
        <w:t xml:space="preserve">mg </w:t>
      </w:r>
      <w:r w:rsidRPr="00D77795">
        <w:rPr>
          <w:rFonts w:eastAsia="Times New Roman" w:cs="Arial"/>
          <w:color w:val="000000"/>
          <w:lang w:eastAsia="bg-BG"/>
        </w:rPr>
        <w:t xml:space="preserve">и 40 </w:t>
      </w:r>
      <w:r w:rsidRPr="00D77795">
        <w:rPr>
          <w:rFonts w:eastAsia="Times New Roman" w:cs="Arial"/>
          <w:color w:val="000000"/>
          <w:lang w:val="en-US"/>
        </w:rPr>
        <w:t xml:space="preserve">mg </w:t>
      </w:r>
      <w:r w:rsidRPr="00D77795">
        <w:rPr>
          <w:rFonts w:eastAsia="Times New Roman" w:cs="Arial"/>
          <w:color w:val="000000"/>
          <w:lang w:eastAsia="bg-BG"/>
        </w:rPr>
        <w:t>на розувастатин са противопоказани при едновременно приложение на фибрат (вж. точки 4.5 и 4.8).</w:t>
      </w:r>
    </w:p>
    <w:p w14:paraId="55EAD397" w14:textId="77777777" w:rsidR="00D77795" w:rsidRPr="00D77795" w:rsidRDefault="00D77795" w:rsidP="00D77795">
      <w:pPr>
        <w:spacing w:line="240" w:lineRule="auto"/>
        <w:rPr>
          <w:rFonts w:eastAsia="Times New Roman" w:cs="Arial"/>
          <w:color w:val="000000"/>
          <w:lang w:eastAsia="bg-BG"/>
        </w:rPr>
      </w:pPr>
    </w:p>
    <w:p w14:paraId="0A5D17A7" w14:textId="55E539E4"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Розувастатин не трябва да се прилага при пациенти с остри сериозни състояния, предполагащи 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w:t>
      </w:r>
    </w:p>
    <w:p w14:paraId="3DF75E30" w14:textId="77777777" w:rsidR="00D77795" w:rsidRPr="00D77795" w:rsidRDefault="00D77795" w:rsidP="00D77795">
      <w:pPr>
        <w:spacing w:line="240" w:lineRule="auto"/>
        <w:rPr>
          <w:rFonts w:eastAsia="Times New Roman" w:cs="Arial"/>
          <w:color w:val="000000"/>
          <w:lang w:eastAsia="bg-BG"/>
        </w:rPr>
      </w:pPr>
    </w:p>
    <w:p w14:paraId="30611D89" w14:textId="509D4F48"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Роксипер не трябва да се прилага едновременно със системни формули на фузидовата 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18B6EFA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3D13CBAE" w14:textId="7C89E183"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lastRenderedPageBreak/>
        <w:t>При изключителни обстоятелства, когато е необходима продължително приложение на системна фузидова киселина, например за лечение на тежки инфекции, необходимостта от едновременно приложение на Роксипер и фузидова киселина трябва да се има предвид само на базата на всеки отделен случай и под строго медицинско наблюдение.</w:t>
      </w:r>
    </w:p>
    <w:p w14:paraId="501D1684" w14:textId="77777777" w:rsidR="00D77795" w:rsidRPr="00D77795" w:rsidRDefault="00D77795" w:rsidP="00D77795">
      <w:pPr>
        <w:spacing w:line="240" w:lineRule="auto"/>
        <w:rPr>
          <w:rFonts w:eastAsia="Times New Roman" w:cs="Arial"/>
          <w:color w:val="000000"/>
          <w:u w:val="single"/>
          <w:lang w:eastAsia="bg-BG"/>
        </w:rPr>
      </w:pPr>
    </w:p>
    <w:p w14:paraId="3B79A409" w14:textId="4D1F98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Двойна блокада на ренин-ангиотензин-алдостероновата система (РААС)</w:t>
      </w:r>
    </w:p>
    <w:p w14:paraId="4496AE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Има данни, че едновременното приложение на АСЕ-инхибитори, ангиотензин II-рецепторни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двойно блокиране на ренин-ангиотензин-алдостероновата система (РААС) чрез комбинирано приложение на АСЕ-инхибитори, ангиотензин II-рецепторни блокери или алискирен (вж. точки 4.5 и 5.1).</w:t>
      </w:r>
    </w:p>
    <w:p w14:paraId="17C93A29" w14:textId="33417185"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w:t>
      </w:r>
      <w:r w:rsidR="00C142D0">
        <w:rPr>
          <w:rFonts w:eastAsia="Times New Roman" w:cs="Arial"/>
          <w:lang w:eastAsia="bg-BG"/>
        </w:rPr>
        <w:t xml:space="preserve"> </w:t>
      </w:r>
      <w:r w:rsidRPr="00D77795">
        <w:rPr>
          <w:rFonts w:eastAsia="Times New Roman" w:cs="Arial"/>
          <w:color w:val="000000"/>
          <w:lang w:eastAsia="bg-BG"/>
        </w:rPr>
        <w:t>бъбречната функция, електролитите и кръвното налягане.</w:t>
      </w:r>
    </w:p>
    <w:p w14:paraId="1DC8FBD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АСЕ-инхибиторите и ангиотензин II-рецепторните блокери не трябва да се прилагат</w:t>
      </w:r>
    </w:p>
    <w:p w14:paraId="4271D20D"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едновременно при пациенти с диабетна нефропатия.</w:t>
      </w:r>
    </w:p>
    <w:p w14:paraId="239414FE" w14:textId="77777777" w:rsidR="00D77795" w:rsidRPr="00D77795" w:rsidRDefault="00D77795" w:rsidP="00D77795">
      <w:pPr>
        <w:spacing w:line="240" w:lineRule="auto"/>
        <w:rPr>
          <w:rFonts w:eastAsia="Times New Roman" w:cs="Arial"/>
          <w:lang w:eastAsia="bg-BG"/>
        </w:rPr>
      </w:pPr>
    </w:p>
    <w:p w14:paraId="02F606B4"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Протеазни инхибитори</w:t>
      </w:r>
    </w:p>
    <w:p w14:paraId="1C78E609"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пациенти с </w:t>
      </w:r>
      <w:r w:rsidRPr="00D77795">
        <w:rPr>
          <w:rFonts w:eastAsia="Times New Roman" w:cs="Arial"/>
          <w:color w:val="000000"/>
          <w:lang w:val="en-US"/>
        </w:rPr>
        <w:t xml:space="preserve">HIV, </w:t>
      </w:r>
      <w:r w:rsidRPr="00D77795">
        <w:rPr>
          <w:rFonts w:eastAsia="Times New Roman" w:cs="Arial"/>
          <w:color w:val="000000"/>
          <w:lang w:eastAsia="bg-BG"/>
        </w:rPr>
        <w:t>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055FBFAE" w14:textId="77777777" w:rsidR="00D77795" w:rsidRPr="00D77795" w:rsidRDefault="00D77795" w:rsidP="00D77795">
      <w:pPr>
        <w:spacing w:line="240" w:lineRule="auto"/>
        <w:rPr>
          <w:rFonts w:eastAsia="Times New Roman" w:cs="Arial"/>
          <w:color w:val="000000"/>
          <w:u w:val="single"/>
          <w:lang w:eastAsia="bg-BG"/>
        </w:rPr>
      </w:pPr>
    </w:p>
    <w:p w14:paraId="651DAE73" w14:textId="5379DEA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Тежки кожни нежелани реакции</w:t>
      </w:r>
    </w:p>
    <w:p w14:paraId="3EBA610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D77795">
        <w:rPr>
          <w:rFonts w:eastAsia="Times New Roman" w:cs="Arial"/>
          <w:color w:val="000000"/>
          <w:lang w:val="en-US"/>
        </w:rPr>
        <w:t xml:space="preserve">Stevens Johnson (SJS) </w:t>
      </w:r>
      <w:r w:rsidRPr="00D77795">
        <w:rPr>
          <w:rFonts w:eastAsia="Times New Roman" w:cs="Arial"/>
          <w:color w:val="000000"/>
          <w:lang w:eastAsia="bg-BG"/>
        </w:rPr>
        <w:t xml:space="preserve">и лекарствена реакция с еозинофилия и системни симптоми </w:t>
      </w:r>
      <w:r w:rsidRPr="00D77795">
        <w:rPr>
          <w:rFonts w:eastAsia="Times New Roman" w:cs="Arial"/>
          <w:color w:val="000000"/>
          <w:lang w:val="en-US"/>
        </w:rPr>
        <w:t xml:space="preserve">(DRESS), </w:t>
      </w:r>
      <w:r w:rsidRPr="00D77795">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Роксипер трябва незабавно да се преустанови и да се обмисли алтернативно лечение.</w:t>
      </w:r>
    </w:p>
    <w:p w14:paraId="21B8D877" w14:textId="0F29D916"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 xml:space="preserve">Ако пациентът е развил сериозна реакция, като например </w:t>
      </w:r>
      <w:r w:rsidRPr="00D77795">
        <w:rPr>
          <w:rFonts w:eastAsia="Times New Roman" w:cs="Arial"/>
          <w:color w:val="000000"/>
          <w:lang w:val="en-US"/>
        </w:rPr>
        <w:t xml:space="preserve">SJS </w:t>
      </w:r>
      <w:r w:rsidRPr="00D77795">
        <w:rPr>
          <w:rFonts w:eastAsia="Times New Roman" w:cs="Arial"/>
          <w:color w:val="000000"/>
          <w:lang w:eastAsia="bg-BG"/>
        </w:rPr>
        <w:t xml:space="preserve">или </w:t>
      </w:r>
      <w:r w:rsidRPr="00D77795">
        <w:rPr>
          <w:rFonts w:eastAsia="Times New Roman" w:cs="Arial"/>
          <w:color w:val="000000"/>
          <w:lang w:val="en-US"/>
        </w:rPr>
        <w:t xml:space="preserve">DRESS </w:t>
      </w:r>
      <w:r w:rsidRPr="00D77795">
        <w:rPr>
          <w:rFonts w:eastAsia="Times New Roman" w:cs="Arial"/>
          <w:color w:val="000000"/>
          <w:lang w:eastAsia="bg-BG"/>
        </w:rPr>
        <w:t>при употребата на Роксипер, лечението с периндоприл/индапамид/розувастатин не трябва никога да се подновява при този пациент.</w:t>
      </w:r>
    </w:p>
    <w:p w14:paraId="162BB7E1" w14:textId="24FEBD86" w:rsidR="005A006E" w:rsidRPr="0091385D" w:rsidRDefault="005A006E"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60215B44"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u w:val="single"/>
          <w:lang w:eastAsia="bg-BG"/>
        </w:rPr>
        <w:t>Свързани с периндоприл и индапамид</w:t>
      </w:r>
    </w:p>
    <w:p w14:paraId="59D2A4D6" w14:textId="77777777" w:rsidR="00C142D0" w:rsidRPr="00C142D0" w:rsidRDefault="00C142D0" w:rsidP="00C142D0">
      <w:pPr>
        <w:spacing w:line="240" w:lineRule="auto"/>
        <w:rPr>
          <w:rFonts w:eastAsia="Times New Roman" w:cs="Arial"/>
          <w:i/>
          <w:iCs/>
          <w:color w:val="000000"/>
          <w:szCs w:val="20"/>
          <w:u w:val="single"/>
          <w:lang w:eastAsia="bg-BG"/>
        </w:rPr>
      </w:pPr>
    </w:p>
    <w:p w14:paraId="7AB7339D" w14:textId="6383FEC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не се препоръчва:</w:t>
      </w:r>
    </w:p>
    <w:p w14:paraId="0ACD48CE" w14:textId="77777777" w:rsidR="00C142D0" w:rsidRPr="00C142D0" w:rsidRDefault="00C142D0" w:rsidP="00C142D0">
      <w:pPr>
        <w:spacing w:line="240" w:lineRule="auto"/>
        <w:rPr>
          <w:rFonts w:eastAsia="Times New Roman" w:cs="Arial"/>
          <w:i/>
          <w:iCs/>
          <w:color w:val="000000"/>
          <w:szCs w:val="20"/>
          <w:lang w:eastAsia="bg-BG"/>
        </w:rPr>
      </w:pPr>
    </w:p>
    <w:p w14:paraId="61440E29" w14:textId="010A7F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lastRenderedPageBreak/>
        <w:t>Литий:</w:t>
      </w:r>
      <w:r w:rsidRPr="00C142D0">
        <w:rPr>
          <w:rFonts w:eastAsia="Times New Roman" w:cs="Arial"/>
          <w:color w:val="000000"/>
          <w:szCs w:val="20"/>
          <w:lang w:eastAsia="bg-BG"/>
        </w:rPr>
        <w:t xml:space="preserve"> Има съобщения за обратими повишения на серумните концентрации на лития и токсичност при едновременното приложение на литий с АСЕ-инхибитори. Не се препоръчва приложението на периндоприл в комбинация с индапамид с литий, но ако комбинацията се окаже необходима, трябва да се извършва внимателно мониториране на серумните нива на лития (вж. точка 4.4).</w:t>
      </w:r>
    </w:p>
    <w:p w14:paraId="32DD2D03" w14:textId="77777777" w:rsidR="00C142D0" w:rsidRPr="00C142D0" w:rsidRDefault="00C142D0" w:rsidP="00C142D0">
      <w:pPr>
        <w:spacing w:line="240" w:lineRule="auto"/>
        <w:rPr>
          <w:rFonts w:eastAsia="Times New Roman" w:cs="Arial"/>
          <w:i/>
          <w:iCs/>
          <w:color w:val="000000"/>
          <w:szCs w:val="20"/>
          <w:u w:val="single"/>
          <w:lang w:eastAsia="bg-BG"/>
        </w:rPr>
      </w:pPr>
    </w:p>
    <w:p w14:paraId="0AE02C1D" w14:textId="006EB9D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спеииално внимание:</w:t>
      </w:r>
    </w:p>
    <w:p w14:paraId="354407AA" w14:textId="77777777" w:rsidR="00C142D0" w:rsidRPr="00C142D0" w:rsidRDefault="00C142D0" w:rsidP="00C142D0">
      <w:pPr>
        <w:spacing w:line="240" w:lineRule="auto"/>
        <w:rPr>
          <w:rFonts w:eastAsia="Times New Roman" w:cs="Arial"/>
          <w:i/>
          <w:iCs/>
          <w:color w:val="000000"/>
          <w:szCs w:val="20"/>
          <w:lang w:eastAsia="bg-BG"/>
        </w:rPr>
      </w:pPr>
    </w:p>
    <w:p w14:paraId="5509199E" w14:textId="6A14A67D"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Баклофен:</w:t>
      </w:r>
      <w:r w:rsidRPr="00C142D0">
        <w:rPr>
          <w:rFonts w:eastAsia="Times New Roman" w:cs="Arial"/>
          <w:color w:val="000000"/>
          <w:szCs w:val="20"/>
          <w:lang w:eastAsia="bg-BG"/>
        </w:rPr>
        <w:t xml:space="preserve"> Потенциране на антихипертензивния ефект. Да се проследява кръвното налягане и бъбречната функция и ако е необходимо, да се адаптира дозировката на антихипертензивното средство.</w:t>
      </w:r>
    </w:p>
    <w:p w14:paraId="6D5540FC" w14:textId="77777777" w:rsidR="00C142D0" w:rsidRPr="00C142D0" w:rsidRDefault="00C142D0" w:rsidP="00C142D0">
      <w:pPr>
        <w:spacing w:line="240" w:lineRule="auto"/>
        <w:rPr>
          <w:rFonts w:eastAsia="Times New Roman" w:cs="Arial"/>
          <w:i/>
          <w:iCs/>
          <w:color w:val="000000"/>
          <w:szCs w:val="20"/>
          <w:u w:val="single"/>
          <w:lang w:eastAsia="bg-BG"/>
        </w:rPr>
      </w:pPr>
    </w:p>
    <w:p w14:paraId="5928AE5E" w14:textId="0DE6E113"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 xml:space="preserve">Нестероидни противовъзпалителни средства (НСПВС) (включително аиетилсалииилова киселина &gt; 3 </w:t>
      </w:r>
      <w:r w:rsidRPr="00C142D0">
        <w:rPr>
          <w:rFonts w:eastAsia="Times New Roman" w:cs="Arial"/>
          <w:i/>
          <w:iCs/>
          <w:color w:val="000000"/>
          <w:szCs w:val="20"/>
          <w:u w:val="single"/>
          <w:lang w:val="en-US"/>
        </w:rPr>
        <w:t>g</w:t>
      </w:r>
      <w:r w:rsidRPr="00C142D0">
        <w:rPr>
          <w:rFonts w:eastAsia="Times New Roman" w:cs="Arial"/>
          <w:i/>
          <w:iCs/>
          <w:color w:val="000000"/>
          <w:szCs w:val="20"/>
          <w:u w:val="single"/>
          <w:lang w:eastAsia="bg-BG"/>
        </w:rPr>
        <w:t>/ден)</w:t>
      </w:r>
      <w:r w:rsidRPr="00C142D0">
        <w:rPr>
          <w:rFonts w:eastAsia="Times New Roman" w:cs="Arial"/>
          <w:i/>
          <w:iCs/>
          <w:color w:val="000000"/>
          <w:szCs w:val="20"/>
          <w:lang w:eastAsia="bg-BG"/>
        </w:rPr>
        <w:t>:</w:t>
      </w:r>
      <w:r w:rsidRPr="00C142D0">
        <w:rPr>
          <w:rFonts w:eastAsia="Times New Roman" w:cs="Arial"/>
          <w:color w:val="000000"/>
          <w:szCs w:val="20"/>
          <w:lang w:eastAsia="bg-BG"/>
        </w:rPr>
        <w:t xml:space="preserve"> Едновременното приложение с нестероидни противовъзпалителни средства (т.е. ацетилсалицилова киселина в противовъзпалителни дози, СОХ-2 инхибитори и неселективни НСПВС) може да намали антихипертензивния ефект на АСЕ-инхибиторите. Едновременното приложение на АСЕ-инхибитори и НСПВС може да доведе до повишен риск от влошаване на бъбречната функция, включително възможна остра бъбречна недостатъчност, и до повишаване на серумния калий, особено при пациенти с предшестващо нарушена бъбречна функция. Комбинацията трябва да се прилага с повишено внимание, особено при пациенти в старческа възраст. Необходимо е пациентите да бъдат адекватно хидратирани и да се обмисли проследяване на бъбречната функция след започване на едновременното лечение и периодично след това.</w:t>
      </w:r>
    </w:p>
    <w:p w14:paraId="0A88736F" w14:textId="77777777" w:rsidR="00C142D0" w:rsidRPr="00C142D0" w:rsidRDefault="00C142D0" w:rsidP="00C142D0">
      <w:pPr>
        <w:spacing w:line="240" w:lineRule="auto"/>
        <w:rPr>
          <w:rFonts w:eastAsia="Times New Roman" w:cs="Arial"/>
          <w:i/>
          <w:iCs/>
          <w:color w:val="000000"/>
          <w:szCs w:val="20"/>
          <w:u w:val="single"/>
          <w:lang w:eastAsia="bg-BG"/>
        </w:rPr>
      </w:pPr>
    </w:p>
    <w:p w14:paraId="08B6428A" w14:textId="7AAAEE64"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известно внимание:</w:t>
      </w:r>
    </w:p>
    <w:p w14:paraId="47A4F05C" w14:textId="77777777" w:rsidR="00C142D0" w:rsidRPr="00C142D0" w:rsidRDefault="00C142D0" w:rsidP="00C142D0">
      <w:pPr>
        <w:spacing w:line="240" w:lineRule="auto"/>
        <w:rPr>
          <w:rFonts w:eastAsia="Times New Roman" w:cs="Arial"/>
          <w:i/>
          <w:iCs/>
          <w:color w:val="000000"/>
          <w:szCs w:val="20"/>
          <w:lang w:eastAsia="bg-BG"/>
        </w:rPr>
      </w:pPr>
    </w:p>
    <w:p w14:paraId="53235B4F" w14:textId="0043E4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Антидепресанти от имипраминовата група (трициклични), невролептици:</w:t>
      </w:r>
      <w:r w:rsidRPr="00C142D0">
        <w:rPr>
          <w:rFonts w:eastAsia="Times New Roman" w:cs="Arial"/>
          <w:color w:val="000000"/>
          <w:szCs w:val="20"/>
          <w:lang w:eastAsia="bg-BG"/>
        </w:rPr>
        <w:t xml:space="preserve"> Повишен антихипертензивен ефект и повишен риск от ортостатична хипотония (адитивен ефект).</w:t>
      </w:r>
    </w:p>
    <w:p w14:paraId="1E4CB837" w14:textId="77777777" w:rsidR="00C142D0" w:rsidRPr="00C142D0" w:rsidRDefault="00C142D0" w:rsidP="00C142D0">
      <w:pPr>
        <w:rPr>
          <w:rFonts w:eastAsia="Times New Roman" w:cs="Arial"/>
          <w:color w:val="000000"/>
          <w:szCs w:val="20"/>
          <w:u w:val="single"/>
          <w:lang w:eastAsia="bg-BG"/>
        </w:rPr>
      </w:pPr>
    </w:p>
    <w:p w14:paraId="172AE819" w14:textId="2FC11B9A" w:rsidR="0091385D" w:rsidRPr="00C142D0" w:rsidRDefault="00C142D0" w:rsidP="00C142D0">
      <w:pPr>
        <w:rPr>
          <w:rFonts w:cs="Arial"/>
          <w:sz w:val="24"/>
        </w:rPr>
      </w:pPr>
      <w:r w:rsidRPr="00C142D0">
        <w:rPr>
          <w:rFonts w:eastAsia="Times New Roman" w:cs="Arial"/>
          <w:color w:val="000000"/>
          <w:szCs w:val="20"/>
          <w:u w:val="single"/>
          <w:lang w:eastAsia="bg-BG"/>
        </w:rPr>
        <w:t>Свързани с периндоприл</w:t>
      </w:r>
    </w:p>
    <w:p w14:paraId="0D5E976A"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Данни от клинични изпитвания показват, че двойното блокиране на ренин-ангиотензин- алдостероновата система (РААС) чрез комбинирано приложение на АСЕ-инхибитори, ангиотензин II-рецепторни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приложението само на едно средство, действащо върху РААС (вж. точки 4.3,</w:t>
      </w:r>
      <w:r w:rsidRPr="00C142D0">
        <w:rPr>
          <w:rFonts w:eastAsia="Times New Roman" w:cs="Arial"/>
          <w:color w:val="000000"/>
          <w:szCs w:val="20"/>
          <w:lang w:val="en-US"/>
        </w:rPr>
        <w:t xml:space="preserve"> </w:t>
      </w:r>
      <w:r w:rsidRPr="00C142D0">
        <w:rPr>
          <w:rFonts w:eastAsia="Times New Roman" w:cs="Arial"/>
          <w:color w:val="000000"/>
          <w:szCs w:val="20"/>
          <w:lang w:eastAsia="bg-BG"/>
        </w:rPr>
        <w:t>4.4 и 5.1).</w:t>
      </w:r>
    </w:p>
    <w:p w14:paraId="785699DA" w14:textId="77777777" w:rsidR="00C142D0" w:rsidRPr="00C142D0" w:rsidRDefault="00C142D0" w:rsidP="00C142D0">
      <w:pPr>
        <w:spacing w:line="240" w:lineRule="auto"/>
        <w:rPr>
          <w:rFonts w:eastAsia="Times New Roman" w:cs="Arial"/>
          <w:i/>
          <w:iCs/>
          <w:color w:val="000000"/>
          <w:szCs w:val="20"/>
          <w:lang w:eastAsia="bg-BG"/>
        </w:rPr>
      </w:pPr>
    </w:p>
    <w:p w14:paraId="00E36F0A" w14:textId="7DB3DDF2"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Лекарства, повишаващи риска от ангиоедем</w:t>
      </w:r>
    </w:p>
    <w:p w14:paraId="30278895"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точки 43 и 4.4). Сакубитрил/валсартан не трябва да се започва до 36 часа след приема на последната доза от терапията с периндоприл.</w:t>
      </w:r>
    </w:p>
    <w:p w14:paraId="77AF8D9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Лечението с периндоприл не трябва да започва до 36 часа след последната доза сакубитрил/валсартан (вж. точки 43 и 4.4).</w:t>
      </w:r>
    </w:p>
    <w:p w14:paraId="24D736C1"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 xml:space="preserve">Съпътстващата употреба на АСЕ инхибитори с рацекадотрил, </w:t>
      </w:r>
      <w:r w:rsidRPr="00C142D0">
        <w:rPr>
          <w:rFonts w:eastAsia="Times New Roman" w:cs="Arial"/>
          <w:color w:val="000000"/>
          <w:szCs w:val="20"/>
          <w:lang w:val="en-US"/>
        </w:rPr>
        <w:t xml:space="preserve">mTOR </w:t>
      </w:r>
      <w:r w:rsidRPr="00C142D0">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(вж. точка 4.4).</w:t>
      </w:r>
    </w:p>
    <w:p w14:paraId="788ABE4F" w14:textId="77777777" w:rsidR="00C142D0" w:rsidRPr="00C142D0" w:rsidRDefault="00C142D0" w:rsidP="00C142D0">
      <w:pPr>
        <w:spacing w:line="240" w:lineRule="auto"/>
        <w:rPr>
          <w:rFonts w:eastAsia="Times New Roman" w:cs="Arial"/>
          <w:i/>
          <w:iCs/>
          <w:color w:val="000000"/>
          <w:szCs w:val="20"/>
          <w:u w:val="single"/>
          <w:lang w:eastAsia="bg-BG"/>
        </w:rPr>
      </w:pPr>
    </w:p>
    <w:p w14:paraId="6F5C4D06" w14:textId="1637DFA0"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Лекарства, предизвикващи хиперкалиемия</w:t>
      </w:r>
    </w:p>
    <w:p w14:paraId="4303C0E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lastRenderedPageBreak/>
        <w:t>Въпреки че серумният калий обикновено остава в нормални граници, при някои пациенти, лекувани с Роксипер, може да се появи хиперкалиемия. Някои лекарства или терапевтични класове мога да увеличат честотата на хиперкалиемия: алискирен, калиеви соли, калий- съхраняващи диуретици (напр. спиронолактон, триамтерен и амилорид), АСЕ инхибитори, антагонисти на ангиотензин-II рецепторите, НСПВС, хепарин, имуносупресиращи лекарствени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от тези лекарства увеличава риска от хиперкалиемия. Поради това не се препоръчва комбинирането на Роксипер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521FB0C9" w14:textId="77777777" w:rsidR="00C142D0" w:rsidRPr="00C142D0" w:rsidRDefault="00C142D0" w:rsidP="00C142D0">
      <w:pPr>
        <w:spacing w:line="240" w:lineRule="auto"/>
        <w:rPr>
          <w:rFonts w:eastAsia="Times New Roman" w:cs="Arial"/>
          <w:i/>
          <w:iCs/>
          <w:color w:val="000000"/>
          <w:szCs w:val="20"/>
          <w:u w:val="single"/>
          <w:lang w:eastAsia="bg-BG"/>
        </w:rPr>
      </w:pPr>
    </w:p>
    <w:p w14:paraId="020B98EA" w14:textId="2D5933A9"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е противопоказано (вж. точка 4.3):</w:t>
      </w:r>
    </w:p>
    <w:p w14:paraId="0CE65504" w14:textId="77777777" w:rsidR="00C142D0" w:rsidRPr="00C142D0" w:rsidRDefault="00C142D0" w:rsidP="00C142D0">
      <w:pPr>
        <w:spacing w:line="240" w:lineRule="auto"/>
        <w:rPr>
          <w:rFonts w:eastAsia="Times New Roman" w:cs="Arial"/>
          <w:i/>
          <w:iCs/>
          <w:color w:val="000000"/>
          <w:szCs w:val="20"/>
          <w:lang w:eastAsia="bg-BG"/>
        </w:rPr>
      </w:pPr>
    </w:p>
    <w:p w14:paraId="11F5F153" w14:textId="24CDF96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с диабет или нарушена бъбречна фунция се увеличава риска от хиперкалиемия, влошаване на бъбречната функция и сърдечносъдовата заболеваемост и смъртност.</w:t>
      </w:r>
    </w:p>
    <w:p w14:paraId="0253E4B6" w14:textId="77777777" w:rsidR="00C142D0" w:rsidRPr="00C142D0" w:rsidRDefault="00C142D0" w:rsidP="00C142D0">
      <w:pPr>
        <w:spacing w:line="240" w:lineRule="auto"/>
        <w:rPr>
          <w:rFonts w:eastAsia="Times New Roman" w:cs="Arial"/>
          <w:i/>
          <w:iCs/>
          <w:color w:val="000000"/>
          <w:szCs w:val="20"/>
          <w:lang w:eastAsia="bg-BG"/>
        </w:rPr>
      </w:pPr>
    </w:p>
    <w:p w14:paraId="2337A5FE" w14:textId="7B583771"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Екстракорпорални лечения:</w:t>
      </w:r>
      <w:r w:rsidRPr="00C142D0">
        <w:rPr>
          <w:rFonts w:eastAsia="Times New Roman" w:cs="Arial"/>
          <w:color w:val="000000"/>
          <w:szCs w:val="20"/>
          <w:lang w:eastAsia="bg-BG"/>
        </w:rPr>
        <w:t xml:space="preserve"> 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48D0BADF" w14:textId="77777777" w:rsidR="00C142D0" w:rsidRPr="00C142D0" w:rsidRDefault="00C142D0" w:rsidP="00C142D0">
      <w:pPr>
        <w:spacing w:line="240" w:lineRule="auto"/>
        <w:rPr>
          <w:rFonts w:eastAsia="Times New Roman" w:cs="Arial"/>
          <w:i/>
          <w:iCs/>
          <w:color w:val="000000"/>
          <w:szCs w:val="20"/>
          <w:u w:val="single"/>
          <w:lang w:eastAsia="bg-BG"/>
        </w:rPr>
      </w:pPr>
    </w:p>
    <w:p w14:paraId="28E7CB87" w14:textId="6779DAE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Съпътстваща употреба, която не се препоръчва:</w:t>
      </w:r>
    </w:p>
    <w:p w14:paraId="3D099E52" w14:textId="77777777" w:rsidR="00C142D0" w:rsidRPr="00C142D0" w:rsidRDefault="00C142D0" w:rsidP="00C142D0">
      <w:pPr>
        <w:spacing w:line="240" w:lineRule="auto"/>
        <w:rPr>
          <w:rFonts w:eastAsia="Times New Roman" w:cs="Arial"/>
          <w:i/>
          <w:iCs/>
          <w:color w:val="000000"/>
          <w:szCs w:val="20"/>
          <w:lang w:eastAsia="bg-BG"/>
        </w:rPr>
      </w:pPr>
    </w:p>
    <w:p w14:paraId="5F77D41B" w14:textId="35C40BE8"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без диабет или нарушена бъбречна функция се увеличава риска от хиперкалиемия, влошаване на бъбречната функция и сърдечносъдова заболеваемост и смъртност.</w:t>
      </w:r>
      <w:r w:rsidRPr="00C142D0">
        <w:rPr>
          <w:rFonts w:eastAsia="Times New Roman" w:cs="Arial"/>
          <w:color w:val="000000"/>
          <w:szCs w:val="20"/>
          <w:lang w:eastAsia="bg-BG"/>
        </w:rPr>
        <w:tab/>
      </w:r>
    </w:p>
    <w:p w14:paraId="14E86B78" w14:textId="77777777" w:rsidR="00C142D0" w:rsidRPr="00C142D0" w:rsidRDefault="00C142D0" w:rsidP="00C142D0">
      <w:pPr>
        <w:spacing w:line="240" w:lineRule="auto"/>
        <w:rPr>
          <w:rFonts w:eastAsia="Times New Roman" w:cs="Arial"/>
          <w:i/>
          <w:iCs/>
          <w:color w:val="000000"/>
          <w:szCs w:val="20"/>
          <w:lang w:eastAsia="bg-BG"/>
        </w:rPr>
      </w:pPr>
    </w:p>
    <w:p w14:paraId="2ECFE872" w14:textId="77777777" w:rsidR="0055561C" w:rsidRPr="009C6A04" w:rsidRDefault="00C142D0" w:rsidP="0055561C">
      <w:pPr>
        <w:rPr>
          <w:rFonts w:eastAsia="Times New Roman" w:cs="Arial"/>
          <w:sz w:val="28"/>
          <w:szCs w:val="24"/>
          <w:lang w:eastAsia="bg-BG"/>
        </w:rPr>
      </w:pPr>
      <w:r w:rsidRPr="00C142D0">
        <w:rPr>
          <w:rFonts w:eastAsia="Times New Roman" w:cs="Arial"/>
          <w:i/>
          <w:iCs/>
          <w:color w:val="000000"/>
          <w:szCs w:val="20"/>
          <w:lang w:eastAsia="bg-BG"/>
        </w:rPr>
        <w:t>Комбинирано лечение с АСЕ инхибитор и ангиотензин-рецепторен блокер:</w:t>
      </w:r>
      <w:r w:rsidRPr="00C142D0">
        <w:rPr>
          <w:rFonts w:eastAsia="Times New Roman" w:cs="Arial"/>
          <w:color w:val="000000"/>
          <w:szCs w:val="20"/>
          <w:lang w:eastAsia="bg-BG"/>
        </w:rPr>
        <w:t xml:space="preserve"> 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w:t>
      </w:r>
      <w:r w:rsidRPr="00C142D0">
        <w:rPr>
          <w:rFonts w:eastAsia="Times New Roman" w:cs="Arial"/>
          <w:color w:val="000000"/>
          <w:szCs w:val="20"/>
          <w:lang w:val="en-US"/>
        </w:rPr>
        <w:t>ACE-</w:t>
      </w:r>
      <w:r w:rsidRPr="00C142D0">
        <w:rPr>
          <w:rFonts w:eastAsia="Times New Roman" w:cs="Arial"/>
          <w:color w:val="000000"/>
          <w:szCs w:val="20"/>
          <w:lang w:eastAsia="bg-BG"/>
        </w:rPr>
        <w:t>инхибитор и ангиотензин-рецепторен блокер е свързано с повишена честота на хипотония, синкоп, хиперкалиемия и влошаване на бъбречната функция (включително остра бъбречна</w:t>
      </w:r>
      <w:r>
        <w:rPr>
          <w:rFonts w:eastAsia="Times New Roman" w:cs="Arial"/>
          <w:color w:val="000000"/>
          <w:szCs w:val="20"/>
          <w:lang w:eastAsia="bg-BG"/>
        </w:rPr>
        <w:t xml:space="preserve"> </w:t>
      </w:r>
      <w:r w:rsidR="0055561C" w:rsidRPr="009C6A04">
        <w:rPr>
          <w:rFonts w:eastAsia="Times New Roman" w:cs="Arial"/>
          <w:color w:val="000000"/>
          <w:szCs w:val="20"/>
          <w:lang w:eastAsia="bg-BG"/>
        </w:rPr>
        <w:t>недостатъчност) в сравнение с употребата на един ренин-ангиотензин-алдостерон - действащ агент. Двойното блокиране (напр. чрез комбиниране на АСЕ инхибитор с антагонист на ангиотензин-II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5450D552" w14:textId="77777777" w:rsidR="0055561C" w:rsidRPr="009C6A04" w:rsidRDefault="0055561C" w:rsidP="0055561C">
      <w:pPr>
        <w:spacing w:line="240" w:lineRule="auto"/>
        <w:rPr>
          <w:rFonts w:eastAsia="Times New Roman" w:cs="Arial"/>
          <w:i/>
          <w:iCs/>
          <w:color w:val="000000"/>
          <w:szCs w:val="20"/>
          <w:lang w:eastAsia="bg-BG"/>
        </w:rPr>
      </w:pPr>
    </w:p>
    <w:p w14:paraId="7915251E" w14:textId="2811F781"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Естрамутин:</w:t>
      </w:r>
      <w:r w:rsidRPr="009C6A04">
        <w:rPr>
          <w:rFonts w:eastAsia="Times New Roman" w:cs="Arial"/>
          <w:color w:val="000000"/>
          <w:szCs w:val="20"/>
          <w:lang w:eastAsia="bg-BG"/>
        </w:rPr>
        <w:t xml:space="preserve"> Риск от увеличаване на нежеланите реакции, като ангионевротичен оток (ангиоедем).</w:t>
      </w:r>
    </w:p>
    <w:p w14:paraId="7C616CF0" w14:textId="77777777" w:rsidR="0055561C" w:rsidRPr="009C6A04" w:rsidRDefault="0055561C" w:rsidP="0055561C">
      <w:pPr>
        <w:spacing w:line="240" w:lineRule="auto"/>
        <w:rPr>
          <w:rFonts w:eastAsia="Times New Roman" w:cs="Arial"/>
          <w:i/>
          <w:iCs/>
          <w:color w:val="000000"/>
          <w:szCs w:val="20"/>
          <w:lang w:eastAsia="bg-BG"/>
        </w:rPr>
      </w:pPr>
    </w:p>
    <w:p w14:paraId="3B3DE995" w14:textId="3C14933D"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(спиронолактон, триамтерен, самостоятелно или в комбинации), калиеви соли:</w:t>
      </w:r>
      <w:r w:rsidRPr="009C6A04">
        <w:rPr>
          <w:rFonts w:eastAsia="Times New Roman" w:cs="Arial"/>
          <w:i/>
          <w:iCs/>
          <w:color w:val="000000"/>
          <w:szCs w:val="20"/>
          <w:lang w:val="en-US"/>
        </w:rPr>
        <w:t xml:space="preserve"> </w:t>
      </w:r>
      <w:r w:rsidRPr="009C6A04">
        <w:rPr>
          <w:rFonts w:eastAsia="Times New Roman" w:cs="Arial"/>
          <w:color w:val="000000"/>
          <w:szCs w:val="20"/>
          <w:lang w:eastAsia="bg-BG"/>
        </w:rPr>
        <w:t xml:space="preserve">Хиперкалиемия (потенциално фатална), особено във връзка с бъбречно увреждане (допълнителни хиперкалиемични ефекти). Не се препоръчва </w:t>
      </w:r>
      <w:r w:rsidRPr="009C6A04">
        <w:rPr>
          <w:rFonts w:eastAsia="Times New Roman" w:cs="Arial"/>
          <w:color w:val="000000"/>
          <w:szCs w:val="20"/>
          <w:lang w:eastAsia="bg-BG"/>
        </w:rPr>
        <w:lastRenderedPageBreak/>
        <w:t>комбинирането на периндоприл с гореспоменатите лекарства. Ако въпреки това е показана съпътстваща употреба, те трябва да се използват с повишено внимание и при често проследяване на серумния калий. За употребата на спиронолактон при сърдечна недостатъчност вижте точка „Едновременно приложение, която изисква специално внимание“.</w:t>
      </w:r>
    </w:p>
    <w:p w14:paraId="2D36BD89" w14:textId="77777777" w:rsidR="0055561C" w:rsidRPr="009C6A04" w:rsidRDefault="0055561C" w:rsidP="0055561C">
      <w:pPr>
        <w:spacing w:line="240" w:lineRule="auto"/>
        <w:rPr>
          <w:rFonts w:eastAsia="Times New Roman" w:cs="Arial"/>
          <w:i/>
          <w:iCs/>
          <w:color w:val="000000"/>
          <w:szCs w:val="20"/>
          <w:u w:val="single"/>
          <w:lang w:eastAsia="bg-BG"/>
        </w:rPr>
      </w:pPr>
    </w:p>
    <w:p w14:paraId="5136D25E" w14:textId="532E2B0F"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Съпътстваша употреба, която изисква специално внимание:</w:t>
      </w:r>
    </w:p>
    <w:p w14:paraId="06D0B0CA" w14:textId="77777777" w:rsidR="009C6A04" w:rsidRDefault="009C6A04" w:rsidP="0055561C">
      <w:pPr>
        <w:spacing w:line="240" w:lineRule="auto"/>
        <w:rPr>
          <w:rFonts w:eastAsia="Times New Roman" w:cs="Arial"/>
          <w:i/>
          <w:iCs/>
          <w:color w:val="000000"/>
          <w:szCs w:val="20"/>
          <w:lang w:eastAsia="bg-BG"/>
        </w:rPr>
      </w:pPr>
    </w:p>
    <w:p w14:paraId="3F3146CD" w14:textId="2B8ACC69"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Антидиабетни средства (инсулин, орални хипогликемични агенти, съобщения с каптоприл и еналаприл):</w:t>
      </w:r>
      <w:r w:rsidRPr="009C6A04">
        <w:rPr>
          <w:rFonts w:eastAsia="Times New Roman" w:cs="Arial"/>
          <w:color w:val="000000"/>
          <w:szCs w:val="20"/>
          <w:lang w:eastAsia="bg-BG"/>
        </w:rPr>
        <w:t xml:space="preserve"> Епидемиологичните проучвания предполагат, че едновременното приложение на АСЕ инхибитори и антидиабетни лекарствено средства (инсулини, орални хипогликемични средства) може да доведе до засилен ефект на понижаване на кръвната захар с риск от хипогликемия. Това явление изглежда е по-вероятно да възникне през първите седмици на комбинираното лечение и при пациенти с бъбречна недостатъчност.</w:t>
      </w:r>
    </w:p>
    <w:p w14:paraId="5D303D2B" w14:textId="77777777" w:rsidR="0055561C" w:rsidRPr="009C6A04" w:rsidRDefault="0055561C" w:rsidP="0055561C">
      <w:pPr>
        <w:spacing w:line="240" w:lineRule="auto"/>
        <w:rPr>
          <w:rFonts w:eastAsia="Times New Roman" w:cs="Arial"/>
          <w:i/>
          <w:iCs/>
          <w:color w:val="000000"/>
          <w:szCs w:val="20"/>
          <w:lang w:eastAsia="bg-BG"/>
        </w:rPr>
      </w:pPr>
    </w:p>
    <w:p w14:paraId="6075FA77" w14:textId="7A63AEA7"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Калий-несъхраняващи диуретици:</w:t>
      </w:r>
      <w:r w:rsidRPr="009C6A04">
        <w:rPr>
          <w:rFonts w:eastAsia="Times New Roman" w:cs="Arial"/>
          <w:color w:val="000000"/>
          <w:szCs w:val="20"/>
          <w:lang w:eastAsia="bg-BG"/>
        </w:rPr>
        <w:t xml:space="preserve"> Пациентите, приемащи диуретици, и особено тези, които са със загуба на обем и/или соли, могат да получат прекомерно понижаване на кръвното налягане след започване на лечение с АСЕ инхибитор. Възможността за хипотонични ефекти може да бъде намалена чрез спиране на диуретика или чрез увеличаване на обема или приема на соли преди началото на лечение с ниски и постепенно нарастващи дози периндоприл.</w:t>
      </w:r>
    </w:p>
    <w:p w14:paraId="291698D3" w14:textId="15B4B97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артериална хипертония,</w:t>
      </w:r>
      <w:r w:rsidRPr="009C6A04">
        <w:rPr>
          <w:rFonts w:eastAsia="Times New Roman" w:cs="Arial"/>
          <w:color w:val="000000"/>
          <w:szCs w:val="20"/>
          <w:lang w:eastAsia="bg-BG"/>
        </w:rPr>
        <w:t xml:space="preserve"> когато предшишното лечение с диуретик може да е причинило загуба на солти/обем, трябва или преди започването на лечението на АСЕ инхибитор да се спре диуретикът (в такъв случай може в последствие да се въведе повторно калий-несъхраняващ диуретик), или приемът на АСЕ инхибитор да се започне с ниска доза и тя постепенно да се увеличава.</w:t>
      </w:r>
    </w:p>
    <w:p w14:paraId="62F19836" w14:textId="0F1AE44B"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застойна сърдечна недостатъчност, лекувана с диуретик,</w:t>
      </w:r>
      <w:r w:rsidRPr="009C6A04">
        <w:rPr>
          <w:rFonts w:eastAsia="Times New Roman" w:cs="Arial"/>
          <w:color w:val="000000"/>
          <w:szCs w:val="20"/>
          <w:lang w:eastAsia="bg-BG"/>
        </w:rPr>
        <w:t xml:space="preserve"> приемът на АСЕ инхибитор трябва да се започне с много ниска доза, по възможност след намаляване на дозата на свързания с калий-несъхраняващ диуретик.</w:t>
      </w:r>
    </w:p>
    <w:p w14:paraId="69694D58"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Във всички случаи трябва да се наблюдава бъбречната функция (нивата на креатинин) през първите няколко седмици от лечението с АСЕ инхибитор.</w:t>
      </w:r>
    </w:p>
    <w:p w14:paraId="7F926D8B" w14:textId="77777777" w:rsidR="0055561C" w:rsidRPr="009C6A04" w:rsidRDefault="0055561C" w:rsidP="0055561C">
      <w:pPr>
        <w:spacing w:line="240" w:lineRule="auto"/>
        <w:rPr>
          <w:rFonts w:eastAsia="Times New Roman" w:cs="Arial"/>
          <w:i/>
          <w:iCs/>
          <w:color w:val="000000"/>
          <w:szCs w:val="20"/>
          <w:lang w:eastAsia="bg-BG"/>
        </w:rPr>
      </w:pPr>
    </w:p>
    <w:p w14:paraId="07C9213B" w14:textId="3683F673"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(еплеренон, спиронолактон):</w:t>
      </w:r>
      <w:r w:rsidRPr="009C6A04">
        <w:rPr>
          <w:rFonts w:eastAsia="Times New Roman" w:cs="Arial"/>
          <w:color w:val="000000"/>
          <w:szCs w:val="20"/>
          <w:lang w:eastAsia="bg-BG"/>
        </w:rPr>
        <w:t xml:space="preserve"> с еплеренон или спиронолактон в дози между 12,5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 50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дневно и с АСЕ инхибитори в ниски дози: При лечение на сърдечна недостатъчност клас II-IV </w:t>
      </w:r>
      <w:r w:rsidRPr="009C6A04">
        <w:rPr>
          <w:rFonts w:eastAsia="Times New Roman" w:cs="Arial"/>
          <w:color w:val="000000"/>
          <w:szCs w:val="20"/>
          <w:lang w:val="en-US"/>
        </w:rPr>
        <w:t xml:space="preserve">(NYHA) </w:t>
      </w:r>
      <w:r w:rsidRPr="009C6A04">
        <w:rPr>
          <w:rFonts w:eastAsia="Times New Roman" w:cs="Arial"/>
          <w:color w:val="000000"/>
          <w:szCs w:val="20"/>
          <w:lang w:eastAsia="bg-BG"/>
        </w:rPr>
        <w:t>с фракция на изтласкване &lt; 40%, и предишно лечение с АСЕ инхибитори и бримкови диуретици съществува риск от потенциално фатална хиперкалиемия, особено при неспазване на предписаните препоръките за тази комбинация. Преди започване на комбинираното лечение, проверете отсъствието на хиперкалиемия и бъбречно увреждане.</w:t>
      </w:r>
    </w:p>
    <w:p w14:paraId="4A0C9C5D"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Препоръчва се не посредствен но наблюдение за калемия и креатининемия ежеседмично през първия месец от лечението и ежемесечно след това.</w:t>
      </w:r>
    </w:p>
    <w:p w14:paraId="13C778DD" w14:textId="77777777" w:rsidR="0055561C" w:rsidRPr="009C6A04" w:rsidRDefault="0055561C" w:rsidP="0055561C">
      <w:pPr>
        <w:spacing w:line="240" w:lineRule="auto"/>
        <w:rPr>
          <w:rFonts w:eastAsia="Times New Roman" w:cs="Arial"/>
          <w:i/>
          <w:iCs/>
          <w:color w:val="000000"/>
          <w:szCs w:val="20"/>
          <w:u w:val="single"/>
          <w:lang w:eastAsia="bg-BG"/>
        </w:rPr>
      </w:pPr>
    </w:p>
    <w:p w14:paraId="60D78402" w14:textId="2F81708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 употреба, която изисква известно внимание:</w:t>
      </w:r>
    </w:p>
    <w:p w14:paraId="1B8B89B2" w14:textId="77777777" w:rsidR="0055561C" w:rsidRPr="009C6A04" w:rsidRDefault="0055561C" w:rsidP="0055561C">
      <w:pPr>
        <w:spacing w:line="240" w:lineRule="auto"/>
        <w:rPr>
          <w:rFonts w:eastAsia="Times New Roman" w:cs="Arial"/>
          <w:i/>
          <w:iCs/>
          <w:color w:val="000000"/>
          <w:szCs w:val="20"/>
          <w:lang w:eastAsia="bg-BG"/>
        </w:rPr>
      </w:pPr>
    </w:p>
    <w:p w14:paraId="30968C25" w14:textId="517FB68B" w:rsidR="009C6A04" w:rsidRPr="009C6A04" w:rsidRDefault="0055561C"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Антихипертензивни средства и вазодилататори:</w:t>
      </w:r>
      <w:r w:rsidRPr="009C6A04">
        <w:rPr>
          <w:rFonts w:eastAsia="Times New Roman" w:cs="Arial"/>
          <w:color w:val="000000"/>
          <w:szCs w:val="20"/>
          <w:lang w:eastAsia="bg-BG"/>
        </w:rPr>
        <w:t xml:space="preserve"> Едновременната употреба на тези средства</w:t>
      </w:r>
      <w:r w:rsidR="009C6A04">
        <w:rPr>
          <w:rFonts w:eastAsia="Times New Roman" w:cs="Arial"/>
          <w:sz w:val="28"/>
          <w:szCs w:val="24"/>
          <w:lang w:eastAsia="bg-BG"/>
        </w:rPr>
        <w:t xml:space="preserve"> </w:t>
      </w:r>
      <w:r w:rsidRPr="009C6A04">
        <w:rPr>
          <w:rFonts w:eastAsia="Times New Roman" w:cs="Arial"/>
          <w:color w:val="000000"/>
          <w:szCs w:val="20"/>
          <w:lang w:eastAsia="bg-BG"/>
        </w:rPr>
        <w:t>може да повиши хипотоничния ефект на периндоприл. Едновременната употреба с нитроглицерин и други нитрати или други вазодилататори може допълнително да понижи</w:t>
      </w:r>
      <w:r w:rsidR="009C6A04" w:rsidRPr="009C6A04">
        <w:rPr>
          <w:rFonts w:eastAsia="Times New Roman" w:cs="Arial"/>
          <w:color w:val="000000"/>
          <w:szCs w:val="20"/>
          <w:lang w:eastAsia="bg-BG"/>
        </w:rPr>
        <w:t xml:space="preserve"> кръвното налягане.</w:t>
      </w:r>
    </w:p>
    <w:p w14:paraId="2450C6CC" w14:textId="77777777" w:rsidR="009C6A04" w:rsidRPr="009C6A04" w:rsidRDefault="009C6A04" w:rsidP="009C6A04">
      <w:pPr>
        <w:spacing w:line="240" w:lineRule="auto"/>
        <w:rPr>
          <w:rFonts w:eastAsia="Times New Roman" w:cs="Arial"/>
          <w:i/>
          <w:iCs/>
          <w:color w:val="000000"/>
          <w:szCs w:val="20"/>
          <w:lang w:eastAsia="bg-BG"/>
        </w:rPr>
      </w:pPr>
    </w:p>
    <w:p w14:paraId="1A8B464E" w14:textId="55B538C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lastRenderedPageBreak/>
        <w:t>Алопуринол, цитостатични или имуносупресивни средства, кортикостероиди (системна употреба) или прокаинамид:</w:t>
      </w:r>
      <w:r w:rsidRPr="009C6A04">
        <w:rPr>
          <w:rFonts w:eastAsia="Times New Roman" w:cs="Arial"/>
          <w:color w:val="000000"/>
          <w:szCs w:val="20"/>
          <w:lang w:eastAsia="bg-BG"/>
        </w:rPr>
        <w:t xml:space="preserve"> Едновременното приложение на тези лекарства с АСЕ- инхибитори може да доведе до повишен риск от левкопения (вж. точка 4.4).</w:t>
      </w:r>
    </w:p>
    <w:p w14:paraId="6F5CC9C3" w14:textId="77777777" w:rsidR="009C6A04" w:rsidRPr="009C6A04" w:rsidRDefault="009C6A04" w:rsidP="009C6A04">
      <w:pPr>
        <w:spacing w:line="240" w:lineRule="auto"/>
        <w:rPr>
          <w:rFonts w:eastAsia="Times New Roman" w:cs="Arial"/>
          <w:i/>
          <w:iCs/>
          <w:color w:val="000000"/>
          <w:szCs w:val="20"/>
          <w:lang w:eastAsia="bg-BG"/>
        </w:rPr>
      </w:pPr>
    </w:p>
    <w:p w14:paraId="6C14D029" w14:textId="4450EB3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Анестетици:</w:t>
      </w:r>
      <w:r w:rsidRPr="009C6A04">
        <w:rPr>
          <w:rFonts w:eastAsia="Times New Roman" w:cs="Arial"/>
          <w:color w:val="000000"/>
          <w:szCs w:val="20"/>
          <w:lang w:eastAsia="bg-BG"/>
        </w:rPr>
        <w:t xml:space="preserve"> АСЕ-инхибиторите могат да засилят хипотензивните ефекти на определени анестетици (вж. точка 4.4).</w:t>
      </w:r>
    </w:p>
    <w:p w14:paraId="2DBCF006" w14:textId="77777777" w:rsidR="009C6A04" w:rsidRPr="009C6A04" w:rsidRDefault="009C6A04" w:rsidP="009C6A04">
      <w:pPr>
        <w:spacing w:line="240" w:lineRule="auto"/>
        <w:rPr>
          <w:rFonts w:eastAsia="Times New Roman" w:cs="Arial"/>
          <w:i/>
          <w:iCs/>
          <w:color w:val="000000"/>
          <w:szCs w:val="20"/>
          <w:lang w:eastAsia="bg-BG"/>
        </w:rPr>
      </w:pPr>
    </w:p>
    <w:p w14:paraId="7582AD14" w14:textId="505A27F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Златни препарати:</w:t>
      </w:r>
      <w:r w:rsidRPr="009C6A04">
        <w:rPr>
          <w:rFonts w:eastAsia="Times New Roman" w:cs="Arial"/>
          <w:color w:val="000000"/>
          <w:szCs w:val="20"/>
          <w:lang w:eastAsia="bg-BG"/>
        </w:rPr>
        <w:t xml:space="preserve"> Рядко се съобщава за нитритоидни реакции (симптомите включват зачервяване на лицето, гадене, повръщане и хипотония) при пациенти на лечение с инжекционно прилагано злато (натриев ауротиомалат) и едновременна терапия с АСЕ- инхибитор, включително периндоприл.</w:t>
      </w:r>
    </w:p>
    <w:p w14:paraId="0F7D2DFE" w14:textId="77777777" w:rsidR="009C6A04" w:rsidRPr="009C6A04" w:rsidRDefault="009C6A04" w:rsidP="009C6A04">
      <w:pPr>
        <w:spacing w:line="240" w:lineRule="auto"/>
        <w:rPr>
          <w:rFonts w:eastAsia="Times New Roman" w:cs="Arial"/>
          <w:i/>
          <w:iCs/>
          <w:color w:val="000000"/>
          <w:szCs w:val="20"/>
          <w:lang w:eastAsia="bg-BG"/>
        </w:rPr>
      </w:pPr>
    </w:p>
    <w:p w14:paraId="3136BF98" w14:textId="42FA182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Симпатикомиметици:</w:t>
      </w:r>
      <w:r w:rsidRPr="009C6A04">
        <w:rPr>
          <w:rFonts w:eastAsia="Times New Roman" w:cs="Arial"/>
          <w:color w:val="000000"/>
          <w:szCs w:val="20"/>
          <w:lang w:eastAsia="bg-BG"/>
        </w:rPr>
        <w:t xml:space="preserve"> Симпатикомиметиците могат да понижат антихипертензивния ефект на АСЕ инхибиторите.</w:t>
      </w:r>
    </w:p>
    <w:p w14:paraId="2BC86C93" w14:textId="77777777" w:rsidR="009C6A04" w:rsidRPr="009C6A04" w:rsidRDefault="009C6A04" w:rsidP="009C6A04">
      <w:pPr>
        <w:spacing w:line="240" w:lineRule="auto"/>
        <w:rPr>
          <w:rFonts w:eastAsia="Times New Roman" w:cs="Arial"/>
          <w:color w:val="000000"/>
          <w:szCs w:val="20"/>
          <w:u w:val="single"/>
          <w:lang w:eastAsia="bg-BG"/>
        </w:rPr>
      </w:pPr>
    </w:p>
    <w:p w14:paraId="1C60F047" w14:textId="7E235031"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индапамид</w:t>
      </w:r>
    </w:p>
    <w:p w14:paraId="1980D2CA" w14:textId="77777777" w:rsidR="009C6A04" w:rsidRPr="009C6A04" w:rsidRDefault="009C6A04" w:rsidP="009C6A04">
      <w:pPr>
        <w:spacing w:line="240" w:lineRule="auto"/>
        <w:rPr>
          <w:rFonts w:eastAsia="Times New Roman" w:cs="Arial"/>
          <w:i/>
          <w:iCs/>
          <w:color w:val="000000"/>
          <w:szCs w:val="20"/>
          <w:u w:val="single"/>
          <w:lang w:eastAsia="bg-BG"/>
        </w:rPr>
      </w:pPr>
    </w:p>
    <w:p w14:paraId="4DEEA743" w14:textId="519D458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Едновременно приложение, което изисква специално внимание;</w:t>
      </w:r>
    </w:p>
    <w:p w14:paraId="3F08D9EE" w14:textId="77777777" w:rsidR="009C6A04" w:rsidRPr="009C6A04" w:rsidRDefault="009C6A04" w:rsidP="009C6A04">
      <w:pPr>
        <w:spacing w:line="240" w:lineRule="auto"/>
        <w:rPr>
          <w:rFonts w:eastAsia="Times New Roman" w:cs="Arial"/>
          <w:i/>
          <w:iCs/>
          <w:color w:val="000000"/>
          <w:szCs w:val="20"/>
          <w:lang w:eastAsia="bg-BG"/>
        </w:rPr>
      </w:pPr>
    </w:p>
    <w:p w14:paraId="57939C84" w14:textId="3B12105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Лекарствени продукти, предизвикващи </w:t>
      </w:r>
      <w:r w:rsidRPr="009C6A04">
        <w:rPr>
          <w:rFonts w:eastAsia="Times New Roman" w:cs="Arial"/>
          <w:i/>
          <w:iCs/>
          <w:color w:val="000000"/>
          <w:szCs w:val="20"/>
          <w:lang w:val="en-US"/>
        </w:rPr>
        <w:t>torsades depointes: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Поради риска от хипокалиемия, индапамид трябва да се прилага с повишено внимание, когато се комбинира с лекарствени продукти, предизвикващи </w:t>
      </w:r>
      <w:r w:rsidRPr="009C6A04">
        <w:rPr>
          <w:rFonts w:eastAsia="Times New Roman" w:cs="Arial"/>
          <w:i/>
          <w:iCs/>
          <w:color w:val="000000"/>
          <w:szCs w:val="20"/>
          <w:lang w:val="en-US"/>
        </w:rPr>
        <w:t>torsades de 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като но не само: клас </w:t>
      </w:r>
      <w:r w:rsidRPr="009C6A04">
        <w:rPr>
          <w:rFonts w:eastAsia="Times New Roman" w:cs="Arial"/>
          <w:color w:val="000000"/>
          <w:szCs w:val="20"/>
          <w:lang w:val="en-US"/>
        </w:rPr>
        <w:t xml:space="preserve">IA </w:t>
      </w:r>
      <w:r w:rsidRPr="009C6A04">
        <w:rPr>
          <w:rFonts w:eastAsia="Times New Roman" w:cs="Arial"/>
          <w:color w:val="000000"/>
          <w:szCs w:val="20"/>
          <w:lang w:eastAsia="bg-BG"/>
        </w:rPr>
        <w:t xml:space="preserve">антиаритмични средства (напр. хинидин, хидрохинидин, дизопирамид); клас III антиаритмични средства (амиодарон, дофетилид, ибутилид, бретилиум, соталол); някои невролептици - фенотиазини (напр. хлорпромазин, циамемазин, левомепромазин, тиоридазин, трифлуоперазин), бензамиди (напр. амисулприд, сулпирид, султоприд, тиаприд), бутирофенони (напр. дроперидол, халоперидол), други невролептици (напр. пимозид); други вещества, като бепридил, цизаприд, дифеманил,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еритромицин, халофантрин, мизоластин, миксифлоксацин, пентамидин, спарфлоксацин,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винкамин, метадон, астемизол, терфенадин. Превенция на ниските нива на калия и коригиране при необходимост: мониториране на </w:t>
      </w:r>
      <w:r w:rsidRPr="009C6A04">
        <w:rPr>
          <w:rFonts w:eastAsia="Times New Roman" w:cs="Arial"/>
          <w:color w:val="000000"/>
          <w:szCs w:val="20"/>
          <w:lang w:val="en-US"/>
        </w:rPr>
        <w:t xml:space="preserve">QT </w:t>
      </w:r>
      <w:r w:rsidRPr="009C6A04">
        <w:rPr>
          <w:rFonts w:eastAsia="Times New Roman" w:cs="Arial"/>
          <w:color w:val="000000"/>
          <w:szCs w:val="20"/>
          <w:lang w:eastAsia="bg-BG"/>
        </w:rPr>
        <w:t>интервала.</w:t>
      </w:r>
    </w:p>
    <w:p w14:paraId="43CA1846" w14:textId="77777777" w:rsidR="009C6A04" w:rsidRPr="009C6A04" w:rsidRDefault="009C6A04" w:rsidP="009C6A04">
      <w:pPr>
        <w:spacing w:line="240" w:lineRule="auto"/>
        <w:rPr>
          <w:rFonts w:eastAsia="Times New Roman" w:cs="Arial"/>
          <w:i/>
          <w:iCs/>
          <w:color w:val="000000"/>
          <w:szCs w:val="20"/>
          <w:lang w:eastAsia="bg-BG"/>
        </w:rPr>
      </w:pPr>
    </w:p>
    <w:p w14:paraId="54E8525D" w14:textId="1DB8560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Калий-понижаващи лекарствени продукти: амфотерицин В </w:t>
      </w:r>
      <w:r w:rsidRPr="009C6A04">
        <w:rPr>
          <w:rFonts w:eastAsia="Times New Roman" w:cs="Arial"/>
          <w:i/>
          <w:iCs/>
          <w:color w:val="000000"/>
          <w:szCs w:val="20"/>
          <w:lang w:val="en-US"/>
        </w:rPr>
        <w:t xml:space="preserve">(i.v. </w:t>
      </w:r>
      <w:r w:rsidRPr="009C6A04">
        <w:rPr>
          <w:rFonts w:eastAsia="Times New Roman" w:cs="Arial"/>
          <w:i/>
          <w:iCs/>
          <w:color w:val="000000"/>
          <w:szCs w:val="20"/>
          <w:lang w:eastAsia="bg-BG"/>
        </w:rPr>
        <w:t>приложение), системни глюкокортикоиди и минералкортикоиди (системно приложение), тетракозактид, лаксативни средства със стимулиращо действие:</w:t>
      </w:r>
      <w:r w:rsidRPr="009C6A04">
        <w:rPr>
          <w:rFonts w:eastAsia="Times New Roman" w:cs="Arial"/>
          <w:color w:val="000000"/>
          <w:szCs w:val="20"/>
          <w:lang w:eastAsia="bg-BG"/>
        </w:rPr>
        <w:t xml:space="preserve"> Повишен риск от хипокалиемия (адитивен ефект). Мониториране на нивата на калия и коригиране при необходимост; специално внимание се изисква в случаите на лечение със сърдечни гликозиди. Трябва да се използват лаксативни средства без стимулиращо действие.</w:t>
      </w:r>
    </w:p>
    <w:p w14:paraId="61A54E43" w14:textId="77777777" w:rsidR="009C6A04" w:rsidRPr="009C6A04" w:rsidRDefault="009C6A04" w:rsidP="009C6A04">
      <w:pPr>
        <w:spacing w:line="240" w:lineRule="auto"/>
        <w:rPr>
          <w:rFonts w:eastAsia="Times New Roman" w:cs="Arial"/>
          <w:i/>
          <w:iCs/>
          <w:color w:val="000000"/>
          <w:szCs w:val="20"/>
          <w:lang w:eastAsia="bg-BG"/>
        </w:rPr>
      </w:pPr>
    </w:p>
    <w:p w14:paraId="6FAC8E87" w14:textId="1522586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Дигиталисови препарати:</w:t>
      </w:r>
      <w:r w:rsidRPr="009C6A04">
        <w:rPr>
          <w:rFonts w:eastAsia="Times New Roman" w:cs="Arial"/>
          <w:color w:val="000000"/>
          <w:szCs w:val="20"/>
          <w:lang w:eastAsia="bg-BG"/>
        </w:rPr>
        <w:t xml:space="preserve"> Хипокалиемията и/или хипомагнезиемията предразполагат към дигиталисова токсичност. Препоръчва се да се проследява плазмения калий, магнезий и ЕКГ и, ако е необходимо, лечението да бъде коригирано.</w:t>
      </w:r>
    </w:p>
    <w:p w14:paraId="55F0E231" w14:textId="77777777" w:rsidR="009C6A04" w:rsidRPr="009C6A04" w:rsidRDefault="009C6A04" w:rsidP="009C6A04">
      <w:pPr>
        <w:spacing w:line="240" w:lineRule="auto"/>
        <w:rPr>
          <w:rFonts w:eastAsia="Times New Roman" w:cs="Arial"/>
          <w:i/>
          <w:iCs/>
          <w:color w:val="000000"/>
          <w:szCs w:val="20"/>
          <w:lang w:eastAsia="bg-BG"/>
        </w:rPr>
      </w:pPr>
    </w:p>
    <w:p w14:paraId="49E4BB97" w14:textId="6C1753A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Алопуринол:</w:t>
      </w:r>
      <w:r w:rsidRPr="009C6A04">
        <w:rPr>
          <w:rFonts w:eastAsia="Times New Roman" w:cs="Arial"/>
          <w:color w:val="000000"/>
          <w:szCs w:val="20"/>
          <w:lang w:eastAsia="bg-BG"/>
        </w:rPr>
        <w:t xml:space="preserve"> Съпътстващата употреба с индапамид може да увеличи честотата на реакциите на свръхчувствителност към алопуринол.</w:t>
      </w:r>
    </w:p>
    <w:p w14:paraId="55494092" w14:textId="77777777" w:rsidR="009C6A04" w:rsidRPr="009C6A04" w:rsidRDefault="009C6A04" w:rsidP="009C6A04">
      <w:pPr>
        <w:spacing w:line="240" w:lineRule="auto"/>
        <w:rPr>
          <w:rFonts w:eastAsia="Times New Roman" w:cs="Arial"/>
          <w:i/>
          <w:iCs/>
          <w:color w:val="000000"/>
          <w:szCs w:val="20"/>
          <w:u w:val="single"/>
          <w:lang w:eastAsia="bg-BG"/>
        </w:rPr>
      </w:pPr>
    </w:p>
    <w:p w14:paraId="66FD7515" w14:textId="597E171B"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Съпътстващата употреба, която изисква известно внимание:</w:t>
      </w:r>
    </w:p>
    <w:p w14:paraId="6CA67351" w14:textId="77777777" w:rsidR="009C6A04" w:rsidRPr="009C6A04" w:rsidRDefault="009C6A04" w:rsidP="009C6A04">
      <w:pPr>
        <w:spacing w:line="240" w:lineRule="auto"/>
        <w:rPr>
          <w:rFonts w:eastAsia="Times New Roman" w:cs="Arial"/>
          <w:i/>
          <w:iCs/>
          <w:color w:val="000000"/>
          <w:szCs w:val="20"/>
          <w:lang w:eastAsia="bg-BG"/>
        </w:rPr>
      </w:pPr>
    </w:p>
    <w:p w14:paraId="1971D304" w14:textId="6D5FBF6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(амилорид, спиронолактон, триамтерен):</w:t>
      </w:r>
      <w:r w:rsidRPr="009C6A04">
        <w:rPr>
          <w:rFonts w:eastAsia="Times New Roman" w:cs="Arial"/>
          <w:color w:val="000000"/>
          <w:szCs w:val="20"/>
          <w:lang w:eastAsia="bg-BG"/>
        </w:rPr>
        <w:t xml:space="preserve"> Въпреки че рационалните комбинации са полезни при някои пациенти, може да настъпи хипокалиемия или хиперкалиемия (особено при пациенти с бъбречна недостатъчност или </w:t>
      </w:r>
      <w:r w:rsidRPr="009C6A04">
        <w:rPr>
          <w:rFonts w:eastAsia="Times New Roman" w:cs="Arial"/>
          <w:color w:val="000000"/>
          <w:szCs w:val="20"/>
          <w:lang w:eastAsia="bg-BG"/>
        </w:rPr>
        <w:lastRenderedPageBreak/>
        <w:t>диабет).Плазменият</w:t>
      </w:r>
      <w:r>
        <w:rPr>
          <w:rFonts w:eastAsia="Times New Roman" w:cs="Arial"/>
          <w:sz w:val="28"/>
          <w:szCs w:val="24"/>
          <w:lang w:eastAsia="bg-BG"/>
        </w:rPr>
        <w:t xml:space="preserve"> </w:t>
      </w:r>
      <w:r w:rsidRPr="009C6A04">
        <w:rPr>
          <w:rFonts w:eastAsia="Times New Roman" w:cs="Arial"/>
          <w:color w:val="000000"/>
          <w:szCs w:val="20"/>
          <w:lang w:eastAsia="bg-BG"/>
        </w:rPr>
        <w:t>калий и ЕКГ трябва да бъдат наблюдавани и, ако е необходимо, да се преразгледа лечението.</w:t>
      </w:r>
    </w:p>
    <w:p w14:paraId="2B4408EE" w14:textId="77777777" w:rsidR="009C6A04" w:rsidRPr="009C6A04" w:rsidRDefault="009C6A04" w:rsidP="009C6A04">
      <w:pPr>
        <w:spacing w:line="240" w:lineRule="auto"/>
        <w:rPr>
          <w:rFonts w:eastAsia="Times New Roman" w:cs="Arial"/>
          <w:i/>
          <w:iCs/>
          <w:color w:val="000000"/>
          <w:szCs w:val="20"/>
          <w:lang w:eastAsia="bg-BG"/>
        </w:rPr>
      </w:pPr>
    </w:p>
    <w:p w14:paraId="16DA6148" w14:textId="77777777" w:rsidR="009C6A04" w:rsidRPr="009C6A04" w:rsidRDefault="009C6A04" w:rsidP="009C6A04">
      <w:pPr>
        <w:rPr>
          <w:rFonts w:eastAsia="Times New Roman" w:cs="Arial"/>
          <w:sz w:val="28"/>
          <w:szCs w:val="24"/>
          <w:lang w:eastAsia="bg-BG"/>
        </w:rPr>
      </w:pPr>
      <w:r w:rsidRPr="009C6A04">
        <w:rPr>
          <w:rFonts w:eastAsia="Times New Roman" w:cs="Arial"/>
          <w:i/>
          <w:iCs/>
          <w:color w:val="000000"/>
          <w:szCs w:val="20"/>
          <w:lang w:eastAsia="bg-BG"/>
        </w:rPr>
        <w:t>Метформин:</w:t>
      </w:r>
      <w:r w:rsidRPr="009C6A04">
        <w:rPr>
          <w:rFonts w:eastAsia="Times New Roman" w:cs="Arial"/>
          <w:color w:val="000000"/>
          <w:szCs w:val="20"/>
          <w:lang w:eastAsia="bg-BG"/>
        </w:rPr>
        <w:t xml:space="preserve"> Млечна ацидоза, дължаща се на метформин, причинена от възможна функционална бъбречна недостатъчност във връзка с използването на диуретици и особено на</w:t>
      </w:r>
      <w:r>
        <w:rPr>
          <w:rFonts w:eastAsia="Times New Roman" w:cs="Arial"/>
          <w:color w:val="000000"/>
          <w:szCs w:val="20"/>
          <w:lang w:eastAsia="bg-BG"/>
        </w:rPr>
        <w:t xml:space="preserve"> </w:t>
      </w:r>
      <w:r w:rsidRPr="009C6A04">
        <w:rPr>
          <w:rFonts w:eastAsia="Times New Roman" w:cs="Arial"/>
          <w:color w:val="000000"/>
          <w:szCs w:val="20"/>
          <w:lang w:eastAsia="bg-BG"/>
        </w:rPr>
        <w:t xml:space="preserve">бримкови диуретици. Да не се прилага метформин, ако плазмените нива на креатинина превишават 15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(135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 xml:space="preserve">при мъжете и 12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(110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при жените.</w:t>
      </w:r>
    </w:p>
    <w:p w14:paraId="13467C41" w14:textId="77777777" w:rsidR="009C6A04" w:rsidRPr="009C6A04" w:rsidRDefault="009C6A04" w:rsidP="009C6A04">
      <w:pPr>
        <w:spacing w:line="240" w:lineRule="auto"/>
        <w:rPr>
          <w:rFonts w:eastAsia="Times New Roman" w:cs="Arial"/>
          <w:i/>
          <w:iCs/>
          <w:color w:val="000000"/>
          <w:szCs w:val="20"/>
          <w:lang w:eastAsia="bg-BG"/>
        </w:rPr>
      </w:pPr>
    </w:p>
    <w:p w14:paraId="52D2BE14" w14:textId="46AA6DE3"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Йод-съдържащи контрастни средства:</w:t>
      </w:r>
      <w:r w:rsidRPr="009C6A04">
        <w:rPr>
          <w:rFonts w:eastAsia="Times New Roman" w:cs="Arial"/>
          <w:color w:val="000000"/>
          <w:szCs w:val="20"/>
          <w:lang w:eastAsia="bg-BG"/>
        </w:rPr>
        <w:t xml:space="preserve"> В случаи на дехидратация, причинена от диуретици, съществува повишен риск от остра бъбречна недостатъчност, особено при използването на високи дози йод-съдържащи контрастни средства. Трябва да се проведе рехидратация още преди въвеждането на йод-съдържащия препарат.</w:t>
      </w:r>
    </w:p>
    <w:p w14:paraId="52D4BED9" w14:textId="77777777" w:rsidR="009C6A04" w:rsidRPr="009C6A04" w:rsidRDefault="009C6A04" w:rsidP="009C6A04">
      <w:pPr>
        <w:spacing w:line="240" w:lineRule="auto"/>
        <w:rPr>
          <w:rFonts w:eastAsia="Times New Roman" w:cs="Arial"/>
          <w:i/>
          <w:iCs/>
          <w:color w:val="000000"/>
          <w:szCs w:val="20"/>
          <w:lang w:eastAsia="bg-BG"/>
        </w:rPr>
      </w:pPr>
    </w:p>
    <w:p w14:paraId="79D2E492" w14:textId="3DC53D7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Калций (соли):</w:t>
      </w:r>
      <w:r w:rsidRPr="009C6A04">
        <w:rPr>
          <w:rFonts w:eastAsia="Times New Roman" w:cs="Arial"/>
          <w:color w:val="000000"/>
          <w:szCs w:val="20"/>
          <w:lang w:eastAsia="bg-BG"/>
        </w:rPr>
        <w:t xml:space="preserve"> Риск от повишени нива на калция поради понижено елиминиране на калция в урината.</w:t>
      </w:r>
    </w:p>
    <w:p w14:paraId="75961BE6" w14:textId="77777777" w:rsidR="009C6A04" w:rsidRPr="009C6A04" w:rsidRDefault="009C6A04" w:rsidP="009C6A04">
      <w:pPr>
        <w:spacing w:line="240" w:lineRule="auto"/>
        <w:rPr>
          <w:rFonts w:eastAsia="Times New Roman" w:cs="Arial"/>
          <w:i/>
          <w:iCs/>
          <w:color w:val="000000"/>
          <w:szCs w:val="20"/>
          <w:lang w:eastAsia="bg-BG"/>
        </w:rPr>
      </w:pPr>
    </w:p>
    <w:p w14:paraId="2A97B70B" w14:textId="1219747A"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 такролимус:</w:t>
      </w:r>
      <w:r w:rsidRPr="009C6A04">
        <w:rPr>
          <w:rFonts w:eastAsia="Times New Roman" w:cs="Arial"/>
          <w:color w:val="000000"/>
          <w:szCs w:val="20"/>
          <w:lang w:eastAsia="bg-BG"/>
        </w:rPr>
        <w:t xml:space="preserve"> Риск от повишени нива на креатинина, без промяна в циркулиращите нива на циклоспорина, дори при отсъствие на загуба на соли и вода.</w:t>
      </w:r>
    </w:p>
    <w:p w14:paraId="618EC916" w14:textId="77777777" w:rsidR="009C6A04" w:rsidRPr="009C6A04" w:rsidRDefault="009C6A04" w:rsidP="009C6A04">
      <w:pPr>
        <w:spacing w:line="240" w:lineRule="auto"/>
        <w:rPr>
          <w:rFonts w:eastAsia="Times New Roman" w:cs="Arial"/>
          <w:i/>
          <w:iCs/>
          <w:color w:val="000000"/>
          <w:szCs w:val="20"/>
          <w:lang w:eastAsia="bg-BG"/>
        </w:rPr>
      </w:pPr>
    </w:p>
    <w:p w14:paraId="1955DA2B" w14:textId="05E9487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Кортикостероиди, тетракозактид (системно приложение):</w:t>
      </w:r>
      <w:r w:rsidRPr="009C6A04">
        <w:rPr>
          <w:rFonts w:eastAsia="Times New Roman" w:cs="Arial"/>
          <w:color w:val="000000"/>
          <w:szCs w:val="20"/>
          <w:lang w:eastAsia="bg-BG"/>
        </w:rPr>
        <w:t xml:space="preserve"> Понижаване на антихипертензивния ефект (задържане на сол и вода, дължащо се на кортикостероиди).</w:t>
      </w:r>
    </w:p>
    <w:p w14:paraId="23D38D87" w14:textId="77777777" w:rsidR="009C6A04" w:rsidRPr="009C6A04" w:rsidRDefault="009C6A04" w:rsidP="009C6A04">
      <w:pPr>
        <w:spacing w:line="240" w:lineRule="auto"/>
        <w:rPr>
          <w:rFonts w:eastAsia="Times New Roman" w:cs="Arial"/>
          <w:color w:val="000000"/>
          <w:szCs w:val="20"/>
          <w:u w:val="single"/>
          <w:lang w:eastAsia="bg-BG"/>
        </w:rPr>
      </w:pPr>
    </w:p>
    <w:p w14:paraId="0D9F6DCE" w14:textId="0208B9FB"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розувастатин</w:t>
      </w:r>
    </w:p>
    <w:p w14:paraId="3C5E2045" w14:textId="77777777" w:rsidR="009C6A04" w:rsidRPr="009C6A04" w:rsidRDefault="009C6A04" w:rsidP="009C6A04">
      <w:pPr>
        <w:spacing w:line="240" w:lineRule="auto"/>
        <w:rPr>
          <w:rFonts w:eastAsia="Times New Roman" w:cs="Arial"/>
          <w:i/>
          <w:iCs/>
          <w:color w:val="000000"/>
          <w:szCs w:val="20"/>
          <w:u w:val="single"/>
          <w:lang w:eastAsia="bg-BG"/>
        </w:rPr>
      </w:pPr>
    </w:p>
    <w:p w14:paraId="38442492" w14:textId="0DFCF56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Ефект на едновременно прилагани лекарствени продукти върху розувастатин</w:t>
      </w:r>
    </w:p>
    <w:p w14:paraId="637155FF" w14:textId="77777777" w:rsidR="009C6A04" w:rsidRPr="009C6A04" w:rsidRDefault="009C6A04" w:rsidP="009C6A04">
      <w:pPr>
        <w:spacing w:line="240" w:lineRule="auto"/>
        <w:rPr>
          <w:rFonts w:eastAsia="Times New Roman" w:cs="Arial"/>
          <w:i/>
          <w:iCs/>
          <w:color w:val="000000"/>
          <w:szCs w:val="20"/>
          <w:lang w:eastAsia="bg-BG"/>
        </w:rPr>
      </w:pPr>
    </w:p>
    <w:p w14:paraId="293BB960" w14:textId="758DFEB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Инхибитори на транспортерните протеини:</w:t>
      </w:r>
      <w:r w:rsidRPr="009C6A04">
        <w:rPr>
          <w:rFonts w:eastAsia="Times New Roman" w:cs="Arial"/>
          <w:color w:val="000000"/>
          <w:szCs w:val="2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9C6A04">
        <w:rPr>
          <w:rFonts w:eastAsia="Times New Roman" w:cs="Arial"/>
          <w:color w:val="000000"/>
          <w:szCs w:val="20"/>
          <w:lang w:val="en-US"/>
        </w:rPr>
        <w:t xml:space="preserve">BCRP. </w:t>
      </w:r>
      <w:r w:rsidRPr="009C6A04">
        <w:rPr>
          <w:rFonts w:eastAsia="Times New Roman" w:cs="Arial"/>
          <w:color w:val="000000"/>
          <w:szCs w:val="20"/>
          <w:lang w:eastAsia="bg-BG"/>
        </w:rPr>
        <w:t>Едновременното приложение на розувастатин с лекарствени продукти, които са инхибитори на тези транспортерни протеини може да доведе до повишени плазмени концентрации на розувастатин и повишен риск от миопатия (вж. точки 4.2, 4.4 и 4.5 Таблица 1).</w:t>
      </w:r>
    </w:p>
    <w:p w14:paraId="0661EB56" w14:textId="77777777" w:rsidR="009C6A04" w:rsidRPr="009C6A04" w:rsidRDefault="009C6A04" w:rsidP="009C6A04">
      <w:pPr>
        <w:spacing w:line="240" w:lineRule="auto"/>
        <w:rPr>
          <w:rFonts w:eastAsia="Times New Roman" w:cs="Arial"/>
          <w:i/>
          <w:iCs/>
          <w:color w:val="000000"/>
          <w:szCs w:val="20"/>
          <w:lang w:eastAsia="bg-BG"/>
        </w:rPr>
      </w:pPr>
    </w:p>
    <w:p w14:paraId="73436486" w14:textId="56C6095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w:t>
      </w:r>
      <w:r w:rsidRPr="009C6A04">
        <w:rPr>
          <w:rFonts w:eastAsia="Times New Roman" w:cs="Arial"/>
          <w:color w:val="000000"/>
          <w:szCs w:val="20"/>
          <w:lang w:eastAsia="bg-BG"/>
        </w:rPr>
        <w:t xml:space="preserve"> По време на едновременно лечение с розувастатин и циклоспорин стойностите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са средно 7 пъти по-високи от тези, наблюдавани при здрави доброволци (вж. Таблица 1). Розувастатин е противопоказан при пациенти, получаващи едновременно циклоспорин (вж. точка 4.3). Едновременното приложение не повлиява плазмените концентрации на циклоспорин.</w:t>
      </w:r>
    </w:p>
    <w:p w14:paraId="03B87751" w14:textId="77777777" w:rsidR="009C6A04" w:rsidRPr="009C6A04" w:rsidRDefault="009C6A04" w:rsidP="009C6A04">
      <w:pPr>
        <w:spacing w:line="240" w:lineRule="auto"/>
        <w:rPr>
          <w:rFonts w:eastAsia="Times New Roman" w:cs="Arial"/>
          <w:i/>
          <w:iCs/>
          <w:color w:val="000000"/>
          <w:szCs w:val="20"/>
          <w:lang w:eastAsia="bg-BG"/>
        </w:rPr>
      </w:pPr>
    </w:p>
    <w:p w14:paraId="7B7461E9" w14:textId="45B67522"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Протеазни инхибитори:</w:t>
      </w:r>
      <w:r w:rsidRPr="009C6A04">
        <w:rPr>
          <w:rFonts w:eastAsia="Times New Roman" w:cs="Arial"/>
          <w:color w:val="000000"/>
          <w:szCs w:val="20"/>
          <w:lang w:eastAsia="bg-BG"/>
        </w:rPr>
        <w:t xml:space="preserve"> Въпреки, че точният механизъм на взаимодействие не е известен, едновременното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комбиниран продукт на два протеазни инхибитора (300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атазанавир/100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ритонавир) при здрави доброволци се свързва с приблизително трикратно и седемкратно повишаване съответно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С</w:t>
      </w:r>
      <w:r w:rsidRPr="009C6A04">
        <w:rPr>
          <w:rFonts w:eastAsia="Times New Roman" w:cs="Arial"/>
          <w:color w:val="000000"/>
          <w:szCs w:val="20"/>
          <w:lang w:val="en-US"/>
        </w:rPr>
        <w:t xml:space="preserve">max </w:t>
      </w:r>
      <w:r w:rsidRPr="009C6A04">
        <w:rPr>
          <w:rFonts w:eastAsia="Times New Roman" w:cs="Arial"/>
          <w:color w:val="000000"/>
          <w:szCs w:val="20"/>
          <w:lang w:eastAsia="bg-BG"/>
        </w:rPr>
        <w:t xml:space="preserve">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w:t>
      </w:r>
      <w:r w:rsidRPr="009C6A04">
        <w:rPr>
          <w:rFonts w:eastAsia="Times New Roman" w:cs="Arial"/>
          <w:color w:val="000000"/>
          <w:szCs w:val="20"/>
          <w:lang w:eastAsia="bg-BG"/>
        </w:rPr>
        <w:lastRenderedPageBreak/>
        <w:t>очакваното повишаване на експозицията на розувастатин (вж. точки 4,2, 4.4 и 4.5, Таблица 1).</w:t>
      </w:r>
    </w:p>
    <w:p w14:paraId="142AB6E0" w14:textId="77777777" w:rsidR="009C6A04" w:rsidRPr="009C6A04" w:rsidRDefault="009C6A04" w:rsidP="009C6A04">
      <w:pPr>
        <w:spacing w:line="240" w:lineRule="auto"/>
        <w:rPr>
          <w:rFonts w:eastAsia="Times New Roman" w:cs="Arial"/>
          <w:i/>
          <w:iCs/>
          <w:color w:val="000000"/>
          <w:szCs w:val="20"/>
          <w:lang w:eastAsia="bg-BG"/>
        </w:rPr>
      </w:pPr>
    </w:p>
    <w:p w14:paraId="3ADD23F4" w14:textId="0A41AA3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Гемфиброзил и други липидопонижаващи продукти:</w:t>
      </w:r>
      <w:r w:rsidRPr="009C6A04">
        <w:rPr>
          <w:rFonts w:eastAsia="Times New Roman" w:cs="Arial"/>
          <w:color w:val="000000"/>
          <w:szCs w:val="20"/>
          <w:lang w:eastAsia="bg-BG"/>
        </w:rPr>
        <w:t xml:space="preserve"> Едновременното приложение на розувастатин и гемфиброзил води до двукратно повишаване на С</w:t>
      </w:r>
      <w:r w:rsidRPr="009C6A04">
        <w:rPr>
          <w:rFonts w:eastAsia="Times New Roman" w:cs="Arial"/>
          <w:color w:val="000000"/>
          <w:szCs w:val="20"/>
          <w:lang w:val="en-US"/>
        </w:rPr>
        <w:t>m</w:t>
      </w:r>
      <w:r w:rsidRPr="009C6A04">
        <w:rPr>
          <w:rFonts w:eastAsia="Times New Roman" w:cs="Arial"/>
          <w:color w:val="000000"/>
          <w:szCs w:val="20"/>
          <w:lang w:eastAsia="bg-BG"/>
        </w:rPr>
        <w:t xml:space="preserve">ах и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(вж. точка 4.4). 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други фибрати и липидо- понижаващите дози (&gt; или равни на 1 </w:t>
      </w:r>
      <w:r w:rsidRPr="009C6A04">
        <w:rPr>
          <w:rFonts w:eastAsia="Times New Roman" w:cs="Arial"/>
          <w:color w:val="000000"/>
          <w:szCs w:val="20"/>
          <w:lang w:val="en-US"/>
        </w:rPr>
        <w:t>g</w:t>
      </w:r>
      <w:r w:rsidRPr="009C6A04">
        <w:rPr>
          <w:rFonts w:eastAsia="Times New Roman" w:cs="Arial"/>
          <w:color w:val="000000"/>
          <w:szCs w:val="20"/>
          <w:lang w:eastAsia="bg-BG"/>
        </w:rPr>
        <w:t xml:space="preserve">/ден) на ниацин (никотинова киселина) повишават риска от миопатия, когато се прилагат едновременно с инхибитори на </w:t>
      </w:r>
      <w:r w:rsidRPr="009C6A04">
        <w:rPr>
          <w:rFonts w:eastAsia="Times New Roman" w:cs="Arial"/>
          <w:color w:val="000000"/>
          <w:szCs w:val="20"/>
          <w:lang w:val="en-US"/>
        </w:rPr>
        <w:t xml:space="preserve">HMG-CoA </w:t>
      </w:r>
      <w:r w:rsidRPr="009C6A04">
        <w:rPr>
          <w:rFonts w:eastAsia="Times New Roman" w:cs="Arial"/>
          <w:color w:val="000000"/>
          <w:szCs w:val="20"/>
          <w:lang w:eastAsia="bg-BG"/>
        </w:rPr>
        <w:t>редуктазата, вероятно поради факта, че последните могат да предизвикат миопатия и при самостоятелно</w:t>
      </w:r>
    </w:p>
    <w:p w14:paraId="5B2761C5" w14:textId="1BC48B88" w:rsidR="0091385D" w:rsidRDefault="009C6A04" w:rsidP="009C6A04">
      <w:pPr>
        <w:spacing w:line="240" w:lineRule="auto"/>
        <w:rPr>
          <w:rFonts w:eastAsia="Times New Roman" w:cs="Arial"/>
          <w:color w:val="000000"/>
          <w:szCs w:val="20"/>
        </w:rPr>
      </w:pPr>
      <w:r w:rsidRPr="009C6A04">
        <w:rPr>
          <w:rFonts w:eastAsia="Times New Roman" w:cs="Arial"/>
          <w:color w:val="000000"/>
          <w:szCs w:val="20"/>
          <w:lang w:eastAsia="bg-BG"/>
        </w:rPr>
        <w:t xml:space="preserve">приложение. Дозите от 30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и 40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на розувастатин са противопоказани при едновременно</w:t>
      </w:r>
      <w:r>
        <w:rPr>
          <w:rFonts w:eastAsia="Times New Roman" w:cs="Arial"/>
          <w:sz w:val="28"/>
          <w:szCs w:val="24"/>
          <w:lang w:eastAsia="bg-BG"/>
        </w:rPr>
        <w:t xml:space="preserve"> </w:t>
      </w:r>
      <w:r w:rsidRPr="009C6A04">
        <w:rPr>
          <w:rFonts w:eastAsia="Times New Roman" w:cs="Arial"/>
          <w:color w:val="000000"/>
          <w:szCs w:val="20"/>
          <w:lang w:eastAsia="bg-BG"/>
        </w:rPr>
        <w:t xml:space="preserve">приложение на фибрат (вж. точка 4.4). При тези пациенти лечението също така трябва да започне с дозата от 5 </w:t>
      </w:r>
      <w:r w:rsidRPr="009C6A04">
        <w:rPr>
          <w:rFonts w:eastAsia="Times New Roman" w:cs="Arial"/>
          <w:color w:val="000000"/>
          <w:szCs w:val="20"/>
          <w:lang w:val="en-US"/>
        </w:rPr>
        <w:t>mg.</w:t>
      </w:r>
      <w:r>
        <w:rPr>
          <w:rFonts w:eastAsia="Times New Roman" w:cs="Arial"/>
          <w:color w:val="000000"/>
          <w:szCs w:val="20"/>
        </w:rPr>
        <w:t xml:space="preserve"> </w:t>
      </w:r>
    </w:p>
    <w:p w14:paraId="5E299CCC" w14:textId="7D712761" w:rsidR="009C6A04" w:rsidRDefault="009C6A04" w:rsidP="009C6A04">
      <w:pPr>
        <w:spacing w:line="240" w:lineRule="auto"/>
        <w:rPr>
          <w:rFonts w:eastAsia="Times New Roman" w:cs="Arial"/>
          <w:color w:val="000000"/>
          <w:szCs w:val="20"/>
        </w:rPr>
      </w:pPr>
    </w:p>
    <w:p w14:paraId="2F9AFD2D" w14:textId="77777777"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Езетимиб:.</w:t>
      </w:r>
      <w:r w:rsidRPr="009C6A04">
        <w:rPr>
          <w:rFonts w:eastAsia="Times New Roman" w:cs="Arial"/>
          <w:color w:val="000000"/>
          <w:szCs w:val="20"/>
          <w:lang w:eastAsia="bg-BG"/>
        </w:rPr>
        <w:t xml:space="preserve">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езетимиб води до 1,2- пъти увеличение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при хиперхолестеролемични пациенти (Таблица 1). Не може да се изключи обаче фармакодинамично взаимодействие, по отношение на неблагоприятните ефекти, между розувастатин и езетимиб (вж. точка 4.4).</w:t>
      </w:r>
    </w:p>
    <w:p w14:paraId="3B243A29" w14:textId="77777777" w:rsidR="009C6A04" w:rsidRPr="009C6A04" w:rsidRDefault="009C6A04" w:rsidP="009C6A04">
      <w:pPr>
        <w:spacing w:line="240" w:lineRule="auto"/>
        <w:rPr>
          <w:rFonts w:eastAsia="Times New Roman" w:cs="Arial"/>
          <w:i/>
          <w:iCs/>
          <w:color w:val="000000"/>
          <w:szCs w:val="20"/>
          <w:lang w:eastAsia="bg-BG"/>
        </w:rPr>
      </w:pPr>
    </w:p>
    <w:p w14:paraId="67EF84A2" w14:textId="26A8F74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Антиацид:</w:t>
      </w:r>
      <w:r w:rsidRPr="009C6A04">
        <w:rPr>
          <w:rFonts w:eastAsia="Times New Roman" w:cs="Arial"/>
          <w:color w:val="000000"/>
          <w:szCs w:val="20"/>
          <w:lang w:eastAsia="bg-BG"/>
        </w:rPr>
        <w:t xml:space="preserve"> Едновременното приложение на розувастатин с антиацидна суспензия, съдържаща алуминиев и магнезиев хидроксид, води до намаляване на плазмената концентрация на розувастатин с приблизително 50%. Този ефект отслабва, когато антиацидът се прилага 2 часа след приема на розувастатин. Клиничното значение на това взаимодействие не е проучено.</w:t>
      </w:r>
    </w:p>
    <w:p w14:paraId="24352A6A" w14:textId="77777777" w:rsidR="009C6A04" w:rsidRPr="009C6A04" w:rsidRDefault="009C6A04" w:rsidP="009C6A04">
      <w:pPr>
        <w:spacing w:line="240" w:lineRule="auto"/>
        <w:rPr>
          <w:rFonts w:eastAsia="Times New Roman" w:cs="Arial"/>
          <w:i/>
          <w:iCs/>
          <w:color w:val="000000"/>
          <w:szCs w:val="20"/>
          <w:lang w:eastAsia="bg-BG"/>
        </w:rPr>
      </w:pPr>
    </w:p>
    <w:p w14:paraId="6AC01A28" w14:textId="77A230C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Еритромицин:</w:t>
      </w:r>
      <w:r w:rsidRPr="009C6A04">
        <w:rPr>
          <w:rFonts w:eastAsia="Times New Roman" w:cs="Arial"/>
          <w:color w:val="000000"/>
          <w:szCs w:val="20"/>
          <w:lang w:eastAsia="bg-BG"/>
        </w:rPr>
        <w:t xml:space="preserve"> Едновременното приложение на розувастатин и еритромицин води до 20% намаление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30% намаление на С</w:t>
      </w:r>
      <w:r w:rsidRPr="009C6A04">
        <w:rPr>
          <w:rFonts w:eastAsia="Times New Roman" w:cs="Arial"/>
          <w:color w:val="000000"/>
          <w:szCs w:val="20"/>
          <w:vertAlign w:val="subscript"/>
          <w:lang w:val="en-US"/>
        </w:rPr>
        <w:t>max</w:t>
      </w:r>
      <w:r w:rsidRPr="009C6A04">
        <w:rPr>
          <w:rFonts w:eastAsia="Times New Roman" w:cs="Arial"/>
          <w:color w:val="000000"/>
          <w:szCs w:val="20"/>
          <w:lang w:eastAsia="bg-BG"/>
        </w:rPr>
        <w:t xml:space="preserve"> на розувастатин. Това взаимодействие може да е предизвикано от повишения чревен мотилитет, причинен от еритромицин.</w:t>
      </w:r>
    </w:p>
    <w:p w14:paraId="7714E500" w14:textId="77777777" w:rsidR="009C6A04" w:rsidRPr="009C6A04" w:rsidRDefault="009C6A04" w:rsidP="009C6A04">
      <w:pPr>
        <w:spacing w:line="240" w:lineRule="auto"/>
        <w:rPr>
          <w:rFonts w:eastAsia="Times New Roman" w:cs="Arial"/>
          <w:i/>
          <w:iCs/>
          <w:color w:val="000000"/>
          <w:szCs w:val="20"/>
          <w:lang w:eastAsia="bg-BG"/>
        </w:rPr>
      </w:pPr>
    </w:p>
    <w:p w14:paraId="66B87288" w14:textId="191FE15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Ензими от системата на цитохром Р450:,</w:t>
      </w:r>
      <w:r w:rsidRPr="009C6A04">
        <w:rPr>
          <w:rFonts w:eastAsia="Times New Roman" w:cs="Arial"/>
          <w:color w:val="000000"/>
          <w:szCs w:val="20"/>
          <w:lang w:eastAsia="bg-BG"/>
        </w:rPr>
        <w:t xml:space="preserve"> Резултатите от </w:t>
      </w:r>
      <w:r w:rsidRPr="009C6A04">
        <w:rPr>
          <w:rFonts w:eastAsia="Times New Roman" w:cs="Arial"/>
          <w:i/>
          <w:iCs/>
          <w:color w:val="000000"/>
          <w:szCs w:val="20"/>
          <w:lang w:val="en-US"/>
        </w:rPr>
        <w:t>in vitro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и </w:t>
      </w:r>
      <w:r w:rsidRPr="009C6A04">
        <w:rPr>
          <w:rFonts w:eastAsia="Times New Roman" w:cs="Arial"/>
          <w:i/>
          <w:iCs/>
          <w:color w:val="000000"/>
          <w:szCs w:val="20"/>
          <w:lang w:val="en-US"/>
        </w:rPr>
        <w:t>in vivo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9C6A04">
        <w:rPr>
          <w:rFonts w:eastAsia="Times New Roman" w:cs="Arial"/>
          <w:color w:val="000000"/>
          <w:szCs w:val="20"/>
          <w:lang w:val="en-US"/>
        </w:rPr>
        <w:t xml:space="preserve">CYP2C9 </w:t>
      </w:r>
      <w:r w:rsidRPr="009C6A04">
        <w:rPr>
          <w:rFonts w:eastAsia="Times New Roman" w:cs="Arial"/>
          <w:color w:val="000000"/>
          <w:szCs w:val="20"/>
          <w:lang w:eastAsia="bg-BG"/>
        </w:rPr>
        <w:t xml:space="preserve">и </w:t>
      </w:r>
      <w:r w:rsidRPr="009C6A04">
        <w:rPr>
          <w:rFonts w:eastAsia="Times New Roman" w:cs="Arial"/>
          <w:color w:val="000000"/>
          <w:szCs w:val="20"/>
          <w:lang w:val="en-US"/>
        </w:rPr>
        <w:t xml:space="preserve">CYP3A4) </w:t>
      </w:r>
      <w:r w:rsidRPr="009C6A04">
        <w:rPr>
          <w:rFonts w:eastAsia="Times New Roman" w:cs="Arial"/>
          <w:color w:val="000000"/>
          <w:szCs w:val="20"/>
          <w:lang w:eastAsia="bg-BG"/>
        </w:rPr>
        <w:t xml:space="preserve">или кетоконазол (инхибитор на </w:t>
      </w:r>
      <w:r w:rsidRPr="009C6A04">
        <w:rPr>
          <w:rFonts w:eastAsia="Times New Roman" w:cs="Arial"/>
          <w:color w:val="000000"/>
          <w:szCs w:val="20"/>
          <w:lang w:val="en-US"/>
        </w:rPr>
        <w:t xml:space="preserve">CYP2A6 </w:t>
      </w:r>
      <w:r w:rsidRPr="009C6A04">
        <w:rPr>
          <w:rFonts w:eastAsia="Times New Roman" w:cs="Arial"/>
          <w:color w:val="000000"/>
          <w:szCs w:val="20"/>
          <w:lang w:eastAsia="bg-BG"/>
        </w:rPr>
        <w:t xml:space="preserve">и </w:t>
      </w:r>
      <w:r w:rsidRPr="009C6A04">
        <w:rPr>
          <w:rFonts w:eastAsia="Times New Roman" w:cs="Arial"/>
          <w:color w:val="000000"/>
          <w:szCs w:val="20"/>
          <w:lang w:val="en-US"/>
        </w:rPr>
        <w:t>CYP3A4).</w:t>
      </w:r>
    </w:p>
    <w:p w14:paraId="54F3696A" w14:textId="77777777" w:rsidR="009C6A04" w:rsidRPr="009C6A04" w:rsidRDefault="009C6A04" w:rsidP="009C6A04">
      <w:pPr>
        <w:spacing w:line="240" w:lineRule="auto"/>
        <w:rPr>
          <w:rFonts w:eastAsia="Times New Roman" w:cs="Arial"/>
          <w:i/>
          <w:iCs/>
          <w:color w:val="000000"/>
          <w:szCs w:val="20"/>
          <w:lang w:eastAsia="bg-BG"/>
        </w:rPr>
      </w:pPr>
    </w:p>
    <w:p w14:paraId="4D0EAADD" w14:textId="7F54029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Тикагрелор:</w:t>
      </w:r>
      <w:r w:rsidRPr="009C6A04">
        <w:rPr>
          <w:rFonts w:eastAsia="Times New Roman" w:cs="Arial"/>
          <w:color w:val="000000"/>
          <w:szCs w:val="20"/>
          <w:lang w:eastAsia="bg-BG"/>
        </w:rPr>
        <w:t xml:space="preserve"> Тикагрелор може да повлияе бъбречната екскреция на розувастатин, увеличавайки риска от кумулиране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повишено ниво на СРК и рабдомиолиза.</w:t>
      </w:r>
    </w:p>
    <w:p w14:paraId="486900E4" w14:textId="77777777" w:rsidR="009C6A04" w:rsidRPr="009C6A04" w:rsidRDefault="009C6A04" w:rsidP="009C6A04">
      <w:pPr>
        <w:spacing w:line="240" w:lineRule="auto"/>
        <w:rPr>
          <w:rFonts w:eastAsia="Times New Roman" w:cs="Arial"/>
          <w:i/>
          <w:iCs/>
          <w:color w:val="000000"/>
          <w:szCs w:val="20"/>
          <w:lang w:eastAsia="bg-BG"/>
        </w:rPr>
      </w:pPr>
    </w:p>
    <w:p w14:paraId="46BDC9DC" w14:textId="7D6FE31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Взаимодействия, изискващи корекции на дозата на розувастатин (вж. също Таблица 1): </w:t>
      </w:r>
      <w:r w:rsidRPr="009C6A04">
        <w:rPr>
          <w:rFonts w:eastAsia="Times New Roman" w:cs="Arial"/>
          <w:color w:val="000000"/>
          <w:szCs w:val="2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веднъж дневно розувастатин, ако очакваното увеличение на експозицията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9C6A04">
        <w:rPr>
          <w:rFonts w:eastAsia="Times New Roman" w:cs="Arial"/>
          <w:color w:val="000000"/>
          <w:szCs w:val="20"/>
          <w:lang w:val="en-US"/>
        </w:rPr>
        <w:lastRenderedPageBreak/>
        <w:t xml:space="preserve">mg </w:t>
      </w:r>
      <w:r w:rsidRPr="009C6A04">
        <w:rPr>
          <w:rFonts w:eastAsia="Times New Roman" w:cs="Arial"/>
          <w:color w:val="000000"/>
          <w:szCs w:val="20"/>
          <w:lang w:eastAsia="bg-BG"/>
        </w:rPr>
        <w:t xml:space="preserve">приета без взаимодействащи си лекарствени продукти, като например 20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доза на розувастатин с гемифиброзил (1,9-пъти увеличение)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доза на розувастатин с комбинация на атазанавир/ритонавир (3,1-пъти увеличение).</w:t>
      </w:r>
    </w:p>
    <w:p w14:paraId="68862615" w14:textId="77777777" w:rsidR="009C6A04" w:rsidRPr="009C6A04" w:rsidRDefault="009C6A04" w:rsidP="009C6A04">
      <w:pPr>
        <w:spacing w:line="240" w:lineRule="auto"/>
        <w:rPr>
          <w:rFonts w:eastAsia="Times New Roman" w:cs="Arial"/>
          <w:color w:val="000000"/>
          <w:szCs w:val="20"/>
          <w:lang w:eastAsia="bg-BG"/>
        </w:rPr>
      </w:pPr>
    </w:p>
    <w:p w14:paraId="79F5D423" w14:textId="239A10E0"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lang w:eastAsia="bg-BG"/>
        </w:rPr>
        <w:t xml:space="preserve">Ако за лекарствен продукт се наблюдава, че повишава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по-малко от 2 пъти, началната доза не трябва да се намалява, но трябва да се внимава, ако дозата на розувастатин се увеличи над 20 </w:t>
      </w:r>
      <w:r w:rsidRPr="009C6A04">
        <w:rPr>
          <w:rFonts w:eastAsia="Times New Roman" w:cs="Arial"/>
          <w:color w:val="000000"/>
          <w:szCs w:val="20"/>
          <w:lang w:val="en-US"/>
        </w:rPr>
        <w:t>mg.</w:t>
      </w:r>
    </w:p>
    <w:p w14:paraId="7B0FAE2E" w14:textId="77777777" w:rsidR="009C6A04" w:rsidRPr="009C6A04" w:rsidRDefault="009C6A04" w:rsidP="009C6A04">
      <w:pPr>
        <w:spacing w:line="240" w:lineRule="auto"/>
        <w:rPr>
          <w:rFonts w:eastAsia="Times New Roman" w:cs="Arial"/>
          <w:color w:val="000000"/>
          <w:szCs w:val="20"/>
          <w:lang w:eastAsia="bg-BG"/>
        </w:rPr>
      </w:pPr>
    </w:p>
    <w:p w14:paraId="7900BC4E" w14:textId="0E44A8E2" w:rsidR="009C6A04" w:rsidRPr="009C6A04" w:rsidRDefault="009C6A04" w:rsidP="009C6A04">
      <w:pPr>
        <w:spacing w:line="240" w:lineRule="auto"/>
        <w:rPr>
          <w:rFonts w:eastAsia="Times New Roman" w:cs="Arial"/>
          <w:sz w:val="32"/>
          <w:szCs w:val="24"/>
          <w:lang w:eastAsia="bg-BG"/>
        </w:rPr>
      </w:pPr>
      <w:r w:rsidRPr="009C6A04">
        <w:rPr>
          <w:rFonts w:eastAsia="Times New Roman" w:cs="Arial"/>
          <w:color w:val="000000"/>
          <w:szCs w:val="20"/>
          <w:lang w:eastAsia="bg-BG"/>
        </w:rPr>
        <w:t xml:space="preserve">Таблица 1. Ефект на едновременно прилагани лекарствени продукти върху експозицията на розувастатин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представена в низходящ ред по големина) от публикувани клинични изпитвания</w:t>
      </w:r>
    </w:p>
    <w:p w14:paraId="7E3C0AAB" w14:textId="0F32AFD3" w:rsidR="00C142D0" w:rsidRDefault="00C142D0" w:rsidP="0091385D"/>
    <w:tbl>
      <w:tblPr>
        <w:tblStyle w:val="TableGrid"/>
        <w:tblW w:w="0" w:type="auto"/>
        <w:tblLook w:val="04A0" w:firstRow="1" w:lastRow="0" w:firstColumn="1" w:lastColumn="0" w:noHBand="0" w:noVBand="1"/>
      </w:tblPr>
      <w:tblGrid>
        <w:gridCol w:w="3116"/>
        <w:gridCol w:w="3117"/>
        <w:gridCol w:w="3117"/>
      </w:tblGrid>
      <w:tr w:rsidR="009C6A04" w:rsidRPr="00851FE1" w14:paraId="726F2901" w14:textId="77777777" w:rsidTr="00C220C7">
        <w:tc>
          <w:tcPr>
            <w:tcW w:w="9350" w:type="dxa"/>
            <w:gridSpan w:val="3"/>
          </w:tcPr>
          <w:p w14:paraId="216D1FF1" w14:textId="109E009C" w:rsidR="009C6A04" w:rsidRPr="00851FE1" w:rsidRDefault="009C6A04" w:rsidP="0091385D">
            <w:pPr>
              <w:rPr>
                <w:rFonts w:cs="Arial"/>
              </w:rPr>
            </w:pPr>
            <w:r w:rsidRPr="00851FE1">
              <w:rPr>
                <w:rFonts w:cs="Arial"/>
              </w:rPr>
              <w:t xml:space="preserve">Повишаване на </w:t>
            </w:r>
            <w:r w:rsidRPr="00851FE1">
              <w:rPr>
                <w:rFonts w:cs="Arial"/>
                <w:lang w:val="en-US"/>
              </w:rPr>
              <w:t xml:space="preserve">AUC </w:t>
            </w:r>
            <w:r w:rsidRPr="00851FE1">
              <w:rPr>
                <w:rFonts w:cs="Arial"/>
              </w:rPr>
              <w:t>на розувастатин 2 пъти или повече от 2 пъти</w:t>
            </w:r>
          </w:p>
        </w:tc>
      </w:tr>
      <w:tr w:rsidR="009C6A04" w:rsidRPr="00851FE1" w14:paraId="06EADC84" w14:textId="77777777" w:rsidTr="009C6A04">
        <w:tc>
          <w:tcPr>
            <w:tcW w:w="3116" w:type="dxa"/>
          </w:tcPr>
          <w:p w14:paraId="6207CCD9" w14:textId="77777777" w:rsidR="009C6A04" w:rsidRPr="00851FE1" w:rsidRDefault="009C6A04" w:rsidP="009C6A04">
            <w:pPr>
              <w:rPr>
                <w:rFonts w:cs="Arial"/>
              </w:rPr>
            </w:pPr>
            <w:r w:rsidRPr="00851FE1">
              <w:rPr>
                <w:rFonts w:cs="Arial"/>
              </w:rPr>
              <w:t xml:space="preserve">Дозов режим на взаимодействащото </w:t>
            </w:r>
          </w:p>
          <w:p w14:paraId="2D84FE01" w14:textId="604A9CB0" w:rsidR="009C6A04" w:rsidRPr="00851FE1" w:rsidRDefault="009C6A04" w:rsidP="009C6A04">
            <w:pPr>
              <w:rPr>
                <w:rFonts w:cs="Arial"/>
              </w:rPr>
            </w:pPr>
            <w:r w:rsidRPr="00851FE1">
              <w:rPr>
                <w:rFonts w:cs="Arial"/>
              </w:rPr>
              <w:t>лекарство</w:t>
            </w:r>
          </w:p>
        </w:tc>
        <w:tc>
          <w:tcPr>
            <w:tcW w:w="3117" w:type="dxa"/>
          </w:tcPr>
          <w:p w14:paraId="621142E7" w14:textId="0F0649C1" w:rsidR="009C6A04" w:rsidRPr="00851FE1" w:rsidRDefault="009C6A04" w:rsidP="0091385D">
            <w:pPr>
              <w:rPr>
                <w:rFonts w:cs="Arial"/>
              </w:rPr>
            </w:pPr>
            <w:r w:rsidRPr="00851FE1">
              <w:rPr>
                <w:rFonts w:cs="Arial"/>
              </w:rPr>
              <w:t>Дозов режим на розувастатин</w:t>
            </w:r>
          </w:p>
        </w:tc>
        <w:tc>
          <w:tcPr>
            <w:tcW w:w="3117" w:type="dxa"/>
          </w:tcPr>
          <w:p w14:paraId="4B409041" w14:textId="43F1DFC3" w:rsidR="009C6A04" w:rsidRPr="00851FE1" w:rsidRDefault="009C6A04" w:rsidP="0091385D">
            <w:pPr>
              <w:rPr>
                <w:rFonts w:cs="Arial"/>
              </w:rPr>
            </w:pPr>
            <w:r w:rsidRPr="00851FE1">
              <w:rPr>
                <w:rFonts w:cs="Arial"/>
              </w:rPr>
              <w:t xml:space="preserve">Промяна на </w:t>
            </w:r>
            <w:r w:rsidRPr="00851FE1">
              <w:rPr>
                <w:rFonts w:cs="Arial"/>
                <w:lang w:val="en-US"/>
              </w:rPr>
              <w:t xml:space="preserve">AUC* </w:t>
            </w:r>
            <w:r w:rsidRPr="00851FE1">
              <w:rPr>
                <w:rFonts w:cs="Arial"/>
              </w:rPr>
              <w:t>на розувастатин</w:t>
            </w:r>
          </w:p>
        </w:tc>
      </w:tr>
      <w:tr w:rsidR="009C6A04" w:rsidRPr="00851FE1" w14:paraId="0A02FC67" w14:textId="77777777" w:rsidTr="009C6A04">
        <w:tc>
          <w:tcPr>
            <w:tcW w:w="3116" w:type="dxa"/>
          </w:tcPr>
          <w:p w14:paraId="7B1A71B1" w14:textId="1677C10C" w:rsidR="009C6A04" w:rsidRPr="00851FE1" w:rsidRDefault="009C6A04" w:rsidP="00851FE1">
            <w:pPr>
              <w:spacing w:line="240" w:lineRule="auto"/>
              <w:rPr>
                <w:rFonts w:eastAsia="Times New Roman" w:cs="Arial"/>
                <w:lang w:eastAsia="bg-BG"/>
              </w:rPr>
            </w:pPr>
            <w:r w:rsidRPr="00851FE1">
              <w:rPr>
                <w:rFonts w:cs="Arial"/>
              </w:rPr>
              <w:t>Софосбувир/велпатасвир/</w:t>
            </w:r>
            <w:r w:rsidRPr="00851FE1">
              <w:rPr>
                <w:rFonts w:eastAsia="Times New Roman" w:cs="Arial"/>
                <w:color w:val="000000"/>
                <w:lang w:eastAsia="bg-BG"/>
              </w:rPr>
              <w:t xml:space="preserve"> </w:t>
            </w:r>
            <w:r w:rsidRPr="009C6A04">
              <w:rPr>
                <w:rFonts w:eastAsia="Times New Roman" w:cs="Arial"/>
                <w:color w:val="000000"/>
                <w:lang w:eastAsia="bg-BG"/>
              </w:rPr>
              <w:t xml:space="preserve">воксилапревир (400 </w:t>
            </w:r>
            <w:r w:rsidRPr="009C6A04">
              <w:rPr>
                <w:rFonts w:eastAsia="Times New Roman" w:cs="Arial"/>
                <w:color w:val="000000"/>
                <w:lang w:val="en-US"/>
              </w:rPr>
              <w:t>mg-</w:t>
            </w:r>
            <w:r w:rsidRPr="009C6A04">
              <w:rPr>
                <w:rFonts w:eastAsia="Times New Roman" w:cs="Arial"/>
                <w:color w:val="000000"/>
                <w:lang w:eastAsia="bg-BG"/>
              </w:rPr>
              <w:t xml:space="preserve">100 </w:t>
            </w:r>
            <w:r w:rsidRPr="009C6A04">
              <w:rPr>
                <w:rFonts w:eastAsia="Times New Roman" w:cs="Arial"/>
                <w:color w:val="000000"/>
                <w:lang w:val="en-US"/>
              </w:rPr>
              <w:t>mg-</w:t>
            </w:r>
            <w:r w:rsidRPr="009C6A04">
              <w:rPr>
                <w:rFonts w:eastAsia="Times New Roman" w:cs="Arial"/>
                <w:color w:val="000000"/>
                <w:lang w:eastAsia="bg-BG"/>
              </w:rPr>
              <w:t>100</w:t>
            </w:r>
            <w:r w:rsidR="00851FE1" w:rsidRPr="00851FE1">
              <w:rPr>
                <w:rFonts w:eastAsia="Times New Roman" w:cs="Arial"/>
                <w:lang w:eastAsia="bg-BG"/>
              </w:rPr>
              <w:t xml:space="preserve"> </w:t>
            </w:r>
            <w:r w:rsidRPr="009C6A04">
              <w:rPr>
                <w:rFonts w:eastAsia="Times New Roman" w:cs="Arial"/>
                <w:color w:val="000000"/>
                <w:lang w:val="en-US"/>
              </w:rPr>
              <w:t xml:space="preserve">mg) </w:t>
            </w:r>
            <w:r w:rsidRPr="009C6A04">
              <w:rPr>
                <w:rFonts w:eastAsia="Times New Roman" w:cs="Arial"/>
                <w:color w:val="000000"/>
                <w:lang w:eastAsia="bg-BG"/>
              </w:rPr>
              <w:t xml:space="preserve">+ воксилапревир (100 </w:t>
            </w:r>
            <w:r w:rsidRPr="009C6A04">
              <w:rPr>
                <w:rFonts w:eastAsia="Times New Roman" w:cs="Arial"/>
                <w:color w:val="000000"/>
                <w:lang w:val="en-US"/>
              </w:rPr>
              <w:t xml:space="preserve">mg) </w:t>
            </w:r>
            <w:r w:rsidRPr="009C6A04">
              <w:rPr>
                <w:rFonts w:eastAsia="Times New Roman" w:cs="Arial"/>
                <w:color w:val="000000"/>
                <w:lang w:eastAsia="bg-BG"/>
              </w:rPr>
              <w:t>ВД в</w:t>
            </w:r>
            <w:r w:rsidR="00851FE1" w:rsidRPr="00851FE1">
              <w:rPr>
                <w:rFonts w:eastAsia="Times New Roman" w:cs="Arial"/>
                <w:lang w:eastAsia="bg-BG"/>
              </w:rPr>
              <w:t xml:space="preserve"> </w:t>
            </w:r>
            <w:r w:rsidRPr="00851FE1">
              <w:rPr>
                <w:rFonts w:eastAsia="Times New Roman" w:cs="Arial"/>
                <w:color w:val="000000"/>
                <w:lang w:eastAsia="bg-BG"/>
              </w:rPr>
              <w:t>продължение на 15 дни</w:t>
            </w:r>
          </w:p>
        </w:tc>
        <w:tc>
          <w:tcPr>
            <w:tcW w:w="3117" w:type="dxa"/>
          </w:tcPr>
          <w:p w14:paraId="408886EA" w14:textId="31AC616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tc>
        <w:tc>
          <w:tcPr>
            <w:tcW w:w="3117" w:type="dxa"/>
          </w:tcPr>
          <w:p w14:paraId="50ACA356" w14:textId="7F1C3BDD" w:rsidR="009C6A04" w:rsidRPr="00851FE1" w:rsidRDefault="009C6A04" w:rsidP="0091385D">
            <w:pPr>
              <w:rPr>
                <w:rFonts w:cs="Arial"/>
              </w:rPr>
            </w:pPr>
            <w:r w:rsidRPr="00851FE1">
              <w:rPr>
                <w:rFonts w:cs="Arial"/>
              </w:rPr>
              <w:t>7,4</w:t>
            </w:r>
            <w:r w:rsidRPr="00851FE1">
              <w:rPr>
                <w:rFonts w:cs="Arial"/>
                <w:lang w:val="en-US"/>
              </w:rPr>
              <w:t xml:space="preserve"> </w:t>
            </w:r>
            <w:r w:rsidRPr="00851FE1">
              <w:rPr>
                <w:rFonts w:cs="Arial"/>
              </w:rPr>
              <w:t>пъти ↑</w:t>
            </w:r>
          </w:p>
        </w:tc>
      </w:tr>
      <w:tr w:rsidR="009C6A04" w:rsidRPr="00851FE1" w14:paraId="61CF68CD" w14:textId="77777777" w:rsidTr="009C6A04">
        <w:tc>
          <w:tcPr>
            <w:tcW w:w="3116" w:type="dxa"/>
          </w:tcPr>
          <w:p w14:paraId="2F99ACF2" w14:textId="5AD88C90" w:rsidR="009C6A04" w:rsidRPr="00851FE1" w:rsidRDefault="00851FE1" w:rsidP="0091385D">
            <w:pPr>
              <w:rPr>
                <w:rFonts w:cs="Arial"/>
              </w:rPr>
            </w:pPr>
            <w:r w:rsidRPr="00851FE1">
              <w:rPr>
                <w:rFonts w:cs="Arial"/>
              </w:rPr>
              <w:t xml:space="preserve">Циклоспорин 75 </w:t>
            </w:r>
            <w:r w:rsidRPr="00851FE1">
              <w:rPr>
                <w:rFonts w:cs="Arial"/>
                <w:lang w:val="en-US"/>
              </w:rPr>
              <w:t xml:space="preserve">mg </w:t>
            </w:r>
            <w:r w:rsidRPr="00851FE1">
              <w:rPr>
                <w:rFonts w:cs="Arial"/>
              </w:rPr>
              <w:t xml:space="preserve">ДД до 200 </w:t>
            </w:r>
            <w:r w:rsidRPr="00851FE1">
              <w:rPr>
                <w:rFonts w:cs="Arial"/>
                <w:lang w:val="en-US"/>
              </w:rPr>
              <w:t>mg</w:t>
            </w:r>
            <w:r w:rsidRPr="00851FE1">
              <w:rPr>
                <w:rFonts w:cs="Arial"/>
              </w:rPr>
              <w:t xml:space="preserve"> ДД, 6 месеца</w:t>
            </w:r>
          </w:p>
        </w:tc>
        <w:tc>
          <w:tcPr>
            <w:tcW w:w="3117" w:type="dxa"/>
          </w:tcPr>
          <w:p w14:paraId="358C9C3A" w14:textId="068CC78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 xml:space="preserve">ВД, 10 дни  </w:t>
            </w:r>
          </w:p>
        </w:tc>
        <w:tc>
          <w:tcPr>
            <w:tcW w:w="3117" w:type="dxa"/>
          </w:tcPr>
          <w:p w14:paraId="6E522E84" w14:textId="2B9817FC" w:rsidR="009C6A04" w:rsidRPr="00851FE1" w:rsidRDefault="009C6A04" w:rsidP="0091385D">
            <w:pPr>
              <w:rPr>
                <w:rFonts w:cs="Arial"/>
              </w:rPr>
            </w:pPr>
            <w:r w:rsidRPr="00851FE1">
              <w:rPr>
                <w:rFonts w:cs="Arial"/>
              </w:rPr>
              <w:t>7,1</w:t>
            </w:r>
            <w:r w:rsidRPr="00851FE1">
              <w:rPr>
                <w:rFonts w:cs="Arial"/>
                <w:lang w:val="en-US"/>
              </w:rPr>
              <w:t xml:space="preserve"> </w:t>
            </w:r>
            <w:r w:rsidRPr="00851FE1">
              <w:rPr>
                <w:rFonts w:cs="Arial"/>
              </w:rPr>
              <w:t>пъти ↑</w:t>
            </w:r>
          </w:p>
        </w:tc>
      </w:tr>
      <w:tr w:rsidR="00851FE1" w:rsidRPr="00851FE1" w14:paraId="350B016A" w14:textId="77777777" w:rsidTr="009C6A04">
        <w:tc>
          <w:tcPr>
            <w:tcW w:w="3116" w:type="dxa"/>
          </w:tcPr>
          <w:p w14:paraId="6CF45B35" w14:textId="5339452A" w:rsidR="00851FE1" w:rsidRPr="00851FE1" w:rsidRDefault="00851FE1" w:rsidP="00851FE1">
            <w:pPr>
              <w:rPr>
                <w:rFonts w:cs="Arial"/>
              </w:rPr>
            </w:pPr>
            <w:r w:rsidRPr="00851FE1">
              <w:rPr>
                <w:rFonts w:cs="Arial"/>
              </w:rPr>
              <w:t xml:space="preserve">Даролутамид 600 </w:t>
            </w:r>
            <w:r w:rsidRPr="00851FE1">
              <w:rPr>
                <w:rFonts w:cs="Arial"/>
                <w:lang w:val="en-US"/>
              </w:rPr>
              <w:t xml:space="preserve">mg </w:t>
            </w:r>
            <w:r w:rsidRPr="00851FE1">
              <w:rPr>
                <w:rFonts w:cs="Arial"/>
              </w:rPr>
              <w:t>ДД, 5 дни</w:t>
            </w:r>
          </w:p>
        </w:tc>
        <w:tc>
          <w:tcPr>
            <w:tcW w:w="3117" w:type="dxa"/>
          </w:tcPr>
          <w:p w14:paraId="755BFF2E" w14:textId="63BE8B00"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tc>
        <w:tc>
          <w:tcPr>
            <w:tcW w:w="3117" w:type="dxa"/>
          </w:tcPr>
          <w:p w14:paraId="65597C86" w14:textId="1FE77A56" w:rsidR="00851FE1" w:rsidRPr="00851FE1" w:rsidRDefault="00851FE1" w:rsidP="00851FE1">
            <w:pPr>
              <w:rPr>
                <w:rFonts w:cs="Arial"/>
              </w:rPr>
            </w:pPr>
            <w:r w:rsidRPr="00851FE1">
              <w:rPr>
                <w:rFonts w:cs="Arial"/>
              </w:rPr>
              <w:t>5,2 пъти ↑</w:t>
            </w:r>
          </w:p>
        </w:tc>
      </w:tr>
      <w:tr w:rsidR="00851FE1" w:rsidRPr="00851FE1" w14:paraId="4603D53B" w14:textId="77777777" w:rsidTr="009C6A04">
        <w:tc>
          <w:tcPr>
            <w:tcW w:w="3116" w:type="dxa"/>
          </w:tcPr>
          <w:p w14:paraId="2ED79A70" w14:textId="77777777" w:rsidR="00851FE1" w:rsidRPr="00851FE1" w:rsidRDefault="00851FE1" w:rsidP="00851FE1">
            <w:pPr>
              <w:rPr>
                <w:rFonts w:cs="Arial"/>
              </w:rPr>
            </w:pPr>
            <w:r w:rsidRPr="00851FE1">
              <w:rPr>
                <w:rFonts w:cs="Arial"/>
              </w:rPr>
              <w:t xml:space="preserve">Регорафениб 160 </w:t>
            </w:r>
            <w:r w:rsidRPr="00851FE1">
              <w:rPr>
                <w:rFonts w:cs="Arial"/>
                <w:lang w:val="en-US"/>
              </w:rPr>
              <w:t xml:space="preserve">mg, </w:t>
            </w:r>
            <w:r w:rsidRPr="00851FE1">
              <w:rPr>
                <w:rFonts w:cs="Arial"/>
              </w:rPr>
              <w:t xml:space="preserve">ВД, 14 дни </w:t>
            </w:r>
          </w:p>
          <w:p w14:paraId="37E834A5" w14:textId="77777777" w:rsidR="00851FE1" w:rsidRPr="00851FE1" w:rsidRDefault="00851FE1" w:rsidP="00851FE1">
            <w:pPr>
              <w:rPr>
                <w:rFonts w:cs="Arial"/>
              </w:rPr>
            </w:pPr>
          </w:p>
          <w:p w14:paraId="0E4CE7F9" w14:textId="24039141" w:rsidR="00851FE1" w:rsidRPr="00851FE1" w:rsidRDefault="00851FE1" w:rsidP="00851FE1">
            <w:pPr>
              <w:rPr>
                <w:rFonts w:cs="Arial"/>
              </w:rPr>
            </w:pPr>
            <w:r w:rsidRPr="00851FE1">
              <w:rPr>
                <w:rFonts w:cs="Arial"/>
              </w:rPr>
              <w:t xml:space="preserve">Атазанавир 300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ВД, 8 дни</w:t>
            </w:r>
          </w:p>
          <w:p w14:paraId="1FE80B3B" w14:textId="77777777" w:rsidR="00851FE1" w:rsidRPr="00851FE1" w:rsidRDefault="00851FE1" w:rsidP="00851FE1">
            <w:pPr>
              <w:rPr>
                <w:rFonts w:cs="Arial"/>
              </w:rPr>
            </w:pPr>
          </w:p>
          <w:p w14:paraId="376BEDCF" w14:textId="4F558BFB" w:rsidR="00851FE1" w:rsidRPr="00851FE1" w:rsidRDefault="00851FE1" w:rsidP="00851FE1">
            <w:pPr>
              <w:rPr>
                <w:rFonts w:cs="Arial"/>
              </w:rPr>
            </w:pPr>
            <w:r w:rsidRPr="00851FE1">
              <w:rPr>
                <w:rFonts w:cs="Arial"/>
              </w:rPr>
              <w:t xml:space="preserve">Велпатасвир 100 </w:t>
            </w:r>
            <w:r w:rsidRPr="00851FE1">
              <w:rPr>
                <w:rFonts w:cs="Arial"/>
                <w:lang w:val="en-US"/>
              </w:rPr>
              <w:t xml:space="preserve">mg </w:t>
            </w:r>
            <w:r w:rsidRPr="00851FE1">
              <w:rPr>
                <w:rFonts w:cs="Arial"/>
              </w:rPr>
              <w:t>ВД</w:t>
            </w:r>
          </w:p>
          <w:p w14:paraId="61387E63" w14:textId="77777777" w:rsidR="00851FE1" w:rsidRPr="00851FE1" w:rsidRDefault="00851FE1" w:rsidP="00851FE1">
            <w:pPr>
              <w:rPr>
                <w:rFonts w:cs="Arial"/>
              </w:rPr>
            </w:pPr>
          </w:p>
          <w:p w14:paraId="43D7296D" w14:textId="7937800D" w:rsidR="00851FE1" w:rsidRPr="00851FE1" w:rsidRDefault="00851FE1" w:rsidP="00851FE1">
            <w:pPr>
              <w:rPr>
                <w:rFonts w:cs="Arial"/>
              </w:rPr>
            </w:pPr>
            <w:r w:rsidRPr="00851FE1">
              <w:rPr>
                <w:rFonts w:cs="Arial"/>
              </w:rPr>
              <w:t xml:space="preserve">Омбитасвир 25 </w:t>
            </w:r>
            <w:r w:rsidRPr="00851FE1">
              <w:rPr>
                <w:rFonts w:cs="Arial"/>
                <w:lang w:val="en-US"/>
              </w:rPr>
              <w:t>mg</w:t>
            </w:r>
            <w:r w:rsidRPr="00851FE1">
              <w:rPr>
                <w:rFonts w:cs="Arial"/>
              </w:rPr>
              <w:t xml:space="preserve">/паритапревир 150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 xml:space="preserve">ВД/ дасабувир 400 </w:t>
            </w:r>
            <w:r w:rsidRPr="00851FE1">
              <w:rPr>
                <w:rFonts w:cs="Arial"/>
                <w:lang w:val="en-US"/>
              </w:rPr>
              <w:t xml:space="preserve">mg </w:t>
            </w:r>
            <w:r w:rsidRPr="00851FE1">
              <w:rPr>
                <w:rFonts w:cs="Arial"/>
              </w:rPr>
              <w:t xml:space="preserve">ДД, 14 дни </w:t>
            </w:r>
          </w:p>
          <w:p w14:paraId="7CE609DE" w14:textId="77777777" w:rsidR="00851FE1" w:rsidRPr="00851FE1" w:rsidRDefault="00851FE1" w:rsidP="00851FE1">
            <w:pPr>
              <w:rPr>
                <w:rFonts w:cs="Arial"/>
              </w:rPr>
            </w:pPr>
          </w:p>
          <w:p w14:paraId="428EFA70" w14:textId="305D0DC5" w:rsidR="00851FE1" w:rsidRPr="00851FE1" w:rsidRDefault="00851FE1" w:rsidP="00851FE1">
            <w:pPr>
              <w:rPr>
                <w:rFonts w:cs="Arial"/>
              </w:rPr>
            </w:pPr>
            <w:r w:rsidRPr="00851FE1">
              <w:rPr>
                <w:rFonts w:cs="Arial"/>
              </w:rPr>
              <w:t xml:space="preserve">Гразопревир 200 </w:t>
            </w:r>
            <w:r w:rsidRPr="00851FE1">
              <w:rPr>
                <w:rFonts w:cs="Arial"/>
                <w:lang w:val="en-US"/>
              </w:rPr>
              <w:t>mg</w:t>
            </w:r>
            <w:r w:rsidRPr="00851FE1">
              <w:rPr>
                <w:rFonts w:cs="Arial"/>
              </w:rPr>
              <w:t xml:space="preserve">/елбасвир 50 </w:t>
            </w:r>
            <w:r w:rsidRPr="00851FE1">
              <w:rPr>
                <w:rFonts w:cs="Arial"/>
                <w:lang w:val="en-US"/>
              </w:rPr>
              <w:t xml:space="preserve">mg </w:t>
            </w:r>
            <w:r w:rsidRPr="00851FE1">
              <w:rPr>
                <w:rFonts w:cs="Arial"/>
              </w:rPr>
              <w:t>ВД, 11 дни</w:t>
            </w:r>
          </w:p>
          <w:p w14:paraId="72BE3FBD" w14:textId="77777777" w:rsidR="00851FE1" w:rsidRPr="00851FE1" w:rsidRDefault="00851FE1" w:rsidP="00851FE1">
            <w:pPr>
              <w:rPr>
                <w:rFonts w:cs="Arial"/>
              </w:rPr>
            </w:pPr>
          </w:p>
          <w:p w14:paraId="022A652C" w14:textId="58922237" w:rsidR="00851FE1" w:rsidRPr="00851FE1" w:rsidRDefault="00851FE1" w:rsidP="00851FE1">
            <w:pPr>
              <w:rPr>
                <w:rFonts w:cs="Arial"/>
              </w:rPr>
            </w:pPr>
            <w:r w:rsidRPr="00851FE1">
              <w:rPr>
                <w:rFonts w:cs="Arial"/>
              </w:rPr>
              <w:t xml:space="preserve">Глекапревир 400 </w:t>
            </w:r>
            <w:r w:rsidRPr="00851FE1">
              <w:rPr>
                <w:rFonts w:cs="Arial"/>
                <w:lang w:val="en-US"/>
              </w:rPr>
              <w:t>mg</w:t>
            </w:r>
            <w:r w:rsidRPr="00851FE1">
              <w:rPr>
                <w:rFonts w:cs="Arial"/>
              </w:rPr>
              <w:t xml:space="preserve">/пибрентасвир 120 </w:t>
            </w:r>
            <w:r w:rsidRPr="00851FE1">
              <w:rPr>
                <w:rFonts w:cs="Arial"/>
                <w:lang w:val="en-US"/>
              </w:rPr>
              <w:t xml:space="preserve">mg </w:t>
            </w:r>
            <w:r w:rsidRPr="00851FE1">
              <w:rPr>
                <w:rFonts w:cs="Arial"/>
              </w:rPr>
              <w:t>ВД, 7 дни</w:t>
            </w:r>
          </w:p>
          <w:p w14:paraId="271CDE2C" w14:textId="77777777" w:rsidR="00851FE1" w:rsidRPr="00851FE1" w:rsidRDefault="00851FE1" w:rsidP="00851FE1">
            <w:pPr>
              <w:rPr>
                <w:rFonts w:cs="Arial"/>
              </w:rPr>
            </w:pPr>
          </w:p>
          <w:p w14:paraId="2687EA4A" w14:textId="73AC7D14" w:rsidR="00851FE1" w:rsidRPr="00851FE1" w:rsidRDefault="00851FE1" w:rsidP="00851FE1">
            <w:pPr>
              <w:rPr>
                <w:rFonts w:cs="Arial"/>
              </w:rPr>
            </w:pPr>
            <w:r w:rsidRPr="00851FE1">
              <w:rPr>
                <w:rFonts w:cs="Arial"/>
              </w:rPr>
              <w:lastRenderedPageBreak/>
              <w:t xml:space="preserve">Лопинавир 400 </w:t>
            </w:r>
            <w:r w:rsidRPr="00851FE1">
              <w:rPr>
                <w:rFonts w:cs="Arial"/>
                <w:lang w:val="en-US"/>
              </w:rPr>
              <w:t>mg</w:t>
            </w:r>
            <w:r w:rsidRPr="00851FE1">
              <w:rPr>
                <w:rFonts w:cs="Arial"/>
              </w:rPr>
              <w:t xml:space="preserve">/ритонавир 100 </w:t>
            </w:r>
            <w:r w:rsidRPr="00851FE1">
              <w:rPr>
                <w:rFonts w:cs="Arial"/>
                <w:lang w:val="en-US"/>
              </w:rPr>
              <w:t>mg</w:t>
            </w:r>
            <w:r w:rsidRPr="00851FE1">
              <w:rPr>
                <w:rFonts w:cs="Arial"/>
              </w:rPr>
              <w:t xml:space="preserve"> ДД, 17 дни</w:t>
            </w:r>
          </w:p>
          <w:p w14:paraId="76FB2037" w14:textId="77777777" w:rsidR="00851FE1" w:rsidRPr="00851FE1" w:rsidRDefault="00851FE1" w:rsidP="00851FE1">
            <w:pPr>
              <w:rPr>
                <w:rFonts w:cs="Arial"/>
              </w:rPr>
            </w:pPr>
          </w:p>
          <w:p w14:paraId="02420618" w14:textId="1983F92E" w:rsidR="00851FE1" w:rsidRPr="00851FE1" w:rsidRDefault="00851FE1" w:rsidP="00851FE1">
            <w:pPr>
              <w:rPr>
                <w:rFonts w:cs="Arial"/>
              </w:rPr>
            </w:pPr>
            <w:r w:rsidRPr="00851FE1">
              <w:rPr>
                <w:rFonts w:cs="Arial"/>
              </w:rPr>
              <w:t xml:space="preserve">Клопидогрел 300 </w:t>
            </w:r>
            <w:r w:rsidRPr="00851FE1">
              <w:rPr>
                <w:rFonts w:cs="Arial"/>
                <w:lang w:val="en-US"/>
              </w:rPr>
              <w:t xml:space="preserve">mg </w:t>
            </w:r>
            <w:r w:rsidRPr="00851FE1">
              <w:rPr>
                <w:rFonts w:cs="Arial"/>
              </w:rPr>
              <w:t xml:space="preserve">натоварваща доза, последвана от 75 </w:t>
            </w:r>
            <w:r w:rsidRPr="00851FE1">
              <w:rPr>
                <w:rFonts w:cs="Arial"/>
                <w:lang w:val="en-US"/>
              </w:rPr>
              <w:t xml:space="preserve">mg </w:t>
            </w:r>
            <w:r w:rsidRPr="00851FE1">
              <w:rPr>
                <w:rFonts w:cs="Arial"/>
              </w:rPr>
              <w:t>на 24 часа</w:t>
            </w:r>
          </w:p>
        </w:tc>
        <w:tc>
          <w:tcPr>
            <w:tcW w:w="3117" w:type="dxa"/>
          </w:tcPr>
          <w:p w14:paraId="2AE5C391" w14:textId="77777777" w:rsidR="00851FE1" w:rsidRPr="00851FE1" w:rsidRDefault="00851FE1" w:rsidP="00851FE1">
            <w:pPr>
              <w:rPr>
                <w:rFonts w:cs="Arial"/>
              </w:rPr>
            </w:pPr>
            <w:r w:rsidRPr="00851FE1">
              <w:rPr>
                <w:rFonts w:cs="Arial"/>
              </w:rPr>
              <w:lastRenderedPageBreak/>
              <w:t xml:space="preserve">5 </w:t>
            </w:r>
            <w:r w:rsidRPr="00851FE1">
              <w:rPr>
                <w:rFonts w:cs="Arial"/>
                <w:lang w:val="en-US"/>
              </w:rPr>
              <w:t xml:space="preserve">mg, </w:t>
            </w:r>
            <w:r w:rsidRPr="00851FE1">
              <w:rPr>
                <w:rFonts w:cs="Arial"/>
              </w:rPr>
              <w:t>единична доза</w:t>
            </w:r>
          </w:p>
          <w:p w14:paraId="283EA906" w14:textId="77777777" w:rsidR="00851FE1" w:rsidRPr="00851FE1" w:rsidRDefault="00851FE1" w:rsidP="00851FE1">
            <w:pPr>
              <w:rPr>
                <w:rFonts w:cs="Arial"/>
              </w:rPr>
            </w:pPr>
          </w:p>
          <w:p w14:paraId="6A6D5A8A" w14:textId="77777777" w:rsidR="00851FE1" w:rsidRPr="00851FE1" w:rsidRDefault="00851FE1" w:rsidP="00851FE1">
            <w:pPr>
              <w:rPr>
                <w:rFonts w:cs="Arial"/>
              </w:rPr>
            </w:pPr>
          </w:p>
          <w:p w14:paraId="4B8C6299" w14:textId="06E7171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674996FB" w14:textId="77777777" w:rsidR="00851FE1" w:rsidRPr="00851FE1" w:rsidRDefault="00851FE1" w:rsidP="00851FE1">
            <w:pPr>
              <w:rPr>
                <w:rFonts w:cs="Arial"/>
              </w:rPr>
            </w:pPr>
          </w:p>
          <w:p w14:paraId="54A2586C" w14:textId="77777777" w:rsidR="00851FE1" w:rsidRPr="00851FE1" w:rsidRDefault="00851FE1" w:rsidP="00851FE1">
            <w:pPr>
              <w:rPr>
                <w:rFonts w:cs="Arial"/>
              </w:rPr>
            </w:pPr>
          </w:p>
          <w:p w14:paraId="3A3E8920"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2DE21648" w14:textId="77777777" w:rsidR="00851FE1" w:rsidRPr="00851FE1" w:rsidRDefault="00851FE1" w:rsidP="00851FE1">
            <w:pPr>
              <w:rPr>
                <w:rFonts w:cs="Arial"/>
              </w:rPr>
            </w:pPr>
          </w:p>
          <w:p w14:paraId="63AF6803" w14:textId="0C1F7542"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p w14:paraId="4CF9651F" w14:textId="77777777" w:rsidR="00851FE1" w:rsidRPr="00851FE1" w:rsidRDefault="00851FE1" w:rsidP="00851FE1">
            <w:pPr>
              <w:rPr>
                <w:rFonts w:cs="Arial"/>
              </w:rPr>
            </w:pPr>
          </w:p>
          <w:p w14:paraId="76088BB2" w14:textId="77777777" w:rsidR="00851FE1" w:rsidRPr="00851FE1" w:rsidRDefault="00851FE1" w:rsidP="00851FE1">
            <w:pPr>
              <w:rPr>
                <w:rFonts w:cs="Arial"/>
              </w:rPr>
            </w:pPr>
          </w:p>
          <w:p w14:paraId="0DAFE72C" w14:textId="77777777" w:rsidR="00851FE1" w:rsidRPr="00851FE1" w:rsidRDefault="00851FE1" w:rsidP="00851FE1">
            <w:pPr>
              <w:rPr>
                <w:rFonts w:cs="Arial"/>
              </w:rPr>
            </w:pPr>
          </w:p>
          <w:p w14:paraId="45F26722" w14:textId="77777777" w:rsidR="00851FE1" w:rsidRPr="00851FE1" w:rsidRDefault="00851FE1" w:rsidP="00851FE1">
            <w:pPr>
              <w:rPr>
                <w:rFonts w:cs="Arial"/>
              </w:rPr>
            </w:pPr>
          </w:p>
          <w:p w14:paraId="5B363286" w14:textId="3044440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245309B" w14:textId="77777777" w:rsidR="00851FE1" w:rsidRPr="00851FE1" w:rsidRDefault="00851FE1" w:rsidP="00851FE1">
            <w:pPr>
              <w:rPr>
                <w:rFonts w:cs="Arial"/>
              </w:rPr>
            </w:pPr>
          </w:p>
          <w:p w14:paraId="4F05362F" w14:textId="77777777" w:rsidR="00851FE1" w:rsidRPr="00851FE1" w:rsidRDefault="00851FE1" w:rsidP="00851FE1">
            <w:pPr>
              <w:rPr>
                <w:rFonts w:cs="Arial"/>
              </w:rPr>
            </w:pPr>
          </w:p>
          <w:p w14:paraId="493D2D0C" w14:textId="436684E6"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ВД, 7 дни</w:t>
            </w:r>
          </w:p>
          <w:p w14:paraId="12B8A260" w14:textId="77777777" w:rsidR="00851FE1" w:rsidRPr="00851FE1" w:rsidRDefault="00851FE1" w:rsidP="00851FE1">
            <w:pPr>
              <w:rPr>
                <w:rFonts w:cs="Arial"/>
              </w:rPr>
            </w:pPr>
          </w:p>
          <w:p w14:paraId="5822D13F" w14:textId="77777777" w:rsidR="00851FE1" w:rsidRPr="00851FE1" w:rsidRDefault="00851FE1" w:rsidP="00851FE1">
            <w:pPr>
              <w:rPr>
                <w:rFonts w:cs="Arial"/>
              </w:rPr>
            </w:pPr>
          </w:p>
          <w:p w14:paraId="1BBD7FC2" w14:textId="77777777" w:rsidR="00851FE1" w:rsidRPr="00851FE1" w:rsidRDefault="00851FE1" w:rsidP="00851FE1">
            <w:pPr>
              <w:rPr>
                <w:rFonts w:cs="Arial"/>
              </w:rPr>
            </w:pPr>
          </w:p>
          <w:p w14:paraId="4AF6148D" w14:textId="4AC25180"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ВД, 7 дни</w:t>
            </w:r>
          </w:p>
          <w:p w14:paraId="1C5B67FD" w14:textId="77777777" w:rsidR="00851FE1" w:rsidRPr="00851FE1" w:rsidRDefault="00851FE1" w:rsidP="00851FE1">
            <w:pPr>
              <w:rPr>
                <w:rFonts w:cs="Arial"/>
              </w:rPr>
            </w:pPr>
          </w:p>
          <w:p w14:paraId="17EC0C05" w14:textId="77777777" w:rsidR="00851FE1" w:rsidRPr="00851FE1" w:rsidRDefault="00851FE1" w:rsidP="00851FE1">
            <w:pPr>
              <w:rPr>
                <w:rFonts w:cs="Arial"/>
              </w:rPr>
            </w:pPr>
          </w:p>
          <w:p w14:paraId="39F07E3E" w14:textId="79B10A7B" w:rsidR="00851FE1" w:rsidRPr="00851FE1" w:rsidRDefault="00851FE1" w:rsidP="00851FE1">
            <w:pPr>
              <w:rPr>
                <w:rFonts w:cs="Arial"/>
              </w:rPr>
            </w:pPr>
            <w:r w:rsidRPr="00851FE1">
              <w:rPr>
                <w:rFonts w:cs="Arial"/>
              </w:rPr>
              <w:lastRenderedPageBreak/>
              <w:t xml:space="preserve">20 </w:t>
            </w:r>
            <w:r w:rsidRPr="00851FE1">
              <w:rPr>
                <w:rFonts w:cs="Arial"/>
                <w:lang w:val="en-US"/>
              </w:rPr>
              <w:t xml:space="preserve">mg, </w:t>
            </w:r>
            <w:r w:rsidRPr="00851FE1">
              <w:rPr>
                <w:rFonts w:cs="Arial"/>
              </w:rPr>
              <w:t>единична доза</w:t>
            </w:r>
          </w:p>
        </w:tc>
        <w:tc>
          <w:tcPr>
            <w:tcW w:w="3117" w:type="dxa"/>
          </w:tcPr>
          <w:p w14:paraId="78D375C1" w14:textId="77777777" w:rsidR="00851FE1" w:rsidRPr="00851FE1" w:rsidRDefault="00851FE1" w:rsidP="00851FE1">
            <w:pPr>
              <w:rPr>
                <w:rFonts w:cs="Arial"/>
              </w:rPr>
            </w:pPr>
            <w:r w:rsidRPr="00851FE1">
              <w:rPr>
                <w:rFonts w:cs="Arial"/>
              </w:rPr>
              <w:lastRenderedPageBreak/>
              <w:t>3,8 пъти ↑</w:t>
            </w:r>
          </w:p>
          <w:p w14:paraId="6F2742F3" w14:textId="77777777" w:rsidR="00851FE1" w:rsidRPr="00851FE1" w:rsidRDefault="00851FE1" w:rsidP="00851FE1">
            <w:pPr>
              <w:rPr>
                <w:rFonts w:cs="Arial"/>
              </w:rPr>
            </w:pPr>
          </w:p>
          <w:p w14:paraId="507B5E84" w14:textId="77777777" w:rsidR="00851FE1" w:rsidRPr="00851FE1" w:rsidRDefault="00851FE1" w:rsidP="00851FE1">
            <w:pPr>
              <w:rPr>
                <w:rFonts w:cs="Arial"/>
              </w:rPr>
            </w:pPr>
          </w:p>
          <w:p w14:paraId="63595962" w14:textId="50405EA2" w:rsidR="00851FE1" w:rsidRPr="00851FE1" w:rsidRDefault="00851FE1" w:rsidP="00851FE1">
            <w:pPr>
              <w:rPr>
                <w:rFonts w:cs="Arial"/>
              </w:rPr>
            </w:pPr>
            <w:r w:rsidRPr="00851FE1">
              <w:rPr>
                <w:rFonts w:cs="Arial"/>
              </w:rPr>
              <w:t>3,1 пъти ↑</w:t>
            </w:r>
          </w:p>
          <w:p w14:paraId="38564414" w14:textId="77777777" w:rsidR="00851FE1" w:rsidRPr="00851FE1" w:rsidRDefault="00851FE1" w:rsidP="00851FE1">
            <w:pPr>
              <w:rPr>
                <w:rFonts w:cs="Arial"/>
              </w:rPr>
            </w:pPr>
          </w:p>
          <w:p w14:paraId="70D5C38A" w14:textId="77777777" w:rsidR="00851FE1" w:rsidRPr="00851FE1" w:rsidRDefault="00851FE1" w:rsidP="00851FE1">
            <w:pPr>
              <w:rPr>
                <w:rFonts w:cs="Arial"/>
              </w:rPr>
            </w:pPr>
          </w:p>
          <w:p w14:paraId="75C6F092" w14:textId="607E8589" w:rsidR="00851FE1" w:rsidRPr="00851FE1" w:rsidRDefault="00851FE1" w:rsidP="00851FE1">
            <w:pPr>
              <w:rPr>
                <w:rFonts w:cs="Arial"/>
              </w:rPr>
            </w:pPr>
            <w:r w:rsidRPr="00851FE1">
              <w:rPr>
                <w:rFonts w:cs="Arial"/>
              </w:rPr>
              <w:t>2,7 пъти ↑</w:t>
            </w:r>
          </w:p>
          <w:p w14:paraId="5B0870A6" w14:textId="77777777" w:rsidR="00851FE1" w:rsidRPr="00851FE1" w:rsidRDefault="00851FE1" w:rsidP="00851FE1">
            <w:pPr>
              <w:rPr>
                <w:rFonts w:cs="Arial"/>
              </w:rPr>
            </w:pPr>
          </w:p>
          <w:p w14:paraId="6C08076C" w14:textId="53BB7F1D" w:rsidR="00851FE1" w:rsidRPr="00851FE1" w:rsidRDefault="00851FE1" w:rsidP="00851FE1">
            <w:pPr>
              <w:rPr>
                <w:rFonts w:cs="Arial"/>
              </w:rPr>
            </w:pPr>
            <w:r w:rsidRPr="00851FE1">
              <w:rPr>
                <w:rFonts w:cs="Arial"/>
              </w:rPr>
              <w:t>2,6 пъти ↑</w:t>
            </w:r>
          </w:p>
          <w:p w14:paraId="55260573" w14:textId="77777777" w:rsidR="00851FE1" w:rsidRPr="00851FE1" w:rsidRDefault="00851FE1" w:rsidP="00851FE1">
            <w:pPr>
              <w:rPr>
                <w:rFonts w:cs="Arial"/>
              </w:rPr>
            </w:pPr>
          </w:p>
          <w:p w14:paraId="1530BC43" w14:textId="77777777" w:rsidR="00851FE1" w:rsidRPr="00851FE1" w:rsidRDefault="00851FE1" w:rsidP="00851FE1">
            <w:pPr>
              <w:rPr>
                <w:rFonts w:cs="Arial"/>
              </w:rPr>
            </w:pPr>
          </w:p>
          <w:p w14:paraId="34AEE70C" w14:textId="77777777" w:rsidR="00851FE1" w:rsidRPr="00851FE1" w:rsidRDefault="00851FE1" w:rsidP="00851FE1">
            <w:pPr>
              <w:rPr>
                <w:rFonts w:cs="Arial"/>
              </w:rPr>
            </w:pPr>
          </w:p>
          <w:p w14:paraId="712E771D" w14:textId="77777777" w:rsidR="00851FE1" w:rsidRPr="00851FE1" w:rsidRDefault="00851FE1" w:rsidP="00851FE1">
            <w:pPr>
              <w:rPr>
                <w:rFonts w:cs="Arial"/>
              </w:rPr>
            </w:pPr>
          </w:p>
          <w:p w14:paraId="0B11BA24" w14:textId="34E285A9" w:rsidR="00851FE1" w:rsidRPr="00851FE1" w:rsidRDefault="00851FE1" w:rsidP="00851FE1">
            <w:pPr>
              <w:rPr>
                <w:rFonts w:cs="Arial"/>
              </w:rPr>
            </w:pPr>
            <w:r w:rsidRPr="00851FE1">
              <w:rPr>
                <w:rFonts w:cs="Arial"/>
              </w:rPr>
              <w:t>2,3 пъти ↑</w:t>
            </w:r>
          </w:p>
          <w:p w14:paraId="752AAA71" w14:textId="77777777" w:rsidR="00851FE1" w:rsidRPr="00851FE1" w:rsidRDefault="00851FE1" w:rsidP="00851FE1">
            <w:pPr>
              <w:rPr>
                <w:rFonts w:cs="Arial"/>
              </w:rPr>
            </w:pPr>
          </w:p>
          <w:p w14:paraId="3A29FFAB" w14:textId="77777777" w:rsidR="00851FE1" w:rsidRPr="00851FE1" w:rsidRDefault="00851FE1" w:rsidP="00851FE1">
            <w:pPr>
              <w:rPr>
                <w:rFonts w:cs="Arial"/>
              </w:rPr>
            </w:pPr>
          </w:p>
          <w:p w14:paraId="421EACF4" w14:textId="00D9AF62" w:rsidR="00851FE1" w:rsidRPr="00851FE1" w:rsidRDefault="00851FE1" w:rsidP="00851FE1">
            <w:pPr>
              <w:rPr>
                <w:rFonts w:cs="Arial"/>
              </w:rPr>
            </w:pPr>
            <w:r w:rsidRPr="00851FE1">
              <w:rPr>
                <w:rFonts w:cs="Arial"/>
              </w:rPr>
              <w:t>2,2 пъти ↑</w:t>
            </w:r>
          </w:p>
          <w:p w14:paraId="1B94840C" w14:textId="77777777" w:rsidR="00851FE1" w:rsidRPr="00851FE1" w:rsidRDefault="00851FE1" w:rsidP="00851FE1">
            <w:pPr>
              <w:rPr>
                <w:rFonts w:cs="Arial"/>
              </w:rPr>
            </w:pPr>
          </w:p>
          <w:p w14:paraId="639EF945" w14:textId="77777777" w:rsidR="00851FE1" w:rsidRPr="00851FE1" w:rsidRDefault="00851FE1" w:rsidP="00851FE1">
            <w:pPr>
              <w:rPr>
                <w:rFonts w:cs="Arial"/>
              </w:rPr>
            </w:pPr>
          </w:p>
          <w:p w14:paraId="4159BBD5" w14:textId="77777777" w:rsidR="00851FE1" w:rsidRPr="00851FE1" w:rsidRDefault="00851FE1" w:rsidP="00851FE1">
            <w:pPr>
              <w:rPr>
                <w:rFonts w:cs="Arial"/>
              </w:rPr>
            </w:pPr>
          </w:p>
          <w:p w14:paraId="2DDDD71F" w14:textId="64CDAC59" w:rsidR="00851FE1" w:rsidRPr="00851FE1" w:rsidRDefault="00851FE1" w:rsidP="00851FE1">
            <w:pPr>
              <w:rPr>
                <w:rFonts w:cs="Arial"/>
              </w:rPr>
            </w:pPr>
            <w:r w:rsidRPr="00851FE1">
              <w:rPr>
                <w:rFonts w:cs="Arial"/>
              </w:rPr>
              <w:t>2,1 пъти ↑</w:t>
            </w:r>
          </w:p>
          <w:p w14:paraId="31A9AA92" w14:textId="77777777" w:rsidR="00851FE1" w:rsidRPr="00851FE1" w:rsidRDefault="00851FE1" w:rsidP="00851FE1">
            <w:pPr>
              <w:rPr>
                <w:rFonts w:cs="Arial"/>
              </w:rPr>
            </w:pPr>
          </w:p>
          <w:p w14:paraId="339F66BE" w14:textId="77777777" w:rsidR="00851FE1" w:rsidRPr="00851FE1" w:rsidRDefault="00851FE1" w:rsidP="00851FE1">
            <w:pPr>
              <w:rPr>
                <w:rFonts w:cs="Arial"/>
              </w:rPr>
            </w:pPr>
          </w:p>
          <w:p w14:paraId="5A27DADA" w14:textId="550172D6" w:rsidR="00851FE1" w:rsidRPr="00851FE1" w:rsidRDefault="00851FE1" w:rsidP="00851FE1">
            <w:pPr>
              <w:rPr>
                <w:rFonts w:cs="Arial"/>
              </w:rPr>
            </w:pPr>
            <w:r w:rsidRPr="00851FE1">
              <w:rPr>
                <w:rFonts w:cs="Arial"/>
              </w:rPr>
              <w:lastRenderedPageBreak/>
              <w:t>2 пъти ↑</w:t>
            </w:r>
          </w:p>
        </w:tc>
      </w:tr>
      <w:tr w:rsidR="00851FE1" w:rsidRPr="00851FE1" w14:paraId="74D465BF" w14:textId="77777777" w:rsidTr="00C220C7">
        <w:tc>
          <w:tcPr>
            <w:tcW w:w="9350" w:type="dxa"/>
            <w:gridSpan w:val="3"/>
          </w:tcPr>
          <w:p w14:paraId="14CC187E" w14:textId="17B05A29" w:rsidR="00851FE1" w:rsidRPr="00851FE1" w:rsidRDefault="00851FE1" w:rsidP="0091385D">
            <w:pPr>
              <w:rPr>
                <w:rFonts w:cs="Arial"/>
              </w:rPr>
            </w:pPr>
            <w:r w:rsidRPr="00851FE1">
              <w:rPr>
                <w:rFonts w:cs="Arial"/>
              </w:rPr>
              <w:lastRenderedPageBreak/>
              <w:t xml:space="preserve">Повишаване на </w:t>
            </w:r>
            <w:r w:rsidRPr="00851FE1">
              <w:rPr>
                <w:rFonts w:cs="Arial"/>
                <w:lang w:val="en-US"/>
              </w:rPr>
              <w:t xml:space="preserve">AUC </w:t>
            </w:r>
            <w:r w:rsidRPr="00851FE1">
              <w:rPr>
                <w:rFonts w:cs="Arial"/>
              </w:rPr>
              <w:t>на розувастатин по-малко от 2 пъти</w:t>
            </w:r>
          </w:p>
        </w:tc>
      </w:tr>
      <w:tr w:rsidR="00851FE1" w:rsidRPr="00851FE1" w14:paraId="1A75A381" w14:textId="77777777" w:rsidTr="009C6A04">
        <w:tc>
          <w:tcPr>
            <w:tcW w:w="3116" w:type="dxa"/>
          </w:tcPr>
          <w:p w14:paraId="135057A3" w14:textId="7F01D9D5"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0C3EB673" w14:textId="050EBD4A" w:rsidR="00851FE1" w:rsidRPr="00851FE1" w:rsidRDefault="00851FE1" w:rsidP="00851FE1">
            <w:pPr>
              <w:rPr>
                <w:rFonts w:cs="Arial"/>
              </w:rPr>
            </w:pPr>
            <w:r w:rsidRPr="00851FE1">
              <w:rPr>
                <w:rFonts w:cs="Arial"/>
              </w:rPr>
              <w:t>Дозов режим на розувастатин</w:t>
            </w:r>
          </w:p>
        </w:tc>
        <w:tc>
          <w:tcPr>
            <w:tcW w:w="3117" w:type="dxa"/>
          </w:tcPr>
          <w:p w14:paraId="5CEA1006" w14:textId="21806B91"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3DBBA1B8" w14:textId="77777777" w:rsidTr="009C6A04">
        <w:tc>
          <w:tcPr>
            <w:tcW w:w="3116" w:type="dxa"/>
          </w:tcPr>
          <w:p w14:paraId="56AB6F8B" w14:textId="77777777" w:rsidR="00851FE1" w:rsidRPr="00851FE1" w:rsidRDefault="00851FE1" w:rsidP="00851FE1">
            <w:pPr>
              <w:rPr>
                <w:rFonts w:cs="Arial"/>
              </w:rPr>
            </w:pPr>
            <w:r w:rsidRPr="00851FE1">
              <w:rPr>
                <w:rFonts w:cs="Arial"/>
              </w:rPr>
              <w:t xml:space="preserve">Гемифиброзил 600 </w:t>
            </w:r>
            <w:r w:rsidRPr="00851FE1">
              <w:rPr>
                <w:rFonts w:cs="Arial"/>
                <w:lang w:val="en-US"/>
              </w:rPr>
              <w:t xml:space="preserve">mg </w:t>
            </w:r>
            <w:r w:rsidRPr="00851FE1">
              <w:rPr>
                <w:rFonts w:cs="Arial"/>
              </w:rPr>
              <w:t>ДД, 7 дни</w:t>
            </w:r>
          </w:p>
          <w:p w14:paraId="4E23503B" w14:textId="77777777" w:rsidR="00851FE1" w:rsidRPr="00851FE1" w:rsidRDefault="00851FE1" w:rsidP="00851FE1">
            <w:pPr>
              <w:rPr>
                <w:rFonts w:cs="Arial"/>
              </w:rPr>
            </w:pPr>
          </w:p>
          <w:p w14:paraId="09E3077C" w14:textId="330B28A7" w:rsidR="00851FE1" w:rsidRPr="00851FE1" w:rsidRDefault="00851FE1" w:rsidP="00851FE1">
            <w:pPr>
              <w:rPr>
                <w:rFonts w:cs="Arial"/>
              </w:rPr>
            </w:pPr>
            <w:r w:rsidRPr="00851FE1">
              <w:rPr>
                <w:rFonts w:cs="Arial"/>
              </w:rPr>
              <w:t xml:space="preserve">Елтромбопаг 75 </w:t>
            </w:r>
            <w:r w:rsidRPr="00851FE1">
              <w:rPr>
                <w:rFonts w:cs="Arial"/>
                <w:lang w:val="en-US"/>
              </w:rPr>
              <w:t xml:space="preserve">mg </w:t>
            </w:r>
            <w:r w:rsidRPr="00851FE1">
              <w:rPr>
                <w:rFonts w:cs="Arial"/>
              </w:rPr>
              <w:t>ВД, 10 дни</w:t>
            </w:r>
          </w:p>
          <w:p w14:paraId="45A9905F" w14:textId="77777777" w:rsidR="00851FE1" w:rsidRPr="00851FE1" w:rsidRDefault="00851FE1" w:rsidP="00851FE1">
            <w:pPr>
              <w:rPr>
                <w:rFonts w:cs="Arial"/>
              </w:rPr>
            </w:pPr>
          </w:p>
          <w:p w14:paraId="65A2C74F" w14:textId="3BC9BECD" w:rsidR="00851FE1" w:rsidRPr="00851FE1" w:rsidRDefault="00851FE1" w:rsidP="00851FE1">
            <w:pPr>
              <w:rPr>
                <w:rFonts w:cs="Arial"/>
              </w:rPr>
            </w:pPr>
            <w:r w:rsidRPr="00851FE1">
              <w:rPr>
                <w:rFonts w:cs="Arial"/>
              </w:rPr>
              <w:t xml:space="preserve">Дарунавир 600 </w:t>
            </w:r>
            <w:r w:rsidRPr="00851FE1">
              <w:rPr>
                <w:rFonts w:cs="Arial"/>
                <w:lang w:val="en-US"/>
              </w:rPr>
              <w:t>mg</w:t>
            </w:r>
            <w:r w:rsidRPr="00851FE1">
              <w:rPr>
                <w:rFonts w:cs="Arial"/>
              </w:rPr>
              <w:t xml:space="preserve">/ритонавир 100 </w:t>
            </w:r>
            <w:r w:rsidRPr="00851FE1">
              <w:rPr>
                <w:rFonts w:cs="Arial"/>
                <w:lang w:val="en-US"/>
              </w:rPr>
              <w:t>mg</w:t>
            </w:r>
          </w:p>
          <w:p w14:paraId="30C5026F" w14:textId="77777777" w:rsidR="00851FE1" w:rsidRPr="00851FE1" w:rsidRDefault="00851FE1" w:rsidP="00851FE1">
            <w:pPr>
              <w:rPr>
                <w:rFonts w:cs="Arial"/>
              </w:rPr>
            </w:pPr>
            <w:r w:rsidRPr="00851FE1">
              <w:rPr>
                <w:rFonts w:cs="Arial"/>
              </w:rPr>
              <w:t>ДД, 7 дни</w:t>
            </w:r>
          </w:p>
          <w:p w14:paraId="47F85B47" w14:textId="77777777" w:rsidR="00851FE1" w:rsidRPr="00851FE1" w:rsidRDefault="00851FE1" w:rsidP="00851FE1">
            <w:pPr>
              <w:rPr>
                <w:rFonts w:cs="Arial"/>
              </w:rPr>
            </w:pPr>
          </w:p>
          <w:p w14:paraId="0D76FC2B" w14:textId="381E1450" w:rsidR="00851FE1" w:rsidRPr="00851FE1" w:rsidRDefault="00851FE1" w:rsidP="00851FE1">
            <w:pPr>
              <w:rPr>
                <w:rFonts w:cs="Arial"/>
              </w:rPr>
            </w:pPr>
            <w:r w:rsidRPr="00851FE1">
              <w:rPr>
                <w:rFonts w:cs="Arial"/>
              </w:rPr>
              <w:t xml:space="preserve">Типранавир 500 </w:t>
            </w:r>
            <w:r w:rsidRPr="00851FE1">
              <w:rPr>
                <w:rFonts w:cs="Arial"/>
                <w:lang w:val="en-US"/>
              </w:rPr>
              <w:t>mg</w:t>
            </w:r>
            <w:r w:rsidRPr="00851FE1">
              <w:rPr>
                <w:rFonts w:cs="Arial"/>
              </w:rPr>
              <w:t xml:space="preserve">/ритонавир 200 </w:t>
            </w:r>
            <w:r w:rsidRPr="00851FE1">
              <w:rPr>
                <w:rFonts w:cs="Arial"/>
                <w:lang w:val="en-US"/>
              </w:rPr>
              <w:t>mg</w:t>
            </w:r>
            <w:r w:rsidRPr="00851FE1">
              <w:rPr>
                <w:rFonts w:cs="Arial"/>
              </w:rPr>
              <w:t xml:space="preserve"> ДД, 11 дни</w:t>
            </w:r>
          </w:p>
          <w:p w14:paraId="2F78AAE6" w14:textId="77777777" w:rsidR="00851FE1" w:rsidRPr="00851FE1" w:rsidRDefault="00851FE1" w:rsidP="00851FE1">
            <w:pPr>
              <w:rPr>
                <w:rFonts w:cs="Arial"/>
              </w:rPr>
            </w:pPr>
          </w:p>
          <w:p w14:paraId="28B4C7F4" w14:textId="1DD27FAC" w:rsidR="00851FE1" w:rsidRPr="00851FE1" w:rsidRDefault="00851FE1" w:rsidP="00851FE1">
            <w:pPr>
              <w:rPr>
                <w:rFonts w:cs="Arial"/>
              </w:rPr>
            </w:pPr>
            <w:r w:rsidRPr="00851FE1">
              <w:rPr>
                <w:rFonts w:cs="Arial"/>
              </w:rPr>
              <w:t xml:space="preserve">Дронедарон 400 </w:t>
            </w:r>
            <w:r w:rsidRPr="00851FE1">
              <w:rPr>
                <w:rFonts w:cs="Arial"/>
                <w:lang w:val="en-US"/>
              </w:rPr>
              <w:t xml:space="preserve">mg </w:t>
            </w:r>
            <w:r w:rsidRPr="00851FE1">
              <w:rPr>
                <w:rFonts w:cs="Arial"/>
              </w:rPr>
              <w:t>ДД</w:t>
            </w:r>
          </w:p>
          <w:p w14:paraId="301C57B0" w14:textId="77777777" w:rsidR="00851FE1" w:rsidRPr="00851FE1" w:rsidRDefault="00851FE1" w:rsidP="00851FE1">
            <w:pPr>
              <w:rPr>
                <w:rFonts w:cs="Arial"/>
              </w:rPr>
            </w:pPr>
          </w:p>
          <w:p w14:paraId="3A67964F" w14:textId="434102FC" w:rsidR="00851FE1" w:rsidRPr="00851FE1" w:rsidRDefault="00851FE1" w:rsidP="00851FE1">
            <w:pPr>
              <w:rPr>
                <w:rFonts w:cs="Arial"/>
              </w:rPr>
            </w:pPr>
            <w:r w:rsidRPr="00851FE1">
              <w:rPr>
                <w:rFonts w:cs="Arial"/>
              </w:rPr>
              <w:t xml:space="preserve">Итраконазол 200 </w:t>
            </w:r>
            <w:r w:rsidRPr="00851FE1">
              <w:rPr>
                <w:rFonts w:cs="Arial"/>
                <w:lang w:val="en-US"/>
              </w:rPr>
              <w:t xml:space="preserve">mg </w:t>
            </w:r>
            <w:r w:rsidRPr="00851FE1">
              <w:rPr>
                <w:rFonts w:cs="Arial"/>
              </w:rPr>
              <w:t>ВД, 5 дни</w:t>
            </w:r>
          </w:p>
          <w:p w14:paraId="638FE82A" w14:textId="77777777" w:rsidR="00851FE1" w:rsidRPr="00851FE1" w:rsidRDefault="00851FE1" w:rsidP="00851FE1">
            <w:pPr>
              <w:rPr>
                <w:rFonts w:cs="Arial"/>
              </w:rPr>
            </w:pPr>
          </w:p>
          <w:p w14:paraId="2E0E3FDD" w14:textId="4A5CC21E" w:rsidR="00851FE1" w:rsidRPr="00851FE1" w:rsidRDefault="00851FE1" w:rsidP="00851FE1">
            <w:pPr>
              <w:rPr>
                <w:rFonts w:cs="Arial"/>
              </w:rPr>
            </w:pPr>
            <w:r w:rsidRPr="00851FE1">
              <w:rPr>
                <w:rFonts w:cs="Arial"/>
              </w:rPr>
              <w:t xml:space="preserve">Езетимиб 10 </w:t>
            </w:r>
            <w:r w:rsidRPr="00851FE1">
              <w:rPr>
                <w:rFonts w:cs="Arial"/>
                <w:lang w:val="en-US"/>
              </w:rPr>
              <w:t xml:space="preserve">mg </w:t>
            </w:r>
            <w:r w:rsidRPr="00851FE1">
              <w:rPr>
                <w:rFonts w:cs="Arial"/>
              </w:rPr>
              <w:t>ВД, 14 дни</w:t>
            </w:r>
          </w:p>
        </w:tc>
        <w:tc>
          <w:tcPr>
            <w:tcW w:w="3117" w:type="dxa"/>
          </w:tcPr>
          <w:p w14:paraId="5D96C6EE"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5977D8E0" w14:textId="77777777" w:rsidR="00851FE1" w:rsidRPr="00851FE1" w:rsidRDefault="00851FE1" w:rsidP="00851FE1">
            <w:pPr>
              <w:rPr>
                <w:rFonts w:cs="Arial"/>
              </w:rPr>
            </w:pPr>
          </w:p>
          <w:p w14:paraId="43CB7F77" w14:textId="77777777" w:rsidR="00851FE1" w:rsidRPr="00851FE1" w:rsidRDefault="00851FE1" w:rsidP="00851FE1">
            <w:pPr>
              <w:rPr>
                <w:rFonts w:cs="Arial"/>
              </w:rPr>
            </w:pPr>
          </w:p>
          <w:p w14:paraId="7C5A8AA6" w14:textId="65C7F9EA"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3E3F911D" w14:textId="77777777" w:rsidR="00851FE1" w:rsidRPr="00851FE1" w:rsidRDefault="00851FE1" w:rsidP="00851FE1">
            <w:pPr>
              <w:rPr>
                <w:rFonts w:cs="Arial"/>
              </w:rPr>
            </w:pPr>
          </w:p>
          <w:p w14:paraId="3885FB9D" w14:textId="70E5E2ED"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7 дни</w:t>
            </w:r>
          </w:p>
          <w:p w14:paraId="79B3C371" w14:textId="77777777" w:rsidR="00851FE1" w:rsidRPr="00851FE1" w:rsidRDefault="00851FE1" w:rsidP="00851FE1">
            <w:pPr>
              <w:rPr>
                <w:rFonts w:cs="Arial"/>
              </w:rPr>
            </w:pPr>
          </w:p>
          <w:p w14:paraId="27CDC5E6" w14:textId="77777777" w:rsidR="00851FE1" w:rsidRPr="00851FE1" w:rsidRDefault="00851FE1" w:rsidP="00851FE1">
            <w:pPr>
              <w:rPr>
                <w:rFonts w:cs="Arial"/>
              </w:rPr>
            </w:pPr>
          </w:p>
          <w:p w14:paraId="2311ADC4" w14:textId="77777777" w:rsidR="00851FE1" w:rsidRPr="00851FE1" w:rsidRDefault="00851FE1" w:rsidP="00851FE1">
            <w:pPr>
              <w:rPr>
                <w:rFonts w:cs="Arial"/>
              </w:rPr>
            </w:pPr>
          </w:p>
          <w:p w14:paraId="071292E0" w14:textId="1C2DC600"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1F9517F" w14:textId="77777777" w:rsidR="00851FE1" w:rsidRPr="00851FE1" w:rsidRDefault="00851FE1" w:rsidP="00851FE1">
            <w:pPr>
              <w:rPr>
                <w:rFonts w:cs="Arial"/>
              </w:rPr>
            </w:pPr>
          </w:p>
          <w:p w14:paraId="0EE5910C" w14:textId="77777777" w:rsidR="00851FE1" w:rsidRPr="00851FE1" w:rsidRDefault="00851FE1" w:rsidP="00851FE1">
            <w:pPr>
              <w:rPr>
                <w:rFonts w:cs="Arial"/>
              </w:rPr>
            </w:pPr>
          </w:p>
          <w:p w14:paraId="6E9950DF" w14:textId="64B856C4" w:rsidR="00851FE1" w:rsidRPr="00851FE1" w:rsidRDefault="00851FE1" w:rsidP="00851FE1">
            <w:pPr>
              <w:rPr>
                <w:rFonts w:cs="Arial"/>
              </w:rPr>
            </w:pPr>
            <w:r w:rsidRPr="00851FE1">
              <w:rPr>
                <w:rFonts w:cs="Arial"/>
              </w:rPr>
              <w:t>Не е наличен</w:t>
            </w:r>
          </w:p>
          <w:p w14:paraId="7112862E" w14:textId="77777777" w:rsidR="00851FE1" w:rsidRPr="00851FE1" w:rsidRDefault="00851FE1" w:rsidP="00851FE1">
            <w:pPr>
              <w:rPr>
                <w:rFonts w:cs="Arial"/>
              </w:rPr>
            </w:pPr>
          </w:p>
          <w:p w14:paraId="5431F257"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56010A19" w14:textId="77777777" w:rsidR="00851FE1" w:rsidRPr="00851FE1" w:rsidRDefault="00851FE1" w:rsidP="00851FE1">
            <w:pPr>
              <w:rPr>
                <w:rFonts w:cs="Arial"/>
              </w:rPr>
            </w:pPr>
          </w:p>
          <w:p w14:paraId="73B4DD5F" w14:textId="1B2ADA2F"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14 дни</w:t>
            </w:r>
          </w:p>
        </w:tc>
        <w:tc>
          <w:tcPr>
            <w:tcW w:w="3117" w:type="dxa"/>
          </w:tcPr>
          <w:p w14:paraId="137D932A" w14:textId="77777777" w:rsidR="00851FE1" w:rsidRPr="00851FE1" w:rsidRDefault="00851FE1" w:rsidP="00851FE1">
            <w:pPr>
              <w:rPr>
                <w:rFonts w:cs="Arial"/>
              </w:rPr>
            </w:pPr>
            <w:r w:rsidRPr="00851FE1">
              <w:rPr>
                <w:rFonts w:cs="Arial"/>
              </w:rPr>
              <w:t>1,9 пъти ↑</w:t>
            </w:r>
          </w:p>
          <w:p w14:paraId="2C27914C" w14:textId="77777777" w:rsidR="00851FE1" w:rsidRPr="00851FE1" w:rsidRDefault="00851FE1" w:rsidP="00851FE1">
            <w:pPr>
              <w:rPr>
                <w:rFonts w:cs="Arial"/>
              </w:rPr>
            </w:pPr>
          </w:p>
          <w:p w14:paraId="1C405925" w14:textId="77777777" w:rsidR="00851FE1" w:rsidRPr="00851FE1" w:rsidRDefault="00851FE1" w:rsidP="00851FE1">
            <w:pPr>
              <w:rPr>
                <w:rFonts w:cs="Arial"/>
              </w:rPr>
            </w:pPr>
          </w:p>
          <w:p w14:paraId="3C7A88E7" w14:textId="77777777" w:rsidR="00851FE1" w:rsidRPr="00851FE1" w:rsidRDefault="00851FE1" w:rsidP="00851FE1">
            <w:pPr>
              <w:rPr>
                <w:rFonts w:cs="Arial"/>
              </w:rPr>
            </w:pPr>
            <w:r w:rsidRPr="00851FE1">
              <w:rPr>
                <w:rFonts w:cs="Arial"/>
              </w:rPr>
              <w:t xml:space="preserve">1,6 пъти ↑ </w:t>
            </w:r>
          </w:p>
          <w:p w14:paraId="70CEB13C" w14:textId="77777777" w:rsidR="00851FE1" w:rsidRPr="00851FE1" w:rsidRDefault="00851FE1" w:rsidP="00851FE1">
            <w:pPr>
              <w:rPr>
                <w:rFonts w:cs="Arial"/>
              </w:rPr>
            </w:pPr>
          </w:p>
          <w:p w14:paraId="53836B34" w14:textId="43E2D9EA" w:rsidR="00851FE1" w:rsidRPr="00851FE1" w:rsidRDefault="00851FE1" w:rsidP="00851FE1">
            <w:pPr>
              <w:rPr>
                <w:rFonts w:cs="Arial"/>
              </w:rPr>
            </w:pPr>
            <w:r w:rsidRPr="00851FE1">
              <w:rPr>
                <w:rFonts w:cs="Arial"/>
              </w:rPr>
              <w:t>1,5 пъти ↑</w:t>
            </w:r>
          </w:p>
          <w:p w14:paraId="6C10BAA5" w14:textId="77777777" w:rsidR="00851FE1" w:rsidRPr="00851FE1" w:rsidRDefault="00851FE1" w:rsidP="00851FE1">
            <w:pPr>
              <w:rPr>
                <w:rFonts w:cs="Arial"/>
              </w:rPr>
            </w:pPr>
          </w:p>
          <w:p w14:paraId="09B19AF3" w14:textId="77777777" w:rsidR="00851FE1" w:rsidRPr="00851FE1" w:rsidRDefault="00851FE1" w:rsidP="00851FE1">
            <w:pPr>
              <w:rPr>
                <w:rFonts w:cs="Arial"/>
              </w:rPr>
            </w:pPr>
          </w:p>
          <w:p w14:paraId="66006177" w14:textId="77777777" w:rsidR="00851FE1" w:rsidRPr="00851FE1" w:rsidRDefault="00851FE1" w:rsidP="00851FE1">
            <w:pPr>
              <w:rPr>
                <w:rFonts w:cs="Arial"/>
              </w:rPr>
            </w:pPr>
          </w:p>
          <w:p w14:paraId="73B48586" w14:textId="7D920615" w:rsidR="00851FE1" w:rsidRPr="00851FE1" w:rsidRDefault="00851FE1" w:rsidP="00851FE1">
            <w:pPr>
              <w:rPr>
                <w:rFonts w:cs="Arial"/>
              </w:rPr>
            </w:pPr>
            <w:r w:rsidRPr="00851FE1">
              <w:rPr>
                <w:rFonts w:cs="Arial"/>
              </w:rPr>
              <w:t>1,4 пъти ↑</w:t>
            </w:r>
          </w:p>
          <w:p w14:paraId="44F7C815" w14:textId="77777777" w:rsidR="00851FE1" w:rsidRPr="00851FE1" w:rsidRDefault="00851FE1" w:rsidP="00851FE1">
            <w:pPr>
              <w:rPr>
                <w:rFonts w:cs="Arial"/>
              </w:rPr>
            </w:pPr>
          </w:p>
          <w:p w14:paraId="1F18DFF4" w14:textId="77777777" w:rsidR="00851FE1" w:rsidRPr="00851FE1" w:rsidRDefault="00851FE1" w:rsidP="00851FE1">
            <w:pPr>
              <w:rPr>
                <w:rFonts w:cs="Arial"/>
              </w:rPr>
            </w:pPr>
          </w:p>
          <w:p w14:paraId="78CDE6CD" w14:textId="77777777" w:rsidR="00851FE1" w:rsidRPr="00851FE1" w:rsidRDefault="00851FE1" w:rsidP="00851FE1">
            <w:pPr>
              <w:rPr>
                <w:rFonts w:cs="Arial"/>
              </w:rPr>
            </w:pPr>
            <w:r w:rsidRPr="00851FE1">
              <w:rPr>
                <w:rFonts w:cs="Arial"/>
              </w:rPr>
              <w:t xml:space="preserve">1,4 пъти ↑ </w:t>
            </w:r>
          </w:p>
          <w:p w14:paraId="6EBBE1FD" w14:textId="77777777" w:rsidR="00851FE1" w:rsidRPr="00851FE1" w:rsidRDefault="00851FE1" w:rsidP="00851FE1">
            <w:pPr>
              <w:rPr>
                <w:rFonts w:cs="Arial"/>
              </w:rPr>
            </w:pPr>
          </w:p>
          <w:p w14:paraId="0D40DF80" w14:textId="77777777" w:rsidR="00851FE1" w:rsidRPr="00851FE1" w:rsidRDefault="00851FE1" w:rsidP="00851FE1">
            <w:pPr>
              <w:rPr>
                <w:rFonts w:cs="Arial"/>
              </w:rPr>
            </w:pPr>
            <w:r w:rsidRPr="00851FE1">
              <w:rPr>
                <w:rFonts w:cs="Arial"/>
              </w:rPr>
              <w:t xml:space="preserve">1,4 пъти ↑** </w:t>
            </w:r>
          </w:p>
          <w:p w14:paraId="5F68B4DC" w14:textId="77777777" w:rsidR="00851FE1" w:rsidRPr="00851FE1" w:rsidRDefault="00851FE1" w:rsidP="00851FE1">
            <w:pPr>
              <w:rPr>
                <w:rFonts w:cs="Arial"/>
              </w:rPr>
            </w:pPr>
          </w:p>
          <w:p w14:paraId="7C9D686A" w14:textId="0CCAE966" w:rsidR="00851FE1" w:rsidRPr="00851FE1" w:rsidRDefault="00851FE1" w:rsidP="00851FE1">
            <w:pPr>
              <w:rPr>
                <w:rFonts w:cs="Arial"/>
              </w:rPr>
            </w:pPr>
            <w:r w:rsidRPr="00851FE1">
              <w:rPr>
                <w:rFonts w:cs="Arial"/>
              </w:rPr>
              <w:t>1,2 пъти ↑</w:t>
            </w:r>
            <w:r w:rsidRPr="00851FE1">
              <w:rPr>
                <w:rFonts w:cs="Arial"/>
                <w:lang w:val="en-US"/>
              </w:rPr>
              <w:t>**</w:t>
            </w:r>
          </w:p>
        </w:tc>
      </w:tr>
      <w:tr w:rsidR="00851FE1" w:rsidRPr="00851FE1" w14:paraId="79FFB364" w14:textId="77777777" w:rsidTr="00C220C7">
        <w:tc>
          <w:tcPr>
            <w:tcW w:w="9350" w:type="dxa"/>
            <w:gridSpan w:val="3"/>
          </w:tcPr>
          <w:p w14:paraId="7DCB4414" w14:textId="167DFF9A" w:rsidR="00851FE1" w:rsidRPr="00851FE1" w:rsidRDefault="00851FE1" w:rsidP="00851FE1">
            <w:pPr>
              <w:rPr>
                <w:rFonts w:cs="Arial"/>
              </w:rPr>
            </w:pPr>
            <w:r w:rsidRPr="00851FE1">
              <w:rPr>
                <w:rFonts w:cs="Arial"/>
              </w:rPr>
              <w:t xml:space="preserve">Намаляване на </w:t>
            </w:r>
            <w:r w:rsidRPr="00851FE1">
              <w:rPr>
                <w:rFonts w:cs="Arial"/>
                <w:lang w:val="en-US"/>
              </w:rPr>
              <w:t xml:space="preserve">AUC </w:t>
            </w:r>
            <w:r w:rsidRPr="00851FE1">
              <w:rPr>
                <w:rFonts w:cs="Arial"/>
              </w:rPr>
              <w:t>на розувастатин</w:t>
            </w:r>
          </w:p>
        </w:tc>
      </w:tr>
      <w:tr w:rsidR="00851FE1" w:rsidRPr="00851FE1" w14:paraId="31E14335" w14:textId="77777777" w:rsidTr="009C6A04">
        <w:tc>
          <w:tcPr>
            <w:tcW w:w="3116" w:type="dxa"/>
          </w:tcPr>
          <w:p w14:paraId="6237E962" w14:textId="5AE366A6"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160130C4" w14:textId="60E5C9B7" w:rsidR="00851FE1" w:rsidRPr="00851FE1" w:rsidRDefault="00851FE1" w:rsidP="00851FE1">
            <w:pPr>
              <w:rPr>
                <w:rFonts w:cs="Arial"/>
              </w:rPr>
            </w:pPr>
            <w:r w:rsidRPr="00851FE1">
              <w:rPr>
                <w:rFonts w:cs="Arial"/>
              </w:rPr>
              <w:t>Дозов режим на розувастатин</w:t>
            </w:r>
          </w:p>
        </w:tc>
        <w:tc>
          <w:tcPr>
            <w:tcW w:w="3117" w:type="dxa"/>
          </w:tcPr>
          <w:p w14:paraId="46B892B7" w14:textId="6A786265"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5BE4A624" w14:textId="77777777" w:rsidTr="009C6A04">
        <w:tc>
          <w:tcPr>
            <w:tcW w:w="3116" w:type="dxa"/>
          </w:tcPr>
          <w:p w14:paraId="2763B2A1" w14:textId="77777777" w:rsidR="00851FE1" w:rsidRPr="00851FE1" w:rsidRDefault="00851FE1" w:rsidP="00851FE1">
            <w:pPr>
              <w:rPr>
                <w:rFonts w:cs="Arial"/>
              </w:rPr>
            </w:pPr>
            <w:r w:rsidRPr="00851FE1">
              <w:rPr>
                <w:rFonts w:cs="Arial"/>
              </w:rPr>
              <w:t xml:space="preserve">Еритромицин 500 </w:t>
            </w:r>
            <w:r w:rsidRPr="00851FE1">
              <w:rPr>
                <w:rFonts w:cs="Arial"/>
                <w:lang w:val="en-US"/>
              </w:rPr>
              <w:t xml:space="preserve">mg </w:t>
            </w:r>
            <w:r w:rsidRPr="00851FE1">
              <w:rPr>
                <w:rFonts w:cs="Arial"/>
              </w:rPr>
              <w:t>ЧД, 7 дни</w:t>
            </w:r>
          </w:p>
          <w:p w14:paraId="38566DD5" w14:textId="77777777" w:rsidR="00851FE1" w:rsidRPr="00851FE1" w:rsidRDefault="00851FE1" w:rsidP="00851FE1">
            <w:pPr>
              <w:rPr>
                <w:rFonts w:cs="Arial"/>
              </w:rPr>
            </w:pPr>
          </w:p>
          <w:p w14:paraId="29DC2218" w14:textId="37E070DC" w:rsidR="00851FE1" w:rsidRPr="00851FE1" w:rsidRDefault="00851FE1" w:rsidP="00851FE1">
            <w:pPr>
              <w:rPr>
                <w:rFonts w:cs="Arial"/>
              </w:rPr>
            </w:pPr>
            <w:r w:rsidRPr="00851FE1">
              <w:rPr>
                <w:rFonts w:cs="Arial"/>
              </w:rPr>
              <w:t xml:space="preserve">Вайкалия 50 </w:t>
            </w:r>
            <w:r w:rsidRPr="00851FE1">
              <w:rPr>
                <w:rFonts w:cs="Arial"/>
                <w:lang w:val="en-US"/>
              </w:rPr>
              <w:t xml:space="preserve">mg </w:t>
            </w:r>
            <w:r w:rsidRPr="00851FE1">
              <w:rPr>
                <w:rFonts w:cs="Arial"/>
              </w:rPr>
              <w:t>ТД, 14 дни</w:t>
            </w:r>
          </w:p>
        </w:tc>
        <w:tc>
          <w:tcPr>
            <w:tcW w:w="3117" w:type="dxa"/>
          </w:tcPr>
          <w:p w14:paraId="49C542A7"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79E05F0F" w14:textId="77777777" w:rsidR="00851FE1" w:rsidRPr="00851FE1" w:rsidRDefault="00851FE1" w:rsidP="00851FE1">
            <w:pPr>
              <w:rPr>
                <w:rFonts w:cs="Arial"/>
              </w:rPr>
            </w:pPr>
          </w:p>
          <w:p w14:paraId="6BE9EBE4" w14:textId="77777777" w:rsidR="00851FE1" w:rsidRPr="00851FE1" w:rsidRDefault="00851FE1" w:rsidP="00851FE1">
            <w:pPr>
              <w:rPr>
                <w:rFonts w:cs="Arial"/>
              </w:rPr>
            </w:pPr>
          </w:p>
          <w:p w14:paraId="7D14C463" w14:textId="2FABC679"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единична доза</w:t>
            </w:r>
          </w:p>
        </w:tc>
        <w:tc>
          <w:tcPr>
            <w:tcW w:w="3117" w:type="dxa"/>
          </w:tcPr>
          <w:p w14:paraId="64CE671A" w14:textId="77777777" w:rsidR="00851FE1" w:rsidRPr="00851FE1" w:rsidRDefault="00851FE1" w:rsidP="00851FE1">
            <w:pPr>
              <w:rPr>
                <w:rFonts w:cs="Arial"/>
              </w:rPr>
            </w:pPr>
            <w:r w:rsidRPr="00851FE1">
              <w:rPr>
                <w:rFonts w:cs="Arial"/>
              </w:rPr>
              <w:t>20% ↓</w:t>
            </w:r>
          </w:p>
          <w:p w14:paraId="3D004F22" w14:textId="77777777" w:rsidR="00851FE1" w:rsidRPr="00851FE1" w:rsidRDefault="00851FE1" w:rsidP="00851FE1">
            <w:pPr>
              <w:rPr>
                <w:rFonts w:cs="Arial"/>
              </w:rPr>
            </w:pPr>
          </w:p>
          <w:p w14:paraId="2D01A45C" w14:textId="77777777" w:rsidR="00851FE1" w:rsidRPr="00851FE1" w:rsidRDefault="00851FE1" w:rsidP="00851FE1">
            <w:pPr>
              <w:rPr>
                <w:rFonts w:cs="Arial"/>
              </w:rPr>
            </w:pPr>
          </w:p>
          <w:p w14:paraId="20BF09B8" w14:textId="4FE8B201" w:rsidR="00851FE1" w:rsidRPr="00851FE1" w:rsidRDefault="00851FE1" w:rsidP="00851FE1">
            <w:pPr>
              <w:rPr>
                <w:rFonts w:cs="Arial"/>
              </w:rPr>
            </w:pPr>
            <w:r w:rsidRPr="00851FE1">
              <w:rPr>
                <w:rFonts w:cs="Arial"/>
              </w:rPr>
              <w:t>47% ↓</w:t>
            </w:r>
          </w:p>
        </w:tc>
      </w:tr>
      <w:tr w:rsidR="00851FE1" w:rsidRPr="00851FE1" w14:paraId="292AB730" w14:textId="77777777" w:rsidTr="00C220C7">
        <w:tc>
          <w:tcPr>
            <w:tcW w:w="9350" w:type="dxa"/>
            <w:gridSpan w:val="3"/>
          </w:tcPr>
          <w:p w14:paraId="0CA3AAB6"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 Данните, представени като х-кратна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процентната разлика, отнесена към самостоятелното приложение на розувастатин.</w:t>
            </w:r>
          </w:p>
          <w:p w14:paraId="7DD8AE07"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Увеличението е показано като "</w:t>
            </w:r>
            <w:r w:rsidRPr="00851FE1">
              <w:rPr>
                <w:rFonts w:eastAsia="Times New Roman" w:cs="Arial"/>
                <w:color w:val="000000"/>
                <w:lang w:val="en-US"/>
              </w:rPr>
              <w:t>↑</w:t>
            </w:r>
            <w:r w:rsidRPr="00851FE1">
              <w:rPr>
                <w:rFonts w:eastAsia="Times New Roman" w:cs="Arial"/>
                <w:color w:val="000000"/>
                <w:lang w:eastAsia="bg-BG"/>
              </w:rPr>
              <w:t>", намалението като "↓".</w:t>
            </w:r>
          </w:p>
          <w:p w14:paraId="7C993F4C"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56DAF660" w14:textId="1E1E3116" w:rsidR="00851FE1" w:rsidRPr="00851FE1" w:rsidRDefault="00851FE1" w:rsidP="00851FE1">
            <w:pPr>
              <w:rPr>
                <w:rFonts w:cs="Arial"/>
              </w:rPr>
            </w:pPr>
            <w:r w:rsidRPr="00851FE1">
              <w:rPr>
                <w:rFonts w:eastAsia="Times New Roman" w:cs="Arial"/>
                <w:color w:val="000000"/>
                <w:lang w:val="en-US"/>
              </w:rPr>
              <w:lastRenderedPageBreak/>
              <w:t xml:space="preserve">AUC </w:t>
            </w:r>
            <w:r w:rsidRPr="00851FE1">
              <w:rPr>
                <w:rFonts w:eastAsia="Times New Roman" w:cs="Arial"/>
                <w:color w:val="000000"/>
                <w:lang w:eastAsia="bg-BG"/>
              </w:rPr>
              <w:t xml:space="preserve">- площ под кривата, ВД = веднъж дневно; </w:t>
            </w:r>
            <w:r w:rsidRPr="00851FE1">
              <w:rPr>
                <w:rFonts w:eastAsia="Times New Roman" w:cs="Arial"/>
                <w:i/>
                <w:iCs/>
                <w:color w:val="000000"/>
                <w:lang w:eastAsia="bg-BG"/>
              </w:rPr>
              <w:t>ДД</w:t>
            </w:r>
            <w:r w:rsidRPr="00851FE1">
              <w:rPr>
                <w:rFonts w:eastAsia="Times New Roman" w:cs="Arial"/>
                <w:color w:val="000000"/>
                <w:lang w:eastAsia="bg-BG"/>
              </w:rPr>
              <w:t xml:space="preserve"> - два пъти дневно; ТД = три пъти дневно; ЧД = четири пъти дневно</w:t>
            </w:r>
          </w:p>
        </w:tc>
      </w:tr>
    </w:tbl>
    <w:p w14:paraId="268FF7F0" w14:textId="7C277432" w:rsidR="009C6A04" w:rsidRPr="00851FE1" w:rsidRDefault="009C6A04" w:rsidP="0091385D">
      <w:pPr>
        <w:rPr>
          <w:rFonts w:cs="Arial"/>
        </w:rPr>
      </w:pPr>
    </w:p>
    <w:p w14:paraId="4A7CB3E2" w14:textId="77777777" w:rsidR="00851FE1" w:rsidRPr="00851FE1" w:rsidRDefault="00851FE1" w:rsidP="00851FE1">
      <w:pPr>
        <w:rPr>
          <w:rFonts w:cs="Arial"/>
        </w:rPr>
      </w:pPr>
      <w:r w:rsidRPr="00851FE1">
        <w:rPr>
          <w:rFonts w:cs="Arial"/>
        </w:rPr>
        <w:t xml:space="preserve">Следните лекарствени продукти/комбинации не са имали клинично значим ефект върху </w:t>
      </w:r>
      <w:r w:rsidRPr="00851FE1">
        <w:rPr>
          <w:rFonts w:cs="Arial"/>
          <w:lang w:val="en-US"/>
        </w:rPr>
        <w:t xml:space="preserve">AUC </w:t>
      </w:r>
      <w:r w:rsidRPr="00851FE1">
        <w:rPr>
          <w:rFonts w:cs="Arial"/>
        </w:rPr>
        <w:t xml:space="preserve">на розувастатин при едновременно приложение: Алеглизавир 0,3 </w:t>
      </w:r>
      <w:r w:rsidRPr="00851FE1">
        <w:rPr>
          <w:rFonts w:cs="Arial"/>
          <w:lang w:val="en-US"/>
        </w:rPr>
        <w:t xml:space="preserve">mg </w:t>
      </w:r>
      <w:r w:rsidRPr="00851FE1">
        <w:rPr>
          <w:rFonts w:cs="Arial"/>
        </w:rPr>
        <w:t>7 дни дозиране;</w:t>
      </w:r>
    </w:p>
    <w:p w14:paraId="2D0DC7B5" w14:textId="77777777" w:rsidR="00851FE1" w:rsidRPr="00851FE1" w:rsidRDefault="00851FE1" w:rsidP="00851FE1">
      <w:pPr>
        <w:rPr>
          <w:rFonts w:cs="Arial"/>
        </w:rPr>
      </w:pPr>
      <w:r w:rsidRPr="00851FE1">
        <w:rPr>
          <w:rFonts w:cs="Arial"/>
        </w:rPr>
        <w:t xml:space="preserve">Фенофибрат 67 </w:t>
      </w:r>
      <w:r w:rsidRPr="00851FE1">
        <w:rPr>
          <w:rFonts w:cs="Arial"/>
          <w:lang w:val="en-US"/>
        </w:rPr>
        <w:t xml:space="preserve">mg </w:t>
      </w:r>
      <w:r w:rsidRPr="00851FE1">
        <w:rPr>
          <w:rFonts w:cs="Arial"/>
        </w:rPr>
        <w:t xml:space="preserve">ТД, 7 дни; Флуконазол 200 </w:t>
      </w:r>
      <w:r w:rsidRPr="00851FE1">
        <w:rPr>
          <w:rFonts w:cs="Arial"/>
          <w:lang w:val="en-US"/>
        </w:rPr>
        <w:t xml:space="preserve">mg </w:t>
      </w:r>
      <w:r w:rsidRPr="00851FE1">
        <w:rPr>
          <w:rFonts w:cs="Arial"/>
        </w:rPr>
        <w:t xml:space="preserve">ВД, 11 дни; Фозампренавир 700 </w:t>
      </w:r>
      <w:r w:rsidRPr="00851FE1">
        <w:rPr>
          <w:rFonts w:cs="Arial"/>
          <w:lang w:val="en-US"/>
        </w:rPr>
        <w:t>mg</w:t>
      </w:r>
      <w:r w:rsidRPr="00851FE1">
        <w:rPr>
          <w:rFonts w:cs="Arial"/>
        </w:rPr>
        <w:t xml:space="preserve">/рито нави р 100 </w:t>
      </w:r>
      <w:r w:rsidRPr="00851FE1">
        <w:rPr>
          <w:rFonts w:cs="Arial"/>
          <w:lang w:val="en-US"/>
        </w:rPr>
        <w:t xml:space="preserve">mg </w:t>
      </w:r>
      <w:r w:rsidRPr="00851FE1">
        <w:rPr>
          <w:rFonts w:cs="Arial"/>
        </w:rPr>
        <w:t xml:space="preserve">ДД, 8 дни; Кетоконазол 200 </w:t>
      </w:r>
      <w:r w:rsidRPr="00851FE1">
        <w:rPr>
          <w:rFonts w:cs="Arial"/>
          <w:lang w:val="en-US"/>
        </w:rPr>
        <w:t xml:space="preserve">mg </w:t>
      </w:r>
      <w:r w:rsidRPr="00851FE1">
        <w:rPr>
          <w:rFonts w:cs="Arial"/>
        </w:rPr>
        <w:t>ДД, 7 дни; Рифампицин</w:t>
      </w:r>
      <w:r w:rsidRPr="00851FE1">
        <w:rPr>
          <w:rFonts w:cs="Arial"/>
          <w:lang w:val="en-US"/>
        </w:rPr>
        <w:t xml:space="preserve"> 450 mg </w:t>
      </w:r>
      <w:r w:rsidRPr="00851FE1">
        <w:rPr>
          <w:rFonts w:cs="Arial"/>
        </w:rPr>
        <w:t xml:space="preserve">ВД, 7 дни; Силимарин 140 </w:t>
      </w:r>
      <w:r w:rsidRPr="00851FE1">
        <w:rPr>
          <w:rFonts w:cs="Arial"/>
          <w:lang w:val="en-US"/>
        </w:rPr>
        <w:t xml:space="preserve">mg </w:t>
      </w:r>
      <w:r w:rsidRPr="00851FE1">
        <w:rPr>
          <w:rFonts w:cs="Arial"/>
        </w:rPr>
        <w:t>ТД, 5 дни.</w:t>
      </w:r>
    </w:p>
    <w:p w14:paraId="668296B2" w14:textId="77777777" w:rsidR="00851FE1" w:rsidRPr="00851FE1" w:rsidRDefault="00851FE1" w:rsidP="00851FE1">
      <w:pPr>
        <w:rPr>
          <w:rFonts w:cs="Arial"/>
          <w:i/>
          <w:iCs/>
          <w:u w:val="single"/>
        </w:rPr>
      </w:pPr>
    </w:p>
    <w:p w14:paraId="04B34618" w14:textId="2321E608" w:rsidR="00851FE1" w:rsidRPr="00851FE1" w:rsidRDefault="00851FE1" w:rsidP="00851FE1">
      <w:pPr>
        <w:rPr>
          <w:rFonts w:cs="Arial"/>
        </w:rPr>
      </w:pPr>
      <w:r w:rsidRPr="00851FE1">
        <w:rPr>
          <w:rFonts w:cs="Arial"/>
          <w:i/>
          <w:iCs/>
          <w:u w:val="single"/>
        </w:rPr>
        <w:t>Ефект на розувастатин върху едновременно прилагани лекарствени продукти</w:t>
      </w:r>
    </w:p>
    <w:p w14:paraId="2B45B9BF" w14:textId="77777777" w:rsidR="00851FE1" w:rsidRPr="00851FE1" w:rsidRDefault="00851FE1" w:rsidP="00851FE1">
      <w:pPr>
        <w:rPr>
          <w:rFonts w:cs="Arial"/>
          <w:i/>
          <w:iCs/>
        </w:rPr>
      </w:pPr>
    </w:p>
    <w:p w14:paraId="4662B90E" w14:textId="77777777" w:rsidR="005151ED" w:rsidRPr="005151ED" w:rsidRDefault="00851FE1" w:rsidP="005151ED">
      <w:pPr>
        <w:rPr>
          <w:rFonts w:eastAsia="Times New Roman" w:cs="Arial"/>
          <w:sz w:val="28"/>
          <w:szCs w:val="24"/>
          <w:lang w:eastAsia="bg-BG"/>
        </w:rPr>
      </w:pPr>
      <w:r w:rsidRPr="00851FE1">
        <w:rPr>
          <w:rFonts w:cs="Arial"/>
          <w:i/>
          <w:iCs/>
        </w:rPr>
        <w:t>Антагонисти на витамин К:</w:t>
      </w:r>
      <w:r w:rsidRPr="00851FE1">
        <w:rPr>
          <w:rFonts w:cs="Arial"/>
        </w:rPr>
        <w:t xml:space="preserve"> Както при други инхибитори на </w:t>
      </w:r>
      <w:r w:rsidRPr="00851FE1">
        <w:rPr>
          <w:rFonts w:cs="Arial"/>
          <w:lang w:val="en-US"/>
        </w:rPr>
        <w:t xml:space="preserve">HMG-CoA </w:t>
      </w:r>
      <w:r w:rsidRPr="00851FE1">
        <w:rPr>
          <w:rFonts w:cs="Arial"/>
        </w:rPr>
        <w:t>редуктазата,  започването на лечението или повишаването на дозата на розувастатин при пациенти, лекувани</w:t>
      </w:r>
      <w:r>
        <w:rPr>
          <w:rFonts w:cs="Arial"/>
        </w:rPr>
        <w:t xml:space="preserve"> </w:t>
      </w:r>
      <w:r w:rsidR="005151ED" w:rsidRPr="005151ED">
        <w:rPr>
          <w:rFonts w:eastAsia="Times New Roman" w:cs="Arial"/>
          <w:color w:val="000000"/>
          <w:szCs w:val="20"/>
          <w:lang w:eastAsia="bg-BG"/>
        </w:rPr>
        <w:t xml:space="preserve">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005151ED" w:rsidRPr="005151ED">
        <w:rPr>
          <w:rFonts w:eastAsia="Times New Roman" w:cs="Arial"/>
          <w:color w:val="000000"/>
          <w:szCs w:val="20"/>
          <w:lang w:val="en-US"/>
        </w:rPr>
        <w:t xml:space="preserve">(International Normalised Ratio, JNR). </w:t>
      </w:r>
      <w:r w:rsidR="005151ED" w:rsidRPr="005151ED">
        <w:rPr>
          <w:rFonts w:eastAsia="Times New Roman" w:cs="Arial"/>
          <w:color w:val="000000"/>
          <w:szCs w:val="20"/>
          <w:lang w:eastAsia="bg-BG"/>
        </w:rPr>
        <w:t xml:space="preserve">Прекратяването на лечението или понижаването на дозата розувастатин може да доведе до намаление на </w:t>
      </w:r>
      <w:r w:rsidR="005151ED" w:rsidRPr="005151ED">
        <w:rPr>
          <w:rFonts w:eastAsia="Times New Roman" w:cs="Arial"/>
          <w:color w:val="000000"/>
          <w:szCs w:val="20"/>
          <w:lang w:val="en-US"/>
        </w:rPr>
        <w:t xml:space="preserve">INR. </w:t>
      </w:r>
      <w:r w:rsidR="005151ED" w:rsidRPr="005151ED">
        <w:rPr>
          <w:rFonts w:eastAsia="Times New Roman" w:cs="Arial"/>
          <w:color w:val="000000"/>
          <w:szCs w:val="20"/>
          <w:lang w:eastAsia="bg-BG"/>
        </w:rPr>
        <w:t xml:space="preserve">При такива случаи е желателно мониториране на </w:t>
      </w:r>
      <w:r w:rsidR="005151ED" w:rsidRPr="005151ED">
        <w:rPr>
          <w:rFonts w:eastAsia="Times New Roman" w:cs="Arial"/>
          <w:color w:val="000000"/>
          <w:szCs w:val="20"/>
          <w:lang w:val="en-US"/>
        </w:rPr>
        <w:t>INR.</w:t>
      </w:r>
    </w:p>
    <w:p w14:paraId="18D23BEE" w14:textId="77777777" w:rsidR="005151ED" w:rsidRPr="005151ED" w:rsidRDefault="005151ED" w:rsidP="005151ED">
      <w:pPr>
        <w:spacing w:line="240" w:lineRule="auto"/>
        <w:rPr>
          <w:rFonts w:eastAsia="Times New Roman" w:cs="Arial"/>
          <w:i/>
          <w:iCs/>
          <w:color w:val="000000"/>
          <w:szCs w:val="20"/>
          <w:lang w:eastAsia="bg-BG"/>
        </w:rPr>
      </w:pPr>
    </w:p>
    <w:p w14:paraId="54621A23" w14:textId="6AA36122"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Перорални контрацептиви/хормонозаместителна терапия (ХЗТ):</w:t>
      </w:r>
      <w:r w:rsidRPr="005151ED">
        <w:rPr>
          <w:rFonts w:eastAsia="Times New Roman" w:cs="Arial"/>
          <w:color w:val="000000"/>
          <w:szCs w:val="20"/>
          <w:lang w:eastAsia="bg-BG"/>
        </w:rPr>
        <w:t xml:space="preserve"> Едновременното приложение на розувастатин и перорален контрацептив води до увеличение на </w:t>
      </w:r>
      <w:r w:rsidRPr="005151ED">
        <w:rPr>
          <w:rFonts w:eastAsia="Times New Roman" w:cs="Arial"/>
          <w:color w:val="000000"/>
          <w:szCs w:val="20"/>
          <w:lang w:val="en-US"/>
        </w:rPr>
        <w:t xml:space="preserve">AUC </w:t>
      </w:r>
      <w:r w:rsidRPr="005151ED">
        <w:rPr>
          <w:rFonts w:eastAsia="Times New Roman" w:cs="Arial"/>
          <w:color w:val="000000"/>
          <w:szCs w:val="20"/>
          <w:lang w:eastAsia="bg-BG"/>
        </w:rPr>
        <w:t>на етннилестрадиол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2A7BCE3A" w14:textId="77777777" w:rsidR="005151ED" w:rsidRPr="005151ED" w:rsidRDefault="005151ED" w:rsidP="005151ED">
      <w:pPr>
        <w:spacing w:line="240" w:lineRule="auto"/>
        <w:rPr>
          <w:rFonts w:eastAsia="Times New Roman" w:cs="Arial"/>
          <w:i/>
          <w:iCs/>
          <w:color w:val="000000"/>
          <w:szCs w:val="20"/>
          <w:lang w:eastAsia="bg-BG"/>
        </w:rPr>
      </w:pPr>
    </w:p>
    <w:p w14:paraId="52919891" w14:textId="5485C24C"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Други лекарствени продукти:</w:t>
      </w:r>
    </w:p>
    <w:p w14:paraId="59E22A83" w14:textId="77777777" w:rsidR="005151ED" w:rsidRPr="005151ED" w:rsidRDefault="005151ED" w:rsidP="005151ED">
      <w:pPr>
        <w:spacing w:line="240" w:lineRule="auto"/>
        <w:rPr>
          <w:rFonts w:eastAsia="Times New Roman" w:cs="Arial"/>
          <w:i/>
          <w:iCs/>
          <w:color w:val="000000"/>
          <w:szCs w:val="20"/>
          <w:lang w:eastAsia="bg-BG"/>
        </w:rPr>
      </w:pPr>
    </w:p>
    <w:p w14:paraId="3696C313" w14:textId="5A78730A"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Дигоксин:</w:t>
      </w:r>
      <w:r w:rsidRPr="005151ED">
        <w:rPr>
          <w:rFonts w:eastAsia="Times New Roman" w:cs="Arial"/>
          <w:color w:val="000000"/>
          <w:szCs w:val="20"/>
          <w:lang w:eastAsia="bg-BG"/>
        </w:rPr>
        <w:t xml:space="preserve"> Въз основа на данните от специфични проучвания за взаимодействията, не се очаква клинично значимо взаимодействие с дигоксин.</w:t>
      </w:r>
    </w:p>
    <w:p w14:paraId="24DD57A7" w14:textId="77777777" w:rsidR="005151ED" w:rsidRPr="005151ED" w:rsidRDefault="005151ED" w:rsidP="005151ED">
      <w:pPr>
        <w:spacing w:line="240" w:lineRule="auto"/>
        <w:rPr>
          <w:rFonts w:eastAsia="Times New Roman" w:cs="Arial"/>
          <w:i/>
          <w:iCs/>
          <w:color w:val="000000"/>
          <w:szCs w:val="20"/>
          <w:lang w:eastAsia="bg-BG"/>
        </w:rPr>
      </w:pPr>
    </w:p>
    <w:p w14:paraId="50C685EB" w14:textId="584D3454"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Фузидова киселина:</w:t>
      </w:r>
      <w:r w:rsidRPr="005151ED">
        <w:rPr>
          <w:rFonts w:eastAsia="Times New Roman" w:cs="Arial"/>
          <w:color w:val="000000"/>
          <w:szCs w:val="20"/>
          <w:lang w:eastAsia="bg-BG"/>
        </w:rPr>
        <w:t xml:space="preserve"> Рискът от миопатия, включително рабдомиолиза, може да се повиши при едновременно приложение на системна фузидова киселина със статии 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6B0C764A"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лечението с фузидова киселина е необходимо, лечението с розувастатин трябва да се преустанови през целия период на лечение с фузидова киселина. Вижте също точка 4.4.</w:t>
      </w:r>
    </w:p>
    <w:p w14:paraId="3FA28175" w14:textId="77777777" w:rsidR="005151ED" w:rsidRPr="005151ED" w:rsidRDefault="005151ED" w:rsidP="005151ED">
      <w:pPr>
        <w:spacing w:line="240" w:lineRule="auto"/>
        <w:rPr>
          <w:rFonts w:eastAsia="Times New Roman" w:cs="Arial"/>
          <w:i/>
          <w:iCs/>
          <w:color w:val="000000"/>
          <w:szCs w:val="20"/>
          <w:lang w:eastAsia="bg-BG"/>
        </w:rPr>
      </w:pPr>
    </w:p>
    <w:p w14:paraId="5822E0A1" w14:textId="08910CBE"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Педиатрична популация</w:t>
      </w:r>
    </w:p>
    <w:p w14:paraId="10A1A358" w14:textId="4D10621F" w:rsidR="009C6A04" w:rsidRPr="005151ED" w:rsidRDefault="005151ED" w:rsidP="005151ED">
      <w:pPr>
        <w:rPr>
          <w:rFonts w:cs="Arial"/>
          <w:sz w:val="24"/>
        </w:rPr>
      </w:pPr>
      <w:r w:rsidRPr="005151ED">
        <w:rPr>
          <w:rFonts w:eastAsia="Times New Roman" w:cs="Arial"/>
          <w:color w:val="000000"/>
          <w:szCs w:val="20"/>
          <w:lang w:eastAsia="bg-BG"/>
        </w:rPr>
        <w:t>Степента на взаимодействията при педиатричната популация не е известна.</w:t>
      </w:r>
    </w:p>
    <w:p w14:paraId="4F50A1C4" w14:textId="77777777" w:rsidR="00851FE1" w:rsidRPr="0091385D" w:rsidRDefault="00851FE1" w:rsidP="0091385D"/>
    <w:p w14:paraId="394A7584" w14:textId="2D155A14" w:rsidR="004F498A" w:rsidRDefault="002C50EE" w:rsidP="004A448E">
      <w:pPr>
        <w:pStyle w:val="Heading2"/>
      </w:pPr>
      <w:r>
        <w:t>4.6. Фертилитет, бременност и кърмене</w:t>
      </w:r>
    </w:p>
    <w:p w14:paraId="272D718E" w14:textId="77777777" w:rsidR="005151ED" w:rsidRPr="005151ED" w:rsidRDefault="005151ED" w:rsidP="005151ED"/>
    <w:p w14:paraId="6C9BA044"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по време на бременност и кърмене.</w:t>
      </w:r>
    </w:p>
    <w:p w14:paraId="24A3A75C" w14:textId="77777777" w:rsidR="005151ED" w:rsidRPr="005151ED" w:rsidRDefault="005151ED" w:rsidP="005151ED">
      <w:pPr>
        <w:spacing w:line="240" w:lineRule="auto"/>
        <w:rPr>
          <w:rFonts w:eastAsia="Times New Roman" w:cs="Arial"/>
          <w:color w:val="000000"/>
          <w:szCs w:val="20"/>
          <w:u w:val="single"/>
          <w:lang w:eastAsia="bg-BG"/>
        </w:rPr>
      </w:pPr>
    </w:p>
    <w:p w14:paraId="296031BD" w14:textId="156A2895"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lastRenderedPageBreak/>
        <w:t>Бременност</w:t>
      </w:r>
    </w:p>
    <w:p w14:paraId="2CB2EF59" w14:textId="77777777" w:rsidR="005151ED" w:rsidRPr="005151ED" w:rsidRDefault="005151ED" w:rsidP="005151ED">
      <w:pPr>
        <w:spacing w:line="240" w:lineRule="auto"/>
        <w:rPr>
          <w:rFonts w:eastAsia="Times New Roman" w:cs="Arial"/>
          <w:color w:val="000000"/>
          <w:szCs w:val="20"/>
          <w:lang w:eastAsia="bg-BG"/>
        </w:rPr>
      </w:pPr>
    </w:p>
    <w:p w14:paraId="6A60DBD3" w14:textId="033894D9" w:rsidR="005151ED" w:rsidRPr="005151ED" w:rsidRDefault="005151ED" w:rsidP="005151ED">
      <w:pPr>
        <w:spacing w:line="240" w:lineRule="auto"/>
        <w:rPr>
          <w:rFonts w:eastAsia="Times New Roman" w:cs="Arial"/>
          <w:color w:val="000000"/>
          <w:szCs w:val="20"/>
          <w:lang w:eastAsia="bg-BG"/>
        </w:rPr>
      </w:pPr>
      <w:r w:rsidRPr="005151ED">
        <w:rPr>
          <w:rFonts w:eastAsia="Times New Roman" w:cs="Arial"/>
          <w:color w:val="000000"/>
          <w:szCs w:val="20"/>
          <w:lang w:eastAsia="bg-BG"/>
        </w:rPr>
        <w:t>Употребата на АСЕ-инхибитори не се препоръчва през първия триместър на бременността (вж. точка 4.4). Употребата на АСЕ-инхибитори е противопоказана през втория и третия триместър на бременността (вж. точки 4.3 и 4.4).</w:t>
      </w:r>
    </w:p>
    <w:p w14:paraId="56FE81D1" w14:textId="77777777" w:rsidR="005151ED" w:rsidRPr="005151ED" w:rsidRDefault="005151ED" w:rsidP="005151ED">
      <w:pPr>
        <w:spacing w:line="240" w:lineRule="auto"/>
        <w:rPr>
          <w:rFonts w:eastAsia="Times New Roman" w:cs="Arial"/>
          <w:color w:val="000000"/>
          <w:szCs w:val="20"/>
          <w:lang w:eastAsia="bg-BG"/>
        </w:rPr>
      </w:pPr>
    </w:p>
    <w:p w14:paraId="20DE2863" w14:textId="6794EABF"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Епидемиологичните данни относно риска от тератогенност след експозиция на АСЕ-инхибитори през първия триместър на бременността не са убедителни; все пак, не може да се изключи леко повишаване на риска.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не се счита, че е от особена важност да се продължи лечението с АСЕ-инхибитор.</w:t>
      </w:r>
    </w:p>
    <w:p w14:paraId="45382777" w14:textId="77777777" w:rsidR="005151ED" w:rsidRPr="005151ED" w:rsidRDefault="005151ED" w:rsidP="005151ED">
      <w:pPr>
        <w:spacing w:line="240" w:lineRule="auto"/>
        <w:rPr>
          <w:rFonts w:eastAsia="Times New Roman" w:cs="Arial"/>
          <w:color w:val="000000"/>
          <w:szCs w:val="20"/>
          <w:lang w:eastAsia="bg-BG"/>
        </w:rPr>
      </w:pPr>
    </w:p>
    <w:p w14:paraId="05C025AD" w14:textId="447485A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е диагностицирана бременност, лечението с АСЕ-инхибитори трябва незабавно да се преустанови и ако е подходящо, да се започне алтернативно лечение.</w:t>
      </w:r>
    </w:p>
    <w:p w14:paraId="7F1785CA" w14:textId="77777777" w:rsidR="005151ED" w:rsidRPr="005151ED" w:rsidRDefault="005151ED" w:rsidP="005151ED">
      <w:pPr>
        <w:rPr>
          <w:rFonts w:eastAsia="Times New Roman" w:cs="Arial"/>
          <w:color w:val="000000"/>
          <w:szCs w:val="20"/>
          <w:lang w:eastAsia="bg-BG"/>
        </w:rPr>
      </w:pPr>
    </w:p>
    <w:p w14:paraId="4887836B" w14:textId="7CC7265C" w:rsidR="0091385D" w:rsidRPr="005151ED" w:rsidRDefault="005151ED" w:rsidP="005151ED">
      <w:pPr>
        <w:rPr>
          <w:rFonts w:cs="Arial"/>
          <w:sz w:val="24"/>
        </w:rPr>
      </w:pPr>
      <w:r w:rsidRPr="005151ED">
        <w:rPr>
          <w:rFonts w:eastAsia="Times New Roman" w:cs="Arial"/>
          <w:color w:val="000000"/>
          <w:szCs w:val="20"/>
          <w:lang w:eastAsia="bg-BG"/>
        </w:rPr>
        <w:t>Известно е, че експозицията на терапия с АСЕ-инхибитор през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В случай на експозиция на АСЕ-инхибитор от втория триместър на бременността нататък, се препоръчва преглед на бъбречната функция и черепа чрез ултразвук. Новородени, чиито майки са приемали АСЕ-инхибитори, трябва да бъдат строго наблюдавани за хипотония (вж. също точки 4.3 и 4.4).</w:t>
      </w:r>
    </w:p>
    <w:p w14:paraId="3E8789C3" w14:textId="682F4C88" w:rsidR="0091385D" w:rsidRDefault="0091385D" w:rsidP="0091385D"/>
    <w:p w14:paraId="431240E8"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Липсват или има ограничени данни (по-малко от 300 завършили бременостти) от употребата на индапамид при бременни жени. Продължителната експозиция на тиазид по време на третия триместър на бременността може да намали плазмения обем на майката, както и утероплацентния кръвен поток, което може да причини фетоплацентна исхемия и забавяне на растежа. Проучванията при животни не показват преки или косвени вредни ефекти по отношение на репродуктивната токсичност (вж. точка 5.3).</w:t>
      </w:r>
    </w:p>
    <w:p w14:paraId="2E50DEB9"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Като предпазна мярка е за предпочитане да се избягва употребата на индапамид по време на бременност.</w:t>
      </w:r>
    </w:p>
    <w:p w14:paraId="222D511B" w14:textId="77777777" w:rsidR="005151ED" w:rsidRPr="005151ED" w:rsidRDefault="005151ED" w:rsidP="005151ED">
      <w:pPr>
        <w:spacing w:line="240" w:lineRule="auto"/>
        <w:rPr>
          <w:rFonts w:eastAsia="Times New Roman" w:cs="Arial"/>
          <w:color w:val="000000"/>
          <w:szCs w:val="20"/>
          <w:lang w:eastAsia="bg-BG"/>
        </w:rPr>
      </w:pPr>
    </w:p>
    <w:p w14:paraId="6F7D1BE5" w14:textId="56CD6F2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Жените с детероден потенциал трябва да прилагат подходящи контрацептивни мерки.</w:t>
      </w:r>
    </w:p>
    <w:p w14:paraId="2DA4255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w:t>
      </w:r>
      <w:r w:rsidRPr="005151ED">
        <w:rPr>
          <w:rFonts w:eastAsia="Times New Roman" w:cs="Arial"/>
          <w:color w:val="000000"/>
          <w:szCs w:val="20"/>
          <w:lang w:val="en-US"/>
        </w:rPr>
        <w:t xml:space="preserve">HMG-CoA </w:t>
      </w:r>
      <w:r w:rsidRPr="005151ED">
        <w:rPr>
          <w:rFonts w:eastAsia="Times New Roman" w:cs="Arial"/>
          <w:color w:val="000000"/>
          <w:szCs w:val="20"/>
          <w:lang w:eastAsia="bg-BG"/>
        </w:rPr>
        <w:t>редуктазата превъзхожда предимството на лечението по време на бременност. Проучвания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4803D9F5" w14:textId="77777777" w:rsidR="005151ED" w:rsidRPr="005151ED" w:rsidRDefault="005151ED" w:rsidP="005151ED">
      <w:pPr>
        <w:spacing w:line="240" w:lineRule="auto"/>
        <w:rPr>
          <w:rFonts w:eastAsia="Times New Roman" w:cs="Arial"/>
          <w:color w:val="000000"/>
          <w:szCs w:val="20"/>
          <w:u w:val="single"/>
          <w:lang w:eastAsia="bg-BG"/>
        </w:rPr>
      </w:pPr>
    </w:p>
    <w:p w14:paraId="0D394BE8" w14:textId="75DD5B4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Кърмене</w:t>
      </w:r>
    </w:p>
    <w:p w14:paraId="29BFD1F7" w14:textId="77777777" w:rsidR="005151ED" w:rsidRPr="005151ED" w:rsidRDefault="005151ED" w:rsidP="005151ED">
      <w:pPr>
        <w:spacing w:line="240" w:lineRule="auto"/>
        <w:rPr>
          <w:rFonts w:eastAsia="Times New Roman" w:cs="Arial"/>
          <w:color w:val="000000"/>
          <w:szCs w:val="20"/>
          <w:lang w:eastAsia="bg-BG"/>
        </w:rPr>
      </w:pPr>
    </w:p>
    <w:p w14:paraId="6A21B9D4" w14:textId="3F8D45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в периода на кърмене.</w:t>
      </w:r>
    </w:p>
    <w:p w14:paraId="32A64660" w14:textId="77777777" w:rsidR="005151ED" w:rsidRPr="005151ED" w:rsidRDefault="005151ED" w:rsidP="005151ED">
      <w:pPr>
        <w:spacing w:line="240" w:lineRule="auto"/>
        <w:rPr>
          <w:rFonts w:eastAsia="Times New Roman" w:cs="Arial"/>
          <w:color w:val="000000"/>
          <w:szCs w:val="20"/>
          <w:lang w:eastAsia="bg-BG"/>
        </w:rPr>
      </w:pPr>
    </w:p>
    <w:p w14:paraId="2AE2DCD9" w14:textId="3EE6ADCC"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Поради липса на информация за употребата на периндоприл през периода на кърмене, терапията с периндоприл не се препоръчва, а се предпочита приложение на алтернативни лечения с по-добре установен профил на безопасност, особено при кърмене на новородено или недоносено дете.</w:t>
      </w:r>
    </w:p>
    <w:p w14:paraId="3ACEF297" w14:textId="77777777" w:rsidR="005151ED" w:rsidRPr="005151ED" w:rsidRDefault="005151ED" w:rsidP="005151ED">
      <w:pPr>
        <w:spacing w:line="240" w:lineRule="auto"/>
        <w:rPr>
          <w:rFonts w:eastAsia="Times New Roman" w:cs="Arial"/>
          <w:color w:val="000000"/>
          <w:szCs w:val="20"/>
          <w:lang w:eastAsia="bg-BG"/>
        </w:rPr>
      </w:pPr>
    </w:p>
    <w:p w14:paraId="5C3F3AB6" w14:textId="2FE68D7E"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lastRenderedPageBreak/>
        <w:t>Няма достатъчно информация за екскретирането на индапамид или метаболитите му в кърмата. Може да се появи свръхчувствителност към лекарства, производни на сулфонамиди, и хипокалиемия. Не може да се изключи риск за новородените/кърмачетата.</w:t>
      </w:r>
    </w:p>
    <w:p w14:paraId="00BC35B5" w14:textId="4BAD3531"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Индапамид има тясно сходство с тиазидните диуретици, които по време на кърмене са свързани с намаляване или дори потискане на секрецията на мляко. Индапамид не се препоръчва по време на кърмене.</w:t>
      </w:r>
    </w:p>
    <w:p w14:paraId="4784A7E1" w14:textId="77777777" w:rsidR="005151ED" w:rsidRPr="005151ED" w:rsidRDefault="005151ED" w:rsidP="005151ED">
      <w:pPr>
        <w:spacing w:line="240" w:lineRule="auto"/>
        <w:rPr>
          <w:rFonts w:eastAsia="Times New Roman" w:cs="Arial"/>
          <w:color w:val="000000"/>
          <w:szCs w:val="20"/>
          <w:lang w:eastAsia="bg-BG"/>
        </w:rPr>
      </w:pPr>
    </w:p>
    <w:p w14:paraId="4F650F35" w14:textId="4EDE76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Розувастатин се екскретира в млякото на плъхове. Липсват данни за екскрецията в кърмата </w:t>
      </w:r>
      <w:r w:rsidRPr="005151ED">
        <w:rPr>
          <w:rFonts w:eastAsia="Times New Roman" w:cs="Arial"/>
          <w:i/>
          <w:iCs/>
          <w:color w:val="000000"/>
          <w:szCs w:val="20"/>
          <w:lang w:eastAsia="bg-BG"/>
        </w:rPr>
        <w:t xml:space="preserve">при </w:t>
      </w:r>
      <w:r w:rsidRPr="005151ED">
        <w:rPr>
          <w:rFonts w:eastAsia="Times New Roman" w:cs="Arial"/>
          <w:color w:val="000000"/>
          <w:szCs w:val="20"/>
          <w:lang w:eastAsia="bg-BG"/>
        </w:rPr>
        <w:t>хора (вж. точка 4.3).</w:t>
      </w:r>
    </w:p>
    <w:p w14:paraId="133F745D" w14:textId="77777777" w:rsidR="005151ED" w:rsidRPr="005151ED" w:rsidRDefault="005151ED" w:rsidP="005151ED">
      <w:pPr>
        <w:spacing w:line="240" w:lineRule="auto"/>
        <w:rPr>
          <w:rFonts w:eastAsia="Times New Roman" w:cs="Arial"/>
          <w:color w:val="000000"/>
          <w:szCs w:val="20"/>
          <w:u w:val="single"/>
          <w:lang w:eastAsia="bg-BG"/>
        </w:rPr>
      </w:pPr>
    </w:p>
    <w:p w14:paraId="730555C5" w14:textId="4729376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Фертилитет</w:t>
      </w:r>
    </w:p>
    <w:p w14:paraId="6BB96C7F" w14:textId="77777777" w:rsidR="005151ED" w:rsidRPr="005151ED" w:rsidRDefault="005151ED" w:rsidP="005151ED">
      <w:pPr>
        <w:spacing w:line="240" w:lineRule="auto"/>
        <w:rPr>
          <w:rFonts w:eastAsia="Times New Roman" w:cs="Arial"/>
          <w:i/>
          <w:iCs/>
          <w:color w:val="000000"/>
          <w:szCs w:val="20"/>
          <w:lang w:eastAsia="bg-BG"/>
        </w:rPr>
      </w:pPr>
    </w:p>
    <w:p w14:paraId="2EB852FD" w14:textId="045FD6A0"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Периндоприл и индапамид</w:t>
      </w:r>
    </w:p>
    <w:p w14:paraId="7997FCA2" w14:textId="70548774" w:rsidR="005151ED" w:rsidRPr="005151ED" w:rsidRDefault="005151ED" w:rsidP="005151ED">
      <w:pPr>
        <w:rPr>
          <w:rFonts w:cs="Arial"/>
          <w:sz w:val="24"/>
        </w:rPr>
      </w:pPr>
      <w:r w:rsidRPr="005151ED">
        <w:rPr>
          <w:rFonts w:eastAsia="Times New Roman" w:cs="Arial"/>
          <w:color w:val="000000"/>
          <w:szCs w:val="20"/>
          <w:lang w:eastAsia="bg-BG"/>
        </w:rPr>
        <w:t>Проучванията за репродуктивна токсичност не показват ефект върху фертилитета при женски и мъжки плъхове (вж. точка 5.3). Не се очаква влияние върху фертилитета при хора.</w:t>
      </w:r>
    </w:p>
    <w:p w14:paraId="2E3777DB" w14:textId="77777777" w:rsidR="005151ED" w:rsidRPr="0091385D" w:rsidRDefault="005151E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75A2C37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не повлиява способността за шофиране и работа с машини, но при някои пациенти, особено в началото на лечението или при комбиниране с друго антихипертензивно лекарство, могат да възникнат индивидуални реакции, свързани с ниското кръвно налягане.</w:t>
      </w:r>
    </w:p>
    <w:p w14:paraId="0FDAAC65" w14:textId="77777777" w:rsidR="005151ED" w:rsidRPr="005151ED" w:rsidRDefault="005151ED" w:rsidP="005151ED">
      <w:pPr>
        <w:spacing w:line="240" w:lineRule="auto"/>
        <w:rPr>
          <w:rFonts w:eastAsia="Times New Roman" w:cs="Arial"/>
          <w:color w:val="000000"/>
          <w:szCs w:val="20"/>
          <w:lang w:eastAsia="bg-BG"/>
        </w:rPr>
      </w:pPr>
    </w:p>
    <w:p w14:paraId="00319343" w14:textId="44FBEDB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Не са провеждани проучвания за определяне на ефекта на розувастатин върху </w:t>
      </w:r>
      <w:r w:rsidRPr="005151ED">
        <w:rPr>
          <w:rFonts w:eastAsia="Times New Roman" w:cs="Arial"/>
          <w:color w:val="000000"/>
          <w:szCs w:val="20"/>
          <w:lang w:val="en-US"/>
        </w:rPr>
        <w:t>c</w:t>
      </w:r>
      <w:r w:rsidRPr="005151ED">
        <w:rPr>
          <w:rFonts w:eastAsia="Times New Roman" w:cs="Arial"/>
          <w:color w:val="000000"/>
          <w:szCs w:val="20"/>
          <w:lang w:eastAsia="bg-BG"/>
        </w:rPr>
        <w:t>пособността за шофиране и работа с машини. Въпреки това, въз основа на неговите фармакодинамични</w:t>
      </w:r>
      <w:r w:rsidRPr="005151ED">
        <w:rPr>
          <w:rFonts w:eastAsia="Times New Roman" w:cs="Arial"/>
          <w:i/>
          <w:iCs/>
          <w:smallCaps/>
          <w:color w:val="000000"/>
          <w:sz w:val="24"/>
          <w:lang w:eastAsia="bg-BG"/>
        </w:rPr>
        <w:t xml:space="preserve"> </w:t>
      </w:r>
      <w:r w:rsidRPr="005151ED">
        <w:rPr>
          <w:rFonts w:eastAsia="Times New Roman" w:cs="Arial"/>
          <w:color w:val="000000"/>
          <w:szCs w:val="20"/>
          <w:lang w:eastAsia="bg-BG"/>
        </w:rPr>
        <w:t>свойства, е малко вероятно розувастатин да повлияе тази способност. При шофиране или работа с машини трябва да се има предвид, че по време на лечението може да се появи замаяност.</w:t>
      </w:r>
    </w:p>
    <w:p w14:paraId="137685E9" w14:textId="77777777" w:rsidR="005151ED" w:rsidRPr="005151ED" w:rsidRDefault="005151ED" w:rsidP="005151ED">
      <w:pPr>
        <w:rPr>
          <w:rFonts w:eastAsia="Times New Roman" w:cs="Arial"/>
          <w:color w:val="000000"/>
          <w:szCs w:val="20"/>
          <w:lang w:eastAsia="bg-BG"/>
        </w:rPr>
      </w:pPr>
    </w:p>
    <w:p w14:paraId="2B4135A6" w14:textId="3E8BC7A3" w:rsidR="0091385D" w:rsidRPr="005151ED" w:rsidRDefault="005151ED" w:rsidP="005151ED">
      <w:pPr>
        <w:rPr>
          <w:rFonts w:cs="Arial"/>
          <w:sz w:val="24"/>
        </w:rPr>
      </w:pPr>
      <w:r w:rsidRPr="005151ED">
        <w:rPr>
          <w:rFonts w:eastAsia="Times New Roman" w:cs="Arial"/>
          <w:color w:val="000000"/>
          <w:szCs w:val="20"/>
          <w:lang w:eastAsia="bg-BG"/>
        </w:rPr>
        <w:t>В резултат на това способността за шофиране или работа с машини може да бъде нарушена.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F192DAF" w14:textId="77777777" w:rsidR="005151ED" w:rsidRPr="007F2774" w:rsidRDefault="005151ED" w:rsidP="00697238">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Обобщен профил на безопасност</w:t>
      </w:r>
    </w:p>
    <w:p w14:paraId="2D6E2745" w14:textId="77777777" w:rsidR="005151ED" w:rsidRPr="007F2774" w:rsidRDefault="005151ED" w:rsidP="005151ED">
      <w:pPr>
        <w:spacing w:line="240" w:lineRule="auto"/>
        <w:rPr>
          <w:rFonts w:eastAsia="Times New Roman" w:cs="Arial"/>
          <w:color w:val="000000"/>
          <w:szCs w:val="20"/>
          <w:lang w:eastAsia="bg-BG"/>
        </w:rPr>
      </w:pPr>
    </w:p>
    <w:p w14:paraId="03FA9807" w14:textId="5189C598"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Най-често съобщаваните нежелани реакции са:</w:t>
      </w:r>
    </w:p>
    <w:p w14:paraId="0EF49A6B" w14:textId="77777777" w:rsidR="00492F0C" w:rsidRPr="00492F0C" w:rsidRDefault="005151ED" w:rsidP="00697238">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с периндоприл: замаяност, главоболие, парестезия, дисгеузия, нарушено зрение, световъртеж, тинитус, хипотония, кашлица, диспнея, коремна болка, запек, диспепсия, диария, гадене, повръщане, сърбеж, обрив, мускулни спазми и астения.</w:t>
      </w:r>
    </w:p>
    <w:p w14:paraId="00AB8A57" w14:textId="3DD77D74" w:rsidR="005151ED" w:rsidRPr="00492F0C" w:rsidRDefault="005151ED" w:rsidP="00697238">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 xml:space="preserve">с индапамид: хипокалиемия, реакции </w:t>
      </w:r>
      <w:r w:rsidRPr="00492F0C">
        <w:rPr>
          <w:rFonts w:eastAsia="Times New Roman" w:cs="Arial"/>
          <w:i/>
          <w:iCs/>
          <w:color w:val="000000"/>
          <w:szCs w:val="20"/>
          <w:lang w:eastAsia="bg-BG"/>
        </w:rPr>
        <w:t>на</w:t>
      </w:r>
      <w:r w:rsidRPr="00492F0C">
        <w:rPr>
          <w:rFonts w:eastAsia="Times New Roman" w:cs="Arial"/>
          <w:color w:val="000000"/>
          <w:szCs w:val="20"/>
          <w:lang w:eastAsia="bg-BG"/>
        </w:rPr>
        <w:t xml:space="preserve"> свръхчувствителност, основно дерматологични, при лица с предразположение към алергични и астматични реакции и макулопапулозни обриви.</w:t>
      </w:r>
    </w:p>
    <w:p w14:paraId="06FBC2E0" w14:textId="77777777" w:rsidR="005151ED" w:rsidRPr="007F2774" w:rsidRDefault="005151ED" w:rsidP="005151ED">
      <w:pPr>
        <w:spacing w:line="240" w:lineRule="auto"/>
        <w:rPr>
          <w:rFonts w:eastAsia="Times New Roman" w:cs="Arial"/>
          <w:color w:val="000000"/>
          <w:szCs w:val="20"/>
          <w:lang w:eastAsia="bg-BG"/>
        </w:rPr>
      </w:pPr>
    </w:p>
    <w:p w14:paraId="4FE6E992" w14:textId="4D39317A" w:rsidR="005151ED" w:rsidRPr="007F2774" w:rsidRDefault="005151ED" w:rsidP="00697238">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Табличен списък на нежеланите реакции</w:t>
      </w:r>
    </w:p>
    <w:p w14:paraId="78E45D64" w14:textId="77777777" w:rsidR="005151ED" w:rsidRPr="007F2774" w:rsidRDefault="005151ED" w:rsidP="005151ED">
      <w:pPr>
        <w:spacing w:line="240" w:lineRule="auto"/>
        <w:rPr>
          <w:rFonts w:eastAsia="Times New Roman" w:cs="Arial"/>
          <w:color w:val="000000"/>
          <w:szCs w:val="20"/>
          <w:lang w:eastAsia="bg-BG"/>
        </w:rPr>
      </w:pPr>
    </w:p>
    <w:p w14:paraId="689B6832" w14:textId="75E54DBE"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Следните нежелани реакции могат да се наблюдават по време на лечението и да се класират</w:t>
      </w:r>
    </w:p>
    <w:p w14:paraId="2CF92985" w14:textId="77777777"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под следната честота:</w:t>
      </w:r>
    </w:p>
    <w:p w14:paraId="06DDB83F" w14:textId="77777777" w:rsidR="00492F0C"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чести (≥ 1/10)</w:t>
      </w:r>
    </w:p>
    <w:p w14:paraId="27E1A801" w14:textId="77777777" w:rsidR="00492F0C"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Чести (≥ 1/100 до &lt; 1/10)</w:t>
      </w:r>
    </w:p>
    <w:p w14:paraId="3AB853B9" w14:textId="77777777" w:rsidR="00492F0C"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Нечести (≥ 1/1 000 до &lt; 1/100)</w:t>
      </w:r>
    </w:p>
    <w:p w14:paraId="52A7AC26" w14:textId="77777777" w:rsidR="00492F0C"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Редки (≥ 1/10 000 до &lt; 1/1 000)</w:t>
      </w:r>
    </w:p>
    <w:p w14:paraId="729C0506" w14:textId="77777777" w:rsidR="00492F0C"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редки (&lt;1/10 000)</w:t>
      </w:r>
    </w:p>
    <w:p w14:paraId="570508C4" w14:textId="54844D73" w:rsidR="0091385D" w:rsidRPr="00492F0C" w:rsidRDefault="005151ED" w:rsidP="006972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С неизвестна честота (от наличните данни не може да бъде направена оценка)</w:t>
      </w:r>
    </w:p>
    <w:p w14:paraId="43E3C48F" w14:textId="38D0AE2F" w:rsidR="0091385D" w:rsidRDefault="0091385D" w:rsidP="0091385D"/>
    <w:tbl>
      <w:tblPr>
        <w:tblStyle w:val="TableGrid"/>
        <w:tblW w:w="0" w:type="auto"/>
        <w:tblLook w:val="04A0" w:firstRow="1" w:lastRow="0" w:firstColumn="1" w:lastColumn="0" w:noHBand="0" w:noVBand="1"/>
      </w:tblPr>
      <w:tblGrid>
        <w:gridCol w:w="2323"/>
        <w:gridCol w:w="2730"/>
        <w:gridCol w:w="1505"/>
        <w:gridCol w:w="1287"/>
        <w:gridCol w:w="1505"/>
      </w:tblGrid>
      <w:tr w:rsidR="00C220C7" w14:paraId="08587430" w14:textId="77777777" w:rsidTr="00F31408">
        <w:tc>
          <w:tcPr>
            <w:tcW w:w="2177" w:type="dxa"/>
            <w:vMerge w:val="restart"/>
          </w:tcPr>
          <w:p w14:paraId="449BEBBA" w14:textId="7DC15DD7" w:rsidR="00C220C7" w:rsidRPr="00F31408" w:rsidRDefault="00C220C7" w:rsidP="00C220C7">
            <w:pPr>
              <w:rPr>
                <w:rFonts w:cs="Arial"/>
              </w:rPr>
            </w:pPr>
            <w:r w:rsidRPr="00F31408">
              <w:rPr>
                <w:rFonts w:cs="Arial"/>
                <w:b/>
                <w:bCs/>
              </w:rPr>
              <w:t xml:space="preserve">С истемо-органен клас по </w:t>
            </w:r>
            <w:r w:rsidRPr="00F31408">
              <w:rPr>
                <w:rFonts w:cs="Arial"/>
                <w:b/>
                <w:bCs/>
                <w:lang w:val="en-US"/>
              </w:rPr>
              <w:t>MedDRA</w:t>
            </w:r>
          </w:p>
        </w:tc>
        <w:tc>
          <w:tcPr>
            <w:tcW w:w="2790" w:type="dxa"/>
            <w:vMerge w:val="restart"/>
          </w:tcPr>
          <w:p w14:paraId="2CAF296B" w14:textId="7E3A0F9E" w:rsidR="00C220C7" w:rsidRPr="00F31408" w:rsidRDefault="00C220C7" w:rsidP="00C220C7">
            <w:pPr>
              <w:rPr>
                <w:rFonts w:cs="Arial"/>
              </w:rPr>
            </w:pPr>
            <w:r w:rsidRPr="00F31408">
              <w:rPr>
                <w:rFonts w:cs="Arial"/>
                <w:b/>
                <w:bCs/>
              </w:rPr>
              <w:t>Нежелани реакции</w:t>
            </w:r>
          </w:p>
        </w:tc>
        <w:tc>
          <w:tcPr>
            <w:tcW w:w="4383" w:type="dxa"/>
            <w:gridSpan w:val="3"/>
          </w:tcPr>
          <w:p w14:paraId="77E0DBAD" w14:textId="7E96D94C" w:rsidR="00C220C7" w:rsidRPr="00F31408" w:rsidRDefault="00C220C7" w:rsidP="00C220C7">
            <w:pPr>
              <w:rPr>
                <w:rFonts w:cs="Arial"/>
              </w:rPr>
            </w:pPr>
            <w:r w:rsidRPr="00F31408">
              <w:rPr>
                <w:rFonts w:cs="Arial"/>
                <w:b/>
                <w:bCs/>
              </w:rPr>
              <w:t>Честота</w:t>
            </w:r>
          </w:p>
        </w:tc>
      </w:tr>
      <w:tr w:rsidR="00C220C7" w14:paraId="454C6B1C" w14:textId="77777777" w:rsidTr="00F31408">
        <w:tc>
          <w:tcPr>
            <w:tcW w:w="2177" w:type="dxa"/>
            <w:vMerge/>
          </w:tcPr>
          <w:p w14:paraId="446DFE20" w14:textId="77777777" w:rsidR="00C220C7" w:rsidRPr="00F31408" w:rsidRDefault="00C220C7" w:rsidP="00C220C7">
            <w:pPr>
              <w:rPr>
                <w:rFonts w:cs="Arial"/>
              </w:rPr>
            </w:pPr>
          </w:p>
        </w:tc>
        <w:tc>
          <w:tcPr>
            <w:tcW w:w="2790" w:type="dxa"/>
            <w:vMerge/>
          </w:tcPr>
          <w:p w14:paraId="4ABADD4D" w14:textId="77777777" w:rsidR="00C220C7" w:rsidRPr="00F31408" w:rsidRDefault="00C220C7" w:rsidP="00C220C7">
            <w:pPr>
              <w:rPr>
                <w:rFonts w:cs="Arial"/>
              </w:rPr>
            </w:pPr>
          </w:p>
        </w:tc>
        <w:tc>
          <w:tcPr>
            <w:tcW w:w="1536" w:type="dxa"/>
          </w:tcPr>
          <w:p w14:paraId="7DC8BE57" w14:textId="23CD9278" w:rsidR="00C220C7" w:rsidRPr="00F31408" w:rsidRDefault="00C220C7" w:rsidP="00C220C7">
            <w:pPr>
              <w:rPr>
                <w:rFonts w:cs="Arial"/>
              </w:rPr>
            </w:pPr>
            <w:r w:rsidRPr="00F31408">
              <w:rPr>
                <w:rFonts w:cs="Arial"/>
                <w:b/>
                <w:bCs/>
              </w:rPr>
              <w:t>Периндоприл</w:t>
            </w:r>
          </w:p>
        </w:tc>
        <w:tc>
          <w:tcPr>
            <w:tcW w:w="1312" w:type="dxa"/>
          </w:tcPr>
          <w:p w14:paraId="193B1AFA" w14:textId="2078C968" w:rsidR="00C220C7" w:rsidRPr="00F31408" w:rsidRDefault="00C220C7" w:rsidP="00C220C7">
            <w:pPr>
              <w:rPr>
                <w:rFonts w:cs="Arial"/>
              </w:rPr>
            </w:pPr>
            <w:r w:rsidRPr="00F31408">
              <w:rPr>
                <w:rFonts w:cs="Arial"/>
                <w:b/>
                <w:bCs/>
              </w:rPr>
              <w:t>Индапамид</w:t>
            </w:r>
          </w:p>
        </w:tc>
        <w:tc>
          <w:tcPr>
            <w:tcW w:w="1535" w:type="dxa"/>
          </w:tcPr>
          <w:p w14:paraId="0B86969B" w14:textId="54D35D04" w:rsidR="00C220C7" w:rsidRPr="00F31408" w:rsidRDefault="00C220C7" w:rsidP="00C220C7">
            <w:pPr>
              <w:rPr>
                <w:rFonts w:cs="Arial"/>
              </w:rPr>
            </w:pPr>
            <w:r w:rsidRPr="00F31408">
              <w:rPr>
                <w:rFonts w:cs="Arial"/>
                <w:b/>
                <w:bCs/>
              </w:rPr>
              <w:t>Розувастатин</w:t>
            </w:r>
          </w:p>
        </w:tc>
      </w:tr>
      <w:tr w:rsidR="00C220C7" w14:paraId="5F8F1D8F" w14:textId="77777777" w:rsidTr="00F31408">
        <w:tc>
          <w:tcPr>
            <w:tcW w:w="2177" w:type="dxa"/>
          </w:tcPr>
          <w:p w14:paraId="1FB5F0DC" w14:textId="68D773D3" w:rsidR="00C220C7" w:rsidRPr="00F31408" w:rsidRDefault="00C220C7" w:rsidP="00C220C7">
            <w:pPr>
              <w:rPr>
                <w:rFonts w:cs="Arial"/>
              </w:rPr>
            </w:pPr>
            <w:r w:rsidRPr="00F31408">
              <w:rPr>
                <w:rFonts w:cs="Arial"/>
                <w:b/>
                <w:bCs/>
              </w:rPr>
              <w:t>Инфекции и ннфестацяи</w:t>
            </w:r>
          </w:p>
        </w:tc>
        <w:tc>
          <w:tcPr>
            <w:tcW w:w="2790" w:type="dxa"/>
          </w:tcPr>
          <w:p w14:paraId="21E5D9AD" w14:textId="2C834869" w:rsidR="00C220C7" w:rsidRPr="00F31408" w:rsidRDefault="00C220C7" w:rsidP="00C220C7">
            <w:pPr>
              <w:rPr>
                <w:rFonts w:cs="Arial"/>
              </w:rPr>
            </w:pPr>
            <w:r w:rsidRPr="00F31408">
              <w:rPr>
                <w:rFonts w:cs="Arial"/>
              </w:rPr>
              <w:t>Ринит</w:t>
            </w:r>
          </w:p>
        </w:tc>
        <w:tc>
          <w:tcPr>
            <w:tcW w:w="1536" w:type="dxa"/>
          </w:tcPr>
          <w:p w14:paraId="09DC8CB4" w14:textId="437DA70E" w:rsidR="00C220C7" w:rsidRPr="00F31408" w:rsidRDefault="00C220C7" w:rsidP="00C220C7">
            <w:pPr>
              <w:rPr>
                <w:rFonts w:cs="Arial"/>
              </w:rPr>
            </w:pPr>
            <w:r w:rsidRPr="00F31408">
              <w:rPr>
                <w:rFonts w:cs="Arial"/>
              </w:rPr>
              <w:t>Много редки</w:t>
            </w:r>
          </w:p>
        </w:tc>
        <w:tc>
          <w:tcPr>
            <w:tcW w:w="1312" w:type="dxa"/>
          </w:tcPr>
          <w:p w14:paraId="6D0E9A79" w14:textId="467EA5CB" w:rsidR="00C220C7" w:rsidRPr="00F31408" w:rsidRDefault="00C220C7" w:rsidP="00C220C7">
            <w:pPr>
              <w:rPr>
                <w:rFonts w:cs="Arial"/>
              </w:rPr>
            </w:pPr>
            <w:r w:rsidRPr="00F31408">
              <w:rPr>
                <w:rFonts w:cs="Arial"/>
                <w:b/>
                <w:bCs/>
              </w:rPr>
              <w:t>-</w:t>
            </w:r>
          </w:p>
        </w:tc>
        <w:tc>
          <w:tcPr>
            <w:tcW w:w="1535" w:type="dxa"/>
          </w:tcPr>
          <w:p w14:paraId="6448FFED" w14:textId="1579422E" w:rsidR="00C220C7" w:rsidRPr="00F31408" w:rsidRDefault="00C220C7" w:rsidP="00C220C7">
            <w:pPr>
              <w:rPr>
                <w:rFonts w:cs="Arial"/>
              </w:rPr>
            </w:pPr>
            <w:r w:rsidRPr="00F31408">
              <w:rPr>
                <w:rFonts w:cs="Arial"/>
              </w:rPr>
              <w:t>-</w:t>
            </w:r>
          </w:p>
        </w:tc>
      </w:tr>
      <w:tr w:rsidR="00C220C7" w14:paraId="1733DAB0" w14:textId="77777777" w:rsidTr="00F31408">
        <w:tc>
          <w:tcPr>
            <w:tcW w:w="2177" w:type="dxa"/>
            <w:vMerge w:val="restart"/>
          </w:tcPr>
          <w:p w14:paraId="106DD776" w14:textId="09B8A3AD" w:rsidR="00C220C7" w:rsidRPr="00F31408" w:rsidRDefault="00C220C7" w:rsidP="00C220C7">
            <w:pPr>
              <w:rPr>
                <w:rFonts w:cs="Arial"/>
              </w:rPr>
            </w:pPr>
            <w:r w:rsidRPr="00F31408">
              <w:rPr>
                <w:rFonts w:cs="Arial"/>
                <w:b/>
                <w:bCs/>
              </w:rPr>
              <w:t>Нарушения на кръвта и лимфната система</w:t>
            </w:r>
          </w:p>
        </w:tc>
        <w:tc>
          <w:tcPr>
            <w:tcW w:w="2790" w:type="dxa"/>
          </w:tcPr>
          <w:p w14:paraId="60EF7B8B" w14:textId="3BC52134" w:rsidR="00C220C7" w:rsidRPr="00F31408" w:rsidRDefault="00C220C7" w:rsidP="00C220C7">
            <w:pPr>
              <w:rPr>
                <w:rFonts w:cs="Arial"/>
              </w:rPr>
            </w:pPr>
            <w:r w:rsidRPr="00F31408">
              <w:rPr>
                <w:rFonts w:cs="Arial"/>
              </w:rPr>
              <w:t>Еозинофилия</w:t>
            </w:r>
          </w:p>
        </w:tc>
        <w:tc>
          <w:tcPr>
            <w:tcW w:w="1536" w:type="dxa"/>
          </w:tcPr>
          <w:p w14:paraId="5E636DBE" w14:textId="14979D29" w:rsidR="00C220C7" w:rsidRPr="00F31408" w:rsidRDefault="00C220C7" w:rsidP="00C220C7">
            <w:pPr>
              <w:rPr>
                <w:rFonts w:cs="Arial"/>
              </w:rPr>
            </w:pPr>
            <w:r w:rsidRPr="00F31408">
              <w:rPr>
                <w:rFonts w:cs="Arial"/>
              </w:rPr>
              <w:t>Нечести*</w:t>
            </w:r>
          </w:p>
        </w:tc>
        <w:tc>
          <w:tcPr>
            <w:tcW w:w="1312" w:type="dxa"/>
          </w:tcPr>
          <w:p w14:paraId="27760198" w14:textId="1774FC7F" w:rsidR="00C220C7" w:rsidRPr="00F31408" w:rsidRDefault="00C220C7" w:rsidP="00C220C7">
            <w:pPr>
              <w:rPr>
                <w:rFonts w:cs="Arial"/>
              </w:rPr>
            </w:pPr>
            <w:r w:rsidRPr="00F31408">
              <w:rPr>
                <w:rFonts w:cs="Arial"/>
                <w:b/>
                <w:bCs/>
              </w:rPr>
              <w:t>-</w:t>
            </w:r>
          </w:p>
        </w:tc>
        <w:tc>
          <w:tcPr>
            <w:tcW w:w="1535" w:type="dxa"/>
          </w:tcPr>
          <w:p w14:paraId="7527E973" w14:textId="77777777" w:rsidR="00C220C7" w:rsidRPr="00F31408" w:rsidRDefault="00C220C7" w:rsidP="00C220C7">
            <w:pPr>
              <w:rPr>
                <w:rFonts w:cs="Arial"/>
              </w:rPr>
            </w:pPr>
          </w:p>
        </w:tc>
      </w:tr>
      <w:tr w:rsidR="00C220C7" w14:paraId="50F49094" w14:textId="77777777" w:rsidTr="00F31408">
        <w:tc>
          <w:tcPr>
            <w:tcW w:w="2177" w:type="dxa"/>
            <w:vMerge/>
          </w:tcPr>
          <w:p w14:paraId="3B5959CB" w14:textId="77777777" w:rsidR="00C220C7" w:rsidRPr="00F31408" w:rsidRDefault="00C220C7" w:rsidP="00C220C7">
            <w:pPr>
              <w:rPr>
                <w:rFonts w:cs="Arial"/>
              </w:rPr>
            </w:pPr>
          </w:p>
        </w:tc>
        <w:tc>
          <w:tcPr>
            <w:tcW w:w="2790" w:type="dxa"/>
          </w:tcPr>
          <w:p w14:paraId="6DD6A200" w14:textId="7E075C5D" w:rsidR="00C220C7" w:rsidRPr="00F31408" w:rsidRDefault="00C220C7" w:rsidP="00C220C7">
            <w:pPr>
              <w:rPr>
                <w:rFonts w:cs="Arial"/>
              </w:rPr>
            </w:pPr>
            <w:r w:rsidRPr="00F31408">
              <w:rPr>
                <w:rFonts w:cs="Arial"/>
              </w:rPr>
              <w:t>Агранулоцитоза (вж. точка 4.4)</w:t>
            </w:r>
          </w:p>
        </w:tc>
        <w:tc>
          <w:tcPr>
            <w:tcW w:w="1536" w:type="dxa"/>
          </w:tcPr>
          <w:p w14:paraId="5E11D15C" w14:textId="7B6F5FE1" w:rsidR="00C220C7" w:rsidRPr="00F31408" w:rsidRDefault="00C220C7" w:rsidP="00C220C7">
            <w:pPr>
              <w:rPr>
                <w:rFonts w:cs="Arial"/>
              </w:rPr>
            </w:pPr>
            <w:r w:rsidRPr="00F31408">
              <w:rPr>
                <w:rFonts w:cs="Arial"/>
              </w:rPr>
              <w:t>Много редки</w:t>
            </w:r>
          </w:p>
        </w:tc>
        <w:tc>
          <w:tcPr>
            <w:tcW w:w="1312" w:type="dxa"/>
          </w:tcPr>
          <w:p w14:paraId="6C999DE5" w14:textId="7ABE43EE" w:rsidR="00C220C7" w:rsidRPr="00F31408" w:rsidRDefault="00C220C7" w:rsidP="00C220C7">
            <w:pPr>
              <w:rPr>
                <w:rFonts w:cs="Arial"/>
              </w:rPr>
            </w:pPr>
            <w:r w:rsidRPr="00F31408">
              <w:rPr>
                <w:rFonts w:cs="Arial"/>
              </w:rPr>
              <w:t>Много редки</w:t>
            </w:r>
          </w:p>
        </w:tc>
        <w:tc>
          <w:tcPr>
            <w:tcW w:w="1535" w:type="dxa"/>
          </w:tcPr>
          <w:p w14:paraId="5C4B5479" w14:textId="7040F1C7" w:rsidR="00C220C7" w:rsidRPr="00F31408" w:rsidRDefault="00C220C7" w:rsidP="00C220C7">
            <w:pPr>
              <w:rPr>
                <w:rFonts w:cs="Arial"/>
              </w:rPr>
            </w:pPr>
            <w:r w:rsidRPr="00F31408">
              <w:rPr>
                <w:rFonts w:cs="Arial"/>
                <w:b/>
                <w:bCs/>
              </w:rPr>
              <w:t>-</w:t>
            </w:r>
          </w:p>
        </w:tc>
      </w:tr>
      <w:tr w:rsidR="00C220C7" w14:paraId="62AD65C4" w14:textId="77777777" w:rsidTr="00F31408">
        <w:tc>
          <w:tcPr>
            <w:tcW w:w="2177" w:type="dxa"/>
            <w:vMerge/>
          </w:tcPr>
          <w:p w14:paraId="515B69D0" w14:textId="77777777" w:rsidR="00C220C7" w:rsidRPr="00F31408" w:rsidRDefault="00C220C7" w:rsidP="00C220C7">
            <w:pPr>
              <w:rPr>
                <w:rFonts w:cs="Arial"/>
              </w:rPr>
            </w:pPr>
          </w:p>
        </w:tc>
        <w:tc>
          <w:tcPr>
            <w:tcW w:w="2790" w:type="dxa"/>
          </w:tcPr>
          <w:p w14:paraId="3AF7278E" w14:textId="068843ED" w:rsidR="00C220C7" w:rsidRPr="00F31408" w:rsidRDefault="00C220C7" w:rsidP="00C220C7">
            <w:pPr>
              <w:rPr>
                <w:rFonts w:cs="Arial"/>
              </w:rPr>
            </w:pPr>
            <w:r w:rsidRPr="00F31408">
              <w:rPr>
                <w:rFonts w:cs="Arial"/>
              </w:rPr>
              <w:t>Апластична анемия</w:t>
            </w:r>
          </w:p>
        </w:tc>
        <w:tc>
          <w:tcPr>
            <w:tcW w:w="1536" w:type="dxa"/>
          </w:tcPr>
          <w:p w14:paraId="36B54801" w14:textId="6E442FDB" w:rsidR="00C220C7" w:rsidRPr="00F31408" w:rsidRDefault="00C220C7" w:rsidP="00C220C7">
            <w:pPr>
              <w:rPr>
                <w:rFonts w:cs="Arial"/>
              </w:rPr>
            </w:pPr>
            <w:r w:rsidRPr="00F31408">
              <w:rPr>
                <w:rFonts w:cs="Arial"/>
              </w:rPr>
              <w:t>-</w:t>
            </w:r>
          </w:p>
        </w:tc>
        <w:tc>
          <w:tcPr>
            <w:tcW w:w="1312" w:type="dxa"/>
          </w:tcPr>
          <w:p w14:paraId="63982AE6" w14:textId="34A28C7A" w:rsidR="00C220C7" w:rsidRPr="00F31408" w:rsidRDefault="00C220C7" w:rsidP="00C220C7">
            <w:pPr>
              <w:rPr>
                <w:rFonts w:cs="Arial"/>
              </w:rPr>
            </w:pPr>
            <w:r w:rsidRPr="00F31408">
              <w:rPr>
                <w:rFonts w:cs="Arial"/>
              </w:rPr>
              <w:t>Много редки</w:t>
            </w:r>
          </w:p>
        </w:tc>
        <w:tc>
          <w:tcPr>
            <w:tcW w:w="1535" w:type="dxa"/>
          </w:tcPr>
          <w:p w14:paraId="5FB29FE8" w14:textId="1E9DE841" w:rsidR="00C220C7" w:rsidRPr="00F31408" w:rsidRDefault="00C220C7" w:rsidP="00C220C7">
            <w:pPr>
              <w:rPr>
                <w:rFonts w:cs="Arial"/>
              </w:rPr>
            </w:pPr>
            <w:r w:rsidRPr="00F31408">
              <w:rPr>
                <w:rFonts w:cs="Arial"/>
              </w:rPr>
              <w:t>-</w:t>
            </w:r>
          </w:p>
        </w:tc>
      </w:tr>
      <w:tr w:rsidR="00C220C7" w14:paraId="25CC3DDA" w14:textId="77777777" w:rsidTr="00F31408">
        <w:tc>
          <w:tcPr>
            <w:tcW w:w="2177" w:type="dxa"/>
            <w:vMerge/>
          </w:tcPr>
          <w:p w14:paraId="3125EBEB" w14:textId="77777777" w:rsidR="00C220C7" w:rsidRPr="00F31408" w:rsidRDefault="00C220C7" w:rsidP="00C220C7">
            <w:pPr>
              <w:rPr>
                <w:rFonts w:cs="Arial"/>
              </w:rPr>
            </w:pPr>
          </w:p>
        </w:tc>
        <w:tc>
          <w:tcPr>
            <w:tcW w:w="2790" w:type="dxa"/>
          </w:tcPr>
          <w:p w14:paraId="16D85670" w14:textId="5AF3F2B2" w:rsidR="00C220C7" w:rsidRPr="00F31408" w:rsidRDefault="00C220C7" w:rsidP="00C220C7">
            <w:pPr>
              <w:rPr>
                <w:rFonts w:cs="Arial"/>
              </w:rPr>
            </w:pPr>
            <w:r w:rsidRPr="00F31408">
              <w:rPr>
                <w:rFonts w:cs="Arial"/>
              </w:rPr>
              <w:t>Панцитопения</w:t>
            </w:r>
          </w:p>
        </w:tc>
        <w:tc>
          <w:tcPr>
            <w:tcW w:w="1536" w:type="dxa"/>
          </w:tcPr>
          <w:p w14:paraId="0478C5C8" w14:textId="5BB2705A" w:rsidR="00C220C7" w:rsidRPr="00F31408" w:rsidRDefault="00C220C7" w:rsidP="00C220C7">
            <w:pPr>
              <w:rPr>
                <w:rFonts w:cs="Arial"/>
              </w:rPr>
            </w:pPr>
            <w:r w:rsidRPr="00F31408">
              <w:rPr>
                <w:rFonts w:cs="Arial"/>
              </w:rPr>
              <w:t>Много редки</w:t>
            </w:r>
          </w:p>
        </w:tc>
        <w:tc>
          <w:tcPr>
            <w:tcW w:w="1312" w:type="dxa"/>
          </w:tcPr>
          <w:p w14:paraId="28483AE3" w14:textId="77777777" w:rsidR="00C220C7" w:rsidRPr="00F31408" w:rsidRDefault="00C220C7" w:rsidP="00C220C7">
            <w:pPr>
              <w:rPr>
                <w:rFonts w:cs="Arial"/>
              </w:rPr>
            </w:pPr>
          </w:p>
        </w:tc>
        <w:tc>
          <w:tcPr>
            <w:tcW w:w="1535" w:type="dxa"/>
          </w:tcPr>
          <w:p w14:paraId="7607D6E6" w14:textId="2AE3BF4F" w:rsidR="00C220C7" w:rsidRPr="00F31408" w:rsidRDefault="00C220C7" w:rsidP="00C220C7">
            <w:pPr>
              <w:rPr>
                <w:rFonts w:cs="Arial"/>
              </w:rPr>
            </w:pPr>
            <w:r w:rsidRPr="00F31408">
              <w:rPr>
                <w:rFonts w:cs="Arial"/>
              </w:rPr>
              <w:t>-</w:t>
            </w:r>
          </w:p>
        </w:tc>
      </w:tr>
      <w:tr w:rsidR="00C220C7" w14:paraId="03633BC8" w14:textId="77777777" w:rsidTr="00F31408">
        <w:tc>
          <w:tcPr>
            <w:tcW w:w="2177" w:type="dxa"/>
            <w:vMerge/>
          </w:tcPr>
          <w:p w14:paraId="276D9742" w14:textId="77777777" w:rsidR="00C220C7" w:rsidRPr="00F31408" w:rsidRDefault="00C220C7" w:rsidP="00C220C7">
            <w:pPr>
              <w:rPr>
                <w:rFonts w:cs="Arial"/>
              </w:rPr>
            </w:pPr>
          </w:p>
        </w:tc>
        <w:tc>
          <w:tcPr>
            <w:tcW w:w="2790" w:type="dxa"/>
          </w:tcPr>
          <w:p w14:paraId="32508842" w14:textId="678D16CB" w:rsidR="00C220C7" w:rsidRPr="00F31408" w:rsidRDefault="00C220C7" w:rsidP="00C220C7">
            <w:pPr>
              <w:rPr>
                <w:rFonts w:cs="Arial"/>
              </w:rPr>
            </w:pPr>
            <w:r w:rsidRPr="00F31408">
              <w:rPr>
                <w:rFonts w:cs="Arial"/>
              </w:rPr>
              <w:t>Левкопения</w:t>
            </w:r>
          </w:p>
        </w:tc>
        <w:tc>
          <w:tcPr>
            <w:tcW w:w="1536" w:type="dxa"/>
          </w:tcPr>
          <w:p w14:paraId="5688182D" w14:textId="2AB04B61" w:rsidR="00C220C7" w:rsidRPr="00F31408" w:rsidRDefault="00C220C7" w:rsidP="00C220C7">
            <w:pPr>
              <w:rPr>
                <w:rFonts w:cs="Arial"/>
              </w:rPr>
            </w:pPr>
            <w:r w:rsidRPr="00F31408">
              <w:rPr>
                <w:rFonts w:cs="Arial"/>
              </w:rPr>
              <w:t>Много редки</w:t>
            </w:r>
          </w:p>
        </w:tc>
        <w:tc>
          <w:tcPr>
            <w:tcW w:w="1312" w:type="dxa"/>
          </w:tcPr>
          <w:p w14:paraId="3E146C23" w14:textId="484895B7" w:rsidR="00C220C7" w:rsidRPr="00F31408" w:rsidRDefault="00C220C7" w:rsidP="00C220C7">
            <w:pPr>
              <w:rPr>
                <w:rFonts w:cs="Arial"/>
              </w:rPr>
            </w:pPr>
            <w:r w:rsidRPr="00F31408">
              <w:rPr>
                <w:rFonts w:cs="Arial"/>
              </w:rPr>
              <w:t>Много редки</w:t>
            </w:r>
          </w:p>
        </w:tc>
        <w:tc>
          <w:tcPr>
            <w:tcW w:w="1535" w:type="dxa"/>
          </w:tcPr>
          <w:p w14:paraId="308542DF" w14:textId="23A46047" w:rsidR="00C220C7" w:rsidRPr="00F31408" w:rsidRDefault="00C220C7" w:rsidP="00C220C7">
            <w:pPr>
              <w:rPr>
                <w:rFonts w:cs="Arial"/>
              </w:rPr>
            </w:pPr>
            <w:r w:rsidRPr="00F31408">
              <w:rPr>
                <w:rFonts w:cs="Arial"/>
                <w:b/>
                <w:bCs/>
              </w:rPr>
              <w:t>-</w:t>
            </w:r>
          </w:p>
        </w:tc>
      </w:tr>
      <w:tr w:rsidR="00C220C7" w14:paraId="4C8A4505" w14:textId="77777777" w:rsidTr="00F31408">
        <w:tc>
          <w:tcPr>
            <w:tcW w:w="2177" w:type="dxa"/>
            <w:vMerge/>
          </w:tcPr>
          <w:p w14:paraId="10F9282C" w14:textId="77777777" w:rsidR="00C220C7" w:rsidRPr="00F31408" w:rsidRDefault="00C220C7" w:rsidP="00C220C7">
            <w:pPr>
              <w:rPr>
                <w:rFonts w:cs="Arial"/>
              </w:rPr>
            </w:pPr>
          </w:p>
        </w:tc>
        <w:tc>
          <w:tcPr>
            <w:tcW w:w="2790" w:type="dxa"/>
          </w:tcPr>
          <w:p w14:paraId="4186E285" w14:textId="740E529D" w:rsidR="00C220C7" w:rsidRPr="00F31408" w:rsidRDefault="00C220C7" w:rsidP="00C220C7">
            <w:pPr>
              <w:rPr>
                <w:rFonts w:cs="Arial"/>
              </w:rPr>
            </w:pPr>
            <w:r w:rsidRPr="00F31408">
              <w:rPr>
                <w:rFonts w:cs="Arial"/>
              </w:rPr>
              <w:t>Неутропения (вж. точка 4.4)</w:t>
            </w:r>
          </w:p>
        </w:tc>
        <w:tc>
          <w:tcPr>
            <w:tcW w:w="1536" w:type="dxa"/>
          </w:tcPr>
          <w:p w14:paraId="6EACED8B" w14:textId="64845488" w:rsidR="00C220C7" w:rsidRPr="00F31408" w:rsidRDefault="00C220C7" w:rsidP="00C220C7">
            <w:pPr>
              <w:rPr>
                <w:rFonts w:cs="Arial"/>
              </w:rPr>
            </w:pPr>
            <w:r w:rsidRPr="00F31408">
              <w:rPr>
                <w:rFonts w:cs="Arial"/>
              </w:rPr>
              <w:t>Много редки</w:t>
            </w:r>
          </w:p>
        </w:tc>
        <w:tc>
          <w:tcPr>
            <w:tcW w:w="1312" w:type="dxa"/>
          </w:tcPr>
          <w:p w14:paraId="7B21D68B" w14:textId="77777777" w:rsidR="00C220C7" w:rsidRPr="00F31408" w:rsidRDefault="00C220C7" w:rsidP="00C220C7">
            <w:pPr>
              <w:rPr>
                <w:rFonts w:cs="Arial"/>
              </w:rPr>
            </w:pPr>
          </w:p>
        </w:tc>
        <w:tc>
          <w:tcPr>
            <w:tcW w:w="1535" w:type="dxa"/>
          </w:tcPr>
          <w:p w14:paraId="5C3085CF" w14:textId="7E2F0E4A" w:rsidR="00C220C7" w:rsidRPr="00F31408" w:rsidRDefault="00C220C7" w:rsidP="00C220C7">
            <w:pPr>
              <w:rPr>
                <w:rFonts w:cs="Arial"/>
              </w:rPr>
            </w:pPr>
            <w:r w:rsidRPr="00F31408">
              <w:rPr>
                <w:rFonts w:cs="Arial"/>
              </w:rPr>
              <w:t>-</w:t>
            </w:r>
          </w:p>
        </w:tc>
      </w:tr>
      <w:tr w:rsidR="00C220C7" w14:paraId="7B8A54BF" w14:textId="77777777" w:rsidTr="00F31408">
        <w:tc>
          <w:tcPr>
            <w:tcW w:w="2177" w:type="dxa"/>
            <w:vMerge/>
          </w:tcPr>
          <w:p w14:paraId="6F869D17" w14:textId="77777777" w:rsidR="00C220C7" w:rsidRPr="00F31408" w:rsidRDefault="00C220C7" w:rsidP="00C220C7">
            <w:pPr>
              <w:rPr>
                <w:rFonts w:cs="Arial"/>
              </w:rPr>
            </w:pPr>
          </w:p>
        </w:tc>
        <w:tc>
          <w:tcPr>
            <w:tcW w:w="2790" w:type="dxa"/>
          </w:tcPr>
          <w:p w14:paraId="1A45781D" w14:textId="43ABDD37" w:rsidR="00C220C7" w:rsidRPr="00F31408" w:rsidRDefault="00C220C7" w:rsidP="00C220C7">
            <w:pPr>
              <w:rPr>
                <w:rFonts w:cs="Arial"/>
              </w:rPr>
            </w:pPr>
            <w:r w:rsidRPr="00F31408">
              <w:rPr>
                <w:rFonts w:cs="Arial"/>
              </w:rPr>
              <w:t>Хемолитична анемия</w:t>
            </w:r>
          </w:p>
        </w:tc>
        <w:tc>
          <w:tcPr>
            <w:tcW w:w="1536" w:type="dxa"/>
          </w:tcPr>
          <w:p w14:paraId="761DB4A4" w14:textId="335271D4" w:rsidR="00C220C7" w:rsidRPr="00F31408" w:rsidRDefault="00C220C7" w:rsidP="00C220C7">
            <w:pPr>
              <w:rPr>
                <w:rFonts w:cs="Arial"/>
              </w:rPr>
            </w:pPr>
            <w:r w:rsidRPr="00F31408">
              <w:rPr>
                <w:rFonts w:cs="Arial"/>
              </w:rPr>
              <w:t>Много редки</w:t>
            </w:r>
          </w:p>
        </w:tc>
        <w:tc>
          <w:tcPr>
            <w:tcW w:w="1312" w:type="dxa"/>
          </w:tcPr>
          <w:p w14:paraId="6CA7FC0D" w14:textId="7CE5AC9A" w:rsidR="00C220C7" w:rsidRPr="00F31408" w:rsidRDefault="00C220C7" w:rsidP="00C220C7">
            <w:pPr>
              <w:rPr>
                <w:rFonts w:cs="Arial"/>
              </w:rPr>
            </w:pPr>
            <w:r w:rsidRPr="00F31408">
              <w:rPr>
                <w:rFonts w:cs="Arial"/>
              </w:rPr>
              <w:t>Много редки</w:t>
            </w:r>
          </w:p>
        </w:tc>
        <w:tc>
          <w:tcPr>
            <w:tcW w:w="1535" w:type="dxa"/>
          </w:tcPr>
          <w:p w14:paraId="037D5DF6" w14:textId="121B80F1" w:rsidR="00C220C7" w:rsidRPr="00F31408" w:rsidRDefault="00C220C7" w:rsidP="00C220C7">
            <w:pPr>
              <w:rPr>
                <w:rFonts w:cs="Arial"/>
              </w:rPr>
            </w:pPr>
            <w:r w:rsidRPr="00F31408">
              <w:rPr>
                <w:rFonts w:cs="Arial"/>
                <w:b/>
                <w:bCs/>
              </w:rPr>
              <w:t>-</w:t>
            </w:r>
          </w:p>
        </w:tc>
      </w:tr>
      <w:tr w:rsidR="00C220C7" w14:paraId="2AD8C65B" w14:textId="77777777" w:rsidTr="00F31408">
        <w:tc>
          <w:tcPr>
            <w:tcW w:w="2177" w:type="dxa"/>
            <w:vMerge/>
          </w:tcPr>
          <w:p w14:paraId="04E20DF0" w14:textId="77777777" w:rsidR="00C220C7" w:rsidRPr="00F31408" w:rsidRDefault="00C220C7" w:rsidP="00C220C7">
            <w:pPr>
              <w:rPr>
                <w:rFonts w:cs="Arial"/>
              </w:rPr>
            </w:pPr>
          </w:p>
        </w:tc>
        <w:tc>
          <w:tcPr>
            <w:tcW w:w="2790" w:type="dxa"/>
          </w:tcPr>
          <w:p w14:paraId="6F3D6F0D" w14:textId="442E4DBB" w:rsidR="00C220C7" w:rsidRPr="00F31408" w:rsidRDefault="00C220C7" w:rsidP="00C220C7">
            <w:pPr>
              <w:rPr>
                <w:rFonts w:cs="Arial"/>
              </w:rPr>
            </w:pPr>
            <w:r w:rsidRPr="00F31408">
              <w:rPr>
                <w:rFonts w:cs="Arial"/>
              </w:rPr>
              <w:t>Тромбоцитопения (вж. точка 4.4)</w:t>
            </w:r>
          </w:p>
        </w:tc>
        <w:tc>
          <w:tcPr>
            <w:tcW w:w="1536" w:type="dxa"/>
          </w:tcPr>
          <w:p w14:paraId="22DA2EC6" w14:textId="3F68D0E8" w:rsidR="00C220C7" w:rsidRPr="00F31408" w:rsidRDefault="00C220C7" w:rsidP="00C220C7">
            <w:pPr>
              <w:rPr>
                <w:rFonts w:cs="Arial"/>
              </w:rPr>
            </w:pPr>
            <w:r w:rsidRPr="00F31408">
              <w:rPr>
                <w:rFonts w:cs="Arial"/>
              </w:rPr>
              <w:t>Много редки</w:t>
            </w:r>
          </w:p>
        </w:tc>
        <w:tc>
          <w:tcPr>
            <w:tcW w:w="1312" w:type="dxa"/>
          </w:tcPr>
          <w:p w14:paraId="27412EE2" w14:textId="3323232F" w:rsidR="00C220C7" w:rsidRPr="00F31408" w:rsidRDefault="00C220C7" w:rsidP="00C220C7">
            <w:pPr>
              <w:rPr>
                <w:rFonts w:cs="Arial"/>
              </w:rPr>
            </w:pPr>
            <w:r w:rsidRPr="00F31408">
              <w:rPr>
                <w:rFonts w:cs="Arial"/>
              </w:rPr>
              <w:t>Много редки</w:t>
            </w:r>
          </w:p>
        </w:tc>
        <w:tc>
          <w:tcPr>
            <w:tcW w:w="1535" w:type="dxa"/>
          </w:tcPr>
          <w:p w14:paraId="0AB05C7C" w14:textId="66097FD0" w:rsidR="00C220C7" w:rsidRPr="00F31408" w:rsidRDefault="00C220C7" w:rsidP="00C220C7">
            <w:pPr>
              <w:rPr>
                <w:rFonts w:cs="Arial"/>
              </w:rPr>
            </w:pPr>
            <w:r w:rsidRPr="00F31408">
              <w:rPr>
                <w:rFonts w:cs="Arial"/>
              </w:rPr>
              <w:t>Редки</w:t>
            </w:r>
          </w:p>
        </w:tc>
      </w:tr>
      <w:tr w:rsidR="00C220C7" w14:paraId="6C922E17" w14:textId="77777777" w:rsidTr="00F31408">
        <w:tc>
          <w:tcPr>
            <w:tcW w:w="2177" w:type="dxa"/>
          </w:tcPr>
          <w:p w14:paraId="593E6B92" w14:textId="716D9315" w:rsidR="00C220C7" w:rsidRPr="00F31408" w:rsidRDefault="00C220C7" w:rsidP="00C220C7">
            <w:pPr>
              <w:rPr>
                <w:rFonts w:cs="Arial"/>
              </w:rPr>
            </w:pPr>
            <w:r w:rsidRPr="00F31408">
              <w:rPr>
                <w:rFonts w:cs="Arial"/>
                <w:b/>
                <w:bCs/>
              </w:rPr>
              <w:t>Нарушения на имунната система</w:t>
            </w:r>
          </w:p>
        </w:tc>
        <w:tc>
          <w:tcPr>
            <w:tcW w:w="2790" w:type="dxa"/>
          </w:tcPr>
          <w:p w14:paraId="4AB1AA10" w14:textId="13B07F92" w:rsidR="00C220C7" w:rsidRPr="00F31408" w:rsidRDefault="00C220C7" w:rsidP="00C220C7">
            <w:pPr>
              <w:rPr>
                <w:rFonts w:cs="Arial"/>
              </w:rPr>
            </w:pPr>
            <w:r w:rsidRPr="00F31408">
              <w:rPr>
                <w:rFonts w:cs="Arial"/>
              </w:rPr>
              <w:t>Свръхчувствителност (реакции, основно дерматологични, при пациенти с предразположение към алергични и астматични реакции)</w:t>
            </w:r>
          </w:p>
        </w:tc>
        <w:tc>
          <w:tcPr>
            <w:tcW w:w="1536" w:type="dxa"/>
          </w:tcPr>
          <w:p w14:paraId="1CD6027A" w14:textId="60FD3C1D" w:rsidR="00C220C7" w:rsidRPr="00F31408" w:rsidRDefault="00C220C7" w:rsidP="00C220C7">
            <w:pPr>
              <w:rPr>
                <w:rFonts w:cs="Arial"/>
              </w:rPr>
            </w:pPr>
            <w:r w:rsidRPr="00F31408">
              <w:rPr>
                <w:rFonts w:cs="Arial"/>
              </w:rPr>
              <w:t>-</w:t>
            </w:r>
          </w:p>
        </w:tc>
        <w:tc>
          <w:tcPr>
            <w:tcW w:w="1312" w:type="dxa"/>
          </w:tcPr>
          <w:p w14:paraId="5929D3EA" w14:textId="751AD017" w:rsidR="00C220C7" w:rsidRPr="00F31408" w:rsidRDefault="00C220C7" w:rsidP="00C220C7">
            <w:pPr>
              <w:rPr>
                <w:rFonts w:cs="Arial"/>
              </w:rPr>
            </w:pPr>
            <w:r w:rsidRPr="00F31408">
              <w:rPr>
                <w:rFonts w:cs="Arial"/>
              </w:rPr>
              <w:t>Чести</w:t>
            </w:r>
          </w:p>
        </w:tc>
        <w:tc>
          <w:tcPr>
            <w:tcW w:w="1535" w:type="dxa"/>
          </w:tcPr>
          <w:p w14:paraId="34B3B0CB" w14:textId="20ADEA35" w:rsidR="00C220C7" w:rsidRPr="00F31408" w:rsidRDefault="00C220C7" w:rsidP="00C220C7">
            <w:pPr>
              <w:rPr>
                <w:rFonts w:cs="Arial"/>
              </w:rPr>
            </w:pPr>
            <w:r w:rsidRPr="00F31408">
              <w:rPr>
                <w:rFonts w:cs="Arial"/>
              </w:rPr>
              <w:t>Редки</w:t>
            </w:r>
          </w:p>
        </w:tc>
      </w:tr>
      <w:tr w:rsidR="00C220C7" w14:paraId="69B8C32F" w14:textId="77777777" w:rsidTr="00F31408">
        <w:tc>
          <w:tcPr>
            <w:tcW w:w="2177" w:type="dxa"/>
            <w:vMerge w:val="restart"/>
          </w:tcPr>
          <w:p w14:paraId="3EFF1A19" w14:textId="3C4DBDCA" w:rsidR="00C220C7" w:rsidRPr="00F31408" w:rsidRDefault="00C220C7" w:rsidP="00C220C7">
            <w:pPr>
              <w:rPr>
                <w:rFonts w:cs="Arial"/>
              </w:rPr>
            </w:pPr>
            <w:r w:rsidRPr="00F31408">
              <w:rPr>
                <w:rFonts w:cs="Arial"/>
                <w:b/>
                <w:bCs/>
              </w:rPr>
              <w:t>Нарушения на ендокринната система</w:t>
            </w:r>
          </w:p>
        </w:tc>
        <w:tc>
          <w:tcPr>
            <w:tcW w:w="2790" w:type="dxa"/>
          </w:tcPr>
          <w:p w14:paraId="5B9900BB" w14:textId="140EEAB5" w:rsidR="00C220C7" w:rsidRPr="00F31408" w:rsidRDefault="00C220C7" w:rsidP="00C220C7">
            <w:pPr>
              <w:rPr>
                <w:rFonts w:cs="Arial"/>
              </w:rPr>
            </w:pPr>
            <w:r w:rsidRPr="00F31408">
              <w:rPr>
                <w:rFonts w:cs="Arial"/>
              </w:rPr>
              <w:t>Захарен диабет</w:t>
            </w:r>
            <w:r w:rsidRPr="00F31408">
              <w:rPr>
                <w:rFonts w:cs="Arial"/>
                <w:vertAlign w:val="superscript"/>
              </w:rPr>
              <w:t>1</w:t>
            </w:r>
          </w:p>
        </w:tc>
        <w:tc>
          <w:tcPr>
            <w:tcW w:w="1536" w:type="dxa"/>
          </w:tcPr>
          <w:p w14:paraId="17BDE2FF" w14:textId="6DF8191F" w:rsidR="00C220C7" w:rsidRPr="00F31408" w:rsidRDefault="00C220C7" w:rsidP="00C220C7">
            <w:pPr>
              <w:rPr>
                <w:rFonts w:cs="Arial"/>
              </w:rPr>
            </w:pPr>
            <w:r w:rsidRPr="00F31408">
              <w:rPr>
                <w:rFonts w:cs="Arial"/>
              </w:rPr>
              <w:t>-</w:t>
            </w:r>
          </w:p>
        </w:tc>
        <w:tc>
          <w:tcPr>
            <w:tcW w:w="1312" w:type="dxa"/>
          </w:tcPr>
          <w:p w14:paraId="6ABA1B0A" w14:textId="1B4EE0B2" w:rsidR="00C220C7" w:rsidRPr="00F31408" w:rsidRDefault="00C220C7" w:rsidP="00C220C7">
            <w:pPr>
              <w:rPr>
                <w:rFonts w:cs="Arial"/>
              </w:rPr>
            </w:pPr>
            <w:r w:rsidRPr="00F31408">
              <w:rPr>
                <w:rFonts w:cs="Arial"/>
                <w:b/>
                <w:bCs/>
              </w:rPr>
              <w:t>-</w:t>
            </w:r>
          </w:p>
        </w:tc>
        <w:tc>
          <w:tcPr>
            <w:tcW w:w="1535" w:type="dxa"/>
          </w:tcPr>
          <w:p w14:paraId="00AC36A3" w14:textId="3C0ED652" w:rsidR="00C220C7" w:rsidRPr="00F31408" w:rsidRDefault="00C220C7" w:rsidP="00C220C7">
            <w:pPr>
              <w:rPr>
                <w:rFonts w:cs="Arial"/>
              </w:rPr>
            </w:pPr>
            <w:r w:rsidRPr="00F31408">
              <w:rPr>
                <w:rFonts w:cs="Arial"/>
              </w:rPr>
              <w:t>Чести</w:t>
            </w:r>
          </w:p>
        </w:tc>
      </w:tr>
      <w:tr w:rsidR="00C220C7" w14:paraId="0D5E9868" w14:textId="77777777" w:rsidTr="00F31408">
        <w:tc>
          <w:tcPr>
            <w:tcW w:w="2177" w:type="dxa"/>
            <w:vMerge/>
          </w:tcPr>
          <w:p w14:paraId="7024D636" w14:textId="77777777" w:rsidR="00C220C7" w:rsidRPr="00F31408" w:rsidRDefault="00C220C7" w:rsidP="00C220C7">
            <w:pPr>
              <w:rPr>
                <w:rFonts w:cs="Arial"/>
              </w:rPr>
            </w:pPr>
          </w:p>
        </w:tc>
        <w:tc>
          <w:tcPr>
            <w:tcW w:w="2790" w:type="dxa"/>
          </w:tcPr>
          <w:p w14:paraId="503ACFC0" w14:textId="2040D079" w:rsidR="00C220C7" w:rsidRPr="00F31408" w:rsidRDefault="00C220C7" w:rsidP="00C220C7">
            <w:pPr>
              <w:rPr>
                <w:rFonts w:cs="Arial"/>
              </w:rPr>
            </w:pPr>
            <w:r w:rsidRPr="00F31408">
              <w:rPr>
                <w:rFonts w:cs="Arial"/>
              </w:rPr>
              <w:t xml:space="preserve">Синдром на неправилна секреция на антидиуретичния хормон </w:t>
            </w:r>
            <w:r w:rsidRPr="00F31408">
              <w:rPr>
                <w:rFonts w:cs="Arial"/>
                <w:lang w:val="en-US"/>
              </w:rPr>
              <w:t>(SIADH)</w:t>
            </w:r>
          </w:p>
        </w:tc>
        <w:tc>
          <w:tcPr>
            <w:tcW w:w="1536" w:type="dxa"/>
          </w:tcPr>
          <w:p w14:paraId="7B40D595" w14:textId="718A6CC6" w:rsidR="00C220C7" w:rsidRPr="00F31408" w:rsidRDefault="00C220C7" w:rsidP="00C220C7">
            <w:pPr>
              <w:rPr>
                <w:rFonts w:cs="Arial"/>
              </w:rPr>
            </w:pPr>
            <w:r w:rsidRPr="00F31408">
              <w:rPr>
                <w:rFonts w:cs="Arial"/>
              </w:rPr>
              <w:t>Редки</w:t>
            </w:r>
          </w:p>
        </w:tc>
        <w:tc>
          <w:tcPr>
            <w:tcW w:w="1312" w:type="dxa"/>
          </w:tcPr>
          <w:p w14:paraId="014EB75C" w14:textId="667BD852" w:rsidR="00C220C7" w:rsidRPr="00F31408" w:rsidRDefault="00C220C7" w:rsidP="00C220C7">
            <w:pPr>
              <w:rPr>
                <w:rFonts w:cs="Arial"/>
              </w:rPr>
            </w:pPr>
            <w:r w:rsidRPr="00F31408">
              <w:rPr>
                <w:rFonts w:cs="Arial"/>
                <w:b/>
                <w:bCs/>
              </w:rPr>
              <w:t>-</w:t>
            </w:r>
          </w:p>
        </w:tc>
        <w:tc>
          <w:tcPr>
            <w:tcW w:w="1535" w:type="dxa"/>
          </w:tcPr>
          <w:p w14:paraId="43DCEC35" w14:textId="3826AD50" w:rsidR="00C220C7" w:rsidRPr="00F31408" w:rsidRDefault="00C220C7" w:rsidP="00C220C7">
            <w:pPr>
              <w:rPr>
                <w:rFonts w:cs="Arial"/>
              </w:rPr>
            </w:pPr>
            <w:r w:rsidRPr="00F31408">
              <w:rPr>
                <w:rFonts w:cs="Arial"/>
                <w:b/>
                <w:bCs/>
              </w:rPr>
              <w:t>-</w:t>
            </w:r>
          </w:p>
        </w:tc>
      </w:tr>
      <w:tr w:rsidR="00C220C7" w14:paraId="5436633A" w14:textId="77777777" w:rsidTr="00F31408">
        <w:tc>
          <w:tcPr>
            <w:tcW w:w="2177" w:type="dxa"/>
            <w:vMerge w:val="restart"/>
          </w:tcPr>
          <w:p w14:paraId="010982FC" w14:textId="0D76B2F2" w:rsidR="00C220C7" w:rsidRPr="00F31408" w:rsidRDefault="00C220C7" w:rsidP="00C220C7">
            <w:pPr>
              <w:rPr>
                <w:rFonts w:cs="Arial"/>
              </w:rPr>
            </w:pPr>
            <w:r w:rsidRPr="00F31408">
              <w:rPr>
                <w:rFonts w:cs="Arial"/>
                <w:b/>
                <w:bCs/>
              </w:rPr>
              <w:t>Нарушения на метаболизма и храненето</w:t>
            </w:r>
          </w:p>
        </w:tc>
        <w:tc>
          <w:tcPr>
            <w:tcW w:w="2790" w:type="dxa"/>
          </w:tcPr>
          <w:p w14:paraId="64F2AFAC" w14:textId="31AFA504" w:rsidR="00C220C7" w:rsidRPr="00F31408" w:rsidRDefault="00C220C7" w:rsidP="00C220C7">
            <w:pPr>
              <w:rPr>
                <w:rFonts w:cs="Arial"/>
              </w:rPr>
            </w:pPr>
            <w:r w:rsidRPr="00F31408">
              <w:rPr>
                <w:rFonts w:cs="Arial"/>
              </w:rPr>
              <w:t>Хипогликемия (вж. точки 4.4 и 4.5)</w:t>
            </w:r>
          </w:p>
        </w:tc>
        <w:tc>
          <w:tcPr>
            <w:tcW w:w="1536" w:type="dxa"/>
          </w:tcPr>
          <w:p w14:paraId="4D4A472E" w14:textId="3A5A45A6" w:rsidR="00C220C7" w:rsidRPr="00F31408" w:rsidRDefault="00C220C7" w:rsidP="00C220C7">
            <w:pPr>
              <w:rPr>
                <w:rFonts w:cs="Arial"/>
              </w:rPr>
            </w:pPr>
            <w:r w:rsidRPr="00F31408">
              <w:rPr>
                <w:rFonts w:cs="Arial"/>
              </w:rPr>
              <w:t>Нечести*</w:t>
            </w:r>
          </w:p>
        </w:tc>
        <w:tc>
          <w:tcPr>
            <w:tcW w:w="1312" w:type="dxa"/>
          </w:tcPr>
          <w:p w14:paraId="35999205" w14:textId="342EB7D0" w:rsidR="00C220C7" w:rsidRPr="00F31408" w:rsidRDefault="00C220C7" w:rsidP="00C220C7">
            <w:pPr>
              <w:rPr>
                <w:rFonts w:cs="Arial"/>
              </w:rPr>
            </w:pPr>
            <w:r w:rsidRPr="00F31408">
              <w:rPr>
                <w:rFonts w:cs="Arial"/>
                <w:b/>
                <w:bCs/>
              </w:rPr>
              <w:t>-</w:t>
            </w:r>
          </w:p>
        </w:tc>
        <w:tc>
          <w:tcPr>
            <w:tcW w:w="1535" w:type="dxa"/>
          </w:tcPr>
          <w:p w14:paraId="5F838947" w14:textId="7F4E7D7A" w:rsidR="00C220C7" w:rsidRPr="00F31408" w:rsidRDefault="00C220C7" w:rsidP="00C220C7">
            <w:pPr>
              <w:rPr>
                <w:rFonts w:cs="Arial"/>
              </w:rPr>
            </w:pPr>
            <w:r w:rsidRPr="00F31408">
              <w:rPr>
                <w:rFonts w:cs="Arial"/>
              </w:rPr>
              <w:t>-</w:t>
            </w:r>
          </w:p>
        </w:tc>
      </w:tr>
      <w:tr w:rsidR="00C220C7" w14:paraId="55B56CFF" w14:textId="77777777" w:rsidTr="00F31408">
        <w:tc>
          <w:tcPr>
            <w:tcW w:w="2177" w:type="dxa"/>
            <w:vMerge/>
          </w:tcPr>
          <w:p w14:paraId="45897A44" w14:textId="77777777" w:rsidR="00C220C7" w:rsidRPr="00F31408" w:rsidRDefault="00C220C7" w:rsidP="00C220C7">
            <w:pPr>
              <w:rPr>
                <w:rFonts w:cs="Arial"/>
              </w:rPr>
            </w:pPr>
          </w:p>
        </w:tc>
        <w:tc>
          <w:tcPr>
            <w:tcW w:w="2790" w:type="dxa"/>
          </w:tcPr>
          <w:p w14:paraId="46246682" w14:textId="0130A623" w:rsidR="00C220C7" w:rsidRPr="00F31408" w:rsidRDefault="00C220C7" w:rsidP="00C220C7">
            <w:pPr>
              <w:rPr>
                <w:rFonts w:cs="Arial"/>
              </w:rPr>
            </w:pPr>
            <w:r w:rsidRPr="00F31408">
              <w:rPr>
                <w:rFonts w:cs="Arial"/>
              </w:rPr>
              <w:t>Хиперкалиемия, обратима</w:t>
            </w:r>
          </w:p>
        </w:tc>
        <w:tc>
          <w:tcPr>
            <w:tcW w:w="1536" w:type="dxa"/>
          </w:tcPr>
          <w:p w14:paraId="7D7D60F7" w14:textId="42624716" w:rsidR="00C220C7" w:rsidRPr="00F31408" w:rsidRDefault="00C220C7" w:rsidP="00C220C7">
            <w:pPr>
              <w:rPr>
                <w:rFonts w:cs="Arial"/>
              </w:rPr>
            </w:pPr>
            <w:r w:rsidRPr="00F31408">
              <w:rPr>
                <w:rFonts w:cs="Arial"/>
              </w:rPr>
              <w:t>Нечести*</w:t>
            </w:r>
          </w:p>
        </w:tc>
        <w:tc>
          <w:tcPr>
            <w:tcW w:w="1312" w:type="dxa"/>
          </w:tcPr>
          <w:p w14:paraId="4DFDD878" w14:textId="07C30E03" w:rsidR="00C220C7" w:rsidRPr="00F31408" w:rsidRDefault="00C220C7" w:rsidP="00C220C7">
            <w:pPr>
              <w:rPr>
                <w:rFonts w:cs="Arial"/>
              </w:rPr>
            </w:pPr>
            <w:r w:rsidRPr="00F31408">
              <w:rPr>
                <w:rFonts w:cs="Arial"/>
              </w:rPr>
              <w:t>-</w:t>
            </w:r>
          </w:p>
        </w:tc>
        <w:tc>
          <w:tcPr>
            <w:tcW w:w="1535" w:type="dxa"/>
          </w:tcPr>
          <w:p w14:paraId="1E664D6F" w14:textId="793A39C0" w:rsidR="00C220C7" w:rsidRPr="00F31408" w:rsidRDefault="00C220C7" w:rsidP="00C220C7">
            <w:pPr>
              <w:rPr>
                <w:rFonts w:cs="Arial"/>
              </w:rPr>
            </w:pPr>
            <w:r w:rsidRPr="00F31408">
              <w:rPr>
                <w:rFonts w:cs="Arial"/>
              </w:rPr>
              <w:t>-</w:t>
            </w:r>
          </w:p>
        </w:tc>
      </w:tr>
      <w:tr w:rsidR="00C220C7" w14:paraId="68B9C896" w14:textId="77777777" w:rsidTr="00F31408">
        <w:tc>
          <w:tcPr>
            <w:tcW w:w="2177" w:type="dxa"/>
            <w:vMerge/>
          </w:tcPr>
          <w:p w14:paraId="2C234C07" w14:textId="77777777" w:rsidR="00C220C7" w:rsidRPr="00F31408" w:rsidRDefault="00C220C7" w:rsidP="00C220C7">
            <w:pPr>
              <w:rPr>
                <w:rFonts w:cs="Arial"/>
              </w:rPr>
            </w:pPr>
          </w:p>
        </w:tc>
        <w:tc>
          <w:tcPr>
            <w:tcW w:w="2790" w:type="dxa"/>
            <w:vAlign w:val="bottom"/>
          </w:tcPr>
          <w:p w14:paraId="612876C4" w14:textId="4AA569DB" w:rsidR="00C220C7" w:rsidRPr="00F31408" w:rsidRDefault="00C220C7" w:rsidP="00C220C7">
            <w:pPr>
              <w:rPr>
                <w:rFonts w:cs="Arial"/>
              </w:rPr>
            </w:pPr>
            <w:r w:rsidRPr="00F31408">
              <w:rPr>
                <w:rFonts w:cs="Arial"/>
              </w:rPr>
              <w:t>при спиране (вж. точка 4.4)</w:t>
            </w:r>
          </w:p>
        </w:tc>
        <w:tc>
          <w:tcPr>
            <w:tcW w:w="1536" w:type="dxa"/>
          </w:tcPr>
          <w:p w14:paraId="68612F51" w14:textId="46DACED3" w:rsidR="00C220C7" w:rsidRPr="00F31408" w:rsidRDefault="00C220C7" w:rsidP="00C220C7">
            <w:pPr>
              <w:rPr>
                <w:rFonts w:cs="Arial"/>
              </w:rPr>
            </w:pPr>
            <w:r w:rsidRPr="00F31408">
              <w:rPr>
                <w:rFonts w:cs="Arial"/>
                <w:b/>
                <w:bCs/>
              </w:rPr>
              <w:t>-</w:t>
            </w:r>
          </w:p>
        </w:tc>
        <w:tc>
          <w:tcPr>
            <w:tcW w:w="1312" w:type="dxa"/>
          </w:tcPr>
          <w:p w14:paraId="736128C3" w14:textId="533D4D71" w:rsidR="00C220C7" w:rsidRPr="00F31408" w:rsidRDefault="00C220C7" w:rsidP="00C220C7">
            <w:pPr>
              <w:rPr>
                <w:rFonts w:cs="Arial"/>
              </w:rPr>
            </w:pPr>
            <w:r w:rsidRPr="00F31408">
              <w:rPr>
                <w:rFonts w:cs="Arial"/>
                <w:b/>
                <w:bCs/>
              </w:rPr>
              <w:t>-</w:t>
            </w:r>
          </w:p>
        </w:tc>
        <w:tc>
          <w:tcPr>
            <w:tcW w:w="1535" w:type="dxa"/>
          </w:tcPr>
          <w:p w14:paraId="7165C815" w14:textId="71D0CB41" w:rsidR="00C220C7" w:rsidRPr="00F31408" w:rsidRDefault="00C220C7" w:rsidP="00C220C7">
            <w:pPr>
              <w:rPr>
                <w:rFonts w:cs="Arial"/>
              </w:rPr>
            </w:pPr>
            <w:r w:rsidRPr="00F31408">
              <w:rPr>
                <w:rFonts w:cs="Arial"/>
                <w:b/>
                <w:bCs/>
              </w:rPr>
              <w:t>-</w:t>
            </w:r>
          </w:p>
        </w:tc>
      </w:tr>
      <w:tr w:rsidR="00C220C7" w14:paraId="2997EA24" w14:textId="77777777" w:rsidTr="00F31408">
        <w:tc>
          <w:tcPr>
            <w:tcW w:w="2177" w:type="dxa"/>
            <w:vMerge/>
          </w:tcPr>
          <w:p w14:paraId="3A50FF2E" w14:textId="77777777" w:rsidR="00C220C7" w:rsidRPr="00F31408" w:rsidRDefault="00C220C7" w:rsidP="00C220C7">
            <w:pPr>
              <w:rPr>
                <w:rFonts w:cs="Arial"/>
              </w:rPr>
            </w:pPr>
          </w:p>
        </w:tc>
        <w:tc>
          <w:tcPr>
            <w:tcW w:w="2790" w:type="dxa"/>
            <w:vAlign w:val="bottom"/>
          </w:tcPr>
          <w:p w14:paraId="505A55A3" w14:textId="72126955" w:rsidR="00C220C7" w:rsidRPr="00F31408" w:rsidRDefault="00C220C7" w:rsidP="00C220C7">
            <w:pPr>
              <w:rPr>
                <w:rFonts w:cs="Arial"/>
              </w:rPr>
            </w:pPr>
            <w:r w:rsidRPr="00F31408">
              <w:rPr>
                <w:rFonts w:cs="Arial"/>
              </w:rPr>
              <w:t>Хипонатриемия (вж. точка 4.4)</w:t>
            </w:r>
          </w:p>
        </w:tc>
        <w:tc>
          <w:tcPr>
            <w:tcW w:w="1536" w:type="dxa"/>
            <w:vAlign w:val="center"/>
          </w:tcPr>
          <w:p w14:paraId="34942475" w14:textId="475FD14C" w:rsidR="00C220C7" w:rsidRPr="00F31408" w:rsidRDefault="00C220C7" w:rsidP="00C220C7">
            <w:pPr>
              <w:rPr>
                <w:rFonts w:cs="Arial"/>
              </w:rPr>
            </w:pPr>
            <w:r w:rsidRPr="00F31408">
              <w:rPr>
                <w:rFonts w:cs="Arial"/>
              </w:rPr>
              <w:t>Нечести*</w:t>
            </w:r>
          </w:p>
        </w:tc>
        <w:tc>
          <w:tcPr>
            <w:tcW w:w="1312" w:type="dxa"/>
            <w:vAlign w:val="center"/>
          </w:tcPr>
          <w:p w14:paraId="324778F7" w14:textId="41ED2E58" w:rsidR="00C220C7" w:rsidRPr="00F31408" w:rsidRDefault="00C220C7" w:rsidP="00C220C7">
            <w:pPr>
              <w:rPr>
                <w:rFonts w:cs="Arial"/>
              </w:rPr>
            </w:pPr>
            <w:r w:rsidRPr="00F31408">
              <w:rPr>
                <w:rFonts w:cs="Arial"/>
              </w:rPr>
              <w:t>Нечести</w:t>
            </w:r>
          </w:p>
        </w:tc>
        <w:tc>
          <w:tcPr>
            <w:tcW w:w="1535" w:type="dxa"/>
          </w:tcPr>
          <w:p w14:paraId="7AF87B1C" w14:textId="4317C8B9" w:rsidR="00C220C7" w:rsidRPr="00F31408" w:rsidRDefault="00C220C7" w:rsidP="00C220C7">
            <w:pPr>
              <w:rPr>
                <w:rFonts w:cs="Arial"/>
              </w:rPr>
            </w:pPr>
            <w:r w:rsidRPr="00F31408">
              <w:rPr>
                <w:rFonts w:cs="Arial"/>
              </w:rPr>
              <w:t>-</w:t>
            </w:r>
          </w:p>
        </w:tc>
      </w:tr>
      <w:tr w:rsidR="00C220C7" w14:paraId="7A21DCB0" w14:textId="77777777" w:rsidTr="00F31408">
        <w:tc>
          <w:tcPr>
            <w:tcW w:w="2177" w:type="dxa"/>
            <w:vMerge/>
          </w:tcPr>
          <w:p w14:paraId="43FE426A" w14:textId="77777777" w:rsidR="00C220C7" w:rsidRPr="00F31408" w:rsidRDefault="00C220C7" w:rsidP="00C220C7">
            <w:pPr>
              <w:rPr>
                <w:rFonts w:cs="Arial"/>
              </w:rPr>
            </w:pPr>
          </w:p>
        </w:tc>
        <w:tc>
          <w:tcPr>
            <w:tcW w:w="2790" w:type="dxa"/>
            <w:vAlign w:val="bottom"/>
          </w:tcPr>
          <w:p w14:paraId="0C46C676" w14:textId="027C4A7C" w:rsidR="00C220C7" w:rsidRPr="00F31408" w:rsidRDefault="00C220C7" w:rsidP="00C220C7">
            <w:pPr>
              <w:rPr>
                <w:rFonts w:cs="Arial"/>
              </w:rPr>
            </w:pPr>
            <w:r w:rsidRPr="00F31408">
              <w:rPr>
                <w:rFonts w:cs="Arial"/>
              </w:rPr>
              <w:t>Хиперкалциемия</w:t>
            </w:r>
          </w:p>
        </w:tc>
        <w:tc>
          <w:tcPr>
            <w:tcW w:w="1536" w:type="dxa"/>
          </w:tcPr>
          <w:p w14:paraId="12384A34" w14:textId="75423263" w:rsidR="00C220C7" w:rsidRPr="00F31408" w:rsidRDefault="00C220C7" w:rsidP="00C220C7">
            <w:pPr>
              <w:rPr>
                <w:rFonts w:cs="Arial"/>
              </w:rPr>
            </w:pPr>
            <w:r w:rsidRPr="00F31408">
              <w:rPr>
                <w:rFonts w:cs="Arial"/>
              </w:rPr>
              <w:t>-</w:t>
            </w:r>
          </w:p>
        </w:tc>
        <w:tc>
          <w:tcPr>
            <w:tcW w:w="1312" w:type="dxa"/>
            <w:vAlign w:val="bottom"/>
          </w:tcPr>
          <w:p w14:paraId="14835C40" w14:textId="0793FAC7" w:rsidR="00C220C7" w:rsidRPr="00F31408" w:rsidRDefault="00C220C7" w:rsidP="00C220C7">
            <w:pPr>
              <w:rPr>
                <w:rFonts w:cs="Arial"/>
              </w:rPr>
            </w:pPr>
            <w:r w:rsidRPr="00F31408">
              <w:rPr>
                <w:rFonts w:cs="Arial"/>
              </w:rPr>
              <w:t>Много редки</w:t>
            </w:r>
          </w:p>
        </w:tc>
        <w:tc>
          <w:tcPr>
            <w:tcW w:w="1535" w:type="dxa"/>
          </w:tcPr>
          <w:p w14:paraId="0E76AEF0" w14:textId="5308639B" w:rsidR="00C220C7" w:rsidRPr="00F31408" w:rsidRDefault="00C220C7" w:rsidP="00C220C7">
            <w:pPr>
              <w:rPr>
                <w:rFonts w:cs="Arial"/>
              </w:rPr>
            </w:pPr>
            <w:r w:rsidRPr="00F31408">
              <w:rPr>
                <w:rFonts w:cs="Arial"/>
              </w:rPr>
              <w:t>-</w:t>
            </w:r>
          </w:p>
        </w:tc>
      </w:tr>
      <w:tr w:rsidR="00C220C7" w14:paraId="1022930A" w14:textId="77777777" w:rsidTr="00F31408">
        <w:tc>
          <w:tcPr>
            <w:tcW w:w="2177" w:type="dxa"/>
            <w:vMerge/>
          </w:tcPr>
          <w:p w14:paraId="001C524A" w14:textId="77777777" w:rsidR="00C220C7" w:rsidRPr="00F31408" w:rsidRDefault="00C220C7" w:rsidP="00C220C7">
            <w:pPr>
              <w:rPr>
                <w:rFonts w:cs="Arial"/>
              </w:rPr>
            </w:pPr>
          </w:p>
        </w:tc>
        <w:tc>
          <w:tcPr>
            <w:tcW w:w="2790" w:type="dxa"/>
            <w:vAlign w:val="center"/>
          </w:tcPr>
          <w:p w14:paraId="598D8838" w14:textId="03E21DCF" w:rsidR="00C220C7" w:rsidRPr="00F31408" w:rsidRDefault="00C220C7" w:rsidP="00C220C7">
            <w:pPr>
              <w:rPr>
                <w:rFonts w:cs="Arial"/>
              </w:rPr>
            </w:pPr>
            <w:r w:rsidRPr="00F31408">
              <w:rPr>
                <w:rFonts w:cs="Arial"/>
              </w:rPr>
              <w:t>Хипокалиемия(вж. точка 4.4)</w:t>
            </w:r>
          </w:p>
        </w:tc>
        <w:tc>
          <w:tcPr>
            <w:tcW w:w="1536" w:type="dxa"/>
            <w:vAlign w:val="center"/>
          </w:tcPr>
          <w:p w14:paraId="25AFB40C" w14:textId="149E4247" w:rsidR="00C220C7" w:rsidRPr="00F31408" w:rsidRDefault="00C220C7" w:rsidP="00C220C7">
            <w:pPr>
              <w:rPr>
                <w:rFonts w:cs="Arial"/>
              </w:rPr>
            </w:pPr>
            <w:r w:rsidRPr="00F31408">
              <w:rPr>
                <w:rFonts w:cs="Arial"/>
              </w:rPr>
              <w:t>-</w:t>
            </w:r>
          </w:p>
        </w:tc>
        <w:tc>
          <w:tcPr>
            <w:tcW w:w="1312" w:type="dxa"/>
            <w:vAlign w:val="center"/>
          </w:tcPr>
          <w:p w14:paraId="609B0135" w14:textId="16615A7D" w:rsidR="00C220C7" w:rsidRPr="00F31408" w:rsidRDefault="00C220C7" w:rsidP="00C220C7">
            <w:pPr>
              <w:rPr>
                <w:rFonts w:cs="Arial"/>
              </w:rPr>
            </w:pPr>
            <w:r w:rsidRPr="00F31408">
              <w:rPr>
                <w:rFonts w:cs="Arial"/>
              </w:rPr>
              <w:t>Чести</w:t>
            </w:r>
          </w:p>
        </w:tc>
        <w:tc>
          <w:tcPr>
            <w:tcW w:w="1535" w:type="dxa"/>
          </w:tcPr>
          <w:p w14:paraId="358A27B8" w14:textId="2FD925D5" w:rsidR="00C220C7" w:rsidRPr="00F31408" w:rsidRDefault="00C220C7" w:rsidP="00C220C7">
            <w:pPr>
              <w:rPr>
                <w:rFonts w:cs="Arial"/>
              </w:rPr>
            </w:pPr>
            <w:r w:rsidRPr="00F31408">
              <w:rPr>
                <w:rFonts w:cs="Arial"/>
              </w:rPr>
              <w:t>-</w:t>
            </w:r>
          </w:p>
        </w:tc>
      </w:tr>
      <w:tr w:rsidR="00C220C7" w14:paraId="29E3528B" w14:textId="77777777" w:rsidTr="00F31408">
        <w:tc>
          <w:tcPr>
            <w:tcW w:w="2177" w:type="dxa"/>
            <w:vMerge/>
          </w:tcPr>
          <w:p w14:paraId="196FAE44" w14:textId="77777777" w:rsidR="00C220C7" w:rsidRPr="00F31408" w:rsidRDefault="00C220C7" w:rsidP="00C220C7">
            <w:pPr>
              <w:rPr>
                <w:rFonts w:cs="Arial"/>
              </w:rPr>
            </w:pPr>
          </w:p>
        </w:tc>
        <w:tc>
          <w:tcPr>
            <w:tcW w:w="2790" w:type="dxa"/>
            <w:vAlign w:val="bottom"/>
          </w:tcPr>
          <w:p w14:paraId="6C7D330D" w14:textId="388D2D9A" w:rsidR="00C220C7" w:rsidRPr="00F31408" w:rsidRDefault="00C220C7" w:rsidP="00C220C7">
            <w:pPr>
              <w:rPr>
                <w:rFonts w:cs="Arial"/>
              </w:rPr>
            </w:pPr>
            <w:r w:rsidRPr="00F31408">
              <w:rPr>
                <w:rFonts w:cs="Arial"/>
              </w:rPr>
              <w:t>Хипохлориемия</w:t>
            </w:r>
          </w:p>
        </w:tc>
        <w:tc>
          <w:tcPr>
            <w:tcW w:w="1536" w:type="dxa"/>
          </w:tcPr>
          <w:p w14:paraId="1A1C7D73" w14:textId="1B1B42E4" w:rsidR="00C220C7" w:rsidRPr="00F31408" w:rsidRDefault="00C220C7" w:rsidP="00C220C7">
            <w:pPr>
              <w:rPr>
                <w:rFonts w:cs="Arial"/>
              </w:rPr>
            </w:pPr>
            <w:r w:rsidRPr="00F31408">
              <w:rPr>
                <w:rFonts w:cs="Arial"/>
              </w:rPr>
              <w:t>-</w:t>
            </w:r>
          </w:p>
        </w:tc>
        <w:tc>
          <w:tcPr>
            <w:tcW w:w="1312" w:type="dxa"/>
            <w:vAlign w:val="bottom"/>
          </w:tcPr>
          <w:p w14:paraId="520564D7" w14:textId="7FE1E56A" w:rsidR="00C220C7" w:rsidRPr="00F31408" w:rsidRDefault="00C220C7" w:rsidP="00C220C7">
            <w:pPr>
              <w:rPr>
                <w:rFonts w:cs="Arial"/>
              </w:rPr>
            </w:pPr>
            <w:r w:rsidRPr="00F31408">
              <w:rPr>
                <w:rFonts w:cs="Arial"/>
              </w:rPr>
              <w:t>Редки</w:t>
            </w:r>
          </w:p>
        </w:tc>
        <w:tc>
          <w:tcPr>
            <w:tcW w:w="1535" w:type="dxa"/>
          </w:tcPr>
          <w:p w14:paraId="33FA718F" w14:textId="182B0361" w:rsidR="00C220C7" w:rsidRPr="00F31408" w:rsidRDefault="00C220C7" w:rsidP="00C220C7">
            <w:pPr>
              <w:rPr>
                <w:rFonts w:cs="Arial"/>
              </w:rPr>
            </w:pPr>
            <w:r w:rsidRPr="00F31408">
              <w:rPr>
                <w:rFonts w:cs="Arial"/>
              </w:rPr>
              <w:t>-</w:t>
            </w:r>
          </w:p>
        </w:tc>
      </w:tr>
      <w:tr w:rsidR="00C220C7" w14:paraId="106DEB57" w14:textId="77777777" w:rsidTr="00F31408">
        <w:tc>
          <w:tcPr>
            <w:tcW w:w="2177" w:type="dxa"/>
            <w:vMerge/>
          </w:tcPr>
          <w:p w14:paraId="10E25EF0" w14:textId="77777777" w:rsidR="00C220C7" w:rsidRPr="00F31408" w:rsidRDefault="00C220C7" w:rsidP="00C220C7">
            <w:pPr>
              <w:rPr>
                <w:rFonts w:cs="Arial"/>
              </w:rPr>
            </w:pPr>
          </w:p>
        </w:tc>
        <w:tc>
          <w:tcPr>
            <w:tcW w:w="2790" w:type="dxa"/>
          </w:tcPr>
          <w:p w14:paraId="5760D8C1" w14:textId="452D5B0F" w:rsidR="00C220C7" w:rsidRPr="00F31408" w:rsidRDefault="00C220C7" w:rsidP="00C220C7">
            <w:pPr>
              <w:rPr>
                <w:rFonts w:cs="Arial"/>
              </w:rPr>
            </w:pPr>
            <w:r w:rsidRPr="00F31408">
              <w:rPr>
                <w:rFonts w:cs="Arial"/>
              </w:rPr>
              <w:t>Хипомагнезиемия</w:t>
            </w:r>
          </w:p>
        </w:tc>
        <w:tc>
          <w:tcPr>
            <w:tcW w:w="1536" w:type="dxa"/>
            <w:vAlign w:val="center"/>
          </w:tcPr>
          <w:p w14:paraId="39684D77" w14:textId="780B187A" w:rsidR="00C220C7" w:rsidRPr="00F31408" w:rsidRDefault="00C220C7" w:rsidP="00C220C7">
            <w:pPr>
              <w:rPr>
                <w:rFonts w:cs="Arial"/>
              </w:rPr>
            </w:pPr>
            <w:r w:rsidRPr="00F31408">
              <w:rPr>
                <w:rFonts w:cs="Arial"/>
              </w:rPr>
              <w:t>-</w:t>
            </w:r>
          </w:p>
        </w:tc>
        <w:tc>
          <w:tcPr>
            <w:tcW w:w="1312" w:type="dxa"/>
          </w:tcPr>
          <w:p w14:paraId="7170908A" w14:textId="5CB6EBD7" w:rsidR="00C220C7" w:rsidRPr="00F31408" w:rsidRDefault="00C220C7" w:rsidP="00C220C7">
            <w:pPr>
              <w:rPr>
                <w:rFonts w:cs="Arial"/>
              </w:rPr>
            </w:pPr>
            <w:r w:rsidRPr="00F31408">
              <w:rPr>
                <w:rFonts w:cs="Arial"/>
              </w:rPr>
              <w:t>Редки</w:t>
            </w:r>
          </w:p>
        </w:tc>
        <w:tc>
          <w:tcPr>
            <w:tcW w:w="1535" w:type="dxa"/>
          </w:tcPr>
          <w:p w14:paraId="0665F4D3" w14:textId="70828A1E" w:rsidR="00C220C7" w:rsidRPr="00F31408" w:rsidRDefault="00C220C7" w:rsidP="00C220C7">
            <w:pPr>
              <w:rPr>
                <w:rFonts w:cs="Arial"/>
              </w:rPr>
            </w:pPr>
            <w:r w:rsidRPr="00F31408">
              <w:rPr>
                <w:rFonts w:cs="Arial"/>
              </w:rPr>
              <w:t>-</w:t>
            </w:r>
          </w:p>
        </w:tc>
      </w:tr>
      <w:tr w:rsidR="00C220C7" w14:paraId="0E03CB61" w14:textId="77777777" w:rsidTr="00F31408">
        <w:tc>
          <w:tcPr>
            <w:tcW w:w="2177" w:type="dxa"/>
            <w:vMerge w:val="restart"/>
          </w:tcPr>
          <w:p w14:paraId="63EA3448" w14:textId="10BB2B16" w:rsidR="00C220C7" w:rsidRPr="00F31408" w:rsidRDefault="00C220C7" w:rsidP="00C220C7">
            <w:pPr>
              <w:rPr>
                <w:rFonts w:cs="Arial"/>
              </w:rPr>
            </w:pPr>
            <w:r w:rsidRPr="00F31408">
              <w:rPr>
                <w:rFonts w:cs="Arial"/>
                <w:b/>
                <w:bCs/>
              </w:rPr>
              <w:t>Психични нарушения</w:t>
            </w:r>
          </w:p>
        </w:tc>
        <w:tc>
          <w:tcPr>
            <w:tcW w:w="2790" w:type="dxa"/>
          </w:tcPr>
          <w:p w14:paraId="2AE49988" w14:textId="1332AFB3" w:rsidR="00C220C7" w:rsidRPr="00F31408" w:rsidRDefault="00C220C7" w:rsidP="00C220C7">
            <w:pPr>
              <w:rPr>
                <w:rFonts w:cs="Arial"/>
              </w:rPr>
            </w:pPr>
            <w:r w:rsidRPr="00F31408">
              <w:rPr>
                <w:rFonts w:cs="Arial"/>
              </w:rPr>
              <w:t>Промяна на настроението</w:t>
            </w:r>
          </w:p>
        </w:tc>
        <w:tc>
          <w:tcPr>
            <w:tcW w:w="1536" w:type="dxa"/>
          </w:tcPr>
          <w:p w14:paraId="1EE2B50C" w14:textId="1A8B32E8" w:rsidR="00C220C7" w:rsidRPr="00F31408" w:rsidRDefault="00C220C7" w:rsidP="00C220C7">
            <w:pPr>
              <w:rPr>
                <w:rFonts w:cs="Arial"/>
              </w:rPr>
            </w:pPr>
            <w:r w:rsidRPr="00F31408">
              <w:rPr>
                <w:rFonts w:cs="Arial"/>
              </w:rPr>
              <w:t>Нечести</w:t>
            </w:r>
          </w:p>
        </w:tc>
        <w:tc>
          <w:tcPr>
            <w:tcW w:w="1312" w:type="dxa"/>
          </w:tcPr>
          <w:p w14:paraId="7A486180" w14:textId="287A36AA" w:rsidR="00C220C7" w:rsidRPr="00F31408" w:rsidRDefault="00C220C7" w:rsidP="00C220C7">
            <w:pPr>
              <w:rPr>
                <w:rFonts w:cs="Arial"/>
              </w:rPr>
            </w:pPr>
            <w:r w:rsidRPr="00F31408">
              <w:rPr>
                <w:rFonts w:cs="Arial"/>
              </w:rPr>
              <w:t>-</w:t>
            </w:r>
          </w:p>
        </w:tc>
        <w:tc>
          <w:tcPr>
            <w:tcW w:w="1535" w:type="dxa"/>
            <w:vAlign w:val="center"/>
          </w:tcPr>
          <w:p w14:paraId="45D16B07" w14:textId="692CAFB1" w:rsidR="00C220C7" w:rsidRPr="00F31408" w:rsidRDefault="00C220C7" w:rsidP="00C220C7">
            <w:pPr>
              <w:rPr>
                <w:rFonts w:cs="Arial"/>
              </w:rPr>
            </w:pPr>
            <w:r w:rsidRPr="00F31408">
              <w:rPr>
                <w:rFonts w:cs="Arial"/>
              </w:rPr>
              <w:t>-</w:t>
            </w:r>
          </w:p>
        </w:tc>
      </w:tr>
      <w:tr w:rsidR="00C220C7" w14:paraId="34F6FB2C" w14:textId="77777777" w:rsidTr="00F31408">
        <w:tc>
          <w:tcPr>
            <w:tcW w:w="2177" w:type="dxa"/>
            <w:vMerge/>
          </w:tcPr>
          <w:p w14:paraId="429E07ED" w14:textId="77777777" w:rsidR="00C220C7" w:rsidRPr="00F31408" w:rsidRDefault="00C220C7" w:rsidP="00C220C7">
            <w:pPr>
              <w:rPr>
                <w:rFonts w:cs="Arial"/>
              </w:rPr>
            </w:pPr>
          </w:p>
        </w:tc>
        <w:tc>
          <w:tcPr>
            <w:tcW w:w="2790" w:type="dxa"/>
            <w:vAlign w:val="center"/>
          </w:tcPr>
          <w:p w14:paraId="43A2F813" w14:textId="725D0917" w:rsidR="00C220C7" w:rsidRPr="00F31408" w:rsidRDefault="00C220C7" w:rsidP="00C220C7">
            <w:pPr>
              <w:rPr>
                <w:rFonts w:cs="Arial"/>
              </w:rPr>
            </w:pPr>
            <w:r w:rsidRPr="00F31408">
              <w:rPr>
                <w:rFonts w:cs="Arial"/>
              </w:rPr>
              <w:t>Разстройство на съня</w:t>
            </w:r>
          </w:p>
        </w:tc>
        <w:tc>
          <w:tcPr>
            <w:tcW w:w="1536" w:type="dxa"/>
            <w:vAlign w:val="center"/>
          </w:tcPr>
          <w:p w14:paraId="5E13B6BC" w14:textId="7632B7DB" w:rsidR="00C220C7" w:rsidRPr="00F31408" w:rsidRDefault="00C220C7" w:rsidP="00C220C7">
            <w:pPr>
              <w:rPr>
                <w:rFonts w:cs="Arial"/>
              </w:rPr>
            </w:pPr>
            <w:r w:rsidRPr="00F31408">
              <w:rPr>
                <w:rFonts w:cs="Arial"/>
              </w:rPr>
              <w:t>Нечести</w:t>
            </w:r>
          </w:p>
        </w:tc>
        <w:tc>
          <w:tcPr>
            <w:tcW w:w="1312" w:type="dxa"/>
          </w:tcPr>
          <w:p w14:paraId="35562F3A" w14:textId="12C43A2F" w:rsidR="00C220C7" w:rsidRPr="00F31408" w:rsidRDefault="00C220C7" w:rsidP="00C220C7">
            <w:pPr>
              <w:rPr>
                <w:rFonts w:cs="Arial"/>
              </w:rPr>
            </w:pPr>
            <w:r w:rsidRPr="00F31408">
              <w:rPr>
                <w:rFonts w:cs="Arial"/>
              </w:rPr>
              <w:t>-</w:t>
            </w:r>
          </w:p>
        </w:tc>
        <w:tc>
          <w:tcPr>
            <w:tcW w:w="1535" w:type="dxa"/>
          </w:tcPr>
          <w:p w14:paraId="465E913F" w14:textId="0CF8C6AA" w:rsidR="00C220C7" w:rsidRPr="00F31408" w:rsidRDefault="00C220C7" w:rsidP="00C220C7">
            <w:pPr>
              <w:rPr>
                <w:rFonts w:cs="Arial"/>
              </w:rPr>
            </w:pPr>
            <w:r w:rsidRPr="00F31408">
              <w:rPr>
                <w:rFonts w:cs="Arial"/>
              </w:rPr>
              <w:t>С неизвестна честота</w:t>
            </w:r>
          </w:p>
        </w:tc>
      </w:tr>
      <w:tr w:rsidR="00C220C7" w14:paraId="3B3BFBC3" w14:textId="77777777" w:rsidTr="00F31408">
        <w:tc>
          <w:tcPr>
            <w:tcW w:w="2177" w:type="dxa"/>
            <w:vMerge/>
          </w:tcPr>
          <w:p w14:paraId="020EA64C" w14:textId="77777777" w:rsidR="00C220C7" w:rsidRPr="00F31408" w:rsidRDefault="00C220C7" w:rsidP="00C220C7">
            <w:pPr>
              <w:rPr>
                <w:rFonts w:cs="Arial"/>
              </w:rPr>
            </w:pPr>
          </w:p>
        </w:tc>
        <w:tc>
          <w:tcPr>
            <w:tcW w:w="2790" w:type="dxa"/>
            <w:vAlign w:val="bottom"/>
          </w:tcPr>
          <w:p w14:paraId="070E66E3" w14:textId="3EEA13F7" w:rsidR="00C220C7" w:rsidRPr="00F31408" w:rsidRDefault="00C220C7" w:rsidP="00C220C7">
            <w:pPr>
              <w:rPr>
                <w:rFonts w:cs="Arial"/>
              </w:rPr>
            </w:pPr>
            <w:r w:rsidRPr="00F31408">
              <w:rPr>
                <w:rFonts w:cs="Arial"/>
              </w:rPr>
              <w:t>Объркване</w:t>
            </w:r>
          </w:p>
        </w:tc>
        <w:tc>
          <w:tcPr>
            <w:tcW w:w="1536" w:type="dxa"/>
            <w:vAlign w:val="bottom"/>
          </w:tcPr>
          <w:p w14:paraId="4E8DCB90" w14:textId="350CCB04" w:rsidR="00C220C7" w:rsidRPr="00F31408" w:rsidRDefault="00C220C7" w:rsidP="00C220C7">
            <w:pPr>
              <w:rPr>
                <w:rFonts w:cs="Arial"/>
              </w:rPr>
            </w:pPr>
            <w:r w:rsidRPr="00F31408">
              <w:rPr>
                <w:rFonts w:cs="Arial"/>
              </w:rPr>
              <w:t>Много редки</w:t>
            </w:r>
          </w:p>
        </w:tc>
        <w:tc>
          <w:tcPr>
            <w:tcW w:w="1312" w:type="dxa"/>
            <w:vAlign w:val="center"/>
          </w:tcPr>
          <w:p w14:paraId="30C72D85" w14:textId="46D51B97" w:rsidR="00C220C7" w:rsidRPr="00F31408" w:rsidRDefault="00C220C7" w:rsidP="00C220C7">
            <w:pPr>
              <w:rPr>
                <w:rFonts w:cs="Arial"/>
              </w:rPr>
            </w:pPr>
            <w:r w:rsidRPr="00F31408">
              <w:rPr>
                <w:rFonts w:cs="Arial"/>
              </w:rPr>
              <w:t>-</w:t>
            </w:r>
          </w:p>
        </w:tc>
        <w:tc>
          <w:tcPr>
            <w:tcW w:w="1535" w:type="dxa"/>
          </w:tcPr>
          <w:p w14:paraId="642A062E" w14:textId="77777777" w:rsidR="00C220C7" w:rsidRPr="00F31408" w:rsidRDefault="00C220C7" w:rsidP="00C220C7">
            <w:pPr>
              <w:rPr>
                <w:rFonts w:cs="Arial"/>
              </w:rPr>
            </w:pPr>
          </w:p>
        </w:tc>
      </w:tr>
      <w:tr w:rsidR="00C220C7" w14:paraId="7F951CD5" w14:textId="77777777" w:rsidTr="00F31408">
        <w:tc>
          <w:tcPr>
            <w:tcW w:w="2177" w:type="dxa"/>
            <w:vMerge/>
          </w:tcPr>
          <w:p w14:paraId="073634A5" w14:textId="77777777" w:rsidR="00C220C7" w:rsidRPr="00F31408" w:rsidRDefault="00C220C7" w:rsidP="00C220C7">
            <w:pPr>
              <w:rPr>
                <w:rFonts w:cs="Arial"/>
              </w:rPr>
            </w:pPr>
          </w:p>
        </w:tc>
        <w:tc>
          <w:tcPr>
            <w:tcW w:w="2790" w:type="dxa"/>
            <w:vAlign w:val="center"/>
          </w:tcPr>
          <w:p w14:paraId="458E5863" w14:textId="7890401A" w:rsidR="00C220C7" w:rsidRPr="00F31408" w:rsidRDefault="00C220C7" w:rsidP="00C220C7">
            <w:pPr>
              <w:rPr>
                <w:rFonts w:cs="Arial"/>
              </w:rPr>
            </w:pPr>
            <w:r w:rsidRPr="00F31408">
              <w:rPr>
                <w:rFonts w:cs="Arial"/>
              </w:rPr>
              <w:t>Депресия</w:t>
            </w:r>
          </w:p>
        </w:tc>
        <w:tc>
          <w:tcPr>
            <w:tcW w:w="1536" w:type="dxa"/>
            <w:vAlign w:val="center"/>
          </w:tcPr>
          <w:p w14:paraId="00E19B85" w14:textId="50F813E4" w:rsidR="00C220C7" w:rsidRPr="00F31408" w:rsidRDefault="00C220C7" w:rsidP="00C220C7">
            <w:pPr>
              <w:rPr>
                <w:rFonts w:cs="Arial"/>
              </w:rPr>
            </w:pPr>
            <w:r w:rsidRPr="00F31408">
              <w:rPr>
                <w:rFonts w:cs="Arial"/>
              </w:rPr>
              <w:t>Нечести</w:t>
            </w:r>
          </w:p>
        </w:tc>
        <w:tc>
          <w:tcPr>
            <w:tcW w:w="1312" w:type="dxa"/>
          </w:tcPr>
          <w:p w14:paraId="6A17F0B7" w14:textId="738FE78E" w:rsidR="00C220C7" w:rsidRPr="00F31408" w:rsidRDefault="00C220C7" w:rsidP="00C220C7">
            <w:pPr>
              <w:rPr>
                <w:rFonts w:cs="Arial"/>
              </w:rPr>
            </w:pPr>
            <w:r w:rsidRPr="00F31408">
              <w:rPr>
                <w:rFonts w:cs="Arial"/>
              </w:rPr>
              <w:t>-</w:t>
            </w:r>
          </w:p>
        </w:tc>
        <w:tc>
          <w:tcPr>
            <w:tcW w:w="1535" w:type="dxa"/>
          </w:tcPr>
          <w:p w14:paraId="337A8D8D" w14:textId="581FE1C7" w:rsidR="00C220C7" w:rsidRPr="00F31408" w:rsidRDefault="00C220C7" w:rsidP="00C220C7">
            <w:pPr>
              <w:rPr>
                <w:rFonts w:cs="Arial"/>
              </w:rPr>
            </w:pPr>
            <w:r w:rsidRPr="00F31408">
              <w:rPr>
                <w:rFonts w:cs="Arial"/>
              </w:rPr>
              <w:t>С неизвестна честота</w:t>
            </w:r>
          </w:p>
        </w:tc>
      </w:tr>
      <w:tr w:rsidR="00C220C7" w14:paraId="1CE16DEE" w14:textId="77777777" w:rsidTr="00F31408">
        <w:tc>
          <w:tcPr>
            <w:tcW w:w="2177" w:type="dxa"/>
            <w:vMerge w:val="restart"/>
          </w:tcPr>
          <w:p w14:paraId="16800394" w14:textId="42A30216" w:rsidR="00C220C7" w:rsidRPr="00F31408" w:rsidRDefault="00C220C7" w:rsidP="00C220C7">
            <w:pPr>
              <w:rPr>
                <w:rFonts w:cs="Arial"/>
              </w:rPr>
            </w:pPr>
            <w:r w:rsidRPr="00F31408">
              <w:rPr>
                <w:rFonts w:cs="Arial"/>
                <w:b/>
                <w:bCs/>
              </w:rPr>
              <w:t>Нарушения на нервната система</w:t>
            </w:r>
          </w:p>
        </w:tc>
        <w:tc>
          <w:tcPr>
            <w:tcW w:w="2790" w:type="dxa"/>
          </w:tcPr>
          <w:p w14:paraId="48160355" w14:textId="70281EB8" w:rsidR="00C220C7" w:rsidRPr="00F31408" w:rsidRDefault="00C220C7" w:rsidP="00C220C7">
            <w:pPr>
              <w:rPr>
                <w:rFonts w:cs="Arial"/>
              </w:rPr>
            </w:pPr>
            <w:r w:rsidRPr="00F31408">
              <w:rPr>
                <w:rFonts w:cs="Arial"/>
              </w:rPr>
              <w:t>Замаяност</w:t>
            </w:r>
          </w:p>
        </w:tc>
        <w:tc>
          <w:tcPr>
            <w:tcW w:w="1536" w:type="dxa"/>
          </w:tcPr>
          <w:p w14:paraId="0F8AA10F" w14:textId="4E2F7706" w:rsidR="00C220C7" w:rsidRPr="00F31408" w:rsidRDefault="00C220C7" w:rsidP="00C220C7">
            <w:pPr>
              <w:rPr>
                <w:rFonts w:cs="Arial"/>
              </w:rPr>
            </w:pPr>
            <w:r w:rsidRPr="00F31408">
              <w:rPr>
                <w:rFonts w:cs="Arial"/>
              </w:rPr>
              <w:t>Чести</w:t>
            </w:r>
          </w:p>
        </w:tc>
        <w:tc>
          <w:tcPr>
            <w:tcW w:w="1312" w:type="dxa"/>
          </w:tcPr>
          <w:p w14:paraId="5451735F" w14:textId="0DF5F687" w:rsidR="00C220C7" w:rsidRPr="00F31408" w:rsidRDefault="00C220C7" w:rsidP="00C220C7">
            <w:pPr>
              <w:rPr>
                <w:rFonts w:cs="Arial"/>
              </w:rPr>
            </w:pPr>
            <w:r w:rsidRPr="00F31408">
              <w:rPr>
                <w:rFonts w:cs="Arial"/>
              </w:rPr>
              <w:t>-</w:t>
            </w:r>
          </w:p>
        </w:tc>
        <w:tc>
          <w:tcPr>
            <w:tcW w:w="1535" w:type="dxa"/>
          </w:tcPr>
          <w:p w14:paraId="53C3E2D2" w14:textId="2FFF4840" w:rsidR="00C220C7" w:rsidRPr="00F31408" w:rsidRDefault="00C220C7" w:rsidP="00C220C7">
            <w:pPr>
              <w:rPr>
                <w:rFonts w:cs="Arial"/>
              </w:rPr>
            </w:pPr>
            <w:r w:rsidRPr="00F31408">
              <w:rPr>
                <w:rFonts w:cs="Arial"/>
              </w:rPr>
              <w:t>Чести</w:t>
            </w:r>
          </w:p>
        </w:tc>
      </w:tr>
      <w:tr w:rsidR="00C220C7" w14:paraId="28CB4B0C" w14:textId="77777777" w:rsidTr="00F31408">
        <w:tc>
          <w:tcPr>
            <w:tcW w:w="2177" w:type="dxa"/>
            <w:vMerge/>
          </w:tcPr>
          <w:p w14:paraId="0F42FC8F" w14:textId="77777777" w:rsidR="00C220C7" w:rsidRPr="00F31408" w:rsidRDefault="00C220C7" w:rsidP="00C220C7">
            <w:pPr>
              <w:rPr>
                <w:rFonts w:cs="Arial"/>
              </w:rPr>
            </w:pPr>
          </w:p>
        </w:tc>
        <w:tc>
          <w:tcPr>
            <w:tcW w:w="2790" w:type="dxa"/>
            <w:vAlign w:val="bottom"/>
          </w:tcPr>
          <w:p w14:paraId="17DFBD2A" w14:textId="6F83835B" w:rsidR="00C220C7" w:rsidRPr="00F31408" w:rsidRDefault="00C220C7" w:rsidP="00C220C7">
            <w:pPr>
              <w:rPr>
                <w:rFonts w:cs="Arial"/>
              </w:rPr>
            </w:pPr>
            <w:r w:rsidRPr="00F31408">
              <w:rPr>
                <w:rFonts w:cs="Arial"/>
              </w:rPr>
              <w:t>Главоболие</w:t>
            </w:r>
          </w:p>
        </w:tc>
        <w:tc>
          <w:tcPr>
            <w:tcW w:w="1536" w:type="dxa"/>
            <w:vAlign w:val="bottom"/>
          </w:tcPr>
          <w:p w14:paraId="7D68A51C" w14:textId="23533E89" w:rsidR="00C220C7" w:rsidRPr="00F31408" w:rsidRDefault="00C220C7" w:rsidP="00C220C7">
            <w:pPr>
              <w:rPr>
                <w:rFonts w:cs="Arial"/>
              </w:rPr>
            </w:pPr>
            <w:r w:rsidRPr="00F31408">
              <w:rPr>
                <w:rFonts w:cs="Arial"/>
              </w:rPr>
              <w:t>Чести</w:t>
            </w:r>
          </w:p>
        </w:tc>
        <w:tc>
          <w:tcPr>
            <w:tcW w:w="1312" w:type="dxa"/>
            <w:vAlign w:val="bottom"/>
          </w:tcPr>
          <w:p w14:paraId="32930D7F" w14:textId="4B92C6A4" w:rsidR="00C220C7" w:rsidRPr="00F31408" w:rsidRDefault="00C220C7" w:rsidP="00C220C7">
            <w:pPr>
              <w:rPr>
                <w:rFonts w:cs="Arial"/>
              </w:rPr>
            </w:pPr>
            <w:r w:rsidRPr="00F31408">
              <w:rPr>
                <w:rFonts w:cs="Arial"/>
              </w:rPr>
              <w:t>Редки</w:t>
            </w:r>
          </w:p>
        </w:tc>
        <w:tc>
          <w:tcPr>
            <w:tcW w:w="1535" w:type="dxa"/>
            <w:vAlign w:val="bottom"/>
          </w:tcPr>
          <w:p w14:paraId="4E799162" w14:textId="58DB563F" w:rsidR="00C220C7" w:rsidRPr="00F31408" w:rsidRDefault="00C220C7" w:rsidP="00C220C7">
            <w:pPr>
              <w:rPr>
                <w:rFonts w:cs="Arial"/>
              </w:rPr>
            </w:pPr>
            <w:r w:rsidRPr="00F31408">
              <w:rPr>
                <w:rFonts w:cs="Arial"/>
              </w:rPr>
              <w:t>Чести</w:t>
            </w:r>
          </w:p>
        </w:tc>
      </w:tr>
      <w:tr w:rsidR="00C220C7" w14:paraId="4FE693D5" w14:textId="77777777" w:rsidTr="00F31408">
        <w:tc>
          <w:tcPr>
            <w:tcW w:w="2177" w:type="dxa"/>
            <w:vMerge/>
          </w:tcPr>
          <w:p w14:paraId="1A0ADB29" w14:textId="77777777" w:rsidR="00C220C7" w:rsidRPr="00F31408" w:rsidRDefault="00C220C7" w:rsidP="00C220C7">
            <w:pPr>
              <w:rPr>
                <w:rFonts w:cs="Arial"/>
              </w:rPr>
            </w:pPr>
          </w:p>
        </w:tc>
        <w:tc>
          <w:tcPr>
            <w:tcW w:w="2790" w:type="dxa"/>
            <w:vAlign w:val="bottom"/>
          </w:tcPr>
          <w:p w14:paraId="2D867888" w14:textId="71889277" w:rsidR="00C220C7" w:rsidRPr="00F31408" w:rsidRDefault="00C220C7" w:rsidP="00C220C7">
            <w:pPr>
              <w:rPr>
                <w:rFonts w:cs="Arial"/>
              </w:rPr>
            </w:pPr>
            <w:r w:rsidRPr="00F31408">
              <w:rPr>
                <w:rFonts w:cs="Arial"/>
              </w:rPr>
              <w:t>Парестезия</w:t>
            </w:r>
          </w:p>
        </w:tc>
        <w:tc>
          <w:tcPr>
            <w:tcW w:w="1536" w:type="dxa"/>
            <w:vAlign w:val="bottom"/>
          </w:tcPr>
          <w:p w14:paraId="1ACABB92" w14:textId="1F67C86F" w:rsidR="00C220C7" w:rsidRPr="00F31408" w:rsidRDefault="00C220C7" w:rsidP="00C220C7">
            <w:pPr>
              <w:rPr>
                <w:rFonts w:cs="Arial"/>
              </w:rPr>
            </w:pPr>
            <w:r w:rsidRPr="00F31408">
              <w:rPr>
                <w:rFonts w:cs="Arial"/>
              </w:rPr>
              <w:t>Чести</w:t>
            </w:r>
          </w:p>
        </w:tc>
        <w:tc>
          <w:tcPr>
            <w:tcW w:w="1312" w:type="dxa"/>
            <w:vAlign w:val="bottom"/>
          </w:tcPr>
          <w:p w14:paraId="6E8A926C" w14:textId="6B80FEB2" w:rsidR="00C220C7" w:rsidRPr="00F31408" w:rsidRDefault="00C220C7" w:rsidP="00C220C7">
            <w:pPr>
              <w:rPr>
                <w:rFonts w:cs="Arial"/>
              </w:rPr>
            </w:pPr>
            <w:r w:rsidRPr="00F31408">
              <w:rPr>
                <w:rFonts w:cs="Arial"/>
              </w:rPr>
              <w:t>Редки</w:t>
            </w:r>
          </w:p>
        </w:tc>
        <w:tc>
          <w:tcPr>
            <w:tcW w:w="1535" w:type="dxa"/>
          </w:tcPr>
          <w:p w14:paraId="552036E3" w14:textId="77777777" w:rsidR="00C220C7" w:rsidRPr="00F31408" w:rsidRDefault="00C220C7" w:rsidP="00C220C7">
            <w:pPr>
              <w:rPr>
                <w:rFonts w:cs="Arial"/>
              </w:rPr>
            </w:pPr>
          </w:p>
        </w:tc>
      </w:tr>
      <w:tr w:rsidR="00C220C7" w14:paraId="724E3C5C" w14:textId="77777777" w:rsidTr="00F31408">
        <w:tc>
          <w:tcPr>
            <w:tcW w:w="2177" w:type="dxa"/>
            <w:vMerge/>
          </w:tcPr>
          <w:p w14:paraId="5BC22566" w14:textId="77777777" w:rsidR="00C220C7" w:rsidRPr="00F31408" w:rsidRDefault="00C220C7" w:rsidP="00C220C7">
            <w:pPr>
              <w:rPr>
                <w:rFonts w:cs="Arial"/>
              </w:rPr>
            </w:pPr>
          </w:p>
        </w:tc>
        <w:tc>
          <w:tcPr>
            <w:tcW w:w="2790" w:type="dxa"/>
          </w:tcPr>
          <w:p w14:paraId="42219DC9" w14:textId="4EB7F198" w:rsidR="00C220C7" w:rsidRPr="00F31408" w:rsidRDefault="00C220C7" w:rsidP="00C220C7">
            <w:pPr>
              <w:rPr>
                <w:rFonts w:cs="Arial"/>
              </w:rPr>
            </w:pPr>
            <w:r w:rsidRPr="00F31408">
              <w:rPr>
                <w:rFonts w:cs="Arial"/>
              </w:rPr>
              <w:t>Дисгеузия</w:t>
            </w:r>
          </w:p>
        </w:tc>
        <w:tc>
          <w:tcPr>
            <w:tcW w:w="1536" w:type="dxa"/>
          </w:tcPr>
          <w:p w14:paraId="1EAEF8CB" w14:textId="01BC22AC" w:rsidR="00C220C7" w:rsidRPr="00F31408" w:rsidRDefault="00C220C7" w:rsidP="00C220C7">
            <w:pPr>
              <w:rPr>
                <w:rFonts w:cs="Arial"/>
              </w:rPr>
            </w:pPr>
            <w:r w:rsidRPr="00F31408">
              <w:rPr>
                <w:rFonts w:cs="Arial"/>
              </w:rPr>
              <w:t>Чести</w:t>
            </w:r>
          </w:p>
        </w:tc>
        <w:tc>
          <w:tcPr>
            <w:tcW w:w="1312" w:type="dxa"/>
            <w:vAlign w:val="center"/>
          </w:tcPr>
          <w:p w14:paraId="398B563E" w14:textId="298ADAC8" w:rsidR="00C220C7" w:rsidRPr="00F31408" w:rsidRDefault="00C220C7" w:rsidP="00C220C7">
            <w:pPr>
              <w:rPr>
                <w:rFonts w:cs="Arial"/>
              </w:rPr>
            </w:pPr>
            <w:r w:rsidRPr="00F31408">
              <w:rPr>
                <w:rFonts w:cs="Arial"/>
              </w:rPr>
              <w:t>-</w:t>
            </w:r>
          </w:p>
        </w:tc>
        <w:tc>
          <w:tcPr>
            <w:tcW w:w="1535" w:type="dxa"/>
          </w:tcPr>
          <w:p w14:paraId="317861D7" w14:textId="77777777" w:rsidR="00C220C7" w:rsidRPr="00F31408" w:rsidRDefault="00C220C7" w:rsidP="00C220C7">
            <w:pPr>
              <w:rPr>
                <w:rFonts w:cs="Arial"/>
              </w:rPr>
            </w:pPr>
          </w:p>
        </w:tc>
      </w:tr>
      <w:tr w:rsidR="00C220C7" w14:paraId="2281C642" w14:textId="77777777" w:rsidTr="00F31408">
        <w:tc>
          <w:tcPr>
            <w:tcW w:w="2177" w:type="dxa"/>
            <w:vMerge/>
          </w:tcPr>
          <w:p w14:paraId="3E6E8BA9" w14:textId="77777777" w:rsidR="00C220C7" w:rsidRPr="00F31408" w:rsidRDefault="00C220C7" w:rsidP="00C220C7">
            <w:pPr>
              <w:rPr>
                <w:rFonts w:cs="Arial"/>
              </w:rPr>
            </w:pPr>
          </w:p>
        </w:tc>
        <w:tc>
          <w:tcPr>
            <w:tcW w:w="2790" w:type="dxa"/>
            <w:vAlign w:val="center"/>
          </w:tcPr>
          <w:p w14:paraId="31F09E26" w14:textId="4EF7EA46" w:rsidR="00C220C7" w:rsidRPr="00F31408" w:rsidRDefault="00C220C7" w:rsidP="00C220C7">
            <w:pPr>
              <w:rPr>
                <w:rFonts w:cs="Arial"/>
              </w:rPr>
            </w:pPr>
            <w:r w:rsidRPr="00F31408">
              <w:rPr>
                <w:rFonts w:cs="Arial"/>
              </w:rPr>
              <w:t>Сънливост</w:t>
            </w:r>
          </w:p>
        </w:tc>
        <w:tc>
          <w:tcPr>
            <w:tcW w:w="1536" w:type="dxa"/>
            <w:vAlign w:val="center"/>
          </w:tcPr>
          <w:p w14:paraId="76EFE3C7" w14:textId="17E35214" w:rsidR="00C220C7" w:rsidRPr="00F31408" w:rsidRDefault="00C220C7" w:rsidP="00C220C7">
            <w:pPr>
              <w:rPr>
                <w:rFonts w:cs="Arial"/>
              </w:rPr>
            </w:pPr>
            <w:r w:rsidRPr="00F31408">
              <w:rPr>
                <w:rFonts w:cs="Arial"/>
              </w:rPr>
              <w:t>Нечести*</w:t>
            </w:r>
          </w:p>
        </w:tc>
        <w:tc>
          <w:tcPr>
            <w:tcW w:w="1312" w:type="dxa"/>
            <w:vAlign w:val="center"/>
          </w:tcPr>
          <w:p w14:paraId="6C025089" w14:textId="06D08A28" w:rsidR="00C220C7" w:rsidRPr="00F31408" w:rsidRDefault="00C220C7" w:rsidP="00C220C7">
            <w:pPr>
              <w:rPr>
                <w:rFonts w:cs="Arial"/>
              </w:rPr>
            </w:pPr>
            <w:r w:rsidRPr="00F31408">
              <w:rPr>
                <w:rFonts w:cs="Arial"/>
              </w:rPr>
              <w:t>-</w:t>
            </w:r>
          </w:p>
        </w:tc>
        <w:tc>
          <w:tcPr>
            <w:tcW w:w="1535" w:type="dxa"/>
            <w:vAlign w:val="center"/>
          </w:tcPr>
          <w:p w14:paraId="2FD892BA" w14:textId="0950DF8D" w:rsidR="00C220C7" w:rsidRPr="00F31408" w:rsidRDefault="00C220C7" w:rsidP="00C220C7">
            <w:pPr>
              <w:rPr>
                <w:rFonts w:cs="Arial"/>
              </w:rPr>
            </w:pPr>
            <w:r w:rsidRPr="00F31408">
              <w:rPr>
                <w:rFonts w:cs="Arial"/>
              </w:rPr>
              <w:t>-</w:t>
            </w:r>
          </w:p>
        </w:tc>
      </w:tr>
      <w:tr w:rsidR="00C220C7" w14:paraId="4C72C74D" w14:textId="77777777" w:rsidTr="00F31408">
        <w:tc>
          <w:tcPr>
            <w:tcW w:w="2177" w:type="dxa"/>
            <w:vMerge/>
          </w:tcPr>
          <w:p w14:paraId="679F9FE6" w14:textId="77777777" w:rsidR="00C220C7" w:rsidRPr="00F31408" w:rsidRDefault="00C220C7" w:rsidP="00C220C7">
            <w:pPr>
              <w:rPr>
                <w:rFonts w:cs="Arial"/>
              </w:rPr>
            </w:pPr>
          </w:p>
        </w:tc>
        <w:tc>
          <w:tcPr>
            <w:tcW w:w="2790" w:type="dxa"/>
            <w:vAlign w:val="center"/>
          </w:tcPr>
          <w:p w14:paraId="71C63728" w14:textId="7E9CCE7B" w:rsidR="00C220C7" w:rsidRPr="00F31408" w:rsidRDefault="00C220C7" w:rsidP="00C220C7">
            <w:pPr>
              <w:rPr>
                <w:rFonts w:cs="Arial"/>
              </w:rPr>
            </w:pPr>
            <w:r w:rsidRPr="00F31408">
              <w:rPr>
                <w:rFonts w:cs="Arial"/>
              </w:rPr>
              <w:t>Синкоп</w:t>
            </w:r>
          </w:p>
        </w:tc>
        <w:tc>
          <w:tcPr>
            <w:tcW w:w="1536" w:type="dxa"/>
            <w:vAlign w:val="center"/>
          </w:tcPr>
          <w:p w14:paraId="5C3EFC5B" w14:textId="60AA2F9B" w:rsidR="00C220C7" w:rsidRPr="00F31408" w:rsidRDefault="00C220C7" w:rsidP="00C220C7">
            <w:pPr>
              <w:rPr>
                <w:rFonts w:cs="Arial"/>
              </w:rPr>
            </w:pPr>
            <w:r w:rsidRPr="00F31408">
              <w:rPr>
                <w:rFonts w:cs="Arial"/>
              </w:rPr>
              <w:t>Нечести*</w:t>
            </w:r>
          </w:p>
        </w:tc>
        <w:tc>
          <w:tcPr>
            <w:tcW w:w="1312" w:type="dxa"/>
            <w:vAlign w:val="bottom"/>
          </w:tcPr>
          <w:p w14:paraId="77640E97" w14:textId="7BF12EF0" w:rsidR="00C220C7" w:rsidRPr="00F31408" w:rsidRDefault="00C220C7" w:rsidP="00C220C7">
            <w:pPr>
              <w:rPr>
                <w:rFonts w:cs="Arial"/>
              </w:rPr>
            </w:pPr>
            <w:r w:rsidRPr="00F31408">
              <w:rPr>
                <w:rFonts w:cs="Arial"/>
              </w:rPr>
              <w:t>С неизвестна честота</w:t>
            </w:r>
          </w:p>
        </w:tc>
        <w:tc>
          <w:tcPr>
            <w:tcW w:w="1535" w:type="dxa"/>
            <w:vAlign w:val="center"/>
          </w:tcPr>
          <w:p w14:paraId="5490A766" w14:textId="6EA2A106" w:rsidR="00C220C7" w:rsidRPr="00F31408" w:rsidRDefault="00C220C7" w:rsidP="00C220C7">
            <w:pPr>
              <w:rPr>
                <w:rFonts w:cs="Arial"/>
              </w:rPr>
            </w:pPr>
            <w:r w:rsidRPr="00F31408">
              <w:rPr>
                <w:rFonts w:cs="Arial"/>
              </w:rPr>
              <w:t>-</w:t>
            </w:r>
          </w:p>
        </w:tc>
      </w:tr>
      <w:tr w:rsidR="00C220C7" w14:paraId="0F2A2605" w14:textId="77777777" w:rsidTr="00F31408">
        <w:tc>
          <w:tcPr>
            <w:tcW w:w="2177" w:type="dxa"/>
            <w:vMerge/>
          </w:tcPr>
          <w:p w14:paraId="6A54A73E" w14:textId="77777777" w:rsidR="00C220C7" w:rsidRPr="00F31408" w:rsidRDefault="00C220C7" w:rsidP="00C220C7">
            <w:pPr>
              <w:rPr>
                <w:rFonts w:cs="Arial"/>
              </w:rPr>
            </w:pPr>
          </w:p>
        </w:tc>
        <w:tc>
          <w:tcPr>
            <w:tcW w:w="2790" w:type="dxa"/>
          </w:tcPr>
          <w:p w14:paraId="4CA0E04C" w14:textId="70085C7C" w:rsidR="00C220C7" w:rsidRPr="00F31408" w:rsidRDefault="00C220C7" w:rsidP="00C220C7">
            <w:pPr>
              <w:rPr>
                <w:rFonts w:cs="Arial"/>
              </w:rPr>
            </w:pPr>
            <w:r w:rsidRPr="00F31408">
              <w:rPr>
                <w:rFonts w:cs="Arial"/>
              </w:rPr>
              <w:t>Периферна невропатия</w:t>
            </w:r>
          </w:p>
        </w:tc>
        <w:tc>
          <w:tcPr>
            <w:tcW w:w="1536" w:type="dxa"/>
            <w:vAlign w:val="center"/>
          </w:tcPr>
          <w:p w14:paraId="52C9973B" w14:textId="0BD10440" w:rsidR="00C220C7" w:rsidRPr="00F31408" w:rsidRDefault="00C220C7" w:rsidP="00C220C7">
            <w:pPr>
              <w:rPr>
                <w:rFonts w:cs="Arial"/>
              </w:rPr>
            </w:pPr>
            <w:r w:rsidRPr="00F31408">
              <w:rPr>
                <w:rFonts w:cs="Arial"/>
              </w:rPr>
              <w:t>-</w:t>
            </w:r>
          </w:p>
        </w:tc>
        <w:tc>
          <w:tcPr>
            <w:tcW w:w="1312" w:type="dxa"/>
          </w:tcPr>
          <w:p w14:paraId="1ABB8130" w14:textId="77777777" w:rsidR="00C220C7" w:rsidRPr="00F31408" w:rsidRDefault="00C220C7" w:rsidP="00C220C7">
            <w:pPr>
              <w:rPr>
                <w:rFonts w:cs="Arial"/>
              </w:rPr>
            </w:pPr>
          </w:p>
        </w:tc>
        <w:tc>
          <w:tcPr>
            <w:tcW w:w="1535" w:type="dxa"/>
          </w:tcPr>
          <w:p w14:paraId="2657BE3E" w14:textId="6C9CC0D2" w:rsidR="00C220C7" w:rsidRPr="00F31408" w:rsidRDefault="00C220C7" w:rsidP="00C220C7">
            <w:pPr>
              <w:rPr>
                <w:rFonts w:cs="Arial"/>
              </w:rPr>
            </w:pPr>
            <w:r w:rsidRPr="00F31408">
              <w:rPr>
                <w:rFonts w:cs="Arial"/>
              </w:rPr>
              <w:t>С неизвестна честота</w:t>
            </w:r>
          </w:p>
        </w:tc>
      </w:tr>
      <w:tr w:rsidR="00C220C7" w14:paraId="24FA325F" w14:textId="77777777" w:rsidTr="00F31408">
        <w:tc>
          <w:tcPr>
            <w:tcW w:w="2177" w:type="dxa"/>
            <w:vMerge/>
          </w:tcPr>
          <w:p w14:paraId="5F014AF5" w14:textId="77777777" w:rsidR="00C220C7" w:rsidRPr="00F31408" w:rsidRDefault="00C220C7" w:rsidP="00C220C7">
            <w:pPr>
              <w:rPr>
                <w:rFonts w:cs="Arial"/>
              </w:rPr>
            </w:pPr>
          </w:p>
        </w:tc>
        <w:tc>
          <w:tcPr>
            <w:tcW w:w="2790" w:type="dxa"/>
            <w:vAlign w:val="bottom"/>
          </w:tcPr>
          <w:p w14:paraId="4FA57B3C" w14:textId="549E339F" w:rsidR="00C220C7" w:rsidRPr="00F31408" w:rsidRDefault="00C220C7" w:rsidP="00C220C7">
            <w:pPr>
              <w:rPr>
                <w:rFonts w:cs="Arial"/>
              </w:rPr>
            </w:pPr>
            <w:r w:rsidRPr="00F31408">
              <w:rPr>
                <w:rFonts w:cs="Arial"/>
              </w:rPr>
              <w:t>Полиневропатия</w:t>
            </w:r>
          </w:p>
        </w:tc>
        <w:tc>
          <w:tcPr>
            <w:tcW w:w="1536" w:type="dxa"/>
            <w:vAlign w:val="center"/>
          </w:tcPr>
          <w:p w14:paraId="1A758BA9" w14:textId="542F3400" w:rsidR="00C220C7" w:rsidRPr="00F31408" w:rsidRDefault="00C220C7" w:rsidP="00C220C7">
            <w:pPr>
              <w:rPr>
                <w:rFonts w:cs="Arial"/>
              </w:rPr>
            </w:pPr>
            <w:r w:rsidRPr="00F31408">
              <w:rPr>
                <w:rFonts w:cs="Arial"/>
              </w:rPr>
              <w:t>-</w:t>
            </w:r>
          </w:p>
        </w:tc>
        <w:tc>
          <w:tcPr>
            <w:tcW w:w="1312" w:type="dxa"/>
            <w:vAlign w:val="center"/>
          </w:tcPr>
          <w:p w14:paraId="2A7B8439" w14:textId="31EACAA7" w:rsidR="00C220C7" w:rsidRPr="00F31408" w:rsidRDefault="00C220C7" w:rsidP="00C220C7">
            <w:pPr>
              <w:rPr>
                <w:rFonts w:cs="Arial"/>
              </w:rPr>
            </w:pPr>
            <w:r w:rsidRPr="00F31408">
              <w:rPr>
                <w:rFonts w:cs="Arial"/>
              </w:rPr>
              <w:t>-</w:t>
            </w:r>
          </w:p>
        </w:tc>
        <w:tc>
          <w:tcPr>
            <w:tcW w:w="1535" w:type="dxa"/>
            <w:vAlign w:val="bottom"/>
          </w:tcPr>
          <w:p w14:paraId="5F8C5087" w14:textId="176D3CAA" w:rsidR="00C220C7" w:rsidRPr="00F31408" w:rsidRDefault="00C220C7" w:rsidP="00C220C7">
            <w:pPr>
              <w:rPr>
                <w:rFonts w:cs="Arial"/>
              </w:rPr>
            </w:pPr>
            <w:r w:rsidRPr="00F31408">
              <w:rPr>
                <w:rFonts w:cs="Arial"/>
              </w:rPr>
              <w:t>Много редки</w:t>
            </w:r>
          </w:p>
        </w:tc>
      </w:tr>
      <w:tr w:rsidR="00C220C7" w14:paraId="52395E1E" w14:textId="77777777" w:rsidTr="00F31408">
        <w:tc>
          <w:tcPr>
            <w:tcW w:w="2177" w:type="dxa"/>
            <w:vMerge/>
          </w:tcPr>
          <w:p w14:paraId="2D6B2C7F" w14:textId="77777777" w:rsidR="00C220C7" w:rsidRPr="00F31408" w:rsidRDefault="00C220C7" w:rsidP="00C220C7">
            <w:pPr>
              <w:rPr>
                <w:rFonts w:cs="Arial"/>
              </w:rPr>
            </w:pPr>
          </w:p>
        </w:tc>
        <w:tc>
          <w:tcPr>
            <w:tcW w:w="2790" w:type="dxa"/>
            <w:vAlign w:val="bottom"/>
          </w:tcPr>
          <w:p w14:paraId="0396D0A4" w14:textId="25D94CFD" w:rsidR="00C220C7" w:rsidRPr="00F31408" w:rsidRDefault="00C220C7" w:rsidP="00C220C7">
            <w:pPr>
              <w:rPr>
                <w:rFonts w:cs="Arial"/>
              </w:rPr>
            </w:pPr>
            <w:r w:rsidRPr="00F31408">
              <w:rPr>
                <w:rFonts w:cs="Arial"/>
              </w:rPr>
              <w:t>Загуба на паметта</w:t>
            </w:r>
          </w:p>
        </w:tc>
        <w:tc>
          <w:tcPr>
            <w:tcW w:w="1536" w:type="dxa"/>
          </w:tcPr>
          <w:p w14:paraId="4BCEE883" w14:textId="1C6B5D81" w:rsidR="00C220C7" w:rsidRPr="00F31408" w:rsidRDefault="00C220C7" w:rsidP="00C220C7">
            <w:pPr>
              <w:rPr>
                <w:rFonts w:cs="Arial"/>
              </w:rPr>
            </w:pPr>
            <w:r w:rsidRPr="00F31408">
              <w:rPr>
                <w:rFonts w:cs="Arial"/>
              </w:rPr>
              <w:t>-</w:t>
            </w:r>
          </w:p>
        </w:tc>
        <w:tc>
          <w:tcPr>
            <w:tcW w:w="1312" w:type="dxa"/>
          </w:tcPr>
          <w:p w14:paraId="5BBAC7A0" w14:textId="5DEEDE4D" w:rsidR="00C220C7" w:rsidRPr="00F31408" w:rsidRDefault="00C220C7" w:rsidP="00C220C7">
            <w:pPr>
              <w:rPr>
                <w:rFonts w:cs="Arial"/>
              </w:rPr>
            </w:pPr>
            <w:r w:rsidRPr="00F31408">
              <w:rPr>
                <w:rFonts w:cs="Arial"/>
              </w:rPr>
              <w:t>-</w:t>
            </w:r>
          </w:p>
        </w:tc>
        <w:tc>
          <w:tcPr>
            <w:tcW w:w="1535" w:type="dxa"/>
            <w:vAlign w:val="bottom"/>
          </w:tcPr>
          <w:p w14:paraId="27891D64" w14:textId="2FD311E8" w:rsidR="00C220C7" w:rsidRPr="00F31408" w:rsidRDefault="00C220C7" w:rsidP="00C220C7">
            <w:pPr>
              <w:rPr>
                <w:rFonts w:cs="Arial"/>
              </w:rPr>
            </w:pPr>
            <w:r w:rsidRPr="00F31408">
              <w:rPr>
                <w:rFonts w:cs="Arial"/>
              </w:rPr>
              <w:t>Много редки</w:t>
            </w:r>
          </w:p>
        </w:tc>
      </w:tr>
      <w:tr w:rsidR="00C220C7" w14:paraId="4E41118F" w14:textId="77777777" w:rsidTr="00F31408">
        <w:tc>
          <w:tcPr>
            <w:tcW w:w="2177" w:type="dxa"/>
            <w:vMerge/>
          </w:tcPr>
          <w:p w14:paraId="7DDC881A" w14:textId="77777777" w:rsidR="00C220C7" w:rsidRPr="00F31408" w:rsidRDefault="00C220C7" w:rsidP="00C220C7">
            <w:pPr>
              <w:rPr>
                <w:rFonts w:cs="Arial"/>
              </w:rPr>
            </w:pPr>
          </w:p>
        </w:tc>
        <w:tc>
          <w:tcPr>
            <w:tcW w:w="2790" w:type="dxa"/>
            <w:vAlign w:val="bottom"/>
          </w:tcPr>
          <w:p w14:paraId="105E3A2B" w14:textId="4F62B444" w:rsidR="00C220C7" w:rsidRPr="00F31408" w:rsidRDefault="00C220C7" w:rsidP="00C220C7">
            <w:pPr>
              <w:rPr>
                <w:rFonts w:cs="Arial"/>
              </w:rPr>
            </w:pPr>
            <w:r w:rsidRPr="00F31408">
              <w:rPr>
                <w:rFonts w:cs="Arial"/>
              </w:rPr>
              <w:t>Възможен инсулт вследствие на прекомерна хипотония при вискорискови пациенти (вж. точка 4.4)</w:t>
            </w:r>
          </w:p>
        </w:tc>
        <w:tc>
          <w:tcPr>
            <w:tcW w:w="1536" w:type="dxa"/>
            <w:vAlign w:val="center"/>
          </w:tcPr>
          <w:p w14:paraId="09EA4CAE" w14:textId="18AA7D61" w:rsidR="00C220C7" w:rsidRPr="00F31408" w:rsidRDefault="00C220C7" w:rsidP="00C220C7">
            <w:pPr>
              <w:rPr>
                <w:rFonts w:cs="Arial"/>
              </w:rPr>
            </w:pPr>
            <w:r w:rsidRPr="00F31408">
              <w:rPr>
                <w:rFonts w:cs="Arial"/>
              </w:rPr>
              <w:t>Много редки</w:t>
            </w:r>
          </w:p>
        </w:tc>
        <w:tc>
          <w:tcPr>
            <w:tcW w:w="1312" w:type="dxa"/>
          </w:tcPr>
          <w:p w14:paraId="7C8C6681" w14:textId="5F98C28F" w:rsidR="00C220C7" w:rsidRPr="00F31408" w:rsidRDefault="00C220C7" w:rsidP="00C220C7">
            <w:pPr>
              <w:rPr>
                <w:rFonts w:cs="Arial"/>
              </w:rPr>
            </w:pPr>
            <w:r w:rsidRPr="00F31408">
              <w:rPr>
                <w:rFonts w:cs="Arial"/>
              </w:rPr>
              <w:t>-</w:t>
            </w:r>
          </w:p>
        </w:tc>
        <w:tc>
          <w:tcPr>
            <w:tcW w:w="1535" w:type="dxa"/>
          </w:tcPr>
          <w:p w14:paraId="31456504" w14:textId="026CDD5E" w:rsidR="00C220C7" w:rsidRPr="00F31408" w:rsidRDefault="00C220C7" w:rsidP="00C220C7">
            <w:pPr>
              <w:rPr>
                <w:rFonts w:cs="Arial"/>
              </w:rPr>
            </w:pPr>
            <w:r w:rsidRPr="00F31408">
              <w:rPr>
                <w:rFonts w:cs="Arial"/>
              </w:rPr>
              <w:t>-</w:t>
            </w:r>
          </w:p>
        </w:tc>
      </w:tr>
      <w:tr w:rsidR="00C220C7" w14:paraId="2A62BCE7" w14:textId="77777777" w:rsidTr="00F31408">
        <w:tc>
          <w:tcPr>
            <w:tcW w:w="2177" w:type="dxa"/>
            <w:vMerge/>
          </w:tcPr>
          <w:p w14:paraId="314B8340" w14:textId="77777777" w:rsidR="00C220C7" w:rsidRPr="00F31408" w:rsidRDefault="00C220C7" w:rsidP="00C220C7">
            <w:pPr>
              <w:rPr>
                <w:rFonts w:cs="Arial"/>
              </w:rPr>
            </w:pPr>
          </w:p>
        </w:tc>
        <w:tc>
          <w:tcPr>
            <w:tcW w:w="2790" w:type="dxa"/>
            <w:vAlign w:val="bottom"/>
          </w:tcPr>
          <w:p w14:paraId="38F70218" w14:textId="25750477" w:rsidR="00C220C7" w:rsidRPr="00F31408" w:rsidRDefault="00C220C7" w:rsidP="00C220C7">
            <w:pPr>
              <w:rPr>
                <w:rFonts w:cs="Arial"/>
              </w:rPr>
            </w:pPr>
            <w:r w:rsidRPr="00F31408">
              <w:rPr>
                <w:rFonts w:cs="Arial"/>
              </w:rPr>
              <w:t xml:space="preserve">Възможност за възникване на чернодробна енцефалопатия в случай на чернодробна недостатъчност (вж. точка 4.3 </w:t>
            </w:r>
            <w:r w:rsidRPr="00F31408">
              <w:rPr>
                <w:rFonts w:cs="Arial"/>
                <w:lang w:val="en-US"/>
              </w:rPr>
              <w:t xml:space="preserve">and </w:t>
            </w:r>
            <w:r w:rsidRPr="00F31408">
              <w:rPr>
                <w:rFonts w:cs="Arial"/>
              </w:rPr>
              <w:t>4.4)</w:t>
            </w:r>
          </w:p>
        </w:tc>
        <w:tc>
          <w:tcPr>
            <w:tcW w:w="1536" w:type="dxa"/>
          </w:tcPr>
          <w:p w14:paraId="7718365F" w14:textId="15390E3F" w:rsidR="00C220C7" w:rsidRPr="00F31408" w:rsidRDefault="00C220C7" w:rsidP="00C220C7">
            <w:pPr>
              <w:rPr>
                <w:rFonts w:cs="Arial"/>
              </w:rPr>
            </w:pPr>
            <w:r w:rsidRPr="00F31408">
              <w:rPr>
                <w:rFonts w:cs="Arial"/>
              </w:rPr>
              <w:t>-</w:t>
            </w:r>
          </w:p>
        </w:tc>
        <w:tc>
          <w:tcPr>
            <w:tcW w:w="1312" w:type="dxa"/>
            <w:vAlign w:val="center"/>
          </w:tcPr>
          <w:p w14:paraId="76EACAAD" w14:textId="48E4362B" w:rsidR="00C220C7" w:rsidRPr="00F31408" w:rsidRDefault="00C220C7" w:rsidP="00C220C7">
            <w:pPr>
              <w:rPr>
                <w:rFonts w:cs="Arial"/>
              </w:rPr>
            </w:pPr>
            <w:r w:rsidRPr="00F31408">
              <w:rPr>
                <w:rFonts w:cs="Arial"/>
              </w:rPr>
              <w:t>С неизвестна честота</w:t>
            </w:r>
          </w:p>
        </w:tc>
        <w:tc>
          <w:tcPr>
            <w:tcW w:w="1535" w:type="dxa"/>
          </w:tcPr>
          <w:p w14:paraId="286E4BE8" w14:textId="77777777" w:rsidR="00C220C7" w:rsidRPr="00F31408" w:rsidRDefault="00C220C7" w:rsidP="00C220C7">
            <w:pPr>
              <w:rPr>
                <w:rFonts w:cs="Arial"/>
              </w:rPr>
            </w:pPr>
          </w:p>
        </w:tc>
      </w:tr>
      <w:tr w:rsidR="00C220C7" w14:paraId="57F0E1C9" w14:textId="77777777" w:rsidTr="00F31408">
        <w:tc>
          <w:tcPr>
            <w:tcW w:w="2177" w:type="dxa"/>
            <w:vMerge w:val="restart"/>
            <w:vAlign w:val="center"/>
          </w:tcPr>
          <w:p w14:paraId="28F5B78C" w14:textId="5ED0D883" w:rsidR="00C220C7" w:rsidRPr="00F31408" w:rsidRDefault="00C220C7" w:rsidP="00C220C7">
            <w:pPr>
              <w:rPr>
                <w:rFonts w:cs="Arial"/>
              </w:rPr>
            </w:pPr>
            <w:r w:rsidRPr="00F31408">
              <w:rPr>
                <w:rFonts w:cs="Arial"/>
                <w:b/>
                <w:bCs/>
              </w:rPr>
              <w:t>Нарушения на очите</w:t>
            </w:r>
          </w:p>
        </w:tc>
        <w:tc>
          <w:tcPr>
            <w:tcW w:w="2790" w:type="dxa"/>
            <w:vAlign w:val="center"/>
          </w:tcPr>
          <w:p w14:paraId="758F303A" w14:textId="61A3E1D4" w:rsidR="00C220C7" w:rsidRPr="00F31408" w:rsidRDefault="00C220C7" w:rsidP="00C220C7">
            <w:pPr>
              <w:rPr>
                <w:rFonts w:cs="Arial"/>
              </w:rPr>
            </w:pPr>
            <w:r w:rsidRPr="00F31408">
              <w:rPr>
                <w:rFonts w:cs="Arial"/>
              </w:rPr>
              <w:t>Зрителни нарушения</w:t>
            </w:r>
          </w:p>
        </w:tc>
        <w:tc>
          <w:tcPr>
            <w:tcW w:w="1536" w:type="dxa"/>
            <w:vAlign w:val="center"/>
          </w:tcPr>
          <w:p w14:paraId="113A0E05" w14:textId="671B7ADF" w:rsidR="00C220C7" w:rsidRPr="00F31408" w:rsidRDefault="00C220C7" w:rsidP="00C220C7">
            <w:pPr>
              <w:rPr>
                <w:rFonts w:cs="Arial"/>
              </w:rPr>
            </w:pPr>
            <w:r w:rsidRPr="00F31408">
              <w:rPr>
                <w:rFonts w:cs="Arial"/>
              </w:rPr>
              <w:t>Чести</w:t>
            </w:r>
          </w:p>
        </w:tc>
        <w:tc>
          <w:tcPr>
            <w:tcW w:w="1312" w:type="dxa"/>
          </w:tcPr>
          <w:p w14:paraId="7B388D7C" w14:textId="2445BCB1" w:rsidR="00C220C7" w:rsidRPr="00F31408" w:rsidRDefault="00C220C7" w:rsidP="00C220C7">
            <w:pPr>
              <w:rPr>
                <w:rFonts w:cs="Arial"/>
              </w:rPr>
            </w:pPr>
            <w:r w:rsidRPr="00F31408">
              <w:rPr>
                <w:rFonts w:cs="Arial"/>
              </w:rPr>
              <w:t>С неизвестна честота</w:t>
            </w:r>
          </w:p>
        </w:tc>
        <w:tc>
          <w:tcPr>
            <w:tcW w:w="1535" w:type="dxa"/>
          </w:tcPr>
          <w:p w14:paraId="4398CCAD" w14:textId="2264998F" w:rsidR="00C220C7" w:rsidRPr="00F31408" w:rsidRDefault="00C220C7" w:rsidP="00C220C7">
            <w:pPr>
              <w:rPr>
                <w:rFonts w:cs="Arial"/>
              </w:rPr>
            </w:pPr>
            <w:r w:rsidRPr="00F31408">
              <w:rPr>
                <w:rFonts w:cs="Arial"/>
              </w:rPr>
              <w:t>-</w:t>
            </w:r>
          </w:p>
        </w:tc>
      </w:tr>
      <w:tr w:rsidR="00C220C7" w14:paraId="3AFF2995" w14:textId="77777777" w:rsidTr="00F31408">
        <w:tc>
          <w:tcPr>
            <w:tcW w:w="2177" w:type="dxa"/>
            <w:vMerge/>
            <w:vAlign w:val="center"/>
          </w:tcPr>
          <w:p w14:paraId="4F12CD29" w14:textId="77777777" w:rsidR="00C220C7" w:rsidRPr="00F31408" w:rsidRDefault="00C220C7" w:rsidP="00C220C7">
            <w:pPr>
              <w:rPr>
                <w:rFonts w:cs="Arial"/>
              </w:rPr>
            </w:pPr>
          </w:p>
        </w:tc>
        <w:tc>
          <w:tcPr>
            <w:tcW w:w="2790" w:type="dxa"/>
            <w:vAlign w:val="center"/>
          </w:tcPr>
          <w:p w14:paraId="1F558260" w14:textId="0863D2D4" w:rsidR="00C220C7" w:rsidRPr="00F31408" w:rsidRDefault="00C220C7" w:rsidP="00C220C7">
            <w:pPr>
              <w:rPr>
                <w:rFonts w:cs="Arial"/>
              </w:rPr>
            </w:pPr>
            <w:r w:rsidRPr="00F31408">
              <w:rPr>
                <w:rFonts w:cs="Arial"/>
              </w:rPr>
              <w:t>Късогледство (вж. точка 4.4)</w:t>
            </w:r>
          </w:p>
        </w:tc>
        <w:tc>
          <w:tcPr>
            <w:tcW w:w="1536" w:type="dxa"/>
          </w:tcPr>
          <w:p w14:paraId="2E77669B" w14:textId="789BB440" w:rsidR="00C220C7" w:rsidRPr="00F31408" w:rsidRDefault="00C220C7" w:rsidP="00C220C7">
            <w:pPr>
              <w:rPr>
                <w:rFonts w:cs="Arial"/>
              </w:rPr>
            </w:pPr>
            <w:r w:rsidRPr="00F31408">
              <w:rPr>
                <w:rFonts w:cs="Arial"/>
              </w:rPr>
              <w:t>-</w:t>
            </w:r>
          </w:p>
        </w:tc>
        <w:tc>
          <w:tcPr>
            <w:tcW w:w="1312" w:type="dxa"/>
          </w:tcPr>
          <w:p w14:paraId="35A817F5" w14:textId="085F0605" w:rsidR="00C220C7" w:rsidRPr="00F31408" w:rsidRDefault="00C220C7" w:rsidP="00C220C7">
            <w:pPr>
              <w:rPr>
                <w:rFonts w:cs="Arial"/>
              </w:rPr>
            </w:pPr>
            <w:r w:rsidRPr="00F31408">
              <w:rPr>
                <w:rFonts w:cs="Arial"/>
              </w:rPr>
              <w:t>С неизвестна честота</w:t>
            </w:r>
          </w:p>
        </w:tc>
        <w:tc>
          <w:tcPr>
            <w:tcW w:w="1535" w:type="dxa"/>
          </w:tcPr>
          <w:p w14:paraId="0CABEF11" w14:textId="4076B094" w:rsidR="00C220C7" w:rsidRPr="00F31408" w:rsidRDefault="00C220C7" w:rsidP="00C220C7">
            <w:pPr>
              <w:rPr>
                <w:rFonts w:cs="Arial"/>
              </w:rPr>
            </w:pPr>
            <w:r w:rsidRPr="00F31408">
              <w:rPr>
                <w:rFonts w:cs="Arial"/>
              </w:rPr>
              <w:t>-</w:t>
            </w:r>
          </w:p>
        </w:tc>
      </w:tr>
      <w:tr w:rsidR="00C220C7" w14:paraId="6E010D99" w14:textId="77777777" w:rsidTr="00F31408">
        <w:tc>
          <w:tcPr>
            <w:tcW w:w="2177" w:type="dxa"/>
            <w:vMerge/>
            <w:vAlign w:val="center"/>
          </w:tcPr>
          <w:p w14:paraId="69EAFAC4" w14:textId="77777777" w:rsidR="00C220C7" w:rsidRPr="00F31408" w:rsidRDefault="00C220C7" w:rsidP="00C220C7">
            <w:pPr>
              <w:rPr>
                <w:rFonts w:cs="Arial"/>
              </w:rPr>
            </w:pPr>
          </w:p>
        </w:tc>
        <w:tc>
          <w:tcPr>
            <w:tcW w:w="2790" w:type="dxa"/>
            <w:vAlign w:val="center"/>
          </w:tcPr>
          <w:p w14:paraId="76A30F89" w14:textId="2460F18A" w:rsidR="00C220C7" w:rsidRPr="00F31408" w:rsidRDefault="00C220C7" w:rsidP="00C220C7">
            <w:pPr>
              <w:rPr>
                <w:rFonts w:cs="Arial"/>
              </w:rPr>
            </w:pPr>
            <w:r w:rsidRPr="00F31408">
              <w:rPr>
                <w:rFonts w:cs="Arial"/>
              </w:rPr>
              <w:t>Замъглено зрение</w:t>
            </w:r>
          </w:p>
        </w:tc>
        <w:tc>
          <w:tcPr>
            <w:tcW w:w="1536" w:type="dxa"/>
          </w:tcPr>
          <w:p w14:paraId="6897EEE8" w14:textId="361EF175" w:rsidR="00C220C7" w:rsidRPr="00F31408" w:rsidRDefault="00C220C7" w:rsidP="00C220C7">
            <w:pPr>
              <w:rPr>
                <w:rFonts w:cs="Arial"/>
              </w:rPr>
            </w:pPr>
            <w:r w:rsidRPr="00F31408">
              <w:rPr>
                <w:rFonts w:cs="Arial"/>
              </w:rPr>
              <w:t>-</w:t>
            </w:r>
          </w:p>
        </w:tc>
        <w:tc>
          <w:tcPr>
            <w:tcW w:w="1312" w:type="dxa"/>
          </w:tcPr>
          <w:p w14:paraId="27B5291A" w14:textId="5C21E36E" w:rsidR="00C220C7" w:rsidRPr="00F31408" w:rsidRDefault="00C220C7" w:rsidP="00C220C7">
            <w:pPr>
              <w:rPr>
                <w:rFonts w:cs="Arial"/>
              </w:rPr>
            </w:pPr>
            <w:r w:rsidRPr="00F31408">
              <w:rPr>
                <w:rFonts w:cs="Arial"/>
              </w:rPr>
              <w:t>С неизвестна честота</w:t>
            </w:r>
          </w:p>
        </w:tc>
        <w:tc>
          <w:tcPr>
            <w:tcW w:w="1535" w:type="dxa"/>
          </w:tcPr>
          <w:p w14:paraId="6BF696B8" w14:textId="1B1EC935" w:rsidR="00C220C7" w:rsidRPr="00F31408" w:rsidRDefault="00C220C7" w:rsidP="00C220C7">
            <w:pPr>
              <w:rPr>
                <w:rFonts w:cs="Arial"/>
              </w:rPr>
            </w:pPr>
            <w:r w:rsidRPr="00F31408">
              <w:rPr>
                <w:rFonts w:cs="Arial"/>
              </w:rPr>
              <w:t>-</w:t>
            </w:r>
          </w:p>
        </w:tc>
      </w:tr>
      <w:tr w:rsidR="00C220C7" w14:paraId="64500596" w14:textId="77777777" w:rsidTr="00F31408">
        <w:tc>
          <w:tcPr>
            <w:tcW w:w="2177" w:type="dxa"/>
            <w:vMerge/>
            <w:vAlign w:val="center"/>
          </w:tcPr>
          <w:p w14:paraId="3973910E" w14:textId="77777777" w:rsidR="00C220C7" w:rsidRPr="00F31408" w:rsidRDefault="00C220C7" w:rsidP="00C220C7">
            <w:pPr>
              <w:rPr>
                <w:rFonts w:cs="Arial"/>
              </w:rPr>
            </w:pPr>
          </w:p>
        </w:tc>
        <w:tc>
          <w:tcPr>
            <w:tcW w:w="2790" w:type="dxa"/>
            <w:vAlign w:val="bottom"/>
          </w:tcPr>
          <w:p w14:paraId="2190A446" w14:textId="0719AC5B" w:rsidR="00C220C7" w:rsidRPr="00F31408" w:rsidRDefault="00C220C7" w:rsidP="00C220C7">
            <w:pPr>
              <w:rPr>
                <w:rFonts w:cs="Arial"/>
              </w:rPr>
            </w:pPr>
            <w:r w:rsidRPr="00F31408">
              <w:rPr>
                <w:rFonts w:cs="Arial"/>
              </w:rPr>
              <w:t>Остра закритоъгьлна глаукома</w:t>
            </w:r>
          </w:p>
        </w:tc>
        <w:tc>
          <w:tcPr>
            <w:tcW w:w="1536" w:type="dxa"/>
          </w:tcPr>
          <w:p w14:paraId="44FAD145" w14:textId="7EF5D813" w:rsidR="00C220C7" w:rsidRPr="00F31408" w:rsidRDefault="00C220C7" w:rsidP="00C220C7">
            <w:pPr>
              <w:rPr>
                <w:rFonts w:cs="Arial"/>
              </w:rPr>
            </w:pPr>
            <w:r w:rsidRPr="00F31408">
              <w:rPr>
                <w:rFonts w:cs="Arial"/>
              </w:rPr>
              <w:t>-</w:t>
            </w:r>
          </w:p>
        </w:tc>
        <w:tc>
          <w:tcPr>
            <w:tcW w:w="1312" w:type="dxa"/>
            <w:vAlign w:val="bottom"/>
          </w:tcPr>
          <w:p w14:paraId="653B149D" w14:textId="386F59DF" w:rsidR="00C220C7" w:rsidRPr="00F31408" w:rsidRDefault="00C220C7" w:rsidP="00C220C7">
            <w:pPr>
              <w:rPr>
                <w:rFonts w:cs="Arial"/>
              </w:rPr>
            </w:pPr>
            <w:r w:rsidRPr="00F31408">
              <w:rPr>
                <w:rFonts w:cs="Arial"/>
              </w:rPr>
              <w:t>С неизвестна честота</w:t>
            </w:r>
          </w:p>
        </w:tc>
        <w:tc>
          <w:tcPr>
            <w:tcW w:w="1535" w:type="dxa"/>
          </w:tcPr>
          <w:p w14:paraId="2692AEFE" w14:textId="22D79B5A" w:rsidR="00C220C7" w:rsidRPr="00F31408" w:rsidRDefault="00C220C7" w:rsidP="00C220C7">
            <w:pPr>
              <w:rPr>
                <w:rFonts w:cs="Arial"/>
              </w:rPr>
            </w:pPr>
            <w:r w:rsidRPr="00F31408">
              <w:rPr>
                <w:rFonts w:cs="Arial"/>
              </w:rPr>
              <w:t>-</w:t>
            </w:r>
          </w:p>
        </w:tc>
      </w:tr>
      <w:tr w:rsidR="00C220C7" w14:paraId="2D69549B" w14:textId="77777777" w:rsidTr="00F31408">
        <w:tc>
          <w:tcPr>
            <w:tcW w:w="2177" w:type="dxa"/>
            <w:vMerge/>
            <w:vAlign w:val="center"/>
          </w:tcPr>
          <w:p w14:paraId="6CF337FC" w14:textId="77777777" w:rsidR="00C220C7" w:rsidRPr="00F31408" w:rsidRDefault="00C220C7" w:rsidP="00C220C7">
            <w:pPr>
              <w:rPr>
                <w:rFonts w:cs="Arial"/>
              </w:rPr>
            </w:pPr>
          </w:p>
        </w:tc>
        <w:tc>
          <w:tcPr>
            <w:tcW w:w="2790" w:type="dxa"/>
            <w:vAlign w:val="center"/>
          </w:tcPr>
          <w:p w14:paraId="49B7BF59" w14:textId="446F8F48" w:rsidR="00C220C7" w:rsidRPr="00F31408" w:rsidRDefault="00C220C7" w:rsidP="00C220C7">
            <w:pPr>
              <w:rPr>
                <w:rFonts w:cs="Arial"/>
              </w:rPr>
            </w:pPr>
            <w:r w:rsidRPr="00F31408">
              <w:rPr>
                <w:rFonts w:cs="Arial"/>
              </w:rPr>
              <w:t>Хороидален излив</w:t>
            </w:r>
          </w:p>
        </w:tc>
        <w:tc>
          <w:tcPr>
            <w:tcW w:w="1536" w:type="dxa"/>
          </w:tcPr>
          <w:p w14:paraId="29349C77" w14:textId="06D890DB" w:rsidR="00C220C7" w:rsidRPr="00F31408" w:rsidRDefault="00C220C7" w:rsidP="00C220C7">
            <w:pPr>
              <w:rPr>
                <w:rFonts w:cs="Arial"/>
              </w:rPr>
            </w:pPr>
            <w:r w:rsidRPr="00F31408">
              <w:rPr>
                <w:rFonts w:cs="Arial"/>
              </w:rPr>
              <w:t>-</w:t>
            </w:r>
          </w:p>
        </w:tc>
        <w:tc>
          <w:tcPr>
            <w:tcW w:w="1312" w:type="dxa"/>
          </w:tcPr>
          <w:p w14:paraId="6263409E" w14:textId="3D39D0EA" w:rsidR="00C220C7" w:rsidRPr="00F31408" w:rsidRDefault="00C220C7" w:rsidP="00C220C7">
            <w:pPr>
              <w:rPr>
                <w:rFonts w:cs="Arial"/>
              </w:rPr>
            </w:pPr>
            <w:r w:rsidRPr="00F31408">
              <w:rPr>
                <w:rFonts w:cs="Arial"/>
              </w:rPr>
              <w:t>С неизвестна честота</w:t>
            </w:r>
          </w:p>
        </w:tc>
        <w:tc>
          <w:tcPr>
            <w:tcW w:w="1535" w:type="dxa"/>
          </w:tcPr>
          <w:p w14:paraId="14B2E0DE" w14:textId="6E10730D" w:rsidR="00C220C7" w:rsidRPr="00F31408" w:rsidRDefault="00C220C7" w:rsidP="00C220C7">
            <w:pPr>
              <w:rPr>
                <w:rFonts w:cs="Arial"/>
              </w:rPr>
            </w:pPr>
            <w:r w:rsidRPr="00F31408">
              <w:rPr>
                <w:rFonts w:cs="Arial"/>
              </w:rPr>
              <w:t>-</w:t>
            </w:r>
          </w:p>
        </w:tc>
      </w:tr>
      <w:tr w:rsidR="00C220C7" w14:paraId="62875C2F" w14:textId="77777777" w:rsidTr="00F31408">
        <w:tc>
          <w:tcPr>
            <w:tcW w:w="2177" w:type="dxa"/>
            <w:vMerge w:val="restart"/>
            <w:vAlign w:val="bottom"/>
          </w:tcPr>
          <w:p w14:paraId="3CDF7B60" w14:textId="0D0EF83A" w:rsidR="00C220C7" w:rsidRPr="00F31408" w:rsidRDefault="00C220C7" w:rsidP="00C220C7">
            <w:pPr>
              <w:rPr>
                <w:rFonts w:cs="Arial"/>
              </w:rPr>
            </w:pPr>
            <w:r w:rsidRPr="00F31408">
              <w:rPr>
                <w:rFonts w:cs="Arial"/>
                <w:b/>
                <w:bCs/>
              </w:rPr>
              <w:t>Нарушния на ухото и лабиринта</w:t>
            </w:r>
          </w:p>
        </w:tc>
        <w:tc>
          <w:tcPr>
            <w:tcW w:w="2790" w:type="dxa"/>
            <w:vAlign w:val="bottom"/>
          </w:tcPr>
          <w:p w14:paraId="648CED23" w14:textId="435E70BA" w:rsidR="00C220C7" w:rsidRPr="00F31408" w:rsidRDefault="00C220C7" w:rsidP="00C220C7">
            <w:pPr>
              <w:rPr>
                <w:rFonts w:cs="Arial"/>
              </w:rPr>
            </w:pPr>
            <w:r w:rsidRPr="00F31408">
              <w:rPr>
                <w:rFonts w:cs="Arial"/>
              </w:rPr>
              <w:t>Вертиго</w:t>
            </w:r>
          </w:p>
        </w:tc>
        <w:tc>
          <w:tcPr>
            <w:tcW w:w="1536" w:type="dxa"/>
            <w:vAlign w:val="bottom"/>
          </w:tcPr>
          <w:p w14:paraId="0D723AB3" w14:textId="19176331" w:rsidR="00C220C7" w:rsidRPr="00F31408" w:rsidRDefault="00C220C7" w:rsidP="00C220C7">
            <w:pPr>
              <w:rPr>
                <w:rFonts w:cs="Arial"/>
              </w:rPr>
            </w:pPr>
            <w:r w:rsidRPr="00F31408">
              <w:rPr>
                <w:rFonts w:cs="Arial"/>
              </w:rPr>
              <w:t>Чести</w:t>
            </w:r>
          </w:p>
        </w:tc>
        <w:tc>
          <w:tcPr>
            <w:tcW w:w="1312" w:type="dxa"/>
            <w:vAlign w:val="bottom"/>
          </w:tcPr>
          <w:p w14:paraId="7242967A" w14:textId="31451D8D" w:rsidR="00C220C7" w:rsidRPr="00F31408" w:rsidRDefault="00C220C7" w:rsidP="00C220C7">
            <w:pPr>
              <w:rPr>
                <w:rFonts w:cs="Arial"/>
              </w:rPr>
            </w:pPr>
            <w:r w:rsidRPr="00F31408">
              <w:rPr>
                <w:rFonts w:cs="Arial"/>
              </w:rPr>
              <w:t>Редки</w:t>
            </w:r>
          </w:p>
        </w:tc>
        <w:tc>
          <w:tcPr>
            <w:tcW w:w="1535" w:type="dxa"/>
          </w:tcPr>
          <w:p w14:paraId="7F93C206" w14:textId="438B8064" w:rsidR="00C220C7" w:rsidRPr="00F31408" w:rsidRDefault="00C220C7" w:rsidP="00C220C7">
            <w:pPr>
              <w:rPr>
                <w:rFonts w:cs="Arial"/>
              </w:rPr>
            </w:pPr>
            <w:r w:rsidRPr="00F31408">
              <w:rPr>
                <w:rFonts w:cs="Arial"/>
              </w:rPr>
              <w:t>-</w:t>
            </w:r>
          </w:p>
        </w:tc>
      </w:tr>
      <w:tr w:rsidR="00C220C7" w14:paraId="56B9EC7A" w14:textId="77777777" w:rsidTr="00F31408">
        <w:tc>
          <w:tcPr>
            <w:tcW w:w="2177" w:type="dxa"/>
            <w:vMerge/>
            <w:vAlign w:val="bottom"/>
          </w:tcPr>
          <w:p w14:paraId="7DE86896" w14:textId="77777777" w:rsidR="00C220C7" w:rsidRPr="00F31408" w:rsidRDefault="00C220C7" w:rsidP="00C220C7">
            <w:pPr>
              <w:rPr>
                <w:rFonts w:cs="Arial"/>
              </w:rPr>
            </w:pPr>
          </w:p>
        </w:tc>
        <w:tc>
          <w:tcPr>
            <w:tcW w:w="2790" w:type="dxa"/>
            <w:vAlign w:val="bottom"/>
          </w:tcPr>
          <w:p w14:paraId="580149D0" w14:textId="59C951D2" w:rsidR="00C220C7" w:rsidRPr="00F31408" w:rsidRDefault="00C220C7" w:rsidP="00C220C7">
            <w:pPr>
              <w:rPr>
                <w:rFonts w:cs="Arial"/>
              </w:rPr>
            </w:pPr>
            <w:r w:rsidRPr="00F31408">
              <w:rPr>
                <w:rFonts w:cs="Arial"/>
              </w:rPr>
              <w:t>Тинитус</w:t>
            </w:r>
          </w:p>
        </w:tc>
        <w:tc>
          <w:tcPr>
            <w:tcW w:w="1536" w:type="dxa"/>
            <w:vAlign w:val="bottom"/>
          </w:tcPr>
          <w:p w14:paraId="44798C33" w14:textId="1B54C8CC" w:rsidR="00C220C7" w:rsidRPr="00F31408" w:rsidRDefault="00C220C7" w:rsidP="00C220C7">
            <w:pPr>
              <w:rPr>
                <w:rFonts w:cs="Arial"/>
              </w:rPr>
            </w:pPr>
            <w:r w:rsidRPr="00F31408">
              <w:rPr>
                <w:rFonts w:cs="Arial"/>
              </w:rPr>
              <w:t>Чести</w:t>
            </w:r>
          </w:p>
        </w:tc>
        <w:tc>
          <w:tcPr>
            <w:tcW w:w="1312" w:type="dxa"/>
          </w:tcPr>
          <w:p w14:paraId="06045FFD" w14:textId="1EA7F5FB" w:rsidR="00C220C7" w:rsidRPr="00F31408" w:rsidRDefault="00C220C7" w:rsidP="00C220C7">
            <w:pPr>
              <w:rPr>
                <w:rFonts w:cs="Arial"/>
              </w:rPr>
            </w:pPr>
            <w:r w:rsidRPr="00F31408">
              <w:rPr>
                <w:rFonts w:cs="Arial"/>
              </w:rPr>
              <w:t>-</w:t>
            </w:r>
          </w:p>
        </w:tc>
        <w:tc>
          <w:tcPr>
            <w:tcW w:w="1535" w:type="dxa"/>
          </w:tcPr>
          <w:p w14:paraId="70E3301E" w14:textId="2C9456AE" w:rsidR="00C220C7" w:rsidRPr="00F31408" w:rsidRDefault="00C220C7" w:rsidP="00C220C7">
            <w:pPr>
              <w:rPr>
                <w:rFonts w:cs="Arial"/>
              </w:rPr>
            </w:pPr>
            <w:r w:rsidRPr="00F31408">
              <w:rPr>
                <w:rFonts w:cs="Arial"/>
              </w:rPr>
              <w:t>-</w:t>
            </w:r>
          </w:p>
        </w:tc>
      </w:tr>
      <w:tr w:rsidR="00C220C7" w14:paraId="52EC3C61" w14:textId="77777777" w:rsidTr="00F31408">
        <w:tc>
          <w:tcPr>
            <w:tcW w:w="2177" w:type="dxa"/>
            <w:vMerge w:val="restart"/>
            <w:vAlign w:val="center"/>
          </w:tcPr>
          <w:p w14:paraId="35B1EEA5" w14:textId="12558C5C" w:rsidR="00C220C7" w:rsidRPr="00F31408" w:rsidRDefault="00C220C7" w:rsidP="00C220C7">
            <w:pPr>
              <w:rPr>
                <w:rFonts w:cs="Arial"/>
              </w:rPr>
            </w:pPr>
            <w:r w:rsidRPr="00F31408">
              <w:rPr>
                <w:rFonts w:cs="Arial"/>
                <w:b/>
                <w:bCs/>
              </w:rPr>
              <w:t>Сърдечни нарушения</w:t>
            </w:r>
          </w:p>
        </w:tc>
        <w:tc>
          <w:tcPr>
            <w:tcW w:w="2790" w:type="dxa"/>
            <w:vAlign w:val="bottom"/>
          </w:tcPr>
          <w:p w14:paraId="061D001E" w14:textId="51CE2967" w:rsidR="00C220C7" w:rsidRPr="00F31408" w:rsidRDefault="00C220C7" w:rsidP="00C220C7">
            <w:pPr>
              <w:rPr>
                <w:rFonts w:cs="Arial"/>
              </w:rPr>
            </w:pPr>
            <w:r w:rsidRPr="00F31408">
              <w:rPr>
                <w:rFonts w:cs="Arial"/>
              </w:rPr>
              <w:t>Сърцебиене</w:t>
            </w:r>
          </w:p>
        </w:tc>
        <w:tc>
          <w:tcPr>
            <w:tcW w:w="1536" w:type="dxa"/>
            <w:vAlign w:val="bottom"/>
          </w:tcPr>
          <w:p w14:paraId="219A4003" w14:textId="6D17263D" w:rsidR="00C220C7" w:rsidRPr="00F31408" w:rsidRDefault="00C220C7" w:rsidP="00C220C7">
            <w:pPr>
              <w:rPr>
                <w:rFonts w:cs="Arial"/>
              </w:rPr>
            </w:pPr>
            <w:r w:rsidRPr="00F31408">
              <w:rPr>
                <w:rFonts w:cs="Arial"/>
              </w:rPr>
              <w:t>Нечести*</w:t>
            </w:r>
          </w:p>
        </w:tc>
        <w:tc>
          <w:tcPr>
            <w:tcW w:w="1312" w:type="dxa"/>
            <w:vAlign w:val="bottom"/>
          </w:tcPr>
          <w:p w14:paraId="35968703" w14:textId="2C22D97D" w:rsidR="00C220C7" w:rsidRPr="00F31408" w:rsidRDefault="00C220C7" w:rsidP="00C220C7">
            <w:pPr>
              <w:rPr>
                <w:rFonts w:cs="Arial"/>
              </w:rPr>
            </w:pPr>
            <w:r w:rsidRPr="00F31408">
              <w:rPr>
                <w:rFonts w:cs="Arial"/>
              </w:rPr>
              <w:t>-</w:t>
            </w:r>
          </w:p>
        </w:tc>
        <w:tc>
          <w:tcPr>
            <w:tcW w:w="1535" w:type="dxa"/>
          </w:tcPr>
          <w:p w14:paraId="6AC64259" w14:textId="4FFE5678" w:rsidR="00C220C7" w:rsidRPr="00F31408" w:rsidRDefault="00C220C7" w:rsidP="00C220C7">
            <w:pPr>
              <w:rPr>
                <w:rFonts w:cs="Arial"/>
              </w:rPr>
            </w:pPr>
            <w:r w:rsidRPr="00F31408">
              <w:rPr>
                <w:rFonts w:cs="Arial"/>
              </w:rPr>
              <w:t>-</w:t>
            </w:r>
          </w:p>
        </w:tc>
      </w:tr>
      <w:tr w:rsidR="00C220C7" w14:paraId="0581D1E4" w14:textId="77777777" w:rsidTr="00F31408">
        <w:tc>
          <w:tcPr>
            <w:tcW w:w="2177" w:type="dxa"/>
            <w:vMerge/>
          </w:tcPr>
          <w:p w14:paraId="4BD52C61" w14:textId="77777777" w:rsidR="00C220C7" w:rsidRPr="00F31408" w:rsidRDefault="00C220C7" w:rsidP="00C220C7">
            <w:pPr>
              <w:rPr>
                <w:rFonts w:cs="Arial"/>
              </w:rPr>
            </w:pPr>
          </w:p>
        </w:tc>
        <w:tc>
          <w:tcPr>
            <w:tcW w:w="2790" w:type="dxa"/>
            <w:vAlign w:val="bottom"/>
          </w:tcPr>
          <w:p w14:paraId="4C146898" w14:textId="6B480D10" w:rsidR="00C220C7" w:rsidRPr="00F31408" w:rsidRDefault="00C220C7" w:rsidP="00C220C7">
            <w:pPr>
              <w:rPr>
                <w:rFonts w:cs="Arial"/>
              </w:rPr>
            </w:pPr>
            <w:r w:rsidRPr="00F31408">
              <w:rPr>
                <w:rFonts w:cs="Arial"/>
              </w:rPr>
              <w:t>Тахикардия</w:t>
            </w:r>
          </w:p>
        </w:tc>
        <w:tc>
          <w:tcPr>
            <w:tcW w:w="1536" w:type="dxa"/>
            <w:vAlign w:val="bottom"/>
          </w:tcPr>
          <w:p w14:paraId="45FD6383" w14:textId="462A05FD" w:rsidR="00C220C7" w:rsidRPr="00F31408" w:rsidRDefault="00C220C7" w:rsidP="00C220C7">
            <w:pPr>
              <w:rPr>
                <w:rFonts w:cs="Arial"/>
              </w:rPr>
            </w:pPr>
            <w:r w:rsidRPr="00F31408">
              <w:rPr>
                <w:rFonts w:cs="Arial"/>
              </w:rPr>
              <w:t>Нечести*</w:t>
            </w:r>
          </w:p>
        </w:tc>
        <w:tc>
          <w:tcPr>
            <w:tcW w:w="1312" w:type="dxa"/>
          </w:tcPr>
          <w:p w14:paraId="24DF7FB1" w14:textId="55349965" w:rsidR="00C220C7" w:rsidRPr="00F31408" w:rsidRDefault="00C220C7" w:rsidP="00C220C7">
            <w:pPr>
              <w:rPr>
                <w:rFonts w:cs="Arial"/>
              </w:rPr>
            </w:pPr>
            <w:r w:rsidRPr="00F31408">
              <w:rPr>
                <w:rFonts w:cs="Arial"/>
              </w:rPr>
              <w:t>-</w:t>
            </w:r>
          </w:p>
        </w:tc>
        <w:tc>
          <w:tcPr>
            <w:tcW w:w="1535" w:type="dxa"/>
          </w:tcPr>
          <w:p w14:paraId="2D3280BE" w14:textId="5DED9367" w:rsidR="00C220C7" w:rsidRPr="00F31408" w:rsidRDefault="00C220C7" w:rsidP="00C220C7">
            <w:pPr>
              <w:rPr>
                <w:rFonts w:cs="Arial"/>
              </w:rPr>
            </w:pPr>
            <w:r w:rsidRPr="00F31408">
              <w:rPr>
                <w:rFonts w:cs="Arial"/>
              </w:rPr>
              <w:t>-</w:t>
            </w:r>
          </w:p>
        </w:tc>
      </w:tr>
      <w:tr w:rsidR="00C220C7" w14:paraId="19976DD3" w14:textId="77777777" w:rsidTr="00F31408">
        <w:trPr>
          <w:trHeight w:val="991"/>
        </w:trPr>
        <w:tc>
          <w:tcPr>
            <w:tcW w:w="2177" w:type="dxa"/>
            <w:vMerge/>
          </w:tcPr>
          <w:p w14:paraId="605DDBA3" w14:textId="77777777" w:rsidR="00C220C7" w:rsidRPr="00F31408" w:rsidRDefault="00C220C7" w:rsidP="00C220C7">
            <w:pPr>
              <w:rPr>
                <w:rFonts w:cs="Arial"/>
              </w:rPr>
            </w:pPr>
          </w:p>
        </w:tc>
        <w:tc>
          <w:tcPr>
            <w:tcW w:w="2790" w:type="dxa"/>
          </w:tcPr>
          <w:p w14:paraId="7504060B" w14:textId="77777777" w:rsidR="00C220C7" w:rsidRPr="00F31408" w:rsidRDefault="00C220C7" w:rsidP="00C220C7">
            <w:pPr>
              <w:rPr>
                <w:rFonts w:cs="Arial"/>
              </w:rPr>
            </w:pPr>
            <w:r w:rsidRPr="00F31408">
              <w:rPr>
                <w:rFonts w:cs="Arial"/>
              </w:rPr>
              <w:t>Ангина пекторис (вж. тока</w:t>
            </w:r>
          </w:p>
          <w:p w14:paraId="0BBFE4D1" w14:textId="3668D878" w:rsidR="00C220C7" w:rsidRPr="00F31408" w:rsidRDefault="00C220C7" w:rsidP="00C220C7">
            <w:pPr>
              <w:rPr>
                <w:rFonts w:cs="Arial"/>
              </w:rPr>
            </w:pPr>
            <w:r w:rsidRPr="00F31408">
              <w:rPr>
                <w:rFonts w:cs="Arial"/>
              </w:rPr>
              <w:t>4.4)</w:t>
            </w:r>
          </w:p>
        </w:tc>
        <w:tc>
          <w:tcPr>
            <w:tcW w:w="1536" w:type="dxa"/>
          </w:tcPr>
          <w:p w14:paraId="5BB9EF47" w14:textId="7B258FEB" w:rsidR="00C220C7" w:rsidRPr="00F31408" w:rsidRDefault="00C220C7" w:rsidP="00C220C7">
            <w:pPr>
              <w:rPr>
                <w:rFonts w:cs="Arial"/>
              </w:rPr>
            </w:pPr>
            <w:r w:rsidRPr="00F31408">
              <w:rPr>
                <w:rFonts w:cs="Arial"/>
              </w:rPr>
              <w:t>Много редки</w:t>
            </w:r>
          </w:p>
        </w:tc>
        <w:tc>
          <w:tcPr>
            <w:tcW w:w="1312" w:type="dxa"/>
          </w:tcPr>
          <w:p w14:paraId="071D7055" w14:textId="6B0F2879" w:rsidR="00C220C7" w:rsidRPr="00F31408" w:rsidRDefault="00C220C7" w:rsidP="00C220C7">
            <w:pPr>
              <w:rPr>
                <w:rFonts w:cs="Arial"/>
              </w:rPr>
            </w:pPr>
            <w:r w:rsidRPr="00F31408">
              <w:rPr>
                <w:rFonts w:cs="Arial"/>
              </w:rPr>
              <w:t>-</w:t>
            </w:r>
          </w:p>
        </w:tc>
        <w:tc>
          <w:tcPr>
            <w:tcW w:w="1535" w:type="dxa"/>
          </w:tcPr>
          <w:p w14:paraId="0F6B11D2" w14:textId="2346D27E" w:rsidR="00C220C7" w:rsidRPr="00F31408" w:rsidRDefault="00C220C7" w:rsidP="00C220C7">
            <w:pPr>
              <w:rPr>
                <w:rFonts w:cs="Arial"/>
              </w:rPr>
            </w:pPr>
            <w:r w:rsidRPr="00F31408">
              <w:rPr>
                <w:rFonts w:cs="Arial"/>
              </w:rPr>
              <w:t>-</w:t>
            </w:r>
          </w:p>
        </w:tc>
      </w:tr>
      <w:tr w:rsidR="00C220C7" w14:paraId="5F77FDF1" w14:textId="77777777" w:rsidTr="00F31408">
        <w:tc>
          <w:tcPr>
            <w:tcW w:w="2177" w:type="dxa"/>
            <w:vMerge/>
          </w:tcPr>
          <w:p w14:paraId="51F3C0E0" w14:textId="77777777" w:rsidR="00C220C7" w:rsidRPr="00F31408" w:rsidRDefault="00C220C7" w:rsidP="00C220C7">
            <w:pPr>
              <w:rPr>
                <w:rFonts w:cs="Arial"/>
              </w:rPr>
            </w:pPr>
          </w:p>
        </w:tc>
        <w:tc>
          <w:tcPr>
            <w:tcW w:w="2790" w:type="dxa"/>
            <w:vAlign w:val="bottom"/>
          </w:tcPr>
          <w:p w14:paraId="0F3B34E2" w14:textId="6546714B" w:rsidR="00C220C7" w:rsidRPr="00F31408" w:rsidRDefault="00C220C7" w:rsidP="00C220C7">
            <w:pPr>
              <w:rPr>
                <w:rFonts w:cs="Arial"/>
              </w:rPr>
            </w:pPr>
            <w:r w:rsidRPr="00F31408">
              <w:rPr>
                <w:rFonts w:cs="Arial"/>
              </w:rPr>
              <w:t>Аритмия (включително брадикардия,вентрикуларна гахикардия, лредсърдно мъждене)</w:t>
            </w:r>
          </w:p>
        </w:tc>
        <w:tc>
          <w:tcPr>
            <w:tcW w:w="1536" w:type="dxa"/>
            <w:vAlign w:val="center"/>
          </w:tcPr>
          <w:p w14:paraId="6D687DF8" w14:textId="5A754A26" w:rsidR="00C220C7" w:rsidRPr="00F31408" w:rsidRDefault="00C220C7" w:rsidP="00C220C7">
            <w:pPr>
              <w:rPr>
                <w:rFonts w:cs="Arial"/>
              </w:rPr>
            </w:pPr>
            <w:r w:rsidRPr="00F31408">
              <w:rPr>
                <w:rFonts w:cs="Arial"/>
              </w:rPr>
              <w:t>Много редки</w:t>
            </w:r>
          </w:p>
        </w:tc>
        <w:tc>
          <w:tcPr>
            <w:tcW w:w="1312" w:type="dxa"/>
            <w:vAlign w:val="center"/>
          </w:tcPr>
          <w:p w14:paraId="5CB571F4" w14:textId="60AA6FF7" w:rsidR="00C220C7" w:rsidRPr="00F31408" w:rsidRDefault="00C220C7" w:rsidP="00C220C7">
            <w:pPr>
              <w:rPr>
                <w:rFonts w:cs="Arial"/>
              </w:rPr>
            </w:pPr>
            <w:r w:rsidRPr="00F31408">
              <w:rPr>
                <w:rFonts w:cs="Arial"/>
              </w:rPr>
              <w:t>Много редки</w:t>
            </w:r>
          </w:p>
        </w:tc>
        <w:tc>
          <w:tcPr>
            <w:tcW w:w="1535" w:type="dxa"/>
          </w:tcPr>
          <w:p w14:paraId="37E175FB" w14:textId="0596409C" w:rsidR="00C220C7" w:rsidRPr="00F31408" w:rsidRDefault="00C220C7" w:rsidP="00C220C7">
            <w:pPr>
              <w:rPr>
                <w:rFonts w:cs="Arial"/>
              </w:rPr>
            </w:pPr>
            <w:r w:rsidRPr="00F31408">
              <w:rPr>
                <w:rFonts w:cs="Arial"/>
              </w:rPr>
              <w:t>-</w:t>
            </w:r>
          </w:p>
        </w:tc>
      </w:tr>
      <w:tr w:rsidR="00C220C7" w14:paraId="16946D1D" w14:textId="77777777" w:rsidTr="00F31408">
        <w:tc>
          <w:tcPr>
            <w:tcW w:w="2177" w:type="dxa"/>
            <w:vMerge/>
          </w:tcPr>
          <w:p w14:paraId="1955E5A3" w14:textId="77777777" w:rsidR="00C220C7" w:rsidRPr="00F31408" w:rsidRDefault="00C220C7" w:rsidP="00C220C7">
            <w:pPr>
              <w:rPr>
                <w:rFonts w:cs="Arial"/>
              </w:rPr>
            </w:pPr>
          </w:p>
        </w:tc>
        <w:tc>
          <w:tcPr>
            <w:tcW w:w="2790" w:type="dxa"/>
            <w:vAlign w:val="bottom"/>
          </w:tcPr>
          <w:p w14:paraId="0F5764F3" w14:textId="70394708" w:rsidR="00C220C7" w:rsidRPr="00F31408" w:rsidRDefault="00C220C7" w:rsidP="00C220C7">
            <w:pPr>
              <w:rPr>
                <w:rFonts w:cs="Arial"/>
              </w:rPr>
            </w:pPr>
            <w:r w:rsidRPr="00F31408">
              <w:rPr>
                <w:rFonts w:cs="Arial"/>
              </w:rPr>
              <w:t>Инфаркт на миокарда вероятно вторичен в следствие на тежка хипотония при високорискови пациенти (вж. точка 4.4)</w:t>
            </w:r>
          </w:p>
        </w:tc>
        <w:tc>
          <w:tcPr>
            <w:tcW w:w="1536" w:type="dxa"/>
            <w:vAlign w:val="center"/>
          </w:tcPr>
          <w:p w14:paraId="26C883BD" w14:textId="6066FE1B" w:rsidR="00C220C7" w:rsidRPr="00F31408" w:rsidRDefault="00C220C7" w:rsidP="00C220C7">
            <w:pPr>
              <w:rPr>
                <w:rFonts w:cs="Arial"/>
              </w:rPr>
            </w:pPr>
            <w:r w:rsidRPr="00F31408">
              <w:rPr>
                <w:rFonts w:cs="Arial"/>
              </w:rPr>
              <w:t>Много редки</w:t>
            </w:r>
          </w:p>
        </w:tc>
        <w:tc>
          <w:tcPr>
            <w:tcW w:w="1312" w:type="dxa"/>
            <w:vAlign w:val="center"/>
          </w:tcPr>
          <w:p w14:paraId="7572ABBE" w14:textId="6A2F49EB" w:rsidR="00C220C7" w:rsidRPr="00F31408" w:rsidRDefault="00C220C7" w:rsidP="00C220C7">
            <w:pPr>
              <w:rPr>
                <w:rFonts w:cs="Arial"/>
              </w:rPr>
            </w:pPr>
            <w:r w:rsidRPr="00F31408">
              <w:rPr>
                <w:rFonts w:cs="Arial"/>
              </w:rPr>
              <w:t>-</w:t>
            </w:r>
          </w:p>
        </w:tc>
        <w:tc>
          <w:tcPr>
            <w:tcW w:w="1535" w:type="dxa"/>
          </w:tcPr>
          <w:p w14:paraId="4B33A02B" w14:textId="33339CBB" w:rsidR="00C220C7" w:rsidRPr="00F31408" w:rsidRDefault="00C220C7" w:rsidP="00C220C7">
            <w:pPr>
              <w:rPr>
                <w:rFonts w:cs="Arial"/>
              </w:rPr>
            </w:pPr>
            <w:r w:rsidRPr="00F31408">
              <w:rPr>
                <w:rFonts w:cs="Arial"/>
              </w:rPr>
              <w:t>-</w:t>
            </w:r>
          </w:p>
        </w:tc>
      </w:tr>
      <w:tr w:rsidR="00C220C7" w14:paraId="67B7EA2A" w14:textId="77777777" w:rsidTr="00F31408">
        <w:tc>
          <w:tcPr>
            <w:tcW w:w="2177" w:type="dxa"/>
            <w:vMerge/>
          </w:tcPr>
          <w:p w14:paraId="572A9CB1" w14:textId="77777777" w:rsidR="00C220C7" w:rsidRPr="00F31408" w:rsidRDefault="00C220C7" w:rsidP="00C220C7">
            <w:pPr>
              <w:rPr>
                <w:rFonts w:cs="Arial"/>
              </w:rPr>
            </w:pPr>
          </w:p>
        </w:tc>
        <w:tc>
          <w:tcPr>
            <w:tcW w:w="2790" w:type="dxa"/>
            <w:vAlign w:val="bottom"/>
          </w:tcPr>
          <w:p w14:paraId="18CA241F" w14:textId="5E107C09" w:rsidR="00C220C7" w:rsidRPr="00F31408" w:rsidRDefault="00C220C7" w:rsidP="00C220C7">
            <w:pPr>
              <w:rPr>
                <w:rFonts w:cs="Arial"/>
              </w:rPr>
            </w:pPr>
            <w:r w:rsidRPr="00F31408">
              <w:rPr>
                <w:rFonts w:cs="Arial"/>
                <w:lang w:val="en-US"/>
              </w:rPr>
              <w:t xml:space="preserve">Torsade de pointes </w:t>
            </w:r>
            <w:r w:rsidRPr="00F31408">
              <w:rPr>
                <w:rFonts w:cs="Arial"/>
              </w:rPr>
              <w:t>(потенциално фатални) (вж. точки 4.4 и 4.5)</w:t>
            </w:r>
          </w:p>
        </w:tc>
        <w:tc>
          <w:tcPr>
            <w:tcW w:w="1536" w:type="dxa"/>
          </w:tcPr>
          <w:p w14:paraId="1DD8695E" w14:textId="313A0B85" w:rsidR="00C220C7" w:rsidRPr="00F31408" w:rsidRDefault="00C220C7" w:rsidP="00C220C7">
            <w:pPr>
              <w:rPr>
                <w:rFonts w:cs="Arial"/>
              </w:rPr>
            </w:pPr>
            <w:r w:rsidRPr="00F31408">
              <w:rPr>
                <w:rFonts w:cs="Arial"/>
              </w:rPr>
              <w:t>-</w:t>
            </w:r>
          </w:p>
        </w:tc>
        <w:tc>
          <w:tcPr>
            <w:tcW w:w="1312" w:type="dxa"/>
            <w:vAlign w:val="center"/>
          </w:tcPr>
          <w:p w14:paraId="124F0628" w14:textId="397357C3" w:rsidR="00C220C7" w:rsidRPr="00F31408" w:rsidRDefault="00C220C7" w:rsidP="00C220C7">
            <w:pPr>
              <w:rPr>
                <w:rFonts w:cs="Arial"/>
              </w:rPr>
            </w:pPr>
            <w:r w:rsidRPr="00F31408">
              <w:rPr>
                <w:rFonts w:cs="Arial"/>
              </w:rPr>
              <w:t>С неизвестна честота</w:t>
            </w:r>
          </w:p>
        </w:tc>
        <w:tc>
          <w:tcPr>
            <w:tcW w:w="1535" w:type="dxa"/>
          </w:tcPr>
          <w:p w14:paraId="7CABD92F" w14:textId="18FA9C4C" w:rsidR="00C220C7" w:rsidRPr="00F31408" w:rsidRDefault="00C220C7" w:rsidP="00C220C7">
            <w:pPr>
              <w:rPr>
                <w:rFonts w:cs="Arial"/>
              </w:rPr>
            </w:pPr>
            <w:r w:rsidRPr="00F31408">
              <w:rPr>
                <w:rFonts w:cs="Arial"/>
              </w:rPr>
              <w:t>-</w:t>
            </w:r>
          </w:p>
        </w:tc>
      </w:tr>
      <w:tr w:rsidR="00C220C7" w14:paraId="0AFDF67A" w14:textId="77777777" w:rsidTr="00F31408">
        <w:tc>
          <w:tcPr>
            <w:tcW w:w="2177" w:type="dxa"/>
            <w:vMerge w:val="restart"/>
          </w:tcPr>
          <w:p w14:paraId="159F4479" w14:textId="7195C034" w:rsidR="00C220C7" w:rsidRPr="00F31408" w:rsidRDefault="00C220C7" w:rsidP="00C220C7">
            <w:pPr>
              <w:rPr>
                <w:rFonts w:cs="Arial"/>
              </w:rPr>
            </w:pPr>
            <w:r w:rsidRPr="00F31408">
              <w:rPr>
                <w:rFonts w:cs="Arial"/>
                <w:b/>
                <w:bCs/>
              </w:rPr>
              <w:t>Съдови нарушения</w:t>
            </w:r>
          </w:p>
        </w:tc>
        <w:tc>
          <w:tcPr>
            <w:tcW w:w="2790" w:type="dxa"/>
            <w:vAlign w:val="bottom"/>
          </w:tcPr>
          <w:p w14:paraId="1A128910" w14:textId="72B565EC" w:rsidR="00C220C7" w:rsidRPr="00F31408" w:rsidRDefault="00C220C7" w:rsidP="00C220C7">
            <w:pPr>
              <w:rPr>
                <w:rFonts w:cs="Arial"/>
              </w:rPr>
            </w:pPr>
            <w:r w:rsidRPr="00F31408">
              <w:rPr>
                <w:rFonts w:cs="Arial"/>
              </w:rPr>
              <w:t>Хипотония и свързани с нея ефекти (вж. точка 4.4)</w:t>
            </w:r>
          </w:p>
        </w:tc>
        <w:tc>
          <w:tcPr>
            <w:tcW w:w="1536" w:type="dxa"/>
            <w:vAlign w:val="center"/>
          </w:tcPr>
          <w:p w14:paraId="5420D9A4" w14:textId="3413F8D5" w:rsidR="00C220C7" w:rsidRPr="00F31408" w:rsidRDefault="00C220C7" w:rsidP="00C220C7">
            <w:pPr>
              <w:rPr>
                <w:rFonts w:cs="Arial"/>
              </w:rPr>
            </w:pPr>
            <w:r w:rsidRPr="00F31408">
              <w:rPr>
                <w:rFonts w:cs="Arial"/>
              </w:rPr>
              <w:t>Чести</w:t>
            </w:r>
          </w:p>
        </w:tc>
        <w:tc>
          <w:tcPr>
            <w:tcW w:w="1312" w:type="dxa"/>
            <w:vAlign w:val="center"/>
          </w:tcPr>
          <w:p w14:paraId="0B4A5694" w14:textId="7D3DE502" w:rsidR="00C220C7" w:rsidRPr="00F31408" w:rsidRDefault="00C220C7" w:rsidP="00C220C7">
            <w:pPr>
              <w:rPr>
                <w:rFonts w:cs="Arial"/>
              </w:rPr>
            </w:pPr>
            <w:r w:rsidRPr="00F31408">
              <w:rPr>
                <w:rFonts w:cs="Arial"/>
              </w:rPr>
              <w:t>Много редки</w:t>
            </w:r>
          </w:p>
        </w:tc>
        <w:tc>
          <w:tcPr>
            <w:tcW w:w="1535" w:type="dxa"/>
            <w:vAlign w:val="center"/>
          </w:tcPr>
          <w:p w14:paraId="3DE811C1" w14:textId="4A877191" w:rsidR="00C220C7" w:rsidRPr="00F31408" w:rsidRDefault="00C220C7" w:rsidP="00C220C7">
            <w:pPr>
              <w:rPr>
                <w:rFonts w:cs="Arial"/>
              </w:rPr>
            </w:pPr>
            <w:r w:rsidRPr="00F31408">
              <w:rPr>
                <w:rFonts w:cs="Arial"/>
              </w:rPr>
              <w:t>-</w:t>
            </w:r>
          </w:p>
        </w:tc>
      </w:tr>
      <w:tr w:rsidR="00C220C7" w14:paraId="55994955" w14:textId="77777777" w:rsidTr="00F31408">
        <w:tc>
          <w:tcPr>
            <w:tcW w:w="2177" w:type="dxa"/>
            <w:vMerge/>
          </w:tcPr>
          <w:p w14:paraId="4BE5663C" w14:textId="77777777" w:rsidR="00C220C7" w:rsidRPr="00F31408" w:rsidRDefault="00C220C7" w:rsidP="00C220C7">
            <w:pPr>
              <w:rPr>
                <w:rFonts w:cs="Arial"/>
              </w:rPr>
            </w:pPr>
          </w:p>
        </w:tc>
        <w:tc>
          <w:tcPr>
            <w:tcW w:w="2790" w:type="dxa"/>
          </w:tcPr>
          <w:p w14:paraId="3A8FE350" w14:textId="491C9A9F" w:rsidR="00C220C7" w:rsidRPr="00F31408" w:rsidRDefault="00C220C7" w:rsidP="00C220C7">
            <w:pPr>
              <w:rPr>
                <w:rFonts w:cs="Arial"/>
              </w:rPr>
            </w:pPr>
            <w:r w:rsidRPr="00F31408">
              <w:rPr>
                <w:rFonts w:cs="Arial"/>
              </w:rPr>
              <w:t>Васкулит</w:t>
            </w:r>
          </w:p>
        </w:tc>
        <w:tc>
          <w:tcPr>
            <w:tcW w:w="1536" w:type="dxa"/>
          </w:tcPr>
          <w:p w14:paraId="3D1053E5" w14:textId="6964A285" w:rsidR="00C220C7" w:rsidRPr="00F31408" w:rsidRDefault="00C220C7" w:rsidP="00C220C7">
            <w:pPr>
              <w:rPr>
                <w:rFonts w:cs="Arial"/>
              </w:rPr>
            </w:pPr>
            <w:r w:rsidRPr="00F31408">
              <w:rPr>
                <w:rFonts w:cs="Arial"/>
              </w:rPr>
              <w:t>Нечести*</w:t>
            </w:r>
          </w:p>
        </w:tc>
        <w:tc>
          <w:tcPr>
            <w:tcW w:w="1312" w:type="dxa"/>
          </w:tcPr>
          <w:p w14:paraId="366F5E3F" w14:textId="54BBC393" w:rsidR="00C220C7" w:rsidRPr="00F31408" w:rsidRDefault="00C220C7" w:rsidP="00C220C7">
            <w:pPr>
              <w:rPr>
                <w:rFonts w:cs="Arial"/>
              </w:rPr>
            </w:pPr>
            <w:r w:rsidRPr="00F31408">
              <w:rPr>
                <w:rFonts w:cs="Arial"/>
              </w:rPr>
              <w:t>-</w:t>
            </w:r>
          </w:p>
        </w:tc>
        <w:tc>
          <w:tcPr>
            <w:tcW w:w="1535" w:type="dxa"/>
            <w:vAlign w:val="center"/>
          </w:tcPr>
          <w:p w14:paraId="697F597F" w14:textId="424AB086" w:rsidR="00C220C7" w:rsidRPr="00F31408" w:rsidRDefault="00C220C7" w:rsidP="00C220C7">
            <w:pPr>
              <w:rPr>
                <w:rFonts w:cs="Arial"/>
              </w:rPr>
            </w:pPr>
            <w:r w:rsidRPr="00F31408">
              <w:rPr>
                <w:rFonts w:cs="Arial"/>
              </w:rPr>
              <w:t>-</w:t>
            </w:r>
          </w:p>
        </w:tc>
      </w:tr>
      <w:tr w:rsidR="00C220C7" w14:paraId="1DCB0CE9" w14:textId="77777777" w:rsidTr="00F31408">
        <w:tc>
          <w:tcPr>
            <w:tcW w:w="2177" w:type="dxa"/>
            <w:vMerge/>
          </w:tcPr>
          <w:p w14:paraId="749F26CE" w14:textId="77777777" w:rsidR="00C220C7" w:rsidRPr="00F31408" w:rsidRDefault="00C220C7" w:rsidP="00C220C7">
            <w:pPr>
              <w:rPr>
                <w:rFonts w:cs="Arial"/>
              </w:rPr>
            </w:pPr>
          </w:p>
        </w:tc>
        <w:tc>
          <w:tcPr>
            <w:tcW w:w="2790" w:type="dxa"/>
            <w:vAlign w:val="bottom"/>
          </w:tcPr>
          <w:p w14:paraId="18A0A061" w14:textId="4662E184" w:rsidR="00C220C7" w:rsidRPr="00F31408" w:rsidRDefault="00C220C7" w:rsidP="00C220C7">
            <w:pPr>
              <w:rPr>
                <w:rFonts w:cs="Arial"/>
              </w:rPr>
            </w:pPr>
            <w:r w:rsidRPr="00F31408">
              <w:rPr>
                <w:rFonts w:cs="Arial"/>
              </w:rPr>
              <w:t>Зачервяване</w:t>
            </w:r>
          </w:p>
        </w:tc>
        <w:tc>
          <w:tcPr>
            <w:tcW w:w="1536" w:type="dxa"/>
            <w:vAlign w:val="bottom"/>
          </w:tcPr>
          <w:p w14:paraId="6535604F" w14:textId="5A7260D0" w:rsidR="00C220C7" w:rsidRPr="00F31408" w:rsidRDefault="00C220C7" w:rsidP="00C220C7">
            <w:pPr>
              <w:rPr>
                <w:rFonts w:cs="Arial"/>
              </w:rPr>
            </w:pPr>
            <w:r w:rsidRPr="00F31408">
              <w:rPr>
                <w:rFonts w:cs="Arial"/>
              </w:rPr>
              <w:t>Редки</w:t>
            </w:r>
          </w:p>
        </w:tc>
        <w:tc>
          <w:tcPr>
            <w:tcW w:w="1312" w:type="dxa"/>
          </w:tcPr>
          <w:p w14:paraId="4BBCA3F2" w14:textId="70F8FFEC" w:rsidR="00C220C7" w:rsidRPr="00F31408" w:rsidRDefault="00C220C7" w:rsidP="00C220C7">
            <w:pPr>
              <w:rPr>
                <w:rFonts w:cs="Arial"/>
              </w:rPr>
            </w:pPr>
            <w:r w:rsidRPr="00F31408">
              <w:rPr>
                <w:rFonts w:cs="Arial"/>
              </w:rPr>
              <w:t>-</w:t>
            </w:r>
          </w:p>
        </w:tc>
        <w:tc>
          <w:tcPr>
            <w:tcW w:w="1535" w:type="dxa"/>
          </w:tcPr>
          <w:p w14:paraId="1EEA4E50" w14:textId="1B7F0450" w:rsidR="00C220C7" w:rsidRPr="00F31408" w:rsidRDefault="00C220C7" w:rsidP="00C220C7">
            <w:pPr>
              <w:rPr>
                <w:rFonts w:cs="Arial"/>
              </w:rPr>
            </w:pPr>
            <w:r w:rsidRPr="00F31408">
              <w:rPr>
                <w:rFonts w:cs="Arial"/>
              </w:rPr>
              <w:t>-</w:t>
            </w:r>
          </w:p>
        </w:tc>
      </w:tr>
      <w:tr w:rsidR="00C220C7" w14:paraId="458C98DA" w14:textId="77777777" w:rsidTr="00F31408">
        <w:tc>
          <w:tcPr>
            <w:tcW w:w="2177" w:type="dxa"/>
            <w:vMerge/>
          </w:tcPr>
          <w:p w14:paraId="11BB02D1" w14:textId="77777777" w:rsidR="00C220C7" w:rsidRPr="00F31408" w:rsidRDefault="00C220C7" w:rsidP="00C220C7">
            <w:pPr>
              <w:rPr>
                <w:rFonts w:cs="Arial"/>
              </w:rPr>
            </w:pPr>
          </w:p>
        </w:tc>
        <w:tc>
          <w:tcPr>
            <w:tcW w:w="2790" w:type="dxa"/>
            <w:vAlign w:val="center"/>
          </w:tcPr>
          <w:p w14:paraId="4E67B9EE" w14:textId="72D52309" w:rsidR="00C220C7" w:rsidRPr="00F31408" w:rsidRDefault="00C220C7" w:rsidP="00C220C7">
            <w:pPr>
              <w:rPr>
                <w:rFonts w:cs="Arial"/>
              </w:rPr>
            </w:pPr>
            <w:r w:rsidRPr="00F31408">
              <w:rPr>
                <w:rFonts w:cs="Arial"/>
              </w:rPr>
              <w:t xml:space="preserve">Феномен на </w:t>
            </w:r>
            <w:r w:rsidRPr="00F31408">
              <w:rPr>
                <w:rFonts w:cs="Arial"/>
                <w:lang w:val="en-US"/>
              </w:rPr>
              <w:t>Raynaud</w:t>
            </w:r>
          </w:p>
        </w:tc>
        <w:tc>
          <w:tcPr>
            <w:tcW w:w="1536" w:type="dxa"/>
          </w:tcPr>
          <w:p w14:paraId="7C54CD87" w14:textId="75AE1663" w:rsidR="00C220C7" w:rsidRPr="00F31408" w:rsidRDefault="00C220C7" w:rsidP="00C220C7">
            <w:pPr>
              <w:rPr>
                <w:rFonts w:cs="Arial"/>
              </w:rPr>
            </w:pPr>
            <w:r w:rsidRPr="00F31408">
              <w:rPr>
                <w:rFonts w:cs="Arial"/>
              </w:rPr>
              <w:t>С неизвестна честота</w:t>
            </w:r>
          </w:p>
        </w:tc>
        <w:tc>
          <w:tcPr>
            <w:tcW w:w="1312" w:type="dxa"/>
          </w:tcPr>
          <w:p w14:paraId="5C5DADBA" w14:textId="329DD990" w:rsidR="00C220C7" w:rsidRPr="00F31408" w:rsidRDefault="00C220C7" w:rsidP="00C220C7">
            <w:pPr>
              <w:rPr>
                <w:rFonts w:cs="Arial"/>
              </w:rPr>
            </w:pPr>
            <w:r w:rsidRPr="00F31408">
              <w:rPr>
                <w:rFonts w:cs="Arial"/>
              </w:rPr>
              <w:t>-</w:t>
            </w:r>
          </w:p>
        </w:tc>
        <w:tc>
          <w:tcPr>
            <w:tcW w:w="1535" w:type="dxa"/>
          </w:tcPr>
          <w:p w14:paraId="10DE91D0" w14:textId="6CB03E0E" w:rsidR="00C220C7" w:rsidRPr="00F31408" w:rsidRDefault="00C220C7" w:rsidP="00C220C7">
            <w:pPr>
              <w:rPr>
                <w:rFonts w:cs="Arial"/>
              </w:rPr>
            </w:pPr>
            <w:r w:rsidRPr="00F31408">
              <w:rPr>
                <w:rFonts w:cs="Arial"/>
              </w:rPr>
              <w:t>-</w:t>
            </w:r>
          </w:p>
        </w:tc>
      </w:tr>
      <w:tr w:rsidR="00C220C7" w14:paraId="18632FA3" w14:textId="77777777" w:rsidTr="00F31408">
        <w:tc>
          <w:tcPr>
            <w:tcW w:w="2177" w:type="dxa"/>
            <w:vMerge w:val="restart"/>
            <w:vAlign w:val="center"/>
          </w:tcPr>
          <w:p w14:paraId="3DD0B731" w14:textId="41B49CFD" w:rsidR="00C220C7" w:rsidRPr="00F31408" w:rsidRDefault="00C220C7" w:rsidP="00C220C7">
            <w:pPr>
              <w:rPr>
                <w:rFonts w:cs="Arial"/>
              </w:rPr>
            </w:pPr>
            <w:r w:rsidRPr="00F31408">
              <w:rPr>
                <w:rFonts w:cs="Arial"/>
                <w:b/>
                <w:bCs/>
              </w:rPr>
              <w:t>Респираторни, гръдни и медиастинални нарушения</w:t>
            </w:r>
          </w:p>
        </w:tc>
        <w:tc>
          <w:tcPr>
            <w:tcW w:w="2790" w:type="dxa"/>
            <w:vAlign w:val="center"/>
          </w:tcPr>
          <w:p w14:paraId="0B109E08" w14:textId="404989A2" w:rsidR="00C220C7" w:rsidRPr="00F31408" w:rsidRDefault="00C220C7" w:rsidP="00C220C7">
            <w:pPr>
              <w:rPr>
                <w:rFonts w:cs="Arial"/>
              </w:rPr>
            </w:pPr>
            <w:r w:rsidRPr="00F31408">
              <w:rPr>
                <w:rFonts w:cs="Arial"/>
              </w:rPr>
              <w:t>Кашлица (вж. точка 4.4)</w:t>
            </w:r>
          </w:p>
        </w:tc>
        <w:tc>
          <w:tcPr>
            <w:tcW w:w="1536" w:type="dxa"/>
            <w:vAlign w:val="center"/>
          </w:tcPr>
          <w:p w14:paraId="178B5A79" w14:textId="6031F114" w:rsidR="00C220C7" w:rsidRPr="00F31408" w:rsidRDefault="00C220C7" w:rsidP="00C220C7">
            <w:pPr>
              <w:rPr>
                <w:rFonts w:cs="Arial"/>
              </w:rPr>
            </w:pPr>
            <w:r w:rsidRPr="00F31408">
              <w:rPr>
                <w:rFonts w:cs="Arial"/>
              </w:rPr>
              <w:t>Чести</w:t>
            </w:r>
          </w:p>
        </w:tc>
        <w:tc>
          <w:tcPr>
            <w:tcW w:w="1312" w:type="dxa"/>
          </w:tcPr>
          <w:p w14:paraId="581A84F6" w14:textId="76FA7550" w:rsidR="00C220C7" w:rsidRPr="00F31408" w:rsidRDefault="00C220C7" w:rsidP="00C220C7">
            <w:pPr>
              <w:rPr>
                <w:rFonts w:cs="Arial"/>
              </w:rPr>
            </w:pPr>
            <w:r w:rsidRPr="00F31408">
              <w:rPr>
                <w:rFonts w:cs="Arial"/>
              </w:rPr>
              <w:t>-</w:t>
            </w:r>
          </w:p>
        </w:tc>
        <w:tc>
          <w:tcPr>
            <w:tcW w:w="1535" w:type="dxa"/>
            <w:vAlign w:val="bottom"/>
          </w:tcPr>
          <w:p w14:paraId="0C6BA344" w14:textId="0173713B" w:rsidR="00C220C7" w:rsidRPr="00F31408" w:rsidRDefault="00C220C7" w:rsidP="00C220C7">
            <w:pPr>
              <w:rPr>
                <w:rFonts w:cs="Arial"/>
              </w:rPr>
            </w:pPr>
            <w:r w:rsidRPr="00F31408">
              <w:rPr>
                <w:rFonts w:cs="Arial"/>
              </w:rPr>
              <w:t>С неизвестна честота</w:t>
            </w:r>
          </w:p>
        </w:tc>
      </w:tr>
      <w:tr w:rsidR="00C220C7" w14:paraId="09E363CC" w14:textId="77777777" w:rsidTr="00F31408">
        <w:tc>
          <w:tcPr>
            <w:tcW w:w="2177" w:type="dxa"/>
            <w:vMerge/>
            <w:vAlign w:val="center"/>
          </w:tcPr>
          <w:p w14:paraId="30274214" w14:textId="77777777" w:rsidR="00C220C7" w:rsidRPr="00F31408" w:rsidRDefault="00C220C7" w:rsidP="00C220C7">
            <w:pPr>
              <w:rPr>
                <w:rFonts w:cs="Arial"/>
              </w:rPr>
            </w:pPr>
          </w:p>
        </w:tc>
        <w:tc>
          <w:tcPr>
            <w:tcW w:w="2790" w:type="dxa"/>
            <w:vAlign w:val="center"/>
          </w:tcPr>
          <w:p w14:paraId="6D1EC624" w14:textId="44CB9EF4" w:rsidR="00C220C7" w:rsidRPr="00F31408" w:rsidRDefault="00C220C7" w:rsidP="00C220C7">
            <w:pPr>
              <w:rPr>
                <w:rFonts w:cs="Arial"/>
              </w:rPr>
            </w:pPr>
            <w:r w:rsidRPr="00F31408">
              <w:rPr>
                <w:rFonts w:cs="Arial"/>
              </w:rPr>
              <w:t>Диспнея</w:t>
            </w:r>
          </w:p>
        </w:tc>
        <w:tc>
          <w:tcPr>
            <w:tcW w:w="1536" w:type="dxa"/>
            <w:vAlign w:val="center"/>
          </w:tcPr>
          <w:p w14:paraId="50A43ADA" w14:textId="529DCB29" w:rsidR="00C220C7" w:rsidRPr="00F31408" w:rsidRDefault="00C220C7" w:rsidP="00C220C7">
            <w:pPr>
              <w:rPr>
                <w:rFonts w:cs="Arial"/>
              </w:rPr>
            </w:pPr>
            <w:r w:rsidRPr="00F31408">
              <w:rPr>
                <w:rFonts w:cs="Arial"/>
              </w:rPr>
              <w:t>Чести</w:t>
            </w:r>
          </w:p>
        </w:tc>
        <w:tc>
          <w:tcPr>
            <w:tcW w:w="1312" w:type="dxa"/>
          </w:tcPr>
          <w:p w14:paraId="4772AD10" w14:textId="0A87C501" w:rsidR="00C220C7" w:rsidRPr="00F31408" w:rsidRDefault="00C220C7" w:rsidP="00C220C7">
            <w:pPr>
              <w:rPr>
                <w:rFonts w:cs="Arial"/>
              </w:rPr>
            </w:pPr>
            <w:r w:rsidRPr="00F31408">
              <w:rPr>
                <w:rFonts w:cs="Arial"/>
              </w:rPr>
              <w:t>-</w:t>
            </w:r>
          </w:p>
        </w:tc>
        <w:tc>
          <w:tcPr>
            <w:tcW w:w="1535" w:type="dxa"/>
            <w:vAlign w:val="bottom"/>
          </w:tcPr>
          <w:p w14:paraId="15661FEC" w14:textId="159D7A6D" w:rsidR="00C220C7" w:rsidRPr="00F31408" w:rsidRDefault="00C220C7" w:rsidP="00C220C7">
            <w:pPr>
              <w:rPr>
                <w:rFonts w:cs="Arial"/>
              </w:rPr>
            </w:pPr>
            <w:r w:rsidRPr="00F31408">
              <w:rPr>
                <w:rFonts w:cs="Arial"/>
              </w:rPr>
              <w:t>С неизвестна честота</w:t>
            </w:r>
          </w:p>
        </w:tc>
      </w:tr>
      <w:tr w:rsidR="00C220C7" w14:paraId="23A891DA" w14:textId="77777777" w:rsidTr="00F31408">
        <w:tc>
          <w:tcPr>
            <w:tcW w:w="2177" w:type="dxa"/>
            <w:vMerge/>
            <w:vAlign w:val="center"/>
          </w:tcPr>
          <w:p w14:paraId="73785263" w14:textId="77777777" w:rsidR="00C220C7" w:rsidRPr="00F31408" w:rsidRDefault="00C220C7" w:rsidP="00C220C7">
            <w:pPr>
              <w:rPr>
                <w:rFonts w:cs="Arial"/>
              </w:rPr>
            </w:pPr>
          </w:p>
        </w:tc>
        <w:tc>
          <w:tcPr>
            <w:tcW w:w="2790" w:type="dxa"/>
            <w:vAlign w:val="bottom"/>
          </w:tcPr>
          <w:p w14:paraId="69FD9287" w14:textId="556E70E0" w:rsidR="00C220C7" w:rsidRPr="00F31408" w:rsidRDefault="00C220C7" w:rsidP="00C220C7">
            <w:pPr>
              <w:rPr>
                <w:rFonts w:cs="Arial"/>
              </w:rPr>
            </w:pPr>
            <w:r w:rsidRPr="00F31408">
              <w:rPr>
                <w:rFonts w:cs="Arial"/>
              </w:rPr>
              <w:t>Бронхоспазъм</w:t>
            </w:r>
          </w:p>
        </w:tc>
        <w:tc>
          <w:tcPr>
            <w:tcW w:w="1536" w:type="dxa"/>
            <w:vAlign w:val="center"/>
          </w:tcPr>
          <w:p w14:paraId="3FEB3AE8" w14:textId="08ED33F2" w:rsidR="00C220C7" w:rsidRPr="00F31408" w:rsidRDefault="00C220C7" w:rsidP="00C220C7">
            <w:pPr>
              <w:rPr>
                <w:rFonts w:cs="Arial"/>
              </w:rPr>
            </w:pPr>
            <w:r w:rsidRPr="00F31408">
              <w:rPr>
                <w:rFonts w:cs="Arial"/>
              </w:rPr>
              <w:t>Нечести</w:t>
            </w:r>
          </w:p>
        </w:tc>
        <w:tc>
          <w:tcPr>
            <w:tcW w:w="1312" w:type="dxa"/>
            <w:vAlign w:val="center"/>
          </w:tcPr>
          <w:p w14:paraId="3E3FA568" w14:textId="0EEE73FA" w:rsidR="00C220C7" w:rsidRPr="00F31408" w:rsidRDefault="00C220C7" w:rsidP="00C220C7">
            <w:pPr>
              <w:rPr>
                <w:rFonts w:cs="Arial"/>
              </w:rPr>
            </w:pPr>
            <w:r w:rsidRPr="00F31408">
              <w:rPr>
                <w:rFonts w:cs="Arial"/>
              </w:rPr>
              <w:t>-</w:t>
            </w:r>
          </w:p>
        </w:tc>
        <w:tc>
          <w:tcPr>
            <w:tcW w:w="1535" w:type="dxa"/>
            <w:vAlign w:val="center"/>
          </w:tcPr>
          <w:p w14:paraId="2AB9596E" w14:textId="6CE405F9" w:rsidR="00C220C7" w:rsidRPr="00F31408" w:rsidRDefault="00C220C7" w:rsidP="00C220C7">
            <w:pPr>
              <w:rPr>
                <w:rFonts w:cs="Arial"/>
              </w:rPr>
            </w:pPr>
            <w:r w:rsidRPr="00F31408">
              <w:rPr>
                <w:rFonts w:cs="Arial"/>
              </w:rPr>
              <w:t>-</w:t>
            </w:r>
          </w:p>
        </w:tc>
      </w:tr>
      <w:tr w:rsidR="00C220C7" w14:paraId="309552E8" w14:textId="77777777" w:rsidTr="00F31408">
        <w:tc>
          <w:tcPr>
            <w:tcW w:w="2177" w:type="dxa"/>
            <w:vMerge/>
            <w:vAlign w:val="center"/>
          </w:tcPr>
          <w:p w14:paraId="14F01737" w14:textId="77777777" w:rsidR="00C220C7" w:rsidRPr="00F31408" w:rsidRDefault="00C220C7" w:rsidP="00C220C7">
            <w:pPr>
              <w:rPr>
                <w:rFonts w:cs="Arial"/>
              </w:rPr>
            </w:pPr>
          </w:p>
        </w:tc>
        <w:tc>
          <w:tcPr>
            <w:tcW w:w="2790" w:type="dxa"/>
            <w:vAlign w:val="bottom"/>
          </w:tcPr>
          <w:p w14:paraId="59B7433D" w14:textId="02C61E97" w:rsidR="00C220C7" w:rsidRPr="00F31408" w:rsidRDefault="00C220C7" w:rsidP="00C220C7">
            <w:pPr>
              <w:rPr>
                <w:rFonts w:cs="Arial"/>
              </w:rPr>
            </w:pPr>
            <w:r w:rsidRPr="00F31408">
              <w:rPr>
                <w:rFonts w:cs="Arial"/>
              </w:rPr>
              <w:t>Еозинофилна пневмония</w:t>
            </w:r>
          </w:p>
        </w:tc>
        <w:tc>
          <w:tcPr>
            <w:tcW w:w="1536" w:type="dxa"/>
            <w:vAlign w:val="bottom"/>
          </w:tcPr>
          <w:p w14:paraId="669B6615" w14:textId="05904786" w:rsidR="00C220C7" w:rsidRPr="00F31408" w:rsidRDefault="00C220C7" w:rsidP="00C220C7">
            <w:pPr>
              <w:rPr>
                <w:rFonts w:cs="Arial"/>
              </w:rPr>
            </w:pPr>
            <w:r w:rsidRPr="00F31408">
              <w:rPr>
                <w:rFonts w:cs="Arial"/>
              </w:rPr>
              <w:t>Много редки</w:t>
            </w:r>
          </w:p>
        </w:tc>
        <w:tc>
          <w:tcPr>
            <w:tcW w:w="1312" w:type="dxa"/>
          </w:tcPr>
          <w:p w14:paraId="72A8152F" w14:textId="77777777" w:rsidR="00C220C7" w:rsidRPr="00F31408" w:rsidRDefault="00C220C7" w:rsidP="00C220C7">
            <w:pPr>
              <w:rPr>
                <w:rFonts w:cs="Arial"/>
              </w:rPr>
            </w:pPr>
          </w:p>
        </w:tc>
        <w:tc>
          <w:tcPr>
            <w:tcW w:w="1535" w:type="dxa"/>
            <w:vAlign w:val="center"/>
          </w:tcPr>
          <w:p w14:paraId="354198F2" w14:textId="0B1489CC" w:rsidR="00C220C7" w:rsidRPr="00F31408" w:rsidRDefault="00C220C7" w:rsidP="00C220C7">
            <w:pPr>
              <w:rPr>
                <w:rFonts w:cs="Arial"/>
              </w:rPr>
            </w:pPr>
            <w:r w:rsidRPr="00F31408">
              <w:rPr>
                <w:rFonts w:cs="Arial"/>
              </w:rPr>
              <w:t>-</w:t>
            </w:r>
          </w:p>
        </w:tc>
      </w:tr>
      <w:tr w:rsidR="00C220C7" w14:paraId="5792026D" w14:textId="77777777" w:rsidTr="00F31408">
        <w:tc>
          <w:tcPr>
            <w:tcW w:w="2177" w:type="dxa"/>
            <w:vMerge w:val="restart"/>
            <w:vAlign w:val="center"/>
          </w:tcPr>
          <w:p w14:paraId="6B9A63B2" w14:textId="48F77418" w:rsidR="00C220C7" w:rsidRPr="00F31408" w:rsidRDefault="00C220C7" w:rsidP="00C220C7">
            <w:pPr>
              <w:rPr>
                <w:rFonts w:cs="Arial"/>
              </w:rPr>
            </w:pPr>
            <w:r w:rsidRPr="00F31408">
              <w:rPr>
                <w:rFonts w:cs="Arial"/>
                <w:b/>
                <w:bCs/>
              </w:rPr>
              <w:t>Стомашно-чревни нарушения</w:t>
            </w:r>
          </w:p>
        </w:tc>
        <w:tc>
          <w:tcPr>
            <w:tcW w:w="2790" w:type="dxa"/>
            <w:vAlign w:val="bottom"/>
          </w:tcPr>
          <w:p w14:paraId="1CEFA691" w14:textId="5CAA1E76" w:rsidR="00C220C7" w:rsidRPr="00F31408" w:rsidRDefault="00C220C7" w:rsidP="00C220C7">
            <w:pPr>
              <w:rPr>
                <w:rFonts w:cs="Arial"/>
              </w:rPr>
            </w:pPr>
            <w:r w:rsidRPr="00F31408">
              <w:rPr>
                <w:rFonts w:cs="Arial"/>
              </w:rPr>
              <w:t>Коремна болка</w:t>
            </w:r>
          </w:p>
        </w:tc>
        <w:tc>
          <w:tcPr>
            <w:tcW w:w="1536" w:type="dxa"/>
            <w:vAlign w:val="bottom"/>
          </w:tcPr>
          <w:p w14:paraId="30D5C8BE" w14:textId="055F8ABC" w:rsidR="00C220C7" w:rsidRPr="00F31408" w:rsidRDefault="00C220C7" w:rsidP="00C220C7">
            <w:pPr>
              <w:rPr>
                <w:rFonts w:cs="Arial"/>
              </w:rPr>
            </w:pPr>
            <w:r w:rsidRPr="00F31408">
              <w:rPr>
                <w:rFonts w:cs="Arial"/>
              </w:rPr>
              <w:t>Чести</w:t>
            </w:r>
          </w:p>
        </w:tc>
        <w:tc>
          <w:tcPr>
            <w:tcW w:w="1312" w:type="dxa"/>
          </w:tcPr>
          <w:p w14:paraId="1482E01E" w14:textId="77777777" w:rsidR="00C220C7" w:rsidRPr="00F31408" w:rsidRDefault="00C220C7" w:rsidP="00C220C7">
            <w:pPr>
              <w:rPr>
                <w:rFonts w:cs="Arial"/>
              </w:rPr>
            </w:pPr>
          </w:p>
        </w:tc>
        <w:tc>
          <w:tcPr>
            <w:tcW w:w="1535" w:type="dxa"/>
            <w:vAlign w:val="bottom"/>
          </w:tcPr>
          <w:p w14:paraId="7BDC901F" w14:textId="3D59F70F" w:rsidR="00C220C7" w:rsidRPr="00F31408" w:rsidRDefault="00C220C7" w:rsidP="00C220C7">
            <w:pPr>
              <w:rPr>
                <w:rFonts w:cs="Arial"/>
              </w:rPr>
            </w:pPr>
            <w:r w:rsidRPr="00F31408">
              <w:rPr>
                <w:rFonts w:cs="Arial"/>
              </w:rPr>
              <w:t>Чести</w:t>
            </w:r>
          </w:p>
        </w:tc>
      </w:tr>
      <w:tr w:rsidR="00C220C7" w14:paraId="585D8B96" w14:textId="77777777" w:rsidTr="00F31408">
        <w:tc>
          <w:tcPr>
            <w:tcW w:w="2177" w:type="dxa"/>
            <w:vMerge/>
            <w:vAlign w:val="center"/>
          </w:tcPr>
          <w:p w14:paraId="1773F188" w14:textId="77777777" w:rsidR="00C220C7" w:rsidRPr="00F31408" w:rsidRDefault="00C220C7" w:rsidP="00C220C7">
            <w:pPr>
              <w:rPr>
                <w:rFonts w:cs="Arial"/>
              </w:rPr>
            </w:pPr>
          </w:p>
        </w:tc>
        <w:tc>
          <w:tcPr>
            <w:tcW w:w="2790" w:type="dxa"/>
            <w:vAlign w:val="bottom"/>
          </w:tcPr>
          <w:p w14:paraId="5605B164" w14:textId="3F67CD18" w:rsidR="00C220C7" w:rsidRPr="00F31408" w:rsidRDefault="00C220C7" w:rsidP="00C220C7">
            <w:pPr>
              <w:rPr>
                <w:rFonts w:cs="Arial"/>
              </w:rPr>
            </w:pPr>
            <w:r w:rsidRPr="00F31408">
              <w:rPr>
                <w:rFonts w:cs="Arial"/>
              </w:rPr>
              <w:t>Запек</w:t>
            </w:r>
          </w:p>
        </w:tc>
        <w:tc>
          <w:tcPr>
            <w:tcW w:w="1536" w:type="dxa"/>
            <w:vAlign w:val="bottom"/>
          </w:tcPr>
          <w:p w14:paraId="33733201" w14:textId="0C33F8F9" w:rsidR="00C220C7" w:rsidRPr="00F31408" w:rsidRDefault="00C220C7" w:rsidP="00C220C7">
            <w:pPr>
              <w:rPr>
                <w:rFonts w:cs="Arial"/>
              </w:rPr>
            </w:pPr>
            <w:r w:rsidRPr="00F31408">
              <w:rPr>
                <w:rFonts w:cs="Arial"/>
              </w:rPr>
              <w:t>Чести</w:t>
            </w:r>
          </w:p>
        </w:tc>
        <w:tc>
          <w:tcPr>
            <w:tcW w:w="1312" w:type="dxa"/>
            <w:vAlign w:val="bottom"/>
          </w:tcPr>
          <w:p w14:paraId="655220AF" w14:textId="40E32779" w:rsidR="00C220C7" w:rsidRPr="00F31408" w:rsidRDefault="00C220C7" w:rsidP="00C220C7">
            <w:pPr>
              <w:rPr>
                <w:rFonts w:cs="Arial"/>
              </w:rPr>
            </w:pPr>
            <w:r w:rsidRPr="00F31408">
              <w:rPr>
                <w:rFonts w:cs="Arial"/>
              </w:rPr>
              <w:t>Редки</w:t>
            </w:r>
          </w:p>
        </w:tc>
        <w:tc>
          <w:tcPr>
            <w:tcW w:w="1535" w:type="dxa"/>
            <w:vAlign w:val="bottom"/>
          </w:tcPr>
          <w:p w14:paraId="1ABCCEFD" w14:textId="656E1D94" w:rsidR="00C220C7" w:rsidRPr="00F31408" w:rsidRDefault="00C220C7" w:rsidP="00C220C7">
            <w:pPr>
              <w:rPr>
                <w:rFonts w:cs="Arial"/>
              </w:rPr>
            </w:pPr>
            <w:r w:rsidRPr="00F31408">
              <w:rPr>
                <w:rFonts w:cs="Arial"/>
              </w:rPr>
              <w:t>Чести</w:t>
            </w:r>
          </w:p>
        </w:tc>
      </w:tr>
      <w:tr w:rsidR="00C220C7" w14:paraId="5C56EE8B" w14:textId="77777777" w:rsidTr="00F31408">
        <w:tc>
          <w:tcPr>
            <w:tcW w:w="2177" w:type="dxa"/>
            <w:vMerge/>
            <w:vAlign w:val="center"/>
          </w:tcPr>
          <w:p w14:paraId="17C0E4DE" w14:textId="77777777" w:rsidR="00C220C7" w:rsidRPr="00F31408" w:rsidRDefault="00C220C7" w:rsidP="00C220C7">
            <w:pPr>
              <w:rPr>
                <w:rFonts w:cs="Arial"/>
              </w:rPr>
            </w:pPr>
          </w:p>
        </w:tc>
        <w:tc>
          <w:tcPr>
            <w:tcW w:w="2790" w:type="dxa"/>
            <w:vAlign w:val="center"/>
          </w:tcPr>
          <w:p w14:paraId="5E18D749" w14:textId="4C71A1B0" w:rsidR="00C220C7" w:rsidRPr="00F31408" w:rsidRDefault="00C220C7" w:rsidP="00C220C7">
            <w:pPr>
              <w:rPr>
                <w:rFonts w:cs="Arial"/>
              </w:rPr>
            </w:pPr>
            <w:r w:rsidRPr="00F31408">
              <w:rPr>
                <w:rFonts w:cs="Arial"/>
              </w:rPr>
              <w:t>Диария</w:t>
            </w:r>
          </w:p>
        </w:tc>
        <w:tc>
          <w:tcPr>
            <w:tcW w:w="1536" w:type="dxa"/>
            <w:vAlign w:val="center"/>
          </w:tcPr>
          <w:p w14:paraId="7A080606" w14:textId="3E54BE7F" w:rsidR="00C220C7" w:rsidRPr="00F31408" w:rsidRDefault="00C220C7" w:rsidP="00C220C7">
            <w:pPr>
              <w:rPr>
                <w:rFonts w:cs="Arial"/>
              </w:rPr>
            </w:pPr>
            <w:r w:rsidRPr="00F31408">
              <w:rPr>
                <w:rFonts w:cs="Arial"/>
              </w:rPr>
              <w:t>Чести</w:t>
            </w:r>
          </w:p>
        </w:tc>
        <w:tc>
          <w:tcPr>
            <w:tcW w:w="1312" w:type="dxa"/>
          </w:tcPr>
          <w:p w14:paraId="20DC13B6" w14:textId="541CD4A5" w:rsidR="00C220C7" w:rsidRPr="00F31408" w:rsidRDefault="00C220C7" w:rsidP="00C220C7">
            <w:pPr>
              <w:rPr>
                <w:rFonts w:cs="Arial"/>
              </w:rPr>
            </w:pPr>
            <w:r w:rsidRPr="00F31408">
              <w:rPr>
                <w:rFonts w:cs="Arial"/>
              </w:rPr>
              <w:t>-</w:t>
            </w:r>
          </w:p>
        </w:tc>
        <w:tc>
          <w:tcPr>
            <w:tcW w:w="1535" w:type="dxa"/>
            <w:vAlign w:val="bottom"/>
          </w:tcPr>
          <w:p w14:paraId="35ECE697" w14:textId="711694DB" w:rsidR="00C220C7" w:rsidRPr="00F31408" w:rsidRDefault="00C220C7" w:rsidP="00C220C7">
            <w:pPr>
              <w:rPr>
                <w:rFonts w:cs="Arial"/>
              </w:rPr>
            </w:pPr>
            <w:r w:rsidRPr="00F31408">
              <w:rPr>
                <w:rFonts w:cs="Arial"/>
              </w:rPr>
              <w:t>С неизвестна честота</w:t>
            </w:r>
          </w:p>
        </w:tc>
      </w:tr>
      <w:tr w:rsidR="00C220C7" w14:paraId="78938BB8" w14:textId="77777777" w:rsidTr="00F31408">
        <w:tc>
          <w:tcPr>
            <w:tcW w:w="2177" w:type="dxa"/>
            <w:vMerge/>
            <w:vAlign w:val="center"/>
          </w:tcPr>
          <w:p w14:paraId="0E0A3379" w14:textId="77777777" w:rsidR="00C220C7" w:rsidRPr="00F31408" w:rsidRDefault="00C220C7" w:rsidP="00C220C7">
            <w:pPr>
              <w:rPr>
                <w:rFonts w:cs="Arial"/>
              </w:rPr>
            </w:pPr>
          </w:p>
        </w:tc>
        <w:tc>
          <w:tcPr>
            <w:tcW w:w="2790" w:type="dxa"/>
          </w:tcPr>
          <w:p w14:paraId="38656ECA" w14:textId="0A598A60" w:rsidR="00C220C7" w:rsidRPr="00F31408" w:rsidRDefault="00C220C7" w:rsidP="00C220C7">
            <w:pPr>
              <w:rPr>
                <w:rFonts w:cs="Arial"/>
              </w:rPr>
            </w:pPr>
            <w:r w:rsidRPr="00F31408">
              <w:rPr>
                <w:rFonts w:cs="Arial"/>
              </w:rPr>
              <w:t>Диспепсия</w:t>
            </w:r>
          </w:p>
        </w:tc>
        <w:tc>
          <w:tcPr>
            <w:tcW w:w="1536" w:type="dxa"/>
          </w:tcPr>
          <w:p w14:paraId="26582050" w14:textId="281E3F3F" w:rsidR="00C220C7" w:rsidRPr="00F31408" w:rsidRDefault="00C220C7" w:rsidP="00C220C7">
            <w:pPr>
              <w:rPr>
                <w:rFonts w:cs="Arial"/>
              </w:rPr>
            </w:pPr>
            <w:r w:rsidRPr="00F31408">
              <w:rPr>
                <w:rFonts w:cs="Arial"/>
              </w:rPr>
              <w:t>Чести</w:t>
            </w:r>
          </w:p>
        </w:tc>
        <w:tc>
          <w:tcPr>
            <w:tcW w:w="1312" w:type="dxa"/>
            <w:vAlign w:val="center"/>
          </w:tcPr>
          <w:p w14:paraId="1DDC6A3E" w14:textId="2B6D1A79" w:rsidR="00C220C7" w:rsidRPr="00F31408" w:rsidRDefault="00C220C7" w:rsidP="00C220C7">
            <w:pPr>
              <w:rPr>
                <w:rFonts w:cs="Arial"/>
              </w:rPr>
            </w:pPr>
            <w:r w:rsidRPr="00F31408">
              <w:rPr>
                <w:rFonts w:cs="Arial"/>
              </w:rPr>
              <w:t>-</w:t>
            </w:r>
          </w:p>
        </w:tc>
        <w:tc>
          <w:tcPr>
            <w:tcW w:w="1535" w:type="dxa"/>
          </w:tcPr>
          <w:p w14:paraId="2BE48373" w14:textId="139D4B7B" w:rsidR="00C220C7" w:rsidRPr="00F31408" w:rsidRDefault="00C220C7" w:rsidP="00C220C7">
            <w:pPr>
              <w:rPr>
                <w:rFonts w:cs="Arial"/>
              </w:rPr>
            </w:pPr>
            <w:r w:rsidRPr="00F31408">
              <w:rPr>
                <w:rFonts w:cs="Arial"/>
              </w:rPr>
              <w:t>-</w:t>
            </w:r>
          </w:p>
        </w:tc>
      </w:tr>
      <w:tr w:rsidR="00C220C7" w14:paraId="7AA0973C" w14:textId="77777777" w:rsidTr="00F31408">
        <w:tc>
          <w:tcPr>
            <w:tcW w:w="2177" w:type="dxa"/>
            <w:vMerge/>
            <w:vAlign w:val="center"/>
          </w:tcPr>
          <w:p w14:paraId="4F6413D8" w14:textId="77777777" w:rsidR="00C220C7" w:rsidRPr="00F31408" w:rsidRDefault="00C220C7" w:rsidP="00C220C7">
            <w:pPr>
              <w:rPr>
                <w:rFonts w:cs="Arial"/>
              </w:rPr>
            </w:pPr>
          </w:p>
        </w:tc>
        <w:tc>
          <w:tcPr>
            <w:tcW w:w="2790" w:type="dxa"/>
            <w:vAlign w:val="bottom"/>
          </w:tcPr>
          <w:p w14:paraId="4D5A2500" w14:textId="14657804" w:rsidR="00C220C7" w:rsidRPr="00F31408" w:rsidRDefault="00C220C7" w:rsidP="00C220C7">
            <w:pPr>
              <w:rPr>
                <w:rFonts w:cs="Arial"/>
              </w:rPr>
            </w:pPr>
            <w:r w:rsidRPr="00F31408">
              <w:rPr>
                <w:rFonts w:cs="Arial"/>
              </w:rPr>
              <w:t>Гадене</w:t>
            </w:r>
          </w:p>
        </w:tc>
        <w:tc>
          <w:tcPr>
            <w:tcW w:w="1536" w:type="dxa"/>
            <w:vAlign w:val="bottom"/>
          </w:tcPr>
          <w:p w14:paraId="164A618C" w14:textId="13B9EC20" w:rsidR="00C220C7" w:rsidRPr="00F31408" w:rsidRDefault="00C220C7" w:rsidP="00C220C7">
            <w:pPr>
              <w:rPr>
                <w:rFonts w:cs="Arial"/>
              </w:rPr>
            </w:pPr>
            <w:r w:rsidRPr="00F31408">
              <w:rPr>
                <w:rFonts w:cs="Arial"/>
              </w:rPr>
              <w:t>Чести</w:t>
            </w:r>
          </w:p>
        </w:tc>
        <w:tc>
          <w:tcPr>
            <w:tcW w:w="1312" w:type="dxa"/>
            <w:vAlign w:val="bottom"/>
          </w:tcPr>
          <w:p w14:paraId="3E8CE498" w14:textId="5EA443B7" w:rsidR="00C220C7" w:rsidRPr="00F31408" w:rsidRDefault="00C220C7" w:rsidP="00C220C7">
            <w:pPr>
              <w:rPr>
                <w:rFonts w:cs="Arial"/>
              </w:rPr>
            </w:pPr>
            <w:r w:rsidRPr="00F31408">
              <w:rPr>
                <w:rFonts w:cs="Arial"/>
              </w:rPr>
              <w:t>Редки</w:t>
            </w:r>
          </w:p>
        </w:tc>
        <w:tc>
          <w:tcPr>
            <w:tcW w:w="1535" w:type="dxa"/>
            <w:vAlign w:val="bottom"/>
          </w:tcPr>
          <w:p w14:paraId="3E2A5F8E" w14:textId="5EC6B73E" w:rsidR="00C220C7" w:rsidRPr="00F31408" w:rsidRDefault="00C220C7" w:rsidP="00C220C7">
            <w:pPr>
              <w:rPr>
                <w:rFonts w:cs="Arial"/>
              </w:rPr>
            </w:pPr>
            <w:r w:rsidRPr="00F31408">
              <w:rPr>
                <w:rFonts w:cs="Arial"/>
              </w:rPr>
              <w:t>Чести</w:t>
            </w:r>
          </w:p>
        </w:tc>
      </w:tr>
      <w:tr w:rsidR="00C220C7" w14:paraId="66068AA5" w14:textId="77777777" w:rsidTr="00F31408">
        <w:tc>
          <w:tcPr>
            <w:tcW w:w="2177" w:type="dxa"/>
            <w:vMerge/>
            <w:vAlign w:val="center"/>
          </w:tcPr>
          <w:p w14:paraId="7DD6D207" w14:textId="77777777" w:rsidR="00C220C7" w:rsidRPr="00F31408" w:rsidRDefault="00C220C7" w:rsidP="00C220C7">
            <w:pPr>
              <w:rPr>
                <w:rFonts w:cs="Arial"/>
              </w:rPr>
            </w:pPr>
          </w:p>
        </w:tc>
        <w:tc>
          <w:tcPr>
            <w:tcW w:w="2790" w:type="dxa"/>
          </w:tcPr>
          <w:p w14:paraId="354452DA" w14:textId="0870B7B8" w:rsidR="00C220C7" w:rsidRPr="00F31408" w:rsidRDefault="00C220C7" w:rsidP="00C220C7">
            <w:pPr>
              <w:rPr>
                <w:rFonts w:cs="Arial"/>
              </w:rPr>
            </w:pPr>
            <w:r w:rsidRPr="00F31408">
              <w:rPr>
                <w:rFonts w:cs="Arial"/>
              </w:rPr>
              <w:t>Повръщане</w:t>
            </w:r>
          </w:p>
        </w:tc>
        <w:tc>
          <w:tcPr>
            <w:tcW w:w="1536" w:type="dxa"/>
          </w:tcPr>
          <w:p w14:paraId="192B35DC" w14:textId="6744BA6D" w:rsidR="00C220C7" w:rsidRPr="00F31408" w:rsidRDefault="00C220C7" w:rsidP="00C220C7">
            <w:pPr>
              <w:rPr>
                <w:rFonts w:cs="Arial"/>
              </w:rPr>
            </w:pPr>
            <w:r w:rsidRPr="00F31408">
              <w:rPr>
                <w:rFonts w:cs="Arial"/>
              </w:rPr>
              <w:t>Чести</w:t>
            </w:r>
          </w:p>
        </w:tc>
        <w:tc>
          <w:tcPr>
            <w:tcW w:w="1312" w:type="dxa"/>
          </w:tcPr>
          <w:p w14:paraId="29BE0966" w14:textId="52B0C45C" w:rsidR="00C220C7" w:rsidRPr="00F31408" w:rsidRDefault="00C220C7" w:rsidP="00C220C7">
            <w:pPr>
              <w:rPr>
                <w:rFonts w:cs="Arial"/>
              </w:rPr>
            </w:pPr>
            <w:r w:rsidRPr="00F31408">
              <w:rPr>
                <w:rFonts w:cs="Arial"/>
              </w:rPr>
              <w:t>Нечести</w:t>
            </w:r>
          </w:p>
        </w:tc>
        <w:tc>
          <w:tcPr>
            <w:tcW w:w="1535" w:type="dxa"/>
            <w:vAlign w:val="bottom"/>
          </w:tcPr>
          <w:p w14:paraId="7A7B44AD" w14:textId="6269D250" w:rsidR="00C220C7" w:rsidRPr="00F31408" w:rsidRDefault="00C220C7" w:rsidP="00C220C7">
            <w:pPr>
              <w:rPr>
                <w:rFonts w:cs="Arial"/>
              </w:rPr>
            </w:pPr>
            <w:r w:rsidRPr="00F31408">
              <w:rPr>
                <w:rFonts w:cs="Arial"/>
              </w:rPr>
              <w:t>-</w:t>
            </w:r>
          </w:p>
        </w:tc>
      </w:tr>
      <w:tr w:rsidR="00C220C7" w14:paraId="3A1E653A" w14:textId="77777777" w:rsidTr="00F31408">
        <w:tc>
          <w:tcPr>
            <w:tcW w:w="2177" w:type="dxa"/>
            <w:vMerge/>
            <w:vAlign w:val="center"/>
          </w:tcPr>
          <w:p w14:paraId="2401C811" w14:textId="77777777" w:rsidR="00C220C7" w:rsidRPr="00F31408" w:rsidRDefault="00C220C7" w:rsidP="00C220C7">
            <w:pPr>
              <w:rPr>
                <w:rFonts w:cs="Arial"/>
              </w:rPr>
            </w:pPr>
          </w:p>
        </w:tc>
        <w:tc>
          <w:tcPr>
            <w:tcW w:w="2790" w:type="dxa"/>
            <w:vAlign w:val="bottom"/>
          </w:tcPr>
          <w:p w14:paraId="7364EBC5" w14:textId="10B63F8D" w:rsidR="00C220C7" w:rsidRPr="00F31408" w:rsidRDefault="00C220C7" w:rsidP="00C220C7">
            <w:pPr>
              <w:rPr>
                <w:rFonts w:cs="Arial"/>
              </w:rPr>
            </w:pPr>
            <w:r w:rsidRPr="00F31408">
              <w:rPr>
                <w:rFonts w:cs="Arial"/>
              </w:rPr>
              <w:t>Сухота в устата</w:t>
            </w:r>
          </w:p>
        </w:tc>
        <w:tc>
          <w:tcPr>
            <w:tcW w:w="1536" w:type="dxa"/>
            <w:vAlign w:val="bottom"/>
          </w:tcPr>
          <w:p w14:paraId="01B5DC3B" w14:textId="3AB0BAB2" w:rsidR="00C220C7" w:rsidRPr="00F31408" w:rsidRDefault="00C220C7" w:rsidP="00C220C7">
            <w:pPr>
              <w:rPr>
                <w:rFonts w:cs="Arial"/>
              </w:rPr>
            </w:pPr>
            <w:r w:rsidRPr="00F31408">
              <w:rPr>
                <w:rFonts w:cs="Arial"/>
              </w:rPr>
              <w:t>Нечести</w:t>
            </w:r>
          </w:p>
        </w:tc>
        <w:tc>
          <w:tcPr>
            <w:tcW w:w="1312" w:type="dxa"/>
            <w:vAlign w:val="bottom"/>
          </w:tcPr>
          <w:p w14:paraId="38CE7A0F" w14:textId="28F71A87" w:rsidR="00C220C7" w:rsidRPr="00F31408" w:rsidRDefault="00C220C7" w:rsidP="00C220C7">
            <w:pPr>
              <w:rPr>
                <w:rFonts w:cs="Arial"/>
              </w:rPr>
            </w:pPr>
            <w:r w:rsidRPr="00F31408">
              <w:rPr>
                <w:rFonts w:cs="Arial"/>
              </w:rPr>
              <w:t>Редки</w:t>
            </w:r>
          </w:p>
        </w:tc>
        <w:tc>
          <w:tcPr>
            <w:tcW w:w="1535" w:type="dxa"/>
          </w:tcPr>
          <w:p w14:paraId="642D54E3" w14:textId="2AC17B0C" w:rsidR="00C220C7" w:rsidRPr="00F31408" w:rsidRDefault="00C220C7" w:rsidP="00C220C7">
            <w:pPr>
              <w:rPr>
                <w:rFonts w:cs="Arial"/>
              </w:rPr>
            </w:pPr>
            <w:r w:rsidRPr="00F31408">
              <w:rPr>
                <w:rFonts w:cs="Arial"/>
              </w:rPr>
              <w:t>-</w:t>
            </w:r>
          </w:p>
        </w:tc>
      </w:tr>
      <w:tr w:rsidR="00C220C7" w14:paraId="035947E4" w14:textId="77777777" w:rsidTr="00F31408">
        <w:tc>
          <w:tcPr>
            <w:tcW w:w="2177" w:type="dxa"/>
            <w:vMerge/>
            <w:vAlign w:val="center"/>
          </w:tcPr>
          <w:p w14:paraId="3B1E36F7" w14:textId="77777777" w:rsidR="00C220C7" w:rsidRPr="00F31408" w:rsidRDefault="00C220C7" w:rsidP="00C220C7">
            <w:pPr>
              <w:rPr>
                <w:rFonts w:cs="Arial"/>
              </w:rPr>
            </w:pPr>
          </w:p>
        </w:tc>
        <w:tc>
          <w:tcPr>
            <w:tcW w:w="2790" w:type="dxa"/>
            <w:vAlign w:val="bottom"/>
          </w:tcPr>
          <w:p w14:paraId="112F73DB" w14:textId="5B9A3235" w:rsidR="00C220C7" w:rsidRPr="00F31408" w:rsidRDefault="00C220C7" w:rsidP="00C220C7">
            <w:pPr>
              <w:rPr>
                <w:rFonts w:cs="Arial"/>
              </w:rPr>
            </w:pPr>
            <w:r w:rsidRPr="00F31408">
              <w:rPr>
                <w:rFonts w:cs="Arial"/>
              </w:rPr>
              <w:t>Панкреатит</w:t>
            </w:r>
          </w:p>
        </w:tc>
        <w:tc>
          <w:tcPr>
            <w:tcW w:w="1536" w:type="dxa"/>
            <w:vAlign w:val="bottom"/>
          </w:tcPr>
          <w:p w14:paraId="647C4F08" w14:textId="4584F398" w:rsidR="00C220C7" w:rsidRPr="00F31408" w:rsidRDefault="00C220C7" w:rsidP="00C220C7">
            <w:pPr>
              <w:rPr>
                <w:rFonts w:cs="Arial"/>
              </w:rPr>
            </w:pPr>
            <w:r w:rsidRPr="00F31408">
              <w:rPr>
                <w:rFonts w:cs="Arial"/>
              </w:rPr>
              <w:t>Много редки</w:t>
            </w:r>
          </w:p>
        </w:tc>
        <w:tc>
          <w:tcPr>
            <w:tcW w:w="1312" w:type="dxa"/>
            <w:vAlign w:val="bottom"/>
          </w:tcPr>
          <w:p w14:paraId="0FF0C1C6" w14:textId="1881EDFB" w:rsidR="00C220C7" w:rsidRPr="00F31408" w:rsidRDefault="00C220C7" w:rsidP="00C220C7">
            <w:pPr>
              <w:rPr>
                <w:rFonts w:cs="Arial"/>
              </w:rPr>
            </w:pPr>
            <w:r w:rsidRPr="00F31408">
              <w:rPr>
                <w:rFonts w:cs="Arial"/>
              </w:rPr>
              <w:t>Много редки</w:t>
            </w:r>
          </w:p>
        </w:tc>
        <w:tc>
          <w:tcPr>
            <w:tcW w:w="1535" w:type="dxa"/>
            <w:vAlign w:val="bottom"/>
          </w:tcPr>
          <w:p w14:paraId="22467092" w14:textId="4B936EE7" w:rsidR="00C220C7" w:rsidRPr="00F31408" w:rsidRDefault="00C220C7" w:rsidP="00C220C7">
            <w:pPr>
              <w:rPr>
                <w:rFonts w:cs="Arial"/>
              </w:rPr>
            </w:pPr>
            <w:r w:rsidRPr="00F31408">
              <w:rPr>
                <w:rFonts w:cs="Arial"/>
              </w:rPr>
              <w:t>Редки</w:t>
            </w:r>
          </w:p>
        </w:tc>
      </w:tr>
      <w:tr w:rsidR="00C220C7" w14:paraId="60B629FA" w14:textId="77777777" w:rsidTr="00F31408">
        <w:tc>
          <w:tcPr>
            <w:tcW w:w="2177" w:type="dxa"/>
            <w:vMerge w:val="restart"/>
            <w:vAlign w:val="center"/>
          </w:tcPr>
          <w:p w14:paraId="1327A7CF" w14:textId="582DA2EB" w:rsidR="00C220C7" w:rsidRPr="00F31408" w:rsidRDefault="00C220C7" w:rsidP="00C220C7">
            <w:pPr>
              <w:rPr>
                <w:rFonts w:cs="Arial"/>
              </w:rPr>
            </w:pPr>
            <w:r w:rsidRPr="00F31408">
              <w:rPr>
                <w:rFonts w:cs="Arial"/>
                <w:b/>
                <w:bCs/>
              </w:rPr>
              <w:t>Хепато-билиарни нарушения</w:t>
            </w:r>
          </w:p>
        </w:tc>
        <w:tc>
          <w:tcPr>
            <w:tcW w:w="2790" w:type="dxa"/>
            <w:vAlign w:val="center"/>
          </w:tcPr>
          <w:p w14:paraId="735D6997" w14:textId="5E9248E8" w:rsidR="00C220C7" w:rsidRPr="00F31408" w:rsidRDefault="00C220C7" w:rsidP="00C220C7">
            <w:pPr>
              <w:rPr>
                <w:rFonts w:cs="Arial"/>
              </w:rPr>
            </w:pPr>
            <w:r w:rsidRPr="00F31408">
              <w:rPr>
                <w:rFonts w:cs="Arial"/>
              </w:rPr>
              <w:t>Хепатит (вж. точка 4.4)</w:t>
            </w:r>
          </w:p>
        </w:tc>
        <w:tc>
          <w:tcPr>
            <w:tcW w:w="1536" w:type="dxa"/>
            <w:vAlign w:val="center"/>
          </w:tcPr>
          <w:p w14:paraId="61A8CB4D" w14:textId="2D03DFAC" w:rsidR="00C220C7" w:rsidRPr="00F31408" w:rsidRDefault="00C220C7" w:rsidP="00C220C7">
            <w:pPr>
              <w:rPr>
                <w:rFonts w:cs="Arial"/>
              </w:rPr>
            </w:pPr>
            <w:r w:rsidRPr="00F31408">
              <w:rPr>
                <w:rFonts w:cs="Arial"/>
              </w:rPr>
              <w:t>Много редки</w:t>
            </w:r>
          </w:p>
        </w:tc>
        <w:tc>
          <w:tcPr>
            <w:tcW w:w="1312" w:type="dxa"/>
          </w:tcPr>
          <w:p w14:paraId="238C3625" w14:textId="08A898D6" w:rsidR="00C220C7" w:rsidRPr="00F31408" w:rsidRDefault="00C220C7" w:rsidP="00C220C7">
            <w:pPr>
              <w:rPr>
                <w:rFonts w:cs="Arial"/>
              </w:rPr>
            </w:pPr>
            <w:r w:rsidRPr="00F31408">
              <w:rPr>
                <w:rFonts w:cs="Arial"/>
              </w:rPr>
              <w:t>С неизвестна честота</w:t>
            </w:r>
          </w:p>
        </w:tc>
        <w:tc>
          <w:tcPr>
            <w:tcW w:w="1535" w:type="dxa"/>
          </w:tcPr>
          <w:p w14:paraId="5505F5DE" w14:textId="46FC0AEE" w:rsidR="00C220C7" w:rsidRPr="00F31408" w:rsidRDefault="00C220C7" w:rsidP="00C220C7">
            <w:pPr>
              <w:rPr>
                <w:rFonts w:cs="Arial"/>
              </w:rPr>
            </w:pPr>
            <w:r w:rsidRPr="00F31408">
              <w:rPr>
                <w:rFonts w:cs="Arial"/>
              </w:rPr>
              <w:t>Много редки</w:t>
            </w:r>
          </w:p>
        </w:tc>
      </w:tr>
      <w:tr w:rsidR="00C220C7" w14:paraId="5E7BC113" w14:textId="77777777" w:rsidTr="00F31408">
        <w:tc>
          <w:tcPr>
            <w:tcW w:w="2177" w:type="dxa"/>
            <w:vMerge/>
          </w:tcPr>
          <w:p w14:paraId="47753DFA" w14:textId="77777777" w:rsidR="00C220C7" w:rsidRPr="00F31408" w:rsidRDefault="00C220C7" w:rsidP="00C220C7">
            <w:pPr>
              <w:rPr>
                <w:rFonts w:cs="Arial"/>
              </w:rPr>
            </w:pPr>
          </w:p>
        </w:tc>
        <w:tc>
          <w:tcPr>
            <w:tcW w:w="2790" w:type="dxa"/>
            <w:vAlign w:val="bottom"/>
          </w:tcPr>
          <w:p w14:paraId="77D777B5" w14:textId="4E3C2759" w:rsidR="00C220C7" w:rsidRPr="00F31408" w:rsidRDefault="00C220C7" w:rsidP="00C220C7">
            <w:pPr>
              <w:rPr>
                <w:rFonts w:cs="Arial"/>
              </w:rPr>
            </w:pPr>
            <w:r w:rsidRPr="00F31408">
              <w:rPr>
                <w:rFonts w:cs="Arial"/>
              </w:rPr>
              <w:t>Абнормална чернодробна функция</w:t>
            </w:r>
          </w:p>
        </w:tc>
        <w:tc>
          <w:tcPr>
            <w:tcW w:w="1536" w:type="dxa"/>
          </w:tcPr>
          <w:p w14:paraId="20185D6E" w14:textId="74BE67D5" w:rsidR="00C220C7" w:rsidRPr="00F31408" w:rsidRDefault="00C220C7" w:rsidP="00C220C7">
            <w:pPr>
              <w:rPr>
                <w:rFonts w:cs="Arial"/>
              </w:rPr>
            </w:pPr>
            <w:r w:rsidRPr="00F31408">
              <w:rPr>
                <w:rFonts w:cs="Arial"/>
              </w:rPr>
              <w:t>-</w:t>
            </w:r>
          </w:p>
        </w:tc>
        <w:tc>
          <w:tcPr>
            <w:tcW w:w="1312" w:type="dxa"/>
            <w:vAlign w:val="center"/>
          </w:tcPr>
          <w:p w14:paraId="61C51668" w14:textId="47A242CD" w:rsidR="00C220C7" w:rsidRPr="00F31408" w:rsidRDefault="00C220C7" w:rsidP="00C220C7">
            <w:pPr>
              <w:rPr>
                <w:rFonts w:cs="Arial"/>
              </w:rPr>
            </w:pPr>
            <w:r w:rsidRPr="00F31408">
              <w:rPr>
                <w:rFonts w:cs="Arial"/>
              </w:rPr>
              <w:t>Много редки</w:t>
            </w:r>
          </w:p>
        </w:tc>
        <w:tc>
          <w:tcPr>
            <w:tcW w:w="1535" w:type="dxa"/>
          </w:tcPr>
          <w:p w14:paraId="60F97EA1" w14:textId="36E98605" w:rsidR="00C220C7" w:rsidRPr="00F31408" w:rsidRDefault="00C220C7" w:rsidP="00C220C7">
            <w:pPr>
              <w:rPr>
                <w:rFonts w:cs="Arial"/>
              </w:rPr>
            </w:pPr>
            <w:r w:rsidRPr="00F31408">
              <w:rPr>
                <w:rFonts w:cs="Arial"/>
              </w:rPr>
              <w:t>-</w:t>
            </w:r>
          </w:p>
        </w:tc>
      </w:tr>
      <w:tr w:rsidR="00C220C7" w14:paraId="1CA371DE" w14:textId="77777777" w:rsidTr="00F31408">
        <w:tc>
          <w:tcPr>
            <w:tcW w:w="2177" w:type="dxa"/>
            <w:vMerge/>
          </w:tcPr>
          <w:p w14:paraId="4CAAE6E5" w14:textId="77777777" w:rsidR="00C220C7" w:rsidRPr="00F31408" w:rsidRDefault="00C220C7" w:rsidP="00C220C7">
            <w:pPr>
              <w:rPr>
                <w:rFonts w:cs="Arial"/>
              </w:rPr>
            </w:pPr>
          </w:p>
        </w:tc>
        <w:tc>
          <w:tcPr>
            <w:tcW w:w="2790" w:type="dxa"/>
          </w:tcPr>
          <w:p w14:paraId="5368B5BC" w14:textId="37C73599" w:rsidR="00C220C7" w:rsidRPr="00F31408" w:rsidRDefault="00C220C7" w:rsidP="00C220C7">
            <w:pPr>
              <w:rPr>
                <w:rFonts w:cs="Arial"/>
              </w:rPr>
            </w:pPr>
            <w:r w:rsidRPr="00F31408">
              <w:rPr>
                <w:rFonts w:cs="Arial"/>
              </w:rPr>
              <w:t>Жълтеница</w:t>
            </w:r>
          </w:p>
        </w:tc>
        <w:tc>
          <w:tcPr>
            <w:tcW w:w="1536" w:type="dxa"/>
            <w:vAlign w:val="center"/>
          </w:tcPr>
          <w:p w14:paraId="7310BF44" w14:textId="706008DE" w:rsidR="00C220C7" w:rsidRPr="00F31408" w:rsidRDefault="00C220C7" w:rsidP="00C220C7">
            <w:pPr>
              <w:rPr>
                <w:rFonts w:cs="Arial"/>
              </w:rPr>
            </w:pPr>
            <w:r w:rsidRPr="00F31408">
              <w:rPr>
                <w:rFonts w:cs="Arial"/>
              </w:rPr>
              <w:t>-</w:t>
            </w:r>
          </w:p>
        </w:tc>
        <w:tc>
          <w:tcPr>
            <w:tcW w:w="1312" w:type="dxa"/>
          </w:tcPr>
          <w:p w14:paraId="648688F7" w14:textId="2F412822" w:rsidR="00C220C7" w:rsidRPr="00F31408" w:rsidRDefault="00C220C7" w:rsidP="00C220C7">
            <w:pPr>
              <w:rPr>
                <w:rFonts w:cs="Arial"/>
              </w:rPr>
            </w:pPr>
            <w:r w:rsidRPr="00F31408">
              <w:rPr>
                <w:rFonts w:cs="Arial"/>
              </w:rPr>
              <w:t>-</w:t>
            </w:r>
          </w:p>
        </w:tc>
        <w:tc>
          <w:tcPr>
            <w:tcW w:w="1535" w:type="dxa"/>
            <w:vAlign w:val="bottom"/>
          </w:tcPr>
          <w:p w14:paraId="18414FEA" w14:textId="71AD6103" w:rsidR="00C220C7" w:rsidRPr="00F31408" w:rsidRDefault="00C220C7" w:rsidP="00C220C7">
            <w:pPr>
              <w:rPr>
                <w:rFonts w:cs="Arial"/>
              </w:rPr>
            </w:pPr>
            <w:r w:rsidRPr="00F31408">
              <w:rPr>
                <w:rFonts w:cs="Arial"/>
              </w:rPr>
              <w:t>Много редки</w:t>
            </w:r>
          </w:p>
        </w:tc>
      </w:tr>
      <w:tr w:rsidR="00F31408" w14:paraId="1D3627C6" w14:textId="77777777" w:rsidTr="00F31408">
        <w:tc>
          <w:tcPr>
            <w:tcW w:w="2177" w:type="dxa"/>
            <w:vMerge w:val="restart"/>
          </w:tcPr>
          <w:p w14:paraId="45540B6B" w14:textId="3D453467" w:rsidR="00F31408" w:rsidRPr="00F31408" w:rsidRDefault="00F31408" w:rsidP="00C220C7">
            <w:pPr>
              <w:rPr>
                <w:rFonts w:cs="Arial"/>
              </w:rPr>
            </w:pPr>
            <w:r w:rsidRPr="00F31408">
              <w:rPr>
                <w:rFonts w:cs="Arial"/>
                <w:b/>
                <w:bCs/>
              </w:rPr>
              <w:t>Нарушения на кожата и подкожната тъкан</w:t>
            </w:r>
          </w:p>
        </w:tc>
        <w:tc>
          <w:tcPr>
            <w:tcW w:w="2790" w:type="dxa"/>
            <w:vAlign w:val="bottom"/>
          </w:tcPr>
          <w:p w14:paraId="4446E36F" w14:textId="3897CF03" w:rsidR="00F31408" w:rsidRPr="00F31408" w:rsidRDefault="00F31408" w:rsidP="00C220C7">
            <w:pPr>
              <w:rPr>
                <w:rFonts w:cs="Arial"/>
              </w:rPr>
            </w:pPr>
            <w:r w:rsidRPr="00F31408">
              <w:rPr>
                <w:rFonts w:cs="Arial"/>
              </w:rPr>
              <w:t>Пруритус</w:t>
            </w:r>
          </w:p>
        </w:tc>
        <w:tc>
          <w:tcPr>
            <w:tcW w:w="1536" w:type="dxa"/>
            <w:vAlign w:val="bottom"/>
          </w:tcPr>
          <w:p w14:paraId="6E8FF1D0" w14:textId="32ED7E22" w:rsidR="00F31408" w:rsidRPr="00F31408" w:rsidRDefault="00F31408" w:rsidP="00C220C7">
            <w:pPr>
              <w:rPr>
                <w:rFonts w:cs="Arial"/>
              </w:rPr>
            </w:pPr>
            <w:r w:rsidRPr="00F31408">
              <w:rPr>
                <w:rFonts w:cs="Arial"/>
              </w:rPr>
              <w:t>Чести</w:t>
            </w:r>
          </w:p>
        </w:tc>
        <w:tc>
          <w:tcPr>
            <w:tcW w:w="1312" w:type="dxa"/>
          </w:tcPr>
          <w:p w14:paraId="233CA642" w14:textId="5C0CA23C" w:rsidR="00F31408" w:rsidRPr="00F31408" w:rsidRDefault="00F31408" w:rsidP="00C220C7">
            <w:pPr>
              <w:rPr>
                <w:rFonts w:cs="Arial"/>
              </w:rPr>
            </w:pPr>
            <w:r w:rsidRPr="00F31408">
              <w:rPr>
                <w:rFonts w:cs="Arial"/>
              </w:rPr>
              <w:t>-</w:t>
            </w:r>
          </w:p>
        </w:tc>
        <w:tc>
          <w:tcPr>
            <w:tcW w:w="1535" w:type="dxa"/>
            <w:vAlign w:val="bottom"/>
          </w:tcPr>
          <w:p w14:paraId="68C308D1" w14:textId="6BB8C75D" w:rsidR="00F31408" w:rsidRPr="00F31408" w:rsidRDefault="00F31408" w:rsidP="00C220C7">
            <w:pPr>
              <w:rPr>
                <w:rFonts w:cs="Arial"/>
              </w:rPr>
            </w:pPr>
            <w:r w:rsidRPr="00F31408">
              <w:rPr>
                <w:rFonts w:cs="Arial"/>
              </w:rPr>
              <w:t>Нечести</w:t>
            </w:r>
          </w:p>
        </w:tc>
      </w:tr>
      <w:tr w:rsidR="00F31408" w14:paraId="49A29FA0" w14:textId="77777777" w:rsidTr="00F31408">
        <w:tc>
          <w:tcPr>
            <w:tcW w:w="2177" w:type="dxa"/>
            <w:vMerge/>
          </w:tcPr>
          <w:p w14:paraId="41A09558" w14:textId="77777777" w:rsidR="00F31408" w:rsidRPr="00F31408" w:rsidRDefault="00F31408" w:rsidP="00C220C7">
            <w:pPr>
              <w:rPr>
                <w:rFonts w:cs="Arial"/>
              </w:rPr>
            </w:pPr>
          </w:p>
        </w:tc>
        <w:tc>
          <w:tcPr>
            <w:tcW w:w="2790" w:type="dxa"/>
          </w:tcPr>
          <w:p w14:paraId="488E3692" w14:textId="2AC52662" w:rsidR="00F31408" w:rsidRPr="00F31408" w:rsidRDefault="00F31408" w:rsidP="00C220C7">
            <w:pPr>
              <w:rPr>
                <w:rFonts w:cs="Arial"/>
              </w:rPr>
            </w:pPr>
            <w:r w:rsidRPr="00F31408">
              <w:rPr>
                <w:rFonts w:cs="Arial"/>
              </w:rPr>
              <w:t>Обрив</w:t>
            </w:r>
          </w:p>
        </w:tc>
        <w:tc>
          <w:tcPr>
            <w:tcW w:w="1536" w:type="dxa"/>
          </w:tcPr>
          <w:p w14:paraId="12D06492" w14:textId="685E5125" w:rsidR="00F31408" w:rsidRPr="00F31408" w:rsidRDefault="00F31408" w:rsidP="00C220C7">
            <w:pPr>
              <w:rPr>
                <w:rFonts w:cs="Arial"/>
              </w:rPr>
            </w:pPr>
            <w:r w:rsidRPr="00F31408">
              <w:rPr>
                <w:rFonts w:cs="Arial"/>
              </w:rPr>
              <w:t>Чести</w:t>
            </w:r>
          </w:p>
        </w:tc>
        <w:tc>
          <w:tcPr>
            <w:tcW w:w="1312" w:type="dxa"/>
            <w:vAlign w:val="bottom"/>
          </w:tcPr>
          <w:p w14:paraId="5FAEED3C" w14:textId="055BE697" w:rsidR="00F31408" w:rsidRPr="00F31408" w:rsidRDefault="00F31408" w:rsidP="00C220C7">
            <w:pPr>
              <w:rPr>
                <w:rFonts w:cs="Arial"/>
              </w:rPr>
            </w:pPr>
            <w:r w:rsidRPr="00F31408">
              <w:rPr>
                <w:rFonts w:cs="Arial"/>
              </w:rPr>
              <w:t>-</w:t>
            </w:r>
          </w:p>
        </w:tc>
        <w:tc>
          <w:tcPr>
            <w:tcW w:w="1535" w:type="dxa"/>
          </w:tcPr>
          <w:p w14:paraId="54CFF97A" w14:textId="31A9E2C8" w:rsidR="00F31408" w:rsidRPr="00F31408" w:rsidRDefault="00F31408" w:rsidP="00C220C7">
            <w:pPr>
              <w:rPr>
                <w:rFonts w:cs="Arial"/>
              </w:rPr>
            </w:pPr>
            <w:r w:rsidRPr="00F31408">
              <w:rPr>
                <w:rFonts w:cs="Arial"/>
              </w:rPr>
              <w:t>Нечести</w:t>
            </w:r>
          </w:p>
        </w:tc>
      </w:tr>
      <w:tr w:rsidR="00F31408" w14:paraId="74D9F6FF" w14:textId="77777777" w:rsidTr="00F31408">
        <w:tc>
          <w:tcPr>
            <w:tcW w:w="2177" w:type="dxa"/>
            <w:vMerge/>
          </w:tcPr>
          <w:p w14:paraId="7ED2A2F3" w14:textId="77777777" w:rsidR="00F31408" w:rsidRPr="00F31408" w:rsidRDefault="00F31408" w:rsidP="00C220C7">
            <w:pPr>
              <w:rPr>
                <w:rFonts w:cs="Arial"/>
              </w:rPr>
            </w:pPr>
          </w:p>
        </w:tc>
        <w:tc>
          <w:tcPr>
            <w:tcW w:w="2790" w:type="dxa"/>
            <w:vAlign w:val="bottom"/>
          </w:tcPr>
          <w:p w14:paraId="71C23EB5" w14:textId="5D6DE7C6" w:rsidR="00F31408" w:rsidRPr="00F31408" w:rsidRDefault="00F31408" w:rsidP="00C220C7">
            <w:pPr>
              <w:rPr>
                <w:rFonts w:cs="Arial"/>
              </w:rPr>
            </w:pPr>
            <w:r w:rsidRPr="00F31408">
              <w:rPr>
                <w:rFonts w:cs="Arial"/>
              </w:rPr>
              <w:t>Макулопапулозен обрив</w:t>
            </w:r>
          </w:p>
        </w:tc>
        <w:tc>
          <w:tcPr>
            <w:tcW w:w="1536" w:type="dxa"/>
          </w:tcPr>
          <w:p w14:paraId="43EC9E77" w14:textId="77777777" w:rsidR="00F31408" w:rsidRPr="00F31408" w:rsidRDefault="00F31408" w:rsidP="00C220C7">
            <w:pPr>
              <w:rPr>
                <w:rFonts w:cs="Arial"/>
              </w:rPr>
            </w:pPr>
          </w:p>
        </w:tc>
        <w:tc>
          <w:tcPr>
            <w:tcW w:w="1312" w:type="dxa"/>
            <w:vAlign w:val="bottom"/>
          </w:tcPr>
          <w:p w14:paraId="678806AE" w14:textId="5C617DF4" w:rsidR="00F31408" w:rsidRPr="00F31408" w:rsidRDefault="00F31408" w:rsidP="00C220C7">
            <w:pPr>
              <w:rPr>
                <w:rFonts w:cs="Arial"/>
              </w:rPr>
            </w:pPr>
            <w:r w:rsidRPr="00F31408">
              <w:rPr>
                <w:rFonts w:cs="Arial"/>
              </w:rPr>
              <w:t>Чести</w:t>
            </w:r>
          </w:p>
        </w:tc>
        <w:tc>
          <w:tcPr>
            <w:tcW w:w="1535" w:type="dxa"/>
          </w:tcPr>
          <w:p w14:paraId="68753E0A" w14:textId="2329F07B" w:rsidR="00F31408" w:rsidRPr="00F31408" w:rsidRDefault="00F31408" w:rsidP="00C220C7">
            <w:pPr>
              <w:rPr>
                <w:rFonts w:cs="Arial"/>
              </w:rPr>
            </w:pPr>
            <w:r w:rsidRPr="00F31408">
              <w:rPr>
                <w:rFonts w:cs="Arial"/>
              </w:rPr>
              <w:t>-</w:t>
            </w:r>
          </w:p>
        </w:tc>
      </w:tr>
      <w:tr w:rsidR="00F31408" w14:paraId="17FCDB90" w14:textId="77777777" w:rsidTr="00F31408">
        <w:tc>
          <w:tcPr>
            <w:tcW w:w="2177" w:type="dxa"/>
            <w:vMerge/>
          </w:tcPr>
          <w:p w14:paraId="68E58E05" w14:textId="77777777" w:rsidR="00F31408" w:rsidRPr="00F31408" w:rsidRDefault="00F31408" w:rsidP="00C220C7">
            <w:pPr>
              <w:rPr>
                <w:rFonts w:cs="Arial"/>
              </w:rPr>
            </w:pPr>
          </w:p>
        </w:tc>
        <w:tc>
          <w:tcPr>
            <w:tcW w:w="2790" w:type="dxa"/>
            <w:vAlign w:val="bottom"/>
          </w:tcPr>
          <w:p w14:paraId="4986398C" w14:textId="1AFB554F" w:rsidR="00F31408" w:rsidRPr="00F31408" w:rsidRDefault="00F31408" w:rsidP="00C220C7">
            <w:pPr>
              <w:rPr>
                <w:rFonts w:cs="Arial"/>
              </w:rPr>
            </w:pPr>
            <w:r w:rsidRPr="00F31408">
              <w:rPr>
                <w:rFonts w:cs="Arial"/>
              </w:rPr>
              <w:t>Уртикария (вж. точка 4.4)</w:t>
            </w:r>
          </w:p>
        </w:tc>
        <w:tc>
          <w:tcPr>
            <w:tcW w:w="1536" w:type="dxa"/>
            <w:vAlign w:val="bottom"/>
          </w:tcPr>
          <w:p w14:paraId="3D5A80A2" w14:textId="37047B23" w:rsidR="00F31408" w:rsidRPr="00F31408" w:rsidRDefault="00F31408" w:rsidP="00C220C7">
            <w:pPr>
              <w:rPr>
                <w:rFonts w:cs="Arial"/>
              </w:rPr>
            </w:pPr>
            <w:r w:rsidRPr="00F31408">
              <w:rPr>
                <w:rFonts w:cs="Arial"/>
              </w:rPr>
              <w:t>Нечести</w:t>
            </w:r>
          </w:p>
        </w:tc>
        <w:tc>
          <w:tcPr>
            <w:tcW w:w="1312" w:type="dxa"/>
            <w:vAlign w:val="bottom"/>
          </w:tcPr>
          <w:p w14:paraId="54059959" w14:textId="41F4B379" w:rsidR="00F31408" w:rsidRPr="00F31408" w:rsidRDefault="00F31408" w:rsidP="00C220C7">
            <w:pPr>
              <w:rPr>
                <w:rFonts w:cs="Arial"/>
              </w:rPr>
            </w:pPr>
            <w:r w:rsidRPr="00F31408">
              <w:rPr>
                <w:rFonts w:cs="Arial"/>
              </w:rPr>
              <w:t>Много редки</w:t>
            </w:r>
          </w:p>
        </w:tc>
        <w:tc>
          <w:tcPr>
            <w:tcW w:w="1535" w:type="dxa"/>
            <w:vAlign w:val="bottom"/>
          </w:tcPr>
          <w:p w14:paraId="75D8C4A5" w14:textId="639606EA" w:rsidR="00F31408" w:rsidRPr="00F31408" w:rsidRDefault="00F31408" w:rsidP="00C220C7">
            <w:pPr>
              <w:rPr>
                <w:rFonts w:cs="Arial"/>
              </w:rPr>
            </w:pPr>
            <w:r w:rsidRPr="00F31408">
              <w:rPr>
                <w:rFonts w:cs="Arial"/>
              </w:rPr>
              <w:t>Нечести</w:t>
            </w:r>
          </w:p>
        </w:tc>
      </w:tr>
      <w:tr w:rsidR="00F31408" w14:paraId="34CFE05A" w14:textId="77777777" w:rsidTr="00F31408">
        <w:tc>
          <w:tcPr>
            <w:tcW w:w="2177" w:type="dxa"/>
            <w:vMerge/>
          </w:tcPr>
          <w:p w14:paraId="5A7FF342" w14:textId="77777777" w:rsidR="00F31408" w:rsidRPr="00F31408" w:rsidRDefault="00F31408" w:rsidP="00C220C7">
            <w:pPr>
              <w:rPr>
                <w:rFonts w:cs="Arial"/>
              </w:rPr>
            </w:pPr>
          </w:p>
        </w:tc>
        <w:tc>
          <w:tcPr>
            <w:tcW w:w="2790" w:type="dxa"/>
            <w:vAlign w:val="bottom"/>
          </w:tcPr>
          <w:p w14:paraId="79A423E8" w14:textId="0D9436AC" w:rsidR="00F31408" w:rsidRPr="00F31408" w:rsidRDefault="00F31408" w:rsidP="00C220C7">
            <w:pPr>
              <w:rPr>
                <w:rFonts w:cs="Arial"/>
              </w:rPr>
            </w:pPr>
            <w:r w:rsidRPr="00F31408">
              <w:rPr>
                <w:rFonts w:cs="Arial"/>
              </w:rPr>
              <w:t>Ангиодедм (вж. точка 4.4)</w:t>
            </w:r>
          </w:p>
        </w:tc>
        <w:tc>
          <w:tcPr>
            <w:tcW w:w="1536" w:type="dxa"/>
          </w:tcPr>
          <w:p w14:paraId="290281EE" w14:textId="0A021B09" w:rsidR="00F31408" w:rsidRPr="00F31408" w:rsidRDefault="00F31408" w:rsidP="00C220C7">
            <w:pPr>
              <w:rPr>
                <w:rFonts w:cs="Arial"/>
              </w:rPr>
            </w:pPr>
            <w:r w:rsidRPr="00F31408">
              <w:rPr>
                <w:rFonts w:cs="Arial"/>
              </w:rPr>
              <w:t>Нечести</w:t>
            </w:r>
          </w:p>
        </w:tc>
        <w:tc>
          <w:tcPr>
            <w:tcW w:w="1312" w:type="dxa"/>
            <w:vAlign w:val="bottom"/>
          </w:tcPr>
          <w:p w14:paraId="603F4AAC" w14:textId="0DD3E4BD" w:rsidR="00F31408" w:rsidRPr="00F31408" w:rsidRDefault="00F31408" w:rsidP="00C220C7">
            <w:pPr>
              <w:rPr>
                <w:rFonts w:cs="Arial"/>
              </w:rPr>
            </w:pPr>
            <w:r w:rsidRPr="00F31408">
              <w:rPr>
                <w:rFonts w:cs="Arial"/>
              </w:rPr>
              <w:t>Много редки</w:t>
            </w:r>
          </w:p>
        </w:tc>
        <w:tc>
          <w:tcPr>
            <w:tcW w:w="1535" w:type="dxa"/>
            <w:vAlign w:val="bottom"/>
          </w:tcPr>
          <w:p w14:paraId="77207FB3" w14:textId="14FAF08B" w:rsidR="00F31408" w:rsidRPr="00F31408" w:rsidRDefault="00F31408" w:rsidP="00C220C7">
            <w:pPr>
              <w:rPr>
                <w:rFonts w:cs="Arial"/>
              </w:rPr>
            </w:pPr>
            <w:r w:rsidRPr="00F31408">
              <w:rPr>
                <w:rFonts w:cs="Arial"/>
              </w:rPr>
              <w:t>-</w:t>
            </w:r>
          </w:p>
        </w:tc>
      </w:tr>
      <w:tr w:rsidR="00F31408" w14:paraId="219419D0" w14:textId="77777777" w:rsidTr="00F31408">
        <w:tc>
          <w:tcPr>
            <w:tcW w:w="2177" w:type="dxa"/>
            <w:vMerge/>
          </w:tcPr>
          <w:p w14:paraId="25DEACF2" w14:textId="77777777" w:rsidR="00F31408" w:rsidRPr="00F31408" w:rsidRDefault="00F31408" w:rsidP="00C220C7">
            <w:pPr>
              <w:rPr>
                <w:rFonts w:cs="Arial"/>
              </w:rPr>
            </w:pPr>
          </w:p>
        </w:tc>
        <w:tc>
          <w:tcPr>
            <w:tcW w:w="2790" w:type="dxa"/>
            <w:vAlign w:val="bottom"/>
          </w:tcPr>
          <w:p w14:paraId="6A9D87FE" w14:textId="79EABBB7" w:rsidR="00F31408" w:rsidRPr="00F31408" w:rsidRDefault="00F31408" w:rsidP="00C220C7">
            <w:pPr>
              <w:rPr>
                <w:rFonts w:cs="Arial"/>
              </w:rPr>
            </w:pPr>
            <w:r w:rsidRPr="00F31408">
              <w:rPr>
                <w:rFonts w:cs="Arial"/>
              </w:rPr>
              <w:t>Пурпура</w:t>
            </w:r>
          </w:p>
        </w:tc>
        <w:tc>
          <w:tcPr>
            <w:tcW w:w="1536" w:type="dxa"/>
          </w:tcPr>
          <w:p w14:paraId="38771170" w14:textId="77777777" w:rsidR="00F31408" w:rsidRPr="00F31408" w:rsidRDefault="00F31408" w:rsidP="00C220C7">
            <w:pPr>
              <w:rPr>
                <w:rFonts w:cs="Arial"/>
              </w:rPr>
            </w:pPr>
          </w:p>
        </w:tc>
        <w:tc>
          <w:tcPr>
            <w:tcW w:w="1312" w:type="dxa"/>
            <w:vAlign w:val="bottom"/>
          </w:tcPr>
          <w:p w14:paraId="4AE4BA52" w14:textId="3D3056AA" w:rsidR="00F31408" w:rsidRPr="00F31408" w:rsidRDefault="00F31408" w:rsidP="00C220C7">
            <w:pPr>
              <w:rPr>
                <w:rFonts w:cs="Arial"/>
              </w:rPr>
            </w:pPr>
            <w:r w:rsidRPr="00F31408">
              <w:rPr>
                <w:rFonts w:cs="Arial"/>
              </w:rPr>
              <w:t>Нечести</w:t>
            </w:r>
          </w:p>
        </w:tc>
        <w:tc>
          <w:tcPr>
            <w:tcW w:w="1535" w:type="dxa"/>
          </w:tcPr>
          <w:p w14:paraId="43CCC450" w14:textId="027982EA" w:rsidR="00F31408" w:rsidRPr="00F31408" w:rsidRDefault="00F31408" w:rsidP="00C220C7">
            <w:pPr>
              <w:rPr>
                <w:rFonts w:cs="Arial"/>
              </w:rPr>
            </w:pPr>
            <w:r w:rsidRPr="00F31408">
              <w:rPr>
                <w:rFonts w:cs="Arial"/>
              </w:rPr>
              <w:t>-</w:t>
            </w:r>
          </w:p>
        </w:tc>
      </w:tr>
      <w:tr w:rsidR="00F31408" w14:paraId="2748278B" w14:textId="77777777" w:rsidTr="00F31408">
        <w:tc>
          <w:tcPr>
            <w:tcW w:w="2177" w:type="dxa"/>
            <w:vMerge/>
          </w:tcPr>
          <w:p w14:paraId="49AF17DB" w14:textId="77777777" w:rsidR="00F31408" w:rsidRPr="00F31408" w:rsidRDefault="00F31408" w:rsidP="00C220C7">
            <w:pPr>
              <w:rPr>
                <w:rFonts w:cs="Arial"/>
              </w:rPr>
            </w:pPr>
          </w:p>
        </w:tc>
        <w:tc>
          <w:tcPr>
            <w:tcW w:w="2790" w:type="dxa"/>
            <w:vAlign w:val="bottom"/>
          </w:tcPr>
          <w:p w14:paraId="5D32F77C" w14:textId="0AA0059B" w:rsidR="00F31408" w:rsidRPr="00F31408" w:rsidRDefault="00F31408" w:rsidP="00C220C7">
            <w:pPr>
              <w:rPr>
                <w:rFonts w:cs="Arial"/>
              </w:rPr>
            </w:pPr>
            <w:r w:rsidRPr="00F31408">
              <w:rPr>
                <w:rFonts w:cs="Arial"/>
              </w:rPr>
              <w:t>Хиперхидроза</w:t>
            </w:r>
          </w:p>
        </w:tc>
        <w:tc>
          <w:tcPr>
            <w:tcW w:w="1536" w:type="dxa"/>
            <w:vAlign w:val="bottom"/>
          </w:tcPr>
          <w:p w14:paraId="074D4277" w14:textId="3803C070" w:rsidR="00F31408" w:rsidRPr="00F31408" w:rsidRDefault="00F31408" w:rsidP="00C220C7">
            <w:pPr>
              <w:rPr>
                <w:rFonts w:cs="Arial"/>
              </w:rPr>
            </w:pPr>
            <w:r w:rsidRPr="00F31408">
              <w:rPr>
                <w:rFonts w:cs="Arial"/>
              </w:rPr>
              <w:t>Нечести</w:t>
            </w:r>
          </w:p>
        </w:tc>
        <w:tc>
          <w:tcPr>
            <w:tcW w:w="1312" w:type="dxa"/>
          </w:tcPr>
          <w:p w14:paraId="39FB90B8" w14:textId="77777777" w:rsidR="00F31408" w:rsidRPr="00F31408" w:rsidRDefault="00F31408" w:rsidP="00C220C7">
            <w:pPr>
              <w:rPr>
                <w:rFonts w:cs="Arial"/>
              </w:rPr>
            </w:pPr>
          </w:p>
        </w:tc>
        <w:tc>
          <w:tcPr>
            <w:tcW w:w="1535" w:type="dxa"/>
          </w:tcPr>
          <w:p w14:paraId="02EBB33F" w14:textId="02FA4AD8" w:rsidR="00F31408" w:rsidRPr="00F31408" w:rsidRDefault="00F31408" w:rsidP="00C220C7">
            <w:pPr>
              <w:rPr>
                <w:rFonts w:cs="Arial"/>
              </w:rPr>
            </w:pPr>
            <w:r w:rsidRPr="00F31408">
              <w:rPr>
                <w:rFonts w:cs="Arial"/>
              </w:rPr>
              <w:t>-</w:t>
            </w:r>
          </w:p>
        </w:tc>
      </w:tr>
      <w:tr w:rsidR="00F31408" w14:paraId="362EB2AE" w14:textId="77777777" w:rsidTr="00F31408">
        <w:tc>
          <w:tcPr>
            <w:tcW w:w="2177" w:type="dxa"/>
            <w:vMerge/>
          </w:tcPr>
          <w:p w14:paraId="1621C70F" w14:textId="77777777" w:rsidR="00F31408" w:rsidRPr="00F31408" w:rsidRDefault="00F31408" w:rsidP="00C220C7">
            <w:pPr>
              <w:rPr>
                <w:rFonts w:cs="Arial"/>
              </w:rPr>
            </w:pPr>
          </w:p>
        </w:tc>
        <w:tc>
          <w:tcPr>
            <w:tcW w:w="2790" w:type="dxa"/>
            <w:vAlign w:val="bottom"/>
          </w:tcPr>
          <w:p w14:paraId="28DE4079" w14:textId="5715F392" w:rsidR="00F31408" w:rsidRPr="00F31408" w:rsidRDefault="00F31408" w:rsidP="00C220C7">
            <w:pPr>
              <w:rPr>
                <w:rFonts w:cs="Arial"/>
              </w:rPr>
            </w:pPr>
            <w:r w:rsidRPr="00F31408">
              <w:rPr>
                <w:rFonts w:cs="Arial"/>
              </w:rPr>
              <w:t>Реакции на фотосенсибилизация</w:t>
            </w:r>
          </w:p>
        </w:tc>
        <w:tc>
          <w:tcPr>
            <w:tcW w:w="1536" w:type="dxa"/>
            <w:vAlign w:val="center"/>
          </w:tcPr>
          <w:p w14:paraId="715C3A5F" w14:textId="002DFD3D" w:rsidR="00F31408" w:rsidRPr="00F31408" w:rsidRDefault="00F31408" w:rsidP="00C220C7">
            <w:pPr>
              <w:rPr>
                <w:rFonts w:cs="Arial"/>
              </w:rPr>
            </w:pPr>
            <w:r w:rsidRPr="00F31408">
              <w:rPr>
                <w:rFonts w:cs="Arial"/>
              </w:rPr>
              <w:t>Нечести*</w:t>
            </w:r>
          </w:p>
        </w:tc>
        <w:tc>
          <w:tcPr>
            <w:tcW w:w="1312" w:type="dxa"/>
            <w:vAlign w:val="bottom"/>
          </w:tcPr>
          <w:p w14:paraId="7A38353C" w14:textId="7F58C56E" w:rsidR="00F31408" w:rsidRPr="00F31408" w:rsidRDefault="00F31408" w:rsidP="00C220C7">
            <w:pPr>
              <w:rPr>
                <w:rFonts w:cs="Arial"/>
              </w:rPr>
            </w:pPr>
            <w:r w:rsidRPr="00F31408">
              <w:rPr>
                <w:rFonts w:cs="Arial"/>
              </w:rPr>
              <w:t xml:space="preserve">С неизвестна честота </w:t>
            </w:r>
          </w:p>
        </w:tc>
        <w:tc>
          <w:tcPr>
            <w:tcW w:w="1535" w:type="dxa"/>
          </w:tcPr>
          <w:p w14:paraId="595F4032" w14:textId="0B9AF69D" w:rsidR="00F31408" w:rsidRPr="00F31408" w:rsidRDefault="00F31408" w:rsidP="00C220C7">
            <w:pPr>
              <w:rPr>
                <w:rFonts w:cs="Arial"/>
              </w:rPr>
            </w:pPr>
            <w:r w:rsidRPr="00F31408">
              <w:rPr>
                <w:rFonts w:cs="Arial"/>
              </w:rPr>
              <w:t>-</w:t>
            </w:r>
          </w:p>
        </w:tc>
      </w:tr>
      <w:tr w:rsidR="00F31408" w14:paraId="3F40E77B" w14:textId="77777777" w:rsidTr="00F31408">
        <w:tc>
          <w:tcPr>
            <w:tcW w:w="2177" w:type="dxa"/>
            <w:vMerge/>
          </w:tcPr>
          <w:p w14:paraId="388981FF" w14:textId="77777777" w:rsidR="00F31408" w:rsidRPr="00F31408" w:rsidRDefault="00F31408" w:rsidP="00C220C7">
            <w:pPr>
              <w:rPr>
                <w:rFonts w:cs="Arial"/>
              </w:rPr>
            </w:pPr>
          </w:p>
        </w:tc>
        <w:tc>
          <w:tcPr>
            <w:tcW w:w="2790" w:type="dxa"/>
          </w:tcPr>
          <w:p w14:paraId="0E4CE3BD" w14:textId="52F3AB3E" w:rsidR="00F31408" w:rsidRPr="00F31408" w:rsidRDefault="00F31408" w:rsidP="00C220C7">
            <w:pPr>
              <w:rPr>
                <w:rFonts w:cs="Arial"/>
              </w:rPr>
            </w:pPr>
            <w:r w:rsidRPr="00F31408">
              <w:rPr>
                <w:rFonts w:cs="Arial"/>
              </w:rPr>
              <w:t>Пемфигоид</w:t>
            </w:r>
          </w:p>
        </w:tc>
        <w:tc>
          <w:tcPr>
            <w:tcW w:w="1536" w:type="dxa"/>
          </w:tcPr>
          <w:p w14:paraId="36C983CE" w14:textId="68FD4AEE" w:rsidR="00F31408" w:rsidRPr="00F31408" w:rsidRDefault="00F31408" w:rsidP="00C220C7">
            <w:pPr>
              <w:rPr>
                <w:rFonts w:cs="Arial"/>
              </w:rPr>
            </w:pPr>
            <w:r w:rsidRPr="00F31408">
              <w:rPr>
                <w:rFonts w:cs="Arial"/>
              </w:rPr>
              <w:t>Нечести*</w:t>
            </w:r>
          </w:p>
        </w:tc>
        <w:tc>
          <w:tcPr>
            <w:tcW w:w="1312" w:type="dxa"/>
          </w:tcPr>
          <w:p w14:paraId="6BD24DE0" w14:textId="58306B65" w:rsidR="00F31408" w:rsidRPr="00F31408" w:rsidRDefault="00F31408" w:rsidP="00C220C7">
            <w:pPr>
              <w:rPr>
                <w:rFonts w:cs="Arial"/>
              </w:rPr>
            </w:pPr>
            <w:r w:rsidRPr="00F31408">
              <w:rPr>
                <w:rFonts w:cs="Arial"/>
              </w:rPr>
              <w:t>-</w:t>
            </w:r>
          </w:p>
        </w:tc>
        <w:tc>
          <w:tcPr>
            <w:tcW w:w="1535" w:type="dxa"/>
          </w:tcPr>
          <w:p w14:paraId="7E02749F" w14:textId="5494E0D9" w:rsidR="00F31408" w:rsidRPr="00F31408" w:rsidRDefault="00F31408" w:rsidP="00C220C7">
            <w:pPr>
              <w:rPr>
                <w:rFonts w:cs="Arial"/>
              </w:rPr>
            </w:pPr>
            <w:r w:rsidRPr="00F31408">
              <w:rPr>
                <w:rFonts w:cs="Arial"/>
              </w:rPr>
              <w:t>-</w:t>
            </w:r>
          </w:p>
        </w:tc>
      </w:tr>
      <w:tr w:rsidR="00F31408" w14:paraId="4C88104B" w14:textId="77777777" w:rsidTr="00F31408">
        <w:tc>
          <w:tcPr>
            <w:tcW w:w="2177" w:type="dxa"/>
            <w:vMerge/>
          </w:tcPr>
          <w:p w14:paraId="37FD2CEE" w14:textId="77777777" w:rsidR="00F31408" w:rsidRPr="00F31408" w:rsidRDefault="00F31408" w:rsidP="00B142B8">
            <w:pPr>
              <w:rPr>
                <w:rFonts w:cs="Arial"/>
              </w:rPr>
            </w:pPr>
          </w:p>
        </w:tc>
        <w:tc>
          <w:tcPr>
            <w:tcW w:w="2790" w:type="dxa"/>
            <w:vAlign w:val="bottom"/>
          </w:tcPr>
          <w:p w14:paraId="06B178BC" w14:textId="3AEC4A35" w:rsidR="00F31408" w:rsidRPr="00F31408" w:rsidRDefault="00F31408" w:rsidP="00B142B8">
            <w:pPr>
              <w:rPr>
                <w:rFonts w:cs="Arial"/>
              </w:rPr>
            </w:pPr>
            <w:r w:rsidRPr="00F31408">
              <w:rPr>
                <w:rFonts w:cs="Arial"/>
              </w:rPr>
              <w:t>Влошаване на псориазис</w:t>
            </w:r>
          </w:p>
        </w:tc>
        <w:tc>
          <w:tcPr>
            <w:tcW w:w="1536" w:type="dxa"/>
            <w:vAlign w:val="bottom"/>
          </w:tcPr>
          <w:p w14:paraId="617188B4" w14:textId="15E796EB" w:rsidR="00F31408" w:rsidRPr="00F31408" w:rsidRDefault="00F31408" w:rsidP="00B142B8">
            <w:pPr>
              <w:rPr>
                <w:rFonts w:cs="Arial"/>
              </w:rPr>
            </w:pPr>
            <w:r w:rsidRPr="00F31408">
              <w:rPr>
                <w:rFonts w:cs="Arial"/>
              </w:rPr>
              <w:t>Редки*</w:t>
            </w:r>
          </w:p>
        </w:tc>
        <w:tc>
          <w:tcPr>
            <w:tcW w:w="1312" w:type="dxa"/>
            <w:vAlign w:val="bottom"/>
          </w:tcPr>
          <w:p w14:paraId="5B965B5F" w14:textId="709569AB" w:rsidR="00F31408" w:rsidRPr="00F31408" w:rsidRDefault="00F31408" w:rsidP="00B142B8">
            <w:pPr>
              <w:rPr>
                <w:rFonts w:cs="Arial"/>
              </w:rPr>
            </w:pPr>
            <w:r w:rsidRPr="00F31408">
              <w:rPr>
                <w:rFonts w:cs="Arial"/>
                <w:b/>
                <w:bCs/>
              </w:rPr>
              <w:t>-</w:t>
            </w:r>
          </w:p>
        </w:tc>
        <w:tc>
          <w:tcPr>
            <w:tcW w:w="1535" w:type="dxa"/>
          </w:tcPr>
          <w:p w14:paraId="323C40A0" w14:textId="77777777" w:rsidR="00F31408" w:rsidRPr="00F31408" w:rsidRDefault="00F31408" w:rsidP="00B142B8">
            <w:pPr>
              <w:rPr>
                <w:rFonts w:cs="Arial"/>
              </w:rPr>
            </w:pPr>
          </w:p>
        </w:tc>
      </w:tr>
      <w:tr w:rsidR="00F31408" w14:paraId="5BD76EF4" w14:textId="77777777" w:rsidTr="00F31408">
        <w:tc>
          <w:tcPr>
            <w:tcW w:w="2177" w:type="dxa"/>
            <w:vMerge/>
          </w:tcPr>
          <w:p w14:paraId="1AE5E2BE" w14:textId="77777777" w:rsidR="00F31408" w:rsidRPr="00F31408" w:rsidRDefault="00F31408" w:rsidP="00B142B8">
            <w:pPr>
              <w:rPr>
                <w:rFonts w:cs="Arial"/>
              </w:rPr>
            </w:pPr>
          </w:p>
        </w:tc>
        <w:tc>
          <w:tcPr>
            <w:tcW w:w="2790" w:type="dxa"/>
            <w:vAlign w:val="bottom"/>
          </w:tcPr>
          <w:p w14:paraId="0038502B" w14:textId="2F03BD15" w:rsidR="00F31408" w:rsidRPr="00F31408" w:rsidRDefault="00F31408" w:rsidP="00B142B8">
            <w:pPr>
              <w:rPr>
                <w:rFonts w:cs="Arial"/>
              </w:rPr>
            </w:pPr>
            <w:r w:rsidRPr="00F31408">
              <w:rPr>
                <w:rFonts w:cs="Arial"/>
              </w:rPr>
              <w:t>Еритема мултиформе</w:t>
            </w:r>
          </w:p>
        </w:tc>
        <w:tc>
          <w:tcPr>
            <w:tcW w:w="1536" w:type="dxa"/>
            <w:vAlign w:val="bottom"/>
          </w:tcPr>
          <w:p w14:paraId="0B683D7E" w14:textId="3D79A120" w:rsidR="00F31408" w:rsidRPr="00F31408" w:rsidRDefault="00F31408" w:rsidP="00B142B8">
            <w:pPr>
              <w:rPr>
                <w:rFonts w:cs="Arial"/>
              </w:rPr>
            </w:pPr>
            <w:r w:rsidRPr="00F31408">
              <w:rPr>
                <w:rFonts w:cs="Arial"/>
              </w:rPr>
              <w:t>Много редки</w:t>
            </w:r>
          </w:p>
        </w:tc>
        <w:tc>
          <w:tcPr>
            <w:tcW w:w="1312" w:type="dxa"/>
            <w:vAlign w:val="center"/>
          </w:tcPr>
          <w:p w14:paraId="390BC346" w14:textId="7E2721F0" w:rsidR="00F31408" w:rsidRPr="00F31408" w:rsidRDefault="00F31408" w:rsidP="00B142B8">
            <w:pPr>
              <w:rPr>
                <w:rFonts w:cs="Arial"/>
              </w:rPr>
            </w:pPr>
            <w:r w:rsidRPr="00F31408">
              <w:rPr>
                <w:rFonts w:cs="Arial"/>
              </w:rPr>
              <w:t>-</w:t>
            </w:r>
          </w:p>
        </w:tc>
        <w:tc>
          <w:tcPr>
            <w:tcW w:w="1535" w:type="dxa"/>
            <w:vAlign w:val="center"/>
          </w:tcPr>
          <w:p w14:paraId="134F14A3" w14:textId="3E4DE1CF" w:rsidR="00F31408" w:rsidRPr="00F31408" w:rsidRDefault="00F31408" w:rsidP="00B142B8">
            <w:pPr>
              <w:rPr>
                <w:rFonts w:cs="Arial"/>
              </w:rPr>
            </w:pPr>
            <w:r w:rsidRPr="00F31408">
              <w:rPr>
                <w:rFonts w:cs="Arial"/>
                <w:i/>
                <w:iCs/>
              </w:rPr>
              <w:t>-</w:t>
            </w:r>
          </w:p>
        </w:tc>
      </w:tr>
      <w:tr w:rsidR="00F31408" w14:paraId="6659E2D6" w14:textId="77777777" w:rsidTr="00F31408">
        <w:tc>
          <w:tcPr>
            <w:tcW w:w="2177" w:type="dxa"/>
            <w:vMerge/>
          </w:tcPr>
          <w:p w14:paraId="72C87A41" w14:textId="77777777" w:rsidR="00F31408" w:rsidRPr="00F31408" w:rsidRDefault="00F31408" w:rsidP="00B142B8">
            <w:pPr>
              <w:rPr>
                <w:rFonts w:cs="Arial"/>
              </w:rPr>
            </w:pPr>
          </w:p>
        </w:tc>
        <w:tc>
          <w:tcPr>
            <w:tcW w:w="2790" w:type="dxa"/>
            <w:vAlign w:val="bottom"/>
          </w:tcPr>
          <w:p w14:paraId="1006F3DF" w14:textId="4CDC9226" w:rsidR="00F31408" w:rsidRPr="00F31408" w:rsidRDefault="00F31408" w:rsidP="00B142B8">
            <w:pPr>
              <w:rPr>
                <w:rFonts w:cs="Arial"/>
              </w:rPr>
            </w:pPr>
            <w:r w:rsidRPr="00F31408">
              <w:rPr>
                <w:rFonts w:cs="Arial"/>
              </w:rPr>
              <w:t>Токсична епидермална некролиза</w:t>
            </w:r>
          </w:p>
        </w:tc>
        <w:tc>
          <w:tcPr>
            <w:tcW w:w="1536" w:type="dxa"/>
            <w:vAlign w:val="center"/>
          </w:tcPr>
          <w:p w14:paraId="75C666FC" w14:textId="44DF8E60" w:rsidR="00F31408" w:rsidRPr="00F31408" w:rsidRDefault="00F31408" w:rsidP="00B142B8">
            <w:pPr>
              <w:rPr>
                <w:rFonts w:cs="Arial"/>
              </w:rPr>
            </w:pPr>
            <w:r w:rsidRPr="00F31408">
              <w:rPr>
                <w:rFonts w:cs="Arial"/>
              </w:rPr>
              <w:t>-</w:t>
            </w:r>
          </w:p>
        </w:tc>
        <w:tc>
          <w:tcPr>
            <w:tcW w:w="1312" w:type="dxa"/>
            <w:vAlign w:val="center"/>
          </w:tcPr>
          <w:p w14:paraId="5769BB7F" w14:textId="4F65D928" w:rsidR="00F31408" w:rsidRPr="00F31408" w:rsidRDefault="00F31408" w:rsidP="00B142B8">
            <w:pPr>
              <w:rPr>
                <w:rFonts w:cs="Arial"/>
              </w:rPr>
            </w:pPr>
            <w:r w:rsidRPr="00F31408">
              <w:rPr>
                <w:rFonts w:cs="Arial"/>
              </w:rPr>
              <w:t>Много редки</w:t>
            </w:r>
          </w:p>
        </w:tc>
        <w:tc>
          <w:tcPr>
            <w:tcW w:w="1535" w:type="dxa"/>
          </w:tcPr>
          <w:p w14:paraId="0E4ACAFC" w14:textId="09E8E193" w:rsidR="00F31408" w:rsidRPr="00F31408" w:rsidRDefault="00F31408" w:rsidP="00B142B8">
            <w:pPr>
              <w:rPr>
                <w:rFonts w:cs="Arial"/>
              </w:rPr>
            </w:pPr>
            <w:r w:rsidRPr="00F31408">
              <w:rPr>
                <w:rFonts w:cs="Arial"/>
              </w:rPr>
              <w:t>-</w:t>
            </w:r>
          </w:p>
        </w:tc>
      </w:tr>
      <w:tr w:rsidR="00F31408" w14:paraId="1CF0D81C" w14:textId="77777777" w:rsidTr="00F31408">
        <w:tc>
          <w:tcPr>
            <w:tcW w:w="2177" w:type="dxa"/>
            <w:vMerge/>
          </w:tcPr>
          <w:p w14:paraId="21601BE9" w14:textId="77777777" w:rsidR="00F31408" w:rsidRPr="00F31408" w:rsidRDefault="00F31408" w:rsidP="00B142B8">
            <w:pPr>
              <w:rPr>
                <w:rFonts w:cs="Arial"/>
              </w:rPr>
            </w:pPr>
          </w:p>
        </w:tc>
        <w:tc>
          <w:tcPr>
            <w:tcW w:w="2790" w:type="dxa"/>
            <w:vAlign w:val="center"/>
          </w:tcPr>
          <w:p w14:paraId="7F1B9042" w14:textId="1148BD09" w:rsidR="00F31408" w:rsidRPr="00F31408" w:rsidRDefault="00F31408" w:rsidP="00B142B8">
            <w:pPr>
              <w:rPr>
                <w:rFonts w:cs="Arial"/>
              </w:rPr>
            </w:pPr>
            <w:r w:rsidRPr="00F31408">
              <w:rPr>
                <w:rFonts w:cs="Arial"/>
              </w:rPr>
              <w:t xml:space="preserve">Синдром на </w:t>
            </w:r>
            <w:r w:rsidRPr="00F31408">
              <w:rPr>
                <w:rFonts w:cs="Arial"/>
                <w:lang w:val="en-US"/>
              </w:rPr>
              <w:t>Stevens Johnson</w:t>
            </w:r>
          </w:p>
        </w:tc>
        <w:tc>
          <w:tcPr>
            <w:tcW w:w="1536" w:type="dxa"/>
          </w:tcPr>
          <w:p w14:paraId="5F7A3347" w14:textId="6C656BE3" w:rsidR="00F31408" w:rsidRPr="00F31408" w:rsidRDefault="00F31408" w:rsidP="00B142B8">
            <w:pPr>
              <w:rPr>
                <w:rFonts w:cs="Arial"/>
              </w:rPr>
            </w:pPr>
            <w:r w:rsidRPr="00F31408">
              <w:rPr>
                <w:rFonts w:cs="Arial"/>
              </w:rPr>
              <w:t>-</w:t>
            </w:r>
          </w:p>
        </w:tc>
        <w:tc>
          <w:tcPr>
            <w:tcW w:w="1312" w:type="dxa"/>
            <w:vAlign w:val="center"/>
          </w:tcPr>
          <w:p w14:paraId="6E0E1C02" w14:textId="2E88AC28" w:rsidR="00F31408" w:rsidRPr="00F31408" w:rsidRDefault="00F31408" w:rsidP="00B142B8">
            <w:pPr>
              <w:rPr>
                <w:rFonts w:cs="Arial"/>
              </w:rPr>
            </w:pPr>
            <w:r w:rsidRPr="00F31408">
              <w:rPr>
                <w:rFonts w:cs="Arial"/>
              </w:rPr>
              <w:t>Много редки</w:t>
            </w:r>
          </w:p>
        </w:tc>
        <w:tc>
          <w:tcPr>
            <w:tcW w:w="1535" w:type="dxa"/>
          </w:tcPr>
          <w:p w14:paraId="2E55642D" w14:textId="4C41429D" w:rsidR="00F31408" w:rsidRPr="00F31408" w:rsidRDefault="00F31408" w:rsidP="00B142B8">
            <w:pPr>
              <w:rPr>
                <w:rFonts w:cs="Arial"/>
              </w:rPr>
            </w:pPr>
            <w:r w:rsidRPr="00F31408">
              <w:rPr>
                <w:rFonts w:cs="Arial"/>
              </w:rPr>
              <w:t>С неизвестна честота</w:t>
            </w:r>
          </w:p>
        </w:tc>
      </w:tr>
      <w:tr w:rsidR="00F31408" w14:paraId="5A77EF8A" w14:textId="77777777" w:rsidTr="00F31408">
        <w:tc>
          <w:tcPr>
            <w:tcW w:w="2177" w:type="dxa"/>
            <w:vMerge/>
          </w:tcPr>
          <w:p w14:paraId="5E9F61C4" w14:textId="77777777" w:rsidR="00F31408" w:rsidRPr="00F31408" w:rsidRDefault="00F31408" w:rsidP="00B142B8">
            <w:pPr>
              <w:rPr>
                <w:rFonts w:cs="Arial"/>
              </w:rPr>
            </w:pPr>
          </w:p>
        </w:tc>
        <w:tc>
          <w:tcPr>
            <w:tcW w:w="2790" w:type="dxa"/>
            <w:vAlign w:val="bottom"/>
          </w:tcPr>
          <w:p w14:paraId="237693DE" w14:textId="7EA550D5" w:rsidR="00F31408" w:rsidRPr="00F31408" w:rsidRDefault="00F31408" w:rsidP="00B142B8">
            <w:pPr>
              <w:rPr>
                <w:rFonts w:cs="Arial"/>
              </w:rPr>
            </w:pPr>
            <w:r w:rsidRPr="00F31408">
              <w:rPr>
                <w:rFonts w:cs="Arial"/>
              </w:rPr>
              <w:t xml:space="preserve">Лекарствена реакция с еозинофилия и системни симптоми </w:t>
            </w:r>
            <w:r w:rsidRPr="00F31408">
              <w:rPr>
                <w:rFonts w:cs="Arial"/>
                <w:lang w:val="en-US"/>
              </w:rPr>
              <w:t>(DRESS)</w:t>
            </w:r>
          </w:p>
        </w:tc>
        <w:tc>
          <w:tcPr>
            <w:tcW w:w="1536" w:type="dxa"/>
          </w:tcPr>
          <w:p w14:paraId="17136233" w14:textId="72F64296" w:rsidR="00F31408" w:rsidRPr="00F31408" w:rsidRDefault="00F31408" w:rsidP="00B142B8">
            <w:pPr>
              <w:rPr>
                <w:rFonts w:cs="Arial"/>
              </w:rPr>
            </w:pPr>
            <w:r w:rsidRPr="00F31408">
              <w:rPr>
                <w:rFonts w:cs="Arial"/>
              </w:rPr>
              <w:t>-</w:t>
            </w:r>
          </w:p>
        </w:tc>
        <w:tc>
          <w:tcPr>
            <w:tcW w:w="1312" w:type="dxa"/>
          </w:tcPr>
          <w:p w14:paraId="5DAAFAFE" w14:textId="32048886" w:rsidR="00F31408" w:rsidRPr="00F31408" w:rsidRDefault="00F31408" w:rsidP="00B142B8">
            <w:pPr>
              <w:rPr>
                <w:rFonts w:cs="Arial"/>
              </w:rPr>
            </w:pPr>
            <w:r w:rsidRPr="00F31408">
              <w:rPr>
                <w:rFonts w:cs="Arial"/>
              </w:rPr>
              <w:t>-</w:t>
            </w:r>
          </w:p>
        </w:tc>
        <w:tc>
          <w:tcPr>
            <w:tcW w:w="1535" w:type="dxa"/>
          </w:tcPr>
          <w:p w14:paraId="036BD285" w14:textId="271AE661" w:rsidR="00F31408" w:rsidRPr="00F31408" w:rsidRDefault="00F31408" w:rsidP="00B142B8">
            <w:pPr>
              <w:rPr>
                <w:rFonts w:cs="Arial"/>
              </w:rPr>
            </w:pPr>
            <w:r w:rsidRPr="00F31408">
              <w:rPr>
                <w:rFonts w:cs="Arial"/>
              </w:rPr>
              <w:t>С неизвестна честота</w:t>
            </w:r>
          </w:p>
        </w:tc>
      </w:tr>
      <w:tr w:rsidR="00F31408" w14:paraId="3FA286CB" w14:textId="77777777" w:rsidTr="00F31408">
        <w:tc>
          <w:tcPr>
            <w:tcW w:w="2177" w:type="dxa"/>
            <w:vMerge w:val="restart"/>
            <w:vAlign w:val="center"/>
          </w:tcPr>
          <w:p w14:paraId="462D55F4" w14:textId="766B7CBD" w:rsidR="00F31408" w:rsidRPr="00F31408" w:rsidRDefault="00F31408" w:rsidP="00F31408">
            <w:pPr>
              <w:rPr>
                <w:rFonts w:cs="Arial"/>
              </w:rPr>
            </w:pPr>
            <w:r w:rsidRPr="00F31408">
              <w:rPr>
                <w:rFonts w:cs="Arial"/>
                <w:b/>
                <w:bCs/>
              </w:rPr>
              <w:lastRenderedPageBreak/>
              <w:t>Нарушения на мускулно-скелетната система и съединителната тъкан</w:t>
            </w:r>
          </w:p>
        </w:tc>
        <w:tc>
          <w:tcPr>
            <w:tcW w:w="2790" w:type="dxa"/>
            <w:vAlign w:val="center"/>
          </w:tcPr>
          <w:p w14:paraId="54473CCB" w14:textId="54EC79F1" w:rsidR="00F31408" w:rsidRPr="00F31408" w:rsidRDefault="00F31408" w:rsidP="00F31408">
            <w:pPr>
              <w:rPr>
                <w:rFonts w:cs="Arial"/>
              </w:rPr>
            </w:pPr>
            <w:r w:rsidRPr="00F31408">
              <w:rPr>
                <w:rFonts w:cs="Arial"/>
              </w:rPr>
              <w:t>Мускулни спазми</w:t>
            </w:r>
          </w:p>
        </w:tc>
        <w:tc>
          <w:tcPr>
            <w:tcW w:w="1536" w:type="dxa"/>
            <w:vAlign w:val="center"/>
          </w:tcPr>
          <w:p w14:paraId="4BF418B4" w14:textId="0F0EE9B2" w:rsidR="00F31408" w:rsidRPr="00F31408" w:rsidRDefault="00F31408" w:rsidP="00F31408">
            <w:pPr>
              <w:rPr>
                <w:rFonts w:cs="Arial"/>
              </w:rPr>
            </w:pPr>
            <w:r w:rsidRPr="00F31408">
              <w:rPr>
                <w:rFonts w:cs="Arial"/>
              </w:rPr>
              <w:t>Чести</w:t>
            </w:r>
          </w:p>
        </w:tc>
        <w:tc>
          <w:tcPr>
            <w:tcW w:w="1312" w:type="dxa"/>
            <w:vAlign w:val="bottom"/>
          </w:tcPr>
          <w:p w14:paraId="6E648CE0" w14:textId="4A280EA8" w:rsidR="00F31408" w:rsidRPr="00F31408" w:rsidRDefault="00F31408" w:rsidP="00F31408">
            <w:pPr>
              <w:rPr>
                <w:rFonts w:cs="Arial"/>
              </w:rPr>
            </w:pPr>
            <w:r w:rsidRPr="00F31408">
              <w:rPr>
                <w:rFonts w:cs="Arial"/>
              </w:rPr>
              <w:t>С неизвестна честота</w:t>
            </w:r>
          </w:p>
        </w:tc>
        <w:tc>
          <w:tcPr>
            <w:tcW w:w="1535" w:type="dxa"/>
          </w:tcPr>
          <w:p w14:paraId="227D6543" w14:textId="545CA331" w:rsidR="00F31408" w:rsidRPr="00F31408" w:rsidRDefault="00F31408" w:rsidP="00F31408">
            <w:pPr>
              <w:rPr>
                <w:rFonts w:cs="Arial"/>
              </w:rPr>
            </w:pPr>
            <w:r w:rsidRPr="00F31408">
              <w:rPr>
                <w:rFonts w:cs="Arial"/>
              </w:rPr>
              <w:t>-</w:t>
            </w:r>
          </w:p>
        </w:tc>
      </w:tr>
      <w:tr w:rsidR="00F31408" w14:paraId="553EDC15" w14:textId="77777777" w:rsidTr="00F31408">
        <w:tc>
          <w:tcPr>
            <w:tcW w:w="2177" w:type="dxa"/>
            <w:vMerge/>
            <w:vAlign w:val="center"/>
          </w:tcPr>
          <w:p w14:paraId="5919F036" w14:textId="77777777" w:rsidR="00F31408" w:rsidRPr="00F31408" w:rsidRDefault="00F31408" w:rsidP="00F31408">
            <w:pPr>
              <w:rPr>
                <w:rFonts w:cs="Arial"/>
              </w:rPr>
            </w:pPr>
          </w:p>
        </w:tc>
        <w:tc>
          <w:tcPr>
            <w:tcW w:w="2790" w:type="dxa"/>
            <w:vAlign w:val="bottom"/>
          </w:tcPr>
          <w:p w14:paraId="532138FC" w14:textId="7DC71752" w:rsidR="00F31408" w:rsidRPr="00F31408" w:rsidRDefault="00F31408" w:rsidP="00F31408">
            <w:pPr>
              <w:rPr>
                <w:rFonts w:cs="Arial"/>
              </w:rPr>
            </w:pPr>
            <w:r w:rsidRPr="00F31408">
              <w:rPr>
                <w:rFonts w:cs="Arial"/>
              </w:rPr>
              <w:t>Възможно влошаване на вече съществуващ остър лупус еритематодес</w:t>
            </w:r>
          </w:p>
        </w:tc>
        <w:tc>
          <w:tcPr>
            <w:tcW w:w="1536" w:type="dxa"/>
          </w:tcPr>
          <w:p w14:paraId="3C93EE91" w14:textId="00ED7DEC" w:rsidR="00F31408" w:rsidRPr="00F31408" w:rsidRDefault="00F31408" w:rsidP="00F31408">
            <w:pPr>
              <w:rPr>
                <w:rFonts w:cs="Arial"/>
              </w:rPr>
            </w:pPr>
            <w:r w:rsidRPr="00F31408">
              <w:rPr>
                <w:rFonts w:cs="Arial"/>
              </w:rPr>
              <w:t>-</w:t>
            </w:r>
          </w:p>
        </w:tc>
        <w:tc>
          <w:tcPr>
            <w:tcW w:w="1312" w:type="dxa"/>
            <w:vAlign w:val="center"/>
          </w:tcPr>
          <w:p w14:paraId="12341469" w14:textId="59D6B241" w:rsidR="00F31408" w:rsidRPr="00F31408" w:rsidRDefault="00F31408" w:rsidP="00F31408">
            <w:pPr>
              <w:rPr>
                <w:rFonts w:cs="Arial"/>
              </w:rPr>
            </w:pPr>
            <w:r w:rsidRPr="00F31408">
              <w:rPr>
                <w:rFonts w:cs="Arial"/>
              </w:rPr>
              <w:t>С неизвестна честота</w:t>
            </w:r>
          </w:p>
        </w:tc>
        <w:tc>
          <w:tcPr>
            <w:tcW w:w="1535" w:type="dxa"/>
          </w:tcPr>
          <w:p w14:paraId="72FFAA8D" w14:textId="5BAB4400" w:rsidR="00F31408" w:rsidRPr="00F31408" w:rsidRDefault="00F31408" w:rsidP="00F31408">
            <w:pPr>
              <w:rPr>
                <w:rFonts w:cs="Arial"/>
              </w:rPr>
            </w:pPr>
            <w:r w:rsidRPr="00F31408">
              <w:rPr>
                <w:rFonts w:cs="Arial"/>
              </w:rPr>
              <w:t>-</w:t>
            </w:r>
          </w:p>
        </w:tc>
      </w:tr>
      <w:tr w:rsidR="00F31408" w14:paraId="45D581A9" w14:textId="77777777" w:rsidTr="00F31408">
        <w:tc>
          <w:tcPr>
            <w:tcW w:w="2177" w:type="dxa"/>
            <w:vMerge/>
            <w:vAlign w:val="center"/>
          </w:tcPr>
          <w:p w14:paraId="678DEB04" w14:textId="77777777" w:rsidR="00F31408" w:rsidRPr="00F31408" w:rsidRDefault="00F31408" w:rsidP="00F31408">
            <w:pPr>
              <w:rPr>
                <w:rFonts w:cs="Arial"/>
              </w:rPr>
            </w:pPr>
          </w:p>
        </w:tc>
        <w:tc>
          <w:tcPr>
            <w:tcW w:w="2790" w:type="dxa"/>
            <w:vAlign w:val="bottom"/>
          </w:tcPr>
          <w:p w14:paraId="4A7DED0B" w14:textId="1C813F0F" w:rsidR="00F31408" w:rsidRPr="00F31408" w:rsidRDefault="00F31408" w:rsidP="00F31408">
            <w:pPr>
              <w:rPr>
                <w:rFonts w:cs="Arial"/>
              </w:rPr>
            </w:pPr>
            <w:r w:rsidRPr="00F31408">
              <w:rPr>
                <w:rFonts w:cs="Arial"/>
              </w:rPr>
              <w:t>Артралгия</w:t>
            </w:r>
          </w:p>
        </w:tc>
        <w:tc>
          <w:tcPr>
            <w:tcW w:w="1536" w:type="dxa"/>
          </w:tcPr>
          <w:p w14:paraId="5BFB8ABF" w14:textId="255CD4F4" w:rsidR="00F31408" w:rsidRPr="00F31408" w:rsidRDefault="00F31408" w:rsidP="00F31408">
            <w:pPr>
              <w:rPr>
                <w:rFonts w:cs="Arial"/>
              </w:rPr>
            </w:pPr>
            <w:r w:rsidRPr="00F31408">
              <w:rPr>
                <w:rFonts w:cs="Arial"/>
              </w:rPr>
              <w:t>Нечести*</w:t>
            </w:r>
          </w:p>
        </w:tc>
        <w:tc>
          <w:tcPr>
            <w:tcW w:w="1312" w:type="dxa"/>
            <w:vAlign w:val="bottom"/>
          </w:tcPr>
          <w:p w14:paraId="5C06B3BA" w14:textId="75625873" w:rsidR="00F31408" w:rsidRPr="00F31408" w:rsidRDefault="00F31408" w:rsidP="00F31408">
            <w:pPr>
              <w:rPr>
                <w:rFonts w:cs="Arial"/>
              </w:rPr>
            </w:pPr>
            <w:r w:rsidRPr="00F31408">
              <w:rPr>
                <w:rFonts w:cs="Arial"/>
              </w:rPr>
              <w:t>-</w:t>
            </w:r>
          </w:p>
        </w:tc>
        <w:tc>
          <w:tcPr>
            <w:tcW w:w="1535" w:type="dxa"/>
            <w:vAlign w:val="bottom"/>
          </w:tcPr>
          <w:p w14:paraId="0829C775" w14:textId="58E81C60" w:rsidR="00F31408" w:rsidRPr="00F31408" w:rsidRDefault="00F31408" w:rsidP="00F31408">
            <w:pPr>
              <w:rPr>
                <w:rFonts w:cs="Arial"/>
              </w:rPr>
            </w:pPr>
            <w:r w:rsidRPr="00F31408">
              <w:rPr>
                <w:rFonts w:cs="Arial"/>
              </w:rPr>
              <w:t>Много редки</w:t>
            </w:r>
          </w:p>
        </w:tc>
      </w:tr>
      <w:tr w:rsidR="00F31408" w14:paraId="7CFEDBCA" w14:textId="77777777" w:rsidTr="00F31408">
        <w:tc>
          <w:tcPr>
            <w:tcW w:w="2177" w:type="dxa"/>
            <w:vMerge/>
            <w:vAlign w:val="center"/>
          </w:tcPr>
          <w:p w14:paraId="2ADC060A" w14:textId="77777777" w:rsidR="00F31408" w:rsidRPr="00F31408" w:rsidRDefault="00F31408" w:rsidP="00F31408">
            <w:pPr>
              <w:rPr>
                <w:rFonts w:cs="Arial"/>
              </w:rPr>
            </w:pPr>
          </w:p>
        </w:tc>
        <w:tc>
          <w:tcPr>
            <w:tcW w:w="2790" w:type="dxa"/>
          </w:tcPr>
          <w:p w14:paraId="55E078B6" w14:textId="5B957E97" w:rsidR="00F31408" w:rsidRPr="00F31408" w:rsidRDefault="00F31408" w:rsidP="00F31408">
            <w:pPr>
              <w:rPr>
                <w:rFonts w:cs="Arial"/>
              </w:rPr>
            </w:pPr>
            <w:r w:rsidRPr="00F31408">
              <w:rPr>
                <w:rFonts w:cs="Arial"/>
              </w:rPr>
              <w:t>Миалгия</w:t>
            </w:r>
          </w:p>
        </w:tc>
        <w:tc>
          <w:tcPr>
            <w:tcW w:w="1536" w:type="dxa"/>
          </w:tcPr>
          <w:p w14:paraId="1F83B81C" w14:textId="11266064" w:rsidR="00F31408" w:rsidRPr="00F31408" w:rsidRDefault="00F31408" w:rsidP="00F31408">
            <w:pPr>
              <w:rPr>
                <w:rFonts w:cs="Arial"/>
              </w:rPr>
            </w:pPr>
            <w:r w:rsidRPr="00F31408">
              <w:rPr>
                <w:rFonts w:cs="Arial"/>
              </w:rPr>
              <w:t>Нечести*</w:t>
            </w:r>
          </w:p>
        </w:tc>
        <w:tc>
          <w:tcPr>
            <w:tcW w:w="1312" w:type="dxa"/>
            <w:vAlign w:val="center"/>
          </w:tcPr>
          <w:p w14:paraId="1B3AC36B" w14:textId="084CA7A3" w:rsidR="00F31408" w:rsidRPr="00F31408" w:rsidRDefault="00F31408" w:rsidP="00F31408">
            <w:pPr>
              <w:rPr>
                <w:rFonts w:cs="Arial"/>
              </w:rPr>
            </w:pPr>
            <w:r w:rsidRPr="00F31408">
              <w:rPr>
                <w:rFonts w:cs="Arial"/>
              </w:rPr>
              <w:t>-</w:t>
            </w:r>
          </w:p>
        </w:tc>
        <w:tc>
          <w:tcPr>
            <w:tcW w:w="1535" w:type="dxa"/>
          </w:tcPr>
          <w:p w14:paraId="3867B105" w14:textId="7FC7BA61" w:rsidR="00F31408" w:rsidRPr="00F31408" w:rsidRDefault="00F31408" w:rsidP="00F31408">
            <w:pPr>
              <w:rPr>
                <w:rFonts w:cs="Arial"/>
              </w:rPr>
            </w:pPr>
            <w:r w:rsidRPr="00F31408">
              <w:rPr>
                <w:rFonts w:cs="Arial"/>
              </w:rPr>
              <w:t>Чести</w:t>
            </w:r>
          </w:p>
        </w:tc>
      </w:tr>
      <w:tr w:rsidR="00F31408" w14:paraId="01480FA1" w14:textId="77777777" w:rsidTr="00F31408">
        <w:tc>
          <w:tcPr>
            <w:tcW w:w="2177" w:type="dxa"/>
            <w:vMerge/>
            <w:vAlign w:val="center"/>
          </w:tcPr>
          <w:p w14:paraId="5842BF74" w14:textId="77777777" w:rsidR="00F31408" w:rsidRPr="00F31408" w:rsidRDefault="00F31408" w:rsidP="00F31408">
            <w:pPr>
              <w:rPr>
                <w:rFonts w:cs="Arial"/>
              </w:rPr>
            </w:pPr>
          </w:p>
        </w:tc>
        <w:tc>
          <w:tcPr>
            <w:tcW w:w="2790" w:type="dxa"/>
            <w:vAlign w:val="bottom"/>
          </w:tcPr>
          <w:p w14:paraId="13B7B4B6" w14:textId="2C4614D9" w:rsidR="00F31408" w:rsidRPr="00F31408" w:rsidRDefault="00F31408" w:rsidP="00F31408">
            <w:pPr>
              <w:rPr>
                <w:rFonts w:cs="Arial"/>
              </w:rPr>
            </w:pPr>
            <w:r w:rsidRPr="00F31408">
              <w:rPr>
                <w:rFonts w:cs="Arial"/>
              </w:rPr>
              <w:t>Миопатия (включително миозит)</w:t>
            </w:r>
          </w:p>
        </w:tc>
        <w:tc>
          <w:tcPr>
            <w:tcW w:w="1536" w:type="dxa"/>
          </w:tcPr>
          <w:p w14:paraId="099C6F5B" w14:textId="747F4068" w:rsidR="00F31408" w:rsidRPr="00F31408" w:rsidRDefault="00F31408" w:rsidP="00F31408">
            <w:pPr>
              <w:rPr>
                <w:rFonts w:cs="Arial"/>
              </w:rPr>
            </w:pPr>
            <w:r w:rsidRPr="00F31408">
              <w:rPr>
                <w:rFonts w:cs="Arial"/>
              </w:rPr>
              <w:t>-</w:t>
            </w:r>
          </w:p>
        </w:tc>
        <w:tc>
          <w:tcPr>
            <w:tcW w:w="1312" w:type="dxa"/>
          </w:tcPr>
          <w:p w14:paraId="5168A33D" w14:textId="50D6CE0A" w:rsidR="00F31408" w:rsidRPr="00F31408" w:rsidRDefault="00F31408" w:rsidP="00F31408">
            <w:pPr>
              <w:rPr>
                <w:rFonts w:cs="Arial"/>
              </w:rPr>
            </w:pPr>
            <w:r w:rsidRPr="00F31408">
              <w:rPr>
                <w:rFonts w:cs="Arial"/>
              </w:rPr>
              <w:t>-</w:t>
            </w:r>
          </w:p>
        </w:tc>
        <w:tc>
          <w:tcPr>
            <w:tcW w:w="1535" w:type="dxa"/>
          </w:tcPr>
          <w:p w14:paraId="364B494E" w14:textId="179A9B2E" w:rsidR="00F31408" w:rsidRPr="00F31408" w:rsidRDefault="00F31408" w:rsidP="00F31408">
            <w:pPr>
              <w:rPr>
                <w:rFonts w:cs="Arial"/>
              </w:rPr>
            </w:pPr>
            <w:r w:rsidRPr="00F31408">
              <w:rPr>
                <w:rFonts w:cs="Arial"/>
              </w:rPr>
              <w:t>Редки</w:t>
            </w:r>
          </w:p>
        </w:tc>
      </w:tr>
      <w:tr w:rsidR="00F31408" w14:paraId="71AA8396" w14:textId="77777777" w:rsidTr="00F31408">
        <w:tc>
          <w:tcPr>
            <w:tcW w:w="2177" w:type="dxa"/>
            <w:vMerge/>
            <w:vAlign w:val="center"/>
          </w:tcPr>
          <w:p w14:paraId="448C423E" w14:textId="77777777" w:rsidR="00F31408" w:rsidRPr="00F31408" w:rsidRDefault="00F31408" w:rsidP="00F31408">
            <w:pPr>
              <w:rPr>
                <w:rFonts w:cs="Arial"/>
              </w:rPr>
            </w:pPr>
          </w:p>
        </w:tc>
        <w:tc>
          <w:tcPr>
            <w:tcW w:w="2790" w:type="dxa"/>
            <w:vAlign w:val="center"/>
          </w:tcPr>
          <w:p w14:paraId="53D62B8D" w14:textId="213FFF17" w:rsidR="00F31408" w:rsidRPr="00F31408" w:rsidRDefault="00F31408" w:rsidP="00F31408">
            <w:pPr>
              <w:rPr>
                <w:rFonts w:cs="Arial"/>
              </w:rPr>
            </w:pPr>
            <w:r w:rsidRPr="00F31408">
              <w:rPr>
                <w:rFonts w:cs="Arial"/>
              </w:rPr>
              <w:t>Рабдомиолиза</w:t>
            </w:r>
          </w:p>
        </w:tc>
        <w:tc>
          <w:tcPr>
            <w:tcW w:w="1536" w:type="dxa"/>
          </w:tcPr>
          <w:p w14:paraId="5A519C29" w14:textId="42D80687" w:rsidR="00F31408" w:rsidRPr="00F31408" w:rsidRDefault="00F31408" w:rsidP="00F31408">
            <w:pPr>
              <w:rPr>
                <w:rFonts w:cs="Arial"/>
              </w:rPr>
            </w:pPr>
            <w:r w:rsidRPr="00F31408">
              <w:rPr>
                <w:rFonts w:cs="Arial"/>
              </w:rPr>
              <w:t>-</w:t>
            </w:r>
          </w:p>
        </w:tc>
        <w:tc>
          <w:tcPr>
            <w:tcW w:w="1312" w:type="dxa"/>
          </w:tcPr>
          <w:p w14:paraId="07E0A5DE" w14:textId="2F29E4DB" w:rsidR="00F31408" w:rsidRPr="00F31408" w:rsidRDefault="00F31408" w:rsidP="00F31408">
            <w:pPr>
              <w:rPr>
                <w:rFonts w:cs="Arial"/>
              </w:rPr>
            </w:pPr>
            <w:r w:rsidRPr="00F31408">
              <w:rPr>
                <w:rFonts w:cs="Arial"/>
              </w:rPr>
              <w:t>С неизвестна честота</w:t>
            </w:r>
          </w:p>
        </w:tc>
        <w:tc>
          <w:tcPr>
            <w:tcW w:w="1535" w:type="dxa"/>
          </w:tcPr>
          <w:p w14:paraId="5047E860" w14:textId="753D74AE" w:rsidR="00F31408" w:rsidRPr="00F31408" w:rsidRDefault="00F31408" w:rsidP="00F31408">
            <w:pPr>
              <w:rPr>
                <w:rFonts w:cs="Arial"/>
              </w:rPr>
            </w:pPr>
            <w:r w:rsidRPr="00F31408">
              <w:rPr>
                <w:rFonts w:cs="Arial"/>
              </w:rPr>
              <w:t>Редки</w:t>
            </w:r>
          </w:p>
        </w:tc>
      </w:tr>
      <w:tr w:rsidR="00F31408" w14:paraId="68CB432B" w14:textId="77777777" w:rsidTr="00F31408">
        <w:tc>
          <w:tcPr>
            <w:tcW w:w="2177" w:type="dxa"/>
            <w:vMerge/>
            <w:vAlign w:val="center"/>
          </w:tcPr>
          <w:p w14:paraId="35871418" w14:textId="77777777" w:rsidR="00F31408" w:rsidRPr="00F31408" w:rsidRDefault="00F31408" w:rsidP="00F31408">
            <w:pPr>
              <w:rPr>
                <w:rFonts w:cs="Arial"/>
              </w:rPr>
            </w:pPr>
          </w:p>
        </w:tc>
        <w:tc>
          <w:tcPr>
            <w:tcW w:w="2790" w:type="dxa"/>
            <w:vAlign w:val="center"/>
          </w:tcPr>
          <w:p w14:paraId="1A1AA746" w14:textId="51B23038" w:rsidR="00F31408" w:rsidRPr="00F31408" w:rsidRDefault="00F31408" w:rsidP="00F31408">
            <w:pPr>
              <w:rPr>
                <w:rFonts w:cs="Arial"/>
              </w:rPr>
            </w:pPr>
            <w:r w:rsidRPr="00F31408">
              <w:rPr>
                <w:rFonts w:cs="Arial"/>
              </w:rPr>
              <w:t>Мускулна слабост</w:t>
            </w:r>
          </w:p>
        </w:tc>
        <w:tc>
          <w:tcPr>
            <w:tcW w:w="1536" w:type="dxa"/>
          </w:tcPr>
          <w:p w14:paraId="0B8FF802" w14:textId="42293B62" w:rsidR="00F31408" w:rsidRPr="00F31408" w:rsidRDefault="00F31408" w:rsidP="00F31408">
            <w:pPr>
              <w:rPr>
                <w:rFonts w:cs="Arial"/>
              </w:rPr>
            </w:pPr>
            <w:r w:rsidRPr="00F31408">
              <w:rPr>
                <w:rFonts w:cs="Arial"/>
              </w:rPr>
              <w:t>-</w:t>
            </w:r>
          </w:p>
        </w:tc>
        <w:tc>
          <w:tcPr>
            <w:tcW w:w="1312" w:type="dxa"/>
          </w:tcPr>
          <w:p w14:paraId="2D2A1475" w14:textId="3BF0BBAC" w:rsidR="00F31408" w:rsidRPr="00F31408" w:rsidRDefault="00F31408" w:rsidP="00F31408">
            <w:pPr>
              <w:rPr>
                <w:rFonts w:cs="Arial"/>
              </w:rPr>
            </w:pPr>
            <w:r w:rsidRPr="00F31408">
              <w:rPr>
                <w:rFonts w:cs="Arial"/>
              </w:rPr>
              <w:t>С неизвестна честота</w:t>
            </w:r>
          </w:p>
        </w:tc>
        <w:tc>
          <w:tcPr>
            <w:tcW w:w="1535" w:type="dxa"/>
          </w:tcPr>
          <w:p w14:paraId="425F9B07" w14:textId="1D5C7B78" w:rsidR="00F31408" w:rsidRPr="00F31408" w:rsidRDefault="00F31408" w:rsidP="00F31408">
            <w:pPr>
              <w:rPr>
                <w:rFonts w:cs="Arial"/>
              </w:rPr>
            </w:pPr>
            <w:r w:rsidRPr="00F31408">
              <w:rPr>
                <w:rFonts w:cs="Arial"/>
              </w:rPr>
              <w:t>-</w:t>
            </w:r>
          </w:p>
        </w:tc>
      </w:tr>
      <w:tr w:rsidR="00F31408" w14:paraId="4DDEFB3C" w14:textId="77777777" w:rsidTr="00F31408">
        <w:tc>
          <w:tcPr>
            <w:tcW w:w="2177" w:type="dxa"/>
            <w:vMerge/>
            <w:vAlign w:val="center"/>
          </w:tcPr>
          <w:p w14:paraId="58DCAA7A" w14:textId="77777777" w:rsidR="00F31408" w:rsidRPr="00F31408" w:rsidRDefault="00F31408" w:rsidP="00F31408">
            <w:pPr>
              <w:rPr>
                <w:rFonts w:cs="Arial"/>
              </w:rPr>
            </w:pPr>
          </w:p>
        </w:tc>
        <w:tc>
          <w:tcPr>
            <w:tcW w:w="2790" w:type="dxa"/>
            <w:vAlign w:val="bottom"/>
          </w:tcPr>
          <w:p w14:paraId="2484ECB4" w14:textId="7FF97718" w:rsidR="00F31408" w:rsidRPr="00F31408" w:rsidRDefault="00F31408" w:rsidP="00F31408">
            <w:pPr>
              <w:rPr>
                <w:rFonts w:cs="Arial"/>
              </w:rPr>
            </w:pPr>
            <w:r w:rsidRPr="00F31408">
              <w:rPr>
                <w:rFonts w:cs="Arial"/>
              </w:rPr>
              <w:t>Лупус-подобен синдром</w:t>
            </w:r>
          </w:p>
        </w:tc>
        <w:tc>
          <w:tcPr>
            <w:tcW w:w="1536" w:type="dxa"/>
            <w:vAlign w:val="center"/>
          </w:tcPr>
          <w:p w14:paraId="1A797BD3" w14:textId="205ABF05" w:rsidR="00F31408" w:rsidRPr="00F31408" w:rsidRDefault="00F31408" w:rsidP="00F31408">
            <w:pPr>
              <w:rPr>
                <w:rFonts w:cs="Arial"/>
              </w:rPr>
            </w:pPr>
            <w:r w:rsidRPr="00F31408">
              <w:rPr>
                <w:rFonts w:cs="Arial"/>
              </w:rPr>
              <w:t>-</w:t>
            </w:r>
          </w:p>
        </w:tc>
        <w:tc>
          <w:tcPr>
            <w:tcW w:w="1312" w:type="dxa"/>
          </w:tcPr>
          <w:p w14:paraId="41901D9A" w14:textId="0631DE49" w:rsidR="00F31408" w:rsidRPr="00F31408" w:rsidRDefault="00F31408" w:rsidP="00F31408">
            <w:pPr>
              <w:rPr>
                <w:rFonts w:cs="Arial"/>
              </w:rPr>
            </w:pPr>
            <w:r w:rsidRPr="00F31408">
              <w:rPr>
                <w:rFonts w:cs="Arial"/>
              </w:rPr>
              <w:t>-</w:t>
            </w:r>
          </w:p>
        </w:tc>
        <w:tc>
          <w:tcPr>
            <w:tcW w:w="1535" w:type="dxa"/>
            <w:vAlign w:val="bottom"/>
          </w:tcPr>
          <w:p w14:paraId="50CC6F84" w14:textId="545EDA7D" w:rsidR="00F31408" w:rsidRPr="00F31408" w:rsidRDefault="00F31408" w:rsidP="00F31408">
            <w:pPr>
              <w:rPr>
                <w:rFonts w:cs="Arial"/>
              </w:rPr>
            </w:pPr>
            <w:r w:rsidRPr="00F31408">
              <w:rPr>
                <w:rFonts w:cs="Arial"/>
              </w:rPr>
              <w:t>Редки</w:t>
            </w:r>
          </w:p>
        </w:tc>
      </w:tr>
      <w:tr w:rsidR="00F31408" w14:paraId="3B3F7D4C" w14:textId="77777777" w:rsidTr="00F31408">
        <w:tc>
          <w:tcPr>
            <w:tcW w:w="2177" w:type="dxa"/>
            <w:vMerge/>
            <w:vAlign w:val="center"/>
          </w:tcPr>
          <w:p w14:paraId="7E59164B" w14:textId="77777777" w:rsidR="00F31408" w:rsidRPr="00F31408" w:rsidRDefault="00F31408" w:rsidP="00F31408">
            <w:pPr>
              <w:rPr>
                <w:rFonts w:cs="Arial"/>
              </w:rPr>
            </w:pPr>
          </w:p>
        </w:tc>
        <w:tc>
          <w:tcPr>
            <w:tcW w:w="2790" w:type="dxa"/>
            <w:vAlign w:val="bottom"/>
          </w:tcPr>
          <w:p w14:paraId="3AB931DC" w14:textId="75CF650B" w:rsidR="00F31408" w:rsidRPr="00F31408" w:rsidRDefault="00F31408" w:rsidP="00F31408">
            <w:pPr>
              <w:rPr>
                <w:rFonts w:cs="Arial"/>
              </w:rPr>
            </w:pPr>
            <w:r w:rsidRPr="00F31408">
              <w:rPr>
                <w:rFonts w:cs="Arial"/>
              </w:rPr>
              <w:t>Разкъсване на мускул</w:t>
            </w:r>
          </w:p>
        </w:tc>
        <w:tc>
          <w:tcPr>
            <w:tcW w:w="1536" w:type="dxa"/>
          </w:tcPr>
          <w:p w14:paraId="6DBA8D13" w14:textId="77777777" w:rsidR="00F31408" w:rsidRPr="00F31408" w:rsidRDefault="00F31408" w:rsidP="00F31408">
            <w:pPr>
              <w:rPr>
                <w:rFonts w:cs="Arial"/>
              </w:rPr>
            </w:pPr>
          </w:p>
        </w:tc>
        <w:tc>
          <w:tcPr>
            <w:tcW w:w="1312" w:type="dxa"/>
          </w:tcPr>
          <w:p w14:paraId="28C30F09" w14:textId="397CDCDD" w:rsidR="00F31408" w:rsidRPr="00F31408" w:rsidRDefault="00F31408" w:rsidP="00F31408">
            <w:pPr>
              <w:rPr>
                <w:rFonts w:cs="Arial"/>
              </w:rPr>
            </w:pPr>
            <w:r w:rsidRPr="00F31408">
              <w:rPr>
                <w:rFonts w:cs="Arial"/>
              </w:rPr>
              <w:t>-</w:t>
            </w:r>
          </w:p>
        </w:tc>
        <w:tc>
          <w:tcPr>
            <w:tcW w:w="1535" w:type="dxa"/>
            <w:vAlign w:val="bottom"/>
          </w:tcPr>
          <w:p w14:paraId="5E248CEE" w14:textId="30643EC6" w:rsidR="00F31408" w:rsidRPr="00F31408" w:rsidRDefault="00F31408" w:rsidP="00F31408">
            <w:pPr>
              <w:rPr>
                <w:rFonts w:cs="Arial"/>
              </w:rPr>
            </w:pPr>
            <w:r w:rsidRPr="00F31408">
              <w:rPr>
                <w:rFonts w:cs="Arial"/>
              </w:rPr>
              <w:t>Редки</w:t>
            </w:r>
          </w:p>
        </w:tc>
      </w:tr>
      <w:tr w:rsidR="00F31408" w14:paraId="67A73B5B" w14:textId="77777777" w:rsidTr="00F31408">
        <w:tc>
          <w:tcPr>
            <w:tcW w:w="2177" w:type="dxa"/>
            <w:vMerge/>
            <w:vAlign w:val="center"/>
          </w:tcPr>
          <w:p w14:paraId="0DB6A999" w14:textId="77777777" w:rsidR="00F31408" w:rsidRPr="00F31408" w:rsidRDefault="00F31408" w:rsidP="00F31408">
            <w:pPr>
              <w:rPr>
                <w:rFonts w:cs="Arial"/>
              </w:rPr>
            </w:pPr>
          </w:p>
        </w:tc>
        <w:tc>
          <w:tcPr>
            <w:tcW w:w="2790" w:type="dxa"/>
            <w:vAlign w:val="bottom"/>
          </w:tcPr>
          <w:p w14:paraId="33951605" w14:textId="10C8FB70" w:rsidR="00F31408" w:rsidRPr="00F31408" w:rsidRDefault="00F31408" w:rsidP="00F31408">
            <w:pPr>
              <w:rPr>
                <w:rFonts w:cs="Arial"/>
              </w:rPr>
            </w:pPr>
            <w:r w:rsidRPr="00F31408">
              <w:rPr>
                <w:rFonts w:cs="Arial"/>
              </w:rPr>
              <w:t>Тендинопатия, понякога усложнени с разкъсване</w:t>
            </w:r>
          </w:p>
        </w:tc>
        <w:tc>
          <w:tcPr>
            <w:tcW w:w="1536" w:type="dxa"/>
            <w:vAlign w:val="center"/>
          </w:tcPr>
          <w:p w14:paraId="797A8392" w14:textId="0962B26F" w:rsidR="00F31408" w:rsidRPr="00F31408" w:rsidRDefault="00F31408" w:rsidP="00F31408">
            <w:pPr>
              <w:rPr>
                <w:rFonts w:cs="Arial"/>
              </w:rPr>
            </w:pPr>
            <w:r w:rsidRPr="00F31408">
              <w:rPr>
                <w:rFonts w:cs="Arial"/>
              </w:rPr>
              <w:t>-</w:t>
            </w:r>
          </w:p>
        </w:tc>
        <w:tc>
          <w:tcPr>
            <w:tcW w:w="1312" w:type="dxa"/>
          </w:tcPr>
          <w:p w14:paraId="6C167C5C" w14:textId="30293FAF" w:rsidR="00F31408" w:rsidRPr="00F31408" w:rsidRDefault="00F31408" w:rsidP="00F31408">
            <w:pPr>
              <w:rPr>
                <w:rFonts w:cs="Arial"/>
              </w:rPr>
            </w:pPr>
            <w:r w:rsidRPr="00F31408">
              <w:rPr>
                <w:rFonts w:cs="Arial"/>
              </w:rPr>
              <w:t>-</w:t>
            </w:r>
          </w:p>
        </w:tc>
        <w:tc>
          <w:tcPr>
            <w:tcW w:w="1535" w:type="dxa"/>
            <w:vAlign w:val="bottom"/>
          </w:tcPr>
          <w:p w14:paraId="35ADCD3C" w14:textId="2A640F63" w:rsidR="00F31408" w:rsidRPr="00F31408" w:rsidRDefault="00F31408" w:rsidP="00F31408">
            <w:pPr>
              <w:rPr>
                <w:rFonts w:cs="Arial"/>
              </w:rPr>
            </w:pPr>
            <w:r w:rsidRPr="00F31408">
              <w:rPr>
                <w:rFonts w:cs="Arial"/>
              </w:rPr>
              <w:t>С неизвестна честота</w:t>
            </w:r>
          </w:p>
        </w:tc>
      </w:tr>
      <w:tr w:rsidR="00F31408" w14:paraId="7A582C4B" w14:textId="77777777" w:rsidTr="00F31408">
        <w:tc>
          <w:tcPr>
            <w:tcW w:w="2177" w:type="dxa"/>
            <w:vMerge/>
            <w:vAlign w:val="center"/>
          </w:tcPr>
          <w:p w14:paraId="159CF39E" w14:textId="77777777" w:rsidR="00F31408" w:rsidRPr="00F31408" w:rsidRDefault="00F31408" w:rsidP="00F31408">
            <w:pPr>
              <w:rPr>
                <w:rFonts w:cs="Arial"/>
              </w:rPr>
            </w:pPr>
          </w:p>
        </w:tc>
        <w:tc>
          <w:tcPr>
            <w:tcW w:w="2790" w:type="dxa"/>
            <w:vAlign w:val="bottom"/>
          </w:tcPr>
          <w:p w14:paraId="413ABAE8" w14:textId="5BAF123E" w:rsidR="00F31408" w:rsidRPr="00F31408" w:rsidRDefault="00F31408" w:rsidP="00F31408">
            <w:pPr>
              <w:rPr>
                <w:rFonts w:cs="Arial"/>
              </w:rPr>
            </w:pPr>
            <w:r w:rsidRPr="00F31408">
              <w:rPr>
                <w:rFonts w:cs="Arial"/>
              </w:rPr>
              <w:t>Имуно-медиирана некротизираща миопатия</w:t>
            </w:r>
          </w:p>
        </w:tc>
        <w:tc>
          <w:tcPr>
            <w:tcW w:w="1536" w:type="dxa"/>
            <w:vAlign w:val="center"/>
          </w:tcPr>
          <w:p w14:paraId="05212D34" w14:textId="665BC716" w:rsidR="00F31408" w:rsidRPr="00F31408" w:rsidRDefault="00F31408" w:rsidP="00F31408">
            <w:pPr>
              <w:rPr>
                <w:rFonts w:cs="Arial"/>
              </w:rPr>
            </w:pPr>
            <w:r w:rsidRPr="00F31408">
              <w:rPr>
                <w:rFonts w:cs="Arial"/>
              </w:rPr>
              <w:t>-</w:t>
            </w:r>
          </w:p>
        </w:tc>
        <w:tc>
          <w:tcPr>
            <w:tcW w:w="1312" w:type="dxa"/>
          </w:tcPr>
          <w:p w14:paraId="64CFCBFA" w14:textId="64EE9724" w:rsidR="00F31408" w:rsidRPr="00F31408" w:rsidRDefault="00F31408" w:rsidP="00F31408">
            <w:pPr>
              <w:rPr>
                <w:rFonts w:cs="Arial"/>
              </w:rPr>
            </w:pPr>
            <w:r w:rsidRPr="00F31408">
              <w:rPr>
                <w:rFonts w:cs="Arial"/>
              </w:rPr>
              <w:t>-</w:t>
            </w:r>
          </w:p>
        </w:tc>
        <w:tc>
          <w:tcPr>
            <w:tcW w:w="1535" w:type="dxa"/>
            <w:vAlign w:val="bottom"/>
          </w:tcPr>
          <w:p w14:paraId="12D1167B" w14:textId="69F18CC7" w:rsidR="00F31408" w:rsidRPr="00F31408" w:rsidRDefault="00F31408" w:rsidP="00F31408">
            <w:pPr>
              <w:rPr>
                <w:rFonts w:cs="Arial"/>
              </w:rPr>
            </w:pPr>
            <w:r w:rsidRPr="00F31408">
              <w:rPr>
                <w:rFonts w:cs="Arial"/>
              </w:rPr>
              <w:t>С неизвестна честота</w:t>
            </w:r>
          </w:p>
        </w:tc>
      </w:tr>
      <w:tr w:rsidR="00F31408" w14:paraId="7CFE1545" w14:textId="77777777" w:rsidTr="00F31408">
        <w:tc>
          <w:tcPr>
            <w:tcW w:w="2177" w:type="dxa"/>
            <w:vMerge w:val="restart"/>
            <w:vAlign w:val="center"/>
          </w:tcPr>
          <w:p w14:paraId="23A8419E" w14:textId="149D51C1" w:rsidR="00F31408" w:rsidRPr="00F31408" w:rsidRDefault="00F31408" w:rsidP="00F31408">
            <w:pPr>
              <w:rPr>
                <w:rFonts w:cs="Arial"/>
              </w:rPr>
            </w:pPr>
            <w:r w:rsidRPr="00F31408">
              <w:rPr>
                <w:rFonts w:cs="Arial"/>
                <w:b/>
                <w:bCs/>
              </w:rPr>
              <w:t>Нарушения на бъбреците и пикочните пътища</w:t>
            </w:r>
          </w:p>
        </w:tc>
        <w:tc>
          <w:tcPr>
            <w:tcW w:w="2790" w:type="dxa"/>
            <w:vAlign w:val="bottom"/>
          </w:tcPr>
          <w:p w14:paraId="08EA145B" w14:textId="72B29CCF" w:rsidR="00F31408" w:rsidRPr="00F31408" w:rsidRDefault="00F31408" w:rsidP="00F31408">
            <w:pPr>
              <w:rPr>
                <w:rFonts w:cs="Arial"/>
              </w:rPr>
            </w:pPr>
            <w:r w:rsidRPr="00F31408">
              <w:rPr>
                <w:rFonts w:cs="Arial"/>
              </w:rPr>
              <w:t>Бъбречна недостатъчност</w:t>
            </w:r>
          </w:p>
        </w:tc>
        <w:tc>
          <w:tcPr>
            <w:tcW w:w="1536" w:type="dxa"/>
            <w:vAlign w:val="bottom"/>
          </w:tcPr>
          <w:p w14:paraId="171BA540" w14:textId="4936AE54" w:rsidR="00F31408" w:rsidRPr="00F31408" w:rsidRDefault="00F31408" w:rsidP="00F31408">
            <w:pPr>
              <w:rPr>
                <w:rFonts w:cs="Arial"/>
              </w:rPr>
            </w:pPr>
            <w:r w:rsidRPr="00F31408">
              <w:rPr>
                <w:rFonts w:cs="Arial"/>
              </w:rPr>
              <w:t>Нечести</w:t>
            </w:r>
          </w:p>
        </w:tc>
        <w:tc>
          <w:tcPr>
            <w:tcW w:w="1312" w:type="dxa"/>
          </w:tcPr>
          <w:p w14:paraId="1A9F58F3" w14:textId="0340F09A" w:rsidR="00F31408" w:rsidRPr="00F31408" w:rsidRDefault="00F31408" w:rsidP="00F31408">
            <w:pPr>
              <w:rPr>
                <w:rFonts w:cs="Arial"/>
              </w:rPr>
            </w:pPr>
            <w:r w:rsidRPr="00F31408">
              <w:rPr>
                <w:rFonts w:cs="Arial"/>
              </w:rPr>
              <w:t>-</w:t>
            </w:r>
          </w:p>
        </w:tc>
        <w:tc>
          <w:tcPr>
            <w:tcW w:w="1535" w:type="dxa"/>
          </w:tcPr>
          <w:p w14:paraId="6E242DCD" w14:textId="20908FEF" w:rsidR="00F31408" w:rsidRPr="00F31408" w:rsidRDefault="00F31408" w:rsidP="00F31408">
            <w:pPr>
              <w:rPr>
                <w:rFonts w:cs="Arial"/>
              </w:rPr>
            </w:pPr>
            <w:r w:rsidRPr="00F31408">
              <w:rPr>
                <w:rFonts w:cs="Arial"/>
              </w:rPr>
              <w:t>-</w:t>
            </w:r>
          </w:p>
        </w:tc>
      </w:tr>
      <w:tr w:rsidR="00F31408" w14:paraId="3CCE53B3" w14:textId="77777777" w:rsidTr="00F31408">
        <w:tc>
          <w:tcPr>
            <w:tcW w:w="2177" w:type="dxa"/>
            <w:vMerge/>
          </w:tcPr>
          <w:p w14:paraId="3A82E563" w14:textId="77777777" w:rsidR="00F31408" w:rsidRPr="00F31408" w:rsidRDefault="00F31408" w:rsidP="00F31408">
            <w:pPr>
              <w:rPr>
                <w:rFonts w:cs="Arial"/>
              </w:rPr>
            </w:pPr>
          </w:p>
        </w:tc>
        <w:tc>
          <w:tcPr>
            <w:tcW w:w="2790" w:type="dxa"/>
          </w:tcPr>
          <w:p w14:paraId="4AA6E167" w14:textId="51CAB38B" w:rsidR="00F31408" w:rsidRPr="00F31408" w:rsidRDefault="00F31408" w:rsidP="00F31408">
            <w:pPr>
              <w:rPr>
                <w:rFonts w:cs="Arial"/>
              </w:rPr>
            </w:pPr>
            <w:r w:rsidRPr="00F31408">
              <w:rPr>
                <w:rFonts w:cs="Arial"/>
              </w:rPr>
              <w:t>Остра бъбречна недостатъчност</w:t>
            </w:r>
          </w:p>
        </w:tc>
        <w:tc>
          <w:tcPr>
            <w:tcW w:w="1536" w:type="dxa"/>
            <w:vAlign w:val="center"/>
          </w:tcPr>
          <w:p w14:paraId="7F220F78" w14:textId="6856ABF8" w:rsidR="00F31408" w:rsidRPr="00F31408" w:rsidRDefault="00F31408" w:rsidP="00F31408">
            <w:pPr>
              <w:rPr>
                <w:rFonts w:cs="Arial"/>
              </w:rPr>
            </w:pPr>
            <w:r w:rsidRPr="00F31408">
              <w:rPr>
                <w:rFonts w:cs="Arial"/>
              </w:rPr>
              <w:t>Редки</w:t>
            </w:r>
          </w:p>
        </w:tc>
        <w:tc>
          <w:tcPr>
            <w:tcW w:w="1312" w:type="dxa"/>
            <w:vAlign w:val="center"/>
          </w:tcPr>
          <w:p w14:paraId="58B873BD" w14:textId="60102614" w:rsidR="00F31408" w:rsidRPr="00F31408" w:rsidRDefault="00F31408" w:rsidP="00F31408">
            <w:pPr>
              <w:rPr>
                <w:rFonts w:cs="Arial"/>
              </w:rPr>
            </w:pPr>
            <w:r w:rsidRPr="00F31408">
              <w:rPr>
                <w:rFonts w:cs="Arial"/>
              </w:rPr>
              <w:t>Много редки</w:t>
            </w:r>
          </w:p>
        </w:tc>
        <w:tc>
          <w:tcPr>
            <w:tcW w:w="1535" w:type="dxa"/>
          </w:tcPr>
          <w:p w14:paraId="373D1152" w14:textId="6D5AEAE8" w:rsidR="00F31408" w:rsidRPr="00F31408" w:rsidRDefault="00F31408" w:rsidP="00F31408">
            <w:pPr>
              <w:rPr>
                <w:rFonts w:cs="Arial"/>
              </w:rPr>
            </w:pPr>
            <w:r w:rsidRPr="00F31408">
              <w:rPr>
                <w:rFonts w:cs="Arial"/>
              </w:rPr>
              <w:t>-</w:t>
            </w:r>
          </w:p>
        </w:tc>
      </w:tr>
      <w:tr w:rsidR="00F31408" w14:paraId="23737E4E" w14:textId="77777777" w:rsidTr="00F31408">
        <w:tc>
          <w:tcPr>
            <w:tcW w:w="2177" w:type="dxa"/>
            <w:vMerge/>
          </w:tcPr>
          <w:p w14:paraId="526DDCDB" w14:textId="77777777" w:rsidR="00F31408" w:rsidRPr="00F31408" w:rsidRDefault="00F31408" w:rsidP="00F31408">
            <w:pPr>
              <w:rPr>
                <w:rFonts w:cs="Arial"/>
              </w:rPr>
            </w:pPr>
          </w:p>
        </w:tc>
        <w:tc>
          <w:tcPr>
            <w:tcW w:w="2790" w:type="dxa"/>
            <w:vAlign w:val="bottom"/>
          </w:tcPr>
          <w:p w14:paraId="5BBEADCD" w14:textId="6691B710" w:rsidR="00F31408" w:rsidRPr="00F31408" w:rsidRDefault="00F31408" w:rsidP="00F31408">
            <w:pPr>
              <w:rPr>
                <w:rFonts w:cs="Arial"/>
              </w:rPr>
            </w:pPr>
            <w:r w:rsidRPr="00F31408">
              <w:rPr>
                <w:rFonts w:cs="Arial"/>
              </w:rPr>
              <w:t>Анурия/олигурия</w:t>
            </w:r>
          </w:p>
        </w:tc>
        <w:tc>
          <w:tcPr>
            <w:tcW w:w="1536" w:type="dxa"/>
            <w:vAlign w:val="bottom"/>
          </w:tcPr>
          <w:p w14:paraId="3D1E6F0F" w14:textId="7F28CCEE" w:rsidR="00F31408" w:rsidRPr="00F31408" w:rsidRDefault="00F31408" w:rsidP="00F31408">
            <w:pPr>
              <w:rPr>
                <w:rFonts w:cs="Arial"/>
              </w:rPr>
            </w:pPr>
            <w:r w:rsidRPr="00F31408">
              <w:rPr>
                <w:rFonts w:cs="Arial"/>
              </w:rPr>
              <w:t>Редки</w:t>
            </w:r>
          </w:p>
        </w:tc>
        <w:tc>
          <w:tcPr>
            <w:tcW w:w="1312" w:type="dxa"/>
            <w:vAlign w:val="bottom"/>
          </w:tcPr>
          <w:p w14:paraId="53976744" w14:textId="5B4ACAC8" w:rsidR="00F31408" w:rsidRPr="00F31408" w:rsidRDefault="00F31408" w:rsidP="00F31408">
            <w:pPr>
              <w:rPr>
                <w:rFonts w:cs="Arial"/>
              </w:rPr>
            </w:pPr>
            <w:r w:rsidRPr="00F31408">
              <w:rPr>
                <w:rFonts w:cs="Arial"/>
              </w:rPr>
              <w:t>-</w:t>
            </w:r>
          </w:p>
        </w:tc>
        <w:tc>
          <w:tcPr>
            <w:tcW w:w="1535" w:type="dxa"/>
          </w:tcPr>
          <w:p w14:paraId="72618D37" w14:textId="53F2B181" w:rsidR="00F31408" w:rsidRPr="00F31408" w:rsidRDefault="00F31408" w:rsidP="00F31408">
            <w:pPr>
              <w:rPr>
                <w:rFonts w:cs="Arial"/>
              </w:rPr>
            </w:pPr>
            <w:r w:rsidRPr="00F31408">
              <w:rPr>
                <w:rFonts w:cs="Arial"/>
              </w:rPr>
              <w:t>-</w:t>
            </w:r>
          </w:p>
        </w:tc>
      </w:tr>
      <w:tr w:rsidR="00F31408" w14:paraId="0FDAB053" w14:textId="77777777" w:rsidTr="00F31408">
        <w:tc>
          <w:tcPr>
            <w:tcW w:w="2177" w:type="dxa"/>
            <w:vMerge/>
          </w:tcPr>
          <w:p w14:paraId="20C12B9D" w14:textId="77777777" w:rsidR="00F31408" w:rsidRPr="00F31408" w:rsidRDefault="00F31408" w:rsidP="00F31408">
            <w:pPr>
              <w:rPr>
                <w:rFonts w:cs="Arial"/>
              </w:rPr>
            </w:pPr>
          </w:p>
        </w:tc>
        <w:tc>
          <w:tcPr>
            <w:tcW w:w="2790" w:type="dxa"/>
            <w:vAlign w:val="bottom"/>
          </w:tcPr>
          <w:p w14:paraId="2DB2DF22" w14:textId="5F525277" w:rsidR="00F31408" w:rsidRPr="00F31408" w:rsidRDefault="00F31408" w:rsidP="00F31408">
            <w:pPr>
              <w:rPr>
                <w:rFonts w:cs="Arial"/>
              </w:rPr>
            </w:pPr>
            <w:r w:rsidRPr="00F31408">
              <w:rPr>
                <w:rFonts w:cs="Arial"/>
              </w:rPr>
              <w:t>Хематурия</w:t>
            </w:r>
          </w:p>
        </w:tc>
        <w:tc>
          <w:tcPr>
            <w:tcW w:w="1536" w:type="dxa"/>
          </w:tcPr>
          <w:p w14:paraId="4226DE90" w14:textId="77777777" w:rsidR="00F31408" w:rsidRPr="00F31408" w:rsidRDefault="00F31408" w:rsidP="00F31408">
            <w:pPr>
              <w:rPr>
                <w:rFonts w:cs="Arial"/>
              </w:rPr>
            </w:pPr>
          </w:p>
        </w:tc>
        <w:tc>
          <w:tcPr>
            <w:tcW w:w="1312" w:type="dxa"/>
          </w:tcPr>
          <w:p w14:paraId="68351187" w14:textId="74328A13" w:rsidR="00F31408" w:rsidRPr="00F31408" w:rsidRDefault="00F31408" w:rsidP="00F31408">
            <w:pPr>
              <w:rPr>
                <w:rFonts w:cs="Arial"/>
              </w:rPr>
            </w:pPr>
            <w:r w:rsidRPr="00F31408">
              <w:rPr>
                <w:rFonts w:cs="Arial"/>
              </w:rPr>
              <w:t>-</w:t>
            </w:r>
          </w:p>
        </w:tc>
        <w:tc>
          <w:tcPr>
            <w:tcW w:w="1535" w:type="dxa"/>
            <w:vAlign w:val="bottom"/>
          </w:tcPr>
          <w:p w14:paraId="56EE525D" w14:textId="51E7FBDA" w:rsidR="00F31408" w:rsidRPr="00F31408" w:rsidRDefault="00F31408" w:rsidP="00F31408">
            <w:pPr>
              <w:rPr>
                <w:rFonts w:cs="Arial"/>
              </w:rPr>
            </w:pPr>
            <w:r w:rsidRPr="00F31408">
              <w:rPr>
                <w:rFonts w:cs="Arial"/>
              </w:rPr>
              <w:t>Много редки</w:t>
            </w:r>
          </w:p>
        </w:tc>
      </w:tr>
      <w:tr w:rsidR="00F31408" w14:paraId="2648EE08" w14:textId="77777777" w:rsidTr="00F31408">
        <w:tc>
          <w:tcPr>
            <w:tcW w:w="2177" w:type="dxa"/>
            <w:vMerge w:val="restart"/>
            <w:vAlign w:val="bottom"/>
          </w:tcPr>
          <w:p w14:paraId="53AB2144" w14:textId="700A7637" w:rsidR="00F31408" w:rsidRPr="00F31408" w:rsidRDefault="00F31408" w:rsidP="00F31408">
            <w:pPr>
              <w:rPr>
                <w:rFonts w:cs="Arial"/>
              </w:rPr>
            </w:pPr>
            <w:r w:rsidRPr="00F31408">
              <w:rPr>
                <w:rFonts w:cs="Arial"/>
                <w:b/>
                <w:bCs/>
              </w:rPr>
              <w:t>Нарушения на възпроизводителната система и гърдата</w:t>
            </w:r>
          </w:p>
        </w:tc>
        <w:tc>
          <w:tcPr>
            <w:tcW w:w="2790" w:type="dxa"/>
            <w:vAlign w:val="bottom"/>
          </w:tcPr>
          <w:p w14:paraId="6728019F" w14:textId="6A0CB944" w:rsidR="00F31408" w:rsidRPr="00F31408" w:rsidRDefault="00F31408" w:rsidP="00F31408">
            <w:pPr>
              <w:rPr>
                <w:rFonts w:cs="Arial"/>
              </w:rPr>
            </w:pPr>
            <w:r w:rsidRPr="00F31408">
              <w:rPr>
                <w:rFonts w:cs="Arial"/>
              </w:rPr>
              <w:t>Еректилна дисфункция</w:t>
            </w:r>
          </w:p>
        </w:tc>
        <w:tc>
          <w:tcPr>
            <w:tcW w:w="1536" w:type="dxa"/>
            <w:vAlign w:val="bottom"/>
          </w:tcPr>
          <w:p w14:paraId="04D31B63" w14:textId="052C46D1" w:rsidR="00F31408" w:rsidRPr="00F31408" w:rsidRDefault="00F31408" w:rsidP="00F31408">
            <w:pPr>
              <w:rPr>
                <w:rFonts w:cs="Arial"/>
              </w:rPr>
            </w:pPr>
            <w:r w:rsidRPr="00F31408">
              <w:rPr>
                <w:rFonts w:cs="Arial"/>
              </w:rPr>
              <w:t>Нечести</w:t>
            </w:r>
          </w:p>
        </w:tc>
        <w:tc>
          <w:tcPr>
            <w:tcW w:w="1312" w:type="dxa"/>
            <w:vAlign w:val="bottom"/>
          </w:tcPr>
          <w:p w14:paraId="31CE6AA6" w14:textId="0EA56B03" w:rsidR="00F31408" w:rsidRPr="00F31408" w:rsidRDefault="00F31408" w:rsidP="00F31408">
            <w:pPr>
              <w:rPr>
                <w:rFonts w:cs="Arial"/>
              </w:rPr>
            </w:pPr>
            <w:r w:rsidRPr="00F31408">
              <w:rPr>
                <w:rFonts w:cs="Arial"/>
              </w:rPr>
              <w:t>Нечести</w:t>
            </w:r>
          </w:p>
        </w:tc>
        <w:tc>
          <w:tcPr>
            <w:tcW w:w="1535" w:type="dxa"/>
          </w:tcPr>
          <w:p w14:paraId="56DE394C" w14:textId="7B071692" w:rsidR="00F31408" w:rsidRPr="00F31408" w:rsidRDefault="00F31408" w:rsidP="00F31408">
            <w:pPr>
              <w:rPr>
                <w:rFonts w:cs="Arial"/>
              </w:rPr>
            </w:pPr>
            <w:r w:rsidRPr="00F31408">
              <w:rPr>
                <w:rFonts w:cs="Arial"/>
              </w:rPr>
              <w:t>-</w:t>
            </w:r>
          </w:p>
        </w:tc>
      </w:tr>
      <w:tr w:rsidR="00F31408" w14:paraId="2817C5EF" w14:textId="77777777" w:rsidTr="00F31408">
        <w:tc>
          <w:tcPr>
            <w:tcW w:w="2177" w:type="dxa"/>
            <w:vMerge/>
            <w:vAlign w:val="bottom"/>
          </w:tcPr>
          <w:p w14:paraId="425E7AA7" w14:textId="77777777" w:rsidR="00F31408" w:rsidRPr="00F31408" w:rsidRDefault="00F31408" w:rsidP="00F31408">
            <w:pPr>
              <w:rPr>
                <w:rFonts w:cs="Arial"/>
              </w:rPr>
            </w:pPr>
          </w:p>
        </w:tc>
        <w:tc>
          <w:tcPr>
            <w:tcW w:w="2790" w:type="dxa"/>
            <w:vAlign w:val="center"/>
          </w:tcPr>
          <w:p w14:paraId="3D943F2C" w14:textId="59F9DFFD" w:rsidR="00F31408" w:rsidRPr="00F31408" w:rsidRDefault="00F31408" w:rsidP="00F31408">
            <w:pPr>
              <w:rPr>
                <w:rFonts w:cs="Arial"/>
              </w:rPr>
            </w:pPr>
            <w:r w:rsidRPr="00F31408">
              <w:rPr>
                <w:rFonts w:cs="Arial"/>
              </w:rPr>
              <w:t>Гинекомастия</w:t>
            </w:r>
          </w:p>
        </w:tc>
        <w:tc>
          <w:tcPr>
            <w:tcW w:w="1536" w:type="dxa"/>
          </w:tcPr>
          <w:p w14:paraId="7B48410A" w14:textId="2080AB86" w:rsidR="00F31408" w:rsidRPr="00F31408" w:rsidRDefault="00F31408" w:rsidP="00F31408">
            <w:pPr>
              <w:rPr>
                <w:rFonts w:cs="Arial"/>
              </w:rPr>
            </w:pPr>
            <w:r w:rsidRPr="00F31408">
              <w:rPr>
                <w:rFonts w:cs="Arial"/>
              </w:rPr>
              <w:t>-</w:t>
            </w:r>
          </w:p>
        </w:tc>
        <w:tc>
          <w:tcPr>
            <w:tcW w:w="1312" w:type="dxa"/>
          </w:tcPr>
          <w:p w14:paraId="1DF41678" w14:textId="6212DDFA" w:rsidR="00F31408" w:rsidRPr="00F31408" w:rsidRDefault="00F31408" w:rsidP="00F31408">
            <w:pPr>
              <w:rPr>
                <w:rFonts w:cs="Arial"/>
              </w:rPr>
            </w:pPr>
            <w:r w:rsidRPr="00F31408">
              <w:rPr>
                <w:rFonts w:cs="Arial"/>
              </w:rPr>
              <w:t>-</w:t>
            </w:r>
          </w:p>
        </w:tc>
        <w:tc>
          <w:tcPr>
            <w:tcW w:w="1535" w:type="dxa"/>
            <w:vAlign w:val="bottom"/>
          </w:tcPr>
          <w:p w14:paraId="380EBA8F" w14:textId="08DA9D56" w:rsidR="00F31408" w:rsidRPr="00F31408" w:rsidRDefault="00F31408" w:rsidP="00F31408">
            <w:pPr>
              <w:rPr>
                <w:rFonts w:cs="Arial"/>
              </w:rPr>
            </w:pPr>
            <w:r w:rsidRPr="00F31408">
              <w:rPr>
                <w:rFonts w:cs="Arial"/>
              </w:rPr>
              <w:t>Много редки</w:t>
            </w:r>
          </w:p>
        </w:tc>
      </w:tr>
      <w:tr w:rsidR="00F31408" w14:paraId="12CA1F8B" w14:textId="77777777" w:rsidTr="00F31408">
        <w:tc>
          <w:tcPr>
            <w:tcW w:w="2177" w:type="dxa"/>
            <w:vMerge w:val="restart"/>
            <w:vAlign w:val="center"/>
          </w:tcPr>
          <w:p w14:paraId="36356978" w14:textId="5C66173C" w:rsidR="00F31408" w:rsidRPr="00F31408" w:rsidRDefault="00F31408" w:rsidP="00F31408">
            <w:pPr>
              <w:rPr>
                <w:rFonts w:cs="Arial"/>
              </w:rPr>
            </w:pPr>
            <w:r w:rsidRPr="00F31408">
              <w:rPr>
                <w:rFonts w:cs="Arial"/>
                <w:b/>
                <w:bCs/>
              </w:rPr>
              <w:t>Общи нарушения и ефекти на мястото на приложение</w:t>
            </w:r>
          </w:p>
        </w:tc>
        <w:tc>
          <w:tcPr>
            <w:tcW w:w="2790" w:type="dxa"/>
          </w:tcPr>
          <w:p w14:paraId="3A1C029A" w14:textId="45D293BB" w:rsidR="00F31408" w:rsidRPr="00F31408" w:rsidRDefault="00F31408" w:rsidP="00F31408">
            <w:pPr>
              <w:rPr>
                <w:rFonts w:cs="Arial"/>
              </w:rPr>
            </w:pPr>
            <w:r w:rsidRPr="00F31408">
              <w:rPr>
                <w:rFonts w:cs="Arial"/>
              </w:rPr>
              <w:t>Астения</w:t>
            </w:r>
          </w:p>
        </w:tc>
        <w:tc>
          <w:tcPr>
            <w:tcW w:w="1536" w:type="dxa"/>
          </w:tcPr>
          <w:p w14:paraId="5F9C97E6" w14:textId="3A7A3C35" w:rsidR="00F31408" w:rsidRPr="00F31408" w:rsidRDefault="00F31408" w:rsidP="00F31408">
            <w:pPr>
              <w:rPr>
                <w:rFonts w:cs="Arial"/>
              </w:rPr>
            </w:pPr>
            <w:r w:rsidRPr="00F31408">
              <w:rPr>
                <w:rFonts w:cs="Arial"/>
              </w:rPr>
              <w:t>Чести</w:t>
            </w:r>
          </w:p>
        </w:tc>
        <w:tc>
          <w:tcPr>
            <w:tcW w:w="1312" w:type="dxa"/>
          </w:tcPr>
          <w:p w14:paraId="157C371D" w14:textId="7E649DD5" w:rsidR="00F31408" w:rsidRPr="00F31408" w:rsidRDefault="00F31408" w:rsidP="00F31408">
            <w:pPr>
              <w:rPr>
                <w:rFonts w:cs="Arial"/>
              </w:rPr>
            </w:pPr>
            <w:r w:rsidRPr="00F31408">
              <w:rPr>
                <w:rFonts w:cs="Arial"/>
              </w:rPr>
              <w:t>-</w:t>
            </w:r>
          </w:p>
        </w:tc>
        <w:tc>
          <w:tcPr>
            <w:tcW w:w="1535" w:type="dxa"/>
          </w:tcPr>
          <w:p w14:paraId="595AFDDE" w14:textId="7507F9C0" w:rsidR="00F31408" w:rsidRPr="00F31408" w:rsidRDefault="00F31408" w:rsidP="00F31408">
            <w:pPr>
              <w:rPr>
                <w:rFonts w:cs="Arial"/>
              </w:rPr>
            </w:pPr>
            <w:r w:rsidRPr="00F31408">
              <w:rPr>
                <w:rFonts w:cs="Arial"/>
              </w:rPr>
              <w:t>Чести</w:t>
            </w:r>
          </w:p>
        </w:tc>
      </w:tr>
      <w:tr w:rsidR="00F31408" w14:paraId="34BA1767" w14:textId="77777777" w:rsidTr="00F31408">
        <w:tc>
          <w:tcPr>
            <w:tcW w:w="2177" w:type="dxa"/>
            <w:vMerge/>
          </w:tcPr>
          <w:p w14:paraId="67EE43C1" w14:textId="77777777" w:rsidR="00F31408" w:rsidRPr="00F31408" w:rsidRDefault="00F31408" w:rsidP="00F31408">
            <w:pPr>
              <w:rPr>
                <w:rFonts w:cs="Arial"/>
              </w:rPr>
            </w:pPr>
          </w:p>
        </w:tc>
        <w:tc>
          <w:tcPr>
            <w:tcW w:w="2790" w:type="dxa"/>
            <w:vAlign w:val="bottom"/>
          </w:tcPr>
          <w:p w14:paraId="3AAA3C20" w14:textId="4E0520E0" w:rsidR="00F31408" w:rsidRPr="00F31408" w:rsidRDefault="00F31408" w:rsidP="00F31408">
            <w:pPr>
              <w:rPr>
                <w:rFonts w:cs="Arial"/>
              </w:rPr>
            </w:pPr>
            <w:r w:rsidRPr="00F31408">
              <w:rPr>
                <w:rFonts w:cs="Arial"/>
              </w:rPr>
              <w:t>Болка в гърдите</w:t>
            </w:r>
          </w:p>
        </w:tc>
        <w:tc>
          <w:tcPr>
            <w:tcW w:w="1536" w:type="dxa"/>
            <w:vAlign w:val="center"/>
          </w:tcPr>
          <w:p w14:paraId="2FD15884" w14:textId="35CB2165" w:rsidR="00F31408" w:rsidRPr="00F31408" w:rsidRDefault="00F31408" w:rsidP="00F31408">
            <w:pPr>
              <w:rPr>
                <w:rFonts w:cs="Arial"/>
              </w:rPr>
            </w:pPr>
            <w:r w:rsidRPr="00F31408">
              <w:rPr>
                <w:rFonts w:cs="Arial"/>
              </w:rPr>
              <w:t>Нечести*</w:t>
            </w:r>
          </w:p>
        </w:tc>
        <w:tc>
          <w:tcPr>
            <w:tcW w:w="1312" w:type="dxa"/>
            <w:vAlign w:val="center"/>
          </w:tcPr>
          <w:p w14:paraId="0D3D7EF9" w14:textId="4CCCE85F" w:rsidR="00F31408" w:rsidRPr="00F31408" w:rsidRDefault="00F31408" w:rsidP="00F31408">
            <w:pPr>
              <w:rPr>
                <w:rFonts w:cs="Arial"/>
              </w:rPr>
            </w:pPr>
            <w:r w:rsidRPr="00F31408">
              <w:rPr>
                <w:rFonts w:cs="Arial"/>
              </w:rPr>
              <w:t>-</w:t>
            </w:r>
          </w:p>
        </w:tc>
        <w:tc>
          <w:tcPr>
            <w:tcW w:w="1535" w:type="dxa"/>
            <w:vAlign w:val="center"/>
          </w:tcPr>
          <w:p w14:paraId="0B3CC0B8" w14:textId="6BFB65B1" w:rsidR="00F31408" w:rsidRPr="00F31408" w:rsidRDefault="00F31408" w:rsidP="00F31408">
            <w:pPr>
              <w:rPr>
                <w:rFonts w:cs="Arial"/>
              </w:rPr>
            </w:pPr>
            <w:r w:rsidRPr="00F31408">
              <w:rPr>
                <w:rFonts w:cs="Arial"/>
              </w:rPr>
              <w:t>-</w:t>
            </w:r>
          </w:p>
        </w:tc>
      </w:tr>
      <w:tr w:rsidR="00F31408" w14:paraId="20ABC323" w14:textId="77777777" w:rsidTr="00F31408">
        <w:tc>
          <w:tcPr>
            <w:tcW w:w="2177" w:type="dxa"/>
            <w:vMerge/>
          </w:tcPr>
          <w:p w14:paraId="0230E145" w14:textId="77777777" w:rsidR="00F31408" w:rsidRPr="00F31408" w:rsidRDefault="00F31408" w:rsidP="00F31408">
            <w:pPr>
              <w:rPr>
                <w:rFonts w:cs="Arial"/>
              </w:rPr>
            </w:pPr>
          </w:p>
        </w:tc>
        <w:tc>
          <w:tcPr>
            <w:tcW w:w="2790" w:type="dxa"/>
          </w:tcPr>
          <w:p w14:paraId="283EC73F" w14:textId="267927B2" w:rsidR="00F31408" w:rsidRPr="00F31408" w:rsidRDefault="00F31408" w:rsidP="00F31408">
            <w:pPr>
              <w:rPr>
                <w:rFonts w:cs="Arial"/>
              </w:rPr>
            </w:pPr>
            <w:r w:rsidRPr="00F31408">
              <w:rPr>
                <w:rFonts w:cs="Arial"/>
              </w:rPr>
              <w:t>Общо неразположение</w:t>
            </w:r>
          </w:p>
        </w:tc>
        <w:tc>
          <w:tcPr>
            <w:tcW w:w="1536" w:type="dxa"/>
          </w:tcPr>
          <w:p w14:paraId="0B6E71B1" w14:textId="10F49CD3" w:rsidR="00F31408" w:rsidRPr="00F31408" w:rsidRDefault="00F31408" w:rsidP="00F31408">
            <w:pPr>
              <w:rPr>
                <w:rFonts w:cs="Arial"/>
              </w:rPr>
            </w:pPr>
            <w:r w:rsidRPr="00F31408">
              <w:rPr>
                <w:rFonts w:cs="Arial"/>
              </w:rPr>
              <w:t>Нечести*</w:t>
            </w:r>
          </w:p>
        </w:tc>
        <w:tc>
          <w:tcPr>
            <w:tcW w:w="1312" w:type="dxa"/>
            <w:vAlign w:val="bottom"/>
          </w:tcPr>
          <w:p w14:paraId="270C4774" w14:textId="1331173B" w:rsidR="00F31408" w:rsidRPr="00F31408" w:rsidRDefault="00F31408" w:rsidP="00F31408">
            <w:pPr>
              <w:rPr>
                <w:rFonts w:cs="Arial"/>
              </w:rPr>
            </w:pPr>
            <w:r w:rsidRPr="00F31408">
              <w:rPr>
                <w:rFonts w:cs="Arial"/>
              </w:rPr>
              <w:t>-</w:t>
            </w:r>
          </w:p>
        </w:tc>
        <w:tc>
          <w:tcPr>
            <w:tcW w:w="1535" w:type="dxa"/>
          </w:tcPr>
          <w:p w14:paraId="1D1DF0CE" w14:textId="5D54FE56" w:rsidR="00F31408" w:rsidRPr="00F31408" w:rsidRDefault="00F31408" w:rsidP="00F31408">
            <w:pPr>
              <w:rPr>
                <w:rFonts w:cs="Arial"/>
              </w:rPr>
            </w:pPr>
            <w:r w:rsidRPr="00F31408">
              <w:rPr>
                <w:rFonts w:cs="Arial"/>
              </w:rPr>
              <w:t>-</w:t>
            </w:r>
          </w:p>
        </w:tc>
      </w:tr>
      <w:tr w:rsidR="00F31408" w14:paraId="6A8852FB" w14:textId="77777777" w:rsidTr="00F31408">
        <w:tc>
          <w:tcPr>
            <w:tcW w:w="2177" w:type="dxa"/>
            <w:vMerge/>
          </w:tcPr>
          <w:p w14:paraId="7B9F9211" w14:textId="77777777" w:rsidR="00F31408" w:rsidRPr="00F31408" w:rsidRDefault="00F31408" w:rsidP="00F31408">
            <w:pPr>
              <w:rPr>
                <w:rFonts w:cs="Arial"/>
              </w:rPr>
            </w:pPr>
          </w:p>
        </w:tc>
        <w:tc>
          <w:tcPr>
            <w:tcW w:w="2790" w:type="dxa"/>
            <w:vAlign w:val="center"/>
          </w:tcPr>
          <w:p w14:paraId="33B3872B" w14:textId="20AE0329" w:rsidR="00F31408" w:rsidRPr="00F31408" w:rsidRDefault="00F31408" w:rsidP="00F31408">
            <w:pPr>
              <w:rPr>
                <w:rFonts w:cs="Arial"/>
              </w:rPr>
            </w:pPr>
            <w:r w:rsidRPr="00F31408">
              <w:rPr>
                <w:rFonts w:cs="Arial"/>
              </w:rPr>
              <w:t>Периферен оток</w:t>
            </w:r>
          </w:p>
        </w:tc>
        <w:tc>
          <w:tcPr>
            <w:tcW w:w="1536" w:type="dxa"/>
            <w:vAlign w:val="center"/>
          </w:tcPr>
          <w:p w14:paraId="0955532B" w14:textId="4EBBEE2C" w:rsidR="00F31408" w:rsidRPr="00F31408" w:rsidRDefault="00F31408" w:rsidP="00F31408">
            <w:pPr>
              <w:rPr>
                <w:rFonts w:cs="Arial"/>
              </w:rPr>
            </w:pPr>
            <w:r w:rsidRPr="00F31408">
              <w:rPr>
                <w:rFonts w:cs="Arial"/>
              </w:rPr>
              <w:t>Нечести*</w:t>
            </w:r>
          </w:p>
        </w:tc>
        <w:tc>
          <w:tcPr>
            <w:tcW w:w="1312" w:type="dxa"/>
            <w:vAlign w:val="center"/>
          </w:tcPr>
          <w:p w14:paraId="2964443B" w14:textId="1AACE341" w:rsidR="00F31408" w:rsidRPr="00F31408" w:rsidRDefault="00F31408" w:rsidP="00F31408">
            <w:pPr>
              <w:rPr>
                <w:rFonts w:cs="Arial"/>
              </w:rPr>
            </w:pPr>
            <w:r w:rsidRPr="00F31408">
              <w:rPr>
                <w:rFonts w:cs="Arial"/>
              </w:rPr>
              <w:t>-</w:t>
            </w:r>
          </w:p>
        </w:tc>
        <w:tc>
          <w:tcPr>
            <w:tcW w:w="1535" w:type="dxa"/>
          </w:tcPr>
          <w:p w14:paraId="069A5A56" w14:textId="75970336" w:rsidR="00F31408" w:rsidRPr="00F31408" w:rsidRDefault="00F31408" w:rsidP="00F31408">
            <w:pPr>
              <w:rPr>
                <w:rFonts w:cs="Arial"/>
              </w:rPr>
            </w:pPr>
            <w:r w:rsidRPr="00F31408">
              <w:rPr>
                <w:rFonts w:cs="Arial"/>
              </w:rPr>
              <w:t>С неизвестна честота</w:t>
            </w:r>
          </w:p>
        </w:tc>
      </w:tr>
      <w:tr w:rsidR="00F31408" w14:paraId="06F58AA9" w14:textId="77777777" w:rsidTr="00F31408">
        <w:tc>
          <w:tcPr>
            <w:tcW w:w="2177" w:type="dxa"/>
            <w:vMerge/>
          </w:tcPr>
          <w:p w14:paraId="1402B0EB" w14:textId="77777777" w:rsidR="00F31408" w:rsidRPr="00F31408" w:rsidRDefault="00F31408" w:rsidP="00F31408">
            <w:pPr>
              <w:rPr>
                <w:rFonts w:cs="Arial"/>
              </w:rPr>
            </w:pPr>
          </w:p>
        </w:tc>
        <w:tc>
          <w:tcPr>
            <w:tcW w:w="2790" w:type="dxa"/>
            <w:vAlign w:val="bottom"/>
          </w:tcPr>
          <w:p w14:paraId="4649E9D5" w14:textId="3D631D36" w:rsidR="00F31408" w:rsidRPr="00F31408" w:rsidRDefault="00F31408" w:rsidP="00F31408">
            <w:pPr>
              <w:rPr>
                <w:rFonts w:cs="Arial"/>
              </w:rPr>
            </w:pPr>
            <w:r w:rsidRPr="00F31408">
              <w:rPr>
                <w:rFonts w:cs="Arial"/>
              </w:rPr>
              <w:t>Пирексия</w:t>
            </w:r>
          </w:p>
        </w:tc>
        <w:tc>
          <w:tcPr>
            <w:tcW w:w="1536" w:type="dxa"/>
            <w:vAlign w:val="bottom"/>
          </w:tcPr>
          <w:p w14:paraId="1C9C6EA4" w14:textId="1E647E5B" w:rsidR="00F31408" w:rsidRPr="00F31408" w:rsidRDefault="00F31408" w:rsidP="00F31408">
            <w:pPr>
              <w:rPr>
                <w:rFonts w:cs="Arial"/>
              </w:rPr>
            </w:pPr>
            <w:r w:rsidRPr="00F31408">
              <w:rPr>
                <w:rFonts w:cs="Arial"/>
              </w:rPr>
              <w:t>Нечести*</w:t>
            </w:r>
          </w:p>
        </w:tc>
        <w:tc>
          <w:tcPr>
            <w:tcW w:w="1312" w:type="dxa"/>
          </w:tcPr>
          <w:p w14:paraId="384D5063" w14:textId="10502574" w:rsidR="00F31408" w:rsidRPr="00F31408" w:rsidRDefault="00F31408" w:rsidP="00F31408">
            <w:pPr>
              <w:rPr>
                <w:rFonts w:cs="Arial"/>
              </w:rPr>
            </w:pPr>
            <w:r w:rsidRPr="00F31408">
              <w:rPr>
                <w:rFonts w:cs="Arial"/>
              </w:rPr>
              <w:t>-</w:t>
            </w:r>
          </w:p>
        </w:tc>
        <w:tc>
          <w:tcPr>
            <w:tcW w:w="1535" w:type="dxa"/>
          </w:tcPr>
          <w:p w14:paraId="0911B265" w14:textId="6DB9960D" w:rsidR="00F31408" w:rsidRPr="00F31408" w:rsidRDefault="00F31408" w:rsidP="00F31408">
            <w:pPr>
              <w:rPr>
                <w:rFonts w:cs="Arial"/>
              </w:rPr>
            </w:pPr>
            <w:r w:rsidRPr="00F31408">
              <w:rPr>
                <w:rFonts w:cs="Arial"/>
              </w:rPr>
              <w:t>-</w:t>
            </w:r>
          </w:p>
        </w:tc>
      </w:tr>
      <w:tr w:rsidR="00F31408" w14:paraId="10EE5F7C" w14:textId="77777777" w:rsidTr="00F31408">
        <w:tc>
          <w:tcPr>
            <w:tcW w:w="2177" w:type="dxa"/>
            <w:vMerge/>
          </w:tcPr>
          <w:p w14:paraId="32100CC3" w14:textId="77777777" w:rsidR="00F31408" w:rsidRPr="00F31408" w:rsidRDefault="00F31408" w:rsidP="00F31408">
            <w:pPr>
              <w:rPr>
                <w:rFonts w:cs="Arial"/>
              </w:rPr>
            </w:pPr>
          </w:p>
        </w:tc>
        <w:tc>
          <w:tcPr>
            <w:tcW w:w="2790" w:type="dxa"/>
            <w:vAlign w:val="bottom"/>
          </w:tcPr>
          <w:p w14:paraId="2CC66D68" w14:textId="03BE526F" w:rsidR="00F31408" w:rsidRPr="00F31408" w:rsidRDefault="00F31408" w:rsidP="00F31408">
            <w:pPr>
              <w:rPr>
                <w:rFonts w:cs="Arial"/>
              </w:rPr>
            </w:pPr>
            <w:r w:rsidRPr="00F31408">
              <w:rPr>
                <w:rFonts w:cs="Arial"/>
              </w:rPr>
              <w:t>Умора</w:t>
            </w:r>
          </w:p>
        </w:tc>
        <w:tc>
          <w:tcPr>
            <w:tcW w:w="1536" w:type="dxa"/>
          </w:tcPr>
          <w:p w14:paraId="535FFD15" w14:textId="77777777" w:rsidR="00F31408" w:rsidRPr="00F31408" w:rsidRDefault="00F31408" w:rsidP="00F31408">
            <w:pPr>
              <w:rPr>
                <w:rFonts w:cs="Arial"/>
              </w:rPr>
            </w:pPr>
          </w:p>
        </w:tc>
        <w:tc>
          <w:tcPr>
            <w:tcW w:w="1312" w:type="dxa"/>
            <w:vAlign w:val="bottom"/>
          </w:tcPr>
          <w:p w14:paraId="247CE15A" w14:textId="376D1A68" w:rsidR="00F31408" w:rsidRPr="00F31408" w:rsidRDefault="00F31408" w:rsidP="00F31408">
            <w:pPr>
              <w:rPr>
                <w:rFonts w:cs="Arial"/>
              </w:rPr>
            </w:pPr>
            <w:r w:rsidRPr="00F31408">
              <w:rPr>
                <w:rFonts w:cs="Arial"/>
              </w:rPr>
              <w:t>Редки</w:t>
            </w:r>
          </w:p>
        </w:tc>
        <w:tc>
          <w:tcPr>
            <w:tcW w:w="1535" w:type="dxa"/>
          </w:tcPr>
          <w:p w14:paraId="65DE018D" w14:textId="6F9AD674" w:rsidR="00F31408" w:rsidRPr="00F31408" w:rsidRDefault="00F31408" w:rsidP="00F31408">
            <w:pPr>
              <w:rPr>
                <w:rFonts w:cs="Arial"/>
              </w:rPr>
            </w:pPr>
            <w:r w:rsidRPr="00F31408">
              <w:rPr>
                <w:rFonts w:cs="Arial"/>
              </w:rPr>
              <w:t>-</w:t>
            </w:r>
          </w:p>
        </w:tc>
      </w:tr>
      <w:tr w:rsidR="00F31408" w14:paraId="665D83EC" w14:textId="77777777" w:rsidTr="00F31408">
        <w:tc>
          <w:tcPr>
            <w:tcW w:w="2177" w:type="dxa"/>
            <w:vMerge w:val="restart"/>
          </w:tcPr>
          <w:p w14:paraId="21AC98BA" w14:textId="30FBFD7F" w:rsidR="00F31408" w:rsidRPr="00F31408" w:rsidRDefault="00F31408" w:rsidP="00F31408">
            <w:pPr>
              <w:rPr>
                <w:rFonts w:cs="Arial"/>
              </w:rPr>
            </w:pPr>
            <w:r w:rsidRPr="00F31408">
              <w:rPr>
                <w:rFonts w:cs="Arial"/>
                <w:b/>
                <w:bCs/>
              </w:rPr>
              <w:t>Изследвания</w:t>
            </w:r>
          </w:p>
        </w:tc>
        <w:tc>
          <w:tcPr>
            <w:tcW w:w="2790" w:type="dxa"/>
          </w:tcPr>
          <w:p w14:paraId="756BE86A" w14:textId="06E3B420" w:rsidR="00F31408" w:rsidRPr="00F31408" w:rsidRDefault="00F31408" w:rsidP="00F31408">
            <w:pPr>
              <w:rPr>
                <w:rFonts w:cs="Arial"/>
              </w:rPr>
            </w:pPr>
            <w:r w:rsidRPr="00F31408">
              <w:rPr>
                <w:rFonts w:cs="Arial"/>
              </w:rPr>
              <w:t>Повишена кръвна урея</w:t>
            </w:r>
          </w:p>
        </w:tc>
        <w:tc>
          <w:tcPr>
            <w:tcW w:w="1536" w:type="dxa"/>
          </w:tcPr>
          <w:p w14:paraId="47C02A56" w14:textId="6881F635" w:rsidR="00F31408" w:rsidRPr="00F31408" w:rsidRDefault="00F31408" w:rsidP="00F31408">
            <w:pPr>
              <w:rPr>
                <w:rFonts w:cs="Arial"/>
              </w:rPr>
            </w:pPr>
            <w:r w:rsidRPr="00F31408">
              <w:rPr>
                <w:rFonts w:cs="Arial"/>
              </w:rPr>
              <w:t>Нечести*</w:t>
            </w:r>
          </w:p>
        </w:tc>
        <w:tc>
          <w:tcPr>
            <w:tcW w:w="1312" w:type="dxa"/>
            <w:vAlign w:val="bottom"/>
          </w:tcPr>
          <w:p w14:paraId="3224FA96" w14:textId="5CCF2D23" w:rsidR="00F31408" w:rsidRPr="00F31408" w:rsidRDefault="00F31408" w:rsidP="00F31408">
            <w:pPr>
              <w:rPr>
                <w:rFonts w:cs="Arial"/>
              </w:rPr>
            </w:pPr>
            <w:r w:rsidRPr="00F31408">
              <w:rPr>
                <w:rFonts w:cs="Arial"/>
              </w:rPr>
              <w:t>-</w:t>
            </w:r>
          </w:p>
        </w:tc>
        <w:tc>
          <w:tcPr>
            <w:tcW w:w="1535" w:type="dxa"/>
          </w:tcPr>
          <w:p w14:paraId="4FAE220F" w14:textId="13038869" w:rsidR="00F31408" w:rsidRPr="00F31408" w:rsidRDefault="00F31408" w:rsidP="00F31408">
            <w:pPr>
              <w:rPr>
                <w:rFonts w:cs="Arial"/>
              </w:rPr>
            </w:pPr>
            <w:r w:rsidRPr="00F31408">
              <w:rPr>
                <w:rFonts w:cs="Arial"/>
              </w:rPr>
              <w:t>-</w:t>
            </w:r>
          </w:p>
        </w:tc>
      </w:tr>
      <w:tr w:rsidR="00F31408" w14:paraId="6F169602" w14:textId="77777777" w:rsidTr="00F31408">
        <w:tc>
          <w:tcPr>
            <w:tcW w:w="2177" w:type="dxa"/>
            <w:vMerge/>
          </w:tcPr>
          <w:p w14:paraId="74408E99" w14:textId="77777777" w:rsidR="00F31408" w:rsidRPr="00F31408" w:rsidRDefault="00F31408" w:rsidP="00F31408">
            <w:pPr>
              <w:rPr>
                <w:rFonts w:cs="Arial"/>
              </w:rPr>
            </w:pPr>
          </w:p>
        </w:tc>
        <w:tc>
          <w:tcPr>
            <w:tcW w:w="2790" w:type="dxa"/>
            <w:vAlign w:val="bottom"/>
          </w:tcPr>
          <w:p w14:paraId="6BAB801C" w14:textId="0994DED1" w:rsidR="00F31408" w:rsidRPr="00F31408" w:rsidRDefault="00F31408" w:rsidP="00F31408">
            <w:pPr>
              <w:rPr>
                <w:rFonts w:cs="Arial"/>
              </w:rPr>
            </w:pPr>
            <w:r w:rsidRPr="00F31408">
              <w:rPr>
                <w:rFonts w:cs="Arial"/>
              </w:rPr>
              <w:t>Повишен кръвен креатинин</w:t>
            </w:r>
          </w:p>
        </w:tc>
        <w:tc>
          <w:tcPr>
            <w:tcW w:w="1536" w:type="dxa"/>
            <w:vAlign w:val="bottom"/>
          </w:tcPr>
          <w:p w14:paraId="2D5EAE2E" w14:textId="2F34B405" w:rsidR="00F31408" w:rsidRPr="00F31408" w:rsidRDefault="00F31408" w:rsidP="00F31408">
            <w:pPr>
              <w:rPr>
                <w:rFonts w:cs="Arial"/>
              </w:rPr>
            </w:pPr>
            <w:r w:rsidRPr="00F31408">
              <w:rPr>
                <w:rFonts w:cs="Arial"/>
              </w:rPr>
              <w:t>Нечести*</w:t>
            </w:r>
          </w:p>
        </w:tc>
        <w:tc>
          <w:tcPr>
            <w:tcW w:w="1312" w:type="dxa"/>
          </w:tcPr>
          <w:p w14:paraId="244CE5DE" w14:textId="13EAF138" w:rsidR="00F31408" w:rsidRPr="00F31408" w:rsidRDefault="00F31408" w:rsidP="00F31408">
            <w:pPr>
              <w:rPr>
                <w:rFonts w:cs="Arial"/>
              </w:rPr>
            </w:pPr>
            <w:r w:rsidRPr="00F31408">
              <w:rPr>
                <w:rFonts w:cs="Arial"/>
              </w:rPr>
              <w:t>-</w:t>
            </w:r>
          </w:p>
        </w:tc>
        <w:tc>
          <w:tcPr>
            <w:tcW w:w="1535" w:type="dxa"/>
            <w:vAlign w:val="bottom"/>
          </w:tcPr>
          <w:p w14:paraId="351B303E" w14:textId="3734BD2C" w:rsidR="00F31408" w:rsidRPr="00F31408" w:rsidRDefault="00F31408" w:rsidP="00F31408">
            <w:pPr>
              <w:rPr>
                <w:rFonts w:cs="Arial"/>
              </w:rPr>
            </w:pPr>
            <w:r w:rsidRPr="00F31408">
              <w:rPr>
                <w:rFonts w:cs="Arial"/>
              </w:rPr>
              <w:t>-</w:t>
            </w:r>
          </w:p>
        </w:tc>
      </w:tr>
      <w:tr w:rsidR="00F31408" w14:paraId="33D7EC40" w14:textId="77777777" w:rsidTr="00F31408">
        <w:tc>
          <w:tcPr>
            <w:tcW w:w="2177" w:type="dxa"/>
            <w:vMerge/>
          </w:tcPr>
          <w:p w14:paraId="0DCA179D" w14:textId="77777777" w:rsidR="00F31408" w:rsidRPr="00F31408" w:rsidRDefault="00F31408" w:rsidP="00F31408">
            <w:pPr>
              <w:rPr>
                <w:rFonts w:cs="Arial"/>
              </w:rPr>
            </w:pPr>
          </w:p>
        </w:tc>
        <w:tc>
          <w:tcPr>
            <w:tcW w:w="2790" w:type="dxa"/>
            <w:vAlign w:val="bottom"/>
          </w:tcPr>
          <w:p w14:paraId="1CF8AD31" w14:textId="7D4A13ED" w:rsidR="00F31408" w:rsidRPr="00F31408" w:rsidRDefault="00F31408" w:rsidP="00F31408">
            <w:pPr>
              <w:rPr>
                <w:rFonts w:cs="Arial"/>
              </w:rPr>
            </w:pPr>
            <w:r w:rsidRPr="00F31408">
              <w:rPr>
                <w:rFonts w:cs="Arial"/>
              </w:rPr>
              <w:t>Повишен кръвен билирубин</w:t>
            </w:r>
          </w:p>
        </w:tc>
        <w:tc>
          <w:tcPr>
            <w:tcW w:w="1536" w:type="dxa"/>
            <w:vAlign w:val="bottom"/>
          </w:tcPr>
          <w:p w14:paraId="0B18EB66" w14:textId="1DEB6E39" w:rsidR="00F31408" w:rsidRPr="00F31408" w:rsidRDefault="00F31408" w:rsidP="00F31408">
            <w:pPr>
              <w:rPr>
                <w:rFonts w:cs="Arial"/>
              </w:rPr>
            </w:pPr>
            <w:r w:rsidRPr="00F31408">
              <w:rPr>
                <w:rFonts w:cs="Arial"/>
              </w:rPr>
              <w:t>Редки</w:t>
            </w:r>
          </w:p>
        </w:tc>
        <w:tc>
          <w:tcPr>
            <w:tcW w:w="1312" w:type="dxa"/>
          </w:tcPr>
          <w:p w14:paraId="560B5D2E" w14:textId="6BF055C0" w:rsidR="00F31408" w:rsidRPr="00F31408" w:rsidRDefault="00F31408" w:rsidP="00F31408">
            <w:pPr>
              <w:rPr>
                <w:rFonts w:cs="Arial"/>
              </w:rPr>
            </w:pPr>
            <w:r w:rsidRPr="00F31408">
              <w:rPr>
                <w:rFonts w:cs="Arial"/>
              </w:rPr>
              <w:t>-</w:t>
            </w:r>
          </w:p>
        </w:tc>
        <w:tc>
          <w:tcPr>
            <w:tcW w:w="1535" w:type="dxa"/>
          </w:tcPr>
          <w:p w14:paraId="0D027F3D" w14:textId="7E1686CE" w:rsidR="00F31408" w:rsidRPr="00F31408" w:rsidRDefault="00F31408" w:rsidP="00F31408">
            <w:pPr>
              <w:rPr>
                <w:rFonts w:cs="Arial"/>
              </w:rPr>
            </w:pPr>
            <w:r w:rsidRPr="00F31408">
              <w:rPr>
                <w:rFonts w:cs="Arial"/>
              </w:rPr>
              <w:t>-</w:t>
            </w:r>
          </w:p>
        </w:tc>
      </w:tr>
      <w:tr w:rsidR="00F31408" w14:paraId="3CDFB6E9" w14:textId="77777777" w:rsidTr="00F31408">
        <w:tc>
          <w:tcPr>
            <w:tcW w:w="2177" w:type="dxa"/>
            <w:vMerge/>
          </w:tcPr>
          <w:p w14:paraId="645ABFA3" w14:textId="77777777" w:rsidR="00F31408" w:rsidRPr="00F31408" w:rsidRDefault="00F31408" w:rsidP="00F31408">
            <w:pPr>
              <w:rPr>
                <w:rFonts w:cs="Arial"/>
              </w:rPr>
            </w:pPr>
          </w:p>
        </w:tc>
        <w:tc>
          <w:tcPr>
            <w:tcW w:w="2790" w:type="dxa"/>
          </w:tcPr>
          <w:p w14:paraId="0876BDEA" w14:textId="413E87F2" w:rsidR="00F31408" w:rsidRPr="00F31408" w:rsidRDefault="00F31408" w:rsidP="00F31408">
            <w:pPr>
              <w:rPr>
                <w:rFonts w:cs="Arial"/>
              </w:rPr>
            </w:pPr>
            <w:r w:rsidRPr="00F31408">
              <w:rPr>
                <w:rFonts w:cs="Arial"/>
              </w:rPr>
              <w:t>Повишени чернодробни ензими</w:t>
            </w:r>
          </w:p>
        </w:tc>
        <w:tc>
          <w:tcPr>
            <w:tcW w:w="1536" w:type="dxa"/>
            <w:vAlign w:val="bottom"/>
          </w:tcPr>
          <w:p w14:paraId="4E606A7C" w14:textId="16F2132D" w:rsidR="00F31408" w:rsidRPr="00F31408" w:rsidRDefault="00F31408" w:rsidP="00F31408">
            <w:pPr>
              <w:rPr>
                <w:rFonts w:cs="Arial"/>
              </w:rPr>
            </w:pPr>
            <w:r w:rsidRPr="00F31408">
              <w:rPr>
                <w:rFonts w:cs="Arial"/>
              </w:rPr>
              <w:t>Редки</w:t>
            </w:r>
          </w:p>
        </w:tc>
        <w:tc>
          <w:tcPr>
            <w:tcW w:w="1312" w:type="dxa"/>
          </w:tcPr>
          <w:p w14:paraId="63E204E4" w14:textId="5FD66B08" w:rsidR="00F31408" w:rsidRPr="00F31408" w:rsidRDefault="00F31408" w:rsidP="00F31408">
            <w:pPr>
              <w:rPr>
                <w:rFonts w:cs="Arial"/>
              </w:rPr>
            </w:pPr>
            <w:r w:rsidRPr="00F31408">
              <w:rPr>
                <w:rFonts w:cs="Arial"/>
              </w:rPr>
              <w:t xml:space="preserve">С неизвестна честота </w:t>
            </w:r>
          </w:p>
        </w:tc>
        <w:tc>
          <w:tcPr>
            <w:tcW w:w="1535" w:type="dxa"/>
          </w:tcPr>
          <w:p w14:paraId="70E2839B" w14:textId="3FD4E8E6" w:rsidR="00F31408" w:rsidRPr="00F31408" w:rsidRDefault="00F31408" w:rsidP="00F31408">
            <w:pPr>
              <w:rPr>
                <w:rFonts w:cs="Arial"/>
              </w:rPr>
            </w:pPr>
            <w:r w:rsidRPr="00F31408">
              <w:rPr>
                <w:rFonts w:cs="Arial"/>
              </w:rPr>
              <w:t>Редки</w:t>
            </w:r>
          </w:p>
        </w:tc>
      </w:tr>
      <w:tr w:rsidR="00F31408" w14:paraId="6C871A0F" w14:textId="77777777" w:rsidTr="00A22F48">
        <w:trPr>
          <w:trHeight w:val="711"/>
        </w:trPr>
        <w:tc>
          <w:tcPr>
            <w:tcW w:w="2177" w:type="dxa"/>
            <w:vMerge/>
          </w:tcPr>
          <w:p w14:paraId="0E2F0C3C" w14:textId="77777777" w:rsidR="00F31408" w:rsidRPr="00F31408" w:rsidRDefault="00F31408" w:rsidP="00F31408">
            <w:pPr>
              <w:rPr>
                <w:rFonts w:cs="Arial"/>
              </w:rPr>
            </w:pPr>
          </w:p>
        </w:tc>
        <w:tc>
          <w:tcPr>
            <w:tcW w:w="2790" w:type="dxa"/>
          </w:tcPr>
          <w:p w14:paraId="4C091B63" w14:textId="77777777" w:rsidR="00F31408" w:rsidRPr="00F31408" w:rsidRDefault="00F31408" w:rsidP="00F31408">
            <w:pPr>
              <w:rPr>
                <w:rFonts w:cs="Arial"/>
              </w:rPr>
            </w:pPr>
            <w:r w:rsidRPr="00F31408">
              <w:rPr>
                <w:rFonts w:cs="Arial"/>
              </w:rPr>
              <w:t>Понижени хемоглобин и</w:t>
            </w:r>
          </w:p>
          <w:p w14:paraId="3DF4FF90" w14:textId="146C84F3" w:rsidR="00F31408" w:rsidRPr="00F31408" w:rsidRDefault="00F31408" w:rsidP="00F31408">
            <w:pPr>
              <w:rPr>
                <w:rFonts w:cs="Arial"/>
              </w:rPr>
            </w:pPr>
            <w:r w:rsidRPr="00F31408">
              <w:rPr>
                <w:rFonts w:cs="Arial"/>
              </w:rPr>
              <w:t>хематокрит (вж. точка 4.4)</w:t>
            </w:r>
          </w:p>
        </w:tc>
        <w:tc>
          <w:tcPr>
            <w:tcW w:w="1536" w:type="dxa"/>
          </w:tcPr>
          <w:p w14:paraId="7AFCFFC4" w14:textId="661AF0FE" w:rsidR="00F31408" w:rsidRPr="00F31408" w:rsidRDefault="00F31408" w:rsidP="00F31408">
            <w:pPr>
              <w:rPr>
                <w:rFonts w:cs="Arial"/>
              </w:rPr>
            </w:pPr>
            <w:r w:rsidRPr="00F31408">
              <w:rPr>
                <w:rFonts w:cs="Arial"/>
              </w:rPr>
              <w:t>Много редки</w:t>
            </w:r>
          </w:p>
        </w:tc>
        <w:tc>
          <w:tcPr>
            <w:tcW w:w="1312" w:type="dxa"/>
          </w:tcPr>
          <w:p w14:paraId="56ECF4D8" w14:textId="6D6A3D33" w:rsidR="00F31408" w:rsidRPr="00F31408" w:rsidRDefault="00F31408" w:rsidP="00F31408">
            <w:pPr>
              <w:rPr>
                <w:rFonts w:cs="Arial"/>
              </w:rPr>
            </w:pPr>
            <w:r w:rsidRPr="00F31408">
              <w:rPr>
                <w:rFonts w:cs="Arial"/>
              </w:rPr>
              <w:tab/>
              <w:t>-</w:t>
            </w:r>
          </w:p>
        </w:tc>
        <w:tc>
          <w:tcPr>
            <w:tcW w:w="1535" w:type="dxa"/>
          </w:tcPr>
          <w:p w14:paraId="5B79D902" w14:textId="2B82A69C" w:rsidR="00F31408" w:rsidRPr="00F31408" w:rsidRDefault="00F31408" w:rsidP="00F31408">
            <w:pPr>
              <w:rPr>
                <w:rFonts w:cs="Arial"/>
              </w:rPr>
            </w:pPr>
            <w:r w:rsidRPr="00F31408">
              <w:rPr>
                <w:rFonts w:cs="Arial"/>
              </w:rPr>
              <w:t>-</w:t>
            </w:r>
          </w:p>
        </w:tc>
      </w:tr>
      <w:tr w:rsidR="00F31408" w14:paraId="3376183B" w14:textId="77777777" w:rsidTr="00F31408">
        <w:tc>
          <w:tcPr>
            <w:tcW w:w="2177" w:type="dxa"/>
            <w:vMerge/>
          </w:tcPr>
          <w:p w14:paraId="6E394C9A" w14:textId="77777777" w:rsidR="00F31408" w:rsidRPr="00F31408" w:rsidRDefault="00F31408" w:rsidP="00F31408">
            <w:pPr>
              <w:rPr>
                <w:rFonts w:cs="Arial"/>
              </w:rPr>
            </w:pPr>
          </w:p>
        </w:tc>
        <w:tc>
          <w:tcPr>
            <w:tcW w:w="2790" w:type="dxa"/>
          </w:tcPr>
          <w:p w14:paraId="273C976C" w14:textId="1F13A23D" w:rsidR="00F31408" w:rsidRPr="00F31408" w:rsidRDefault="00F31408" w:rsidP="00F31408">
            <w:pPr>
              <w:rPr>
                <w:rFonts w:cs="Arial"/>
              </w:rPr>
            </w:pPr>
            <w:r w:rsidRPr="00F31408">
              <w:rPr>
                <w:rFonts w:cs="Arial"/>
              </w:rPr>
              <w:t>Повишена кръвна захар</w:t>
            </w:r>
          </w:p>
        </w:tc>
        <w:tc>
          <w:tcPr>
            <w:tcW w:w="1536" w:type="dxa"/>
          </w:tcPr>
          <w:p w14:paraId="5A89DE3A" w14:textId="4F43B6E1" w:rsidR="00F31408" w:rsidRPr="00F31408" w:rsidRDefault="00F31408" w:rsidP="00F31408">
            <w:pPr>
              <w:rPr>
                <w:rFonts w:cs="Arial"/>
              </w:rPr>
            </w:pPr>
            <w:r w:rsidRPr="00F31408">
              <w:rPr>
                <w:rFonts w:cs="Arial"/>
              </w:rPr>
              <w:t>-</w:t>
            </w:r>
          </w:p>
        </w:tc>
        <w:tc>
          <w:tcPr>
            <w:tcW w:w="1312" w:type="dxa"/>
          </w:tcPr>
          <w:p w14:paraId="761F48A9" w14:textId="73CBC2D5" w:rsidR="00F31408" w:rsidRPr="00F31408" w:rsidRDefault="00F31408" w:rsidP="00F31408">
            <w:pPr>
              <w:rPr>
                <w:rFonts w:cs="Arial"/>
              </w:rPr>
            </w:pPr>
            <w:r w:rsidRPr="00F31408">
              <w:rPr>
                <w:rFonts w:cs="Arial"/>
              </w:rPr>
              <w:t>С неизвестна честота</w:t>
            </w:r>
          </w:p>
        </w:tc>
        <w:tc>
          <w:tcPr>
            <w:tcW w:w="1535" w:type="dxa"/>
          </w:tcPr>
          <w:p w14:paraId="29336352" w14:textId="6AFE5133" w:rsidR="00F31408" w:rsidRPr="00F31408" w:rsidRDefault="00F31408" w:rsidP="00F31408">
            <w:pPr>
              <w:rPr>
                <w:rFonts w:cs="Arial"/>
              </w:rPr>
            </w:pPr>
            <w:r w:rsidRPr="00F31408">
              <w:rPr>
                <w:rFonts w:cs="Arial"/>
              </w:rPr>
              <w:t>Чести</w:t>
            </w:r>
          </w:p>
        </w:tc>
      </w:tr>
      <w:tr w:rsidR="00F31408" w14:paraId="02CF410C" w14:textId="77777777" w:rsidTr="00F31408">
        <w:tc>
          <w:tcPr>
            <w:tcW w:w="2177" w:type="dxa"/>
            <w:vMerge/>
          </w:tcPr>
          <w:p w14:paraId="30F069D4" w14:textId="77777777" w:rsidR="00F31408" w:rsidRPr="00F31408" w:rsidRDefault="00F31408" w:rsidP="00F31408">
            <w:pPr>
              <w:rPr>
                <w:rFonts w:cs="Arial"/>
              </w:rPr>
            </w:pPr>
          </w:p>
        </w:tc>
        <w:tc>
          <w:tcPr>
            <w:tcW w:w="2790" w:type="dxa"/>
          </w:tcPr>
          <w:p w14:paraId="1218C01D" w14:textId="397DFA0E" w:rsidR="00F31408" w:rsidRPr="00F31408" w:rsidRDefault="00F31408" w:rsidP="00F31408">
            <w:pPr>
              <w:rPr>
                <w:rFonts w:cs="Arial"/>
              </w:rPr>
            </w:pPr>
            <w:r w:rsidRPr="00F31408">
              <w:rPr>
                <w:rFonts w:cs="Arial"/>
              </w:rPr>
              <w:t>Повишена пикочна киселина в кръвта</w:t>
            </w:r>
          </w:p>
        </w:tc>
        <w:tc>
          <w:tcPr>
            <w:tcW w:w="1536" w:type="dxa"/>
          </w:tcPr>
          <w:p w14:paraId="5A8EC0B2" w14:textId="30EEAD8C" w:rsidR="00F31408" w:rsidRPr="00F31408" w:rsidRDefault="00F31408" w:rsidP="00F31408">
            <w:pPr>
              <w:rPr>
                <w:rFonts w:cs="Arial"/>
              </w:rPr>
            </w:pPr>
            <w:r w:rsidRPr="00F31408">
              <w:rPr>
                <w:rFonts w:cs="Arial"/>
              </w:rPr>
              <w:t>-</w:t>
            </w:r>
          </w:p>
        </w:tc>
        <w:tc>
          <w:tcPr>
            <w:tcW w:w="1312" w:type="dxa"/>
          </w:tcPr>
          <w:p w14:paraId="3183544B" w14:textId="4F84B21E" w:rsidR="00F31408" w:rsidRPr="00F31408" w:rsidRDefault="00F31408" w:rsidP="00F31408">
            <w:pPr>
              <w:rPr>
                <w:rFonts w:cs="Arial"/>
              </w:rPr>
            </w:pPr>
            <w:r w:rsidRPr="00F31408">
              <w:rPr>
                <w:rFonts w:cs="Arial"/>
              </w:rPr>
              <w:t>С неизвестна честота</w:t>
            </w:r>
          </w:p>
        </w:tc>
        <w:tc>
          <w:tcPr>
            <w:tcW w:w="1535" w:type="dxa"/>
          </w:tcPr>
          <w:p w14:paraId="16457CBE" w14:textId="30B21612" w:rsidR="00F31408" w:rsidRPr="00F31408" w:rsidRDefault="00F31408" w:rsidP="00F31408">
            <w:pPr>
              <w:rPr>
                <w:rFonts w:cs="Arial"/>
              </w:rPr>
            </w:pPr>
            <w:r w:rsidRPr="00F31408">
              <w:rPr>
                <w:rFonts w:cs="Arial"/>
              </w:rPr>
              <w:t>-</w:t>
            </w:r>
          </w:p>
        </w:tc>
      </w:tr>
      <w:tr w:rsidR="00F31408" w14:paraId="44EFBC9C" w14:textId="77777777" w:rsidTr="00F31408">
        <w:tc>
          <w:tcPr>
            <w:tcW w:w="2177" w:type="dxa"/>
            <w:vMerge/>
          </w:tcPr>
          <w:p w14:paraId="578712F1" w14:textId="77777777" w:rsidR="00F31408" w:rsidRPr="00F31408" w:rsidRDefault="00F31408" w:rsidP="00F31408">
            <w:pPr>
              <w:rPr>
                <w:rFonts w:cs="Arial"/>
              </w:rPr>
            </w:pPr>
          </w:p>
        </w:tc>
        <w:tc>
          <w:tcPr>
            <w:tcW w:w="2790" w:type="dxa"/>
          </w:tcPr>
          <w:p w14:paraId="73EE90E6" w14:textId="3B057CF7" w:rsidR="00F31408" w:rsidRPr="00F31408" w:rsidRDefault="00F31408" w:rsidP="00F31408">
            <w:pPr>
              <w:rPr>
                <w:rFonts w:cs="Arial"/>
              </w:rPr>
            </w:pPr>
            <w:r w:rsidRPr="00F31408">
              <w:rPr>
                <w:rFonts w:cs="Arial"/>
              </w:rPr>
              <w:t xml:space="preserve">Удължен </w:t>
            </w:r>
            <w:r w:rsidRPr="00F31408">
              <w:rPr>
                <w:rFonts w:cs="Arial"/>
                <w:lang w:val="en-US"/>
              </w:rPr>
              <w:t xml:space="preserve">QT </w:t>
            </w:r>
            <w:r w:rsidRPr="00F31408">
              <w:rPr>
                <w:rFonts w:cs="Arial"/>
              </w:rPr>
              <w:t>интервал на ЕКГ (вж. точки 4.4 и 4.5)</w:t>
            </w:r>
          </w:p>
        </w:tc>
        <w:tc>
          <w:tcPr>
            <w:tcW w:w="1536" w:type="dxa"/>
          </w:tcPr>
          <w:p w14:paraId="2239B03B" w14:textId="5C97F40F" w:rsidR="00F31408" w:rsidRPr="00F31408" w:rsidRDefault="00F31408" w:rsidP="00F31408">
            <w:pPr>
              <w:rPr>
                <w:rFonts w:cs="Arial"/>
              </w:rPr>
            </w:pPr>
            <w:r w:rsidRPr="00F31408">
              <w:rPr>
                <w:rFonts w:cs="Arial"/>
              </w:rPr>
              <w:t>-</w:t>
            </w:r>
          </w:p>
        </w:tc>
        <w:tc>
          <w:tcPr>
            <w:tcW w:w="1312" w:type="dxa"/>
          </w:tcPr>
          <w:p w14:paraId="1A2A97D6" w14:textId="4C7AC59B" w:rsidR="00F31408" w:rsidRPr="00F31408" w:rsidRDefault="00F31408" w:rsidP="00F31408">
            <w:pPr>
              <w:rPr>
                <w:rFonts w:cs="Arial"/>
              </w:rPr>
            </w:pPr>
            <w:r w:rsidRPr="00F31408">
              <w:rPr>
                <w:rFonts w:cs="Arial"/>
              </w:rPr>
              <w:t>С неизвестна честота</w:t>
            </w:r>
          </w:p>
        </w:tc>
        <w:tc>
          <w:tcPr>
            <w:tcW w:w="1535" w:type="dxa"/>
          </w:tcPr>
          <w:p w14:paraId="6F0F9C65" w14:textId="1CFBA334" w:rsidR="00F31408" w:rsidRPr="00F31408" w:rsidRDefault="00F31408" w:rsidP="00F31408">
            <w:pPr>
              <w:rPr>
                <w:rFonts w:cs="Arial"/>
              </w:rPr>
            </w:pPr>
            <w:r w:rsidRPr="00F31408">
              <w:rPr>
                <w:rFonts w:cs="Arial"/>
              </w:rPr>
              <w:t>-</w:t>
            </w:r>
          </w:p>
        </w:tc>
      </w:tr>
      <w:tr w:rsidR="00F31408" w14:paraId="68474457" w14:textId="77777777" w:rsidTr="00F31408">
        <w:tc>
          <w:tcPr>
            <w:tcW w:w="2177" w:type="dxa"/>
          </w:tcPr>
          <w:p w14:paraId="3A908A04" w14:textId="55CB292B" w:rsidR="00F31408" w:rsidRPr="00F31408" w:rsidRDefault="00F31408" w:rsidP="00F31408">
            <w:pPr>
              <w:rPr>
                <w:rFonts w:cs="Arial"/>
              </w:rPr>
            </w:pPr>
            <w:r w:rsidRPr="00F31408">
              <w:rPr>
                <w:rFonts w:cs="Arial"/>
                <w:b/>
                <w:bCs/>
              </w:rPr>
              <w:t>Наранявания, отравяния и процедурни усложнения</w:t>
            </w:r>
          </w:p>
        </w:tc>
        <w:tc>
          <w:tcPr>
            <w:tcW w:w="2790" w:type="dxa"/>
          </w:tcPr>
          <w:p w14:paraId="560B7CCA" w14:textId="6DF728F7" w:rsidR="00F31408" w:rsidRPr="00F31408" w:rsidRDefault="00F31408" w:rsidP="00F31408">
            <w:pPr>
              <w:rPr>
                <w:rFonts w:cs="Arial"/>
              </w:rPr>
            </w:pPr>
            <w:r w:rsidRPr="00F31408">
              <w:rPr>
                <w:rFonts w:cs="Arial"/>
              </w:rPr>
              <w:t>Падане</w:t>
            </w:r>
          </w:p>
        </w:tc>
        <w:tc>
          <w:tcPr>
            <w:tcW w:w="1536" w:type="dxa"/>
          </w:tcPr>
          <w:p w14:paraId="11BF3A36" w14:textId="3DEB7D79" w:rsidR="00F31408" w:rsidRPr="00F31408" w:rsidRDefault="00F31408" w:rsidP="00F31408">
            <w:pPr>
              <w:rPr>
                <w:rFonts w:cs="Arial"/>
              </w:rPr>
            </w:pPr>
            <w:r w:rsidRPr="00F31408">
              <w:rPr>
                <w:rFonts w:cs="Arial"/>
              </w:rPr>
              <w:t>Нечести*</w:t>
            </w:r>
          </w:p>
        </w:tc>
        <w:tc>
          <w:tcPr>
            <w:tcW w:w="1312" w:type="dxa"/>
          </w:tcPr>
          <w:p w14:paraId="7028E183" w14:textId="1FBAD107" w:rsidR="00F31408" w:rsidRPr="00F31408" w:rsidRDefault="00F31408" w:rsidP="00F31408">
            <w:pPr>
              <w:rPr>
                <w:rFonts w:cs="Arial"/>
              </w:rPr>
            </w:pPr>
            <w:r w:rsidRPr="00F31408">
              <w:rPr>
                <w:rFonts w:cs="Arial"/>
              </w:rPr>
              <w:t>-</w:t>
            </w:r>
          </w:p>
        </w:tc>
        <w:tc>
          <w:tcPr>
            <w:tcW w:w="1535" w:type="dxa"/>
          </w:tcPr>
          <w:p w14:paraId="6B604BC2" w14:textId="0E395A9C" w:rsidR="00F31408" w:rsidRPr="00F31408" w:rsidRDefault="00F31408" w:rsidP="00F31408">
            <w:pPr>
              <w:rPr>
                <w:rFonts w:cs="Arial"/>
              </w:rPr>
            </w:pPr>
            <w:r w:rsidRPr="00F31408">
              <w:rPr>
                <w:rFonts w:cs="Arial"/>
              </w:rPr>
              <w:t>-</w:t>
            </w:r>
          </w:p>
        </w:tc>
      </w:tr>
    </w:tbl>
    <w:p w14:paraId="2A12BC19" w14:textId="14657CE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Честотата е изчислена от клинични изитвания за нежелани реакции, установени чрез спонтанно съобщаване.</w:t>
      </w:r>
    </w:p>
    <w:p w14:paraId="2BC6E2AD"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r w:rsidRPr="00F31408">
        <w:rPr>
          <w:rFonts w:eastAsia="Times New Roman" w:cs="Arial"/>
          <w:color w:val="000000"/>
          <w:lang w:val="en-US"/>
        </w:rPr>
        <w:t xml:space="preserve">mmol/l, </w:t>
      </w:r>
      <w:r w:rsidRPr="00F31408">
        <w:rPr>
          <w:rFonts w:eastAsia="Times New Roman" w:cs="Arial"/>
          <w:color w:val="000000"/>
          <w:lang w:eastAsia="bg-BG"/>
        </w:rPr>
        <w:t xml:space="preserve">ИТМ &gt; 30 </w:t>
      </w:r>
      <w:r w:rsidRPr="00F31408">
        <w:rPr>
          <w:rFonts w:eastAsia="Times New Roman" w:cs="Arial"/>
          <w:color w:val="000000"/>
          <w:lang w:val="en-US"/>
        </w:rPr>
        <w:t>kg/m</w:t>
      </w:r>
      <w:r w:rsidRPr="00F31408">
        <w:rPr>
          <w:rFonts w:eastAsia="Times New Roman" w:cs="Arial"/>
          <w:color w:val="000000"/>
          <w:vertAlign w:val="superscript"/>
          <w:lang w:val="en-US"/>
        </w:rPr>
        <w:t>2</w:t>
      </w:r>
      <w:r w:rsidRPr="00F31408">
        <w:rPr>
          <w:rFonts w:eastAsia="Times New Roman" w:cs="Arial"/>
          <w:color w:val="000000"/>
          <w:lang w:val="en-US"/>
        </w:rPr>
        <w:t xml:space="preserve">, </w:t>
      </w:r>
      <w:r w:rsidRPr="00F31408">
        <w:rPr>
          <w:rFonts w:eastAsia="Times New Roman" w:cs="Arial"/>
          <w:color w:val="000000"/>
          <w:lang w:eastAsia="bg-BG"/>
        </w:rPr>
        <w:t>повишени триглицериди, анамнеза за хипертония).</w:t>
      </w:r>
    </w:p>
    <w:p w14:paraId="4505C17C" w14:textId="77777777" w:rsidR="00F31408" w:rsidRPr="00F31408" w:rsidRDefault="00F31408" w:rsidP="00F31408">
      <w:pPr>
        <w:spacing w:line="240" w:lineRule="auto"/>
        <w:rPr>
          <w:rFonts w:eastAsia="Times New Roman" w:cs="Arial"/>
          <w:color w:val="000000"/>
          <w:lang w:eastAsia="bg-BG"/>
        </w:rPr>
      </w:pPr>
    </w:p>
    <w:p w14:paraId="07F2C74A" w14:textId="075AE4BC"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честотата на нежеланите лекарствени реакции е с тенденция да бъде дозо-зависима.</w:t>
      </w:r>
    </w:p>
    <w:p w14:paraId="0C24CE12" w14:textId="77777777" w:rsidR="00F31408" w:rsidRPr="00F31408" w:rsidRDefault="00F31408" w:rsidP="00F31408">
      <w:pPr>
        <w:spacing w:line="240" w:lineRule="auto"/>
        <w:rPr>
          <w:rFonts w:eastAsia="Times New Roman" w:cs="Arial"/>
          <w:b/>
          <w:bCs/>
          <w:color w:val="000000"/>
          <w:u w:val="single"/>
          <w:lang w:eastAsia="bg-BG"/>
        </w:rPr>
      </w:pPr>
      <w:bookmarkStart w:id="1" w:name="bookmark0"/>
    </w:p>
    <w:p w14:paraId="07D41D74" w14:textId="129F8101"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розувастатин</w:t>
      </w:r>
      <w:bookmarkEnd w:id="1"/>
    </w:p>
    <w:p w14:paraId="205210CA" w14:textId="77777777" w:rsidR="00F31408" w:rsidRPr="00F31408" w:rsidRDefault="00F31408" w:rsidP="00F31408">
      <w:pPr>
        <w:spacing w:line="240" w:lineRule="auto"/>
        <w:rPr>
          <w:rFonts w:eastAsia="Times New Roman" w:cs="Arial"/>
          <w:i/>
          <w:iCs/>
          <w:color w:val="000000"/>
          <w:u w:val="single"/>
          <w:lang w:eastAsia="bg-BG"/>
        </w:rPr>
      </w:pPr>
    </w:p>
    <w:p w14:paraId="6F7AAE20" w14:textId="7B023FAF" w:rsidR="00F31408" w:rsidRPr="00F31408" w:rsidRDefault="00F31408" w:rsidP="00F31408">
      <w:pPr>
        <w:spacing w:line="240" w:lineRule="auto"/>
        <w:rPr>
          <w:rFonts w:eastAsia="Times New Roman" w:cs="Arial"/>
          <w:lang w:eastAsia="bg-BG"/>
        </w:rPr>
      </w:pPr>
      <w:r w:rsidRPr="00F31408">
        <w:rPr>
          <w:rFonts w:eastAsia="Times New Roman" w:cs="Arial"/>
          <w:i/>
          <w:iCs/>
          <w:color w:val="000000"/>
          <w:u w:val="single"/>
          <w:lang w:eastAsia="bg-BG"/>
        </w:rPr>
        <w:t>Описание на избрани нежелани реакции</w:t>
      </w:r>
    </w:p>
    <w:p w14:paraId="5076EA4D" w14:textId="77777777"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бъбреците:</w:t>
      </w:r>
      <w:r w:rsidRPr="00F31408">
        <w:rPr>
          <w:rFonts w:eastAsia="Times New Roman" w:cs="Arial"/>
          <w:color w:val="000000"/>
          <w:lang w:eastAsia="bg-BG"/>
        </w:rPr>
        <w:t xml:space="preserve"> При пациенти, лекувани с розувастатин, се наблюдава 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F31408">
        <w:rPr>
          <w:rFonts w:eastAsia="Times New Roman" w:cs="Arial"/>
          <w:color w:val="000000"/>
          <w:lang w:val="en-US"/>
        </w:rPr>
        <w:t xml:space="preserve">mg </w:t>
      </w:r>
      <w:r w:rsidRPr="00F31408">
        <w:rPr>
          <w:rFonts w:eastAsia="Times New Roman" w:cs="Arial"/>
          <w:color w:val="000000"/>
          <w:lang w:eastAsia="bg-BG"/>
        </w:rPr>
        <w:t xml:space="preserve">и при приблизително 3% от пациентите, лекувани с 40 </w:t>
      </w:r>
      <w:r w:rsidRPr="00F31408">
        <w:rPr>
          <w:rFonts w:eastAsia="Times New Roman" w:cs="Arial"/>
          <w:color w:val="000000"/>
          <w:lang w:val="en-US"/>
        </w:rPr>
        <w:t xml:space="preserve">mg, </w:t>
      </w:r>
      <w:r w:rsidRPr="00F31408">
        <w:rPr>
          <w:rFonts w:eastAsia="Times New Roman" w:cs="Arial"/>
          <w:color w:val="000000"/>
          <w:lang w:eastAsia="bg-BG"/>
        </w:rPr>
        <w:t xml:space="preserve">се наблюдават отклонения в изследванията за протеин в урината, 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F31408">
        <w:rPr>
          <w:rFonts w:eastAsia="Times New Roman" w:cs="Arial"/>
          <w:color w:val="000000"/>
          <w:lang w:val="en-US"/>
        </w:rPr>
        <w:t xml:space="preserve">mg. </w:t>
      </w:r>
      <w:r w:rsidRPr="00F31408">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10179354" w14:textId="77777777" w:rsidR="00F31408" w:rsidRPr="00F31408" w:rsidRDefault="00F31408" w:rsidP="00F31408">
      <w:pPr>
        <w:spacing w:line="240" w:lineRule="auto"/>
        <w:rPr>
          <w:rFonts w:eastAsia="Times New Roman" w:cs="Arial"/>
          <w:color w:val="000000"/>
          <w:lang w:eastAsia="bg-BG"/>
        </w:rPr>
      </w:pPr>
    </w:p>
    <w:p w14:paraId="7D075C5E" w14:textId="08DC8CF0"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4D56B661" w14:textId="77777777" w:rsidR="00F31408" w:rsidRPr="00F31408" w:rsidRDefault="00F31408" w:rsidP="00F31408">
      <w:pPr>
        <w:spacing w:line="240" w:lineRule="auto"/>
        <w:rPr>
          <w:rFonts w:eastAsia="Times New Roman" w:cs="Arial"/>
          <w:i/>
          <w:iCs/>
          <w:color w:val="000000"/>
          <w:lang w:eastAsia="bg-BG"/>
        </w:rPr>
      </w:pPr>
    </w:p>
    <w:p w14:paraId="1E6F7E88" w14:textId="66C5CD02"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lastRenderedPageBreak/>
        <w:t>Ефекти върху скелетната мускулатура:</w:t>
      </w:r>
      <w:r w:rsidRPr="00F31408">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 и без остра бъбречна недостатъчност се съобщават при пациенти, лекувани с розувастатин, с всички дози и по-специално с дози &gt;20 </w:t>
      </w:r>
      <w:r w:rsidRPr="00F31408">
        <w:rPr>
          <w:rFonts w:eastAsia="Times New Roman" w:cs="Arial"/>
          <w:color w:val="000000"/>
          <w:lang w:val="en-US"/>
        </w:rPr>
        <w:t>mg.</w:t>
      </w:r>
    </w:p>
    <w:p w14:paraId="63A6573A" w14:textId="77777777" w:rsidR="00F31408" w:rsidRPr="00F31408" w:rsidRDefault="00F31408" w:rsidP="00F31408">
      <w:pPr>
        <w:spacing w:line="240" w:lineRule="auto"/>
        <w:rPr>
          <w:rFonts w:eastAsia="Times New Roman" w:cs="Arial"/>
          <w:color w:val="000000"/>
          <w:lang w:eastAsia="bg-BG"/>
        </w:rPr>
      </w:pPr>
    </w:p>
    <w:p w14:paraId="3655EEF7" w14:textId="352B92A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w:t>
      </w:r>
      <w:r w:rsidRPr="00F31408">
        <w:rPr>
          <w:rFonts w:eastAsia="Times New Roman" w:cs="Arial"/>
          <w:color w:val="000000"/>
          <w:lang w:val="en-US"/>
        </w:rPr>
        <w:t xml:space="preserve">(&gt;5xULN), </w:t>
      </w:r>
      <w:r w:rsidRPr="00F31408">
        <w:rPr>
          <w:rFonts w:eastAsia="Times New Roman" w:cs="Arial"/>
          <w:color w:val="000000"/>
          <w:lang w:eastAsia="bg-BG"/>
        </w:rPr>
        <w:t>лечението трябва да се преустанови (вж. точка 4.4).</w:t>
      </w:r>
    </w:p>
    <w:p w14:paraId="2B569F57" w14:textId="77777777" w:rsidR="00F31408" w:rsidRPr="00F31408" w:rsidRDefault="00F31408" w:rsidP="00F31408">
      <w:pPr>
        <w:spacing w:line="240" w:lineRule="auto"/>
        <w:rPr>
          <w:rFonts w:eastAsia="Times New Roman" w:cs="Arial"/>
          <w:i/>
          <w:iCs/>
          <w:color w:val="000000"/>
          <w:lang w:eastAsia="bg-BG"/>
        </w:rPr>
      </w:pPr>
    </w:p>
    <w:p w14:paraId="19BD3F1E" w14:textId="6E0AB1DF"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черния дроб:</w:t>
      </w:r>
      <w:r w:rsidRPr="00F31408">
        <w:rPr>
          <w:rFonts w:eastAsia="Times New Roman" w:cs="Arial"/>
          <w:color w:val="000000"/>
          <w:lang w:eastAsia="bg-BG"/>
        </w:rPr>
        <w:t xml:space="preserve"> 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дозо- свързано повишаване на нивата на трансаминазите се наблюдава при малък брой пациенти, приемащи розувастатин; по-голяма част от случаите са леки, асимптоматични и преходни.</w:t>
      </w:r>
    </w:p>
    <w:p w14:paraId="1B53D64D" w14:textId="77777777" w:rsidR="00F31408" w:rsidRPr="00F31408" w:rsidRDefault="00F31408" w:rsidP="00F31408">
      <w:pPr>
        <w:spacing w:line="240" w:lineRule="auto"/>
        <w:rPr>
          <w:rFonts w:eastAsia="Times New Roman" w:cs="Arial"/>
          <w:color w:val="000000"/>
          <w:lang w:eastAsia="bg-BG"/>
        </w:rPr>
      </w:pPr>
    </w:p>
    <w:p w14:paraId="0C2B1D05" w14:textId="7F6D333E"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Следните нежелани събития са докладвани при някои статини:</w:t>
      </w:r>
    </w:p>
    <w:p w14:paraId="32BB3FC5" w14:textId="77777777" w:rsidR="00F31408" w:rsidRPr="00F31408" w:rsidRDefault="00F31408" w:rsidP="00697238">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 xml:space="preserve">Сексуална дисфункция. </w:t>
      </w:r>
    </w:p>
    <w:p w14:paraId="420A0D47" w14:textId="7206A5B7" w:rsidR="00F31408" w:rsidRPr="00F31408" w:rsidRDefault="00F31408" w:rsidP="00697238">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0410652E" w14:textId="483D1A94" w:rsidR="00F31408" w:rsidRPr="00F31408" w:rsidRDefault="00F31408" w:rsidP="00F31408">
      <w:pPr>
        <w:spacing w:line="240" w:lineRule="auto"/>
        <w:rPr>
          <w:rFonts w:eastAsia="Times New Roman" w:cs="Arial"/>
          <w:lang w:eastAsia="bg-BG"/>
        </w:rPr>
      </w:pPr>
    </w:p>
    <w:p w14:paraId="5372364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F31408">
        <w:rPr>
          <w:rFonts w:eastAsia="Times New Roman" w:cs="Arial"/>
          <w:color w:val="000000"/>
          <w:lang w:val="en-US"/>
        </w:rPr>
        <w:t>mg.</w:t>
      </w:r>
    </w:p>
    <w:p w14:paraId="1AEE61E5" w14:textId="77777777" w:rsidR="00F31408" w:rsidRPr="00F31408" w:rsidRDefault="00F31408" w:rsidP="00F31408">
      <w:pPr>
        <w:spacing w:line="240" w:lineRule="auto"/>
        <w:rPr>
          <w:rFonts w:eastAsia="Times New Roman" w:cs="Arial"/>
          <w:color w:val="000000"/>
          <w:u w:val="single"/>
          <w:lang w:eastAsia="bg-BG"/>
        </w:rPr>
      </w:pPr>
    </w:p>
    <w:p w14:paraId="5F9A429F" w14:textId="51573DE5"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Педиатрична популация</w:t>
      </w:r>
    </w:p>
    <w:p w14:paraId="3BFACA5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Повишения на креатинкиназата &gt; 10</w:t>
      </w:r>
      <w:r w:rsidRPr="00F31408">
        <w:rPr>
          <w:rFonts w:eastAsia="Times New Roman" w:cs="Arial"/>
          <w:color w:val="000000"/>
          <w:lang w:val="en-US"/>
        </w:rPr>
        <w:t xml:space="preserve">xULN </w:t>
      </w:r>
      <w:r w:rsidRPr="00F31408">
        <w:rPr>
          <w:rFonts w:eastAsia="Times New Roman" w:cs="Arial"/>
          <w:color w:val="000000"/>
          <w:lang w:eastAsia="bg-BG"/>
        </w:rPr>
        <w:t>и мускулни симптоми след упражнения или повишена физическа активност се наблюдават по-често в 52-седмично клинично проучване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79D8F4ED" w14:textId="77777777" w:rsidR="00F31408" w:rsidRPr="00F31408" w:rsidRDefault="00F31408" w:rsidP="00F31408">
      <w:pPr>
        <w:spacing w:line="240" w:lineRule="auto"/>
        <w:rPr>
          <w:rFonts w:eastAsia="Times New Roman" w:cs="Arial"/>
          <w:b/>
          <w:bCs/>
          <w:color w:val="000000"/>
          <w:u w:val="single"/>
          <w:lang w:eastAsia="bg-BG"/>
        </w:rPr>
      </w:pPr>
    </w:p>
    <w:p w14:paraId="1F32549D" w14:textId="462E50A7"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индапамид</w:t>
      </w:r>
    </w:p>
    <w:p w14:paraId="0FF1C492" w14:textId="77777777" w:rsidR="00F31408" w:rsidRPr="00F31408" w:rsidRDefault="00F31408" w:rsidP="00F31408">
      <w:pPr>
        <w:spacing w:line="240" w:lineRule="auto"/>
        <w:rPr>
          <w:rFonts w:eastAsia="Times New Roman" w:cs="Arial"/>
          <w:i/>
          <w:iCs/>
          <w:color w:val="000000"/>
          <w:lang w:eastAsia="bg-BG"/>
        </w:rPr>
      </w:pPr>
    </w:p>
    <w:p w14:paraId="68E4C40E" w14:textId="13391545"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Описание на избраните нежелани реакции</w:t>
      </w:r>
    </w:p>
    <w:p w14:paraId="59CD037E" w14:textId="77777777" w:rsidR="00F31408" w:rsidRPr="00F31408" w:rsidRDefault="00F31408" w:rsidP="00F31408">
      <w:pPr>
        <w:spacing w:line="240" w:lineRule="auto"/>
        <w:rPr>
          <w:rFonts w:eastAsia="Times New Roman" w:cs="Arial"/>
          <w:color w:val="000000"/>
          <w:lang w:eastAsia="bg-BG"/>
        </w:rPr>
      </w:pPr>
    </w:p>
    <w:p w14:paraId="2B422FB1" w14:textId="490ED9F9"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По време на проучванията фаза II и III, сравняващи 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с 2,5 </w:t>
      </w:r>
      <w:r w:rsidRPr="00F31408">
        <w:rPr>
          <w:rFonts w:eastAsia="Times New Roman" w:cs="Arial"/>
          <w:color w:val="000000"/>
          <w:lang w:val="en-US"/>
        </w:rPr>
        <w:t xml:space="preserve">mg, </w:t>
      </w:r>
      <w:r w:rsidRPr="00F31408">
        <w:rPr>
          <w:rFonts w:eastAsia="Times New Roman" w:cs="Arial"/>
          <w:color w:val="000000"/>
          <w:lang w:eastAsia="bg-BG"/>
        </w:rPr>
        <w:t>анализите на плазмения калий са показали дозозависим ефект от индапамид:</w:t>
      </w:r>
    </w:p>
    <w:p w14:paraId="7D797785" w14:textId="77777777" w:rsidR="00F31408" w:rsidRPr="00F31408" w:rsidRDefault="00F31408" w:rsidP="00697238">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10%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4% от пациентите след 4 до 6 седмици лечение. След 12 седмично лечение, средното понижение на плазмения калий е било 0,23 </w:t>
      </w:r>
      <w:r w:rsidRPr="00F31408">
        <w:rPr>
          <w:rFonts w:eastAsia="Times New Roman" w:cs="Arial"/>
          <w:color w:val="000000"/>
          <w:lang w:val="en-US"/>
        </w:rPr>
        <w:t>mmol/l.</w:t>
      </w:r>
    </w:p>
    <w:p w14:paraId="35837B2A" w14:textId="57B608B9" w:rsidR="00F31408" w:rsidRPr="00F31408" w:rsidRDefault="00F31408" w:rsidP="00697238">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2,5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25%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10% от пациентите след 4 до 6 седмици лечение. След 12 седмично лечение, средното понижение на плазмения калий е било 0,41 </w:t>
      </w:r>
      <w:r w:rsidRPr="00F31408">
        <w:rPr>
          <w:rFonts w:eastAsia="Times New Roman" w:cs="Arial"/>
          <w:color w:val="000000"/>
          <w:lang w:val="en-US"/>
        </w:rPr>
        <w:t>mmol/l.</w:t>
      </w:r>
    </w:p>
    <w:p w14:paraId="55149482" w14:textId="77777777" w:rsidR="00F31408" w:rsidRPr="00F31408" w:rsidRDefault="00F31408" w:rsidP="00F31408">
      <w:pPr>
        <w:spacing w:line="240" w:lineRule="auto"/>
        <w:rPr>
          <w:rFonts w:eastAsia="Times New Roman" w:cs="Arial"/>
          <w:color w:val="000000"/>
          <w:u w:val="single"/>
          <w:lang w:eastAsia="bg-BG"/>
        </w:rPr>
      </w:pPr>
    </w:p>
    <w:p w14:paraId="1018CDF5" w14:textId="37EB331C"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Съобщаване на подозирани нежелани реакции</w:t>
      </w:r>
    </w:p>
    <w:p w14:paraId="22A1DF5C"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F31408">
        <w:rPr>
          <w:rFonts w:eastAsia="Times New Roman" w:cs="Arial"/>
          <w:color w:val="000000"/>
          <w:lang w:eastAsia="bg-BG"/>
        </w:rPr>
        <w:lastRenderedPageBreak/>
        <w:t>изисква да съобщават всяка подозирана нежелана реакция чрез: Изпълнителна агенция по лекарствата ул. „Дамян Груев” № 8</w:t>
      </w:r>
    </w:p>
    <w:p w14:paraId="37029E78"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1303 София</w:t>
      </w:r>
    </w:p>
    <w:p w14:paraId="7A863775"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Тел.;+359 2 8903417</w:t>
      </w:r>
    </w:p>
    <w:p w14:paraId="6B317A6D" w14:textId="0A0A89DB"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уебсайт: </w:t>
      </w:r>
      <w:hyperlink r:id="rId5" w:history="1">
        <w:r w:rsidRPr="00F31408">
          <w:rPr>
            <w:rFonts w:eastAsia="Times New Roman" w:cs="Arial"/>
            <w:color w:val="000000"/>
            <w:lang w:val="en-US"/>
          </w:rPr>
          <w:t>www.bda.bg</w:t>
        </w:r>
      </w:hyperlink>
    </w:p>
    <w:p w14:paraId="74BC2C91" w14:textId="1475D6A1" w:rsidR="00F31408" w:rsidRPr="0091385D" w:rsidRDefault="00F31408"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1778FA9A" w14:textId="77777777"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Симптоми</w:t>
      </w:r>
    </w:p>
    <w:p w14:paraId="1732B02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Най-вероятната нежелана реакция при предозиране е хипотония, понякога свързана с гадене, повръщане, мускулни крампи, замайване, сънливост, състояние на объркано съзнание, олигурия, която може да прогресира до анурия (поради хиповолемия). Може да възникнат нарушения на солите и водата (ниски нива на натрий, ниски нива на калий).</w:t>
      </w:r>
    </w:p>
    <w:p w14:paraId="00CEFECF" w14:textId="77777777" w:rsidR="00F31408" w:rsidRPr="00EA3EED" w:rsidRDefault="00F31408" w:rsidP="00F31408">
      <w:pPr>
        <w:spacing w:line="240" w:lineRule="auto"/>
        <w:rPr>
          <w:rFonts w:eastAsia="Times New Roman" w:cs="Arial"/>
          <w:color w:val="000000"/>
          <w:szCs w:val="20"/>
          <w:u w:val="single"/>
          <w:lang w:eastAsia="bg-BG"/>
        </w:rPr>
      </w:pPr>
    </w:p>
    <w:p w14:paraId="0E9B8EB9" w14:textId="64508A1A"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Лечение</w:t>
      </w:r>
    </w:p>
    <w:p w14:paraId="00BF138C"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Няма специфично лечение при предозиране. В случай на предозиране, пациентът трябва да се лекува симптоматично и да се предприемат необходимите поддържащи мерки. Първите мерки, които трябва да се назначат, включват бързо елиминиране на погълнатия(те) продукт(и) чрез стомашна промивка и/или приложение на активен въглен, последвано от възстановяване на баланса на течностите и електролитите в специализиран център, до нормализирането им. Ако се развие значителна хипотония, пациентът трябва да се постави в легнало положение с ниско поставена глава. Ако е необходимо, може да се приложи интравенозно инфузия на изотоничен физиологичен разтвор или може да се използва друг метод за увеличаване на обема. Трябва да се проследяват функцията на черния дроб и нивата на СК.</w:t>
      </w:r>
    </w:p>
    <w:p w14:paraId="3D5D8826" w14:textId="77777777" w:rsidR="00F31408" w:rsidRPr="00F31408" w:rsidRDefault="00F31408" w:rsidP="00F31408">
      <w:pPr>
        <w:spacing w:line="240" w:lineRule="auto"/>
        <w:rPr>
          <w:rFonts w:eastAsia="Times New Roman" w:cs="Arial"/>
          <w:sz w:val="28"/>
          <w:szCs w:val="24"/>
          <w:lang w:eastAsia="bg-BG"/>
        </w:rPr>
      </w:pPr>
    </w:p>
    <w:p w14:paraId="0F0079CB" w14:textId="20120C3D" w:rsidR="0091385D" w:rsidRPr="00EA3EED" w:rsidRDefault="00F31408" w:rsidP="00F31408">
      <w:pPr>
        <w:rPr>
          <w:rFonts w:eastAsia="Times New Roman" w:cs="Arial"/>
          <w:color w:val="000000"/>
          <w:szCs w:val="20"/>
          <w:lang w:eastAsia="bg-BG"/>
        </w:rPr>
      </w:pPr>
      <w:r w:rsidRPr="00EA3EED">
        <w:rPr>
          <w:rFonts w:eastAsia="Times New Roman" w:cs="Arial"/>
          <w:color w:val="000000"/>
          <w:szCs w:val="20"/>
          <w:lang w:eastAsia="bg-BG"/>
        </w:rPr>
        <w:t>Периндоприлат, активната форма на периндоприл, може да се диализира (вж. точка 5.2)</w:t>
      </w:r>
      <w:r w:rsidRPr="00EA3EED">
        <w:rPr>
          <w:rFonts w:eastAsia="Times New Roman" w:cs="Arial"/>
          <w:color w:val="000000"/>
          <w:szCs w:val="20"/>
          <w:lang w:val="en-US"/>
        </w:rPr>
        <w:t xml:space="preserve"> </w:t>
      </w:r>
      <w:r w:rsidRPr="00EA3EED">
        <w:rPr>
          <w:rFonts w:eastAsia="Times New Roman" w:cs="Arial"/>
          <w:color w:val="000000"/>
          <w:szCs w:val="20"/>
          <w:lang w:eastAsia="bg-BG"/>
        </w:rPr>
        <w:t>По отношение на розувастатин, хемодиализата е малко вероятно да бъде от полза.</w:t>
      </w:r>
    </w:p>
    <w:p w14:paraId="48FF1584" w14:textId="6D54614C"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1E4D1C5"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Фармакотерапевтична група: Липидопонижаващи средства, липидопонижаващи средства, други комбинации, АТС код: С10ВХ13.</w:t>
      </w:r>
    </w:p>
    <w:p w14:paraId="65647E22" w14:textId="77777777" w:rsidR="00F31408" w:rsidRPr="00EA3EED" w:rsidRDefault="00F31408" w:rsidP="00F31408">
      <w:pPr>
        <w:spacing w:line="240" w:lineRule="auto"/>
        <w:rPr>
          <w:rFonts w:eastAsia="Times New Roman" w:cs="Arial"/>
          <w:color w:val="000000"/>
          <w:szCs w:val="20"/>
          <w:lang w:eastAsia="bg-BG"/>
        </w:rPr>
      </w:pPr>
    </w:p>
    <w:p w14:paraId="025058C6" w14:textId="14E662AF"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 xml:space="preserve">Роксипер е комбинация от сол на терт-бутиламиновия периндоприл - инхибитор на ангиотензин-конвертиращия ензим, индапамид - хлорсулфамоилов диуретик и розувастатин - селективен и конкурентен инхибитор на </w:t>
      </w:r>
      <w:r w:rsidRPr="00F31408">
        <w:rPr>
          <w:rFonts w:eastAsia="Times New Roman" w:cs="Arial"/>
          <w:color w:val="000000"/>
          <w:szCs w:val="20"/>
          <w:lang w:val="en-US"/>
        </w:rPr>
        <w:t xml:space="preserve">HMG-CoA </w:t>
      </w:r>
      <w:r w:rsidRPr="00F31408">
        <w:rPr>
          <w:rFonts w:eastAsia="Times New Roman" w:cs="Arial"/>
          <w:color w:val="000000"/>
          <w:szCs w:val="20"/>
          <w:lang w:eastAsia="bg-BG"/>
        </w:rPr>
        <w:t>редуктазата. Фармакологичните му свойства произтичат от тези на всеки от компонентите поотделно, в допълнение към тези, дължащи се на адитивното синергично действие на периндоприл и индапамид при комбинирането им.</w:t>
      </w:r>
    </w:p>
    <w:p w14:paraId="02A5276E" w14:textId="77777777" w:rsidR="00F31408" w:rsidRPr="00EA3EED" w:rsidRDefault="00F31408" w:rsidP="00F31408">
      <w:pPr>
        <w:spacing w:line="240" w:lineRule="auto"/>
        <w:rPr>
          <w:rFonts w:eastAsia="Times New Roman" w:cs="Arial"/>
          <w:i/>
          <w:iCs/>
          <w:color w:val="000000"/>
          <w:szCs w:val="20"/>
          <w:u w:val="single"/>
          <w:lang w:eastAsia="bg-BG"/>
        </w:rPr>
      </w:pPr>
    </w:p>
    <w:p w14:paraId="5F6A4E1D" w14:textId="0773DAFF" w:rsidR="00F31408" w:rsidRPr="00F31408" w:rsidRDefault="00F31408" w:rsidP="00F31408">
      <w:pPr>
        <w:spacing w:line="240" w:lineRule="auto"/>
        <w:rPr>
          <w:rFonts w:eastAsia="Times New Roman" w:cs="Arial"/>
          <w:sz w:val="28"/>
          <w:szCs w:val="24"/>
          <w:lang w:eastAsia="bg-BG"/>
        </w:rPr>
      </w:pPr>
      <w:r w:rsidRPr="00F31408">
        <w:rPr>
          <w:rFonts w:eastAsia="Times New Roman" w:cs="Arial"/>
          <w:i/>
          <w:iCs/>
          <w:color w:val="000000"/>
          <w:szCs w:val="20"/>
          <w:u w:val="single"/>
          <w:lang w:eastAsia="bg-BG"/>
        </w:rPr>
        <w:t>Механизъм на действие</w:t>
      </w:r>
    </w:p>
    <w:p w14:paraId="0972780A" w14:textId="77777777" w:rsidR="00F31408" w:rsidRPr="00EA3EED" w:rsidRDefault="00F31408" w:rsidP="00F31408">
      <w:pPr>
        <w:spacing w:line="240" w:lineRule="auto"/>
        <w:rPr>
          <w:rFonts w:eastAsia="Times New Roman" w:cs="Arial"/>
          <w:color w:val="000000"/>
          <w:szCs w:val="20"/>
          <w:u w:val="single"/>
          <w:lang w:eastAsia="bg-BG"/>
        </w:rPr>
      </w:pPr>
    </w:p>
    <w:p w14:paraId="0C43927F" w14:textId="385AAB82"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периндоприл</w:t>
      </w:r>
    </w:p>
    <w:p w14:paraId="1757C218"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lastRenderedPageBreak/>
        <w:t>Периндоприл е инхибитор на ангиотензин-конвертиращ ензим (АСЕ-инхибитор), който превръща ангиотензин I в ангиотензин II, съдосвиващо вещество; в допълнение, ензимът стимулира секрецията на алдостерон от кората на надбъбречните жлези и стимулира разграждането на брадикинина, съдоразширяващо вещество, до неактивни хептапептиди.</w:t>
      </w:r>
    </w:p>
    <w:p w14:paraId="324FBEE2" w14:textId="77777777" w:rsidR="00F31408" w:rsidRPr="00EA3EED" w:rsidRDefault="00F31408" w:rsidP="00F31408">
      <w:pPr>
        <w:spacing w:line="240" w:lineRule="auto"/>
        <w:rPr>
          <w:rFonts w:eastAsia="Times New Roman" w:cs="Arial"/>
          <w:color w:val="000000"/>
          <w:szCs w:val="20"/>
          <w:lang w:eastAsia="bg-BG"/>
        </w:rPr>
      </w:pPr>
    </w:p>
    <w:p w14:paraId="1CBDCFCA" w14:textId="6DCED1B3"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Това води до:</w:t>
      </w:r>
    </w:p>
    <w:p w14:paraId="6813BD6E" w14:textId="77777777" w:rsidR="00EA3EED" w:rsidRPr="00EA3EED" w:rsidRDefault="00F31408" w:rsidP="006972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алдостероновата секреция;</w:t>
      </w:r>
    </w:p>
    <w:p w14:paraId="5CC662E2" w14:textId="77777777" w:rsidR="00EA3EED" w:rsidRPr="00EA3EED" w:rsidRDefault="00F31408" w:rsidP="006972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увеличаване на плазмената ренинова активност, тъй като алдостерон не може вече да осъществява отрицателна обратна връзка;</w:t>
      </w:r>
    </w:p>
    <w:p w14:paraId="02174489" w14:textId="7785A2E0" w:rsidR="00F31408" w:rsidRPr="00EA3EED" w:rsidRDefault="00F31408" w:rsidP="006972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общото периферно съдово съпротивление чрез действие предимно върху съдовото русло в мускулите и бъбреците, без придружаващо задържане на соли и вода или рефлекторна тахикардия при хронично лечение.</w:t>
      </w:r>
    </w:p>
    <w:p w14:paraId="51ACEAC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Антихипертензивното действие на периндоприл се проявява и при пациенти с ниска или нормална ренинова концентрация.</w:t>
      </w:r>
    </w:p>
    <w:p w14:paraId="71B69D5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оказва своето действие чрез активния си метаболит периндоприлат. Останалите метаболити не са активни.</w:t>
      </w:r>
    </w:p>
    <w:p w14:paraId="3EAB48FF" w14:textId="77777777" w:rsidR="00F31408" w:rsidRPr="00EA3EED" w:rsidRDefault="00F31408" w:rsidP="00F31408">
      <w:pPr>
        <w:spacing w:line="240" w:lineRule="auto"/>
        <w:rPr>
          <w:rFonts w:eastAsia="Times New Roman" w:cs="Arial"/>
          <w:color w:val="000000"/>
          <w:szCs w:val="20"/>
          <w:lang w:eastAsia="bg-BG"/>
        </w:rPr>
      </w:pPr>
    </w:p>
    <w:p w14:paraId="05BE2DE8" w14:textId="703BBC14"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намалява работата на сърцето:</w:t>
      </w:r>
    </w:p>
    <w:p w14:paraId="7F5931F4" w14:textId="77777777" w:rsidR="00F31408" w:rsidRPr="00EA3EED" w:rsidRDefault="00F31408" w:rsidP="00697238">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съдоразширяващ ефект върху вените, вероятно предизвикан от промени в метаболизма на простаглан дините: понижаване на пред натоварването;</w:t>
      </w:r>
    </w:p>
    <w:p w14:paraId="02E47C6E" w14:textId="7123A40B" w:rsidR="00F31408" w:rsidRPr="00EA3EED" w:rsidRDefault="00F31408" w:rsidP="00697238">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намаляване на общото периферно съпротивление: понижаване на сл еднатоварването.</w:t>
      </w:r>
    </w:p>
    <w:p w14:paraId="621F9248" w14:textId="77777777" w:rsidR="00F31408" w:rsidRPr="00EA3EED" w:rsidRDefault="00F31408" w:rsidP="00F31408">
      <w:pPr>
        <w:spacing w:line="240" w:lineRule="auto"/>
        <w:rPr>
          <w:rFonts w:eastAsia="Times New Roman" w:cs="Arial"/>
          <w:color w:val="000000"/>
          <w:szCs w:val="20"/>
          <w:lang w:eastAsia="bg-BG"/>
        </w:rPr>
      </w:pPr>
    </w:p>
    <w:p w14:paraId="053815D2" w14:textId="77777777" w:rsidR="00EA3EED" w:rsidRPr="00EA3EED" w:rsidRDefault="00F31408" w:rsidP="00F31408">
      <w:pPr>
        <w:spacing w:line="240" w:lineRule="auto"/>
        <w:rPr>
          <w:rFonts w:eastAsia="Times New Roman" w:cs="Arial"/>
          <w:color w:val="000000"/>
          <w:szCs w:val="20"/>
          <w:lang w:eastAsia="bg-BG"/>
        </w:rPr>
      </w:pPr>
      <w:r w:rsidRPr="00F31408">
        <w:rPr>
          <w:rFonts w:eastAsia="Times New Roman" w:cs="Arial"/>
          <w:color w:val="000000"/>
          <w:szCs w:val="20"/>
          <w:lang w:eastAsia="bg-BG"/>
        </w:rPr>
        <w:t>Проучвания, проведени при пациенти със сърд</w:t>
      </w:r>
      <w:r w:rsidR="00EA3EED" w:rsidRPr="00EA3EED">
        <w:rPr>
          <w:rFonts w:eastAsia="Times New Roman" w:cs="Arial"/>
          <w:color w:val="000000"/>
          <w:szCs w:val="20"/>
          <w:lang w:eastAsia="bg-BG"/>
        </w:rPr>
        <w:t xml:space="preserve">ечна недостатъчност, показват: </w:t>
      </w:r>
    </w:p>
    <w:p w14:paraId="5055FD55" w14:textId="77777777" w:rsidR="00EA3EED" w:rsidRPr="00EA3EED" w:rsidRDefault="00F31408" w:rsidP="006972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наляганията на пълнене на лявата и дясната камера;</w:t>
      </w:r>
    </w:p>
    <w:p w14:paraId="37443240" w14:textId="15CA5C11" w:rsidR="00EA3EED" w:rsidRPr="00EA3EED" w:rsidRDefault="00F31408" w:rsidP="006972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общото периферно съдово съпротивление;</w:t>
      </w:r>
    </w:p>
    <w:p w14:paraId="583CBE52" w14:textId="77777777" w:rsidR="00EA3EED" w:rsidRPr="00EA3EED" w:rsidRDefault="00F31408" w:rsidP="006972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 xml:space="preserve">повишаване на сърдечния дебит и подобряване на сърдечния индекс; </w:t>
      </w:r>
    </w:p>
    <w:p w14:paraId="41DF9228" w14:textId="0F3AA79C" w:rsidR="00F31408" w:rsidRPr="00EA3EED" w:rsidRDefault="00F31408" w:rsidP="006972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повишаване на регионалния мускулен кръвоток.</w:t>
      </w:r>
    </w:p>
    <w:p w14:paraId="38F6DE4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Изследванията с упражнения също показват подобрени резултати.</w:t>
      </w:r>
    </w:p>
    <w:p w14:paraId="599CDCA6" w14:textId="77777777" w:rsidR="00F31408" w:rsidRPr="00EA3EED" w:rsidRDefault="00F31408" w:rsidP="00F31408">
      <w:pPr>
        <w:spacing w:line="240" w:lineRule="auto"/>
        <w:rPr>
          <w:rFonts w:eastAsia="Times New Roman" w:cs="Arial"/>
          <w:color w:val="000000"/>
          <w:szCs w:val="20"/>
          <w:u w:val="single"/>
          <w:lang w:eastAsia="bg-BG"/>
        </w:rPr>
      </w:pPr>
    </w:p>
    <w:p w14:paraId="71B90F4B" w14:textId="7C54BB28"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индапамид</w:t>
      </w:r>
    </w:p>
    <w:p w14:paraId="638CAC7A"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Индапамид е сулфонамидно производно с индолов пръстен, фармакологично сродно на тиазидните диуретици. Индапамид инхибира реабсорбцията на натрий в кортикалния, дилуционен сегмент. Това повишава екскрецията на натрий и хлориди с урината и в по-малка степен, екскрецията на калий и магнезий, с което повишава диурезата и оказва антихипертензивно действие.</w:t>
      </w:r>
    </w:p>
    <w:p w14:paraId="6DE16E63" w14:textId="77777777" w:rsidR="00F31408" w:rsidRPr="00EA3EED" w:rsidRDefault="00F31408" w:rsidP="00F31408">
      <w:pPr>
        <w:rPr>
          <w:rFonts w:eastAsia="Times New Roman" w:cs="Arial"/>
          <w:color w:val="000000"/>
          <w:szCs w:val="20"/>
          <w:u w:val="single"/>
          <w:lang w:eastAsia="bg-BG"/>
        </w:rPr>
      </w:pPr>
    </w:p>
    <w:p w14:paraId="28252AA0" w14:textId="5B47D5C9" w:rsidR="0091385D" w:rsidRPr="00EA3EED" w:rsidRDefault="00F31408" w:rsidP="00F31408">
      <w:pPr>
        <w:rPr>
          <w:rFonts w:cs="Arial"/>
          <w:sz w:val="24"/>
        </w:rPr>
      </w:pPr>
      <w:r w:rsidRPr="00EA3EED">
        <w:rPr>
          <w:rFonts w:eastAsia="Times New Roman" w:cs="Arial"/>
          <w:color w:val="000000"/>
          <w:szCs w:val="20"/>
          <w:u w:val="single"/>
          <w:lang w:eastAsia="bg-BG"/>
        </w:rPr>
        <w:t>Свързан с розувастатин</w:t>
      </w:r>
    </w:p>
    <w:p w14:paraId="0CF241CA" w14:textId="773BAA3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е селективен и конкурентен инхибитор на </w:t>
      </w:r>
      <w:r w:rsidRPr="00634504">
        <w:rPr>
          <w:rFonts w:eastAsia="Times New Roman" w:cs="Arial"/>
          <w:color w:val="000000"/>
          <w:szCs w:val="20"/>
          <w:lang w:val="en-US"/>
        </w:rPr>
        <w:t xml:space="preserve">HMG-CoA </w:t>
      </w:r>
      <w:r w:rsidRPr="00634504">
        <w:rPr>
          <w:rFonts w:eastAsia="Times New Roman" w:cs="Arial"/>
          <w:color w:val="000000"/>
          <w:szCs w:val="20"/>
          <w:lang w:eastAsia="bg-BG"/>
        </w:rPr>
        <w:t>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D2EF85" w14:textId="77777777" w:rsidR="00634504" w:rsidRPr="00634504" w:rsidRDefault="00634504" w:rsidP="00634504">
      <w:pPr>
        <w:spacing w:line="240" w:lineRule="auto"/>
        <w:rPr>
          <w:rFonts w:eastAsia="Times New Roman" w:cs="Arial"/>
          <w:color w:val="000000"/>
          <w:szCs w:val="20"/>
          <w:lang w:eastAsia="bg-BG"/>
        </w:rPr>
      </w:pPr>
    </w:p>
    <w:p w14:paraId="44D28C58" w14:textId="3401B6E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увеличава броя на чернодробните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рецептори върху клетъчната повърхност, като засилва поемането и катаболизма на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и инхибира чернодробната синтеза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като по този начин намалява общия брой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и </w:t>
      </w:r>
      <w:r w:rsidRPr="00634504">
        <w:rPr>
          <w:rFonts w:eastAsia="Times New Roman" w:cs="Arial"/>
          <w:color w:val="000000"/>
          <w:szCs w:val="20"/>
          <w:lang w:val="en-US"/>
        </w:rPr>
        <w:t xml:space="preserve">LDL </w:t>
      </w:r>
      <w:r w:rsidRPr="00634504">
        <w:rPr>
          <w:rFonts w:eastAsia="Times New Roman" w:cs="Arial"/>
          <w:color w:val="000000"/>
          <w:szCs w:val="20"/>
          <w:lang w:eastAsia="bg-BG"/>
        </w:rPr>
        <w:t>частици.</w:t>
      </w:r>
    </w:p>
    <w:p w14:paraId="448874C1" w14:textId="77777777" w:rsidR="00634504" w:rsidRPr="00634504" w:rsidRDefault="00634504" w:rsidP="00634504">
      <w:pPr>
        <w:spacing w:line="240" w:lineRule="auto"/>
        <w:rPr>
          <w:rFonts w:eastAsia="Times New Roman" w:cs="Arial"/>
          <w:i/>
          <w:iCs/>
          <w:color w:val="000000"/>
          <w:szCs w:val="20"/>
          <w:u w:val="single"/>
          <w:lang w:eastAsia="bg-BG"/>
        </w:rPr>
      </w:pPr>
    </w:p>
    <w:p w14:paraId="5C5EDB04" w14:textId="0B408058" w:rsidR="00634504" w:rsidRPr="00634504" w:rsidRDefault="00634504" w:rsidP="00634504">
      <w:pPr>
        <w:spacing w:line="240" w:lineRule="auto"/>
        <w:rPr>
          <w:rFonts w:eastAsia="Times New Roman" w:cs="Arial"/>
          <w:sz w:val="28"/>
          <w:szCs w:val="24"/>
          <w:lang w:eastAsia="bg-BG"/>
        </w:rPr>
      </w:pPr>
      <w:r w:rsidRPr="00634504">
        <w:rPr>
          <w:rFonts w:eastAsia="Times New Roman" w:cs="Arial"/>
          <w:i/>
          <w:iCs/>
          <w:color w:val="000000"/>
          <w:szCs w:val="20"/>
          <w:u w:val="single"/>
          <w:lang w:eastAsia="bg-BG"/>
        </w:rPr>
        <w:t>Фармакодинамични ефекти</w:t>
      </w:r>
    </w:p>
    <w:p w14:paraId="025ED5E6" w14:textId="77777777" w:rsidR="00634504" w:rsidRPr="00634504" w:rsidRDefault="00634504" w:rsidP="00634504">
      <w:pPr>
        <w:spacing w:line="240" w:lineRule="auto"/>
        <w:rPr>
          <w:rFonts w:eastAsia="Times New Roman" w:cs="Arial"/>
          <w:color w:val="000000"/>
          <w:szCs w:val="20"/>
          <w:u w:val="single"/>
          <w:lang w:eastAsia="bg-BG"/>
        </w:rPr>
      </w:pPr>
    </w:p>
    <w:p w14:paraId="3E051A7F" w14:textId="45A9138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периндоприл/индапамид</w:t>
      </w:r>
    </w:p>
    <w:p w14:paraId="64D63F25"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хипертония, независимо от възрастта им, периндоприл/индапамид упражнява дозо-зависим антихипертензивен ефект върху диастолното и систолното артериално налягане в легнало или изправено положение на тялото. Този антихилергензивен ефект продължава 24 часа. Понижаването на кръвното налягане се постига за по-малко от един месец, без прояви на тахифилаксия; спирането на лечението не води до ребаунд ефект. По време на клинични изпитвания едновременното приложение на периндоприл и индапамид води до антихипертензивни ефекти със синергичен характер спрямо ефекта на всеки от тези лекарствени продукти, приложени поотделно.</w:t>
      </w:r>
    </w:p>
    <w:p w14:paraId="3DCB91E7" w14:textId="77777777" w:rsidR="00634504" w:rsidRPr="00634504" w:rsidRDefault="00634504" w:rsidP="00634504">
      <w:pPr>
        <w:spacing w:line="240" w:lineRule="auto"/>
        <w:rPr>
          <w:rFonts w:eastAsia="Times New Roman" w:cs="Arial"/>
          <w:color w:val="000000"/>
          <w:szCs w:val="20"/>
          <w:lang w:val="en-US"/>
        </w:rPr>
      </w:pPr>
    </w:p>
    <w:p w14:paraId="0A415373" w14:textId="7F3AF0BB"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val="en-US"/>
        </w:rPr>
        <w:t xml:space="preserve">PICXEL </w:t>
      </w:r>
      <w:r w:rsidRPr="00634504">
        <w:rPr>
          <w:rFonts w:eastAsia="Times New Roman" w:cs="Arial"/>
          <w:color w:val="000000"/>
          <w:szCs w:val="20"/>
          <w:lang w:eastAsia="bg-BG"/>
        </w:rPr>
        <w:t>е мултицентрово, рандомизирано, двойносляпо активно контролирано ехокардиографско проучване, о</w:t>
      </w:r>
      <w:r w:rsidR="00B253CB">
        <w:rPr>
          <w:rFonts w:eastAsia="Times New Roman" w:cs="Arial"/>
          <w:color w:val="000000"/>
          <w:szCs w:val="20"/>
          <w:lang w:eastAsia="bg-BG"/>
        </w:rPr>
        <w:t xml:space="preserve">ценяващо ефекта от комбинацията </w:t>
      </w:r>
      <w:r w:rsidRPr="00634504">
        <w:rPr>
          <w:rFonts w:eastAsia="Times New Roman" w:cs="Arial"/>
          <w:color w:val="000000"/>
          <w:szCs w:val="20"/>
          <w:lang w:eastAsia="bg-BG"/>
        </w:rPr>
        <w:t>периндоприл/индапамид при левокамерна хипертрофия (ЛКХ) спрямо монотерапията с еналалрил.</w:t>
      </w:r>
    </w:p>
    <w:p w14:paraId="072B1090" w14:textId="7316FE7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В проучването </w:t>
      </w:r>
      <w:r w:rsidRPr="00634504">
        <w:rPr>
          <w:rFonts w:eastAsia="Times New Roman" w:cs="Arial"/>
          <w:color w:val="000000"/>
          <w:szCs w:val="20"/>
          <w:lang w:val="en-US"/>
        </w:rPr>
        <w:t xml:space="preserve">PICXEL, </w:t>
      </w:r>
      <w:r w:rsidRPr="00634504">
        <w:rPr>
          <w:rFonts w:eastAsia="Times New Roman" w:cs="Arial"/>
          <w:color w:val="000000"/>
          <w:szCs w:val="20"/>
          <w:lang w:eastAsia="bg-BG"/>
        </w:rPr>
        <w:t xml:space="preserve">хипертоници с ЛКХ (дефинирана като левокамерен мас-индекс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&gt;120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мъжете и &gt; 100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жените) са рандомизирани на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на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веднъж дневно за период на лечение от една година. Дозата е адаптирана, в зависимост от контрола на кръвното налягане, до периндоприл 8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 индапамид 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еналаприл 40 </w:t>
      </w:r>
      <w:r w:rsidRPr="00634504">
        <w:rPr>
          <w:rFonts w:eastAsia="Times New Roman" w:cs="Arial"/>
          <w:color w:val="000000"/>
          <w:szCs w:val="20"/>
          <w:lang w:val="en-US"/>
        </w:rPr>
        <w:t xml:space="preserve">mg </w:t>
      </w:r>
      <w:r w:rsidRPr="00634504">
        <w:rPr>
          <w:rFonts w:eastAsia="Times New Roman" w:cs="Arial"/>
          <w:color w:val="000000"/>
          <w:szCs w:val="20"/>
          <w:lang w:eastAsia="bg-BG"/>
        </w:rPr>
        <w:t>веднъж дневно. Само 34% от па</w:t>
      </w:r>
      <w:bookmarkStart w:id="2" w:name="_GoBack"/>
      <w:bookmarkEnd w:id="2"/>
      <w:r w:rsidRPr="00634504">
        <w:rPr>
          <w:rFonts w:eastAsia="Times New Roman" w:cs="Arial"/>
          <w:color w:val="000000"/>
          <w:szCs w:val="20"/>
          <w:lang w:eastAsia="bg-BG"/>
        </w:rPr>
        <w:t xml:space="preserve">циентите остават на лечение с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(спрямо 20% с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 края на лечението,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намалява значително повече в групата на лекуваните с периндоприл/индапамид (-10,1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отколкото в групата, лекувана с еналаприл (-1,1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цялата популация от рандомизирани пациенти. Промяната в междугруповата разлика на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е -8,3 (95% ДИ (-11,5; -5,0), р &lt; 0,0001).</w:t>
      </w:r>
    </w:p>
    <w:p w14:paraId="1A27171E" w14:textId="1BFA7995"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По-добър ефект върху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е постигнат с периндоприл 8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2,5 </w:t>
      </w:r>
      <w:r w:rsidRPr="00634504">
        <w:rPr>
          <w:rFonts w:eastAsia="Times New Roman" w:cs="Arial"/>
          <w:color w:val="000000"/>
          <w:szCs w:val="20"/>
          <w:lang w:val="en-US"/>
        </w:rPr>
        <w:t>mg.</w:t>
      </w:r>
    </w:p>
    <w:p w14:paraId="1A6125F9" w14:textId="77777777" w:rsidR="00634504" w:rsidRPr="00634504" w:rsidRDefault="00634504" w:rsidP="00634504">
      <w:pPr>
        <w:spacing w:line="240" w:lineRule="auto"/>
        <w:rPr>
          <w:rFonts w:eastAsia="Times New Roman" w:cs="Arial"/>
          <w:color w:val="000000"/>
          <w:szCs w:val="20"/>
          <w:lang w:eastAsia="bg-BG"/>
        </w:rPr>
      </w:pPr>
    </w:p>
    <w:p w14:paraId="68AE9337" w14:textId="3A6A483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 отношение на кръвното налягане, оценените средни междугрупови разлики в рандомизираната популация са -5,8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 xml:space="preserve">(95% ДИ (-7,9; -3,7), р &lt; 0,0001) съответно за систолното и -2,3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(95% ДИ (-3,6; -0,9), р = 0,0004) за диастолното кръвно налягане, в полза на групата на периндоприл/индапамид.</w:t>
      </w:r>
    </w:p>
    <w:p w14:paraId="64696591" w14:textId="77777777" w:rsidR="00634504" w:rsidRPr="00634504" w:rsidRDefault="00634504" w:rsidP="00634504">
      <w:pPr>
        <w:spacing w:line="240" w:lineRule="auto"/>
        <w:rPr>
          <w:rFonts w:eastAsia="Times New Roman" w:cs="Arial"/>
          <w:color w:val="000000"/>
          <w:szCs w:val="20"/>
          <w:u w:val="single"/>
          <w:lang w:eastAsia="bg-BG"/>
        </w:rPr>
      </w:pPr>
    </w:p>
    <w:p w14:paraId="0C52A377" w14:textId="7E42D16E"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w:t>
      </w:r>
    </w:p>
    <w:p w14:paraId="5955B0B8"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Периндоприл е активен при всички степени на хипертония: лека до умерена или тежка. Понижаване на систолното и диастолното артериално налягане се наблюдава както при легнало, така и при изправено положение на тялото. Антихипертензивното действие след прием на единична доза достига максимума си след 4 до 6 часа и продължава над 24 часа. Наблюдава се висока степен на остатъчно блокиране на ангиотензин-конвертиращия ензим 24 часа след приема, приблизително 80%.</w:t>
      </w:r>
    </w:p>
    <w:p w14:paraId="32B8F8DB" w14:textId="34F1299D"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терапевтичен отговор, нормализирането на кръвното налягане се постига след един месец и се задържа без поява на тахифилаксия.</w:t>
      </w:r>
    </w:p>
    <w:p w14:paraId="06802117" w14:textId="77777777" w:rsidR="00634504" w:rsidRPr="00634504" w:rsidRDefault="00634504" w:rsidP="00634504">
      <w:pPr>
        <w:spacing w:line="240" w:lineRule="auto"/>
        <w:rPr>
          <w:rFonts w:eastAsia="Times New Roman" w:cs="Arial"/>
          <w:color w:val="000000"/>
          <w:szCs w:val="20"/>
          <w:lang w:eastAsia="bg-BG"/>
        </w:rPr>
      </w:pPr>
    </w:p>
    <w:p w14:paraId="7D2FB994" w14:textId="1EC85561"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Прекратяването на лечението не води до ребаунд ефект върху хипертонията.</w:t>
      </w:r>
    </w:p>
    <w:p w14:paraId="11B66EE1" w14:textId="77777777" w:rsidR="00634504" w:rsidRPr="00634504" w:rsidRDefault="00634504" w:rsidP="00634504">
      <w:pPr>
        <w:rPr>
          <w:rFonts w:eastAsia="Times New Roman" w:cs="Arial"/>
          <w:color w:val="000000"/>
          <w:szCs w:val="20"/>
          <w:lang w:eastAsia="bg-BG"/>
        </w:rPr>
      </w:pPr>
    </w:p>
    <w:p w14:paraId="2ED2846E" w14:textId="77777777" w:rsidR="00B253CB" w:rsidRPr="00B253CB" w:rsidRDefault="00634504" w:rsidP="00B253CB">
      <w:pPr>
        <w:rPr>
          <w:rFonts w:eastAsia="Times New Roman" w:cs="Arial"/>
          <w:lang w:eastAsia="bg-BG"/>
        </w:rPr>
      </w:pPr>
      <w:r w:rsidRPr="00634504">
        <w:rPr>
          <w:rFonts w:eastAsia="Times New Roman" w:cs="Arial"/>
          <w:color w:val="000000"/>
          <w:szCs w:val="20"/>
          <w:lang w:eastAsia="bg-BG"/>
        </w:rPr>
        <w:t xml:space="preserve">Периндоприл има съдоразширяващи свойства и възстановява еластичността на големите артериални трункуси, коригира хистоморфометричните промени в резистивните артерии и  води до намаляване на левокамерната хипертрофия. Когато е необходимо, добавянето </w:t>
      </w:r>
      <w:r w:rsidRPr="00B253CB">
        <w:rPr>
          <w:rFonts w:eastAsia="Times New Roman" w:cs="Arial"/>
          <w:color w:val="000000"/>
          <w:lang w:eastAsia="bg-BG"/>
        </w:rPr>
        <w:t>на</w:t>
      </w:r>
      <w:r w:rsidR="00B253CB" w:rsidRPr="00B253CB">
        <w:rPr>
          <w:rFonts w:eastAsia="Times New Roman" w:cs="Arial"/>
          <w:color w:val="000000"/>
          <w:lang w:eastAsia="bg-BG"/>
        </w:rPr>
        <w:t xml:space="preserve"> тиазиден диуретик води до адитивен синергизъм.</w:t>
      </w:r>
    </w:p>
    <w:p w14:paraId="55334598" w14:textId="77777777" w:rsidR="00B253CB" w:rsidRPr="00B253CB" w:rsidRDefault="00B253CB" w:rsidP="00B253CB">
      <w:pPr>
        <w:spacing w:line="240" w:lineRule="auto"/>
        <w:rPr>
          <w:rFonts w:eastAsia="Times New Roman" w:cs="Arial"/>
          <w:color w:val="000000"/>
          <w:lang w:eastAsia="bg-BG"/>
        </w:rPr>
      </w:pPr>
    </w:p>
    <w:p w14:paraId="5D2F36B1" w14:textId="0884440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lastRenderedPageBreak/>
        <w:t>Комбинирането на инхибитор на ангиотензин-конвертиращия ензим с тиазиден диуретик намалява риска от хипокалиемия, свързан със самостоятелното приложение на диуретика.</w:t>
      </w:r>
    </w:p>
    <w:p w14:paraId="7A2745FB" w14:textId="77777777" w:rsidR="00B253CB" w:rsidRPr="00B253CB" w:rsidRDefault="00B253CB" w:rsidP="00B253CB">
      <w:pPr>
        <w:spacing w:line="240" w:lineRule="auto"/>
        <w:rPr>
          <w:rFonts w:eastAsia="Times New Roman" w:cs="Arial"/>
          <w:i/>
          <w:iCs/>
          <w:color w:val="000000"/>
          <w:u w:val="single"/>
          <w:lang w:eastAsia="bg-BG"/>
        </w:rPr>
      </w:pPr>
    </w:p>
    <w:p w14:paraId="7752101F" w14:textId="2B01ABC4" w:rsidR="00B253CB" w:rsidRPr="00B253CB" w:rsidRDefault="00B253CB" w:rsidP="00B253CB">
      <w:pPr>
        <w:spacing w:line="240" w:lineRule="auto"/>
        <w:rPr>
          <w:rFonts w:eastAsia="Times New Roman" w:cs="Arial"/>
          <w:lang w:eastAsia="bg-BG"/>
        </w:rPr>
      </w:pPr>
      <w:r w:rsidRPr="00B253CB">
        <w:rPr>
          <w:rFonts w:eastAsia="Times New Roman" w:cs="Arial"/>
          <w:i/>
          <w:iCs/>
          <w:color w:val="000000"/>
          <w:u w:val="single"/>
          <w:lang w:eastAsia="bg-BG"/>
        </w:rPr>
        <w:t xml:space="preserve">Двойна блокада на ренин-ангиотензин-алдостроновата система </w:t>
      </w:r>
      <w:r w:rsidRPr="00B253CB">
        <w:rPr>
          <w:rFonts w:eastAsia="Times New Roman" w:cs="Arial"/>
          <w:i/>
          <w:iCs/>
          <w:color w:val="000000"/>
          <w:u w:val="single"/>
          <w:lang w:val="en-US"/>
        </w:rPr>
        <w:t xml:space="preserve">(RAAS)- </w:t>
      </w:r>
      <w:r w:rsidRPr="00B253CB">
        <w:rPr>
          <w:rFonts w:eastAsia="Times New Roman" w:cs="Arial"/>
          <w:i/>
          <w:iCs/>
          <w:color w:val="000000"/>
          <w:u w:val="single"/>
          <w:lang w:eastAsia="bg-BG"/>
        </w:rPr>
        <w:t>данни от клинични проучвания</w:t>
      </w:r>
    </w:p>
    <w:p w14:paraId="67A1DB56" w14:textId="77777777" w:rsidR="00B253CB" w:rsidRPr="00B253CB" w:rsidRDefault="00B253CB" w:rsidP="00B253CB">
      <w:pPr>
        <w:spacing w:line="240" w:lineRule="auto"/>
        <w:rPr>
          <w:rFonts w:eastAsia="Times New Roman" w:cs="Arial"/>
          <w:color w:val="000000"/>
          <w:lang w:val="en-US"/>
        </w:rPr>
      </w:pPr>
      <w:r w:rsidRPr="00B253CB">
        <w:rPr>
          <w:rFonts w:eastAsia="Times New Roman" w:cs="Arial"/>
          <w:color w:val="000000"/>
          <w:lang w:eastAsia="bg-BG"/>
        </w:rPr>
        <w:t xml:space="preserve">Две големи рандомизирани, контролирани проучвания - </w:t>
      </w:r>
      <w:r w:rsidRPr="00B253CB">
        <w:rPr>
          <w:rFonts w:eastAsia="Times New Roman" w:cs="Arial"/>
          <w:color w:val="000000"/>
          <w:lang w:val="en-US"/>
        </w:rPr>
        <w:t xml:space="preserve">ONTARGET (ONgoing Telmisartan Alone and in combination with Ramipril Global Endpoint Trial - </w:t>
      </w:r>
      <w:r w:rsidRPr="00B253C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253CB">
        <w:rPr>
          <w:rFonts w:eastAsia="Times New Roman" w:cs="Arial"/>
          <w:color w:val="000000"/>
          <w:lang w:val="en-US"/>
        </w:rPr>
        <w:t>VA NEPHRON-D (The Veterans Affairs Nephropathy in Diabetes</w:t>
      </w:r>
    </w:p>
    <w:p w14:paraId="22415DB7" w14:textId="23BB686D" w:rsidR="00B253CB" w:rsidRPr="00B253CB" w:rsidRDefault="00B253CB" w:rsidP="00B253CB">
      <w:pPr>
        <w:spacing w:line="240" w:lineRule="auto"/>
        <w:rPr>
          <w:rFonts w:eastAsia="Times New Roman" w:cs="Arial"/>
          <w:lang w:eastAsia="bg-BG"/>
        </w:rPr>
      </w:pPr>
      <w:r w:rsidRPr="00B253CB">
        <w:rPr>
          <w:rFonts w:eastAsia="Times New Roman" w:cs="Arial"/>
          <w:color w:val="000000"/>
        </w:rPr>
        <w:t>-</w:t>
      </w:r>
      <w:r w:rsidRPr="00B253CB">
        <w:rPr>
          <w:rFonts w:eastAsia="Times New Roman" w:cs="Arial"/>
          <w:color w:val="000000"/>
          <w:lang w:val="en-US"/>
        </w:rPr>
        <w:t xml:space="preserve"> </w:t>
      </w:r>
      <w:r w:rsidRPr="00B253CB">
        <w:rPr>
          <w:rFonts w:eastAsia="Times New Roman" w:cs="Arial"/>
          <w:color w:val="000000"/>
          <w:lang w:eastAsia="bg-BG"/>
        </w:rPr>
        <w:t xml:space="preserve">клинично проучване, свързано </w:t>
      </w:r>
      <w:r w:rsidRPr="00B253CB">
        <w:rPr>
          <w:rFonts w:eastAsia="Times New Roman" w:cs="Arial"/>
          <w:color w:val="000000"/>
          <w:lang w:val="en-US"/>
        </w:rPr>
        <w:t xml:space="preserve">c </w:t>
      </w:r>
      <w:r w:rsidRPr="00B253CB">
        <w:rPr>
          <w:rFonts w:eastAsia="Times New Roman" w:cs="Arial"/>
          <w:color w:val="000000"/>
          <w:lang w:eastAsia="bg-BG"/>
        </w:rPr>
        <w:t xml:space="preserve">развитие на нефропатия при диабет, проведено от Министерство по въпросите на ветераните), проучват употребата на комбинацията от АСЕ-инхибитор с ангиотензин II-рецепторен блокер. </w:t>
      </w:r>
      <w:r w:rsidRPr="00B253CB">
        <w:rPr>
          <w:rFonts w:eastAsia="Times New Roman" w:cs="Arial"/>
          <w:color w:val="000000"/>
          <w:lang w:val="en-US"/>
        </w:rPr>
        <w:t xml:space="preserve">ONTARGET </w:t>
      </w:r>
      <w:r w:rsidRPr="00B253CB">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B253CB">
        <w:rPr>
          <w:rFonts w:eastAsia="Times New Roman" w:cs="Arial"/>
          <w:color w:val="000000"/>
          <w:lang w:val="en-US"/>
        </w:rPr>
        <w:t xml:space="preserve">VA NEPHRON-D </w:t>
      </w:r>
      <w:r w:rsidRPr="00B253CB">
        <w:rPr>
          <w:rFonts w:eastAsia="Times New Roman" w:cs="Arial"/>
          <w:color w:val="000000"/>
          <w:lang w:eastAsia="bg-BG"/>
        </w:rPr>
        <w:t>е проучване при пациенти със захарен диабет тип 2 и диабетна нефропатия.</w:t>
      </w:r>
    </w:p>
    <w:p w14:paraId="40B4F10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Тези проучвания не показват значим благоприятен ефект върху бъбречните и/или сърдечно</w:t>
      </w:r>
      <w:r w:rsidRPr="00B253CB">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II-рецепторни блокери.</w:t>
      </w:r>
    </w:p>
    <w:p w14:paraId="789042B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АСЕ-инхибиторите и ангиотензин II-рецепторните блокери следователно не трябва да се използват едновременно при пациенти с диабетна нефропатия.</w:t>
      </w:r>
    </w:p>
    <w:p w14:paraId="515C026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val="en-US"/>
        </w:rPr>
        <w:t xml:space="preserve">ALTITUDE (Aliskiren Trial in Type 2 Diabetes Using Cardiovascular and Renal Disease Endpoints - </w:t>
      </w:r>
      <w:r w:rsidRPr="00B253CB">
        <w:rPr>
          <w:rFonts w:eastAsia="Times New Roman" w:cs="Arial"/>
          <w:color w:val="000000"/>
          <w:lang w:eastAsia="bg-BG"/>
        </w:rPr>
        <w:t xml:space="preserve">клинично проучване проведено </w:t>
      </w:r>
      <w:r w:rsidRPr="00B253CB">
        <w:rPr>
          <w:rFonts w:eastAsia="Times New Roman" w:cs="Arial"/>
          <w:color w:val="000000"/>
          <w:lang w:val="en-US"/>
        </w:rPr>
        <w:t xml:space="preserve">c </w:t>
      </w:r>
      <w:r w:rsidRPr="00B253CB">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45B2AC3" w14:textId="77777777" w:rsidR="00B253CB" w:rsidRPr="00B253CB" w:rsidRDefault="00B253CB" w:rsidP="00B253CB">
      <w:pPr>
        <w:spacing w:line="240" w:lineRule="auto"/>
        <w:rPr>
          <w:rFonts w:eastAsia="Times New Roman" w:cs="Arial"/>
          <w:color w:val="000000"/>
          <w:u w:val="single"/>
          <w:lang w:eastAsia="bg-BG"/>
        </w:rPr>
      </w:pPr>
    </w:p>
    <w:p w14:paraId="51D6065C" w14:textId="51B7D45F"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1ABECD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Индипамид, прилаган като монотерапия, има антихипертензивен ефект, който продължава 24 часа. Този ефект се проявява в дози, при които диуретичните свойства са минимални. Антихипертензивното действие е пропорционално на подобрението на артериалния комплайънс и на понижението на общото и артериолното периферно съдово съпротивление. Индапамид намалява левокамерната хипертрофия.</w:t>
      </w:r>
    </w:p>
    <w:p w14:paraId="24DC2F9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 превишаване на дозата на тиазидните диуретици или на свързаните с тиазид диуретици, антихипертензивният ефект достига плато, докато нежеланите ефекти продължават да се увеличават. Ако лечението е неефективно, дозата не трябва да се увеличава.</w:t>
      </w:r>
    </w:p>
    <w:p w14:paraId="2E1B390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Допълнително, в краткосрочни, средносрочни и дългосрочни изпитвания при хипертоници се установява, че индапамид:</w:t>
      </w:r>
    </w:p>
    <w:p w14:paraId="3D6052FE" w14:textId="77777777" w:rsidR="00B253CB" w:rsidRPr="00B253CB" w:rsidRDefault="00B253CB" w:rsidP="00697238">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t xml:space="preserve">не оказва влияние върху метаболизма на липидите: триглицеридите, </w:t>
      </w:r>
      <w:r w:rsidRPr="00B253CB">
        <w:rPr>
          <w:rFonts w:eastAsia="Times New Roman" w:cs="Arial"/>
          <w:color w:val="000000"/>
          <w:lang w:val="en-US"/>
        </w:rPr>
        <w:t>LDL</w:t>
      </w:r>
      <w:r w:rsidRPr="00B253CB">
        <w:rPr>
          <w:rFonts w:eastAsia="Times New Roman" w:cs="Arial"/>
          <w:color w:val="000000"/>
          <w:lang w:eastAsia="bg-BG"/>
        </w:rPr>
        <w:t xml:space="preserve">-холестерола и </w:t>
      </w:r>
      <w:r w:rsidRPr="00B253CB">
        <w:rPr>
          <w:rFonts w:eastAsia="Times New Roman" w:cs="Arial"/>
          <w:color w:val="000000"/>
          <w:lang w:val="en-US"/>
        </w:rPr>
        <w:t>HDL</w:t>
      </w:r>
      <w:r w:rsidRPr="00B253CB">
        <w:rPr>
          <w:rFonts w:eastAsia="Times New Roman" w:cs="Arial"/>
          <w:color w:val="000000"/>
          <w:lang w:eastAsia="bg-BG"/>
        </w:rPr>
        <w:t>-холестерола;</w:t>
      </w:r>
    </w:p>
    <w:p w14:paraId="7C243393" w14:textId="1C31CBB3" w:rsidR="00B253CB" w:rsidRPr="00B253CB" w:rsidRDefault="00B253CB" w:rsidP="00697238">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lastRenderedPageBreak/>
        <w:t>не оказва влияние върху метаболизма на въглехидратите, даже и при хипертоници с диабет.</w:t>
      </w:r>
    </w:p>
    <w:p w14:paraId="432DDE59" w14:textId="77777777" w:rsidR="00B253CB" w:rsidRPr="00B253CB" w:rsidRDefault="00B253CB" w:rsidP="00B253CB">
      <w:pPr>
        <w:spacing w:line="240" w:lineRule="auto"/>
        <w:rPr>
          <w:rFonts w:eastAsia="Times New Roman" w:cs="Arial"/>
          <w:color w:val="000000"/>
          <w:u w:val="single"/>
          <w:lang w:eastAsia="bg-BG"/>
        </w:rPr>
      </w:pPr>
    </w:p>
    <w:p w14:paraId="13DB8FCE" w14:textId="31AC89C3"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37122D5"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Розувастатин намалява повишения </w:t>
      </w:r>
      <w:r w:rsidRPr="00B253CB">
        <w:rPr>
          <w:rFonts w:eastAsia="Times New Roman" w:cs="Arial"/>
          <w:color w:val="000000"/>
          <w:lang w:val="en-US"/>
        </w:rPr>
        <w:t>LDL</w:t>
      </w:r>
      <w:r w:rsidRPr="00B253CB">
        <w:rPr>
          <w:rFonts w:eastAsia="Times New Roman" w:cs="Arial"/>
          <w:color w:val="000000"/>
          <w:lang w:eastAsia="bg-BG"/>
        </w:rPr>
        <w:t xml:space="preserve">-холестерол, общия холестерол и триглицеридите и повишава </w:t>
      </w:r>
      <w:r w:rsidRPr="00B253CB">
        <w:rPr>
          <w:rFonts w:eastAsia="Times New Roman" w:cs="Arial"/>
          <w:color w:val="000000"/>
          <w:lang w:val="en-US"/>
        </w:rPr>
        <w:t>HDL</w:t>
      </w:r>
      <w:r w:rsidRPr="00B253CB">
        <w:rPr>
          <w:rFonts w:eastAsia="Times New Roman" w:cs="Arial"/>
          <w:color w:val="000000"/>
          <w:lang w:eastAsia="bg-BG"/>
        </w:rPr>
        <w:t xml:space="preserve">-холестерола. Той също така понижава АроВ, </w:t>
      </w:r>
      <w:r w:rsidRPr="00B253CB">
        <w:rPr>
          <w:rFonts w:eastAsia="Times New Roman" w:cs="Arial"/>
          <w:color w:val="000000"/>
          <w:lang w:val="en-US"/>
        </w:rPr>
        <w:t>nonHDL</w:t>
      </w:r>
      <w:r w:rsidRPr="00B253CB">
        <w:rPr>
          <w:rFonts w:eastAsia="Times New Roman" w:cs="Arial"/>
          <w:color w:val="000000"/>
          <w:lang w:eastAsia="bg-BG"/>
        </w:rPr>
        <w:t xml:space="preserve">-холестерола, </w:t>
      </w:r>
      <w:r w:rsidRPr="00B253CB">
        <w:rPr>
          <w:rFonts w:eastAsia="Times New Roman" w:cs="Arial"/>
          <w:color w:val="000000"/>
          <w:lang w:val="en-US"/>
        </w:rPr>
        <w:t>VLDL-C,</w:t>
      </w:r>
      <w:r w:rsidRPr="00B253CB">
        <w:rPr>
          <w:rFonts w:eastAsia="Times New Roman" w:cs="Arial"/>
          <w:lang w:eastAsia="bg-BG"/>
        </w:rPr>
        <w:t xml:space="preserve"> </w:t>
      </w:r>
      <w:r w:rsidRPr="00B253CB">
        <w:rPr>
          <w:rFonts w:eastAsia="Times New Roman" w:cs="Arial"/>
          <w:color w:val="000000"/>
          <w:lang w:val="en-US"/>
        </w:rPr>
        <w:t xml:space="preserve">VLDL-TG </w:t>
      </w:r>
      <w:r w:rsidRPr="00B253CB">
        <w:rPr>
          <w:rFonts w:eastAsia="Times New Roman" w:cs="Arial"/>
          <w:color w:val="000000"/>
          <w:lang w:eastAsia="bg-BG"/>
        </w:rPr>
        <w:t>и увеличава АроА</w:t>
      </w:r>
      <w:r w:rsidRPr="00B253CB">
        <w:rPr>
          <w:rFonts w:eastAsia="Times New Roman" w:cs="Arial"/>
          <w:color w:val="000000"/>
          <w:lang w:val="en-US"/>
        </w:rPr>
        <w:t xml:space="preserve">-I </w:t>
      </w:r>
      <w:r w:rsidRPr="00B253CB">
        <w:rPr>
          <w:rFonts w:eastAsia="Times New Roman" w:cs="Arial"/>
          <w:color w:val="000000"/>
          <w:lang w:eastAsia="bg-BG"/>
        </w:rPr>
        <w:t>(вж, таблица 3). Розувастатин също така понижава</w:t>
      </w:r>
      <w:r>
        <w:rPr>
          <w:rFonts w:eastAsia="Times New Roman" w:cs="Arial"/>
          <w:color w:val="000000"/>
          <w:lang w:eastAsia="bg-BG"/>
        </w:rPr>
        <w:t xml:space="preserve"> </w:t>
      </w:r>
      <w:r w:rsidRPr="00B253CB">
        <w:rPr>
          <w:rFonts w:eastAsia="Times New Roman" w:cs="Arial"/>
          <w:color w:val="000000"/>
          <w:lang w:eastAsia="bg-BG"/>
        </w:rPr>
        <w:t xml:space="preserve">съотношенията </w:t>
      </w:r>
      <w:r w:rsidRPr="00B253CB">
        <w:rPr>
          <w:rFonts w:eastAsia="Times New Roman" w:cs="Arial"/>
          <w:color w:val="000000"/>
          <w:lang w:val="en-US"/>
        </w:rPr>
        <w:t xml:space="preserve">LDL-C/HDL-C, </w:t>
      </w:r>
      <w:r w:rsidRPr="00B253CB">
        <w:rPr>
          <w:rFonts w:eastAsia="Times New Roman" w:cs="Arial"/>
          <w:color w:val="000000"/>
          <w:lang w:eastAsia="bg-BG"/>
        </w:rPr>
        <w:t xml:space="preserve">общ </w:t>
      </w:r>
      <w:r w:rsidRPr="00B253CB">
        <w:rPr>
          <w:rFonts w:eastAsia="Times New Roman" w:cs="Arial"/>
          <w:color w:val="000000"/>
          <w:lang w:val="en-US"/>
        </w:rPr>
        <w:t xml:space="preserve">C/HDL-C </w:t>
      </w:r>
      <w:r w:rsidRPr="00B253CB">
        <w:rPr>
          <w:rFonts w:eastAsia="Times New Roman" w:cs="Arial"/>
          <w:color w:val="000000"/>
          <w:lang w:eastAsia="bg-BG"/>
        </w:rPr>
        <w:t xml:space="preserve">и </w:t>
      </w:r>
      <w:r w:rsidRPr="00B253CB">
        <w:rPr>
          <w:rFonts w:eastAsia="Times New Roman" w:cs="Arial"/>
          <w:color w:val="000000"/>
          <w:lang w:val="en-US"/>
        </w:rPr>
        <w:t xml:space="preserve">nonHDL-C/HDL-C </w:t>
      </w:r>
      <w:r w:rsidRPr="00B253CB">
        <w:rPr>
          <w:rFonts w:eastAsia="Times New Roman" w:cs="Arial"/>
          <w:color w:val="000000"/>
          <w:lang w:eastAsia="bg-BG"/>
        </w:rPr>
        <w:t xml:space="preserve">и </w:t>
      </w:r>
      <w:r w:rsidRPr="00B253CB">
        <w:rPr>
          <w:rFonts w:eastAsia="Times New Roman" w:cs="Arial"/>
          <w:color w:val="000000"/>
          <w:lang w:val="en-US"/>
        </w:rPr>
        <w:t>ApoB/ApoA-</w:t>
      </w:r>
      <w:r w:rsidRPr="00B253CB">
        <w:rPr>
          <w:rFonts w:eastAsia="Times New Roman" w:cs="Arial"/>
          <w:color w:val="000000"/>
          <w:lang w:eastAsia="bg-BG"/>
        </w:rPr>
        <w:t>I</w:t>
      </w:r>
    </w:p>
    <w:p w14:paraId="22C3DACE" w14:textId="77777777" w:rsidR="00B253CB" w:rsidRPr="00B253CB" w:rsidRDefault="00B253CB" w:rsidP="00B253CB">
      <w:pPr>
        <w:spacing w:line="240" w:lineRule="auto"/>
        <w:rPr>
          <w:rFonts w:eastAsia="Times New Roman" w:cs="Arial"/>
          <w:b/>
          <w:bCs/>
          <w:color w:val="000000"/>
          <w:lang w:eastAsia="bg-BG"/>
        </w:rPr>
      </w:pPr>
    </w:p>
    <w:p w14:paraId="5652402F" w14:textId="292C479B" w:rsidR="00B253CB"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Таблица 3: Отговор на дозата при пациенти с първична хнперхолестеролемия (тип II</w:t>
      </w:r>
      <w:r w:rsidRPr="00B253CB">
        <w:rPr>
          <w:rFonts w:eastAsia="Times New Roman" w:cs="Arial"/>
          <w:b/>
          <w:bCs/>
          <w:color w:val="000000"/>
          <w:lang w:val="en-US"/>
        </w:rPr>
        <w:t>a</w:t>
      </w:r>
      <w:r w:rsidRPr="00B253CB">
        <w:rPr>
          <w:rFonts w:eastAsia="Times New Roman" w:cs="Arial"/>
          <w:b/>
          <w:bCs/>
          <w:color w:val="000000"/>
          <w:lang w:eastAsia="bg-BG"/>
        </w:rPr>
        <w:t xml:space="preserve"> и</w:t>
      </w:r>
    </w:p>
    <w:p w14:paraId="36152471" w14:textId="2C754030" w:rsidR="0091385D"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II</w:t>
      </w:r>
      <w:r w:rsidRPr="00B253CB">
        <w:rPr>
          <w:rFonts w:eastAsia="Times New Roman" w:cs="Arial"/>
          <w:b/>
          <w:bCs/>
          <w:color w:val="000000"/>
          <w:lang w:val="en-US"/>
        </w:rPr>
        <w:t>b</w:t>
      </w:r>
      <w:r w:rsidRPr="00B253CB">
        <w:rPr>
          <w:rFonts w:eastAsia="Times New Roman" w:cs="Arial"/>
          <w:b/>
          <w:bCs/>
          <w:color w:val="000000"/>
          <w:lang w:eastAsia="bg-BG"/>
        </w:rPr>
        <w:t>) (коригирана средна процентна промяна спрямо изходната стойност)</w:t>
      </w:r>
    </w:p>
    <w:tbl>
      <w:tblPr>
        <w:tblStyle w:val="TableGrid"/>
        <w:tblW w:w="0" w:type="auto"/>
        <w:tblLook w:val="04A0" w:firstRow="1" w:lastRow="0" w:firstColumn="1" w:lastColumn="0" w:noHBand="0" w:noVBand="1"/>
      </w:tblPr>
      <w:tblGrid>
        <w:gridCol w:w="1122"/>
        <w:gridCol w:w="991"/>
        <w:gridCol w:w="1013"/>
        <w:gridCol w:w="1021"/>
        <w:gridCol w:w="1015"/>
        <w:gridCol w:w="997"/>
        <w:gridCol w:w="1145"/>
        <w:gridCol w:w="1020"/>
        <w:gridCol w:w="1026"/>
      </w:tblGrid>
      <w:tr w:rsidR="00B253CB" w:rsidRPr="00B253CB" w14:paraId="52FA4579" w14:textId="77777777" w:rsidTr="00B253CB">
        <w:tc>
          <w:tcPr>
            <w:tcW w:w="1038" w:type="dxa"/>
          </w:tcPr>
          <w:p w14:paraId="6BB8ED5C" w14:textId="178F650B" w:rsidR="00B253CB" w:rsidRPr="00B253CB" w:rsidRDefault="00B253CB" w:rsidP="00B253CB">
            <w:pPr>
              <w:rPr>
                <w:rFonts w:cs="Arial"/>
              </w:rPr>
            </w:pPr>
            <w:r w:rsidRPr="00B253CB">
              <w:rPr>
                <w:rFonts w:cs="Arial"/>
                <w:b/>
                <w:bCs/>
                <w:lang w:eastAsia="bg-BG"/>
              </w:rPr>
              <w:t>Доза</w:t>
            </w:r>
          </w:p>
        </w:tc>
        <w:tc>
          <w:tcPr>
            <w:tcW w:w="1039" w:type="dxa"/>
          </w:tcPr>
          <w:p w14:paraId="3076C541" w14:textId="732416AF" w:rsidR="00B253CB" w:rsidRPr="00B253CB" w:rsidRDefault="00B253CB" w:rsidP="00B253CB">
            <w:pPr>
              <w:rPr>
                <w:rFonts w:cs="Arial"/>
              </w:rPr>
            </w:pPr>
            <w:r w:rsidRPr="00B253CB">
              <w:rPr>
                <w:rFonts w:cs="Arial"/>
                <w:b/>
                <w:bCs/>
              </w:rPr>
              <w:t>N</w:t>
            </w:r>
          </w:p>
        </w:tc>
        <w:tc>
          <w:tcPr>
            <w:tcW w:w="1039" w:type="dxa"/>
          </w:tcPr>
          <w:p w14:paraId="577A1891" w14:textId="4A87208C" w:rsidR="00B253CB" w:rsidRPr="00B253CB" w:rsidRDefault="00B253CB" w:rsidP="00B253CB">
            <w:pPr>
              <w:rPr>
                <w:rFonts w:cs="Arial"/>
              </w:rPr>
            </w:pPr>
            <w:r w:rsidRPr="00B253CB">
              <w:rPr>
                <w:rFonts w:cs="Arial"/>
                <w:b/>
                <w:bCs/>
              </w:rPr>
              <w:t>LDL-C</w:t>
            </w:r>
          </w:p>
        </w:tc>
        <w:tc>
          <w:tcPr>
            <w:tcW w:w="1039" w:type="dxa"/>
          </w:tcPr>
          <w:p w14:paraId="020D573C" w14:textId="3CF88722" w:rsidR="00B253CB" w:rsidRPr="00B253CB" w:rsidRDefault="00B253CB" w:rsidP="00B253CB">
            <w:pPr>
              <w:rPr>
                <w:rFonts w:cs="Arial"/>
              </w:rPr>
            </w:pPr>
            <w:r w:rsidRPr="00B253CB">
              <w:rPr>
                <w:rFonts w:cs="Arial"/>
                <w:b/>
                <w:bCs/>
              </w:rPr>
              <w:t>Total-C</w:t>
            </w:r>
          </w:p>
        </w:tc>
        <w:tc>
          <w:tcPr>
            <w:tcW w:w="1039" w:type="dxa"/>
          </w:tcPr>
          <w:p w14:paraId="54D84321" w14:textId="2564E8E3" w:rsidR="00B253CB" w:rsidRPr="00B253CB" w:rsidRDefault="00B253CB" w:rsidP="00B253CB">
            <w:pPr>
              <w:rPr>
                <w:rFonts w:cs="Arial"/>
              </w:rPr>
            </w:pPr>
            <w:r w:rsidRPr="00B253CB">
              <w:rPr>
                <w:rFonts w:cs="Arial"/>
                <w:b/>
                <w:bCs/>
              </w:rPr>
              <w:t xml:space="preserve">HDL-C </w:t>
            </w:r>
            <w:r w:rsidRPr="00B253CB">
              <w:rPr>
                <w:rFonts w:cs="Arial"/>
                <w:b/>
                <w:bCs/>
                <w:lang w:eastAsia="bg-BG"/>
              </w:rPr>
              <w:t>1</w:t>
            </w:r>
          </w:p>
        </w:tc>
        <w:tc>
          <w:tcPr>
            <w:tcW w:w="1039" w:type="dxa"/>
          </w:tcPr>
          <w:p w14:paraId="07943AE3" w14:textId="2B471586" w:rsidR="00B253CB" w:rsidRPr="00B253CB" w:rsidRDefault="00B253CB" w:rsidP="00B253CB">
            <w:pPr>
              <w:rPr>
                <w:rFonts w:cs="Arial"/>
              </w:rPr>
            </w:pPr>
            <w:r w:rsidRPr="00B253CB">
              <w:rPr>
                <w:rFonts w:cs="Arial"/>
                <w:b/>
                <w:bCs/>
              </w:rPr>
              <w:t>TG</w:t>
            </w:r>
          </w:p>
        </w:tc>
        <w:tc>
          <w:tcPr>
            <w:tcW w:w="1039" w:type="dxa"/>
          </w:tcPr>
          <w:p w14:paraId="5CA3BE2D" w14:textId="61116CFA" w:rsidR="00B253CB" w:rsidRPr="00B253CB" w:rsidRDefault="00B253CB" w:rsidP="00B253CB">
            <w:pPr>
              <w:rPr>
                <w:rFonts w:cs="Arial"/>
              </w:rPr>
            </w:pPr>
            <w:r w:rsidRPr="00B253CB">
              <w:rPr>
                <w:rFonts w:cs="Arial"/>
                <w:b/>
                <w:bCs/>
              </w:rPr>
              <w:t>1 nonHDL</w:t>
            </w:r>
            <w:r w:rsidRPr="00B253CB">
              <w:rPr>
                <w:rFonts w:cs="Arial"/>
                <w:b/>
                <w:bCs/>
                <w:lang w:eastAsia="bg-BG"/>
              </w:rPr>
              <w:t>-С</w:t>
            </w:r>
          </w:p>
        </w:tc>
        <w:tc>
          <w:tcPr>
            <w:tcW w:w="1039" w:type="dxa"/>
          </w:tcPr>
          <w:p w14:paraId="10C3A888" w14:textId="748E8E9B" w:rsidR="00B253CB" w:rsidRPr="00B253CB" w:rsidRDefault="00B253CB" w:rsidP="00B253CB">
            <w:pPr>
              <w:rPr>
                <w:rFonts w:cs="Arial"/>
              </w:rPr>
            </w:pPr>
            <w:r w:rsidRPr="00B253CB">
              <w:rPr>
                <w:rFonts w:cs="Arial"/>
                <w:b/>
                <w:bCs/>
              </w:rPr>
              <w:t>ApoB</w:t>
            </w:r>
          </w:p>
        </w:tc>
        <w:tc>
          <w:tcPr>
            <w:tcW w:w="1039" w:type="dxa"/>
          </w:tcPr>
          <w:p w14:paraId="3D251743" w14:textId="1C01BDB5" w:rsidR="00B253CB" w:rsidRPr="00B253CB" w:rsidRDefault="00B253CB" w:rsidP="00B253CB">
            <w:pPr>
              <w:rPr>
                <w:rFonts w:cs="Arial"/>
              </w:rPr>
            </w:pPr>
            <w:r w:rsidRPr="00B253CB">
              <w:rPr>
                <w:rFonts w:cs="Arial"/>
                <w:b/>
                <w:bCs/>
              </w:rPr>
              <w:t>ApoA-I</w:t>
            </w:r>
          </w:p>
        </w:tc>
      </w:tr>
      <w:tr w:rsidR="00B253CB" w:rsidRPr="00B253CB" w14:paraId="316BF317" w14:textId="77777777" w:rsidTr="00B253CB">
        <w:tc>
          <w:tcPr>
            <w:tcW w:w="1038" w:type="dxa"/>
          </w:tcPr>
          <w:p w14:paraId="66480E84" w14:textId="09D783BA" w:rsidR="00B253CB" w:rsidRPr="00B253CB" w:rsidRDefault="00B253CB" w:rsidP="00B253CB">
            <w:pPr>
              <w:rPr>
                <w:rFonts w:cs="Arial"/>
              </w:rPr>
            </w:pPr>
            <w:r w:rsidRPr="00B253CB">
              <w:rPr>
                <w:rFonts w:cs="Arial"/>
                <w:lang w:eastAsia="bg-BG"/>
              </w:rPr>
              <w:t>Плацебо</w:t>
            </w:r>
          </w:p>
        </w:tc>
        <w:tc>
          <w:tcPr>
            <w:tcW w:w="1039" w:type="dxa"/>
          </w:tcPr>
          <w:p w14:paraId="7561DCCE" w14:textId="2BE5282D" w:rsidR="00B253CB" w:rsidRPr="00B253CB" w:rsidRDefault="00B253CB" w:rsidP="00B253CB">
            <w:pPr>
              <w:rPr>
                <w:rFonts w:cs="Arial"/>
              </w:rPr>
            </w:pPr>
            <w:r w:rsidRPr="00B253CB">
              <w:rPr>
                <w:rFonts w:cs="Arial"/>
                <w:lang w:eastAsia="bg-BG"/>
              </w:rPr>
              <w:t>13</w:t>
            </w:r>
          </w:p>
        </w:tc>
        <w:tc>
          <w:tcPr>
            <w:tcW w:w="1039" w:type="dxa"/>
          </w:tcPr>
          <w:p w14:paraId="4660B888" w14:textId="11430344" w:rsidR="00B253CB" w:rsidRPr="00B253CB" w:rsidRDefault="00B253CB" w:rsidP="00B253CB">
            <w:pPr>
              <w:rPr>
                <w:rFonts w:cs="Arial"/>
              </w:rPr>
            </w:pPr>
            <w:r w:rsidRPr="00B253CB">
              <w:rPr>
                <w:rFonts w:cs="Arial"/>
                <w:lang w:eastAsia="bg-BG"/>
              </w:rPr>
              <w:t>-7</w:t>
            </w:r>
          </w:p>
        </w:tc>
        <w:tc>
          <w:tcPr>
            <w:tcW w:w="1039" w:type="dxa"/>
          </w:tcPr>
          <w:p w14:paraId="07941040" w14:textId="52E11507" w:rsidR="00B253CB" w:rsidRPr="00B253CB" w:rsidRDefault="00B253CB" w:rsidP="00B253CB">
            <w:pPr>
              <w:rPr>
                <w:rFonts w:cs="Arial"/>
              </w:rPr>
            </w:pPr>
            <w:r w:rsidRPr="00B253CB">
              <w:rPr>
                <w:rFonts w:cs="Arial"/>
                <w:lang w:eastAsia="bg-BG"/>
              </w:rPr>
              <w:t>-5</w:t>
            </w:r>
          </w:p>
        </w:tc>
        <w:tc>
          <w:tcPr>
            <w:tcW w:w="1039" w:type="dxa"/>
          </w:tcPr>
          <w:p w14:paraId="56402EBB" w14:textId="77777777" w:rsidR="00B253CB" w:rsidRPr="00B253CB" w:rsidRDefault="00B253CB" w:rsidP="00B253CB">
            <w:pPr>
              <w:rPr>
                <w:rFonts w:cs="Arial"/>
              </w:rPr>
            </w:pPr>
          </w:p>
        </w:tc>
        <w:tc>
          <w:tcPr>
            <w:tcW w:w="1039" w:type="dxa"/>
          </w:tcPr>
          <w:p w14:paraId="774DA0B6" w14:textId="1FF098C5" w:rsidR="00B253CB" w:rsidRPr="00B253CB" w:rsidRDefault="00B253CB" w:rsidP="00B253CB">
            <w:pPr>
              <w:rPr>
                <w:rFonts w:cs="Arial"/>
              </w:rPr>
            </w:pPr>
            <w:r w:rsidRPr="00B253CB">
              <w:rPr>
                <w:rFonts w:cs="Arial"/>
              </w:rPr>
              <w:t>-3</w:t>
            </w:r>
          </w:p>
        </w:tc>
        <w:tc>
          <w:tcPr>
            <w:tcW w:w="1039" w:type="dxa"/>
          </w:tcPr>
          <w:p w14:paraId="781B4BB8" w14:textId="6C216E44" w:rsidR="00B253CB" w:rsidRPr="00B253CB" w:rsidRDefault="00B253CB" w:rsidP="00B253CB">
            <w:pPr>
              <w:rPr>
                <w:rFonts w:cs="Arial"/>
              </w:rPr>
            </w:pPr>
            <w:r w:rsidRPr="00B253CB">
              <w:rPr>
                <w:rFonts w:cs="Arial"/>
              </w:rPr>
              <w:t>-7</w:t>
            </w:r>
          </w:p>
        </w:tc>
        <w:tc>
          <w:tcPr>
            <w:tcW w:w="1039" w:type="dxa"/>
          </w:tcPr>
          <w:p w14:paraId="4A34B75F" w14:textId="59902974" w:rsidR="00B253CB" w:rsidRPr="00B253CB" w:rsidRDefault="00B253CB" w:rsidP="00B253CB">
            <w:pPr>
              <w:rPr>
                <w:rFonts w:cs="Arial"/>
              </w:rPr>
            </w:pPr>
            <w:r w:rsidRPr="00B253CB">
              <w:rPr>
                <w:rFonts w:cs="Arial"/>
              </w:rPr>
              <w:t>-3</w:t>
            </w:r>
          </w:p>
        </w:tc>
        <w:tc>
          <w:tcPr>
            <w:tcW w:w="1039" w:type="dxa"/>
          </w:tcPr>
          <w:p w14:paraId="636B9625" w14:textId="0A931FA2" w:rsidR="00B253CB" w:rsidRPr="00B253CB" w:rsidRDefault="00B253CB" w:rsidP="00B253CB">
            <w:pPr>
              <w:rPr>
                <w:rFonts w:cs="Arial"/>
              </w:rPr>
            </w:pPr>
            <w:r w:rsidRPr="00B253CB">
              <w:rPr>
                <w:rFonts w:cs="Arial"/>
              </w:rPr>
              <w:t>0</w:t>
            </w:r>
          </w:p>
        </w:tc>
      </w:tr>
      <w:tr w:rsidR="00B253CB" w:rsidRPr="00B253CB" w14:paraId="37957DF2" w14:textId="77777777" w:rsidTr="00B253CB">
        <w:tc>
          <w:tcPr>
            <w:tcW w:w="1038" w:type="dxa"/>
          </w:tcPr>
          <w:p w14:paraId="1559978B" w14:textId="4931512F" w:rsidR="00B253CB" w:rsidRPr="00B253CB" w:rsidRDefault="00B253CB" w:rsidP="00B253CB">
            <w:pPr>
              <w:rPr>
                <w:rFonts w:cs="Arial"/>
              </w:rPr>
            </w:pPr>
            <w:r w:rsidRPr="00B253CB">
              <w:rPr>
                <w:rFonts w:cs="Arial"/>
                <w:lang w:eastAsia="bg-BG"/>
              </w:rPr>
              <w:t>5</w:t>
            </w:r>
          </w:p>
        </w:tc>
        <w:tc>
          <w:tcPr>
            <w:tcW w:w="1039" w:type="dxa"/>
          </w:tcPr>
          <w:p w14:paraId="29176F56" w14:textId="04044EEC" w:rsidR="00B253CB" w:rsidRPr="00B253CB" w:rsidRDefault="00B253CB" w:rsidP="00B253CB">
            <w:pPr>
              <w:rPr>
                <w:rFonts w:cs="Arial"/>
              </w:rPr>
            </w:pPr>
            <w:r w:rsidRPr="00B253CB">
              <w:rPr>
                <w:rFonts w:cs="Arial"/>
                <w:lang w:eastAsia="bg-BG"/>
              </w:rPr>
              <w:t>17</w:t>
            </w:r>
          </w:p>
        </w:tc>
        <w:tc>
          <w:tcPr>
            <w:tcW w:w="1039" w:type="dxa"/>
          </w:tcPr>
          <w:p w14:paraId="031706CB" w14:textId="345454DB" w:rsidR="00B253CB" w:rsidRPr="00B253CB" w:rsidRDefault="00B253CB" w:rsidP="00B253CB">
            <w:pPr>
              <w:rPr>
                <w:rFonts w:cs="Arial"/>
              </w:rPr>
            </w:pPr>
            <w:r w:rsidRPr="00B253CB">
              <w:rPr>
                <w:rFonts w:cs="Arial"/>
                <w:lang w:eastAsia="bg-BG"/>
              </w:rPr>
              <w:t>-45</w:t>
            </w:r>
          </w:p>
        </w:tc>
        <w:tc>
          <w:tcPr>
            <w:tcW w:w="1039" w:type="dxa"/>
          </w:tcPr>
          <w:p w14:paraId="256C5757" w14:textId="224813FA" w:rsidR="00B253CB" w:rsidRPr="00B253CB" w:rsidRDefault="00B253CB" w:rsidP="00B253CB">
            <w:pPr>
              <w:rPr>
                <w:rFonts w:cs="Arial"/>
              </w:rPr>
            </w:pPr>
            <w:r w:rsidRPr="00B253CB">
              <w:rPr>
                <w:rFonts w:cs="Arial"/>
                <w:lang w:eastAsia="bg-BG"/>
              </w:rPr>
              <w:t>-33</w:t>
            </w:r>
          </w:p>
        </w:tc>
        <w:tc>
          <w:tcPr>
            <w:tcW w:w="1039" w:type="dxa"/>
          </w:tcPr>
          <w:p w14:paraId="485F63EC" w14:textId="42331D0F" w:rsidR="00B253CB" w:rsidRPr="00B253CB" w:rsidRDefault="00B253CB" w:rsidP="00B253CB">
            <w:pPr>
              <w:rPr>
                <w:rFonts w:cs="Arial"/>
              </w:rPr>
            </w:pPr>
            <w:r w:rsidRPr="00B253CB">
              <w:rPr>
                <w:rFonts w:cs="Arial"/>
                <w:vertAlign w:val="superscript"/>
                <w:lang w:eastAsia="bg-BG"/>
              </w:rPr>
              <w:t>13</w:t>
            </w:r>
            <w:r w:rsidRPr="00B253CB">
              <w:rPr>
                <w:rFonts w:cs="Arial"/>
                <w:lang w:eastAsia="bg-BG"/>
              </w:rPr>
              <w:t xml:space="preserve"> </w:t>
            </w:r>
          </w:p>
        </w:tc>
        <w:tc>
          <w:tcPr>
            <w:tcW w:w="1039" w:type="dxa"/>
          </w:tcPr>
          <w:p w14:paraId="0E8931E0" w14:textId="3DEEADFA" w:rsidR="00B253CB" w:rsidRPr="00B253CB" w:rsidRDefault="00B253CB" w:rsidP="00B253CB">
            <w:pPr>
              <w:rPr>
                <w:rFonts w:cs="Arial"/>
              </w:rPr>
            </w:pPr>
            <w:r w:rsidRPr="00B253CB">
              <w:rPr>
                <w:rFonts w:cs="Arial"/>
              </w:rPr>
              <w:t>-35</w:t>
            </w:r>
          </w:p>
        </w:tc>
        <w:tc>
          <w:tcPr>
            <w:tcW w:w="1039" w:type="dxa"/>
          </w:tcPr>
          <w:p w14:paraId="404B0962" w14:textId="08952E62" w:rsidR="00B253CB" w:rsidRPr="00B253CB" w:rsidRDefault="00B253CB" w:rsidP="00B253CB">
            <w:pPr>
              <w:rPr>
                <w:rFonts w:cs="Arial"/>
              </w:rPr>
            </w:pPr>
            <w:r w:rsidRPr="00B253CB">
              <w:rPr>
                <w:rFonts w:cs="Arial"/>
              </w:rPr>
              <w:t>-44</w:t>
            </w:r>
          </w:p>
        </w:tc>
        <w:tc>
          <w:tcPr>
            <w:tcW w:w="1039" w:type="dxa"/>
          </w:tcPr>
          <w:p w14:paraId="19B3D87C" w14:textId="5E2121EB" w:rsidR="00B253CB" w:rsidRPr="00B253CB" w:rsidRDefault="00B253CB" w:rsidP="00B253CB">
            <w:pPr>
              <w:rPr>
                <w:rFonts w:cs="Arial"/>
              </w:rPr>
            </w:pPr>
            <w:r w:rsidRPr="00B253CB">
              <w:rPr>
                <w:rFonts w:cs="Arial"/>
              </w:rPr>
              <w:t>-38</w:t>
            </w:r>
          </w:p>
        </w:tc>
        <w:tc>
          <w:tcPr>
            <w:tcW w:w="1039" w:type="dxa"/>
          </w:tcPr>
          <w:p w14:paraId="2384C565" w14:textId="381F16AE" w:rsidR="00B253CB" w:rsidRPr="00B253CB" w:rsidRDefault="00B253CB" w:rsidP="00B253CB">
            <w:pPr>
              <w:rPr>
                <w:rFonts w:cs="Arial"/>
              </w:rPr>
            </w:pPr>
            <w:r w:rsidRPr="00B253CB">
              <w:rPr>
                <w:rFonts w:cs="Arial"/>
              </w:rPr>
              <w:t>4</w:t>
            </w:r>
          </w:p>
        </w:tc>
      </w:tr>
      <w:tr w:rsidR="00B253CB" w:rsidRPr="00B253CB" w14:paraId="5A56F2D5" w14:textId="77777777" w:rsidTr="00B253CB">
        <w:tc>
          <w:tcPr>
            <w:tcW w:w="1038" w:type="dxa"/>
          </w:tcPr>
          <w:p w14:paraId="7D0D86F9" w14:textId="1BB5D0AE" w:rsidR="00B253CB" w:rsidRPr="00B253CB" w:rsidRDefault="00B253CB" w:rsidP="00B253CB">
            <w:pPr>
              <w:rPr>
                <w:rFonts w:cs="Arial"/>
              </w:rPr>
            </w:pPr>
            <w:r w:rsidRPr="00B253CB">
              <w:rPr>
                <w:rFonts w:cs="Arial"/>
                <w:lang w:eastAsia="bg-BG"/>
              </w:rPr>
              <w:t>10</w:t>
            </w:r>
          </w:p>
        </w:tc>
        <w:tc>
          <w:tcPr>
            <w:tcW w:w="1039" w:type="dxa"/>
          </w:tcPr>
          <w:p w14:paraId="0B000B67" w14:textId="291350EB" w:rsidR="00B253CB" w:rsidRPr="00B253CB" w:rsidRDefault="00B253CB" w:rsidP="00B253CB">
            <w:pPr>
              <w:rPr>
                <w:rFonts w:cs="Arial"/>
              </w:rPr>
            </w:pPr>
            <w:r w:rsidRPr="00B253CB">
              <w:rPr>
                <w:rFonts w:cs="Arial"/>
                <w:lang w:eastAsia="bg-BG"/>
              </w:rPr>
              <w:t>17</w:t>
            </w:r>
          </w:p>
        </w:tc>
        <w:tc>
          <w:tcPr>
            <w:tcW w:w="1039" w:type="dxa"/>
          </w:tcPr>
          <w:p w14:paraId="1BC21529" w14:textId="65141991" w:rsidR="00B253CB" w:rsidRPr="00B253CB" w:rsidRDefault="00B253CB" w:rsidP="00B253CB">
            <w:pPr>
              <w:rPr>
                <w:rFonts w:cs="Arial"/>
              </w:rPr>
            </w:pPr>
            <w:r w:rsidRPr="00B253CB">
              <w:rPr>
                <w:rFonts w:cs="Arial"/>
                <w:lang w:eastAsia="bg-BG"/>
              </w:rPr>
              <w:t>-52</w:t>
            </w:r>
          </w:p>
        </w:tc>
        <w:tc>
          <w:tcPr>
            <w:tcW w:w="1039" w:type="dxa"/>
          </w:tcPr>
          <w:p w14:paraId="7FB275D8" w14:textId="4F25B37B" w:rsidR="00B253CB" w:rsidRPr="00B253CB" w:rsidRDefault="00B253CB" w:rsidP="00B253CB">
            <w:pPr>
              <w:rPr>
                <w:rFonts w:cs="Arial"/>
              </w:rPr>
            </w:pPr>
            <w:r w:rsidRPr="00B253CB">
              <w:rPr>
                <w:rFonts w:cs="Arial"/>
                <w:lang w:eastAsia="bg-BG"/>
              </w:rPr>
              <w:t>-36</w:t>
            </w:r>
          </w:p>
        </w:tc>
        <w:tc>
          <w:tcPr>
            <w:tcW w:w="1039" w:type="dxa"/>
          </w:tcPr>
          <w:p w14:paraId="7C5FE942" w14:textId="59786D38" w:rsidR="00B253CB" w:rsidRPr="00B253CB" w:rsidRDefault="00B253CB" w:rsidP="00B253CB">
            <w:pPr>
              <w:rPr>
                <w:rFonts w:cs="Arial"/>
              </w:rPr>
            </w:pPr>
            <w:r w:rsidRPr="00B253CB">
              <w:rPr>
                <w:rFonts w:cs="Arial"/>
                <w:lang w:eastAsia="bg-BG"/>
              </w:rPr>
              <w:t>14</w:t>
            </w:r>
            <w:r w:rsidRPr="00B253CB">
              <w:rPr>
                <w:rFonts w:cs="Arial"/>
                <w:lang w:eastAsia="bg-BG"/>
              </w:rPr>
              <w:tab/>
            </w:r>
          </w:p>
        </w:tc>
        <w:tc>
          <w:tcPr>
            <w:tcW w:w="1039" w:type="dxa"/>
          </w:tcPr>
          <w:p w14:paraId="06848AAE" w14:textId="209E1CFA" w:rsidR="00B253CB" w:rsidRPr="00B253CB" w:rsidRDefault="00B253CB" w:rsidP="00B253CB">
            <w:pPr>
              <w:rPr>
                <w:rFonts w:cs="Arial"/>
              </w:rPr>
            </w:pPr>
            <w:r w:rsidRPr="00B253CB">
              <w:rPr>
                <w:rFonts w:cs="Arial"/>
              </w:rPr>
              <w:t>-10</w:t>
            </w:r>
          </w:p>
        </w:tc>
        <w:tc>
          <w:tcPr>
            <w:tcW w:w="1039" w:type="dxa"/>
          </w:tcPr>
          <w:p w14:paraId="25C8F8E0" w14:textId="6CCA564B" w:rsidR="00B253CB" w:rsidRPr="00B253CB" w:rsidRDefault="00B253CB" w:rsidP="00B253CB">
            <w:pPr>
              <w:rPr>
                <w:rFonts w:cs="Arial"/>
              </w:rPr>
            </w:pPr>
            <w:r w:rsidRPr="00B253CB">
              <w:rPr>
                <w:rFonts w:cs="Arial"/>
              </w:rPr>
              <w:t>-48</w:t>
            </w:r>
          </w:p>
        </w:tc>
        <w:tc>
          <w:tcPr>
            <w:tcW w:w="1039" w:type="dxa"/>
          </w:tcPr>
          <w:p w14:paraId="2A005DAD" w14:textId="295D7348" w:rsidR="00B253CB" w:rsidRPr="00B253CB" w:rsidRDefault="00B253CB" w:rsidP="00B253CB">
            <w:pPr>
              <w:rPr>
                <w:rFonts w:cs="Arial"/>
              </w:rPr>
            </w:pPr>
            <w:r w:rsidRPr="00B253CB">
              <w:rPr>
                <w:rFonts w:cs="Arial"/>
              </w:rPr>
              <w:t>-42</w:t>
            </w:r>
          </w:p>
        </w:tc>
        <w:tc>
          <w:tcPr>
            <w:tcW w:w="1039" w:type="dxa"/>
          </w:tcPr>
          <w:p w14:paraId="6B168771" w14:textId="011C6AB3" w:rsidR="00B253CB" w:rsidRPr="00B253CB" w:rsidRDefault="00B253CB" w:rsidP="00B253CB">
            <w:pPr>
              <w:rPr>
                <w:rFonts w:cs="Arial"/>
              </w:rPr>
            </w:pPr>
            <w:r w:rsidRPr="00B253CB">
              <w:rPr>
                <w:rFonts w:cs="Arial"/>
              </w:rPr>
              <w:t>4</w:t>
            </w:r>
          </w:p>
        </w:tc>
      </w:tr>
      <w:tr w:rsidR="00B253CB" w:rsidRPr="00B253CB" w14:paraId="6530D74B" w14:textId="77777777" w:rsidTr="00B253CB">
        <w:tc>
          <w:tcPr>
            <w:tcW w:w="1038" w:type="dxa"/>
          </w:tcPr>
          <w:p w14:paraId="54AECE16" w14:textId="3A360AD4" w:rsidR="00B253CB" w:rsidRPr="00B253CB" w:rsidRDefault="00B253CB" w:rsidP="00B253CB">
            <w:pPr>
              <w:rPr>
                <w:rFonts w:cs="Arial"/>
              </w:rPr>
            </w:pPr>
            <w:r w:rsidRPr="00B253CB">
              <w:rPr>
                <w:rFonts w:cs="Arial"/>
                <w:lang w:eastAsia="bg-BG"/>
              </w:rPr>
              <w:t>20</w:t>
            </w:r>
          </w:p>
        </w:tc>
        <w:tc>
          <w:tcPr>
            <w:tcW w:w="1039" w:type="dxa"/>
          </w:tcPr>
          <w:p w14:paraId="512513BC" w14:textId="464A2A87" w:rsidR="00B253CB" w:rsidRPr="00B253CB" w:rsidRDefault="00B253CB" w:rsidP="00B253CB">
            <w:pPr>
              <w:rPr>
                <w:rFonts w:cs="Arial"/>
              </w:rPr>
            </w:pPr>
            <w:r w:rsidRPr="00B253CB">
              <w:rPr>
                <w:rFonts w:cs="Arial"/>
                <w:lang w:eastAsia="bg-BG"/>
              </w:rPr>
              <w:t>17</w:t>
            </w:r>
          </w:p>
        </w:tc>
        <w:tc>
          <w:tcPr>
            <w:tcW w:w="1039" w:type="dxa"/>
          </w:tcPr>
          <w:p w14:paraId="1672E2CC" w14:textId="264E553C" w:rsidR="00B253CB" w:rsidRPr="00B253CB" w:rsidRDefault="00B253CB" w:rsidP="00B253CB">
            <w:pPr>
              <w:rPr>
                <w:rFonts w:cs="Arial"/>
              </w:rPr>
            </w:pPr>
            <w:r w:rsidRPr="00B253CB">
              <w:rPr>
                <w:rFonts w:cs="Arial"/>
                <w:lang w:eastAsia="bg-BG"/>
              </w:rPr>
              <w:t>-55</w:t>
            </w:r>
          </w:p>
        </w:tc>
        <w:tc>
          <w:tcPr>
            <w:tcW w:w="1039" w:type="dxa"/>
          </w:tcPr>
          <w:p w14:paraId="50737B3C" w14:textId="2628B09F" w:rsidR="00B253CB" w:rsidRPr="00B253CB" w:rsidRDefault="00B253CB" w:rsidP="00B253CB">
            <w:pPr>
              <w:rPr>
                <w:rFonts w:cs="Arial"/>
              </w:rPr>
            </w:pPr>
            <w:r w:rsidRPr="00B253CB">
              <w:rPr>
                <w:rFonts w:cs="Arial"/>
                <w:lang w:eastAsia="bg-BG"/>
              </w:rPr>
              <w:t>-40</w:t>
            </w:r>
          </w:p>
        </w:tc>
        <w:tc>
          <w:tcPr>
            <w:tcW w:w="1039" w:type="dxa"/>
          </w:tcPr>
          <w:p w14:paraId="794B7F71" w14:textId="020C84BB" w:rsidR="00B253CB" w:rsidRPr="00B253CB" w:rsidRDefault="00B253CB" w:rsidP="00B253CB">
            <w:pPr>
              <w:rPr>
                <w:rFonts w:cs="Arial"/>
              </w:rPr>
            </w:pPr>
            <w:r w:rsidRPr="00B253CB">
              <w:rPr>
                <w:rFonts w:cs="Arial"/>
                <w:lang w:eastAsia="bg-BG"/>
              </w:rPr>
              <w:t>8</w:t>
            </w:r>
          </w:p>
        </w:tc>
        <w:tc>
          <w:tcPr>
            <w:tcW w:w="1039" w:type="dxa"/>
          </w:tcPr>
          <w:p w14:paraId="6064F94D" w14:textId="354C998E" w:rsidR="00B253CB" w:rsidRPr="00B253CB" w:rsidRDefault="00B253CB" w:rsidP="00B253CB">
            <w:pPr>
              <w:rPr>
                <w:rFonts w:cs="Arial"/>
              </w:rPr>
            </w:pPr>
            <w:r w:rsidRPr="00B253CB">
              <w:rPr>
                <w:rFonts w:cs="Arial"/>
              </w:rPr>
              <w:t>-23</w:t>
            </w:r>
          </w:p>
        </w:tc>
        <w:tc>
          <w:tcPr>
            <w:tcW w:w="1039" w:type="dxa"/>
          </w:tcPr>
          <w:p w14:paraId="1CBCE481" w14:textId="417C7060" w:rsidR="00B253CB" w:rsidRPr="00B253CB" w:rsidRDefault="00B253CB" w:rsidP="00B253CB">
            <w:pPr>
              <w:rPr>
                <w:rFonts w:cs="Arial"/>
              </w:rPr>
            </w:pPr>
            <w:r w:rsidRPr="00B253CB">
              <w:rPr>
                <w:rFonts w:cs="Arial"/>
              </w:rPr>
              <w:t>-51</w:t>
            </w:r>
          </w:p>
        </w:tc>
        <w:tc>
          <w:tcPr>
            <w:tcW w:w="1039" w:type="dxa"/>
          </w:tcPr>
          <w:p w14:paraId="1596E110" w14:textId="1282B34C" w:rsidR="00B253CB" w:rsidRPr="00B253CB" w:rsidRDefault="00B253CB" w:rsidP="00B253CB">
            <w:pPr>
              <w:rPr>
                <w:rFonts w:cs="Arial"/>
              </w:rPr>
            </w:pPr>
            <w:r w:rsidRPr="00B253CB">
              <w:rPr>
                <w:rFonts w:cs="Arial"/>
              </w:rPr>
              <w:t>-46</w:t>
            </w:r>
          </w:p>
        </w:tc>
        <w:tc>
          <w:tcPr>
            <w:tcW w:w="1039" w:type="dxa"/>
          </w:tcPr>
          <w:p w14:paraId="5844DF21" w14:textId="3B251937" w:rsidR="00B253CB" w:rsidRPr="00B253CB" w:rsidRDefault="00B253CB" w:rsidP="00B253CB">
            <w:pPr>
              <w:rPr>
                <w:rFonts w:cs="Arial"/>
              </w:rPr>
            </w:pPr>
            <w:r w:rsidRPr="00B253CB">
              <w:rPr>
                <w:rFonts w:cs="Arial"/>
              </w:rPr>
              <w:t>5</w:t>
            </w:r>
          </w:p>
        </w:tc>
      </w:tr>
      <w:tr w:rsidR="00B253CB" w:rsidRPr="00B253CB" w14:paraId="549A65A3" w14:textId="77777777" w:rsidTr="00B253CB">
        <w:tc>
          <w:tcPr>
            <w:tcW w:w="1038" w:type="dxa"/>
          </w:tcPr>
          <w:p w14:paraId="1DC03E13" w14:textId="19452C13" w:rsidR="00B253CB" w:rsidRPr="00B253CB" w:rsidRDefault="00B253CB" w:rsidP="00B253CB">
            <w:pPr>
              <w:rPr>
                <w:rFonts w:cs="Arial"/>
              </w:rPr>
            </w:pPr>
            <w:r w:rsidRPr="00B253CB">
              <w:rPr>
                <w:rFonts w:cs="Arial"/>
                <w:lang w:eastAsia="bg-BG"/>
              </w:rPr>
              <w:t>40</w:t>
            </w:r>
          </w:p>
        </w:tc>
        <w:tc>
          <w:tcPr>
            <w:tcW w:w="1039" w:type="dxa"/>
          </w:tcPr>
          <w:p w14:paraId="731A32F8" w14:textId="0DB88742" w:rsidR="00B253CB" w:rsidRPr="00B253CB" w:rsidRDefault="00B253CB" w:rsidP="00B253CB">
            <w:pPr>
              <w:rPr>
                <w:rFonts w:cs="Arial"/>
              </w:rPr>
            </w:pPr>
            <w:r w:rsidRPr="00B253CB">
              <w:rPr>
                <w:rFonts w:cs="Arial"/>
                <w:lang w:eastAsia="bg-BG"/>
              </w:rPr>
              <w:t>18</w:t>
            </w:r>
          </w:p>
        </w:tc>
        <w:tc>
          <w:tcPr>
            <w:tcW w:w="1039" w:type="dxa"/>
          </w:tcPr>
          <w:p w14:paraId="4F224CA7" w14:textId="7B29A4D9" w:rsidR="00B253CB" w:rsidRPr="00B253CB" w:rsidRDefault="00B253CB" w:rsidP="00B253CB">
            <w:pPr>
              <w:rPr>
                <w:rFonts w:cs="Arial"/>
              </w:rPr>
            </w:pPr>
            <w:r w:rsidRPr="00B253CB">
              <w:rPr>
                <w:rFonts w:cs="Arial"/>
                <w:lang w:eastAsia="bg-BG"/>
              </w:rPr>
              <w:t>-63</w:t>
            </w:r>
          </w:p>
        </w:tc>
        <w:tc>
          <w:tcPr>
            <w:tcW w:w="1039" w:type="dxa"/>
          </w:tcPr>
          <w:p w14:paraId="71E3868B" w14:textId="07A609AE" w:rsidR="00B253CB" w:rsidRPr="00B253CB" w:rsidRDefault="00B253CB" w:rsidP="00B253CB">
            <w:pPr>
              <w:rPr>
                <w:rFonts w:cs="Arial"/>
              </w:rPr>
            </w:pPr>
            <w:r w:rsidRPr="00B253CB">
              <w:rPr>
                <w:rFonts w:cs="Arial"/>
                <w:lang w:eastAsia="bg-BG"/>
              </w:rPr>
              <w:t>-46</w:t>
            </w:r>
          </w:p>
        </w:tc>
        <w:tc>
          <w:tcPr>
            <w:tcW w:w="1039" w:type="dxa"/>
          </w:tcPr>
          <w:p w14:paraId="40AD8792" w14:textId="29A4A112" w:rsidR="00B253CB" w:rsidRPr="00B253CB" w:rsidRDefault="00B253CB" w:rsidP="00B253CB">
            <w:pPr>
              <w:rPr>
                <w:rFonts w:cs="Arial"/>
              </w:rPr>
            </w:pPr>
            <w:r w:rsidRPr="00B253CB">
              <w:rPr>
                <w:rFonts w:cs="Arial"/>
                <w:lang w:eastAsia="bg-BG"/>
              </w:rPr>
              <w:t>10</w:t>
            </w:r>
          </w:p>
        </w:tc>
        <w:tc>
          <w:tcPr>
            <w:tcW w:w="1039" w:type="dxa"/>
          </w:tcPr>
          <w:p w14:paraId="5C36B64B" w14:textId="0413CE1A" w:rsidR="00B253CB" w:rsidRPr="00B253CB" w:rsidRDefault="00B253CB" w:rsidP="00B253CB">
            <w:pPr>
              <w:rPr>
                <w:rFonts w:cs="Arial"/>
              </w:rPr>
            </w:pPr>
            <w:r w:rsidRPr="00B253CB">
              <w:rPr>
                <w:rFonts w:cs="Arial"/>
              </w:rPr>
              <w:t>-28</w:t>
            </w:r>
          </w:p>
        </w:tc>
        <w:tc>
          <w:tcPr>
            <w:tcW w:w="1039" w:type="dxa"/>
          </w:tcPr>
          <w:p w14:paraId="39FC3550" w14:textId="15702774" w:rsidR="00B253CB" w:rsidRPr="00B253CB" w:rsidRDefault="00B253CB" w:rsidP="00B253CB">
            <w:pPr>
              <w:rPr>
                <w:rFonts w:cs="Arial"/>
              </w:rPr>
            </w:pPr>
            <w:r w:rsidRPr="00B253CB">
              <w:rPr>
                <w:rFonts w:cs="Arial"/>
              </w:rPr>
              <w:t>-60</w:t>
            </w:r>
          </w:p>
        </w:tc>
        <w:tc>
          <w:tcPr>
            <w:tcW w:w="1039" w:type="dxa"/>
          </w:tcPr>
          <w:p w14:paraId="1B95FE47" w14:textId="686D87CE" w:rsidR="00B253CB" w:rsidRPr="00B253CB" w:rsidRDefault="00B253CB" w:rsidP="00B253CB">
            <w:pPr>
              <w:rPr>
                <w:rFonts w:cs="Arial"/>
              </w:rPr>
            </w:pPr>
            <w:r w:rsidRPr="00B253CB">
              <w:rPr>
                <w:rFonts w:cs="Arial"/>
              </w:rPr>
              <w:t>-54</w:t>
            </w:r>
          </w:p>
        </w:tc>
        <w:tc>
          <w:tcPr>
            <w:tcW w:w="1039" w:type="dxa"/>
          </w:tcPr>
          <w:p w14:paraId="6448B6D1" w14:textId="4CFFD941" w:rsidR="00B253CB" w:rsidRPr="00B253CB" w:rsidRDefault="00B253CB" w:rsidP="00B253CB">
            <w:pPr>
              <w:rPr>
                <w:rFonts w:cs="Arial"/>
              </w:rPr>
            </w:pPr>
            <w:r w:rsidRPr="00B253CB">
              <w:rPr>
                <w:rFonts w:cs="Arial"/>
              </w:rPr>
              <w:t>0</w:t>
            </w:r>
          </w:p>
        </w:tc>
      </w:tr>
    </w:tbl>
    <w:p w14:paraId="528567ED" w14:textId="4EADCDFA" w:rsidR="00EA3EED" w:rsidRPr="00B253CB" w:rsidRDefault="00EA3EED" w:rsidP="0091385D">
      <w:pPr>
        <w:rPr>
          <w:rFonts w:cs="Arial"/>
        </w:rPr>
      </w:pPr>
    </w:p>
    <w:p w14:paraId="38BBCD58"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30ADAE04" w14:textId="77777777" w:rsidR="00B253CB" w:rsidRPr="00B253CB" w:rsidRDefault="00B253CB" w:rsidP="00B253CB">
      <w:pPr>
        <w:spacing w:line="240" w:lineRule="auto"/>
        <w:rPr>
          <w:rFonts w:eastAsia="Times New Roman" w:cs="Arial"/>
          <w:color w:val="000000"/>
          <w:lang w:eastAsia="bg-BG"/>
        </w:rPr>
      </w:pPr>
    </w:p>
    <w:p w14:paraId="17C16909" w14:textId="1CBA431F"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е ефективен при възрастни с хиперхолестеролемия, 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B55FC3C" w14:textId="77777777" w:rsidR="00B253CB" w:rsidRPr="00B253CB" w:rsidRDefault="00B253CB" w:rsidP="00B253CB">
      <w:pPr>
        <w:spacing w:line="240" w:lineRule="auto"/>
        <w:rPr>
          <w:rFonts w:eastAsia="Times New Roman" w:cs="Arial"/>
          <w:color w:val="000000"/>
          <w:lang w:eastAsia="bg-BG"/>
        </w:rPr>
      </w:pPr>
    </w:p>
    <w:p w14:paraId="71E748D2" w14:textId="6B0B4B5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От обобщени фаза Ш данни е доказано, че розувастатин е ефективен при третирането на по- голямата част от пациентите с хиперхолестеролемия тип IIа и II</w:t>
      </w:r>
      <w:r w:rsidRPr="00B253CB">
        <w:rPr>
          <w:rFonts w:eastAsia="Times New Roman" w:cs="Arial"/>
          <w:color w:val="000000"/>
          <w:lang w:val="en-US"/>
        </w:rPr>
        <w:t>b</w:t>
      </w:r>
      <w:r w:rsidRPr="00B253CB">
        <w:rPr>
          <w:rFonts w:eastAsia="Times New Roman" w:cs="Arial"/>
          <w:color w:val="000000"/>
          <w:lang w:eastAsia="bg-BG"/>
        </w:rPr>
        <w:t xml:space="preserve"> (средна изходна стойност на </w:t>
      </w:r>
      <w:r w:rsidRPr="00B253CB">
        <w:rPr>
          <w:rFonts w:eastAsia="Times New Roman" w:cs="Arial"/>
          <w:color w:val="000000"/>
          <w:lang w:val="en-US"/>
        </w:rPr>
        <w:t xml:space="preserve">LDL-C </w:t>
      </w:r>
      <w:r w:rsidRPr="00B253CB">
        <w:rPr>
          <w:rFonts w:eastAsia="Times New Roman" w:cs="Arial"/>
          <w:color w:val="000000"/>
          <w:lang w:eastAsia="bg-BG"/>
        </w:rPr>
        <w:t xml:space="preserve">около 4,8 </w:t>
      </w:r>
      <w:r w:rsidRPr="00B253CB">
        <w:rPr>
          <w:rFonts w:eastAsia="Times New Roman" w:cs="Arial"/>
          <w:color w:val="000000"/>
          <w:lang w:val="en-US"/>
        </w:rPr>
        <w:t xml:space="preserve">mmol/1) </w:t>
      </w:r>
      <w:r w:rsidRPr="00B253CB">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B253CB">
        <w:rPr>
          <w:rFonts w:eastAsia="Times New Roman" w:cs="Arial"/>
          <w:color w:val="000000"/>
          <w:lang w:val="en-US"/>
        </w:rPr>
        <w:t xml:space="preserve">(European Atherosclerosis Society (EAS); 1998)); </w:t>
      </w:r>
      <w:r w:rsidRPr="00B253CB">
        <w:rPr>
          <w:rFonts w:eastAsia="Times New Roman" w:cs="Arial"/>
          <w:color w:val="000000"/>
          <w:lang w:eastAsia="bg-BG"/>
        </w:rPr>
        <w:t xml:space="preserve">около </w:t>
      </w:r>
      <w:r w:rsidRPr="00B253CB">
        <w:rPr>
          <w:rFonts w:eastAsia="Times New Roman" w:cs="Arial"/>
          <w:color w:val="000000"/>
          <w:lang w:val="en-US"/>
        </w:rPr>
        <w:t xml:space="preserve">80% </w:t>
      </w:r>
      <w:r w:rsidRPr="00B253CB">
        <w:rPr>
          <w:rFonts w:eastAsia="Times New Roman" w:cs="Arial"/>
          <w:color w:val="000000"/>
          <w:lang w:eastAsia="bg-BG"/>
        </w:rPr>
        <w:t xml:space="preserve">от пациентите, третирани с 10 </w:t>
      </w:r>
      <w:r w:rsidRPr="00B253CB">
        <w:rPr>
          <w:rFonts w:eastAsia="Times New Roman" w:cs="Arial"/>
          <w:color w:val="000000"/>
          <w:lang w:val="en-US"/>
        </w:rPr>
        <w:t xml:space="preserve">mg, </w:t>
      </w:r>
      <w:r w:rsidRPr="00B253CB">
        <w:rPr>
          <w:rFonts w:eastAsia="Times New Roman" w:cs="Arial"/>
          <w:color w:val="000000"/>
          <w:lang w:eastAsia="bg-BG"/>
        </w:rPr>
        <w:t xml:space="preserve">достигат целевите стойности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634BB929" w14:textId="77777777" w:rsidR="00B253CB" w:rsidRPr="00B253CB" w:rsidRDefault="00B253CB" w:rsidP="00B253CB">
      <w:pPr>
        <w:spacing w:line="240" w:lineRule="auto"/>
        <w:rPr>
          <w:rFonts w:eastAsia="Times New Roman" w:cs="Arial"/>
          <w:color w:val="000000"/>
          <w:lang w:eastAsia="bg-BG"/>
        </w:rPr>
      </w:pPr>
    </w:p>
    <w:p w14:paraId="50E1963A" w14:textId="057E8F4A"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B253CB">
        <w:rPr>
          <w:rFonts w:eastAsia="Times New Roman" w:cs="Arial"/>
          <w:color w:val="000000"/>
          <w:lang w:val="en-US"/>
        </w:rPr>
        <w:t xml:space="preserve">mg </w:t>
      </w:r>
      <w:r w:rsidRPr="00B253CB">
        <w:rPr>
          <w:rFonts w:eastAsia="Times New Roman" w:cs="Arial"/>
          <w:color w:val="000000"/>
          <w:lang w:eastAsia="bg-BG"/>
        </w:rPr>
        <w:t xml:space="preserve">до 80 </w:t>
      </w:r>
      <w:r w:rsidRPr="00B253CB">
        <w:rPr>
          <w:rFonts w:eastAsia="Times New Roman" w:cs="Arial"/>
          <w:color w:val="000000"/>
          <w:lang w:val="en-US"/>
        </w:rPr>
        <w:t xml:space="preserve">mg. </w:t>
      </w:r>
      <w:r w:rsidRPr="00B253CB">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B253CB">
        <w:rPr>
          <w:rFonts w:eastAsia="Times New Roman" w:cs="Arial"/>
          <w:color w:val="000000"/>
          <w:lang w:val="en-US"/>
        </w:rPr>
        <w:t xml:space="preserve">mg </w:t>
      </w:r>
      <w:r w:rsidRPr="00B253CB">
        <w:rPr>
          <w:rFonts w:eastAsia="Times New Roman" w:cs="Arial"/>
          <w:color w:val="000000"/>
          <w:lang w:eastAsia="bg-BG"/>
        </w:rPr>
        <w:t xml:space="preserve">(12-седмично лечение), </w:t>
      </w:r>
      <w:r w:rsidRPr="00B253CB">
        <w:rPr>
          <w:rFonts w:eastAsia="Times New Roman" w:cs="Arial"/>
          <w:color w:val="000000"/>
          <w:lang w:val="en-US"/>
        </w:rPr>
        <w:t xml:space="preserve">LDL-C </w:t>
      </w:r>
      <w:r w:rsidRPr="00B253CB">
        <w:rPr>
          <w:rFonts w:eastAsia="Times New Roman" w:cs="Arial"/>
          <w:color w:val="000000"/>
          <w:lang w:eastAsia="bg-BG"/>
        </w:rPr>
        <w:t xml:space="preserve">се понижава с 53%. 33% от пациентите достигат насоките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79030FB5" w14:textId="77777777" w:rsidR="00B253CB" w:rsidRPr="00B253CB" w:rsidRDefault="00B253CB" w:rsidP="00B253CB">
      <w:pPr>
        <w:spacing w:line="240" w:lineRule="auto"/>
        <w:rPr>
          <w:rFonts w:eastAsia="Times New Roman" w:cs="Arial"/>
          <w:color w:val="000000"/>
          <w:lang w:eastAsia="bg-BG"/>
        </w:rPr>
      </w:pPr>
    </w:p>
    <w:p w14:paraId="794D054F" w14:textId="5CF689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B253CB">
        <w:rPr>
          <w:rFonts w:eastAsia="Times New Roman" w:cs="Arial"/>
          <w:color w:val="000000"/>
          <w:lang w:val="en-US"/>
        </w:rPr>
        <w:t xml:space="preserve">mg </w:t>
      </w:r>
      <w:r w:rsidRPr="00B253CB">
        <w:rPr>
          <w:rFonts w:eastAsia="Times New Roman" w:cs="Arial"/>
          <w:color w:val="000000"/>
          <w:lang w:eastAsia="bg-BG"/>
        </w:rPr>
        <w:t xml:space="preserve">при 42 пациенти с хомозиготна фамилна хиперхолестеролемия. Средното намаление на </w:t>
      </w:r>
      <w:r w:rsidRPr="00B253CB">
        <w:rPr>
          <w:rFonts w:eastAsia="Times New Roman" w:cs="Arial"/>
          <w:color w:val="000000"/>
          <w:lang w:val="en-US"/>
        </w:rPr>
        <w:t xml:space="preserve">LDL-C </w:t>
      </w:r>
      <w:r w:rsidRPr="00B253CB">
        <w:rPr>
          <w:rFonts w:eastAsia="Times New Roman" w:cs="Arial"/>
          <w:color w:val="000000"/>
          <w:lang w:eastAsia="bg-BG"/>
        </w:rPr>
        <w:t>в общата популация е 22%.</w:t>
      </w:r>
    </w:p>
    <w:p w14:paraId="3E8DB21B" w14:textId="77777777" w:rsidR="00B253CB" w:rsidRPr="00B253CB" w:rsidRDefault="00B253CB" w:rsidP="00B253CB">
      <w:pPr>
        <w:spacing w:line="240" w:lineRule="auto"/>
        <w:rPr>
          <w:rFonts w:eastAsia="Times New Roman" w:cs="Arial"/>
          <w:color w:val="000000"/>
          <w:lang w:eastAsia="bg-BG"/>
        </w:rPr>
      </w:pPr>
    </w:p>
    <w:p w14:paraId="1AD1AA87" w14:textId="67082559"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клинични проучвания с ограничен брой пациенти се установява, че розувастатин има адитивна ефикасност при понижаване на триглицеридите, когато се използва в </w:t>
      </w:r>
      <w:r w:rsidRPr="00B253CB">
        <w:rPr>
          <w:rFonts w:eastAsia="Times New Roman" w:cs="Arial"/>
          <w:color w:val="000000"/>
          <w:lang w:eastAsia="bg-BG"/>
        </w:rPr>
        <w:lastRenderedPageBreak/>
        <w:t xml:space="preserve">комбинация с фенофибрат и при повишаване на нивата на </w:t>
      </w:r>
      <w:r w:rsidRPr="00B253CB">
        <w:rPr>
          <w:rFonts w:eastAsia="Times New Roman" w:cs="Arial"/>
          <w:color w:val="000000"/>
          <w:lang w:val="en-US"/>
        </w:rPr>
        <w:t xml:space="preserve">HDL-C, </w:t>
      </w:r>
      <w:r w:rsidRPr="00B253CB">
        <w:rPr>
          <w:rFonts w:eastAsia="Times New Roman" w:cs="Arial"/>
          <w:color w:val="000000"/>
          <w:lang w:eastAsia="bg-BG"/>
        </w:rPr>
        <w:t>когато се използва в комбинация с ниацин (вж. точка 4.4).</w:t>
      </w:r>
    </w:p>
    <w:p w14:paraId="2ED2C624" w14:textId="77777777" w:rsidR="00B253CB" w:rsidRPr="00B253CB" w:rsidRDefault="00B253CB" w:rsidP="00B253CB">
      <w:pPr>
        <w:rPr>
          <w:rFonts w:eastAsia="Times New Roman" w:cs="Arial"/>
          <w:color w:val="000000"/>
          <w:lang w:eastAsia="bg-BG"/>
        </w:rPr>
      </w:pPr>
    </w:p>
    <w:p w14:paraId="0DC90AA0"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В мултицентрово, двойносляпо, плацебо-контролирано клинично проучване </w:t>
      </w:r>
      <w:r w:rsidRPr="00B253CB">
        <w:rPr>
          <w:rFonts w:eastAsia="Times New Roman" w:cs="Arial"/>
          <w:color w:val="000000"/>
          <w:lang w:val="en-US"/>
        </w:rPr>
        <w:t xml:space="preserve">(METEOR), </w:t>
      </w:r>
      <w:r w:rsidRPr="00B253CB">
        <w:rPr>
          <w:rFonts w:eastAsia="Times New Roman" w:cs="Arial"/>
          <w:color w:val="000000"/>
          <w:lang w:eastAsia="bg-BG"/>
        </w:rPr>
        <w:t xml:space="preserve">984 пациенти на възраст между 45 и 70 години и с нисък риск за коронарна болест на сърцето (дефиниран като риск по </w:t>
      </w:r>
      <w:r w:rsidRPr="00B253CB">
        <w:rPr>
          <w:rFonts w:eastAsia="Times New Roman" w:cs="Arial"/>
          <w:color w:val="000000"/>
          <w:lang w:val="en-US"/>
        </w:rPr>
        <w:t xml:space="preserve">Framingham </w:t>
      </w:r>
      <w:r w:rsidRPr="00B253CB">
        <w:rPr>
          <w:rFonts w:eastAsia="Times New Roman" w:cs="Arial"/>
          <w:color w:val="000000"/>
          <w:lang w:eastAsia="bg-BG"/>
        </w:rPr>
        <w:t xml:space="preserve">&lt;10% в продължение на 10 години), със средна стойност за </w:t>
      </w:r>
      <w:r w:rsidRPr="00B253CB">
        <w:rPr>
          <w:rFonts w:eastAsia="Times New Roman" w:cs="Arial"/>
          <w:color w:val="000000"/>
          <w:lang w:val="en-US"/>
        </w:rPr>
        <w:t xml:space="preserve">LDL-C </w:t>
      </w:r>
      <w:r w:rsidRPr="00B253CB">
        <w:rPr>
          <w:rFonts w:eastAsia="Times New Roman" w:cs="Arial"/>
          <w:color w:val="000000"/>
          <w:lang w:eastAsia="bg-BG"/>
        </w:rPr>
        <w:t xml:space="preserve">4,0 </w:t>
      </w:r>
      <w:r w:rsidRPr="00B253CB">
        <w:rPr>
          <w:rFonts w:eastAsia="Times New Roman" w:cs="Arial"/>
          <w:color w:val="000000"/>
          <w:lang w:val="en-US"/>
        </w:rPr>
        <w:t xml:space="preserve">mmol/l </w:t>
      </w:r>
      <w:r w:rsidRPr="00B253CB">
        <w:rPr>
          <w:rFonts w:eastAsia="Times New Roman" w:cs="Arial"/>
          <w:color w:val="000000"/>
          <w:lang w:eastAsia="bg-BG"/>
        </w:rPr>
        <w:t xml:space="preserve">(154,5 </w:t>
      </w:r>
      <w:r w:rsidRPr="00B253CB">
        <w:rPr>
          <w:rFonts w:eastAsia="Times New Roman" w:cs="Arial"/>
          <w:color w:val="000000"/>
          <w:lang w:val="en-US"/>
        </w:rPr>
        <w:t xml:space="preserve">mg/dl), </w:t>
      </w:r>
      <w:r w:rsidRPr="00B253CB">
        <w:rPr>
          <w:rFonts w:eastAsia="Times New Roman" w:cs="Arial"/>
          <w:color w:val="000000"/>
          <w:lang w:eastAsia="bg-BG"/>
        </w:rPr>
        <w:t xml:space="preserve">но със субклинична атеросклероза (установена чрез измерване на дебелината на интима медия на каротидните артерии </w:t>
      </w:r>
      <w:r w:rsidRPr="00B253CB">
        <w:rPr>
          <w:rFonts w:eastAsia="Times New Roman" w:cs="Arial"/>
          <w:color w:val="000000"/>
          <w:lang w:val="en-US"/>
        </w:rPr>
        <w:t xml:space="preserve">(Carotid Intima Media Thickness, CI MT) </w:t>
      </w:r>
      <w:r w:rsidRPr="00B253CB">
        <w:rPr>
          <w:rFonts w:eastAsia="Times New Roman" w:cs="Arial"/>
          <w:color w:val="000000"/>
          <w:lang w:eastAsia="bg-BG"/>
        </w:rPr>
        <w:t xml:space="preserve">са рандомизирани на </w:t>
      </w:r>
      <w:r w:rsidRPr="00B253CB">
        <w:rPr>
          <w:rFonts w:eastAsia="Times New Roman" w:cs="Arial"/>
          <w:color w:val="000000"/>
          <w:lang w:val="en-US"/>
        </w:rPr>
        <w:t xml:space="preserve">40 mg </w:t>
      </w:r>
      <w:r w:rsidRPr="00B253CB">
        <w:rPr>
          <w:rFonts w:eastAsia="Times New Roman" w:cs="Arial"/>
          <w:color w:val="000000"/>
          <w:lang w:eastAsia="bg-BG"/>
        </w:rPr>
        <w:t xml:space="preserve">розувастатин веднъж дневно или плацебо за 2 години. Розувастатин значително забавя прогресията на максималната </w:t>
      </w:r>
      <w:r w:rsidRPr="00B253CB">
        <w:rPr>
          <w:rFonts w:eastAsia="Times New Roman" w:cs="Arial"/>
          <w:color w:val="000000"/>
          <w:lang w:val="en-US"/>
        </w:rPr>
        <w:t xml:space="preserve">CIMT </w:t>
      </w:r>
      <w:r w:rsidRPr="00B253CB">
        <w:rPr>
          <w:rFonts w:eastAsia="Times New Roman" w:cs="Arial"/>
          <w:color w:val="000000"/>
          <w:lang w:eastAsia="bg-BG"/>
        </w:rPr>
        <w:t>за всички 12</w:t>
      </w:r>
      <w:r w:rsidRPr="00B253CB">
        <w:rPr>
          <w:rFonts w:eastAsia="Times New Roman" w:cs="Arial"/>
          <w:color w:val="000000"/>
          <w:u w:val="single"/>
          <w:lang w:eastAsia="bg-BG"/>
        </w:rPr>
        <w:t xml:space="preserve"> </w:t>
      </w:r>
      <w:r w:rsidRPr="00B253CB">
        <w:rPr>
          <w:rFonts w:eastAsia="Times New Roman" w:cs="Arial"/>
          <w:color w:val="000000"/>
          <w:lang w:eastAsia="bg-BG"/>
        </w:rPr>
        <w:t xml:space="preserve">участъка в каротидните артерии, в сравнение с плацебо, с -0,0145 </w:t>
      </w:r>
      <w:r w:rsidRPr="00B253CB">
        <w:rPr>
          <w:rFonts w:eastAsia="Times New Roman" w:cs="Arial"/>
          <w:color w:val="000000"/>
          <w:lang w:val="en-US"/>
        </w:rPr>
        <w:t>mm</w:t>
      </w:r>
      <w:r w:rsidRPr="00B253CB">
        <w:rPr>
          <w:rFonts w:eastAsia="Times New Roman" w:cs="Arial"/>
          <w:color w:val="000000"/>
          <w:lang w:eastAsia="bg-BG"/>
        </w:rPr>
        <w:t xml:space="preserve">/година [95% доверителен интервал (ДИ) -0,0196, -0,0093; р&lt;0,0001]. Промяната спрямо изходната стойност е -0,0014 </w:t>
      </w:r>
      <w:r w:rsidRPr="00B253CB">
        <w:rPr>
          <w:rFonts w:eastAsia="Times New Roman" w:cs="Arial"/>
          <w:color w:val="000000"/>
          <w:lang w:val="en-US"/>
        </w:rPr>
        <w:t>mm</w:t>
      </w:r>
      <w:r w:rsidRPr="00B253CB">
        <w:rPr>
          <w:rFonts w:eastAsia="Times New Roman" w:cs="Arial"/>
          <w:color w:val="000000"/>
          <w:lang w:eastAsia="bg-BG"/>
        </w:rPr>
        <w:t xml:space="preserve">/година (-0,12%/година (незначима)) за розувастатин в сравнение с прогресията от +0,013 </w:t>
      </w:r>
      <w:r w:rsidRPr="00B253CB">
        <w:rPr>
          <w:rFonts w:eastAsia="Times New Roman" w:cs="Arial"/>
          <w:color w:val="000000"/>
          <w:lang w:val="en-US"/>
        </w:rPr>
        <w:t>mm</w:t>
      </w:r>
      <w:r w:rsidRPr="00B253CB">
        <w:rPr>
          <w:rFonts w:eastAsia="Times New Roman" w:cs="Arial"/>
          <w:color w:val="000000"/>
          <w:lang w:eastAsia="bg-BG"/>
        </w:rPr>
        <w:t>/година (1,12%/година (р&lt;0,0001)) за плацебо. Все още не е доказана пряка</w:t>
      </w:r>
      <w:r w:rsidRPr="00B253CB">
        <w:rPr>
          <w:rFonts w:eastAsia="Times New Roman" w:cs="Arial"/>
          <w:color w:val="000000"/>
          <w:lang w:val="en-US"/>
        </w:rPr>
        <w:t xml:space="preserve"> </w:t>
      </w:r>
      <w:r w:rsidRPr="00B253CB">
        <w:rPr>
          <w:rFonts w:eastAsia="Times New Roman" w:cs="Arial"/>
          <w:color w:val="000000"/>
          <w:lang w:eastAsia="bg-BG"/>
        </w:rPr>
        <w:t xml:space="preserve">взаимовръзка между намалението на </w:t>
      </w:r>
      <w:r w:rsidRPr="00B253CB">
        <w:rPr>
          <w:rFonts w:eastAsia="Times New Roman" w:cs="Arial"/>
          <w:color w:val="000000"/>
          <w:lang w:val="en-US"/>
        </w:rPr>
        <w:t xml:space="preserve">CIMT </w:t>
      </w:r>
      <w:r w:rsidRPr="00B253CB">
        <w:rPr>
          <w:rFonts w:eastAsia="Times New Roman" w:cs="Arial"/>
          <w:color w:val="000000"/>
          <w:lang w:eastAsia="bg-BG"/>
        </w:rPr>
        <w:t xml:space="preserve">и понижаването на риска от сърдечносъдови събития. Популацията в проучването </w:t>
      </w:r>
      <w:r w:rsidRPr="00B253CB">
        <w:rPr>
          <w:rFonts w:eastAsia="Times New Roman" w:cs="Arial"/>
          <w:color w:val="000000"/>
          <w:lang w:val="en-US"/>
        </w:rPr>
        <w:t xml:space="preserve">METEOR </w:t>
      </w:r>
      <w:r w:rsidRPr="00B253CB">
        <w:rPr>
          <w:rFonts w:eastAsia="Times New Roman" w:cs="Arial"/>
          <w:color w:val="000000"/>
          <w:lang w:eastAsia="bg-BG"/>
        </w:rPr>
        <w:t xml:space="preserve">е с нисък риск за коронарна болест на сърцето и не е представителна за таргетната популация на розувастатин 40 </w:t>
      </w:r>
      <w:r w:rsidRPr="00B253CB">
        <w:rPr>
          <w:rFonts w:eastAsia="Times New Roman" w:cs="Arial"/>
          <w:color w:val="000000"/>
          <w:lang w:val="en-US"/>
        </w:rPr>
        <w:t xml:space="preserve">mg. </w:t>
      </w:r>
      <w:r w:rsidRPr="00B253CB">
        <w:rPr>
          <w:rFonts w:eastAsia="Times New Roman" w:cs="Arial"/>
          <w:color w:val="000000"/>
          <w:lang w:eastAsia="bg-BG"/>
        </w:rPr>
        <w:t xml:space="preserve">Дозата от 40 </w:t>
      </w:r>
      <w:r w:rsidRPr="00B253CB">
        <w:rPr>
          <w:rFonts w:eastAsia="Times New Roman" w:cs="Arial"/>
          <w:color w:val="000000"/>
          <w:lang w:val="en-US"/>
        </w:rPr>
        <w:t xml:space="preserve">mg </w:t>
      </w:r>
      <w:r w:rsidRPr="00B253CB">
        <w:rPr>
          <w:rFonts w:eastAsia="Times New Roman" w:cs="Arial"/>
          <w:color w:val="000000"/>
          <w:lang w:eastAsia="bg-BG"/>
        </w:rPr>
        <w:t>трябва да се предписва само при пациенти с тежка хиперхолестеролемия, с висок риск (вж. точка 4.2).</w:t>
      </w:r>
    </w:p>
    <w:p w14:paraId="3597D7C4" w14:textId="77777777" w:rsidR="00B253CB" w:rsidRPr="00B253CB" w:rsidRDefault="00B253CB" w:rsidP="00B253CB">
      <w:pPr>
        <w:spacing w:line="240" w:lineRule="auto"/>
        <w:rPr>
          <w:rFonts w:eastAsia="Times New Roman" w:cs="Arial"/>
          <w:color w:val="000000"/>
          <w:lang w:eastAsia="bg-BG"/>
        </w:rPr>
      </w:pPr>
    </w:p>
    <w:p w14:paraId="74A9428F" w14:textId="3CF59D14"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на основанията за употреба на статини в първичната профилактика: интервенционално изпитване, оценяващо розувастатин </w:t>
      </w:r>
      <w:r w:rsidRPr="00B253CB">
        <w:rPr>
          <w:rFonts w:eastAsia="Times New Roman" w:cs="Arial"/>
          <w:color w:val="000000"/>
          <w:lang w:val="en-US"/>
        </w:rPr>
        <w:t xml:space="preserve">(Justification for the Use of Statins in Primary Prevention: An Intervention Trial Evaluating Rosuvastatin, JUPITER) </w:t>
      </w:r>
      <w:r w:rsidRPr="00B253CB">
        <w:rPr>
          <w:rFonts w:eastAsia="Times New Roman" w:cs="Arial"/>
          <w:color w:val="000000"/>
          <w:lang w:eastAsia="bg-BG"/>
        </w:rPr>
        <w:t>е оценяван ефектът на розувастатин върху появата на големи атеросклеротични сърдечносъдови събития при 17 802 мъже (≥ 50 години) и жени (≥ 60 години).</w:t>
      </w:r>
    </w:p>
    <w:p w14:paraId="482B374F" w14:textId="77777777" w:rsidR="00B253CB" w:rsidRPr="00B253CB" w:rsidRDefault="00B253CB" w:rsidP="00B253CB">
      <w:pPr>
        <w:spacing w:line="240" w:lineRule="auto"/>
        <w:rPr>
          <w:rFonts w:eastAsia="Times New Roman" w:cs="Arial"/>
          <w:color w:val="000000"/>
          <w:lang w:eastAsia="bg-BG"/>
        </w:rPr>
      </w:pPr>
    </w:p>
    <w:p w14:paraId="1C6B6F1F" w14:textId="6974FD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Участниците в проучването са рандомизирани на плацебо (</w:t>
      </w:r>
      <w:r w:rsidRPr="00B253CB">
        <w:rPr>
          <w:rFonts w:eastAsia="Times New Roman" w:cs="Arial"/>
          <w:color w:val="000000"/>
          <w:lang w:val="en-US"/>
        </w:rPr>
        <w:t>n</w:t>
      </w:r>
      <w:r w:rsidRPr="00B253CB">
        <w:rPr>
          <w:rFonts w:eastAsia="Times New Roman" w:cs="Arial"/>
          <w:color w:val="000000"/>
          <w:lang w:eastAsia="bg-BG"/>
        </w:rPr>
        <w:t xml:space="preserve">=8901) или розувастатин 20 </w:t>
      </w:r>
      <w:r w:rsidRPr="00B253CB">
        <w:rPr>
          <w:rFonts w:eastAsia="Times New Roman" w:cs="Arial"/>
          <w:color w:val="000000"/>
          <w:lang w:val="en-US"/>
        </w:rPr>
        <w:t xml:space="preserve">mg </w:t>
      </w:r>
      <w:r w:rsidRPr="00B253CB">
        <w:rPr>
          <w:rFonts w:eastAsia="Times New Roman" w:cs="Arial"/>
          <w:color w:val="000000"/>
          <w:lang w:eastAsia="bg-BG"/>
        </w:rPr>
        <w:t>веднъж дневно (</w:t>
      </w:r>
      <w:r w:rsidRPr="00B253CB">
        <w:rPr>
          <w:rFonts w:eastAsia="Times New Roman" w:cs="Arial"/>
          <w:color w:val="000000"/>
          <w:lang w:val="en-US"/>
        </w:rPr>
        <w:t>n</w:t>
      </w:r>
      <w:r w:rsidRPr="00B253CB">
        <w:rPr>
          <w:rFonts w:eastAsia="Times New Roman" w:cs="Arial"/>
          <w:color w:val="000000"/>
          <w:lang w:eastAsia="bg-BG"/>
        </w:rPr>
        <w:t>=8 901) и са проследявани при средна продължителност от 2 години.</w:t>
      </w:r>
    </w:p>
    <w:p w14:paraId="6993E2E9" w14:textId="77777777" w:rsidR="00B253CB" w:rsidRPr="00B253CB" w:rsidRDefault="00B253CB" w:rsidP="00B253CB">
      <w:pPr>
        <w:spacing w:line="240" w:lineRule="auto"/>
        <w:rPr>
          <w:rFonts w:eastAsia="Times New Roman" w:cs="Arial"/>
          <w:color w:val="000000"/>
          <w:lang w:eastAsia="bg-BG"/>
        </w:rPr>
      </w:pPr>
    </w:p>
    <w:p w14:paraId="6092C5D0" w14:textId="3C677F8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Концентрацията на </w:t>
      </w:r>
      <w:r w:rsidRPr="00B253CB">
        <w:rPr>
          <w:rFonts w:eastAsia="Times New Roman" w:cs="Arial"/>
          <w:color w:val="000000"/>
          <w:lang w:val="en-US"/>
        </w:rPr>
        <w:t>LDL</w:t>
      </w:r>
      <w:r w:rsidRPr="00B253CB">
        <w:rPr>
          <w:rFonts w:eastAsia="Times New Roman" w:cs="Arial"/>
          <w:color w:val="000000"/>
          <w:lang w:eastAsia="bg-BG"/>
        </w:rPr>
        <w:t>-холестерола е намалена с 45% (р&lt;0,001) в групата на розувастатин в сравнение с групата на плацебо.</w:t>
      </w:r>
    </w:p>
    <w:p w14:paraId="6E61E3A7" w14:textId="77777777" w:rsidR="00B253CB" w:rsidRPr="00B253CB" w:rsidRDefault="00B253CB" w:rsidP="00B253CB">
      <w:pPr>
        <w:spacing w:line="240" w:lineRule="auto"/>
        <w:rPr>
          <w:rFonts w:eastAsia="Times New Roman" w:cs="Arial"/>
          <w:color w:val="000000"/>
          <w:lang w:eastAsia="bg-BG"/>
        </w:rPr>
      </w:pPr>
    </w:p>
    <w:p w14:paraId="79BB9653" w14:textId="0C031C50"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с изходен резултат за риска по </w:t>
      </w:r>
      <w:r w:rsidRPr="00B253CB">
        <w:rPr>
          <w:rFonts w:eastAsia="Times New Roman" w:cs="Arial"/>
          <w:color w:val="000000"/>
          <w:lang w:val="en-US"/>
        </w:rPr>
        <w:t xml:space="preserve">Framingham </w:t>
      </w:r>
      <w:r w:rsidRPr="00B253CB">
        <w:rPr>
          <w:rFonts w:eastAsia="Times New Roman" w:cs="Arial"/>
          <w:color w:val="000000"/>
          <w:lang w:eastAsia="bg-BG"/>
        </w:rPr>
        <w:t>&gt; 20% (1</w:t>
      </w:r>
      <w:r w:rsidRPr="00B253CB">
        <w:rPr>
          <w:rFonts w:eastAsia="Times New Roman" w:cs="Arial"/>
          <w:color w:val="000000"/>
          <w:lang w:val="en-US"/>
        </w:rPr>
        <w:t xml:space="preserve"> </w:t>
      </w:r>
      <w:r w:rsidRPr="00B253CB">
        <w:rPr>
          <w:rFonts w:eastAsia="Times New Roman" w:cs="Arial"/>
          <w:color w:val="000000"/>
          <w:lang w:eastAsia="bg-BG"/>
        </w:rPr>
        <w:t xml:space="preserve">558 лица) има значително намаление на комбинираната крайна точка от сърдечносъдова смърт, инсулт и инфаркт на миокарда (р=0,028) при лечението с розувастатин спрямо плацебо. Намалението на абсолютния риск в параметъра честота на събитията за 1 000 пациенто-години е 8,8. Общата смъртност остава непроменена в тази високорискова група (р=0,193). 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(общо 9 302 лица) с изходен резултат за риска по скалата </w:t>
      </w:r>
      <w:r w:rsidRPr="00B253CB">
        <w:rPr>
          <w:rFonts w:eastAsia="Times New Roman" w:cs="Arial"/>
          <w:color w:val="000000"/>
          <w:lang w:val="en-US"/>
        </w:rPr>
        <w:t xml:space="preserve">SCORE  </w:t>
      </w:r>
      <w:r w:rsidRPr="00B253CB">
        <w:rPr>
          <w:rFonts w:eastAsia="Times New Roman" w:cs="Arial"/>
          <w:color w:val="000000"/>
          <w:lang w:eastAsia="bg-BG"/>
        </w:rPr>
        <w:t>≥</w:t>
      </w:r>
      <w:r w:rsidRPr="00B253CB">
        <w:rPr>
          <w:rFonts w:eastAsia="Times New Roman" w:cs="Arial"/>
          <w:color w:val="000000"/>
          <w:lang w:val="en-US"/>
        </w:rPr>
        <w:t xml:space="preserve"> </w:t>
      </w:r>
      <w:r w:rsidRPr="00B253CB">
        <w:rPr>
          <w:rFonts w:eastAsia="Times New Roman" w:cs="Arial"/>
          <w:color w:val="000000"/>
          <w:lang w:eastAsia="bg-BG"/>
        </w:rPr>
        <w:t>5% (екстраполиран да включва лица над 65 години) има значително понижение на комбинираната крайна точка от сърдечносъдова смърт, инсулт и инфаркт на миокарда (р=0,0003) при лечението с розувастатин спрямо плацебо. Намалението на абсолютния риск в параметъра честота на събитията е 5,1 за 1 000 пациенто-години. Общата смъртност остава непроменена в тази високорискова група (р=0,076).</w:t>
      </w:r>
    </w:p>
    <w:p w14:paraId="4378AAD2" w14:textId="77777777" w:rsidR="00B253CB" w:rsidRPr="00B253CB" w:rsidRDefault="00B253CB" w:rsidP="00B253CB">
      <w:pPr>
        <w:spacing w:line="240" w:lineRule="auto"/>
        <w:rPr>
          <w:rFonts w:eastAsia="Times New Roman" w:cs="Arial"/>
          <w:color w:val="000000"/>
          <w:lang w:eastAsia="bg-BG"/>
        </w:rPr>
      </w:pPr>
    </w:p>
    <w:p w14:paraId="2C82DF38" w14:textId="63E7822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изпитването </w:t>
      </w:r>
      <w:r w:rsidRPr="00B253CB">
        <w:rPr>
          <w:rFonts w:eastAsia="Times New Roman" w:cs="Arial"/>
          <w:color w:val="000000"/>
          <w:lang w:val="en-US"/>
        </w:rPr>
        <w:t xml:space="preserve">JUPITER </w:t>
      </w:r>
      <w:r w:rsidRPr="00B253CB">
        <w:rPr>
          <w:rFonts w:eastAsia="Times New Roman" w:cs="Arial"/>
          <w:color w:val="000000"/>
          <w:lang w:eastAsia="bg-BG"/>
        </w:rPr>
        <w:t xml:space="preserve">6,6% от лицата на розувастатин и 6,2% от тези на плацебо прекратяват приложението на изследваното лекарство поради нежелано събитие. Най-честите нежелани събития, които довеждат до прекратяване на лечението са: миалгия (0,3% при розувастатин, 0,2% при плацебо), коремна болка (0,03% при розувастатин, </w:t>
      </w:r>
      <w:r w:rsidRPr="00B253CB">
        <w:rPr>
          <w:rFonts w:eastAsia="Times New Roman" w:cs="Arial"/>
          <w:color w:val="000000"/>
          <w:lang w:eastAsia="bg-BG"/>
        </w:rPr>
        <w:lastRenderedPageBreak/>
        <w:t>0,02% при плацебо) и обрив (0,02% при розувастатин, 0,03% при плацебо). Най-честите нежелани събития с честота, по-висока от или равна на плацебо, са инфекция на пикочните пътища (8,7% при розувастатин, 8,6% при плацебо), назофарингит (7,6% при розувастатин, 7,2% при плацебо), болка в гърба (7,6% при розувастатин, 6,9% при плацебо) и миалгия (7,6% при розувастатин, 6,6% при плацебо).</w:t>
      </w:r>
    </w:p>
    <w:p w14:paraId="5332EE29" w14:textId="77777777" w:rsidR="00B253CB" w:rsidRPr="00B253CB" w:rsidRDefault="00B253CB" w:rsidP="00B253CB">
      <w:pPr>
        <w:spacing w:line="240" w:lineRule="auto"/>
        <w:rPr>
          <w:rFonts w:eastAsia="Times New Roman" w:cs="Arial"/>
          <w:i/>
          <w:iCs/>
          <w:color w:val="000000"/>
          <w:lang w:eastAsia="bg-BG"/>
        </w:rPr>
      </w:pPr>
    </w:p>
    <w:p w14:paraId="33BA44EE" w14:textId="1D3D4954"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Педиатрична популация</w:t>
      </w:r>
    </w:p>
    <w:p w14:paraId="7CC3D20C" w14:textId="0BF33349" w:rsidR="00B253CB" w:rsidRPr="00B253CB" w:rsidRDefault="00B253CB" w:rsidP="00B253CB">
      <w:pPr>
        <w:rPr>
          <w:rFonts w:cs="Arial"/>
        </w:rPr>
      </w:pPr>
      <w:r w:rsidRPr="00B253CB">
        <w:rPr>
          <w:rFonts w:eastAsia="Times New Roman" w:cs="Arial"/>
          <w:color w:val="000000"/>
          <w:lang w:eastAsia="bg-BG"/>
        </w:rPr>
        <w:t>Не са налични данни за употребата на Роксипер при деца.</w:t>
      </w:r>
    </w:p>
    <w:p w14:paraId="154A9DBB" w14:textId="77777777" w:rsidR="00B253CB" w:rsidRPr="0091385D" w:rsidRDefault="00B253CB"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D002B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периндоприл</w:t>
      </w:r>
    </w:p>
    <w:p w14:paraId="1483CBF1" w14:textId="77777777" w:rsidR="00B253CB" w:rsidRPr="00B253CB" w:rsidRDefault="00B253CB" w:rsidP="00B253CB">
      <w:pPr>
        <w:spacing w:line="240" w:lineRule="auto"/>
        <w:rPr>
          <w:rFonts w:eastAsia="Times New Roman" w:cs="Arial"/>
          <w:i/>
          <w:iCs/>
          <w:color w:val="000000"/>
          <w:lang w:eastAsia="bg-BG"/>
        </w:rPr>
      </w:pPr>
    </w:p>
    <w:p w14:paraId="7A060FB5" w14:textId="6A067357"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 и бионаличност</w:t>
      </w:r>
    </w:p>
    <w:p w14:paraId="55959E0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След перорално приложение абсорбцията на периндоприл е бърза и пиковата концентрация се достига за 1 час. Плазменият полуживот на периндоприл е равен на 1 час.</w:t>
      </w:r>
    </w:p>
    <w:p w14:paraId="180C6F83" w14:textId="77777777" w:rsidR="00B253CB" w:rsidRPr="00B253CB" w:rsidRDefault="00B253CB" w:rsidP="00B253CB">
      <w:pPr>
        <w:spacing w:line="240" w:lineRule="auto"/>
        <w:rPr>
          <w:rFonts w:eastAsia="Times New Roman" w:cs="Arial"/>
          <w:i/>
          <w:iCs/>
          <w:color w:val="000000"/>
          <w:lang w:eastAsia="bg-BG"/>
        </w:rPr>
      </w:pPr>
    </w:p>
    <w:p w14:paraId="67DCFF9C" w14:textId="1F338F48"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2446E7E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Обемът на разпределение е приблизително 0,2 </w:t>
      </w:r>
      <w:r w:rsidRPr="00B253CB">
        <w:rPr>
          <w:rFonts w:eastAsia="Times New Roman" w:cs="Arial"/>
          <w:color w:val="000000"/>
          <w:lang w:val="en-US"/>
        </w:rPr>
        <w:t xml:space="preserve">l/kg </w:t>
      </w:r>
      <w:r w:rsidRPr="00B253CB">
        <w:rPr>
          <w:rFonts w:eastAsia="Times New Roman" w:cs="Arial"/>
          <w:color w:val="000000"/>
          <w:lang w:eastAsia="bg-BG"/>
        </w:rPr>
        <w:t>за несвързания периндоприлат. Свързването на периндоприлат с плазмените протеини е 20%, главно с ангиотензин-конвертиращия ензим, но е зависимо от концентрацията.</w:t>
      </w:r>
    </w:p>
    <w:p w14:paraId="237E61B6" w14:textId="77777777" w:rsidR="00B253CB" w:rsidRPr="00B253CB" w:rsidRDefault="00B253CB" w:rsidP="00B253CB">
      <w:pPr>
        <w:spacing w:line="240" w:lineRule="auto"/>
        <w:rPr>
          <w:rFonts w:eastAsia="Times New Roman" w:cs="Arial"/>
          <w:i/>
          <w:iCs/>
          <w:color w:val="000000"/>
          <w:lang w:eastAsia="bg-BG"/>
        </w:rPr>
      </w:pPr>
    </w:p>
    <w:p w14:paraId="4F3C4A49" w14:textId="301EAA77"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1409F98E"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Периндоприл е предлекарство. Двадесет и седем процента от приложената доза периндоприл достигат кръвотока под формата на активния метаболит периндоприлат. В допълнение към активния периндоприлат, периндоприл дава пет метаболита, всичките неактивни. Пиковата плазмена концентрация на периндоприлат се достига за 3 до 4 часа.</w:t>
      </w:r>
    </w:p>
    <w:p w14:paraId="5DB77DB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Тъй като приемът на храна намалява превръщането до периндоприлат, а с това и бионаличността, терт-бутиламиновият периндоприл трябва да се прилага перорално в еднократна дневна доза сутрин преди хранене.</w:t>
      </w:r>
    </w:p>
    <w:p w14:paraId="12A77348" w14:textId="77777777" w:rsidR="00B253CB" w:rsidRPr="00B253CB" w:rsidRDefault="00B253CB" w:rsidP="00B253CB">
      <w:pPr>
        <w:spacing w:line="240" w:lineRule="auto"/>
        <w:rPr>
          <w:rFonts w:eastAsia="Times New Roman" w:cs="Arial"/>
          <w:i/>
          <w:iCs/>
          <w:color w:val="000000"/>
          <w:lang w:eastAsia="bg-BG"/>
        </w:rPr>
      </w:pPr>
    </w:p>
    <w:p w14:paraId="635E0FF2" w14:textId="660CC326"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2A96A18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Периндоприлат се елиминира в урината и крайният полуживот на несвързаната фракция е приблизително 17 часа, което води до достигане на равновесното състояние за 4 дни,</w:t>
      </w:r>
    </w:p>
    <w:p w14:paraId="55FD0099" w14:textId="77777777" w:rsidR="00B253CB" w:rsidRPr="00B253CB" w:rsidRDefault="00B253CB" w:rsidP="00B253CB">
      <w:pPr>
        <w:spacing w:line="240" w:lineRule="auto"/>
        <w:rPr>
          <w:rFonts w:eastAsia="Times New Roman" w:cs="Arial"/>
          <w:i/>
          <w:iCs/>
          <w:color w:val="000000"/>
          <w:lang w:eastAsia="bg-BG"/>
        </w:rPr>
      </w:pPr>
    </w:p>
    <w:p w14:paraId="6FBFF0D0" w14:textId="54518235" w:rsidR="00B253CB" w:rsidRPr="00B253CB" w:rsidRDefault="00B253CB" w:rsidP="00B253CB">
      <w:pPr>
        <w:pStyle w:val="Heading3"/>
        <w:rPr>
          <w:rFonts w:eastAsia="Times New Roman"/>
          <w:u w:val="single"/>
          <w:lang w:eastAsia="bg-BG"/>
        </w:rPr>
      </w:pPr>
      <w:r w:rsidRPr="00B253CB">
        <w:rPr>
          <w:rFonts w:eastAsia="Times New Roman"/>
          <w:u w:val="single"/>
          <w:lang w:eastAsia="bg-BG"/>
        </w:rPr>
        <w:t>Линейност/нелинейност</w:t>
      </w:r>
    </w:p>
    <w:p w14:paraId="318658E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Демонстрирана е линейна зависимост между дозата на периндоприл и плазмената му експозиция.</w:t>
      </w:r>
    </w:p>
    <w:p w14:paraId="43B365B4" w14:textId="77777777" w:rsidR="00B253CB" w:rsidRPr="00B253CB" w:rsidRDefault="00B253CB" w:rsidP="00B253CB">
      <w:pPr>
        <w:spacing w:line="240" w:lineRule="auto"/>
        <w:rPr>
          <w:rFonts w:eastAsia="Times New Roman" w:cs="Arial"/>
          <w:i/>
          <w:iCs/>
          <w:color w:val="000000"/>
          <w:lang w:eastAsia="bg-BG"/>
        </w:rPr>
      </w:pPr>
    </w:p>
    <w:p w14:paraId="0A0E04DE" w14:textId="05CDD00E"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Старческа възраст</w:t>
      </w:r>
    </w:p>
    <w:p w14:paraId="56DD75C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Елиминирането на периндоприлат се понижава при пациенти в старческа възраст, а така също и при пациенти със сърдечна или бъбречна недостатъчност.</w:t>
      </w:r>
    </w:p>
    <w:p w14:paraId="6186A752" w14:textId="77777777" w:rsidR="00B253CB" w:rsidRPr="00B253CB" w:rsidRDefault="00B253CB" w:rsidP="00B253CB">
      <w:pPr>
        <w:spacing w:line="240" w:lineRule="auto"/>
        <w:rPr>
          <w:rFonts w:eastAsia="Times New Roman" w:cs="Arial"/>
          <w:i/>
          <w:iCs/>
          <w:color w:val="000000"/>
          <w:lang w:eastAsia="bg-BG"/>
        </w:rPr>
      </w:pPr>
    </w:p>
    <w:p w14:paraId="08FCA89E" w14:textId="28084D35"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FDD6DE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Желателно е коригиране на дозата при бъбречна недостатъчност в зависимост от степента на увреждането (креатининов клирънс).</w:t>
      </w:r>
    </w:p>
    <w:p w14:paraId="4CCDC26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Диализният клирънс на периндоприлат е равен на 70 </w:t>
      </w:r>
      <w:r w:rsidRPr="00B253CB">
        <w:rPr>
          <w:rFonts w:eastAsia="Times New Roman" w:cs="Arial"/>
          <w:color w:val="000000"/>
          <w:lang w:val="en-US"/>
        </w:rPr>
        <w:t>ml/min.</w:t>
      </w:r>
    </w:p>
    <w:p w14:paraId="75A3CD4F" w14:textId="77777777" w:rsidR="00B253CB" w:rsidRPr="00B253CB" w:rsidRDefault="00B253CB" w:rsidP="00B253CB">
      <w:pPr>
        <w:spacing w:line="240" w:lineRule="auto"/>
        <w:rPr>
          <w:rFonts w:eastAsia="Times New Roman" w:cs="Arial"/>
          <w:i/>
          <w:iCs/>
          <w:color w:val="000000"/>
          <w:lang w:eastAsia="bg-BG"/>
        </w:rPr>
      </w:pPr>
    </w:p>
    <w:p w14:paraId="0CA6FB6D" w14:textId="41F52BF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Цироза</w:t>
      </w:r>
    </w:p>
    <w:p w14:paraId="7D08458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Кинетиката на периндоприл се модифицира при пациентите с цироза: чернодробният клирънс на родителската молекула се намалява наполовина. Въпреки това, количеството образуван периндоприлат не се намалява и следователно, не се налага коригиране на дозата (вж. точки 4.2 и 4.4).</w:t>
      </w:r>
    </w:p>
    <w:p w14:paraId="0A0376E7" w14:textId="77777777" w:rsidR="00B253CB" w:rsidRPr="00B253CB" w:rsidRDefault="00B253CB" w:rsidP="00B253CB">
      <w:pPr>
        <w:spacing w:line="240" w:lineRule="auto"/>
        <w:rPr>
          <w:rFonts w:eastAsia="Times New Roman" w:cs="Arial"/>
          <w:color w:val="000000"/>
          <w:u w:val="single"/>
          <w:lang w:eastAsia="bg-BG"/>
        </w:rPr>
      </w:pPr>
    </w:p>
    <w:p w14:paraId="41616B4C" w14:textId="261B8D2B"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3AE9602E" w14:textId="77777777" w:rsidR="00B253CB" w:rsidRPr="00B253CB" w:rsidRDefault="00B253CB" w:rsidP="00B253CB">
      <w:pPr>
        <w:spacing w:line="240" w:lineRule="auto"/>
        <w:rPr>
          <w:rFonts w:eastAsia="Times New Roman" w:cs="Arial"/>
          <w:i/>
          <w:iCs/>
          <w:color w:val="000000"/>
          <w:lang w:eastAsia="bg-BG"/>
        </w:rPr>
      </w:pPr>
    </w:p>
    <w:p w14:paraId="515E0F43" w14:textId="7A020792"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07C503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Индапамид се абсорбира бързо и напълно в храносмилателния тракт.</w:t>
      </w:r>
    </w:p>
    <w:p w14:paraId="5C1DFD6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Пиковата плазмена концентрация се достига при хора приблизително един час след перорален прием на продукта.</w:t>
      </w:r>
    </w:p>
    <w:p w14:paraId="0AD72062" w14:textId="77777777" w:rsidR="00B253CB" w:rsidRPr="00B253CB" w:rsidRDefault="00B253CB" w:rsidP="00B253CB">
      <w:pPr>
        <w:spacing w:line="240" w:lineRule="auto"/>
        <w:rPr>
          <w:rFonts w:eastAsia="Times New Roman" w:cs="Arial"/>
          <w:i/>
          <w:iCs/>
          <w:color w:val="000000"/>
          <w:lang w:eastAsia="bg-BG"/>
        </w:rPr>
      </w:pPr>
    </w:p>
    <w:p w14:paraId="058F7E2A" w14:textId="0F74B1D6"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6CE7BCA4"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Свързването с плазмените протеини е 79%.</w:t>
      </w:r>
    </w:p>
    <w:p w14:paraId="2BE87246" w14:textId="77777777" w:rsidR="00B253CB" w:rsidRPr="00B253CB" w:rsidRDefault="00B253CB" w:rsidP="00B253CB">
      <w:pPr>
        <w:spacing w:line="240" w:lineRule="auto"/>
        <w:rPr>
          <w:rFonts w:eastAsia="Times New Roman" w:cs="Arial"/>
          <w:i/>
          <w:iCs/>
          <w:color w:val="000000"/>
          <w:lang w:eastAsia="bg-BG"/>
        </w:rPr>
      </w:pPr>
    </w:p>
    <w:p w14:paraId="113CBFF0" w14:textId="2D1F7C18"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629C24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Времето на елиминационен полуживот е между 14 и 24 часа (средно 18 часа). Многократното приложение не води до кумулация. Елиминирането е главно с урината (70% от дозата) и фецеса (22%) под формата на неактивни метаболити.</w:t>
      </w:r>
    </w:p>
    <w:p w14:paraId="0205A1DE" w14:textId="77777777" w:rsidR="00B253CB" w:rsidRPr="00B253CB" w:rsidRDefault="00B253CB" w:rsidP="00B253CB">
      <w:pPr>
        <w:spacing w:line="240" w:lineRule="auto"/>
        <w:rPr>
          <w:rFonts w:eastAsia="Times New Roman" w:cs="Arial"/>
          <w:i/>
          <w:iCs/>
          <w:color w:val="000000"/>
          <w:lang w:eastAsia="bg-BG"/>
        </w:rPr>
      </w:pPr>
    </w:p>
    <w:p w14:paraId="1B2EDD1E" w14:textId="4F22B850"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6FE5881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Фармакокинетичните свойства не се променят при пациенти с бъбречна недостатъчност.</w:t>
      </w:r>
    </w:p>
    <w:p w14:paraId="1F86F56F" w14:textId="77777777" w:rsidR="00B253CB" w:rsidRPr="00B253CB" w:rsidRDefault="00B253CB" w:rsidP="00B253CB">
      <w:pPr>
        <w:spacing w:line="240" w:lineRule="auto"/>
        <w:rPr>
          <w:rFonts w:eastAsia="Times New Roman" w:cs="Arial"/>
          <w:color w:val="000000"/>
          <w:u w:val="single"/>
          <w:lang w:eastAsia="bg-BG"/>
        </w:rPr>
      </w:pPr>
    </w:p>
    <w:p w14:paraId="53A38D90" w14:textId="413EC135"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EF82041" w14:textId="77777777" w:rsidR="00B253CB" w:rsidRPr="00B253CB" w:rsidRDefault="00B253CB" w:rsidP="00B253CB">
      <w:pPr>
        <w:spacing w:line="240" w:lineRule="auto"/>
        <w:rPr>
          <w:rFonts w:eastAsia="Times New Roman" w:cs="Arial"/>
          <w:i/>
          <w:iCs/>
          <w:color w:val="000000"/>
          <w:lang w:eastAsia="bg-BG"/>
        </w:rPr>
      </w:pPr>
    </w:p>
    <w:p w14:paraId="447A9CA9" w14:textId="17825B60"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ED8E6F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Максималните плазмени концентрации на розувастатин се достигат приблизително 5</w:t>
      </w:r>
      <w:r w:rsidRPr="00B253CB">
        <w:rPr>
          <w:rFonts w:eastAsia="Times New Roman" w:cs="Arial"/>
          <w:color w:val="000000"/>
          <w:lang w:val="en-US"/>
        </w:rPr>
        <w:t xml:space="preserve"> </w:t>
      </w:r>
      <w:r w:rsidRPr="00B253CB">
        <w:rPr>
          <w:rFonts w:eastAsia="Times New Roman" w:cs="Arial"/>
          <w:color w:val="000000"/>
          <w:lang w:eastAsia="bg-BG"/>
        </w:rPr>
        <w:t>часа след перорално приложение. Абсолютната бионаличност е приблизително 20%.</w:t>
      </w:r>
    </w:p>
    <w:p w14:paraId="0FAF3220" w14:textId="77777777" w:rsidR="00B253CB" w:rsidRPr="00B253CB" w:rsidRDefault="00B253CB" w:rsidP="00B253CB">
      <w:pPr>
        <w:spacing w:line="240" w:lineRule="auto"/>
        <w:rPr>
          <w:rFonts w:eastAsia="Times New Roman" w:cs="Arial"/>
          <w:i/>
          <w:iCs/>
          <w:color w:val="000000"/>
          <w:lang w:eastAsia="bg-BG"/>
        </w:rPr>
      </w:pPr>
    </w:p>
    <w:p w14:paraId="5220ACCD" w14:textId="0FFA482A"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79D08404" w14:textId="0F005AB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се поема екстензивно от черния дроб, който е основното място на синтеза на</w:t>
      </w:r>
      <w:r>
        <w:rPr>
          <w:rFonts w:eastAsia="Times New Roman" w:cs="Arial"/>
          <w:lang w:eastAsia="bg-BG"/>
        </w:rPr>
        <w:t xml:space="preserve"> </w:t>
      </w:r>
      <w:r w:rsidRPr="00B253CB">
        <w:rPr>
          <w:rFonts w:eastAsia="Times New Roman" w:cs="Arial"/>
          <w:color w:val="000000"/>
          <w:lang w:eastAsia="bg-BG"/>
        </w:rPr>
        <w:t xml:space="preserve">холестерол и клирънса на </w:t>
      </w:r>
      <w:r w:rsidRPr="00B253CB">
        <w:rPr>
          <w:rFonts w:eastAsia="Times New Roman" w:cs="Arial"/>
          <w:color w:val="000000"/>
          <w:lang w:val="en-US"/>
        </w:rPr>
        <w:t xml:space="preserve">LDL-C. </w:t>
      </w:r>
      <w:r w:rsidRPr="00B253CB">
        <w:rPr>
          <w:rFonts w:eastAsia="Times New Roman" w:cs="Arial"/>
          <w:color w:val="000000"/>
          <w:lang w:eastAsia="bg-BG"/>
        </w:rPr>
        <w:t xml:space="preserve">Обемът на разпределение на розувастатин е приблизително </w:t>
      </w:r>
      <w:r w:rsidRPr="00B253CB">
        <w:rPr>
          <w:rFonts w:eastAsia="Times New Roman" w:cs="Arial"/>
          <w:i/>
          <w:iCs/>
          <w:color w:val="000000"/>
          <w:lang w:eastAsia="bg-BG"/>
        </w:rPr>
        <w:t xml:space="preserve"> </w:t>
      </w:r>
      <w:r w:rsidRPr="00B253CB">
        <w:rPr>
          <w:rFonts w:eastAsia="Times New Roman" w:cs="Arial"/>
          <w:color w:val="000000"/>
          <w:lang w:eastAsia="bg-BG"/>
        </w:rPr>
        <w:t xml:space="preserve">134 </w:t>
      </w:r>
      <w:r w:rsidRPr="00B253CB">
        <w:rPr>
          <w:rFonts w:eastAsia="Times New Roman" w:cs="Arial"/>
          <w:color w:val="000000"/>
          <w:lang w:val="en-US"/>
        </w:rPr>
        <w:t>l</w:t>
      </w:r>
      <w:r w:rsidRPr="00B253CB">
        <w:rPr>
          <w:rFonts w:eastAsia="Times New Roman" w:cs="Arial"/>
          <w:color w:val="000000"/>
          <w:lang w:eastAsia="bg-BG"/>
        </w:rPr>
        <w:t>. Приблизително 90% от розувастатин се свързва с плазмените протеини, главно с албумина.</w:t>
      </w:r>
    </w:p>
    <w:p w14:paraId="496CFADB" w14:textId="77777777" w:rsidR="00B253CB" w:rsidRPr="00B253CB" w:rsidRDefault="00B253CB" w:rsidP="00B253CB">
      <w:pPr>
        <w:spacing w:line="240" w:lineRule="auto"/>
        <w:rPr>
          <w:rFonts w:eastAsia="Times New Roman" w:cs="Arial"/>
          <w:i/>
          <w:iCs/>
          <w:color w:val="000000"/>
          <w:lang w:eastAsia="bg-BG"/>
        </w:rPr>
      </w:pPr>
    </w:p>
    <w:p w14:paraId="4F658064" w14:textId="508CED00"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03FB6EB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Метаболизмът на розувастатин е ограничен (около 10%). </w:t>
      </w:r>
      <w:r w:rsidRPr="00B253CB">
        <w:rPr>
          <w:rFonts w:eastAsia="Times New Roman" w:cs="Arial"/>
          <w:i/>
          <w:iCs/>
          <w:color w:val="000000"/>
          <w:lang w:val="en-US"/>
        </w:rPr>
        <w:t>In vitro</w:t>
      </w:r>
      <w:r w:rsidRPr="00B253CB">
        <w:rPr>
          <w:rFonts w:eastAsia="Times New Roman" w:cs="Arial"/>
          <w:color w:val="000000"/>
          <w:lang w:val="en-US"/>
        </w:rPr>
        <w:t xml:space="preserve"> </w:t>
      </w:r>
      <w:r w:rsidRPr="00B253CB">
        <w:rPr>
          <w:rFonts w:eastAsia="Times New Roman" w:cs="Arial"/>
          <w:color w:val="000000"/>
          <w:lang w:eastAsia="bg-BG"/>
        </w:rP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sidRPr="00B253CB">
        <w:rPr>
          <w:rFonts w:eastAsia="Times New Roman" w:cs="Arial"/>
          <w:color w:val="000000"/>
          <w:lang w:val="en-US"/>
        </w:rPr>
        <w:t xml:space="preserve">CYP2C9 </w:t>
      </w:r>
      <w:r w:rsidRPr="00B253CB">
        <w:rPr>
          <w:rFonts w:eastAsia="Times New Roman" w:cs="Arial"/>
          <w:color w:val="000000"/>
          <w:lang w:eastAsia="bg-BG"/>
        </w:rPr>
        <w:t xml:space="preserve">е основният изоензим, който участва в метаболизма на розувастатин, </w:t>
      </w:r>
      <w:r w:rsidRPr="00B253CB">
        <w:rPr>
          <w:rFonts w:eastAsia="Times New Roman" w:cs="Arial"/>
          <w:color w:val="000000"/>
          <w:lang w:val="en-US"/>
        </w:rPr>
        <w:t xml:space="preserve">a </w:t>
      </w:r>
      <w:r w:rsidRPr="00B253CB">
        <w:rPr>
          <w:rFonts w:eastAsia="Times New Roman" w:cs="Arial"/>
          <w:color w:val="000000"/>
          <w:lang w:eastAsia="bg-BG"/>
        </w:rPr>
        <w:t xml:space="preserve">2С19, ЗА4 и </w:t>
      </w:r>
      <w:r w:rsidRPr="00B253CB">
        <w:rPr>
          <w:rFonts w:eastAsia="Times New Roman" w:cs="Arial"/>
          <w:color w:val="000000"/>
          <w:lang w:val="en-US"/>
        </w:rPr>
        <w:t xml:space="preserve">2D6 </w:t>
      </w:r>
      <w:r w:rsidRPr="00B253CB">
        <w:rPr>
          <w:rFonts w:eastAsia="Times New Roman" w:cs="Arial"/>
          <w:color w:val="000000"/>
          <w:lang w:eastAsia="bg-BG"/>
        </w:rPr>
        <w:t xml:space="preserve">участват в по-малка степен. Основните идентифицирани метаболити са метаболитите </w:t>
      </w:r>
      <w:r w:rsidRPr="00B253CB">
        <w:rPr>
          <w:rFonts w:eastAsia="Times New Roman" w:cs="Arial"/>
          <w:color w:val="000000"/>
          <w:lang w:val="en-US"/>
        </w:rPr>
        <w:t>N</w:t>
      </w:r>
      <w:r w:rsidRPr="00B253CB">
        <w:rPr>
          <w:rFonts w:eastAsia="Times New Roman" w:cs="Arial"/>
          <w:color w:val="000000"/>
          <w:lang w:eastAsia="bg-BG"/>
        </w:rPr>
        <w:t xml:space="preserve">-дезметил и лактон. Метаболитът </w:t>
      </w:r>
      <w:r w:rsidRPr="00B253CB">
        <w:rPr>
          <w:rFonts w:eastAsia="Times New Roman" w:cs="Arial"/>
          <w:color w:val="000000"/>
          <w:lang w:val="en-US"/>
        </w:rPr>
        <w:t>N</w:t>
      </w:r>
      <w:r w:rsidRPr="00B253CB">
        <w:rPr>
          <w:rFonts w:eastAsia="Times New Roman" w:cs="Arial"/>
          <w:color w:val="000000"/>
          <w:lang w:eastAsia="bg-BG"/>
        </w:rPr>
        <w:t xml:space="preserve">-дезметил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w:t>
      </w:r>
      <w:r w:rsidRPr="00B253CB">
        <w:rPr>
          <w:rFonts w:eastAsia="Times New Roman" w:cs="Arial"/>
          <w:color w:val="000000"/>
          <w:lang w:val="en-US"/>
        </w:rPr>
        <w:t xml:space="preserve">HMG-CoA </w:t>
      </w:r>
      <w:r w:rsidRPr="00B253CB">
        <w:rPr>
          <w:rFonts w:eastAsia="Times New Roman" w:cs="Arial"/>
          <w:color w:val="000000"/>
          <w:lang w:eastAsia="bg-BG"/>
        </w:rPr>
        <w:t>инхибитор на редуктазата.</w:t>
      </w:r>
    </w:p>
    <w:p w14:paraId="118904E1" w14:textId="77777777" w:rsidR="00B253CB" w:rsidRPr="00B253CB" w:rsidRDefault="00B253CB" w:rsidP="00B253CB">
      <w:pPr>
        <w:spacing w:line="240" w:lineRule="auto"/>
        <w:rPr>
          <w:rFonts w:eastAsia="Times New Roman" w:cs="Arial"/>
          <w:i/>
          <w:iCs/>
          <w:color w:val="000000"/>
          <w:lang w:eastAsia="bg-BG"/>
        </w:rPr>
      </w:pPr>
    </w:p>
    <w:p w14:paraId="5FD456DF" w14:textId="6FBBC532" w:rsidR="00B253CB" w:rsidRPr="00B253CB" w:rsidRDefault="00B253CB" w:rsidP="00B253CB">
      <w:pPr>
        <w:pStyle w:val="Heading3"/>
        <w:rPr>
          <w:rFonts w:eastAsia="Times New Roman"/>
          <w:u w:val="single"/>
          <w:lang w:eastAsia="bg-BG"/>
        </w:rPr>
      </w:pPr>
      <w:r w:rsidRPr="00B253CB">
        <w:rPr>
          <w:rFonts w:eastAsia="Times New Roman"/>
          <w:u w:val="single"/>
          <w:lang w:eastAsia="bg-BG"/>
        </w:rPr>
        <w:lastRenderedPageBreak/>
        <w:t>Елиминираме</w:t>
      </w:r>
    </w:p>
    <w:p w14:paraId="70159FC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Приблизително 90% от розувастатин се елиминират като непроменено лекарство с фецеса (абсорбирано и неабсорбирано активно вещество), а останалата част се екскретира с урината. Около 5% се екскретират непроменени в урината. Плазменият елиминационен полуживот е около 20 часа. Елиминационният полуживот не се увеличава при по-високи дози.</w:t>
      </w:r>
    </w:p>
    <w:p w14:paraId="089F44F3"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Геометричната средна стойност на плазмения клирънс е приблизително 50 литра/час (коефициент на вариабилност 21,7%). Както при други инхибнтори на </w:t>
      </w:r>
      <w:r w:rsidRPr="00B253CB">
        <w:rPr>
          <w:rFonts w:eastAsia="Times New Roman" w:cs="Arial"/>
          <w:color w:val="000000"/>
          <w:lang w:val="en-US"/>
        </w:rPr>
        <w:t xml:space="preserve">HMG-CoA </w:t>
      </w:r>
      <w:r w:rsidRPr="00B253CB">
        <w:rPr>
          <w:rFonts w:eastAsia="Times New Roman" w:cs="Arial"/>
          <w:color w:val="000000"/>
          <w:lang w:eastAsia="bg-BG"/>
        </w:rPr>
        <w:t>редуктазата, чернодробното поемане на розувастатин включва мембранния преносител ОАТР-С. Този преносител е важен за чернодробното елиминиране на розувастатин.</w:t>
      </w:r>
    </w:p>
    <w:p w14:paraId="7A5D7E1B" w14:textId="77777777" w:rsidR="00B253CB" w:rsidRPr="00B253CB" w:rsidRDefault="00B253CB" w:rsidP="00B253CB">
      <w:pPr>
        <w:spacing w:line="240" w:lineRule="auto"/>
        <w:rPr>
          <w:rFonts w:eastAsia="Times New Roman" w:cs="Arial"/>
          <w:i/>
          <w:iCs/>
          <w:color w:val="000000"/>
          <w:lang w:eastAsia="bg-BG"/>
        </w:rPr>
      </w:pPr>
    </w:p>
    <w:p w14:paraId="6124E5D5" w14:textId="2D55AEAF" w:rsidR="00B253CB" w:rsidRPr="00B253CB" w:rsidRDefault="00B253CB" w:rsidP="00B253CB">
      <w:pPr>
        <w:pStyle w:val="Heading3"/>
        <w:rPr>
          <w:rFonts w:eastAsia="Times New Roman"/>
          <w:u w:val="single"/>
          <w:lang w:eastAsia="bg-BG"/>
        </w:rPr>
      </w:pPr>
      <w:r>
        <w:rPr>
          <w:rFonts w:eastAsia="Times New Roman"/>
          <w:u w:val="single"/>
          <w:lang w:eastAsia="bg-BG"/>
        </w:rPr>
        <w:t>Линейност/нелинейнос</w:t>
      </w:r>
      <w:r w:rsidRPr="00B253CB">
        <w:rPr>
          <w:rFonts w:eastAsia="Times New Roman"/>
          <w:u w:val="single"/>
          <w:lang w:eastAsia="bg-BG"/>
        </w:rPr>
        <w:t>т</w:t>
      </w:r>
    </w:p>
    <w:p w14:paraId="5F920820"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20FC7DF9" w14:textId="77777777" w:rsidR="00B253CB" w:rsidRPr="00B253CB" w:rsidRDefault="00B253CB" w:rsidP="00B253CB">
      <w:pPr>
        <w:spacing w:line="240" w:lineRule="auto"/>
        <w:rPr>
          <w:rFonts w:eastAsia="Times New Roman" w:cs="Arial"/>
          <w:i/>
          <w:iCs/>
          <w:color w:val="000000"/>
          <w:lang w:eastAsia="bg-BG"/>
        </w:rPr>
      </w:pPr>
    </w:p>
    <w:p w14:paraId="004E951C" w14:textId="6562F92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Възраст и пол</w:t>
      </w:r>
    </w:p>
    <w:p w14:paraId="61BB12B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A046352" w14:textId="77777777" w:rsidR="00B253CB" w:rsidRPr="00B253CB" w:rsidRDefault="00B253CB" w:rsidP="00B253CB">
      <w:pPr>
        <w:spacing w:line="240" w:lineRule="auto"/>
        <w:rPr>
          <w:rFonts w:eastAsia="Times New Roman" w:cs="Arial"/>
          <w:i/>
          <w:iCs/>
          <w:color w:val="000000"/>
          <w:lang w:eastAsia="bg-BG"/>
        </w:rPr>
      </w:pPr>
    </w:p>
    <w:p w14:paraId="60C9AB28" w14:textId="2D50A631"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Раса</w:t>
      </w:r>
    </w:p>
    <w:p w14:paraId="33B7F9F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2-пъти повишаване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 xml:space="preserve">ах в сравнение с лица от кавказката раса; лицата от азиатско-индийски произход показват приблизително 1,3-пъти увеличение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ах.</w:t>
      </w:r>
    </w:p>
    <w:p w14:paraId="33FE64A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8541904" w14:textId="77777777" w:rsidR="00B253CB" w:rsidRPr="00B253CB" w:rsidRDefault="00B253CB" w:rsidP="00B253CB">
      <w:pPr>
        <w:spacing w:line="240" w:lineRule="auto"/>
        <w:rPr>
          <w:rFonts w:eastAsia="Times New Roman" w:cs="Arial"/>
          <w:i/>
          <w:iCs/>
          <w:color w:val="000000"/>
          <w:lang w:eastAsia="bg-BG"/>
        </w:rPr>
      </w:pPr>
    </w:p>
    <w:p w14:paraId="416863A3" w14:textId="60347AB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CC33F8D"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B253CB">
        <w:rPr>
          <w:rFonts w:eastAsia="Times New Roman" w:cs="Arial"/>
          <w:color w:val="000000"/>
          <w:lang w:val="en-US"/>
        </w:rPr>
        <w:t>N</w:t>
      </w:r>
      <w:r w:rsidRPr="00B253CB">
        <w:rPr>
          <w:rFonts w:eastAsia="Times New Roman" w:cs="Arial"/>
          <w:color w:val="000000"/>
          <w:lang w:eastAsia="bg-BG"/>
        </w:rPr>
        <w:t xml:space="preserve">-дезметил метаболит. Лицата с тежко увреждане (креатининов клирънс &lt;30 </w:t>
      </w:r>
      <w:r w:rsidRPr="00B253CB">
        <w:rPr>
          <w:rFonts w:eastAsia="Times New Roman" w:cs="Arial"/>
          <w:color w:val="000000"/>
          <w:lang w:val="en-US"/>
        </w:rPr>
        <w:t xml:space="preserve">ml/min), </w:t>
      </w:r>
      <w:r w:rsidRPr="00B253CB">
        <w:rPr>
          <w:rFonts w:eastAsia="Times New Roman" w:cs="Arial"/>
          <w:color w:val="000000"/>
          <w:lang w:eastAsia="bg-BG"/>
        </w:rPr>
        <w:t xml:space="preserve">обаче, имат 3-пъти увеличение на плазмената концентрация и 9-пъти увеличение на концентрацията на </w:t>
      </w:r>
      <w:r w:rsidRPr="00B253CB">
        <w:rPr>
          <w:rFonts w:eastAsia="Times New Roman" w:cs="Arial"/>
          <w:color w:val="000000"/>
          <w:lang w:val="en-US"/>
        </w:rPr>
        <w:t>N</w:t>
      </w:r>
      <w:r w:rsidRPr="00B253CB">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състояниепри пациенти на хемодиализа са приблизително 50% по-високи, в сравнение със здрави доброволци.</w:t>
      </w:r>
    </w:p>
    <w:p w14:paraId="032FEA19" w14:textId="77777777" w:rsidR="00B253CB" w:rsidRPr="00B253CB" w:rsidRDefault="00B253CB" w:rsidP="00B253CB">
      <w:pPr>
        <w:spacing w:line="240" w:lineRule="auto"/>
        <w:rPr>
          <w:rFonts w:eastAsia="Times New Roman" w:cs="Arial"/>
          <w:i/>
          <w:iCs/>
          <w:color w:val="000000"/>
          <w:lang w:eastAsia="bg-BG"/>
        </w:rPr>
      </w:pPr>
    </w:p>
    <w:p w14:paraId="4969EE2C" w14:textId="07026D8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Чернодробно увреждаме</w:t>
      </w:r>
    </w:p>
    <w:p w14:paraId="148BA3FC" w14:textId="7F20777E" w:rsidR="0091385D"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 проучване при лица с различна степен на чернодробно увреждане няма данни</w:t>
      </w:r>
      <w:r w:rsidRPr="00B253CB">
        <w:rPr>
          <w:rFonts w:eastAsia="Times New Roman" w:cs="Arial"/>
          <w:color w:val="000000"/>
          <w:lang w:val="en-US"/>
        </w:rPr>
        <w:t xml:space="preserve"> </w:t>
      </w:r>
      <w:r w:rsidRPr="00B253CB">
        <w:rPr>
          <w:rFonts w:eastAsia="Times New Roman" w:cs="Arial"/>
          <w:color w:val="000000"/>
          <w:lang w:eastAsia="bg-BG"/>
        </w:rPr>
        <w:t xml:space="preserve">за повишена експозиция на розувастатин при пациентите с оценка 7 или по-ниска по скалата на </w:t>
      </w:r>
      <w:r w:rsidRPr="00B253CB">
        <w:rPr>
          <w:rFonts w:eastAsia="Times New Roman" w:cs="Arial"/>
          <w:color w:val="000000"/>
          <w:lang w:val="en-US"/>
        </w:rPr>
        <w:t>Child-Pugh.</w:t>
      </w:r>
      <w:r w:rsidRPr="00B253CB">
        <w:rPr>
          <w:rFonts w:eastAsia="Times New Roman" w:cs="Arial"/>
          <w:color w:val="000000"/>
          <w:lang w:eastAsia="bg-BG"/>
        </w:rPr>
        <w:t xml:space="preserve"> Двама пациенти с резултати 8 и 9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обаче, показват най-малко 2 пъти</w:t>
      </w:r>
      <w:r w:rsidRPr="00B253CB">
        <w:rPr>
          <w:rFonts w:eastAsia="Times New Roman" w:cs="Arial"/>
          <w:lang w:eastAsia="bg-BG"/>
        </w:rPr>
        <w:t xml:space="preserve"> </w:t>
      </w:r>
      <w:r w:rsidRPr="00B253CB">
        <w:rPr>
          <w:rFonts w:eastAsia="Times New Roman" w:cs="Arial"/>
          <w:color w:val="000000"/>
          <w:lang w:eastAsia="bg-BG"/>
        </w:rPr>
        <w:t xml:space="preserve">повишаване на системната експозиция в сравнение с пациентите с по-ниски резултати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 xml:space="preserve">Липсва опит при лица с резултати над 9 по скалата на </w:t>
      </w:r>
      <w:r w:rsidRPr="00B253CB">
        <w:rPr>
          <w:rFonts w:eastAsia="Times New Roman" w:cs="Arial"/>
          <w:color w:val="000000"/>
          <w:lang w:val="en-US"/>
        </w:rPr>
        <w:t>Child-Pugh.</w:t>
      </w:r>
    </w:p>
    <w:p w14:paraId="4EE1BB0B" w14:textId="1BA593E0" w:rsidR="0091385D" w:rsidRDefault="0091385D" w:rsidP="0091385D"/>
    <w:p w14:paraId="04E6EF1B"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Генетичен полиморфизъм</w:t>
      </w:r>
    </w:p>
    <w:p w14:paraId="2A6F86BF"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Разпределението на инхибиторите на </w:t>
      </w:r>
      <w:r w:rsidRPr="00B253CB">
        <w:rPr>
          <w:rFonts w:eastAsia="Times New Roman" w:cs="Arial"/>
          <w:color w:val="000000"/>
          <w:szCs w:val="20"/>
          <w:lang w:val="en-US"/>
        </w:rPr>
        <w:t xml:space="preserve">HMG-CoA </w:t>
      </w:r>
      <w:r w:rsidRPr="00B253CB">
        <w:rPr>
          <w:rFonts w:eastAsia="Times New Roman" w:cs="Arial"/>
          <w:color w:val="000000"/>
          <w:szCs w:val="20"/>
          <w:lang w:eastAsia="bg-BG"/>
        </w:rPr>
        <w:t xml:space="preserve">редуктазата, включително розувастатин, включва транспортерни протеини ОАТР1В1 и </w:t>
      </w:r>
      <w:r w:rsidRPr="00B253CB">
        <w:rPr>
          <w:rFonts w:eastAsia="Times New Roman" w:cs="Arial"/>
          <w:color w:val="000000"/>
          <w:szCs w:val="20"/>
          <w:lang w:val="en-US"/>
        </w:rPr>
        <w:t xml:space="preserve">BCRP. </w:t>
      </w:r>
      <w:r w:rsidRPr="00B253CB">
        <w:rPr>
          <w:rFonts w:eastAsia="Times New Roman" w:cs="Arial"/>
          <w:color w:val="000000"/>
          <w:szCs w:val="20"/>
          <w:lang w:eastAsia="bg-BG"/>
        </w:rPr>
        <w:t xml:space="preserve">При пациенти с генетични </w:t>
      </w:r>
      <w:r w:rsidRPr="00B253CB">
        <w:rPr>
          <w:rFonts w:eastAsia="Times New Roman" w:cs="Arial"/>
          <w:color w:val="000000"/>
          <w:szCs w:val="20"/>
          <w:lang w:eastAsia="bg-BG"/>
        </w:rPr>
        <w:lastRenderedPageBreak/>
        <w:t xml:space="preserve">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 xml:space="preserve">(ОАТР1В1) и/или </w:t>
      </w:r>
      <w:r w:rsidRPr="00B253CB">
        <w:rPr>
          <w:rFonts w:eastAsia="Times New Roman" w:cs="Arial"/>
          <w:color w:val="000000"/>
          <w:szCs w:val="20"/>
          <w:lang w:val="en-US"/>
        </w:rPr>
        <w:t xml:space="preserve">ABCG2 (BCRP) </w:t>
      </w:r>
      <w:r w:rsidRPr="00B253CB">
        <w:rPr>
          <w:rFonts w:eastAsia="Times New Roman" w:cs="Arial"/>
          <w:color w:val="000000"/>
          <w:szCs w:val="20"/>
          <w:lang w:eastAsia="bg-BG"/>
        </w:rPr>
        <w:t xml:space="preserve">съществува риск от повишена експозиция на розувастатин. Индивидуалните 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с.521</w:t>
      </w:r>
      <w:r w:rsidRPr="00B253CB">
        <w:rPr>
          <w:rFonts w:eastAsia="Times New Roman" w:cs="Arial"/>
          <w:color w:val="000000"/>
          <w:szCs w:val="20"/>
          <w:lang w:val="en-US"/>
        </w:rPr>
        <w:t xml:space="preserve">CC </w:t>
      </w:r>
      <w:r w:rsidRPr="00B253CB">
        <w:rPr>
          <w:rFonts w:eastAsia="Times New Roman" w:cs="Arial"/>
          <w:color w:val="000000"/>
          <w:szCs w:val="20"/>
          <w:lang w:eastAsia="bg-BG"/>
        </w:rPr>
        <w:t xml:space="preserve">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 xml:space="preserve">С.421АА са свързани с по-висока експозиция на розувастатин </w:t>
      </w:r>
      <w:r w:rsidRPr="00B253CB">
        <w:rPr>
          <w:rFonts w:eastAsia="Times New Roman" w:cs="Arial"/>
          <w:color w:val="000000"/>
          <w:szCs w:val="20"/>
          <w:lang w:val="en-US"/>
        </w:rPr>
        <w:t xml:space="preserve">(AUC), </w:t>
      </w:r>
      <w:r w:rsidRPr="00B253CB">
        <w:rPr>
          <w:rFonts w:eastAsia="Times New Roman" w:cs="Arial"/>
          <w:color w:val="000000"/>
          <w:szCs w:val="20"/>
          <w:lang w:eastAsia="bg-BG"/>
        </w:rPr>
        <w:t xml:space="preserve">в сравнение с генотипите </w:t>
      </w:r>
      <w:r w:rsidRPr="00B253CB">
        <w:rPr>
          <w:rFonts w:eastAsia="Times New Roman" w:cs="Arial"/>
          <w:color w:val="000000"/>
          <w:szCs w:val="20"/>
          <w:lang w:val="en-US"/>
        </w:rPr>
        <w:t>SLCO1</w:t>
      </w:r>
      <w:r w:rsidRPr="00B253CB">
        <w:rPr>
          <w:rFonts w:eastAsia="Times New Roman" w:cs="Arial"/>
          <w:color w:val="000000"/>
          <w:szCs w:val="20"/>
          <w:lang w:eastAsia="bg-BG"/>
        </w:rPr>
        <w:t>В1 с.521</w:t>
      </w:r>
      <w:r w:rsidRPr="00B253CB">
        <w:rPr>
          <w:rFonts w:eastAsia="Times New Roman" w:cs="Arial"/>
          <w:color w:val="000000"/>
          <w:szCs w:val="20"/>
          <w:lang w:val="en-US"/>
        </w:rPr>
        <w:t xml:space="preserve">TT </w:t>
      </w:r>
      <w:r w:rsidRPr="00B253CB">
        <w:rPr>
          <w:rFonts w:eastAsia="Times New Roman" w:cs="Arial"/>
          <w:color w:val="000000"/>
          <w:szCs w:val="20"/>
          <w:lang w:eastAsia="bg-BG"/>
        </w:rPr>
        <w:t xml:space="preserve">или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с.421</w:t>
      </w:r>
      <w:r w:rsidRPr="00B253CB">
        <w:rPr>
          <w:rFonts w:eastAsia="Times New Roman" w:cs="Arial"/>
          <w:color w:val="000000"/>
          <w:szCs w:val="20"/>
          <w:lang w:val="en-US"/>
        </w:rPr>
        <w:t xml:space="preserve">CC. </w:t>
      </w:r>
      <w:r w:rsidRPr="00B253CB">
        <w:rPr>
          <w:rFonts w:eastAsia="Times New Roman" w:cs="Arial"/>
          <w:color w:val="000000"/>
          <w:szCs w:val="20"/>
          <w:lang w:eastAsia="bg-BG"/>
        </w:rPr>
        <w:t>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72248C78" w14:textId="77777777" w:rsidR="00B253CB" w:rsidRPr="00B253CB" w:rsidRDefault="00B253CB" w:rsidP="00B253CB">
      <w:pPr>
        <w:spacing w:line="240" w:lineRule="auto"/>
        <w:rPr>
          <w:rFonts w:eastAsia="Times New Roman" w:cs="Arial"/>
          <w:i/>
          <w:iCs/>
          <w:color w:val="000000"/>
          <w:szCs w:val="20"/>
          <w:lang w:eastAsia="bg-BG"/>
        </w:rPr>
      </w:pPr>
    </w:p>
    <w:p w14:paraId="1391201C" w14:textId="56E6DFCC"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Педиатрична популация</w:t>
      </w:r>
    </w:p>
    <w:p w14:paraId="3A26A6FB" w14:textId="41899A07" w:rsidR="00B253CB" w:rsidRPr="00B253CB" w:rsidRDefault="00B253CB" w:rsidP="00B253CB">
      <w:pPr>
        <w:rPr>
          <w:rFonts w:cs="Arial"/>
          <w:sz w:val="24"/>
        </w:rPr>
      </w:pPr>
      <w:r w:rsidRPr="00B253CB">
        <w:rPr>
          <w:rFonts w:eastAsia="Times New Roman" w:cs="Arial"/>
          <w:color w:val="000000"/>
          <w:szCs w:val="20"/>
          <w:lang w:eastAsia="bg-BG"/>
        </w:rPr>
        <w:t>Фармакокинетичните параметри при педиатрични пациенти с хетерозиготна фамилна хиперхолестеролемия на възраст от 10 до 17 години не са напълно характеризирани. Малко фармакокинетично проучване с розувастатин (приложен под формата на таблетки) при 18 педиатрични пациенти показва, че експозицията при педиатрични пациенти изглежда сравнима с експозицията при възрастни пациенти. В допълнение, резултатите показват, че не се очаква голямо отклонение от пропорционалността на дозата.</w:t>
      </w:r>
    </w:p>
    <w:p w14:paraId="04D68A26" w14:textId="77777777" w:rsidR="00B253CB" w:rsidRPr="0091385D" w:rsidRDefault="00B253CB"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6402993"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периндоприл/индапамид</w:t>
      </w:r>
    </w:p>
    <w:p w14:paraId="54EC89A1" w14:textId="77777777" w:rsidR="00B253CB" w:rsidRPr="00B253CB" w:rsidRDefault="00B253CB" w:rsidP="00B253CB">
      <w:pPr>
        <w:spacing w:line="240" w:lineRule="auto"/>
        <w:rPr>
          <w:rFonts w:eastAsia="Times New Roman" w:cs="Arial"/>
          <w:color w:val="000000"/>
          <w:szCs w:val="20"/>
          <w:lang w:eastAsia="bg-BG"/>
        </w:rPr>
      </w:pPr>
    </w:p>
    <w:p w14:paraId="66879995" w14:textId="250BE8BE"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Периндоприл/индапамид показва малко по-висока токсичност от тази на компонентите си. При плъхове не се наблюдава засилване на бъбречните прояви. Комбинацията, обаче, предизвиква стомашно-чревна токсичност при кучета, а токсичните ефекти върху майката са повишени при плъхове (в сравнение с периндоприл).</w:t>
      </w:r>
    </w:p>
    <w:p w14:paraId="7B1BD745"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Независимо от това, тези нежелани ефекти се наблюдават при нива на дозите, съответстващи на доста висока граница на безопасността, в сравнение с използваните терапевтични дози. Предклиничните проучвания, проведени поотделно с периндоприл и индапамид, не показват генотоксичен, карциногенен или тератогенен потенциал. Проучванията за репродуктивна токсичност не показват ембриотоксичност или тератогенен потенциал, а фертилитетьт не се нарушава.</w:t>
      </w:r>
    </w:p>
    <w:p w14:paraId="4BA12256" w14:textId="77777777" w:rsidR="00B253CB" w:rsidRPr="00B253CB" w:rsidRDefault="00B253CB" w:rsidP="00B253CB">
      <w:pPr>
        <w:spacing w:line="240" w:lineRule="auto"/>
        <w:rPr>
          <w:rFonts w:eastAsia="Times New Roman" w:cs="Arial"/>
          <w:color w:val="000000"/>
          <w:szCs w:val="20"/>
          <w:u w:val="single"/>
          <w:lang w:eastAsia="bg-BG"/>
        </w:rPr>
      </w:pPr>
    </w:p>
    <w:p w14:paraId="761E72B7" w14:textId="5AFD89ED"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розувастатин</w:t>
      </w:r>
    </w:p>
    <w:p w14:paraId="7D00DC2F" w14:textId="77777777" w:rsidR="00B253CB" w:rsidRPr="00B253CB" w:rsidRDefault="00B253CB" w:rsidP="00B253CB">
      <w:pPr>
        <w:spacing w:line="240" w:lineRule="auto"/>
        <w:rPr>
          <w:rFonts w:eastAsia="Times New Roman" w:cs="Arial"/>
          <w:color w:val="000000"/>
          <w:szCs w:val="20"/>
          <w:lang w:eastAsia="bg-BG"/>
        </w:rPr>
      </w:pPr>
    </w:p>
    <w:p w14:paraId="0923D20A" w14:textId="7FAF23E4"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r w:rsidRPr="00B253CB">
        <w:rPr>
          <w:rFonts w:eastAsia="Times New Roman" w:cs="Arial"/>
          <w:color w:val="000000"/>
          <w:szCs w:val="20"/>
          <w:lang w:val="en-US"/>
        </w:rPr>
        <w:t xml:space="preserve">hERG </w:t>
      </w:r>
      <w:r w:rsidRPr="00B253CB">
        <w:rPr>
          <w:rFonts w:eastAsia="Times New Roman" w:cs="Arial"/>
          <w:color w:val="000000"/>
          <w:szCs w:val="20"/>
          <w:lang w:eastAsia="bg-BG"/>
        </w:rPr>
        <w:t>не са оценявани.</w:t>
      </w:r>
    </w:p>
    <w:p w14:paraId="52E4D01A" w14:textId="3E3D9157" w:rsidR="0091385D" w:rsidRPr="00B253CB" w:rsidRDefault="00B253CB" w:rsidP="00B253CB">
      <w:pPr>
        <w:rPr>
          <w:rFonts w:cs="Arial"/>
          <w:sz w:val="24"/>
        </w:rPr>
      </w:pPr>
      <w:r w:rsidRPr="00B253CB">
        <w:rPr>
          <w:rFonts w:eastAsia="Times New Roman" w:cs="Arial"/>
          <w:color w:val="000000"/>
          <w:szCs w:val="2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3FD825DB" w14:textId="7020F102" w:rsidR="0091385D" w:rsidRPr="00B253CB" w:rsidRDefault="00B253CB" w:rsidP="0091385D">
      <w:pPr>
        <w:rPr>
          <w:rFonts w:cs="Arial"/>
        </w:rPr>
      </w:pPr>
      <w:r w:rsidRPr="00B253CB">
        <w:rPr>
          <w:rFonts w:cs="Arial"/>
        </w:rPr>
        <w:t xml:space="preserve">KRKA, d.d., Novo mesto, Smarjeska cesta 6,8501 Novo mesto, </w:t>
      </w:r>
      <w:r w:rsidRPr="00B253CB">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17D457A8"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10 </w:t>
      </w:r>
      <w:r w:rsidRPr="00B253CB">
        <w:rPr>
          <w:rFonts w:eastAsia="Times New Roman" w:cs="Arial"/>
          <w:color w:val="000000"/>
          <w:lang w:val="en-US"/>
        </w:rPr>
        <w:t>mg/4 mg/1,25 mg - Per. № 20180255</w:t>
      </w:r>
    </w:p>
    <w:p w14:paraId="48337AD5"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20 mg/4 mg/1,25 mg - Per. № 20180256</w:t>
      </w:r>
    </w:p>
    <w:p w14:paraId="79FC1D0F"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10 mg/8 mg/2,5 mg - Per. № 20180257</w:t>
      </w:r>
    </w:p>
    <w:p w14:paraId="6E892CE5" w14:textId="57F3C6ED" w:rsidR="0091385D" w:rsidRPr="00B253CB" w:rsidRDefault="00B253CB" w:rsidP="00B253CB">
      <w:pPr>
        <w:rPr>
          <w:rFonts w:cs="Arial"/>
        </w:rPr>
      </w:pPr>
      <w:r w:rsidRPr="00B253CB">
        <w:rPr>
          <w:rFonts w:eastAsia="Times New Roman" w:cs="Arial"/>
          <w:color w:val="000000"/>
          <w:lang w:eastAsia="bg-BG"/>
        </w:rPr>
        <w:t xml:space="preserve">Роксипер </w:t>
      </w:r>
      <w:r w:rsidRPr="00B253CB">
        <w:rPr>
          <w:rFonts w:eastAsia="Times New Roman" w:cs="Arial"/>
          <w:color w:val="000000"/>
          <w:lang w:val="en-US"/>
        </w:rPr>
        <w:t>20 mg/8 mg/2,5 mg - Per. № 20180258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0F6C5F92" w:rsidR="0091385D" w:rsidRPr="00B253CB" w:rsidRDefault="00B253CB" w:rsidP="0091385D">
      <w:pPr>
        <w:rPr>
          <w:rFonts w:cs="Arial"/>
        </w:rPr>
      </w:pPr>
      <w:r w:rsidRPr="00B253CB">
        <w:rPr>
          <w:rFonts w:cs="Arial"/>
        </w:rPr>
        <w:t>Дата на първо разрешаване: 12.09.2018</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F5A4B2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19 Април 2022</w:t>
      </w:r>
    </w:p>
    <w:p w14:paraId="23C1493A" w14:textId="77777777" w:rsidR="00B253CB" w:rsidRPr="00B253CB" w:rsidRDefault="00B253CB" w:rsidP="00B253CB">
      <w:pPr>
        <w:rPr>
          <w:rFonts w:eastAsia="Times New Roman" w:cs="Arial"/>
          <w:color w:val="000000"/>
          <w:lang w:eastAsia="bg-BG"/>
        </w:rPr>
      </w:pPr>
    </w:p>
    <w:p w14:paraId="30276F52" w14:textId="6EFE1039" w:rsidR="0091385D" w:rsidRPr="00B253CB" w:rsidRDefault="00B253CB" w:rsidP="00B253CB">
      <w:pPr>
        <w:rPr>
          <w:rFonts w:cs="Arial"/>
        </w:rPr>
      </w:pPr>
      <w:r w:rsidRPr="00B253CB">
        <w:rPr>
          <w:rFonts w:eastAsia="Times New Roman" w:cs="Arial"/>
          <w:color w:val="000000"/>
          <w:lang w:eastAsia="bg-BG"/>
        </w:rPr>
        <w:t xml:space="preserve">Подробна информация за това лекарство е предоставена на уебсайта на Изпълнителна Агенция по лекарствата (ИАЛ) </w:t>
      </w:r>
      <w:hyperlink r:id="rId6" w:history="1">
        <w:r w:rsidRPr="00B253CB">
          <w:rPr>
            <w:rFonts w:eastAsia="Times New Roman" w:cs="Arial"/>
            <w:color w:val="000000"/>
            <w:lang w:val="en-US"/>
          </w:rPr>
          <w:t>http://www.bda.bg</w:t>
        </w:r>
      </w:hyperlink>
      <w:r w:rsidRPr="00B253CB">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E1"/>
    <w:multiLevelType w:val="hybridMultilevel"/>
    <w:tmpl w:val="B2E8FBE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0A07A7"/>
    <w:multiLevelType w:val="hybridMultilevel"/>
    <w:tmpl w:val="9F40CFB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0E3259"/>
    <w:multiLevelType w:val="hybridMultilevel"/>
    <w:tmpl w:val="8F0EAEC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5A7F4D"/>
    <w:multiLevelType w:val="hybridMultilevel"/>
    <w:tmpl w:val="EFFE80C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6194C66"/>
    <w:multiLevelType w:val="hybridMultilevel"/>
    <w:tmpl w:val="5204DD3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DCD4FFA"/>
    <w:multiLevelType w:val="hybridMultilevel"/>
    <w:tmpl w:val="63AE609A"/>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4BC59AA"/>
    <w:multiLevelType w:val="hybridMultilevel"/>
    <w:tmpl w:val="3ECEE3D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2641BC"/>
    <w:multiLevelType w:val="hybridMultilevel"/>
    <w:tmpl w:val="36A0F32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BC7A7D"/>
    <w:multiLevelType w:val="hybridMultilevel"/>
    <w:tmpl w:val="E6D657D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931EA"/>
    <w:multiLevelType w:val="hybridMultilevel"/>
    <w:tmpl w:val="40BE189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1A47D32"/>
    <w:multiLevelType w:val="hybridMultilevel"/>
    <w:tmpl w:val="713EF3F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F60E17"/>
    <w:multiLevelType w:val="hybridMultilevel"/>
    <w:tmpl w:val="674C3E9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8"/>
  </w:num>
  <w:num w:numId="7">
    <w:abstractNumId w:val="7"/>
  </w:num>
  <w:num w:numId="8">
    <w:abstractNumId w:val="11"/>
  </w:num>
  <w:num w:numId="9">
    <w:abstractNumId w:val="4"/>
  </w:num>
  <w:num w:numId="10">
    <w:abstractNumId w:val="9"/>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0CFB"/>
    <w:rsid w:val="00185A46"/>
    <w:rsid w:val="001915B6"/>
    <w:rsid w:val="001D1B23"/>
    <w:rsid w:val="002B3C38"/>
    <w:rsid w:val="002B4DBB"/>
    <w:rsid w:val="002C50EE"/>
    <w:rsid w:val="002F2336"/>
    <w:rsid w:val="00340A0A"/>
    <w:rsid w:val="00342287"/>
    <w:rsid w:val="003765DC"/>
    <w:rsid w:val="00395555"/>
    <w:rsid w:val="003E3126"/>
    <w:rsid w:val="00426E5F"/>
    <w:rsid w:val="00492F0C"/>
    <w:rsid w:val="004A448E"/>
    <w:rsid w:val="004D4D6B"/>
    <w:rsid w:val="004F1CE7"/>
    <w:rsid w:val="004F498A"/>
    <w:rsid w:val="005151ED"/>
    <w:rsid w:val="00517A5B"/>
    <w:rsid w:val="0055561C"/>
    <w:rsid w:val="00593A00"/>
    <w:rsid w:val="005A006E"/>
    <w:rsid w:val="005A66D9"/>
    <w:rsid w:val="00605BCA"/>
    <w:rsid w:val="006158A1"/>
    <w:rsid w:val="00617B1F"/>
    <w:rsid w:val="00634504"/>
    <w:rsid w:val="00672487"/>
    <w:rsid w:val="00672600"/>
    <w:rsid w:val="00681D4A"/>
    <w:rsid w:val="00685882"/>
    <w:rsid w:val="00697238"/>
    <w:rsid w:val="0075649D"/>
    <w:rsid w:val="007C605B"/>
    <w:rsid w:val="007F2774"/>
    <w:rsid w:val="00812CC7"/>
    <w:rsid w:val="008134C8"/>
    <w:rsid w:val="00814073"/>
    <w:rsid w:val="00826F0D"/>
    <w:rsid w:val="00851FE1"/>
    <w:rsid w:val="00856A0C"/>
    <w:rsid w:val="00857938"/>
    <w:rsid w:val="00893B92"/>
    <w:rsid w:val="008A6AF2"/>
    <w:rsid w:val="008C70A2"/>
    <w:rsid w:val="008F1AF3"/>
    <w:rsid w:val="008F6299"/>
    <w:rsid w:val="0091385D"/>
    <w:rsid w:val="009773E4"/>
    <w:rsid w:val="00997B28"/>
    <w:rsid w:val="009B171C"/>
    <w:rsid w:val="009C6A04"/>
    <w:rsid w:val="009F1313"/>
    <w:rsid w:val="00A20351"/>
    <w:rsid w:val="00A61093"/>
    <w:rsid w:val="00A65A81"/>
    <w:rsid w:val="00A73575"/>
    <w:rsid w:val="00AA23EC"/>
    <w:rsid w:val="00AC63CE"/>
    <w:rsid w:val="00AE2107"/>
    <w:rsid w:val="00B142B8"/>
    <w:rsid w:val="00B253CB"/>
    <w:rsid w:val="00B275A8"/>
    <w:rsid w:val="00B579E1"/>
    <w:rsid w:val="00BF2600"/>
    <w:rsid w:val="00C0049F"/>
    <w:rsid w:val="00C07B84"/>
    <w:rsid w:val="00C142D0"/>
    <w:rsid w:val="00C220C7"/>
    <w:rsid w:val="00C33464"/>
    <w:rsid w:val="00C40420"/>
    <w:rsid w:val="00C809A7"/>
    <w:rsid w:val="00C83063"/>
    <w:rsid w:val="00C87E90"/>
    <w:rsid w:val="00CA1B57"/>
    <w:rsid w:val="00CF77F7"/>
    <w:rsid w:val="00D77795"/>
    <w:rsid w:val="00D86297"/>
    <w:rsid w:val="00DD466D"/>
    <w:rsid w:val="00EA3EED"/>
    <w:rsid w:val="00EB6364"/>
    <w:rsid w:val="00F31408"/>
    <w:rsid w:val="00F37B64"/>
    <w:rsid w:val="00FB36C5"/>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15835</Words>
  <Characters>90262</Characters>
  <Application>Microsoft Office Word</Application>
  <DocSecurity>0</DocSecurity>
  <Lines>752</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2022-11-02T18:47:00Z</dcterms:created>
  <dcterms:modified xsi:type="dcterms:W3CDTF">2022-11-02T18:47:00Z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