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05F75CAF" w14:textId="6C326EB0" w:rsidR="00472541" w:rsidRPr="00472541" w:rsidRDefault="00472541" w:rsidP="00472541">
      <w:pPr>
        <w:spacing w:line="240" w:lineRule="auto"/>
        <w:rPr>
          <w:rFonts w:eastAsia="Times New Roman" w:cs="Arial"/>
          <w:lang w:val="en-US" w:eastAsia="bg-BG"/>
        </w:rPr>
      </w:pPr>
      <w:r w:rsidRPr="00472541">
        <w:rPr>
          <w:rFonts w:eastAsia="Times New Roman" w:cs="Arial"/>
          <w:b/>
          <w:bCs/>
          <w:color w:val="000000"/>
          <w:lang w:eastAsia="bg-BG"/>
        </w:rPr>
        <w:t>РУЛИД</w:t>
      </w:r>
      <w:r w:rsidR="00F116BC">
        <w:rPr>
          <w:rFonts w:eastAsia="Times New Roman" w:cs="Arial"/>
          <w:b/>
          <w:bCs/>
          <w:color w:val="000000"/>
          <w:lang w:eastAsia="bg-BG"/>
        </w:rPr>
        <w:t xml:space="preserve"> </w:t>
      </w:r>
      <w:bookmarkStart w:id="1" w:name="_GoBack"/>
      <w:bookmarkEnd w:id="1"/>
      <w:r w:rsidRPr="00472541">
        <w:rPr>
          <w:rFonts w:eastAsia="Times New Roman" w:cs="Arial"/>
          <w:b/>
          <w:bCs/>
          <w:color w:val="000000"/>
          <w:lang w:eastAsia="bg-BG"/>
        </w:rPr>
        <w:t xml:space="preserve">150 </w:t>
      </w:r>
      <w:r w:rsidRPr="00472541">
        <w:rPr>
          <w:rFonts w:eastAsia="Times New Roman" w:cs="Arial"/>
          <w:b/>
          <w:bCs/>
          <w:color w:val="000000"/>
          <w:lang w:val="en-US"/>
        </w:rPr>
        <w:t xml:space="preserve">mg, </w:t>
      </w:r>
      <w:r w:rsidRPr="00472541">
        <w:rPr>
          <w:rFonts w:eastAsia="Times New Roman" w:cs="Arial"/>
          <w:b/>
          <w:bCs/>
          <w:color w:val="000000"/>
          <w:lang w:eastAsia="bg-BG"/>
        </w:rPr>
        <w:t>филмирани таблетки</w:t>
      </w:r>
    </w:p>
    <w:p w14:paraId="69AC8148" w14:textId="7DAB620A" w:rsidR="00EC41ED" w:rsidRPr="00FC1ECA" w:rsidRDefault="00472541" w:rsidP="00472541">
      <w:pPr>
        <w:rPr>
          <w:rFonts w:cs="Arial"/>
        </w:rPr>
      </w:pPr>
      <w:r w:rsidRPr="00FC1ECA">
        <w:rPr>
          <w:rFonts w:eastAsia="Times New Roman" w:cs="Arial"/>
          <w:b/>
          <w:bCs/>
          <w:color w:val="000000"/>
          <w:lang w:val="en-US"/>
        </w:rPr>
        <w:t xml:space="preserve">RULID </w:t>
      </w:r>
      <w:r w:rsidRPr="00FC1ECA">
        <w:rPr>
          <w:rFonts w:eastAsia="Times New Roman" w:cs="Arial"/>
          <w:b/>
          <w:bCs/>
          <w:color w:val="000000"/>
          <w:lang w:eastAsia="bg-BG"/>
        </w:rPr>
        <w:t xml:space="preserve">150 </w:t>
      </w:r>
      <w:r w:rsidRPr="00FC1ECA">
        <w:rPr>
          <w:rFonts w:eastAsia="Times New Roman" w:cs="Arial"/>
          <w:b/>
          <w:bCs/>
          <w:color w:val="000000"/>
          <w:lang w:val="en-US"/>
        </w:rPr>
        <w:t>mg, film-coated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54632B43" w14:textId="750BB7A7" w:rsidR="00EC41ED" w:rsidRPr="00FC1ECA" w:rsidRDefault="00472541" w:rsidP="0091385D">
      <w:pPr>
        <w:rPr>
          <w:rFonts w:cs="Arial"/>
        </w:rPr>
      </w:pPr>
      <w:r w:rsidRPr="00FC1ECA">
        <w:rPr>
          <w:rFonts w:cs="Arial"/>
        </w:rPr>
        <w:t xml:space="preserve">Всяка филмирана таблетка съдържа 150 </w:t>
      </w:r>
      <w:r w:rsidRPr="00FC1ECA">
        <w:rPr>
          <w:rFonts w:cs="Arial"/>
          <w:lang w:val="en-US"/>
        </w:rPr>
        <w:t xml:space="preserve">mg </w:t>
      </w:r>
      <w:r w:rsidRPr="00FC1ECA">
        <w:rPr>
          <w:rFonts w:cs="Arial"/>
        </w:rPr>
        <w:t xml:space="preserve">рокситромицин </w:t>
      </w:r>
      <w:r w:rsidRPr="00FC1ECA">
        <w:rPr>
          <w:rFonts w:cs="Arial"/>
          <w:lang w:val="en-US"/>
        </w:rPr>
        <w:t>(</w:t>
      </w:r>
      <w:proofErr w:type="spellStart"/>
      <w:r w:rsidRPr="00FC1ECA">
        <w:rPr>
          <w:rFonts w:cs="Arial"/>
          <w:lang w:val="en-US"/>
        </w:rPr>
        <w:t>roxithromycin</w:t>
      </w:r>
      <w:proofErr w:type="spellEnd"/>
      <w:r w:rsidRPr="00FC1ECA">
        <w:rPr>
          <w:rFonts w:cs="Arial"/>
          <w:lang w:val="en-US"/>
        </w:rPr>
        <w:t xml:space="preserve">). </w:t>
      </w:r>
      <w:r w:rsidRPr="00FC1ECA">
        <w:rPr>
          <w:rFonts w:cs="Arial"/>
        </w:rPr>
        <w:t>Помощно вещество с известно действие: глюкоза, пропилен гликол, полоксамер За пълния списък на помощните вещества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63493D5F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Филмирана таблетка</w:t>
      </w:r>
    </w:p>
    <w:p w14:paraId="743244F0" w14:textId="0BC447D2" w:rsidR="00EC41ED" w:rsidRPr="00FC1ECA" w:rsidRDefault="00472541" w:rsidP="00472541">
      <w:pPr>
        <w:rPr>
          <w:rFonts w:cs="Arial"/>
        </w:rPr>
      </w:pPr>
      <w:r w:rsidRPr="00FC1ECA">
        <w:rPr>
          <w:rFonts w:eastAsia="Times New Roman" w:cs="Arial"/>
          <w:color w:val="000000"/>
          <w:lang w:eastAsia="bg-BG"/>
        </w:rPr>
        <w:t xml:space="preserve">Бяла, двойно изпъкнала, цилиндрична, филмирана таблетка, с диаметър 9 </w:t>
      </w:r>
      <w:r w:rsidRPr="00FC1ECA">
        <w:rPr>
          <w:rFonts w:eastAsia="Times New Roman" w:cs="Arial"/>
          <w:color w:val="000000"/>
          <w:lang w:val="en-US"/>
        </w:rPr>
        <w:t xml:space="preserve">mm, </w:t>
      </w:r>
      <w:r w:rsidRPr="00FC1ECA">
        <w:rPr>
          <w:rFonts w:eastAsia="Times New Roman" w:cs="Arial"/>
          <w:color w:val="000000"/>
          <w:lang w:eastAsia="bg-BG"/>
        </w:rPr>
        <w:t>от едната страна с гравиран надпис “164”.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7F78D08C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Терапевтичните показания се определят от антибакгериалната активност и фармакокинетичната активност на рокситромицин. Те отразяват резултатите от клиничните изпитвания на лекарството и мястото му в списъка на антибактериалните продукти. Терапевтичните показания са ограничени до инфекции причинени от чувствителни микроорганизми (вижте Фармакодинамични свойства):</w:t>
      </w:r>
    </w:p>
    <w:p w14:paraId="164D480A" w14:textId="77777777" w:rsidR="00472541" w:rsidRPr="00FC1ECA" w:rsidRDefault="00472541" w:rsidP="0047254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Инфекции на гърлото.</w:t>
      </w:r>
    </w:p>
    <w:p w14:paraId="38121AEB" w14:textId="77777777" w:rsidR="00472541" w:rsidRPr="00FC1ECA" w:rsidRDefault="00472541" w:rsidP="0047254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Остър синузит.</w:t>
      </w:r>
    </w:p>
    <w:p w14:paraId="651B63D1" w14:textId="77777777" w:rsidR="00472541" w:rsidRPr="00FC1ECA" w:rsidRDefault="00472541" w:rsidP="0047254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Остър бронхит.</w:t>
      </w:r>
    </w:p>
    <w:p w14:paraId="6495574A" w14:textId="77777777" w:rsidR="00472541" w:rsidRPr="00FC1ECA" w:rsidRDefault="00472541" w:rsidP="0047254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Обостряне на хроничен бронхит.</w:t>
      </w:r>
    </w:p>
    <w:p w14:paraId="76F9BAFD" w14:textId="77777777" w:rsidR="00472541" w:rsidRPr="00FC1ECA" w:rsidRDefault="00472541" w:rsidP="0047254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Придобити в обществото дихателни инфекции.</w:t>
      </w:r>
    </w:p>
    <w:p w14:paraId="373C3725" w14:textId="77777777" w:rsidR="00472541" w:rsidRPr="00FC1ECA" w:rsidRDefault="00472541" w:rsidP="0047254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Доброкачествени кожни инфекции.</w:t>
      </w:r>
    </w:p>
    <w:p w14:paraId="1D4B9F58" w14:textId="77777777" w:rsidR="00472541" w:rsidRPr="00FC1ECA" w:rsidRDefault="00472541" w:rsidP="0047254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Не-гонококови генитални инфекции.</w:t>
      </w:r>
    </w:p>
    <w:p w14:paraId="6DFA4B9D" w14:textId="27FFD99A" w:rsidR="0091385D" w:rsidRPr="00FC1ECA" w:rsidRDefault="00472541" w:rsidP="0047254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Хламидийни и микоплазмени инфекции.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346FC3C6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Рокситромицин трябва да се приема преди хранене с достатъчно количество вода.</w:t>
      </w:r>
    </w:p>
    <w:p w14:paraId="00EB2E70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EB64FE2" w14:textId="5091B575" w:rsidR="00472541" w:rsidRPr="00FC1ECA" w:rsidRDefault="00472541" w:rsidP="00FC1ECA">
      <w:pPr>
        <w:pStyle w:val="Heading3"/>
        <w:rPr>
          <w:rFonts w:eastAsia="Times New Roman"/>
          <w:u w:val="single"/>
          <w:lang w:eastAsia="bg-BG"/>
        </w:rPr>
      </w:pPr>
      <w:r w:rsidRPr="00FC1ECA">
        <w:rPr>
          <w:rFonts w:eastAsia="Times New Roman"/>
          <w:u w:val="single"/>
          <w:lang w:eastAsia="bg-BG"/>
        </w:rPr>
        <w:lastRenderedPageBreak/>
        <w:t>Дозировка</w:t>
      </w:r>
    </w:p>
    <w:p w14:paraId="7EE87CC9" w14:textId="77777777" w:rsidR="00472541" w:rsidRPr="00FC1ECA" w:rsidRDefault="00472541" w:rsidP="0047254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323597B" w14:textId="59612580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2E2CAF5B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Дозата, която може да се дава е 5 до 8 </w:t>
      </w:r>
      <w:r w:rsidRPr="00472541">
        <w:rPr>
          <w:rFonts w:eastAsia="Times New Roman" w:cs="Arial"/>
          <w:color w:val="000000"/>
          <w:lang w:val="en-US"/>
        </w:rPr>
        <w:t>mg/kg/</w:t>
      </w:r>
      <w:r w:rsidRPr="00472541">
        <w:rPr>
          <w:rFonts w:eastAsia="Times New Roman" w:cs="Arial"/>
          <w:color w:val="000000"/>
          <w:lang w:eastAsia="bg-BG"/>
        </w:rPr>
        <w:t xml:space="preserve">дневно разделена на 2 приема през устата (средната доза в педиатричните клинични изпитвания е 6 </w:t>
      </w:r>
      <w:r w:rsidRPr="00472541">
        <w:rPr>
          <w:rFonts w:eastAsia="Times New Roman" w:cs="Arial"/>
          <w:color w:val="000000"/>
          <w:lang w:val="en-US"/>
        </w:rPr>
        <w:t>mg/kg/</w:t>
      </w:r>
      <w:r w:rsidRPr="00472541">
        <w:rPr>
          <w:rFonts w:eastAsia="Times New Roman" w:cs="Arial"/>
          <w:color w:val="000000"/>
          <w:lang w:eastAsia="bg-BG"/>
        </w:rPr>
        <w:t xml:space="preserve">дневно). Лечението не трябва да продължава повече от 10 дни (вижте Предклинични данни за безопасност). Рокситромицин 150 </w:t>
      </w:r>
      <w:r w:rsidRPr="00472541">
        <w:rPr>
          <w:rFonts w:eastAsia="Times New Roman" w:cs="Arial"/>
          <w:color w:val="000000"/>
          <w:lang w:val="en-US"/>
        </w:rPr>
        <w:t xml:space="preserve">mg </w:t>
      </w:r>
      <w:r w:rsidRPr="00472541">
        <w:rPr>
          <w:rFonts w:eastAsia="Times New Roman" w:cs="Arial"/>
          <w:color w:val="000000"/>
          <w:lang w:eastAsia="bg-BG"/>
        </w:rPr>
        <w:t>не трябва да се приема от деца на възраст под 4 години.</w:t>
      </w:r>
    </w:p>
    <w:p w14:paraId="76B6741F" w14:textId="77777777" w:rsidR="00472541" w:rsidRPr="00FC1ECA" w:rsidRDefault="00472541" w:rsidP="0047254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35010A7" w14:textId="34C7F95F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i/>
          <w:iCs/>
          <w:color w:val="000000"/>
          <w:lang w:eastAsia="bg-BG"/>
        </w:rPr>
        <w:t>Възрастни:</w:t>
      </w:r>
    </w:p>
    <w:p w14:paraId="7FBF1BCE" w14:textId="319B7AEF" w:rsidR="00EC41ED" w:rsidRPr="00FC1ECA" w:rsidRDefault="00472541" w:rsidP="00472541">
      <w:pPr>
        <w:rPr>
          <w:rFonts w:cs="Arial"/>
        </w:rPr>
      </w:pPr>
      <w:r w:rsidRPr="00FC1ECA">
        <w:rPr>
          <w:rFonts w:eastAsia="Times New Roman" w:cs="Arial"/>
          <w:color w:val="000000"/>
          <w:lang w:eastAsia="bg-BG"/>
        </w:rPr>
        <w:t xml:space="preserve">300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 xml:space="preserve">дневно, т.е. 1х 150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>таблетка сутрин и вечер.</w:t>
      </w:r>
    </w:p>
    <w:p w14:paraId="132F3111" w14:textId="77777777" w:rsidR="005B0F27" w:rsidRPr="0091385D" w:rsidRDefault="005B0F27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Pr="00FC1ECA" w:rsidRDefault="0091385D" w:rsidP="0091385D">
      <w:pPr>
        <w:rPr>
          <w:rFonts w:cs="Arial"/>
        </w:rPr>
      </w:pPr>
    </w:p>
    <w:p w14:paraId="6F287545" w14:textId="77777777" w:rsidR="00472541" w:rsidRPr="00FC1ECA" w:rsidRDefault="00472541" w:rsidP="0047254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Свръхчувствителност към макролиди или някое от помощните вещества, изброени в точка 6.1.</w:t>
      </w:r>
    </w:p>
    <w:p w14:paraId="4D7378F0" w14:textId="77777777" w:rsidR="00472541" w:rsidRPr="00FC1ECA" w:rsidRDefault="00472541" w:rsidP="0047254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Комбинация с вазоконстрикторни ерго алкалоиди (вж. т.4.5).</w:t>
      </w:r>
    </w:p>
    <w:p w14:paraId="030B6A4D" w14:textId="14B3B6AB" w:rsidR="00EC41ED" w:rsidRPr="00FC1ECA" w:rsidRDefault="00472541" w:rsidP="0047254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Едновременно приложение с лекарствени продукти с тесен терапевтичен прозорец, които са субстрати на </w:t>
      </w:r>
      <w:r w:rsidRPr="00FC1ECA">
        <w:rPr>
          <w:rFonts w:eastAsia="Times New Roman" w:cs="Arial"/>
          <w:color w:val="000000"/>
          <w:lang w:val="en-US"/>
        </w:rPr>
        <w:t xml:space="preserve">CYP3A4 </w:t>
      </w:r>
      <w:r w:rsidRPr="00FC1ECA">
        <w:rPr>
          <w:rFonts w:eastAsia="Times New Roman" w:cs="Arial"/>
          <w:color w:val="000000"/>
          <w:lang w:eastAsia="bg-BG"/>
        </w:rPr>
        <w:t>(напр. астемизол, цизаприд, пимозид и терфенадин) (вж. 4.4 и 4.5)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2F677098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u w:val="single"/>
          <w:lang w:eastAsia="bg-BG"/>
        </w:rPr>
        <w:t>Предупреждения</w:t>
      </w:r>
    </w:p>
    <w:p w14:paraId="2E573B7B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Тежка вазоконстрикция ("ерготизъм") с възможна некроза на крайниците е докладвана, когато макролидни антибиотици са били употребявани с вазоконстриктивни ерго алкалоиди. Винаги трябва да се проверява дали се провежда лечение с тези алкалоиди, преди да се предписва рокситромицин (вж. точка 4.4).</w:t>
      </w:r>
    </w:p>
    <w:p w14:paraId="34D15957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91A35D" w14:textId="7C3FC0B8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Тежки булозни реакции</w:t>
      </w:r>
    </w:p>
    <w:p w14:paraId="65352423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Съобщавани са случаи на тежки булозни кожни реакции като синдром на </w:t>
      </w:r>
      <w:r w:rsidRPr="00472541">
        <w:rPr>
          <w:rFonts w:eastAsia="Times New Roman" w:cs="Arial"/>
          <w:color w:val="000000"/>
          <w:lang w:val="en-US"/>
        </w:rPr>
        <w:t xml:space="preserve">Stevens Johnson </w:t>
      </w:r>
      <w:r w:rsidRPr="00472541">
        <w:rPr>
          <w:rFonts w:eastAsia="Times New Roman" w:cs="Arial"/>
          <w:color w:val="000000"/>
          <w:lang w:eastAsia="bg-BG"/>
        </w:rPr>
        <w:t xml:space="preserve">или токсична епидермална некролиза, като резултат от употребата на рокситромицин. Ако са налични симптоми или признаци за </w:t>
      </w:r>
      <w:r w:rsidRPr="00472541">
        <w:rPr>
          <w:rFonts w:eastAsia="Times New Roman" w:cs="Arial"/>
          <w:color w:val="000000"/>
          <w:lang w:val="en-US"/>
        </w:rPr>
        <w:t xml:space="preserve">Stevens Johnson </w:t>
      </w:r>
      <w:r w:rsidRPr="00472541">
        <w:rPr>
          <w:rFonts w:eastAsia="Times New Roman" w:cs="Arial"/>
          <w:color w:val="000000"/>
          <w:lang w:eastAsia="bg-BG"/>
        </w:rPr>
        <w:t>или токсична епидермална некролиза (например прогресивен кожен обрив, често с мехури или лезии на лигавицата), лечението трябва да се преустанови (вж. точка 4.4).</w:t>
      </w:r>
    </w:p>
    <w:p w14:paraId="39903BFC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B84E7F" w14:textId="5E5D3A3E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Предпазни мерки</w:t>
      </w:r>
    </w:p>
    <w:p w14:paraId="33A83AAD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При тежка чернодробна недостатъчност (напр чернодробна цироза с жълтеница и / или асцит), дозата трябва да се намали наполовина (напр 150 </w:t>
      </w:r>
      <w:r w:rsidRPr="00472541">
        <w:rPr>
          <w:rFonts w:eastAsia="Times New Roman" w:cs="Arial"/>
          <w:color w:val="000000"/>
          <w:lang w:val="en-US"/>
        </w:rPr>
        <w:t xml:space="preserve">mg </w:t>
      </w:r>
      <w:r w:rsidRPr="00472541">
        <w:rPr>
          <w:rFonts w:eastAsia="Times New Roman" w:cs="Arial"/>
          <w:color w:val="000000"/>
          <w:lang w:eastAsia="bg-BG"/>
        </w:rPr>
        <w:t>веднъж дневно при възрастни). Рокситромицин трябва да се използва с повишено внимание при пациенти с лека до умерена чернодробна недостатъчност. Не е необходима корекция на дозата при пациенти в напреднала възраст.</w:t>
      </w:r>
    </w:p>
    <w:p w14:paraId="2C48B475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DFBED6" w14:textId="34729EF4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Бъбречната екскреция на рокситромицин и неговите метаболити представлява около 10% от пероралната доза. Дозировката трябва да бъде запазена непроменена при бъбречна недостатъчност.</w:t>
      </w:r>
    </w:p>
    <w:p w14:paraId="4EEB5041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A8F63A" w14:textId="030E1940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При определени условия макролидите, включително рокситромицин, имат потенциал да удължават </w:t>
      </w:r>
      <w:r w:rsidRPr="00472541">
        <w:rPr>
          <w:rFonts w:eastAsia="Times New Roman" w:cs="Arial"/>
          <w:color w:val="000000"/>
          <w:lang w:val="en-US"/>
        </w:rPr>
        <w:t xml:space="preserve">QT </w:t>
      </w:r>
      <w:r w:rsidRPr="00472541">
        <w:rPr>
          <w:rFonts w:eastAsia="Times New Roman" w:cs="Arial"/>
          <w:color w:val="000000"/>
          <w:lang w:eastAsia="bg-BG"/>
        </w:rPr>
        <w:t xml:space="preserve">интервала. Затова рокситромицин трябва да се използва с повишено внимание при пациенти с вроден удължен </w:t>
      </w:r>
      <w:r w:rsidRPr="00472541">
        <w:rPr>
          <w:rFonts w:eastAsia="Times New Roman" w:cs="Arial"/>
          <w:color w:val="000000"/>
          <w:lang w:val="en-US"/>
        </w:rPr>
        <w:t xml:space="preserve">QT </w:t>
      </w:r>
      <w:r w:rsidRPr="00472541">
        <w:rPr>
          <w:rFonts w:eastAsia="Times New Roman" w:cs="Arial"/>
          <w:color w:val="000000"/>
          <w:lang w:eastAsia="bg-BG"/>
        </w:rPr>
        <w:t xml:space="preserve">интервал, с налични проаритмични </w:t>
      </w:r>
      <w:r w:rsidRPr="00472541">
        <w:rPr>
          <w:rFonts w:eastAsia="Times New Roman" w:cs="Arial"/>
          <w:color w:val="000000"/>
          <w:lang w:eastAsia="bg-BG"/>
        </w:rPr>
        <w:lastRenderedPageBreak/>
        <w:t xml:space="preserve">състояния (т.е. некоригирана хипокалиемия или хипомагнезиемия, клинично значима брадикардия). Необходимо е внимание при лекарствени продукти с потенциал да удължават </w:t>
      </w:r>
      <w:r w:rsidRPr="00472541">
        <w:rPr>
          <w:rFonts w:eastAsia="Times New Roman" w:cs="Arial"/>
          <w:color w:val="000000"/>
          <w:lang w:val="en-US"/>
        </w:rPr>
        <w:t xml:space="preserve">QT </w:t>
      </w:r>
      <w:r w:rsidRPr="00472541">
        <w:rPr>
          <w:rFonts w:eastAsia="Times New Roman" w:cs="Arial"/>
          <w:color w:val="000000"/>
          <w:lang w:eastAsia="bg-BG"/>
        </w:rPr>
        <w:t xml:space="preserve">интервала, когато рокситромицин се прилага при пациенти, приемащи други лекарствени продукти с потенциал да удължават </w:t>
      </w:r>
      <w:r w:rsidRPr="00472541">
        <w:rPr>
          <w:rFonts w:eastAsia="Times New Roman" w:cs="Arial"/>
          <w:color w:val="000000"/>
          <w:lang w:val="en-US"/>
        </w:rPr>
        <w:t xml:space="preserve">QT </w:t>
      </w:r>
      <w:r w:rsidRPr="00472541">
        <w:rPr>
          <w:rFonts w:eastAsia="Times New Roman" w:cs="Arial"/>
          <w:color w:val="000000"/>
          <w:lang w:eastAsia="bg-BG"/>
        </w:rPr>
        <w:t xml:space="preserve">интервала (вж. точка 4.5). Това включва антиаритмични лекарства от клас </w:t>
      </w:r>
      <w:r w:rsidRPr="00472541">
        <w:rPr>
          <w:rFonts w:eastAsia="Times New Roman" w:cs="Arial"/>
          <w:color w:val="000000"/>
          <w:lang w:val="en-US"/>
        </w:rPr>
        <w:t xml:space="preserve">IA </w:t>
      </w:r>
      <w:r w:rsidRPr="00472541">
        <w:rPr>
          <w:rFonts w:eastAsia="Times New Roman" w:cs="Arial"/>
          <w:color w:val="000000"/>
          <w:lang w:eastAsia="bg-BG"/>
        </w:rPr>
        <w:t xml:space="preserve">(хинидин, прокаинамид, дизопирамид) и клас </w:t>
      </w:r>
      <w:r w:rsidRPr="00472541">
        <w:rPr>
          <w:rFonts w:eastAsia="Times New Roman" w:cs="Arial"/>
          <w:color w:val="000000"/>
          <w:lang w:val="en-US"/>
        </w:rPr>
        <w:t>III</w:t>
      </w:r>
      <w:r w:rsidRPr="00472541">
        <w:rPr>
          <w:rFonts w:eastAsia="Times New Roman" w:cs="Arial"/>
          <w:color w:val="000000"/>
          <w:lang w:eastAsia="bg-BG"/>
        </w:rPr>
        <w:t xml:space="preserve"> (напр. дофетилид, амиодарон) и лекарства като астемизол, цизаприд или пимозид (вж. точка 4.5)., циталопрам, трициклични антидепресанти, метадон, някои антипсихотици (напр. фенотиазини), флуорохинолони (напр. моксифлоксацин), някои противогъбични средства (напр. флуконазол, пентамидин), както и някои антивирусни лекарства (напр. телапревир).</w:t>
      </w:r>
    </w:p>
    <w:p w14:paraId="15373C39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5FAEAC9" w14:textId="0088A539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Както е наблюдавано при употребата на други макролиди, рокситромицин може да има потенциал да влоши миастения гравис</w:t>
      </w:r>
    </w:p>
    <w:p w14:paraId="560DE115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Заболявания свързани с </w:t>
      </w:r>
      <w:r w:rsidRPr="00472541">
        <w:rPr>
          <w:rFonts w:eastAsia="Times New Roman" w:cs="Arial"/>
          <w:color w:val="000000"/>
          <w:lang w:val="en-US"/>
        </w:rPr>
        <w:t xml:space="preserve">Clostridium difficile: </w:t>
      </w:r>
      <w:r w:rsidRPr="00472541">
        <w:rPr>
          <w:rFonts w:eastAsia="Times New Roman" w:cs="Arial"/>
          <w:color w:val="000000"/>
          <w:lang w:eastAsia="bg-BG"/>
        </w:rPr>
        <w:t>Диария, особено ако е тежка, персистираща и / или кървава, по време или след лечение с рокситромицин, може да бъде симптом на псевдомембранозен колит. Ако се подозира псевдомембранозен колит, лечението с рокситромицин трябва да се прекрати незабавно.</w:t>
      </w:r>
    </w:p>
    <w:p w14:paraId="2F35EAB2" w14:textId="77777777" w:rsidR="00472541" w:rsidRPr="00FC1ECA" w:rsidRDefault="00472541" w:rsidP="00472541">
      <w:pPr>
        <w:rPr>
          <w:rFonts w:eastAsia="Times New Roman" w:cs="Arial"/>
          <w:color w:val="000000"/>
          <w:lang w:eastAsia="bg-BG"/>
        </w:rPr>
      </w:pPr>
    </w:p>
    <w:p w14:paraId="0E28BBDE" w14:textId="607932E9" w:rsidR="007A2185" w:rsidRPr="00FC1ECA" w:rsidRDefault="00472541" w:rsidP="00472541">
      <w:pPr>
        <w:rPr>
          <w:rFonts w:cs="Arial"/>
          <w:lang w:val="en-US"/>
        </w:rPr>
      </w:pPr>
      <w:r w:rsidRPr="00FC1ECA">
        <w:rPr>
          <w:rFonts w:eastAsia="Times New Roman" w:cs="Arial"/>
          <w:color w:val="000000"/>
          <w:lang w:eastAsia="bg-BG"/>
        </w:rPr>
        <w:t>Препоръчва се мониторинг на бъбречната и чернодробната функция и кръвната картина. особено по време на продължително лечение, (т.е. повече от 2 седмици) (вж. точка 4.4)</w:t>
      </w:r>
      <w:r w:rsidRPr="00FC1ECA">
        <w:rPr>
          <w:rFonts w:eastAsia="Times New Roman" w:cs="Arial"/>
          <w:color w:val="000000"/>
          <w:lang w:val="en-US" w:eastAsia="bg-BG"/>
        </w:rPr>
        <w:t xml:space="preserve">. </w:t>
      </w:r>
    </w:p>
    <w:p w14:paraId="24E3E82F" w14:textId="24A2FF45" w:rsidR="0091385D" w:rsidRPr="00FC1ECA" w:rsidRDefault="0091385D" w:rsidP="0091385D">
      <w:pPr>
        <w:rPr>
          <w:rFonts w:cs="Arial"/>
        </w:rPr>
      </w:pPr>
    </w:p>
    <w:p w14:paraId="1C27BFC1" w14:textId="58BEA904" w:rsidR="00472541" w:rsidRPr="00FC1ECA" w:rsidRDefault="00472541" w:rsidP="0091385D">
      <w:pPr>
        <w:rPr>
          <w:rFonts w:cs="Arial"/>
        </w:rPr>
      </w:pPr>
      <w:r w:rsidRPr="00FC1ECA">
        <w:rPr>
          <w:rFonts w:cs="Arial"/>
        </w:rPr>
        <w:t xml:space="preserve">Пациентите с редки наследствени заболявания на галактозна непоносимост, </w:t>
      </w:r>
      <w:r w:rsidRPr="00FC1ECA">
        <w:rPr>
          <w:rFonts w:cs="Arial"/>
          <w:lang w:val="en-US"/>
        </w:rPr>
        <w:t xml:space="preserve">Lapp </w:t>
      </w:r>
      <w:r w:rsidRPr="00FC1ECA">
        <w:rPr>
          <w:rFonts w:cs="Arial"/>
        </w:rPr>
        <w:t>лактазна недостатъчност или глюкозо-галактозна малбсорбция не трябва да приемат това лекарство.</w:t>
      </w:r>
    </w:p>
    <w:p w14:paraId="1AA6F172" w14:textId="77777777" w:rsidR="00472541" w:rsidRPr="0091385D" w:rsidRDefault="00472541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11951683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bookmarkStart w:id="2" w:name="bookmark0"/>
      <w:r w:rsidRPr="00472541">
        <w:rPr>
          <w:rFonts w:eastAsia="Times New Roman" w:cs="Arial"/>
          <w:b/>
          <w:bCs/>
          <w:color w:val="000000"/>
          <w:lang w:eastAsia="bg-BG"/>
        </w:rPr>
        <w:t>Противопоказани комбинации</w:t>
      </w:r>
      <w:bookmarkEnd w:id="2"/>
    </w:p>
    <w:p w14:paraId="6E4BA40C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F8D67C0" w14:textId="0E47A9D9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Вазоконстрикторни алкалоиди на моравото рогче (виж т.4.3 Противопоказания). Рокситромицин е слаб инхибитор на </w:t>
      </w:r>
      <w:r w:rsidRPr="00472541">
        <w:rPr>
          <w:rFonts w:eastAsia="Times New Roman" w:cs="Arial"/>
          <w:color w:val="000000"/>
          <w:lang w:val="en-US"/>
        </w:rPr>
        <w:t>CYP3A4</w:t>
      </w:r>
    </w:p>
    <w:p w14:paraId="70089D0F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D1E128" w14:textId="66E165BB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Комбинации които не се препоръчват</w:t>
      </w:r>
    </w:p>
    <w:p w14:paraId="26463C8E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B77C0C" w14:textId="157E3865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Терфенадин</w:t>
      </w:r>
    </w:p>
    <w:p w14:paraId="2E1E9AE6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Някои макролиди имат потенциал за фармакокинетично взаимодействие с терфенадин, което води до повишаване на серумната концентрация на последния. Това може да доведе до тежка камерна аритмия, обикновено </w:t>
      </w:r>
      <w:proofErr w:type="spellStart"/>
      <w:r w:rsidRPr="00472541">
        <w:rPr>
          <w:rFonts w:eastAsia="Times New Roman" w:cs="Arial"/>
          <w:color w:val="000000"/>
          <w:lang w:val="en-US"/>
        </w:rPr>
        <w:t>torsades</w:t>
      </w:r>
      <w:proofErr w:type="spellEnd"/>
      <w:r w:rsidRPr="00472541">
        <w:rPr>
          <w:rFonts w:eastAsia="Times New Roman" w:cs="Arial"/>
          <w:color w:val="000000"/>
          <w:lang w:val="en-US"/>
        </w:rPr>
        <w:t xml:space="preserve"> de pointes. </w:t>
      </w:r>
      <w:r w:rsidRPr="00472541">
        <w:rPr>
          <w:rFonts w:eastAsia="Times New Roman" w:cs="Arial"/>
          <w:color w:val="000000"/>
          <w:lang w:eastAsia="bg-BG"/>
        </w:rPr>
        <w:t>Въпреки че такава реакция не е била доказана с рокситромицин и проучвания при ограничен брой здрави доброволци не показват фармакокинетично взаимодействие или съответните ЕКГ промени, съвместната употреба на рокситромицин и терфенадин не се препоръчва</w:t>
      </w:r>
    </w:p>
    <w:p w14:paraId="30E8F6A5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29286B" w14:textId="6F8DE076" w:rsidR="00472541" w:rsidRPr="00FC1ECA" w:rsidRDefault="00472541" w:rsidP="0047254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Астемизол, цизаприд, пимозид</w:t>
      </w:r>
    </w:p>
    <w:p w14:paraId="77B7B385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0079EC" w14:textId="744AE171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Други лекарства, като астемизол, цизаприд или пимозид, които се метаболизират чрез чернодробния </w:t>
      </w:r>
      <w:r w:rsidRPr="00472541">
        <w:rPr>
          <w:rFonts w:eastAsia="Times New Roman" w:cs="Arial"/>
          <w:color w:val="000000"/>
          <w:lang w:val="en-US"/>
        </w:rPr>
        <w:t xml:space="preserve">CYP3A </w:t>
      </w:r>
      <w:r w:rsidRPr="00472541">
        <w:rPr>
          <w:rFonts w:eastAsia="Times New Roman" w:cs="Arial"/>
          <w:color w:val="000000"/>
          <w:lang w:eastAsia="bg-BG"/>
        </w:rPr>
        <w:t xml:space="preserve">изоензим, са били свързани с удължаване на </w:t>
      </w:r>
      <w:r w:rsidRPr="00472541">
        <w:rPr>
          <w:rFonts w:eastAsia="Times New Roman" w:cs="Arial"/>
          <w:color w:val="000000"/>
          <w:lang w:val="en-US"/>
        </w:rPr>
        <w:t xml:space="preserve">QT </w:t>
      </w:r>
      <w:r w:rsidRPr="00472541">
        <w:rPr>
          <w:rFonts w:eastAsia="Times New Roman" w:cs="Arial"/>
          <w:color w:val="000000"/>
          <w:lang w:eastAsia="bg-BG"/>
        </w:rPr>
        <w:t xml:space="preserve">интервала и / или сърдечни аритмии (обикновено </w:t>
      </w:r>
      <w:proofErr w:type="spellStart"/>
      <w:r w:rsidRPr="00472541">
        <w:rPr>
          <w:rFonts w:eastAsia="Times New Roman" w:cs="Arial"/>
          <w:color w:val="000000"/>
          <w:lang w:val="en-US"/>
        </w:rPr>
        <w:t>torsades</w:t>
      </w:r>
      <w:proofErr w:type="spellEnd"/>
      <w:r w:rsidRPr="00472541">
        <w:rPr>
          <w:rFonts w:eastAsia="Times New Roman" w:cs="Arial"/>
          <w:color w:val="000000"/>
          <w:lang w:val="en-US"/>
        </w:rPr>
        <w:t xml:space="preserve"> de pointes) </w:t>
      </w:r>
      <w:r w:rsidRPr="00472541">
        <w:rPr>
          <w:rFonts w:eastAsia="Times New Roman" w:cs="Arial"/>
          <w:color w:val="000000"/>
          <w:lang w:eastAsia="bg-BG"/>
        </w:rPr>
        <w:t xml:space="preserve">в резултат на увеличение на серумното им ниво след взаимодействие със силни инхибитори на този изоензим, </w:t>
      </w:r>
      <w:r w:rsidRPr="00472541">
        <w:rPr>
          <w:rFonts w:eastAsia="Times New Roman" w:cs="Arial"/>
          <w:color w:val="000000"/>
          <w:lang w:eastAsia="bg-BG"/>
        </w:rPr>
        <w:lastRenderedPageBreak/>
        <w:t xml:space="preserve">включително някои макролидни антибактериални средства. Въпреки, че рокситромицин няма или има ограничена способност за образуване на комплекс с </w:t>
      </w:r>
      <w:r w:rsidRPr="00472541">
        <w:rPr>
          <w:rFonts w:eastAsia="Times New Roman" w:cs="Arial"/>
          <w:color w:val="000000"/>
          <w:lang w:val="en-US"/>
        </w:rPr>
        <w:t xml:space="preserve">CYP3A </w:t>
      </w:r>
      <w:r w:rsidRPr="00472541">
        <w:rPr>
          <w:rFonts w:eastAsia="Times New Roman" w:cs="Arial"/>
          <w:color w:val="000000"/>
          <w:lang w:eastAsia="bg-BG"/>
        </w:rPr>
        <w:t>и следователно да инхибира метаболизма на други лекарства, които се обработват от този изоензим, потенциала за клинично взаимодействие на рокситромицин с гореспоменатите лекарства не може да се установи или изключи, следователно съвместна употреба на рокситромицин с такива лекарства не се препоръчва (вж. точка 4.4).</w:t>
      </w:r>
    </w:p>
    <w:p w14:paraId="0DB7DCFA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521F88" w14:textId="1C1FDEED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Рокситромицин, като останалите макролиди, трябва да се използва с повишено внимание при пациенти приемащи клас </w:t>
      </w:r>
      <w:r w:rsidRPr="00472541">
        <w:rPr>
          <w:rFonts w:eastAsia="Times New Roman" w:cs="Arial"/>
          <w:color w:val="000000"/>
          <w:lang w:val="en-US"/>
        </w:rPr>
        <w:t xml:space="preserve">IA </w:t>
      </w:r>
      <w:r w:rsidRPr="00472541">
        <w:rPr>
          <w:rFonts w:eastAsia="Times New Roman" w:cs="Arial"/>
          <w:color w:val="000000"/>
          <w:lang w:eastAsia="bg-BG"/>
        </w:rPr>
        <w:t xml:space="preserve">и клас </w:t>
      </w:r>
      <w:r w:rsidRPr="00472541">
        <w:rPr>
          <w:rFonts w:eastAsia="Times New Roman" w:cs="Arial"/>
          <w:color w:val="000000"/>
          <w:lang w:val="en-US"/>
        </w:rPr>
        <w:t>III</w:t>
      </w:r>
      <w:r w:rsidRPr="00472541">
        <w:rPr>
          <w:rFonts w:eastAsia="Times New Roman" w:cs="Arial"/>
          <w:color w:val="000000"/>
          <w:lang w:eastAsia="bg-BG"/>
        </w:rPr>
        <w:t xml:space="preserve"> ангиаритмични лекарства (вж. точка 4.4).</w:t>
      </w:r>
    </w:p>
    <w:p w14:paraId="0163E862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90AB94" w14:textId="5D6EDEBD" w:rsidR="00472541" w:rsidRPr="00FC1ECA" w:rsidRDefault="00472541" w:rsidP="0047254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Лекарствени продукти с потенциал да удължават </w:t>
      </w:r>
      <w:r w:rsidRPr="00FC1ECA">
        <w:rPr>
          <w:rFonts w:eastAsia="Times New Roman" w:cs="Arial"/>
          <w:color w:val="000000"/>
          <w:lang w:val="en-US"/>
        </w:rPr>
        <w:t xml:space="preserve">QT </w:t>
      </w:r>
      <w:r w:rsidRPr="00FC1ECA">
        <w:rPr>
          <w:rFonts w:eastAsia="Times New Roman" w:cs="Arial"/>
          <w:color w:val="000000"/>
          <w:lang w:eastAsia="bg-BG"/>
        </w:rPr>
        <w:t>интервала</w:t>
      </w:r>
    </w:p>
    <w:p w14:paraId="38131A51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Препоръчва се повишено внимание, когато рокситромицин се прилага при пациенти, приемащи други лекарствени продукти с потенциал да удължават </w:t>
      </w:r>
      <w:r w:rsidRPr="00472541">
        <w:rPr>
          <w:rFonts w:eastAsia="Times New Roman" w:cs="Arial"/>
          <w:color w:val="000000"/>
          <w:lang w:val="en-US"/>
        </w:rPr>
        <w:t xml:space="preserve">QT </w:t>
      </w:r>
      <w:r w:rsidRPr="00472541">
        <w:rPr>
          <w:rFonts w:eastAsia="Times New Roman" w:cs="Arial"/>
          <w:color w:val="000000"/>
          <w:lang w:eastAsia="bg-BG"/>
        </w:rPr>
        <w:t xml:space="preserve">интервала (вж. точка 4,4). Те включват антиаригмични лекарства от клас </w:t>
      </w:r>
      <w:r w:rsidRPr="00472541">
        <w:rPr>
          <w:rFonts w:eastAsia="Times New Roman" w:cs="Arial"/>
          <w:color w:val="000000"/>
          <w:lang w:val="en-US"/>
        </w:rPr>
        <w:t xml:space="preserve">IA </w:t>
      </w:r>
      <w:r w:rsidRPr="00472541">
        <w:rPr>
          <w:rFonts w:eastAsia="Times New Roman" w:cs="Arial"/>
          <w:color w:val="000000"/>
          <w:lang w:eastAsia="bg-BG"/>
        </w:rPr>
        <w:t>(хинидин, прокаинамид, дизопирамид) и клас III (напр. дофетилид, амиодарон), циталопрам, трициклични антидепресанти, метадон, някои антипсихотици (напр. фенотиазини), флуорохинолони (напр. моксифлоксацин), някои противогьбични средства (напр. флуконазол, пентамидин), както и някои антивирусни лекарства (напр. телапревир).</w:t>
      </w:r>
    </w:p>
    <w:p w14:paraId="756E1B72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FE56F30" w14:textId="70D6A468" w:rsidR="00472541" w:rsidRPr="00FC1ECA" w:rsidRDefault="00472541" w:rsidP="0047254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Витамин К антагонисти:</w:t>
      </w:r>
    </w:p>
    <w:p w14:paraId="2FE77581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Варфарин и други антикоагуланти</w:t>
      </w:r>
    </w:p>
    <w:p w14:paraId="36FB105F" w14:textId="0FB53DA9" w:rsidR="00472541" w:rsidRPr="00FC1ECA" w:rsidRDefault="00472541" w:rsidP="00FC1ECA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Не са установени взаимодействия с варфарин в проучвания при доброволци: но се увеличава  протромбиновото време или международното нормализирано съотношение (</w:t>
      </w:r>
      <w:r w:rsidRPr="00472541">
        <w:rPr>
          <w:rFonts w:eastAsia="Times New Roman" w:cs="Arial"/>
          <w:color w:val="000000"/>
          <w:lang w:val="en-US"/>
        </w:rPr>
        <w:t>INB</w:t>
      </w:r>
      <w:r w:rsidRPr="00472541">
        <w:rPr>
          <w:rFonts w:eastAsia="Times New Roman" w:cs="Arial"/>
          <w:color w:val="000000"/>
          <w:lang w:eastAsia="bg-BG"/>
        </w:rPr>
        <w:t>), докладвана</w:t>
      </w:r>
      <w:r w:rsidR="00FC1ECA">
        <w:rPr>
          <w:rFonts w:eastAsia="Times New Roman" w:cs="Arial"/>
          <w:lang w:eastAsia="bg-BG"/>
        </w:rPr>
        <w:t xml:space="preserve"> </w:t>
      </w:r>
      <w:r w:rsidRPr="00FC1ECA">
        <w:rPr>
          <w:rFonts w:eastAsia="Times New Roman" w:cs="Arial"/>
          <w:color w:val="000000"/>
          <w:lang w:eastAsia="bg-BG"/>
        </w:rPr>
        <w:t>при пациенти, което може да се обясни с инфекциозен епизод при лечението с рокситромицин</w:t>
      </w:r>
      <w:r w:rsidRPr="00FC1ECA">
        <w:rPr>
          <w:rFonts w:eastAsia="Times New Roman" w:cs="Arial"/>
          <w:color w:val="000000"/>
          <w:lang w:val="en-US" w:eastAsia="bg-BG"/>
        </w:rPr>
        <w:t xml:space="preserve"> </w:t>
      </w:r>
      <w:r w:rsidRPr="00FC1ECA">
        <w:rPr>
          <w:rFonts w:eastAsia="Times New Roman" w:cs="Arial"/>
          <w:color w:val="000000"/>
          <w:lang w:eastAsia="bg-BG"/>
        </w:rPr>
        <w:t xml:space="preserve">и витамин К антагонисти. Препоръчва се да се следи </w:t>
      </w:r>
      <w:r w:rsidRPr="00FC1ECA">
        <w:rPr>
          <w:rFonts w:eastAsia="Times New Roman" w:cs="Arial"/>
          <w:color w:val="000000"/>
          <w:lang w:val="en-US"/>
        </w:rPr>
        <w:t xml:space="preserve">INR </w:t>
      </w:r>
      <w:r w:rsidRPr="00FC1ECA">
        <w:rPr>
          <w:rFonts w:eastAsia="Times New Roman" w:cs="Arial"/>
          <w:color w:val="000000"/>
          <w:lang w:eastAsia="bg-BG"/>
        </w:rPr>
        <w:t>по време на комбинирано лечение с рокситромицин и витамин К антагонисти.</w:t>
      </w:r>
    </w:p>
    <w:p w14:paraId="003C2CA0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8AFDB8F" w14:textId="68181DCD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u w:val="single"/>
          <w:lang w:eastAsia="bg-BG"/>
        </w:rPr>
        <w:t>* Дизопирамид;</w:t>
      </w:r>
    </w:p>
    <w:p w14:paraId="6D86EEFD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Ин витро проучване показва, че рокситромицин може да измести протеин-свързания дизопирамид; такъв ефект </w:t>
      </w:r>
      <w:r w:rsidRPr="00472541">
        <w:rPr>
          <w:rFonts w:eastAsia="Times New Roman" w:cs="Arial"/>
          <w:i/>
          <w:iCs/>
          <w:color w:val="000000"/>
          <w:lang w:eastAsia="bg-BG"/>
        </w:rPr>
        <w:t>ин</w:t>
      </w:r>
      <w:r w:rsidRPr="00472541">
        <w:rPr>
          <w:rFonts w:eastAsia="Times New Roman" w:cs="Arial"/>
          <w:color w:val="000000"/>
          <w:lang w:eastAsia="bg-BG"/>
        </w:rPr>
        <w:t xml:space="preserve"> виво може да доведе до повишаване на серумните нива на свободния дизопирамид. Следователно се препоръчва мониториране чрез ЕКГ и ако е възможно да се проследяват серумните нива на дизопирамид.</w:t>
      </w:r>
    </w:p>
    <w:p w14:paraId="57699B6E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8B4B48" w14:textId="1F889FDD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• Дигоксин и други сърдечни гликозиди:</w:t>
      </w:r>
    </w:p>
    <w:p w14:paraId="36D3EE3C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Едно проучване при здрави доброволци показва, че рокситромицин може да повиши абсорбцията на дигоксин. Този ефект е общ и за други макролиди, но много рядко може да доведе до токсичност на сърдечни гликозиди. Това може да се прояви със симптоми като гадене, повръщане, диария, главоболие или световъртеж; кардиотоксичността на гликозидите също може да предизвика нарушения на сърдечната проводимост и / или на сърдечния ритъм. Следователно, при пациенти, лекувани с рокситромицин и дигоксин или друг сърдечен гликозид, се налага мониториране чрез ЕКГ и ако е възможно да се проследяват серумните нива на сърдечните гликозиди. Това е задължително ако има симптоми, които може да предположат предозиране със сърдечни гликозиди.</w:t>
      </w:r>
    </w:p>
    <w:p w14:paraId="0FAE086C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674EFB" w14:textId="097CB164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Комбинации, които трябва да бъдат взети предвид</w:t>
      </w:r>
    </w:p>
    <w:p w14:paraId="01683DAC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4DF58F" w14:textId="2285C8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Едновременно приложение на рокситромицин (300 мг дневно) и мидазолам (15 мг орално) увеличава </w:t>
      </w:r>
      <w:r w:rsidRPr="00472541">
        <w:rPr>
          <w:rFonts w:eastAsia="Times New Roman" w:cs="Arial"/>
          <w:color w:val="000000"/>
          <w:lang w:val="en-US"/>
        </w:rPr>
        <w:t xml:space="preserve">AUC </w:t>
      </w:r>
      <w:r w:rsidRPr="00472541">
        <w:rPr>
          <w:rFonts w:eastAsia="Times New Roman" w:cs="Arial"/>
          <w:color w:val="000000"/>
          <w:lang w:eastAsia="bg-BG"/>
        </w:rPr>
        <w:t xml:space="preserve">на мидазолам (чувствителен субстрат на </w:t>
      </w:r>
      <w:r w:rsidRPr="00472541">
        <w:rPr>
          <w:rFonts w:eastAsia="Times New Roman" w:cs="Arial"/>
          <w:color w:val="000000"/>
          <w:lang w:val="en-US"/>
        </w:rPr>
        <w:t xml:space="preserve">CYP3A4) </w:t>
      </w:r>
      <w:r w:rsidRPr="00472541">
        <w:rPr>
          <w:rFonts w:eastAsia="Times New Roman" w:cs="Arial"/>
          <w:color w:val="000000"/>
          <w:lang w:eastAsia="bg-BG"/>
        </w:rPr>
        <w:t>с 47%, което може да доведе до засилен и удължен ефект на мидазолам при пациенти лекувани с рокситромисин. Няма категорично доказателство за взаимодействието между рокситромицин и триазолам.</w:t>
      </w:r>
    </w:p>
    <w:p w14:paraId="1787AC7E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D24AE3" w14:textId="1F04D5B8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Рокситромицин е слаб инхибитор на </w:t>
      </w:r>
      <w:r w:rsidRPr="00472541">
        <w:rPr>
          <w:rFonts w:eastAsia="Times New Roman" w:cs="Arial"/>
          <w:color w:val="000000"/>
          <w:lang w:val="en-US"/>
        </w:rPr>
        <w:t xml:space="preserve">CYP3A. </w:t>
      </w:r>
      <w:r w:rsidRPr="00472541">
        <w:rPr>
          <w:rFonts w:eastAsia="Times New Roman" w:cs="Arial"/>
          <w:color w:val="000000"/>
          <w:lang w:eastAsia="bg-BG"/>
        </w:rPr>
        <w:t xml:space="preserve">Ефектът на рокситромицин върху експозицията към лекарства предимно метаболизирани от </w:t>
      </w:r>
      <w:r w:rsidRPr="00472541">
        <w:rPr>
          <w:rFonts w:eastAsia="Times New Roman" w:cs="Arial"/>
          <w:color w:val="000000"/>
          <w:lang w:val="en-US"/>
        </w:rPr>
        <w:t>CYP3</w:t>
      </w:r>
      <w:r w:rsidRPr="00472541">
        <w:rPr>
          <w:rFonts w:eastAsia="Times New Roman" w:cs="Arial"/>
          <w:color w:val="000000"/>
          <w:lang w:eastAsia="bg-BG"/>
        </w:rPr>
        <w:t xml:space="preserve">А се очаква да бъде 2-кратна или по-малка, д. Трябва да се внимава, когато рокситромицин е предписан едновременно с лекарства метаболизирани от </w:t>
      </w:r>
      <w:r w:rsidRPr="00472541">
        <w:rPr>
          <w:rFonts w:eastAsia="Times New Roman" w:cs="Arial"/>
          <w:color w:val="000000"/>
          <w:lang w:val="en-US"/>
        </w:rPr>
        <w:t>CYP3</w:t>
      </w:r>
      <w:r w:rsidRPr="00472541">
        <w:rPr>
          <w:rFonts w:eastAsia="Times New Roman" w:cs="Arial"/>
          <w:color w:val="000000"/>
          <w:lang w:eastAsia="bg-BG"/>
        </w:rPr>
        <w:t>А (като рифабутин и бромокриптин).</w:t>
      </w:r>
    </w:p>
    <w:p w14:paraId="4238FB13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8FBB6F" w14:textId="1712AB0E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Открито е леко повишение в плазмените концентрации на теофилин или циклоспорин А, но това обикновено не изисква промяна на обичайната доза.</w:t>
      </w:r>
    </w:p>
    <w:p w14:paraId="1F0700B7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5166A6A" w14:textId="4AF11D89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Рокситромицин може да увеличи </w:t>
      </w:r>
      <w:r w:rsidRPr="00472541">
        <w:rPr>
          <w:rFonts w:eastAsia="Times New Roman" w:cs="Arial"/>
          <w:color w:val="000000"/>
          <w:lang w:val="en-US"/>
        </w:rPr>
        <w:t xml:space="preserve">AUC </w:t>
      </w:r>
      <w:r w:rsidRPr="00472541">
        <w:rPr>
          <w:rFonts w:eastAsia="Times New Roman" w:cs="Arial"/>
          <w:color w:val="000000"/>
          <w:lang w:eastAsia="bg-BG"/>
        </w:rPr>
        <w:t>и плазмената концентрация на бромокриптин, което може да доведе до повишен риск от нежелани ефекти на веществото.</w:t>
      </w:r>
    </w:p>
    <w:p w14:paraId="76FFF31A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FD3D39" w14:textId="6AB32E31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В клинично проучване за оценка на ефектите на рокситромицин върху експозицията на циклоспорин при 8 човека със сърдечна трансплантация, лекувани с циклоспорин за най-малко 1 месец, са получавали рокситромицин 150 мг два пъти дневно за 11 дни. Рокситромицин доведе до 50% увеличение на плазмените концентрации на циклоспорин, което постепенно се понижаваше след спиране на лечението с рокситромицин.</w:t>
      </w:r>
    </w:p>
    <w:p w14:paraId="2236C9FD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228FF3" w14:textId="541E1C76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Рокситромицин може да увеличи плазмената концентрация на рифабутин.</w:t>
      </w:r>
    </w:p>
    <w:p w14:paraId="485A88EF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0DF90165" w14:textId="2AEFB0B3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val="en-US"/>
        </w:rPr>
        <w:t xml:space="preserve">HMG-CoA- </w:t>
      </w:r>
      <w:r w:rsidRPr="00472541">
        <w:rPr>
          <w:rFonts w:eastAsia="Times New Roman" w:cs="Arial"/>
          <w:color w:val="000000"/>
          <w:lang w:eastAsia="bg-BG"/>
        </w:rPr>
        <w:t>редуктазни инхибитори</w:t>
      </w:r>
    </w:p>
    <w:p w14:paraId="24B7484D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При комбиниране на рокситромицин и </w:t>
      </w:r>
      <w:proofErr w:type="spellStart"/>
      <w:r w:rsidRPr="00472541">
        <w:rPr>
          <w:rFonts w:eastAsia="Times New Roman" w:cs="Arial"/>
          <w:color w:val="000000"/>
          <w:lang w:val="en-US"/>
        </w:rPr>
        <w:t>HMGCoA</w:t>
      </w:r>
      <w:proofErr w:type="spellEnd"/>
      <w:r w:rsidRPr="00472541">
        <w:rPr>
          <w:rFonts w:eastAsia="Times New Roman" w:cs="Arial"/>
          <w:color w:val="000000"/>
          <w:lang w:val="en-US"/>
        </w:rPr>
        <w:t xml:space="preserve"> </w:t>
      </w:r>
      <w:r w:rsidRPr="00472541">
        <w:rPr>
          <w:rFonts w:eastAsia="Times New Roman" w:cs="Arial"/>
          <w:color w:val="000000"/>
          <w:lang w:eastAsia="bg-BG"/>
        </w:rPr>
        <w:t>рсдуктазсн инхибитор (статии), има потенциален риск от нежелани лекарствени реакции, свързани с мускулите, като например рабдомиолиза поради възможна повишена експозиция на статина.</w:t>
      </w:r>
    </w:p>
    <w:p w14:paraId="5B2761C5" w14:textId="502E6600" w:rsidR="0091385D" w:rsidRPr="00FC1ECA" w:rsidRDefault="00472541" w:rsidP="00472541">
      <w:pPr>
        <w:rPr>
          <w:rFonts w:cs="Arial"/>
          <w:lang w:val="en-US"/>
        </w:rPr>
      </w:pPr>
      <w:r w:rsidRPr="00FC1ECA">
        <w:rPr>
          <w:rFonts w:eastAsia="Times New Roman" w:cs="Arial"/>
          <w:color w:val="000000"/>
          <w:lang w:eastAsia="bg-BG"/>
        </w:rPr>
        <w:t>Трябва да се внимава при комбиниране на статин с рокситромицин и пациентите трябва да се наблюдават за признаци и симптоми на миопатия.</w:t>
      </w:r>
    </w:p>
    <w:p w14:paraId="0395BD2E" w14:textId="1F0BE9CA" w:rsidR="007A2185" w:rsidRPr="00FC1ECA" w:rsidRDefault="007A2185" w:rsidP="0091385D">
      <w:pPr>
        <w:rPr>
          <w:rFonts w:cs="Arial"/>
        </w:rPr>
      </w:pPr>
    </w:p>
    <w:p w14:paraId="2714B16B" w14:textId="7BFB855A" w:rsidR="00472541" w:rsidRPr="00FC1ECA" w:rsidRDefault="00472541" w:rsidP="0091385D">
      <w:pPr>
        <w:rPr>
          <w:rFonts w:cs="Arial"/>
        </w:rPr>
      </w:pPr>
      <w:r w:rsidRPr="00FC1ECA">
        <w:rPr>
          <w:rFonts w:cs="Arial"/>
        </w:rPr>
        <w:t>Други</w:t>
      </w:r>
    </w:p>
    <w:p w14:paraId="02BF4701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Няма клинично значими взаимодействия с карбамазепин, ранитидин, алуминиев или магнезиев хидроксид.</w:t>
      </w:r>
    </w:p>
    <w:p w14:paraId="38C12DD0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13A283" w14:textId="71D5F912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Има проучвания с отрицателни резултати за клиничните взаимодействия за оценка на ефектите на рокситромицин и перорални контрацептиви, съдържащи естрогени и прогестогени, макар и при много малко субекти.</w:t>
      </w:r>
    </w:p>
    <w:p w14:paraId="40DD8833" w14:textId="77777777" w:rsidR="00472541" w:rsidRPr="00FC1ECA" w:rsidRDefault="00472541" w:rsidP="00472541">
      <w:pPr>
        <w:rPr>
          <w:rFonts w:eastAsia="Times New Roman" w:cs="Arial"/>
          <w:color w:val="000000"/>
          <w:lang w:eastAsia="bg-BG"/>
        </w:rPr>
      </w:pPr>
    </w:p>
    <w:p w14:paraId="3E7DE012" w14:textId="66074B38" w:rsidR="00472541" w:rsidRPr="00FC1ECA" w:rsidRDefault="00472541" w:rsidP="00472541">
      <w:pPr>
        <w:rPr>
          <w:rFonts w:cs="Arial"/>
        </w:rPr>
      </w:pPr>
      <w:r w:rsidRPr="00FC1ECA">
        <w:rPr>
          <w:rFonts w:eastAsia="Times New Roman" w:cs="Arial"/>
          <w:color w:val="000000"/>
          <w:lang w:eastAsia="bg-BG"/>
        </w:rPr>
        <w:t>Проучвания за взаимодействията са провеждани само при възрастни.</w:t>
      </w:r>
    </w:p>
    <w:p w14:paraId="75AF71AA" w14:textId="77777777" w:rsidR="00472541" w:rsidRPr="0091385D" w:rsidRDefault="00472541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24C59C86" w14:textId="77777777" w:rsidR="00472541" w:rsidRPr="00FC1ECA" w:rsidRDefault="00472541" w:rsidP="00FC1ECA">
      <w:pPr>
        <w:pStyle w:val="Heading3"/>
        <w:rPr>
          <w:rFonts w:eastAsia="Times New Roman"/>
          <w:u w:val="single"/>
          <w:lang w:eastAsia="bg-BG"/>
        </w:rPr>
      </w:pPr>
      <w:r w:rsidRPr="00FC1ECA">
        <w:rPr>
          <w:rFonts w:eastAsia="Times New Roman"/>
          <w:u w:val="single"/>
          <w:lang w:eastAsia="bg-BG"/>
        </w:rPr>
        <w:t>Бременност</w:t>
      </w:r>
    </w:p>
    <w:p w14:paraId="4C1292E0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 xml:space="preserve">Изследвания при няколко вида животни не са показали тератогенни или фетотоксични ефекти в дози до </w:t>
      </w:r>
      <w:r w:rsidRPr="00472541">
        <w:rPr>
          <w:rFonts w:eastAsia="Times New Roman" w:cs="Arial"/>
          <w:color w:val="000000"/>
          <w:lang w:val="en-US"/>
        </w:rPr>
        <w:t>200mg/kg/</w:t>
      </w:r>
      <w:r w:rsidRPr="00472541">
        <w:rPr>
          <w:rFonts w:eastAsia="Times New Roman" w:cs="Arial"/>
          <w:color w:val="000000"/>
          <w:lang w:eastAsia="bg-BG"/>
        </w:rPr>
        <w:t>д</w:t>
      </w:r>
      <w:r w:rsidRPr="00472541">
        <w:rPr>
          <w:rFonts w:eastAsia="Times New Roman" w:cs="Arial"/>
          <w:color w:val="000000"/>
          <w:lang w:val="en-US"/>
        </w:rPr>
        <w:t>e</w:t>
      </w:r>
      <w:r w:rsidRPr="00472541">
        <w:rPr>
          <w:rFonts w:eastAsia="Times New Roman" w:cs="Arial"/>
          <w:color w:val="000000"/>
          <w:lang w:eastAsia="bg-BG"/>
        </w:rPr>
        <w:t>н</w:t>
      </w:r>
      <w:r w:rsidRPr="00472541">
        <w:rPr>
          <w:rFonts w:eastAsia="Times New Roman" w:cs="Arial"/>
          <w:color w:val="000000"/>
          <w:lang w:val="en-US"/>
        </w:rPr>
        <w:t xml:space="preserve">, </w:t>
      </w:r>
      <w:r w:rsidRPr="00472541">
        <w:rPr>
          <w:rFonts w:eastAsia="Times New Roman" w:cs="Arial"/>
          <w:color w:val="000000"/>
          <w:lang w:eastAsia="bg-BG"/>
        </w:rPr>
        <w:t>или 40 пъти терапевтичната доза при хора. Не е установена безопасността на рокситромицин за плода по време на бременността при хора.</w:t>
      </w:r>
    </w:p>
    <w:p w14:paraId="7F997F2D" w14:textId="77777777" w:rsidR="00472541" w:rsidRPr="00FC1ECA" w:rsidRDefault="00472541" w:rsidP="00FC1ECA">
      <w:pPr>
        <w:pStyle w:val="Heading3"/>
        <w:rPr>
          <w:rFonts w:eastAsia="Times New Roman"/>
          <w:u w:val="single"/>
          <w:lang w:eastAsia="bg-BG"/>
        </w:rPr>
      </w:pPr>
      <w:r w:rsidRPr="00FC1ECA">
        <w:rPr>
          <w:rFonts w:eastAsia="Times New Roman"/>
          <w:u w:val="single"/>
          <w:lang w:eastAsia="bg-BG"/>
        </w:rPr>
        <w:t>Кърмене</w:t>
      </w:r>
    </w:p>
    <w:p w14:paraId="102F0D07" w14:textId="3EB0DF74" w:rsidR="007A2185" w:rsidRPr="00FC1ECA" w:rsidRDefault="00472541" w:rsidP="00472541">
      <w:pPr>
        <w:rPr>
          <w:rFonts w:cs="Arial"/>
        </w:rPr>
      </w:pPr>
      <w:r w:rsidRPr="00FC1ECA">
        <w:rPr>
          <w:rFonts w:eastAsia="Times New Roman" w:cs="Arial"/>
          <w:color w:val="000000"/>
          <w:lang w:eastAsia="bg-BG"/>
        </w:rPr>
        <w:t>Малки количества рокситромицин се екскретират в майчиното мляко. Кърменето или лечението на майката трябва да бъде прекратено, когато е необходимо.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lastRenderedPageBreak/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6EA4752D" w:rsidR="007A2185" w:rsidRPr="00FC1ECA" w:rsidRDefault="00472541" w:rsidP="0091385D">
      <w:pPr>
        <w:rPr>
          <w:rFonts w:cs="Arial"/>
        </w:rPr>
      </w:pPr>
      <w:r w:rsidRPr="00FC1ECA">
        <w:rPr>
          <w:rFonts w:cs="Arial"/>
        </w:rPr>
        <w:t xml:space="preserve">РУЛИД 150 </w:t>
      </w:r>
      <w:r w:rsidRPr="00FC1ECA">
        <w:rPr>
          <w:rFonts w:cs="Arial"/>
          <w:lang w:val="en-US"/>
        </w:rPr>
        <w:t xml:space="preserve">mg </w:t>
      </w:r>
      <w:r w:rsidRPr="00FC1ECA">
        <w:rPr>
          <w:rFonts w:cs="Arial"/>
        </w:rPr>
        <w:t>повлиява способността за шофиране и работа с машини. Замаяността при приема на продукта може да създаде опасност при шофиране или работа с машини. Зрителното увреждане и замъгленото зрение могат да повлияят способността на пациента за шофиране и работа с машини (точка 4.8).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28F131E7" w14:textId="77777777" w:rsidR="00472541" w:rsidRPr="00472541" w:rsidRDefault="00472541" w:rsidP="0047254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72541">
        <w:rPr>
          <w:rFonts w:eastAsia="Times New Roman" w:cs="Arial"/>
          <w:color w:val="000000"/>
          <w:szCs w:val="20"/>
          <w:lang w:eastAsia="bg-BG"/>
        </w:rPr>
        <w:t>Обобщение на профила на безопасност</w:t>
      </w:r>
    </w:p>
    <w:p w14:paraId="22C314A7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81435D9" w14:textId="47DDCB0A" w:rsidR="00472541" w:rsidRPr="00472541" w:rsidRDefault="00472541" w:rsidP="0047254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72541">
        <w:rPr>
          <w:rFonts w:eastAsia="Times New Roman" w:cs="Arial"/>
          <w:color w:val="000000"/>
          <w:szCs w:val="20"/>
          <w:lang w:eastAsia="bg-BG"/>
        </w:rPr>
        <w:t>Класификация на очакваните честоти:</w:t>
      </w:r>
    </w:p>
    <w:p w14:paraId="51540074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A6291E2" w14:textId="30FC123A" w:rsidR="00472541" w:rsidRPr="00472541" w:rsidRDefault="00472541" w:rsidP="0047254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72541">
        <w:rPr>
          <w:rFonts w:eastAsia="Times New Roman" w:cs="Arial"/>
          <w:color w:val="000000"/>
          <w:szCs w:val="20"/>
          <w:lang w:eastAsia="bg-BG"/>
        </w:rPr>
        <w:t>Много чести (1/10); чести (≥1/100 до &lt;1/10); нечести (≥1/1 000 до &lt;1/100); редки (≥1/10 000 до &lt;1/1 000); много редки (&lt;1/10 000), с неизвестна честота (от наличните данни не може да бъде направена оценка).</w:t>
      </w:r>
    </w:p>
    <w:p w14:paraId="520910AA" w14:textId="77777777" w:rsidR="00472541" w:rsidRPr="00FC1ECA" w:rsidRDefault="00472541" w:rsidP="00472541">
      <w:pPr>
        <w:rPr>
          <w:rFonts w:eastAsia="Times New Roman" w:cs="Arial"/>
          <w:color w:val="000000"/>
          <w:szCs w:val="20"/>
          <w:lang w:eastAsia="bg-BG"/>
        </w:rPr>
      </w:pPr>
    </w:p>
    <w:p w14:paraId="0254AACC" w14:textId="40D124CC" w:rsidR="007A2185" w:rsidRPr="00FC1ECA" w:rsidRDefault="00472541" w:rsidP="00472541">
      <w:pPr>
        <w:rPr>
          <w:rFonts w:eastAsia="Times New Roman" w:cs="Arial"/>
          <w:color w:val="000000"/>
          <w:szCs w:val="20"/>
          <w:lang w:eastAsia="bg-BG"/>
        </w:rPr>
      </w:pPr>
      <w:r w:rsidRPr="00FC1ECA">
        <w:rPr>
          <w:rFonts w:eastAsia="Times New Roman" w:cs="Arial"/>
          <w:color w:val="000000"/>
          <w:szCs w:val="20"/>
          <w:lang w:eastAsia="bg-BG"/>
        </w:rPr>
        <w:t>При всяко групиране в зависимост от честотата, нежеланите лекарствени реакции се изброяват в низходящ ред по отношение на тяхната сериозност.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C1ECA" w:rsidRPr="00FC1ECA" w14:paraId="149A9C6A" w14:textId="77777777" w:rsidTr="0096547D">
        <w:tc>
          <w:tcPr>
            <w:tcW w:w="3116" w:type="dxa"/>
            <w:vAlign w:val="bottom"/>
          </w:tcPr>
          <w:p w14:paraId="06807428" w14:textId="169F43B8" w:rsidR="00FC1ECA" w:rsidRPr="00FC1ECA" w:rsidRDefault="00FC1ECA" w:rsidP="00FC1ECA">
            <w:pPr>
              <w:rPr>
                <w:rFonts w:cs="Arial"/>
              </w:rPr>
            </w:pPr>
            <w:proofErr w:type="spellStart"/>
            <w:r w:rsidRPr="00FC1ECA">
              <w:rPr>
                <w:rFonts w:cs="Arial"/>
                <w:b/>
                <w:bCs/>
                <w:lang w:val="en-US"/>
              </w:rPr>
              <w:t>MedDRA</w:t>
            </w:r>
            <w:proofErr w:type="spellEnd"/>
            <w:r w:rsidRPr="00FC1ECA">
              <w:rPr>
                <w:rFonts w:cs="Arial"/>
                <w:b/>
                <w:bCs/>
                <w:lang w:val="en-US"/>
              </w:rPr>
              <w:t xml:space="preserve"> </w:t>
            </w:r>
            <w:r w:rsidRPr="00FC1ECA">
              <w:rPr>
                <w:rFonts w:cs="Arial"/>
                <w:b/>
                <w:bCs/>
              </w:rPr>
              <w:t>база данни на системо-органни класове</w:t>
            </w:r>
          </w:p>
        </w:tc>
        <w:tc>
          <w:tcPr>
            <w:tcW w:w="3117" w:type="dxa"/>
            <w:vAlign w:val="center"/>
          </w:tcPr>
          <w:p w14:paraId="08F4D4A9" w14:textId="766A9823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  <w:b/>
                <w:bCs/>
              </w:rPr>
              <w:t>Честота</w:t>
            </w:r>
          </w:p>
        </w:tc>
        <w:tc>
          <w:tcPr>
            <w:tcW w:w="3117" w:type="dxa"/>
            <w:vAlign w:val="center"/>
          </w:tcPr>
          <w:p w14:paraId="338F1EBA" w14:textId="725B5E60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  <w:b/>
                <w:bCs/>
              </w:rPr>
              <w:t>Нежелана реакция</w:t>
            </w:r>
          </w:p>
        </w:tc>
      </w:tr>
      <w:tr w:rsidR="00FC1ECA" w:rsidRPr="00FC1ECA" w14:paraId="19320BAA" w14:textId="77777777" w:rsidTr="0096547D">
        <w:tc>
          <w:tcPr>
            <w:tcW w:w="3116" w:type="dxa"/>
            <w:vAlign w:val="center"/>
          </w:tcPr>
          <w:p w14:paraId="0A6F55FE" w14:textId="76F5BA3D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Инфекции и инфестации</w:t>
            </w:r>
          </w:p>
        </w:tc>
        <w:tc>
          <w:tcPr>
            <w:tcW w:w="3117" w:type="dxa"/>
            <w:vAlign w:val="center"/>
          </w:tcPr>
          <w:p w14:paraId="6C42AFB0" w14:textId="3640816F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  <w:vAlign w:val="bottom"/>
          </w:tcPr>
          <w:p w14:paraId="555AD88A" w14:textId="63B26334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 xml:space="preserve">Суперинфекции (при продължителна употреба). Колит, причинен от </w:t>
            </w:r>
            <w:r w:rsidRPr="00FC1ECA">
              <w:rPr>
                <w:rFonts w:cs="Arial"/>
                <w:lang w:val="en-US"/>
              </w:rPr>
              <w:t xml:space="preserve">Clostridium difficile </w:t>
            </w:r>
            <w:r w:rsidRPr="00FC1ECA">
              <w:rPr>
                <w:rFonts w:cs="Arial"/>
              </w:rPr>
              <w:t>(псевдомембранозен колит)</w:t>
            </w:r>
          </w:p>
        </w:tc>
      </w:tr>
      <w:tr w:rsidR="00FC1ECA" w:rsidRPr="00FC1ECA" w14:paraId="2DC6B58C" w14:textId="77777777" w:rsidTr="0096547D">
        <w:tc>
          <w:tcPr>
            <w:tcW w:w="3116" w:type="dxa"/>
            <w:vMerge w:val="restart"/>
            <w:vAlign w:val="center"/>
          </w:tcPr>
          <w:p w14:paraId="2FF630F5" w14:textId="4BF6B28A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Нарушения на кръвта и лимфната система</w:t>
            </w:r>
          </w:p>
        </w:tc>
        <w:tc>
          <w:tcPr>
            <w:tcW w:w="3117" w:type="dxa"/>
            <w:vAlign w:val="bottom"/>
          </w:tcPr>
          <w:p w14:paraId="12C0E353" w14:textId="4D94A099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Нечести</w:t>
            </w:r>
          </w:p>
        </w:tc>
        <w:tc>
          <w:tcPr>
            <w:tcW w:w="3117" w:type="dxa"/>
            <w:vAlign w:val="bottom"/>
          </w:tcPr>
          <w:p w14:paraId="0CDDA319" w14:textId="59E1FE33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Еозинофилия</w:t>
            </w:r>
          </w:p>
        </w:tc>
      </w:tr>
      <w:tr w:rsidR="00FC1ECA" w:rsidRPr="00FC1ECA" w14:paraId="73A3E07B" w14:textId="77777777" w:rsidTr="0096547D">
        <w:tc>
          <w:tcPr>
            <w:tcW w:w="3116" w:type="dxa"/>
            <w:vMerge/>
            <w:vAlign w:val="center"/>
          </w:tcPr>
          <w:p w14:paraId="3B2F8FEE" w14:textId="77777777" w:rsidR="00FC1ECA" w:rsidRPr="00FC1ECA" w:rsidRDefault="00FC1ECA" w:rsidP="00FC1ECA">
            <w:pPr>
              <w:rPr>
                <w:rFonts w:cs="Arial"/>
              </w:rPr>
            </w:pPr>
          </w:p>
        </w:tc>
        <w:tc>
          <w:tcPr>
            <w:tcW w:w="3117" w:type="dxa"/>
            <w:vAlign w:val="center"/>
          </w:tcPr>
          <w:p w14:paraId="2AB16FA9" w14:textId="74331386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честота:</w:t>
            </w:r>
          </w:p>
        </w:tc>
        <w:tc>
          <w:tcPr>
            <w:tcW w:w="3117" w:type="dxa"/>
            <w:vAlign w:val="bottom"/>
          </w:tcPr>
          <w:p w14:paraId="693FBB6E" w14:textId="77777777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Агранулоцитоза;</w:t>
            </w:r>
          </w:p>
          <w:p w14:paraId="741563D5" w14:textId="4D065E5A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Неутропения; Тромбоцитопения</w:t>
            </w:r>
          </w:p>
        </w:tc>
      </w:tr>
      <w:tr w:rsidR="00FC1ECA" w:rsidRPr="00FC1ECA" w14:paraId="466848F9" w14:textId="77777777" w:rsidTr="00BB1360">
        <w:tc>
          <w:tcPr>
            <w:tcW w:w="3116" w:type="dxa"/>
          </w:tcPr>
          <w:p w14:paraId="70E7C37F" w14:textId="522C460D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Нарушения на имунната система</w:t>
            </w:r>
          </w:p>
        </w:tc>
        <w:tc>
          <w:tcPr>
            <w:tcW w:w="3117" w:type="dxa"/>
          </w:tcPr>
          <w:p w14:paraId="0643BFDF" w14:textId="056E5156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  <w:vAlign w:val="bottom"/>
          </w:tcPr>
          <w:p w14:paraId="702494AB" w14:textId="2A49F78C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Анафилактичен шок</w:t>
            </w:r>
          </w:p>
        </w:tc>
      </w:tr>
      <w:tr w:rsidR="00FC1ECA" w:rsidRPr="00FC1ECA" w14:paraId="2B112A42" w14:textId="77777777" w:rsidTr="0096547D">
        <w:tc>
          <w:tcPr>
            <w:tcW w:w="3116" w:type="dxa"/>
            <w:vAlign w:val="center"/>
          </w:tcPr>
          <w:p w14:paraId="29C4652E" w14:textId="07884C79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Психични нарушения</w:t>
            </w:r>
          </w:p>
        </w:tc>
        <w:tc>
          <w:tcPr>
            <w:tcW w:w="3117" w:type="dxa"/>
            <w:vAlign w:val="bottom"/>
          </w:tcPr>
          <w:p w14:paraId="6E6A5EB0" w14:textId="477603D8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честота:</w:t>
            </w:r>
          </w:p>
        </w:tc>
        <w:tc>
          <w:tcPr>
            <w:tcW w:w="3117" w:type="dxa"/>
          </w:tcPr>
          <w:p w14:paraId="147FD5E4" w14:textId="77777777" w:rsidR="00FC1ECA" w:rsidRPr="00FC1ECA" w:rsidRDefault="00FC1ECA" w:rsidP="00FC1ECA">
            <w:pPr>
              <w:rPr>
                <w:rFonts w:cs="Arial"/>
              </w:rPr>
            </w:pPr>
          </w:p>
          <w:p w14:paraId="01BF82FF" w14:textId="073D51E4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Халюцинации; Състояние на обърканост.</w:t>
            </w:r>
          </w:p>
        </w:tc>
      </w:tr>
      <w:tr w:rsidR="00FC1ECA" w:rsidRPr="00FC1ECA" w14:paraId="56F06E10" w14:textId="77777777" w:rsidTr="0096547D">
        <w:tc>
          <w:tcPr>
            <w:tcW w:w="3116" w:type="dxa"/>
            <w:vMerge w:val="restart"/>
            <w:vAlign w:val="center"/>
          </w:tcPr>
          <w:p w14:paraId="4C8EF39B" w14:textId="12EA7914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Нарушения на нервната система</w:t>
            </w:r>
          </w:p>
        </w:tc>
        <w:tc>
          <w:tcPr>
            <w:tcW w:w="3117" w:type="dxa"/>
            <w:vAlign w:val="center"/>
          </w:tcPr>
          <w:p w14:paraId="232452AF" w14:textId="567B44EF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Чести</w:t>
            </w:r>
          </w:p>
        </w:tc>
        <w:tc>
          <w:tcPr>
            <w:tcW w:w="3117" w:type="dxa"/>
          </w:tcPr>
          <w:p w14:paraId="4384C117" w14:textId="52106C00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Главоболие Замайване</w:t>
            </w:r>
          </w:p>
        </w:tc>
      </w:tr>
      <w:tr w:rsidR="00FC1ECA" w:rsidRPr="00FC1ECA" w14:paraId="7303FD80" w14:textId="77777777" w:rsidTr="00472541">
        <w:tc>
          <w:tcPr>
            <w:tcW w:w="3116" w:type="dxa"/>
            <w:vMerge/>
          </w:tcPr>
          <w:p w14:paraId="60BB4C6E" w14:textId="77777777" w:rsidR="00FC1ECA" w:rsidRPr="00FC1ECA" w:rsidRDefault="00FC1ECA" w:rsidP="00FC1ECA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0C6FF207" w14:textId="5D2C6AFB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</w:tcPr>
          <w:p w14:paraId="5EC871F1" w14:textId="77777777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Парестезии;</w:t>
            </w:r>
          </w:p>
          <w:p w14:paraId="4AC807FC" w14:textId="77777777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Дисгеузия (нарушение на вкуса);</w:t>
            </w:r>
          </w:p>
          <w:p w14:paraId="76E73BCA" w14:textId="77777777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Агеузия;</w:t>
            </w:r>
          </w:p>
          <w:p w14:paraId="1FEDAE25" w14:textId="77777777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Паросмия (извратен мирис);</w:t>
            </w:r>
          </w:p>
          <w:p w14:paraId="3DA4B6C2" w14:textId="7C3E7B5C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Аносмия</w:t>
            </w:r>
          </w:p>
        </w:tc>
      </w:tr>
      <w:tr w:rsidR="00FC1ECA" w:rsidRPr="00FC1ECA" w14:paraId="3240BF7E" w14:textId="77777777" w:rsidTr="00472541">
        <w:tc>
          <w:tcPr>
            <w:tcW w:w="3116" w:type="dxa"/>
          </w:tcPr>
          <w:p w14:paraId="7B210D36" w14:textId="7A67C1A4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Сърдечни нарушения</w:t>
            </w:r>
          </w:p>
        </w:tc>
        <w:tc>
          <w:tcPr>
            <w:tcW w:w="3117" w:type="dxa"/>
          </w:tcPr>
          <w:p w14:paraId="3E04B83E" w14:textId="797CB50C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</w:tcPr>
          <w:p w14:paraId="561D0474" w14:textId="403A92F5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 xml:space="preserve">Удължаване на </w:t>
            </w:r>
            <w:r w:rsidRPr="00FC1ECA">
              <w:rPr>
                <w:rFonts w:cs="Arial"/>
                <w:lang w:val="en-US"/>
              </w:rPr>
              <w:t xml:space="preserve">QT </w:t>
            </w:r>
            <w:r w:rsidRPr="00FC1ECA">
              <w:rPr>
                <w:rFonts w:cs="Arial"/>
              </w:rPr>
              <w:t xml:space="preserve">интервала; Вентрикуларна тахикардия; </w:t>
            </w:r>
            <w:proofErr w:type="spellStart"/>
            <w:r w:rsidRPr="00FC1ECA">
              <w:rPr>
                <w:rFonts w:cs="Arial"/>
                <w:lang w:val="en-US"/>
              </w:rPr>
              <w:t>Torsades</w:t>
            </w:r>
            <w:proofErr w:type="spellEnd"/>
            <w:r w:rsidRPr="00FC1ECA">
              <w:rPr>
                <w:rFonts w:cs="Arial"/>
                <w:lang w:val="en-US"/>
              </w:rPr>
              <w:t xml:space="preserve"> de </w:t>
            </w:r>
            <w:r w:rsidRPr="00FC1ECA">
              <w:rPr>
                <w:rFonts w:cs="Arial"/>
                <w:lang w:val="en-US"/>
              </w:rPr>
              <w:lastRenderedPageBreak/>
              <w:t xml:space="preserve">pointes </w:t>
            </w:r>
            <w:r w:rsidRPr="00FC1ECA">
              <w:rPr>
                <w:rFonts w:cs="Arial"/>
              </w:rPr>
              <w:t>леко повишаване на кръвното налягане</w:t>
            </w:r>
          </w:p>
        </w:tc>
      </w:tr>
      <w:tr w:rsidR="00FC1ECA" w:rsidRPr="00FC1ECA" w14:paraId="0EE01D00" w14:textId="77777777" w:rsidTr="00472541">
        <w:tc>
          <w:tcPr>
            <w:tcW w:w="3116" w:type="dxa"/>
          </w:tcPr>
          <w:p w14:paraId="78FF0715" w14:textId="222495C0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lastRenderedPageBreak/>
              <w:t>Респираторни, гръдни и медиастинални нарушения</w:t>
            </w:r>
          </w:p>
        </w:tc>
        <w:tc>
          <w:tcPr>
            <w:tcW w:w="3117" w:type="dxa"/>
          </w:tcPr>
          <w:p w14:paraId="6ABFA750" w14:textId="7091AAEF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</w:tcPr>
          <w:p w14:paraId="55829D79" w14:textId="1F5777E8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Бронхоспазъм</w:t>
            </w:r>
          </w:p>
        </w:tc>
      </w:tr>
      <w:tr w:rsidR="00FC1ECA" w:rsidRPr="00FC1ECA" w14:paraId="6396096E" w14:textId="77777777" w:rsidTr="00472541">
        <w:tc>
          <w:tcPr>
            <w:tcW w:w="3116" w:type="dxa"/>
            <w:vMerge w:val="restart"/>
          </w:tcPr>
          <w:p w14:paraId="46C54E02" w14:textId="42CE6CF5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Стомашно-чревни нарушения</w:t>
            </w:r>
          </w:p>
        </w:tc>
        <w:tc>
          <w:tcPr>
            <w:tcW w:w="3117" w:type="dxa"/>
          </w:tcPr>
          <w:p w14:paraId="1A4E87BC" w14:textId="3D2B4804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Чести</w:t>
            </w:r>
          </w:p>
        </w:tc>
        <w:tc>
          <w:tcPr>
            <w:tcW w:w="3117" w:type="dxa"/>
          </w:tcPr>
          <w:p w14:paraId="407683C4" w14:textId="77777777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Гадене;</w:t>
            </w:r>
          </w:p>
          <w:p w14:paraId="1DA9C687" w14:textId="77777777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Повръщане;</w:t>
            </w:r>
          </w:p>
          <w:p w14:paraId="51B9E514" w14:textId="1531F818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Диспепсия (епигастрална болка); Диария</w:t>
            </w:r>
          </w:p>
        </w:tc>
      </w:tr>
      <w:tr w:rsidR="00FC1ECA" w:rsidRPr="00FC1ECA" w14:paraId="691BD97E" w14:textId="77777777" w:rsidTr="00472541">
        <w:tc>
          <w:tcPr>
            <w:tcW w:w="3116" w:type="dxa"/>
            <w:vMerge/>
          </w:tcPr>
          <w:p w14:paraId="0DF4A0A6" w14:textId="77777777" w:rsidR="00FC1ECA" w:rsidRPr="00FC1ECA" w:rsidRDefault="00FC1ECA" w:rsidP="00FC1ECA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7CC3B20E" w14:textId="39077C66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</w:tcPr>
          <w:p w14:paraId="7A92B44D" w14:textId="6F3C1A10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Хеморагична диария; Панкреатит; Псевдомембранозен колит.</w:t>
            </w:r>
          </w:p>
        </w:tc>
      </w:tr>
      <w:tr w:rsidR="00FC1ECA" w:rsidRPr="00FC1ECA" w14:paraId="1EFFBA8A" w14:textId="77777777" w:rsidTr="00472541">
        <w:tc>
          <w:tcPr>
            <w:tcW w:w="3116" w:type="dxa"/>
          </w:tcPr>
          <w:p w14:paraId="6C73A9C9" w14:textId="2CCEAEB4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 xml:space="preserve">Хепатобилиарни нарушения </w:t>
            </w:r>
          </w:p>
        </w:tc>
        <w:tc>
          <w:tcPr>
            <w:tcW w:w="3117" w:type="dxa"/>
          </w:tcPr>
          <w:p w14:paraId="2C457D41" w14:textId="69591EED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</w:tcPr>
          <w:p w14:paraId="00E2FC8F" w14:textId="1B044B0F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Хепатит (холестатичен или хепатоцелуларен остър хепатит, понякога с жълтеница)</w:t>
            </w:r>
          </w:p>
        </w:tc>
      </w:tr>
      <w:tr w:rsidR="00FC1ECA" w:rsidRPr="00FC1ECA" w14:paraId="1122078C" w14:textId="77777777" w:rsidTr="00472541">
        <w:tc>
          <w:tcPr>
            <w:tcW w:w="3116" w:type="dxa"/>
            <w:vMerge w:val="restart"/>
          </w:tcPr>
          <w:p w14:paraId="0C8FF838" w14:textId="77777777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Нарушения на кожа и</w:t>
            </w:r>
          </w:p>
          <w:p w14:paraId="53A409A3" w14:textId="0A322CD3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подкожна тъкан</w:t>
            </w:r>
          </w:p>
        </w:tc>
        <w:tc>
          <w:tcPr>
            <w:tcW w:w="3117" w:type="dxa"/>
          </w:tcPr>
          <w:p w14:paraId="57129ED3" w14:textId="0EC03394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Чести</w:t>
            </w:r>
          </w:p>
        </w:tc>
        <w:tc>
          <w:tcPr>
            <w:tcW w:w="3117" w:type="dxa"/>
          </w:tcPr>
          <w:p w14:paraId="0063D654" w14:textId="7E875FEC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обрив</w:t>
            </w:r>
          </w:p>
        </w:tc>
      </w:tr>
      <w:tr w:rsidR="00FC1ECA" w:rsidRPr="00FC1ECA" w14:paraId="0E8D835B" w14:textId="77777777" w:rsidTr="00472541">
        <w:tc>
          <w:tcPr>
            <w:tcW w:w="3116" w:type="dxa"/>
            <w:vMerge/>
          </w:tcPr>
          <w:p w14:paraId="61882DB9" w14:textId="2062E24A" w:rsidR="00FC1ECA" w:rsidRPr="00FC1ECA" w:rsidRDefault="00FC1ECA" w:rsidP="00FC1ECA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404EEC54" w14:textId="51D541C4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Нечести</w:t>
            </w:r>
          </w:p>
        </w:tc>
        <w:tc>
          <w:tcPr>
            <w:tcW w:w="3117" w:type="dxa"/>
          </w:tcPr>
          <w:p w14:paraId="2ECD2191" w14:textId="7D48CE2C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Еритема мултиформе;Уртикария Дерматит.</w:t>
            </w:r>
          </w:p>
        </w:tc>
      </w:tr>
      <w:tr w:rsidR="00FC1ECA" w:rsidRPr="00FC1ECA" w14:paraId="653536B9" w14:textId="77777777" w:rsidTr="00472541">
        <w:tc>
          <w:tcPr>
            <w:tcW w:w="3116" w:type="dxa"/>
            <w:vMerge/>
          </w:tcPr>
          <w:p w14:paraId="65F4FF11" w14:textId="3E37F014" w:rsidR="00FC1ECA" w:rsidRPr="00FC1ECA" w:rsidRDefault="00FC1ECA" w:rsidP="00FC1ECA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02EA142F" w14:textId="285E4C11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</w:tcPr>
          <w:p w14:paraId="4498FC78" w14:textId="77777777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Ангиоедем; Пурпура;</w:t>
            </w:r>
          </w:p>
          <w:p w14:paraId="6914FCDA" w14:textId="3C1A6EB2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 xml:space="preserve">Синдром на </w:t>
            </w:r>
            <w:r w:rsidRPr="00FC1ECA">
              <w:rPr>
                <w:rFonts w:cs="Arial"/>
                <w:lang w:val="en-US"/>
              </w:rPr>
              <w:t xml:space="preserve">Stevens-Johnson, </w:t>
            </w:r>
            <w:r w:rsidRPr="00FC1ECA">
              <w:rPr>
                <w:rFonts w:cs="Arial"/>
              </w:rPr>
              <w:t>Токсична епидермална некролиза.</w:t>
            </w:r>
          </w:p>
        </w:tc>
      </w:tr>
      <w:tr w:rsidR="00FC1ECA" w:rsidRPr="00FC1ECA" w14:paraId="12AD2EE7" w14:textId="77777777" w:rsidTr="00472541">
        <w:tc>
          <w:tcPr>
            <w:tcW w:w="3116" w:type="dxa"/>
          </w:tcPr>
          <w:p w14:paraId="45814DE5" w14:textId="5D157A1B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Нарушения на ухото и лабиринта:</w:t>
            </w:r>
          </w:p>
        </w:tc>
        <w:tc>
          <w:tcPr>
            <w:tcW w:w="3117" w:type="dxa"/>
          </w:tcPr>
          <w:p w14:paraId="0C96193F" w14:textId="1BFA36AD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</w:tcPr>
          <w:p w14:paraId="75532B33" w14:textId="69104EA8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Временна глухота, намален слух, вертиго и тинитус</w:t>
            </w:r>
          </w:p>
        </w:tc>
      </w:tr>
      <w:tr w:rsidR="00FC1ECA" w:rsidRPr="00FC1ECA" w14:paraId="438B46FD" w14:textId="77777777" w:rsidTr="00472541">
        <w:tc>
          <w:tcPr>
            <w:tcW w:w="3116" w:type="dxa"/>
          </w:tcPr>
          <w:p w14:paraId="18ED12A3" w14:textId="31A66BA2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Нарушения на очите</w:t>
            </w:r>
          </w:p>
        </w:tc>
        <w:tc>
          <w:tcPr>
            <w:tcW w:w="3117" w:type="dxa"/>
          </w:tcPr>
          <w:p w14:paraId="59F0ABF7" w14:textId="587BEF35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</w:tcPr>
          <w:p w14:paraId="0101F7C7" w14:textId="2594976D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Замъглено виждане</w:t>
            </w:r>
          </w:p>
        </w:tc>
      </w:tr>
      <w:tr w:rsidR="00FC1ECA" w:rsidRPr="00FC1ECA" w14:paraId="4D6E8F6D" w14:textId="77777777" w:rsidTr="00472541">
        <w:tc>
          <w:tcPr>
            <w:tcW w:w="3116" w:type="dxa"/>
          </w:tcPr>
          <w:p w14:paraId="512F2C81" w14:textId="5081FBE6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Изследвания</w:t>
            </w:r>
          </w:p>
        </w:tc>
        <w:tc>
          <w:tcPr>
            <w:tcW w:w="3117" w:type="dxa"/>
          </w:tcPr>
          <w:p w14:paraId="19CB38F1" w14:textId="25A99573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>С неизвестна честота</w:t>
            </w:r>
          </w:p>
        </w:tc>
        <w:tc>
          <w:tcPr>
            <w:tcW w:w="3117" w:type="dxa"/>
          </w:tcPr>
          <w:p w14:paraId="2454347E" w14:textId="75D73005" w:rsidR="00FC1ECA" w:rsidRPr="00FC1ECA" w:rsidRDefault="00FC1ECA" w:rsidP="00FC1ECA">
            <w:pPr>
              <w:rPr>
                <w:rFonts w:cs="Arial"/>
              </w:rPr>
            </w:pPr>
            <w:r w:rsidRPr="00FC1ECA">
              <w:rPr>
                <w:rFonts w:cs="Arial"/>
              </w:rPr>
              <w:t xml:space="preserve">Повишена Аспартат аминотрансфераза </w:t>
            </w:r>
            <w:r w:rsidRPr="00FC1ECA">
              <w:rPr>
                <w:rFonts w:cs="Arial"/>
                <w:lang w:val="en-US"/>
              </w:rPr>
              <w:t xml:space="preserve">(ASAT); </w:t>
            </w:r>
            <w:r w:rsidRPr="00FC1ECA">
              <w:rPr>
                <w:rFonts w:cs="Arial"/>
              </w:rPr>
              <w:t xml:space="preserve">Повишена Аланин аминотрансфераза </w:t>
            </w:r>
            <w:r w:rsidRPr="00FC1ECA">
              <w:rPr>
                <w:rFonts w:cs="Arial"/>
                <w:lang w:val="en-US"/>
              </w:rPr>
              <w:t xml:space="preserve">(ALAT) </w:t>
            </w:r>
            <w:r w:rsidRPr="00FC1ECA">
              <w:rPr>
                <w:rFonts w:cs="Arial"/>
              </w:rPr>
              <w:t>Повишена алкална фосфатаза в кръвта</w:t>
            </w:r>
          </w:p>
        </w:tc>
      </w:tr>
    </w:tbl>
    <w:p w14:paraId="327D7430" w14:textId="258137A5" w:rsidR="00472541" w:rsidRPr="00FC1ECA" w:rsidRDefault="00472541" w:rsidP="00472541">
      <w:pPr>
        <w:rPr>
          <w:rFonts w:cs="Arial"/>
        </w:rPr>
      </w:pPr>
    </w:p>
    <w:p w14:paraId="07153B83" w14:textId="77777777" w:rsidR="00472541" w:rsidRPr="00472541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b/>
          <w:bCs/>
          <w:color w:val="000000"/>
          <w:lang w:eastAsia="bg-BG"/>
        </w:rPr>
        <w:t>Съобщаване на подозирани нежелани реакции</w:t>
      </w:r>
    </w:p>
    <w:p w14:paraId="19525585" w14:textId="77777777" w:rsidR="00472541" w:rsidRPr="00FC1ECA" w:rsidRDefault="00472541" w:rsidP="004725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9406FC2" w14:textId="66177779" w:rsidR="00472541" w:rsidRPr="00FC1ECA" w:rsidRDefault="00472541" w:rsidP="00472541">
      <w:pPr>
        <w:spacing w:line="240" w:lineRule="auto"/>
        <w:rPr>
          <w:rFonts w:eastAsia="Times New Roman" w:cs="Arial"/>
          <w:lang w:eastAsia="bg-BG"/>
        </w:rPr>
      </w:pPr>
      <w:r w:rsidRPr="00472541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</w:t>
      </w:r>
      <w:r w:rsidRPr="00FC1ECA">
        <w:rPr>
          <w:rFonts w:eastAsia="Times New Roman" w:cs="Arial"/>
          <w:color w:val="000000"/>
          <w:lang w:eastAsia="bg-BG"/>
        </w:rPr>
        <w:t xml:space="preserve">подозирана нежелана реакция на Изпълнителна Агенция по лекарствата, ул. "Дамян Груев" 8 1303 София, тел. 02/890-34-17, уебсайт: </w:t>
      </w:r>
      <w:r w:rsidRPr="00FC1ECA">
        <w:rPr>
          <w:rFonts w:eastAsia="Times New Roman" w:cs="Arial"/>
          <w:lang w:eastAsia="bg-BG"/>
        </w:rPr>
        <w:fldChar w:fldCharType="begin"/>
      </w:r>
      <w:r w:rsidRPr="00FC1ECA">
        <w:rPr>
          <w:rFonts w:eastAsia="Times New Roman" w:cs="Arial"/>
          <w:lang w:eastAsia="bg-BG"/>
        </w:rPr>
        <w:instrText xml:space="preserve"> HYPERLINK "http://www.bda.bg" </w:instrText>
      </w:r>
      <w:r w:rsidRPr="00FC1ECA">
        <w:rPr>
          <w:rFonts w:eastAsia="Times New Roman" w:cs="Arial"/>
          <w:lang w:eastAsia="bg-BG"/>
        </w:rPr>
      </w:r>
      <w:r w:rsidRPr="00FC1ECA">
        <w:rPr>
          <w:rFonts w:eastAsia="Times New Roman" w:cs="Arial"/>
          <w:lang w:eastAsia="bg-BG"/>
        </w:rPr>
        <w:fldChar w:fldCharType="separate"/>
      </w:r>
      <w:r w:rsidRPr="00FC1ECA">
        <w:rPr>
          <w:rFonts w:eastAsia="Times New Roman" w:cs="Arial"/>
          <w:color w:val="000000"/>
          <w:lang w:val="en-US"/>
        </w:rPr>
        <w:t>www.bda.bg</w:t>
      </w:r>
      <w:r w:rsidRPr="00FC1ECA">
        <w:rPr>
          <w:rFonts w:eastAsia="Times New Roman" w:cs="Arial"/>
          <w:lang w:eastAsia="bg-BG"/>
        </w:rPr>
        <w:fldChar w:fldCharType="end"/>
      </w:r>
    </w:p>
    <w:p w14:paraId="443BC107" w14:textId="77777777" w:rsidR="005B0F27" w:rsidRPr="0091385D" w:rsidRDefault="005B0F27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6A43B8F3" w14:textId="1C8B3EFA" w:rsidR="007A2185" w:rsidRPr="00FC1ECA" w:rsidRDefault="00FC1ECA" w:rsidP="0091385D">
      <w:pPr>
        <w:rPr>
          <w:rFonts w:cs="Arial"/>
        </w:rPr>
      </w:pPr>
      <w:r w:rsidRPr="00FC1ECA">
        <w:rPr>
          <w:rFonts w:cs="Arial"/>
        </w:rPr>
        <w:t>В случай на предозиране трябва да се приложи стомашна промивка и симптоматично лечение. Не съществува специфичен антидот.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lastRenderedPageBreak/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314585E9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Фармакотерапевтична група: АНТИБИОТИК от групата на макролидите.</w:t>
      </w:r>
    </w:p>
    <w:p w14:paraId="532EF749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b/>
          <w:bCs/>
          <w:color w:val="000000"/>
          <w:lang w:val="en-US"/>
        </w:rPr>
        <w:t xml:space="preserve">J: </w:t>
      </w:r>
      <w:r w:rsidRPr="00FC1ECA">
        <w:rPr>
          <w:rFonts w:eastAsia="Times New Roman" w:cs="Arial"/>
          <w:color w:val="000000"/>
          <w:lang w:eastAsia="bg-BG"/>
        </w:rPr>
        <w:t xml:space="preserve">антиинфективни лекарства за системна употреба /. АТС код </w:t>
      </w:r>
      <w:r w:rsidRPr="00FC1ECA">
        <w:rPr>
          <w:rFonts w:eastAsia="Times New Roman" w:cs="Arial"/>
          <w:color w:val="000000"/>
          <w:lang w:val="en-US"/>
        </w:rPr>
        <w:t>J01FA06</w:t>
      </w:r>
    </w:p>
    <w:p w14:paraId="28913582" w14:textId="77777777" w:rsidR="00FC1ECA" w:rsidRPr="00FC1ECA" w:rsidRDefault="00FC1ECA" w:rsidP="00FC1EC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D19BD6" w14:textId="7F959565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4354454C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Спектър на антибактериалната активност:</w:t>
      </w:r>
    </w:p>
    <w:p w14:paraId="12F3454F" w14:textId="77777777" w:rsidR="00FC1ECA" w:rsidRPr="00FC1ECA" w:rsidRDefault="00FC1ECA" w:rsidP="00FC1EC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Видове, обичайно чувствителни (МИК &lt;/ = 1 </w:t>
      </w:r>
      <w:r w:rsidRPr="00FC1ECA">
        <w:rPr>
          <w:rFonts w:eastAsia="Times New Roman" w:cs="Arial"/>
          <w:color w:val="000000"/>
          <w:lang w:val="en-US"/>
        </w:rPr>
        <w:t xml:space="preserve">mg/L) </w:t>
      </w:r>
      <w:r w:rsidRPr="00FC1ECA">
        <w:rPr>
          <w:rFonts w:eastAsia="Times New Roman" w:cs="Arial"/>
          <w:color w:val="000000"/>
          <w:lang w:eastAsia="bg-BG"/>
        </w:rPr>
        <w:t>:</w:t>
      </w:r>
    </w:p>
    <w:p w14:paraId="3572F016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Повече от 90% от щамовете на видовете са чувствителни </w:t>
      </w:r>
      <w:r w:rsidRPr="00FC1ECA">
        <w:rPr>
          <w:rFonts w:eastAsia="Times New Roman" w:cs="Arial"/>
          <w:color w:val="000000"/>
          <w:lang w:val="en-US"/>
        </w:rPr>
        <w:t xml:space="preserve">(''S''): </w:t>
      </w:r>
      <w:r w:rsidRPr="00FC1ECA">
        <w:rPr>
          <w:rFonts w:eastAsia="Times New Roman" w:cs="Arial"/>
          <w:color w:val="000000"/>
          <w:lang w:eastAsia="bg-BG"/>
        </w:rPr>
        <w:t xml:space="preserve">стрептококи, метицилин чувствителни стафилококи, </w:t>
      </w:r>
      <w:proofErr w:type="spellStart"/>
      <w:r w:rsidRPr="00FC1ECA">
        <w:rPr>
          <w:rFonts w:eastAsia="Times New Roman" w:cs="Arial"/>
          <w:color w:val="000000"/>
          <w:lang w:val="en-US"/>
        </w:rPr>
        <w:t>R.equi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B.catarrhalis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B.pertussis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H.pylori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C.jejuni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C.diphtheriae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Moraxella, </w:t>
      </w:r>
      <w:proofErr w:type="spellStart"/>
      <w:r w:rsidRPr="00FC1ECA">
        <w:rPr>
          <w:rFonts w:eastAsia="Times New Roman" w:cs="Arial"/>
          <w:color w:val="000000"/>
          <w:lang w:val="en-US"/>
        </w:rPr>
        <w:t>M.pneumoniae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Coxiella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Chlamidiae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Legionella, </w:t>
      </w:r>
      <w:proofErr w:type="spellStart"/>
      <w:r w:rsidRPr="00FC1ECA">
        <w:rPr>
          <w:rFonts w:eastAsia="Times New Roman" w:cs="Arial"/>
          <w:color w:val="000000"/>
          <w:lang w:val="en-US"/>
        </w:rPr>
        <w:t>T.pallidum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B.burgdorferi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Leptospira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P.acnes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Actinomyces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Eubacterium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Porphyromonas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Mobiluncus</w:t>
      </w:r>
      <w:proofErr w:type="spellEnd"/>
      <w:r w:rsidRPr="00FC1ECA">
        <w:rPr>
          <w:rFonts w:eastAsia="Times New Roman" w:cs="Arial"/>
          <w:color w:val="000000"/>
          <w:lang w:val="en-US"/>
        </w:rPr>
        <w:t>.</w:t>
      </w:r>
    </w:p>
    <w:p w14:paraId="11069582" w14:textId="2E315412" w:rsidR="00FC1ECA" w:rsidRPr="00FC1ECA" w:rsidRDefault="00FC1ECA" w:rsidP="00FC1EC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Видове </w:t>
      </w:r>
      <w:r w:rsidRPr="00FC1ECA">
        <w:rPr>
          <w:rFonts w:eastAsia="Times New Roman" w:cs="Arial"/>
          <w:color w:val="000000"/>
          <w:lang w:val="en-US"/>
        </w:rPr>
        <w:t xml:space="preserve">c </w:t>
      </w:r>
      <w:r w:rsidRPr="00FC1ECA">
        <w:rPr>
          <w:rFonts w:eastAsia="Times New Roman" w:cs="Arial"/>
          <w:color w:val="000000"/>
          <w:lang w:eastAsia="bg-BG"/>
        </w:rPr>
        <w:t>умерена чувствителност:</w:t>
      </w:r>
    </w:p>
    <w:p w14:paraId="44A2631C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Антибиотикът е умерено активен </w:t>
      </w:r>
      <w:r w:rsidRPr="00FC1ECA">
        <w:rPr>
          <w:rFonts w:eastAsia="Times New Roman" w:cs="Arial"/>
          <w:color w:val="000000"/>
          <w:lang w:val="en-US"/>
        </w:rPr>
        <w:t xml:space="preserve">in vitro. </w:t>
      </w:r>
      <w:r w:rsidRPr="00FC1ECA">
        <w:rPr>
          <w:rFonts w:eastAsia="Times New Roman" w:cs="Arial"/>
          <w:color w:val="000000"/>
          <w:lang w:eastAsia="bg-BG"/>
        </w:rPr>
        <w:t>Задоволителни клинични резултати могат да се наблюдават при концентрация на антибиотика по-високи от МИК (вж Фармакокинетични свойства):</w:t>
      </w:r>
    </w:p>
    <w:p w14:paraId="24C0FC92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FC1ECA">
        <w:rPr>
          <w:rFonts w:eastAsia="Times New Roman" w:cs="Arial"/>
          <w:color w:val="000000"/>
          <w:lang w:val="en-US"/>
        </w:rPr>
        <w:t>H.influenzae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H.parainfluenzae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N.gonorrheae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Vibrio, </w:t>
      </w:r>
      <w:proofErr w:type="spellStart"/>
      <w:r w:rsidRPr="00FC1ECA">
        <w:rPr>
          <w:rFonts w:eastAsia="Times New Roman" w:cs="Arial"/>
          <w:color w:val="000000"/>
          <w:lang w:val="en-US"/>
        </w:rPr>
        <w:t>U.urealyticum</w:t>
      </w:r>
      <w:proofErr w:type="spellEnd"/>
      <w:r w:rsidRPr="00FC1ECA">
        <w:rPr>
          <w:rFonts w:eastAsia="Times New Roman" w:cs="Arial"/>
          <w:color w:val="000000"/>
          <w:lang w:val="en-US"/>
        </w:rPr>
        <w:t>.</w:t>
      </w:r>
    </w:p>
    <w:p w14:paraId="1AA626E3" w14:textId="77777777" w:rsidR="00FC1ECA" w:rsidRPr="00FC1ECA" w:rsidRDefault="00FC1ECA" w:rsidP="00FC1EC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Резистентни видове (МИК &gt; 4 </w:t>
      </w:r>
      <w:r w:rsidRPr="00FC1ECA">
        <w:rPr>
          <w:rFonts w:eastAsia="Times New Roman" w:cs="Arial"/>
          <w:color w:val="000000"/>
          <w:lang w:val="en-US"/>
        </w:rPr>
        <w:t>mg/ L):</w:t>
      </w:r>
    </w:p>
    <w:p w14:paraId="732E8EA1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Поне </w:t>
      </w:r>
      <w:r w:rsidRPr="00FC1ECA">
        <w:rPr>
          <w:rFonts w:eastAsia="Times New Roman" w:cs="Arial"/>
          <w:color w:val="000000"/>
          <w:lang w:val="en-US"/>
        </w:rPr>
        <w:t xml:space="preserve">50% </w:t>
      </w:r>
      <w:r w:rsidRPr="00FC1ECA">
        <w:rPr>
          <w:rFonts w:eastAsia="Times New Roman" w:cs="Arial"/>
          <w:color w:val="000000"/>
          <w:lang w:eastAsia="bg-BG"/>
        </w:rPr>
        <w:t xml:space="preserve">от щамовете на видовете са резистентни </w:t>
      </w:r>
      <w:r w:rsidRPr="00FC1ECA">
        <w:rPr>
          <w:rFonts w:eastAsia="Times New Roman" w:cs="Arial"/>
          <w:color w:val="000000"/>
          <w:lang w:val="en-US"/>
        </w:rPr>
        <w:t>(“R”):</w:t>
      </w:r>
    </w:p>
    <w:p w14:paraId="5C22B138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Метицилин резистентни стафилококи, ентеробактерии, </w:t>
      </w:r>
      <w:r w:rsidRPr="00FC1ECA">
        <w:rPr>
          <w:rFonts w:eastAsia="Times New Roman" w:cs="Arial"/>
          <w:color w:val="000000"/>
          <w:lang w:val="en-US"/>
        </w:rPr>
        <w:t xml:space="preserve">Pseudomonas, </w:t>
      </w:r>
      <w:proofErr w:type="spellStart"/>
      <w:r w:rsidRPr="00FC1ECA">
        <w:rPr>
          <w:rFonts w:eastAsia="Times New Roman" w:cs="Arial"/>
          <w:color w:val="000000"/>
          <w:lang w:val="en-US"/>
        </w:rPr>
        <w:t>Acinetobacter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M.hominis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Nocardia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Fusobacterium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B.fragilis</w:t>
      </w:r>
      <w:proofErr w:type="spellEnd"/>
      <w:r w:rsidRPr="00FC1ECA">
        <w:rPr>
          <w:rFonts w:eastAsia="Times New Roman" w:cs="Arial"/>
          <w:color w:val="000000"/>
          <w:lang w:val="en-US"/>
        </w:rPr>
        <w:t>.</w:t>
      </w:r>
    </w:p>
    <w:p w14:paraId="39F59F90" w14:textId="77777777" w:rsidR="00FC1ECA" w:rsidRPr="00FC1ECA" w:rsidRDefault="00FC1ECA" w:rsidP="00FC1EC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Видове </w:t>
      </w:r>
      <w:r w:rsidRPr="00FC1ECA">
        <w:rPr>
          <w:rFonts w:eastAsia="Times New Roman" w:cs="Arial"/>
          <w:color w:val="000000"/>
          <w:lang w:val="en-US"/>
        </w:rPr>
        <w:t xml:space="preserve">c </w:t>
      </w:r>
      <w:r w:rsidRPr="00FC1ECA">
        <w:rPr>
          <w:rFonts w:eastAsia="Times New Roman" w:cs="Arial"/>
          <w:color w:val="000000"/>
          <w:lang w:eastAsia="bg-BG"/>
        </w:rPr>
        <w:t>променлива резистентност:</w:t>
      </w:r>
    </w:p>
    <w:p w14:paraId="1EF73892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Процента на придобитата резистентност варира. Следователно чувствителността не може да се предвиди без антибиотико-чувствителен тест:</w:t>
      </w:r>
    </w:p>
    <w:p w14:paraId="0D420A0A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FC1ECA">
        <w:rPr>
          <w:rFonts w:eastAsia="Times New Roman" w:cs="Arial"/>
          <w:color w:val="000000"/>
          <w:lang w:val="en-US"/>
        </w:rPr>
        <w:t>S.pneumoniae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r w:rsidRPr="00FC1ECA">
        <w:rPr>
          <w:rFonts w:eastAsia="Times New Roman" w:cs="Arial"/>
          <w:color w:val="000000"/>
          <w:lang w:eastAsia="bg-BG"/>
        </w:rPr>
        <w:t xml:space="preserve">енгерококи, </w:t>
      </w:r>
      <w:r w:rsidRPr="00FC1ECA">
        <w:rPr>
          <w:rFonts w:eastAsia="Times New Roman" w:cs="Arial"/>
          <w:color w:val="000000"/>
          <w:lang w:val="en-US"/>
        </w:rPr>
        <w:t xml:space="preserve">E.coli, </w:t>
      </w:r>
      <w:proofErr w:type="spellStart"/>
      <w:r w:rsidRPr="00FC1ECA">
        <w:rPr>
          <w:rFonts w:eastAsia="Times New Roman" w:cs="Arial"/>
          <w:color w:val="000000"/>
          <w:lang w:val="en-US"/>
        </w:rPr>
        <w:t>Peptostreptococcus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, </w:t>
      </w:r>
      <w:proofErr w:type="spellStart"/>
      <w:r w:rsidRPr="00FC1ECA">
        <w:rPr>
          <w:rFonts w:eastAsia="Times New Roman" w:cs="Arial"/>
          <w:color w:val="000000"/>
          <w:lang w:val="en-US"/>
        </w:rPr>
        <w:t>C.perfringens</w:t>
      </w:r>
      <w:proofErr w:type="spellEnd"/>
      <w:r w:rsidRPr="00FC1ECA">
        <w:rPr>
          <w:rFonts w:eastAsia="Times New Roman" w:cs="Arial"/>
          <w:color w:val="000000"/>
          <w:lang w:val="en-US"/>
        </w:rPr>
        <w:t>.</w:t>
      </w:r>
    </w:p>
    <w:p w14:paraId="5B116189" w14:textId="77777777" w:rsidR="00FC1ECA" w:rsidRPr="00FC1ECA" w:rsidRDefault="00FC1ECA" w:rsidP="00FC1EC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87E2AC" w14:textId="65BE92C4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Рокситромицин има ин витро и ин виво активност срещу </w:t>
      </w:r>
      <w:proofErr w:type="spellStart"/>
      <w:r w:rsidRPr="00FC1ECA">
        <w:rPr>
          <w:rFonts w:eastAsia="Times New Roman" w:cs="Arial"/>
          <w:color w:val="000000"/>
          <w:lang w:val="en-US"/>
        </w:rPr>
        <w:t>T.gondii</w:t>
      </w:r>
      <w:proofErr w:type="spellEnd"/>
      <w:r w:rsidRPr="00FC1ECA">
        <w:rPr>
          <w:rFonts w:eastAsia="Times New Roman" w:cs="Arial"/>
          <w:color w:val="000000"/>
          <w:lang w:val="en-US"/>
        </w:rPr>
        <w:t>.</w:t>
      </w:r>
    </w:p>
    <w:p w14:paraId="2D0FAD70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Рокситромицин има умерена ин витро активност срещу </w:t>
      </w:r>
      <w:r w:rsidRPr="00FC1ECA">
        <w:rPr>
          <w:rFonts w:eastAsia="Times New Roman" w:cs="Arial"/>
          <w:color w:val="000000"/>
          <w:lang w:val="en-US"/>
        </w:rPr>
        <w:t xml:space="preserve">Mycobacterium </w:t>
      </w:r>
      <w:proofErr w:type="spellStart"/>
      <w:r w:rsidRPr="00FC1ECA">
        <w:rPr>
          <w:rFonts w:eastAsia="Times New Roman" w:cs="Arial"/>
          <w:color w:val="000000"/>
          <w:lang w:val="en-US"/>
        </w:rPr>
        <w:t>avium</w:t>
      </w:r>
      <w:proofErr w:type="spellEnd"/>
      <w:r w:rsidRPr="00FC1ECA">
        <w:rPr>
          <w:rFonts w:eastAsia="Times New Roman" w:cs="Arial"/>
          <w:color w:val="000000"/>
          <w:lang w:val="en-US"/>
        </w:rPr>
        <w:t>.</w:t>
      </w:r>
    </w:p>
    <w:p w14:paraId="347573F0" w14:textId="77777777" w:rsidR="00FC1ECA" w:rsidRPr="00FC1ECA" w:rsidRDefault="00FC1ECA" w:rsidP="00FC1EC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7D6A11" w14:textId="05F21DFF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ВНИМАНИЕ: Някои видове бактерии не са споменати в спектъра, тъй като липсват клинични индикации.</w:t>
      </w:r>
    </w:p>
    <w:p w14:paraId="6CB1E470" w14:textId="77777777" w:rsidR="00FC1ECA" w:rsidRPr="00FC1ECA" w:rsidRDefault="00FC1ECA" w:rsidP="00FC1EC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5AF9D9" w14:textId="18ED8FCA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038F692B" w14:textId="402FD459" w:rsidR="007A2185" w:rsidRPr="00FC1ECA" w:rsidRDefault="00FC1ECA" w:rsidP="00FC1ECA">
      <w:pPr>
        <w:rPr>
          <w:rFonts w:cs="Arial"/>
        </w:rPr>
      </w:pPr>
      <w:r w:rsidRPr="00FC1ECA">
        <w:rPr>
          <w:rFonts w:eastAsia="Times New Roman" w:cs="Arial"/>
          <w:color w:val="000000"/>
          <w:lang w:eastAsia="bg-BG"/>
        </w:rPr>
        <w:t>През 1995 год. Във Франция 30 до 40% от пневмококите са резистентни на макролидни антибиотици. Тази цифра се е увеличила до повече от 50% за пневмококите с намалена чувствителност към пеницилин.</w:t>
      </w:r>
    </w:p>
    <w:p w14:paraId="36152471" w14:textId="77777777" w:rsidR="0091385D" w:rsidRPr="0091385D" w:rsidRDefault="0091385D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02D48F73" w14:textId="77777777" w:rsidR="00FC1ECA" w:rsidRPr="00FC1ECA" w:rsidRDefault="00FC1ECA" w:rsidP="00FC1ECA">
      <w:pPr>
        <w:pStyle w:val="Heading3"/>
        <w:rPr>
          <w:rFonts w:eastAsia="Times New Roman"/>
          <w:u w:val="single"/>
          <w:lang w:eastAsia="bg-BG"/>
        </w:rPr>
      </w:pPr>
      <w:r w:rsidRPr="00FC1ECA">
        <w:rPr>
          <w:rFonts w:eastAsia="Times New Roman"/>
          <w:u w:val="single"/>
          <w:lang w:eastAsia="bg-BG"/>
        </w:rPr>
        <w:t>Бионаличност:</w:t>
      </w:r>
    </w:p>
    <w:p w14:paraId="2F8FD61E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Между 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 xml:space="preserve">саше, 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 xml:space="preserve">филм таблетки и 150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>таблетки:</w:t>
      </w:r>
    </w:p>
    <w:p w14:paraId="3C15FE3D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(Биоеквивалентно проучване показва, че 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 xml:space="preserve">саше, 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 xml:space="preserve">филм таблетки оттеглена дозова форма) и 150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 xml:space="preserve">таблетки са биоеквивалентни. Тъй като 100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 xml:space="preserve">таблетна форма е еквивалентна по състав на 150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>таблетна форма, биоеквивалентно проучване не е провеждано.</w:t>
      </w:r>
    </w:p>
    <w:p w14:paraId="203A9DDB" w14:textId="77777777" w:rsidR="00FC1ECA" w:rsidRPr="00FC1ECA" w:rsidRDefault="00FC1ECA" w:rsidP="00FC1EC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C743A0" w14:textId="6CDACAF4" w:rsidR="00FC1ECA" w:rsidRPr="00F116BC" w:rsidRDefault="00FC1ECA" w:rsidP="00F116BC">
      <w:pPr>
        <w:pStyle w:val="Heading3"/>
        <w:rPr>
          <w:u w:val="single"/>
        </w:rPr>
      </w:pPr>
      <w:r w:rsidRPr="00F116BC">
        <w:rPr>
          <w:u w:val="single"/>
        </w:rPr>
        <w:lastRenderedPageBreak/>
        <w:t>Абсорбция:</w:t>
      </w:r>
    </w:p>
    <w:p w14:paraId="45551830" w14:textId="32960BAF" w:rsidR="007A2185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Абсорбцията е бърза. Рокситромицин е стабилен в кисела среда и се открива в серума на 15- тата минута, пиковите серумни нива се наблюдават на 2,2-я час след прием на доза от 150 </w:t>
      </w:r>
      <w:r w:rsidRPr="00FC1ECA">
        <w:rPr>
          <w:rFonts w:eastAsia="Times New Roman" w:cs="Arial"/>
          <w:color w:val="000000"/>
          <w:lang w:val="en-US"/>
        </w:rPr>
        <w:t>mg</w:t>
      </w:r>
      <w:r>
        <w:rPr>
          <w:rFonts w:eastAsia="Times New Roman" w:cs="Arial"/>
          <w:lang w:eastAsia="bg-BG"/>
        </w:rPr>
        <w:t xml:space="preserve"> </w:t>
      </w:r>
      <w:r w:rsidRPr="00FC1ECA">
        <w:rPr>
          <w:rFonts w:eastAsia="Times New Roman" w:cs="Arial"/>
          <w:color w:val="000000"/>
          <w:lang w:eastAsia="bg-BG"/>
        </w:rPr>
        <w:t xml:space="preserve">на гладно при възрастни и на 1,6-я час след прием на доза от 2,5 </w:t>
      </w:r>
      <w:r w:rsidRPr="00FC1ECA">
        <w:rPr>
          <w:rFonts w:eastAsia="Times New Roman" w:cs="Arial"/>
          <w:color w:val="000000"/>
          <w:lang w:val="en-US"/>
        </w:rPr>
        <w:t xml:space="preserve">mg/kg </w:t>
      </w:r>
      <w:r w:rsidRPr="00FC1ECA">
        <w:rPr>
          <w:rFonts w:eastAsia="Times New Roman" w:cs="Arial"/>
          <w:color w:val="000000"/>
          <w:lang w:eastAsia="bg-BG"/>
        </w:rPr>
        <w:t>на</w:t>
      </w:r>
      <w:r w:rsidRPr="00FC1ECA">
        <w:rPr>
          <w:rFonts w:eastAsia="Times New Roman" w:cs="Arial"/>
          <w:color w:val="000000"/>
          <w:lang w:val="en-US"/>
        </w:rPr>
        <w:t xml:space="preserve"> </w:t>
      </w:r>
      <w:r w:rsidRPr="00FC1ECA">
        <w:rPr>
          <w:rFonts w:eastAsia="Times New Roman" w:cs="Arial"/>
          <w:color w:val="000000"/>
          <w:lang w:eastAsia="bg-BG"/>
        </w:rPr>
        <w:t>гладно при деца.</w:t>
      </w:r>
    </w:p>
    <w:p w14:paraId="4EE1BB0B" w14:textId="69AEF11A" w:rsidR="0091385D" w:rsidRPr="00FC1ECA" w:rsidRDefault="0091385D" w:rsidP="0091385D">
      <w:pPr>
        <w:rPr>
          <w:rFonts w:cs="Arial"/>
        </w:rPr>
      </w:pPr>
    </w:p>
    <w:p w14:paraId="53CC4851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Доказано е, че приема на лекарството 0,25 часа преди хранене променя фармакокинетиката при здрави индивиди.</w:t>
      </w:r>
    </w:p>
    <w:p w14:paraId="39A8CF66" w14:textId="77777777" w:rsidR="00FC1ECA" w:rsidRPr="00FC1ECA" w:rsidRDefault="00FC1ECA" w:rsidP="00FC1EC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FF39DE" w14:textId="7D90DE30" w:rsidR="00FC1ECA" w:rsidRPr="00FC1ECA" w:rsidRDefault="00FC1ECA" w:rsidP="00FC1ECA">
      <w:pPr>
        <w:pStyle w:val="Heading3"/>
        <w:rPr>
          <w:rFonts w:eastAsia="Times New Roman"/>
          <w:u w:val="single"/>
          <w:lang w:eastAsia="bg-BG"/>
        </w:rPr>
      </w:pPr>
      <w:r w:rsidRPr="00FC1ECA">
        <w:rPr>
          <w:rFonts w:eastAsia="Times New Roman"/>
          <w:u w:val="single"/>
          <w:lang w:eastAsia="bg-BG"/>
        </w:rPr>
        <w:t>Разпределение:</w:t>
      </w:r>
    </w:p>
    <w:p w14:paraId="005BEFD1" w14:textId="4E998564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b/>
          <w:bCs/>
          <w:color w:val="000000"/>
          <w:lang w:eastAsia="bg-BG"/>
        </w:rPr>
        <w:t>При деца:</w:t>
      </w:r>
    </w:p>
    <w:p w14:paraId="620BC332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i/>
          <w:iCs/>
          <w:color w:val="000000"/>
          <w:lang w:eastAsia="bg-BG"/>
        </w:rPr>
        <w:t>Плазмени концентрации:</w:t>
      </w:r>
    </w:p>
    <w:p w14:paraId="784C3DB0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При повтарящ се прием на доза от 2,5 </w:t>
      </w:r>
      <w:r w:rsidRPr="00FC1ECA">
        <w:rPr>
          <w:rFonts w:eastAsia="Times New Roman" w:cs="Arial"/>
          <w:color w:val="000000"/>
          <w:lang w:val="en-US"/>
        </w:rPr>
        <w:t xml:space="preserve">mg/kg </w:t>
      </w:r>
      <w:r w:rsidRPr="00FC1ECA">
        <w:rPr>
          <w:rFonts w:eastAsia="Times New Roman" w:cs="Arial"/>
          <w:color w:val="000000"/>
          <w:lang w:eastAsia="bg-BG"/>
        </w:rPr>
        <w:t>на всеки 12 часа, остатъчните плазмени концентрации са идентични през целия период на лечение.</w:t>
      </w:r>
    </w:p>
    <w:p w14:paraId="1FE78013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Равновесните концентрации са както следва:</w:t>
      </w:r>
    </w:p>
    <w:p w14:paraId="5B16DF83" w14:textId="77777777" w:rsidR="00FC1ECA" w:rsidRPr="00FC1ECA" w:rsidRDefault="00FC1ECA" w:rsidP="00FC1EC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маскимална концентрация: 9 м</w:t>
      </w:r>
      <w:r w:rsidRPr="00FC1ECA">
        <w:rPr>
          <w:rFonts w:eastAsia="Times New Roman" w:cs="Arial"/>
          <w:color w:val="000000"/>
          <w:lang w:val="en-US"/>
        </w:rPr>
        <w:t xml:space="preserve">kg/ml, </w:t>
      </w:r>
    </w:p>
    <w:p w14:paraId="0F292B8D" w14:textId="19C95036" w:rsidR="00FC1ECA" w:rsidRPr="00FC1ECA" w:rsidRDefault="00FC1ECA" w:rsidP="00FC1EC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минимална концентрация: 3,1 </w:t>
      </w:r>
      <w:proofErr w:type="spellStart"/>
      <w:r w:rsidRPr="00FC1ECA">
        <w:rPr>
          <w:rFonts w:eastAsia="Times New Roman" w:cs="Arial"/>
          <w:color w:val="000000"/>
          <w:lang w:val="en-US"/>
        </w:rPr>
        <w:t>Mkg</w:t>
      </w:r>
      <w:proofErr w:type="spellEnd"/>
      <w:r w:rsidRPr="00FC1ECA">
        <w:rPr>
          <w:rFonts w:eastAsia="Times New Roman" w:cs="Arial"/>
          <w:color w:val="000000"/>
          <w:lang w:val="en-US"/>
        </w:rPr>
        <w:t xml:space="preserve">/ml. </w:t>
      </w:r>
      <w:r w:rsidRPr="00FC1ECA">
        <w:rPr>
          <w:rFonts w:eastAsia="Times New Roman" w:cs="Arial"/>
          <w:color w:val="000000"/>
          <w:lang w:eastAsia="bg-BG"/>
        </w:rPr>
        <w:t xml:space="preserve">Това не се различава от определената на 12-ия час концентрация след прием на единична доза от 2,5 </w:t>
      </w:r>
      <w:r w:rsidRPr="00FC1ECA">
        <w:rPr>
          <w:rFonts w:eastAsia="Times New Roman" w:cs="Arial"/>
          <w:color w:val="000000"/>
          <w:lang w:val="en-US"/>
        </w:rPr>
        <w:t xml:space="preserve">mg/kg </w:t>
      </w:r>
      <w:r w:rsidRPr="00FC1ECA">
        <w:rPr>
          <w:rFonts w:eastAsia="Times New Roman" w:cs="Arial"/>
          <w:color w:val="000000"/>
          <w:lang w:eastAsia="bg-BG"/>
        </w:rPr>
        <w:t>(3,6 мк</w:t>
      </w:r>
      <w:r w:rsidRPr="00FC1ECA">
        <w:rPr>
          <w:rFonts w:eastAsia="Times New Roman" w:cs="Arial"/>
          <w:color w:val="000000"/>
          <w:lang w:val="en-US"/>
        </w:rPr>
        <w:t>g/ml).</w:t>
      </w:r>
    </w:p>
    <w:p w14:paraId="3978811C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Средно време на полуживот: 20 часа (по-дълъг отколкото при възрастни: 10,5 часа).</w:t>
      </w:r>
    </w:p>
    <w:p w14:paraId="5EFDF48C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i/>
          <w:iCs/>
          <w:color w:val="000000"/>
          <w:lang w:eastAsia="bg-BG"/>
        </w:rPr>
        <w:t>Тъканна дифузия:</w:t>
      </w:r>
    </w:p>
    <w:p w14:paraId="4F9B95D8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Добра, особено в белодробната тъкан, сливиците, аденоидните образувания и средното ухо, 6 часа и 12 часа след повтарящи се дози рокситромицин.</w:t>
      </w:r>
    </w:p>
    <w:p w14:paraId="5D32FF5D" w14:textId="77777777" w:rsidR="00FC1ECA" w:rsidRPr="00FC1ECA" w:rsidRDefault="00FC1ECA" w:rsidP="00FC1EC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ED06A65" w14:textId="729F1D46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b/>
          <w:bCs/>
          <w:color w:val="000000"/>
          <w:lang w:eastAsia="bg-BG"/>
        </w:rPr>
        <w:t>При възрастни:</w:t>
      </w:r>
    </w:p>
    <w:p w14:paraId="3C8E5FE3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i/>
          <w:iCs/>
          <w:color w:val="000000"/>
          <w:lang w:eastAsia="bg-BG"/>
        </w:rPr>
        <w:t>Плазмени концентрации:</w:t>
      </w:r>
    </w:p>
    <w:p w14:paraId="3D014DF9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Фармакокинетичните параметри след единична доза от 150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>при нормални индивиди са както следва:</w:t>
      </w:r>
    </w:p>
    <w:p w14:paraId="36428096" w14:textId="77777777" w:rsidR="00FC1ECA" w:rsidRPr="00FC1ECA" w:rsidRDefault="00FC1ECA" w:rsidP="00FC1EC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средна максимална плазмена концентрация: 6,6 м</w:t>
      </w:r>
      <w:r w:rsidRPr="00FC1ECA">
        <w:rPr>
          <w:rFonts w:eastAsia="Times New Roman" w:cs="Arial"/>
          <w:color w:val="000000"/>
          <w:lang w:val="en-US"/>
        </w:rPr>
        <w:t>kg/ml,</w:t>
      </w:r>
    </w:p>
    <w:p w14:paraId="63FBC224" w14:textId="77777777" w:rsidR="00FC1ECA" w:rsidRPr="00FC1ECA" w:rsidRDefault="00FC1ECA" w:rsidP="00FC1EC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средна плазмена концентрация (12 часа след дозата): 1,8 м</w:t>
      </w:r>
      <w:r w:rsidRPr="00FC1ECA">
        <w:rPr>
          <w:rFonts w:eastAsia="Times New Roman" w:cs="Arial"/>
          <w:color w:val="000000"/>
          <w:lang w:val="en-US"/>
        </w:rPr>
        <w:t xml:space="preserve">kg/ml, </w:t>
      </w:r>
    </w:p>
    <w:p w14:paraId="3CFBD153" w14:textId="304BB8C2" w:rsidR="00FC1ECA" w:rsidRPr="00FC1ECA" w:rsidRDefault="00FC1ECA" w:rsidP="00FC1EC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среден полуживот на елиминиране: 10,5 часа.</w:t>
      </w:r>
    </w:p>
    <w:p w14:paraId="239A3DE3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При приемане на повтарящи се дози от нормални индивиди (150 </w:t>
      </w:r>
      <w:r w:rsidRPr="00FC1ECA">
        <w:rPr>
          <w:rFonts w:eastAsia="Times New Roman" w:cs="Arial"/>
          <w:color w:val="000000"/>
          <w:lang w:val="en-US"/>
        </w:rPr>
        <w:t xml:space="preserve">mg </w:t>
      </w:r>
      <w:r w:rsidRPr="00FC1ECA">
        <w:rPr>
          <w:rFonts w:eastAsia="Times New Roman" w:cs="Arial"/>
          <w:color w:val="000000"/>
          <w:lang w:eastAsia="bg-BG"/>
        </w:rPr>
        <w:t>на всеки 12 часа за 10 дни), равновесните концентрации в плазмата се достигат между 2-я и 4-я ден. Тези равновесни плазмени концентрации са както следва:</w:t>
      </w:r>
    </w:p>
    <w:p w14:paraId="32C5FA52" w14:textId="77777777" w:rsidR="00FC1ECA" w:rsidRPr="00FC1ECA" w:rsidRDefault="00FC1ECA" w:rsidP="00FC1EC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максимална концентрация: 9,3 м</w:t>
      </w:r>
      <w:r w:rsidRPr="00FC1ECA">
        <w:rPr>
          <w:rFonts w:eastAsia="Times New Roman" w:cs="Arial"/>
          <w:color w:val="000000"/>
          <w:lang w:val="en-US"/>
        </w:rPr>
        <w:t xml:space="preserve">kg/ ml, </w:t>
      </w:r>
    </w:p>
    <w:p w14:paraId="6F44F40B" w14:textId="6C87DA13" w:rsidR="00FC1ECA" w:rsidRPr="00FC1ECA" w:rsidRDefault="00FC1ECA" w:rsidP="00FC1EC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минимална концентрация: 3,6 м</w:t>
      </w:r>
      <w:r w:rsidRPr="00FC1ECA">
        <w:rPr>
          <w:rFonts w:eastAsia="Times New Roman" w:cs="Arial"/>
          <w:color w:val="000000"/>
          <w:lang w:val="en-US"/>
        </w:rPr>
        <w:t>kg/ml.</w:t>
      </w:r>
    </w:p>
    <w:p w14:paraId="43534E3F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i/>
          <w:iCs/>
          <w:color w:val="000000"/>
          <w:lang w:eastAsia="bg-BG"/>
        </w:rPr>
        <w:t>Тъканна дифузия:</w:t>
      </w:r>
    </w:p>
    <w:p w14:paraId="6DED914A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Добра, особено в белодробната тъкан, сливиците, аденоидните образувания и простатата, 6 часа и 12 часа след повтарящи се дози рокситромицин.</w:t>
      </w:r>
    </w:p>
    <w:p w14:paraId="4DEBABE2" w14:textId="3C116C70" w:rsidR="00FC1ECA" w:rsidRPr="00FC1ECA" w:rsidRDefault="00FC1ECA" w:rsidP="00FC1EC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Много ниски нива рокситромицин преминават в кърмата:</w:t>
      </w:r>
    </w:p>
    <w:p w14:paraId="652DDB6F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По-малко от 0,05% от въведената доза.</w:t>
      </w:r>
    </w:p>
    <w:p w14:paraId="1E09EB34" w14:textId="77777777" w:rsidR="00FC1ECA" w:rsidRPr="00FC1ECA" w:rsidRDefault="00FC1ECA" w:rsidP="00FC1EC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2"/>
    </w:p>
    <w:p w14:paraId="2B482577" w14:textId="65B2F911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b/>
          <w:bCs/>
          <w:color w:val="000000"/>
          <w:lang w:eastAsia="bg-BG"/>
        </w:rPr>
        <w:t>При възрастни и деца:</w:t>
      </w:r>
      <w:bookmarkEnd w:id="3"/>
    </w:p>
    <w:p w14:paraId="09D20E8A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i/>
          <w:iCs/>
          <w:color w:val="000000"/>
          <w:lang w:eastAsia="bg-BG"/>
        </w:rPr>
        <w:t>Плазмени концентрации:</w:t>
      </w:r>
    </w:p>
    <w:p w14:paraId="5A848279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Тъй като продукта не кумулира, дневната доза може да бъде давана като 2 дози през 12 часа.</w:t>
      </w:r>
    </w:p>
    <w:p w14:paraId="288E3A98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Това осигурява плазмени концентрации на антибиотика ефективни спрямо чувствителни организми повече от 24 часа.</w:t>
      </w:r>
    </w:p>
    <w:p w14:paraId="736A9C80" w14:textId="73A3195E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i/>
          <w:iCs/>
          <w:color w:val="000000"/>
          <w:lang w:eastAsia="bg-BG"/>
        </w:rPr>
        <w:t>Тъканна дифузия:</w:t>
      </w:r>
    </w:p>
    <w:p w14:paraId="5C02DF0C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 xml:space="preserve">Макролидните антибиотици проникват и кумулират във фагоцитите (полинуклеарните неутрофили, моноцитите, перитонеалните и алвеоларните макрофаги). </w:t>
      </w:r>
      <w:r w:rsidRPr="00FC1ECA">
        <w:rPr>
          <w:rFonts w:eastAsia="Times New Roman" w:cs="Arial"/>
          <w:color w:val="000000"/>
          <w:lang w:eastAsia="bg-BG"/>
        </w:rPr>
        <w:lastRenderedPageBreak/>
        <w:t>Интрафагоцитните концентрации са високи при човека. Тези свойства обясняват активността на рокситромицина спрямо вътреклетъчните бактерии.</w:t>
      </w:r>
    </w:p>
    <w:p w14:paraId="7533B5A2" w14:textId="53113012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i/>
          <w:iCs/>
          <w:color w:val="000000"/>
          <w:lang w:eastAsia="bg-BG"/>
        </w:rPr>
        <w:t>Свързване с плазмените протеини:</w:t>
      </w:r>
    </w:p>
    <w:p w14:paraId="5BCC05BB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96% от рокситромицина се свързва главно с алфа-1 киселите гликопротеини. Това свързване е обратимо и намалява при концентрации на рокситромицина по-високи от 4 м</w:t>
      </w:r>
      <w:r w:rsidRPr="00FC1ECA">
        <w:rPr>
          <w:rFonts w:eastAsia="Times New Roman" w:cs="Arial"/>
          <w:color w:val="000000"/>
          <w:lang w:val="en-US"/>
        </w:rPr>
        <w:t>kg/ml.</w:t>
      </w:r>
    </w:p>
    <w:p w14:paraId="178EEC93" w14:textId="77777777" w:rsidR="00FC1ECA" w:rsidRPr="00FC1ECA" w:rsidRDefault="00FC1ECA" w:rsidP="00FC1EC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04B6C4" w14:textId="31835CE1" w:rsidR="00FC1ECA" w:rsidRPr="00FC1ECA" w:rsidRDefault="00FC1ECA" w:rsidP="00FC1ECA">
      <w:pPr>
        <w:pStyle w:val="Heading3"/>
        <w:rPr>
          <w:rFonts w:eastAsia="Times New Roman"/>
          <w:u w:val="single"/>
          <w:lang w:eastAsia="bg-BG"/>
        </w:rPr>
      </w:pPr>
      <w:r w:rsidRPr="00FC1ECA">
        <w:rPr>
          <w:rFonts w:eastAsia="Times New Roman"/>
          <w:u w:val="single"/>
          <w:lang w:eastAsia="bg-BG"/>
        </w:rPr>
        <w:t>Биотрансформация:</w:t>
      </w:r>
    </w:p>
    <w:p w14:paraId="78E46341" w14:textId="77777777" w:rsidR="00FC1ECA" w:rsidRPr="00FC1ECA" w:rsidRDefault="00FC1ECA" w:rsidP="00FC1ECA">
      <w:pPr>
        <w:spacing w:line="240" w:lineRule="auto"/>
        <w:rPr>
          <w:rFonts w:eastAsia="Times New Roman" w:cs="Arial"/>
          <w:lang w:eastAsia="bg-BG"/>
        </w:rPr>
      </w:pPr>
      <w:r w:rsidRPr="00FC1ECA">
        <w:rPr>
          <w:rFonts w:eastAsia="Times New Roman" w:cs="Arial"/>
          <w:color w:val="000000"/>
          <w:lang w:eastAsia="bg-BG"/>
        </w:rPr>
        <w:t>Рокситромицин претърпява относително малка биотрансформация. Повече от половината се екскретира непроменен. Три стуктури се идентифицират в урината и фекалиите:</w:t>
      </w:r>
      <w:r w:rsidRPr="00FC1ECA">
        <w:rPr>
          <w:rFonts w:eastAsia="Times New Roman" w:cs="Arial"/>
          <w:color w:val="000000"/>
          <w:lang w:val="en-US"/>
        </w:rPr>
        <w:t xml:space="preserve"> </w:t>
      </w:r>
      <w:r w:rsidRPr="00FC1ECA">
        <w:rPr>
          <w:rFonts w:eastAsia="Times New Roman" w:cs="Arial"/>
          <w:color w:val="000000"/>
          <w:lang w:eastAsia="bg-BG"/>
        </w:rPr>
        <w:t>дес-кладиноза рокситромицин, в най-голямо количество и Н-моно и Н-дидеметил рокситромицин, които са в по-малко количество. Пропорциите на трите метаболита са подобни в урината и фекалиите.</w:t>
      </w:r>
    </w:p>
    <w:p w14:paraId="02FFFC6C" w14:textId="77777777" w:rsidR="00FC1ECA" w:rsidRPr="00FC1ECA" w:rsidRDefault="00FC1ECA" w:rsidP="00FC1ECA">
      <w:pPr>
        <w:rPr>
          <w:rFonts w:eastAsia="Times New Roman" w:cs="Arial"/>
          <w:color w:val="000000"/>
          <w:u w:val="single"/>
          <w:lang w:eastAsia="bg-BG"/>
        </w:rPr>
      </w:pPr>
    </w:p>
    <w:p w14:paraId="776472F2" w14:textId="556E055E" w:rsidR="00FC1ECA" w:rsidRPr="00FC1ECA" w:rsidRDefault="00FC1ECA" w:rsidP="00FC1ECA">
      <w:pPr>
        <w:pStyle w:val="Heading3"/>
        <w:rPr>
          <w:rFonts w:eastAsia="Times New Roman"/>
          <w:u w:val="single"/>
          <w:lang w:eastAsia="bg-BG"/>
        </w:rPr>
      </w:pPr>
      <w:r w:rsidRPr="00FC1ECA">
        <w:rPr>
          <w:rFonts w:eastAsia="Times New Roman"/>
          <w:u w:val="single"/>
          <w:lang w:eastAsia="bg-BG"/>
        </w:rPr>
        <w:t>Елиминиране:</w:t>
      </w:r>
    </w:p>
    <w:p w14:paraId="78D0D763" w14:textId="665AF55C" w:rsidR="00FC1ECA" w:rsidRPr="00FC1ECA" w:rsidRDefault="00FC1ECA" w:rsidP="00FC1ECA">
      <w:pPr>
        <w:rPr>
          <w:rFonts w:cs="Arial"/>
        </w:rPr>
      </w:pPr>
      <w:r w:rsidRPr="00FC1ECA">
        <w:rPr>
          <w:rFonts w:cs="Arial"/>
        </w:rPr>
        <w:t>Елиминира се предимно чрез фекалиите: след орален прием на 14С-рокситромицин при здрави, радиоактивността, отчетена в урината е само 12% от общото количество, екскретирано с урината и фекалните маси за 72 часа.</w:t>
      </w:r>
    </w:p>
    <w:p w14:paraId="3D4AC6EC" w14:textId="77777777" w:rsidR="00FC1ECA" w:rsidRPr="0091385D" w:rsidRDefault="00FC1ECA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13A7B62A" w14:textId="53E26AFB" w:rsidR="007A2185" w:rsidRPr="00FC1ECA" w:rsidRDefault="00FC1ECA" w:rsidP="0091385D">
      <w:pPr>
        <w:rPr>
          <w:rFonts w:cs="Arial"/>
        </w:rPr>
      </w:pPr>
      <w:r w:rsidRPr="00FC1ECA">
        <w:rPr>
          <w:rFonts w:cs="Arial"/>
          <w:b/>
          <w:bCs/>
        </w:rPr>
        <w:t xml:space="preserve">При деца: </w:t>
      </w:r>
      <w:r w:rsidRPr="00FC1ECA">
        <w:rPr>
          <w:rFonts w:cs="Arial"/>
        </w:rPr>
        <w:t xml:space="preserve">от гледна точка на това, че са наблюдавани аномалии в хрущялната тъкан при млади животни при дози 10 пъти по-високи от терапевтичните, се препоръчва доза от 5 до 8 </w:t>
      </w:r>
      <w:r w:rsidRPr="00FC1ECA">
        <w:rPr>
          <w:rFonts w:cs="Arial"/>
          <w:lang w:val="en-US"/>
        </w:rPr>
        <w:t>mg/kg</w:t>
      </w:r>
      <w:r w:rsidRPr="00FC1ECA">
        <w:rPr>
          <w:rFonts w:cs="Arial"/>
        </w:rPr>
        <w:t>/дневно за максимален период от 10 дни.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436DEDC1" w14:textId="77777777" w:rsidR="00472541" w:rsidRPr="00472541" w:rsidRDefault="00472541" w:rsidP="00472541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proofErr w:type="spellStart"/>
      <w:proofErr w:type="gramStart"/>
      <w:r w:rsidRPr="00472541">
        <w:rPr>
          <w:rFonts w:eastAsia="Times New Roman" w:cs="Arial"/>
          <w:color w:val="000000"/>
          <w:szCs w:val="20"/>
          <w:lang w:val="en-US"/>
        </w:rPr>
        <w:t>sanofi-aventis</w:t>
      </w:r>
      <w:proofErr w:type="spellEnd"/>
      <w:proofErr w:type="gramEnd"/>
      <w:r w:rsidRPr="00472541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72541">
        <w:rPr>
          <w:rFonts w:eastAsia="Times New Roman" w:cs="Arial"/>
          <w:color w:val="000000"/>
          <w:szCs w:val="20"/>
          <w:lang w:val="en-US"/>
        </w:rPr>
        <w:t>groupe</w:t>
      </w:r>
      <w:proofErr w:type="spellEnd"/>
    </w:p>
    <w:p w14:paraId="6B46E5C5" w14:textId="77777777" w:rsidR="00472541" w:rsidRPr="00472541" w:rsidRDefault="00472541" w:rsidP="00472541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472541">
        <w:rPr>
          <w:rFonts w:eastAsia="Times New Roman" w:cs="Arial"/>
          <w:color w:val="000000"/>
          <w:szCs w:val="20"/>
          <w:lang w:eastAsia="bg-BG"/>
        </w:rPr>
        <w:t xml:space="preserve">54 </w:t>
      </w:r>
      <w:r w:rsidRPr="00472541">
        <w:rPr>
          <w:rFonts w:eastAsia="Times New Roman" w:cs="Arial"/>
          <w:color w:val="000000"/>
          <w:szCs w:val="20"/>
          <w:lang w:val="en-US"/>
        </w:rPr>
        <w:t xml:space="preserve">rue </w:t>
      </w:r>
      <w:r w:rsidRPr="00472541">
        <w:rPr>
          <w:rFonts w:eastAsia="Times New Roman" w:cs="Arial"/>
          <w:color w:val="000000"/>
          <w:szCs w:val="20"/>
          <w:lang w:eastAsia="bg-BG"/>
        </w:rPr>
        <w:t>La Boétie</w:t>
      </w:r>
    </w:p>
    <w:p w14:paraId="19E99C8C" w14:textId="77777777" w:rsidR="00472541" w:rsidRPr="00472541" w:rsidRDefault="00472541" w:rsidP="00472541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472541">
        <w:rPr>
          <w:rFonts w:eastAsia="Times New Roman" w:cs="Arial"/>
          <w:color w:val="000000"/>
          <w:szCs w:val="20"/>
          <w:lang w:val="en-US"/>
        </w:rPr>
        <w:t>75008 Paris</w:t>
      </w:r>
    </w:p>
    <w:p w14:paraId="4F02909F" w14:textId="32276294" w:rsidR="007A2185" w:rsidRPr="00472541" w:rsidRDefault="00472541" w:rsidP="00472541">
      <w:pPr>
        <w:rPr>
          <w:rFonts w:cs="Arial"/>
          <w:sz w:val="24"/>
        </w:rPr>
      </w:pPr>
      <w:r w:rsidRPr="00472541">
        <w:rPr>
          <w:rFonts w:eastAsia="Times New Roman" w:cs="Arial"/>
          <w:color w:val="000000"/>
          <w:szCs w:val="20"/>
          <w:lang w:eastAsia="bg-BG"/>
        </w:rPr>
        <w:t>Франция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6336BA06" w:rsidR="007A2185" w:rsidRPr="00472541" w:rsidRDefault="00472541" w:rsidP="0091385D">
      <w:pPr>
        <w:rPr>
          <w:rFonts w:cs="Arial"/>
          <w:sz w:val="24"/>
        </w:rPr>
      </w:pPr>
      <w:r w:rsidRPr="00472541">
        <w:rPr>
          <w:rFonts w:cs="Arial"/>
          <w:szCs w:val="20"/>
        </w:rPr>
        <w:t>20020149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5D0EC8D9" w14:textId="77777777" w:rsidR="00472541" w:rsidRPr="00472541" w:rsidRDefault="00472541" w:rsidP="0047254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72541">
        <w:rPr>
          <w:rFonts w:eastAsia="Times New Roman" w:cs="Arial"/>
          <w:color w:val="000000"/>
          <w:szCs w:val="20"/>
          <w:lang w:eastAsia="bg-BG"/>
        </w:rPr>
        <w:t>Дата на първо разрешаване: 19.02.2002 г.</w:t>
      </w:r>
    </w:p>
    <w:p w14:paraId="6C57D8B6" w14:textId="1B3C0301" w:rsidR="007A2185" w:rsidRPr="00472541" w:rsidRDefault="00472541" w:rsidP="00472541">
      <w:pPr>
        <w:rPr>
          <w:rFonts w:cs="Arial"/>
          <w:sz w:val="24"/>
        </w:rPr>
      </w:pPr>
      <w:r w:rsidRPr="00472541">
        <w:rPr>
          <w:rFonts w:eastAsia="Times New Roman" w:cs="Arial"/>
          <w:color w:val="000000"/>
          <w:szCs w:val="20"/>
          <w:lang w:eastAsia="bg-BG"/>
        </w:rPr>
        <w:t>Дата на подновяване на разрешението за упореба: 02.08.2007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lastRenderedPageBreak/>
        <w:t>10. ДАТА НА АКТУАЛИЗИРАНЕ НА ТЕКСТА</w:t>
      </w:r>
    </w:p>
    <w:p w14:paraId="3E8FFCC4" w14:textId="0121B4E2" w:rsidR="0091385D" w:rsidRDefault="0091385D" w:rsidP="0091385D"/>
    <w:p w14:paraId="0524F1D6" w14:textId="2CA004B4" w:rsidR="007A2185" w:rsidRPr="00472541" w:rsidRDefault="00472541" w:rsidP="0091385D">
      <w:pPr>
        <w:rPr>
          <w:rFonts w:cs="Arial"/>
          <w:sz w:val="24"/>
        </w:rPr>
      </w:pPr>
      <w:r w:rsidRPr="00472541">
        <w:rPr>
          <w:rFonts w:cs="Arial"/>
          <w:b/>
          <w:bCs/>
          <w:szCs w:val="20"/>
        </w:rPr>
        <w:t>01/01/2022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7971EF"/>
    <w:multiLevelType w:val="hybridMultilevel"/>
    <w:tmpl w:val="7FD0E018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85BE3"/>
    <w:multiLevelType w:val="hybridMultilevel"/>
    <w:tmpl w:val="C0588958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41743"/>
    <w:multiLevelType w:val="hybridMultilevel"/>
    <w:tmpl w:val="3C282F4C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E76FE"/>
    <w:multiLevelType w:val="hybridMultilevel"/>
    <w:tmpl w:val="9F02B7CE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11CB3"/>
    <w:multiLevelType w:val="hybridMultilevel"/>
    <w:tmpl w:val="44CE0B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76634"/>
    <w:multiLevelType w:val="hybridMultilevel"/>
    <w:tmpl w:val="5896E8AE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463D9"/>
    <w:multiLevelType w:val="hybridMultilevel"/>
    <w:tmpl w:val="59CE9B36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1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9"/>
  </w:num>
  <w:num w:numId="7">
    <w:abstractNumId w:val="11"/>
  </w:num>
  <w:num w:numId="8">
    <w:abstractNumId w:val="18"/>
  </w:num>
  <w:num w:numId="9">
    <w:abstractNumId w:val="2"/>
  </w:num>
  <w:num w:numId="10">
    <w:abstractNumId w:val="5"/>
  </w:num>
  <w:num w:numId="11">
    <w:abstractNumId w:val="35"/>
  </w:num>
  <w:num w:numId="12">
    <w:abstractNumId w:val="17"/>
  </w:num>
  <w:num w:numId="13">
    <w:abstractNumId w:val="22"/>
  </w:num>
  <w:num w:numId="14">
    <w:abstractNumId w:val="12"/>
  </w:num>
  <w:num w:numId="15">
    <w:abstractNumId w:val="34"/>
  </w:num>
  <w:num w:numId="16">
    <w:abstractNumId w:val="10"/>
  </w:num>
  <w:num w:numId="17">
    <w:abstractNumId w:val="27"/>
  </w:num>
  <w:num w:numId="18">
    <w:abstractNumId w:val="8"/>
  </w:num>
  <w:num w:numId="19">
    <w:abstractNumId w:val="30"/>
  </w:num>
  <w:num w:numId="20">
    <w:abstractNumId w:val="26"/>
  </w:num>
  <w:num w:numId="21">
    <w:abstractNumId w:val="20"/>
  </w:num>
  <w:num w:numId="22">
    <w:abstractNumId w:val="28"/>
  </w:num>
  <w:num w:numId="23">
    <w:abstractNumId w:val="21"/>
  </w:num>
  <w:num w:numId="24">
    <w:abstractNumId w:val="9"/>
  </w:num>
  <w:num w:numId="25">
    <w:abstractNumId w:val="25"/>
  </w:num>
  <w:num w:numId="26">
    <w:abstractNumId w:val="24"/>
  </w:num>
  <w:num w:numId="27">
    <w:abstractNumId w:val="38"/>
  </w:num>
  <w:num w:numId="28">
    <w:abstractNumId w:val="7"/>
  </w:num>
  <w:num w:numId="29">
    <w:abstractNumId w:val="23"/>
  </w:num>
  <w:num w:numId="30">
    <w:abstractNumId w:val="41"/>
  </w:num>
  <w:num w:numId="31">
    <w:abstractNumId w:val="6"/>
  </w:num>
  <w:num w:numId="32">
    <w:abstractNumId w:val="40"/>
  </w:num>
  <w:num w:numId="33">
    <w:abstractNumId w:val="33"/>
  </w:num>
  <w:num w:numId="34">
    <w:abstractNumId w:val="39"/>
  </w:num>
  <w:num w:numId="35">
    <w:abstractNumId w:val="14"/>
  </w:num>
  <w:num w:numId="36">
    <w:abstractNumId w:val="15"/>
  </w:num>
  <w:num w:numId="37">
    <w:abstractNumId w:val="29"/>
  </w:num>
  <w:num w:numId="38">
    <w:abstractNumId w:val="32"/>
  </w:num>
  <w:num w:numId="39">
    <w:abstractNumId w:val="37"/>
  </w:num>
  <w:num w:numId="40">
    <w:abstractNumId w:val="36"/>
  </w:num>
  <w:num w:numId="41">
    <w:abstractNumId w:val="1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72541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116BC"/>
    <w:rsid w:val="00F37B64"/>
    <w:rsid w:val="00FC1ECA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3124</Words>
  <Characters>17808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2023-04-02T13:15:00Z</dcterms:created>
  <dcterms:modified xsi:type="dcterms:W3CDTF">2023-04-02T13:15:00Z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