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574E6E83" w:rsidR="00C40420" w:rsidRDefault="00DD466D" w:rsidP="004A448E">
      <w:pPr>
        <w:pStyle w:val="Heading1"/>
      </w:pPr>
      <w:r>
        <w:t>1.ИМЕ НА ЛЕКАРСТВЕНИЯ ПРОДУКТ</w:t>
      </w:r>
    </w:p>
    <w:p w14:paraId="76F28C66" w14:textId="52012C13" w:rsidR="00730F89" w:rsidRDefault="00730F89" w:rsidP="00730F89"/>
    <w:p w14:paraId="5F1D3286" w14:textId="77777777" w:rsidR="00730F89" w:rsidRPr="00730F89" w:rsidRDefault="00730F89" w:rsidP="00730F89">
      <w:pPr>
        <w:rPr>
          <w:sz w:val="24"/>
          <w:szCs w:val="24"/>
        </w:rPr>
      </w:pPr>
      <w:r w:rsidRPr="00730F89">
        <w:rPr>
          <w:lang w:eastAsia="bg-BG"/>
        </w:rPr>
        <w:t xml:space="preserve">Русокон 10 </w:t>
      </w:r>
      <w:r w:rsidRPr="00730F89">
        <w:rPr>
          <w:lang w:val="en-US"/>
        </w:rPr>
        <w:t>mg</w:t>
      </w:r>
      <w:r w:rsidRPr="00730F89">
        <w:t xml:space="preserve"> </w:t>
      </w:r>
      <w:r w:rsidRPr="00730F89">
        <w:rPr>
          <w:lang w:eastAsia="bg-BG"/>
        </w:rPr>
        <w:t>филмирани таблетки</w:t>
      </w:r>
    </w:p>
    <w:p w14:paraId="7E282ACC" w14:textId="77777777" w:rsidR="00730F89" w:rsidRPr="00730F89" w:rsidRDefault="00730F89" w:rsidP="00730F89">
      <w:pPr>
        <w:rPr>
          <w:sz w:val="24"/>
          <w:szCs w:val="24"/>
        </w:rPr>
      </w:pPr>
      <w:proofErr w:type="spellStart"/>
      <w:r w:rsidRPr="00730F89">
        <w:rPr>
          <w:lang w:val="en-US"/>
        </w:rPr>
        <w:t>Rusocon</w:t>
      </w:r>
      <w:proofErr w:type="spellEnd"/>
      <w:r w:rsidRPr="00730F89">
        <w:t xml:space="preserve"> </w:t>
      </w:r>
      <w:r w:rsidRPr="00730F89">
        <w:rPr>
          <w:lang w:eastAsia="bg-BG"/>
        </w:rPr>
        <w:t xml:space="preserve">10 </w:t>
      </w:r>
      <w:r w:rsidRPr="00730F89">
        <w:rPr>
          <w:lang w:val="en-US"/>
        </w:rPr>
        <w:t>mg</w:t>
      </w:r>
      <w:r w:rsidRPr="00730F89">
        <w:t xml:space="preserve"> </w:t>
      </w:r>
      <w:r w:rsidRPr="00730F89">
        <w:rPr>
          <w:lang w:val="en-US"/>
        </w:rPr>
        <w:t>film</w:t>
      </w:r>
      <w:r w:rsidRPr="00730F89">
        <w:t>-</w:t>
      </w:r>
      <w:r w:rsidRPr="00730F89">
        <w:rPr>
          <w:lang w:val="en-US"/>
        </w:rPr>
        <w:t>coated</w:t>
      </w:r>
      <w:r w:rsidRPr="00730F89">
        <w:t xml:space="preserve"> </w:t>
      </w:r>
      <w:r w:rsidRPr="00730F89">
        <w:rPr>
          <w:lang w:val="en-US"/>
        </w:rPr>
        <w:t>tablets</w:t>
      </w:r>
    </w:p>
    <w:p w14:paraId="39E7F03F" w14:textId="77777777" w:rsidR="00730F89" w:rsidRDefault="00730F89" w:rsidP="00730F89">
      <w:pPr>
        <w:rPr>
          <w:lang w:eastAsia="bg-BG"/>
        </w:rPr>
      </w:pPr>
    </w:p>
    <w:p w14:paraId="65FED86E" w14:textId="367ECF6A" w:rsidR="00730F89" w:rsidRPr="00730F89" w:rsidRDefault="00730F89" w:rsidP="00730F89">
      <w:pPr>
        <w:rPr>
          <w:sz w:val="24"/>
          <w:szCs w:val="24"/>
        </w:rPr>
      </w:pPr>
      <w:r w:rsidRPr="00730F89">
        <w:rPr>
          <w:lang w:eastAsia="bg-BG"/>
        </w:rPr>
        <w:t xml:space="preserve">Русокон </w:t>
      </w:r>
      <w:r w:rsidRPr="00730F89">
        <w:t xml:space="preserve">20 </w:t>
      </w:r>
      <w:r w:rsidRPr="00730F89">
        <w:rPr>
          <w:lang w:val="en-US"/>
        </w:rPr>
        <w:t>mg</w:t>
      </w:r>
      <w:r w:rsidRPr="00730F89">
        <w:t xml:space="preserve"> </w:t>
      </w:r>
      <w:r w:rsidRPr="00730F89">
        <w:rPr>
          <w:lang w:eastAsia="bg-BG"/>
        </w:rPr>
        <w:t>филмирани таблетки</w:t>
      </w:r>
    </w:p>
    <w:p w14:paraId="1204BB08" w14:textId="7CC1EBC5" w:rsidR="00730F89" w:rsidRPr="00730F89" w:rsidRDefault="00730F89" w:rsidP="00730F89">
      <w:proofErr w:type="spellStart"/>
      <w:r w:rsidRPr="00730F89">
        <w:rPr>
          <w:lang w:val="en-US"/>
        </w:rPr>
        <w:t>Rusocon</w:t>
      </w:r>
      <w:proofErr w:type="spellEnd"/>
      <w:r w:rsidRPr="00730F89">
        <w:t xml:space="preserve"> </w:t>
      </w:r>
      <w:r w:rsidRPr="00730F89">
        <w:rPr>
          <w:lang w:eastAsia="bg-BG"/>
        </w:rPr>
        <w:t xml:space="preserve">20 </w:t>
      </w:r>
      <w:r w:rsidRPr="00730F89">
        <w:rPr>
          <w:lang w:val="en-US"/>
        </w:rPr>
        <w:t>mg</w:t>
      </w:r>
      <w:r w:rsidRPr="00730F89">
        <w:t xml:space="preserve"> </w:t>
      </w:r>
      <w:r w:rsidRPr="00730F89">
        <w:rPr>
          <w:lang w:val="en-US"/>
        </w:rPr>
        <w:t>film</w:t>
      </w:r>
      <w:r w:rsidRPr="00730F89">
        <w:t>-</w:t>
      </w:r>
      <w:r w:rsidRPr="00730F89">
        <w:rPr>
          <w:lang w:val="en-US"/>
        </w:rPr>
        <w:t>coated</w:t>
      </w:r>
      <w:r w:rsidRPr="00730F89">
        <w:t xml:space="preserve"> </w:t>
      </w:r>
      <w:r w:rsidRPr="00730F89">
        <w:rPr>
          <w:lang w:val="en-US"/>
        </w:rPr>
        <w:t>tablets</w:t>
      </w:r>
    </w:p>
    <w:p w14:paraId="6920A680" w14:textId="11F87975" w:rsidR="00C40420" w:rsidRDefault="00DD466D" w:rsidP="004A448E">
      <w:pPr>
        <w:pStyle w:val="Heading1"/>
      </w:pPr>
      <w:r>
        <w:t>2. КАЧЕСТВЕН И КОЛИЧЕСТВЕН СЪСТАВ</w:t>
      </w:r>
    </w:p>
    <w:p w14:paraId="04582572" w14:textId="44A132C6" w:rsidR="00730F89" w:rsidRDefault="00730F89" w:rsidP="00730F89"/>
    <w:p w14:paraId="39A6B05D" w14:textId="77777777" w:rsidR="00730F89" w:rsidRPr="00730F89" w:rsidRDefault="00730F89" w:rsidP="00730F89">
      <w:pPr>
        <w:rPr>
          <w:sz w:val="24"/>
          <w:szCs w:val="24"/>
        </w:rPr>
      </w:pPr>
      <w:r w:rsidRPr="00730F89">
        <w:rPr>
          <w:lang w:eastAsia="bg-BG"/>
        </w:rPr>
        <w:t xml:space="preserve">Всяка таблетка Русокон 10 </w:t>
      </w:r>
      <w:r w:rsidRPr="00730F89">
        <w:rPr>
          <w:lang w:val="en-US"/>
        </w:rPr>
        <w:t>mg</w:t>
      </w:r>
      <w:r w:rsidRPr="00730F89">
        <w:t xml:space="preserve"> </w:t>
      </w:r>
      <w:r w:rsidRPr="00730F89">
        <w:rPr>
          <w:lang w:eastAsia="bg-BG"/>
        </w:rPr>
        <w:t xml:space="preserve">филмирани таблетки съдържа 10 </w:t>
      </w:r>
      <w:r w:rsidRPr="00730F89">
        <w:rPr>
          <w:lang w:val="en-US"/>
        </w:rPr>
        <w:t>mg</w:t>
      </w:r>
      <w:r w:rsidRPr="00730F89">
        <w:t xml:space="preserve"> </w:t>
      </w:r>
      <w:r w:rsidRPr="00730F89">
        <w:rPr>
          <w:lang w:eastAsia="bg-BG"/>
        </w:rPr>
        <w:t xml:space="preserve">розувастатин </w:t>
      </w:r>
      <w:r w:rsidRPr="00730F89">
        <w:t>(</w:t>
      </w:r>
      <w:proofErr w:type="spellStart"/>
      <w:r w:rsidRPr="00730F89">
        <w:rPr>
          <w:lang w:val="en-US"/>
        </w:rPr>
        <w:t>rosuvastatin</w:t>
      </w:r>
      <w:proofErr w:type="spellEnd"/>
      <w:r w:rsidRPr="00730F89">
        <w:t xml:space="preserve">) </w:t>
      </w:r>
      <w:r w:rsidRPr="00730F89">
        <w:rPr>
          <w:lang w:eastAsia="bg-BG"/>
        </w:rPr>
        <w:t xml:space="preserve">като розувастатин калций </w:t>
      </w:r>
      <w:r w:rsidRPr="00730F89">
        <w:t>(</w:t>
      </w:r>
      <w:proofErr w:type="spellStart"/>
      <w:r w:rsidRPr="00730F89">
        <w:rPr>
          <w:lang w:val="en-US"/>
        </w:rPr>
        <w:t>rosuvastatin</w:t>
      </w:r>
      <w:proofErr w:type="spellEnd"/>
      <w:r w:rsidRPr="00730F89">
        <w:t xml:space="preserve"> </w:t>
      </w:r>
      <w:r w:rsidRPr="00730F89">
        <w:rPr>
          <w:lang w:val="en-US"/>
        </w:rPr>
        <w:t>calcium</w:t>
      </w:r>
      <w:r w:rsidRPr="00730F89">
        <w:t>).</w:t>
      </w:r>
    </w:p>
    <w:p w14:paraId="4AC8AE89" w14:textId="77777777" w:rsidR="00730F89" w:rsidRPr="00730F89" w:rsidRDefault="00730F89" w:rsidP="00730F89">
      <w:pPr>
        <w:rPr>
          <w:sz w:val="24"/>
          <w:szCs w:val="24"/>
        </w:rPr>
      </w:pPr>
      <w:r w:rsidRPr="00730F89">
        <w:rPr>
          <w:lang w:eastAsia="bg-BG"/>
        </w:rPr>
        <w:t xml:space="preserve">Всяка таблетка Русокон 20 </w:t>
      </w:r>
      <w:r w:rsidRPr="00730F89">
        <w:rPr>
          <w:lang w:val="en-US"/>
        </w:rPr>
        <w:t>mg</w:t>
      </w:r>
      <w:r w:rsidRPr="00730F89">
        <w:t xml:space="preserve"> </w:t>
      </w:r>
      <w:r w:rsidRPr="00730F89">
        <w:rPr>
          <w:lang w:eastAsia="bg-BG"/>
        </w:rPr>
        <w:t xml:space="preserve">филмирани таблетки съдържа 20 </w:t>
      </w:r>
      <w:r w:rsidRPr="00730F89">
        <w:rPr>
          <w:lang w:val="en-US"/>
        </w:rPr>
        <w:t>mg</w:t>
      </w:r>
      <w:r w:rsidRPr="00730F89">
        <w:t xml:space="preserve"> </w:t>
      </w:r>
      <w:r w:rsidRPr="00730F89">
        <w:rPr>
          <w:lang w:eastAsia="bg-BG"/>
        </w:rPr>
        <w:t xml:space="preserve">розувастатин </w:t>
      </w:r>
      <w:r w:rsidRPr="00730F89">
        <w:t>(</w:t>
      </w:r>
      <w:proofErr w:type="spellStart"/>
      <w:r w:rsidRPr="00730F89">
        <w:rPr>
          <w:lang w:val="en-US"/>
        </w:rPr>
        <w:t>rosuvastatin</w:t>
      </w:r>
      <w:proofErr w:type="spellEnd"/>
      <w:r w:rsidRPr="00730F89">
        <w:t xml:space="preserve">) </w:t>
      </w:r>
      <w:r w:rsidRPr="00730F89">
        <w:rPr>
          <w:lang w:eastAsia="bg-BG"/>
        </w:rPr>
        <w:t xml:space="preserve">като розувастатин калций </w:t>
      </w:r>
      <w:r w:rsidRPr="00730F89">
        <w:t>(</w:t>
      </w:r>
      <w:proofErr w:type="spellStart"/>
      <w:r w:rsidRPr="00730F89">
        <w:rPr>
          <w:lang w:val="en-US"/>
        </w:rPr>
        <w:t>rosuvastatin</w:t>
      </w:r>
      <w:proofErr w:type="spellEnd"/>
      <w:r w:rsidRPr="00730F89">
        <w:t xml:space="preserve"> </w:t>
      </w:r>
      <w:r w:rsidRPr="00730F89">
        <w:rPr>
          <w:lang w:val="en-US"/>
        </w:rPr>
        <w:t>calcium</w:t>
      </w:r>
      <w:r w:rsidRPr="00730F89">
        <w:t>).</w:t>
      </w:r>
    </w:p>
    <w:p w14:paraId="71229FF9" w14:textId="77777777" w:rsidR="00730F89" w:rsidRDefault="00730F89" w:rsidP="00730F89">
      <w:pPr>
        <w:rPr>
          <w:u w:val="single"/>
          <w:lang w:eastAsia="bg-BG"/>
        </w:rPr>
      </w:pPr>
    </w:p>
    <w:p w14:paraId="0FDC93F1" w14:textId="1FE6B7B7" w:rsidR="00730F89" w:rsidRPr="00730F89" w:rsidRDefault="00730F89" w:rsidP="00730F89">
      <w:pPr>
        <w:rPr>
          <w:sz w:val="24"/>
          <w:szCs w:val="24"/>
        </w:rPr>
      </w:pPr>
      <w:r w:rsidRPr="00730F89">
        <w:rPr>
          <w:u w:val="single"/>
          <w:lang w:eastAsia="bg-BG"/>
        </w:rPr>
        <w:t>Помощно вещество с известно действие</w:t>
      </w:r>
      <w:r w:rsidRPr="00730F89">
        <w:rPr>
          <w:lang w:eastAsia="bg-BG"/>
        </w:rPr>
        <w:t>:</w:t>
      </w:r>
    </w:p>
    <w:p w14:paraId="1C2433AF" w14:textId="77777777" w:rsidR="00730F89" w:rsidRPr="00730F89" w:rsidRDefault="00730F89" w:rsidP="00730F89">
      <w:pPr>
        <w:rPr>
          <w:sz w:val="24"/>
          <w:szCs w:val="24"/>
        </w:rPr>
      </w:pPr>
      <w:r w:rsidRPr="00730F89">
        <w:rPr>
          <w:lang w:eastAsia="bg-BG"/>
        </w:rPr>
        <w:t xml:space="preserve">Всяка таблетка от 10 </w:t>
      </w:r>
      <w:r w:rsidRPr="00730F89">
        <w:rPr>
          <w:lang w:val="en-US"/>
        </w:rPr>
        <w:t>mg</w:t>
      </w:r>
      <w:r w:rsidRPr="00730F89">
        <w:rPr>
          <w:lang w:val="ru-RU"/>
        </w:rPr>
        <w:t xml:space="preserve"> </w:t>
      </w:r>
      <w:r w:rsidRPr="00730F89">
        <w:rPr>
          <w:lang w:eastAsia="bg-BG"/>
        </w:rPr>
        <w:t xml:space="preserve">съдържа 101.3 </w:t>
      </w:r>
      <w:r w:rsidRPr="00730F89">
        <w:rPr>
          <w:lang w:val="en-US"/>
        </w:rPr>
        <w:t>mg</w:t>
      </w:r>
      <w:r w:rsidRPr="00730F89">
        <w:rPr>
          <w:lang w:val="ru-RU"/>
        </w:rPr>
        <w:t xml:space="preserve"> </w:t>
      </w:r>
      <w:r w:rsidRPr="00730F89">
        <w:rPr>
          <w:lang w:eastAsia="bg-BG"/>
        </w:rPr>
        <w:t>лактоза монохидрат.</w:t>
      </w:r>
    </w:p>
    <w:p w14:paraId="33DF7DB7" w14:textId="77777777" w:rsidR="00730F89" w:rsidRPr="00730F89" w:rsidRDefault="00730F89" w:rsidP="00730F89">
      <w:pPr>
        <w:rPr>
          <w:sz w:val="24"/>
          <w:szCs w:val="24"/>
        </w:rPr>
      </w:pPr>
      <w:r w:rsidRPr="00730F89">
        <w:rPr>
          <w:lang w:eastAsia="bg-BG"/>
        </w:rPr>
        <w:t xml:space="preserve">Всяка таблетка от 20 </w:t>
      </w:r>
      <w:r w:rsidRPr="00730F89">
        <w:rPr>
          <w:lang w:val="en-US"/>
        </w:rPr>
        <w:t>mg</w:t>
      </w:r>
      <w:r w:rsidRPr="00730F89">
        <w:rPr>
          <w:lang w:val="ru-RU"/>
        </w:rPr>
        <w:t xml:space="preserve"> </w:t>
      </w:r>
      <w:r w:rsidRPr="00730F89">
        <w:rPr>
          <w:lang w:eastAsia="bg-BG"/>
        </w:rPr>
        <w:t xml:space="preserve">съдържа 202.61 </w:t>
      </w:r>
      <w:r w:rsidRPr="00730F89">
        <w:rPr>
          <w:lang w:val="en-US"/>
        </w:rPr>
        <w:t>mg</w:t>
      </w:r>
      <w:r w:rsidRPr="00730F89">
        <w:rPr>
          <w:lang w:val="ru-RU"/>
        </w:rPr>
        <w:t xml:space="preserve"> </w:t>
      </w:r>
      <w:r w:rsidRPr="00730F89">
        <w:rPr>
          <w:lang w:eastAsia="bg-BG"/>
        </w:rPr>
        <w:t>лактоза монохидрат.</w:t>
      </w:r>
    </w:p>
    <w:p w14:paraId="77259DC8" w14:textId="77777777" w:rsidR="00730F89" w:rsidRPr="00730F89" w:rsidRDefault="00730F89" w:rsidP="00730F89"/>
    <w:p w14:paraId="614984C4" w14:textId="58601202" w:rsidR="008A6AF2" w:rsidRDefault="00DD466D" w:rsidP="002C50EE">
      <w:pPr>
        <w:pStyle w:val="Heading1"/>
      </w:pPr>
      <w:r>
        <w:t>3. ЛЕКАРСТВЕНА ФОРМА</w:t>
      </w:r>
    </w:p>
    <w:p w14:paraId="789FCEFC" w14:textId="25D487D8" w:rsidR="00730F89" w:rsidRDefault="00730F89" w:rsidP="00730F89"/>
    <w:p w14:paraId="760D9A9E" w14:textId="77777777" w:rsidR="00730F89" w:rsidRPr="00730F89" w:rsidRDefault="00730F89" w:rsidP="00730F89">
      <w:pPr>
        <w:rPr>
          <w:sz w:val="24"/>
          <w:szCs w:val="24"/>
        </w:rPr>
      </w:pPr>
      <w:r w:rsidRPr="00730F89">
        <w:rPr>
          <w:lang w:eastAsia="bg-BG"/>
        </w:rPr>
        <w:t>Филмирана таблетка.</w:t>
      </w:r>
    </w:p>
    <w:p w14:paraId="78A92106" w14:textId="77777777" w:rsidR="00730F89" w:rsidRDefault="00730F89" w:rsidP="00730F89">
      <w:pPr>
        <w:rPr>
          <w:lang w:eastAsia="bg-BG"/>
        </w:rPr>
      </w:pPr>
    </w:p>
    <w:p w14:paraId="02F1A5AD" w14:textId="028D0FF0" w:rsidR="00730F89" w:rsidRPr="00730F89" w:rsidRDefault="00730F89" w:rsidP="00730F89">
      <w:pPr>
        <w:rPr>
          <w:sz w:val="24"/>
          <w:szCs w:val="24"/>
        </w:rPr>
      </w:pPr>
      <w:r w:rsidRPr="00730F89">
        <w:rPr>
          <w:lang w:eastAsia="bg-BG"/>
        </w:rPr>
        <w:t xml:space="preserve">Русокон 10 </w:t>
      </w:r>
      <w:r w:rsidRPr="00730F89">
        <w:rPr>
          <w:lang w:val="en-US"/>
        </w:rPr>
        <w:t>mg</w:t>
      </w:r>
      <w:r w:rsidRPr="00730F89">
        <w:rPr>
          <w:lang w:val="ru-RU"/>
        </w:rPr>
        <w:t xml:space="preserve"> </w:t>
      </w:r>
      <w:r w:rsidRPr="00730F89">
        <w:rPr>
          <w:lang w:eastAsia="bg-BG"/>
        </w:rPr>
        <w:t>филмирани таблетки са светлорозови, кръгли, двойноизпъкнали, филмирани таблетки, с релефна делителна черта от двете страни, разделяща „11” и „36” от едната страна и „10” от другата страна.</w:t>
      </w:r>
    </w:p>
    <w:p w14:paraId="0B6D7E25" w14:textId="77777777" w:rsidR="00730F89" w:rsidRPr="00730F89" w:rsidRDefault="00730F89" w:rsidP="00730F89">
      <w:pPr>
        <w:rPr>
          <w:sz w:val="24"/>
          <w:szCs w:val="24"/>
        </w:rPr>
      </w:pPr>
      <w:r w:rsidRPr="00730F89">
        <w:rPr>
          <w:lang w:eastAsia="bg-BG"/>
        </w:rPr>
        <w:t xml:space="preserve">Русокон 20 </w:t>
      </w:r>
      <w:r w:rsidRPr="00730F89">
        <w:rPr>
          <w:lang w:val="en-US"/>
        </w:rPr>
        <w:t>mg</w:t>
      </w:r>
      <w:r w:rsidRPr="00730F89">
        <w:rPr>
          <w:lang w:val="ru-RU"/>
        </w:rPr>
        <w:t xml:space="preserve"> </w:t>
      </w:r>
      <w:r w:rsidRPr="00730F89">
        <w:rPr>
          <w:lang w:eastAsia="bg-BG"/>
        </w:rPr>
        <w:t>филмирани таблетки са светлорозови, кръгли, двойноизпъкнали, филмирани таблетки, с релефна делителна черта от двете страни, разделяща „11” и „37” от едната страна и „20” от другата страна.</w:t>
      </w:r>
    </w:p>
    <w:p w14:paraId="656C2B54" w14:textId="77777777" w:rsidR="00730F89" w:rsidRPr="00730F89" w:rsidRDefault="00730F89" w:rsidP="00730F89"/>
    <w:p w14:paraId="490FC2C4" w14:textId="32682B15" w:rsidR="002C50EE" w:rsidRDefault="002C50EE" w:rsidP="002C50EE">
      <w:pPr>
        <w:pStyle w:val="Heading1"/>
      </w:pPr>
      <w:r>
        <w:t>4. КЛИНИЧНИ ДАННИ</w:t>
      </w:r>
    </w:p>
    <w:p w14:paraId="0C8E6903" w14:textId="0B64D2A2" w:rsidR="008134C8" w:rsidRDefault="002C50EE" w:rsidP="004A448E">
      <w:pPr>
        <w:pStyle w:val="Heading2"/>
      </w:pPr>
      <w:r>
        <w:t>4.1. Терапевтични показания</w:t>
      </w:r>
    </w:p>
    <w:p w14:paraId="35F14048" w14:textId="033BE32D" w:rsidR="00730F89" w:rsidRDefault="00730F89" w:rsidP="00730F89"/>
    <w:p w14:paraId="0D3E0D3F" w14:textId="77777777" w:rsidR="00730F89" w:rsidRPr="00730F89" w:rsidRDefault="00730F89" w:rsidP="00730F89">
      <w:pPr>
        <w:spacing w:line="240" w:lineRule="auto"/>
        <w:rPr>
          <w:rFonts w:eastAsia="Times New Roman" w:cs="Arial"/>
        </w:rPr>
      </w:pPr>
      <w:bookmarkStart w:id="1" w:name="bookmark0"/>
      <w:r w:rsidRPr="00730F89">
        <w:rPr>
          <w:rFonts w:eastAsia="Times New Roman" w:cs="Arial"/>
          <w:b/>
          <w:bCs/>
          <w:color w:val="000000"/>
          <w:lang w:eastAsia="bg-BG"/>
        </w:rPr>
        <w:t>Лечение на хиперхолестеролемия</w:t>
      </w:r>
      <w:bookmarkEnd w:id="1"/>
    </w:p>
    <w:p w14:paraId="208EE336" w14:textId="77777777" w:rsidR="00730F89" w:rsidRPr="00730F89" w:rsidRDefault="00730F89" w:rsidP="00730F89">
      <w:pPr>
        <w:spacing w:line="240" w:lineRule="auto"/>
        <w:rPr>
          <w:rFonts w:eastAsia="Times New Roman" w:cs="Arial"/>
        </w:rPr>
      </w:pPr>
      <w:r w:rsidRPr="00730F89">
        <w:rPr>
          <w:rFonts w:eastAsia="Times New Roman" w:cs="Arial"/>
          <w:color w:val="000000"/>
          <w:lang w:eastAsia="bg-BG"/>
        </w:rPr>
        <w:t>Възрастни, юноши и деца на или над 6-годишна възраст с първична хиперхолестеролемия (тип Па, включително хетерозиготна фамилна хиперхолестеролемия) или смесена дислипидемия (тип ПЬ), като добавка към диетата, когато резултатът от диетата и други нефармакологични мерки (напр. физически упражнения, намаляване на теглото) е незадоволителен.</w:t>
      </w:r>
    </w:p>
    <w:p w14:paraId="29400BF5" w14:textId="77777777" w:rsidR="00730F89" w:rsidRDefault="00730F89" w:rsidP="00730F89">
      <w:pPr>
        <w:spacing w:line="240" w:lineRule="auto"/>
        <w:rPr>
          <w:rFonts w:eastAsia="Times New Roman" w:cs="Arial"/>
          <w:color w:val="000000"/>
          <w:lang w:eastAsia="bg-BG"/>
        </w:rPr>
      </w:pPr>
    </w:p>
    <w:p w14:paraId="24AF405F" w14:textId="6F44460B" w:rsidR="00730F89" w:rsidRPr="00730F89" w:rsidRDefault="00730F89" w:rsidP="00730F89">
      <w:pPr>
        <w:spacing w:line="240" w:lineRule="auto"/>
        <w:rPr>
          <w:rFonts w:eastAsia="Times New Roman" w:cs="Arial"/>
        </w:rPr>
      </w:pPr>
      <w:r w:rsidRPr="00730F89">
        <w:rPr>
          <w:rFonts w:eastAsia="Times New Roman" w:cs="Arial"/>
          <w:color w:val="000000"/>
          <w:lang w:eastAsia="bg-BG"/>
        </w:rPr>
        <w:lastRenderedPageBreak/>
        <w:t xml:space="preserve">Възрастни, юноши и деца на или над 6-годишна възраст с хомозиготна фамилна хиперхолестеролемия, като добавка към диетата, както и с друго липидононижаващо лечение (напр. </w:t>
      </w:r>
      <w:r w:rsidRPr="00730F89">
        <w:rPr>
          <w:rFonts w:eastAsia="Times New Roman" w:cs="Arial"/>
          <w:color w:val="000000"/>
          <w:lang w:val="en-US"/>
        </w:rPr>
        <w:t>LDL</w:t>
      </w:r>
      <w:r w:rsidRPr="00730F89">
        <w:rPr>
          <w:rFonts w:eastAsia="Times New Roman" w:cs="Arial"/>
          <w:color w:val="000000"/>
          <w:lang w:val="ru-RU"/>
        </w:rPr>
        <w:t xml:space="preserve"> </w:t>
      </w:r>
      <w:r w:rsidRPr="00730F89">
        <w:rPr>
          <w:rFonts w:eastAsia="Times New Roman" w:cs="Arial"/>
          <w:color w:val="000000"/>
          <w:lang w:eastAsia="bg-BG"/>
        </w:rPr>
        <w:t>афереза) или когато това лечение не е подходящо.</w:t>
      </w:r>
    </w:p>
    <w:p w14:paraId="22D375FC" w14:textId="77777777" w:rsidR="00730F89" w:rsidRPr="00730F89" w:rsidRDefault="00730F89" w:rsidP="00730F89">
      <w:pPr>
        <w:spacing w:line="240" w:lineRule="auto"/>
        <w:rPr>
          <w:rFonts w:eastAsia="Times New Roman" w:cs="Arial"/>
          <w:b/>
          <w:bCs/>
          <w:color w:val="000000"/>
          <w:lang w:eastAsia="bg-BG"/>
        </w:rPr>
      </w:pPr>
      <w:bookmarkStart w:id="2" w:name="bookmark2"/>
    </w:p>
    <w:p w14:paraId="7245475D" w14:textId="248F26E2" w:rsidR="00730F89" w:rsidRPr="00730F89" w:rsidRDefault="00730F89" w:rsidP="00730F89">
      <w:pPr>
        <w:spacing w:line="240" w:lineRule="auto"/>
        <w:rPr>
          <w:rFonts w:eastAsia="Times New Roman" w:cs="Arial"/>
        </w:rPr>
      </w:pPr>
      <w:r w:rsidRPr="00730F89">
        <w:rPr>
          <w:rFonts w:eastAsia="Times New Roman" w:cs="Arial"/>
          <w:b/>
          <w:bCs/>
          <w:color w:val="000000"/>
          <w:lang w:eastAsia="bg-BG"/>
        </w:rPr>
        <w:t>Превенция на сърдечно-съдовн събития</w:t>
      </w:r>
      <w:bookmarkEnd w:id="2"/>
    </w:p>
    <w:p w14:paraId="2B86E0BC" w14:textId="19178881" w:rsidR="00730F89" w:rsidRDefault="00730F89" w:rsidP="00730F89">
      <w:pPr>
        <w:rPr>
          <w:rFonts w:eastAsia="Times New Roman" w:cs="Arial"/>
          <w:color w:val="000000"/>
          <w:lang w:eastAsia="bg-BG"/>
        </w:rPr>
      </w:pPr>
      <w:r w:rsidRPr="00730F89">
        <w:rPr>
          <w:rFonts w:eastAsia="Times New Roman" w:cs="Arial"/>
          <w:color w:val="000000"/>
          <w:lang w:eastAsia="bg-BG"/>
        </w:rPr>
        <w:t>Предотвратяване на големи сърдечно-съдови събития при пациенти, оценени с висок риск за първо сърдечно-съдово събитие (вж. точка 5.1), като допълнение към коригирането на други рискови фактори.</w:t>
      </w:r>
    </w:p>
    <w:p w14:paraId="3CC68821" w14:textId="5BC5738D" w:rsidR="00730F89" w:rsidRPr="00730F89" w:rsidRDefault="00730F89" w:rsidP="00730F89">
      <w:pPr>
        <w:rPr>
          <w:rFonts w:cs="Arial"/>
        </w:rPr>
      </w:pPr>
    </w:p>
    <w:p w14:paraId="30BE2C7B" w14:textId="40EEC535" w:rsidR="008134C8" w:rsidRDefault="002C50EE" w:rsidP="004A448E">
      <w:pPr>
        <w:pStyle w:val="Heading2"/>
      </w:pPr>
      <w:r>
        <w:t>4.2. Дозировка и начин на приложение</w:t>
      </w:r>
    </w:p>
    <w:p w14:paraId="23106C0E" w14:textId="480E1AD8" w:rsidR="0077293C" w:rsidRDefault="0077293C" w:rsidP="0077293C"/>
    <w:p w14:paraId="13B88343"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 за контрол на холестеролемията.</w:t>
      </w:r>
    </w:p>
    <w:p w14:paraId="289057E4" w14:textId="77777777" w:rsidR="0077293C" w:rsidRDefault="0077293C" w:rsidP="0077293C">
      <w:pPr>
        <w:spacing w:line="240" w:lineRule="auto"/>
        <w:rPr>
          <w:rFonts w:eastAsia="Times New Roman" w:cs="Arial"/>
          <w:color w:val="000000"/>
          <w:u w:val="single"/>
          <w:lang w:eastAsia="bg-BG"/>
        </w:rPr>
      </w:pPr>
    </w:p>
    <w:p w14:paraId="4488824C" w14:textId="77777777" w:rsidR="0077293C" w:rsidRPr="00730F89" w:rsidRDefault="0077293C" w:rsidP="0077293C">
      <w:pPr>
        <w:pStyle w:val="Heading3"/>
        <w:rPr>
          <w:rFonts w:eastAsia="Times New Roman"/>
          <w:u w:val="single"/>
        </w:rPr>
      </w:pPr>
      <w:r w:rsidRPr="00730F89">
        <w:rPr>
          <w:rFonts w:eastAsia="Times New Roman"/>
          <w:u w:val="single"/>
          <w:lang w:eastAsia="bg-BG"/>
        </w:rPr>
        <w:t>Дозировка</w:t>
      </w:r>
    </w:p>
    <w:p w14:paraId="43FB677D" w14:textId="77777777" w:rsidR="0077293C" w:rsidRDefault="0077293C" w:rsidP="0077293C">
      <w:pPr>
        <w:spacing w:line="240" w:lineRule="auto"/>
        <w:rPr>
          <w:rFonts w:eastAsia="Times New Roman" w:cs="Arial"/>
          <w:b/>
          <w:bCs/>
          <w:color w:val="000000"/>
          <w:lang w:eastAsia="bg-BG"/>
        </w:rPr>
      </w:pPr>
    </w:p>
    <w:p w14:paraId="1EBE03FF"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Лечение на хиперхолестеролемия</w:t>
      </w:r>
    </w:p>
    <w:p w14:paraId="7AAC2274"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Препоръчваната начална доза е 5 или 10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веднъж дневно, както при пациенти, които не са приемали статини, така и при преминаване от друг инхибитор на </w:t>
      </w:r>
      <w:r w:rsidRPr="00730F89">
        <w:rPr>
          <w:rFonts w:eastAsia="Times New Roman" w:cs="Arial"/>
          <w:color w:val="000000"/>
          <w:lang w:val="en-US"/>
        </w:rPr>
        <w:t>HMG</w:t>
      </w:r>
      <w:r w:rsidRPr="00730F89">
        <w:rPr>
          <w:rFonts w:eastAsia="Times New Roman" w:cs="Arial"/>
          <w:color w:val="000000"/>
          <w:lang w:val="ru-RU"/>
        </w:rPr>
        <w:t>-</w:t>
      </w:r>
      <w:r w:rsidRPr="00730F89">
        <w:rPr>
          <w:rFonts w:eastAsia="Times New Roman" w:cs="Arial"/>
          <w:color w:val="000000"/>
          <w:lang w:val="en-US"/>
        </w:rPr>
        <w:t>CoA</w:t>
      </w:r>
      <w:r w:rsidRPr="00730F89">
        <w:rPr>
          <w:rFonts w:eastAsia="Times New Roman" w:cs="Arial"/>
          <w:color w:val="000000"/>
          <w:lang w:val="ru-RU"/>
        </w:rPr>
        <w:t xml:space="preserve"> </w:t>
      </w:r>
      <w:r w:rsidRPr="00730F89">
        <w:rPr>
          <w:rFonts w:eastAsia="Times New Roman" w:cs="Arial"/>
          <w:color w:val="000000"/>
          <w:lang w:eastAsia="bg-BG"/>
        </w:rPr>
        <w:t xml:space="preserve">редуктазата. При избора на началната доза трябва да се имат предвид нивото на серумния холестерол на отделния пациент, бъдещия сърдечно-съдов риск и риска от поява на нежелани реакции към лечението (виж по-долу). При необходимост, дозата може да се коригира, като се премине на следващото дозово ниво след 4 седмици (вж. точка 5.1). В сравнение с по-ниските дози и предвид повишената честота на съобщаване на нежелани реакции при доза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в сравнение с по-ниските дози (вж, точка 4.8), последно титриране до максималната доза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трябва да се предприема само при пациенти с тежка хиперхолестеролемия с висок сърдечносъдов риск (особено тези с фамилна хиперхолестеролемия), които не достигат желаното ниво на холестерол при лечение с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и при които ще се прави рутинно проследяване в хода на лечението (вж. точка 4.4). При започване на лечение с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се препоръчва постоянно наблюдение от специалист.</w:t>
      </w:r>
    </w:p>
    <w:p w14:paraId="38B2ADA8" w14:textId="77777777" w:rsidR="0077293C" w:rsidRDefault="0077293C" w:rsidP="0077293C">
      <w:pPr>
        <w:spacing w:line="240" w:lineRule="auto"/>
        <w:rPr>
          <w:rFonts w:eastAsia="Times New Roman" w:cs="Arial"/>
          <w:b/>
          <w:bCs/>
          <w:color w:val="000000"/>
          <w:lang w:eastAsia="bg-BG"/>
        </w:rPr>
      </w:pPr>
    </w:p>
    <w:p w14:paraId="39BCE710"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Превенция на сърдечно-съдови събития</w:t>
      </w:r>
    </w:p>
    <w:p w14:paraId="1EF93345"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В проучването за понижаване на риска от сърдечно-съдови събития е използвана доза от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дневно (вж. точка 5.1).</w:t>
      </w:r>
    </w:p>
    <w:p w14:paraId="5930AB77" w14:textId="77777777" w:rsidR="0077293C" w:rsidRDefault="0077293C" w:rsidP="0077293C">
      <w:pPr>
        <w:spacing w:line="240" w:lineRule="auto"/>
        <w:rPr>
          <w:rFonts w:eastAsia="Times New Roman" w:cs="Arial"/>
          <w:b/>
          <w:bCs/>
          <w:color w:val="000000"/>
          <w:lang w:eastAsia="bg-BG"/>
        </w:rPr>
      </w:pPr>
      <w:bookmarkStart w:id="3" w:name="bookmark4"/>
    </w:p>
    <w:p w14:paraId="3B2EE66C"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Педиатрична популация</w:t>
      </w:r>
      <w:bookmarkEnd w:id="3"/>
    </w:p>
    <w:p w14:paraId="114A902F"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Употребата при деца трябва да се провежда само от специалисти.</w:t>
      </w:r>
    </w:p>
    <w:p w14:paraId="748A1178" w14:textId="77777777" w:rsidR="0077293C" w:rsidRDefault="0077293C" w:rsidP="0077293C">
      <w:pPr>
        <w:spacing w:line="240" w:lineRule="auto"/>
        <w:rPr>
          <w:rFonts w:eastAsia="Times New Roman" w:cs="Arial"/>
          <w:color w:val="000000"/>
          <w:u w:val="single"/>
          <w:lang w:eastAsia="bg-BG"/>
        </w:rPr>
      </w:pPr>
    </w:p>
    <w:p w14:paraId="6FCD23D9" w14:textId="77777777" w:rsidR="0077293C" w:rsidRPr="00730F89" w:rsidRDefault="0077293C" w:rsidP="0077293C">
      <w:pPr>
        <w:spacing w:line="240" w:lineRule="auto"/>
        <w:rPr>
          <w:rFonts w:eastAsia="Times New Roman" w:cs="Arial"/>
        </w:rPr>
      </w:pPr>
      <w:r w:rsidRPr="00730F89">
        <w:rPr>
          <w:rFonts w:eastAsia="Times New Roman" w:cs="Arial"/>
          <w:color w:val="000000"/>
          <w:u w:val="single"/>
          <w:lang w:eastAsia="bg-BG"/>
        </w:rPr>
        <w:t>Деца и младежи на възраст 6 до 17 години (стадий &lt; II-V по Танер)</w:t>
      </w:r>
    </w:p>
    <w:p w14:paraId="2BE53465"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деца и младежи с хетерозиготна фамилна хиперхолестеролемия обичайната начална доза е 5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дневно.</w:t>
      </w:r>
    </w:p>
    <w:p w14:paraId="1317C436" w14:textId="77777777" w:rsidR="0077293C" w:rsidRDefault="0077293C" w:rsidP="0077293C">
      <w:pPr>
        <w:pStyle w:val="ListParagraph"/>
        <w:numPr>
          <w:ilvl w:val="0"/>
          <w:numId w:val="35"/>
        </w:numPr>
        <w:spacing w:line="240" w:lineRule="auto"/>
        <w:rPr>
          <w:rFonts w:eastAsia="Times New Roman" w:cs="Arial"/>
          <w:color w:val="000000"/>
          <w:lang w:eastAsia="bg-BG"/>
        </w:rPr>
      </w:pPr>
      <w:r w:rsidRPr="00730F89">
        <w:rPr>
          <w:rFonts w:eastAsia="Times New Roman" w:cs="Arial"/>
          <w:color w:val="000000"/>
          <w:lang w:eastAsia="bg-BG"/>
        </w:rPr>
        <w:t xml:space="preserve">При деца на възраст 6 до 9 години с хетерозиготна фамилна хиперхолестеролемия обичайният дозов диапазон е 5-10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перорално веднъж дневно. Безопасността и ефикасността на дози по- високи от 10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не са проучвани при тази популация.</w:t>
      </w:r>
    </w:p>
    <w:p w14:paraId="11CF03F7" w14:textId="77777777" w:rsidR="0077293C" w:rsidRPr="00730F89" w:rsidRDefault="0077293C" w:rsidP="0077293C">
      <w:pPr>
        <w:pStyle w:val="ListParagraph"/>
        <w:numPr>
          <w:ilvl w:val="0"/>
          <w:numId w:val="35"/>
        </w:numPr>
        <w:spacing w:line="240" w:lineRule="auto"/>
        <w:rPr>
          <w:rFonts w:eastAsia="Times New Roman" w:cs="Arial"/>
          <w:color w:val="000000"/>
          <w:lang w:eastAsia="bg-BG"/>
        </w:rPr>
      </w:pPr>
      <w:r w:rsidRPr="00730F89">
        <w:rPr>
          <w:rFonts w:eastAsia="Times New Roman" w:cs="Arial"/>
          <w:color w:val="000000"/>
          <w:lang w:eastAsia="bg-BG"/>
        </w:rPr>
        <w:lastRenderedPageBreak/>
        <w:t xml:space="preserve">При деца на възраст 10 до 17 години с хетерозиготна фамилна хиперхолестеролемия обичайният дозов диапазон е 5-20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перорално веднъж дневно. Безопасността и ефикасността на дози по-високи от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не са проучвани при тази популация.</w:t>
      </w:r>
    </w:p>
    <w:p w14:paraId="4DD7E4FC" w14:textId="77777777" w:rsidR="0077293C" w:rsidRDefault="0077293C" w:rsidP="0077293C">
      <w:pPr>
        <w:spacing w:line="240" w:lineRule="auto"/>
        <w:rPr>
          <w:rFonts w:eastAsia="Times New Roman" w:cs="Arial"/>
          <w:color w:val="000000"/>
          <w:lang w:eastAsia="bg-BG"/>
        </w:rPr>
      </w:pPr>
    </w:p>
    <w:p w14:paraId="6E78719C"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Титрирането трябва да се провежда съгласно индивидуалния отговор и поносимост на педиатричните пациенти, както се препоръчва в препоръките за лечение на деца (вж. точка 4.4) Децата и младежите трябва да се подложат на стандартна хол естероло-понижаваща диета преди да се започне лечение с розувастатин; диетата трябва да се продължи по време на лечението с розувастатин.</w:t>
      </w:r>
    </w:p>
    <w:p w14:paraId="1DAB5440" w14:textId="77777777" w:rsidR="0077293C" w:rsidRDefault="0077293C" w:rsidP="0077293C">
      <w:pPr>
        <w:spacing w:line="240" w:lineRule="auto"/>
        <w:rPr>
          <w:rFonts w:eastAsia="Times New Roman" w:cs="Arial"/>
          <w:color w:val="000000"/>
          <w:lang w:eastAsia="bg-BG"/>
        </w:rPr>
      </w:pPr>
    </w:p>
    <w:p w14:paraId="50CBE85A"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Хомозиготна фамилна хиперхолестеролемия</w:t>
      </w:r>
    </w:p>
    <w:p w14:paraId="399D9B03"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деца на възраст между 6 и 17 години с хомозиготна фамилна хиперхолестеролемия, препоръчителната доза е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веднъж дневно. Има ограничен опит с дози различни от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при тази популация.</w:t>
      </w:r>
    </w:p>
    <w:p w14:paraId="6E50A584"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Таблетката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не е подходяща за употреба при педиатрични пациенти.</w:t>
      </w:r>
    </w:p>
    <w:p w14:paraId="26EABA95" w14:textId="77777777" w:rsidR="0077293C" w:rsidRDefault="0077293C" w:rsidP="0077293C">
      <w:pPr>
        <w:spacing w:line="240" w:lineRule="auto"/>
        <w:rPr>
          <w:rFonts w:eastAsia="Times New Roman" w:cs="Arial"/>
          <w:color w:val="000000"/>
          <w:u w:val="single"/>
          <w:lang w:eastAsia="bg-BG"/>
        </w:rPr>
      </w:pPr>
    </w:p>
    <w:p w14:paraId="1604A2E6" w14:textId="77777777" w:rsidR="0077293C" w:rsidRPr="00730F89" w:rsidRDefault="0077293C" w:rsidP="0077293C">
      <w:pPr>
        <w:spacing w:line="240" w:lineRule="auto"/>
        <w:rPr>
          <w:rFonts w:eastAsia="Times New Roman" w:cs="Arial"/>
        </w:rPr>
      </w:pPr>
      <w:r w:rsidRPr="00730F89">
        <w:rPr>
          <w:rFonts w:eastAsia="Times New Roman" w:cs="Arial"/>
          <w:color w:val="000000"/>
          <w:u w:val="single"/>
          <w:lang w:eastAsia="bg-BG"/>
        </w:rPr>
        <w:t>Деца по-малки от 6 години</w:t>
      </w:r>
    </w:p>
    <w:p w14:paraId="4AEA10F2"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Безопасността и ефикасността на употребата при деца по-малки от 6 години не са проучвани. Следователно Русокон не се препоръчва за употреба при деца по-малки от 6 години.</w:t>
      </w:r>
    </w:p>
    <w:p w14:paraId="1098E105" w14:textId="77777777" w:rsidR="0077293C" w:rsidRDefault="0077293C" w:rsidP="0077293C">
      <w:pPr>
        <w:spacing w:line="240" w:lineRule="auto"/>
        <w:rPr>
          <w:rFonts w:eastAsia="Times New Roman" w:cs="Arial"/>
          <w:b/>
          <w:bCs/>
          <w:color w:val="000000"/>
          <w:lang w:eastAsia="bg-BG"/>
        </w:rPr>
      </w:pPr>
      <w:bookmarkStart w:id="4" w:name="bookmark6"/>
    </w:p>
    <w:p w14:paraId="53FD2CC5"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Употреба при пациенти в старческа възраст</w:t>
      </w:r>
      <w:bookmarkEnd w:id="4"/>
    </w:p>
    <w:p w14:paraId="32AB64FF"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Препоръчваната първоначална доза при пациенти над 70-годишна възраст е 5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(вж. точка 4.4). Друго коригиране на дозировката в зависимост от възрастта не е необходимо.</w:t>
      </w:r>
    </w:p>
    <w:p w14:paraId="744E65E6" w14:textId="77777777" w:rsidR="0077293C" w:rsidRDefault="0077293C" w:rsidP="0077293C">
      <w:pPr>
        <w:rPr>
          <w:rFonts w:cs="Arial"/>
        </w:rPr>
      </w:pPr>
    </w:p>
    <w:p w14:paraId="7EA80B88"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Дозиране при пациенти с бъбречна недостатъчност</w:t>
      </w:r>
    </w:p>
    <w:p w14:paraId="0FCF5EAA"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пациенти с леко до умерено бъбречно увреждане се прилагат обичайните дози. При пациенти с умерено бъбречно увреждане препоръчваната първоначална доза е 5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(креатининов клирънс под 60 </w:t>
      </w:r>
      <w:r w:rsidRPr="00730F89">
        <w:rPr>
          <w:rFonts w:eastAsia="Times New Roman" w:cs="Arial"/>
          <w:color w:val="000000"/>
          <w:lang w:val="en-US"/>
        </w:rPr>
        <w:t>ml</w:t>
      </w:r>
      <w:r w:rsidRPr="00730F89">
        <w:rPr>
          <w:rFonts w:eastAsia="Times New Roman" w:cs="Arial"/>
          <w:color w:val="000000"/>
          <w:lang w:val="ru-RU"/>
        </w:rPr>
        <w:t>/</w:t>
      </w:r>
      <w:r w:rsidRPr="00730F89">
        <w:rPr>
          <w:rFonts w:eastAsia="Times New Roman" w:cs="Arial"/>
          <w:color w:val="000000"/>
          <w:lang w:val="en-US"/>
        </w:rPr>
        <w:t>min</w:t>
      </w:r>
      <w:r w:rsidRPr="00730F89">
        <w:rPr>
          <w:rFonts w:eastAsia="Times New Roman" w:cs="Arial"/>
          <w:color w:val="000000"/>
          <w:lang w:val="ru-RU"/>
        </w:rPr>
        <w:t xml:space="preserve">). </w:t>
      </w:r>
      <w:r w:rsidRPr="00730F89">
        <w:rPr>
          <w:rFonts w:eastAsia="Times New Roman" w:cs="Arial"/>
          <w:color w:val="000000"/>
          <w:lang w:eastAsia="bg-BG"/>
        </w:rPr>
        <w:t xml:space="preserve">Дозировката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е противопоказана при пациенти с умерено бъбречно увреждане. При пациенти с тежко бъбречно увреждане употребата на Русокон е противопоказана (вж. точка 4.3 и точка 5.2).</w:t>
      </w:r>
    </w:p>
    <w:p w14:paraId="216F55C9" w14:textId="77777777" w:rsidR="0077293C" w:rsidRDefault="0077293C" w:rsidP="0077293C">
      <w:pPr>
        <w:spacing w:line="240" w:lineRule="auto"/>
        <w:rPr>
          <w:rFonts w:eastAsia="Times New Roman" w:cs="Arial"/>
          <w:b/>
          <w:bCs/>
          <w:color w:val="000000"/>
          <w:lang w:eastAsia="bg-BG"/>
        </w:rPr>
      </w:pPr>
    </w:p>
    <w:p w14:paraId="473AB212"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Дозиране при пациенти с чернодробно увреждане</w:t>
      </w:r>
    </w:p>
    <w:p w14:paraId="31CE4344"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Не е наблюдавана повишена системна експозиция на розувастатин при пациенти с оценка &lt;7 по скалата на </w:t>
      </w:r>
      <w:r w:rsidRPr="00730F89">
        <w:rPr>
          <w:rFonts w:eastAsia="Times New Roman" w:cs="Arial"/>
          <w:color w:val="000000"/>
          <w:lang w:val="en-US"/>
        </w:rPr>
        <w:t>Child</w:t>
      </w:r>
      <w:r w:rsidRPr="00730F89">
        <w:rPr>
          <w:rFonts w:eastAsia="Times New Roman" w:cs="Arial"/>
          <w:color w:val="000000"/>
          <w:lang w:val="ru-RU"/>
        </w:rPr>
        <w:t>-</w:t>
      </w:r>
      <w:r w:rsidRPr="00730F89">
        <w:rPr>
          <w:rFonts w:eastAsia="Times New Roman" w:cs="Arial"/>
          <w:color w:val="000000"/>
          <w:lang w:val="en-US"/>
        </w:rPr>
        <w:t>Pugh</w:t>
      </w:r>
      <w:r w:rsidRPr="00730F89">
        <w:rPr>
          <w:rFonts w:eastAsia="Times New Roman" w:cs="Arial"/>
          <w:color w:val="000000"/>
          <w:lang w:val="ru-RU"/>
        </w:rPr>
        <w:t xml:space="preserve">. </w:t>
      </w:r>
      <w:r w:rsidRPr="00730F89">
        <w:rPr>
          <w:rFonts w:eastAsia="Times New Roman" w:cs="Arial"/>
          <w:color w:val="000000"/>
          <w:lang w:eastAsia="bg-BG"/>
        </w:rPr>
        <w:t xml:space="preserve">Въпреки това, повишена системна експозиция е наблюдавана при пациенти с оценка 8 и 9 по скалата на </w:t>
      </w:r>
      <w:r w:rsidRPr="00730F89">
        <w:rPr>
          <w:rFonts w:eastAsia="Times New Roman" w:cs="Arial"/>
          <w:color w:val="000000"/>
          <w:lang w:val="en-US"/>
        </w:rPr>
        <w:t>Child</w:t>
      </w:r>
      <w:r w:rsidRPr="00730F89">
        <w:rPr>
          <w:rFonts w:eastAsia="Times New Roman" w:cs="Arial"/>
          <w:color w:val="000000"/>
          <w:lang w:val="ru-RU"/>
        </w:rPr>
        <w:t>-</w:t>
      </w:r>
      <w:r w:rsidRPr="00730F89">
        <w:rPr>
          <w:rFonts w:eastAsia="Times New Roman" w:cs="Arial"/>
          <w:color w:val="000000"/>
          <w:lang w:val="en-US"/>
        </w:rPr>
        <w:t>Pugh</w:t>
      </w:r>
      <w:r w:rsidRPr="00730F89">
        <w:rPr>
          <w:rFonts w:eastAsia="Times New Roman" w:cs="Arial"/>
          <w:color w:val="000000"/>
          <w:lang w:val="ru-RU"/>
        </w:rPr>
        <w:t xml:space="preserve"> </w:t>
      </w:r>
      <w:r w:rsidRPr="00730F89">
        <w:rPr>
          <w:rFonts w:eastAsia="Times New Roman" w:cs="Arial"/>
          <w:color w:val="000000"/>
          <w:lang w:eastAsia="bg-BG"/>
        </w:rPr>
        <w:t xml:space="preserve">(вж. точка 5.2). При тези пациенти е необходимо да се има предвид оценка на бъбречната функция (вж. точка 4.4). Няма опит при пациенти с оценка над 9 по скалата на </w:t>
      </w:r>
      <w:r w:rsidRPr="00730F89">
        <w:rPr>
          <w:rFonts w:eastAsia="Times New Roman" w:cs="Arial"/>
          <w:color w:val="000000"/>
          <w:lang w:val="en-US"/>
        </w:rPr>
        <w:t>Child</w:t>
      </w:r>
      <w:r w:rsidRPr="00730F89">
        <w:rPr>
          <w:rFonts w:eastAsia="Times New Roman" w:cs="Arial"/>
          <w:color w:val="000000"/>
          <w:lang w:val="ru-RU"/>
        </w:rPr>
        <w:t>-</w:t>
      </w:r>
      <w:proofErr w:type="spellStart"/>
      <w:r w:rsidRPr="00730F89">
        <w:rPr>
          <w:rFonts w:eastAsia="Times New Roman" w:cs="Arial"/>
          <w:color w:val="000000"/>
          <w:lang w:val="en-US"/>
        </w:rPr>
        <w:t>Plugh</w:t>
      </w:r>
      <w:proofErr w:type="spellEnd"/>
      <w:r w:rsidRPr="00730F89">
        <w:rPr>
          <w:rFonts w:eastAsia="Times New Roman" w:cs="Arial"/>
          <w:color w:val="000000"/>
          <w:lang w:val="ru-RU"/>
        </w:rPr>
        <w:t xml:space="preserve">. </w:t>
      </w:r>
      <w:r w:rsidRPr="00730F89">
        <w:rPr>
          <w:rFonts w:eastAsia="Times New Roman" w:cs="Arial"/>
          <w:color w:val="000000"/>
          <w:lang w:eastAsia="bg-BG"/>
        </w:rPr>
        <w:t>Русокон е противопоказан при пациенти с активно чернодробно увреждане (вж. точка 4.3).</w:t>
      </w:r>
    </w:p>
    <w:p w14:paraId="50F762AA" w14:textId="77777777" w:rsidR="0077293C" w:rsidRDefault="0077293C" w:rsidP="0077293C">
      <w:pPr>
        <w:spacing w:line="240" w:lineRule="auto"/>
        <w:rPr>
          <w:rFonts w:eastAsia="Times New Roman" w:cs="Arial"/>
          <w:b/>
          <w:bCs/>
          <w:color w:val="000000"/>
          <w:lang w:eastAsia="bg-BG"/>
        </w:rPr>
      </w:pPr>
    </w:p>
    <w:p w14:paraId="3D91013B"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Раса</w:t>
      </w:r>
    </w:p>
    <w:p w14:paraId="7EE8F65E"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пациенти от азиатската раса се наблюдава повишена системна експозиция (вж. точка 4.3, точка 4.4 и точка 5.2). Препоръчваната първоначална доза при пациенти от азиатски произход е 5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 xml:space="preserve">При тези пациенти е противопоказано приложение на доза от 40 </w:t>
      </w:r>
      <w:r w:rsidRPr="00730F89">
        <w:rPr>
          <w:rFonts w:eastAsia="Times New Roman" w:cs="Arial"/>
          <w:color w:val="000000"/>
          <w:lang w:val="en-US"/>
        </w:rPr>
        <w:t>mg</w:t>
      </w:r>
      <w:r w:rsidRPr="00730F89">
        <w:rPr>
          <w:rFonts w:eastAsia="Times New Roman" w:cs="Arial"/>
          <w:color w:val="000000"/>
          <w:lang w:val="ru-RU"/>
        </w:rPr>
        <w:t>.</w:t>
      </w:r>
    </w:p>
    <w:p w14:paraId="4A406E5B" w14:textId="77777777" w:rsidR="0077293C" w:rsidRDefault="0077293C" w:rsidP="0077293C">
      <w:pPr>
        <w:spacing w:line="240" w:lineRule="auto"/>
        <w:rPr>
          <w:rFonts w:eastAsia="Times New Roman" w:cs="Arial"/>
          <w:b/>
          <w:bCs/>
          <w:color w:val="000000"/>
          <w:lang w:eastAsia="bg-BG"/>
        </w:rPr>
      </w:pPr>
    </w:p>
    <w:p w14:paraId="24D67CCA"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Генетичен полиморфизъм</w:t>
      </w:r>
    </w:p>
    <w:p w14:paraId="537E2228"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Показано е, че генотиповете </w:t>
      </w:r>
      <w:r w:rsidRPr="00730F89">
        <w:rPr>
          <w:rFonts w:eastAsia="Times New Roman" w:cs="Arial"/>
          <w:color w:val="000000"/>
          <w:lang w:val="en-US"/>
        </w:rPr>
        <w:t>SLCO</w:t>
      </w:r>
      <w:r w:rsidRPr="00730F89">
        <w:rPr>
          <w:rFonts w:eastAsia="Times New Roman" w:cs="Arial"/>
          <w:color w:val="000000"/>
          <w:lang w:val="ru-RU"/>
        </w:rPr>
        <w:t>1</w:t>
      </w:r>
      <w:r w:rsidRPr="00730F89">
        <w:rPr>
          <w:rFonts w:eastAsia="Times New Roman" w:cs="Arial"/>
          <w:color w:val="000000"/>
          <w:lang w:val="en-US"/>
        </w:rPr>
        <w:t>B</w:t>
      </w:r>
      <w:r w:rsidRPr="00730F89">
        <w:rPr>
          <w:rFonts w:eastAsia="Times New Roman" w:cs="Arial"/>
          <w:color w:val="000000"/>
          <w:lang w:val="ru-RU"/>
        </w:rPr>
        <w:t xml:space="preserve">1 </w:t>
      </w:r>
      <w:r w:rsidRPr="00730F89">
        <w:rPr>
          <w:rFonts w:eastAsia="Times New Roman" w:cs="Arial"/>
          <w:color w:val="000000"/>
          <w:lang w:eastAsia="bg-BG"/>
        </w:rPr>
        <w:t xml:space="preserve">(ОАТР1В1) </w:t>
      </w:r>
      <w:r w:rsidRPr="00730F89">
        <w:rPr>
          <w:rFonts w:eastAsia="Times New Roman" w:cs="Arial"/>
          <w:color w:val="000000"/>
          <w:lang w:val="en-US"/>
        </w:rPr>
        <w:t>c</w:t>
      </w:r>
      <w:r w:rsidRPr="00730F89">
        <w:rPr>
          <w:rFonts w:eastAsia="Times New Roman" w:cs="Arial"/>
          <w:color w:val="000000"/>
          <w:lang w:eastAsia="bg-BG"/>
        </w:rPr>
        <w:t xml:space="preserve">.521СС и </w:t>
      </w:r>
      <w:r w:rsidRPr="00730F89">
        <w:rPr>
          <w:rFonts w:eastAsia="Times New Roman" w:cs="Arial"/>
          <w:color w:val="000000"/>
          <w:lang w:val="en-US"/>
        </w:rPr>
        <w:t>ABCG</w:t>
      </w:r>
      <w:r w:rsidRPr="00730F89">
        <w:rPr>
          <w:rFonts w:eastAsia="Times New Roman" w:cs="Arial"/>
          <w:color w:val="000000"/>
          <w:lang w:val="ru-RU"/>
        </w:rPr>
        <w:t>2 (</w:t>
      </w:r>
      <w:r w:rsidRPr="00730F89">
        <w:rPr>
          <w:rFonts w:eastAsia="Times New Roman" w:cs="Arial"/>
          <w:color w:val="000000"/>
          <w:lang w:val="en-US"/>
        </w:rPr>
        <w:t>BCRP</w:t>
      </w:r>
      <w:r w:rsidRPr="00730F89">
        <w:rPr>
          <w:rFonts w:eastAsia="Times New Roman" w:cs="Arial"/>
          <w:color w:val="000000"/>
          <w:lang w:val="ru-RU"/>
        </w:rPr>
        <w:t xml:space="preserve">) </w:t>
      </w:r>
      <w:r w:rsidRPr="00730F89">
        <w:rPr>
          <w:rFonts w:eastAsia="Times New Roman" w:cs="Arial"/>
          <w:color w:val="000000"/>
          <w:lang w:eastAsia="bg-BG"/>
        </w:rPr>
        <w:t xml:space="preserve">С.421АА са свързани с повишаване на експозицията </w:t>
      </w:r>
      <w:r w:rsidRPr="00730F89">
        <w:rPr>
          <w:rFonts w:eastAsia="Times New Roman" w:cs="Arial"/>
          <w:color w:val="000000"/>
          <w:lang w:val="ru-RU"/>
        </w:rPr>
        <w:t>(</w:t>
      </w:r>
      <w:r w:rsidRPr="00730F89">
        <w:rPr>
          <w:rFonts w:eastAsia="Times New Roman" w:cs="Arial"/>
          <w:color w:val="000000"/>
          <w:lang w:val="en-US"/>
        </w:rPr>
        <w:t>AUC</w:t>
      </w:r>
      <w:r w:rsidRPr="00730F89">
        <w:rPr>
          <w:rFonts w:eastAsia="Times New Roman" w:cs="Arial"/>
          <w:color w:val="000000"/>
          <w:lang w:val="ru-RU"/>
        </w:rPr>
        <w:t xml:space="preserve">) </w:t>
      </w:r>
      <w:r w:rsidRPr="00730F89">
        <w:rPr>
          <w:rFonts w:eastAsia="Times New Roman" w:cs="Arial"/>
          <w:color w:val="000000"/>
          <w:lang w:eastAsia="bg-BG"/>
        </w:rPr>
        <w:t xml:space="preserve">на розувастатин в сравнение с </w:t>
      </w:r>
      <w:r w:rsidRPr="00730F89">
        <w:rPr>
          <w:rFonts w:eastAsia="Times New Roman" w:cs="Arial"/>
          <w:color w:val="000000"/>
          <w:lang w:val="en-US"/>
        </w:rPr>
        <w:t>SLCO</w:t>
      </w:r>
      <w:r w:rsidRPr="00730F89">
        <w:rPr>
          <w:rFonts w:eastAsia="Times New Roman" w:cs="Arial"/>
          <w:color w:val="000000"/>
          <w:lang w:val="ru-RU"/>
        </w:rPr>
        <w:t>1</w:t>
      </w:r>
      <w:r w:rsidRPr="00730F89">
        <w:rPr>
          <w:rFonts w:eastAsia="Times New Roman" w:cs="Arial"/>
          <w:color w:val="000000"/>
          <w:lang w:val="en-US"/>
        </w:rPr>
        <w:t>B</w:t>
      </w:r>
      <w:r w:rsidRPr="00730F89">
        <w:rPr>
          <w:rFonts w:eastAsia="Times New Roman" w:cs="Arial"/>
          <w:color w:val="000000"/>
          <w:lang w:val="ru-RU"/>
        </w:rPr>
        <w:t xml:space="preserve">1 </w:t>
      </w:r>
      <w:r w:rsidRPr="00730F89">
        <w:rPr>
          <w:rFonts w:eastAsia="Times New Roman" w:cs="Arial"/>
          <w:color w:val="000000"/>
          <w:lang w:eastAsia="bg-BG"/>
        </w:rPr>
        <w:t xml:space="preserve">С.521ТТ и </w:t>
      </w:r>
      <w:r w:rsidRPr="00730F89">
        <w:rPr>
          <w:rFonts w:eastAsia="Times New Roman" w:cs="Arial"/>
          <w:color w:val="000000"/>
          <w:lang w:val="en-US"/>
        </w:rPr>
        <w:t>ABCG</w:t>
      </w:r>
      <w:r w:rsidRPr="00730F89">
        <w:rPr>
          <w:rFonts w:eastAsia="Times New Roman" w:cs="Arial"/>
          <w:color w:val="000000"/>
          <w:lang w:val="ru-RU"/>
        </w:rPr>
        <w:t xml:space="preserve">2 </w:t>
      </w:r>
      <w:r w:rsidRPr="00730F89">
        <w:rPr>
          <w:rFonts w:eastAsia="Times New Roman" w:cs="Arial"/>
          <w:color w:val="000000"/>
          <w:lang w:val="en-US"/>
        </w:rPr>
        <w:t>c</w:t>
      </w:r>
      <w:r w:rsidRPr="00730F89">
        <w:rPr>
          <w:rFonts w:eastAsia="Times New Roman" w:cs="Arial"/>
          <w:color w:val="000000"/>
          <w:lang w:eastAsia="bg-BG"/>
        </w:rPr>
        <w:t xml:space="preserve">.421СС. За пациентите, за които е известно, че имат генотип С.521СС </w:t>
      </w:r>
      <w:r w:rsidRPr="00730F89">
        <w:rPr>
          <w:rFonts w:eastAsia="Times New Roman" w:cs="Arial"/>
          <w:color w:val="000000"/>
          <w:lang w:eastAsia="bg-BG"/>
        </w:rPr>
        <w:lastRenderedPageBreak/>
        <w:t xml:space="preserve">или </w:t>
      </w:r>
      <w:r w:rsidRPr="00730F89">
        <w:rPr>
          <w:rFonts w:eastAsia="Times New Roman" w:cs="Arial"/>
          <w:color w:val="000000"/>
          <w:lang w:val="en-US"/>
        </w:rPr>
        <w:t>C</w:t>
      </w:r>
      <w:r w:rsidRPr="00730F89">
        <w:rPr>
          <w:rFonts w:eastAsia="Times New Roman" w:cs="Arial"/>
          <w:color w:val="000000"/>
          <w:lang w:val="ru-RU"/>
        </w:rPr>
        <w:t>.421</w:t>
      </w:r>
      <w:r w:rsidRPr="00730F89">
        <w:rPr>
          <w:rFonts w:eastAsia="Times New Roman" w:cs="Arial"/>
          <w:color w:val="000000"/>
          <w:lang w:val="en-US"/>
        </w:rPr>
        <w:t>AA</w:t>
      </w:r>
      <w:r w:rsidRPr="00730F89">
        <w:rPr>
          <w:rFonts w:eastAsia="Times New Roman" w:cs="Arial"/>
          <w:color w:val="000000"/>
          <w:lang w:val="ru-RU"/>
        </w:rPr>
        <w:t xml:space="preserve">, </w:t>
      </w:r>
      <w:r w:rsidRPr="00730F89">
        <w:rPr>
          <w:rFonts w:eastAsia="Times New Roman" w:cs="Arial"/>
          <w:color w:val="000000"/>
          <w:lang w:eastAsia="bg-BG"/>
        </w:rPr>
        <w:t xml:space="preserve">се препоръчва максимална еднократна дневна доза от 20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Русокон (вж. точки 4.4,4.5 и 5.2).</w:t>
      </w:r>
    </w:p>
    <w:p w14:paraId="28F12B07" w14:textId="77777777" w:rsidR="0077293C" w:rsidRDefault="0077293C" w:rsidP="0077293C">
      <w:pPr>
        <w:spacing w:line="240" w:lineRule="auto"/>
        <w:rPr>
          <w:rFonts w:eastAsia="Times New Roman" w:cs="Arial"/>
          <w:b/>
          <w:bCs/>
          <w:color w:val="000000"/>
          <w:lang w:eastAsia="bg-BG"/>
        </w:rPr>
      </w:pPr>
      <w:bookmarkStart w:id="5" w:name="bookmark8"/>
    </w:p>
    <w:p w14:paraId="470C84DB"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Дозиране при пациенти, предразположени към развитие на миопатия</w:t>
      </w:r>
      <w:bookmarkEnd w:id="5"/>
    </w:p>
    <w:p w14:paraId="4651B32E"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пациенти с предразполагащи фактори за развитите на миопатия препоръчваната начална доза е 5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(вж. точка 4.4).</w:t>
      </w:r>
    </w:p>
    <w:p w14:paraId="4753BB96" w14:textId="77777777" w:rsidR="0077293C" w:rsidRDefault="0077293C" w:rsidP="0077293C">
      <w:pPr>
        <w:spacing w:line="240" w:lineRule="auto"/>
        <w:rPr>
          <w:rFonts w:eastAsia="Times New Roman" w:cs="Arial"/>
          <w:color w:val="000000"/>
          <w:lang w:eastAsia="bg-BG"/>
        </w:rPr>
      </w:pPr>
    </w:p>
    <w:p w14:paraId="72503518"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При някои от тези пациенти е противопоказано приложението на доза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(вж. точка.4.3).</w:t>
      </w:r>
    </w:p>
    <w:p w14:paraId="0A11BE20" w14:textId="77777777" w:rsidR="0077293C" w:rsidRDefault="0077293C" w:rsidP="0077293C">
      <w:pPr>
        <w:spacing w:line="240" w:lineRule="auto"/>
        <w:rPr>
          <w:rFonts w:eastAsia="Times New Roman" w:cs="Arial"/>
          <w:b/>
          <w:bCs/>
          <w:color w:val="000000"/>
          <w:lang w:eastAsia="bg-BG"/>
        </w:rPr>
      </w:pPr>
      <w:bookmarkStart w:id="6" w:name="bookmark10"/>
    </w:p>
    <w:p w14:paraId="65B79462" w14:textId="77777777" w:rsidR="0077293C" w:rsidRPr="00730F89" w:rsidRDefault="0077293C" w:rsidP="0077293C">
      <w:pPr>
        <w:spacing w:line="240" w:lineRule="auto"/>
        <w:rPr>
          <w:rFonts w:eastAsia="Times New Roman" w:cs="Arial"/>
        </w:rPr>
      </w:pPr>
      <w:r w:rsidRPr="00730F89">
        <w:rPr>
          <w:rFonts w:eastAsia="Times New Roman" w:cs="Arial"/>
          <w:b/>
          <w:bCs/>
          <w:color w:val="000000"/>
          <w:lang w:eastAsia="bg-BG"/>
        </w:rPr>
        <w:t>Съпътстваща терапия</w:t>
      </w:r>
      <w:bookmarkEnd w:id="6"/>
    </w:p>
    <w:p w14:paraId="4EC46DBC"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 xml:space="preserve">Розувастатин е субстрат на различни транспортерни протеини (напр. ОАТР1В1 и </w:t>
      </w:r>
      <w:r w:rsidRPr="00730F89">
        <w:rPr>
          <w:rFonts w:eastAsia="Times New Roman" w:cs="Arial"/>
          <w:color w:val="000000"/>
          <w:lang w:val="en-US"/>
        </w:rPr>
        <w:t>BCRP</w:t>
      </w:r>
      <w:r w:rsidRPr="00730F89">
        <w:rPr>
          <w:rFonts w:eastAsia="Times New Roman" w:cs="Arial"/>
          <w:color w:val="000000"/>
          <w:lang w:val="ru-RU"/>
        </w:rPr>
        <w:t xml:space="preserve">). </w:t>
      </w:r>
      <w:r w:rsidRPr="00730F89">
        <w:rPr>
          <w:rFonts w:eastAsia="Times New Roman" w:cs="Arial"/>
          <w:color w:val="000000"/>
          <w:lang w:eastAsia="bg-BG"/>
        </w:rPr>
        <w:t>Рискът от миопатия (включително рабдомиолиза) се повишава, когато Русокон се прилага едновременно с определени лекарствени продукти, които могат да повишат плазмената концентрация на розувастатин поради взаимодействие с тези транспортерни протеини (напр. циклоспорин и някои протеазни инхибитори, включително комбинации на ритонавир с атазанавир, лопинавир и/ипи типранавир; вж. точки 4.4 и 4.5). Когато е възможно, трябва да се имат предвид алтернативни лекарства и, ако е необходимо, да се има предвид временно прекъсване на терапията с Русокон. В ситуации, когато едновременното приложение на тези лекарствени продукти с Русокон е неизбежно, ползата и рискът от съпътстващата терапия и корекции на дозата на Русокон трябва внимателно да се обмислят (вж. точка 4.5).</w:t>
      </w:r>
    </w:p>
    <w:p w14:paraId="60B2A1FB" w14:textId="77777777" w:rsidR="0077293C" w:rsidRDefault="0077293C" w:rsidP="0077293C">
      <w:pPr>
        <w:spacing w:line="240" w:lineRule="auto"/>
        <w:rPr>
          <w:rFonts w:eastAsia="Times New Roman" w:cs="Arial"/>
          <w:color w:val="000000"/>
          <w:u w:val="single"/>
          <w:lang w:eastAsia="bg-BG"/>
        </w:rPr>
      </w:pPr>
    </w:p>
    <w:p w14:paraId="3FFD0E79" w14:textId="77777777" w:rsidR="0077293C" w:rsidRPr="00730F89" w:rsidRDefault="0077293C" w:rsidP="0077293C">
      <w:pPr>
        <w:pStyle w:val="Heading3"/>
        <w:rPr>
          <w:rFonts w:eastAsia="Times New Roman"/>
          <w:u w:val="single"/>
        </w:rPr>
      </w:pPr>
      <w:r w:rsidRPr="00730F89">
        <w:rPr>
          <w:rFonts w:eastAsia="Times New Roman"/>
          <w:u w:val="single"/>
          <w:lang w:eastAsia="bg-BG"/>
        </w:rPr>
        <w:t>Начин на приложение</w:t>
      </w:r>
    </w:p>
    <w:p w14:paraId="6A210E32" w14:textId="77777777" w:rsidR="0077293C" w:rsidRPr="00730F89" w:rsidRDefault="0077293C" w:rsidP="0077293C">
      <w:pPr>
        <w:spacing w:line="240" w:lineRule="auto"/>
        <w:rPr>
          <w:rFonts w:eastAsia="Times New Roman" w:cs="Arial"/>
        </w:rPr>
      </w:pPr>
      <w:r w:rsidRPr="00730F89">
        <w:rPr>
          <w:rFonts w:eastAsia="Times New Roman" w:cs="Arial"/>
          <w:color w:val="000000"/>
          <w:lang w:eastAsia="bg-BG"/>
        </w:rPr>
        <w:t>Русокон може да се приема по всяко време на деня, със или без храна.</w:t>
      </w:r>
    </w:p>
    <w:p w14:paraId="05A77CED" w14:textId="112A96FE" w:rsidR="00730F89" w:rsidRDefault="00730F89" w:rsidP="00730F89"/>
    <w:p w14:paraId="28C984E8" w14:textId="345D7500" w:rsidR="008134C8" w:rsidRDefault="002C50EE" w:rsidP="004A448E">
      <w:pPr>
        <w:pStyle w:val="Heading2"/>
      </w:pPr>
      <w:r>
        <w:t>4.3. Противопоказания</w:t>
      </w:r>
    </w:p>
    <w:p w14:paraId="005E5945" w14:textId="3E935E7E" w:rsidR="0077293C" w:rsidRDefault="0077293C" w:rsidP="0077293C"/>
    <w:p w14:paraId="3CEF73EE" w14:textId="77777777" w:rsidR="0077293C" w:rsidRPr="00730F89" w:rsidRDefault="0077293C" w:rsidP="0077293C">
      <w:pPr>
        <w:rPr>
          <w:sz w:val="24"/>
          <w:szCs w:val="24"/>
        </w:rPr>
      </w:pPr>
      <w:r w:rsidRPr="00730F89">
        <w:rPr>
          <w:lang w:eastAsia="bg-BG"/>
        </w:rPr>
        <w:t>Русокон е противопоказан:</w:t>
      </w:r>
    </w:p>
    <w:p w14:paraId="493F35A5" w14:textId="77777777" w:rsidR="0077293C" w:rsidRDefault="0077293C" w:rsidP="0077293C">
      <w:pPr>
        <w:pStyle w:val="ListParagraph"/>
        <w:numPr>
          <w:ilvl w:val="0"/>
          <w:numId w:val="36"/>
        </w:numPr>
        <w:rPr>
          <w:lang w:eastAsia="bg-BG"/>
        </w:rPr>
      </w:pPr>
      <w:r w:rsidRPr="00730F89">
        <w:rPr>
          <w:lang w:eastAsia="bg-BG"/>
        </w:rPr>
        <w:t>При пациенти със свръхчувствителност към активното вещество към или някое от помощните вещества, изброени в точка 6.1.</w:t>
      </w:r>
    </w:p>
    <w:p w14:paraId="18F9E006" w14:textId="77777777" w:rsidR="0077293C" w:rsidRDefault="0077293C" w:rsidP="0077293C">
      <w:pPr>
        <w:pStyle w:val="ListParagraph"/>
        <w:numPr>
          <w:ilvl w:val="0"/>
          <w:numId w:val="36"/>
        </w:numPr>
        <w:rPr>
          <w:lang w:eastAsia="bg-BG"/>
        </w:rPr>
      </w:pPr>
      <w:r w:rsidRPr="00730F89">
        <w:rPr>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серумните транс</w:t>
      </w:r>
      <w:r w:rsidRPr="00730F89">
        <w:rPr>
          <w:lang w:val="en-US"/>
        </w:rPr>
        <w:t>a</w:t>
      </w:r>
      <w:r w:rsidRPr="00730F89">
        <w:rPr>
          <w:lang w:eastAsia="bg-BG"/>
        </w:rPr>
        <w:t>миназин надвишаващо три пъти горната граница на нормата.</w:t>
      </w:r>
    </w:p>
    <w:p w14:paraId="4513FAEE" w14:textId="77777777" w:rsidR="0077293C" w:rsidRDefault="0077293C" w:rsidP="0077293C">
      <w:pPr>
        <w:pStyle w:val="ListParagraph"/>
        <w:numPr>
          <w:ilvl w:val="0"/>
          <w:numId w:val="36"/>
        </w:numPr>
        <w:rPr>
          <w:lang w:eastAsia="bg-BG"/>
        </w:rPr>
      </w:pPr>
      <w:r w:rsidRPr="00730F89">
        <w:rPr>
          <w:lang w:eastAsia="bg-BG"/>
        </w:rPr>
        <w:t xml:space="preserve">При пациенти с тежко бъбречно увреждане (креатининов клирънс &lt; 30 </w:t>
      </w:r>
      <w:r w:rsidRPr="00730F89">
        <w:rPr>
          <w:lang w:val="en-US"/>
        </w:rPr>
        <w:t>ml</w:t>
      </w:r>
      <w:r w:rsidRPr="00730F89">
        <w:rPr>
          <w:lang w:val="ru-RU"/>
        </w:rPr>
        <w:t>/</w:t>
      </w:r>
      <w:r w:rsidRPr="00730F89">
        <w:rPr>
          <w:lang w:val="en-US"/>
        </w:rPr>
        <w:t>mm</w:t>
      </w:r>
      <w:r w:rsidRPr="00730F89">
        <w:rPr>
          <w:lang w:val="ru-RU"/>
        </w:rPr>
        <w:t xml:space="preserve">). </w:t>
      </w:r>
      <w:r w:rsidRPr="00730F89">
        <w:rPr>
          <w:lang w:eastAsia="bg-BG"/>
        </w:rPr>
        <w:t xml:space="preserve">• </w:t>
      </w:r>
    </w:p>
    <w:p w14:paraId="2A8E5182" w14:textId="77777777" w:rsidR="0077293C" w:rsidRDefault="0077293C" w:rsidP="0077293C">
      <w:pPr>
        <w:pStyle w:val="ListParagraph"/>
        <w:numPr>
          <w:ilvl w:val="0"/>
          <w:numId w:val="36"/>
        </w:numPr>
        <w:rPr>
          <w:lang w:eastAsia="bg-BG"/>
        </w:rPr>
      </w:pPr>
      <w:r w:rsidRPr="00730F89">
        <w:rPr>
          <w:lang w:eastAsia="bg-BG"/>
        </w:rPr>
        <w:t>При пациенти с миопатия.</w:t>
      </w:r>
    </w:p>
    <w:p w14:paraId="30D9A1EC" w14:textId="77777777" w:rsidR="0077293C" w:rsidRPr="00730F89" w:rsidRDefault="0077293C" w:rsidP="0077293C">
      <w:pPr>
        <w:pStyle w:val="ListParagraph"/>
        <w:numPr>
          <w:ilvl w:val="0"/>
          <w:numId w:val="36"/>
        </w:numPr>
        <w:rPr>
          <w:lang w:eastAsia="bg-BG"/>
        </w:rPr>
      </w:pPr>
      <w:r w:rsidRPr="00730F89">
        <w:rPr>
          <w:rFonts w:eastAsia="Times New Roman" w:cs="Arial"/>
          <w:color w:val="000000"/>
          <w:lang w:eastAsia="bg-BG"/>
        </w:rPr>
        <w:t>При пациенти, приемащи едновременно циклоспорин.</w:t>
      </w:r>
    </w:p>
    <w:p w14:paraId="2825AF55" w14:textId="77777777" w:rsidR="0077293C" w:rsidRPr="00730F89" w:rsidRDefault="0077293C" w:rsidP="0077293C">
      <w:pPr>
        <w:pStyle w:val="ListParagraph"/>
        <w:numPr>
          <w:ilvl w:val="0"/>
          <w:numId w:val="36"/>
        </w:numPr>
        <w:rPr>
          <w:lang w:eastAsia="bg-BG"/>
        </w:rPr>
      </w:pPr>
      <w:r w:rsidRPr="00730F89">
        <w:rPr>
          <w:rFonts w:eastAsia="Times New Roman" w:cs="Arial"/>
          <w:color w:val="000000"/>
          <w:lang w:eastAsia="bg-BG"/>
        </w:rPr>
        <w:t>По време на бременност, кърмене и при жени в детеродна възраст, които не използват</w:t>
      </w:r>
      <w:r>
        <w:rPr>
          <w:rFonts w:eastAsia="Times New Roman" w:cs="Arial"/>
          <w:color w:val="000000"/>
          <w:lang w:eastAsia="bg-BG"/>
        </w:rPr>
        <w:t xml:space="preserve"> подходящи контрацептивни мерки</w:t>
      </w:r>
    </w:p>
    <w:p w14:paraId="48C40620" w14:textId="77777777" w:rsidR="0077293C" w:rsidRDefault="0077293C" w:rsidP="0077293C">
      <w:pPr>
        <w:rPr>
          <w:rFonts w:eastAsia="Times New Roman" w:cs="Arial"/>
          <w:color w:val="000000"/>
          <w:lang w:eastAsia="bg-BG"/>
        </w:rPr>
      </w:pPr>
    </w:p>
    <w:p w14:paraId="232BE6F3" w14:textId="77777777" w:rsidR="0077293C" w:rsidRPr="00730F89" w:rsidRDefault="0077293C" w:rsidP="0077293C">
      <w:pPr>
        <w:rPr>
          <w:lang w:eastAsia="bg-BG"/>
        </w:rPr>
      </w:pPr>
      <w:r w:rsidRPr="00730F89">
        <w:rPr>
          <w:rFonts w:eastAsia="Times New Roman" w:cs="Arial"/>
          <w:color w:val="000000"/>
          <w:lang w:eastAsia="bg-BG"/>
        </w:rPr>
        <w:t xml:space="preserve">Дозата от 40 </w:t>
      </w:r>
      <w:r w:rsidRPr="00730F89">
        <w:rPr>
          <w:rFonts w:eastAsia="Times New Roman" w:cs="Arial"/>
          <w:color w:val="000000"/>
          <w:lang w:val="en-US"/>
        </w:rPr>
        <w:t>mg</w:t>
      </w:r>
      <w:r w:rsidRPr="00730F89">
        <w:rPr>
          <w:rFonts w:eastAsia="Times New Roman" w:cs="Arial"/>
          <w:color w:val="000000"/>
          <w:lang w:val="ru-RU"/>
        </w:rPr>
        <w:t xml:space="preserve"> </w:t>
      </w:r>
      <w:r w:rsidRPr="00730F89">
        <w:rPr>
          <w:rFonts w:eastAsia="Times New Roman" w:cs="Arial"/>
          <w:color w:val="000000"/>
          <w:lang w:eastAsia="bg-BG"/>
        </w:rPr>
        <w:t>е противопоказана при пациенти с предразполагащи фактори за развитие на миопатия/рабдомиолиза. Такива фактори са:</w:t>
      </w:r>
    </w:p>
    <w:p w14:paraId="6647AC47" w14:textId="77777777" w:rsidR="0077293C" w:rsidRPr="00730F89" w:rsidRDefault="0077293C" w:rsidP="0077293C">
      <w:pPr>
        <w:pStyle w:val="ListParagraph"/>
        <w:numPr>
          <w:ilvl w:val="0"/>
          <w:numId w:val="37"/>
        </w:numPr>
        <w:spacing w:line="240" w:lineRule="auto"/>
        <w:rPr>
          <w:rFonts w:eastAsia="Times New Roman" w:cs="Arial"/>
        </w:rPr>
      </w:pPr>
      <w:r w:rsidRPr="00730F89">
        <w:rPr>
          <w:rFonts w:eastAsia="Times New Roman" w:cs="Arial"/>
          <w:color w:val="000000"/>
          <w:lang w:eastAsia="bg-BG"/>
        </w:rPr>
        <w:t xml:space="preserve">Умерено бъбречно увреждане (креатининов клирънс &lt; 60 </w:t>
      </w:r>
      <w:r w:rsidRPr="00730F89">
        <w:rPr>
          <w:rFonts w:eastAsia="Times New Roman" w:cs="Arial"/>
          <w:color w:val="000000"/>
          <w:lang w:val="en-US"/>
        </w:rPr>
        <w:t>ml</w:t>
      </w:r>
      <w:r w:rsidRPr="00730F89">
        <w:rPr>
          <w:rFonts w:eastAsia="Times New Roman" w:cs="Arial"/>
          <w:color w:val="000000"/>
          <w:lang w:val="ru-RU"/>
        </w:rPr>
        <w:t>/</w:t>
      </w:r>
      <w:r w:rsidRPr="00730F89">
        <w:rPr>
          <w:rFonts w:eastAsia="Times New Roman" w:cs="Arial"/>
          <w:color w:val="000000"/>
          <w:lang w:val="en-US"/>
        </w:rPr>
        <w:t>min</w:t>
      </w:r>
      <w:r w:rsidRPr="00730F89">
        <w:rPr>
          <w:rFonts w:eastAsia="Times New Roman" w:cs="Arial"/>
          <w:color w:val="000000"/>
          <w:lang w:val="ru-RU"/>
        </w:rPr>
        <w:t>).</w:t>
      </w:r>
    </w:p>
    <w:p w14:paraId="66A8FBE1" w14:textId="77777777" w:rsidR="0077293C" w:rsidRPr="00730F89" w:rsidRDefault="0077293C" w:rsidP="0077293C">
      <w:pPr>
        <w:pStyle w:val="ListParagraph"/>
        <w:numPr>
          <w:ilvl w:val="0"/>
          <w:numId w:val="37"/>
        </w:numPr>
        <w:spacing w:line="240" w:lineRule="auto"/>
        <w:rPr>
          <w:rFonts w:eastAsia="Times New Roman" w:cs="Arial"/>
        </w:rPr>
      </w:pPr>
      <w:r w:rsidRPr="00730F89">
        <w:rPr>
          <w:rFonts w:eastAsia="Times New Roman" w:cs="Arial"/>
          <w:color w:val="000000"/>
          <w:lang w:eastAsia="bg-BG"/>
        </w:rPr>
        <w:t>Хипотиреоидизъм.</w:t>
      </w:r>
    </w:p>
    <w:p w14:paraId="7BD3C9A4" w14:textId="77777777" w:rsidR="0077293C" w:rsidRPr="00730F89" w:rsidRDefault="0077293C" w:rsidP="0077293C">
      <w:pPr>
        <w:pStyle w:val="ListParagraph"/>
        <w:numPr>
          <w:ilvl w:val="0"/>
          <w:numId w:val="37"/>
        </w:numPr>
        <w:spacing w:line="240" w:lineRule="auto"/>
        <w:rPr>
          <w:rFonts w:eastAsia="Times New Roman" w:cs="Arial"/>
        </w:rPr>
      </w:pPr>
      <w:r w:rsidRPr="00730F89">
        <w:rPr>
          <w:rFonts w:eastAsia="Times New Roman" w:cs="Arial"/>
          <w:color w:val="000000"/>
          <w:lang w:eastAsia="bg-BG"/>
        </w:rPr>
        <w:t xml:space="preserve">Анамнеза за поява на мускулно увреждане по време на лечение с друг медикамент от групата на инхибиторите на </w:t>
      </w:r>
      <w:r w:rsidRPr="00730F89">
        <w:rPr>
          <w:rFonts w:eastAsia="Times New Roman" w:cs="Arial"/>
          <w:color w:val="000000"/>
          <w:lang w:val="en-US"/>
        </w:rPr>
        <w:t>HMG</w:t>
      </w:r>
      <w:r w:rsidRPr="00730F89">
        <w:rPr>
          <w:rFonts w:eastAsia="Times New Roman" w:cs="Arial"/>
          <w:color w:val="000000"/>
          <w:lang w:val="ru-RU"/>
        </w:rPr>
        <w:t>-</w:t>
      </w:r>
      <w:r w:rsidRPr="00730F89">
        <w:rPr>
          <w:rFonts w:eastAsia="Times New Roman" w:cs="Arial"/>
          <w:color w:val="000000"/>
          <w:lang w:val="en-US"/>
        </w:rPr>
        <w:t>CoA</w:t>
      </w:r>
      <w:r w:rsidRPr="00730F89">
        <w:rPr>
          <w:rFonts w:eastAsia="Times New Roman" w:cs="Arial"/>
          <w:color w:val="000000"/>
          <w:lang w:val="ru-RU"/>
        </w:rPr>
        <w:t xml:space="preserve"> </w:t>
      </w:r>
      <w:r w:rsidRPr="00730F89">
        <w:rPr>
          <w:rFonts w:eastAsia="Times New Roman" w:cs="Arial"/>
          <w:color w:val="000000"/>
          <w:lang w:eastAsia="bg-BG"/>
        </w:rPr>
        <w:t>редуктазата или с фибрат.</w:t>
      </w:r>
    </w:p>
    <w:p w14:paraId="06EB8FCB" w14:textId="77777777" w:rsidR="0077293C" w:rsidRPr="0077293C" w:rsidRDefault="0077293C" w:rsidP="0077293C">
      <w:pPr>
        <w:pStyle w:val="ListParagraph"/>
        <w:numPr>
          <w:ilvl w:val="0"/>
          <w:numId w:val="37"/>
        </w:numPr>
        <w:spacing w:line="240" w:lineRule="auto"/>
        <w:rPr>
          <w:rFonts w:eastAsia="Times New Roman" w:cs="Arial"/>
        </w:rPr>
      </w:pPr>
      <w:r w:rsidRPr="00730F89">
        <w:rPr>
          <w:rFonts w:eastAsia="Times New Roman" w:cs="Arial"/>
          <w:color w:val="000000"/>
          <w:lang w:eastAsia="bg-BG"/>
        </w:rPr>
        <w:t>Злоупотреба с алкохол.</w:t>
      </w:r>
    </w:p>
    <w:p w14:paraId="15F811ED" w14:textId="77777777" w:rsidR="0077293C" w:rsidRPr="0077293C" w:rsidRDefault="0077293C" w:rsidP="0077293C">
      <w:pPr>
        <w:pStyle w:val="ListParagraph"/>
        <w:numPr>
          <w:ilvl w:val="0"/>
          <w:numId w:val="37"/>
        </w:numPr>
        <w:spacing w:line="240" w:lineRule="auto"/>
        <w:rPr>
          <w:rFonts w:eastAsia="Times New Roman" w:cs="Arial"/>
        </w:rPr>
      </w:pPr>
      <w:r w:rsidRPr="0077293C">
        <w:rPr>
          <w:rFonts w:eastAsia="Times New Roman" w:cs="Arial"/>
          <w:color w:val="000000"/>
          <w:lang w:eastAsia="bg-BG"/>
        </w:rPr>
        <w:t>Лица от азиатската раса.</w:t>
      </w:r>
    </w:p>
    <w:p w14:paraId="68D466E5" w14:textId="77777777" w:rsidR="0077293C" w:rsidRPr="0077293C" w:rsidRDefault="0077293C" w:rsidP="0077293C">
      <w:pPr>
        <w:pStyle w:val="ListParagraph"/>
        <w:numPr>
          <w:ilvl w:val="0"/>
          <w:numId w:val="37"/>
        </w:numPr>
        <w:spacing w:line="240" w:lineRule="auto"/>
        <w:rPr>
          <w:rFonts w:eastAsia="Times New Roman" w:cs="Arial"/>
        </w:rPr>
      </w:pPr>
      <w:r w:rsidRPr="0077293C">
        <w:rPr>
          <w:rFonts w:eastAsia="Times New Roman" w:cs="Arial"/>
          <w:color w:val="000000"/>
          <w:lang w:eastAsia="bg-BG"/>
        </w:rPr>
        <w:lastRenderedPageBreak/>
        <w:t>Съпътстващо лечение с фибрата (Вж. точка 4.4, точка 4.5 и точка 5.2).</w:t>
      </w:r>
    </w:p>
    <w:p w14:paraId="369CEAFB" w14:textId="77777777" w:rsidR="0077293C" w:rsidRPr="0077293C" w:rsidRDefault="0077293C" w:rsidP="0077293C"/>
    <w:p w14:paraId="212F509C" w14:textId="29EF474C" w:rsidR="004F498A" w:rsidRDefault="002C50EE" w:rsidP="004A448E">
      <w:pPr>
        <w:pStyle w:val="Heading2"/>
      </w:pPr>
      <w:r>
        <w:t>4.4. Специални предупреждения и предпазни мерки при употреба</w:t>
      </w:r>
    </w:p>
    <w:p w14:paraId="5B8EEADA" w14:textId="14D48889" w:rsidR="0077293C" w:rsidRDefault="0077293C" w:rsidP="0077293C"/>
    <w:p w14:paraId="0631D461" w14:textId="77777777"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Ефекти върху бъбреците</w:t>
      </w:r>
    </w:p>
    <w:p w14:paraId="40AD3DCB"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При пациенти, лекувани с по-високи дози розувастатин, по-конкретно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Не е доказано протеинурията да предшества остро или прогресивно бъбречно заболяване (вж. точка 4,8). Докладваната честота на сериозни бъбречни увреди при постмаркетинговата употреба е по-висока при дозировка от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пациента, обичайно лекувани с 40 </w:t>
      </w:r>
      <w:r w:rsidRPr="0077293C">
        <w:rPr>
          <w:rFonts w:eastAsia="Times New Roman" w:cs="Arial"/>
          <w:color w:val="000000"/>
          <w:lang w:val="en-US"/>
        </w:rPr>
        <w:t>mg</w:t>
      </w:r>
      <w:r w:rsidRPr="0077293C">
        <w:rPr>
          <w:rFonts w:eastAsia="Times New Roman" w:cs="Arial"/>
          <w:color w:val="000000"/>
          <w:lang w:val="ru-RU"/>
        </w:rPr>
        <w:t>.</w:t>
      </w:r>
    </w:p>
    <w:p w14:paraId="1957184F" w14:textId="77777777" w:rsidR="0077293C" w:rsidRDefault="0077293C" w:rsidP="0077293C">
      <w:pPr>
        <w:spacing w:line="240" w:lineRule="auto"/>
        <w:rPr>
          <w:rFonts w:eastAsia="Times New Roman" w:cs="Arial"/>
          <w:color w:val="000000"/>
          <w:u w:val="single"/>
          <w:lang w:eastAsia="bg-BG"/>
        </w:rPr>
      </w:pPr>
    </w:p>
    <w:p w14:paraId="51286332" w14:textId="0161A081"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Ефекти върху скелетната мускулатура</w:t>
      </w:r>
    </w:p>
    <w:p w14:paraId="157255D3"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Ефекти върху скелетната мускулатура (миалгия, миопатия и по-рядко рабдомиолиза) са съобщавани при приложение на всички дозови режими, особено при дози над 20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редуктазни инхибитори. Не може да бъде изключено фармакодинамично взаимодействие (вж. точка 4.5) и е необходимо внимание при комбинираното им използване.</w:t>
      </w:r>
    </w:p>
    <w:p w14:paraId="5E533F44"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Както при другите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 xml:space="preserve">редуктазни инхибитори, докладваната честота на рабдомиолиза, асоциирана с розувастатин при постмаркетинговата употреба, е по-висока при дозировка от 40 </w:t>
      </w:r>
      <w:r w:rsidRPr="0077293C">
        <w:rPr>
          <w:rFonts w:eastAsia="Times New Roman" w:cs="Arial"/>
          <w:color w:val="000000"/>
          <w:lang w:val="en-US"/>
        </w:rPr>
        <w:t>mg</w:t>
      </w:r>
      <w:r w:rsidRPr="0077293C">
        <w:rPr>
          <w:rFonts w:eastAsia="Times New Roman" w:cs="Arial"/>
          <w:color w:val="000000"/>
          <w:lang w:val="ru-RU"/>
        </w:rPr>
        <w:t>.</w:t>
      </w:r>
    </w:p>
    <w:p w14:paraId="3117FB15" w14:textId="77777777" w:rsidR="0077293C" w:rsidRDefault="0077293C" w:rsidP="0077293C">
      <w:pPr>
        <w:spacing w:line="240" w:lineRule="auto"/>
        <w:rPr>
          <w:rFonts w:eastAsia="Times New Roman" w:cs="Arial"/>
          <w:i/>
          <w:iCs/>
          <w:color w:val="000000"/>
          <w:lang w:eastAsia="bg-BG"/>
        </w:rPr>
      </w:pPr>
    </w:p>
    <w:p w14:paraId="3AAEF5B6" w14:textId="3D4C3EF4" w:rsidR="0077293C" w:rsidRPr="0077293C" w:rsidRDefault="0077293C" w:rsidP="0077293C">
      <w:pPr>
        <w:spacing w:line="240" w:lineRule="auto"/>
        <w:rPr>
          <w:rFonts w:eastAsia="Times New Roman" w:cs="Arial"/>
        </w:rPr>
      </w:pPr>
      <w:r w:rsidRPr="0077293C">
        <w:rPr>
          <w:rFonts w:eastAsia="Times New Roman" w:cs="Arial"/>
          <w:i/>
          <w:iCs/>
          <w:color w:val="000000"/>
          <w:lang w:eastAsia="bg-BG"/>
        </w:rPr>
        <w:t>Измерване на креатинкиназата</w:t>
      </w:r>
    </w:p>
    <w:p w14:paraId="65151112"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Креатинкиназата (СК) не трябва да се измерва след усилени упражнения или при наличието на друг причинител на увеличение на СК, което може да затрудни тълкуването на резултата. Ако нивото на СК е значително повишено в изходното ниво (&gt;5 пъти горната допустима граница), в рамките на 5-7 дни трябва да бъде направен тест за потвърждаване на резултата. Ако повторното изследване потвърди изходно ниво на СК &gt;5 пъти горната допустима граница, не трябва да се започва лечение.</w:t>
      </w:r>
    </w:p>
    <w:p w14:paraId="54DD23E9" w14:textId="77777777" w:rsidR="0077293C" w:rsidRDefault="0077293C" w:rsidP="0077293C">
      <w:pPr>
        <w:spacing w:line="240" w:lineRule="auto"/>
        <w:rPr>
          <w:rFonts w:eastAsia="Times New Roman" w:cs="Arial"/>
          <w:i/>
          <w:iCs/>
          <w:color w:val="000000"/>
          <w:lang w:eastAsia="bg-BG"/>
        </w:rPr>
      </w:pPr>
    </w:p>
    <w:p w14:paraId="743CC417" w14:textId="00082E19" w:rsidR="0077293C" w:rsidRPr="0077293C" w:rsidRDefault="0077293C" w:rsidP="0077293C">
      <w:pPr>
        <w:spacing w:line="240" w:lineRule="auto"/>
        <w:rPr>
          <w:rFonts w:eastAsia="Times New Roman" w:cs="Arial"/>
        </w:rPr>
      </w:pPr>
      <w:r w:rsidRPr="0077293C">
        <w:rPr>
          <w:rFonts w:eastAsia="Times New Roman" w:cs="Arial"/>
          <w:i/>
          <w:iCs/>
          <w:color w:val="000000"/>
          <w:lang w:eastAsia="bg-BG"/>
        </w:rPr>
        <w:t>Преди лечението</w:t>
      </w:r>
    </w:p>
    <w:p w14:paraId="5A3B9D6A"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Както и други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редуктазата, розувастатин трябва да бъде предписван с особено внимание при пациенти, за които са налице фактори, предразполагащи развитие на миопатия/рабдомиолиза. Такива фактори са:</w:t>
      </w:r>
    </w:p>
    <w:p w14:paraId="7C674157"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Бъбречно увреждане.</w:t>
      </w:r>
    </w:p>
    <w:p w14:paraId="31B29BD6"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Хипотиреоидизъм.</w:t>
      </w:r>
    </w:p>
    <w:p w14:paraId="10C0D826"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Лична или фамилна анамнеза за наследствено мускулно заболяване.</w:t>
      </w:r>
    </w:p>
    <w:p w14:paraId="74803B74"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 xml:space="preserve">Установена мускулна токсичност към други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редуктазата или</w:t>
      </w:r>
      <w:r w:rsidRPr="0077293C">
        <w:rPr>
          <w:rFonts w:eastAsia="Times New Roman" w:cs="Arial"/>
          <w:color w:val="000000"/>
          <w:lang w:val="ru-RU" w:eastAsia="bg-BG"/>
        </w:rPr>
        <w:t xml:space="preserve"> </w:t>
      </w:r>
      <w:r w:rsidRPr="0077293C">
        <w:rPr>
          <w:rFonts w:eastAsia="Times New Roman" w:cs="Arial"/>
          <w:color w:val="000000"/>
          <w:lang w:eastAsia="bg-BG"/>
        </w:rPr>
        <w:t>фибрата.</w:t>
      </w:r>
    </w:p>
    <w:p w14:paraId="06ACBA2D"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Злоупотреба с алкохол.</w:t>
      </w:r>
    </w:p>
    <w:p w14:paraId="220D3E26"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Пациенти на възраст над 70 години.</w:t>
      </w:r>
    </w:p>
    <w:p w14:paraId="3C0FAFB8" w14:textId="77777777" w:rsid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Състояния, при които може да се наблюдава покачване на плазмените нива (вж. точка 5.2).</w:t>
      </w:r>
    </w:p>
    <w:p w14:paraId="1426044D" w14:textId="595F676D" w:rsidR="0077293C" w:rsidRPr="0077293C" w:rsidRDefault="0077293C" w:rsidP="0077293C">
      <w:pPr>
        <w:pStyle w:val="ListParagraph"/>
        <w:numPr>
          <w:ilvl w:val="0"/>
          <w:numId w:val="38"/>
        </w:numPr>
        <w:spacing w:line="240" w:lineRule="auto"/>
        <w:rPr>
          <w:rFonts w:eastAsia="Times New Roman" w:cs="Arial"/>
          <w:color w:val="000000"/>
          <w:lang w:eastAsia="bg-BG"/>
        </w:rPr>
      </w:pPr>
      <w:r w:rsidRPr="0077293C">
        <w:rPr>
          <w:rFonts w:eastAsia="Times New Roman" w:cs="Arial"/>
          <w:color w:val="000000"/>
          <w:lang w:eastAsia="bg-BG"/>
        </w:rPr>
        <w:t>Едновременно приложение на фибрата.</w:t>
      </w:r>
    </w:p>
    <w:p w14:paraId="3886B35B" w14:textId="40D4E7A2" w:rsidR="0077293C" w:rsidRDefault="0077293C" w:rsidP="0077293C"/>
    <w:p w14:paraId="5B367E15"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При подобни пациенти трябва да се предвиди отношението риск/полза и да бъдат поставени под клинично наблюдение. Ако изходното ниво на СК е значително повишено (&gt;5 пъти горната граница на нормата), не трябва да се започва лечение.</w:t>
      </w:r>
    </w:p>
    <w:p w14:paraId="56B204A4" w14:textId="77777777" w:rsidR="0077293C" w:rsidRDefault="0077293C" w:rsidP="0077293C">
      <w:pPr>
        <w:spacing w:line="240" w:lineRule="auto"/>
        <w:rPr>
          <w:rFonts w:eastAsia="Times New Roman" w:cs="Arial"/>
          <w:i/>
          <w:iCs/>
          <w:color w:val="000000"/>
          <w:lang w:eastAsia="bg-BG"/>
        </w:rPr>
      </w:pPr>
    </w:p>
    <w:p w14:paraId="548FD919" w14:textId="08DE6414" w:rsidR="0077293C" w:rsidRPr="0077293C" w:rsidRDefault="0077293C" w:rsidP="0077293C">
      <w:pPr>
        <w:spacing w:line="240" w:lineRule="auto"/>
        <w:rPr>
          <w:rFonts w:eastAsia="Times New Roman" w:cs="Arial"/>
        </w:rPr>
      </w:pPr>
      <w:r w:rsidRPr="0077293C">
        <w:rPr>
          <w:rFonts w:eastAsia="Times New Roman" w:cs="Arial"/>
          <w:i/>
          <w:iCs/>
          <w:color w:val="000000"/>
          <w:lang w:eastAsia="bg-BG"/>
        </w:rPr>
        <w:t>По време на лечението</w:t>
      </w:r>
    </w:p>
    <w:p w14:paraId="2D887C62"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схващане, най-вече ако свързани с неразположение или фебрилитет. При тези пациенти трябва да се измерят нивата на СК. Терапията трябве да се прекрати, ако нивото на СК е значително повишено (&gt;5 пъти горната граница на нормата) или мускулните симптоми са тежки и причиняват ежедневно неразположение (дори нивото на СК да е ≤ 5 пъти горната допустима граница). Ако симптомите изчезнат и нивото на СК се нормализира, може да се помисли за повторно лечение с розувастатин или алтернативен инхибитор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редуктазата в най-ниска доза под наблюдение. Рутинното наблюдение на нивото на СК при пациенти без симптоми не е оправдано.</w:t>
      </w:r>
    </w:p>
    <w:p w14:paraId="04A4891E" w14:textId="77777777" w:rsidR="0077293C" w:rsidRDefault="0077293C" w:rsidP="0077293C">
      <w:pPr>
        <w:spacing w:line="240" w:lineRule="auto"/>
        <w:rPr>
          <w:rFonts w:eastAsia="Times New Roman" w:cs="Arial"/>
          <w:color w:val="000000"/>
          <w:lang w:eastAsia="bg-BG"/>
        </w:rPr>
      </w:pPr>
    </w:p>
    <w:p w14:paraId="68188F72" w14:textId="0668FC52"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Има много редки съобщения за имуномедиирана некротизираща миопатия </w:t>
      </w:r>
      <w:r w:rsidRPr="0077293C">
        <w:rPr>
          <w:rFonts w:eastAsia="Times New Roman" w:cs="Arial"/>
          <w:color w:val="000000"/>
          <w:lang w:val="ru-RU"/>
        </w:rPr>
        <w:t>(</w:t>
      </w:r>
      <w:r w:rsidRPr="0077293C">
        <w:rPr>
          <w:rFonts w:eastAsia="Times New Roman" w:cs="Arial"/>
          <w:color w:val="000000"/>
          <w:lang w:val="en-US"/>
        </w:rPr>
        <w:t>IMNM</w:t>
      </w:r>
      <w:r w:rsidRPr="0077293C">
        <w:rPr>
          <w:rFonts w:eastAsia="Times New Roman" w:cs="Arial"/>
          <w:color w:val="000000"/>
          <w:lang w:val="ru-RU"/>
        </w:rPr>
        <w:t xml:space="preserve">), </w:t>
      </w:r>
      <w:r w:rsidRPr="0077293C">
        <w:rPr>
          <w:rFonts w:eastAsia="Times New Roman" w:cs="Arial"/>
          <w:color w:val="000000"/>
          <w:lang w:eastAsia="bg-BG"/>
        </w:rPr>
        <w:t>която клинично се характеризира с персистираща проксимална мускулна слабост и повишена креатинкиназа, по време на лечението или след спиране на статините, включително розувастатин. Може да е необходимо допълнително невромускулно или серологично изследване. Може да се наложи лечение с имуносупресиращи лекарства.</w:t>
      </w:r>
    </w:p>
    <w:p w14:paraId="558AB37B" w14:textId="77777777" w:rsidR="0077293C" w:rsidRDefault="0077293C" w:rsidP="0077293C">
      <w:pPr>
        <w:spacing w:line="240" w:lineRule="auto"/>
        <w:rPr>
          <w:rFonts w:eastAsia="Times New Roman" w:cs="Arial"/>
          <w:color w:val="000000"/>
          <w:lang w:eastAsia="bg-BG"/>
        </w:rPr>
      </w:pPr>
    </w:p>
    <w:p w14:paraId="1143EC12" w14:textId="372D07A2"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При клинични изпитвания на розувастатин няма данни за повишени ефекти върху скелетната мускулатура в малката група пациенти, при които розувастатин 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 xml:space="preserve">редуктазата заедно с циклоспорин, производни на фибриновата киселина, включително гемфиброзил,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 xml:space="preserve">редуктазата. Поради това, комбинацията между гемфиброзил и розувастатин не е препоръчителна. Ползата от допълнително снижаване в липидните нива в резултат от комбинираното приемане на розувастатин и фибрати или ниацин трябва да бъде внимателно изчислена спрямо потенциалния риск от подобни комбинации. При едновременно приложение на фибрати, лечението с дози от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е противопоказано (вж. точка 4.5 и точка 4.8).</w:t>
      </w:r>
    </w:p>
    <w:p w14:paraId="3B210C7A" w14:textId="77777777" w:rsidR="0077293C" w:rsidRDefault="0077293C" w:rsidP="0077293C">
      <w:pPr>
        <w:spacing w:line="240" w:lineRule="auto"/>
        <w:rPr>
          <w:rFonts w:eastAsia="Times New Roman" w:cs="Arial"/>
          <w:color w:val="000000"/>
          <w:lang w:eastAsia="bg-BG"/>
        </w:rPr>
      </w:pPr>
    </w:p>
    <w:p w14:paraId="75C43857" w14:textId="45146986" w:rsidR="0077293C" w:rsidRPr="0077293C" w:rsidRDefault="0077293C" w:rsidP="0077293C">
      <w:pPr>
        <w:spacing w:line="240" w:lineRule="auto"/>
        <w:rPr>
          <w:rFonts w:eastAsia="Times New Roman" w:cs="Arial"/>
        </w:rPr>
      </w:pPr>
      <w:r w:rsidRPr="0077293C">
        <w:rPr>
          <w:rFonts w:eastAsia="Times New Roman" w:cs="Arial"/>
          <w:color w:val="000000"/>
          <w:lang w:eastAsia="bg-BG"/>
        </w:rPr>
        <w:t>Розувастатин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фузидова киселина за системно приложение е значимо, лечението със статини трябва да бъде преустановено през целия период на лечение с фузидова киселина. Има съобщения за рабдомиолиза (включително няколко с фатален край) при пациенти, приемащи фузидова киселина и статини в комбинация (вж. точка 4.5). пациентите трябва да бъдат посъветвани да потърсят незабавно медицинска помощ, ако изпитват симптоми на мускулна слабост, болка или болезненост. Лечението със статини може да бъде подновено седем дни след последната доза фузидова киселина. При извънредни обстоятелства, когато е необходима продължителна употреба на фузидова киселина за системно приложение, например за лечение на тежки инфекции, необходимостта от едновременно приложение на розувастатин и фузидова киселина трябва да се прецени индивидуално, и под строг медицински контрол.</w:t>
      </w:r>
    </w:p>
    <w:p w14:paraId="59962F93" w14:textId="77777777" w:rsidR="0077293C" w:rsidRDefault="0077293C" w:rsidP="0077293C">
      <w:pPr>
        <w:spacing w:line="240" w:lineRule="auto"/>
        <w:rPr>
          <w:rFonts w:eastAsia="Times New Roman" w:cs="Arial"/>
          <w:color w:val="000000"/>
          <w:lang w:eastAsia="bg-BG"/>
        </w:rPr>
      </w:pPr>
    </w:p>
    <w:p w14:paraId="03B25E97" w14:textId="7DE87324" w:rsidR="0077293C" w:rsidRPr="0077293C" w:rsidRDefault="0077293C" w:rsidP="0077293C">
      <w:pPr>
        <w:spacing w:line="240" w:lineRule="auto"/>
        <w:rPr>
          <w:rFonts w:eastAsia="Times New Roman" w:cs="Arial"/>
        </w:rPr>
      </w:pPr>
      <w:r w:rsidRPr="0077293C">
        <w:rPr>
          <w:rFonts w:eastAsia="Times New Roman" w:cs="Arial"/>
          <w:color w:val="000000"/>
          <w:lang w:eastAsia="bg-BG"/>
        </w:rPr>
        <w:t>Русокон не трябва да се употребява при пациенти с остри и сериозни състояния, предполагащи миопатия или предразполагащи към развитие на бъбречна недостатъчност, вследствие рабдомиолиза (напр. сепсис, хипотония, голяма операция, травма, тежки метаболитни, ендокринни и електролитни нарушения или неконтролирани гърчове).</w:t>
      </w:r>
    </w:p>
    <w:p w14:paraId="71438C76" w14:textId="77777777" w:rsidR="0077293C" w:rsidRDefault="0077293C" w:rsidP="0077293C">
      <w:pPr>
        <w:spacing w:line="240" w:lineRule="auto"/>
        <w:rPr>
          <w:rFonts w:eastAsia="Times New Roman" w:cs="Arial"/>
          <w:color w:val="000000"/>
          <w:u w:val="single"/>
          <w:lang w:eastAsia="bg-BG"/>
        </w:rPr>
      </w:pPr>
    </w:p>
    <w:p w14:paraId="6CE3796E" w14:textId="71AC1236"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Ефекти върху черния дроб</w:t>
      </w:r>
    </w:p>
    <w:p w14:paraId="55A96F89" w14:textId="77777777" w:rsidR="0077293C" w:rsidRPr="0077293C" w:rsidRDefault="0077293C" w:rsidP="0077293C">
      <w:pPr>
        <w:rPr>
          <w:rFonts w:eastAsia="Times New Roman" w:cs="Arial"/>
        </w:rPr>
      </w:pPr>
      <w:r w:rsidRPr="0077293C">
        <w:rPr>
          <w:rFonts w:eastAsia="Times New Roman" w:cs="Arial"/>
          <w:color w:val="000000"/>
          <w:lang w:eastAsia="bg-BG"/>
        </w:rPr>
        <w:t xml:space="preserve">Както другите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редуктазата, розувастатин трябва да се прилага внимателно при пациенти, които приемат голямо количество алкохол и/или са имали заболяване на черния дроб. Препоръчително е да се направят изследвания на черния дроб преди и 3 месеца след започване на лечението. Приемът на розувастатин трябва да бъде спрян или дозата трябва да се намали, ако нивото на серумните трансаминази надвишава три пъти горната граница на нормата. Докладваната честота</w:t>
      </w:r>
      <w:r w:rsidRPr="0077293C">
        <w:rPr>
          <w:rFonts w:eastAsia="Times New Roman" w:cs="Arial"/>
          <w:color w:val="000000"/>
          <w:lang w:val="ru-RU" w:eastAsia="bg-BG"/>
        </w:rPr>
        <w:t xml:space="preserve"> </w:t>
      </w:r>
      <w:r w:rsidRPr="0077293C">
        <w:rPr>
          <w:rFonts w:eastAsia="Times New Roman" w:cs="Arial"/>
          <w:color w:val="000000"/>
          <w:lang w:eastAsia="bg-BG"/>
        </w:rPr>
        <w:t xml:space="preserve">на сериозни чернодробни събития (заключващи се главно в увеличени чернодробни трансаминази) при постмаркетинговата употреба е по-висока при дозировка от 40 </w:t>
      </w:r>
      <w:r w:rsidRPr="0077293C">
        <w:rPr>
          <w:rFonts w:eastAsia="Times New Roman" w:cs="Arial"/>
          <w:color w:val="000000"/>
          <w:lang w:val="en-US"/>
        </w:rPr>
        <w:t>mg</w:t>
      </w:r>
      <w:r w:rsidRPr="0077293C">
        <w:rPr>
          <w:rFonts w:eastAsia="Times New Roman" w:cs="Arial"/>
          <w:color w:val="000000"/>
          <w:lang w:val="ru-RU"/>
        </w:rPr>
        <w:t>.</w:t>
      </w:r>
    </w:p>
    <w:p w14:paraId="5D678338" w14:textId="77777777" w:rsidR="0077293C" w:rsidRDefault="0077293C" w:rsidP="0077293C">
      <w:pPr>
        <w:spacing w:line="240" w:lineRule="auto"/>
        <w:rPr>
          <w:rFonts w:eastAsia="Times New Roman" w:cs="Arial"/>
          <w:color w:val="000000"/>
          <w:lang w:eastAsia="bg-BG"/>
        </w:rPr>
      </w:pPr>
    </w:p>
    <w:p w14:paraId="6028ADF0" w14:textId="7C622D0F" w:rsidR="0077293C" w:rsidRPr="0077293C" w:rsidRDefault="0077293C" w:rsidP="0077293C">
      <w:pPr>
        <w:spacing w:line="240" w:lineRule="auto"/>
        <w:rPr>
          <w:rFonts w:eastAsia="Times New Roman" w:cs="Arial"/>
        </w:rPr>
      </w:pPr>
      <w:r w:rsidRPr="0077293C">
        <w:rPr>
          <w:rFonts w:eastAsia="Times New Roman" w:cs="Arial"/>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лечение с Русокон.</w:t>
      </w:r>
    </w:p>
    <w:p w14:paraId="1F9A4552" w14:textId="77777777" w:rsidR="0077293C" w:rsidRDefault="0077293C" w:rsidP="0077293C">
      <w:pPr>
        <w:spacing w:line="240" w:lineRule="auto"/>
        <w:rPr>
          <w:rFonts w:eastAsia="Times New Roman" w:cs="Arial"/>
          <w:color w:val="000000"/>
          <w:u w:val="single"/>
          <w:lang w:eastAsia="bg-BG"/>
        </w:rPr>
      </w:pPr>
    </w:p>
    <w:p w14:paraId="13A5C1DB" w14:textId="628B932E"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Раса</w:t>
      </w:r>
    </w:p>
    <w:p w14:paraId="590AB717"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Фармакокинетичните проучвания показват, че при пациентите от азиатската раса е налице по-висока експозиция в сравнение с тези от кавказката (бялата) раса (вж. точки 4.2, 4.3 и 5.2).</w:t>
      </w:r>
    </w:p>
    <w:p w14:paraId="1CD04623" w14:textId="77777777" w:rsidR="0077293C" w:rsidRDefault="0077293C" w:rsidP="0077293C">
      <w:pPr>
        <w:spacing w:line="240" w:lineRule="auto"/>
        <w:rPr>
          <w:rFonts w:eastAsia="Times New Roman" w:cs="Arial"/>
          <w:color w:val="000000"/>
          <w:u w:val="single"/>
          <w:lang w:eastAsia="bg-BG"/>
        </w:rPr>
      </w:pPr>
    </w:p>
    <w:p w14:paraId="0B1EC09B" w14:textId="6721F566"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Протеазни инхибитори</w:t>
      </w:r>
    </w:p>
    <w:p w14:paraId="35CFA638"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Повишена системна експозиция на розувастатин е наблюдавана при пациенти, приемащи розувастатин едновременно с различни протеазни инхибитори в комбинация с ритонавир. Трябва да се обмисли както ползата от липидопонижаване чрез прием на розувастатин при пациенти с </w:t>
      </w:r>
      <w:r w:rsidRPr="0077293C">
        <w:rPr>
          <w:rFonts w:eastAsia="Times New Roman" w:cs="Arial"/>
          <w:color w:val="000000"/>
          <w:lang w:val="en-US"/>
        </w:rPr>
        <w:t>HIV</w:t>
      </w:r>
      <w:r w:rsidRPr="0077293C">
        <w:rPr>
          <w:rFonts w:eastAsia="Times New Roman" w:cs="Arial"/>
          <w:color w:val="000000"/>
          <w:lang w:val="ru-RU"/>
        </w:rPr>
        <w:t xml:space="preserve">, </w:t>
      </w:r>
      <w:r w:rsidRPr="0077293C">
        <w:rPr>
          <w:rFonts w:eastAsia="Times New Roman" w:cs="Arial"/>
          <w:color w:val="000000"/>
          <w:lang w:eastAsia="bg-BG"/>
        </w:rPr>
        <w:t>които приемат протеазни инхибитори, така и потенциала за повишена плазмена конценрация на розувастатин при започване терапията и титриране на дозата на розувастатин при пациенти, лекувани с протеазни инхибитори. Едновременното приложение с определени протеазни инхибитори не се препоръчва, освен ако дозата на розувастатин не се коригира (вж. точки 4.2 и 4.5).</w:t>
      </w:r>
    </w:p>
    <w:p w14:paraId="3C4ED4B5" w14:textId="77777777" w:rsidR="0077293C" w:rsidRDefault="0077293C" w:rsidP="0077293C">
      <w:pPr>
        <w:spacing w:line="240" w:lineRule="auto"/>
        <w:rPr>
          <w:rFonts w:eastAsia="Times New Roman" w:cs="Arial"/>
          <w:color w:val="000000"/>
          <w:u w:val="single"/>
          <w:lang w:eastAsia="bg-BG"/>
        </w:rPr>
      </w:pPr>
    </w:p>
    <w:p w14:paraId="7A2876C0" w14:textId="7D1F7EC2"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Непоносимост към лактоза</w:t>
      </w:r>
    </w:p>
    <w:p w14:paraId="7D609DBB"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Пациенти с редки наследствени проблеми като галактозна непоносимост, </w:t>
      </w:r>
      <w:r w:rsidRPr="0077293C">
        <w:rPr>
          <w:rFonts w:eastAsia="Times New Roman" w:cs="Arial"/>
          <w:color w:val="000000"/>
          <w:lang w:val="en-US"/>
        </w:rPr>
        <w:t>Lapp</w:t>
      </w:r>
      <w:r w:rsidRPr="0077293C">
        <w:rPr>
          <w:rFonts w:eastAsia="Times New Roman" w:cs="Arial"/>
          <w:color w:val="000000"/>
          <w:lang w:val="ru-RU"/>
        </w:rPr>
        <w:t xml:space="preserve"> </w:t>
      </w:r>
      <w:r w:rsidRPr="0077293C">
        <w:rPr>
          <w:rFonts w:eastAsia="Times New Roman" w:cs="Arial"/>
          <w:color w:val="000000"/>
          <w:lang w:eastAsia="bg-BG"/>
        </w:rPr>
        <w:t>лактазен дефицит или глюкозо-галактозна малабсорбция не трябва да приемат това лекарство.</w:t>
      </w:r>
    </w:p>
    <w:p w14:paraId="6F7A4EF0" w14:textId="77777777" w:rsidR="0077293C" w:rsidRDefault="0077293C" w:rsidP="0077293C">
      <w:pPr>
        <w:spacing w:line="240" w:lineRule="auto"/>
        <w:rPr>
          <w:rFonts w:eastAsia="Times New Roman" w:cs="Arial"/>
          <w:color w:val="000000"/>
          <w:u w:val="single"/>
          <w:lang w:eastAsia="bg-BG"/>
        </w:rPr>
      </w:pPr>
    </w:p>
    <w:p w14:paraId="7E90040B" w14:textId="1DD42ACA"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Интерстициална белодробна болест</w:t>
      </w:r>
    </w:p>
    <w:p w14:paraId="75F81699"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могат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статии трябва да бъде преустановена.</w:t>
      </w:r>
    </w:p>
    <w:p w14:paraId="421C0A75" w14:textId="77777777" w:rsidR="0077293C" w:rsidRDefault="0077293C" w:rsidP="0077293C">
      <w:pPr>
        <w:spacing w:line="240" w:lineRule="auto"/>
        <w:rPr>
          <w:rFonts w:eastAsia="Times New Roman" w:cs="Arial"/>
          <w:color w:val="000000"/>
          <w:u w:val="single"/>
          <w:lang w:eastAsia="bg-BG"/>
        </w:rPr>
      </w:pPr>
    </w:p>
    <w:p w14:paraId="4987EE7B" w14:textId="423338EF"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Захарен диабет</w:t>
      </w:r>
    </w:p>
    <w:p w14:paraId="7ED4CB1B"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Някои доказателства дават основание да се предполага, че статините като клас повишават кръвната глюкоза и при някои пациенти, високорискови за развитие на диабет, могат да доведат до такова ниво на хипергликемия, при което е подходящо прилагането на стандартно лечение, провеждано при диабет. Този риск обаче се навишава от намаляването на васкуларния риск със статини и следователно не трябва да бъде причина за спиране на статиновата терапия. Рисковите пациенти (глюкоза на гладно 5,6 до 6,9 </w:t>
      </w:r>
      <w:proofErr w:type="spellStart"/>
      <w:r w:rsidRPr="0077293C">
        <w:rPr>
          <w:rFonts w:eastAsia="Times New Roman" w:cs="Arial"/>
          <w:color w:val="000000"/>
          <w:lang w:val="en-US"/>
        </w:rPr>
        <w:t>mmol</w:t>
      </w:r>
      <w:proofErr w:type="spellEnd"/>
      <w:r w:rsidRPr="0077293C">
        <w:rPr>
          <w:rFonts w:eastAsia="Times New Roman" w:cs="Arial"/>
          <w:color w:val="000000"/>
          <w:lang w:val="ru-RU"/>
        </w:rPr>
        <w:t xml:space="preserve">/1, </w:t>
      </w:r>
      <w:r w:rsidRPr="0077293C">
        <w:rPr>
          <w:rFonts w:eastAsia="Times New Roman" w:cs="Arial"/>
          <w:color w:val="000000"/>
          <w:lang w:eastAsia="bg-BG"/>
        </w:rPr>
        <w:t xml:space="preserve">индекс на телесна маса &gt;30 </w:t>
      </w:r>
      <w:r w:rsidRPr="0077293C">
        <w:rPr>
          <w:rFonts w:eastAsia="Times New Roman" w:cs="Arial"/>
          <w:color w:val="000000"/>
          <w:lang w:val="en-US"/>
        </w:rPr>
        <w:t>kg</w:t>
      </w:r>
      <w:r w:rsidRPr="0077293C">
        <w:rPr>
          <w:rFonts w:eastAsia="Times New Roman" w:cs="Arial"/>
          <w:color w:val="000000"/>
          <w:lang w:val="ru-RU"/>
        </w:rPr>
        <w:t>/</w:t>
      </w:r>
      <w:r w:rsidRPr="0077293C">
        <w:rPr>
          <w:rFonts w:eastAsia="Times New Roman" w:cs="Arial"/>
          <w:color w:val="000000"/>
          <w:lang w:val="en-US"/>
        </w:rPr>
        <w:t>m</w:t>
      </w:r>
      <w:r w:rsidRPr="0077293C">
        <w:rPr>
          <w:rFonts w:eastAsia="Times New Roman" w:cs="Arial"/>
          <w:color w:val="000000"/>
          <w:vertAlign w:val="superscript"/>
          <w:lang w:val="ru-RU"/>
        </w:rPr>
        <w:t>2</w:t>
      </w:r>
      <w:r w:rsidRPr="0077293C">
        <w:rPr>
          <w:rFonts w:eastAsia="Times New Roman" w:cs="Arial"/>
          <w:color w:val="000000"/>
          <w:lang w:val="ru-RU"/>
        </w:rPr>
        <w:t xml:space="preserve">, </w:t>
      </w:r>
      <w:r w:rsidRPr="0077293C">
        <w:rPr>
          <w:rFonts w:eastAsia="Times New Roman" w:cs="Arial"/>
          <w:color w:val="000000"/>
          <w:lang w:eastAsia="bg-BG"/>
        </w:rPr>
        <w:t xml:space="preserve">повишени стойности на триглицеридите, </w:t>
      </w:r>
      <w:r w:rsidRPr="0077293C">
        <w:rPr>
          <w:rFonts w:eastAsia="Times New Roman" w:cs="Arial"/>
          <w:color w:val="000000"/>
          <w:lang w:eastAsia="bg-BG"/>
        </w:rPr>
        <w:lastRenderedPageBreak/>
        <w:t>хипертония) трябва да се проследяват както клинично, така и биохимично, съгласно националните ръководства.</w:t>
      </w:r>
    </w:p>
    <w:p w14:paraId="073B2AFC" w14:textId="77777777" w:rsidR="0077293C" w:rsidRDefault="0077293C" w:rsidP="0077293C">
      <w:pPr>
        <w:spacing w:line="240" w:lineRule="auto"/>
        <w:rPr>
          <w:rFonts w:eastAsia="Times New Roman" w:cs="Arial"/>
          <w:color w:val="000000"/>
          <w:lang w:eastAsia="bg-BG"/>
        </w:rPr>
      </w:pPr>
    </w:p>
    <w:p w14:paraId="4480D6A0" w14:textId="48C9F7FB"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В проучването </w:t>
      </w:r>
      <w:r w:rsidRPr="0077293C">
        <w:rPr>
          <w:rFonts w:eastAsia="Times New Roman" w:cs="Arial"/>
          <w:color w:val="000000"/>
          <w:lang w:val="en-US"/>
        </w:rPr>
        <w:t>JUPITER</w:t>
      </w:r>
      <w:r w:rsidRPr="0077293C">
        <w:rPr>
          <w:rFonts w:eastAsia="Times New Roman" w:cs="Arial"/>
          <w:color w:val="000000"/>
          <w:lang w:val="ru-RU"/>
        </w:rPr>
        <w:t xml:space="preserve">, </w:t>
      </w:r>
      <w:r w:rsidRPr="0077293C">
        <w:rPr>
          <w:rFonts w:eastAsia="Times New Roman" w:cs="Arial"/>
          <w:color w:val="000000"/>
          <w:lang w:eastAsia="bg-BG"/>
        </w:rPr>
        <w:t xml:space="preserve">съобщената обща честота на захарен диабет е 2,8% за розувастатин и 2,3% за плацебо, главно при пациенти с глюкоза на гладно 5,6 до 6,9 </w:t>
      </w:r>
      <w:proofErr w:type="spellStart"/>
      <w:r w:rsidRPr="0077293C">
        <w:rPr>
          <w:rFonts w:eastAsia="Times New Roman" w:cs="Arial"/>
          <w:color w:val="000000"/>
          <w:lang w:val="en-US"/>
        </w:rPr>
        <w:t>mmol</w:t>
      </w:r>
      <w:proofErr w:type="spellEnd"/>
      <w:r w:rsidRPr="0077293C">
        <w:rPr>
          <w:rFonts w:eastAsia="Times New Roman" w:cs="Arial"/>
          <w:color w:val="000000"/>
          <w:lang w:val="ru-RU"/>
        </w:rPr>
        <w:t>/1</w:t>
      </w:r>
      <w:r w:rsidRPr="0077293C">
        <w:rPr>
          <w:rFonts w:eastAsia="Times New Roman" w:cs="Arial"/>
          <w:color w:val="000000"/>
          <w:lang w:eastAsia="bg-BG"/>
        </w:rPr>
        <w:t>,.</w:t>
      </w:r>
    </w:p>
    <w:p w14:paraId="29DC5FDD" w14:textId="77777777" w:rsidR="0077293C" w:rsidRDefault="0077293C" w:rsidP="0077293C">
      <w:pPr>
        <w:spacing w:line="240" w:lineRule="auto"/>
        <w:rPr>
          <w:rFonts w:eastAsia="Times New Roman" w:cs="Arial"/>
          <w:color w:val="000000"/>
          <w:u w:val="single"/>
          <w:lang w:eastAsia="bg-BG"/>
        </w:rPr>
      </w:pPr>
    </w:p>
    <w:p w14:paraId="1DB68FDE" w14:textId="03ECAE03"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Педиатрична популация</w:t>
      </w:r>
    </w:p>
    <w:p w14:paraId="7FBA0605"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Оценяването на линейното израстване (височина), тегло, </w:t>
      </w:r>
      <w:r w:rsidRPr="0077293C">
        <w:rPr>
          <w:rFonts w:eastAsia="Times New Roman" w:cs="Arial"/>
          <w:color w:val="000000"/>
          <w:lang w:val="en-US"/>
        </w:rPr>
        <w:t>BMI</w:t>
      </w:r>
      <w:r w:rsidRPr="0077293C">
        <w:rPr>
          <w:rFonts w:eastAsia="Times New Roman" w:cs="Arial"/>
          <w:color w:val="000000"/>
          <w:lang w:val="ru-RU"/>
        </w:rPr>
        <w:t xml:space="preserve"> </w:t>
      </w:r>
      <w:r w:rsidRPr="0077293C">
        <w:rPr>
          <w:rFonts w:eastAsia="Times New Roman" w:cs="Arial"/>
          <w:color w:val="000000"/>
          <w:lang w:eastAsia="bg-BG"/>
        </w:rPr>
        <w:t xml:space="preserve">(индекс на телесната маса), и вторичните полови белези на половото съзряване по скалата на </w:t>
      </w:r>
      <w:r w:rsidRPr="0077293C">
        <w:rPr>
          <w:rFonts w:eastAsia="Times New Roman" w:cs="Arial"/>
          <w:color w:val="000000"/>
          <w:lang w:val="en-US"/>
        </w:rPr>
        <w:t>Tanner</w:t>
      </w:r>
      <w:r w:rsidRPr="0077293C">
        <w:rPr>
          <w:rFonts w:eastAsia="Times New Roman" w:cs="Arial"/>
          <w:color w:val="000000"/>
          <w:lang w:val="ru-RU"/>
        </w:rPr>
        <w:t xml:space="preserve"> </w:t>
      </w:r>
      <w:r w:rsidRPr="0077293C">
        <w:rPr>
          <w:rFonts w:eastAsia="Times New Roman" w:cs="Arial"/>
          <w:color w:val="000000"/>
          <w:lang w:eastAsia="bg-BG"/>
        </w:rPr>
        <w:t xml:space="preserve">при педиатрични пациенти на възраст 6 до 17 години приемащи розувастатин е ограничено до двугодишен период. След две години на третиране по време на проучването, не е забелязан никакъв ефект върху растежа, теглото, </w:t>
      </w:r>
      <w:r w:rsidRPr="0077293C">
        <w:rPr>
          <w:rFonts w:eastAsia="Times New Roman" w:cs="Arial"/>
          <w:color w:val="000000"/>
          <w:lang w:val="en-US"/>
        </w:rPr>
        <w:t>BMI</w:t>
      </w:r>
      <w:r w:rsidRPr="0077293C">
        <w:rPr>
          <w:rFonts w:eastAsia="Times New Roman" w:cs="Arial"/>
          <w:color w:val="000000"/>
          <w:lang w:val="ru-RU"/>
        </w:rPr>
        <w:t xml:space="preserve"> </w:t>
      </w:r>
      <w:r w:rsidRPr="0077293C">
        <w:rPr>
          <w:rFonts w:eastAsia="Times New Roman" w:cs="Arial"/>
          <w:color w:val="000000"/>
          <w:lang w:eastAsia="bg-BG"/>
        </w:rPr>
        <w:t>или половото съзряване (вж. точка 5.1).</w:t>
      </w:r>
    </w:p>
    <w:p w14:paraId="1E85EDDF"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В клинично проучване на деца и юноши, приемащи розувастатин за 52 седмици, повишаване на СК </w:t>
      </w:r>
      <w:r w:rsidRPr="0077293C">
        <w:rPr>
          <w:rFonts w:eastAsia="Times New Roman" w:cs="Arial"/>
          <w:color w:val="000000"/>
          <w:lang w:val="ru-RU"/>
        </w:rPr>
        <w:t>&gt;10</w:t>
      </w:r>
      <w:proofErr w:type="spellStart"/>
      <w:r w:rsidRPr="0077293C">
        <w:rPr>
          <w:rFonts w:eastAsia="Times New Roman" w:cs="Arial"/>
          <w:color w:val="000000"/>
          <w:lang w:val="en-US"/>
        </w:rPr>
        <w:t>xULN</w:t>
      </w:r>
      <w:proofErr w:type="spellEnd"/>
      <w:r w:rsidRPr="0077293C">
        <w:rPr>
          <w:rFonts w:eastAsia="Times New Roman" w:cs="Arial"/>
          <w:color w:val="000000"/>
          <w:lang w:val="ru-RU"/>
        </w:rPr>
        <w:t xml:space="preserve"> </w:t>
      </w:r>
      <w:r w:rsidRPr="0077293C">
        <w:rPr>
          <w:rFonts w:eastAsia="Times New Roman" w:cs="Arial"/>
          <w:color w:val="000000"/>
          <w:lang w:eastAsia="bg-BG"/>
        </w:rPr>
        <w:t>и мускулните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42C6F7C3" w14:textId="065672A9" w:rsidR="0077293C" w:rsidRPr="0077293C" w:rsidRDefault="0077293C" w:rsidP="0077293C"/>
    <w:p w14:paraId="619DED1E" w14:textId="3D797AE9"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86D1B5A" w14:textId="0CBF3C51" w:rsidR="0077293C" w:rsidRDefault="0077293C" w:rsidP="0077293C"/>
    <w:p w14:paraId="1F79A334" w14:textId="2128535D" w:rsidR="0077293C" w:rsidRPr="0077293C" w:rsidRDefault="0077293C" w:rsidP="0077293C">
      <w:pPr>
        <w:rPr>
          <w:rFonts w:cs="Arial"/>
          <w:u w:val="single"/>
        </w:rPr>
      </w:pPr>
      <w:r w:rsidRPr="0077293C">
        <w:rPr>
          <w:rFonts w:cs="Arial"/>
          <w:u w:val="single"/>
        </w:rPr>
        <w:t>Влияние на едновременно прилагани лекарствени продукти върху розувастатин</w:t>
      </w:r>
    </w:p>
    <w:p w14:paraId="2312DBCC" w14:textId="2586DFC0" w:rsidR="0077293C" w:rsidRPr="0077293C" w:rsidRDefault="0077293C" w:rsidP="0077293C">
      <w:pPr>
        <w:rPr>
          <w:rFonts w:cs="Arial"/>
          <w:u w:val="single"/>
        </w:rPr>
      </w:pPr>
    </w:p>
    <w:p w14:paraId="439AF0CB" w14:textId="77777777"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Инхибитори на транспортерните протеини: </w:t>
      </w:r>
      <w:r w:rsidRPr="0077293C">
        <w:rPr>
          <w:rFonts w:eastAsia="Times New Roman" w:cs="Arial"/>
          <w:color w:val="000000"/>
          <w:lang w:eastAsia="bg-BG"/>
        </w:rPr>
        <w:t xml:space="preserve">Розувастатин е субстрат на определени транспортерни протеини, включително чернодробния ъптейк транспортер ОАТР1В1 и ефлукс транспортера </w:t>
      </w:r>
      <w:r w:rsidRPr="0077293C">
        <w:rPr>
          <w:rFonts w:eastAsia="Times New Roman" w:cs="Arial"/>
          <w:color w:val="000000"/>
          <w:lang w:val="en-US"/>
        </w:rPr>
        <w:t>BCRP</w:t>
      </w:r>
      <w:r w:rsidRPr="0077293C">
        <w:rPr>
          <w:rFonts w:eastAsia="Times New Roman" w:cs="Arial"/>
          <w:color w:val="000000"/>
          <w:lang w:val="ru-RU"/>
        </w:rPr>
        <w:t xml:space="preserve">. </w:t>
      </w:r>
      <w:r w:rsidRPr="0077293C">
        <w:rPr>
          <w:rFonts w:eastAsia="Times New Roman" w:cs="Arial"/>
          <w:color w:val="000000"/>
          <w:lang w:eastAsia="bg-BG"/>
        </w:rPr>
        <w:t>Едновременното приложение на розувастатин с лекарствени продукти, които са инхибитори на тези транспортерни протеини, може да доведе до повишаване на плазмената концентрация на розувастатин и повишен риск от миопатия (вж, таблица 1 и точки 4.2 и 4.4).</w:t>
      </w:r>
    </w:p>
    <w:p w14:paraId="325BAF61" w14:textId="77777777" w:rsidR="0077293C" w:rsidRDefault="0077293C" w:rsidP="0077293C">
      <w:pPr>
        <w:spacing w:line="240" w:lineRule="auto"/>
        <w:rPr>
          <w:rFonts w:eastAsia="Times New Roman" w:cs="Arial"/>
          <w:i/>
          <w:iCs/>
          <w:color w:val="000000"/>
          <w:lang w:eastAsia="bg-BG"/>
        </w:rPr>
      </w:pPr>
    </w:p>
    <w:p w14:paraId="2A147703" w14:textId="585AE6F8" w:rsidR="0077293C" w:rsidRPr="0077293C" w:rsidRDefault="0077293C" w:rsidP="0077293C">
      <w:pPr>
        <w:spacing w:line="240" w:lineRule="auto"/>
        <w:rPr>
          <w:rFonts w:eastAsia="Times New Roman" w:cs="Arial"/>
        </w:rPr>
      </w:pPr>
      <w:r w:rsidRPr="0077293C">
        <w:rPr>
          <w:rFonts w:eastAsia="Times New Roman" w:cs="Arial"/>
          <w:i/>
          <w:iCs/>
          <w:color w:val="000000"/>
          <w:lang w:eastAsia="bg-BG"/>
        </w:rPr>
        <w:t>Циклоспорин:</w:t>
      </w:r>
      <w:r w:rsidRPr="0077293C">
        <w:rPr>
          <w:rFonts w:eastAsia="Times New Roman" w:cs="Arial"/>
          <w:color w:val="000000"/>
          <w:lang w:eastAsia="bg-BG"/>
        </w:rPr>
        <w:t xml:space="preserve"> При едновременното приложение на розувастатин с циклоспорин, средните стойности на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на розувастатин са били средно 7 пъти по-високи от тези, наблюдавани при здрави доброволци, на които е приложена същата доза (вж. таблица 1). Русокон е противопоказан при пациенти, които едновременно приемат циклоспорин (вж.точка 4,3).</w:t>
      </w:r>
    </w:p>
    <w:p w14:paraId="50E1238E" w14:textId="77777777" w:rsidR="0077293C" w:rsidRDefault="0077293C" w:rsidP="0077293C">
      <w:pPr>
        <w:spacing w:line="240" w:lineRule="auto"/>
        <w:rPr>
          <w:rFonts w:eastAsia="Times New Roman" w:cs="Arial"/>
          <w:color w:val="000000"/>
          <w:lang w:eastAsia="bg-BG"/>
        </w:rPr>
      </w:pPr>
    </w:p>
    <w:p w14:paraId="6E266AB4" w14:textId="0263FCAD" w:rsidR="0077293C" w:rsidRPr="0077293C" w:rsidRDefault="0077293C" w:rsidP="0077293C">
      <w:pPr>
        <w:spacing w:line="240" w:lineRule="auto"/>
        <w:rPr>
          <w:rFonts w:eastAsia="Times New Roman" w:cs="Arial"/>
        </w:rPr>
      </w:pPr>
      <w:r w:rsidRPr="0077293C">
        <w:rPr>
          <w:rFonts w:eastAsia="Times New Roman" w:cs="Arial"/>
          <w:color w:val="000000"/>
          <w:lang w:eastAsia="bg-BG"/>
        </w:rPr>
        <w:t>Едновременното приложение не е повлияло плазмените концентрации на циклоспорин.</w:t>
      </w:r>
    </w:p>
    <w:p w14:paraId="5F1852D6" w14:textId="77777777" w:rsidR="0077293C" w:rsidRDefault="0077293C" w:rsidP="0077293C">
      <w:pPr>
        <w:spacing w:line="240" w:lineRule="auto"/>
        <w:rPr>
          <w:rFonts w:eastAsia="Times New Roman" w:cs="Arial"/>
          <w:i/>
          <w:iCs/>
          <w:color w:val="000000"/>
          <w:lang w:eastAsia="bg-BG"/>
        </w:rPr>
      </w:pPr>
    </w:p>
    <w:p w14:paraId="52D87992" w14:textId="681DECF5" w:rsidR="0077293C" w:rsidRPr="0077293C" w:rsidRDefault="0077293C" w:rsidP="0077293C">
      <w:pPr>
        <w:spacing w:line="240" w:lineRule="auto"/>
        <w:rPr>
          <w:rFonts w:eastAsia="Times New Roman" w:cs="Arial"/>
        </w:rPr>
      </w:pPr>
      <w:r w:rsidRPr="0077293C">
        <w:rPr>
          <w:rFonts w:eastAsia="Times New Roman" w:cs="Arial"/>
          <w:i/>
          <w:iCs/>
          <w:color w:val="000000"/>
          <w:lang w:eastAsia="bg-BG"/>
        </w:rPr>
        <w:t>Протеазни инхибитори:</w:t>
      </w:r>
      <w:r w:rsidRPr="0077293C">
        <w:rPr>
          <w:rFonts w:eastAsia="Times New Roman" w:cs="Arial"/>
          <w:color w:val="000000"/>
          <w:lang w:eastAsia="bg-BG"/>
        </w:rPr>
        <w:t xml:space="preserve"> Въпреки че 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 таблица 1). Например, едновременното приложение на 10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розувастатин и комбиниран продукт, състоящ се от два протеазни инхибитора (300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атазанавир/100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ритонавир) по време на едно фармакокииетично проучване при здрави доброволци, се асоциира с приблизително трикратно нарастване на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на розувастатин. Едновременното приложение на розувастатин и някои комбинации от протеазни инхибитори може да се има предвид след внимателно преценяване на корекциите на дозата на розувастатин на база очакваното повишение на експозицията на розувастатин (таблица 1 и точки 4.2 и 4.4).</w:t>
      </w:r>
    </w:p>
    <w:p w14:paraId="73CD71B8" w14:textId="77777777" w:rsidR="0077293C" w:rsidRDefault="0077293C" w:rsidP="0077293C">
      <w:pPr>
        <w:spacing w:line="240" w:lineRule="auto"/>
        <w:rPr>
          <w:rFonts w:eastAsia="Times New Roman" w:cs="Arial"/>
          <w:b/>
          <w:bCs/>
          <w:color w:val="000000"/>
          <w:lang w:eastAsia="bg-BG"/>
        </w:rPr>
      </w:pPr>
    </w:p>
    <w:p w14:paraId="55BCAB62" w14:textId="432EC1CB"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lastRenderedPageBreak/>
        <w:t xml:space="preserve">Гемфиброзил и други липидопонижаващн продукти: </w:t>
      </w:r>
      <w:r w:rsidRPr="0077293C">
        <w:rPr>
          <w:rFonts w:eastAsia="Times New Roman" w:cs="Arial"/>
          <w:color w:val="000000"/>
          <w:lang w:eastAsia="bg-BG"/>
        </w:rPr>
        <w:t xml:space="preserve">Едновременното </w:t>
      </w:r>
      <w:r w:rsidRPr="0077293C">
        <w:rPr>
          <w:rFonts w:eastAsia="Times New Roman" w:cs="Arial"/>
          <w:b/>
          <w:bCs/>
          <w:color w:val="000000"/>
          <w:lang w:eastAsia="bg-BG"/>
        </w:rPr>
        <w:t xml:space="preserve">приложение на </w:t>
      </w:r>
      <w:r w:rsidRPr="0077293C">
        <w:rPr>
          <w:rFonts w:eastAsia="Times New Roman" w:cs="Arial"/>
          <w:color w:val="000000"/>
          <w:lang w:eastAsia="bg-BG"/>
        </w:rPr>
        <w:t xml:space="preserve">розувастатин и гемфиброзил е довело до двукратно повишение на Стах и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на розувастатин (вж. точка 4.4).</w:t>
      </w:r>
    </w:p>
    <w:p w14:paraId="6359408F" w14:textId="77777777" w:rsidR="0077293C" w:rsidRDefault="0077293C" w:rsidP="0077293C">
      <w:pPr>
        <w:spacing w:line="240" w:lineRule="auto"/>
        <w:rPr>
          <w:rFonts w:eastAsia="Times New Roman" w:cs="Arial"/>
          <w:color w:val="000000"/>
          <w:lang w:eastAsia="bg-BG"/>
        </w:rPr>
      </w:pPr>
    </w:p>
    <w:p w14:paraId="4207A42B" w14:textId="2B908C0B"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Данните от фармакокинетичните проучвания, изследващи лекарствените взаимодействия, показват, че не се очаква значимо взаимодействие с фенофибрат, но е възможна поява на фармакодинамични взаимодействия. Гемфиброзил, фенофибрат и други фибрати и липидопонижаващите дози (в дози &gt;1 </w:t>
      </w:r>
      <w:r w:rsidRPr="0077293C">
        <w:rPr>
          <w:rFonts w:eastAsia="Times New Roman" w:cs="Arial"/>
          <w:color w:val="000000"/>
          <w:lang w:val="en-US"/>
        </w:rPr>
        <w:t>g</w:t>
      </w:r>
      <w:r w:rsidRPr="0077293C">
        <w:rPr>
          <w:rFonts w:eastAsia="Times New Roman" w:cs="Arial"/>
          <w:color w:val="000000"/>
          <w:lang w:val="ru-RU"/>
        </w:rPr>
        <w:t xml:space="preserve"> </w:t>
      </w:r>
      <w:r w:rsidRPr="0077293C">
        <w:rPr>
          <w:rFonts w:eastAsia="Times New Roman" w:cs="Arial"/>
          <w:color w:val="000000"/>
          <w:lang w:eastAsia="bg-BG"/>
        </w:rPr>
        <w:t xml:space="preserve">на ден) ниацин (никотинова киселина), повишават риска от поява на миопатия при комбиниране с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 xml:space="preserve">редуктазата, най-вероятно поради факта, че последните могат да предизвикат появата на миопатия и при монотерапия. Дозата от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е противопоказана при едновременен прием на фибрати (вж. точки 4.3 и точка 4.4). При тези пациенти лечението също трябва да започне с 5 </w:t>
      </w:r>
      <w:r w:rsidRPr="0077293C">
        <w:rPr>
          <w:rFonts w:eastAsia="Times New Roman" w:cs="Arial"/>
          <w:color w:val="000000"/>
          <w:lang w:val="en-US"/>
        </w:rPr>
        <w:t>mg</w:t>
      </w:r>
      <w:r w:rsidRPr="0077293C">
        <w:rPr>
          <w:rFonts w:eastAsia="Times New Roman" w:cs="Arial"/>
          <w:color w:val="000000"/>
          <w:lang w:val="ru-RU"/>
        </w:rPr>
        <w:t>.</w:t>
      </w:r>
    </w:p>
    <w:p w14:paraId="365615B2" w14:textId="77777777" w:rsidR="0077293C" w:rsidRDefault="0077293C" w:rsidP="0077293C">
      <w:pPr>
        <w:spacing w:line="240" w:lineRule="auto"/>
        <w:rPr>
          <w:rFonts w:eastAsia="Times New Roman" w:cs="Arial"/>
          <w:b/>
          <w:bCs/>
          <w:color w:val="000000"/>
          <w:lang w:eastAsia="bg-BG"/>
        </w:rPr>
      </w:pPr>
    </w:p>
    <w:p w14:paraId="3A31F018" w14:textId="720EA17C"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Езетимиб: </w:t>
      </w:r>
      <w:r w:rsidRPr="0077293C">
        <w:rPr>
          <w:rFonts w:eastAsia="Times New Roman" w:cs="Arial"/>
          <w:color w:val="000000"/>
          <w:lang w:eastAsia="bg-BG"/>
        </w:rPr>
        <w:t xml:space="preserve">Едновременното приложение на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розувастатин и 10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езетимиб не води </w:t>
      </w:r>
      <w:r w:rsidRPr="0077293C">
        <w:rPr>
          <w:rFonts w:eastAsia="Times New Roman" w:cs="Arial"/>
          <w:b/>
          <w:bCs/>
          <w:color w:val="000000"/>
          <w:lang w:eastAsia="bg-BG"/>
        </w:rPr>
        <w:t xml:space="preserve">до </w:t>
      </w:r>
      <w:r w:rsidRPr="0077293C">
        <w:rPr>
          <w:rFonts w:eastAsia="Times New Roman" w:cs="Arial"/>
          <w:color w:val="000000"/>
          <w:lang w:eastAsia="bg-BG"/>
        </w:rPr>
        <w:t xml:space="preserve">промени в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 xml:space="preserve">и на двата продукта, когато се прилагат при здрави доброволци. Има 1,2 пъти повишение на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 xml:space="preserve">на розувастатин, когато 10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розувастатин и 10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езетимиб са приложени при пациенти с хиперхолестеролемия (таблица 1). Не може да се изключи фармакодинамично взаимодействие между тях, което да има за резултат нежелани реакции (вж, точка 4.4),</w:t>
      </w:r>
    </w:p>
    <w:p w14:paraId="394C07F7" w14:textId="77777777" w:rsidR="0077293C" w:rsidRDefault="0077293C" w:rsidP="0077293C">
      <w:pPr>
        <w:spacing w:line="240" w:lineRule="auto"/>
        <w:rPr>
          <w:rFonts w:eastAsia="Times New Roman" w:cs="Arial"/>
          <w:b/>
          <w:bCs/>
          <w:color w:val="000000"/>
          <w:lang w:eastAsia="bg-BG"/>
        </w:rPr>
      </w:pPr>
    </w:p>
    <w:p w14:paraId="28D4A6D5" w14:textId="1F8B2D0D"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Антиацнди: </w:t>
      </w:r>
      <w:r w:rsidRPr="0077293C">
        <w:rPr>
          <w:rFonts w:eastAsia="Times New Roman" w:cs="Arial"/>
          <w:color w:val="000000"/>
          <w:lang w:eastAsia="bg-BG"/>
        </w:rPr>
        <w:t xml:space="preserve">Едновременното приложение на розувастатин с антиацидна суспензия, </w:t>
      </w:r>
      <w:r w:rsidRPr="0077293C">
        <w:rPr>
          <w:rFonts w:eastAsia="Times New Roman" w:cs="Arial"/>
          <w:bCs/>
          <w:color w:val="000000"/>
          <w:lang w:eastAsia="bg-BG"/>
        </w:rPr>
        <w:t>съдържаща</w:t>
      </w:r>
      <w:r w:rsidRPr="0077293C">
        <w:rPr>
          <w:rFonts w:eastAsia="Times New Roman" w:cs="Arial"/>
          <w:b/>
          <w:bCs/>
          <w:color w:val="000000"/>
          <w:lang w:eastAsia="bg-BG"/>
        </w:rPr>
        <w:t xml:space="preserve"> </w:t>
      </w:r>
      <w:r w:rsidRPr="0077293C">
        <w:rPr>
          <w:rFonts w:eastAsia="Times New Roman" w:cs="Arial"/>
          <w:color w:val="000000"/>
          <w:lang w:eastAsia="bg-BG"/>
        </w:rPr>
        <w:t>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розувастатин. Клиничното значение на това взаимодействие не е изследвано.</w:t>
      </w:r>
    </w:p>
    <w:p w14:paraId="3A23F820" w14:textId="77777777" w:rsidR="0077293C" w:rsidRDefault="0077293C" w:rsidP="0077293C">
      <w:pPr>
        <w:spacing w:line="240" w:lineRule="auto"/>
        <w:rPr>
          <w:rFonts w:eastAsia="Times New Roman" w:cs="Arial"/>
          <w:b/>
          <w:bCs/>
          <w:color w:val="000000"/>
          <w:lang w:eastAsia="bg-BG"/>
        </w:rPr>
      </w:pPr>
    </w:p>
    <w:p w14:paraId="0110F241" w14:textId="34DA6A12"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Еритромицин: </w:t>
      </w:r>
      <w:r w:rsidRPr="0077293C">
        <w:rPr>
          <w:rFonts w:eastAsia="Times New Roman" w:cs="Arial"/>
          <w:color w:val="000000"/>
          <w:lang w:eastAsia="bg-BG"/>
        </w:rPr>
        <w:t xml:space="preserve">Едновременният прием на розувастатин и еритромицин е довел до 20% </w:t>
      </w:r>
      <w:r w:rsidRPr="0077293C">
        <w:rPr>
          <w:rFonts w:eastAsia="Times New Roman" w:cs="Arial"/>
          <w:bCs/>
          <w:color w:val="000000"/>
          <w:lang w:eastAsia="bg-BG"/>
        </w:rPr>
        <w:t>намаление на</w:t>
      </w:r>
      <w:r w:rsidRPr="0077293C">
        <w:rPr>
          <w:rFonts w:eastAsia="Times New Roman" w:cs="Arial"/>
          <w:b/>
          <w:bCs/>
          <w:color w:val="000000"/>
          <w:lang w:eastAsia="bg-BG"/>
        </w:rPr>
        <w:t xml:space="preserve"> </w:t>
      </w:r>
      <w:r w:rsidRPr="0077293C">
        <w:rPr>
          <w:rFonts w:eastAsia="Times New Roman" w:cs="Arial"/>
          <w:color w:val="000000"/>
          <w:lang w:val="en-US"/>
        </w:rPr>
        <w:t>AUC</w:t>
      </w:r>
      <w:r w:rsidRPr="0077293C">
        <w:rPr>
          <w:rFonts w:eastAsia="Times New Roman" w:cs="Arial"/>
          <w:color w:val="000000"/>
          <w:lang w:val="ru-RU"/>
        </w:rPr>
        <w:t>(</w:t>
      </w:r>
      <w:r w:rsidRPr="0077293C">
        <w:rPr>
          <w:rFonts w:eastAsia="Times New Roman" w:cs="Arial"/>
          <w:color w:val="000000"/>
          <w:lang w:val="en-US"/>
        </w:rPr>
        <w:t>o</w:t>
      </w:r>
      <w:r w:rsidRPr="0077293C">
        <w:rPr>
          <w:rFonts w:eastAsia="Times New Roman" w:cs="Arial"/>
          <w:color w:val="000000"/>
          <w:lang w:val="ru-RU"/>
        </w:rPr>
        <w:t>-</w:t>
      </w:r>
      <w:r w:rsidRPr="0077293C">
        <w:rPr>
          <w:rFonts w:eastAsia="Times New Roman" w:cs="Arial"/>
          <w:color w:val="000000"/>
          <w:lang w:val="en-US"/>
        </w:rPr>
        <w:t>t</w:t>
      </w:r>
      <w:r w:rsidRPr="0077293C">
        <w:rPr>
          <w:rFonts w:eastAsia="Times New Roman" w:cs="Arial"/>
          <w:color w:val="000000"/>
          <w:lang w:val="ru-RU"/>
        </w:rPr>
        <w:t xml:space="preserve">) </w:t>
      </w:r>
      <w:r w:rsidRPr="0077293C">
        <w:rPr>
          <w:rFonts w:eastAsia="Times New Roman" w:cs="Arial"/>
          <w:color w:val="000000"/>
          <w:lang w:eastAsia="bg-BG"/>
        </w:rPr>
        <w:t>и 30% намаление на С</w:t>
      </w:r>
      <w:r w:rsidRPr="0077293C">
        <w:rPr>
          <w:rFonts w:eastAsia="Times New Roman" w:cs="Arial"/>
          <w:color w:val="000000"/>
          <w:vertAlign w:val="subscript"/>
          <w:lang w:val="en-US"/>
        </w:rPr>
        <w:t>max</w:t>
      </w:r>
      <w:r w:rsidRPr="0077293C">
        <w:rPr>
          <w:rFonts w:eastAsia="Times New Roman" w:cs="Arial"/>
          <w:color w:val="000000"/>
          <w:lang w:eastAsia="bg-BG"/>
        </w:rPr>
        <w:t xml:space="preserve"> на розувастатин. Взаимодействието може да е предизвикано от повишения чревен мотилитет, вследствие на приема на еритромицин.</w:t>
      </w:r>
    </w:p>
    <w:p w14:paraId="4A6F9A82" w14:textId="77777777" w:rsidR="0077293C" w:rsidRDefault="0077293C" w:rsidP="0077293C">
      <w:pPr>
        <w:spacing w:line="240" w:lineRule="auto"/>
        <w:rPr>
          <w:rFonts w:eastAsia="Times New Roman" w:cs="Arial"/>
          <w:b/>
          <w:bCs/>
          <w:color w:val="000000"/>
          <w:lang w:eastAsia="bg-BG"/>
        </w:rPr>
      </w:pPr>
    </w:p>
    <w:p w14:paraId="022A55EC" w14:textId="10F2B753"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Ензими от системата на цитохром Р450: </w:t>
      </w:r>
      <w:r w:rsidRPr="0077293C">
        <w:rPr>
          <w:rFonts w:eastAsia="Times New Roman" w:cs="Arial"/>
          <w:color w:val="000000"/>
          <w:lang w:eastAsia="bg-BG"/>
        </w:rPr>
        <w:t xml:space="preserve">Данните от </w:t>
      </w:r>
      <w:r w:rsidRPr="0077293C">
        <w:rPr>
          <w:rFonts w:eastAsia="Times New Roman" w:cs="Arial"/>
          <w:i/>
          <w:iCs/>
          <w:color w:val="000000"/>
          <w:lang w:val="en-US"/>
        </w:rPr>
        <w:t>in</w:t>
      </w:r>
      <w:r w:rsidRPr="0077293C">
        <w:rPr>
          <w:rFonts w:eastAsia="Times New Roman" w:cs="Arial"/>
          <w:i/>
          <w:iCs/>
          <w:color w:val="000000"/>
          <w:lang w:val="ru-RU"/>
        </w:rPr>
        <w:t xml:space="preserve"> </w:t>
      </w:r>
      <w:r w:rsidRPr="0077293C">
        <w:rPr>
          <w:rFonts w:eastAsia="Times New Roman" w:cs="Arial"/>
          <w:i/>
          <w:iCs/>
          <w:color w:val="000000"/>
          <w:lang w:val="en-US"/>
        </w:rPr>
        <w:t>vitro</w:t>
      </w:r>
      <w:r w:rsidRPr="0077293C">
        <w:rPr>
          <w:rFonts w:eastAsia="Times New Roman" w:cs="Arial"/>
          <w:color w:val="000000"/>
          <w:lang w:val="ru-RU"/>
        </w:rPr>
        <w:t xml:space="preserve"> </w:t>
      </w:r>
      <w:r w:rsidRPr="0077293C">
        <w:rPr>
          <w:rFonts w:eastAsia="Times New Roman" w:cs="Arial"/>
          <w:color w:val="000000"/>
          <w:lang w:eastAsia="bg-BG"/>
        </w:rPr>
        <w:t xml:space="preserve">и </w:t>
      </w:r>
      <w:r w:rsidRPr="0077293C">
        <w:rPr>
          <w:rFonts w:eastAsia="Times New Roman" w:cs="Arial"/>
          <w:i/>
          <w:iCs/>
          <w:color w:val="000000"/>
          <w:lang w:val="en-US"/>
        </w:rPr>
        <w:t>in</w:t>
      </w:r>
      <w:r w:rsidRPr="0077293C">
        <w:rPr>
          <w:rFonts w:eastAsia="Times New Roman" w:cs="Arial"/>
          <w:i/>
          <w:iCs/>
          <w:color w:val="000000"/>
          <w:lang w:val="ru-RU"/>
        </w:rPr>
        <w:t xml:space="preserve"> </w:t>
      </w:r>
      <w:r w:rsidRPr="0077293C">
        <w:rPr>
          <w:rFonts w:eastAsia="Times New Roman" w:cs="Arial"/>
          <w:i/>
          <w:iCs/>
          <w:color w:val="000000"/>
          <w:lang w:val="en-US"/>
        </w:rPr>
        <w:t>vivo</w:t>
      </w:r>
      <w:r w:rsidRPr="0077293C">
        <w:rPr>
          <w:rFonts w:eastAsia="Times New Roman" w:cs="Arial"/>
          <w:color w:val="000000"/>
          <w:lang w:val="ru-RU"/>
        </w:rPr>
        <w:t xml:space="preserve"> </w:t>
      </w:r>
      <w:r w:rsidRPr="0077293C">
        <w:rPr>
          <w:rFonts w:eastAsia="Times New Roman" w:cs="Arial"/>
          <w:color w:val="000000"/>
          <w:lang w:eastAsia="bg-BG"/>
        </w:rPr>
        <w:t xml:space="preserve">проучвания показват, </w:t>
      </w:r>
      <w:r w:rsidRPr="0077293C">
        <w:rPr>
          <w:rFonts w:eastAsia="Times New Roman" w:cs="Arial"/>
          <w:bCs/>
          <w:color w:val="000000"/>
          <w:lang w:eastAsia="bg-BG"/>
        </w:rPr>
        <w:t>че</w:t>
      </w:r>
      <w:r w:rsidRPr="0077293C">
        <w:rPr>
          <w:rFonts w:eastAsia="Times New Roman" w:cs="Arial"/>
          <w:b/>
          <w:bCs/>
          <w:color w:val="000000"/>
          <w:lang w:eastAsia="bg-BG"/>
        </w:rPr>
        <w:t xml:space="preserve"> </w:t>
      </w:r>
      <w:r w:rsidRPr="0077293C">
        <w:rPr>
          <w:rFonts w:eastAsia="Times New Roman" w:cs="Arial"/>
          <w:color w:val="000000"/>
          <w:lang w:eastAsia="bg-BG"/>
        </w:rPr>
        <w:t>розувастатин не е нито инхибитор, нито индуктор на цитохром Р450 изоензимите. Розувастатин е слаб субстрат за тези изоензими. Следователно, лекарствени взаимодействия резултат</w:t>
      </w:r>
      <w:r w:rsidRPr="0077293C">
        <w:rPr>
          <w:rFonts w:eastAsia="Times New Roman" w:cs="Arial"/>
          <w:color w:val="000000"/>
          <w:lang w:val="ru-RU"/>
        </w:rPr>
        <w:t xml:space="preserve"> </w:t>
      </w:r>
      <w:r w:rsidRPr="0077293C">
        <w:rPr>
          <w:rFonts w:eastAsia="Times New Roman" w:cs="Arial"/>
          <w:color w:val="000000"/>
          <w:lang w:eastAsia="bg-BG"/>
        </w:rPr>
        <w:t>от цитохром</w:t>
      </w:r>
      <w:r w:rsidRPr="0077293C">
        <w:rPr>
          <w:rFonts w:eastAsia="Times New Roman" w:cs="Arial"/>
          <w:smallCaps/>
          <w:color w:val="000000"/>
          <w:lang w:eastAsia="bg-BG"/>
        </w:rPr>
        <w:t xml:space="preserve"> </w:t>
      </w:r>
      <w:r w:rsidRPr="0077293C">
        <w:rPr>
          <w:rFonts w:eastAsia="Times New Roman" w:cs="Arial"/>
          <w:color w:val="000000"/>
          <w:lang w:eastAsia="bg-BG"/>
        </w:rPr>
        <w:t>Р450-медиирания метаболизъм не се очакват. Не са наблюдавани клинично значими взаунидеиствия</w:t>
      </w:r>
    </w:p>
    <w:p w14:paraId="315E036F" w14:textId="77777777" w:rsidR="0077293C" w:rsidRPr="0077293C" w:rsidRDefault="0077293C" w:rsidP="0077293C">
      <w:pPr>
        <w:rPr>
          <w:rFonts w:eastAsia="Times New Roman" w:cs="Arial"/>
        </w:rPr>
      </w:pPr>
      <w:r w:rsidRPr="0077293C">
        <w:rPr>
          <w:rFonts w:eastAsia="Times New Roman" w:cs="Arial"/>
          <w:color w:val="000000"/>
          <w:lang w:eastAsia="bg-BG"/>
        </w:rPr>
        <w:t xml:space="preserve">между розувастатин и флуконазол (инхибитор на </w:t>
      </w:r>
      <w:r w:rsidRPr="0077293C">
        <w:rPr>
          <w:rFonts w:eastAsia="Times New Roman" w:cs="Arial"/>
          <w:color w:val="000000"/>
          <w:lang w:val="en-US"/>
        </w:rPr>
        <w:t>CYP</w:t>
      </w:r>
      <w:r w:rsidRPr="0077293C">
        <w:rPr>
          <w:rFonts w:eastAsia="Times New Roman" w:cs="Arial"/>
          <w:color w:val="000000"/>
          <w:lang w:val="ru-RU"/>
        </w:rPr>
        <w:t>2</w:t>
      </w:r>
      <w:r w:rsidRPr="0077293C">
        <w:rPr>
          <w:rFonts w:eastAsia="Times New Roman" w:cs="Arial"/>
          <w:color w:val="000000"/>
          <w:lang w:val="en-US"/>
        </w:rPr>
        <w:t>C</w:t>
      </w:r>
      <w:r w:rsidRPr="0077293C">
        <w:rPr>
          <w:rFonts w:eastAsia="Times New Roman" w:cs="Arial"/>
          <w:color w:val="000000"/>
          <w:lang w:val="ru-RU"/>
        </w:rPr>
        <w:t xml:space="preserve">9 </w:t>
      </w:r>
      <w:r w:rsidRPr="0077293C">
        <w:rPr>
          <w:rFonts w:eastAsia="Times New Roman" w:cs="Arial"/>
          <w:color w:val="000000"/>
          <w:lang w:eastAsia="bg-BG"/>
        </w:rPr>
        <w:t xml:space="preserve">и </w:t>
      </w:r>
      <w:r w:rsidRPr="0077293C">
        <w:rPr>
          <w:rFonts w:eastAsia="Times New Roman" w:cs="Arial"/>
          <w:color w:val="000000"/>
          <w:lang w:val="en-US"/>
        </w:rPr>
        <w:t>CYP</w:t>
      </w:r>
      <w:r w:rsidRPr="0077293C">
        <w:rPr>
          <w:rFonts w:eastAsia="Times New Roman" w:cs="Arial"/>
          <w:color w:val="000000"/>
          <w:lang w:val="ru-RU"/>
        </w:rPr>
        <w:t>3</w:t>
      </w:r>
      <w:r w:rsidRPr="0077293C">
        <w:rPr>
          <w:rFonts w:eastAsia="Times New Roman" w:cs="Arial"/>
          <w:color w:val="000000"/>
          <w:lang w:val="en-US"/>
        </w:rPr>
        <w:t>A</w:t>
      </w:r>
      <w:r w:rsidRPr="0077293C">
        <w:rPr>
          <w:rFonts w:eastAsia="Times New Roman" w:cs="Arial"/>
          <w:color w:val="000000"/>
          <w:lang w:val="ru-RU"/>
        </w:rPr>
        <w:t xml:space="preserve">4) </w:t>
      </w:r>
      <w:r w:rsidRPr="0077293C">
        <w:rPr>
          <w:rFonts w:eastAsia="Times New Roman" w:cs="Arial"/>
          <w:color w:val="000000"/>
          <w:lang w:eastAsia="bg-BG"/>
        </w:rPr>
        <w:t>или кетоконазол (инхибитор на</w:t>
      </w:r>
      <w:r w:rsidRPr="0077293C">
        <w:rPr>
          <w:rFonts w:eastAsia="Times New Roman" w:cs="Arial"/>
          <w:color w:val="000000"/>
          <w:lang w:val="ru-RU" w:eastAsia="bg-BG"/>
        </w:rPr>
        <w:t xml:space="preserve"> </w:t>
      </w:r>
      <w:r w:rsidRPr="0077293C">
        <w:rPr>
          <w:rFonts w:eastAsia="Times New Roman" w:cs="Arial"/>
          <w:color w:val="000000"/>
          <w:lang w:val="en-US"/>
        </w:rPr>
        <w:t>CYP</w:t>
      </w:r>
      <w:r w:rsidRPr="0077293C">
        <w:rPr>
          <w:rFonts w:eastAsia="Times New Roman" w:cs="Arial"/>
          <w:color w:val="000000"/>
          <w:lang w:val="ru-RU"/>
        </w:rPr>
        <w:t>2</w:t>
      </w:r>
      <w:r w:rsidRPr="0077293C">
        <w:rPr>
          <w:rFonts w:eastAsia="Times New Roman" w:cs="Arial"/>
          <w:color w:val="000000"/>
          <w:lang w:val="en-US"/>
        </w:rPr>
        <w:t>A</w:t>
      </w:r>
      <w:r w:rsidRPr="0077293C">
        <w:rPr>
          <w:rFonts w:eastAsia="Times New Roman" w:cs="Arial"/>
          <w:color w:val="000000"/>
          <w:lang w:val="ru-RU"/>
        </w:rPr>
        <w:t xml:space="preserve">6 </w:t>
      </w:r>
      <w:r w:rsidRPr="0077293C">
        <w:rPr>
          <w:rFonts w:eastAsia="Times New Roman" w:cs="Arial"/>
          <w:color w:val="000000"/>
          <w:lang w:eastAsia="bg-BG"/>
        </w:rPr>
        <w:t xml:space="preserve">и </w:t>
      </w:r>
      <w:r w:rsidRPr="0077293C">
        <w:rPr>
          <w:rFonts w:eastAsia="Times New Roman" w:cs="Arial"/>
          <w:color w:val="000000"/>
          <w:lang w:val="en-US"/>
        </w:rPr>
        <w:t>CYP</w:t>
      </w:r>
      <w:r w:rsidRPr="0077293C">
        <w:rPr>
          <w:rFonts w:eastAsia="Times New Roman" w:cs="Arial"/>
          <w:color w:val="000000"/>
          <w:lang w:val="ru-RU"/>
        </w:rPr>
        <w:t>3</w:t>
      </w:r>
      <w:r w:rsidRPr="0077293C">
        <w:rPr>
          <w:rFonts w:eastAsia="Times New Roman" w:cs="Arial"/>
          <w:color w:val="000000"/>
          <w:lang w:val="en-US"/>
        </w:rPr>
        <w:t>A</w:t>
      </w:r>
      <w:r w:rsidRPr="0077293C">
        <w:rPr>
          <w:rFonts w:eastAsia="Times New Roman" w:cs="Arial"/>
          <w:color w:val="000000"/>
          <w:lang w:val="ru-RU"/>
        </w:rPr>
        <w:t xml:space="preserve">4). </w:t>
      </w:r>
      <w:r w:rsidRPr="0077293C">
        <w:rPr>
          <w:rFonts w:eastAsia="Times New Roman" w:cs="Arial"/>
          <w:color w:val="000000"/>
          <w:lang w:eastAsia="bg-BG"/>
        </w:rPr>
        <w:t xml:space="preserve">Едновременният прием на итраконазол (инхибитор на </w:t>
      </w:r>
      <w:r w:rsidRPr="0077293C">
        <w:rPr>
          <w:rFonts w:eastAsia="Times New Roman" w:cs="Arial"/>
          <w:color w:val="000000"/>
          <w:lang w:val="en-US"/>
        </w:rPr>
        <w:t>CYP</w:t>
      </w:r>
      <w:r w:rsidRPr="0077293C">
        <w:rPr>
          <w:rFonts w:eastAsia="Times New Roman" w:cs="Arial"/>
          <w:color w:val="000000"/>
          <w:lang w:val="ru-RU"/>
        </w:rPr>
        <w:t>3</w:t>
      </w:r>
      <w:r w:rsidRPr="0077293C">
        <w:rPr>
          <w:rFonts w:eastAsia="Times New Roman" w:cs="Arial"/>
          <w:color w:val="000000"/>
          <w:lang w:val="en-US"/>
        </w:rPr>
        <w:t>A</w:t>
      </w:r>
      <w:r w:rsidRPr="0077293C">
        <w:rPr>
          <w:rFonts w:eastAsia="Times New Roman" w:cs="Arial"/>
          <w:color w:val="000000"/>
          <w:lang w:val="ru-RU"/>
        </w:rPr>
        <w:t xml:space="preserve">4) </w:t>
      </w:r>
      <w:r w:rsidRPr="0077293C">
        <w:rPr>
          <w:rFonts w:eastAsia="Times New Roman" w:cs="Arial"/>
          <w:color w:val="000000"/>
          <w:lang w:eastAsia="bg-BG"/>
        </w:rPr>
        <w:t xml:space="preserve">и розувастатин води до 28% увеличение на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на розувастатин. Това малко увеличение не е клинично значимо. По тази причина лекарствени взаимодействия в следствие на метаболизъм, медииран от цитохром Р450, не се очакват.</w:t>
      </w:r>
    </w:p>
    <w:p w14:paraId="0B287820" w14:textId="77777777" w:rsidR="0077293C" w:rsidRPr="0077293C" w:rsidRDefault="0077293C" w:rsidP="0077293C">
      <w:pPr>
        <w:spacing w:line="240" w:lineRule="auto"/>
        <w:rPr>
          <w:rFonts w:eastAsia="Times New Roman" w:cs="Arial"/>
          <w:b/>
          <w:bCs/>
          <w:color w:val="000000"/>
          <w:lang w:eastAsia="bg-BG"/>
        </w:rPr>
      </w:pPr>
    </w:p>
    <w:p w14:paraId="7EB68A2B" w14:textId="3BDF9373"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Взаимодействия, които изискват корекция на дозата на розувастатин (вж. също таблица 1): </w:t>
      </w:r>
      <w:r w:rsidRPr="0077293C">
        <w:rPr>
          <w:rFonts w:eastAsia="Times New Roman" w:cs="Arial"/>
          <w:color w:val="000000"/>
          <w:lang w:eastAsia="bg-BG"/>
        </w:rPr>
        <w:t xml:space="preserve">Когато е необходимо да се прилага розувастатин едновременно с други лекарствени продукти, за които е известно, че повишават експозицията на розувастатин, дозите на розувастатин трябва да се коригират. Започва се с доза от 5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розувастатин веднъж дневно, ако очакваното повишение на експозицията </w:t>
      </w:r>
      <w:r w:rsidRPr="0077293C">
        <w:rPr>
          <w:rFonts w:eastAsia="Times New Roman" w:cs="Arial"/>
          <w:color w:val="000000"/>
          <w:lang w:val="ru-RU"/>
        </w:rPr>
        <w:t>(</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 xml:space="preserve">е приблизително двукратно или по-голямо. Максималната дневна доза на розувастатин трябва да се коригира така, че очакваната експозиция да не надвиши тази на 40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дневна доза </w:t>
      </w:r>
      <w:r w:rsidRPr="0077293C">
        <w:rPr>
          <w:rFonts w:eastAsia="Times New Roman" w:cs="Arial"/>
          <w:color w:val="000000"/>
          <w:lang w:eastAsia="bg-BG"/>
        </w:rPr>
        <w:lastRenderedPageBreak/>
        <w:t xml:space="preserve">розувастатин, приет без взаимодействащи лекарствени прдукти, напр. доза от 20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 xml:space="preserve">розувастатин с гемфиброзил (1,9 пъти), и доза от 10 </w:t>
      </w:r>
      <w:r w:rsidRPr="0077293C">
        <w:rPr>
          <w:rFonts w:eastAsia="Times New Roman" w:cs="Arial"/>
          <w:color w:val="000000"/>
          <w:lang w:val="en-US"/>
        </w:rPr>
        <w:t>mg</w:t>
      </w:r>
      <w:r w:rsidRPr="0077293C">
        <w:rPr>
          <w:rFonts w:eastAsia="Times New Roman" w:cs="Arial"/>
          <w:color w:val="000000"/>
          <w:lang w:val="ru-RU"/>
        </w:rPr>
        <w:t xml:space="preserve"> </w:t>
      </w:r>
      <w:r w:rsidRPr="0077293C">
        <w:rPr>
          <w:rFonts w:eastAsia="Times New Roman" w:cs="Arial"/>
          <w:color w:val="000000"/>
          <w:lang w:eastAsia="bg-BG"/>
        </w:rPr>
        <w:t>розувастатин с комбинация с ритонавир/атазанавир (повишение от 3,1 пъти).</w:t>
      </w:r>
    </w:p>
    <w:p w14:paraId="42429CE5" w14:textId="07AA4E86" w:rsidR="0077293C" w:rsidRDefault="0077293C" w:rsidP="0077293C">
      <w:pPr>
        <w:rPr>
          <w:rFonts w:cs="Arial"/>
        </w:rPr>
      </w:pPr>
    </w:p>
    <w:tbl>
      <w:tblPr>
        <w:tblStyle w:val="TableGrid"/>
        <w:tblW w:w="0" w:type="auto"/>
        <w:tblLook w:val="04A0" w:firstRow="1" w:lastRow="0" w:firstColumn="1" w:lastColumn="0" w:noHBand="0" w:noVBand="1"/>
      </w:tblPr>
      <w:tblGrid>
        <w:gridCol w:w="3148"/>
        <w:gridCol w:w="3101"/>
        <w:gridCol w:w="3101"/>
      </w:tblGrid>
      <w:tr w:rsidR="0077293C" w14:paraId="6D597410" w14:textId="77777777" w:rsidTr="0077293C">
        <w:tc>
          <w:tcPr>
            <w:tcW w:w="9576" w:type="dxa"/>
            <w:gridSpan w:val="3"/>
          </w:tcPr>
          <w:p w14:paraId="77ED8021" w14:textId="189F2AC6" w:rsidR="0077293C" w:rsidRPr="0077293C" w:rsidRDefault="0077293C" w:rsidP="0077293C">
            <w:pPr>
              <w:rPr>
                <w:rFonts w:cs="Arial"/>
                <w:b/>
              </w:rPr>
            </w:pPr>
            <w:r w:rsidRPr="0077293C">
              <w:rPr>
                <w:b/>
                <w:lang w:eastAsia="bg-BG"/>
              </w:rPr>
              <w:t xml:space="preserve">Таблица 1, Влияние на едновременно прилагани лекарствени продукти върху експозицията на розувастатин </w:t>
            </w:r>
            <w:r w:rsidRPr="0077293C">
              <w:rPr>
                <w:b/>
                <w:lang w:val="ru-RU"/>
              </w:rPr>
              <w:t>(</w:t>
            </w:r>
            <w:r w:rsidRPr="0077293C">
              <w:rPr>
                <w:b/>
                <w:lang w:val="en-US"/>
              </w:rPr>
              <w:t>AUC</w:t>
            </w:r>
            <w:r w:rsidRPr="0077293C">
              <w:rPr>
                <w:b/>
                <w:lang w:val="ru-RU"/>
              </w:rPr>
              <w:t xml:space="preserve">, </w:t>
            </w:r>
            <w:r w:rsidRPr="0077293C">
              <w:rPr>
                <w:b/>
                <w:lang w:eastAsia="bg-BG"/>
              </w:rPr>
              <w:t>в низходящ ред) от публикувани клинични проучвания</w:t>
            </w:r>
          </w:p>
        </w:tc>
      </w:tr>
      <w:tr w:rsidR="0077293C" w14:paraId="6DE7B1D1" w14:textId="77777777" w:rsidTr="0077293C">
        <w:tc>
          <w:tcPr>
            <w:tcW w:w="3192" w:type="dxa"/>
          </w:tcPr>
          <w:p w14:paraId="1BC6703E" w14:textId="0CBBE6BA" w:rsidR="0077293C" w:rsidRPr="0077293C" w:rsidRDefault="0077293C" w:rsidP="0077293C">
            <w:pPr>
              <w:rPr>
                <w:rFonts w:cs="Arial"/>
              </w:rPr>
            </w:pPr>
            <w:r w:rsidRPr="0077293C">
              <w:rPr>
                <w:b/>
                <w:bCs/>
              </w:rPr>
              <w:t>Дозов режим на взаимодействащото лекарство</w:t>
            </w:r>
          </w:p>
        </w:tc>
        <w:tc>
          <w:tcPr>
            <w:tcW w:w="3192" w:type="dxa"/>
          </w:tcPr>
          <w:p w14:paraId="26CCB9B1" w14:textId="1F8F13DC" w:rsidR="0077293C" w:rsidRPr="0077293C" w:rsidRDefault="0077293C" w:rsidP="0077293C">
            <w:pPr>
              <w:rPr>
                <w:rFonts w:cs="Arial"/>
              </w:rPr>
            </w:pPr>
            <w:r w:rsidRPr="0077293C">
              <w:rPr>
                <w:b/>
                <w:bCs/>
              </w:rPr>
              <w:t>Дозов режим на розувастатин</w:t>
            </w:r>
          </w:p>
        </w:tc>
        <w:tc>
          <w:tcPr>
            <w:tcW w:w="3192" w:type="dxa"/>
          </w:tcPr>
          <w:p w14:paraId="16FC7380" w14:textId="4EF9B1CB" w:rsidR="0077293C" w:rsidRPr="0077293C" w:rsidRDefault="0077293C" w:rsidP="0077293C">
            <w:pPr>
              <w:rPr>
                <w:rFonts w:cs="Arial"/>
              </w:rPr>
            </w:pPr>
            <w:r w:rsidRPr="0077293C">
              <w:rPr>
                <w:b/>
                <w:bCs/>
              </w:rPr>
              <w:t xml:space="preserve">Промяна в </w:t>
            </w:r>
            <w:r w:rsidRPr="0077293C">
              <w:rPr>
                <w:b/>
                <w:bCs/>
                <w:lang w:val="en-US"/>
              </w:rPr>
              <w:t>AUC</w:t>
            </w:r>
            <w:r w:rsidRPr="0077293C">
              <w:rPr>
                <w:b/>
                <w:bCs/>
                <w:lang w:val="ru-RU"/>
              </w:rPr>
              <w:t xml:space="preserve"> </w:t>
            </w:r>
            <w:r w:rsidRPr="0077293C">
              <w:rPr>
                <w:b/>
                <w:bCs/>
              </w:rPr>
              <w:t>на розувастатин</w:t>
            </w:r>
          </w:p>
        </w:tc>
      </w:tr>
      <w:tr w:rsidR="0077293C" w14:paraId="29D7FE4A" w14:textId="77777777" w:rsidTr="0077293C">
        <w:tc>
          <w:tcPr>
            <w:tcW w:w="3192" w:type="dxa"/>
          </w:tcPr>
          <w:p w14:paraId="6C9D813B" w14:textId="5C268E8A" w:rsidR="0077293C" w:rsidRPr="0077293C" w:rsidRDefault="0077293C" w:rsidP="0077293C">
            <w:pPr>
              <w:rPr>
                <w:rFonts w:cs="Arial"/>
              </w:rPr>
            </w:pPr>
            <w:r w:rsidRPr="0077293C">
              <w:t xml:space="preserve">Циклоспории 75 </w:t>
            </w:r>
            <w:r w:rsidRPr="0077293C">
              <w:rPr>
                <w:lang w:val="en-US"/>
              </w:rPr>
              <w:t>mg</w:t>
            </w:r>
            <w:r w:rsidRPr="0077293C">
              <w:rPr>
                <w:lang w:val="ru-RU"/>
              </w:rPr>
              <w:t xml:space="preserve"> </w:t>
            </w:r>
            <w:r w:rsidRPr="0077293C">
              <w:t xml:space="preserve">два пъти дневно до 200 </w:t>
            </w:r>
            <w:r w:rsidRPr="0077293C">
              <w:rPr>
                <w:lang w:val="en-US"/>
              </w:rPr>
              <w:t>mg</w:t>
            </w:r>
            <w:r w:rsidRPr="0077293C">
              <w:rPr>
                <w:lang w:val="ru-RU"/>
              </w:rPr>
              <w:t xml:space="preserve"> </w:t>
            </w:r>
            <w:r w:rsidRPr="0077293C">
              <w:t>два пъти вневно, 6 месеца</w:t>
            </w:r>
          </w:p>
        </w:tc>
        <w:tc>
          <w:tcPr>
            <w:tcW w:w="3192" w:type="dxa"/>
          </w:tcPr>
          <w:p w14:paraId="71739A42" w14:textId="4E371D26" w:rsidR="0077293C" w:rsidRPr="0077293C" w:rsidRDefault="0077293C" w:rsidP="0077293C">
            <w:pPr>
              <w:rPr>
                <w:rFonts w:cs="Arial"/>
              </w:rPr>
            </w:pPr>
            <w:r w:rsidRPr="0077293C">
              <w:t xml:space="preserve">10 </w:t>
            </w:r>
            <w:r w:rsidRPr="0077293C">
              <w:rPr>
                <w:lang w:val="en-US"/>
              </w:rPr>
              <w:t xml:space="preserve">mg </w:t>
            </w:r>
            <w:r w:rsidRPr="0077293C">
              <w:t>веднъж дневно, 10 дни</w:t>
            </w:r>
          </w:p>
        </w:tc>
        <w:tc>
          <w:tcPr>
            <w:tcW w:w="3192" w:type="dxa"/>
          </w:tcPr>
          <w:p w14:paraId="7AF1D07B" w14:textId="33660C8D" w:rsidR="0077293C" w:rsidRPr="0077293C" w:rsidRDefault="0077293C" w:rsidP="0077293C">
            <w:pPr>
              <w:rPr>
                <w:rFonts w:cs="Arial"/>
              </w:rPr>
            </w:pPr>
            <w:r w:rsidRPr="0077293C">
              <w:t>7,1 пъти ↑</w:t>
            </w:r>
          </w:p>
        </w:tc>
      </w:tr>
      <w:tr w:rsidR="0077293C" w14:paraId="155E5047" w14:textId="77777777" w:rsidTr="0077293C">
        <w:tc>
          <w:tcPr>
            <w:tcW w:w="3192" w:type="dxa"/>
          </w:tcPr>
          <w:p w14:paraId="5E431D3F" w14:textId="6CFC5D94" w:rsidR="0077293C" w:rsidRPr="0077293C" w:rsidRDefault="0077293C" w:rsidP="0077293C">
            <w:pPr>
              <w:rPr>
                <w:rFonts w:cs="Arial"/>
              </w:rPr>
            </w:pPr>
            <w:r w:rsidRPr="0077293C">
              <w:t xml:space="preserve">Атазанавир 300 </w:t>
            </w:r>
            <w:r w:rsidRPr="0077293C">
              <w:rPr>
                <w:lang w:val="en-US"/>
              </w:rPr>
              <w:t>mg</w:t>
            </w:r>
            <w:r w:rsidRPr="0077293C">
              <w:t xml:space="preserve">/ритонавир 100 </w:t>
            </w:r>
            <w:r w:rsidRPr="0077293C">
              <w:rPr>
                <w:lang w:val="en-US"/>
              </w:rPr>
              <w:t>mg</w:t>
            </w:r>
            <w:r w:rsidRPr="0077293C">
              <w:rPr>
                <w:lang w:val="ru-RU"/>
              </w:rPr>
              <w:t xml:space="preserve"> </w:t>
            </w:r>
            <w:r w:rsidRPr="0077293C">
              <w:t>веднъж дневно, 8 дни</w:t>
            </w:r>
          </w:p>
        </w:tc>
        <w:tc>
          <w:tcPr>
            <w:tcW w:w="3192" w:type="dxa"/>
          </w:tcPr>
          <w:p w14:paraId="4FC5D4D9" w14:textId="289EE73C"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7383764D" w14:textId="7319B4FF" w:rsidR="0077293C" w:rsidRPr="0077293C" w:rsidRDefault="0077293C" w:rsidP="0077293C">
            <w:pPr>
              <w:rPr>
                <w:rFonts w:cs="Arial"/>
              </w:rPr>
            </w:pPr>
            <w:r w:rsidRPr="0077293C">
              <w:t>3,1 пъти ↑</w:t>
            </w:r>
          </w:p>
        </w:tc>
      </w:tr>
      <w:tr w:rsidR="0077293C" w14:paraId="200517BB" w14:textId="77777777" w:rsidTr="0077293C">
        <w:tc>
          <w:tcPr>
            <w:tcW w:w="3192" w:type="dxa"/>
          </w:tcPr>
          <w:p w14:paraId="5E3A6146" w14:textId="3C41906D" w:rsidR="0077293C" w:rsidRPr="0077293C" w:rsidRDefault="0077293C" w:rsidP="0077293C">
            <w:pPr>
              <w:rPr>
                <w:rFonts w:cs="Arial"/>
              </w:rPr>
            </w:pPr>
            <w:r w:rsidRPr="0077293C">
              <w:t xml:space="preserve">Симепревир 150 </w:t>
            </w:r>
            <w:r w:rsidRPr="0077293C">
              <w:rPr>
                <w:lang w:val="en-US"/>
              </w:rPr>
              <w:t xml:space="preserve">mg OD, </w:t>
            </w:r>
            <w:r w:rsidRPr="0077293C">
              <w:t>7 дни</w:t>
            </w:r>
          </w:p>
        </w:tc>
        <w:tc>
          <w:tcPr>
            <w:tcW w:w="3192" w:type="dxa"/>
          </w:tcPr>
          <w:p w14:paraId="00B29E17" w14:textId="3A4E6DC1"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5F677BCC" w14:textId="6DD55BE1" w:rsidR="0077293C" w:rsidRPr="0077293C" w:rsidRDefault="0077293C" w:rsidP="0077293C">
            <w:pPr>
              <w:rPr>
                <w:rFonts w:cs="Arial"/>
              </w:rPr>
            </w:pPr>
            <w:r w:rsidRPr="0077293C">
              <w:t>2,8 пъти ↑</w:t>
            </w:r>
          </w:p>
        </w:tc>
      </w:tr>
      <w:tr w:rsidR="0077293C" w14:paraId="4DD1B61C" w14:textId="77777777" w:rsidTr="0077293C">
        <w:tc>
          <w:tcPr>
            <w:tcW w:w="3192" w:type="dxa"/>
          </w:tcPr>
          <w:p w14:paraId="7E6C1EF9" w14:textId="2D32AD9E" w:rsidR="0077293C" w:rsidRPr="0077293C" w:rsidRDefault="0077293C" w:rsidP="0077293C">
            <w:pPr>
              <w:rPr>
                <w:rFonts w:cs="Arial"/>
              </w:rPr>
            </w:pPr>
            <w:r w:rsidRPr="0077293C">
              <w:t xml:space="preserve">Лопинавир 400 </w:t>
            </w:r>
            <w:r w:rsidRPr="0077293C">
              <w:rPr>
                <w:lang w:val="en-US"/>
              </w:rPr>
              <w:t>mg</w:t>
            </w:r>
            <w:r w:rsidRPr="0077293C">
              <w:t xml:space="preserve">/ритонавир 100 </w:t>
            </w:r>
            <w:r w:rsidRPr="0077293C">
              <w:rPr>
                <w:lang w:val="en-US"/>
              </w:rPr>
              <w:t>mg</w:t>
            </w:r>
            <w:r w:rsidRPr="0077293C">
              <w:rPr>
                <w:lang w:val="ru-RU"/>
              </w:rPr>
              <w:t xml:space="preserve"> </w:t>
            </w:r>
            <w:r w:rsidRPr="0077293C">
              <w:t>два пъти дневно, 17 дни</w:t>
            </w:r>
          </w:p>
        </w:tc>
        <w:tc>
          <w:tcPr>
            <w:tcW w:w="3192" w:type="dxa"/>
          </w:tcPr>
          <w:p w14:paraId="14ED1F96" w14:textId="0C3B4903" w:rsidR="0077293C" w:rsidRPr="0077293C" w:rsidRDefault="0077293C" w:rsidP="0077293C">
            <w:pPr>
              <w:rPr>
                <w:rFonts w:cs="Arial"/>
              </w:rPr>
            </w:pPr>
            <w:r w:rsidRPr="0077293C">
              <w:t xml:space="preserve">20 </w:t>
            </w:r>
            <w:r w:rsidRPr="0077293C">
              <w:rPr>
                <w:lang w:val="en-US"/>
              </w:rPr>
              <w:t xml:space="preserve">mg </w:t>
            </w:r>
            <w:r w:rsidRPr="0077293C">
              <w:t>веднъж дневно, 7 дни</w:t>
            </w:r>
          </w:p>
        </w:tc>
        <w:tc>
          <w:tcPr>
            <w:tcW w:w="3192" w:type="dxa"/>
          </w:tcPr>
          <w:p w14:paraId="67E16AF9" w14:textId="596CBDEC" w:rsidR="0077293C" w:rsidRPr="0077293C" w:rsidRDefault="0077293C" w:rsidP="0077293C">
            <w:pPr>
              <w:rPr>
                <w:rFonts w:cs="Arial"/>
              </w:rPr>
            </w:pPr>
            <w:r w:rsidRPr="0077293C">
              <w:t>2,1 пъти ↑</w:t>
            </w:r>
          </w:p>
        </w:tc>
      </w:tr>
      <w:tr w:rsidR="0077293C" w14:paraId="38A2CD96" w14:textId="77777777" w:rsidTr="0077293C">
        <w:trPr>
          <w:trHeight w:val="836"/>
        </w:trPr>
        <w:tc>
          <w:tcPr>
            <w:tcW w:w="3192" w:type="dxa"/>
          </w:tcPr>
          <w:p w14:paraId="01444058" w14:textId="3BBEEBAA" w:rsidR="0077293C" w:rsidRPr="0077293C" w:rsidRDefault="0077293C" w:rsidP="0077293C">
            <w:pPr>
              <w:rPr>
                <w:rFonts w:cs="Arial"/>
              </w:rPr>
            </w:pPr>
            <w:r w:rsidRPr="0077293C">
              <w:t xml:space="preserve">Клопидогрел 300 </w:t>
            </w:r>
            <w:r w:rsidRPr="0077293C">
              <w:rPr>
                <w:lang w:val="en-US"/>
              </w:rPr>
              <w:t>mg</w:t>
            </w:r>
            <w:r w:rsidRPr="0077293C">
              <w:rPr>
                <w:lang w:val="ru-RU"/>
              </w:rPr>
              <w:t xml:space="preserve"> </w:t>
            </w:r>
            <w:r w:rsidRPr="0077293C">
              <w:t xml:space="preserve">натоварваща доза, последвана от 75 </w:t>
            </w:r>
            <w:r w:rsidRPr="0077293C">
              <w:rPr>
                <w:lang w:val="en-US"/>
              </w:rPr>
              <w:t>mg</w:t>
            </w:r>
            <w:r w:rsidRPr="0077293C">
              <w:rPr>
                <w:lang w:val="ru-RU"/>
              </w:rPr>
              <w:t xml:space="preserve"> </w:t>
            </w:r>
            <w:r w:rsidRPr="0077293C">
              <w:t>на 24 часа</w:t>
            </w:r>
          </w:p>
        </w:tc>
        <w:tc>
          <w:tcPr>
            <w:tcW w:w="3192" w:type="dxa"/>
          </w:tcPr>
          <w:p w14:paraId="32652039" w14:textId="2663A5F0" w:rsidR="0077293C" w:rsidRPr="0077293C" w:rsidRDefault="0077293C" w:rsidP="0077293C">
            <w:pPr>
              <w:rPr>
                <w:rFonts w:cs="Arial"/>
              </w:rPr>
            </w:pPr>
            <w:r w:rsidRPr="0077293C">
              <w:t xml:space="preserve">20 </w:t>
            </w:r>
            <w:r w:rsidRPr="0077293C">
              <w:rPr>
                <w:lang w:val="en-US"/>
              </w:rPr>
              <w:t xml:space="preserve">mg, </w:t>
            </w:r>
            <w:r w:rsidRPr="0077293C">
              <w:t>еднократна доза</w:t>
            </w:r>
          </w:p>
        </w:tc>
        <w:tc>
          <w:tcPr>
            <w:tcW w:w="3192" w:type="dxa"/>
          </w:tcPr>
          <w:p w14:paraId="6C9203A5" w14:textId="57E19F1C" w:rsidR="0077293C" w:rsidRPr="0077293C" w:rsidRDefault="0077293C" w:rsidP="0077293C">
            <w:pPr>
              <w:rPr>
                <w:rFonts w:cs="Arial"/>
              </w:rPr>
            </w:pPr>
            <w:r w:rsidRPr="0077293C">
              <w:t>2 пъти ↑</w:t>
            </w:r>
          </w:p>
        </w:tc>
      </w:tr>
      <w:tr w:rsidR="0077293C" w14:paraId="155522FB" w14:textId="77777777" w:rsidTr="0077293C">
        <w:tc>
          <w:tcPr>
            <w:tcW w:w="3192" w:type="dxa"/>
          </w:tcPr>
          <w:p w14:paraId="58B5C04B" w14:textId="55045F05" w:rsidR="0077293C" w:rsidRPr="0077293C" w:rsidRDefault="0077293C" w:rsidP="0077293C">
            <w:pPr>
              <w:rPr>
                <w:rFonts w:cs="Arial"/>
              </w:rPr>
            </w:pPr>
            <w:r w:rsidRPr="0077293C">
              <w:t xml:space="preserve">Гемфиброзил 600 </w:t>
            </w:r>
            <w:r w:rsidRPr="0077293C">
              <w:rPr>
                <w:lang w:val="en-US"/>
              </w:rPr>
              <w:t>mg</w:t>
            </w:r>
            <w:r w:rsidRPr="0077293C">
              <w:rPr>
                <w:lang w:val="ru-RU"/>
              </w:rPr>
              <w:t xml:space="preserve"> </w:t>
            </w:r>
            <w:r w:rsidRPr="0077293C">
              <w:t>два пъти дневно, 7 дни</w:t>
            </w:r>
          </w:p>
        </w:tc>
        <w:tc>
          <w:tcPr>
            <w:tcW w:w="3192" w:type="dxa"/>
          </w:tcPr>
          <w:p w14:paraId="4F9EDE0E" w14:textId="23BE1936" w:rsidR="0077293C" w:rsidRPr="0077293C" w:rsidRDefault="0077293C" w:rsidP="0077293C">
            <w:pPr>
              <w:rPr>
                <w:rFonts w:cs="Arial"/>
              </w:rPr>
            </w:pPr>
            <w:r w:rsidRPr="0077293C">
              <w:t xml:space="preserve">80 </w:t>
            </w:r>
            <w:r w:rsidRPr="0077293C">
              <w:rPr>
                <w:lang w:val="en-US"/>
              </w:rPr>
              <w:t xml:space="preserve">mg, </w:t>
            </w:r>
            <w:r w:rsidRPr="0077293C">
              <w:t>еднократна доза</w:t>
            </w:r>
          </w:p>
        </w:tc>
        <w:tc>
          <w:tcPr>
            <w:tcW w:w="3192" w:type="dxa"/>
          </w:tcPr>
          <w:p w14:paraId="1CB98CA4" w14:textId="4ED9F0A7" w:rsidR="0077293C" w:rsidRPr="0077293C" w:rsidRDefault="0077293C" w:rsidP="0077293C">
            <w:pPr>
              <w:rPr>
                <w:rFonts w:cs="Arial"/>
              </w:rPr>
            </w:pPr>
            <w:r w:rsidRPr="0077293C">
              <w:t>1,9 пъти ↑</w:t>
            </w:r>
          </w:p>
        </w:tc>
      </w:tr>
      <w:tr w:rsidR="0077293C" w14:paraId="7E0FB7D4" w14:textId="77777777" w:rsidTr="0077293C">
        <w:tc>
          <w:tcPr>
            <w:tcW w:w="3192" w:type="dxa"/>
          </w:tcPr>
          <w:p w14:paraId="7E2BC1E2" w14:textId="19F20DD0" w:rsidR="0077293C" w:rsidRPr="0077293C" w:rsidRDefault="0077293C" w:rsidP="0077293C">
            <w:pPr>
              <w:rPr>
                <w:rFonts w:cs="Arial"/>
              </w:rPr>
            </w:pPr>
            <w:r w:rsidRPr="0077293C">
              <w:t xml:space="preserve">Елтромбопаг 75 </w:t>
            </w:r>
            <w:r w:rsidRPr="0077293C">
              <w:rPr>
                <w:lang w:val="en-US"/>
              </w:rPr>
              <w:t>mg</w:t>
            </w:r>
            <w:r w:rsidRPr="0077293C">
              <w:rPr>
                <w:lang w:val="ru-RU"/>
              </w:rPr>
              <w:t xml:space="preserve"> </w:t>
            </w:r>
            <w:r w:rsidRPr="0077293C">
              <w:t>веднъж дневно, 5 дни</w:t>
            </w:r>
          </w:p>
        </w:tc>
        <w:tc>
          <w:tcPr>
            <w:tcW w:w="3192" w:type="dxa"/>
          </w:tcPr>
          <w:p w14:paraId="6FB9FEF9" w14:textId="7608A18D"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4D778AAC" w14:textId="442A98E1" w:rsidR="0077293C" w:rsidRPr="0077293C" w:rsidRDefault="0077293C" w:rsidP="0077293C">
            <w:pPr>
              <w:rPr>
                <w:rFonts w:cs="Arial"/>
              </w:rPr>
            </w:pPr>
            <w:r w:rsidRPr="0077293C">
              <w:t>1,6 пъти ↑</w:t>
            </w:r>
          </w:p>
        </w:tc>
      </w:tr>
      <w:tr w:rsidR="0077293C" w14:paraId="5AD86595" w14:textId="77777777" w:rsidTr="0077293C">
        <w:tc>
          <w:tcPr>
            <w:tcW w:w="3192" w:type="dxa"/>
          </w:tcPr>
          <w:p w14:paraId="3C0C4DEE" w14:textId="3137D6EA" w:rsidR="0077293C" w:rsidRPr="0077293C" w:rsidRDefault="0077293C" w:rsidP="0077293C">
            <w:pPr>
              <w:rPr>
                <w:rFonts w:cs="Arial"/>
              </w:rPr>
            </w:pPr>
            <w:r w:rsidRPr="0077293C">
              <w:t xml:space="preserve">Дарунавир 600 </w:t>
            </w:r>
            <w:r w:rsidRPr="0077293C">
              <w:rPr>
                <w:lang w:val="en-US"/>
              </w:rPr>
              <w:t>mg</w:t>
            </w:r>
            <w:r w:rsidRPr="0077293C">
              <w:t xml:space="preserve">/ритонавир 100 </w:t>
            </w:r>
            <w:r w:rsidRPr="0077293C">
              <w:rPr>
                <w:lang w:val="en-US"/>
              </w:rPr>
              <w:t>mg</w:t>
            </w:r>
            <w:r w:rsidRPr="0077293C">
              <w:rPr>
                <w:lang w:val="ru-RU"/>
              </w:rPr>
              <w:t xml:space="preserve"> </w:t>
            </w:r>
            <w:r w:rsidRPr="0077293C">
              <w:t>два пъти дневно, 7 дни</w:t>
            </w:r>
          </w:p>
        </w:tc>
        <w:tc>
          <w:tcPr>
            <w:tcW w:w="3192" w:type="dxa"/>
          </w:tcPr>
          <w:p w14:paraId="3F167E80" w14:textId="463CAD6B" w:rsidR="0077293C" w:rsidRPr="0077293C" w:rsidRDefault="0077293C" w:rsidP="0077293C">
            <w:pPr>
              <w:rPr>
                <w:rFonts w:cs="Arial"/>
              </w:rPr>
            </w:pPr>
            <w:r w:rsidRPr="0077293C">
              <w:t xml:space="preserve">10 </w:t>
            </w:r>
            <w:r w:rsidRPr="0077293C">
              <w:rPr>
                <w:lang w:val="en-US"/>
              </w:rPr>
              <w:t xml:space="preserve">mg </w:t>
            </w:r>
            <w:r w:rsidRPr="0077293C">
              <w:t>веднъж дневно, 7 дни</w:t>
            </w:r>
          </w:p>
        </w:tc>
        <w:tc>
          <w:tcPr>
            <w:tcW w:w="3192" w:type="dxa"/>
          </w:tcPr>
          <w:p w14:paraId="5CFFC293" w14:textId="20D5B69E" w:rsidR="0077293C" w:rsidRPr="0077293C" w:rsidRDefault="0077293C" w:rsidP="0077293C">
            <w:pPr>
              <w:rPr>
                <w:rFonts w:cs="Arial"/>
              </w:rPr>
            </w:pPr>
            <w:r w:rsidRPr="0077293C">
              <w:t>1,5 пъти ↑</w:t>
            </w:r>
          </w:p>
        </w:tc>
      </w:tr>
      <w:tr w:rsidR="0077293C" w14:paraId="4120D73D" w14:textId="77777777" w:rsidTr="0077293C">
        <w:tc>
          <w:tcPr>
            <w:tcW w:w="3192" w:type="dxa"/>
          </w:tcPr>
          <w:p w14:paraId="3ABDD959" w14:textId="41CB8F95" w:rsidR="0077293C" w:rsidRPr="0077293C" w:rsidRDefault="0077293C" w:rsidP="0077293C">
            <w:pPr>
              <w:rPr>
                <w:rFonts w:cs="Arial"/>
              </w:rPr>
            </w:pPr>
            <w:r w:rsidRPr="0077293C">
              <w:t xml:space="preserve">Типранавир 500 </w:t>
            </w:r>
            <w:r w:rsidRPr="0077293C">
              <w:rPr>
                <w:lang w:val="en-US"/>
              </w:rPr>
              <w:t>mg</w:t>
            </w:r>
            <w:r w:rsidRPr="0077293C">
              <w:t xml:space="preserve">/ритонавир 200 </w:t>
            </w:r>
            <w:r w:rsidRPr="0077293C">
              <w:rPr>
                <w:lang w:val="en-US"/>
              </w:rPr>
              <w:t>mg</w:t>
            </w:r>
            <w:r w:rsidRPr="0077293C">
              <w:rPr>
                <w:lang w:val="ru-RU"/>
              </w:rPr>
              <w:t xml:space="preserve"> </w:t>
            </w:r>
            <w:r w:rsidRPr="0077293C">
              <w:t>два пъти дневно, 11 дни</w:t>
            </w:r>
          </w:p>
        </w:tc>
        <w:tc>
          <w:tcPr>
            <w:tcW w:w="3192" w:type="dxa"/>
          </w:tcPr>
          <w:p w14:paraId="20480B78" w14:textId="39502C35"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06ECAFCC" w14:textId="53BCC85E" w:rsidR="0077293C" w:rsidRPr="0077293C" w:rsidRDefault="0077293C" w:rsidP="0077293C">
            <w:pPr>
              <w:rPr>
                <w:rFonts w:cs="Arial"/>
              </w:rPr>
            </w:pPr>
            <w:r w:rsidRPr="0077293C">
              <w:t>1,4 пъти ↑</w:t>
            </w:r>
          </w:p>
        </w:tc>
      </w:tr>
      <w:tr w:rsidR="0077293C" w14:paraId="79BA56AA" w14:textId="77777777" w:rsidTr="0077293C">
        <w:tc>
          <w:tcPr>
            <w:tcW w:w="3192" w:type="dxa"/>
          </w:tcPr>
          <w:p w14:paraId="23EE067E" w14:textId="0C5F9332" w:rsidR="0077293C" w:rsidRPr="0077293C" w:rsidRDefault="0077293C" w:rsidP="0077293C">
            <w:pPr>
              <w:rPr>
                <w:rFonts w:cs="Arial"/>
              </w:rPr>
            </w:pPr>
            <w:r w:rsidRPr="0077293C">
              <w:t xml:space="preserve">Дронедарон 400 </w:t>
            </w:r>
            <w:r w:rsidRPr="0077293C">
              <w:rPr>
                <w:lang w:val="en-US"/>
              </w:rPr>
              <w:t>mg</w:t>
            </w:r>
            <w:r w:rsidRPr="0077293C">
              <w:rPr>
                <w:lang w:val="ru-RU"/>
              </w:rPr>
              <w:t xml:space="preserve"> </w:t>
            </w:r>
            <w:r w:rsidRPr="0077293C">
              <w:t>два пъти дневно</w:t>
            </w:r>
          </w:p>
        </w:tc>
        <w:tc>
          <w:tcPr>
            <w:tcW w:w="3192" w:type="dxa"/>
          </w:tcPr>
          <w:p w14:paraId="7D7BE69D" w14:textId="499E9EDC" w:rsidR="0077293C" w:rsidRPr="0077293C" w:rsidRDefault="0077293C" w:rsidP="0077293C">
            <w:pPr>
              <w:rPr>
                <w:rFonts w:cs="Arial"/>
              </w:rPr>
            </w:pPr>
            <w:r w:rsidRPr="0077293C">
              <w:t>Не е наличен</w:t>
            </w:r>
          </w:p>
        </w:tc>
        <w:tc>
          <w:tcPr>
            <w:tcW w:w="3192" w:type="dxa"/>
          </w:tcPr>
          <w:p w14:paraId="154B02E2" w14:textId="65413284" w:rsidR="0077293C" w:rsidRPr="0077293C" w:rsidRDefault="0077293C" w:rsidP="0077293C">
            <w:pPr>
              <w:rPr>
                <w:rFonts w:cs="Arial"/>
              </w:rPr>
            </w:pPr>
            <w:r w:rsidRPr="0077293C">
              <w:t>1,4 пъти ↑</w:t>
            </w:r>
          </w:p>
        </w:tc>
      </w:tr>
      <w:tr w:rsidR="0077293C" w14:paraId="43E0C4DD" w14:textId="77777777" w:rsidTr="0077293C">
        <w:tc>
          <w:tcPr>
            <w:tcW w:w="3192" w:type="dxa"/>
          </w:tcPr>
          <w:p w14:paraId="7C9BAB4B" w14:textId="113BCE91" w:rsidR="0077293C" w:rsidRPr="0077293C" w:rsidRDefault="0077293C" w:rsidP="0077293C">
            <w:pPr>
              <w:rPr>
                <w:rFonts w:cs="Arial"/>
              </w:rPr>
            </w:pPr>
            <w:r w:rsidRPr="0077293C">
              <w:t xml:space="preserve">Итраконазол 200 </w:t>
            </w:r>
            <w:r w:rsidRPr="0077293C">
              <w:rPr>
                <w:lang w:val="en-US"/>
              </w:rPr>
              <w:t>mg</w:t>
            </w:r>
            <w:r w:rsidRPr="0077293C">
              <w:rPr>
                <w:lang w:val="ru-RU"/>
              </w:rPr>
              <w:t xml:space="preserve"> </w:t>
            </w:r>
            <w:r w:rsidRPr="0077293C">
              <w:t>веднъж дневно, 5 дни</w:t>
            </w:r>
          </w:p>
        </w:tc>
        <w:tc>
          <w:tcPr>
            <w:tcW w:w="3192" w:type="dxa"/>
          </w:tcPr>
          <w:p w14:paraId="7B07600B" w14:textId="3E7057A2"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64FC7351" w14:textId="76DEBC36" w:rsidR="0077293C" w:rsidRPr="0077293C" w:rsidRDefault="0077293C" w:rsidP="0077293C">
            <w:pPr>
              <w:rPr>
                <w:rFonts w:cs="Arial"/>
              </w:rPr>
            </w:pPr>
            <w:r w:rsidRPr="0077293C">
              <w:t xml:space="preserve">** 1,4 </w:t>
            </w:r>
            <w:r w:rsidRPr="0077293C">
              <w:rPr>
                <w:b/>
                <w:bCs/>
              </w:rPr>
              <w:t>пъти ↑</w:t>
            </w:r>
          </w:p>
        </w:tc>
      </w:tr>
      <w:tr w:rsidR="0077293C" w14:paraId="3952A12B" w14:textId="77777777" w:rsidTr="0077293C">
        <w:tc>
          <w:tcPr>
            <w:tcW w:w="3192" w:type="dxa"/>
          </w:tcPr>
          <w:p w14:paraId="20ED3558" w14:textId="59E76611" w:rsidR="0077293C" w:rsidRPr="0077293C" w:rsidRDefault="0077293C" w:rsidP="0077293C">
            <w:pPr>
              <w:rPr>
                <w:rFonts w:cs="Arial"/>
              </w:rPr>
            </w:pPr>
            <w:r w:rsidRPr="0077293C">
              <w:t xml:space="preserve">Езетимиб 10 </w:t>
            </w:r>
            <w:r w:rsidRPr="0077293C">
              <w:rPr>
                <w:lang w:val="en-US"/>
              </w:rPr>
              <w:t>mg</w:t>
            </w:r>
            <w:r w:rsidRPr="0077293C">
              <w:rPr>
                <w:lang w:val="ru-RU"/>
              </w:rPr>
              <w:t xml:space="preserve"> </w:t>
            </w:r>
            <w:r w:rsidRPr="0077293C">
              <w:t>веднъж дневно, 14 дни</w:t>
            </w:r>
          </w:p>
        </w:tc>
        <w:tc>
          <w:tcPr>
            <w:tcW w:w="3192" w:type="dxa"/>
          </w:tcPr>
          <w:p w14:paraId="47242964" w14:textId="1D437D29" w:rsidR="0077293C" w:rsidRPr="0077293C" w:rsidRDefault="0077293C" w:rsidP="0077293C">
            <w:pPr>
              <w:rPr>
                <w:rFonts w:cs="Arial"/>
              </w:rPr>
            </w:pPr>
            <w:r w:rsidRPr="0077293C">
              <w:t xml:space="preserve">10 </w:t>
            </w:r>
            <w:r w:rsidRPr="0077293C">
              <w:rPr>
                <w:lang w:val="en-US"/>
              </w:rPr>
              <w:t xml:space="preserve">mg </w:t>
            </w:r>
            <w:r w:rsidRPr="0077293C">
              <w:t>веднъж дневно, 14 дни</w:t>
            </w:r>
          </w:p>
        </w:tc>
        <w:tc>
          <w:tcPr>
            <w:tcW w:w="3192" w:type="dxa"/>
          </w:tcPr>
          <w:p w14:paraId="5154B28D" w14:textId="41253F59" w:rsidR="0077293C" w:rsidRPr="0077293C" w:rsidRDefault="0077293C" w:rsidP="0077293C">
            <w:pPr>
              <w:rPr>
                <w:rFonts w:cs="Arial"/>
              </w:rPr>
            </w:pPr>
            <w:r w:rsidRPr="0077293C">
              <w:t>**1,2 пъти ↑</w:t>
            </w:r>
          </w:p>
        </w:tc>
      </w:tr>
      <w:tr w:rsidR="0077293C" w14:paraId="7E8AC192" w14:textId="77777777" w:rsidTr="0077293C">
        <w:tc>
          <w:tcPr>
            <w:tcW w:w="3192" w:type="dxa"/>
          </w:tcPr>
          <w:p w14:paraId="31FDAF36" w14:textId="3B825149" w:rsidR="0077293C" w:rsidRPr="0077293C" w:rsidRDefault="0077293C" w:rsidP="0077293C">
            <w:pPr>
              <w:rPr>
                <w:rFonts w:ascii="Times New Roman" w:eastAsia="Times New Roman" w:hAnsi="Times New Roman" w:cs="Times New Roman"/>
                <w:sz w:val="24"/>
                <w:szCs w:val="24"/>
              </w:rPr>
            </w:pPr>
            <w:r w:rsidRPr="0077293C">
              <w:t xml:space="preserve">Фозампренавир 700 </w:t>
            </w:r>
            <w:r w:rsidRPr="0077293C">
              <w:rPr>
                <w:lang w:val="en-US"/>
              </w:rPr>
              <w:t>mg</w:t>
            </w:r>
            <w:r w:rsidRPr="0077293C">
              <w:t>/ритонавир</w:t>
            </w:r>
            <w:r w:rsidRPr="0077293C">
              <w:rPr>
                <w:lang w:val="ru-RU"/>
              </w:rPr>
              <w:t xml:space="preserve"> </w:t>
            </w:r>
            <w:r w:rsidRPr="0077293C">
              <w:rPr>
                <w:lang w:eastAsia="bg-BG"/>
              </w:rPr>
              <w:t xml:space="preserve">100 </w:t>
            </w:r>
            <w:r w:rsidRPr="0077293C">
              <w:rPr>
                <w:lang w:val="en-US"/>
              </w:rPr>
              <w:t>mg</w:t>
            </w:r>
            <w:r w:rsidRPr="0077293C">
              <w:rPr>
                <w:lang w:val="ru-RU"/>
              </w:rPr>
              <w:t xml:space="preserve"> </w:t>
            </w:r>
            <w:r w:rsidRPr="0077293C">
              <w:rPr>
                <w:lang w:eastAsia="bg-BG"/>
              </w:rPr>
              <w:t>два пъти дневно, 8 дни</w:t>
            </w:r>
          </w:p>
        </w:tc>
        <w:tc>
          <w:tcPr>
            <w:tcW w:w="3192" w:type="dxa"/>
          </w:tcPr>
          <w:p w14:paraId="6C37741F" w14:textId="7CCBD86A"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266EAA5F" w14:textId="333A44FB" w:rsidR="0077293C" w:rsidRPr="0077293C" w:rsidRDefault="0077293C" w:rsidP="0077293C">
            <w:pPr>
              <w:rPr>
                <w:rFonts w:cs="Arial"/>
              </w:rPr>
            </w:pPr>
            <w:r w:rsidRPr="0077293C">
              <w:t>↔</w:t>
            </w:r>
          </w:p>
        </w:tc>
      </w:tr>
      <w:tr w:rsidR="0077293C" w14:paraId="728839EE" w14:textId="77777777" w:rsidTr="0077293C">
        <w:tc>
          <w:tcPr>
            <w:tcW w:w="3192" w:type="dxa"/>
          </w:tcPr>
          <w:p w14:paraId="2C30EDAF" w14:textId="1B26676C" w:rsidR="0077293C" w:rsidRPr="0077293C" w:rsidRDefault="0077293C" w:rsidP="0077293C">
            <w:pPr>
              <w:rPr>
                <w:rFonts w:cs="Arial"/>
              </w:rPr>
            </w:pPr>
            <w:r w:rsidRPr="0077293C">
              <w:t xml:space="preserve">Алеглитазар 0,3 </w:t>
            </w:r>
            <w:r w:rsidRPr="0077293C">
              <w:rPr>
                <w:lang w:val="en-US"/>
              </w:rPr>
              <w:t xml:space="preserve">mg, </w:t>
            </w:r>
            <w:r w:rsidRPr="0077293C">
              <w:t>7 дни</w:t>
            </w:r>
          </w:p>
        </w:tc>
        <w:tc>
          <w:tcPr>
            <w:tcW w:w="3192" w:type="dxa"/>
          </w:tcPr>
          <w:p w14:paraId="6C1B1EEC" w14:textId="2B5A641E" w:rsidR="0077293C" w:rsidRPr="0077293C" w:rsidRDefault="0077293C" w:rsidP="0077293C">
            <w:pPr>
              <w:rPr>
                <w:rFonts w:cs="Arial"/>
              </w:rPr>
            </w:pPr>
            <w:r w:rsidRPr="0077293C">
              <w:t xml:space="preserve">40 </w:t>
            </w:r>
            <w:r w:rsidRPr="0077293C">
              <w:rPr>
                <w:lang w:val="en-US"/>
              </w:rPr>
              <w:t xml:space="preserve">mg, </w:t>
            </w:r>
            <w:r w:rsidRPr="0077293C">
              <w:t>7 дни</w:t>
            </w:r>
          </w:p>
        </w:tc>
        <w:tc>
          <w:tcPr>
            <w:tcW w:w="3192" w:type="dxa"/>
          </w:tcPr>
          <w:p w14:paraId="677E4775" w14:textId="45BF8A1F" w:rsidR="0077293C" w:rsidRPr="0077293C" w:rsidRDefault="0077293C" w:rsidP="0077293C">
            <w:pPr>
              <w:rPr>
                <w:rFonts w:cs="Arial"/>
              </w:rPr>
            </w:pPr>
            <w:r w:rsidRPr="0077293C">
              <w:t>↔</w:t>
            </w:r>
          </w:p>
        </w:tc>
      </w:tr>
      <w:tr w:rsidR="0077293C" w14:paraId="38DCC530" w14:textId="77777777" w:rsidTr="0077293C">
        <w:tc>
          <w:tcPr>
            <w:tcW w:w="3192" w:type="dxa"/>
          </w:tcPr>
          <w:p w14:paraId="6F2344E9" w14:textId="60229C14" w:rsidR="0077293C" w:rsidRPr="0077293C" w:rsidRDefault="0077293C" w:rsidP="0077293C">
            <w:pPr>
              <w:rPr>
                <w:rFonts w:cs="Arial"/>
              </w:rPr>
            </w:pPr>
            <w:r w:rsidRPr="0077293C">
              <w:t xml:space="preserve">Силимарин 140 </w:t>
            </w:r>
            <w:r w:rsidRPr="0077293C">
              <w:rPr>
                <w:lang w:val="en-US"/>
              </w:rPr>
              <w:t>mg</w:t>
            </w:r>
            <w:r w:rsidRPr="0077293C">
              <w:rPr>
                <w:lang w:val="ru-RU"/>
              </w:rPr>
              <w:t xml:space="preserve"> </w:t>
            </w:r>
            <w:r w:rsidRPr="0077293C">
              <w:t>три пъти дневно, 5 дни</w:t>
            </w:r>
          </w:p>
        </w:tc>
        <w:tc>
          <w:tcPr>
            <w:tcW w:w="3192" w:type="dxa"/>
          </w:tcPr>
          <w:p w14:paraId="37179CC0" w14:textId="2ACA9CC9" w:rsidR="0077293C" w:rsidRPr="0077293C" w:rsidRDefault="0077293C" w:rsidP="0077293C">
            <w:pPr>
              <w:rPr>
                <w:rFonts w:cs="Arial"/>
              </w:rPr>
            </w:pPr>
            <w:r w:rsidRPr="0077293C">
              <w:t xml:space="preserve">10 </w:t>
            </w:r>
            <w:r w:rsidRPr="0077293C">
              <w:rPr>
                <w:lang w:val="en-US"/>
              </w:rPr>
              <w:t xml:space="preserve">mg, </w:t>
            </w:r>
            <w:r w:rsidRPr="0077293C">
              <w:t>еднократна доза</w:t>
            </w:r>
          </w:p>
        </w:tc>
        <w:tc>
          <w:tcPr>
            <w:tcW w:w="3192" w:type="dxa"/>
          </w:tcPr>
          <w:p w14:paraId="1FE54034" w14:textId="39ED859D" w:rsidR="0077293C" w:rsidRPr="0077293C" w:rsidRDefault="0077293C" w:rsidP="0077293C">
            <w:pPr>
              <w:rPr>
                <w:rFonts w:cs="Arial"/>
              </w:rPr>
            </w:pPr>
            <w:r w:rsidRPr="0077293C">
              <w:t>↔</w:t>
            </w:r>
          </w:p>
        </w:tc>
      </w:tr>
      <w:tr w:rsidR="0077293C" w14:paraId="03101A06" w14:textId="77777777" w:rsidTr="0077293C">
        <w:tc>
          <w:tcPr>
            <w:tcW w:w="3192" w:type="dxa"/>
          </w:tcPr>
          <w:p w14:paraId="0885820E" w14:textId="682BB385" w:rsidR="0077293C" w:rsidRPr="0077293C" w:rsidRDefault="0077293C" w:rsidP="0077293C">
            <w:pPr>
              <w:rPr>
                <w:rFonts w:cs="Arial"/>
              </w:rPr>
            </w:pPr>
            <w:r w:rsidRPr="0077293C">
              <w:lastRenderedPageBreak/>
              <w:t xml:space="preserve">Фенофибрат 67 </w:t>
            </w:r>
            <w:r w:rsidRPr="0077293C">
              <w:rPr>
                <w:lang w:val="en-US"/>
              </w:rPr>
              <w:t>mg</w:t>
            </w:r>
            <w:r w:rsidRPr="0077293C">
              <w:rPr>
                <w:lang w:val="ru-RU"/>
              </w:rPr>
              <w:t xml:space="preserve"> </w:t>
            </w:r>
            <w:r w:rsidRPr="0077293C">
              <w:t>три пъти дневно, 7 дни</w:t>
            </w:r>
          </w:p>
        </w:tc>
        <w:tc>
          <w:tcPr>
            <w:tcW w:w="3192" w:type="dxa"/>
          </w:tcPr>
          <w:p w14:paraId="04DB0EBC" w14:textId="6F92ED33" w:rsidR="0077293C" w:rsidRPr="0077293C" w:rsidRDefault="0077293C" w:rsidP="0077293C">
            <w:pPr>
              <w:rPr>
                <w:rFonts w:cs="Arial"/>
              </w:rPr>
            </w:pPr>
            <w:r w:rsidRPr="0077293C">
              <w:t xml:space="preserve">10 </w:t>
            </w:r>
            <w:r w:rsidRPr="0077293C">
              <w:rPr>
                <w:lang w:val="en-US"/>
              </w:rPr>
              <w:t xml:space="preserve">mg, </w:t>
            </w:r>
            <w:r w:rsidRPr="0077293C">
              <w:t>7 дни</w:t>
            </w:r>
          </w:p>
        </w:tc>
        <w:tc>
          <w:tcPr>
            <w:tcW w:w="3192" w:type="dxa"/>
          </w:tcPr>
          <w:p w14:paraId="62D0E5E3" w14:textId="72A2AF57" w:rsidR="0077293C" w:rsidRPr="0077293C" w:rsidRDefault="0077293C" w:rsidP="0077293C">
            <w:pPr>
              <w:rPr>
                <w:rFonts w:cs="Arial"/>
              </w:rPr>
            </w:pPr>
            <w:r w:rsidRPr="0077293C">
              <w:t>↔</w:t>
            </w:r>
          </w:p>
        </w:tc>
      </w:tr>
      <w:tr w:rsidR="0077293C" w14:paraId="2EA3F571" w14:textId="77777777" w:rsidTr="0077293C">
        <w:tc>
          <w:tcPr>
            <w:tcW w:w="3192" w:type="dxa"/>
          </w:tcPr>
          <w:p w14:paraId="1BC30284" w14:textId="662D9982" w:rsidR="0077293C" w:rsidRPr="0077293C" w:rsidRDefault="0077293C" w:rsidP="0077293C">
            <w:pPr>
              <w:rPr>
                <w:rFonts w:cs="Arial"/>
              </w:rPr>
            </w:pPr>
            <w:r w:rsidRPr="0077293C">
              <w:t xml:space="preserve">Рифампин 450 </w:t>
            </w:r>
            <w:r w:rsidRPr="0077293C">
              <w:rPr>
                <w:lang w:val="en-US"/>
              </w:rPr>
              <w:t>mg</w:t>
            </w:r>
            <w:r w:rsidRPr="0077293C">
              <w:rPr>
                <w:lang w:val="ru-RU"/>
              </w:rPr>
              <w:t xml:space="preserve"> </w:t>
            </w:r>
            <w:r w:rsidRPr="0077293C">
              <w:t>веднъж дневно, 7 дни</w:t>
            </w:r>
          </w:p>
        </w:tc>
        <w:tc>
          <w:tcPr>
            <w:tcW w:w="3192" w:type="dxa"/>
          </w:tcPr>
          <w:p w14:paraId="23444D7C" w14:textId="7E6708A2" w:rsidR="0077293C" w:rsidRPr="0077293C" w:rsidRDefault="0077293C" w:rsidP="0077293C">
            <w:pPr>
              <w:rPr>
                <w:rFonts w:cs="Arial"/>
              </w:rPr>
            </w:pPr>
            <w:r w:rsidRPr="0077293C">
              <w:t xml:space="preserve">20 </w:t>
            </w:r>
            <w:r w:rsidRPr="0077293C">
              <w:rPr>
                <w:lang w:val="en-US"/>
              </w:rPr>
              <w:t xml:space="preserve">mg, </w:t>
            </w:r>
            <w:r w:rsidRPr="0077293C">
              <w:t>еднократна доза</w:t>
            </w:r>
          </w:p>
        </w:tc>
        <w:tc>
          <w:tcPr>
            <w:tcW w:w="3192" w:type="dxa"/>
          </w:tcPr>
          <w:p w14:paraId="0E5D5C20" w14:textId="51C32B15" w:rsidR="0077293C" w:rsidRPr="0077293C" w:rsidRDefault="0077293C" w:rsidP="0077293C">
            <w:pPr>
              <w:rPr>
                <w:rFonts w:cs="Arial"/>
              </w:rPr>
            </w:pPr>
            <w:r w:rsidRPr="0077293C">
              <w:t>↔</w:t>
            </w:r>
          </w:p>
        </w:tc>
      </w:tr>
      <w:tr w:rsidR="0077293C" w14:paraId="1AB2CDD9" w14:textId="77777777" w:rsidTr="0077293C">
        <w:tc>
          <w:tcPr>
            <w:tcW w:w="3192" w:type="dxa"/>
          </w:tcPr>
          <w:p w14:paraId="630BC445" w14:textId="3C873719" w:rsidR="0077293C" w:rsidRPr="0077293C" w:rsidRDefault="0077293C" w:rsidP="0077293C">
            <w:pPr>
              <w:rPr>
                <w:rFonts w:cs="Arial"/>
              </w:rPr>
            </w:pPr>
            <w:r w:rsidRPr="0077293C">
              <w:t xml:space="preserve">Кетоконазол 200 </w:t>
            </w:r>
            <w:r w:rsidRPr="0077293C">
              <w:rPr>
                <w:lang w:val="en-US"/>
              </w:rPr>
              <w:t>mg</w:t>
            </w:r>
            <w:r w:rsidRPr="0077293C">
              <w:rPr>
                <w:lang w:val="ru-RU"/>
              </w:rPr>
              <w:t xml:space="preserve"> </w:t>
            </w:r>
            <w:r w:rsidRPr="0077293C">
              <w:t>два пъти на ден, 7 дни</w:t>
            </w:r>
          </w:p>
        </w:tc>
        <w:tc>
          <w:tcPr>
            <w:tcW w:w="3192" w:type="dxa"/>
          </w:tcPr>
          <w:p w14:paraId="55756B33" w14:textId="2A59A17C" w:rsidR="0077293C" w:rsidRPr="0077293C" w:rsidRDefault="0077293C" w:rsidP="0077293C">
            <w:pPr>
              <w:rPr>
                <w:rFonts w:cs="Arial"/>
              </w:rPr>
            </w:pPr>
            <w:r w:rsidRPr="0077293C">
              <w:t xml:space="preserve">80 </w:t>
            </w:r>
            <w:r w:rsidRPr="0077293C">
              <w:rPr>
                <w:lang w:val="en-US"/>
              </w:rPr>
              <w:t xml:space="preserve">mg, </w:t>
            </w:r>
            <w:r w:rsidRPr="0077293C">
              <w:t>еднократна доза</w:t>
            </w:r>
          </w:p>
        </w:tc>
        <w:tc>
          <w:tcPr>
            <w:tcW w:w="3192" w:type="dxa"/>
          </w:tcPr>
          <w:p w14:paraId="149E5F18" w14:textId="4B94DEFF" w:rsidR="0077293C" w:rsidRPr="0077293C" w:rsidRDefault="0077293C" w:rsidP="0077293C">
            <w:pPr>
              <w:rPr>
                <w:rFonts w:cs="Arial"/>
              </w:rPr>
            </w:pPr>
            <w:r w:rsidRPr="0077293C">
              <w:t>↔</w:t>
            </w:r>
          </w:p>
        </w:tc>
      </w:tr>
      <w:tr w:rsidR="0077293C" w14:paraId="159D6FE1" w14:textId="77777777" w:rsidTr="0077293C">
        <w:tc>
          <w:tcPr>
            <w:tcW w:w="3192" w:type="dxa"/>
          </w:tcPr>
          <w:p w14:paraId="588FC52A" w14:textId="293BCB62" w:rsidR="0077293C" w:rsidRPr="0077293C" w:rsidRDefault="0077293C" w:rsidP="0077293C">
            <w:pPr>
              <w:rPr>
                <w:rFonts w:cs="Arial"/>
              </w:rPr>
            </w:pPr>
            <w:r w:rsidRPr="0077293C">
              <w:t xml:space="preserve">Флуконазол 200 </w:t>
            </w:r>
            <w:r w:rsidRPr="0077293C">
              <w:rPr>
                <w:lang w:val="en-US"/>
              </w:rPr>
              <w:t>mg</w:t>
            </w:r>
            <w:r w:rsidRPr="0077293C">
              <w:rPr>
                <w:lang w:val="ru-RU"/>
              </w:rPr>
              <w:t xml:space="preserve"> </w:t>
            </w:r>
            <w:r w:rsidRPr="0077293C">
              <w:t>веднъж дневно, 11 дни</w:t>
            </w:r>
          </w:p>
        </w:tc>
        <w:tc>
          <w:tcPr>
            <w:tcW w:w="3192" w:type="dxa"/>
          </w:tcPr>
          <w:p w14:paraId="1E8BB31A" w14:textId="75F633E8" w:rsidR="0077293C" w:rsidRPr="0077293C" w:rsidRDefault="0077293C" w:rsidP="0077293C">
            <w:pPr>
              <w:rPr>
                <w:rFonts w:cs="Arial"/>
              </w:rPr>
            </w:pPr>
            <w:r w:rsidRPr="0077293C">
              <w:t xml:space="preserve">80 </w:t>
            </w:r>
            <w:r w:rsidRPr="0077293C">
              <w:rPr>
                <w:lang w:val="en-US"/>
              </w:rPr>
              <w:t xml:space="preserve">mg, </w:t>
            </w:r>
            <w:r w:rsidRPr="0077293C">
              <w:t>еднократна доза</w:t>
            </w:r>
          </w:p>
        </w:tc>
        <w:tc>
          <w:tcPr>
            <w:tcW w:w="3192" w:type="dxa"/>
          </w:tcPr>
          <w:p w14:paraId="7062B3ED" w14:textId="01324C29" w:rsidR="0077293C" w:rsidRPr="0077293C" w:rsidRDefault="0077293C" w:rsidP="0077293C">
            <w:pPr>
              <w:rPr>
                <w:rFonts w:cs="Arial"/>
              </w:rPr>
            </w:pPr>
            <w:r w:rsidRPr="0077293C">
              <w:t>↔</w:t>
            </w:r>
          </w:p>
        </w:tc>
      </w:tr>
      <w:tr w:rsidR="0077293C" w14:paraId="7A776AB5" w14:textId="77777777" w:rsidTr="0077293C">
        <w:tc>
          <w:tcPr>
            <w:tcW w:w="3192" w:type="dxa"/>
          </w:tcPr>
          <w:p w14:paraId="53D9CA0D" w14:textId="01A0848F" w:rsidR="0077293C" w:rsidRPr="0077293C" w:rsidRDefault="0077293C" w:rsidP="0077293C">
            <w:pPr>
              <w:rPr>
                <w:rFonts w:cs="Arial"/>
              </w:rPr>
            </w:pPr>
            <w:r w:rsidRPr="0077293C">
              <w:t xml:space="preserve">Еритромицин 500 </w:t>
            </w:r>
            <w:r w:rsidRPr="0077293C">
              <w:rPr>
                <w:lang w:val="en-US"/>
              </w:rPr>
              <w:t>mg</w:t>
            </w:r>
            <w:r w:rsidRPr="0077293C">
              <w:rPr>
                <w:lang w:val="ru-RU"/>
              </w:rPr>
              <w:t xml:space="preserve"> </w:t>
            </w:r>
            <w:r w:rsidRPr="0077293C">
              <w:t>четири пъти дневно, 7 дни</w:t>
            </w:r>
          </w:p>
        </w:tc>
        <w:tc>
          <w:tcPr>
            <w:tcW w:w="3192" w:type="dxa"/>
          </w:tcPr>
          <w:p w14:paraId="65294138" w14:textId="060A1641" w:rsidR="0077293C" w:rsidRPr="0077293C" w:rsidRDefault="0077293C" w:rsidP="0077293C">
            <w:pPr>
              <w:rPr>
                <w:rFonts w:cs="Arial"/>
              </w:rPr>
            </w:pPr>
            <w:r w:rsidRPr="0077293C">
              <w:t xml:space="preserve">80 </w:t>
            </w:r>
            <w:r w:rsidRPr="0077293C">
              <w:rPr>
                <w:lang w:val="en-US"/>
              </w:rPr>
              <w:t xml:space="preserve">mg, </w:t>
            </w:r>
            <w:r w:rsidRPr="0077293C">
              <w:t>еднократна доза</w:t>
            </w:r>
          </w:p>
        </w:tc>
        <w:tc>
          <w:tcPr>
            <w:tcW w:w="3192" w:type="dxa"/>
          </w:tcPr>
          <w:p w14:paraId="7AB7DBC7" w14:textId="4C047258" w:rsidR="0077293C" w:rsidRPr="0077293C" w:rsidRDefault="0077293C" w:rsidP="0077293C">
            <w:pPr>
              <w:rPr>
                <w:rFonts w:cs="Arial"/>
              </w:rPr>
            </w:pPr>
            <w:r w:rsidRPr="0077293C">
              <w:t>28% ↓</w:t>
            </w:r>
          </w:p>
        </w:tc>
      </w:tr>
      <w:tr w:rsidR="0077293C" w14:paraId="1F8B8511" w14:textId="77777777" w:rsidTr="0077293C">
        <w:tc>
          <w:tcPr>
            <w:tcW w:w="3192" w:type="dxa"/>
          </w:tcPr>
          <w:p w14:paraId="5245A70D" w14:textId="61A38A68" w:rsidR="0077293C" w:rsidRPr="0077293C" w:rsidRDefault="0077293C" w:rsidP="0077293C">
            <w:pPr>
              <w:rPr>
                <w:rFonts w:cs="Arial"/>
              </w:rPr>
            </w:pPr>
            <w:r w:rsidRPr="0077293C">
              <w:t xml:space="preserve">Баикаин 50 </w:t>
            </w:r>
            <w:r w:rsidRPr="0077293C">
              <w:rPr>
                <w:lang w:val="en-US"/>
              </w:rPr>
              <w:t>mg</w:t>
            </w:r>
            <w:r w:rsidRPr="0077293C">
              <w:rPr>
                <w:lang w:val="ru-RU"/>
              </w:rPr>
              <w:t xml:space="preserve"> </w:t>
            </w:r>
            <w:r w:rsidRPr="0077293C">
              <w:t>три пъти дневно, 14 дни</w:t>
            </w:r>
          </w:p>
        </w:tc>
        <w:tc>
          <w:tcPr>
            <w:tcW w:w="3192" w:type="dxa"/>
          </w:tcPr>
          <w:p w14:paraId="55267CF5" w14:textId="5A01A2DA" w:rsidR="0077293C" w:rsidRPr="0077293C" w:rsidRDefault="0077293C" w:rsidP="0077293C">
            <w:pPr>
              <w:rPr>
                <w:rFonts w:cs="Arial"/>
              </w:rPr>
            </w:pPr>
            <w:r w:rsidRPr="0077293C">
              <w:t xml:space="preserve">20 </w:t>
            </w:r>
            <w:r w:rsidRPr="0077293C">
              <w:rPr>
                <w:lang w:val="en-US"/>
              </w:rPr>
              <w:t xml:space="preserve">mg, </w:t>
            </w:r>
            <w:r w:rsidRPr="0077293C">
              <w:t>еднократна доза</w:t>
            </w:r>
          </w:p>
        </w:tc>
        <w:tc>
          <w:tcPr>
            <w:tcW w:w="3192" w:type="dxa"/>
          </w:tcPr>
          <w:p w14:paraId="409497AC" w14:textId="0BD174B1" w:rsidR="0077293C" w:rsidRPr="0077293C" w:rsidRDefault="0077293C" w:rsidP="0077293C">
            <w:pPr>
              <w:rPr>
                <w:rFonts w:cs="Arial"/>
              </w:rPr>
            </w:pPr>
            <w:r w:rsidRPr="0077293C">
              <w:t>47% ↓</w:t>
            </w:r>
          </w:p>
        </w:tc>
      </w:tr>
    </w:tbl>
    <w:p w14:paraId="2B93238D" w14:textId="7D766890" w:rsidR="0077293C" w:rsidRDefault="0077293C" w:rsidP="0077293C">
      <w:pPr>
        <w:rPr>
          <w:rFonts w:cs="Arial"/>
        </w:rPr>
      </w:pPr>
    </w:p>
    <w:p w14:paraId="502864DD" w14:textId="77777777" w:rsidR="0077293C" w:rsidRPr="0077293C" w:rsidRDefault="0077293C" w:rsidP="0077293C">
      <w:pPr>
        <w:spacing w:line="240" w:lineRule="auto"/>
        <w:rPr>
          <w:rFonts w:eastAsia="Times New Roman" w:cs="Arial"/>
        </w:rPr>
      </w:pPr>
      <w:r w:rsidRPr="0077293C">
        <w:rPr>
          <w:rFonts w:eastAsia="Times New Roman" w:cs="Arial"/>
          <w:color w:val="000000"/>
          <w:lang w:eastAsia="bg-BG"/>
        </w:rPr>
        <w:t>*Данните, посочени като х пъти промяна представят просто съотношение между едновременно приложение и приложение на розувастатин самостоятелно. Данните, посочени като % представят процента разлика отнесен към самостоятелното приложение на розувастатин.</w:t>
      </w:r>
    </w:p>
    <w:p w14:paraId="1301B8C0" w14:textId="77777777" w:rsidR="0077293C" w:rsidRDefault="0077293C" w:rsidP="0077293C">
      <w:pPr>
        <w:spacing w:line="240" w:lineRule="auto"/>
        <w:rPr>
          <w:rFonts w:eastAsia="Times New Roman" w:cs="Arial"/>
          <w:color w:val="000000"/>
          <w:lang w:eastAsia="bg-BG"/>
        </w:rPr>
      </w:pPr>
    </w:p>
    <w:p w14:paraId="38B24981" w14:textId="50B38BA9" w:rsidR="0077293C" w:rsidRPr="0077293C" w:rsidRDefault="0077293C" w:rsidP="0077293C">
      <w:pPr>
        <w:spacing w:line="240" w:lineRule="auto"/>
        <w:rPr>
          <w:rFonts w:eastAsia="Times New Roman" w:cs="Arial"/>
        </w:rPr>
      </w:pPr>
      <w:r w:rsidRPr="0077293C">
        <w:rPr>
          <w:rFonts w:eastAsia="Times New Roman" w:cs="Arial"/>
          <w:color w:val="000000"/>
          <w:lang w:eastAsia="bg-BG"/>
        </w:rPr>
        <w:t>Повишението е представено като без промяна като понижението като</w:t>
      </w:r>
    </w:p>
    <w:p w14:paraId="1B0027BA" w14:textId="77777777" w:rsidR="0077293C" w:rsidRDefault="0077293C" w:rsidP="0077293C">
      <w:pPr>
        <w:spacing w:line="240" w:lineRule="auto"/>
        <w:rPr>
          <w:rFonts w:eastAsia="Times New Roman" w:cs="Arial"/>
          <w:color w:val="000000"/>
          <w:lang w:eastAsia="bg-BG"/>
        </w:rPr>
      </w:pPr>
    </w:p>
    <w:p w14:paraId="2ABA9DD3" w14:textId="441955DF" w:rsidR="0077293C" w:rsidRPr="0077293C" w:rsidRDefault="0077293C" w:rsidP="0077293C">
      <w:pPr>
        <w:spacing w:line="240" w:lineRule="auto"/>
        <w:rPr>
          <w:rFonts w:eastAsia="Times New Roman" w:cs="Arial"/>
        </w:rPr>
      </w:pPr>
      <w:r w:rsidRPr="0077293C">
        <w:rPr>
          <w:rFonts w:eastAsia="Times New Roman" w:cs="Arial"/>
          <w:color w:val="000000"/>
          <w:lang w:eastAsia="bg-BG"/>
        </w:rPr>
        <w:t>**Няколко проучвания за взаимодействие са проведени с различни дози розувастатин, таблицата представя най-значимото съотношение</w:t>
      </w:r>
    </w:p>
    <w:p w14:paraId="696A8E4D" w14:textId="77777777" w:rsidR="0077293C" w:rsidRDefault="0077293C" w:rsidP="0077293C">
      <w:pPr>
        <w:spacing w:line="240" w:lineRule="auto"/>
        <w:rPr>
          <w:rFonts w:eastAsia="Times New Roman" w:cs="Arial"/>
          <w:color w:val="000000"/>
          <w:u w:val="single"/>
          <w:lang w:eastAsia="bg-BG"/>
        </w:rPr>
      </w:pPr>
    </w:p>
    <w:p w14:paraId="544577D3" w14:textId="7000CAA2" w:rsidR="0077293C" w:rsidRPr="0077293C" w:rsidRDefault="0077293C" w:rsidP="0077293C">
      <w:pPr>
        <w:spacing w:line="240" w:lineRule="auto"/>
        <w:rPr>
          <w:rFonts w:eastAsia="Times New Roman" w:cs="Arial"/>
        </w:rPr>
      </w:pPr>
      <w:r w:rsidRPr="0077293C">
        <w:rPr>
          <w:rFonts w:eastAsia="Times New Roman" w:cs="Arial"/>
          <w:color w:val="000000"/>
          <w:u w:val="single"/>
          <w:lang w:eastAsia="bg-BG"/>
        </w:rPr>
        <w:t>Влияние на розувастатин върху едновременно приемани лекарствени продукти</w:t>
      </w:r>
    </w:p>
    <w:p w14:paraId="78A8B3A3" w14:textId="77777777" w:rsidR="0077293C" w:rsidRDefault="0077293C" w:rsidP="0077293C">
      <w:pPr>
        <w:spacing w:line="240" w:lineRule="auto"/>
        <w:rPr>
          <w:rFonts w:eastAsia="Times New Roman" w:cs="Arial"/>
          <w:b/>
          <w:bCs/>
          <w:color w:val="000000"/>
          <w:lang w:eastAsia="bg-BG"/>
        </w:rPr>
      </w:pPr>
    </w:p>
    <w:p w14:paraId="0812C122" w14:textId="37E21E14"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Антагонисти на витамин К: </w:t>
      </w:r>
      <w:r w:rsidRPr="0077293C">
        <w:rPr>
          <w:rFonts w:eastAsia="Times New Roman" w:cs="Arial"/>
          <w:color w:val="000000"/>
          <w:lang w:eastAsia="bg-BG"/>
        </w:rPr>
        <w:t xml:space="preserve">Подобно на други инхибитори на </w:t>
      </w:r>
      <w:r w:rsidRPr="0077293C">
        <w:rPr>
          <w:rFonts w:eastAsia="Times New Roman" w:cs="Arial"/>
          <w:color w:val="000000"/>
          <w:lang w:val="en-US"/>
        </w:rPr>
        <w:t>HMG</w:t>
      </w:r>
      <w:r w:rsidRPr="0077293C">
        <w:rPr>
          <w:rFonts w:eastAsia="Times New Roman" w:cs="Arial"/>
          <w:color w:val="000000"/>
          <w:lang w:val="ru-RU"/>
        </w:rPr>
        <w:t>-</w:t>
      </w:r>
      <w:r w:rsidRPr="0077293C">
        <w:rPr>
          <w:rFonts w:eastAsia="Times New Roman" w:cs="Arial"/>
          <w:color w:val="000000"/>
          <w:lang w:val="en-US"/>
        </w:rPr>
        <w:t>CoA</w:t>
      </w:r>
      <w:r w:rsidRPr="0077293C">
        <w:rPr>
          <w:rFonts w:eastAsia="Times New Roman" w:cs="Arial"/>
          <w:color w:val="000000"/>
          <w:lang w:val="ru-RU"/>
        </w:rPr>
        <w:t xml:space="preserve"> </w:t>
      </w:r>
      <w:r w:rsidRPr="0077293C">
        <w:rPr>
          <w:rFonts w:eastAsia="Times New Roman" w:cs="Arial"/>
          <w:color w:val="000000"/>
          <w:lang w:eastAsia="bg-BG"/>
        </w:rPr>
        <w:t xml:space="preserve">редуктазата, започването на лечение с розувастатин или титрирането на дозата му при пациенти, приемащи антагонисти на витамин К (като варфарин или други кумаринови антикоагуланти), може да доведе до повишаване на Международното нормализирано съотношение </w:t>
      </w:r>
      <w:r w:rsidRPr="0077293C">
        <w:rPr>
          <w:rFonts w:eastAsia="Times New Roman" w:cs="Arial"/>
          <w:color w:val="000000"/>
          <w:lang w:val="ru-RU"/>
        </w:rPr>
        <w:t>(</w:t>
      </w:r>
      <w:r w:rsidRPr="0077293C">
        <w:rPr>
          <w:rFonts w:eastAsia="Times New Roman" w:cs="Arial"/>
          <w:color w:val="000000"/>
          <w:lang w:val="en-US"/>
        </w:rPr>
        <w:t>INR</w:t>
      </w:r>
      <w:r w:rsidRPr="0077293C">
        <w:rPr>
          <w:rFonts w:eastAsia="Times New Roman" w:cs="Arial"/>
          <w:color w:val="000000"/>
          <w:lang w:val="ru-RU"/>
        </w:rPr>
        <w:t xml:space="preserve">). </w:t>
      </w:r>
      <w:r w:rsidRPr="0077293C">
        <w:rPr>
          <w:rFonts w:eastAsia="Times New Roman" w:cs="Arial"/>
          <w:color w:val="000000"/>
          <w:lang w:eastAsia="bg-BG"/>
        </w:rPr>
        <w:t xml:space="preserve">Прекъсването на лечението или намаляване на дозата на титриране с розувастатин може да доведе до намаление на </w:t>
      </w:r>
      <w:r w:rsidRPr="0077293C">
        <w:rPr>
          <w:rFonts w:eastAsia="Times New Roman" w:cs="Arial"/>
          <w:color w:val="000000"/>
          <w:lang w:val="en-US"/>
        </w:rPr>
        <w:t>INR</w:t>
      </w:r>
      <w:r w:rsidRPr="0077293C">
        <w:rPr>
          <w:rFonts w:eastAsia="Times New Roman" w:cs="Arial"/>
          <w:color w:val="000000"/>
          <w:lang w:val="ru-RU"/>
        </w:rPr>
        <w:t xml:space="preserve">. </w:t>
      </w:r>
      <w:r w:rsidRPr="0077293C">
        <w:rPr>
          <w:rFonts w:eastAsia="Times New Roman" w:cs="Arial"/>
          <w:color w:val="000000"/>
          <w:lang w:eastAsia="bg-BG"/>
        </w:rPr>
        <w:t xml:space="preserve">При подобни ситуации се препоръчва подходящо мониториране на </w:t>
      </w:r>
      <w:r w:rsidRPr="0077293C">
        <w:rPr>
          <w:rFonts w:eastAsia="Times New Roman" w:cs="Arial"/>
          <w:color w:val="000000"/>
          <w:lang w:val="en-US"/>
        </w:rPr>
        <w:t>INR</w:t>
      </w:r>
      <w:r w:rsidRPr="0077293C">
        <w:rPr>
          <w:rFonts w:eastAsia="Times New Roman" w:cs="Arial"/>
          <w:color w:val="000000"/>
          <w:lang w:val="ru-RU"/>
        </w:rPr>
        <w:t>,</w:t>
      </w:r>
    </w:p>
    <w:p w14:paraId="5B793EE0" w14:textId="77777777" w:rsidR="0077293C" w:rsidRDefault="0077293C" w:rsidP="0077293C">
      <w:pPr>
        <w:spacing w:line="240" w:lineRule="auto"/>
        <w:rPr>
          <w:rFonts w:eastAsia="Times New Roman" w:cs="Arial"/>
          <w:b/>
          <w:bCs/>
          <w:color w:val="000000"/>
          <w:lang w:eastAsia="bg-BG"/>
        </w:rPr>
      </w:pPr>
    </w:p>
    <w:p w14:paraId="5287E2E8" w14:textId="7B007444"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Перорални контрацептиви/хормонозаместителна терапия: Едновременният прием на </w:t>
      </w:r>
      <w:r w:rsidRPr="0077293C">
        <w:rPr>
          <w:rFonts w:eastAsia="Times New Roman" w:cs="Arial"/>
          <w:color w:val="000000"/>
          <w:lang w:eastAsia="bg-BG"/>
        </w:rPr>
        <w:t xml:space="preserve">розувастатин и перорални контрацептиви е довел до повишаване на </w:t>
      </w:r>
      <w:r w:rsidRPr="0077293C">
        <w:rPr>
          <w:rFonts w:eastAsia="Times New Roman" w:cs="Arial"/>
          <w:color w:val="000000"/>
          <w:lang w:val="en-US"/>
        </w:rPr>
        <w:t>AUC</w:t>
      </w:r>
      <w:r w:rsidRPr="0077293C">
        <w:rPr>
          <w:rFonts w:eastAsia="Times New Roman" w:cs="Arial"/>
          <w:color w:val="000000"/>
          <w:lang w:val="ru-RU"/>
        </w:rPr>
        <w:t xml:space="preserve"> </w:t>
      </w:r>
      <w:r w:rsidRPr="0077293C">
        <w:rPr>
          <w:rFonts w:eastAsia="Times New Roman" w:cs="Arial"/>
          <w:color w:val="000000"/>
          <w:lang w:eastAsia="bg-BG"/>
        </w:rPr>
        <w:t>на етинил естрадиол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приемащи едновременно розувастатин и хормонозаместителна терапия. Ето защо, взаимодействието описано по-горе не трябва да бъде изключено. Въпреки това, тази комбинация е била широко прилагана при жени в клинични изпитвания и е била толерирана добре.</w:t>
      </w:r>
    </w:p>
    <w:p w14:paraId="7804C30B" w14:textId="77777777" w:rsidR="0077293C" w:rsidRDefault="0077293C" w:rsidP="0077293C">
      <w:pPr>
        <w:spacing w:line="240" w:lineRule="auto"/>
        <w:rPr>
          <w:rFonts w:eastAsia="Times New Roman" w:cs="Arial"/>
          <w:b/>
          <w:bCs/>
          <w:color w:val="000000"/>
          <w:lang w:eastAsia="bg-BG"/>
        </w:rPr>
      </w:pPr>
    </w:p>
    <w:p w14:paraId="4218C8E8" w14:textId="556E000D" w:rsidR="0077293C" w:rsidRPr="0077293C" w:rsidRDefault="0077293C" w:rsidP="0077293C">
      <w:pPr>
        <w:spacing w:line="240" w:lineRule="auto"/>
        <w:rPr>
          <w:rFonts w:eastAsia="Times New Roman" w:cs="Arial"/>
        </w:rPr>
      </w:pPr>
      <w:r w:rsidRPr="0077293C">
        <w:rPr>
          <w:rFonts w:eastAsia="Times New Roman" w:cs="Arial"/>
          <w:b/>
          <w:bCs/>
          <w:color w:val="000000"/>
          <w:lang w:eastAsia="bg-BG"/>
        </w:rPr>
        <w:t xml:space="preserve">Други лекарствени продукти: </w:t>
      </w:r>
      <w:r w:rsidRPr="0077293C">
        <w:rPr>
          <w:rFonts w:eastAsia="Times New Roman" w:cs="Arial"/>
          <w:color w:val="000000"/>
          <w:lang w:eastAsia="bg-BG"/>
        </w:rPr>
        <w:t>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5720F1E5" w14:textId="77777777" w:rsidR="0077293C" w:rsidRDefault="0077293C" w:rsidP="0077293C">
      <w:pPr>
        <w:spacing w:line="240" w:lineRule="auto"/>
        <w:rPr>
          <w:rFonts w:eastAsia="Times New Roman" w:cs="Arial"/>
          <w:color w:val="000000"/>
          <w:lang w:eastAsia="bg-BG"/>
        </w:rPr>
      </w:pPr>
    </w:p>
    <w:p w14:paraId="4BE031F7" w14:textId="69BB7268" w:rsidR="0077293C" w:rsidRPr="0077293C" w:rsidRDefault="0077293C" w:rsidP="0077293C">
      <w:pPr>
        <w:spacing w:line="240" w:lineRule="auto"/>
        <w:rPr>
          <w:rFonts w:eastAsia="Times New Roman" w:cs="Arial"/>
        </w:rPr>
      </w:pPr>
      <w:r w:rsidRPr="0077293C">
        <w:rPr>
          <w:rFonts w:eastAsia="Times New Roman" w:cs="Arial"/>
          <w:color w:val="000000"/>
          <w:lang w:eastAsia="bg-BG"/>
        </w:rPr>
        <w:t xml:space="preserve">Фузидова киселина: Не са провеждани проучвания за изследване на взаимодействия с розувастатин и узидова киселина. Рискът от миопатия, включително рабдомиолиза, може да се увеличи при едновременна употреба на фузидова киселина за системно </w:t>
      </w:r>
      <w:r w:rsidRPr="0077293C">
        <w:rPr>
          <w:rFonts w:eastAsia="Times New Roman" w:cs="Arial"/>
          <w:color w:val="000000"/>
          <w:lang w:eastAsia="bg-BG"/>
        </w:rPr>
        <w:lastRenderedPageBreak/>
        <w:t xml:space="preserve">приложение и статини. Механизмът на това взаимодействие (фармакодинамично или фармакокинетично, или и двете) все още </w:t>
      </w:r>
      <w:r w:rsidRPr="00EC0908">
        <w:rPr>
          <w:rFonts w:eastAsia="Times New Roman" w:cs="Arial"/>
          <w:color w:val="000000"/>
          <w:lang w:eastAsia="bg-BG"/>
        </w:rPr>
        <w:t xml:space="preserve">не </w:t>
      </w:r>
      <w:r w:rsidRPr="00EC0908">
        <w:rPr>
          <w:rFonts w:eastAsia="Times New Roman" w:cs="Arial"/>
          <w:bCs/>
          <w:color w:val="000000"/>
          <w:lang w:eastAsia="bg-BG"/>
        </w:rPr>
        <w:t>е известен</w:t>
      </w:r>
      <w:r w:rsidRPr="0077293C">
        <w:rPr>
          <w:rFonts w:eastAsia="Times New Roman" w:cs="Arial"/>
          <w:b/>
          <w:bCs/>
          <w:color w:val="000000"/>
          <w:lang w:eastAsia="bg-BG"/>
        </w:rPr>
        <w:t xml:space="preserve">. </w:t>
      </w:r>
      <w:r w:rsidRPr="0077293C">
        <w:rPr>
          <w:rFonts w:eastAsia="Times New Roman" w:cs="Arial"/>
          <w:color w:val="000000"/>
          <w:lang w:eastAsia="bg-BG"/>
        </w:rPr>
        <w:t>Има съобщения за рабдомиолиза (включително няколко с фатален изход) при пациенти, приемащи</w:t>
      </w:r>
      <w:r w:rsidRPr="0077293C">
        <w:rPr>
          <w:rFonts w:eastAsia="Times New Roman" w:cs="Arial"/>
          <w:b/>
          <w:bCs/>
          <w:color w:val="000000"/>
          <w:lang w:eastAsia="bg-BG"/>
        </w:rPr>
        <w:t xml:space="preserve"> </w:t>
      </w:r>
      <w:r w:rsidRPr="0077293C">
        <w:rPr>
          <w:rFonts w:eastAsia="Times New Roman" w:cs="Arial"/>
          <w:color w:val="000000"/>
          <w:lang w:eastAsia="bg-BG"/>
        </w:rPr>
        <w:t>тази комбинация.</w:t>
      </w:r>
    </w:p>
    <w:p w14:paraId="42965A58" w14:textId="32783567" w:rsidR="0077293C" w:rsidRDefault="0077293C" w:rsidP="0077293C">
      <w:pPr>
        <w:rPr>
          <w:rFonts w:cs="Arial"/>
        </w:rPr>
      </w:pPr>
    </w:p>
    <w:p w14:paraId="33400516" w14:textId="77777777" w:rsidR="00EC0908" w:rsidRPr="00EC0908" w:rsidRDefault="00EC0908" w:rsidP="00EC0908">
      <w:pPr>
        <w:spacing w:line="240" w:lineRule="auto"/>
        <w:rPr>
          <w:rFonts w:eastAsia="Times New Roman" w:cs="Arial"/>
          <w:color w:val="000000"/>
          <w:lang w:eastAsia="bg-BG"/>
        </w:rPr>
      </w:pPr>
      <w:r w:rsidRPr="00EC0908">
        <w:rPr>
          <w:rFonts w:eastAsia="Times New Roman" w:cs="Arial"/>
          <w:color w:val="000000"/>
          <w:lang w:eastAsia="bg-BG"/>
        </w:rPr>
        <w:t xml:space="preserve">Ако терапията с фузидова киселина за системно приложение е наложителна, лечението с розувастатин трябва да бъде прекъснато по време на периода на лечение с фузидова киселина. Вижте </w:t>
      </w:r>
    </w:p>
    <w:p w14:paraId="57852DB1" w14:textId="6F29D793" w:rsidR="00EC0908" w:rsidRPr="00EC0908" w:rsidRDefault="00EC0908" w:rsidP="00EC0908">
      <w:pPr>
        <w:spacing w:line="240" w:lineRule="auto"/>
        <w:rPr>
          <w:rFonts w:eastAsia="Times New Roman" w:cs="Arial"/>
        </w:rPr>
      </w:pPr>
      <w:r w:rsidRPr="00EC0908">
        <w:rPr>
          <w:rFonts w:eastAsia="Times New Roman" w:cs="Arial"/>
          <w:color w:val="000000"/>
          <w:lang w:eastAsia="bg-BG"/>
        </w:rPr>
        <w:t>също точка 4.4.</w:t>
      </w:r>
    </w:p>
    <w:p w14:paraId="0D050E87" w14:textId="77777777" w:rsidR="00EC0908" w:rsidRPr="00EC0908" w:rsidRDefault="00EC0908" w:rsidP="00EC0908">
      <w:pPr>
        <w:spacing w:line="240" w:lineRule="auto"/>
        <w:rPr>
          <w:rFonts w:eastAsia="Times New Roman" w:cs="Arial"/>
          <w:b/>
          <w:bCs/>
          <w:color w:val="000000"/>
          <w:lang w:eastAsia="bg-BG"/>
        </w:rPr>
      </w:pPr>
    </w:p>
    <w:p w14:paraId="2B36C4D5" w14:textId="3A0FD903"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 xml:space="preserve">Педиатрична популация: </w:t>
      </w:r>
      <w:r w:rsidRPr="00EC0908">
        <w:rPr>
          <w:rFonts w:eastAsia="Times New Roman" w:cs="Arial"/>
          <w:color w:val="000000"/>
          <w:lang w:eastAsia="bg-BG"/>
        </w:rPr>
        <w:t>Проучвания за взаимодействия са провеждани само при възрастни. Степента на взаимодействията в педиатричната популация не е известна.</w:t>
      </w:r>
    </w:p>
    <w:p w14:paraId="48A58610" w14:textId="77777777" w:rsidR="00EC0908" w:rsidRPr="0077293C" w:rsidRDefault="00EC0908" w:rsidP="0077293C">
      <w:pPr>
        <w:rPr>
          <w:rFonts w:cs="Arial"/>
        </w:rPr>
      </w:pPr>
    </w:p>
    <w:p w14:paraId="394A7584" w14:textId="6E557592" w:rsidR="004F498A" w:rsidRDefault="002C50EE" w:rsidP="004A448E">
      <w:pPr>
        <w:pStyle w:val="Heading2"/>
      </w:pPr>
      <w:r>
        <w:t>4.6. Фертилитет, бременност и кърмене</w:t>
      </w:r>
    </w:p>
    <w:p w14:paraId="5F8C507B" w14:textId="24F874FF" w:rsidR="00EC0908" w:rsidRDefault="00EC0908" w:rsidP="00EC0908"/>
    <w:p w14:paraId="08EAE5D0"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Розувастатин е противопоказан по време на бременност и кърмене.</w:t>
      </w:r>
    </w:p>
    <w:p w14:paraId="0E6CA1F9" w14:textId="77777777" w:rsidR="00EC0908" w:rsidRDefault="00EC0908" w:rsidP="00EC0908">
      <w:pPr>
        <w:spacing w:line="240" w:lineRule="auto"/>
        <w:rPr>
          <w:rFonts w:eastAsia="Times New Roman" w:cs="Arial"/>
          <w:color w:val="000000"/>
          <w:u w:val="single"/>
          <w:lang w:eastAsia="bg-BG"/>
        </w:rPr>
      </w:pPr>
    </w:p>
    <w:p w14:paraId="367F1489" w14:textId="5F745EFB" w:rsidR="00EC0908" w:rsidRPr="00EC0908" w:rsidRDefault="00EC0908" w:rsidP="00EC0908">
      <w:pPr>
        <w:pStyle w:val="Heading3"/>
        <w:rPr>
          <w:rFonts w:eastAsia="Times New Roman"/>
          <w:u w:val="single"/>
        </w:rPr>
      </w:pPr>
      <w:r w:rsidRPr="00EC0908">
        <w:rPr>
          <w:rFonts w:eastAsia="Times New Roman"/>
          <w:u w:val="single"/>
          <w:lang w:eastAsia="bg-BG"/>
        </w:rPr>
        <w:t>Бременност</w:t>
      </w:r>
    </w:p>
    <w:p w14:paraId="4443998C"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Жените в детеродна възраст трябва да прилагат подходящи контрацептивни мерки.</w:t>
      </w:r>
    </w:p>
    <w:p w14:paraId="0F5232D2" w14:textId="77777777" w:rsidR="00EC0908" w:rsidRDefault="00EC0908" w:rsidP="00EC0908">
      <w:pPr>
        <w:spacing w:line="240" w:lineRule="auto"/>
        <w:rPr>
          <w:rFonts w:eastAsia="Times New Roman" w:cs="Arial"/>
          <w:color w:val="000000"/>
          <w:lang w:eastAsia="bg-BG"/>
        </w:rPr>
      </w:pPr>
    </w:p>
    <w:p w14:paraId="7066582A" w14:textId="43EA51D5"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Холестеролът и други продукти на холестероловия биосинтез са важни за развитието на плода. Ето защо потенциалният риск от инхибиране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приемът трябва да бъде незабавно преустановен.</w:t>
      </w:r>
    </w:p>
    <w:p w14:paraId="2EF3394F" w14:textId="77777777" w:rsidR="00EC0908" w:rsidRDefault="00EC0908" w:rsidP="00EC0908">
      <w:pPr>
        <w:spacing w:line="240" w:lineRule="auto"/>
        <w:rPr>
          <w:rFonts w:eastAsia="Times New Roman" w:cs="Arial"/>
          <w:color w:val="000000"/>
          <w:u w:val="single"/>
          <w:lang w:eastAsia="bg-BG"/>
        </w:rPr>
      </w:pPr>
    </w:p>
    <w:p w14:paraId="215127F7" w14:textId="15210616" w:rsidR="00EC0908" w:rsidRPr="00EC0908" w:rsidRDefault="00EC0908" w:rsidP="00EC0908">
      <w:pPr>
        <w:pStyle w:val="Heading3"/>
        <w:rPr>
          <w:rFonts w:eastAsia="Times New Roman"/>
          <w:u w:val="single"/>
        </w:rPr>
      </w:pPr>
      <w:r w:rsidRPr="00EC0908">
        <w:rPr>
          <w:rFonts w:eastAsia="Times New Roman"/>
          <w:u w:val="single"/>
          <w:lang w:eastAsia="bg-BG"/>
        </w:rPr>
        <w:t>Кърмене</w:t>
      </w:r>
    </w:p>
    <w:p w14:paraId="4176E700"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Розувастатин се екскретира в млякото на плъхове. Няма установени данни за екрскреция в млякото при хора (вж. точка 4.3).</w:t>
      </w:r>
    </w:p>
    <w:p w14:paraId="6AAD2D35" w14:textId="77777777" w:rsidR="00EC0908" w:rsidRPr="00EC0908" w:rsidRDefault="00EC0908" w:rsidP="00EC0908"/>
    <w:p w14:paraId="064DF1DE" w14:textId="788E7850" w:rsidR="00CF77F7" w:rsidRDefault="002C50EE" w:rsidP="004A448E">
      <w:pPr>
        <w:pStyle w:val="Heading2"/>
      </w:pPr>
      <w:r>
        <w:t>4.7. Ефекти върху способността за шофиране и работа с машини</w:t>
      </w:r>
    </w:p>
    <w:p w14:paraId="0CAA915F" w14:textId="0697AA2E" w:rsidR="00EC0908" w:rsidRDefault="00EC0908" w:rsidP="00EC0908"/>
    <w:p w14:paraId="238F699D" w14:textId="77777777" w:rsidR="00EC0908" w:rsidRPr="00EC0908" w:rsidRDefault="00EC0908" w:rsidP="00EC0908">
      <w:pPr>
        <w:rPr>
          <w:sz w:val="24"/>
          <w:szCs w:val="24"/>
        </w:rPr>
      </w:pPr>
      <w:r w:rsidRPr="00EC0908">
        <w:rPr>
          <w:lang w:eastAsia="bg-BG"/>
        </w:rPr>
        <w:t>Не са провеждани проучвания за установяване на влиянието на розувастатин върху способи шофиране и работа с машини. Въз основа на фармакодинамичните свойства, е малко вероятно розувастатин да повлияе неблагоприятно тези способности. При шофиране или работа с машини трябва да се има предвид, че по време на лечението може да се появи замаяност.</w:t>
      </w:r>
    </w:p>
    <w:p w14:paraId="036850D3" w14:textId="77777777" w:rsidR="00EC0908" w:rsidRPr="00EC0908" w:rsidRDefault="00EC0908" w:rsidP="00EC0908"/>
    <w:p w14:paraId="37A3FD9F" w14:textId="4FD365A8" w:rsidR="00CF77F7" w:rsidRDefault="002C50EE" w:rsidP="004A448E">
      <w:pPr>
        <w:pStyle w:val="Heading2"/>
      </w:pPr>
      <w:r>
        <w:t>4.8. Нежелани лекарствени реакции</w:t>
      </w:r>
    </w:p>
    <w:p w14:paraId="7BEFABA7" w14:textId="34992CC4" w:rsidR="00EC0908" w:rsidRDefault="00EC0908" w:rsidP="00EC0908"/>
    <w:p w14:paraId="407799A7"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Нежеланите лекарствени реакции, наблюдавани при употребата на розувастатин, обикновено са леки и преходни. При контролираните клинични изпитвания под 4% от пациентите, лекувани с розувастатин, са прекъснали лечението поради нежелани реакции.</w:t>
      </w:r>
    </w:p>
    <w:p w14:paraId="3812B48A" w14:textId="77777777" w:rsidR="00EC0908" w:rsidRDefault="00EC0908" w:rsidP="00EC0908">
      <w:pPr>
        <w:spacing w:line="240" w:lineRule="auto"/>
        <w:rPr>
          <w:rFonts w:eastAsia="Times New Roman" w:cs="Arial"/>
          <w:color w:val="000000"/>
          <w:u w:val="single"/>
          <w:lang w:eastAsia="bg-BG"/>
        </w:rPr>
      </w:pPr>
    </w:p>
    <w:p w14:paraId="474E80BF" w14:textId="582900DB"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Табличен списък на нежеланите реакции</w:t>
      </w:r>
    </w:p>
    <w:p w14:paraId="29ADFA80"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Въз основа на данни от клинични проучвания и обширен постмаркетингов опит, следната таблица представя профилът на розувастатин по отношение на нежелани лекарствени </w:t>
      </w:r>
      <w:r w:rsidRPr="00EC0908">
        <w:rPr>
          <w:rFonts w:eastAsia="Times New Roman" w:cs="Arial"/>
          <w:color w:val="000000"/>
          <w:lang w:eastAsia="bg-BG"/>
        </w:rPr>
        <w:lastRenderedPageBreak/>
        <w:t>реакции. Нежеланите реакции, изброени по-долу са класифицирани по честота и системо-органен клас (СОК).</w:t>
      </w:r>
    </w:p>
    <w:p w14:paraId="11AFE4A0" w14:textId="77777777" w:rsidR="00EC0908" w:rsidRDefault="00EC0908" w:rsidP="00EC0908">
      <w:pPr>
        <w:spacing w:line="240" w:lineRule="auto"/>
        <w:rPr>
          <w:rFonts w:eastAsia="Times New Roman" w:cs="Arial"/>
          <w:color w:val="000000"/>
          <w:lang w:eastAsia="bg-BG"/>
        </w:rPr>
      </w:pPr>
    </w:p>
    <w:p w14:paraId="126FD58C" w14:textId="40A4E9F3" w:rsidR="00EC0908" w:rsidRPr="00EC0908" w:rsidRDefault="00EC0908" w:rsidP="00EC0908">
      <w:pPr>
        <w:spacing w:line="240" w:lineRule="auto"/>
        <w:rPr>
          <w:rFonts w:eastAsia="Times New Roman" w:cs="Arial"/>
        </w:rPr>
      </w:pPr>
      <w:r w:rsidRPr="00EC0908">
        <w:rPr>
          <w:rFonts w:eastAsia="Times New Roman" w:cs="Arial"/>
          <w:color w:val="000000"/>
          <w:lang w:eastAsia="bg-BG"/>
        </w:rPr>
        <w:t>Честотите на нежеланите реакции са разпределени при използване на следната конвенция: чести (≥1/100 до &lt;1/10); нечести (≥1/1 000 до &lt;1/100); редки (≥1/10 000 до &lt;1/1 000); много редки (≥1/10 000), неизвестна честота (не може да бъде оценена от наличните данни).</w:t>
      </w:r>
    </w:p>
    <w:p w14:paraId="42EEE9FD" w14:textId="77777777" w:rsidR="00EC0908" w:rsidRDefault="00EC0908" w:rsidP="00EC0908">
      <w:pPr>
        <w:spacing w:line="240" w:lineRule="auto"/>
        <w:rPr>
          <w:rFonts w:eastAsia="Times New Roman" w:cs="Arial"/>
          <w:b/>
          <w:bCs/>
          <w:color w:val="000000"/>
          <w:lang w:eastAsia="bg-BG"/>
        </w:rPr>
      </w:pPr>
    </w:p>
    <w:p w14:paraId="6760158D" w14:textId="23E27D55"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Таблица 2. Нежелани лекарствени реакции базирани иа данни от клинични проучвания и постмаркетингов опит</w:t>
      </w:r>
    </w:p>
    <w:tbl>
      <w:tblPr>
        <w:tblStyle w:val="TableGrid"/>
        <w:tblW w:w="0" w:type="auto"/>
        <w:tblLook w:val="04A0" w:firstRow="1" w:lastRow="0" w:firstColumn="1" w:lastColumn="0" w:noHBand="0" w:noVBand="1"/>
      </w:tblPr>
      <w:tblGrid>
        <w:gridCol w:w="1784"/>
        <w:gridCol w:w="1268"/>
        <w:gridCol w:w="1129"/>
        <w:gridCol w:w="2090"/>
        <w:gridCol w:w="1686"/>
        <w:gridCol w:w="1393"/>
      </w:tblGrid>
      <w:tr w:rsidR="00EC0908" w14:paraId="4F39824A" w14:textId="77777777" w:rsidTr="00EC0908">
        <w:tc>
          <w:tcPr>
            <w:tcW w:w="1827" w:type="dxa"/>
          </w:tcPr>
          <w:p w14:paraId="64B30BCC" w14:textId="06499DE0" w:rsidR="00EC0908" w:rsidRPr="00EC0908" w:rsidRDefault="00EC0908" w:rsidP="00EC0908">
            <w:r w:rsidRPr="00EC0908">
              <w:rPr>
                <w:b/>
                <w:bCs/>
              </w:rPr>
              <w:t>Ситемо-органен клас</w:t>
            </w:r>
          </w:p>
        </w:tc>
        <w:tc>
          <w:tcPr>
            <w:tcW w:w="1298" w:type="dxa"/>
          </w:tcPr>
          <w:p w14:paraId="43D885EC" w14:textId="513A4768" w:rsidR="00EC0908" w:rsidRPr="00EC0908" w:rsidRDefault="00EC0908" w:rsidP="00EC0908">
            <w:r w:rsidRPr="00EC0908">
              <w:rPr>
                <w:b/>
                <w:bCs/>
              </w:rPr>
              <w:t>Чести</w:t>
            </w:r>
          </w:p>
        </w:tc>
        <w:tc>
          <w:tcPr>
            <w:tcW w:w="1154" w:type="dxa"/>
          </w:tcPr>
          <w:p w14:paraId="64968F64" w14:textId="43D240FD" w:rsidR="00EC0908" w:rsidRPr="00EC0908" w:rsidRDefault="00EC0908" w:rsidP="00EC0908">
            <w:r w:rsidRPr="00EC0908">
              <w:rPr>
                <w:b/>
                <w:bCs/>
              </w:rPr>
              <w:t>Нечести</w:t>
            </w:r>
          </w:p>
        </w:tc>
        <w:tc>
          <w:tcPr>
            <w:tcW w:w="2143" w:type="dxa"/>
          </w:tcPr>
          <w:p w14:paraId="7F07D54D" w14:textId="74140C70" w:rsidR="00EC0908" w:rsidRPr="00EC0908" w:rsidRDefault="00EC0908" w:rsidP="00EC0908">
            <w:r w:rsidRPr="00EC0908">
              <w:rPr>
                <w:b/>
                <w:bCs/>
              </w:rPr>
              <w:t>Редки</w:t>
            </w:r>
          </w:p>
        </w:tc>
        <w:tc>
          <w:tcPr>
            <w:tcW w:w="1728" w:type="dxa"/>
          </w:tcPr>
          <w:p w14:paraId="6A8EF357" w14:textId="402E1F6C" w:rsidR="00EC0908" w:rsidRPr="00EC0908" w:rsidRDefault="00EC0908" w:rsidP="00EC0908">
            <w:r w:rsidRPr="00EC0908">
              <w:rPr>
                <w:b/>
                <w:bCs/>
              </w:rPr>
              <w:t>Много редки</w:t>
            </w:r>
          </w:p>
        </w:tc>
        <w:tc>
          <w:tcPr>
            <w:tcW w:w="1426" w:type="dxa"/>
          </w:tcPr>
          <w:p w14:paraId="091A40ED" w14:textId="44783A17" w:rsidR="00EC0908" w:rsidRPr="00EC0908" w:rsidRDefault="00EC0908" w:rsidP="00EC0908">
            <w:r w:rsidRPr="00EC0908">
              <w:rPr>
                <w:b/>
                <w:bCs/>
              </w:rPr>
              <w:t>С неизвестна честота</w:t>
            </w:r>
          </w:p>
        </w:tc>
      </w:tr>
      <w:tr w:rsidR="00EC0908" w14:paraId="57CEF178" w14:textId="77777777" w:rsidTr="00EC0908">
        <w:tc>
          <w:tcPr>
            <w:tcW w:w="1827" w:type="dxa"/>
          </w:tcPr>
          <w:p w14:paraId="6C482194" w14:textId="5359659D" w:rsidR="00EC0908" w:rsidRPr="00EC0908" w:rsidRDefault="00EC0908" w:rsidP="00EC0908">
            <w:r w:rsidRPr="00EC0908">
              <w:rPr>
                <w:i/>
                <w:iCs/>
              </w:rPr>
              <w:t>Нарушения на кръвта и лимфната система</w:t>
            </w:r>
          </w:p>
        </w:tc>
        <w:tc>
          <w:tcPr>
            <w:tcW w:w="1298" w:type="dxa"/>
          </w:tcPr>
          <w:p w14:paraId="263D1CA9" w14:textId="77777777" w:rsidR="00EC0908" w:rsidRPr="00EC0908" w:rsidRDefault="00EC0908" w:rsidP="00EC0908"/>
        </w:tc>
        <w:tc>
          <w:tcPr>
            <w:tcW w:w="1154" w:type="dxa"/>
          </w:tcPr>
          <w:p w14:paraId="11813678" w14:textId="77777777" w:rsidR="00EC0908" w:rsidRPr="00EC0908" w:rsidRDefault="00EC0908" w:rsidP="00EC0908"/>
        </w:tc>
        <w:tc>
          <w:tcPr>
            <w:tcW w:w="2143" w:type="dxa"/>
          </w:tcPr>
          <w:p w14:paraId="2513607A" w14:textId="279C0909" w:rsidR="00EC0908" w:rsidRPr="00EC0908" w:rsidRDefault="00EC0908" w:rsidP="00EC0908">
            <w:r w:rsidRPr="00EC0908">
              <w:t>Тромбоцитопения</w:t>
            </w:r>
          </w:p>
        </w:tc>
        <w:tc>
          <w:tcPr>
            <w:tcW w:w="1728" w:type="dxa"/>
          </w:tcPr>
          <w:p w14:paraId="7368FBB6" w14:textId="77777777" w:rsidR="00EC0908" w:rsidRPr="00EC0908" w:rsidRDefault="00EC0908" w:rsidP="00EC0908"/>
        </w:tc>
        <w:tc>
          <w:tcPr>
            <w:tcW w:w="1426" w:type="dxa"/>
          </w:tcPr>
          <w:p w14:paraId="1D8D7BB1" w14:textId="77777777" w:rsidR="00EC0908" w:rsidRPr="00EC0908" w:rsidRDefault="00EC0908" w:rsidP="00EC0908"/>
        </w:tc>
      </w:tr>
      <w:tr w:rsidR="00EC0908" w14:paraId="2D5909D0" w14:textId="77777777" w:rsidTr="00EC0908">
        <w:tc>
          <w:tcPr>
            <w:tcW w:w="1827" w:type="dxa"/>
          </w:tcPr>
          <w:p w14:paraId="39125CF7" w14:textId="36DD2226" w:rsidR="00EC0908" w:rsidRPr="00EC0908" w:rsidRDefault="00EC0908" w:rsidP="00EC0908">
            <w:r w:rsidRPr="00EC0908">
              <w:rPr>
                <w:i/>
                <w:iCs/>
              </w:rPr>
              <w:t>Нарушения на имунната система</w:t>
            </w:r>
          </w:p>
        </w:tc>
        <w:tc>
          <w:tcPr>
            <w:tcW w:w="1298" w:type="dxa"/>
          </w:tcPr>
          <w:p w14:paraId="10853771" w14:textId="77777777" w:rsidR="00EC0908" w:rsidRPr="00EC0908" w:rsidRDefault="00EC0908" w:rsidP="00EC0908"/>
        </w:tc>
        <w:tc>
          <w:tcPr>
            <w:tcW w:w="1154" w:type="dxa"/>
          </w:tcPr>
          <w:p w14:paraId="61AC9702" w14:textId="77777777" w:rsidR="00EC0908" w:rsidRPr="00EC0908" w:rsidRDefault="00EC0908" w:rsidP="00EC0908"/>
        </w:tc>
        <w:tc>
          <w:tcPr>
            <w:tcW w:w="2143" w:type="dxa"/>
          </w:tcPr>
          <w:p w14:paraId="352A00F8" w14:textId="5C73DCF3" w:rsidR="00EC0908" w:rsidRPr="00EC0908" w:rsidRDefault="00EC0908" w:rsidP="00EC0908">
            <w:r w:rsidRPr="00EC0908">
              <w:t>Реакции на свръхчувствителност включително ангиоедем</w:t>
            </w:r>
          </w:p>
        </w:tc>
        <w:tc>
          <w:tcPr>
            <w:tcW w:w="1728" w:type="dxa"/>
          </w:tcPr>
          <w:p w14:paraId="2773EA62" w14:textId="77777777" w:rsidR="00EC0908" w:rsidRPr="00EC0908" w:rsidRDefault="00EC0908" w:rsidP="00EC0908"/>
        </w:tc>
        <w:tc>
          <w:tcPr>
            <w:tcW w:w="1426" w:type="dxa"/>
          </w:tcPr>
          <w:p w14:paraId="24F38599" w14:textId="77777777" w:rsidR="00EC0908" w:rsidRPr="00EC0908" w:rsidRDefault="00EC0908" w:rsidP="00EC0908"/>
        </w:tc>
      </w:tr>
      <w:tr w:rsidR="00EC0908" w14:paraId="694A428E" w14:textId="77777777" w:rsidTr="00EC0908">
        <w:tc>
          <w:tcPr>
            <w:tcW w:w="1827" w:type="dxa"/>
          </w:tcPr>
          <w:p w14:paraId="4BDA3220" w14:textId="63F04B9D" w:rsidR="00EC0908" w:rsidRPr="00EC0908" w:rsidRDefault="00EC0908" w:rsidP="00EC0908">
            <w:r w:rsidRPr="00EC0908">
              <w:rPr>
                <w:i/>
                <w:iCs/>
              </w:rPr>
              <w:t>Нарушения на ендокринната система</w:t>
            </w:r>
          </w:p>
        </w:tc>
        <w:tc>
          <w:tcPr>
            <w:tcW w:w="1298" w:type="dxa"/>
          </w:tcPr>
          <w:p w14:paraId="0CC1CCFF" w14:textId="1491B11C" w:rsidR="00EC0908" w:rsidRPr="00EC0908" w:rsidRDefault="00EC0908" w:rsidP="00EC0908">
            <w:r w:rsidRPr="00EC0908">
              <w:t>Захарен диабет</w:t>
            </w:r>
            <w:r w:rsidRPr="00EC0908">
              <w:rPr>
                <w:vertAlign w:val="superscript"/>
              </w:rPr>
              <w:t>1</w:t>
            </w:r>
          </w:p>
        </w:tc>
        <w:tc>
          <w:tcPr>
            <w:tcW w:w="1154" w:type="dxa"/>
          </w:tcPr>
          <w:p w14:paraId="01E1FE2D" w14:textId="77777777" w:rsidR="00EC0908" w:rsidRPr="00EC0908" w:rsidRDefault="00EC0908" w:rsidP="00EC0908"/>
        </w:tc>
        <w:tc>
          <w:tcPr>
            <w:tcW w:w="2143" w:type="dxa"/>
          </w:tcPr>
          <w:p w14:paraId="55E0A5EA" w14:textId="77777777" w:rsidR="00EC0908" w:rsidRPr="00EC0908" w:rsidRDefault="00EC0908" w:rsidP="00EC0908"/>
        </w:tc>
        <w:tc>
          <w:tcPr>
            <w:tcW w:w="1728" w:type="dxa"/>
          </w:tcPr>
          <w:p w14:paraId="2649EA3D" w14:textId="77777777" w:rsidR="00EC0908" w:rsidRPr="00EC0908" w:rsidRDefault="00EC0908" w:rsidP="00EC0908"/>
        </w:tc>
        <w:tc>
          <w:tcPr>
            <w:tcW w:w="1426" w:type="dxa"/>
          </w:tcPr>
          <w:p w14:paraId="7CABE3AC" w14:textId="77777777" w:rsidR="00EC0908" w:rsidRPr="00EC0908" w:rsidRDefault="00EC0908" w:rsidP="00EC0908"/>
        </w:tc>
      </w:tr>
      <w:tr w:rsidR="00EC0908" w14:paraId="7D0B74D7" w14:textId="77777777" w:rsidTr="00EC0908">
        <w:tc>
          <w:tcPr>
            <w:tcW w:w="1827" w:type="dxa"/>
          </w:tcPr>
          <w:p w14:paraId="60E83234" w14:textId="3444484E" w:rsidR="00EC0908" w:rsidRPr="00EC0908" w:rsidRDefault="00EC0908" w:rsidP="00EC0908">
            <w:r w:rsidRPr="00EC0908">
              <w:rPr>
                <w:i/>
                <w:iCs/>
              </w:rPr>
              <w:t>Психични нарушения</w:t>
            </w:r>
          </w:p>
        </w:tc>
        <w:tc>
          <w:tcPr>
            <w:tcW w:w="1298" w:type="dxa"/>
          </w:tcPr>
          <w:p w14:paraId="46DACEF4" w14:textId="77777777" w:rsidR="00EC0908" w:rsidRPr="00EC0908" w:rsidRDefault="00EC0908" w:rsidP="00EC0908"/>
        </w:tc>
        <w:tc>
          <w:tcPr>
            <w:tcW w:w="1154" w:type="dxa"/>
          </w:tcPr>
          <w:p w14:paraId="53424D37" w14:textId="77777777" w:rsidR="00EC0908" w:rsidRPr="00EC0908" w:rsidRDefault="00EC0908" w:rsidP="00EC0908"/>
        </w:tc>
        <w:tc>
          <w:tcPr>
            <w:tcW w:w="2143" w:type="dxa"/>
          </w:tcPr>
          <w:p w14:paraId="31992A5F" w14:textId="77777777" w:rsidR="00EC0908" w:rsidRPr="00EC0908" w:rsidRDefault="00EC0908" w:rsidP="00EC0908"/>
        </w:tc>
        <w:tc>
          <w:tcPr>
            <w:tcW w:w="1728" w:type="dxa"/>
          </w:tcPr>
          <w:p w14:paraId="5BFB4DDC" w14:textId="77777777" w:rsidR="00EC0908" w:rsidRPr="00EC0908" w:rsidRDefault="00EC0908" w:rsidP="00EC0908"/>
        </w:tc>
        <w:tc>
          <w:tcPr>
            <w:tcW w:w="1426" w:type="dxa"/>
          </w:tcPr>
          <w:p w14:paraId="52E6D879" w14:textId="3A96969A" w:rsidR="00EC0908" w:rsidRPr="00EC0908" w:rsidRDefault="00EC0908" w:rsidP="00EC0908">
            <w:r w:rsidRPr="00EC0908">
              <w:t>Депресия</w:t>
            </w:r>
          </w:p>
        </w:tc>
      </w:tr>
      <w:tr w:rsidR="00EC0908" w14:paraId="51781610" w14:textId="77777777" w:rsidTr="00EC0908">
        <w:tc>
          <w:tcPr>
            <w:tcW w:w="1827" w:type="dxa"/>
          </w:tcPr>
          <w:p w14:paraId="3B8E68F9" w14:textId="3E1C699D" w:rsidR="00EC0908" w:rsidRPr="00EC0908" w:rsidRDefault="00EC0908" w:rsidP="00EC0908">
            <w:r w:rsidRPr="00EC0908">
              <w:rPr>
                <w:i/>
                <w:iCs/>
              </w:rPr>
              <w:t>Нарушения на нервната система</w:t>
            </w:r>
          </w:p>
        </w:tc>
        <w:tc>
          <w:tcPr>
            <w:tcW w:w="1298" w:type="dxa"/>
          </w:tcPr>
          <w:p w14:paraId="615DDE83" w14:textId="630C7371" w:rsidR="00EC0908" w:rsidRPr="00EC0908" w:rsidRDefault="00EC0908" w:rsidP="00EC0908">
            <w:r w:rsidRPr="00EC0908">
              <w:t>Главоболие Замайване</w:t>
            </w:r>
          </w:p>
        </w:tc>
        <w:tc>
          <w:tcPr>
            <w:tcW w:w="1154" w:type="dxa"/>
          </w:tcPr>
          <w:p w14:paraId="692E416C" w14:textId="77777777" w:rsidR="00EC0908" w:rsidRPr="00EC0908" w:rsidRDefault="00EC0908" w:rsidP="00EC0908"/>
        </w:tc>
        <w:tc>
          <w:tcPr>
            <w:tcW w:w="2143" w:type="dxa"/>
          </w:tcPr>
          <w:p w14:paraId="2E90B369" w14:textId="77777777" w:rsidR="00EC0908" w:rsidRPr="00EC0908" w:rsidRDefault="00EC0908" w:rsidP="00EC0908"/>
        </w:tc>
        <w:tc>
          <w:tcPr>
            <w:tcW w:w="1728" w:type="dxa"/>
          </w:tcPr>
          <w:p w14:paraId="003FA18F" w14:textId="6FB593DC" w:rsidR="00EC0908" w:rsidRPr="00EC0908" w:rsidRDefault="00EC0908" w:rsidP="00EC0908">
            <w:r w:rsidRPr="00EC0908">
              <w:t>Полиневропатия Загуба на памет</w:t>
            </w:r>
          </w:p>
        </w:tc>
        <w:tc>
          <w:tcPr>
            <w:tcW w:w="1426" w:type="dxa"/>
          </w:tcPr>
          <w:p w14:paraId="24259955" w14:textId="23F648A6" w:rsidR="00EC0908" w:rsidRPr="00EC0908" w:rsidRDefault="00EC0908" w:rsidP="00EC0908">
            <w:r w:rsidRPr="00EC0908">
              <w:t>Периферна невропатия Нарушения на съня (вкл. безсъние и кошмари)</w:t>
            </w:r>
          </w:p>
        </w:tc>
      </w:tr>
      <w:tr w:rsidR="00EC0908" w14:paraId="61B44628" w14:textId="77777777" w:rsidTr="00EC0908">
        <w:tc>
          <w:tcPr>
            <w:tcW w:w="1827" w:type="dxa"/>
          </w:tcPr>
          <w:p w14:paraId="06F35748" w14:textId="3A4DC72C" w:rsidR="00EC0908" w:rsidRPr="00EC0908" w:rsidRDefault="00EC0908" w:rsidP="00EC0908">
            <w:r w:rsidRPr="00EC0908">
              <w:rPr>
                <w:i/>
                <w:iCs/>
              </w:rPr>
              <w:t>Респираторни, гръдни и медиастинални нарушения</w:t>
            </w:r>
          </w:p>
        </w:tc>
        <w:tc>
          <w:tcPr>
            <w:tcW w:w="1298" w:type="dxa"/>
          </w:tcPr>
          <w:p w14:paraId="4068151C" w14:textId="77777777" w:rsidR="00EC0908" w:rsidRPr="00EC0908" w:rsidRDefault="00EC0908" w:rsidP="00EC0908"/>
        </w:tc>
        <w:tc>
          <w:tcPr>
            <w:tcW w:w="1154" w:type="dxa"/>
          </w:tcPr>
          <w:p w14:paraId="73FEB699" w14:textId="77777777" w:rsidR="00EC0908" w:rsidRPr="00EC0908" w:rsidRDefault="00EC0908" w:rsidP="00EC0908"/>
        </w:tc>
        <w:tc>
          <w:tcPr>
            <w:tcW w:w="2143" w:type="dxa"/>
          </w:tcPr>
          <w:p w14:paraId="0DB00D36" w14:textId="77777777" w:rsidR="00EC0908" w:rsidRPr="00EC0908" w:rsidRDefault="00EC0908" w:rsidP="00EC0908"/>
        </w:tc>
        <w:tc>
          <w:tcPr>
            <w:tcW w:w="1728" w:type="dxa"/>
          </w:tcPr>
          <w:p w14:paraId="35F78D63" w14:textId="77777777" w:rsidR="00EC0908" w:rsidRPr="00EC0908" w:rsidRDefault="00EC0908" w:rsidP="00EC0908"/>
        </w:tc>
        <w:tc>
          <w:tcPr>
            <w:tcW w:w="1426" w:type="dxa"/>
          </w:tcPr>
          <w:p w14:paraId="54DEA5AB" w14:textId="77777777" w:rsidR="00EC0908" w:rsidRPr="00EC0908" w:rsidRDefault="00EC0908" w:rsidP="00EC0908">
            <w:r w:rsidRPr="00EC0908">
              <w:t>Кашлица</w:t>
            </w:r>
          </w:p>
          <w:p w14:paraId="74F7CE5A" w14:textId="7C868448" w:rsidR="00EC0908" w:rsidRPr="00EC0908" w:rsidRDefault="00EC0908" w:rsidP="00EC0908">
            <w:r w:rsidRPr="00EC0908">
              <w:t>Диспнея</w:t>
            </w:r>
          </w:p>
        </w:tc>
      </w:tr>
      <w:tr w:rsidR="00EC0908" w14:paraId="4B8B933A" w14:textId="77777777" w:rsidTr="00EC0908">
        <w:tc>
          <w:tcPr>
            <w:tcW w:w="1827" w:type="dxa"/>
          </w:tcPr>
          <w:p w14:paraId="5BF46949" w14:textId="305BBA17" w:rsidR="00EC0908" w:rsidRPr="00EC0908" w:rsidRDefault="00EC0908" w:rsidP="00EC0908">
            <w:r w:rsidRPr="00EC0908">
              <w:rPr>
                <w:i/>
                <w:iCs/>
              </w:rPr>
              <w:t>Стомашно- чревни нарушения</w:t>
            </w:r>
          </w:p>
        </w:tc>
        <w:tc>
          <w:tcPr>
            <w:tcW w:w="1298" w:type="dxa"/>
          </w:tcPr>
          <w:p w14:paraId="49FEDEDE" w14:textId="77777777" w:rsidR="00EC0908" w:rsidRPr="00EC0908" w:rsidRDefault="00EC0908" w:rsidP="00EC0908">
            <w:r w:rsidRPr="00EC0908">
              <w:t>Запек</w:t>
            </w:r>
          </w:p>
          <w:p w14:paraId="51B8D4AC" w14:textId="77777777" w:rsidR="00EC0908" w:rsidRPr="00EC0908" w:rsidRDefault="00EC0908" w:rsidP="00EC0908">
            <w:r w:rsidRPr="00EC0908">
              <w:t>Гадене</w:t>
            </w:r>
          </w:p>
          <w:p w14:paraId="4A77FFEB" w14:textId="3AC3A526" w:rsidR="00EC0908" w:rsidRPr="00EC0908" w:rsidRDefault="00EC0908" w:rsidP="00EC0908">
            <w:r w:rsidRPr="00EC0908">
              <w:t>Коремна болка</w:t>
            </w:r>
          </w:p>
        </w:tc>
        <w:tc>
          <w:tcPr>
            <w:tcW w:w="1154" w:type="dxa"/>
          </w:tcPr>
          <w:p w14:paraId="78A1B182" w14:textId="77777777" w:rsidR="00EC0908" w:rsidRPr="00EC0908" w:rsidRDefault="00EC0908" w:rsidP="00EC0908"/>
        </w:tc>
        <w:tc>
          <w:tcPr>
            <w:tcW w:w="2143" w:type="dxa"/>
          </w:tcPr>
          <w:p w14:paraId="6E23D1F1" w14:textId="7EA37466" w:rsidR="00EC0908" w:rsidRPr="00EC0908" w:rsidRDefault="00EC0908" w:rsidP="00EC0908">
            <w:r w:rsidRPr="00EC0908">
              <w:t>Панкреатит</w:t>
            </w:r>
          </w:p>
        </w:tc>
        <w:tc>
          <w:tcPr>
            <w:tcW w:w="1728" w:type="dxa"/>
          </w:tcPr>
          <w:p w14:paraId="6F3A055B" w14:textId="77777777" w:rsidR="00EC0908" w:rsidRPr="00EC0908" w:rsidRDefault="00EC0908" w:rsidP="00EC0908"/>
        </w:tc>
        <w:tc>
          <w:tcPr>
            <w:tcW w:w="1426" w:type="dxa"/>
          </w:tcPr>
          <w:p w14:paraId="1FEC692C" w14:textId="5FB565D6" w:rsidR="00EC0908" w:rsidRPr="00EC0908" w:rsidRDefault="00EC0908" w:rsidP="00EC0908">
            <w:r w:rsidRPr="00EC0908">
              <w:t>Диария</w:t>
            </w:r>
          </w:p>
        </w:tc>
      </w:tr>
      <w:tr w:rsidR="00EC0908" w14:paraId="2FC4A74C" w14:textId="77777777" w:rsidTr="00EC0908">
        <w:tc>
          <w:tcPr>
            <w:tcW w:w="1827" w:type="dxa"/>
          </w:tcPr>
          <w:p w14:paraId="449BF488" w14:textId="4D10BB74" w:rsidR="00EC0908" w:rsidRPr="00EC0908" w:rsidRDefault="00EC0908" w:rsidP="00EC0908">
            <w:r w:rsidRPr="00EC0908">
              <w:rPr>
                <w:i/>
                <w:iCs/>
              </w:rPr>
              <w:t>Хепатобилиарни нарушения</w:t>
            </w:r>
          </w:p>
        </w:tc>
        <w:tc>
          <w:tcPr>
            <w:tcW w:w="1298" w:type="dxa"/>
          </w:tcPr>
          <w:p w14:paraId="2E00E4CB" w14:textId="77777777" w:rsidR="00EC0908" w:rsidRPr="00EC0908" w:rsidRDefault="00EC0908" w:rsidP="00EC0908"/>
        </w:tc>
        <w:tc>
          <w:tcPr>
            <w:tcW w:w="1154" w:type="dxa"/>
          </w:tcPr>
          <w:p w14:paraId="7355FBFC" w14:textId="77777777" w:rsidR="00EC0908" w:rsidRPr="00EC0908" w:rsidRDefault="00EC0908" w:rsidP="00EC0908"/>
        </w:tc>
        <w:tc>
          <w:tcPr>
            <w:tcW w:w="2143" w:type="dxa"/>
          </w:tcPr>
          <w:p w14:paraId="44B0F43F" w14:textId="15F41C85" w:rsidR="00EC0908" w:rsidRPr="00EC0908" w:rsidRDefault="00EC0908" w:rsidP="00EC0908">
            <w:r w:rsidRPr="00EC0908">
              <w:t>Повишени чернодробни трансаминази</w:t>
            </w:r>
          </w:p>
        </w:tc>
        <w:tc>
          <w:tcPr>
            <w:tcW w:w="1728" w:type="dxa"/>
          </w:tcPr>
          <w:p w14:paraId="50F6E9D1" w14:textId="77777777" w:rsidR="00EC0908" w:rsidRPr="00EC0908" w:rsidRDefault="00EC0908" w:rsidP="00EC0908">
            <w:r w:rsidRPr="00EC0908">
              <w:t>Жълтеница</w:t>
            </w:r>
          </w:p>
          <w:p w14:paraId="5396FEE9" w14:textId="2B74C60D" w:rsidR="00EC0908" w:rsidRPr="00EC0908" w:rsidRDefault="00EC0908" w:rsidP="00EC0908">
            <w:r w:rsidRPr="00EC0908">
              <w:t>Хепатит</w:t>
            </w:r>
          </w:p>
        </w:tc>
        <w:tc>
          <w:tcPr>
            <w:tcW w:w="1426" w:type="dxa"/>
          </w:tcPr>
          <w:p w14:paraId="62BE0B4E" w14:textId="77777777" w:rsidR="00EC0908" w:rsidRPr="00EC0908" w:rsidRDefault="00EC0908" w:rsidP="00EC0908"/>
        </w:tc>
      </w:tr>
      <w:tr w:rsidR="00EC0908" w14:paraId="1581DC30" w14:textId="77777777" w:rsidTr="00EC0908">
        <w:tc>
          <w:tcPr>
            <w:tcW w:w="1827" w:type="dxa"/>
          </w:tcPr>
          <w:p w14:paraId="2652E108" w14:textId="39DEB35F" w:rsidR="00EC0908" w:rsidRPr="00EC0908" w:rsidRDefault="00EC0908" w:rsidP="00EC0908">
            <w:r w:rsidRPr="00EC0908">
              <w:rPr>
                <w:i/>
                <w:iCs/>
              </w:rPr>
              <w:lastRenderedPageBreak/>
              <w:t>Нарушения на кожата и подкожната тъкан</w:t>
            </w:r>
          </w:p>
        </w:tc>
        <w:tc>
          <w:tcPr>
            <w:tcW w:w="1298" w:type="dxa"/>
          </w:tcPr>
          <w:p w14:paraId="548FC240" w14:textId="77777777" w:rsidR="00EC0908" w:rsidRPr="00EC0908" w:rsidRDefault="00EC0908" w:rsidP="00EC0908"/>
        </w:tc>
        <w:tc>
          <w:tcPr>
            <w:tcW w:w="1154" w:type="dxa"/>
          </w:tcPr>
          <w:p w14:paraId="2A1C02FE" w14:textId="2F940467" w:rsidR="00EC0908" w:rsidRPr="00EC0908" w:rsidRDefault="00EC0908" w:rsidP="00EC0908">
            <w:r w:rsidRPr="00EC0908">
              <w:t>Сърбеж Обрив Уртикария</w:t>
            </w:r>
          </w:p>
        </w:tc>
        <w:tc>
          <w:tcPr>
            <w:tcW w:w="2143" w:type="dxa"/>
          </w:tcPr>
          <w:p w14:paraId="0FAB99C7" w14:textId="77777777" w:rsidR="00EC0908" w:rsidRPr="00EC0908" w:rsidRDefault="00EC0908" w:rsidP="00EC0908"/>
        </w:tc>
        <w:tc>
          <w:tcPr>
            <w:tcW w:w="1728" w:type="dxa"/>
          </w:tcPr>
          <w:p w14:paraId="4537100E" w14:textId="77777777" w:rsidR="00EC0908" w:rsidRPr="00EC0908" w:rsidRDefault="00EC0908" w:rsidP="00EC0908"/>
        </w:tc>
        <w:tc>
          <w:tcPr>
            <w:tcW w:w="1426" w:type="dxa"/>
          </w:tcPr>
          <w:p w14:paraId="5C79A26E" w14:textId="77777777" w:rsidR="00EC0908" w:rsidRPr="00EC0908" w:rsidRDefault="00EC0908" w:rsidP="00EC0908">
            <w:r w:rsidRPr="00EC0908">
              <w:t>Синдром на Стивънс-</w:t>
            </w:r>
          </w:p>
          <w:p w14:paraId="6C6FBBBB" w14:textId="41594CF3" w:rsidR="00EC0908" w:rsidRPr="00EC0908" w:rsidRDefault="00EC0908" w:rsidP="00EC0908">
            <w:r w:rsidRPr="00EC0908">
              <w:t>Джонсън</w:t>
            </w:r>
          </w:p>
        </w:tc>
      </w:tr>
      <w:tr w:rsidR="00EC0908" w14:paraId="3784A731" w14:textId="77777777" w:rsidTr="00EC0908">
        <w:tc>
          <w:tcPr>
            <w:tcW w:w="1827" w:type="dxa"/>
          </w:tcPr>
          <w:p w14:paraId="31E8DC9A" w14:textId="19E9CAD7" w:rsidR="00EC0908" w:rsidRPr="00EC0908" w:rsidRDefault="00EC0908" w:rsidP="00EC0908">
            <w:r w:rsidRPr="00EC0908">
              <w:rPr>
                <w:i/>
                <w:iCs/>
              </w:rPr>
              <w:t>Нарушения на мускулно- скелетната система и съединителната тъкан</w:t>
            </w:r>
          </w:p>
        </w:tc>
        <w:tc>
          <w:tcPr>
            <w:tcW w:w="1298" w:type="dxa"/>
          </w:tcPr>
          <w:p w14:paraId="4D63DE81" w14:textId="3917554D" w:rsidR="00EC0908" w:rsidRPr="00EC0908" w:rsidRDefault="00EC0908" w:rsidP="00EC0908">
            <w:r w:rsidRPr="00EC0908">
              <w:t>Миалгия</w:t>
            </w:r>
          </w:p>
        </w:tc>
        <w:tc>
          <w:tcPr>
            <w:tcW w:w="1154" w:type="dxa"/>
          </w:tcPr>
          <w:p w14:paraId="0B5BDD8C" w14:textId="77777777" w:rsidR="00EC0908" w:rsidRPr="00EC0908" w:rsidRDefault="00EC0908" w:rsidP="00EC0908"/>
        </w:tc>
        <w:tc>
          <w:tcPr>
            <w:tcW w:w="2143" w:type="dxa"/>
          </w:tcPr>
          <w:p w14:paraId="5E4EFFCD" w14:textId="4F30317B" w:rsidR="00EC0908" w:rsidRPr="00EC0908" w:rsidRDefault="00EC0908" w:rsidP="00EC0908">
            <w:r w:rsidRPr="00EC0908">
              <w:t>Миопатия (включително миозит) Рабдомиолиза</w:t>
            </w:r>
          </w:p>
        </w:tc>
        <w:tc>
          <w:tcPr>
            <w:tcW w:w="1728" w:type="dxa"/>
          </w:tcPr>
          <w:p w14:paraId="17B8414E" w14:textId="06E7129B" w:rsidR="00EC0908" w:rsidRPr="00EC0908" w:rsidRDefault="00EC0908" w:rsidP="00EC0908">
            <w:r w:rsidRPr="00EC0908">
              <w:t>Артралгия</w:t>
            </w:r>
          </w:p>
        </w:tc>
        <w:tc>
          <w:tcPr>
            <w:tcW w:w="1426" w:type="dxa"/>
          </w:tcPr>
          <w:p w14:paraId="12ADFB0C" w14:textId="69C16C65" w:rsidR="00EC0908" w:rsidRPr="00EC0908" w:rsidRDefault="00EC0908" w:rsidP="00EC0908">
            <w:r w:rsidRPr="00EC0908">
              <w:t>Увреждания на сухожилията, понякога усложнени от руптура Имуно- медиирана некротична миопатия</w:t>
            </w:r>
          </w:p>
        </w:tc>
      </w:tr>
      <w:tr w:rsidR="00EC0908" w14:paraId="2928802D" w14:textId="77777777" w:rsidTr="00EC0908">
        <w:tc>
          <w:tcPr>
            <w:tcW w:w="1827" w:type="dxa"/>
          </w:tcPr>
          <w:p w14:paraId="770EE69A" w14:textId="6FF253F6" w:rsidR="00EC0908" w:rsidRPr="00EC0908" w:rsidRDefault="00EC0908" w:rsidP="00EC0908">
            <w:r w:rsidRPr="00EC0908">
              <w:rPr>
                <w:i/>
                <w:iCs/>
              </w:rPr>
              <w:t>Нарушения на бъбреците и пикочните пътище</w:t>
            </w:r>
          </w:p>
        </w:tc>
        <w:tc>
          <w:tcPr>
            <w:tcW w:w="1298" w:type="dxa"/>
          </w:tcPr>
          <w:p w14:paraId="11B1A00E" w14:textId="77777777" w:rsidR="00EC0908" w:rsidRPr="00EC0908" w:rsidRDefault="00EC0908" w:rsidP="00EC0908"/>
        </w:tc>
        <w:tc>
          <w:tcPr>
            <w:tcW w:w="1154" w:type="dxa"/>
          </w:tcPr>
          <w:p w14:paraId="6655E12C" w14:textId="77777777" w:rsidR="00EC0908" w:rsidRPr="00EC0908" w:rsidRDefault="00EC0908" w:rsidP="00EC0908"/>
        </w:tc>
        <w:tc>
          <w:tcPr>
            <w:tcW w:w="2143" w:type="dxa"/>
          </w:tcPr>
          <w:p w14:paraId="07AC35A5" w14:textId="77777777" w:rsidR="00EC0908" w:rsidRPr="00EC0908" w:rsidRDefault="00EC0908" w:rsidP="00EC0908"/>
        </w:tc>
        <w:tc>
          <w:tcPr>
            <w:tcW w:w="1728" w:type="dxa"/>
          </w:tcPr>
          <w:p w14:paraId="7492BA8D" w14:textId="3E8C0A31" w:rsidR="00EC0908" w:rsidRPr="00EC0908" w:rsidRDefault="00EC0908" w:rsidP="00EC0908">
            <w:r w:rsidRPr="00EC0908">
              <w:t>Хематурия</w:t>
            </w:r>
          </w:p>
        </w:tc>
        <w:tc>
          <w:tcPr>
            <w:tcW w:w="1426" w:type="dxa"/>
          </w:tcPr>
          <w:p w14:paraId="3C0BBB98" w14:textId="77777777" w:rsidR="00EC0908" w:rsidRPr="00EC0908" w:rsidRDefault="00EC0908" w:rsidP="00EC0908"/>
        </w:tc>
      </w:tr>
      <w:tr w:rsidR="00EC0908" w14:paraId="043D7770" w14:textId="77777777" w:rsidTr="00EC0908">
        <w:tc>
          <w:tcPr>
            <w:tcW w:w="1827" w:type="dxa"/>
          </w:tcPr>
          <w:p w14:paraId="11C9FC8B" w14:textId="1D6FBD2A" w:rsidR="00EC0908" w:rsidRPr="00EC0908" w:rsidRDefault="00EC0908" w:rsidP="00EC0908">
            <w:r w:rsidRPr="00EC0908">
              <w:rPr>
                <w:i/>
                <w:iCs/>
              </w:rPr>
              <w:t>Нарушения на репродуктивнат а система и гърдата</w:t>
            </w:r>
          </w:p>
        </w:tc>
        <w:tc>
          <w:tcPr>
            <w:tcW w:w="1298" w:type="dxa"/>
          </w:tcPr>
          <w:p w14:paraId="0CEA0AD6" w14:textId="77777777" w:rsidR="00EC0908" w:rsidRPr="00EC0908" w:rsidRDefault="00EC0908" w:rsidP="00EC0908"/>
        </w:tc>
        <w:tc>
          <w:tcPr>
            <w:tcW w:w="1154" w:type="dxa"/>
          </w:tcPr>
          <w:p w14:paraId="09AE58E9" w14:textId="77777777" w:rsidR="00EC0908" w:rsidRPr="00EC0908" w:rsidRDefault="00EC0908" w:rsidP="00EC0908"/>
        </w:tc>
        <w:tc>
          <w:tcPr>
            <w:tcW w:w="2143" w:type="dxa"/>
          </w:tcPr>
          <w:p w14:paraId="009599B9" w14:textId="77777777" w:rsidR="00EC0908" w:rsidRPr="00EC0908" w:rsidRDefault="00EC0908" w:rsidP="00EC0908"/>
        </w:tc>
        <w:tc>
          <w:tcPr>
            <w:tcW w:w="1728" w:type="dxa"/>
          </w:tcPr>
          <w:p w14:paraId="0636EEBB" w14:textId="62B8B30C" w:rsidR="00EC0908" w:rsidRPr="00EC0908" w:rsidRDefault="00EC0908" w:rsidP="00EC0908">
            <w:r w:rsidRPr="00EC0908">
              <w:t>Гинекомастия</w:t>
            </w:r>
          </w:p>
        </w:tc>
        <w:tc>
          <w:tcPr>
            <w:tcW w:w="1426" w:type="dxa"/>
          </w:tcPr>
          <w:p w14:paraId="047128F8" w14:textId="77777777" w:rsidR="00EC0908" w:rsidRPr="00EC0908" w:rsidRDefault="00EC0908" w:rsidP="00EC0908"/>
        </w:tc>
      </w:tr>
      <w:tr w:rsidR="00EC0908" w14:paraId="3082C719" w14:textId="77777777" w:rsidTr="00EC0908">
        <w:tc>
          <w:tcPr>
            <w:tcW w:w="1827" w:type="dxa"/>
          </w:tcPr>
          <w:p w14:paraId="451BC6E0" w14:textId="62B9B570" w:rsidR="00EC0908" w:rsidRPr="00EC0908" w:rsidRDefault="00EC0908" w:rsidP="00EC0908">
            <w:r w:rsidRPr="00EC0908">
              <w:rPr>
                <w:i/>
                <w:iCs/>
              </w:rPr>
              <w:t>Общи нарушения и ефекти на мястото на приложение</w:t>
            </w:r>
          </w:p>
        </w:tc>
        <w:tc>
          <w:tcPr>
            <w:tcW w:w="1298" w:type="dxa"/>
          </w:tcPr>
          <w:p w14:paraId="55A956D0" w14:textId="097280FA" w:rsidR="00EC0908" w:rsidRPr="00EC0908" w:rsidRDefault="00EC0908" w:rsidP="00EC0908">
            <w:r w:rsidRPr="00EC0908">
              <w:t>Астения</w:t>
            </w:r>
          </w:p>
        </w:tc>
        <w:tc>
          <w:tcPr>
            <w:tcW w:w="1154" w:type="dxa"/>
          </w:tcPr>
          <w:p w14:paraId="5C743AC9" w14:textId="77777777" w:rsidR="00EC0908" w:rsidRPr="00EC0908" w:rsidRDefault="00EC0908" w:rsidP="00EC0908"/>
        </w:tc>
        <w:tc>
          <w:tcPr>
            <w:tcW w:w="2143" w:type="dxa"/>
          </w:tcPr>
          <w:p w14:paraId="720006F6" w14:textId="77777777" w:rsidR="00EC0908" w:rsidRPr="00EC0908" w:rsidRDefault="00EC0908" w:rsidP="00EC0908"/>
        </w:tc>
        <w:tc>
          <w:tcPr>
            <w:tcW w:w="1728" w:type="dxa"/>
          </w:tcPr>
          <w:p w14:paraId="0617F253" w14:textId="77777777" w:rsidR="00EC0908" w:rsidRPr="00EC0908" w:rsidRDefault="00EC0908" w:rsidP="00EC0908"/>
        </w:tc>
        <w:tc>
          <w:tcPr>
            <w:tcW w:w="1426" w:type="dxa"/>
          </w:tcPr>
          <w:p w14:paraId="5FB7FD71" w14:textId="08CAB0E5" w:rsidR="00EC0908" w:rsidRPr="00EC0908" w:rsidRDefault="00EC0908" w:rsidP="00EC0908">
            <w:r w:rsidRPr="00EC0908">
              <w:t>Едем</w:t>
            </w:r>
          </w:p>
        </w:tc>
      </w:tr>
    </w:tbl>
    <w:p w14:paraId="735721DC" w14:textId="12F8343B" w:rsidR="00EC0908" w:rsidRPr="00EC0908" w:rsidRDefault="00EC0908" w:rsidP="00EC0908">
      <w:pPr>
        <w:rPr>
          <w:rFonts w:cs="Arial"/>
        </w:rPr>
      </w:pPr>
      <w:r w:rsidRPr="00EC0908">
        <w:rPr>
          <w:rFonts w:cs="Arial"/>
          <w:vertAlign w:val="superscript"/>
        </w:rPr>
        <w:t>1</w:t>
      </w:r>
      <w:r w:rsidRPr="00EC0908">
        <w:rPr>
          <w:rFonts w:cs="Arial"/>
        </w:rPr>
        <w:t xml:space="preserve">Честотата ще зависи от наличието или отсъствието на рискови фактори (глюкоза на гладно &gt;5,6 </w:t>
      </w:r>
      <w:proofErr w:type="spellStart"/>
      <w:r w:rsidRPr="00EC0908">
        <w:rPr>
          <w:rFonts w:cs="Arial"/>
          <w:lang w:val="en-US"/>
        </w:rPr>
        <w:t>mmol</w:t>
      </w:r>
      <w:proofErr w:type="spellEnd"/>
      <w:r w:rsidRPr="00EC0908">
        <w:rPr>
          <w:rFonts w:cs="Arial"/>
          <w:lang w:val="ru-RU"/>
        </w:rPr>
        <w:t xml:space="preserve">/1, </w:t>
      </w:r>
      <w:r w:rsidRPr="00EC0908">
        <w:rPr>
          <w:rFonts w:cs="Arial"/>
        </w:rPr>
        <w:t xml:space="preserve">индекс на телесна маса &gt;30 </w:t>
      </w:r>
      <w:r w:rsidRPr="00EC0908">
        <w:rPr>
          <w:rFonts w:cs="Arial"/>
          <w:lang w:val="en-US"/>
        </w:rPr>
        <w:t>kg</w:t>
      </w:r>
      <w:r w:rsidRPr="00EC0908">
        <w:rPr>
          <w:rFonts w:cs="Arial"/>
          <w:lang w:val="ru-RU"/>
        </w:rPr>
        <w:t>/</w:t>
      </w:r>
      <w:r w:rsidRPr="00EC0908">
        <w:rPr>
          <w:rFonts w:cs="Arial"/>
          <w:lang w:val="en-US"/>
        </w:rPr>
        <w:t>m</w:t>
      </w:r>
      <w:r w:rsidRPr="00EC0908">
        <w:rPr>
          <w:rFonts w:cs="Arial"/>
          <w:vertAlign w:val="superscript"/>
          <w:lang w:val="ru-RU"/>
        </w:rPr>
        <w:t>2</w:t>
      </w:r>
      <w:r w:rsidRPr="00EC0908">
        <w:rPr>
          <w:rFonts w:cs="Arial"/>
          <w:lang w:val="ru-RU"/>
        </w:rPr>
        <w:t xml:space="preserve">, </w:t>
      </w:r>
      <w:r w:rsidRPr="00EC0908">
        <w:rPr>
          <w:rFonts w:cs="Arial"/>
        </w:rPr>
        <w:t>повишени стойности на триглицеридите, анамнеза за хипертония)</w:t>
      </w:r>
    </w:p>
    <w:p w14:paraId="56F87893" w14:textId="153681A3" w:rsidR="00EC0908" w:rsidRPr="00EC0908" w:rsidRDefault="00EC0908" w:rsidP="00EC0908">
      <w:pPr>
        <w:rPr>
          <w:rFonts w:cs="Arial"/>
        </w:rPr>
      </w:pPr>
    </w:p>
    <w:p w14:paraId="57BB3BBB"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Както при други инхибитори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редуктазата, честотата на нежеланите лекарствени реакции е дозо-зависима.</w:t>
      </w:r>
    </w:p>
    <w:p w14:paraId="3C606364" w14:textId="77777777" w:rsidR="00EC0908" w:rsidRDefault="00EC0908" w:rsidP="00EC0908">
      <w:pPr>
        <w:spacing w:line="240" w:lineRule="auto"/>
        <w:rPr>
          <w:rFonts w:eastAsia="Times New Roman" w:cs="Arial"/>
          <w:b/>
          <w:bCs/>
          <w:color w:val="000000"/>
          <w:lang w:eastAsia="bg-BG"/>
        </w:rPr>
      </w:pPr>
    </w:p>
    <w:p w14:paraId="44EF688C" w14:textId="71B15D97"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 xml:space="preserve">Ефекти върху бъбреците: </w:t>
      </w:r>
      <w:r w:rsidRPr="00EC0908">
        <w:rPr>
          <w:rFonts w:eastAsia="Times New Roman" w:cs="Arial"/>
          <w:color w:val="000000"/>
          <w:lang w:eastAsia="bg-BG"/>
        </w:rPr>
        <w:t xml:space="preserve">При пациенти, лекувани с розувастатин, е наблюдавана протеинурия, установена при изследване с тест-лентички и която е с предимно тубулен произход. В определен момент от лечението при &lt;1% от пациентите на 10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и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и при приблизително 3% от пациентите, лекувани с 40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 повечето случаи протеинурията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при клиничните опити и постмаркетинговите проучвания, до сега не е установена причинна връзка между протеинурията и остро или прогресивно бъбречно заболяване.</w:t>
      </w:r>
    </w:p>
    <w:p w14:paraId="0190D521" w14:textId="77777777" w:rsidR="00EC0908" w:rsidRDefault="00EC0908" w:rsidP="00EC0908">
      <w:pPr>
        <w:spacing w:line="240" w:lineRule="auto"/>
        <w:rPr>
          <w:rFonts w:eastAsia="Times New Roman" w:cs="Arial"/>
          <w:color w:val="000000"/>
          <w:lang w:eastAsia="bg-BG"/>
        </w:rPr>
      </w:pPr>
    </w:p>
    <w:p w14:paraId="1FC4AE83" w14:textId="77777777" w:rsidR="00EC0908" w:rsidRDefault="00EC0908" w:rsidP="00EC0908">
      <w:pPr>
        <w:spacing w:line="240" w:lineRule="auto"/>
        <w:rPr>
          <w:rFonts w:eastAsia="Times New Roman" w:cs="Arial"/>
          <w:color w:val="000000"/>
          <w:lang w:eastAsia="bg-BG"/>
        </w:rPr>
      </w:pPr>
      <w:r w:rsidRPr="00EC0908">
        <w:rPr>
          <w:rFonts w:eastAsia="Times New Roman" w:cs="Arial"/>
          <w:color w:val="000000"/>
          <w:lang w:eastAsia="bg-BG"/>
        </w:rPr>
        <w:t xml:space="preserve">При пациенти, лекувани с розувастатин, е наблюдавана хематурия, но клиничните данни </w:t>
      </w:r>
    </w:p>
    <w:p w14:paraId="2F8AA71D" w14:textId="2C4CF7A1" w:rsidR="00EC0908" w:rsidRPr="00EC0908" w:rsidRDefault="00EC0908" w:rsidP="00EC0908">
      <w:pPr>
        <w:spacing w:line="240" w:lineRule="auto"/>
        <w:rPr>
          <w:rFonts w:eastAsia="Times New Roman" w:cs="Arial"/>
        </w:rPr>
      </w:pPr>
      <w:r w:rsidRPr="00EC0908">
        <w:rPr>
          <w:rFonts w:eastAsia="Times New Roman" w:cs="Arial"/>
          <w:color w:val="000000"/>
          <w:lang w:eastAsia="bg-BG"/>
        </w:rPr>
        <w:lastRenderedPageBreak/>
        <w:t>сочат, че честотата й е ниска.</w:t>
      </w:r>
    </w:p>
    <w:p w14:paraId="3D8387ED" w14:textId="77777777" w:rsidR="00EC0908" w:rsidRDefault="00EC0908" w:rsidP="00EC0908">
      <w:pPr>
        <w:spacing w:line="240" w:lineRule="auto"/>
        <w:rPr>
          <w:rFonts w:eastAsia="Times New Roman" w:cs="Arial"/>
          <w:b/>
          <w:bCs/>
          <w:color w:val="000000"/>
          <w:lang w:eastAsia="bg-BG"/>
        </w:rPr>
      </w:pPr>
    </w:p>
    <w:p w14:paraId="7539DEB8" w14:textId="5767A075"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 xml:space="preserve">Ефекти върху скелетната мускулатура: </w:t>
      </w:r>
      <w:r w:rsidRPr="00EC0908">
        <w:rPr>
          <w:rFonts w:eastAsia="Times New Roman" w:cs="Arial"/>
          <w:color w:val="000000"/>
          <w:lang w:eastAsia="bg-BG"/>
        </w:rPr>
        <w:t xml:space="preserve">Както при други инхибитори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 xml:space="preserve">редуктазата, са съобщавани ефекти върху скелетната мускулатура, като неусложнена миалгия, миопатия (включително миозит) и рабдомиолиза, при пациенти лекувани с розувастатин във всички терапевтични дози, особено в дози над 20 </w:t>
      </w:r>
      <w:r w:rsidRPr="00EC0908">
        <w:rPr>
          <w:rFonts w:eastAsia="Times New Roman" w:cs="Arial"/>
          <w:color w:val="000000"/>
          <w:lang w:val="en-US"/>
        </w:rPr>
        <w:t>mg</w:t>
      </w:r>
      <w:r w:rsidRPr="00EC0908">
        <w:rPr>
          <w:rFonts w:eastAsia="Times New Roman" w:cs="Arial"/>
          <w:color w:val="000000"/>
          <w:lang w:val="ru-RU"/>
        </w:rPr>
        <w:t>.</w:t>
      </w:r>
    </w:p>
    <w:p w14:paraId="48753CE3" w14:textId="77777777" w:rsidR="00EC0908" w:rsidRDefault="00EC0908" w:rsidP="00EC0908">
      <w:pPr>
        <w:spacing w:line="240" w:lineRule="auto"/>
        <w:rPr>
          <w:rFonts w:eastAsia="Times New Roman" w:cs="Arial"/>
          <w:color w:val="000000"/>
          <w:lang w:eastAsia="bg-BG"/>
        </w:rPr>
      </w:pPr>
    </w:p>
    <w:p w14:paraId="48223B38" w14:textId="7A0261F7" w:rsidR="00EC0908" w:rsidRPr="00EC0908" w:rsidRDefault="00EC0908" w:rsidP="00EC0908">
      <w:pPr>
        <w:spacing w:line="240" w:lineRule="auto"/>
        <w:rPr>
          <w:rFonts w:eastAsia="Times New Roman" w:cs="Arial"/>
        </w:rPr>
      </w:pPr>
      <w:r w:rsidRPr="00EC0908">
        <w:rPr>
          <w:rFonts w:eastAsia="Times New Roman" w:cs="Arial"/>
          <w:color w:val="000000"/>
          <w:lang w:eastAsia="bg-BG"/>
        </w:rPr>
        <w:t>Увеличение на нивото на СК вследствие на увеличение на дозата е наблюдавано при малък брой пациенти на розувастатин; множеството от случаите са леки, преходни и асимптоматични. Ако нивото на СК се повиши (&gt;5 пъти горната граница на нормата), лечението трябва временно да се преустанови (вж. точка 4.4).</w:t>
      </w:r>
    </w:p>
    <w:p w14:paraId="254E854E" w14:textId="77777777" w:rsidR="00EC0908" w:rsidRDefault="00EC0908" w:rsidP="00EC0908">
      <w:pPr>
        <w:spacing w:line="240" w:lineRule="auto"/>
        <w:rPr>
          <w:rFonts w:eastAsia="Times New Roman" w:cs="Arial"/>
          <w:b/>
          <w:bCs/>
          <w:color w:val="000000"/>
          <w:lang w:eastAsia="bg-BG"/>
        </w:rPr>
      </w:pPr>
    </w:p>
    <w:p w14:paraId="6446AF47" w14:textId="54ADA98E"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 xml:space="preserve">Ефекти върху черния дроб: </w:t>
      </w:r>
      <w:r w:rsidRPr="00EC0908">
        <w:rPr>
          <w:rFonts w:eastAsia="Times New Roman" w:cs="Arial"/>
          <w:color w:val="000000"/>
          <w:lang w:eastAsia="bg-BG"/>
        </w:rPr>
        <w:t xml:space="preserve">Както при други инхибитори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редуктазата, при малък брой пациенти, приемащи розувастатин е било наблюдавано увеличение на трансаминазите свързано с дозировката; по-голяма част от случаите са били леки, асимптоматични и преходни.</w:t>
      </w:r>
    </w:p>
    <w:p w14:paraId="0FED5D19" w14:textId="77777777" w:rsidR="00EC0908" w:rsidRDefault="00EC0908" w:rsidP="00EC0908">
      <w:pPr>
        <w:spacing w:line="240" w:lineRule="auto"/>
        <w:rPr>
          <w:rFonts w:eastAsia="Times New Roman" w:cs="Arial"/>
          <w:color w:val="000000"/>
          <w:lang w:eastAsia="bg-BG"/>
        </w:rPr>
      </w:pPr>
    </w:p>
    <w:p w14:paraId="06BF3221" w14:textId="505CB735" w:rsidR="00EC0908" w:rsidRPr="00EC0908" w:rsidRDefault="00EC0908" w:rsidP="00EC0908">
      <w:pPr>
        <w:spacing w:line="240" w:lineRule="auto"/>
        <w:rPr>
          <w:rFonts w:eastAsia="Times New Roman" w:cs="Arial"/>
        </w:rPr>
      </w:pPr>
      <w:r w:rsidRPr="00EC0908">
        <w:rPr>
          <w:rFonts w:eastAsia="Times New Roman" w:cs="Arial"/>
          <w:color w:val="000000"/>
          <w:lang w:eastAsia="bg-BG"/>
        </w:rPr>
        <w:t>При някои статини са докладвани следните нежелани реакции:</w:t>
      </w:r>
    </w:p>
    <w:p w14:paraId="74B29374" w14:textId="77777777" w:rsidR="00EC0908" w:rsidRDefault="00EC0908" w:rsidP="00EC0908">
      <w:pPr>
        <w:pStyle w:val="ListParagraph"/>
        <w:numPr>
          <w:ilvl w:val="0"/>
          <w:numId w:val="39"/>
        </w:numPr>
        <w:spacing w:line="240" w:lineRule="auto"/>
        <w:rPr>
          <w:rFonts w:eastAsia="Times New Roman" w:cs="Arial"/>
          <w:color w:val="000000"/>
          <w:lang w:eastAsia="bg-BG"/>
        </w:rPr>
      </w:pPr>
      <w:r w:rsidRPr="00EC0908">
        <w:rPr>
          <w:rFonts w:eastAsia="Times New Roman" w:cs="Arial"/>
          <w:color w:val="000000"/>
          <w:lang w:eastAsia="bg-BG"/>
        </w:rPr>
        <w:t>Сексуална дисфункция.</w:t>
      </w:r>
    </w:p>
    <w:p w14:paraId="50F11B32" w14:textId="0578571C" w:rsidR="00EC0908" w:rsidRPr="00EC0908" w:rsidRDefault="00EC0908" w:rsidP="00EC0908">
      <w:pPr>
        <w:pStyle w:val="ListParagraph"/>
        <w:numPr>
          <w:ilvl w:val="0"/>
          <w:numId w:val="39"/>
        </w:numPr>
        <w:spacing w:line="240" w:lineRule="auto"/>
        <w:rPr>
          <w:rFonts w:eastAsia="Times New Roman" w:cs="Arial"/>
          <w:color w:val="000000"/>
          <w:lang w:eastAsia="bg-BG"/>
        </w:rPr>
      </w:pPr>
      <w:r w:rsidRPr="00EC0908">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17D9EFD8" w14:textId="77777777" w:rsidR="00EC0908" w:rsidRDefault="00EC0908" w:rsidP="00EC0908">
      <w:pPr>
        <w:spacing w:line="240" w:lineRule="auto"/>
        <w:rPr>
          <w:rFonts w:eastAsia="Times New Roman" w:cs="Arial"/>
          <w:color w:val="000000"/>
          <w:lang w:eastAsia="bg-BG"/>
        </w:rPr>
      </w:pPr>
    </w:p>
    <w:p w14:paraId="4CAD2966" w14:textId="01CFB185"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Докладваната честота на рабдомиолиза, сериозни бъбречни и сериозни чернодробни събития (основно проявяващи се като увеличени чернодробни трансаминази) е по-висока при дозировка от 40 </w:t>
      </w:r>
      <w:r w:rsidRPr="00EC0908">
        <w:rPr>
          <w:rFonts w:eastAsia="Times New Roman" w:cs="Arial"/>
          <w:color w:val="000000"/>
          <w:lang w:val="en-US"/>
        </w:rPr>
        <w:t>mg</w:t>
      </w:r>
      <w:r w:rsidRPr="00EC0908">
        <w:rPr>
          <w:rFonts w:eastAsia="Times New Roman" w:cs="Arial"/>
          <w:color w:val="000000"/>
          <w:lang w:val="ru-RU"/>
        </w:rPr>
        <w:t>.</w:t>
      </w:r>
    </w:p>
    <w:p w14:paraId="1D8BCABC" w14:textId="77777777" w:rsidR="00EC0908" w:rsidRDefault="00EC0908" w:rsidP="00EC0908">
      <w:pPr>
        <w:spacing w:line="240" w:lineRule="auto"/>
        <w:rPr>
          <w:rFonts w:eastAsia="Times New Roman" w:cs="Arial"/>
          <w:b/>
          <w:bCs/>
          <w:color w:val="000000"/>
          <w:lang w:eastAsia="bg-BG"/>
        </w:rPr>
      </w:pPr>
    </w:p>
    <w:p w14:paraId="2A1A1EE6" w14:textId="1ED2F19D"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 xml:space="preserve">Педиатрична популация: </w:t>
      </w:r>
      <w:r w:rsidRPr="00EC0908">
        <w:rPr>
          <w:rFonts w:eastAsia="Times New Roman" w:cs="Arial"/>
          <w:color w:val="000000"/>
          <w:lang w:eastAsia="bg-BG"/>
        </w:rPr>
        <w:t xml:space="preserve">Повишаване на креатинкиназата </w:t>
      </w:r>
      <w:r w:rsidRPr="00EC0908">
        <w:rPr>
          <w:rFonts w:eastAsia="Times New Roman" w:cs="Arial"/>
          <w:color w:val="000000"/>
          <w:lang w:val="ru-RU"/>
        </w:rPr>
        <w:t>&gt;10</w:t>
      </w:r>
      <w:proofErr w:type="spellStart"/>
      <w:r w:rsidRPr="00EC0908">
        <w:rPr>
          <w:rFonts w:eastAsia="Times New Roman" w:cs="Arial"/>
          <w:color w:val="000000"/>
          <w:lang w:val="en-US"/>
        </w:rPr>
        <w:t>xULN</w:t>
      </w:r>
      <w:proofErr w:type="spellEnd"/>
      <w:r w:rsidRPr="00EC0908">
        <w:rPr>
          <w:rFonts w:eastAsia="Times New Roman" w:cs="Arial"/>
          <w:color w:val="000000"/>
          <w:lang w:val="ru-RU"/>
        </w:rPr>
        <w:t xml:space="preserve"> </w:t>
      </w:r>
      <w:r w:rsidRPr="00EC0908">
        <w:rPr>
          <w:rFonts w:eastAsia="Times New Roman" w:cs="Arial"/>
          <w:color w:val="000000"/>
          <w:lang w:eastAsia="bg-BG"/>
        </w:rPr>
        <w:t>и мускулни симптоми след упражнения или повишена физическа активност са наблюдавани по-често в едно 52-седмично клинично проучване на деца и младежи в сравнение с възрастни (вж. точка 4.4). В други аспекти, профилът на безопасност на розувастатин е сходен при деца и юноши, в сравнение с възрастните.</w:t>
      </w:r>
    </w:p>
    <w:p w14:paraId="2A70B308" w14:textId="77777777" w:rsidR="00EC0908" w:rsidRDefault="00EC0908" w:rsidP="00EC0908">
      <w:pPr>
        <w:spacing w:line="240" w:lineRule="auto"/>
        <w:rPr>
          <w:rFonts w:eastAsia="Times New Roman" w:cs="Arial"/>
          <w:color w:val="000000"/>
          <w:u w:val="single"/>
          <w:lang w:eastAsia="bg-BG"/>
        </w:rPr>
      </w:pPr>
    </w:p>
    <w:p w14:paraId="47202629" w14:textId="16ED58B4"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Съобщаване на подозирани нежелани реакции</w:t>
      </w:r>
    </w:p>
    <w:p w14:paraId="3764CD1C"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311D7953"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Изпълнителна агенция по лекарствата ул. „Дамян Груев" № 8</w:t>
      </w:r>
    </w:p>
    <w:p w14:paraId="52C429F0"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1303 София</w:t>
      </w:r>
    </w:p>
    <w:p w14:paraId="4A89AC49"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Тел.:+359 2 8903417</w:t>
      </w:r>
    </w:p>
    <w:p w14:paraId="671802B5" w14:textId="411B03D8" w:rsidR="00EC0908" w:rsidRDefault="00EC0908" w:rsidP="00EC0908">
      <w:pPr>
        <w:rPr>
          <w:rFonts w:eastAsia="Times New Roman" w:cs="Arial"/>
        </w:rPr>
      </w:pPr>
      <w:r w:rsidRPr="00EC0908">
        <w:rPr>
          <w:rFonts w:eastAsia="Times New Roman" w:cs="Arial"/>
          <w:color w:val="000000"/>
          <w:lang w:eastAsia="bg-BG"/>
        </w:rPr>
        <w:t xml:space="preserve">уебсайт: </w:t>
      </w:r>
      <w:r w:rsidRPr="00EC0908">
        <w:rPr>
          <w:rFonts w:eastAsia="Times New Roman" w:cs="Arial"/>
        </w:rPr>
        <w:fldChar w:fldCharType="begin"/>
      </w:r>
      <w:r w:rsidRPr="00EC0908">
        <w:rPr>
          <w:rFonts w:eastAsia="Times New Roman" w:cs="Arial"/>
        </w:rPr>
        <w:instrText xml:space="preserve"> HYPERLINK "http://www.bda.bg" </w:instrText>
      </w:r>
      <w:r w:rsidRPr="00EC0908">
        <w:rPr>
          <w:rFonts w:eastAsia="Times New Roman" w:cs="Arial"/>
        </w:rPr>
      </w:r>
      <w:r w:rsidRPr="00EC0908">
        <w:rPr>
          <w:rFonts w:eastAsia="Times New Roman" w:cs="Arial"/>
        </w:rPr>
        <w:fldChar w:fldCharType="separate"/>
      </w:r>
      <w:r w:rsidRPr="00EC0908">
        <w:rPr>
          <w:rFonts w:eastAsia="Times New Roman" w:cs="Arial"/>
          <w:color w:val="000000"/>
          <w:lang w:val="en-US"/>
        </w:rPr>
        <w:t>www</w:t>
      </w:r>
      <w:r w:rsidRPr="00EC0908">
        <w:rPr>
          <w:rFonts w:eastAsia="Times New Roman" w:cs="Arial"/>
          <w:color w:val="000000"/>
          <w:lang w:val="ru-RU"/>
        </w:rPr>
        <w:t>.</w:t>
      </w:r>
      <w:proofErr w:type="spellStart"/>
      <w:r w:rsidRPr="00EC0908">
        <w:rPr>
          <w:rFonts w:eastAsia="Times New Roman" w:cs="Arial"/>
          <w:color w:val="000000"/>
          <w:lang w:val="en-US"/>
        </w:rPr>
        <w:t>bda</w:t>
      </w:r>
      <w:proofErr w:type="spellEnd"/>
      <w:r w:rsidRPr="00EC0908">
        <w:rPr>
          <w:rFonts w:eastAsia="Times New Roman" w:cs="Arial"/>
          <w:color w:val="000000"/>
          <w:lang w:val="ru-RU"/>
        </w:rPr>
        <w:t>.</w:t>
      </w:r>
      <w:proofErr w:type="spellStart"/>
      <w:r w:rsidRPr="00EC0908">
        <w:rPr>
          <w:rFonts w:eastAsia="Times New Roman" w:cs="Arial"/>
          <w:color w:val="000000"/>
          <w:lang w:val="en-US"/>
        </w:rPr>
        <w:t>bg</w:t>
      </w:r>
      <w:proofErr w:type="spellEnd"/>
      <w:r w:rsidRPr="00EC0908">
        <w:rPr>
          <w:rFonts w:eastAsia="Times New Roman" w:cs="Arial"/>
        </w:rPr>
        <w:fldChar w:fldCharType="end"/>
      </w:r>
    </w:p>
    <w:p w14:paraId="446F5F1E" w14:textId="77777777" w:rsidR="00EC0908" w:rsidRPr="00EC0908" w:rsidRDefault="00EC0908" w:rsidP="00EC0908">
      <w:pPr>
        <w:rPr>
          <w:rFonts w:cs="Arial"/>
        </w:rPr>
      </w:pPr>
    </w:p>
    <w:p w14:paraId="0A023CE0" w14:textId="4090F1E1" w:rsidR="00CF77F7" w:rsidRDefault="002C50EE" w:rsidP="004A448E">
      <w:pPr>
        <w:pStyle w:val="Heading2"/>
      </w:pPr>
      <w:r>
        <w:t>4.9. Предозиране</w:t>
      </w:r>
    </w:p>
    <w:p w14:paraId="139C1284" w14:textId="657F1A42" w:rsidR="00EC0908" w:rsidRDefault="00EC0908" w:rsidP="00EC0908"/>
    <w:p w14:paraId="581F3AAE" w14:textId="02A68983" w:rsidR="00EC0908" w:rsidRDefault="00EC0908" w:rsidP="00EC0908">
      <w:pPr>
        <w:spacing w:line="240" w:lineRule="auto"/>
        <w:rPr>
          <w:rFonts w:eastAsia="Times New Roman" w:cs="Arial"/>
        </w:rPr>
      </w:pPr>
      <w:r w:rsidRPr="00EC0908">
        <w:rPr>
          <w:rFonts w:eastAsia="Times New Roman" w:cs="Arial"/>
          <w:color w:val="000000"/>
          <w:lang w:eastAsia="bg-BG"/>
        </w:rPr>
        <w:t>Няма специфично лечение в случай на предозиране. При предозиране пациентът трябва да се лекува симптоматично и да се предприемат необходимите поддържащи мерки. Чернодробната функция и нивата на СК трябва да се следят. Малко е вероятно хемодиализата да бъде от полза.</w:t>
      </w:r>
    </w:p>
    <w:p w14:paraId="49F60BAE" w14:textId="77777777" w:rsidR="00EC0908" w:rsidRPr="00EC0908" w:rsidRDefault="00EC0908" w:rsidP="00EC0908">
      <w:pPr>
        <w:spacing w:line="240" w:lineRule="auto"/>
        <w:rPr>
          <w:rFonts w:eastAsia="Times New Roman" w:cs="Arial"/>
        </w:rPr>
      </w:pPr>
    </w:p>
    <w:p w14:paraId="02081B24" w14:textId="1F46E296" w:rsidR="00395555" w:rsidRPr="00395555" w:rsidRDefault="002C50EE" w:rsidP="008A6AF2">
      <w:pPr>
        <w:pStyle w:val="Heading1"/>
      </w:pPr>
      <w:r>
        <w:lastRenderedPageBreak/>
        <w:t>5. ФАРМАКОЛОГИЧНИ СВОЙСТВА</w:t>
      </w:r>
    </w:p>
    <w:p w14:paraId="32B6DE66" w14:textId="4B44BE27" w:rsidR="00CF77F7" w:rsidRDefault="002C50EE" w:rsidP="004A448E">
      <w:pPr>
        <w:pStyle w:val="Heading2"/>
      </w:pPr>
      <w:r>
        <w:t>5.1. Фармакодинамични свойства</w:t>
      </w:r>
    </w:p>
    <w:p w14:paraId="273FC520" w14:textId="547A16C5" w:rsidR="00EC0908" w:rsidRDefault="00EC0908" w:rsidP="00EC0908"/>
    <w:p w14:paraId="3FD3011E"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Фармакотерапевтична група: инхибитори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редуктазата</w:t>
      </w:r>
    </w:p>
    <w:p w14:paraId="1CDEC181"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АТС код: С10АА07</w:t>
      </w:r>
    </w:p>
    <w:p w14:paraId="28B23108" w14:textId="77777777" w:rsidR="00EC0908" w:rsidRPr="00EC0908" w:rsidRDefault="00EC0908" w:rsidP="00EC0908">
      <w:pPr>
        <w:spacing w:line="240" w:lineRule="auto"/>
        <w:rPr>
          <w:rFonts w:eastAsia="Times New Roman" w:cs="Arial"/>
        </w:rPr>
      </w:pPr>
    </w:p>
    <w:p w14:paraId="570FB81A" w14:textId="77777777"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Механизъм на действие</w:t>
      </w:r>
    </w:p>
    <w:p w14:paraId="1116A021"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Розувастатин е селективен и конкурентен инхибитор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редуктазата, скоростограничаващият ензим, който превръща З-хидрокси-3-метилглутарил коензим А в мевалонат, прекурсор на холестерола. Основното въздействие на розувастатин е върху черния дроб, органът, в който се извършва намаляване нивото на холестерол.</w:t>
      </w:r>
    </w:p>
    <w:p w14:paraId="546FDDD2" w14:textId="77777777" w:rsidR="00EC0908" w:rsidRDefault="00EC0908" w:rsidP="00EC0908">
      <w:pPr>
        <w:spacing w:line="240" w:lineRule="auto"/>
        <w:rPr>
          <w:rFonts w:eastAsia="Times New Roman" w:cs="Arial"/>
          <w:color w:val="000000"/>
          <w:lang w:eastAsia="bg-BG"/>
        </w:rPr>
      </w:pPr>
    </w:p>
    <w:p w14:paraId="2C09CDEF" w14:textId="70ED234B"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Розувастатин увеличава броя на чернодробните </w:t>
      </w:r>
      <w:r w:rsidRPr="00EC0908">
        <w:rPr>
          <w:rFonts w:eastAsia="Times New Roman" w:cs="Arial"/>
          <w:color w:val="000000"/>
          <w:lang w:val="en-US"/>
        </w:rPr>
        <w:t>LDL</w:t>
      </w:r>
      <w:r w:rsidRPr="00EC0908">
        <w:rPr>
          <w:rFonts w:eastAsia="Times New Roman" w:cs="Arial"/>
          <w:color w:val="000000"/>
          <w:lang w:val="ru-RU"/>
        </w:rPr>
        <w:t xml:space="preserve"> </w:t>
      </w:r>
      <w:r w:rsidRPr="00EC0908">
        <w:rPr>
          <w:rFonts w:eastAsia="Times New Roman" w:cs="Arial"/>
          <w:color w:val="000000"/>
          <w:lang w:eastAsia="bg-BG"/>
        </w:rPr>
        <w:t xml:space="preserve">рецептори върху клетъчната повърхност, като засилва поемането и катаболизма на </w:t>
      </w:r>
      <w:r w:rsidRPr="00EC0908">
        <w:rPr>
          <w:rFonts w:eastAsia="Times New Roman" w:cs="Arial"/>
          <w:color w:val="000000"/>
          <w:lang w:val="en-US"/>
        </w:rPr>
        <w:t>LDL</w:t>
      </w:r>
      <w:r w:rsidRPr="00EC0908">
        <w:rPr>
          <w:rFonts w:eastAsia="Times New Roman" w:cs="Arial"/>
          <w:color w:val="000000"/>
          <w:lang w:val="ru-RU"/>
        </w:rPr>
        <w:t xml:space="preserve"> </w:t>
      </w:r>
      <w:r w:rsidRPr="00EC0908">
        <w:rPr>
          <w:rFonts w:eastAsia="Times New Roman" w:cs="Arial"/>
          <w:color w:val="000000"/>
          <w:lang w:eastAsia="bg-BG"/>
        </w:rPr>
        <w:t xml:space="preserve">и инхибира чернодробната синтеза на </w:t>
      </w:r>
      <w:r w:rsidRPr="00EC0908">
        <w:rPr>
          <w:rFonts w:eastAsia="Times New Roman" w:cs="Arial"/>
          <w:color w:val="000000"/>
          <w:lang w:val="en-US"/>
        </w:rPr>
        <w:t>VLDL</w:t>
      </w:r>
      <w:r w:rsidRPr="00EC0908">
        <w:rPr>
          <w:rFonts w:eastAsia="Times New Roman" w:cs="Arial"/>
          <w:color w:val="000000"/>
          <w:lang w:val="ru-RU"/>
        </w:rPr>
        <w:t xml:space="preserve">. </w:t>
      </w:r>
      <w:r w:rsidRPr="00EC0908">
        <w:rPr>
          <w:rFonts w:eastAsia="Times New Roman" w:cs="Arial"/>
          <w:color w:val="000000"/>
          <w:lang w:eastAsia="bg-BG"/>
        </w:rPr>
        <w:t xml:space="preserve">По този начин розувастатин намалява общия брой на </w:t>
      </w:r>
      <w:r w:rsidRPr="00EC0908">
        <w:rPr>
          <w:rFonts w:eastAsia="Times New Roman" w:cs="Arial"/>
          <w:color w:val="000000"/>
          <w:lang w:val="en-US"/>
        </w:rPr>
        <w:t>VLDL</w:t>
      </w:r>
      <w:r w:rsidRPr="00EC0908">
        <w:rPr>
          <w:rFonts w:eastAsia="Times New Roman" w:cs="Arial"/>
          <w:color w:val="000000"/>
          <w:lang w:val="ru-RU"/>
        </w:rPr>
        <w:t xml:space="preserve"> </w:t>
      </w:r>
      <w:r w:rsidRPr="00EC0908">
        <w:rPr>
          <w:rFonts w:eastAsia="Times New Roman" w:cs="Arial"/>
          <w:color w:val="000000"/>
          <w:lang w:eastAsia="bg-BG"/>
        </w:rPr>
        <w:t xml:space="preserve">и </w:t>
      </w:r>
      <w:r w:rsidRPr="00EC0908">
        <w:rPr>
          <w:rFonts w:eastAsia="Times New Roman" w:cs="Arial"/>
          <w:color w:val="000000"/>
          <w:lang w:val="en-US"/>
        </w:rPr>
        <w:t>LDL</w:t>
      </w:r>
      <w:r w:rsidRPr="00EC0908">
        <w:rPr>
          <w:rFonts w:eastAsia="Times New Roman" w:cs="Arial"/>
          <w:color w:val="000000"/>
          <w:lang w:val="ru-RU"/>
        </w:rPr>
        <w:t xml:space="preserve"> </w:t>
      </w:r>
      <w:r w:rsidRPr="00EC0908">
        <w:rPr>
          <w:rFonts w:eastAsia="Times New Roman" w:cs="Arial"/>
          <w:color w:val="000000"/>
          <w:lang w:eastAsia="bg-BG"/>
        </w:rPr>
        <w:t>частици.</w:t>
      </w:r>
    </w:p>
    <w:p w14:paraId="52F3570E" w14:textId="77777777" w:rsidR="00EC0908" w:rsidRDefault="00EC0908" w:rsidP="00EC0908">
      <w:pPr>
        <w:spacing w:line="240" w:lineRule="auto"/>
        <w:rPr>
          <w:rFonts w:eastAsia="Times New Roman" w:cs="Arial"/>
          <w:color w:val="000000"/>
          <w:u w:val="single"/>
          <w:lang w:eastAsia="bg-BG"/>
        </w:rPr>
      </w:pPr>
    </w:p>
    <w:p w14:paraId="0F2E094B" w14:textId="629D9894"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Фармакодинамични ефекти</w:t>
      </w:r>
    </w:p>
    <w:p w14:paraId="74272FF3"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Розувастатин понижава повишения </w:t>
      </w:r>
      <w:r w:rsidRPr="00EC0908">
        <w:rPr>
          <w:rFonts w:eastAsia="Times New Roman" w:cs="Arial"/>
          <w:color w:val="000000"/>
          <w:lang w:val="en-US"/>
        </w:rPr>
        <w:t>LDL</w:t>
      </w:r>
      <w:r w:rsidRPr="00EC0908">
        <w:rPr>
          <w:rFonts w:eastAsia="Times New Roman" w:cs="Arial"/>
          <w:color w:val="000000"/>
          <w:lang w:eastAsia="bg-BG"/>
        </w:rPr>
        <w:t xml:space="preserve">-холестерол, общия холестерол и триглициридите и повишава </w:t>
      </w:r>
      <w:r w:rsidRPr="00EC0908">
        <w:rPr>
          <w:rFonts w:eastAsia="Times New Roman" w:cs="Arial"/>
          <w:color w:val="000000"/>
          <w:lang w:val="en-US"/>
        </w:rPr>
        <w:t>HDL</w:t>
      </w:r>
      <w:r w:rsidRPr="00EC0908">
        <w:rPr>
          <w:rFonts w:eastAsia="Times New Roman" w:cs="Arial"/>
          <w:color w:val="000000"/>
          <w:lang w:eastAsia="bg-BG"/>
        </w:rPr>
        <w:t xml:space="preserve">-холестерола. Също така понижава АроВ, не- </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val="en-US"/>
        </w:rPr>
        <w:t>VLDL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val="en-US"/>
        </w:rPr>
        <w:t>VLDL</w:t>
      </w:r>
      <w:r w:rsidRPr="00EC0908">
        <w:rPr>
          <w:rFonts w:eastAsia="Times New Roman" w:cs="Arial"/>
          <w:color w:val="000000"/>
          <w:lang w:val="ru-RU"/>
        </w:rPr>
        <w:t>-</w:t>
      </w:r>
      <w:r w:rsidRPr="00EC0908">
        <w:rPr>
          <w:rFonts w:eastAsia="Times New Roman" w:cs="Arial"/>
          <w:color w:val="000000"/>
          <w:lang w:val="en-US"/>
        </w:rPr>
        <w:t>TG</w:t>
      </w:r>
      <w:r w:rsidRPr="00EC0908">
        <w:rPr>
          <w:rFonts w:eastAsia="Times New Roman" w:cs="Arial"/>
          <w:color w:val="000000"/>
          <w:lang w:val="ru-RU"/>
        </w:rPr>
        <w:t xml:space="preserve"> </w:t>
      </w:r>
      <w:r w:rsidRPr="00EC0908">
        <w:rPr>
          <w:rFonts w:eastAsia="Times New Roman" w:cs="Arial"/>
          <w:color w:val="000000"/>
          <w:lang w:eastAsia="bg-BG"/>
        </w:rPr>
        <w:t>и повишава АроА</w:t>
      </w:r>
      <w:r w:rsidRPr="00EC0908">
        <w:rPr>
          <w:rFonts w:eastAsia="Times New Roman" w:cs="Arial"/>
          <w:color w:val="000000"/>
          <w:lang w:val="ru-RU"/>
        </w:rPr>
        <w:t>-</w:t>
      </w:r>
      <w:r w:rsidRPr="00EC0908">
        <w:rPr>
          <w:rFonts w:eastAsia="Times New Roman" w:cs="Arial"/>
          <w:color w:val="000000"/>
          <w:lang w:val="en-US"/>
        </w:rPr>
        <w:t>I</w:t>
      </w:r>
      <w:r w:rsidRPr="00EC0908">
        <w:rPr>
          <w:rFonts w:eastAsia="Times New Roman" w:cs="Arial"/>
          <w:color w:val="000000"/>
          <w:lang w:val="ru-RU"/>
        </w:rPr>
        <w:t xml:space="preserve"> </w:t>
      </w:r>
      <w:r w:rsidRPr="00EC0908">
        <w:rPr>
          <w:rFonts w:eastAsia="Times New Roman" w:cs="Arial"/>
          <w:color w:val="000000"/>
          <w:lang w:eastAsia="bg-BG"/>
        </w:rPr>
        <w:t xml:space="preserve">(вижте таблица 3). Розувастатин също понижава съотношенията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общо </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и не</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и АроВ/АроА-1.</w:t>
      </w:r>
    </w:p>
    <w:p w14:paraId="5C836459" w14:textId="77777777" w:rsidR="00EC0908" w:rsidRDefault="00EC0908" w:rsidP="00EC0908">
      <w:pPr>
        <w:spacing w:line="240" w:lineRule="auto"/>
        <w:rPr>
          <w:rFonts w:eastAsia="Times New Roman" w:cs="Arial"/>
          <w:b/>
          <w:bCs/>
          <w:color w:val="000000"/>
          <w:lang w:eastAsia="bg-BG"/>
        </w:rPr>
      </w:pPr>
    </w:p>
    <w:p w14:paraId="1E6775D7" w14:textId="5DC65378"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Таблица 3 Отговор на дозиране при пациенти с пър</w:t>
      </w:r>
      <w:r>
        <w:rPr>
          <w:rFonts w:eastAsia="Times New Roman" w:cs="Arial"/>
          <w:b/>
          <w:bCs/>
          <w:color w:val="000000"/>
          <w:lang w:eastAsia="bg-BG"/>
        </w:rPr>
        <w:t xml:space="preserve">вична хиперхолестеролемия (тип </w:t>
      </w:r>
      <w:r>
        <w:rPr>
          <w:rFonts w:eastAsia="Times New Roman" w:cs="Arial"/>
          <w:b/>
          <w:bCs/>
          <w:color w:val="000000"/>
          <w:lang w:val="en-US" w:eastAsia="bg-BG"/>
        </w:rPr>
        <w:t>II</w:t>
      </w:r>
      <w:r>
        <w:rPr>
          <w:rFonts w:eastAsia="Times New Roman" w:cs="Arial"/>
          <w:b/>
          <w:bCs/>
          <w:color w:val="000000"/>
          <w:lang w:eastAsia="bg-BG"/>
        </w:rPr>
        <w:t>a</w:t>
      </w:r>
      <w:r w:rsidRPr="00EC0908">
        <w:rPr>
          <w:rFonts w:eastAsia="Times New Roman" w:cs="Arial"/>
          <w:b/>
          <w:bCs/>
          <w:color w:val="000000"/>
          <w:lang w:eastAsia="bg-BG"/>
        </w:rPr>
        <w:t xml:space="preserve"> </w:t>
      </w:r>
      <w:r w:rsidRPr="00EC0908">
        <w:rPr>
          <w:rFonts w:eastAsia="Times New Roman" w:cs="Arial"/>
          <w:b/>
          <w:bCs/>
          <w:i/>
          <w:iCs/>
          <w:color w:val="000000"/>
          <w:lang w:eastAsia="bg-BG"/>
        </w:rPr>
        <w:t xml:space="preserve">и </w:t>
      </w:r>
      <w:r>
        <w:rPr>
          <w:rFonts w:eastAsia="Times New Roman" w:cs="Arial"/>
          <w:b/>
          <w:bCs/>
          <w:color w:val="000000"/>
          <w:lang w:eastAsia="bg-BG"/>
        </w:rPr>
        <w:t>II</w:t>
      </w:r>
      <w:r>
        <w:rPr>
          <w:rFonts w:eastAsia="Times New Roman" w:cs="Arial"/>
          <w:b/>
          <w:bCs/>
          <w:color w:val="000000"/>
          <w:lang w:val="en-US" w:eastAsia="bg-BG"/>
        </w:rPr>
        <w:t>b</w:t>
      </w:r>
      <w:r w:rsidRPr="00EC0908">
        <w:rPr>
          <w:rFonts w:eastAsia="Times New Roman" w:cs="Arial"/>
          <w:b/>
          <w:bCs/>
          <w:color w:val="000000"/>
          <w:lang w:eastAsia="bg-BG"/>
        </w:rPr>
        <w:t>)(коригиран среден процент на промяна от изходното ниво)</w:t>
      </w:r>
    </w:p>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EC0908" w14:paraId="4E642C3B" w14:textId="77777777" w:rsidTr="00EC0908">
        <w:tc>
          <w:tcPr>
            <w:tcW w:w="1064" w:type="dxa"/>
          </w:tcPr>
          <w:p w14:paraId="5876A978" w14:textId="3E65E671" w:rsidR="00EC0908" w:rsidRPr="00EC0908" w:rsidRDefault="00EC0908" w:rsidP="00EC0908">
            <w:pPr>
              <w:rPr>
                <w:rFonts w:cs="Arial"/>
              </w:rPr>
            </w:pPr>
            <w:r w:rsidRPr="00EC0908">
              <w:rPr>
                <w:rFonts w:cs="Arial"/>
                <w:b/>
                <w:bCs/>
              </w:rPr>
              <w:t>Доза</w:t>
            </w:r>
          </w:p>
        </w:tc>
        <w:tc>
          <w:tcPr>
            <w:tcW w:w="1064" w:type="dxa"/>
          </w:tcPr>
          <w:p w14:paraId="5B503A6E" w14:textId="6646492D" w:rsidR="00EC0908" w:rsidRPr="00EC0908" w:rsidRDefault="00EC0908" w:rsidP="00EC0908">
            <w:pPr>
              <w:rPr>
                <w:rFonts w:cs="Arial"/>
              </w:rPr>
            </w:pPr>
            <w:r w:rsidRPr="00EC0908">
              <w:rPr>
                <w:rFonts w:cs="Arial"/>
                <w:b/>
                <w:bCs/>
                <w:lang w:val="en-US"/>
              </w:rPr>
              <w:t>N</w:t>
            </w:r>
          </w:p>
        </w:tc>
        <w:tc>
          <w:tcPr>
            <w:tcW w:w="1064" w:type="dxa"/>
          </w:tcPr>
          <w:p w14:paraId="2FDE85FF" w14:textId="3172322B" w:rsidR="00EC0908" w:rsidRPr="00EC0908" w:rsidRDefault="00EC0908" w:rsidP="00EC0908">
            <w:pPr>
              <w:rPr>
                <w:rFonts w:cs="Arial"/>
              </w:rPr>
            </w:pPr>
            <w:r w:rsidRPr="00EC0908">
              <w:rPr>
                <w:rFonts w:cs="Arial"/>
                <w:b/>
                <w:bCs/>
                <w:lang w:val="en-US"/>
              </w:rPr>
              <w:t>LDL-C</w:t>
            </w:r>
          </w:p>
        </w:tc>
        <w:tc>
          <w:tcPr>
            <w:tcW w:w="1064" w:type="dxa"/>
          </w:tcPr>
          <w:p w14:paraId="06C76108" w14:textId="04FB67E7" w:rsidR="00EC0908" w:rsidRPr="00EC0908" w:rsidRDefault="00EC0908" w:rsidP="00EC0908">
            <w:pPr>
              <w:rPr>
                <w:rFonts w:cs="Arial"/>
              </w:rPr>
            </w:pPr>
            <w:r w:rsidRPr="00EC0908">
              <w:rPr>
                <w:rFonts w:cs="Arial"/>
                <w:b/>
                <w:bCs/>
              </w:rPr>
              <w:t>Общ-С</w:t>
            </w:r>
          </w:p>
        </w:tc>
        <w:tc>
          <w:tcPr>
            <w:tcW w:w="1064" w:type="dxa"/>
          </w:tcPr>
          <w:p w14:paraId="29E217C5" w14:textId="3BCDB8F3" w:rsidR="00EC0908" w:rsidRPr="00EC0908" w:rsidRDefault="00EC0908" w:rsidP="00EC0908">
            <w:pPr>
              <w:rPr>
                <w:rFonts w:cs="Arial"/>
              </w:rPr>
            </w:pPr>
            <w:r w:rsidRPr="00EC0908">
              <w:rPr>
                <w:rFonts w:cs="Arial"/>
                <w:b/>
                <w:bCs/>
                <w:lang w:val="en-US"/>
              </w:rPr>
              <w:t>HDL-C</w:t>
            </w:r>
          </w:p>
        </w:tc>
        <w:tc>
          <w:tcPr>
            <w:tcW w:w="1064" w:type="dxa"/>
          </w:tcPr>
          <w:p w14:paraId="61B6AC51" w14:textId="5E3D0650" w:rsidR="00EC0908" w:rsidRPr="00EC0908" w:rsidRDefault="00EC0908" w:rsidP="00EC0908">
            <w:pPr>
              <w:rPr>
                <w:rFonts w:cs="Arial"/>
              </w:rPr>
            </w:pPr>
            <w:r w:rsidRPr="00EC0908">
              <w:rPr>
                <w:rFonts w:cs="Arial"/>
                <w:b/>
                <w:bCs/>
                <w:lang w:val="en-US"/>
              </w:rPr>
              <w:t>TG</w:t>
            </w:r>
          </w:p>
        </w:tc>
        <w:tc>
          <w:tcPr>
            <w:tcW w:w="1064" w:type="dxa"/>
          </w:tcPr>
          <w:p w14:paraId="37FD91C4" w14:textId="66280234" w:rsidR="00EC0908" w:rsidRPr="00EC0908" w:rsidRDefault="00EC0908" w:rsidP="00EC0908">
            <w:pPr>
              <w:rPr>
                <w:rFonts w:cs="Arial"/>
              </w:rPr>
            </w:pPr>
            <w:r w:rsidRPr="00EC0908">
              <w:rPr>
                <w:rFonts w:cs="Arial"/>
                <w:b/>
                <w:bCs/>
              </w:rPr>
              <w:t>не</w:t>
            </w:r>
            <w:r w:rsidRPr="00EC0908">
              <w:rPr>
                <w:rFonts w:cs="Arial"/>
                <w:b/>
                <w:bCs/>
                <w:lang w:val="en-US"/>
              </w:rPr>
              <w:t>-HDL-C</w:t>
            </w:r>
          </w:p>
        </w:tc>
        <w:tc>
          <w:tcPr>
            <w:tcW w:w="1064" w:type="dxa"/>
          </w:tcPr>
          <w:p w14:paraId="15CDED17" w14:textId="27E9683F" w:rsidR="00EC0908" w:rsidRPr="00EC0908" w:rsidRDefault="00EC0908" w:rsidP="00EC0908">
            <w:pPr>
              <w:rPr>
                <w:rFonts w:cs="Arial"/>
              </w:rPr>
            </w:pPr>
            <w:r w:rsidRPr="00EC0908">
              <w:rPr>
                <w:rFonts w:cs="Arial"/>
                <w:b/>
                <w:bCs/>
              </w:rPr>
              <w:t>АроВ</w:t>
            </w:r>
          </w:p>
        </w:tc>
        <w:tc>
          <w:tcPr>
            <w:tcW w:w="1064" w:type="dxa"/>
          </w:tcPr>
          <w:p w14:paraId="180D3984" w14:textId="49865D20" w:rsidR="00EC0908" w:rsidRPr="00EC0908" w:rsidRDefault="00EC0908" w:rsidP="00EC0908">
            <w:pPr>
              <w:rPr>
                <w:rFonts w:cs="Arial"/>
                <w:lang w:val="en-US"/>
              </w:rPr>
            </w:pPr>
            <w:r>
              <w:rPr>
                <w:rFonts w:cs="Arial"/>
                <w:b/>
                <w:bCs/>
              </w:rPr>
              <w:t>АроА-</w:t>
            </w:r>
            <w:r>
              <w:rPr>
                <w:rFonts w:cs="Arial"/>
                <w:b/>
                <w:bCs/>
                <w:lang w:val="en-US"/>
              </w:rPr>
              <w:t>I</w:t>
            </w:r>
          </w:p>
        </w:tc>
      </w:tr>
      <w:tr w:rsidR="00EC0908" w14:paraId="5A78E61F" w14:textId="77777777" w:rsidTr="00EC0908">
        <w:tc>
          <w:tcPr>
            <w:tcW w:w="1064" w:type="dxa"/>
          </w:tcPr>
          <w:p w14:paraId="7401C4DF" w14:textId="007384D1" w:rsidR="00EC0908" w:rsidRPr="00EC0908" w:rsidRDefault="00EC0908" w:rsidP="00EC0908">
            <w:pPr>
              <w:rPr>
                <w:rFonts w:cs="Arial"/>
              </w:rPr>
            </w:pPr>
            <w:r w:rsidRPr="00EC0908">
              <w:rPr>
                <w:rFonts w:cs="Arial"/>
              </w:rPr>
              <w:t>Плацебо</w:t>
            </w:r>
          </w:p>
        </w:tc>
        <w:tc>
          <w:tcPr>
            <w:tcW w:w="1064" w:type="dxa"/>
          </w:tcPr>
          <w:p w14:paraId="02EA9F5E" w14:textId="6ABAF700" w:rsidR="00EC0908" w:rsidRPr="00EC0908" w:rsidRDefault="00EC0908" w:rsidP="00EC0908">
            <w:pPr>
              <w:rPr>
                <w:rFonts w:cs="Arial"/>
              </w:rPr>
            </w:pPr>
            <w:r w:rsidRPr="00EC0908">
              <w:rPr>
                <w:rFonts w:cs="Arial"/>
              </w:rPr>
              <w:t>13</w:t>
            </w:r>
          </w:p>
        </w:tc>
        <w:tc>
          <w:tcPr>
            <w:tcW w:w="1064" w:type="dxa"/>
          </w:tcPr>
          <w:p w14:paraId="7DF09277" w14:textId="21A2BA3B" w:rsidR="00EC0908" w:rsidRPr="00EC0908" w:rsidRDefault="00EC0908" w:rsidP="00EC0908">
            <w:pPr>
              <w:rPr>
                <w:rFonts w:cs="Arial"/>
              </w:rPr>
            </w:pPr>
            <w:r w:rsidRPr="00EC0908">
              <w:rPr>
                <w:rFonts w:cs="Arial"/>
              </w:rPr>
              <w:t>-7</w:t>
            </w:r>
          </w:p>
        </w:tc>
        <w:tc>
          <w:tcPr>
            <w:tcW w:w="1064" w:type="dxa"/>
          </w:tcPr>
          <w:p w14:paraId="112FDDB7" w14:textId="7ACF38B4" w:rsidR="00EC0908" w:rsidRPr="00EC0908" w:rsidRDefault="00EC0908" w:rsidP="00EC0908">
            <w:pPr>
              <w:rPr>
                <w:rFonts w:cs="Arial"/>
              </w:rPr>
            </w:pPr>
            <w:r w:rsidRPr="00EC0908">
              <w:rPr>
                <w:rFonts w:cs="Arial"/>
              </w:rPr>
              <w:t>-5</w:t>
            </w:r>
          </w:p>
        </w:tc>
        <w:tc>
          <w:tcPr>
            <w:tcW w:w="1064" w:type="dxa"/>
          </w:tcPr>
          <w:p w14:paraId="7459710C" w14:textId="7ABF5855" w:rsidR="00EC0908" w:rsidRPr="00EC0908" w:rsidRDefault="00EC0908" w:rsidP="00EC0908">
            <w:pPr>
              <w:rPr>
                <w:rFonts w:cs="Arial"/>
              </w:rPr>
            </w:pPr>
            <w:r w:rsidRPr="00EC0908">
              <w:rPr>
                <w:rFonts w:cs="Arial"/>
              </w:rPr>
              <w:t>3</w:t>
            </w:r>
          </w:p>
        </w:tc>
        <w:tc>
          <w:tcPr>
            <w:tcW w:w="1064" w:type="dxa"/>
          </w:tcPr>
          <w:p w14:paraId="2652C2B6" w14:textId="19ACBA54" w:rsidR="00EC0908" w:rsidRPr="00EC0908" w:rsidRDefault="00EC0908" w:rsidP="00EC0908">
            <w:pPr>
              <w:rPr>
                <w:rFonts w:cs="Arial"/>
              </w:rPr>
            </w:pPr>
            <w:r w:rsidRPr="00EC0908">
              <w:rPr>
                <w:rFonts w:cs="Arial"/>
              </w:rPr>
              <w:t>-3</w:t>
            </w:r>
          </w:p>
        </w:tc>
        <w:tc>
          <w:tcPr>
            <w:tcW w:w="1064" w:type="dxa"/>
          </w:tcPr>
          <w:p w14:paraId="50048294" w14:textId="1274EF53" w:rsidR="00EC0908" w:rsidRPr="00EC0908" w:rsidRDefault="00EC0908" w:rsidP="00EC0908">
            <w:pPr>
              <w:rPr>
                <w:rFonts w:cs="Arial"/>
              </w:rPr>
            </w:pPr>
            <w:r w:rsidRPr="00EC0908">
              <w:rPr>
                <w:rFonts w:cs="Arial"/>
              </w:rPr>
              <w:t>-7</w:t>
            </w:r>
          </w:p>
        </w:tc>
        <w:tc>
          <w:tcPr>
            <w:tcW w:w="1064" w:type="dxa"/>
          </w:tcPr>
          <w:p w14:paraId="58124606" w14:textId="2B0E0F95" w:rsidR="00EC0908" w:rsidRPr="00EC0908" w:rsidRDefault="00EC0908" w:rsidP="00EC0908">
            <w:pPr>
              <w:rPr>
                <w:rFonts w:cs="Arial"/>
              </w:rPr>
            </w:pPr>
            <w:r w:rsidRPr="00EC0908">
              <w:rPr>
                <w:rFonts w:cs="Arial"/>
              </w:rPr>
              <w:t>-3</w:t>
            </w:r>
          </w:p>
        </w:tc>
        <w:tc>
          <w:tcPr>
            <w:tcW w:w="1064" w:type="dxa"/>
          </w:tcPr>
          <w:p w14:paraId="50154159" w14:textId="55788518" w:rsidR="00EC0908" w:rsidRPr="00EC0908" w:rsidRDefault="00EC0908" w:rsidP="00EC0908">
            <w:pPr>
              <w:rPr>
                <w:rFonts w:cs="Arial"/>
              </w:rPr>
            </w:pPr>
            <w:r w:rsidRPr="00EC0908">
              <w:rPr>
                <w:rFonts w:cs="Arial"/>
              </w:rPr>
              <w:t>0</w:t>
            </w:r>
          </w:p>
        </w:tc>
      </w:tr>
      <w:tr w:rsidR="00EC0908" w14:paraId="470DFA3E" w14:textId="77777777" w:rsidTr="00EC0908">
        <w:tc>
          <w:tcPr>
            <w:tcW w:w="1064" w:type="dxa"/>
          </w:tcPr>
          <w:p w14:paraId="6B211797" w14:textId="0B96CBE1" w:rsidR="00EC0908" w:rsidRPr="00EC0908" w:rsidRDefault="00EC0908" w:rsidP="00EC0908">
            <w:pPr>
              <w:rPr>
                <w:rFonts w:cs="Arial"/>
              </w:rPr>
            </w:pPr>
            <w:r w:rsidRPr="00EC0908">
              <w:rPr>
                <w:rFonts w:cs="Arial"/>
              </w:rPr>
              <w:t>5</w:t>
            </w:r>
          </w:p>
        </w:tc>
        <w:tc>
          <w:tcPr>
            <w:tcW w:w="1064" w:type="dxa"/>
          </w:tcPr>
          <w:p w14:paraId="6F92DE02" w14:textId="33182844" w:rsidR="00EC0908" w:rsidRPr="00EC0908" w:rsidRDefault="00EC0908" w:rsidP="00EC0908">
            <w:pPr>
              <w:rPr>
                <w:rFonts w:cs="Arial"/>
              </w:rPr>
            </w:pPr>
            <w:r w:rsidRPr="00EC0908">
              <w:rPr>
                <w:rFonts w:cs="Arial"/>
              </w:rPr>
              <w:t>17</w:t>
            </w:r>
          </w:p>
        </w:tc>
        <w:tc>
          <w:tcPr>
            <w:tcW w:w="1064" w:type="dxa"/>
          </w:tcPr>
          <w:p w14:paraId="705BF121" w14:textId="40CD9504" w:rsidR="00EC0908" w:rsidRPr="00EC0908" w:rsidRDefault="00EC0908" w:rsidP="00EC0908">
            <w:pPr>
              <w:rPr>
                <w:rFonts w:cs="Arial"/>
              </w:rPr>
            </w:pPr>
            <w:r w:rsidRPr="00EC0908">
              <w:rPr>
                <w:rFonts w:cs="Arial"/>
              </w:rPr>
              <w:t>-45</w:t>
            </w:r>
          </w:p>
        </w:tc>
        <w:tc>
          <w:tcPr>
            <w:tcW w:w="1064" w:type="dxa"/>
          </w:tcPr>
          <w:p w14:paraId="123E6951" w14:textId="29DA8BE7" w:rsidR="00EC0908" w:rsidRPr="00EC0908" w:rsidRDefault="00EC0908" w:rsidP="00EC0908">
            <w:pPr>
              <w:rPr>
                <w:rFonts w:cs="Arial"/>
              </w:rPr>
            </w:pPr>
            <w:r w:rsidRPr="00EC0908">
              <w:rPr>
                <w:rFonts w:cs="Arial"/>
              </w:rPr>
              <w:t>-33</w:t>
            </w:r>
          </w:p>
        </w:tc>
        <w:tc>
          <w:tcPr>
            <w:tcW w:w="1064" w:type="dxa"/>
          </w:tcPr>
          <w:p w14:paraId="7F5AF24F" w14:textId="4035E167" w:rsidR="00EC0908" w:rsidRPr="00EC0908" w:rsidRDefault="00EC0908" w:rsidP="00EC0908">
            <w:pPr>
              <w:rPr>
                <w:rFonts w:cs="Arial"/>
              </w:rPr>
            </w:pPr>
            <w:r w:rsidRPr="00EC0908">
              <w:rPr>
                <w:rFonts w:cs="Arial"/>
              </w:rPr>
              <w:t>13</w:t>
            </w:r>
          </w:p>
        </w:tc>
        <w:tc>
          <w:tcPr>
            <w:tcW w:w="1064" w:type="dxa"/>
          </w:tcPr>
          <w:p w14:paraId="5F0EAF24" w14:textId="6E150701" w:rsidR="00EC0908" w:rsidRPr="00EC0908" w:rsidRDefault="00EC0908" w:rsidP="00EC0908">
            <w:pPr>
              <w:rPr>
                <w:rFonts w:cs="Arial"/>
              </w:rPr>
            </w:pPr>
            <w:r w:rsidRPr="00EC0908">
              <w:rPr>
                <w:rFonts w:cs="Arial"/>
              </w:rPr>
              <w:t>-35</w:t>
            </w:r>
          </w:p>
        </w:tc>
        <w:tc>
          <w:tcPr>
            <w:tcW w:w="1064" w:type="dxa"/>
          </w:tcPr>
          <w:p w14:paraId="5161EE64" w14:textId="37BAA25B" w:rsidR="00EC0908" w:rsidRPr="00EC0908" w:rsidRDefault="00EC0908" w:rsidP="00EC0908">
            <w:pPr>
              <w:rPr>
                <w:rFonts w:cs="Arial"/>
              </w:rPr>
            </w:pPr>
            <w:r w:rsidRPr="00EC0908">
              <w:rPr>
                <w:rFonts w:cs="Arial"/>
              </w:rPr>
              <w:t>-44</w:t>
            </w:r>
          </w:p>
        </w:tc>
        <w:tc>
          <w:tcPr>
            <w:tcW w:w="1064" w:type="dxa"/>
          </w:tcPr>
          <w:p w14:paraId="350344E6" w14:textId="0DF3539B" w:rsidR="00EC0908" w:rsidRPr="00EC0908" w:rsidRDefault="00EC0908" w:rsidP="00EC0908">
            <w:pPr>
              <w:rPr>
                <w:rFonts w:cs="Arial"/>
              </w:rPr>
            </w:pPr>
            <w:r w:rsidRPr="00EC0908">
              <w:rPr>
                <w:rFonts w:cs="Arial"/>
              </w:rPr>
              <w:t>-38</w:t>
            </w:r>
          </w:p>
        </w:tc>
        <w:tc>
          <w:tcPr>
            <w:tcW w:w="1064" w:type="dxa"/>
          </w:tcPr>
          <w:p w14:paraId="59770BD6" w14:textId="4ADB0CEB" w:rsidR="00EC0908" w:rsidRPr="00EC0908" w:rsidRDefault="00EC0908" w:rsidP="00EC0908">
            <w:pPr>
              <w:rPr>
                <w:rFonts w:cs="Arial"/>
              </w:rPr>
            </w:pPr>
            <w:r w:rsidRPr="00EC0908">
              <w:rPr>
                <w:rFonts w:cs="Arial"/>
              </w:rPr>
              <w:t>4</w:t>
            </w:r>
          </w:p>
        </w:tc>
      </w:tr>
      <w:tr w:rsidR="00EC0908" w14:paraId="198CB4D3" w14:textId="77777777" w:rsidTr="00EC0908">
        <w:tc>
          <w:tcPr>
            <w:tcW w:w="1064" w:type="dxa"/>
          </w:tcPr>
          <w:p w14:paraId="7E45ECC5" w14:textId="508B6245" w:rsidR="00EC0908" w:rsidRPr="00EC0908" w:rsidRDefault="00EC0908" w:rsidP="00EC0908">
            <w:pPr>
              <w:rPr>
                <w:rFonts w:cs="Arial"/>
              </w:rPr>
            </w:pPr>
            <w:r w:rsidRPr="00EC0908">
              <w:rPr>
                <w:rFonts w:cs="Arial"/>
              </w:rPr>
              <w:t>10</w:t>
            </w:r>
          </w:p>
        </w:tc>
        <w:tc>
          <w:tcPr>
            <w:tcW w:w="1064" w:type="dxa"/>
          </w:tcPr>
          <w:p w14:paraId="5B993002" w14:textId="0E45D52D" w:rsidR="00EC0908" w:rsidRPr="00EC0908" w:rsidRDefault="00EC0908" w:rsidP="00EC0908">
            <w:pPr>
              <w:rPr>
                <w:rFonts w:cs="Arial"/>
              </w:rPr>
            </w:pPr>
            <w:r w:rsidRPr="00EC0908">
              <w:rPr>
                <w:rFonts w:cs="Arial"/>
              </w:rPr>
              <w:t>17</w:t>
            </w:r>
          </w:p>
        </w:tc>
        <w:tc>
          <w:tcPr>
            <w:tcW w:w="1064" w:type="dxa"/>
          </w:tcPr>
          <w:p w14:paraId="1ED3B30A" w14:textId="280FC63D" w:rsidR="00EC0908" w:rsidRPr="00EC0908" w:rsidRDefault="00EC0908" w:rsidP="00EC0908">
            <w:pPr>
              <w:rPr>
                <w:rFonts w:cs="Arial"/>
              </w:rPr>
            </w:pPr>
            <w:r w:rsidRPr="00EC0908">
              <w:rPr>
                <w:rFonts w:cs="Arial"/>
              </w:rPr>
              <w:t>-52</w:t>
            </w:r>
          </w:p>
        </w:tc>
        <w:tc>
          <w:tcPr>
            <w:tcW w:w="1064" w:type="dxa"/>
          </w:tcPr>
          <w:p w14:paraId="3A885934" w14:textId="0034D00E" w:rsidR="00EC0908" w:rsidRPr="00EC0908" w:rsidRDefault="00EC0908" w:rsidP="00EC0908">
            <w:pPr>
              <w:rPr>
                <w:rFonts w:cs="Arial"/>
              </w:rPr>
            </w:pPr>
            <w:r w:rsidRPr="00EC0908">
              <w:rPr>
                <w:rFonts w:cs="Arial"/>
              </w:rPr>
              <w:t>-36</w:t>
            </w:r>
          </w:p>
        </w:tc>
        <w:tc>
          <w:tcPr>
            <w:tcW w:w="1064" w:type="dxa"/>
          </w:tcPr>
          <w:p w14:paraId="1BD3002D" w14:textId="051E5DEA" w:rsidR="00EC0908" w:rsidRPr="00EC0908" w:rsidRDefault="00EC0908" w:rsidP="00EC0908">
            <w:pPr>
              <w:rPr>
                <w:rFonts w:cs="Arial"/>
              </w:rPr>
            </w:pPr>
            <w:r w:rsidRPr="00EC0908">
              <w:rPr>
                <w:rFonts w:cs="Arial"/>
              </w:rPr>
              <w:t>14</w:t>
            </w:r>
          </w:p>
        </w:tc>
        <w:tc>
          <w:tcPr>
            <w:tcW w:w="1064" w:type="dxa"/>
          </w:tcPr>
          <w:p w14:paraId="08BA817D" w14:textId="79058FA8" w:rsidR="00EC0908" w:rsidRPr="00EC0908" w:rsidRDefault="00EC0908" w:rsidP="00EC0908">
            <w:pPr>
              <w:rPr>
                <w:rFonts w:cs="Arial"/>
              </w:rPr>
            </w:pPr>
            <w:r w:rsidRPr="00EC0908">
              <w:rPr>
                <w:rFonts w:cs="Arial"/>
              </w:rPr>
              <w:t>-10</w:t>
            </w:r>
          </w:p>
        </w:tc>
        <w:tc>
          <w:tcPr>
            <w:tcW w:w="1064" w:type="dxa"/>
          </w:tcPr>
          <w:p w14:paraId="7606424B" w14:textId="65650A57" w:rsidR="00EC0908" w:rsidRPr="00EC0908" w:rsidRDefault="00EC0908" w:rsidP="00EC0908">
            <w:pPr>
              <w:rPr>
                <w:rFonts w:cs="Arial"/>
              </w:rPr>
            </w:pPr>
            <w:r w:rsidRPr="00EC0908">
              <w:rPr>
                <w:rFonts w:cs="Arial"/>
              </w:rPr>
              <w:t>-48</w:t>
            </w:r>
          </w:p>
        </w:tc>
        <w:tc>
          <w:tcPr>
            <w:tcW w:w="1064" w:type="dxa"/>
          </w:tcPr>
          <w:p w14:paraId="692A25B0" w14:textId="704A8B49" w:rsidR="00EC0908" w:rsidRPr="00EC0908" w:rsidRDefault="00EC0908" w:rsidP="00EC0908">
            <w:pPr>
              <w:rPr>
                <w:rFonts w:cs="Arial"/>
              </w:rPr>
            </w:pPr>
            <w:r w:rsidRPr="00EC0908">
              <w:rPr>
                <w:rFonts w:cs="Arial"/>
              </w:rPr>
              <w:t>-42</w:t>
            </w:r>
          </w:p>
        </w:tc>
        <w:tc>
          <w:tcPr>
            <w:tcW w:w="1064" w:type="dxa"/>
          </w:tcPr>
          <w:p w14:paraId="10F4C741" w14:textId="76CE6DFF" w:rsidR="00EC0908" w:rsidRPr="00EC0908" w:rsidRDefault="00EC0908" w:rsidP="00EC0908">
            <w:pPr>
              <w:rPr>
                <w:rFonts w:cs="Arial"/>
              </w:rPr>
            </w:pPr>
            <w:r w:rsidRPr="00EC0908">
              <w:rPr>
                <w:rFonts w:cs="Arial"/>
              </w:rPr>
              <w:t>4</w:t>
            </w:r>
          </w:p>
        </w:tc>
      </w:tr>
      <w:tr w:rsidR="00EC0908" w14:paraId="205FF591" w14:textId="77777777" w:rsidTr="00EC0908">
        <w:tc>
          <w:tcPr>
            <w:tcW w:w="1064" w:type="dxa"/>
          </w:tcPr>
          <w:p w14:paraId="4601BC92" w14:textId="685EC0DA" w:rsidR="00EC0908" w:rsidRPr="00EC0908" w:rsidRDefault="00EC0908" w:rsidP="00EC0908">
            <w:pPr>
              <w:rPr>
                <w:rFonts w:cs="Arial"/>
              </w:rPr>
            </w:pPr>
            <w:r w:rsidRPr="00EC0908">
              <w:rPr>
                <w:rFonts w:cs="Arial"/>
              </w:rPr>
              <w:t>20</w:t>
            </w:r>
          </w:p>
        </w:tc>
        <w:tc>
          <w:tcPr>
            <w:tcW w:w="1064" w:type="dxa"/>
          </w:tcPr>
          <w:p w14:paraId="4BAC168A" w14:textId="161956B8" w:rsidR="00EC0908" w:rsidRPr="00EC0908" w:rsidRDefault="00EC0908" w:rsidP="00EC0908">
            <w:pPr>
              <w:rPr>
                <w:rFonts w:cs="Arial"/>
              </w:rPr>
            </w:pPr>
            <w:r w:rsidRPr="00EC0908">
              <w:rPr>
                <w:rFonts w:cs="Arial"/>
              </w:rPr>
              <w:t>17</w:t>
            </w:r>
          </w:p>
        </w:tc>
        <w:tc>
          <w:tcPr>
            <w:tcW w:w="1064" w:type="dxa"/>
          </w:tcPr>
          <w:p w14:paraId="23E97C62" w14:textId="65209D6B" w:rsidR="00EC0908" w:rsidRPr="00EC0908" w:rsidRDefault="00EC0908" w:rsidP="00EC0908">
            <w:pPr>
              <w:rPr>
                <w:rFonts w:cs="Arial"/>
              </w:rPr>
            </w:pPr>
            <w:r w:rsidRPr="00EC0908">
              <w:rPr>
                <w:rFonts w:cs="Arial"/>
              </w:rPr>
              <w:t>-55</w:t>
            </w:r>
          </w:p>
        </w:tc>
        <w:tc>
          <w:tcPr>
            <w:tcW w:w="1064" w:type="dxa"/>
          </w:tcPr>
          <w:p w14:paraId="4F5583AF" w14:textId="2F440423" w:rsidR="00EC0908" w:rsidRPr="00EC0908" w:rsidRDefault="00EC0908" w:rsidP="00EC0908">
            <w:pPr>
              <w:rPr>
                <w:rFonts w:cs="Arial"/>
              </w:rPr>
            </w:pPr>
            <w:r w:rsidRPr="00EC0908">
              <w:rPr>
                <w:rFonts w:cs="Arial"/>
              </w:rPr>
              <w:t>-40</w:t>
            </w:r>
          </w:p>
        </w:tc>
        <w:tc>
          <w:tcPr>
            <w:tcW w:w="1064" w:type="dxa"/>
          </w:tcPr>
          <w:p w14:paraId="1EA9A060" w14:textId="5F5F8CA1" w:rsidR="00EC0908" w:rsidRPr="00EC0908" w:rsidRDefault="00EC0908" w:rsidP="00EC0908">
            <w:pPr>
              <w:rPr>
                <w:rFonts w:cs="Arial"/>
              </w:rPr>
            </w:pPr>
            <w:r w:rsidRPr="00EC0908">
              <w:rPr>
                <w:rFonts w:cs="Arial"/>
              </w:rPr>
              <w:t>8</w:t>
            </w:r>
          </w:p>
        </w:tc>
        <w:tc>
          <w:tcPr>
            <w:tcW w:w="1064" w:type="dxa"/>
          </w:tcPr>
          <w:p w14:paraId="6C7A4782" w14:textId="6FA2D520" w:rsidR="00EC0908" w:rsidRPr="00EC0908" w:rsidRDefault="00EC0908" w:rsidP="00EC0908">
            <w:pPr>
              <w:rPr>
                <w:rFonts w:cs="Arial"/>
              </w:rPr>
            </w:pPr>
            <w:r w:rsidRPr="00EC0908">
              <w:rPr>
                <w:rFonts w:cs="Arial"/>
              </w:rPr>
              <w:t>-23</w:t>
            </w:r>
          </w:p>
        </w:tc>
        <w:tc>
          <w:tcPr>
            <w:tcW w:w="1064" w:type="dxa"/>
          </w:tcPr>
          <w:p w14:paraId="2A162EC1" w14:textId="54D72841" w:rsidR="00EC0908" w:rsidRPr="00EC0908" w:rsidRDefault="00EC0908" w:rsidP="00EC0908">
            <w:pPr>
              <w:rPr>
                <w:rFonts w:cs="Arial"/>
              </w:rPr>
            </w:pPr>
            <w:r w:rsidRPr="00EC0908">
              <w:rPr>
                <w:rFonts w:cs="Arial"/>
              </w:rPr>
              <w:t>-51</w:t>
            </w:r>
          </w:p>
        </w:tc>
        <w:tc>
          <w:tcPr>
            <w:tcW w:w="1064" w:type="dxa"/>
          </w:tcPr>
          <w:p w14:paraId="300C6493" w14:textId="5D303ABA" w:rsidR="00EC0908" w:rsidRPr="00EC0908" w:rsidRDefault="00EC0908" w:rsidP="00EC0908">
            <w:pPr>
              <w:rPr>
                <w:rFonts w:cs="Arial"/>
              </w:rPr>
            </w:pPr>
            <w:r w:rsidRPr="00EC0908">
              <w:rPr>
                <w:rFonts w:cs="Arial"/>
              </w:rPr>
              <w:t>-46</w:t>
            </w:r>
          </w:p>
        </w:tc>
        <w:tc>
          <w:tcPr>
            <w:tcW w:w="1064" w:type="dxa"/>
          </w:tcPr>
          <w:p w14:paraId="667B39A9" w14:textId="1E49C7BD" w:rsidR="00EC0908" w:rsidRPr="00EC0908" w:rsidRDefault="00EC0908" w:rsidP="00EC0908">
            <w:pPr>
              <w:rPr>
                <w:rFonts w:cs="Arial"/>
              </w:rPr>
            </w:pPr>
            <w:r w:rsidRPr="00EC0908">
              <w:rPr>
                <w:rFonts w:cs="Arial"/>
              </w:rPr>
              <w:t>5</w:t>
            </w:r>
          </w:p>
        </w:tc>
      </w:tr>
      <w:tr w:rsidR="00EC0908" w14:paraId="297BFFF0" w14:textId="77777777" w:rsidTr="00EC0908">
        <w:tc>
          <w:tcPr>
            <w:tcW w:w="1064" w:type="dxa"/>
          </w:tcPr>
          <w:p w14:paraId="1C5C881B" w14:textId="0F807328" w:rsidR="00EC0908" w:rsidRPr="00EC0908" w:rsidRDefault="00EC0908" w:rsidP="00EC0908">
            <w:pPr>
              <w:rPr>
                <w:rFonts w:cs="Arial"/>
              </w:rPr>
            </w:pPr>
            <w:r w:rsidRPr="00EC0908">
              <w:rPr>
                <w:rFonts w:cs="Arial"/>
              </w:rPr>
              <w:t>40</w:t>
            </w:r>
          </w:p>
        </w:tc>
        <w:tc>
          <w:tcPr>
            <w:tcW w:w="1064" w:type="dxa"/>
          </w:tcPr>
          <w:p w14:paraId="24DE31C7" w14:textId="4DCE82AC" w:rsidR="00EC0908" w:rsidRPr="00EC0908" w:rsidRDefault="00EC0908" w:rsidP="00EC0908">
            <w:pPr>
              <w:rPr>
                <w:rFonts w:cs="Arial"/>
              </w:rPr>
            </w:pPr>
            <w:r w:rsidRPr="00EC0908">
              <w:rPr>
                <w:rFonts w:cs="Arial"/>
              </w:rPr>
              <w:t>18</w:t>
            </w:r>
          </w:p>
        </w:tc>
        <w:tc>
          <w:tcPr>
            <w:tcW w:w="1064" w:type="dxa"/>
          </w:tcPr>
          <w:p w14:paraId="7B285B15" w14:textId="0677E2B8" w:rsidR="00EC0908" w:rsidRPr="00EC0908" w:rsidRDefault="00EC0908" w:rsidP="00EC0908">
            <w:pPr>
              <w:rPr>
                <w:rFonts w:cs="Arial"/>
              </w:rPr>
            </w:pPr>
            <w:r w:rsidRPr="00EC0908">
              <w:rPr>
                <w:rFonts w:cs="Arial"/>
              </w:rPr>
              <w:t>-63</w:t>
            </w:r>
          </w:p>
        </w:tc>
        <w:tc>
          <w:tcPr>
            <w:tcW w:w="1064" w:type="dxa"/>
          </w:tcPr>
          <w:p w14:paraId="563B32E2" w14:textId="40416557" w:rsidR="00EC0908" w:rsidRPr="00EC0908" w:rsidRDefault="00EC0908" w:rsidP="00EC0908">
            <w:pPr>
              <w:rPr>
                <w:rFonts w:cs="Arial"/>
              </w:rPr>
            </w:pPr>
            <w:r w:rsidRPr="00EC0908">
              <w:rPr>
                <w:rFonts w:cs="Arial"/>
              </w:rPr>
              <w:t>-46</w:t>
            </w:r>
          </w:p>
        </w:tc>
        <w:tc>
          <w:tcPr>
            <w:tcW w:w="1064" w:type="dxa"/>
          </w:tcPr>
          <w:p w14:paraId="381BE47D" w14:textId="27D992CC" w:rsidR="00EC0908" w:rsidRPr="00EC0908" w:rsidRDefault="00EC0908" w:rsidP="00EC0908">
            <w:pPr>
              <w:rPr>
                <w:rFonts w:cs="Arial"/>
              </w:rPr>
            </w:pPr>
            <w:r w:rsidRPr="00EC0908">
              <w:rPr>
                <w:rFonts w:cs="Arial"/>
              </w:rPr>
              <w:t>10</w:t>
            </w:r>
          </w:p>
        </w:tc>
        <w:tc>
          <w:tcPr>
            <w:tcW w:w="1064" w:type="dxa"/>
          </w:tcPr>
          <w:p w14:paraId="211967D4" w14:textId="60E16DEE" w:rsidR="00EC0908" w:rsidRPr="00EC0908" w:rsidRDefault="00EC0908" w:rsidP="00EC0908">
            <w:pPr>
              <w:rPr>
                <w:rFonts w:cs="Arial"/>
              </w:rPr>
            </w:pPr>
            <w:r w:rsidRPr="00EC0908">
              <w:rPr>
                <w:rFonts w:cs="Arial"/>
              </w:rPr>
              <w:t>-28</w:t>
            </w:r>
          </w:p>
        </w:tc>
        <w:tc>
          <w:tcPr>
            <w:tcW w:w="1064" w:type="dxa"/>
          </w:tcPr>
          <w:p w14:paraId="66B0F061" w14:textId="43432ACA" w:rsidR="00EC0908" w:rsidRPr="00EC0908" w:rsidRDefault="00EC0908" w:rsidP="00EC0908">
            <w:pPr>
              <w:rPr>
                <w:rFonts w:cs="Arial"/>
              </w:rPr>
            </w:pPr>
            <w:r w:rsidRPr="00EC0908">
              <w:rPr>
                <w:rFonts w:cs="Arial"/>
              </w:rPr>
              <w:t>-60</w:t>
            </w:r>
          </w:p>
        </w:tc>
        <w:tc>
          <w:tcPr>
            <w:tcW w:w="1064" w:type="dxa"/>
          </w:tcPr>
          <w:p w14:paraId="2D029434" w14:textId="02CD4D5F" w:rsidR="00EC0908" w:rsidRPr="00EC0908" w:rsidRDefault="00EC0908" w:rsidP="00EC0908">
            <w:pPr>
              <w:rPr>
                <w:rFonts w:cs="Arial"/>
              </w:rPr>
            </w:pPr>
            <w:r w:rsidRPr="00EC0908">
              <w:rPr>
                <w:rFonts w:cs="Arial"/>
              </w:rPr>
              <w:t>-54</w:t>
            </w:r>
          </w:p>
        </w:tc>
        <w:tc>
          <w:tcPr>
            <w:tcW w:w="1064" w:type="dxa"/>
          </w:tcPr>
          <w:p w14:paraId="56FC55FF" w14:textId="191DDBA7" w:rsidR="00EC0908" w:rsidRPr="00EC0908" w:rsidRDefault="00EC0908" w:rsidP="00EC0908">
            <w:pPr>
              <w:rPr>
                <w:rFonts w:cs="Arial"/>
              </w:rPr>
            </w:pPr>
            <w:r w:rsidRPr="00EC0908">
              <w:rPr>
                <w:rFonts w:cs="Arial"/>
              </w:rPr>
              <w:t>0</w:t>
            </w:r>
          </w:p>
        </w:tc>
      </w:tr>
    </w:tbl>
    <w:p w14:paraId="6AC85B9B" w14:textId="42AF6B04" w:rsidR="00EC0908" w:rsidRDefault="00EC0908" w:rsidP="00EC0908"/>
    <w:p w14:paraId="652B7238"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Терапевтичният отговор към лечението с розувастатин се забелязва до 1 седмица от началото на терапията и 90% от максималния отговор се постига до 2 седмици. Максималният отговор обикновено се постига към 4-та седмица и се поддържа след това.</w:t>
      </w:r>
    </w:p>
    <w:p w14:paraId="3781024F" w14:textId="77777777" w:rsidR="00EC0908" w:rsidRDefault="00EC0908" w:rsidP="00EC0908">
      <w:pPr>
        <w:spacing w:line="240" w:lineRule="auto"/>
        <w:rPr>
          <w:rFonts w:eastAsia="Times New Roman" w:cs="Arial"/>
          <w:color w:val="000000"/>
          <w:u w:val="single"/>
          <w:lang w:eastAsia="bg-BG"/>
        </w:rPr>
      </w:pPr>
    </w:p>
    <w:p w14:paraId="4EC9C2EE" w14:textId="383A8159"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Клинична ефикасност и безопасност</w:t>
      </w:r>
    </w:p>
    <w:p w14:paraId="2D481694" w14:textId="43A8A7CF" w:rsidR="00EC0908" w:rsidRPr="00EC0908" w:rsidRDefault="00EC0908" w:rsidP="00EC0908">
      <w:pPr>
        <w:spacing w:line="240" w:lineRule="auto"/>
        <w:rPr>
          <w:rFonts w:eastAsia="Times New Roman" w:cs="Arial"/>
        </w:rPr>
      </w:pPr>
      <w:r w:rsidRPr="00EC0908">
        <w:rPr>
          <w:rFonts w:eastAsia="Times New Roman" w:cs="Arial"/>
          <w:color w:val="000000"/>
          <w:lang w:eastAsia="bg-BG"/>
        </w:rPr>
        <w:t>Розувастатин е ефективен при възрастни, страдащи от хиперхолестеролемия, със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6AD36646" w14:textId="77777777" w:rsidR="00EC0908" w:rsidRDefault="00EC0908" w:rsidP="00EC0908">
      <w:pPr>
        <w:spacing w:line="240" w:lineRule="auto"/>
        <w:rPr>
          <w:rFonts w:eastAsia="Times New Roman" w:cs="Arial"/>
          <w:color w:val="000000"/>
          <w:lang w:eastAsia="bg-BG"/>
        </w:rPr>
      </w:pPr>
    </w:p>
    <w:p w14:paraId="4196F7BE" w14:textId="6B425568"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Обобщените данни от фаза III показват, че розувастатин е ефективен при лечение на голяма част от пациентите с тип </w:t>
      </w:r>
      <w:r w:rsidRPr="00EC0908">
        <w:rPr>
          <w:rFonts w:eastAsia="Times New Roman" w:cs="Arial"/>
          <w:color w:val="000000"/>
          <w:lang w:val="en-US"/>
        </w:rPr>
        <w:t>II</w:t>
      </w:r>
      <w:r w:rsidRPr="00EC0908">
        <w:rPr>
          <w:rFonts w:eastAsia="Times New Roman" w:cs="Arial"/>
          <w:color w:val="000000"/>
          <w:lang w:eastAsia="bg-BG"/>
        </w:rPr>
        <w:t xml:space="preserve">а и </w:t>
      </w:r>
      <w:proofErr w:type="spellStart"/>
      <w:r w:rsidRPr="00EC0908">
        <w:rPr>
          <w:rFonts w:eastAsia="Times New Roman" w:cs="Arial"/>
          <w:color w:val="000000"/>
          <w:lang w:val="en-US"/>
        </w:rPr>
        <w:t>IIb</w:t>
      </w:r>
      <w:proofErr w:type="spellEnd"/>
      <w:r w:rsidRPr="00EC0908">
        <w:rPr>
          <w:rFonts w:eastAsia="Times New Roman" w:cs="Arial"/>
          <w:color w:val="000000"/>
          <w:lang w:eastAsia="bg-BG"/>
        </w:rPr>
        <w:t xml:space="preserve"> хиперхолестеролемия (средна изходна стойност на </w:t>
      </w:r>
      <w:r w:rsidRPr="00EC0908">
        <w:rPr>
          <w:rFonts w:eastAsia="Times New Roman" w:cs="Arial"/>
          <w:color w:val="000000"/>
          <w:lang w:val="en-US"/>
        </w:rPr>
        <w:t>LDL</w:t>
      </w:r>
      <w:r w:rsidRPr="00EC0908">
        <w:rPr>
          <w:rFonts w:eastAsia="Times New Roman" w:cs="Arial"/>
          <w:color w:val="000000"/>
          <w:lang w:eastAsia="bg-BG"/>
        </w:rPr>
        <w:t xml:space="preserve">-С около 4,8 </w:t>
      </w:r>
      <w:proofErr w:type="spellStart"/>
      <w:r w:rsidRPr="00EC0908">
        <w:rPr>
          <w:rFonts w:eastAsia="Times New Roman" w:cs="Arial"/>
          <w:color w:val="000000"/>
          <w:lang w:val="en-US"/>
        </w:rPr>
        <w:t>mmol</w:t>
      </w:r>
      <w:proofErr w:type="spellEnd"/>
      <w:r w:rsidRPr="00EC0908">
        <w:rPr>
          <w:rFonts w:eastAsia="Times New Roman" w:cs="Arial"/>
          <w:color w:val="000000"/>
          <w:lang w:val="ru-RU"/>
        </w:rPr>
        <w:t xml:space="preserve">/1), </w:t>
      </w:r>
      <w:r w:rsidRPr="00EC0908">
        <w:rPr>
          <w:rFonts w:eastAsia="Times New Roman" w:cs="Arial"/>
          <w:color w:val="000000"/>
          <w:lang w:eastAsia="bg-BG"/>
        </w:rPr>
        <w:t xml:space="preserve">според определените от Европейската асоциация по атеросклероза прицелни стойности </w:t>
      </w:r>
      <w:r w:rsidRPr="00EC0908">
        <w:rPr>
          <w:rFonts w:eastAsia="Times New Roman" w:cs="Arial"/>
          <w:color w:val="000000"/>
          <w:lang w:val="ru-RU"/>
        </w:rPr>
        <w:t>(</w:t>
      </w:r>
      <w:r w:rsidRPr="00EC0908">
        <w:rPr>
          <w:rFonts w:eastAsia="Times New Roman" w:cs="Arial"/>
          <w:color w:val="000000"/>
          <w:lang w:val="en-US"/>
        </w:rPr>
        <w:t>EAS</w:t>
      </w:r>
      <w:r w:rsidRPr="00EC0908">
        <w:rPr>
          <w:rFonts w:eastAsia="Times New Roman" w:cs="Arial"/>
          <w:color w:val="000000"/>
          <w:lang w:val="ru-RU"/>
        </w:rPr>
        <w:t xml:space="preserve">; </w:t>
      </w:r>
      <w:r w:rsidRPr="00EC0908">
        <w:rPr>
          <w:rFonts w:eastAsia="Times New Roman" w:cs="Arial"/>
          <w:color w:val="000000"/>
          <w:lang w:eastAsia="bg-BG"/>
        </w:rPr>
        <w:t xml:space="preserve">1998). Около 80% от пациентите на 10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са достигнали желаните стойности на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(&lt;3 </w:t>
      </w:r>
      <w:proofErr w:type="spellStart"/>
      <w:r w:rsidRPr="00EC0908">
        <w:rPr>
          <w:rFonts w:eastAsia="Times New Roman" w:cs="Arial"/>
          <w:color w:val="000000"/>
          <w:lang w:val="en-US"/>
        </w:rPr>
        <w:t>mmol</w:t>
      </w:r>
      <w:proofErr w:type="spellEnd"/>
      <w:r w:rsidRPr="00EC0908">
        <w:rPr>
          <w:rFonts w:eastAsia="Times New Roman" w:cs="Arial"/>
          <w:color w:val="000000"/>
          <w:lang w:val="ru-RU"/>
        </w:rPr>
        <w:t xml:space="preserve">/1) </w:t>
      </w:r>
      <w:r w:rsidRPr="00EC0908">
        <w:rPr>
          <w:rFonts w:eastAsia="Times New Roman" w:cs="Arial"/>
          <w:color w:val="000000"/>
          <w:lang w:eastAsia="bg-BG"/>
        </w:rPr>
        <w:t xml:space="preserve">според </w:t>
      </w:r>
      <w:r w:rsidRPr="00EC0908">
        <w:rPr>
          <w:rFonts w:eastAsia="Times New Roman" w:cs="Arial"/>
          <w:color w:val="000000"/>
          <w:lang w:val="en-US"/>
        </w:rPr>
        <w:t>EAS</w:t>
      </w:r>
      <w:r w:rsidRPr="00EC0908">
        <w:rPr>
          <w:rFonts w:eastAsia="Times New Roman" w:cs="Arial"/>
          <w:color w:val="000000"/>
          <w:lang w:val="ru-RU"/>
        </w:rPr>
        <w:t>.</w:t>
      </w:r>
    </w:p>
    <w:p w14:paraId="7762C730" w14:textId="77777777" w:rsidR="00EC0908" w:rsidRDefault="00EC0908" w:rsidP="00EC0908">
      <w:pPr>
        <w:spacing w:line="240" w:lineRule="auto"/>
        <w:rPr>
          <w:rFonts w:eastAsia="Times New Roman" w:cs="Arial"/>
          <w:color w:val="000000"/>
          <w:lang w:eastAsia="bg-BG"/>
        </w:rPr>
      </w:pPr>
    </w:p>
    <w:p w14:paraId="4880AC39" w14:textId="77777777" w:rsidR="00EC0908" w:rsidRPr="00EC0908" w:rsidRDefault="00EC0908" w:rsidP="00EC0908">
      <w:pPr>
        <w:rPr>
          <w:rFonts w:eastAsia="Times New Roman" w:cs="Arial"/>
        </w:rPr>
      </w:pPr>
      <w:r w:rsidRPr="00EC0908">
        <w:rPr>
          <w:rFonts w:eastAsia="Times New Roman" w:cs="Arial"/>
          <w:color w:val="000000"/>
          <w:lang w:eastAsia="bg-BG"/>
        </w:rPr>
        <w:lastRenderedPageBreak/>
        <w:t xml:space="preserve">В едно мащабно проучване с форсирано титриране на дозата, 435 пациенти с хетерозиготна фамилна хиперхолестеролемия са лекувани с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до 80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Всички дозировки показват положителен резултат върху липидните показатели. След достигане на дневна доза от 40</w:t>
      </w:r>
      <w:r w:rsidRPr="00EC0908">
        <w:rPr>
          <w:rFonts w:eastAsia="Times New Roman" w:cs="Arial"/>
          <w:color w:val="000000"/>
          <w:lang w:val="en-US"/>
        </w:rPr>
        <w:t>mg</w:t>
      </w:r>
      <w:r w:rsidRPr="00EC0908">
        <w:rPr>
          <w:rFonts w:eastAsia="Times New Roman" w:cs="Arial"/>
          <w:color w:val="000000"/>
          <w:lang w:val="ru-RU"/>
        </w:rPr>
        <w:t xml:space="preserve"> (12 </w:t>
      </w:r>
      <w:r w:rsidRPr="00EC0908">
        <w:rPr>
          <w:rFonts w:eastAsia="Times New Roman" w:cs="Arial"/>
          <w:color w:val="000000"/>
          <w:lang w:eastAsia="bg-BG"/>
        </w:rPr>
        <w:t>седмично</w:t>
      </w:r>
      <w:r w:rsidRPr="00EC0908">
        <w:rPr>
          <w:rFonts w:eastAsia="Times New Roman" w:cs="Arial"/>
          <w:color w:val="000000"/>
          <w:lang w:val="ru-RU" w:eastAsia="bg-BG"/>
        </w:rPr>
        <w:t xml:space="preserve"> </w:t>
      </w:r>
      <w:r w:rsidRPr="00EC0908">
        <w:rPr>
          <w:rFonts w:eastAsia="Times New Roman" w:cs="Arial"/>
          <w:color w:val="000000"/>
          <w:lang w:eastAsia="bg-BG"/>
        </w:rPr>
        <w:t xml:space="preserve">лечение), </w:t>
      </w:r>
      <w:r w:rsidRPr="00EC0908">
        <w:rPr>
          <w:rFonts w:eastAsia="Times New Roman" w:cs="Arial"/>
          <w:color w:val="000000"/>
          <w:lang w:val="en-US"/>
        </w:rPr>
        <w:t>LDL</w:t>
      </w:r>
      <w:r w:rsidRPr="00EC0908">
        <w:rPr>
          <w:rFonts w:eastAsia="Times New Roman" w:cs="Arial"/>
          <w:color w:val="000000"/>
          <w:lang w:eastAsia="bg-BG"/>
        </w:rPr>
        <w:t xml:space="preserve">-С намалява с 53%. 33% от пациентите достигат стойностите на </w:t>
      </w:r>
      <w:r w:rsidRPr="00EC0908">
        <w:rPr>
          <w:rFonts w:eastAsia="Times New Roman" w:cs="Arial"/>
          <w:color w:val="000000"/>
          <w:lang w:val="en-US"/>
        </w:rPr>
        <w:t>LDL</w:t>
      </w:r>
      <w:r w:rsidRPr="00EC0908">
        <w:rPr>
          <w:rFonts w:eastAsia="Times New Roman" w:cs="Arial"/>
          <w:color w:val="000000"/>
          <w:lang w:eastAsia="bg-BG"/>
        </w:rPr>
        <w:t xml:space="preserve">-С според </w:t>
      </w:r>
      <w:r w:rsidRPr="00EC0908">
        <w:rPr>
          <w:rFonts w:eastAsia="Times New Roman" w:cs="Arial"/>
          <w:color w:val="000000"/>
          <w:lang w:val="en-US"/>
        </w:rPr>
        <w:t>EAS</w:t>
      </w:r>
      <w:r w:rsidRPr="00EC0908">
        <w:rPr>
          <w:rFonts w:eastAsia="Times New Roman" w:cs="Arial"/>
          <w:color w:val="000000"/>
          <w:lang w:val="ru-RU"/>
        </w:rPr>
        <w:t xml:space="preserve"> </w:t>
      </w:r>
      <w:r w:rsidRPr="00EC0908">
        <w:rPr>
          <w:rFonts w:eastAsia="Times New Roman" w:cs="Arial"/>
          <w:color w:val="000000"/>
          <w:lang w:eastAsia="bg-BG"/>
        </w:rPr>
        <w:t xml:space="preserve">(&lt;3 </w:t>
      </w:r>
      <w:proofErr w:type="spellStart"/>
      <w:r w:rsidRPr="00EC0908">
        <w:rPr>
          <w:rFonts w:eastAsia="Times New Roman" w:cs="Arial"/>
          <w:color w:val="000000"/>
          <w:lang w:val="en-US"/>
        </w:rPr>
        <w:t>mmol</w:t>
      </w:r>
      <w:proofErr w:type="spellEnd"/>
      <w:r w:rsidRPr="00EC0908">
        <w:rPr>
          <w:rFonts w:eastAsia="Times New Roman" w:cs="Arial"/>
          <w:color w:val="000000"/>
          <w:lang w:val="ru-RU"/>
        </w:rPr>
        <w:t>/1),</w:t>
      </w:r>
    </w:p>
    <w:p w14:paraId="73BEDE07" w14:textId="77777777" w:rsidR="00EC0908" w:rsidRDefault="00EC0908" w:rsidP="00EC0908">
      <w:pPr>
        <w:spacing w:line="240" w:lineRule="auto"/>
        <w:rPr>
          <w:rFonts w:eastAsia="Times New Roman" w:cs="Arial"/>
          <w:color w:val="000000"/>
          <w:lang w:eastAsia="bg-BG"/>
        </w:rPr>
      </w:pPr>
    </w:p>
    <w:p w14:paraId="0B5BD563" w14:textId="62DDD846"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едно отворено проучване с форсирано титриране на дозата, 42 пациенти с хомозиготна фамилна хиперхолестеролемия са били оценявани за отговор на прием от 20-40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розувастатин. В общата популация средното понижение на </w:t>
      </w:r>
      <w:r w:rsidRPr="00EC0908">
        <w:rPr>
          <w:rFonts w:eastAsia="Times New Roman" w:cs="Arial"/>
          <w:color w:val="000000"/>
          <w:lang w:val="en-US"/>
        </w:rPr>
        <w:t>LDL</w:t>
      </w:r>
      <w:r w:rsidRPr="00EC0908">
        <w:rPr>
          <w:rFonts w:eastAsia="Times New Roman" w:cs="Arial"/>
          <w:color w:val="000000"/>
          <w:lang w:eastAsia="bg-BG"/>
        </w:rPr>
        <w:t>-С е било 22%.</w:t>
      </w:r>
    </w:p>
    <w:p w14:paraId="6F55B795" w14:textId="77777777" w:rsidR="00EC0908" w:rsidRDefault="00EC0908" w:rsidP="00EC0908">
      <w:pPr>
        <w:spacing w:line="240" w:lineRule="auto"/>
        <w:rPr>
          <w:rFonts w:eastAsia="Times New Roman" w:cs="Arial"/>
          <w:color w:val="000000"/>
          <w:lang w:eastAsia="bg-BG"/>
        </w:rPr>
      </w:pPr>
    </w:p>
    <w:p w14:paraId="5D15DFCD" w14:textId="7C58A242"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При клинични изпитвания с ограничен брой пациенти, розувастатин показва адитивна ефективност при намаляване на триглицеридите, когато е приеман в комбинация с фенофибрат и увеличение на нивото на </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в комбинация с ниацин (вж. точка 4.4).</w:t>
      </w:r>
    </w:p>
    <w:p w14:paraId="6FAF4E8E" w14:textId="77777777" w:rsidR="00EC0908" w:rsidRDefault="00EC0908" w:rsidP="00EC0908">
      <w:pPr>
        <w:spacing w:line="240" w:lineRule="auto"/>
        <w:rPr>
          <w:rFonts w:eastAsia="Times New Roman" w:cs="Arial"/>
          <w:color w:val="000000"/>
          <w:lang w:eastAsia="bg-BG"/>
        </w:rPr>
      </w:pPr>
    </w:p>
    <w:p w14:paraId="2B379517" w14:textId="4670C7D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едно мултицентрово, двойно сляпо, плацебо-контролирано клинично проучване </w:t>
      </w:r>
      <w:r w:rsidRPr="00EC0908">
        <w:rPr>
          <w:rFonts w:eastAsia="Times New Roman" w:cs="Arial"/>
          <w:color w:val="000000"/>
        </w:rPr>
        <w:t>(</w:t>
      </w:r>
      <w:r w:rsidRPr="00EC0908">
        <w:rPr>
          <w:rFonts w:eastAsia="Times New Roman" w:cs="Arial"/>
          <w:color w:val="000000"/>
          <w:lang w:val="en-US"/>
        </w:rPr>
        <w:t>METEOR</w:t>
      </w:r>
      <w:r w:rsidRPr="00EC0908">
        <w:rPr>
          <w:rFonts w:eastAsia="Times New Roman" w:cs="Arial"/>
          <w:color w:val="000000"/>
        </w:rPr>
        <w:t xml:space="preserve">), </w:t>
      </w:r>
      <w:r w:rsidRPr="00EC0908">
        <w:rPr>
          <w:rFonts w:eastAsia="Times New Roman" w:cs="Arial"/>
          <w:color w:val="000000"/>
          <w:lang w:eastAsia="bg-BG"/>
        </w:rPr>
        <w:t xml:space="preserve">984 пациенти между 45 и 70 години с нисък риск за исхемична болест на сърцето (дефинирано като </w:t>
      </w:r>
      <w:r w:rsidRPr="00EC0908">
        <w:rPr>
          <w:rFonts w:eastAsia="Times New Roman" w:cs="Arial"/>
          <w:color w:val="000000"/>
          <w:lang w:val="en-US"/>
        </w:rPr>
        <w:t>Framingham</w:t>
      </w:r>
      <w:r w:rsidRPr="00EC0908">
        <w:rPr>
          <w:rFonts w:eastAsia="Times New Roman" w:cs="Arial"/>
          <w:color w:val="000000"/>
        </w:rPr>
        <w:t xml:space="preserve"> </w:t>
      </w:r>
      <w:r w:rsidRPr="00EC0908">
        <w:rPr>
          <w:rFonts w:eastAsia="Times New Roman" w:cs="Arial"/>
          <w:color w:val="000000"/>
          <w:lang w:eastAsia="bg-BG"/>
        </w:rPr>
        <w:t xml:space="preserve">риск &lt;10% за 10 г.) и със среден </w:t>
      </w:r>
      <w:r w:rsidRPr="00EC0908">
        <w:rPr>
          <w:rFonts w:eastAsia="Times New Roman" w:cs="Arial"/>
          <w:color w:val="000000"/>
          <w:lang w:val="en-US"/>
        </w:rPr>
        <w:t>LDL</w:t>
      </w:r>
      <w:r w:rsidRPr="00EC0908">
        <w:rPr>
          <w:rFonts w:eastAsia="Times New Roman" w:cs="Arial"/>
          <w:color w:val="000000"/>
        </w:rPr>
        <w:t>-</w:t>
      </w:r>
      <w:r w:rsidRPr="00EC0908">
        <w:rPr>
          <w:rFonts w:eastAsia="Times New Roman" w:cs="Arial"/>
          <w:color w:val="000000"/>
          <w:lang w:val="en-US"/>
        </w:rPr>
        <w:t>C</w:t>
      </w:r>
      <w:r w:rsidRPr="00EC0908">
        <w:rPr>
          <w:rFonts w:eastAsia="Times New Roman" w:cs="Arial"/>
          <w:color w:val="000000"/>
        </w:rPr>
        <w:t xml:space="preserve"> </w:t>
      </w:r>
      <w:r w:rsidRPr="00EC0908">
        <w:rPr>
          <w:rFonts w:eastAsia="Times New Roman" w:cs="Arial"/>
          <w:color w:val="000000"/>
          <w:lang w:eastAsia="bg-BG"/>
        </w:rPr>
        <w:t xml:space="preserve">4,0 </w:t>
      </w:r>
      <w:proofErr w:type="spellStart"/>
      <w:r w:rsidRPr="00EC0908">
        <w:rPr>
          <w:rFonts w:eastAsia="Times New Roman" w:cs="Arial"/>
          <w:color w:val="000000"/>
          <w:lang w:val="en-US"/>
        </w:rPr>
        <w:t>mmol</w:t>
      </w:r>
      <w:proofErr w:type="spellEnd"/>
      <w:r w:rsidRPr="00EC0908">
        <w:rPr>
          <w:rFonts w:eastAsia="Times New Roman" w:cs="Arial"/>
          <w:color w:val="000000"/>
        </w:rPr>
        <w:t xml:space="preserve">/1 </w:t>
      </w:r>
      <w:r w:rsidRPr="00EC0908">
        <w:rPr>
          <w:rFonts w:eastAsia="Times New Roman" w:cs="Arial"/>
          <w:color w:val="000000"/>
          <w:lang w:eastAsia="bg-BG"/>
        </w:rPr>
        <w:t xml:space="preserve">(154,5 </w:t>
      </w:r>
      <w:r w:rsidRPr="00EC0908">
        <w:rPr>
          <w:rFonts w:eastAsia="Times New Roman" w:cs="Arial"/>
          <w:color w:val="000000"/>
          <w:lang w:val="en-US"/>
        </w:rPr>
        <w:t>mg</w:t>
      </w:r>
      <w:r w:rsidRPr="00EC0908">
        <w:rPr>
          <w:rFonts w:eastAsia="Times New Roman" w:cs="Arial"/>
          <w:color w:val="000000"/>
        </w:rPr>
        <w:t>/</w:t>
      </w:r>
      <w:r w:rsidRPr="00EC0908">
        <w:rPr>
          <w:rFonts w:eastAsia="Times New Roman" w:cs="Arial"/>
          <w:color w:val="000000"/>
          <w:lang w:val="en-US"/>
        </w:rPr>
        <w:t>dl</w:t>
      </w:r>
      <w:r w:rsidRPr="00EC0908">
        <w:rPr>
          <w:rFonts w:eastAsia="Times New Roman" w:cs="Arial"/>
          <w:color w:val="000000"/>
        </w:rPr>
        <w:t xml:space="preserve">), </w:t>
      </w:r>
      <w:r w:rsidRPr="00EC0908">
        <w:rPr>
          <w:rFonts w:eastAsia="Times New Roman" w:cs="Arial"/>
          <w:color w:val="000000"/>
          <w:lang w:eastAsia="bg-BG"/>
        </w:rPr>
        <w:t xml:space="preserve">но със субклинична атеросклероза, установена чрез измерване на </w:t>
      </w:r>
      <w:r w:rsidRPr="00EC0908">
        <w:rPr>
          <w:rFonts w:eastAsia="Times New Roman" w:cs="Arial"/>
          <w:color w:val="000000"/>
          <w:lang w:val="en-US"/>
        </w:rPr>
        <w:t>CIMT</w:t>
      </w:r>
      <w:r w:rsidRPr="00EC0908">
        <w:rPr>
          <w:rFonts w:eastAsia="Times New Roman" w:cs="Arial"/>
          <w:color w:val="000000"/>
        </w:rPr>
        <w:t xml:space="preserve"> (</w:t>
      </w:r>
      <w:r w:rsidRPr="00EC0908">
        <w:rPr>
          <w:rFonts w:eastAsia="Times New Roman" w:cs="Arial"/>
          <w:color w:val="000000"/>
          <w:lang w:val="en-US"/>
        </w:rPr>
        <w:t>Carotid</w:t>
      </w:r>
      <w:r w:rsidRPr="00EC0908">
        <w:rPr>
          <w:rFonts w:eastAsia="Times New Roman" w:cs="Arial"/>
          <w:color w:val="000000"/>
        </w:rPr>
        <w:t xml:space="preserve"> </w:t>
      </w:r>
      <w:r w:rsidRPr="00EC0908">
        <w:rPr>
          <w:rFonts w:eastAsia="Times New Roman" w:cs="Arial"/>
          <w:color w:val="000000"/>
          <w:lang w:val="en-US"/>
        </w:rPr>
        <w:t>Intima</w:t>
      </w:r>
      <w:r w:rsidRPr="00EC0908">
        <w:rPr>
          <w:rFonts w:eastAsia="Times New Roman" w:cs="Arial"/>
          <w:color w:val="000000"/>
        </w:rPr>
        <w:t xml:space="preserve"> </w:t>
      </w:r>
      <w:r w:rsidRPr="00EC0908">
        <w:rPr>
          <w:rFonts w:eastAsia="Times New Roman" w:cs="Arial"/>
          <w:color w:val="000000"/>
          <w:lang w:val="en-US"/>
        </w:rPr>
        <w:t>Media</w:t>
      </w:r>
      <w:r w:rsidRPr="00EC0908">
        <w:rPr>
          <w:rFonts w:eastAsia="Times New Roman" w:cs="Arial"/>
          <w:color w:val="000000"/>
        </w:rPr>
        <w:t xml:space="preserve"> </w:t>
      </w:r>
      <w:r w:rsidRPr="00EC0908">
        <w:rPr>
          <w:rFonts w:eastAsia="Times New Roman" w:cs="Arial"/>
          <w:color w:val="000000"/>
          <w:lang w:val="en-US"/>
        </w:rPr>
        <w:t>Thickness</w:t>
      </w:r>
      <w:r w:rsidRPr="00EC0908">
        <w:rPr>
          <w:rFonts w:eastAsia="Times New Roman" w:cs="Arial"/>
          <w:color w:val="000000"/>
        </w:rPr>
        <w:t xml:space="preserve">), </w:t>
      </w:r>
      <w:r w:rsidRPr="00EC0908">
        <w:rPr>
          <w:rFonts w:eastAsia="Times New Roman" w:cs="Arial"/>
          <w:color w:val="000000"/>
          <w:lang w:eastAsia="bg-BG"/>
        </w:rPr>
        <w:t xml:space="preserve">са били рандомизирани на 40 </w:t>
      </w:r>
      <w:r w:rsidRPr="00EC0908">
        <w:rPr>
          <w:rFonts w:eastAsia="Times New Roman" w:cs="Arial"/>
          <w:color w:val="000000"/>
          <w:lang w:val="en-US"/>
        </w:rPr>
        <w:t>mg</w:t>
      </w:r>
      <w:r w:rsidRPr="00EC0908">
        <w:rPr>
          <w:rFonts w:eastAsia="Times New Roman" w:cs="Arial"/>
          <w:color w:val="000000"/>
        </w:rPr>
        <w:t xml:space="preserve"> </w:t>
      </w:r>
      <w:r w:rsidRPr="00EC0908">
        <w:rPr>
          <w:rFonts w:eastAsia="Times New Roman" w:cs="Arial"/>
          <w:color w:val="000000"/>
          <w:lang w:eastAsia="bg-BG"/>
        </w:rPr>
        <w:t xml:space="preserve">розувастатин веднъж дневно или плацебо за 2 години. Розувастатин значително е забавил прогресията на максималното </w:t>
      </w:r>
      <w:r w:rsidRPr="00EC0908">
        <w:rPr>
          <w:rFonts w:eastAsia="Times New Roman" w:cs="Arial"/>
          <w:color w:val="000000"/>
          <w:lang w:val="en-US"/>
        </w:rPr>
        <w:t>CIMT</w:t>
      </w:r>
      <w:r w:rsidRPr="00EC0908">
        <w:rPr>
          <w:rFonts w:eastAsia="Times New Roman" w:cs="Arial"/>
          <w:color w:val="000000"/>
          <w:lang w:val="ru-RU"/>
        </w:rPr>
        <w:t xml:space="preserve"> </w:t>
      </w:r>
      <w:r w:rsidRPr="00EC0908">
        <w:rPr>
          <w:rFonts w:eastAsia="Times New Roman" w:cs="Arial"/>
          <w:color w:val="000000"/>
          <w:lang w:eastAsia="bg-BG"/>
        </w:rPr>
        <w:t xml:space="preserve">на всички 12 места на каротидните артерии в сравнение с плацебо с -0,0145 </w:t>
      </w:r>
      <w:r w:rsidRPr="00EC0908">
        <w:rPr>
          <w:rFonts w:eastAsia="Times New Roman" w:cs="Arial"/>
          <w:color w:val="000000"/>
          <w:lang w:val="en-US"/>
        </w:rPr>
        <w:t>mm</w:t>
      </w:r>
      <w:r w:rsidRPr="00EC0908">
        <w:rPr>
          <w:rFonts w:eastAsia="Times New Roman" w:cs="Arial"/>
          <w:color w:val="000000"/>
          <w:lang w:eastAsia="bg-BG"/>
        </w:rPr>
        <w:t xml:space="preserve">/година (95% </w:t>
      </w:r>
      <w:r w:rsidRPr="00EC0908">
        <w:rPr>
          <w:rFonts w:eastAsia="Times New Roman" w:cs="Arial"/>
          <w:color w:val="000000"/>
          <w:lang w:val="en-US"/>
        </w:rPr>
        <w:t>CI</w:t>
      </w:r>
      <w:r w:rsidRPr="00EC0908">
        <w:rPr>
          <w:rFonts w:eastAsia="Times New Roman" w:cs="Arial"/>
          <w:color w:val="000000"/>
          <w:lang w:val="ru-RU"/>
        </w:rPr>
        <w:t xml:space="preserve"> </w:t>
      </w:r>
      <w:r w:rsidRPr="00EC0908">
        <w:rPr>
          <w:rFonts w:eastAsia="Times New Roman" w:cs="Arial"/>
          <w:color w:val="000000"/>
          <w:lang w:eastAsia="bg-BG"/>
        </w:rPr>
        <w:t xml:space="preserve">-0,0196, -0,0093; р&lt;0,0001). Промяната спрямо изходните стойности за групата на розувастатин е -0,0014 </w:t>
      </w:r>
      <w:r w:rsidRPr="00EC0908">
        <w:rPr>
          <w:rFonts w:eastAsia="Times New Roman" w:cs="Arial"/>
          <w:color w:val="000000"/>
          <w:lang w:val="en-US"/>
        </w:rPr>
        <w:t>mm</w:t>
      </w:r>
      <w:r w:rsidRPr="00EC0908">
        <w:rPr>
          <w:rFonts w:eastAsia="Times New Roman" w:cs="Arial"/>
          <w:color w:val="000000"/>
          <w:lang w:eastAsia="bg-BG"/>
        </w:rPr>
        <w:t xml:space="preserve">/година (-12%/година (несигнификантно)), в сравнение с плацебо групата с прогресия от +0,0131 </w:t>
      </w:r>
      <w:r w:rsidRPr="00EC0908">
        <w:rPr>
          <w:rFonts w:eastAsia="Times New Roman" w:cs="Arial"/>
          <w:color w:val="000000"/>
          <w:lang w:val="en-US"/>
        </w:rPr>
        <w:t>mm</w:t>
      </w:r>
      <w:r w:rsidRPr="00EC0908">
        <w:rPr>
          <w:rFonts w:eastAsia="Times New Roman" w:cs="Arial"/>
          <w:color w:val="000000"/>
          <w:lang w:eastAsia="bg-BG"/>
        </w:rPr>
        <w:t xml:space="preserve">/година (1,12/година (р&lt;0,0001)). Не е демонстрирана директна взаимовръзка между понижението на нивата на </w:t>
      </w:r>
      <w:r w:rsidRPr="00EC0908">
        <w:rPr>
          <w:rFonts w:eastAsia="Times New Roman" w:cs="Arial"/>
          <w:color w:val="000000"/>
          <w:lang w:val="en-US"/>
        </w:rPr>
        <w:t>CIMT</w:t>
      </w:r>
      <w:r w:rsidRPr="00EC0908">
        <w:rPr>
          <w:rFonts w:eastAsia="Times New Roman" w:cs="Arial"/>
          <w:color w:val="000000"/>
          <w:lang w:val="ru-RU"/>
        </w:rPr>
        <w:t xml:space="preserve"> </w:t>
      </w:r>
      <w:r w:rsidRPr="00EC0908">
        <w:rPr>
          <w:rFonts w:eastAsia="Times New Roman" w:cs="Arial"/>
          <w:color w:val="000000"/>
          <w:lang w:eastAsia="bg-BG"/>
        </w:rPr>
        <w:t xml:space="preserve">и понижения риск от сърдечносъдови събития. Популацията в проучването </w:t>
      </w:r>
      <w:r w:rsidRPr="00EC0908">
        <w:rPr>
          <w:rFonts w:eastAsia="Times New Roman" w:cs="Arial"/>
          <w:color w:val="000000"/>
          <w:lang w:val="en-US"/>
        </w:rPr>
        <w:t>METEOR</w:t>
      </w:r>
      <w:r w:rsidRPr="00EC0908">
        <w:rPr>
          <w:rFonts w:eastAsia="Times New Roman" w:cs="Arial"/>
          <w:color w:val="000000"/>
          <w:lang w:val="ru-RU"/>
        </w:rPr>
        <w:t xml:space="preserve"> </w:t>
      </w:r>
      <w:r w:rsidRPr="00EC0908">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Дозировката от 40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трябва да се предписва само при пациенти с тежка хиперхолестеролемия с висок сърдечносъдов риск (вж.точка4.2).</w:t>
      </w:r>
    </w:p>
    <w:p w14:paraId="5BE1C606" w14:textId="77777777" w:rsidR="00EC0908" w:rsidRDefault="00EC0908" w:rsidP="00EC0908">
      <w:pPr>
        <w:spacing w:line="240" w:lineRule="auto"/>
        <w:rPr>
          <w:rFonts w:eastAsia="Times New Roman" w:cs="Arial"/>
          <w:color w:val="000000"/>
          <w:lang w:eastAsia="bg-BG"/>
        </w:rPr>
      </w:pPr>
    </w:p>
    <w:p w14:paraId="0E5F5020" w14:textId="33659A6B"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Проучването </w:t>
      </w:r>
      <w:r w:rsidRPr="00EC0908">
        <w:rPr>
          <w:rFonts w:eastAsia="Times New Roman" w:cs="Arial"/>
          <w:color w:val="000000"/>
          <w:lang w:val="en-US"/>
        </w:rPr>
        <w:t>JUPITER</w:t>
      </w:r>
      <w:r w:rsidRPr="00EC0908">
        <w:rPr>
          <w:rFonts w:eastAsia="Times New Roman" w:cs="Arial"/>
          <w:color w:val="000000"/>
        </w:rPr>
        <w:t xml:space="preserve"> (</w:t>
      </w:r>
      <w:r w:rsidRPr="00EC0908">
        <w:rPr>
          <w:rFonts w:eastAsia="Times New Roman" w:cs="Arial"/>
          <w:color w:val="000000"/>
          <w:lang w:val="en-US"/>
        </w:rPr>
        <w:t>Justification</w:t>
      </w:r>
      <w:r w:rsidRPr="00EC0908">
        <w:rPr>
          <w:rFonts w:eastAsia="Times New Roman" w:cs="Arial"/>
          <w:color w:val="000000"/>
        </w:rPr>
        <w:t xml:space="preserve"> </w:t>
      </w:r>
      <w:r w:rsidRPr="00EC0908">
        <w:rPr>
          <w:rFonts w:eastAsia="Times New Roman" w:cs="Arial"/>
          <w:color w:val="000000"/>
          <w:lang w:val="en-US"/>
        </w:rPr>
        <w:t>for</w:t>
      </w:r>
      <w:r w:rsidRPr="00EC0908">
        <w:rPr>
          <w:rFonts w:eastAsia="Times New Roman" w:cs="Arial"/>
          <w:color w:val="000000"/>
        </w:rPr>
        <w:t xml:space="preserve"> </w:t>
      </w:r>
      <w:r w:rsidRPr="00EC0908">
        <w:rPr>
          <w:rFonts w:eastAsia="Times New Roman" w:cs="Arial"/>
          <w:color w:val="000000"/>
          <w:lang w:val="en-US"/>
        </w:rPr>
        <w:t>the</w:t>
      </w:r>
      <w:r w:rsidRPr="00EC0908">
        <w:rPr>
          <w:rFonts w:eastAsia="Times New Roman" w:cs="Arial"/>
          <w:color w:val="000000"/>
        </w:rPr>
        <w:t xml:space="preserve"> </w:t>
      </w:r>
      <w:r w:rsidRPr="00EC0908">
        <w:rPr>
          <w:rFonts w:eastAsia="Times New Roman" w:cs="Arial"/>
          <w:color w:val="000000"/>
          <w:lang w:val="en-US"/>
        </w:rPr>
        <w:t>Use</w:t>
      </w:r>
      <w:r w:rsidRPr="00EC0908">
        <w:rPr>
          <w:rFonts w:eastAsia="Times New Roman" w:cs="Arial"/>
          <w:color w:val="000000"/>
        </w:rPr>
        <w:t xml:space="preserve"> </w:t>
      </w:r>
      <w:r w:rsidRPr="00EC0908">
        <w:rPr>
          <w:rFonts w:eastAsia="Times New Roman" w:cs="Arial"/>
          <w:color w:val="000000"/>
          <w:lang w:val="en-US"/>
        </w:rPr>
        <w:t>of</w:t>
      </w:r>
      <w:r w:rsidRPr="00EC0908">
        <w:rPr>
          <w:rFonts w:eastAsia="Times New Roman" w:cs="Arial"/>
          <w:color w:val="000000"/>
        </w:rPr>
        <w:t xml:space="preserve"> </w:t>
      </w:r>
      <w:r w:rsidRPr="00EC0908">
        <w:rPr>
          <w:rFonts w:eastAsia="Times New Roman" w:cs="Arial"/>
          <w:color w:val="000000"/>
          <w:lang w:val="en-US"/>
        </w:rPr>
        <w:t>Statins</w:t>
      </w:r>
      <w:r w:rsidRPr="00EC0908">
        <w:rPr>
          <w:rFonts w:eastAsia="Times New Roman" w:cs="Arial"/>
          <w:color w:val="000000"/>
        </w:rPr>
        <w:t xml:space="preserve"> </w:t>
      </w:r>
      <w:r w:rsidRPr="00EC0908">
        <w:rPr>
          <w:rFonts w:eastAsia="Times New Roman" w:cs="Arial"/>
          <w:color w:val="000000"/>
          <w:lang w:val="en-US"/>
        </w:rPr>
        <w:t>in</w:t>
      </w:r>
      <w:r w:rsidRPr="00EC0908">
        <w:rPr>
          <w:rFonts w:eastAsia="Times New Roman" w:cs="Arial"/>
          <w:color w:val="000000"/>
        </w:rPr>
        <w:t xml:space="preserve"> </w:t>
      </w:r>
      <w:r w:rsidRPr="00EC0908">
        <w:rPr>
          <w:rFonts w:eastAsia="Times New Roman" w:cs="Arial"/>
          <w:color w:val="000000"/>
          <w:lang w:val="en-US"/>
        </w:rPr>
        <w:t>Primary</w:t>
      </w:r>
      <w:r w:rsidRPr="00EC0908">
        <w:rPr>
          <w:rFonts w:eastAsia="Times New Roman" w:cs="Arial"/>
          <w:color w:val="000000"/>
        </w:rPr>
        <w:t xml:space="preserve"> </w:t>
      </w:r>
      <w:r w:rsidRPr="00EC0908">
        <w:rPr>
          <w:rFonts w:eastAsia="Times New Roman" w:cs="Arial"/>
          <w:color w:val="000000"/>
          <w:lang w:val="en-US"/>
        </w:rPr>
        <w:t>Prevention</w:t>
      </w:r>
      <w:r w:rsidRPr="00EC0908">
        <w:rPr>
          <w:rFonts w:eastAsia="Times New Roman" w:cs="Arial"/>
          <w:color w:val="000000"/>
        </w:rPr>
        <w:t xml:space="preserve">: </w:t>
      </w:r>
      <w:r w:rsidRPr="00EC0908">
        <w:rPr>
          <w:rFonts w:eastAsia="Times New Roman" w:cs="Arial"/>
          <w:color w:val="000000"/>
          <w:lang w:val="en-US"/>
        </w:rPr>
        <w:t>An</w:t>
      </w:r>
      <w:r w:rsidRPr="00EC0908">
        <w:rPr>
          <w:rFonts w:eastAsia="Times New Roman" w:cs="Arial"/>
          <w:color w:val="000000"/>
        </w:rPr>
        <w:t xml:space="preserve"> </w:t>
      </w:r>
      <w:r w:rsidRPr="00EC0908">
        <w:rPr>
          <w:rFonts w:eastAsia="Times New Roman" w:cs="Arial"/>
          <w:color w:val="000000"/>
          <w:lang w:val="en-US"/>
        </w:rPr>
        <w:t>Intervention</w:t>
      </w:r>
      <w:r w:rsidRPr="00EC0908">
        <w:rPr>
          <w:rFonts w:eastAsia="Times New Roman" w:cs="Arial"/>
          <w:color w:val="000000"/>
        </w:rPr>
        <w:t xml:space="preserve"> </w:t>
      </w:r>
      <w:r w:rsidRPr="00EC0908">
        <w:rPr>
          <w:rFonts w:eastAsia="Times New Roman" w:cs="Arial"/>
          <w:color w:val="000000"/>
          <w:lang w:val="en-US"/>
        </w:rPr>
        <w:t>Trial</w:t>
      </w:r>
      <w:r w:rsidRPr="00EC0908">
        <w:rPr>
          <w:rFonts w:eastAsia="Times New Roman" w:cs="Arial"/>
          <w:color w:val="000000"/>
        </w:rPr>
        <w:t xml:space="preserve"> </w:t>
      </w:r>
      <w:r w:rsidRPr="00EC0908">
        <w:rPr>
          <w:rFonts w:eastAsia="Times New Roman" w:cs="Arial"/>
          <w:color w:val="000000"/>
          <w:lang w:val="en-US"/>
        </w:rPr>
        <w:t>Evaluating</w:t>
      </w:r>
      <w:r w:rsidRPr="00EC0908">
        <w:rPr>
          <w:rFonts w:eastAsia="Times New Roman" w:cs="Arial"/>
          <w:color w:val="000000"/>
        </w:rPr>
        <w:t xml:space="preserve"> </w:t>
      </w:r>
      <w:proofErr w:type="spellStart"/>
      <w:r w:rsidRPr="00EC0908">
        <w:rPr>
          <w:rFonts w:eastAsia="Times New Roman" w:cs="Arial"/>
          <w:color w:val="000000"/>
          <w:lang w:val="en-US"/>
        </w:rPr>
        <w:t>Rosuvastatin</w:t>
      </w:r>
      <w:proofErr w:type="spellEnd"/>
      <w:r w:rsidRPr="00EC0908">
        <w:rPr>
          <w:rFonts w:eastAsia="Times New Roman" w:cs="Arial"/>
          <w:color w:val="000000"/>
        </w:rPr>
        <w:t xml:space="preserve">) </w:t>
      </w:r>
      <w:r w:rsidRPr="00EC0908">
        <w:rPr>
          <w:rFonts w:eastAsia="Times New Roman" w:cs="Arial"/>
          <w:color w:val="000000"/>
          <w:lang w:eastAsia="bg-BG"/>
        </w:rPr>
        <w:t>изследва ефекта на розувастатин върху появата на големи атеросклеротични сърдечно-съдови събития при 17 802 мъже ≥50 години) и жени (≥60 години).</w:t>
      </w:r>
    </w:p>
    <w:p w14:paraId="79919B03"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Участниците в проучването са рандомизирани на плацебо (</w:t>
      </w:r>
      <w:r w:rsidRPr="00EC0908">
        <w:rPr>
          <w:rFonts w:eastAsia="Times New Roman" w:cs="Arial"/>
          <w:color w:val="000000"/>
          <w:lang w:val="en-US"/>
        </w:rPr>
        <w:t>n</w:t>
      </w:r>
      <w:r w:rsidRPr="00EC0908">
        <w:rPr>
          <w:rFonts w:eastAsia="Times New Roman" w:cs="Arial"/>
          <w:color w:val="000000"/>
          <w:lang w:eastAsia="bg-BG"/>
        </w:rPr>
        <w:t xml:space="preserve">=8901) или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веднъж дневно </w:t>
      </w:r>
      <w:r w:rsidRPr="00EC0908">
        <w:rPr>
          <w:rFonts w:eastAsia="Times New Roman" w:cs="Arial"/>
          <w:color w:val="000000"/>
          <w:lang w:val="ru-RU"/>
        </w:rPr>
        <w:t>(</w:t>
      </w:r>
      <w:r w:rsidRPr="00EC0908">
        <w:rPr>
          <w:rFonts w:eastAsia="Times New Roman" w:cs="Arial"/>
          <w:color w:val="000000"/>
          <w:lang w:val="en-US"/>
        </w:rPr>
        <w:t>n</w:t>
      </w:r>
      <w:r w:rsidRPr="00EC0908">
        <w:rPr>
          <w:rFonts w:eastAsia="Times New Roman" w:cs="Arial"/>
          <w:color w:val="000000"/>
          <w:lang w:val="ru-RU"/>
        </w:rPr>
        <w:t>=890</w:t>
      </w:r>
      <w:r w:rsidRPr="00EC0908">
        <w:rPr>
          <w:rFonts w:eastAsia="Times New Roman" w:cs="Arial"/>
          <w:color w:val="000000"/>
          <w:lang w:eastAsia="bg-BG"/>
        </w:rPr>
        <w:t>1) и са проследени за среден период от 2 години.</w:t>
      </w:r>
    </w:p>
    <w:p w14:paraId="61F4B58D"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Конценрациите на </w:t>
      </w:r>
      <w:r w:rsidRPr="00EC0908">
        <w:rPr>
          <w:rFonts w:eastAsia="Times New Roman" w:cs="Arial"/>
          <w:color w:val="000000"/>
          <w:lang w:val="en-US"/>
        </w:rPr>
        <w:t>LDL</w:t>
      </w:r>
      <w:r w:rsidRPr="00EC0908">
        <w:rPr>
          <w:rFonts w:eastAsia="Times New Roman" w:cs="Arial"/>
          <w:color w:val="000000"/>
          <w:lang w:eastAsia="bg-BG"/>
        </w:rPr>
        <w:t>-холестрола са били понижени с 45% (р&lt;0,001) в групата на розувастатин в сравнение с плацебо групата.</w:t>
      </w:r>
    </w:p>
    <w:p w14:paraId="080FDB35" w14:textId="77777777" w:rsidR="00EC0908" w:rsidRDefault="00EC0908" w:rsidP="00EC0908">
      <w:pPr>
        <w:spacing w:line="240" w:lineRule="auto"/>
        <w:rPr>
          <w:rFonts w:eastAsia="Times New Roman" w:cs="Arial"/>
          <w:color w:val="000000"/>
          <w:lang w:eastAsia="bg-BG"/>
        </w:rPr>
      </w:pPr>
    </w:p>
    <w:p w14:paraId="03E5DEFB" w14:textId="7F76B522"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При </w:t>
      </w:r>
      <w:r w:rsidRPr="00EC0908">
        <w:rPr>
          <w:rFonts w:eastAsia="Times New Roman" w:cs="Arial"/>
          <w:color w:val="000000"/>
          <w:lang w:val="en-US"/>
        </w:rPr>
        <w:t>post</w:t>
      </w:r>
      <w:r w:rsidRPr="00EC0908">
        <w:rPr>
          <w:rFonts w:eastAsia="Times New Roman" w:cs="Arial"/>
          <w:color w:val="000000"/>
          <w:lang w:val="ru-RU"/>
        </w:rPr>
        <w:t>-</w:t>
      </w:r>
      <w:r w:rsidRPr="00EC0908">
        <w:rPr>
          <w:rFonts w:eastAsia="Times New Roman" w:cs="Arial"/>
          <w:color w:val="000000"/>
          <w:lang w:val="en-US"/>
        </w:rPr>
        <w:t>hoc</w:t>
      </w:r>
      <w:r w:rsidRPr="00EC0908">
        <w:rPr>
          <w:rFonts w:eastAsia="Times New Roman" w:cs="Arial"/>
          <w:color w:val="000000"/>
          <w:lang w:val="ru-RU"/>
        </w:rPr>
        <w:t xml:space="preserve"> </w:t>
      </w:r>
      <w:r w:rsidRPr="00EC0908">
        <w:rPr>
          <w:rFonts w:eastAsia="Times New Roman" w:cs="Arial"/>
          <w:color w:val="000000"/>
          <w:lang w:eastAsia="bg-BG"/>
        </w:rPr>
        <w:t xml:space="preserve">анализ на високо-рискова група от лица с базичен риск по </w:t>
      </w:r>
      <w:proofErr w:type="spellStart"/>
      <w:r w:rsidRPr="00EC0908">
        <w:rPr>
          <w:rFonts w:eastAsia="Times New Roman" w:cs="Arial"/>
          <w:color w:val="000000"/>
          <w:lang w:val="en-US"/>
        </w:rPr>
        <w:t>Frammgham</w:t>
      </w:r>
      <w:proofErr w:type="spellEnd"/>
      <w:r w:rsidRPr="00EC0908">
        <w:rPr>
          <w:rFonts w:eastAsia="Times New Roman" w:cs="Arial"/>
          <w:color w:val="000000"/>
          <w:lang w:val="ru-RU"/>
        </w:rPr>
        <w:t xml:space="preserve"> </w:t>
      </w:r>
      <w:r w:rsidRPr="00EC0908">
        <w:rPr>
          <w:rFonts w:eastAsia="Times New Roman" w:cs="Arial"/>
          <w:color w:val="000000"/>
          <w:lang w:eastAsia="bg-BG"/>
        </w:rPr>
        <w:t xml:space="preserve">&gt;20% (1558 лица) има значителна редукция в комбинираната крайна точка от сърдечносъдова смърт, инсулт и миокарден инфаркт (р=0,028) при лечение с розувастатин спрямо плацебо. Абсолютната редукция на риска в нивото на събитията за 1000 пациентогодини е 8,8. Тоталната смъртност е непроменена в тази високорискова група (р=0,193). При </w:t>
      </w:r>
      <w:r w:rsidRPr="00EC0908">
        <w:rPr>
          <w:rFonts w:eastAsia="Times New Roman" w:cs="Arial"/>
          <w:color w:val="000000"/>
          <w:lang w:val="en-US"/>
        </w:rPr>
        <w:t>post</w:t>
      </w:r>
      <w:r w:rsidRPr="00EC0908">
        <w:rPr>
          <w:rFonts w:eastAsia="Times New Roman" w:cs="Arial"/>
          <w:color w:val="000000"/>
          <w:lang w:val="ru-RU"/>
        </w:rPr>
        <w:t>-</w:t>
      </w:r>
      <w:r w:rsidRPr="00EC0908">
        <w:rPr>
          <w:rFonts w:eastAsia="Times New Roman" w:cs="Arial"/>
          <w:color w:val="000000"/>
          <w:lang w:val="en-US"/>
        </w:rPr>
        <w:t>hoc</w:t>
      </w:r>
      <w:r w:rsidRPr="00EC0908">
        <w:rPr>
          <w:rFonts w:eastAsia="Times New Roman" w:cs="Arial"/>
          <w:color w:val="000000"/>
          <w:lang w:val="ru-RU"/>
        </w:rPr>
        <w:t xml:space="preserve"> </w:t>
      </w:r>
      <w:r w:rsidRPr="00EC0908">
        <w:rPr>
          <w:rFonts w:eastAsia="Times New Roman" w:cs="Arial"/>
          <w:color w:val="000000"/>
          <w:lang w:eastAsia="bg-BG"/>
        </w:rPr>
        <w:t xml:space="preserve">анализ на високорискова подгрупа от лица (9302 лица общо) с изходна оценка на риска &gt;5% (екстраполиран да включи лица над 65 години) има значителна редукция в комбинираната крайна точка от сърдечно-съдова смърт, инсулт и миокарден инфаркт (р=0,0003) при лечението с розувастатин спрямо плацебо. Абсолютната редукция на </w:t>
      </w:r>
      <w:r w:rsidRPr="00EC0908">
        <w:rPr>
          <w:rFonts w:eastAsia="Times New Roman" w:cs="Arial"/>
          <w:color w:val="000000"/>
          <w:lang w:eastAsia="bg-BG"/>
        </w:rPr>
        <w:lastRenderedPageBreak/>
        <w:t>риска в нивото на събитията е била 5,1 за 1000 пациентогодини. Тоталната смъртност е била непроменена в тази високо-рискова група (р=0,076).</w:t>
      </w:r>
    </w:p>
    <w:p w14:paraId="6EE62CD4" w14:textId="77777777" w:rsidR="00EC0908" w:rsidRDefault="00EC0908" w:rsidP="00EC0908">
      <w:pPr>
        <w:spacing w:line="240" w:lineRule="auto"/>
        <w:rPr>
          <w:rFonts w:eastAsia="Times New Roman" w:cs="Arial"/>
          <w:color w:val="000000"/>
          <w:lang w:eastAsia="bg-BG"/>
        </w:rPr>
      </w:pPr>
    </w:p>
    <w:p w14:paraId="24A80738" w14:textId="63592B7C"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проучването </w:t>
      </w:r>
      <w:r w:rsidRPr="00EC0908">
        <w:rPr>
          <w:rFonts w:eastAsia="Times New Roman" w:cs="Arial"/>
          <w:color w:val="000000"/>
          <w:lang w:val="en-US"/>
        </w:rPr>
        <w:t>JUPITER</w:t>
      </w:r>
      <w:r w:rsidRPr="00EC0908">
        <w:rPr>
          <w:rFonts w:eastAsia="Times New Roman" w:cs="Arial"/>
          <w:color w:val="000000"/>
          <w:lang w:val="ru-RU"/>
        </w:rPr>
        <w:t xml:space="preserve"> </w:t>
      </w:r>
      <w:r w:rsidRPr="00EC0908">
        <w:rPr>
          <w:rFonts w:eastAsia="Times New Roman" w:cs="Arial"/>
          <w:color w:val="000000"/>
          <w:lang w:eastAsia="bg-BG"/>
        </w:rPr>
        <w:t>6,6% от лицата с розувастатин и 6,2% от лицата с плацебо са прекратили приема на изследваното лекарство поради нежелано събитие. Най-честите нежелани събития, които са довели до прекратяване на лечението са били: миалгия (0,3% розувастатин, 0,2% плацебо), коремна болка (0,03% розувастатин, 0,02% плацебо) и обрив (0,02% розувастатин, 0,03% плацебо). Най-честите нежелани събития с ниво по-голямо и равно на плацебо са били инфекции на пикочните пътища (8,7% розувастатин, 8,6% плацебо), назофарингит (7,6% розувастатин, 7,2% плацебо), болка в гърба (7,6% розувастатин, 6,9% плацебо) и миалгия (7,6% розувастатин, 6,6% плацебо).</w:t>
      </w:r>
    </w:p>
    <w:p w14:paraId="73ABE005" w14:textId="77777777" w:rsidR="00EC0908" w:rsidRDefault="00EC0908" w:rsidP="00EC0908">
      <w:pPr>
        <w:spacing w:line="240" w:lineRule="auto"/>
        <w:rPr>
          <w:rFonts w:eastAsia="Times New Roman" w:cs="Arial"/>
          <w:b/>
          <w:bCs/>
          <w:color w:val="000000"/>
          <w:lang w:eastAsia="bg-BG"/>
        </w:rPr>
      </w:pPr>
    </w:p>
    <w:p w14:paraId="5D29C67C" w14:textId="0F52B9BA"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Педиатрична популация</w:t>
      </w:r>
    </w:p>
    <w:p w14:paraId="35779BD6" w14:textId="77777777" w:rsidR="00EC0908" w:rsidRPr="00EC0908" w:rsidRDefault="00EC0908" w:rsidP="00EC0908">
      <w:pPr>
        <w:rPr>
          <w:rFonts w:eastAsia="Times New Roman" w:cs="Arial"/>
        </w:rPr>
      </w:pPr>
      <w:r w:rsidRPr="00EC0908">
        <w:rPr>
          <w:rFonts w:eastAsia="Times New Roman" w:cs="Arial"/>
          <w:color w:val="000000"/>
          <w:lang w:eastAsia="bg-BG"/>
        </w:rPr>
        <w:t>В едно двойно-сляпо, рандомизирано, мултицентрово, плацебо-контролирано, 12</w:t>
      </w:r>
      <w:r w:rsidRPr="00EC0908">
        <w:rPr>
          <w:rFonts w:eastAsia="Times New Roman" w:cs="Arial"/>
          <w:color w:val="000000"/>
          <w:u w:val="single"/>
          <w:lang w:eastAsia="bg-BG"/>
        </w:rPr>
        <w:t>-седми</w:t>
      </w:r>
      <w:r w:rsidRPr="00EC0908">
        <w:rPr>
          <w:rFonts w:eastAsia="Times New Roman" w:cs="Arial"/>
          <w:color w:val="000000"/>
          <w:lang w:eastAsia="bg-BG"/>
        </w:rPr>
        <w:t>чно проучване (</w:t>
      </w:r>
      <w:r w:rsidRPr="00EC0908">
        <w:rPr>
          <w:rFonts w:eastAsia="Times New Roman" w:cs="Arial"/>
          <w:color w:val="000000"/>
          <w:lang w:val="en-US"/>
        </w:rPr>
        <w:t>n</w:t>
      </w:r>
      <w:r w:rsidRPr="00EC0908">
        <w:rPr>
          <w:rFonts w:eastAsia="Times New Roman" w:cs="Arial"/>
          <w:color w:val="000000"/>
          <w:lang w:eastAsia="bg-BG"/>
        </w:rPr>
        <w:t>=176, 97 от мъжки пол и 79 от женски пол), последвано от 40-седмично (</w:t>
      </w:r>
      <w:r w:rsidRPr="00EC0908">
        <w:rPr>
          <w:rFonts w:eastAsia="Times New Roman" w:cs="Arial"/>
          <w:color w:val="000000"/>
          <w:lang w:val="en-US"/>
        </w:rPr>
        <w:t>n</w:t>
      </w:r>
      <w:r w:rsidRPr="00EC0908">
        <w:rPr>
          <w:rFonts w:eastAsia="Times New Roman" w:cs="Arial"/>
          <w:color w:val="000000"/>
          <w:lang w:val="ru-RU"/>
        </w:rPr>
        <w:t xml:space="preserve">=173, 96 </w:t>
      </w:r>
      <w:r w:rsidRPr="00EC0908">
        <w:rPr>
          <w:rFonts w:eastAsia="Times New Roman" w:cs="Arial"/>
          <w:color w:val="000000"/>
          <w:lang w:eastAsia="bg-BG"/>
        </w:rPr>
        <w:t>от мъжки пол и 77 от женски пол), открито, фаза титриране на дозата на розувастатин пациенти на</w:t>
      </w:r>
      <w:r w:rsidRPr="00EC0908">
        <w:rPr>
          <w:rFonts w:eastAsia="Times New Roman" w:cs="Arial"/>
          <w:color w:val="000000"/>
          <w:lang w:val="ru-RU" w:eastAsia="bg-BG"/>
        </w:rPr>
        <w:t xml:space="preserve"> </w:t>
      </w:r>
      <w:r w:rsidRPr="00EC0908">
        <w:rPr>
          <w:rFonts w:eastAsia="Times New Roman" w:cs="Arial"/>
          <w:color w:val="000000"/>
          <w:lang w:eastAsia="bg-BG"/>
        </w:rPr>
        <w:t xml:space="preserve">възраст 10-17 години (стадий </w:t>
      </w:r>
      <w:r w:rsidRPr="00EC0908">
        <w:rPr>
          <w:rFonts w:eastAsia="Times New Roman" w:cs="Arial"/>
          <w:color w:val="000000"/>
          <w:lang w:val="en-US"/>
        </w:rPr>
        <w:t>II</w:t>
      </w:r>
      <w:r w:rsidRPr="00EC0908">
        <w:rPr>
          <w:rFonts w:eastAsia="Times New Roman" w:cs="Arial"/>
          <w:color w:val="000000"/>
          <w:lang w:val="ru-RU"/>
        </w:rPr>
        <w:t>-</w:t>
      </w:r>
      <w:r w:rsidRPr="00EC0908">
        <w:rPr>
          <w:rFonts w:eastAsia="Times New Roman" w:cs="Arial"/>
          <w:color w:val="000000"/>
          <w:lang w:val="en-US"/>
        </w:rPr>
        <w:t>IV</w:t>
      </w:r>
      <w:r w:rsidRPr="00EC0908">
        <w:rPr>
          <w:rFonts w:eastAsia="Times New Roman" w:cs="Arial"/>
          <w:color w:val="000000"/>
          <w:lang w:val="ru-RU"/>
        </w:rPr>
        <w:t xml:space="preserve"> </w:t>
      </w:r>
      <w:r w:rsidRPr="00EC0908">
        <w:rPr>
          <w:rFonts w:eastAsia="Times New Roman" w:cs="Arial"/>
          <w:color w:val="000000"/>
          <w:lang w:eastAsia="bg-BG"/>
        </w:rPr>
        <w:t xml:space="preserve">по Танер, момичета поне 1 година след началото на менструацията) с хетерозиготна фамилна хиперхолестеролемия са получавали розувастатин 5, 10 или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или плацебо дневно за 12 седмици и след това всички са получавали розувастатин дневно за 40 седмици. В началото на проучването приблизително 30% от пациентите са били 10-13 годишни и приблизително 17%, 18%, 40% и 25% са били в стадии II, </w:t>
      </w:r>
      <w:r w:rsidRPr="00EC0908">
        <w:rPr>
          <w:rFonts w:eastAsia="Times New Roman" w:cs="Arial"/>
          <w:color w:val="000000"/>
          <w:lang w:val="en-US"/>
        </w:rPr>
        <w:t>III</w:t>
      </w:r>
      <w:r w:rsidRPr="00EC0908">
        <w:rPr>
          <w:rFonts w:eastAsia="Times New Roman" w:cs="Arial"/>
          <w:color w:val="000000"/>
          <w:lang w:val="ru-RU"/>
        </w:rPr>
        <w:t xml:space="preserve">, </w:t>
      </w:r>
      <w:r w:rsidRPr="00EC0908">
        <w:rPr>
          <w:rFonts w:eastAsia="Times New Roman" w:cs="Arial"/>
          <w:color w:val="000000"/>
          <w:lang w:eastAsia="bg-BG"/>
        </w:rPr>
        <w:t>IV и V по Танер, съответно.</w:t>
      </w:r>
    </w:p>
    <w:p w14:paraId="5B484224" w14:textId="77777777" w:rsidR="00EC0908" w:rsidRDefault="00EC0908" w:rsidP="00EC0908">
      <w:pPr>
        <w:spacing w:line="240" w:lineRule="auto"/>
        <w:rPr>
          <w:rFonts w:eastAsia="Times New Roman" w:cs="Arial"/>
          <w:color w:val="000000"/>
          <w:lang w:val="en-US"/>
        </w:rPr>
      </w:pPr>
    </w:p>
    <w:p w14:paraId="48A23230" w14:textId="73A9FC7D" w:rsidR="00EC0908" w:rsidRPr="00EC0908" w:rsidRDefault="00EC0908" w:rsidP="00EC0908">
      <w:pPr>
        <w:spacing w:line="240" w:lineRule="auto"/>
        <w:rPr>
          <w:rFonts w:eastAsia="Times New Roman" w:cs="Arial"/>
        </w:rPr>
      </w:pPr>
      <w:r w:rsidRPr="00EC0908">
        <w:rPr>
          <w:rFonts w:eastAsia="Times New Roman" w:cs="Arial"/>
          <w:color w:val="000000"/>
          <w:lang w:val="en-US"/>
        </w:rPr>
        <w:t>LDL</w:t>
      </w:r>
      <w:r w:rsidRPr="00EC0908">
        <w:rPr>
          <w:rFonts w:eastAsia="Times New Roman" w:cs="Arial"/>
          <w:color w:val="000000"/>
          <w:lang w:eastAsia="bg-BG"/>
        </w:rPr>
        <w:t xml:space="preserve">-холестеролът е бил понижен 38,3%, 44,6% и 50,0% от розувастатин 5, 10 и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съответно, в сравнение с 0,7% за плацебо.</w:t>
      </w:r>
    </w:p>
    <w:p w14:paraId="6D3D2A35" w14:textId="77777777" w:rsidR="00EC0908" w:rsidRDefault="00EC0908" w:rsidP="00EC0908">
      <w:pPr>
        <w:spacing w:line="240" w:lineRule="auto"/>
        <w:rPr>
          <w:rFonts w:eastAsia="Times New Roman" w:cs="Arial"/>
          <w:color w:val="000000"/>
          <w:lang w:eastAsia="bg-BG"/>
        </w:rPr>
      </w:pPr>
    </w:p>
    <w:p w14:paraId="116C464A" w14:textId="7E1E58AF"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края на 40-седмичното, открито, целящо хитруване проучване, дозиране до максимум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веднъж дневно, 70 от 173 пациенти (40,5)% са постигнали постигнали целта за </w:t>
      </w:r>
      <w:r w:rsidRPr="00EC0908">
        <w:rPr>
          <w:rFonts w:eastAsia="Times New Roman" w:cs="Arial"/>
          <w:color w:val="000000"/>
          <w:lang w:val="en-US"/>
        </w:rPr>
        <w:t>LDL</w:t>
      </w:r>
      <w:r w:rsidRPr="00EC0908">
        <w:rPr>
          <w:rFonts w:eastAsia="Times New Roman" w:cs="Arial"/>
          <w:color w:val="000000"/>
          <w:lang w:eastAsia="bg-BG"/>
        </w:rPr>
        <w:t xml:space="preserve">-холестерол от по-малко от 2,8 </w:t>
      </w:r>
      <w:proofErr w:type="spellStart"/>
      <w:r w:rsidRPr="00EC0908">
        <w:rPr>
          <w:rFonts w:eastAsia="Times New Roman" w:cs="Arial"/>
          <w:color w:val="000000"/>
          <w:lang w:val="en-US"/>
        </w:rPr>
        <w:t>mmol</w:t>
      </w:r>
      <w:proofErr w:type="spellEnd"/>
      <w:r w:rsidRPr="00EC0908">
        <w:rPr>
          <w:rFonts w:eastAsia="Times New Roman" w:cs="Arial"/>
          <w:color w:val="000000"/>
          <w:lang w:val="ru-RU"/>
        </w:rPr>
        <w:t>/</w:t>
      </w:r>
      <w:r w:rsidRPr="00EC0908">
        <w:rPr>
          <w:rFonts w:eastAsia="Times New Roman" w:cs="Arial"/>
          <w:color w:val="000000"/>
          <w:lang w:val="en-US"/>
        </w:rPr>
        <w:t>l</w:t>
      </w:r>
    </w:p>
    <w:p w14:paraId="4D5785FB" w14:textId="77777777" w:rsidR="00EC0908" w:rsidRDefault="00EC0908" w:rsidP="00EC0908">
      <w:pPr>
        <w:spacing w:line="240" w:lineRule="auto"/>
        <w:rPr>
          <w:rFonts w:eastAsia="Times New Roman" w:cs="Arial"/>
          <w:color w:val="000000"/>
          <w:lang w:eastAsia="bg-BG"/>
        </w:rPr>
      </w:pPr>
    </w:p>
    <w:p w14:paraId="01D1391D" w14:textId="5E891E2D"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След 52 седмици на изследваното лечение, не беше установен никакъв ефект върху растежа, теглото, </w:t>
      </w:r>
      <w:r w:rsidRPr="00EC0908">
        <w:rPr>
          <w:rFonts w:eastAsia="Times New Roman" w:cs="Arial"/>
          <w:color w:val="000000"/>
          <w:lang w:val="en-US"/>
        </w:rPr>
        <w:t>BMI</w:t>
      </w:r>
      <w:r w:rsidRPr="00EC0908">
        <w:rPr>
          <w:rFonts w:eastAsia="Times New Roman" w:cs="Arial"/>
          <w:color w:val="000000"/>
          <w:lang w:val="ru-RU"/>
        </w:rPr>
        <w:t xml:space="preserve"> </w:t>
      </w:r>
      <w:r w:rsidRPr="00EC0908">
        <w:rPr>
          <w:rFonts w:eastAsia="Times New Roman" w:cs="Arial"/>
          <w:color w:val="000000"/>
          <w:lang w:eastAsia="bg-BG"/>
        </w:rPr>
        <w:t>или половото съзряване (вж. точка 4.4). Това проучване (</w:t>
      </w:r>
      <w:r w:rsidRPr="00EC0908">
        <w:rPr>
          <w:rFonts w:eastAsia="Times New Roman" w:cs="Arial"/>
          <w:color w:val="000000"/>
          <w:lang w:val="en-US"/>
        </w:rPr>
        <w:t>n</w:t>
      </w:r>
      <w:r w:rsidRPr="00EC0908">
        <w:rPr>
          <w:rFonts w:eastAsia="Times New Roman" w:cs="Arial"/>
          <w:color w:val="000000"/>
          <w:lang w:eastAsia="bg-BG"/>
        </w:rPr>
        <w:t>=176) не беше предназначено за сравняване на редки нежелани лекарствени реакции.</w:t>
      </w:r>
    </w:p>
    <w:p w14:paraId="0A1B1532" w14:textId="77777777" w:rsidR="00EC0908" w:rsidRDefault="00EC0908" w:rsidP="00EC0908">
      <w:pPr>
        <w:spacing w:line="240" w:lineRule="auto"/>
        <w:rPr>
          <w:rFonts w:eastAsia="Times New Roman" w:cs="Arial"/>
          <w:color w:val="000000"/>
          <w:lang w:eastAsia="bg-BG"/>
        </w:rPr>
      </w:pPr>
    </w:p>
    <w:p w14:paraId="5288B1CD" w14:textId="31BBBBA9" w:rsidR="00EC0908" w:rsidRPr="00EC0908" w:rsidRDefault="00EC0908" w:rsidP="00EC0908">
      <w:pPr>
        <w:spacing w:line="240" w:lineRule="auto"/>
        <w:rPr>
          <w:rFonts w:eastAsia="Times New Roman" w:cs="Arial"/>
        </w:rPr>
      </w:pPr>
      <w:r w:rsidRPr="00EC0908">
        <w:rPr>
          <w:rFonts w:eastAsia="Times New Roman" w:cs="Arial"/>
          <w:color w:val="000000"/>
          <w:lang w:eastAsia="bg-BG"/>
        </w:rPr>
        <w:t>Розувастатин е проучван също в едно 2-годишно открито клинично проучване с титриране на дозата до желаната доза при 198 деца с хетерозиготна фамилна хиперхолестеролемия на възраст 6 до 17 години (88 момчета и 110 момичета, стадий по Танер &lt;</w:t>
      </w:r>
      <w:r w:rsidRPr="00EC0908">
        <w:rPr>
          <w:rFonts w:eastAsia="Times New Roman" w:cs="Arial"/>
          <w:color w:val="000000"/>
          <w:lang w:val="en-US"/>
        </w:rPr>
        <w:t>II</w:t>
      </w:r>
      <w:r w:rsidRPr="00EC0908">
        <w:rPr>
          <w:rFonts w:eastAsia="Times New Roman" w:cs="Arial"/>
          <w:color w:val="000000"/>
          <w:lang w:eastAsia="bg-BG"/>
        </w:rPr>
        <w:t xml:space="preserve">-V). Началната доза при всички пациенти е 5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розувастатин веднъж дневно. При пациентите на възраст 6 до 9 години (</w:t>
      </w:r>
      <w:r w:rsidRPr="00EC0908">
        <w:rPr>
          <w:rFonts w:eastAsia="Times New Roman" w:cs="Arial"/>
          <w:color w:val="000000"/>
          <w:lang w:val="en-US"/>
        </w:rPr>
        <w:t>n</w:t>
      </w:r>
      <w:r w:rsidRPr="00EC0908">
        <w:rPr>
          <w:rFonts w:eastAsia="Times New Roman" w:cs="Arial"/>
          <w:color w:val="000000"/>
          <w:lang w:eastAsia="bg-BG"/>
        </w:rPr>
        <w:t xml:space="preserve">=64) дозата може да се титрира до максимална доза 10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веднъж дневно, а при пациенти на възраст 10 до 17 години (</w:t>
      </w:r>
      <w:r w:rsidRPr="00EC0908">
        <w:rPr>
          <w:rFonts w:eastAsia="Times New Roman" w:cs="Arial"/>
          <w:color w:val="000000"/>
          <w:lang w:val="en-US"/>
        </w:rPr>
        <w:t>n</w:t>
      </w:r>
      <w:r w:rsidRPr="00EC0908">
        <w:rPr>
          <w:rFonts w:eastAsia="Times New Roman" w:cs="Arial"/>
          <w:color w:val="000000"/>
          <w:lang w:eastAsia="bg-BG"/>
        </w:rPr>
        <w:t xml:space="preserve">=134) до максимална доза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веднъж дневно.</w:t>
      </w:r>
    </w:p>
    <w:p w14:paraId="1F436B00" w14:textId="77777777" w:rsidR="00EC0908" w:rsidRDefault="00EC0908" w:rsidP="00EC0908">
      <w:pPr>
        <w:spacing w:line="240" w:lineRule="auto"/>
        <w:rPr>
          <w:rFonts w:eastAsia="Times New Roman" w:cs="Arial"/>
          <w:color w:val="000000"/>
          <w:lang w:eastAsia="bg-BG"/>
        </w:rPr>
      </w:pPr>
    </w:p>
    <w:p w14:paraId="07DF2244" w14:textId="163235B7" w:rsidR="00EC0908" w:rsidRDefault="00EC0908" w:rsidP="00EC0908">
      <w:pPr>
        <w:spacing w:line="240" w:lineRule="auto"/>
        <w:rPr>
          <w:rFonts w:eastAsia="Times New Roman" w:cs="Arial"/>
          <w:color w:val="000000"/>
          <w:lang w:val="ru-RU"/>
        </w:rPr>
      </w:pPr>
      <w:r w:rsidRPr="00EC0908">
        <w:rPr>
          <w:rFonts w:eastAsia="Times New Roman" w:cs="Arial"/>
          <w:color w:val="000000"/>
          <w:lang w:eastAsia="bg-BG"/>
        </w:rPr>
        <w:t xml:space="preserve">След 24 месеца на лечение с розувастатин, </w:t>
      </w:r>
      <w:r w:rsidRPr="00EC0908">
        <w:rPr>
          <w:rFonts w:eastAsia="Times New Roman" w:cs="Arial"/>
          <w:color w:val="000000"/>
          <w:lang w:val="en-US"/>
        </w:rPr>
        <w:t>LS</w:t>
      </w:r>
      <w:r w:rsidRPr="00EC0908">
        <w:rPr>
          <w:rFonts w:eastAsia="Times New Roman" w:cs="Arial"/>
          <w:color w:val="000000"/>
          <w:lang w:val="ru-RU"/>
        </w:rPr>
        <w:t xml:space="preserve"> </w:t>
      </w:r>
      <w:r w:rsidRPr="00EC0908">
        <w:rPr>
          <w:rFonts w:eastAsia="Times New Roman" w:cs="Arial"/>
          <w:color w:val="000000"/>
          <w:lang w:eastAsia="bg-BG"/>
        </w:rPr>
        <w:t xml:space="preserve">на средния процент на намаление на </w:t>
      </w:r>
      <w:r w:rsidRPr="00EC0908">
        <w:rPr>
          <w:rFonts w:eastAsia="Times New Roman" w:cs="Arial"/>
          <w:color w:val="000000"/>
          <w:lang w:val="en-US"/>
        </w:rPr>
        <w:t>LDL</w:t>
      </w:r>
      <w:r w:rsidRPr="00EC0908">
        <w:rPr>
          <w:rFonts w:eastAsia="Times New Roman" w:cs="Arial"/>
          <w:color w:val="000000"/>
          <w:lang w:val="ru-RU"/>
        </w:rPr>
        <w:t>-</w:t>
      </w:r>
    </w:p>
    <w:p w14:paraId="6119DC04" w14:textId="4C08C7A0" w:rsidR="00EC0908" w:rsidRPr="00EC0908" w:rsidRDefault="00EC0908" w:rsidP="00EC0908">
      <w:pPr>
        <w:spacing w:line="240" w:lineRule="auto"/>
        <w:rPr>
          <w:rFonts w:eastAsia="Times New Roman" w:cs="Arial"/>
        </w:rPr>
      </w:pP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спрямо изходната стойност е -43% (изходно ниво: 236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месец 24: 133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За всяка възрастова група, </w:t>
      </w:r>
      <w:r w:rsidRPr="00EC0908">
        <w:rPr>
          <w:rFonts w:eastAsia="Times New Roman" w:cs="Arial"/>
          <w:color w:val="000000"/>
          <w:lang w:val="en-US"/>
        </w:rPr>
        <w:t>LS</w:t>
      </w:r>
      <w:r w:rsidRPr="00EC0908">
        <w:rPr>
          <w:rFonts w:eastAsia="Times New Roman" w:cs="Arial"/>
          <w:color w:val="000000"/>
          <w:lang w:val="ru-RU"/>
        </w:rPr>
        <w:t xml:space="preserve"> </w:t>
      </w:r>
      <w:r w:rsidRPr="00EC0908">
        <w:rPr>
          <w:rFonts w:eastAsia="Times New Roman" w:cs="Arial"/>
          <w:color w:val="000000"/>
          <w:lang w:eastAsia="bg-BG"/>
        </w:rPr>
        <w:t xml:space="preserve">на средния процент на намаление на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спрямо изходната стойност е -43% (изходно ниво: 234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месец 24: 124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-45% (изходно ниво: 234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124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и -35% (изходно ниво: 241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 xml:space="preserve">месец 24: 153 </w:t>
      </w:r>
      <w:r w:rsidRPr="00EC0908">
        <w:rPr>
          <w:rFonts w:eastAsia="Times New Roman" w:cs="Arial"/>
          <w:color w:val="000000"/>
          <w:lang w:val="en-US"/>
        </w:rPr>
        <w:t>mg</w:t>
      </w:r>
      <w:r w:rsidRPr="00EC0908">
        <w:rPr>
          <w:rFonts w:eastAsia="Times New Roman" w:cs="Arial"/>
          <w:color w:val="000000"/>
          <w:lang w:val="ru-RU"/>
        </w:rPr>
        <w:t>/</w:t>
      </w:r>
      <w:r w:rsidRPr="00EC0908">
        <w:rPr>
          <w:rFonts w:eastAsia="Times New Roman" w:cs="Arial"/>
          <w:color w:val="000000"/>
          <w:lang w:val="en-US"/>
        </w:rPr>
        <w:t>dl</w:t>
      </w:r>
      <w:r w:rsidRPr="00EC0908">
        <w:rPr>
          <w:rFonts w:eastAsia="Times New Roman" w:cs="Arial"/>
          <w:color w:val="000000"/>
          <w:lang w:val="ru-RU"/>
        </w:rPr>
        <w:t xml:space="preserve">) </w:t>
      </w:r>
      <w:r w:rsidRPr="00EC0908">
        <w:rPr>
          <w:rFonts w:eastAsia="Times New Roman" w:cs="Arial"/>
          <w:color w:val="000000"/>
          <w:lang w:eastAsia="bg-BG"/>
        </w:rPr>
        <w:t>във възрастовите групи 6 до &lt;10, 10 до &lt;14 и 14 до &lt;18 съответно.</w:t>
      </w:r>
    </w:p>
    <w:p w14:paraId="78F6FB95" w14:textId="77777777" w:rsidR="00EC0908" w:rsidRDefault="00EC0908" w:rsidP="00EC0908">
      <w:pPr>
        <w:spacing w:line="240" w:lineRule="auto"/>
        <w:rPr>
          <w:rFonts w:eastAsia="Times New Roman" w:cs="Arial"/>
          <w:color w:val="000000"/>
          <w:lang w:eastAsia="bg-BG"/>
        </w:rPr>
      </w:pPr>
    </w:p>
    <w:p w14:paraId="381A6E6E" w14:textId="786C9758" w:rsidR="00EC0908" w:rsidRPr="00EC0908" w:rsidRDefault="00EC0908" w:rsidP="00EC0908">
      <w:pPr>
        <w:spacing w:line="240" w:lineRule="auto"/>
        <w:rPr>
          <w:rFonts w:eastAsia="Times New Roman" w:cs="Arial"/>
        </w:rPr>
      </w:pPr>
      <w:r w:rsidRPr="00EC0908">
        <w:rPr>
          <w:rFonts w:eastAsia="Times New Roman" w:cs="Arial"/>
          <w:color w:val="000000"/>
          <w:lang w:eastAsia="bg-BG"/>
        </w:rPr>
        <w:lastRenderedPageBreak/>
        <w:t xml:space="preserve">Розувастатин 5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10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и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липопротеините: </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ТС, не</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 xml:space="preserve">- </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val="en-US"/>
        </w:rPr>
        <w:t>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val="en-US"/>
        </w:rPr>
        <w:t>TG</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не </w:t>
      </w:r>
      <w:r w:rsidRPr="00EC0908">
        <w:rPr>
          <w:rFonts w:eastAsia="Times New Roman" w:cs="Arial"/>
          <w:color w:val="000000"/>
          <w:lang w:val="en-US"/>
        </w:rPr>
        <w:t>HDL</w:t>
      </w:r>
      <w:r w:rsidRPr="00EC0908">
        <w:rPr>
          <w:rFonts w:eastAsia="Times New Roman" w:cs="Arial"/>
          <w:color w:val="000000"/>
          <w:lang w:val="ru-RU"/>
        </w:rPr>
        <w:t xml:space="preserve"> </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АроВ, АроВ/АроА-1. Всяка от тези промени е в посока на подобрен липиден отговор и се поддържа в продължение на 2 години.</w:t>
      </w:r>
    </w:p>
    <w:p w14:paraId="690B37CB"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p>
    <w:p w14:paraId="4BACA51C" w14:textId="77777777" w:rsidR="00EC0908" w:rsidRDefault="00EC0908" w:rsidP="00EC0908">
      <w:pPr>
        <w:spacing w:line="240" w:lineRule="auto"/>
        <w:rPr>
          <w:rFonts w:eastAsia="Times New Roman" w:cs="Arial"/>
          <w:color w:val="000000"/>
          <w:lang w:eastAsia="bg-BG"/>
        </w:rPr>
      </w:pPr>
    </w:p>
    <w:p w14:paraId="6E684BAC" w14:textId="361E83A2"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Розувастатин е проучен в рандомизирано, двойносляпо, плацебо-контродирано, многоцентрово, кръстосано проучване с доза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веднъж дневно, спрямо плацебо при 14 деца и юноши (на възраст 6 до 17 години) с хомозиготна фамилна хиперхолестеролемия. Проуването включва активна 4- седмична встъпителна фаза на диета, по време на която пациентите са лекувани с розувастатин 10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една кръстосана фаза, която включва период от 6-седмично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предшествана или последвана от 6-седмично лечение с плацебо и поддържащата 12-седмична фаза, през която всички пациенти са лекувани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Пациентите, които постъпват в проучването на терапия с езетимиб или афереза, продължават лечението си през целия период на проучването.</w:t>
      </w:r>
    </w:p>
    <w:p w14:paraId="71E6DEF6" w14:textId="77777777" w:rsidR="00EC0908" w:rsidRDefault="00EC0908" w:rsidP="00EC0908">
      <w:pPr>
        <w:spacing w:line="240" w:lineRule="auto"/>
        <w:rPr>
          <w:rFonts w:eastAsia="Times New Roman" w:cs="Arial"/>
          <w:color w:val="000000"/>
          <w:lang w:eastAsia="bg-BG"/>
        </w:rPr>
      </w:pPr>
    </w:p>
    <w:p w14:paraId="322BF906" w14:textId="3946F30C"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Статистически сигнификантно (р=0,005) и клинично значимо намаление на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(22,3 %, 85,4 </w:t>
      </w:r>
      <w:r w:rsidRPr="00EC0908">
        <w:rPr>
          <w:rFonts w:eastAsia="Times New Roman" w:cs="Arial"/>
          <w:color w:val="000000"/>
          <w:lang w:val="en-US"/>
        </w:rPr>
        <w:t>mg</w:t>
      </w:r>
      <w:r w:rsidRPr="00EC0908">
        <w:rPr>
          <w:rFonts w:eastAsia="Times New Roman" w:cs="Arial"/>
          <w:color w:val="000000"/>
          <w:lang w:val="ru-RU"/>
        </w:rPr>
        <w:t>/</w:t>
      </w:r>
      <w:proofErr w:type="spellStart"/>
      <w:r w:rsidRPr="00EC0908">
        <w:rPr>
          <w:rFonts w:eastAsia="Times New Roman" w:cs="Arial"/>
          <w:color w:val="000000"/>
          <w:lang w:val="en-US"/>
        </w:rPr>
        <w:t>dL</w:t>
      </w:r>
      <w:proofErr w:type="spellEnd"/>
      <w:r w:rsidRPr="00EC0908">
        <w:rPr>
          <w:rFonts w:eastAsia="Times New Roman" w:cs="Arial"/>
          <w:color w:val="000000"/>
          <w:lang w:val="ru-RU"/>
        </w:rPr>
        <w:t xml:space="preserve"> </w:t>
      </w:r>
      <w:r w:rsidRPr="00EC0908">
        <w:rPr>
          <w:rFonts w:eastAsia="Times New Roman" w:cs="Arial"/>
          <w:color w:val="000000"/>
          <w:lang w:eastAsia="bg-BG"/>
        </w:rPr>
        <w:t xml:space="preserve">или 2,2 </w:t>
      </w:r>
      <w:proofErr w:type="spellStart"/>
      <w:r w:rsidRPr="00EC0908">
        <w:rPr>
          <w:rFonts w:eastAsia="Times New Roman" w:cs="Arial"/>
          <w:color w:val="000000"/>
          <w:lang w:val="en-US"/>
        </w:rPr>
        <w:t>mmol</w:t>
      </w:r>
      <w:proofErr w:type="spellEnd"/>
      <w:r w:rsidRPr="00EC0908">
        <w:rPr>
          <w:rFonts w:eastAsia="Times New Roman" w:cs="Arial"/>
          <w:color w:val="000000"/>
          <w:lang w:val="ru-RU"/>
        </w:rPr>
        <w:t>/</w:t>
      </w:r>
      <w:r w:rsidRPr="00EC0908">
        <w:rPr>
          <w:rFonts w:eastAsia="Times New Roman" w:cs="Arial"/>
          <w:color w:val="000000"/>
          <w:lang w:val="en-US"/>
        </w:rPr>
        <w:t>L</w:t>
      </w:r>
      <w:r w:rsidRPr="00EC0908">
        <w:rPr>
          <w:rFonts w:eastAsia="Times New Roman" w:cs="Arial"/>
          <w:color w:val="000000"/>
          <w:lang w:val="ru-RU"/>
        </w:rPr>
        <w:t xml:space="preserve">) </w:t>
      </w:r>
      <w:r w:rsidRPr="00EC0908">
        <w:rPr>
          <w:rFonts w:eastAsia="Times New Roman" w:cs="Arial"/>
          <w:color w:val="000000"/>
          <w:lang w:eastAsia="bg-BG"/>
        </w:rPr>
        <w:t xml:space="preserve">се наблюдава след 6 седмици на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 сравнение с плацебо при деца и юноши с хомозиготна фамилна хиперхолестеролемия.</w:t>
      </w:r>
    </w:p>
    <w:p w14:paraId="5BFD389D"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Статистически значими намаления на общия холестерол (20,1 %, р=0,003), не</w:t>
      </w:r>
      <w:r w:rsidRPr="00EC0908">
        <w:rPr>
          <w:rFonts w:eastAsia="Times New Roman" w:cs="Arial"/>
          <w:smallCaps/>
          <w:color w:val="000000"/>
          <w:lang w:val="en-US"/>
        </w:rPr>
        <w:t>HDL</w:t>
      </w:r>
      <w:r w:rsidRPr="00EC0908">
        <w:rPr>
          <w:rFonts w:eastAsia="Times New Roman" w:cs="Arial"/>
          <w:smallCaps/>
          <w:color w:val="000000"/>
          <w:lang w:val="ru-RU"/>
        </w:rPr>
        <w:t>-</w:t>
      </w:r>
      <w:r w:rsidRPr="00EC0908">
        <w:rPr>
          <w:rFonts w:eastAsia="Times New Roman" w:cs="Arial"/>
          <w:smallCaps/>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(22,9%, р=0,003) и АроВ (17,1%, р=0,024), са наблюдавани след 6 седмици на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в сравнение с плацебо при деца и юноши с хомозиготна фамилна хиперхолестеролемия.</w:t>
      </w:r>
    </w:p>
    <w:p w14:paraId="3FFFC9CB" w14:textId="77777777" w:rsidR="00EC0908" w:rsidRPr="00EC0908" w:rsidRDefault="00EC0908" w:rsidP="00EC0908">
      <w:pPr>
        <w:rPr>
          <w:rFonts w:eastAsia="Times New Roman" w:cs="Arial"/>
        </w:rPr>
      </w:pPr>
      <w:r w:rsidRPr="00EC0908">
        <w:rPr>
          <w:rFonts w:eastAsia="Times New Roman" w:cs="Arial"/>
          <w:color w:val="000000"/>
          <w:lang w:eastAsia="bg-BG"/>
        </w:rPr>
        <w:t xml:space="preserve">Понижение също се наблюдава при триглицеридите, съотношенията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общ </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proofErr w:type="spellStart"/>
      <w:r w:rsidRPr="00EC0908">
        <w:rPr>
          <w:rFonts w:eastAsia="Times New Roman" w:cs="Arial"/>
          <w:color w:val="000000"/>
          <w:lang w:val="en-US"/>
        </w:rPr>
        <w:t>HeHDL</w:t>
      </w:r>
      <w:proofErr w:type="spellEnd"/>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w:t>
      </w:r>
      <w:r w:rsidRPr="00EC0908">
        <w:rPr>
          <w:rFonts w:eastAsia="Times New Roman" w:cs="Arial"/>
          <w:color w:val="000000"/>
          <w:lang w:val="en-US"/>
        </w:rPr>
        <w:t>HDL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и АроВ/АроА-1 след 6 седмици на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 xml:space="preserve">в сравнение с плацебо при деца и юноши. Намалението на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след 6 седмици на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последвано от 6 седмици на лечение с плацебо, се запазва в рамките на 12-седмично непрекъснато лечение при деца и юноши с хомозиготна фамилна хиперхолестеролемия.</w:t>
      </w:r>
    </w:p>
    <w:p w14:paraId="4D8A06EE" w14:textId="77777777" w:rsidR="00EC0908" w:rsidRDefault="00EC0908" w:rsidP="00EC0908">
      <w:pPr>
        <w:spacing w:line="240" w:lineRule="auto"/>
        <w:rPr>
          <w:rFonts w:eastAsia="Times New Roman" w:cs="Arial"/>
          <w:color w:val="000000"/>
          <w:lang w:eastAsia="bg-BG"/>
        </w:rPr>
      </w:pPr>
    </w:p>
    <w:p w14:paraId="52ED5287" w14:textId="536B1178"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(вж. по-горе), процентното понижение на </w:t>
      </w:r>
      <w:r w:rsidRPr="00EC0908">
        <w:rPr>
          <w:rFonts w:eastAsia="Times New Roman" w:cs="Arial"/>
          <w:color w:val="000000"/>
          <w:lang w:val="en-US"/>
        </w:rPr>
        <w:t>LDL</w:t>
      </w:r>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(21,0 %), общ С (19,2 %) и </w:t>
      </w:r>
      <w:proofErr w:type="spellStart"/>
      <w:r w:rsidRPr="00EC0908">
        <w:rPr>
          <w:rFonts w:eastAsia="Times New Roman" w:cs="Arial"/>
          <w:color w:val="000000"/>
          <w:lang w:val="en-US"/>
        </w:rPr>
        <w:t>HeHDL</w:t>
      </w:r>
      <w:proofErr w:type="spellEnd"/>
      <w:r w:rsidRPr="00EC0908">
        <w:rPr>
          <w:rFonts w:eastAsia="Times New Roman" w:cs="Arial"/>
          <w:color w:val="000000"/>
          <w:lang w:val="ru-RU"/>
        </w:rPr>
        <w:t>-</w:t>
      </w:r>
      <w:r w:rsidRPr="00EC0908">
        <w:rPr>
          <w:rFonts w:eastAsia="Times New Roman" w:cs="Arial"/>
          <w:color w:val="000000"/>
          <w:lang w:val="en-US"/>
        </w:rPr>
        <w:t>C</w:t>
      </w:r>
      <w:r w:rsidRPr="00EC0908">
        <w:rPr>
          <w:rFonts w:eastAsia="Times New Roman" w:cs="Arial"/>
          <w:color w:val="000000"/>
          <w:lang w:val="ru-RU"/>
        </w:rPr>
        <w:t xml:space="preserve"> </w:t>
      </w:r>
      <w:r w:rsidRPr="00EC0908">
        <w:rPr>
          <w:rFonts w:eastAsia="Times New Roman" w:cs="Arial"/>
          <w:color w:val="000000"/>
          <w:lang w:eastAsia="bg-BG"/>
        </w:rPr>
        <w:t xml:space="preserve">(21,0%) от изходното ниво, след 6 седмици на лечение с розувастатин 20 </w:t>
      </w:r>
      <w:r w:rsidRPr="00EC0908">
        <w:rPr>
          <w:rFonts w:eastAsia="Times New Roman" w:cs="Arial"/>
          <w:color w:val="000000"/>
          <w:lang w:val="en-US"/>
        </w:rPr>
        <w:t>mg</w:t>
      </w:r>
      <w:r w:rsidRPr="00EC0908">
        <w:rPr>
          <w:rFonts w:eastAsia="Times New Roman" w:cs="Arial"/>
          <w:color w:val="000000"/>
          <w:lang w:val="ru-RU"/>
        </w:rPr>
        <w:t xml:space="preserve">, </w:t>
      </w:r>
      <w:r w:rsidRPr="00EC0908">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6F4E3A77" w14:textId="77777777" w:rsidR="00EC0908" w:rsidRDefault="00EC0908" w:rsidP="00EC0908">
      <w:pPr>
        <w:spacing w:line="240" w:lineRule="auto"/>
        <w:rPr>
          <w:rFonts w:eastAsia="Times New Roman" w:cs="Arial"/>
          <w:color w:val="000000"/>
          <w:lang w:eastAsia="bg-BG"/>
        </w:rPr>
      </w:pPr>
    </w:p>
    <w:p w14:paraId="57AB14E8" w14:textId="6334E8A3"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Европейската агенция по лекарствата освобождава от задължението за предоставяне на резултатите от проучванията с розувастатин при всички подгрупи от педиатричната популация за лечение на хомозиготна фамилна хиперхолестеролемия, първично комбинирана (смесена) дислипидемия и за профилактика на сърдечно-съдовите събития (вж. точка 4.2 за информация </w:t>
      </w:r>
      <w:r>
        <w:rPr>
          <w:rFonts w:eastAsia="Times New Roman" w:cs="Arial"/>
          <w:color w:val="000000"/>
          <w:lang w:eastAsia="bg-BG"/>
        </w:rPr>
        <w:t>относно употреба в педиатрията).</w:t>
      </w:r>
    </w:p>
    <w:p w14:paraId="5EA962DA" w14:textId="77777777" w:rsidR="00EC0908" w:rsidRPr="00EC0908" w:rsidRDefault="00EC0908" w:rsidP="00EC0908"/>
    <w:p w14:paraId="35F84B81" w14:textId="7FCDA408" w:rsidR="00CF77F7" w:rsidRDefault="002C50EE" w:rsidP="004A448E">
      <w:pPr>
        <w:pStyle w:val="Heading2"/>
      </w:pPr>
      <w:r>
        <w:t>5.2. Фармакокинетични свойства</w:t>
      </w:r>
    </w:p>
    <w:p w14:paraId="0F1AB98D" w14:textId="0F4D0668" w:rsidR="00EC0908" w:rsidRDefault="00EC0908" w:rsidP="00EC0908"/>
    <w:p w14:paraId="3E2C808A" w14:textId="77777777" w:rsidR="00EC0908" w:rsidRPr="00EC0908" w:rsidRDefault="00EC0908" w:rsidP="00EC0908">
      <w:pPr>
        <w:pStyle w:val="Heading3"/>
        <w:rPr>
          <w:rFonts w:eastAsia="Times New Roman"/>
          <w:u w:val="single"/>
        </w:rPr>
      </w:pPr>
      <w:r w:rsidRPr="00EC0908">
        <w:rPr>
          <w:rFonts w:eastAsia="Times New Roman"/>
          <w:u w:val="single"/>
          <w:lang w:eastAsia="bg-BG"/>
        </w:rPr>
        <w:lastRenderedPageBreak/>
        <w:t>Абоорбция</w:t>
      </w:r>
    </w:p>
    <w:p w14:paraId="4C4C1562"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Максимални плазмени нива се достигат 5 часа след перорално приемане. Абсолютната бионаличност е приблизително 20%.</w:t>
      </w:r>
    </w:p>
    <w:p w14:paraId="17241348" w14:textId="77777777" w:rsidR="00EC0908" w:rsidRDefault="00EC0908" w:rsidP="00EC0908">
      <w:pPr>
        <w:spacing w:line="240" w:lineRule="auto"/>
        <w:rPr>
          <w:rFonts w:eastAsia="Times New Roman" w:cs="Arial"/>
          <w:color w:val="000000"/>
          <w:u w:val="single"/>
          <w:lang w:eastAsia="bg-BG"/>
        </w:rPr>
      </w:pPr>
    </w:p>
    <w:p w14:paraId="1DDD35FB" w14:textId="38CC77FE" w:rsidR="00EC0908" w:rsidRPr="00EC0908" w:rsidRDefault="00EC0908" w:rsidP="00EC0908">
      <w:pPr>
        <w:pStyle w:val="Heading3"/>
        <w:rPr>
          <w:rFonts w:eastAsia="Times New Roman"/>
          <w:u w:val="single"/>
        </w:rPr>
      </w:pPr>
      <w:r w:rsidRPr="00EC0908">
        <w:rPr>
          <w:rFonts w:eastAsia="Times New Roman"/>
          <w:u w:val="single"/>
          <w:lang w:eastAsia="bg-BG"/>
        </w:rPr>
        <w:t>Разпределение</w:t>
      </w:r>
    </w:p>
    <w:p w14:paraId="4A6CAECE"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EC0908">
        <w:rPr>
          <w:rFonts w:eastAsia="Times New Roman" w:cs="Arial"/>
          <w:color w:val="000000"/>
          <w:lang w:val="en-US"/>
        </w:rPr>
        <w:t>LDL</w:t>
      </w:r>
      <w:r w:rsidRPr="00EC0908">
        <w:rPr>
          <w:rFonts w:eastAsia="Times New Roman" w:cs="Arial"/>
          <w:color w:val="000000"/>
          <w:lang w:eastAsia="bg-BG"/>
        </w:rPr>
        <w:t>-С. Обемът на разпределение на розувастатин е приблизително 134 1. Розувастатин е свързан с плазмените протеини, предимно албумина, приблизително в 90%.</w:t>
      </w:r>
    </w:p>
    <w:p w14:paraId="1CBD28DD" w14:textId="77777777" w:rsidR="00EC0908" w:rsidRDefault="00EC0908" w:rsidP="00EC0908">
      <w:pPr>
        <w:spacing w:line="240" w:lineRule="auto"/>
        <w:rPr>
          <w:rFonts w:eastAsia="Times New Roman" w:cs="Arial"/>
          <w:color w:val="000000"/>
          <w:u w:val="single"/>
          <w:lang w:eastAsia="bg-BG"/>
        </w:rPr>
      </w:pPr>
    </w:p>
    <w:p w14:paraId="467AFFC2" w14:textId="505D0CB4" w:rsidR="00EC0908" w:rsidRPr="00EC0908" w:rsidRDefault="00EC0908" w:rsidP="00EC0908">
      <w:pPr>
        <w:pStyle w:val="Heading3"/>
        <w:rPr>
          <w:rFonts w:eastAsia="Times New Roman"/>
          <w:u w:val="single"/>
        </w:rPr>
      </w:pPr>
      <w:r w:rsidRPr="00EC0908">
        <w:rPr>
          <w:rFonts w:eastAsia="Times New Roman"/>
          <w:u w:val="single"/>
          <w:lang w:eastAsia="bg-BG"/>
        </w:rPr>
        <w:t>Биотрансформация</w:t>
      </w:r>
    </w:p>
    <w:p w14:paraId="77B29708" w14:textId="68D50CE8"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Метаболизмът на розувастатин е ограничен (около 10%). </w:t>
      </w:r>
      <w:r w:rsidRPr="00EC0908">
        <w:rPr>
          <w:rFonts w:eastAsia="Times New Roman" w:cs="Arial"/>
          <w:i/>
          <w:iCs/>
          <w:color w:val="000000"/>
          <w:lang w:val="en-US"/>
        </w:rPr>
        <w:t>In</w:t>
      </w:r>
      <w:r w:rsidRPr="00EC0908">
        <w:rPr>
          <w:rFonts w:eastAsia="Times New Roman" w:cs="Arial"/>
          <w:i/>
          <w:iCs/>
          <w:color w:val="000000"/>
          <w:lang w:val="ru-RU"/>
        </w:rPr>
        <w:t xml:space="preserve"> </w:t>
      </w:r>
      <w:r w:rsidRPr="00EC0908">
        <w:rPr>
          <w:rFonts w:eastAsia="Times New Roman" w:cs="Arial"/>
          <w:i/>
          <w:iCs/>
          <w:color w:val="000000"/>
          <w:lang w:val="en-US"/>
        </w:rPr>
        <w:t>vitro</w:t>
      </w:r>
      <w:r w:rsidRPr="00EC0908">
        <w:rPr>
          <w:rFonts w:eastAsia="Times New Roman" w:cs="Arial"/>
          <w:color w:val="000000"/>
          <w:lang w:val="ru-RU"/>
        </w:rPr>
        <w:t xml:space="preserve"> </w:t>
      </w:r>
      <w:r w:rsidRPr="00EC0908">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обусловения метаболизъм. </w:t>
      </w:r>
      <w:r w:rsidRPr="00EC0908">
        <w:rPr>
          <w:rFonts w:eastAsia="Times New Roman" w:cs="Arial"/>
          <w:color w:val="000000"/>
          <w:lang w:val="en-US"/>
        </w:rPr>
        <w:t>CYP</w:t>
      </w:r>
      <w:r w:rsidRPr="00EC0908">
        <w:rPr>
          <w:rFonts w:eastAsia="Times New Roman" w:cs="Arial"/>
          <w:color w:val="000000"/>
          <w:lang w:val="ru-RU"/>
        </w:rPr>
        <w:t>2</w:t>
      </w:r>
      <w:r w:rsidRPr="00EC0908">
        <w:rPr>
          <w:rFonts w:eastAsia="Times New Roman" w:cs="Arial"/>
          <w:color w:val="000000"/>
          <w:lang w:val="en-US"/>
        </w:rPr>
        <w:t>C</w:t>
      </w:r>
      <w:r w:rsidRPr="00EC0908">
        <w:rPr>
          <w:rFonts w:eastAsia="Times New Roman" w:cs="Arial"/>
          <w:color w:val="000000"/>
          <w:lang w:val="ru-RU"/>
        </w:rPr>
        <w:t xml:space="preserve">9 </w:t>
      </w:r>
      <w:r w:rsidRPr="00EC0908">
        <w:rPr>
          <w:rFonts w:eastAsia="Times New Roman" w:cs="Arial"/>
          <w:color w:val="000000"/>
          <w:lang w:eastAsia="bg-BG"/>
        </w:rPr>
        <w:t xml:space="preserve">е основният изоензим, който участва в метаболизма на розувастатин, </w:t>
      </w:r>
      <w:r w:rsidRPr="00EC0908">
        <w:rPr>
          <w:rFonts w:eastAsia="Times New Roman" w:cs="Arial"/>
          <w:color w:val="000000"/>
          <w:lang w:val="en-US"/>
        </w:rPr>
        <w:t>a</w:t>
      </w:r>
      <w:r w:rsidRPr="00EC0908">
        <w:rPr>
          <w:rFonts w:eastAsia="Times New Roman" w:cs="Arial"/>
          <w:color w:val="000000"/>
          <w:lang w:val="ru-RU"/>
        </w:rPr>
        <w:t xml:space="preserve"> </w:t>
      </w:r>
      <w:r w:rsidRPr="00EC0908">
        <w:rPr>
          <w:rFonts w:eastAsia="Times New Roman" w:cs="Arial"/>
          <w:color w:val="000000"/>
          <w:lang w:eastAsia="bg-BG"/>
        </w:rPr>
        <w:t xml:space="preserve">2С19, ЗА4 и </w:t>
      </w:r>
      <w:r w:rsidRPr="00EC0908">
        <w:rPr>
          <w:rFonts w:eastAsia="Times New Roman" w:cs="Arial"/>
          <w:color w:val="000000"/>
          <w:lang w:val="ru-RU"/>
        </w:rPr>
        <w:t>2</w:t>
      </w:r>
      <w:r w:rsidRPr="00EC0908">
        <w:rPr>
          <w:rFonts w:eastAsia="Times New Roman" w:cs="Arial"/>
          <w:color w:val="000000"/>
          <w:lang w:val="en-US"/>
        </w:rPr>
        <w:t>D</w:t>
      </w:r>
      <w:r w:rsidRPr="00EC0908">
        <w:rPr>
          <w:rFonts w:eastAsia="Times New Roman" w:cs="Arial"/>
          <w:color w:val="000000"/>
          <w:lang w:val="ru-RU"/>
        </w:rPr>
        <w:t xml:space="preserve">6 </w:t>
      </w:r>
      <w:r w:rsidRPr="00EC0908">
        <w:rPr>
          <w:rFonts w:eastAsia="Times New Roman" w:cs="Arial"/>
          <w:color w:val="000000"/>
          <w:lang w:eastAsia="bg-BG"/>
        </w:rPr>
        <w:t xml:space="preserve">участват в по-малка степен. Основните метаболити са </w:t>
      </w:r>
      <w:r w:rsidRPr="00EC0908">
        <w:rPr>
          <w:rFonts w:eastAsia="Times New Roman" w:cs="Arial"/>
          <w:color w:val="000000"/>
          <w:lang w:val="en-US"/>
        </w:rPr>
        <w:t>N</w:t>
      </w:r>
      <w:r w:rsidRPr="00EC0908">
        <w:rPr>
          <w:rFonts w:eastAsia="Times New Roman" w:cs="Arial"/>
          <w:color w:val="000000"/>
          <w:lang w:eastAsia="bg-BG"/>
        </w:rPr>
        <w:t xml:space="preserve">-десметил и лактон. </w:t>
      </w:r>
      <w:r w:rsidRPr="00EC0908">
        <w:rPr>
          <w:rFonts w:eastAsia="Times New Roman" w:cs="Arial"/>
          <w:color w:val="000000"/>
          <w:lang w:val="en-US"/>
        </w:rPr>
        <w:t>N</w:t>
      </w:r>
      <w:r w:rsidRPr="00EC0908">
        <w:rPr>
          <w:rFonts w:eastAsia="Times New Roman" w:cs="Arial"/>
          <w:color w:val="000000"/>
          <w:lang w:eastAsia="bg-BG"/>
        </w:rPr>
        <w:t xml:space="preserve">-десметил е около 50% по-малко активен в сравнение с розувастатин, докато лактон се счита за клинично неактивен. Розувастатин определя повече от 90% от активността на циркулиращия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инхибитор на редуктазата.</w:t>
      </w:r>
    </w:p>
    <w:p w14:paraId="58E1087E" w14:textId="77777777" w:rsidR="00EC0908" w:rsidRDefault="00EC0908" w:rsidP="00EC0908">
      <w:pPr>
        <w:spacing w:line="240" w:lineRule="auto"/>
        <w:rPr>
          <w:rFonts w:eastAsia="Times New Roman" w:cs="Arial"/>
          <w:color w:val="000000"/>
          <w:u w:val="single"/>
          <w:lang w:eastAsia="bg-BG"/>
        </w:rPr>
      </w:pPr>
    </w:p>
    <w:p w14:paraId="1958FAC8" w14:textId="1FD5671A" w:rsidR="00EC0908" w:rsidRPr="00EC0908" w:rsidRDefault="00EC0908" w:rsidP="00EC0908">
      <w:pPr>
        <w:pStyle w:val="Heading3"/>
        <w:rPr>
          <w:rFonts w:eastAsia="Times New Roman"/>
          <w:u w:val="single"/>
        </w:rPr>
      </w:pPr>
      <w:r w:rsidRPr="00EC0908">
        <w:rPr>
          <w:rFonts w:eastAsia="Times New Roman"/>
          <w:u w:val="single"/>
          <w:lang w:eastAsia="bg-BG"/>
        </w:rPr>
        <w:t>Елиминиране</w:t>
      </w:r>
    </w:p>
    <w:p w14:paraId="05997B4A"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Приблизително 90% от розувастатин се елиминират като непроменено лекарство с фекалиите (абсорбирано и неабсорбирано лекарствено вещество), като останалата част се екскретира с урината. Около 5% се екскретира непроменен в урината. Плазменият полуживот е около 19 часа. Плазменият полуживот не се увеличава с увеличаване на дозата. Средният плазмен клирънс е приблизително 50 литра на час (коефициент на вариабилност 21,7%). Както при други 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0E411881" w14:textId="77777777" w:rsidR="00EC0908" w:rsidRDefault="00EC0908" w:rsidP="00EC0908">
      <w:pPr>
        <w:spacing w:line="240" w:lineRule="auto"/>
        <w:rPr>
          <w:rFonts w:eastAsia="Times New Roman" w:cs="Arial"/>
          <w:color w:val="000000"/>
          <w:u w:val="single"/>
          <w:lang w:eastAsia="bg-BG"/>
        </w:rPr>
      </w:pPr>
    </w:p>
    <w:p w14:paraId="6C1B74EF" w14:textId="4C0F9E84" w:rsidR="00EC0908" w:rsidRPr="00EC0908" w:rsidRDefault="00EC0908" w:rsidP="00EC0908">
      <w:pPr>
        <w:pStyle w:val="Heading3"/>
        <w:rPr>
          <w:rFonts w:eastAsia="Times New Roman"/>
          <w:u w:val="single"/>
        </w:rPr>
      </w:pPr>
      <w:r w:rsidRPr="00EC0908">
        <w:rPr>
          <w:rFonts w:eastAsia="Times New Roman"/>
          <w:u w:val="single"/>
          <w:lang w:eastAsia="bg-BG"/>
        </w:rPr>
        <w:t>Линейност/нелинейност</w:t>
      </w:r>
    </w:p>
    <w:p w14:paraId="7461F7B9"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606FC7E0" w14:textId="77777777" w:rsidR="00EC0908" w:rsidRDefault="00EC0908" w:rsidP="00EC0908">
      <w:pPr>
        <w:spacing w:line="240" w:lineRule="auto"/>
        <w:rPr>
          <w:rFonts w:eastAsia="Times New Roman" w:cs="Arial"/>
          <w:b/>
          <w:bCs/>
          <w:color w:val="000000"/>
          <w:lang w:eastAsia="bg-BG"/>
        </w:rPr>
      </w:pPr>
    </w:p>
    <w:p w14:paraId="6D695AA2" w14:textId="7255CB93" w:rsidR="00EC0908" w:rsidRPr="00EC0908" w:rsidRDefault="00EC0908" w:rsidP="00EC0908">
      <w:pPr>
        <w:spacing w:line="240" w:lineRule="auto"/>
        <w:rPr>
          <w:rFonts w:eastAsia="Times New Roman" w:cs="Arial"/>
        </w:rPr>
      </w:pPr>
      <w:r w:rsidRPr="00EC0908">
        <w:rPr>
          <w:rFonts w:eastAsia="Times New Roman" w:cs="Arial"/>
          <w:b/>
          <w:bCs/>
          <w:color w:val="000000"/>
          <w:lang w:eastAsia="bg-BG"/>
        </w:rPr>
        <w:t>Специфични популации:</w:t>
      </w:r>
    </w:p>
    <w:p w14:paraId="1A89F3B8" w14:textId="77777777" w:rsidR="00EC0908" w:rsidRDefault="00EC0908" w:rsidP="00EC0908">
      <w:pPr>
        <w:spacing w:line="240" w:lineRule="auto"/>
        <w:rPr>
          <w:rFonts w:eastAsia="Times New Roman" w:cs="Arial"/>
          <w:color w:val="000000"/>
          <w:u w:val="single"/>
          <w:lang w:eastAsia="bg-BG"/>
        </w:rPr>
      </w:pPr>
    </w:p>
    <w:p w14:paraId="7DC6DE60" w14:textId="3B53D7C8"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Възраст и пол</w:t>
      </w:r>
    </w:p>
    <w:p w14:paraId="514E0DDF"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Възрастта или полът нямат клинично значим ефект върху фармакокинетиката на розувастатин при възрастни. Фармакокинетиката на розувастатин при деца и юноши с хетерозиготна фамилна хиперхолестеролемия е била сходна с гази на възрастните доброволци (вж. „Педиатрична популация"</w:t>
      </w:r>
      <w:r w:rsidRPr="00EC0908">
        <w:rPr>
          <w:rFonts w:eastAsia="Times New Roman" w:cs="Arial"/>
          <w:color w:val="000000"/>
          <w:vertAlign w:val="superscript"/>
          <w:lang w:eastAsia="bg-BG"/>
        </w:rPr>
        <w:t xml:space="preserve"> </w:t>
      </w:r>
      <w:r w:rsidRPr="00EC0908">
        <w:rPr>
          <w:rFonts w:eastAsia="Times New Roman" w:cs="Arial"/>
          <w:color w:val="000000"/>
          <w:lang w:eastAsia="bg-BG"/>
        </w:rPr>
        <w:t>по-долу).</w:t>
      </w:r>
    </w:p>
    <w:p w14:paraId="6E0C1D83" w14:textId="77777777" w:rsidR="00EC0908" w:rsidRDefault="00EC0908" w:rsidP="00EC0908">
      <w:pPr>
        <w:spacing w:line="240" w:lineRule="auto"/>
        <w:rPr>
          <w:rFonts w:eastAsia="Times New Roman" w:cs="Arial"/>
          <w:color w:val="000000"/>
          <w:u w:val="single"/>
          <w:lang w:eastAsia="bg-BG"/>
        </w:rPr>
      </w:pPr>
    </w:p>
    <w:p w14:paraId="3A770DBC" w14:textId="39578813"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Раса</w:t>
      </w:r>
    </w:p>
    <w:p w14:paraId="3C85A81E"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EC0908">
        <w:rPr>
          <w:rFonts w:eastAsia="Times New Roman" w:cs="Arial"/>
          <w:color w:val="000000"/>
          <w:lang w:val="en-US"/>
        </w:rPr>
        <w:t>AUC</w:t>
      </w:r>
      <w:r w:rsidRPr="00EC0908">
        <w:rPr>
          <w:rFonts w:eastAsia="Times New Roman" w:cs="Arial"/>
          <w:color w:val="000000"/>
          <w:lang w:val="ru-RU"/>
        </w:rPr>
        <w:t xml:space="preserve"> </w:t>
      </w:r>
      <w:r w:rsidRPr="00EC0908">
        <w:rPr>
          <w:rFonts w:eastAsia="Times New Roman" w:cs="Arial"/>
          <w:color w:val="000000"/>
          <w:lang w:eastAsia="bg-BG"/>
        </w:rPr>
        <w:t>и С</w:t>
      </w:r>
      <w:r w:rsidRPr="00EC0908">
        <w:rPr>
          <w:rFonts w:eastAsia="Times New Roman" w:cs="Arial"/>
          <w:color w:val="000000"/>
          <w:vertAlign w:val="subscript"/>
          <w:lang w:val="en-US"/>
        </w:rPr>
        <w:t>max</w:t>
      </w:r>
      <w:r w:rsidRPr="00EC0908">
        <w:rPr>
          <w:rFonts w:eastAsia="Times New Roman" w:cs="Arial"/>
          <w:color w:val="000000"/>
          <w:lang w:eastAsia="bg-BG"/>
        </w:rPr>
        <w:t xml:space="preserve">, в сравнение с индивиди от кавказката раса. При индийци е налице повишаване на </w:t>
      </w:r>
      <w:r w:rsidRPr="00EC0908">
        <w:rPr>
          <w:rFonts w:eastAsia="Times New Roman" w:cs="Arial"/>
          <w:color w:val="000000"/>
          <w:lang w:val="en-US"/>
        </w:rPr>
        <w:t>AUC</w:t>
      </w:r>
      <w:r w:rsidRPr="00EC0908">
        <w:rPr>
          <w:rFonts w:eastAsia="Times New Roman" w:cs="Arial"/>
          <w:color w:val="000000"/>
          <w:lang w:val="ru-RU"/>
        </w:rPr>
        <w:t xml:space="preserve"> </w:t>
      </w:r>
      <w:r w:rsidRPr="00EC0908">
        <w:rPr>
          <w:rFonts w:eastAsia="Times New Roman" w:cs="Arial"/>
          <w:color w:val="000000"/>
          <w:lang w:eastAsia="bg-BG"/>
        </w:rPr>
        <w:t xml:space="preserve">и </w:t>
      </w:r>
      <w:proofErr w:type="spellStart"/>
      <w:r w:rsidRPr="00EC0908">
        <w:rPr>
          <w:rFonts w:eastAsia="Times New Roman" w:cs="Arial"/>
          <w:color w:val="000000"/>
          <w:lang w:val="en-US"/>
        </w:rPr>
        <w:t>C</w:t>
      </w:r>
      <w:r w:rsidRPr="00EC0908">
        <w:rPr>
          <w:rFonts w:eastAsia="Times New Roman" w:cs="Arial"/>
          <w:color w:val="000000"/>
          <w:vertAlign w:val="subscript"/>
          <w:lang w:val="en-US"/>
        </w:rPr>
        <w:t>max</w:t>
      </w:r>
      <w:proofErr w:type="spellEnd"/>
      <w:r w:rsidRPr="00EC0908">
        <w:rPr>
          <w:rFonts w:eastAsia="Times New Roman" w:cs="Arial"/>
          <w:color w:val="000000"/>
          <w:lang w:val="ru-RU"/>
        </w:rPr>
        <w:t xml:space="preserve"> </w:t>
      </w:r>
      <w:r w:rsidRPr="00EC0908">
        <w:rPr>
          <w:rFonts w:eastAsia="Times New Roman" w:cs="Arial"/>
          <w:color w:val="000000"/>
          <w:lang w:eastAsia="bg-BG"/>
        </w:rPr>
        <w:t xml:space="preserve">1,3 пъти. Не е известно какво е значението на факторите на околната среда и на генетичните фактори за появата на тези разлики. Един популационен </w:t>
      </w:r>
      <w:r w:rsidRPr="00EC0908">
        <w:rPr>
          <w:rFonts w:eastAsia="Times New Roman" w:cs="Arial"/>
          <w:color w:val="000000"/>
          <w:lang w:eastAsia="bg-BG"/>
        </w:rPr>
        <w:lastRenderedPageBreak/>
        <w:t>фармакокинетичен анализ показва, че между индивидите от кавказката и от черната раса няма клинично значими различия.</w:t>
      </w:r>
    </w:p>
    <w:p w14:paraId="37316894" w14:textId="77777777" w:rsidR="00EC0908" w:rsidRDefault="00EC0908" w:rsidP="00EC0908">
      <w:pPr>
        <w:spacing w:line="240" w:lineRule="auto"/>
        <w:rPr>
          <w:rFonts w:eastAsia="Times New Roman" w:cs="Arial"/>
          <w:color w:val="000000"/>
          <w:u w:val="single"/>
          <w:lang w:eastAsia="bg-BG"/>
        </w:rPr>
      </w:pPr>
    </w:p>
    <w:p w14:paraId="6E8F4E27" w14:textId="55B5B6C4"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Бъбречна недостатъчност</w:t>
      </w:r>
    </w:p>
    <w:p w14:paraId="0AB62469"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едно проучване на лица с различна степен на бъбречно увреждане лекото до умерено бъбречно заболяване не е повлияло плазмените концентрации на розувастатин или на неговия </w:t>
      </w:r>
      <w:r w:rsidRPr="00EC0908">
        <w:rPr>
          <w:rFonts w:eastAsia="Times New Roman" w:cs="Arial"/>
          <w:color w:val="000000"/>
          <w:lang w:val="en-US"/>
        </w:rPr>
        <w:t>N</w:t>
      </w:r>
      <w:r w:rsidRPr="00EC0908">
        <w:rPr>
          <w:rFonts w:eastAsia="Times New Roman" w:cs="Arial"/>
          <w:color w:val="000000"/>
          <w:lang w:eastAsia="bg-BG"/>
        </w:rPr>
        <w:t xml:space="preserve">-десметил метаболит. Лица с тежко увреждане, обаче (креатининов клирънс &lt;30 </w:t>
      </w:r>
      <w:r w:rsidRPr="00EC0908">
        <w:rPr>
          <w:rFonts w:eastAsia="Times New Roman" w:cs="Arial"/>
          <w:color w:val="000000"/>
          <w:lang w:val="en-US"/>
        </w:rPr>
        <w:t>ml</w:t>
      </w:r>
      <w:r w:rsidRPr="00EC0908">
        <w:rPr>
          <w:rFonts w:eastAsia="Times New Roman" w:cs="Arial"/>
          <w:color w:val="000000"/>
          <w:lang w:val="ru-RU"/>
        </w:rPr>
        <w:t>/</w:t>
      </w:r>
      <w:r w:rsidRPr="00EC0908">
        <w:rPr>
          <w:rFonts w:eastAsia="Times New Roman" w:cs="Arial"/>
          <w:color w:val="000000"/>
          <w:lang w:val="en-US"/>
        </w:rPr>
        <w:t>min</w:t>
      </w:r>
      <w:r w:rsidRPr="00EC0908">
        <w:rPr>
          <w:rFonts w:eastAsia="Times New Roman" w:cs="Arial"/>
          <w:color w:val="000000"/>
          <w:lang w:val="ru-RU"/>
        </w:rPr>
        <w:t xml:space="preserve">) </w:t>
      </w:r>
      <w:r w:rsidRPr="00EC0908">
        <w:rPr>
          <w:rFonts w:eastAsia="Times New Roman" w:cs="Arial"/>
          <w:color w:val="000000"/>
          <w:lang w:eastAsia="bg-BG"/>
        </w:rPr>
        <w:t xml:space="preserve">са имали трикратно увеличение на плазмената концентрация в сравнение със здрави доброволци и девет пъти по-висока концентрация на </w:t>
      </w:r>
      <w:r w:rsidRPr="00EC0908">
        <w:rPr>
          <w:rFonts w:eastAsia="Times New Roman" w:cs="Arial"/>
          <w:color w:val="000000"/>
          <w:lang w:val="en-US"/>
        </w:rPr>
        <w:t>N</w:t>
      </w:r>
      <w:r w:rsidRPr="00EC0908">
        <w:rPr>
          <w:rFonts w:eastAsia="Times New Roman" w:cs="Arial"/>
          <w:color w:val="000000"/>
          <w:lang w:eastAsia="bg-BG"/>
        </w:rPr>
        <w:t>-десметил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0D66CDEE" w14:textId="77777777" w:rsidR="00EC0908" w:rsidRDefault="00EC0908" w:rsidP="00EC0908">
      <w:pPr>
        <w:spacing w:line="240" w:lineRule="auto"/>
        <w:rPr>
          <w:rFonts w:eastAsia="Times New Roman" w:cs="Arial"/>
          <w:color w:val="000000"/>
          <w:u w:val="single"/>
          <w:lang w:eastAsia="bg-BG"/>
        </w:rPr>
      </w:pPr>
    </w:p>
    <w:p w14:paraId="089F758A" w14:textId="7D85B467"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Чернодробна недостатъчност</w:t>
      </w:r>
    </w:p>
    <w:p w14:paraId="686CD4BF"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EC0908">
        <w:rPr>
          <w:rFonts w:eastAsia="Times New Roman" w:cs="Arial"/>
          <w:color w:val="000000"/>
          <w:lang w:val="en-US"/>
        </w:rPr>
        <w:t>Child</w:t>
      </w:r>
      <w:r w:rsidRPr="00EC0908">
        <w:rPr>
          <w:rFonts w:eastAsia="Times New Roman" w:cs="Arial"/>
          <w:color w:val="000000"/>
          <w:lang w:val="ru-RU"/>
        </w:rPr>
        <w:t>-</w:t>
      </w:r>
      <w:r w:rsidRPr="00EC0908">
        <w:rPr>
          <w:rFonts w:eastAsia="Times New Roman" w:cs="Arial"/>
          <w:color w:val="000000"/>
          <w:lang w:val="en-US"/>
        </w:rPr>
        <w:t>Pugh</w:t>
      </w:r>
      <w:r w:rsidRPr="00EC0908">
        <w:rPr>
          <w:rFonts w:eastAsia="Times New Roman" w:cs="Arial"/>
          <w:color w:val="000000"/>
          <w:lang w:val="ru-RU"/>
        </w:rPr>
        <w:t xml:space="preserve"> </w:t>
      </w:r>
      <w:r w:rsidRPr="00EC0908">
        <w:rPr>
          <w:rFonts w:eastAsia="Times New Roman" w:cs="Arial"/>
          <w:color w:val="000000"/>
          <w:lang w:eastAsia="bg-BG"/>
        </w:rPr>
        <w:t xml:space="preserve">7 или по-нисък. При двама пациенти с тежко чернодробно увреждане (резултат по </w:t>
      </w:r>
      <w:r w:rsidRPr="00EC0908">
        <w:rPr>
          <w:rFonts w:eastAsia="Times New Roman" w:cs="Arial"/>
          <w:color w:val="000000"/>
          <w:lang w:val="en-US"/>
        </w:rPr>
        <w:t>Child</w:t>
      </w:r>
      <w:r w:rsidRPr="00EC0908">
        <w:rPr>
          <w:rFonts w:eastAsia="Times New Roman" w:cs="Arial"/>
          <w:color w:val="000000"/>
          <w:lang w:val="ru-RU"/>
        </w:rPr>
        <w:t>-</w:t>
      </w:r>
      <w:r w:rsidRPr="00EC0908">
        <w:rPr>
          <w:rFonts w:eastAsia="Times New Roman" w:cs="Arial"/>
          <w:color w:val="000000"/>
          <w:lang w:val="en-US"/>
        </w:rPr>
        <w:t>Pugh</w:t>
      </w:r>
      <w:r w:rsidRPr="00EC0908">
        <w:rPr>
          <w:rFonts w:eastAsia="Times New Roman" w:cs="Arial"/>
          <w:color w:val="000000"/>
          <w:lang w:val="ru-RU"/>
        </w:rPr>
        <w:t xml:space="preserve"> </w:t>
      </w:r>
      <w:r w:rsidRPr="00EC0908">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EC0908">
        <w:rPr>
          <w:rFonts w:eastAsia="Times New Roman" w:cs="Arial"/>
          <w:color w:val="000000"/>
          <w:lang w:val="en-US"/>
        </w:rPr>
        <w:t>Child</w:t>
      </w:r>
      <w:r w:rsidRPr="00EC0908">
        <w:rPr>
          <w:rFonts w:eastAsia="Times New Roman" w:cs="Arial"/>
          <w:color w:val="000000"/>
          <w:lang w:val="ru-RU"/>
        </w:rPr>
        <w:t xml:space="preserve">- </w:t>
      </w:r>
      <w:r w:rsidRPr="00EC0908">
        <w:rPr>
          <w:rFonts w:eastAsia="Times New Roman" w:cs="Arial"/>
          <w:color w:val="000000"/>
          <w:lang w:val="en-US"/>
        </w:rPr>
        <w:t>Pugh</w:t>
      </w:r>
      <w:r w:rsidRPr="00EC0908">
        <w:rPr>
          <w:rFonts w:eastAsia="Times New Roman" w:cs="Arial"/>
          <w:color w:val="000000"/>
          <w:lang w:val="ru-RU"/>
        </w:rPr>
        <w:t xml:space="preserve">. </w:t>
      </w:r>
      <w:r w:rsidRPr="00EC0908">
        <w:rPr>
          <w:rFonts w:eastAsia="Times New Roman" w:cs="Arial"/>
          <w:color w:val="000000"/>
          <w:lang w:eastAsia="bg-BG"/>
        </w:rPr>
        <w:t xml:space="preserve">Няма данни за пациенти с резултат по </w:t>
      </w:r>
      <w:r w:rsidRPr="00EC0908">
        <w:rPr>
          <w:rFonts w:eastAsia="Times New Roman" w:cs="Arial"/>
          <w:color w:val="000000"/>
          <w:lang w:val="en-US"/>
        </w:rPr>
        <w:t>Child</w:t>
      </w:r>
      <w:r w:rsidRPr="00EC0908">
        <w:rPr>
          <w:rFonts w:eastAsia="Times New Roman" w:cs="Arial"/>
          <w:color w:val="000000"/>
          <w:lang w:val="ru-RU"/>
        </w:rPr>
        <w:t>-</w:t>
      </w:r>
      <w:r w:rsidRPr="00EC0908">
        <w:rPr>
          <w:rFonts w:eastAsia="Times New Roman" w:cs="Arial"/>
          <w:color w:val="000000"/>
          <w:lang w:val="en-US"/>
        </w:rPr>
        <w:t>Pugh</w:t>
      </w:r>
      <w:r w:rsidRPr="00EC0908">
        <w:rPr>
          <w:rFonts w:eastAsia="Times New Roman" w:cs="Arial"/>
          <w:color w:val="000000"/>
          <w:lang w:val="ru-RU"/>
        </w:rPr>
        <w:t xml:space="preserve"> </w:t>
      </w:r>
      <w:r w:rsidRPr="00EC0908">
        <w:rPr>
          <w:rFonts w:eastAsia="Times New Roman" w:cs="Arial"/>
          <w:color w:val="000000"/>
          <w:lang w:eastAsia="bg-BG"/>
        </w:rPr>
        <w:t>над 9.</w:t>
      </w:r>
    </w:p>
    <w:p w14:paraId="078987E6" w14:textId="77777777" w:rsidR="00EC0908" w:rsidRDefault="00EC0908" w:rsidP="00EC0908">
      <w:pPr>
        <w:spacing w:line="240" w:lineRule="auto"/>
        <w:rPr>
          <w:rFonts w:eastAsia="Times New Roman" w:cs="Arial"/>
          <w:color w:val="000000"/>
          <w:u w:val="single"/>
          <w:lang w:eastAsia="bg-BG"/>
        </w:rPr>
      </w:pPr>
    </w:p>
    <w:p w14:paraId="322A8445" w14:textId="3BF6D656"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Генетичен полиморфизъм</w:t>
      </w:r>
    </w:p>
    <w:p w14:paraId="24211F96"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Диспозицията на </w:t>
      </w:r>
      <w:r w:rsidRPr="00EC0908">
        <w:rPr>
          <w:rFonts w:eastAsia="Times New Roman" w:cs="Arial"/>
          <w:color w:val="000000"/>
          <w:lang w:val="en-US"/>
        </w:rPr>
        <w:t>HMG</w:t>
      </w:r>
      <w:r w:rsidRPr="00EC0908">
        <w:rPr>
          <w:rFonts w:eastAsia="Times New Roman" w:cs="Arial"/>
          <w:color w:val="000000"/>
          <w:lang w:val="ru-RU"/>
        </w:rPr>
        <w:t>-</w:t>
      </w:r>
      <w:r w:rsidRPr="00EC0908">
        <w:rPr>
          <w:rFonts w:eastAsia="Times New Roman" w:cs="Arial"/>
          <w:color w:val="000000"/>
          <w:lang w:val="en-US"/>
        </w:rPr>
        <w:t>CoA</w:t>
      </w:r>
      <w:r w:rsidRPr="00EC0908">
        <w:rPr>
          <w:rFonts w:eastAsia="Times New Roman" w:cs="Arial"/>
          <w:color w:val="000000"/>
          <w:lang w:val="ru-RU"/>
        </w:rPr>
        <w:t xml:space="preserve"> </w:t>
      </w:r>
      <w:r w:rsidRPr="00EC0908">
        <w:rPr>
          <w:rFonts w:eastAsia="Times New Roman" w:cs="Arial"/>
          <w:color w:val="000000"/>
          <w:lang w:eastAsia="bg-BG"/>
        </w:rPr>
        <w:t xml:space="preserve">редуктазните инхибитори, включително розувастатин, е свързана с транспортерните протеини ОАТР1В1 и </w:t>
      </w:r>
      <w:r w:rsidRPr="00EC0908">
        <w:rPr>
          <w:rFonts w:eastAsia="Times New Roman" w:cs="Arial"/>
          <w:color w:val="000000"/>
          <w:lang w:val="en-US"/>
        </w:rPr>
        <w:t>BCRP</w:t>
      </w:r>
      <w:r w:rsidRPr="00EC0908">
        <w:rPr>
          <w:rFonts w:eastAsia="Times New Roman" w:cs="Arial"/>
          <w:color w:val="000000"/>
          <w:lang w:val="ru-RU"/>
        </w:rPr>
        <w:t xml:space="preserve">. </w:t>
      </w:r>
      <w:r w:rsidRPr="00EC0908">
        <w:rPr>
          <w:rFonts w:eastAsia="Times New Roman" w:cs="Arial"/>
          <w:color w:val="000000"/>
          <w:lang w:eastAsia="bg-BG"/>
        </w:rPr>
        <w:t xml:space="preserve">При пациенти с генетичен полиморфизъм на </w:t>
      </w:r>
      <w:r w:rsidRPr="00EC0908">
        <w:rPr>
          <w:rFonts w:eastAsia="Times New Roman" w:cs="Arial"/>
          <w:color w:val="000000"/>
          <w:lang w:val="en-US"/>
        </w:rPr>
        <w:t>SLCO</w:t>
      </w:r>
      <w:r w:rsidRPr="00EC0908">
        <w:rPr>
          <w:rFonts w:eastAsia="Times New Roman" w:cs="Arial"/>
          <w:color w:val="000000"/>
          <w:lang w:val="ru-RU"/>
        </w:rPr>
        <w:t>1</w:t>
      </w:r>
      <w:r w:rsidRPr="00EC0908">
        <w:rPr>
          <w:rFonts w:eastAsia="Times New Roman" w:cs="Arial"/>
          <w:color w:val="000000"/>
          <w:lang w:val="en-US"/>
        </w:rPr>
        <w:t>B</w:t>
      </w:r>
      <w:r w:rsidRPr="00EC0908">
        <w:rPr>
          <w:rFonts w:eastAsia="Times New Roman" w:cs="Arial"/>
          <w:color w:val="000000"/>
          <w:lang w:val="ru-RU"/>
        </w:rPr>
        <w:t xml:space="preserve">1 </w:t>
      </w:r>
      <w:r w:rsidRPr="00EC0908">
        <w:rPr>
          <w:rFonts w:eastAsia="Times New Roman" w:cs="Arial"/>
          <w:color w:val="000000"/>
          <w:lang w:eastAsia="bg-BG"/>
        </w:rPr>
        <w:t xml:space="preserve">(ОАТР1В1) и/или </w:t>
      </w:r>
      <w:r w:rsidRPr="00EC0908">
        <w:rPr>
          <w:rFonts w:eastAsia="Times New Roman" w:cs="Arial"/>
          <w:color w:val="000000"/>
          <w:lang w:val="en-US"/>
        </w:rPr>
        <w:t>ABCG</w:t>
      </w:r>
      <w:r w:rsidRPr="00EC0908">
        <w:rPr>
          <w:rFonts w:eastAsia="Times New Roman" w:cs="Arial"/>
          <w:color w:val="000000"/>
          <w:lang w:val="ru-RU"/>
        </w:rPr>
        <w:t>2 (</w:t>
      </w:r>
      <w:r w:rsidRPr="00EC0908">
        <w:rPr>
          <w:rFonts w:eastAsia="Times New Roman" w:cs="Arial"/>
          <w:color w:val="000000"/>
          <w:lang w:val="en-US"/>
        </w:rPr>
        <w:t>BCRP</w:t>
      </w:r>
      <w:r w:rsidRPr="00EC0908">
        <w:rPr>
          <w:rFonts w:eastAsia="Times New Roman" w:cs="Arial"/>
          <w:color w:val="000000"/>
          <w:lang w:val="ru-RU"/>
        </w:rPr>
        <w:t xml:space="preserve">) </w:t>
      </w:r>
      <w:r w:rsidRPr="00EC0908">
        <w:rPr>
          <w:rFonts w:eastAsia="Times New Roman" w:cs="Arial"/>
          <w:color w:val="000000"/>
          <w:lang w:eastAsia="bg-BG"/>
        </w:rPr>
        <w:t xml:space="preserve">има риск от повишаване на експозицията на розувастатин. Индивидуален полиморфизъм на </w:t>
      </w:r>
      <w:r w:rsidRPr="00EC0908">
        <w:rPr>
          <w:rFonts w:eastAsia="Times New Roman" w:cs="Arial"/>
          <w:color w:val="000000"/>
          <w:lang w:val="en-US"/>
        </w:rPr>
        <w:t>SLCO</w:t>
      </w:r>
      <w:r w:rsidRPr="00EC0908">
        <w:rPr>
          <w:rFonts w:eastAsia="Times New Roman" w:cs="Arial"/>
          <w:color w:val="000000"/>
          <w:lang w:val="ru-RU"/>
        </w:rPr>
        <w:t>1</w:t>
      </w:r>
      <w:r w:rsidRPr="00EC0908">
        <w:rPr>
          <w:rFonts w:eastAsia="Times New Roman" w:cs="Arial"/>
          <w:color w:val="000000"/>
          <w:lang w:val="en-US"/>
        </w:rPr>
        <w:t>B</w:t>
      </w:r>
      <w:r w:rsidRPr="00EC0908">
        <w:rPr>
          <w:rFonts w:eastAsia="Times New Roman" w:cs="Arial"/>
          <w:color w:val="000000"/>
          <w:lang w:val="ru-RU"/>
        </w:rPr>
        <w:t xml:space="preserve">1 </w:t>
      </w:r>
      <w:r w:rsidRPr="00EC0908">
        <w:rPr>
          <w:rFonts w:eastAsia="Times New Roman" w:cs="Arial"/>
          <w:color w:val="000000"/>
          <w:lang w:eastAsia="bg-BG"/>
        </w:rPr>
        <w:t xml:space="preserve">С.521СС и </w:t>
      </w:r>
      <w:r w:rsidRPr="00EC0908">
        <w:rPr>
          <w:rFonts w:eastAsia="Times New Roman" w:cs="Arial"/>
          <w:color w:val="000000"/>
          <w:lang w:val="en-US"/>
        </w:rPr>
        <w:t>ABCG</w:t>
      </w:r>
      <w:r w:rsidRPr="00EC0908">
        <w:rPr>
          <w:rFonts w:eastAsia="Times New Roman" w:cs="Arial"/>
          <w:color w:val="000000"/>
          <w:lang w:val="ru-RU"/>
        </w:rPr>
        <w:t xml:space="preserve">2 </w:t>
      </w:r>
      <w:r w:rsidRPr="00EC0908">
        <w:rPr>
          <w:rFonts w:eastAsia="Times New Roman" w:cs="Arial"/>
          <w:color w:val="000000"/>
          <w:lang w:eastAsia="bg-BG"/>
        </w:rPr>
        <w:t xml:space="preserve">с.421 АА е свързан с приблизително 1,7 пъти по-висока експозиция </w:t>
      </w:r>
      <w:r w:rsidRPr="00EC0908">
        <w:rPr>
          <w:rFonts w:eastAsia="Times New Roman" w:cs="Arial"/>
          <w:color w:val="000000"/>
          <w:lang w:val="ru-RU"/>
        </w:rPr>
        <w:t>(</w:t>
      </w:r>
      <w:r w:rsidRPr="00EC0908">
        <w:rPr>
          <w:rFonts w:eastAsia="Times New Roman" w:cs="Arial"/>
          <w:color w:val="000000"/>
          <w:lang w:val="en-US"/>
        </w:rPr>
        <w:t>AUC</w:t>
      </w:r>
      <w:r w:rsidRPr="00EC0908">
        <w:rPr>
          <w:rFonts w:eastAsia="Times New Roman" w:cs="Arial"/>
          <w:color w:val="000000"/>
          <w:lang w:val="ru-RU"/>
        </w:rPr>
        <w:t xml:space="preserve">) </w:t>
      </w:r>
      <w:r w:rsidRPr="00EC0908">
        <w:rPr>
          <w:rFonts w:eastAsia="Times New Roman" w:cs="Arial"/>
          <w:color w:val="000000"/>
          <w:lang w:eastAsia="bg-BG"/>
        </w:rPr>
        <w:t xml:space="preserve">на розувастатин или 2,4 пъти по-висока експозиция, съответно, в сравнение с генотиповете </w:t>
      </w:r>
      <w:r w:rsidRPr="00EC0908">
        <w:rPr>
          <w:rFonts w:eastAsia="Times New Roman" w:cs="Arial"/>
          <w:color w:val="000000"/>
          <w:lang w:val="en-US"/>
        </w:rPr>
        <w:t>SLCO</w:t>
      </w:r>
      <w:r w:rsidRPr="00EC0908">
        <w:rPr>
          <w:rFonts w:eastAsia="Times New Roman" w:cs="Arial"/>
          <w:color w:val="000000"/>
          <w:lang w:val="ru-RU"/>
        </w:rPr>
        <w:t>1</w:t>
      </w:r>
      <w:r w:rsidRPr="00EC0908">
        <w:rPr>
          <w:rFonts w:eastAsia="Times New Roman" w:cs="Arial"/>
          <w:color w:val="000000"/>
          <w:lang w:val="en-US"/>
        </w:rPr>
        <w:t>B</w:t>
      </w:r>
      <w:r w:rsidRPr="00EC0908">
        <w:rPr>
          <w:rFonts w:eastAsia="Times New Roman" w:cs="Arial"/>
          <w:color w:val="000000"/>
          <w:lang w:val="ru-RU"/>
        </w:rPr>
        <w:t xml:space="preserve">1 </w:t>
      </w:r>
      <w:r w:rsidRPr="00EC0908">
        <w:rPr>
          <w:rFonts w:eastAsia="Times New Roman" w:cs="Arial"/>
          <w:color w:val="000000"/>
          <w:lang w:val="en-US"/>
        </w:rPr>
        <w:t>c</w:t>
      </w:r>
      <w:r w:rsidRPr="00EC0908">
        <w:rPr>
          <w:rFonts w:eastAsia="Times New Roman" w:cs="Arial"/>
          <w:color w:val="000000"/>
          <w:lang w:eastAsia="bg-BG"/>
        </w:rPr>
        <w:t xml:space="preserve">.521ТТ или </w:t>
      </w:r>
      <w:r w:rsidRPr="00EC0908">
        <w:rPr>
          <w:rFonts w:eastAsia="Times New Roman" w:cs="Arial"/>
          <w:color w:val="000000"/>
          <w:lang w:val="en-US"/>
        </w:rPr>
        <w:t>ABCG</w:t>
      </w:r>
      <w:r w:rsidRPr="00EC0908">
        <w:rPr>
          <w:rFonts w:eastAsia="Times New Roman" w:cs="Arial"/>
          <w:color w:val="000000"/>
          <w:lang w:val="ru-RU"/>
        </w:rPr>
        <w:t xml:space="preserve">2 </w:t>
      </w:r>
      <w:r w:rsidRPr="00EC0908">
        <w:rPr>
          <w:rFonts w:eastAsia="Times New Roman" w:cs="Arial"/>
          <w:color w:val="000000"/>
          <w:lang w:eastAsia="bg-BG"/>
        </w:rPr>
        <w:t>с.421 СС,</w:t>
      </w:r>
    </w:p>
    <w:p w14:paraId="27586CAB" w14:textId="77777777" w:rsidR="00EC0908" w:rsidRDefault="00EC0908" w:rsidP="00EC0908">
      <w:pPr>
        <w:spacing w:line="240" w:lineRule="auto"/>
        <w:rPr>
          <w:rFonts w:eastAsia="Times New Roman" w:cs="Arial"/>
          <w:color w:val="000000"/>
          <w:u w:val="single"/>
          <w:lang w:eastAsia="bg-BG"/>
        </w:rPr>
      </w:pPr>
    </w:p>
    <w:p w14:paraId="25C59323" w14:textId="422F3030" w:rsidR="00EC0908" w:rsidRPr="00EC0908" w:rsidRDefault="00EC0908" w:rsidP="00EC0908">
      <w:pPr>
        <w:spacing w:line="240" w:lineRule="auto"/>
        <w:rPr>
          <w:rFonts w:eastAsia="Times New Roman" w:cs="Arial"/>
        </w:rPr>
      </w:pPr>
      <w:r w:rsidRPr="00EC0908">
        <w:rPr>
          <w:rFonts w:eastAsia="Times New Roman" w:cs="Arial"/>
          <w:color w:val="000000"/>
          <w:u w:val="single"/>
          <w:lang w:eastAsia="bg-BG"/>
        </w:rPr>
        <w:t>Педиатрична популация</w:t>
      </w:r>
    </w:p>
    <w:p w14:paraId="18FB6F64" w14:textId="50B5F5BC" w:rsidR="00EC0908" w:rsidRPr="00EC0908" w:rsidRDefault="00EC0908" w:rsidP="00EC0908">
      <w:pPr>
        <w:rPr>
          <w:rFonts w:eastAsia="Times New Roman" w:cs="Arial"/>
          <w:color w:val="000000"/>
          <w:lang w:eastAsia="bg-BG"/>
        </w:rPr>
      </w:pPr>
      <w:r w:rsidRPr="00EC0908">
        <w:rPr>
          <w:rFonts w:eastAsia="Times New Roman" w:cs="Arial"/>
          <w:color w:val="000000"/>
          <w:lang w:eastAsia="bg-BG"/>
        </w:rPr>
        <w:t xml:space="preserve">Две фармакокинетични проучвания с розувастатин (прилаган под формата на таблетки) </w:t>
      </w:r>
      <w:r w:rsidRPr="00EC0908">
        <w:rPr>
          <w:rFonts w:eastAsia="Times New Roman" w:cs="Arial"/>
          <w:b/>
          <w:bCs/>
          <w:color w:val="000000"/>
          <w:lang w:eastAsia="bg-BG"/>
        </w:rPr>
        <w:t xml:space="preserve">при </w:t>
      </w:r>
      <w:r w:rsidRPr="00EC0908">
        <w:rPr>
          <w:rFonts w:eastAsia="Times New Roman" w:cs="Arial"/>
          <w:color w:val="000000"/>
          <w:lang w:eastAsia="bg-BG"/>
        </w:rPr>
        <w:t xml:space="preserve">педиатрични пациенти с хетерозиготна фамилна хиперхолестеролемия на възраст 10-17 или 6-17 години (общо 214 пациенти) показват, че експозицията при педиатричните пациенти изглежда сравнима или по-ниска от тази при възрастните пациенти. Експозицията на розувастатин е </w:t>
      </w:r>
      <w:r w:rsidRPr="00EC0908">
        <w:rPr>
          <w:rFonts w:eastAsia="Times New Roman" w:cs="Arial"/>
          <w:b/>
          <w:bCs/>
          <w:color w:val="000000"/>
          <w:lang w:eastAsia="bg-BG"/>
        </w:rPr>
        <w:t xml:space="preserve">била </w:t>
      </w:r>
      <w:r w:rsidRPr="00EC0908">
        <w:rPr>
          <w:rFonts w:eastAsia="Times New Roman" w:cs="Arial"/>
          <w:color w:val="000000"/>
          <w:lang w:eastAsia="bg-BG"/>
        </w:rPr>
        <w:t>предвидима по отношение на дозата и времето в продължение на 2-годишен период.</w:t>
      </w:r>
    </w:p>
    <w:p w14:paraId="6AA719F0" w14:textId="279B0473" w:rsidR="00EC0908" w:rsidRPr="00EC0908" w:rsidRDefault="00EC0908" w:rsidP="00EC0908"/>
    <w:p w14:paraId="648E39DA" w14:textId="010677B6" w:rsidR="00CF77F7" w:rsidRDefault="002C50EE" w:rsidP="004A448E">
      <w:pPr>
        <w:pStyle w:val="Heading2"/>
      </w:pPr>
      <w:r>
        <w:t>5.3. Предклинични данни за безопасност</w:t>
      </w:r>
    </w:p>
    <w:p w14:paraId="702B42FA" w14:textId="46B56410" w:rsidR="00EC0908" w:rsidRDefault="00EC0908" w:rsidP="00EC0908"/>
    <w:p w14:paraId="2F0E1282"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 xml:space="preserve">Неклиничните данни не показват особен риск за хора на базата на конвенционалните фармакологични проучвания за безопасност, токсичност при многократно прилагане, генотоксичност, карциногенен потенциал. Не са провеждани специфични изследвания, оценяващи ефектите върху </w:t>
      </w:r>
      <w:proofErr w:type="spellStart"/>
      <w:r w:rsidRPr="00EC0908">
        <w:rPr>
          <w:rFonts w:eastAsia="Times New Roman" w:cs="Arial"/>
          <w:color w:val="000000"/>
          <w:lang w:val="en-US"/>
        </w:rPr>
        <w:t>hERG</w:t>
      </w:r>
      <w:proofErr w:type="spellEnd"/>
      <w:r w:rsidRPr="00EC0908">
        <w:rPr>
          <w:rFonts w:eastAsia="Times New Roman" w:cs="Arial"/>
          <w:color w:val="000000"/>
          <w:lang w:val="ru-RU"/>
        </w:rPr>
        <w:t xml:space="preserve">. </w:t>
      </w:r>
      <w:r w:rsidRPr="00EC0908">
        <w:rPr>
          <w:rFonts w:eastAsia="Times New Roman" w:cs="Arial"/>
          <w:color w:val="000000"/>
          <w:lang w:eastAsia="bg-BG"/>
        </w:rPr>
        <w:t xml:space="preserve">Нежеланите реакции, които не са наблюдавани в клинични проучвания, но са наблюдавани при животни при нива на експозиция близки до клиничните са следните: в изпитвания за токсичност след многократно приложение се наблюдават хистопатологични чернодробни изменения, вследствие на фармакологичното действие на розувастатин при мишки, плъхове и в по- ниска степен в жлъчния мехур при кучета, но не и при маймуни. В допълнение се наблюдава тестикуларна токсичност при маймуни и кучета при по-високи дози. При плъхове се наблюдава репродуктивна токсичност, която води до намаляване на големината, теглото и преживяемостта на </w:t>
      </w:r>
      <w:r w:rsidRPr="00EC0908">
        <w:rPr>
          <w:rFonts w:eastAsia="Times New Roman" w:cs="Arial"/>
          <w:color w:val="000000"/>
          <w:lang w:eastAsia="bg-BG"/>
        </w:rPr>
        <w:lastRenderedPageBreak/>
        <w:t>малките в матернотоксични дози, при които системната експозиция е надвишавала в пъти нивото на терапевтичната експозиция.</w:t>
      </w:r>
    </w:p>
    <w:p w14:paraId="37CC86C4" w14:textId="77777777" w:rsidR="00EC0908" w:rsidRPr="00EC0908" w:rsidRDefault="00EC0908" w:rsidP="00EC0908"/>
    <w:p w14:paraId="6A7820AB" w14:textId="6033BACA" w:rsidR="008A6AF2" w:rsidRDefault="002C50EE" w:rsidP="00395555">
      <w:pPr>
        <w:pStyle w:val="Heading1"/>
      </w:pPr>
      <w:r>
        <w:t>7. ПРИТЕЖАТЕЛ НА РАЗРЕШЕНИЕТО ЗА УПОТРЕБА</w:t>
      </w:r>
    </w:p>
    <w:p w14:paraId="3B91BDAA" w14:textId="6125EAE9" w:rsidR="00EC0908" w:rsidRDefault="00EC0908" w:rsidP="00EC0908"/>
    <w:p w14:paraId="13ABF1B4" w14:textId="77777777" w:rsidR="00EC0908" w:rsidRPr="00EC0908" w:rsidRDefault="00EC0908" w:rsidP="00EC0908">
      <w:pPr>
        <w:spacing w:line="240" w:lineRule="auto"/>
        <w:rPr>
          <w:rFonts w:eastAsia="Times New Roman" w:cs="Arial"/>
        </w:rPr>
      </w:pPr>
      <w:bookmarkStart w:id="7" w:name="_GoBack"/>
      <w:r w:rsidRPr="00EC0908">
        <w:rPr>
          <w:rFonts w:eastAsia="Times New Roman" w:cs="Arial"/>
          <w:color w:val="000000"/>
          <w:lang w:eastAsia="bg-BG"/>
        </w:rPr>
        <w:t>ФАРМАКОНС АД</w:t>
      </w:r>
    </w:p>
    <w:p w14:paraId="46645271"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бул. „Пейо К. Яворов” 44</w:t>
      </w:r>
    </w:p>
    <w:p w14:paraId="11BBA0E8" w14:textId="77777777" w:rsidR="00EC0908" w:rsidRPr="00EC0908" w:rsidRDefault="00EC0908" w:rsidP="00EC0908">
      <w:pPr>
        <w:spacing w:line="240" w:lineRule="auto"/>
        <w:rPr>
          <w:rFonts w:eastAsia="Times New Roman" w:cs="Arial"/>
        </w:rPr>
      </w:pPr>
      <w:r w:rsidRPr="00EC0908">
        <w:rPr>
          <w:rFonts w:eastAsia="Times New Roman" w:cs="Arial"/>
          <w:color w:val="000000"/>
          <w:lang w:eastAsia="bg-BG"/>
        </w:rPr>
        <w:t>София 1164</w:t>
      </w:r>
    </w:p>
    <w:p w14:paraId="06B1E9C7" w14:textId="66188E50" w:rsidR="00EC0908" w:rsidRPr="00EC0908" w:rsidRDefault="00EC0908" w:rsidP="00EC0908">
      <w:r w:rsidRPr="00EC0908">
        <w:rPr>
          <w:rFonts w:eastAsia="Times New Roman" w:cs="Arial"/>
          <w:color w:val="000000"/>
          <w:lang w:eastAsia="bg-BG"/>
        </w:rPr>
        <w:t>България</w:t>
      </w:r>
      <w:bookmarkEnd w:id="7"/>
    </w:p>
    <w:p w14:paraId="7BA1BA64" w14:textId="1DA81A2C" w:rsidR="00CF77F7" w:rsidRPr="00CF77F7" w:rsidRDefault="002C50EE" w:rsidP="004A448E">
      <w:pPr>
        <w:pStyle w:val="Heading1"/>
      </w:pPr>
      <w:r>
        <w:t>8. НОМЕР НА РАЗРЕШЕНИЕТО ЗА УПОТРЕБА</w:t>
      </w:r>
    </w:p>
    <w:p w14:paraId="2CCB5832" w14:textId="1DCF0ADA" w:rsidR="007C605B" w:rsidRDefault="002C50EE" w:rsidP="007C605B">
      <w:pPr>
        <w:pStyle w:val="Heading1"/>
      </w:pPr>
      <w:r>
        <w:t>9. ДАТА НА ПЪРВО РАЗРЕШАВАНЕ/ПОДНОВЯВАНЕ НА РАЗРЕШЕНИЕТО ЗА УПОТРЕБА</w:t>
      </w:r>
    </w:p>
    <w:p w14:paraId="0E9D0119" w14:textId="0245C6D7" w:rsidR="002C50EE" w:rsidRDefault="002C50EE" w:rsidP="002C50EE">
      <w:pPr>
        <w:pStyle w:val="Heading1"/>
      </w:pPr>
      <w:r>
        <w:t>10. ДАТА НА АКТУАЛИЗИРАНЕ НА ТЕКСТА</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26C1C74"/>
    <w:multiLevelType w:val="hybridMultilevel"/>
    <w:tmpl w:val="849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190639"/>
    <w:multiLevelType w:val="hybridMultilevel"/>
    <w:tmpl w:val="BDBA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3683A"/>
    <w:multiLevelType w:val="hybridMultilevel"/>
    <w:tmpl w:val="A8CC0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7170E"/>
    <w:multiLevelType w:val="hybridMultilevel"/>
    <w:tmpl w:val="3B36E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95279C"/>
    <w:multiLevelType w:val="hybridMultilevel"/>
    <w:tmpl w:val="955A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5"/>
  </w:num>
  <w:num w:numId="11">
    <w:abstractNumId w:val="34"/>
  </w:num>
  <w:num w:numId="12">
    <w:abstractNumId w:val="16"/>
  </w:num>
  <w:num w:numId="13">
    <w:abstractNumId w:val="22"/>
  </w:num>
  <w:num w:numId="14">
    <w:abstractNumId w:val="14"/>
  </w:num>
  <w:num w:numId="15">
    <w:abstractNumId w:val="33"/>
  </w:num>
  <w:num w:numId="16">
    <w:abstractNumId w:val="12"/>
  </w:num>
  <w:num w:numId="17">
    <w:abstractNumId w:val="28"/>
  </w:num>
  <w:num w:numId="18">
    <w:abstractNumId w:val="8"/>
  </w:num>
  <w:num w:numId="19">
    <w:abstractNumId w:val="30"/>
  </w:num>
  <w:num w:numId="20">
    <w:abstractNumId w:val="27"/>
  </w:num>
  <w:num w:numId="21">
    <w:abstractNumId w:val="19"/>
  </w:num>
  <w:num w:numId="22">
    <w:abstractNumId w:val="29"/>
  </w:num>
  <w:num w:numId="23">
    <w:abstractNumId w:val="21"/>
  </w:num>
  <w:num w:numId="24">
    <w:abstractNumId w:val="9"/>
  </w:num>
  <w:num w:numId="25">
    <w:abstractNumId w:val="26"/>
  </w:num>
  <w:num w:numId="26">
    <w:abstractNumId w:val="25"/>
  </w:num>
  <w:num w:numId="27">
    <w:abstractNumId w:val="35"/>
  </w:num>
  <w:num w:numId="28">
    <w:abstractNumId w:val="7"/>
  </w:num>
  <w:num w:numId="29">
    <w:abstractNumId w:val="24"/>
  </w:num>
  <w:num w:numId="30">
    <w:abstractNumId w:val="38"/>
  </w:num>
  <w:num w:numId="31">
    <w:abstractNumId w:val="6"/>
  </w:num>
  <w:num w:numId="32">
    <w:abstractNumId w:val="37"/>
  </w:num>
  <w:num w:numId="33">
    <w:abstractNumId w:val="32"/>
  </w:num>
  <w:num w:numId="34">
    <w:abstractNumId w:val="36"/>
  </w:num>
  <w:num w:numId="35">
    <w:abstractNumId w:val="23"/>
  </w:num>
  <w:num w:numId="36">
    <w:abstractNumId w:val="4"/>
  </w:num>
  <w:num w:numId="37">
    <w:abstractNumId w:val="11"/>
  </w:num>
  <w:num w:numId="38">
    <w:abstractNumId w:val="20"/>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30F89"/>
    <w:rsid w:val="0075649D"/>
    <w:rsid w:val="0077293C"/>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EC0908"/>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8072</Words>
  <Characters>46015</Characters>
  <Application>Microsoft Office Word</Application>
  <DocSecurity>0</DocSecurity>
  <Lines>383</Lines>
  <Paragraphs>107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2022-05-03T09:13:00Z</dcterms:created>
  <dcterms:modified xsi:type="dcterms:W3CDTF">2022-05-03T09:13:00Z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