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A328C" w14:textId="09CEB67B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5A3B4435" w14:textId="77777777" w:rsidR="0091385D" w:rsidRPr="0091385D" w:rsidRDefault="0091385D" w:rsidP="0091385D"/>
    <w:p w14:paraId="3320F4BE" w14:textId="2EB48694" w:rsidR="00C40420" w:rsidRDefault="00DD466D" w:rsidP="004A448E">
      <w:pPr>
        <w:pStyle w:val="Heading1"/>
      </w:pPr>
      <w:r>
        <w:t>1.ИМЕ НА ЛЕКАРСТВЕНИЯ ПРОДУКТ</w:t>
      </w:r>
    </w:p>
    <w:p w14:paraId="5E9BA472" w14:textId="28012C85" w:rsidR="0091385D" w:rsidRDefault="0091385D" w:rsidP="0091385D"/>
    <w:p w14:paraId="169C666F" w14:textId="77777777" w:rsidR="00BB1B6C" w:rsidRPr="00BB1B6C" w:rsidRDefault="00BB1B6C" w:rsidP="00BB1B6C">
      <w:pPr>
        <w:spacing w:line="240" w:lineRule="auto"/>
        <w:rPr>
          <w:rFonts w:eastAsia="Times New Roman" w:cs="Arial"/>
          <w:sz w:val="24"/>
          <w:szCs w:val="24"/>
          <w:lang w:val="en-US" w:eastAsia="bg-BG"/>
        </w:rPr>
      </w:pPr>
      <w:r w:rsidRPr="00BB1B6C">
        <w:rPr>
          <w:rFonts w:eastAsia="Times New Roman" w:cs="Arial"/>
          <w:b/>
          <w:bCs/>
          <w:color w:val="000000"/>
          <w:lang w:val="en-US"/>
        </w:rPr>
        <w:t>RYTMOCARD® 150 mg film-coated tablets</w:t>
      </w:r>
    </w:p>
    <w:p w14:paraId="09127543" w14:textId="77777777" w:rsidR="00BB1B6C" w:rsidRPr="00BB1B6C" w:rsidRDefault="00BB1B6C" w:rsidP="00BB1B6C">
      <w:pPr>
        <w:spacing w:line="240" w:lineRule="auto"/>
        <w:rPr>
          <w:rFonts w:eastAsia="Times New Roman" w:cs="Arial"/>
          <w:sz w:val="24"/>
          <w:szCs w:val="24"/>
          <w:lang w:val="en-US" w:eastAsia="bg-BG"/>
        </w:rPr>
      </w:pPr>
      <w:r w:rsidRPr="00BB1B6C">
        <w:rPr>
          <w:rFonts w:eastAsia="Times New Roman" w:cs="Arial"/>
          <w:b/>
          <w:bCs/>
          <w:color w:val="000000"/>
          <w:lang w:val="en-US"/>
        </w:rPr>
        <w:t>RYTMOCARD® 300 mg film-coated tablets</w:t>
      </w:r>
    </w:p>
    <w:p w14:paraId="24294303" w14:textId="77777777" w:rsidR="00BB1B6C" w:rsidRPr="00BB1B6C" w:rsidRDefault="00BB1B6C" w:rsidP="00BB1B6C">
      <w:pPr>
        <w:spacing w:line="240" w:lineRule="auto"/>
        <w:rPr>
          <w:rFonts w:eastAsia="Times New Roman" w:cs="Arial"/>
          <w:sz w:val="24"/>
          <w:szCs w:val="24"/>
          <w:lang w:val="en-US" w:eastAsia="bg-BG"/>
        </w:rPr>
      </w:pPr>
      <w:r w:rsidRPr="00BB1B6C">
        <w:rPr>
          <w:rFonts w:eastAsia="Times New Roman" w:cs="Arial"/>
          <w:b/>
          <w:bCs/>
          <w:color w:val="000000"/>
          <w:lang w:eastAsia="bg-BG"/>
        </w:rPr>
        <w:t>РИТМОКАРД</w:t>
      </w:r>
      <w:r w:rsidRPr="00BB1B6C">
        <w:rPr>
          <w:rFonts w:eastAsia="Times New Roman" w:cs="Arial"/>
          <w:b/>
          <w:bCs/>
          <w:color w:val="000000"/>
          <w:vertAlign w:val="superscript"/>
          <w:lang w:eastAsia="bg-BG"/>
        </w:rPr>
        <w:t>8</w:t>
      </w:r>
      <w:r w:rsidRPr="00BB1B6C">
        <w:rPr>
          <w:rFonts w:eastAsia="Times New Roman" w:cs="Arial"/>
          <w:b/>
          <w:bCs/>
          <w:color w:val="000000"/>
          <w:lang w:val="en-US"/>
        </w:rPr>
        <w:t xml:space="preserve">150 mg </w:t>
      </w:r>
      <w:r w:rsidRPr="00BB1B6C">
        <w:rPr>
          <w:rFonts w:eastAsia="Times New Roman" w:cs="Arial"/>
          <w:b/>
          <w:bCs/>
          <w:color w:val="000000"/>
          <w:lang w:eastAsia="bg-BG"/>
        </w:rPr>
        <w:t>филмирани таблетки</w:t>
      </w:r>
    </w:p>
    <w:p w14:paraId="5015A1FD" w14:textId="5DFCA25B" w:rsidR="00A73575" w:rsidRPr="00BB1B6C" w:rsidRDefault="00BB1B6C" w:rsidP="00BB1B6C">
      <w:pPr>
        <w:rPr>
          <w:rFonts w:cs="Arial"/>
        </w:rPr>
      </w:pPr>
      <w:r w:rsidRPr="00BB1B6C">
        <w:rPr>
          <w:rFonts w:eastAsia="Times New Roman" w:cs="Arial"/>
          <w:b/>
          <w:bCs/>
          <w:color w:val="000000"/>
          <w:lang w:eastAsia="bg-BG"/>
        </w:rPr>
        <w:t xml:space="preserve">РИТМОКАРД® </w:t>
      </w:r>
      <w:r w:rsidRPr="00BB1B6C">
        <w:rPr>
          <w:rFonts w:eastAsia="Times New Roman" w:cs="Arial"/>
          <w:b/>
          <w:bCs/>
          <w:color w:val="000000"/>
          <w:lang w:val="en-US"/>
        </w:rPr>
        <w:t xml:space="preserve">300 mg </w:t>
      </w:r>
      <w:r w:rsidRPr="00BB1B6C">
        <w:rPr>
          <w:rFonts w:eastAsia="Times New Roman" w:cs="Arial"/>
          <w:b/>
          <w:bCs/>
          <w:color w:val="000000"/>
          <w:lang w:eastAsia="bg-BG"/>
        </w:rPr>
        <w:t>филмирани таблетки</w:t>
      </w:r>
    </w:p>
    <w:p w14:paraId="1E8447D1" w14:textId="77777777" w:rsidR="0091385D" w:rsidRPr="0091385D" w:rsidRDefault="0091385D" w:rsidP="0091385D"/>
    <w:p w14:paraId="6920A680" w14:textId="53C3EFCC" w:rsidR="00C40420" w:rsidRDefault="00DD466D" w:rsidP="004A448E">
      <w:pPr>
        <w:pStyle w:val="Heading1"/>
      </w:pPr>
      <w:r>
        <w:t>2. КАЧЕСТВЕН И КОЛИЧЕСТВЕН СЪСТАВ</w:t>
      </w:r>
    </w:p>
    <w:p w14:paraId="1ED33AE8" w14:textId="288788EF" w:rsidR="0091385D" w:rsidRDefault="0091385D" w:rsidP="0091385D"/>
    <w:p w14:paraId="7B7C2576" w14:textId="77777777" w:rsidR="00BB1B6C" w:rsidRPr="00BB1B6C" w:rsidRDefault="00BB1B6C" w:rsidP="00BB1B6C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BB1B6C">
        <w:rPr>
          <w:rFonts w:eastAsia="Times New Roman" w:cs="Arial"/>
          <w:color w:val="000000"/>
          <w:lang w:eastAsia="bg-BG"/>
        </w:rPr>
        <w:t xml:space="preserve">Всяка филмирана таблетка съдържа активното вещество пропафенонов хидрохлорид </w:t>
      </w:r>
      <w:r w:rsidRPr="00BB1B6C">
        <w:rPr>
          <w:rFonts w:eastAsia="Times New Roman" w:cs="Arial"/>
          <w:i/>
          <w:iCs/>
          <w:color w:val="000000"/>
          <w:lang w:val="en-US"/>
        </w:rPr>
        <w:t>(</w:t>
      </w:r>
      <w:proofErr w:type="spellStart"/>
      <w:r w:rsidRPr="00BB1B6C">
        <w:rPr>
          <w:rFonts w:eastAsia="Times New Roman" w:cs="Arial"/>
          <w:i/>
          <w:iCs/>
          <w:color w:val="000000"/>
          <w:lang w:val="en-US"/>
        </w:rPr>
        <w:t>propafenone</w:t>
      </w:r>
      <w:proofErr w:type="spellEnd"/>
      <w:r w:rsidRPr="00BB1B6C">
        <w:rPr>
          <w:rFonts w:eastAsia="Times New Roman" w:cs="Arial"/>
          <w:i/>
          <w:iCs/>
          <w:color w:val="000000"/>
          <w:lang w:val="en-US"/>
        </w:rPr>
        <w:t xml:space="preserve"> hydrochloride)</w:t>
      </w:r>
      <w:r w:rsidRPr="00BB1B6C">
        <w:rPr>
          <w:rFonts w:eastAsia="Times New Roman" w:cs="Arial"/>
          <w:color w:val="000000"/>
          <w:lang w:val="en-US"/>
        </w:rPr>
        <w:t xml:space="preserve"> </w:t>
      </w:r>
      <w:r w:rsidRPr="00BB1B6C">
        <w:rPr>
          <w:rFonts w:eastAsia="Times New Roman" w:cs="Arial"/>
          <w:color w:val="000000"/>
          <w:lang w:eastAsia="bg-BG"/>
        </w:rPr>
        <w:t xml:space="preserve">150 </w:t>
      </w:r>
      <w:r w:rsidRPr="00BB1B6C">
        <w:rPr>
          <w:rFonts w:eastAsia="Times New Roman" w:cs="Arial"/>
          <w:color w:val="000000"/>
          <w:lang w:val="en-US"/>
        </w:rPr>
        <w:t xml:space="preserve">mg </w:t>
      </w:r>
      <w:r w:rsidRPr="00BB1B6C">
        <w:rPr>
          <w:rFonts w:eastAsia="Times New Roman" w:cs="Arial"/>
          <w:color w:val="000000"/>
          <w:lang w:eastAsia="bg-BG"/>
        </w:rPr>
        <w:t xml:space="preserve">или </w:t>
      </w:r>
      <w:r w:rsidRPr="00BB1B6C">
        <w:rPr>
          <w:rFonts w:eastAsia="Times New Roman" w:cs="Arial"/>
          <w:color w:val="000000"/>
          <w:lang w:val="en-US"/>
        </w:rPr>
        <w:t>300mg.</w:t>
      </w:r>
    </w:p>
    <w:p w14:paraId="64B62311" w14:textId="77777777" w:rsidR="00BB1B6C" w:rsidRPr="00BB1B6C" w:rsidRDefault="00BB1B6C" w:rsidP="00BB1B6C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BB1B6C">
        <w:rPr>
          <w:rFonts w:eastAsia="Times New Roman" w:cs="Arial"/>
          <w:color w:val="000000"/>
          <w:lang w:eastAsia="bg-BG"/>
        </w:rPr>
        <w:t>Помощно вещество: пшенично нишесте.</w:t>
      </w:r>
    </w:p>
    <w:p w14:paraId="03110A50" w14:textId="3A6C1F1D" w:rsidR="0091385D" w:rsidRPr="00BB1B6C" w:rsidRDefault="00BB1B6C" w:rsidP="00BB1B6C">
      <w:pPr>
        <w:rPr>
          <w:rFonts w:cs="Arial"/>
        </w:rPr>
      </w:pPr>
      <w:r w:rsidRPr="00BB1B6C">
        <w:rPr>
          <w:rFonts w:eastAsia="Times New Roman" w:cs="Arial"/>
          <w:color w:val="000000"/>
          <w:lang w:eastAsia="bg-BG"/>
        </w:rPr>
        <w:t>За пълния списък на помощните вещества, вж. точка 6.1.</w:t>
      </w:r>
    </w:p>
    <w:p w14:paraId="3C47C299" w14:textId="77777777" w:rsidR="00A73575" w:rsidRPr="0091385D" w:rsidRDefault="00A73575" w:rsidP="0091385D"/>
    <w:p w14:paraId="614984C4" w14:textId="3FC552C3" w:rsidR="008A6AF2" w:rsidRDefault="00DD466D" w:rsidP="002C50EE">
      <w:pPr>
        <w:pStyle w:val="Heading1"/>
      </w:pPr>
      <w:r>
        <w:t>3. ЛЕКАРСТВЕНА ФОРМА</w:t>
      </w:r>
    </w:p>
    <w:p w14:paraId="1004E96C" w14:textId="277B91E7" w:rsidR="0091385D" w:rsidRDefault="0091385D" w:rsidP="0091385D"/>
    <w:p w14:paraId="4129ADBB" w14:textId="0DDFFBC3" w:rsidR="0091385D" w:rsidRPr="00BB1B6C" w:rsidRDefault="00BB1B6C" w:rsidP="0091385D">
      <w:pPr>
        <w:rPr>
          <w:rFonts w:cs="Arial"/>
        </w:rPr>
      </w:pPr>
      <w:r w:rsidRPr="00BB1B6C">
        <w:rPr>
          <w:rFonts w:cs="Arial"/>
        </w:rPr>
        <w:t>Филмирана таблетка</w:t>
      </w:r>
    </w:p>
    <w:p w14:paraId="7D287A22" w14:textId="77777777" w:rsidR="00A73575" w:rsidRPr="0091385D" w:rsidRDefault="00A73575" w:rsidP="0091385D"/>
    <w:p w14:paraId="490FC2C4" w14:textId="76FABE77" w:rsidR="002C50EE" w:rsidRDefault="002C50EE" w:rsidP="002C50EE">
      <w:pPr>
        <w:pStyle w:val="Heading1"/>
      </w:pPr>
      <w:r>
        <w:t>4. КЛИНИЧНИ ДАННИ</w:t>
      </w:r>
    </w:p>
    <w:p w14:paraId="0C69CBC7" w14:textId="77777777" w:rsidR="0091385D" w:rsidRPr="0091385D" w:rsidRDefault="0091385D" w:rsidP="0091385D"/>
    <w:p w14:paraId="0C8E6903" w14:textId="51BB3E2D" w:rsidR="008134C8" w:rsidRDefault="002C50EE" w:rsidP="004A448E">
      <w:pPr>
        <w:pStyle w:val="Heading2"/>
      </w:pPr>
      <w:r>
        <w:t>4.1. Терапевтични показания</w:t>
      </w:r>
    </w:p>
    <w:p w14:paraId="174D169F" w14:textId="0369962D" w:rsidR="0091385D" w:rsidRDefault="0091385D" w:rsidP="0091385D"/>
    <w:p w14:paraId="2D6DAB03" w14:textId="77777777" w:rsidR="00BB1B6C" w:rsidRDefault="00BB1B6C" w:rsidP="00BB1B6C">
      <w:pPr>
        <w:pStyle w:val="ListParagraph"/>
        <w:numPr>
          <w:ilvl w:val="0"/>
          <w:numId w:val="35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BB1B6C">
        <w:rPr>
          <w:rFonts w:eastAsia="Times New Roman" w:cs="Arial"/>
          <w:color w:val="000000"/>
          <w:lang w:eastAsia="bg-BG"/>
        </w:rPr>
        <w:t>Лечение на камерни аритмии;</w:t>
      </w:r>
    </w:p>
    <w:p w14:paraId="04B2E99C" w14:textId="49FA9688" w:rsidR="0091385D" w:rsidRPr="00BB1B6C" w:rsidRDefault="00BB1B6C" w:rsidP="00BB1B6C">
      <w:pPr>
        <w:pStyle w:val="ListParagraph"/>
        <w:numPr>
          <w:ilvl w:val="0"/>
          <w:numId w:val="35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BB1B6C">
        <w:rPr>
          <w:rFonts w:eastAsia="Times New Roman" w:cs="Arial"/>
          <w:color w:val="000000"/>
          <w:lang w:eastAsia="bg-BG"/>
        </w:rPr>
        <w:t xml:space="preserve">Профилактика и лечение на пароксизмални надкамерни тахиаритмии като: пароксизмално предсърдно трептене/мъждене, пароксизмални реентри тахикардии засягащи </w:t>
      </w:r>
      <w:r w:rsidRPr="00BB1B6C">
        <w:rPr>
          <w:rFonts w:eastAsia="Times New Roman" w:cs="Arial"/>
          <w:color w:val="000000"/>
          <w:lang w:val="en-US"/>
        </w:rPr>
        <w:t>AV</w:t>
      </w:r>
      <w:r w:rsidRPr="00BB1B6C">
        <w:rPr>
          <w:rFonts w:eastAsia="Times New Roman" w:cs="Arial"/>
          <w:color w:val="000000"/>
          <w:lang w:eastAsia="bg-BG"/>
        </w:rPr>
        <w:t>-възела или допълнителни пътища на провеждане, където стандартната терапия е неефективна или контраиндицирана.</w:t>
      </w:r>
    </w:p>
    <w:p w14:paraId="6DFA4B9D" w14:textId="77777777" w:rsidR="0091385D" w:rsidRPr="0091385D" w:rsidRDefault="0091385D" w:rsidP="0091385D"/>
    <w:p w14:paraId="30BE2C7B" w14:textId="3633C1E4" w:rsidR="008134C8" w:rsidRDefault="002C50EE" w:rsidP="004A448E">
      <w:pPr>
        <w:pStyle w:val="Heading2"/>
      </w:pPr>
      <w:r>
        <w:t>4.2. Дозировка и начин на приложение</w:t>
      </w:r>
    </w:p>
    <w:p w14:paraId="7AA22B68" w14:textId="3A681DFB" w:rsidR="0091385D" w:rsidRDefault="0091385D" w:rsidP="0091385D"/>
    <w:p w14:paraId="351F1C28" w14:textId="77777777" w:rsidR="00BB1B6C" w:rsidRPr="00BB1B6C" w:rsidRDefault="00BB1B6C" w:rsidP="00BB1B6C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BB1B6C">
        <w:rPr>
          <w:rFonts w:eastAsia="Times New Roman" w:cs="Arial"/>
          <w:color w:val="000000"/>
          <w:lang w:eastAsia="bg-BG"/>
        </w:rPr>
        <w:t>Започването на терапия с антиаритмични лекарствени продукти изисква строго наблюдение и трябва да се провежда в болнично заведение при наличие на апаратура за спешна терапия и възможност за мониторен контрол.</w:t>
      </w:r>
    </w:p>
    <w:p w14:paraId="0587F577" w14:textId="77777777" w:rsidR="00BB1B6C" w:rsidRPr="00BB1B6C" w:rsidRDefault="00BB1B6C" w:rsidP="00BB1B6C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BB1B6C">
        <w:rPr>
          <w:rFonts w:eastAsia="Times New Roman" w:cs="Arial"/>
          <w:color w:val="000000"/>
          <w:lang w:eastAsia="bg-BG"/>
        </w:rPr>
        <w:t>Дозирането трябва да се провежда индивидуално под наблюдение на кардиолог с непрекъснат ЕКГ запис и контрол на кръвното налягане.</w:t>
      </w:r>
    </w:p>
    <w:p w14:paraId="4BE07BEB" w14:textId="77777777" w:rsidR="00BB1B6C" w:rsidRPr="00BB1B6C" w:rsidRDefault="00BB1B6C" w:rsidP="00BB1B6C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BB1B6C">
        <w:rPr>
          <w:rFonts w:eastAsia="Times New Roman" w:cs="Arial"/>
          <w:color w:val="000000"/>
          <w:lang w:eastAsia="bg-BG"/>
        </w:rPr>
        <w:t xml:space="preserve">По време на лечението е необходимо да се провеждат контролни прегледи, например: през 1 месец- стандартно ЕКГ, респективно през 3 месеца - </w:t>
      </w:r>
      <w:proofErr w:type="spellStart"/>
      <w:r w:rsidRPr="00BB1B6C">
        <w:rPr>
          <w:rFonts w:eastAsia="Times New Roman" w:cs="Arial"/>
          <w:color w:val="000000"/>
          <w:lang w:val="en-US"/>
        </w:rPr>
        <w:t>Holter</w:t>
      </w:r>
      <w:proofErr w:type="spellEnd"/>
      <w:r w:rsidRPr="00BB1B6C">
        <w:rPr>
          <w:rFonts w:eastAsia="Times New Roman" w:cs="Arial"/>
          <w:color w:val="000000"/>
          <w:lang w:val="en-US"/>
        </w:rPr>
        <w:t xml:space="preserve"> </w:t>
      </w:r>
      <w:r w:rsidRPr="00BB1B6C">
        <w:rPr>
          <w:rFonts w:eastAsia="Times New Roman" w:cs="Arial"/>
          <w:color w:val="000000"/>
          <w:lang w:eastAsia="bg-BG"/>
        </w:rPr>
        <w:t xml:space="preserve">ЕКГ и в дадени случаи - ЕКГ при натоварване. При влошаване на някои параметри, например удължаване на </w:t>
      </w:r>
      <w:r w:rsidRPr="00BB1B6C">
        <w:rPr>
          <w:rFonts w:eastAsia="Times New Roman" w:cs="Arial"/>
          <w:color w:val="000000"/>
          <w:lang w:val="en-US"/>
        </w:rPr>
        <w:t xml:space="preserve">QRS </w:t>
      </w:r>
      <w:r w:rsidRPr="00BB1B6C">
        <w:rPr>
          <w:rFonts w:eastAsia="Times New Roman" w:cs="Arial"/>
          <w:color w:val="000000"/>
          <w:lang w:eastAsia="bg-BG"/>
        </w:rPr>
        <w:t xml:space="preserve">интервала, респективно </w:t>
      </w:r>
      <w:r w:rsidRPr="00BB1B6C">
        <w:rPr>
          <w:rFonts w:eastAsia="Times New Roman" w:cs="Arial"/>
          <w:color w:val="000000"/>
          <w:lang w:val="en-US"/>
        </w:rPr>
        <w:t>QT</w:t>
      </w:r>
      <w:r w:rsidRPr="00BB1B6C">
        <w:rPr>
          <w:rFonts w:eastAsia="Times New Roman" w:cs="Arial"/>
          <w:color w:val="000000"/>
          <w:lang w:eastAsia="bg-BG"/>
        </w:rPr>
        <w:t xml:space="preserve">-интервала с повече от 25% или на </w:t>
      </w:r>
      <w:r w:rsidRPr="00BB1B6C">
        <w:rPr>
          <w:rFonts w:eastAsia="Times New Roman" w:cs="Arial"/>
          <w:color w:val="000000"/>
          <w:lang w:val="en-US"/>
        </w:rPr>
        <w:t>PQ</w:t>
      </w:r>
      <w:r w:rsidRPr="00BB1B6C">
        <w:rPr>
          <w:rFonts w:eastAsia="Times New Roman" w:cs="Arial"/>
          <w:color w:val="000000"/>
          <w:lang w:eastAsia="bg-BG"/>
        </w:rPr>
        <w:t xml:space="preserve">-интервала с повече от </w:t>
      </w:r>
      <w:r w:rsidRPr="00BB1B6C">
        <w:rPr>
          <w:rFonts w:eastAsia="Times New Roman" w:cs="Arial"/>
          <w:color w:val="000000"/>
          <w:lang w:eastAsia="bg-BG"/>
        </w:rPr>
        <w:lastRenderedPageBreak/>
        <w:t>50%, респективно</w:t>
      </w:r>
      <w:r w:rsidRPr="00BB1B6C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  <w:r w:rsidRPr="00BB1B6C">
        <w:rPr>
          <w:rFonts w:eastAsia="Times New Roman" w:cs="Arial"/>
          <w:color w:val="000000"/>
          <w:lang w:eastAsia="bg-BG"/>
        </w:rPr>
        <w:t xml:space="preserve">удължаване на </w:t>
      </w:r>
      <w:r w:rsidRPr="00BB1B6C">
        <w:rPr>
          <w:rFonts w:eastAsia="Times New Roman" w:cs="Arial"/>
          <w:color w:val="000000"/>
          <w:lang w:val="en-US"/>
        </w:rPr>
        <w:t>QT-</w:t>
      </w:r>
      <w:r w:rsidRPr="00BB1B6C">
        <w:rPr>
          <w:rFonts w:eastAsia="Times New Roman" w:cs="Arial"/>
          <w:color w:val="000000"/>
          <w:lang w:eastAsia="bg-BG"/>
        </w:rPr>
        <w:t>интервала до повече от 500 милисекунди, или нарастване на броя или тежестта на ритъмните нарушения, терапията трябва да се преоцени.</w:t>
      </w:r>
    </w:p>
    <w:p w14:paraId="7DFECE38" w14:textId="77777777" w:rsidR="00BB1B6C" w:rsidRPr="00BB1B6C" w:rsidRDefault="00BB1B6C" w:rsidP="00BB1B6C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BB1B6C">
        <w:rPr>
          <w:rFonts w:eastAsia="Times New Roman" w:cs="Arial"/>
          <w:color w:val="000000"/>
          <w:u w:val="single"/>
          <w:lang w:eastAsia="bg-BG"/>
        </w:rPr>
        <w:t>Възрастни:</w:t>
      </w:r>
    </w:p>
    <w:p w14:paraId="5A7AAEE6" w14:textId="47DFC2AE" w:rsidR="00BB1B6C" w:rsidRPr="00BB1B6C" w:rsidRDefault="00BB1B6C" w:rsidP="00BB1B6C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BB1B6C">
        <w:rPr>
          <w:rFonts w:eastAsia="Times New Roman" w:cs="Arial"/>
          <w:color w:val="000000"/>
          <w:lang w:eastAsia="bg-BG"/>
        </w:rPr>
        <w:t xml:space="preserve">Като начално и поддържащо лечение на пациенти с тегло около 70 кг се препоръчва дневна доза от 450 </w:t>
      </w:r>
      <w:r w:rsidRPr="00BB1B6C">
        <w:rPr>
          <w:rFonts w:eastAsia="Times New Roman" w:cs="Arial"/>
          <w:color w:val="000000"/>
          <w:lang w:val="en-US"/>
        </w:rPr>
        <w:t xml:space="preserve">mg, </w:t>
      </w:r>
      <w:r w:rsidRPr="00BB1B6C">
        <w:rPr>
          <w:rFonts w:eastAsia="Times New Roman" w:cs="Arial"/>
          <w:color w:val="000000"/>
          <w:lang w:eastAsia="bg-BG"/>
        </w:rPr>
        <w:t xml:space="preserve">разделена на 3 приема през 8 часов интервал. При необходимост и отсъствие на терапевтичен ефект дозата може постепенно да се повишва през 3-4 дневен интердаиъдлмаксимална доза от 900 </w:t>
      </w:r>
      <w:r w:rsidRPr="00BB1B6C">
        <w:rPr>
          <w:rFonts w:eastAsia="Times New Roman" w:cs="Arial"/>
          <w:color w:val="000000"/>
          <w:lang w:val="en-US"/>
        </w:rPr>
        <w:t xml:space="preserve">mg </w:t>
      </w:r>
      <w:r w:rsidRPr="00BB1B6C">
        <w:rPr>
          <w:rFonts w:eastAsia="Times New Roman" w:cs="Arial"/>
          <w:color w:val="000000"/>
          <w:lang w:eastAsia="bg-BG"/>
        </w:rPr>
        <w:t>разделени на 3 приема през 8-часов интервал. При пациенти с по-ниско телесно тегло дневните дози</w:t>
      </w:r>
      <w:r w:rsidRPr="00BB1B6C">
        <w:rPr>
          <w:rFonts w:eastAsia="Times New Roman" w:cs="Arial"/>
          <w:sz w:val="24"/>
          <w:szCs w:val="24"/>
          <w:lang w:eastAsia="bg-BG"/>
        </w:rPr>
        <w:t xml:space="preserve"> </w:t>
      </w:r>
      <w:r w:rsidRPr="00BB1B6C">
        <w:rPr>
          <w:rFonts w:eastAsia="Times New Roman" w:cs="Arial"/>
          <w:color w:val="000000"/>
          <w:lang w:eastAsia="bg-BG"/>
        </w:rPr>
        <w:t>трябва да се понижат.</w:t>
      </w:r>
    </w:p>
    <w:p w14:paraId="7428B0AC" w14:textId="24EE4B14" w:rsidR="00BB1B6C" w:rsidRPr="00BB1B6C" w:rsidRDefault="00BB1B6C" w:rsidP="00BB1B6C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BB1B6C">
        <w:rPr>
          <w:rFonts w:eastAsia="Times New Roman" w:cs="Arial"/>
          <w:color w:val="000000"/>
          <w:lang w:eastAsia="bg-BG"/>
        </w:rPr>
        <w:t xml:space="preserve">В случаи на значително удължаване на </w:t>
      </w:r>
      <w:r w:rsidRPr="00BB1B6C">
        <w:rPr>
          <w:rFonts w:eastAsia="Times New Roman" w:cs="Arial"/>
          <w:color w:val="000000"/>
          <w:lang w:val="en-US"/>
        </w:rPr>
        <w:t>QRS</w:t>
      </w:r>
      <w:r w:rsidRPr="00BB1B6C">
        <w:rPr>
          <w:rFonts w:eastAsia="Times New Roman" w:cs="Arial"/>
          <w:color w:val="000000"/>
          <w:lang w:eastAsia="bg-BG"/>
        </w:rPr>
        <w:t xml:space="preserve">-интервала или поява на </w:t>
      </w:r>
      <w:r w:rsidRPr="00BB1B6C">
        <w:rPr>
          <w:rFonts w:eastAsia="Times New Roman" w:cs="Arial"/>
          <w:color w:val="000000"/>
          <w:lang w:val="en-US"/>
        </w:rPr>
        <w:t>AV-</w:t>
      </w:r>
      <w:r w:rsidRPr="00BB1B6C">
        <w:rPr>
          <w:rFonts w:eastAsia="Times New Roman" w:cs="Arial"/>
          <w:color w:val="000000"/>
          <w:lang w:eastAsia="bg-BG"/>
        </w:rPr>
        <w:t>блок II или III степен, дозата</w:t>
      </w:r>
      <w:r w:rsidRPr="00BB1B6C">
        <w:rPr>
          <w:rFonts w:eastAsia="Times New Roman" w:cs="Arial"/>
          <w:sz w:val="24"/>
          <w:szCs w:val="24"/>
          <w:lang w:eastAsia="bg-BG"/>
        </w:rPr>
        <w:t xml:space="preserve"> </w:t>
      </w:r>
      <w:r w:rsidRPr="00BB1B6C">
        <w:rPr>
          <w:rFonts w:eastAsia="Times New Roman" w:cs="Arial"/>
          <w:color w:val="000000"/>
          <w:lang w:eastAsia="bg-BG"/>
        </w:rPr>
        <w:t xml:space="preserve">трябва да се понижи или терапията да се преустанови до нормализиране на ЕКГ. </w:t>
      </w:r>
    </w:p>
    <w:p w14:paraId="475300EC" w14:textId="580EBEB4" w:rsidR="0091385D" w:rsidRPr="00BB1B6C" w:rsidRDefault="00BB1B6C" w:rsidP="00BB1B6C">
      <w:pPr>
        <w:rPr>
          <w:rFonts w:cs="Arial"/>
        </w:rPr>
      </w:pPr>
      <w:r w:rsidRPr="00BB1B6C">
        <w:rPr>
          <w:rFonts w:eastAsia="Times New Roman" w:cs="Arial"/>
          <w:color w:val="000000"/>
          <w:u w:val="single"/>
          <w:lang w:eastAsia="bg-BG"/>
        </w:rPr>
        <w:t>Деца</w:t>
      </w:r>
    </w:p>
    <w:p w14:paraId="192AFADF" w14:textId="77777777" w:rsidR="00BB1B6C" w:rsidRPr="00BB1B6C" w:rsidRDefault="00BB1B6C" w:rsidP="00BB1B6C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BB1B6C">
        <w:rPr>
          <w:rFonts w:eastAsia="Times New Roman" w:cs="Arial"/>
          <w:color w:val="000000"/>
          <w:lang w:eastAsia="bg-BG"/>
        </w:rPr>
        <w:t xml:space="preserve">Предлаганите дозоваи формаи Ритмокард филмирани таблетки 150 </w:t>
      </w:r>
      <w:r w:rsidRPr="00BB1B6C">
        <w:rPr>
          <w:rFonts w:eastAsia="Times New Roman" w:cs="Arial"/>
          <w:color w:val="000000"/>
          <w:lang w:val="en-US"/>
        </w:rPr>
        <w:t xml:space="preserve">mg </w:t>
      </w:r>
      <w:r w:rsidRPr="00BB1B6C">
        <w:rPr>
          <w:rFonts w:eastAsia="Times New Roman" w:cs="Arial"/>
          <w:color w:val="000000"/>
          <w:lang w:eastAsia="bg-BG"/>
        </w:rPr>
        <w:t xml:space="preserve">и 300 </w:t>
      </w:r>
      <w:r w:rsidRPr="00BB1B6C">
        <w:rPr>
          <w:rFonts w:eastAsia="Times New Roman" w:cs="Arial"/>
          <w:color w:val="000000"/>
          <w:lang w:val="en-US"/>
        </w:rPr>
        <w:t xml:space="preserve">mg </w:t>
      </w:r>
      <w:r w:rsidRPr="00BB1B6C">
        <w:rPr>
          <w:rFonts w:eastAsia="Times New Roman" w:cs="Arial"/>
          <w:color w:val="000000"/>
          <w:lang w:eastAsia="bg-BG"/>
        </w:rPr>
        <w:t>не са подходящи за правилно дозиране при деца.</w:t>
      </w:r>
    </w:p>
    <w:p w14:paraId="20E70518" w14:textId="75B3ED15" w:rsidR="00BB1B6C" w:rsidRPr="00BB1B6C" w:rsidRDefault="00BB1B6C" w:rsidP="00BB1B6C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BB1B6C">
        <w:rPr>
          <w:rFonts w:eastAsia="Times New Roman" w:cs="Arial"/>
          <w:color w:val="000000"/>
          <w:u w:val="single"/>
          <w:lang w:eastAsia="bg-BG"/>
        </w:rPr>
        <w:t>Други категории пациенти</w:t>
      </w:r>
    </w:p>
    <w:p w14:paraId="59BB3984" w14:textId="77777777" w:rsidR="00BB1B6C" w:rsidRPr="00BB1B6C" w:rsidRDefault="00BB1B6C" w:rsidP="00BB1B6C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BB1B6C">
        <w:rPr>
          <w:rFonts w:eastAsia="Times New Roman" w:cs="Arial"/>
          <w:i/>
          <w:iCs/>
          <w:color w:val="000000"/>
          <w:lang w:eastAsia="bg-BG"/>
        </w:rPr>
        <w:t>Пациенти в напреднала възраст</w:t>
      </w:r>
    </w:p>
    <w:p w14:paraId="7E9A67F2" w14:textId="77777777" w:rsidR="00BB1B6C" w:rsidRPr="00BB1B6C" w:rsidRDefault="00BB1B6C" w:rsidP="00BB1B6C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BB1B6C">
        <w:rPr>
          <w:rFonts w:eastAsia="Times New Roman" w:cs="Arial"/>
          <w:color w:val="000000"/>
          <w:lang w:eastAsia="bg-BG"/>
        </w:rPr>
        <w:t>При пациенти в напреднала възраст или такива със значително увредена миокардна функция дозирането на пропафенон трябва да се извършва особено внимателно. При тези пациенти не се препоръчва увеличаване на дозата преди да е изминал интервал от около 5-8 дни.</w:t>
      </w:r>
    </w:p>
    <w:p w14:paraId="0492BDCE" w14:textId="07AF9356" w:rsidR="00BB1B6C" w:rsidRPr="00BB1B6C" w:rsidRDefault="00BB1B6C" w:rsidP="00BB1B6C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BB1B6C">
        <w:rPr>
          <w:rFonts w:eastAsia="Times New Roman" w:cs="Arial"/>
          <w:i/>
          <w:iCs/>
          <w:color w:val="000000"/>
          <w:lang w:eastAsia="bg-BG"/>
        </w:rPr>
        <w:t>Пациенти с увредена чернодробна и/или бъбречна функция</w:t>
      </w:r>
    </w:p>
    <w:p w14:paraId="0C884A4D" w14:textId="77777777" w:rsidR="00BB1B6C" w:rsidRPr="00BB1B6C" w:rsidRDefault="00BB1B6C" w:rsidP="00BB1B6C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BB1B6C">
        <w:rPr>
          <w:rFonts w:eastAsia="Times New Roman" w:cs="Arial"/>
          <w:color w:val="000000"/>
          <w:lang w:eastAsia="bg-BG"/>
        </w:rPr>
        <w:t>При увреждане на чернодробната и/или бъбречната функция може да се стигне до кумулиране на пропафенон в терапевтични дози. При такива пациенти пропафенон трябва да се прилага под ЕКГ контрол и при едновременно проследяване на плазмените концентрации на продукта.</w:t>
      </w:r>
    </w:p>
    <w:p w14:paraId="639723DE" w14:textId="77777777" w:rsidR="00BB1B6C" w:rsidRPr="00BB1B6C" w:rsidRDefault="00BB1B6C" w:rsidP="00BB1B6C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BB1B6C">
        <w:rPr>
          <w:rFonts w:eastAsia="Times New Roman" w:cs="Arial"/>
          <w:color w:val="000000"/>
          <w:lang w:eastAsia="bg-BG"/>
        </w:rPr>
        <w:t>При пациенти с нарушена чернодробна функция дозата е 20-30% от дозата прилагана при пациенти с нормална функция.</w:t>
      </w:r>
    </w:p>
    <w:p w14:paraId="6ACAF645" w14:textId="3847E8D2" w:rsidR="0091385D" w:rsidRPr="00BB1B6C" w:rsidRDefault="00BB1B6C" w:rsidP="00BB1B6C">
      <w:pPr>
        <w:rPr>
          <w:rFonts w:cs="Arial"/>
        </w:rPr>
      </w:pPr>
      <w:r w:rsidRPr="00BB1B6C">
        <w:rPr>
          <w:rFonts w:eastAsia="Times New Roman" w:cs="Arial"/>
          <w:color w:val="000000"/>
          <w:lang w:eastAsia="bg-BG"/>
        </w:rPr>
        <w:t>Таблетките трябва да се приемат цели (да не се смучат или дъвчат), след хранене с достатъчно количество течност.</w:t>
      </w:r>
    </w:p>
    <w:p w14:paraId="20721691" w14:textId="77777777" w:rsidR="00BB1B6C" w:rsidRPr="0091385D" w:rsidRDefault="00BB1B6C" w:rsidP="0091385D"/>
    <w:p w14:paraId="28C984E8" w14:textId="0756AE28" w:rsidR="008134C8" w:rsidRDefault="002C50EE" w:rsidP="004A448E">
      <w:pPr>
        <w:pStyle w:val="Heading2"/>
      </w:pPr>
      <w:r>
        <w:t>4.3. Противопоказания</w:t>
      </w:r>
    </w:p>
    <w:p w14:paraId="2363D607" w14:textId="48168570" w:rsidR="0091385D" w:rsidRDefault="0091385D" w:rsidP="0091385D"/>
    <w:p w14:paraId="5F1F2CAC" w14:textId="77777777" w:rsidR="00BB1B6C" w:rsidRDefault="00BB1B6C" w:rsidP="00BB1B6C">
      <w:pPr>
        <w:pStyle w:val="ListParagraph"/>
        <w:numPr>
          <w:ilvl w:val="0"/>
          <w:numId w:val="36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BB1B6C">
        <w:rPr>
          <w:rFonts w:eastAsia="Times New Roman" w:cs="Arial"/>
          <w:color w:val="000000"/>
          <w:lang w:eastAsia="bg-BG"/>
        </w:rPr>
        <w:t>Свръхчувствителност към активното вещество или някое от помощните вещества;</w:t>
      </w:r>
    </w:p>
    <w:p w14:paraId="0EA73D3A" w14:textId="77777777" w:rsidR="00BB1B6C" w:rsidRDefault="00BB1B6C" w:rsidP="00BB1B6C">
      <w:pPr>
        <w:pStyle w:val="ListParagraph"/>
        <w:numPr>
          <w:ilvl w:val="0"/>
          <w:numId w:val="36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BB1B6C">
        <w:rPr>
          <w:rFonts w:eastAsia="Times New Roman" w:cs="Arial"/>
          <w:color w:val="000000"/>
          <w:lang w:eastAsia="bg-BG"/>
        </w:rPr>
        <w:t>Манифестна сърдечна недостатъчност;</w:t>
      </w:r>
    </w:p>
    <w:p w14:paraId="5E4DBDDA" w14:textId="77777777" w:rsidR="00BB1B6C" w:rsidRDefault="00BB1B6C" w:rsidP="00BB1B6C">
      <w:pPr>
        <w:pStyle w:val="ListParagraph"/>
        <w:numPr>
          <w:ilvl w:val="0"/>
          <w:numId w:val="36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BB1B6C">
        <w:rPr>
          <w:rFonts w:eastAsia="Times New Roman" w:cs="Arial"/>
          <w:color w:val="000000"/>
          <w:lang w:eastAsia="bg-BG"/>
        </w:rPr>
        <w:t>Кардиогенен шок (освен, ако е предизвикан от ритъмно нарушение);</w:t>
      </w:r>
    </w:p>
    <w:p w14:paraId="5C831F54" w14:textId="77777777" w:rsidR="00BB1B6C" w:rsidRDefault="00BB1B6C" w:rsidP="00BB1B6C">
      <w:pPr>
        <w:pStyle w:val="ListParagraph"/>
        <w:numPr>
          <w:ilvl w:val="0"/>
          <w:numId w:val="36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BB1B6C">
        <w:rPr>
          <w:rFonts w:eastAsia="Times New Roman" w:cs="Arial"/>
          <w:color w:val="000000"/>
          <w:lang w:eastAsia="bg-BG"/>
        </w:rPr>
        <w:t>Тежка симптоматична брадикардия;</w:t>
      </w:r>
    </w:p>
    <w:p w14:paraId="18515BBF" w14:textId="77777777" w:rsidR="00BB1B6C" w:rsidRDefault="00BB1B6C" w:rsidP="00BB1B6C">
      <w:pPr>
        <w:pStyle w:val="ListParagraph"/>
        <w:numPr>
          <w:ilvl w:val="0"/>
          <w:numId w:val="36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BB1B6C">
        <w:rPr>
          <w:rFonts w:eastAsia="Times New Roman" w:cs="Arial"/>
          <w:color w:val="000000"/>
          <w:lang w:eastAsia="bg-BG"/>
        </w:rPr>
        <w:t>През първите 3 месеца след прекаран инфаркт на миокарда или при намалена сърдечна функция (фракция на изтласкване на лява камера под 35%), освен при пациенти с животозастрашаващи камерни аритмии;</w:t>
      </w:r>
    </w:p>
    <w:p w14:paraId="4E33B271" w14:textId="77777777" w:rsidR="00BB1B6C" w:rsidRDefault="00BB1B6C" w:rsidP="00BB1B6C">
      <w:pPr>
        <w:pStyle w:val="ListParagraph"/>
        <w:numPr>
          <w:ilvl w:val="0"/>
          <w:numId w:val="36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BB1B6C">
        <w:rPr>
          <w:rFonts w:eastAsia="Times New Roman" w:cs="Arial"/>
          <w:color w:val="000000"/>
          <w:lang w:eastAsia="bg-BG"/>
        </w:rPr>
        <w:t xml:space="preserve">Синуатриални, атриовентрикуларни и камерни нарушения в провеждане на сърдечните импулси </w:t>
      </w:r>
      <w:r w:rsidRPr="00BB1B6C">
        <w:rPr>
          <w:rFonts w:eastAsia="Times New Roman" w:cs="Arial"/>
          <w:color w:val="000000"/>
          <w:lang w:val="en-US"/>
        </w:rPr>
        <w:t>(AV</w:t>
      </w:r>
      <w:r w:rsidRPr="00BB1B6C">
        <w:rPr>
          <w:rFonts w:eastAsia="Times New Roman" w:cs="Arial"/>
          <w:color w:val="000000"/>
          <w:lang w:eastAsia="bg-BG"/>
        </w:rPr>
        <w:t>-блок II-III степен, синдром на болния синусов възел) при отсъствие на пейсмейкър;</w:t>
      </w:r>
    </w:p>
    <w:p w14:paraId="555383EC" w14:textId="77777777" w:rsidR="00BB1B6C" w:rsidRDefault="00BB1B6C" w:rsidP="00BB1B6C">
      <w:pPr>
        <w:pStyle w:val="ListParagraph"/>
        <w:numPr>
          <w:ilvl w:val="0"/>
          <w:numId w:val="36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BB1B6C">
        <w:rPr>
          <w:rFonts w:eastAsia="Times New Roman" w:cs="Arial"/>
          <w:color w:val="000000"/>
          <w:lang w:eastAsia="bg-BG"/>
        </w:rPr>
        <w:t>Клинично значими нарушения в електролитното равновесие - напр. в метаболизма на калия;</w:t>
      </w:r>
    </w:p>
    <w:p w14:paraId="54D812C6" w14:textId="76DFC871" w:rsidR="00BB1B6C" w:rsidRDefault="00BB1B6C" w:rsidP="00BB1B6C">
      <w:pPr>
        <w:pStyle w:val="ListParagraph"/>
        <w:numPr>
          <w:ilvl w:val="0"/>
          <w:numId w:val="36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BB1B6C">
        <w:rPr>
          <w:rFonts w:eastAsia="Times New Roman" w:cs="Arial"/>
          <w:color w:val="000000"/>
          <w:lang w:eastAsia="bg-BG"/>
        </w:rPr>
        <w:t>Тежки об</w:t>
      </w:r>
      <w:r>
        <w:rPr>
          <w:rFonts w:eastAsia="Times New Roman" w:cs="Arial"/>
          <w:color w:val="000000"/>
          <w:lang w:eastAsia="bg-BG"/>
        </w:rPr>
        <w:t xml:space="preserve">структивни заболявания на белия </w:t>
      </w:r>
      <w:r w:rsidRPr="00BB1B6C">
        <w:rPr>
          <w:rFonts w:eastAsia="Times New Roman" w:cs="Arial"/>
          <w:color w:val="000000"/>
          <w:lang w:eastAsia="bg-BG"/>
        </w:rPr>
        <w:t>дроб;</w:t>
      </w:r>
    </w:p>
    <w:p w14:paraId="39E2F871" w14:textId="05CAEC4E" w:rsidR="00BB1B6C" w:rsidRPr="00BB1B6C" w:rsidRDefault="00BB1B6C" w:rsidP="00BB1B6C">
      <w:pPr>
        <w:pStyle w:val="ListParagraph"/>
        <w:numPr>
          <w:ilvl w:val="0"/>
          <w:numId w:val="36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BB1B6C">
        <w:rPr>
          <w:rFonts w:eastAsia="Times New Roman" w:cs="Arial"/>
          <w:color w:val="000000"/>
          <w:lang w:eastAsia="bg-BG"/>
        </w:rPr>
        <w:t>Изразена хипотония;</w:t>
      </w:r>
    </w:p>
    <w:p w14:paraId="2309EAB0" w14:textId="5361E1CA" w:rsidR="0091385D" w:rsidRPr="00BB1B6C" w:rsidRDefault="00BB1B6C" w:rsidP="00BB1B6C">
      <w:pPr>
        <w:pStyle w:val="ListParagraph"/>
        <w:numPr>
          <w:ilvl w:val="0"/>
          <w:numId w:val="36"/>
        </w:numPr>
        <w:rPr>
          <w:rFonts w:cs="Arial"/>
        </w:rPr>
      </w:pPr>
      <w:r w:rsidRPr="00BB1B6C">
        <w:rPr>
          <w:rFonts w:eastAsia="Times New Roman" w:cs="Arial"/>
          <w:color w:val="000000"/>
          <w:lang w:eastAsia="bg-BG"/>
        </w:rPr>
        <w:t>Миастения гравис.</w:t>
      </w:r>
    </w:p>
    <w:p w14:paraId="31B39DC6" w14:textId="77777777" w:rsidR="0091385D" w:rsidRPr="0091385D" w:rsidRDefault="0091385D" w:rsidP="0091385D"/>
    <w:p w14:paraId="212F509C" w14:textId="52B87D4F" w:rsidR="004F498A" w:rsidRDefault="002C50EE" w:rsidP="004A448E">
      <w:pPr>
        <w:pStyle w:val="Heading2"/>
      </w:pPr>
      <w:r>
        <w:lastRenderedPageBreak/>
        <w:t>4.4. Специални предупреждения и предпазни мерки при употреба</w:t>
      </w:r>
    </w:p>
    <w:p w14:paraId="0AAC2B60" w14:textId="0A08B607" w:rsidR="0091385D" w:rsidRDefault="0091385D" w:rsidP="0091385D"/>
    <w:p w14:paraId="4089FBAD" w14:textId="77777777" w:rsidR="00BB1B6C" w:rsidRDefault="00BB1B6C" w:rsidP="00BB1B6C">
      <w:pPr>
        <w:pStyle w:val="ListParagraph"/>
        <w:numPr>
          <w:ilvl w:val="0"/>
          <w:numId w:val="37"/>
        </w:numPr>
        <w:spacing w:line="240" w:lineRule="auto"/>
      </w:pPr>
      <w:r>
        <w:t>При пациенти с ограничена левокамерна функция (левокамерен обем на изтласкаване под 35%) или структурни заболявания на миокарда (напр.значима левокамерна хипертрофия), дозите трябва да се назначават много внимателно и постепенно. По този начин се намалява рискът от евентуални проаритмични ефекти в началните фази от лечението.</w:t>
      </w:r>
    </w:p>
    <w:p w14:paraId="22292A5C" w14:textId="77777777" w:rsidR="00BB1B6C" w:rsidRDefault="00BB1B6C" w:rsidP="00BB1B6C">
      <w:pPr>
        <w:pStyle w:val="ListParagraph"/>
        <w:numPr>
          <w:ilvl w:val="0"/>
          <w:numId w:val="37"/>
        </w:numPr>
        <w:spacing w:line="240" w:lineRule="auto"/>
      </w:pPr>
      <w:r>
        <w:t>По време на терапия с пропафенон честотата и чувствителността на сърдечните пейсмейкъри могат да се променят. Функцията на пейсмейкъра трябва да се провери и ако е необходимо, да се препрограмира.</w:t>
      </w:r>
    </w:p>
    <w:p w14:paraId="571967B4" w14:textId="77777777" w:rsidR="00BB1B6C" w:rsidRDefault="00BB1B6C" w:rsidP="00BB1B6C">
      <w:pPr>
        <w:pStyle w:val="ListParagraph"/>
        <w:numPr>
          <w:ilvl w:val="0"/>
          <w:numId w:val="37"/>
        </w:numPr>
        <w:spacing w:line="240" w:lineRule="auto"/>
      </w:pPr>
      <w:r>
        <w:t>Какт</w:t>
      </w:r>
      <w:r>
        <w:t>о е и с другите антиаритмичени продукти от клас 1С при пациенти със структурни сърдечни заболявания лечението с пропафенон може да повиши риска от поява на нежелани ефекти. Поради липсата на доказателства, че тези продукти подобряват средната продължителност на живота, препоръката е те да се избягват при пациенти с неживотозастрашаващи камерни аритмии.</w:t>
      </w:r>
    </w:p>
    <w:p w14:paraId="32D0971F" w14:textId="77777777" w:rsidR="00BB1B6C" w:rsidRPr="00BB1B6C" w:rsidRDefault="00BB1B6C" w:rsidP="00BB1B6C">
      <w:pPr>
        <w:pStyle w:val="ListParagraph"/>
        <w:numPr>
          <w:ilvl w:val="0"/>
          <w:numId w:val="37"/>
        </w:numPr>
        <w:spacing w:line="240" w:lineRule="auto"/>
      </w:pPr>
      <w:r>
        <w:t>При лечение на пароксизмално предсърдно мъждене, то често може да премине в трептене с провеждане 2:1 или 1:1 и е възможно да се развие много висока сърдечна честота (&gt;180 удара</w:t>
      </w:r>
      <w:r w:rsidRPr="00BB1B6C">
        <w:rPr>
          <w:lang w:val="en-US"/>
        </w:rPr>
        <w:t>/min).</w:t>
      </w:r>
    </w:p>
    <w:p w14:paraId="7FB61F78" w14:textId="77777777" w:rsidR="00BB1B6C" w:rsidRDefault="00BB1B6C" w:rsidP="00BB1B6C">
      <w:pPr>
        <w:pStyle w:val="ListParagraph"/>
        <w:numPr>
          <w:ilvl w:val="0"/>
          <w:numId w:val="37"/>
        </w:numPr>
        <w:spacing w:line="240" w:lineRule="auto"/>
      </w:pPr>
      <w:r>
        <w:t>Поради наличието на бета-блокиращ ефект, пропафенон е необходимо да се назначава особено внимателно при пациенти с бронхообструктивни заболявания или астма.</w:t>
      </w:r>
    </w:p>
    <w:p w14:paraId="6C280BD9" w14:textId="77777777" w:rsidR="00BB1B6C" w:rsidRDefault="00BB1B6C" w:rsidP="0091385D">
      <w:pPr>
        <w:pStyle w:val="ListParagraph"/>
        <w:numPr>
          <w:ilvl w:val="0"/>
          <w:numId w:val="37"/>
        </w:numPr>
        <w:spacing w:line="240" w:lineRule="auto"/>
      </w:pPr>
      <w:r>
        <w:t>Пропафенон трябва да се прилага с повишено внимание при пациенти с нарушена чернодробна</w:t>
      </w:r>
      <w:r>
        <w:t xml:space="preserve"> </w:t>
      </w:r>
      <w:r>
        <w:t>и/или бъбречна функция и при пациенти на хемодиализа.</w:t>
      </w:r>
    </w:p>
    <w:p w14:paraId="0FD34595" w14:textId="0C888376" w:rsidR="00BB1B6C" w:rsidRPr="00BB1B6C" w:rsidRDefault="00BB1B6C" w:rsidP="0091385D">
      <w:pPr>
        <w:pStyle w:val="ListParagraph"/>
        <w:numPr>
          <w:ilvl w:val="0"/>
          <w:numId w:val="37"/>
        </w:numPr>
        <w:spacing w:line="240" w:lineRule="auto"/>
      </w:pPr>
      <w:r w:rsidRPr="00BB1B6C">
        <w:t>В състава на лекарствения продукт е включено пшенично нишесте. Пшеничното нишесте може да съдържа глутен, но само в незначително количество, и поради това се счита безопасно за хора с цьолиакия (глутенова ентеропатия).</w:t>
      </w:r>
    </w:p>
    <w:p w14:paraId="0E8583C8" w14:textId="77777777" w:rsidR="00BB1B6C" w:rsidRPr="0091385D" w:rsidRDefault="00BB1B6C" w:rsidP="0091385D"/>
    <w:p w14:paraId="619DED1E" w14:textId="564F257F" w:rsidR="004F498A" w:rsidRDefault="002C50EE" w:rsidP="004A448E">
      <w:pPr>
        <w:pStyle w:val="Heading2"/>
      </w:pPr>
      <w:r>
        <w:t>4.5. Взаимодействие с други лекарствени продукти и други форми на</w:t>
      </w:r>
      <w:r w:rsidR="004F1CE7" w:rsidRPr="004F1CE7">
        <w:rPr>
          <w:lang w:val="ru-RU"/>
        </w:rPr>
        <w:t xml:space="preserve"> </w:t>
      </w:r>
      <w:r w:rsidR="004F1CE7">
        <w:t>взаимодействие</w:t>
      </w:r>
      <w:r>
        <w:t xml:space="preserve"> </w:t>
      </w:r>
    </w:p>
    <w:p w14:paraId="355E4B7C" w14:textId="7D829F6C" w:rsidR="0091385D" w:rsidRDefault="0091385D" w:rsidP="0091385D"/>
    <w:p w14:paraId="446B51C8" w14:textId="77777777" w:rsidR="00BB1B6C" w:rsidRPr="00BB1B6C" w:rsidRDefault="00BB1B6C" w:rsidP="00BB1B6C">
      <w:pPr>
        <w:pStyle w:val="ListParagraph"/>
        <w:numPr>
          <w:ilvl w:val="0"/>
          <w:numId w:val="38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BB1B6C">
        <w:rPr>
          <w:rFonts w:eastAsia="Times New Roman" w:cs="Arial"/>
          <w:color w:val="000000"/>
          <w:lang w:eastAsia="bg-BG"/>
        </w:rPr>
        <w:t>При едновременната употреба на пропафенон с локални анестетици (напр. при процедури за имплантиране на пейсмейкър, хирургични или стоматологични интервенции) може да се увеличи рискът от нежелани лекарствени реакции от страна на централната нервна система.</w:t>
      </w:r>
    </w:p>
    <w:p w14:paraId="326061D4" w14:textId="77777777" w:rsidR="00BB1B6C" w:rsidRPr="00BB1B6C" w:rsidRDefault="00BB1B6C" w:rsidP="00BB1B6C">
      <w:pPr>
        <w:pStyle w:val="ListParagraph"/>
        <w:numPr>
          <w:ilvl w:val="0"/>
          <w:numId w:val="38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BB1B6C">
        <w:rPr>
          <w:rFonts w:eastAsia="Times New Roman" w:cs="Arial"/>
          <w:color w:val="000000"/>
          <w:lang w:eastAsia="bg-BG"/>
        </w:rPr>
        <w:t>В случай на едновременно прилагане на пропафенон и лидокаин интравенозно се повишава рискът от нежелани ефекти на лидокаин върху ЦНС.</w:t>
      </w:r>
    </w:p>
    <w:p w14:paraId="473F6653" w14:textId="77777777" w:rsidR="00BB1B6C" w:rsidRPr="00BB1B6C" w:rsidRDefault="00BB1B6C" w:rsidP="00BB1B6C">
      <w:pPr>
        <w:pStyle w:val="ListParagraph"/>
        <w:numPr>
          <w:ilvl w:val="0"/>
          <w:numId w:val="38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BB1B6C">
        <w:rPr>
          <w:rFonts w:eastAsia="Times New Roman" w:cs="Arial"/>
          <w:color w:val="000000"/>
          <w:lang w:eastAsia="bg-BG"/>
        </w:rPr>
        <w:t>Лекарствени продукти с потискащ ефект върху сърдечния ритъм и/или контрактилитет (бета- блокери като пропранолол, метопролол, трициклични антидепресанти, калциеви антагонисти като верапамил, дилтиазем) могат да повишат ефектите на пропафенон при едновременно приложение.</w:t>
      </w:r>
    </w:p>
    <w:p w14:paraId="20786E6A" w14:textId="77777777" w:rsidR="00BB1B6C" w:rsidRPr="00BB1B6C" w:rsidRDefault="00BB1B6C" w:rsidP="00BB1B6C">
      <w:pPr>
        <w:pStyle w:val="ListParagraph"/>
        <w:numPr>
          <w:ilvl w:val="0"/>
          <w:numId w:val="38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BB1B6C">
        <w:rPr>
          <w:rFonts w:eastAsia="Times New Roman" w:cs="Arial"/>
          <w:color w:val="000000"/>
          <w:lang w:eastAsia="bg-BG"/>
        </w:rPr>
        <w:t>Пропафенон води до дозозависимо увеличаване на серумните нива на дигоксин. Плазмените нива на дигоксин при пациенти на терапия с пропафенон трябва да се мониторират и дозата на дигоксин да бъде съответно коригирана.</w:t>
      </w:r>
    </w:p>
    <w:p w14:paraId="2261979C" w14:textId="77777777" w:rsidR="00BB1B6C" w:rsidRPr="00BB1B6C" w:rsidRDefault="00BB1B6C" w:rsidP="00BB1B6C">
      <w:pPr>
        <w:pStyle w:val="ListParagraph"/>
        <w:numPr>
          <w:ilvl w:val="0"/>
          <w:numId w:val="38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BB1B6C">
        <w:rPr>
          <w:rFonts w:eastAsia="Times New Roman" w:cs="Arial"/>
          <w:color w:val="000000"/>
          <w:lang w:eastAsia="bg-BG"/>
        </w:rPr>
        <w:t>Едновременното прилагане на пропафенон и циметидин може да доведе до 20% увеличение на плазмената концентрация на пропафенон, без значителни изменения в ЕКГ-параметрите.</w:t>
      </w:r>
    </w:p>
    <w:p w14:paraId="7ADBF773" w14:textId="77777777" w:rsidR="00BB1B6C" w:rsidRPr="00BB1B6C" w:rsidRDefault="00BB1B6C" w:rsidP="00BB1B6C">
      <w:pPr>
        <w:pStyle w:val="ListParagraph"/>
        <w:numPr>
          <w:ilvl w:val="0"/>
          <w:numId w:val="38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BB1B6C">
        <w:rPr>
          <w:rFonts w:eastAsia="Times New Roman" w:cs="Arial"/>
          <w:color w:val="000000"/>
          <w:lang w:eastAsia="bg-BG"/>
        </w:rPr>
        <w:t xml:space="preserve">При едновременно прилагане на пропафенон с орални антикоагуланти се повишават плазмените нива на антикоагуланта. Протромбиновото време също се удължава. Препоръчва се рутинно мониториране на протромбиновото време и </w:t>
      </w:r>
      <w:r w:rsidRPr="00BB1B6C">
        <w:rPr>
          <w:rFonts w:eastAsia="Times New Roman" w:cs="Arial"/>
          <w:color w:val="000000"/>
          <w:lang w:eastAsia="bg-BG"/>
        </w:rPr>
        <w:lastRenderedPageBreak/>
        <w:t>съответно корекция в дозите на антикоагуланта при едновременно лечение с пропафенон.</w:t>
      </w:r>
    </w:p>
    <w:p w14:paraId="4C122FDD" w14:textId="77777777" w:rsidR="00BB1B6C" w:rsidRPr="00BB1B6C" w:rsidRDefault="00BB1B6C" w:rsidP="00BB1B6C">
      <w:pPr>
        <w:pStyle w:val="ListParagraph"/>
        <w:numPr>
          <w:ilvl w:val="0"/>
          <w:numId w:val="38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BB1B6C">
        <w:rPr>
          <w:rFonts w:eastAsia="Times New Roman" w:cs="Arial"/>
          <w:color w:val="000000"/>
          <w:lang w:eastAsia="bg-BG"/>
        </w:rPr>
        <w:t>Пропафенон може да повиши плазмената концентрация на пропранолол, метопролол, теофилин, циклоспорин, дезипрамин при едновременното им приложение.</w:t>
      </w:r>
    </w:p>
    <w:p w14:paraId="0F3961B1" w14:textId="77777777" w:rsidR="00BB1B6C" w:rsidRPr="00BB1B6C" w:rsidRDefault="00BB1B6C" w:rsidP="00BB1B6C">
      <w:pPr>
        <w:pStyle w:val="ListParagraph"/>
        <w:numPr>
          <w:ilvl w:val="0"/>
          <w:numId w:val="38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BB1B6C">
        <w:rPr>
          <w:rFonts w:eastAsia="Times New Roman" w:cs="Arial"/>
          <w:color w:val="000000"/>
          <w:lang w:eastAsia="bg-BG"/>
        </w:rPr>
        <w:t xml:space="preserve">Прилагането на пропафенон с продукти, които се метаболизират от </w:t>
      </w:r>
      <w:r w:rsidRPr="00BB1B6C">
        <w:rPr>
          <w:rFonts w:eastAsia="Times New Roman" w:cs="Arial"/>
          <w:color w:val="000000"/>
          <w:lang w:val="en-US"/>
        </w:rPr>
        <w:t xml:space="preserve">CYP2D6 </w:t>
      </w:r>
      <w:r w:rsidRPr="00BB1B6C">
        <w:rPr>
          <w:rFonts w:eastAsia="Times New Roman" w:cs="Arial"/>
          <w:color w:val="000000"/>
          <w:lang w:eastAsia="bg-BG"/>
        </w:rPr>
        <w:t>(венлафаксин) води до повишаване на плазмените нива на тези продукти.</w:t>
      </w:r>
    </w:p>
    <w:p w14:paraId="19DB47D1" w14:textId="77777777" w:rsidR="00BB1B6C" w:rsidRPr="00BB1B6C" w:rsidRDefault="00BB1B6C" w:rsidP="00BB1B6C">
      <w:pPr>
        <w:pStyle w:val="ListParagraph"/>
        <w:numPr>
          <w:ilvl w:val="0"/>
          <w:numId w:val="38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BB1B6C">
        <w:rPr>
          <w:rFonts w:eastAsia="Times New Roman" w:cs="Arial"/>
          <w:color w:val="000000"/>
          <w:lang w:eastAsia="bg-BG"/>
        </w:rPr>
        <w:t xml:space="preserve">Лекарствени продукти, които инхибират </w:t>
      </w:r>
      <w:r w:rsidRPr="00BB1B6C">
        <w:rPr>
          <w:rFonts w:eastAsia="Times New Roman" w:cs="Arial"/>
          <w:color w:val="000000"/>
          <w:lang w:val="en-US"/>
        </w:rPr>
        <w:t xml:space="preserve">CYP2D6, CYPA2 </w:t>
      </w:r>
      <w:r w:rsidRPr="00BB1B6C">
        <w:rPr>
          <w:rFonts w:eastAsia="Times New Roman" w:cs="Arial"/>
          <w:color w:val="000000"/>
          <w:lang w:eastAsia="bg-BG"/>
        </w:rPr>
        <w:t xml:space="preserve">и </w:t>
      </w:r>
      <w:r w:rsidRPr="00BB1B6C">
        <w:rPr>
          <w:rFonts w:eastAsia="Times New Roman" w:cs="Arial"/>
          <w:color w:val="000000"/>
          <w:lang w:val="en-US"/>
        </w:rPr>
        <w:t xml:space="preserve">CYP3A4 </w:t>
      </w:r>
      <w:r w:rsidRPr="00BB1B6C">
        <w:rPr>
          <w:rFonts w:eastAsia="Times New Roman" w:cs="Arial"/>
          <w:color w:val="000000"/>
          <w:lang w:eastAsia="bg-BG"/>
        </w:rPr>
        <w:t>(като кетоконазол, циметидин, хинидин, еритромицин, сок от грейпфрут) могат да повишат плазмените нива на пропафенон. Когато пропафенон се прилага с инхибитори на тези ензими, пациентите трябва внимателно да се мониторират и при необходимост дозата да се коригира.</w:t>
      </w:r>
    </w:p>
    <w:p w14:paraId="7A2B7951" w14:textId="77777777" w:rsidR="00BB1B6C" w:rsidRPr="00BB1B6C" w:rsidRDefault="00BB1B6C" w:rsidP="00BB1B6C">
      <w:pPr>
        <w:pStyle w:val="ListParagraph"/>
        <w:numPr>
          <w:ilvl w:val="0"/>
          <w:numId w:val="38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BB1B6C">
        <w:rPr>
          <w:rFonts w:eastAsia="Times New Roman" w:cs="Arial"/>
          <w:color w:val="000000"/>
          <w:lang w:eastAsia="bg-BG"/>
        </w:rPr>
        <w:t>Лекарственият продукт не трябва да се употребява съвместно с ритонавир.</w:t>
      </w:r>
    </w:p>
    <w:p w14:paraId="172AE819" w14:textId="60A6CDA1" w:rsidR="0091385D" w:rsidRPr="00BB1B6C" w:rsidRDefault="00BB1B6C" w:rsidP="00BB1B6C">
      <w:pPr>
        <w:pStyle w:val="ListParagraph"/>
        <w:numPr>
          <w:ilvl w:val="0"/>
          <w:numId w:val="38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BB1B6C">
        <w:rPr>
          <w:rFonts w:eastAsia="Times New Roman" w:cs="Arial"/>
          <w:color w:val="000000"/>
          <w:lang w:eastAsia="bg-BG"/>
        </w:rPr>
        <w:t>Рифампицин и фенобарбитал могат да понижат плазмените нива и антиаритмичната ефективност на пропафенон при едновременна употреба.</w:t>
      </w:r>
    </w:p>
    <w:p w14:paraId="5B2761C5" w14:textId="77777777" w:rsidR="0091385D" w:rsidRPr="0091385D" w:rsidRDefault="0091385D" w:rsidP="0091385D"/>
    <w:p w14:paraId="394A7584" w14:textId="10DEA5B3" w:rsidR="004F498A" w:rsidRDefault="002C50EE" w:rsidP="004A448E">
      <w:pPr>
        <w:pStyle w:val="Heading2"/>
      </w:pPr>
      <w:r>
        <w:t>4.6. Фертилитет, бременност и кърмене</w:t>
      </w:r>
    </w:p>
    <w:p w14:paraId="4887836B" w14:textId="11C96CFA" w:rsidR="0091385D" w:rsidRDefault="0091385D" w:rsidP="0091385D"/>
    <w:p w14:paraId="3F611356" w14:textId="77777777" w:rsidR="00BB1B6C" w:rsidRPr="00BB1B6C" w:rsidRDefault="00BB1B6C" w:rsidP="00BB1B6C">
      <w:pPr>
        <w:pStyle w:val="Heading3"/>
        <w:rPr>
          <w:rFonts w:eastAsia="Times New Roman"/>
          <w:u w:val="single"/>
          <w:lang w:eastAsia="bg-BG"/>
        </w:rPr>
      </w:pPr>
      <w:r w:rsidRPr="00BB1B6C">
        <w:rPr>
          <w:rFonts w:eastAsia="Times New Roman"/>
          <w:u w:val="single"/>
          <w:lang w:eastAsia="bg-BG"/>
        </w:rPr>
        <w:t>Бременност</w:t>
      </w:r>
    </w:p>
    <w:p w14:paraId="0A2FA8F5" w14:textId="77777777" w:rsidR="00BB1B6C" w:rsidRPr="00BB1B6C" w:rsidRDefault="00BB1B6C" w:rsidP="00BB1B6C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BB1B6C">
        <w:rPr>
          <w:rFonts w:eastAsia="Times New Roman" w:cs="Arial"/>
          <w:color w:val="000000"/>
          <w:lang w:eastAsia="bg-BG"/>
        </w:rPr>
        <w:t>Няма достатъчно адекватни и добре контролирани проучвания за безопасността на пропафенон по време на бременност. При проучвания върху животни при прилагане в терапевтични дози не са наблюдавани пре- или перинатални увреждания. Употребата на пропафенон не се препоръчва при бременни, освен в случаите когато очакваната полза надвишава възможния риск за плода.</w:t>
      </w:r>
    </w:p>
    <w:p w14:paraId="617162E5" w14:textId="77777777" w:rsidR="00BB1B6C" w:rsidRPr="00BB1B6C" w:rsidRDefault="00BB1B6C" w:rsidP="00BB1B6C">
      <w:pPr>
        <w:pStyle w:val="Heading3"/>
        <w:rPr>
          <w:rFonts w:eastAsia="Times New Roman"/>
          <w:u w:val="single"/>
          <w:lang w:eastAsia="bg-BG"/>
        </w:rPr>
      </w:pPr>
      <w:r w:rsidRPr="00BB1B6C">
        <w:rPr>
          <w:rFonts w:eastAsia="Times New Roman"/>
          <w:u w:val="single"/>
          <w:lang w:eastAsia="bg-BG"/>
        </w:rPr>
        <w:t>Кърмене</w:t>
      </w:r>
    </w:p>
    <w:p w14:paraId="776662C5" w14:textId="55EBC541" w:rsidR="0091385D" w:rsidRPr="00BB1B6C" w:rsidRDefault="00BB1B6C" w:rsidP="00BB1B6C">
      <w:pPr>
        <w:rPr>
          <w:rFonts w:cs="Arial"/>
        </w:rPr>
      </w:pPr>
      <w:r w:rsidRPr="00BB1B6C">
        <w:rPr>
          <w:rFonts w:eastAsia="Times New Roman" w:cs="Arial"/>
          <w:color w:val="000000"/>
          <w:lang w:eastAsia="bg-BG"/>
        </w:rPr>
        <w:t>Пропафенон преминава през плацентарната бариера. Екскретира се в майчината кърма, поради което при необходимост от лечение на кърмещи жени кърменето трябва да бъде прекратено.</w:t>
      </w:r>
    </w:p>
    <w:p w14:paraId="3E8789C3" w14:textId="77777777" w:rsidR="0091385D" w:rsidRPr="0091385D" w:rsidRDefault="0091385D" w:rsidP="0091385D"/>
    <w:p w14:paraId="064DF1DE" w14:textId="70BCC16C" w:rsidR="00CF77F7" w:rsidRDefault="002C50EE" w:rsidP="004A448E">
      <w:pPr>
        <w:pStyle w:val="Heading2"/>
      </w:pPr>
      <w:r>
        <w:t>4.7. Ефекти върху способността за шофиране и работа с машини</w:t>
      </w:r>
    </w:p>
    <w:p w14:paraId="1455464C" w14:textId="2676810A" w:rsidR="0091385D" w:rsidRDefault="0091385D" w:rsidP="0091385D"/>
    <w:p w14:paraId="2B4135A6" w14:textId="01FEB715" w:rsidR="0091385D" w:rsidRDefault="00BB1B6C" w:rsidP="0091385D">
      <w:r>
        <w:t>В зависимост от индивидуалния отговор Ритмокард може да предизвика замаяност, умора, нарушения в зрението. Ритмокард може да забави реакциите до степен нарушаване пособността за шофиране, управление на машини или работа при опасни условия. Това важи особено за началото на</w:t>
      </w:r>
      <w:r>
        <w:t xml:space="preserve"> </w:t>
      </w:r>
      <w:r>
        <w:t>лечението, при повишаване на дозата, при смяна на терапията с друг лекарствен продукт и при едновременна употреба с алкохол.</w:t>
      </w:r>
    </w:p>
    <w:p w14:paraId="35801A15" w14:textId="77777777" w:rsidR="0091385D" w:rsidRPr="0091385D" w:rsidRDefault="0091385D" w:rsidP="0091385D"/>
    <w:p w14:paraId="37A3FD9F" w14:textId="0E7561E3" w:rsidR="00CF77F7" w:rsidRDefault="002C50EE" w:rsidP="004A448E">
      <w:pPr>
        <w:pStyle w:val="Heading2"/>
      </w:pPr>
      <w:r>
        <w:t>4.8. Нежелани лекарствени реакции</w:t>
      </w:r>
    </w:p>
    <w:p w14:paraId="4838F52A" w14:textId="4C2232D6" w:rsidR="0091385D" w:rsidRDefault="0091385D" w:rsidP="0091385D"/>
    <w:p w14:paraId="5FBFBB2C" w14:textId="77777777" w:rsidR="00BB1B6C" w:rsidRPr="00BB1B6C" w:rsidRDefault="00BB1B6C" w:rsidP="00BB1B6C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BB1B6C">
        <w:rPr>
          <w:rFonts w:eastAsia="Times New Roman" w:cs="Arial"/>
          <w:color w:val="000000"/>
          <w:lang w:eastAsia="bg-BG"/>
        </w:rPr>
        <w:t>Нежеланите лекарствени реакции са описани по-долу, класифицирани по органи и системи и по честота. Нежеланите реакции се класифицират по честота по следния начин: много чести (≥ 1/10), чести (≥ 1/100 и &lt;1/10), не чести (≥ 1/1 000 и &lt;1/100), редки (≥ 1/10 000 и &lt;1/1 000) и много редки (&lt;1/10 000), включително единични съобщения.</w:t>
      </w:r>
    </w:p>
    <w:p w14:paraId="597C6ACA" w14:textId="77777777" w:rsidR="00BB1B6C" w:rsidRPr="00BB1B6C" w:rsidRDefault="00BB1B6C" w:rsidP="00BB1B6C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BB1B6C">
        <w:rPr>
          <w:rFonts w:eastAsia="Times New Roman" w:cs="Arial"/>
          <w:color w:val="000000"/>
          <w:lang w:eastAsia="bg-BG"/>
        </w:rPr>
        <w:t>Възможните нежелани реакции при приложение на пропафенон са следните:</w:t>
      </w:r>
    </w:p>
    <w:p w14:paraId="15199F20" w14:textId="77777777" w:rsidR="00BB1B6C" w:rsidRPr="00BB1B6C" w:rsidRDefault="00BB1B6C" w:rsidP="00BB1B6C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BB1B6C">
        <w:rPr>
          <w:rFonts w:eastAsia="Times New Roman" w:cs="Arial"/>
          <w:color w:val="000000"/>
          <w:u w:val="single"/>
          <w:lang w:eastAsia="bg-BG"/>
        </w:rPr>
        <w:t>Сърдечни нарушения:</w:t>
      </w:r>
      <w:r w:rsidRPr="00BB1B6C">
        <w:rPr>
          <w:rFonts w:eastAsia="Times New Roman" w:cs="Arial"/>
          <w:color w:val="000000"/>
          <w:lang w:eastAsia="bg-BG"/>
        </w:rPr>
        <w:t xml:space="preserve"> чести - гръдна болка, синусова брадикардия, синоатриален, атриовентрикуларен или вътрекамерен блок, камерна тахикардия, влошаване на сърдечна недостатъчност; редки - камерно мъждене или трептене.</w:t>
      </w:r>
    </w:p>
    <w:p w14:paraId="12FA5D01" w14:textId="77777777" w:rsidR="00BB1B6C" w:rsidRPr="00BB1B6C" w:rsidRDefault="00BB1B6C" w:rsidP="00BB1B6C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BB1B6C">
        <w:rPr>
          <w:rFonts w:eastAsia="Times New Roman" w:cs="Arial"/>
          <w:color w:val="000000"/>
          <w:lang w:eastAsia="bg-BG"/>
        </w:rPr>
        <w:lastRenderedPageBreak/>
        <w:t>При пациенти с пейсмейкър на лечение с пропафенон може да се промени пейсинг и сензинг прага на пейсмейкърите.</w:t>
      </w:r>
    </w:p>
    <w:p w14:paraId="29CEA2B1" w14:textId="77777777" w:rsidR="00BB1B6C" w:rsidRPr="00BB1B6C" w:rsidRDefault="00BB1B6C" w:rsidP="00BB1B6C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BB1B6C">
        <w:rPr>
          <w:rFonts w:eastAsia="Times New Roman" w:cs="Arial"/>
          <w:color w:val="000000"/>
          <w:u w:val="single"/>
          <w:lang w:eastAsia="bg-BG"/>
        </w:rPr>
        <w:t>Нарушения на кръвта и лимфната система:</w:t>
      </w:r>
      <w:r w:rsidRPr="00BB1B6C">
        <w:rPr>
          <w:rFonts w:eastAsia="Times New Roman" w:cs="Arial"/>
          <w:color w:val="000000"/>
          <w:lang w:eastAsia="bg-BG"/>
        </w:rPr>
        <w:t xml:space="preserve"> редки - левкоцитопения, респ. гранулоцитопения или тромбоцитопения, агранулоцитоза, които са обратими след спиране на лечението.</w:t>
      </w:r>
    </w:p>
    <w:p w14:paraId="77442408" w14:textId="77777777" w:rsidR="00BB1B6C" w:rsidRPr="00BB1B6C" w:rsidRDefault="00BB1B6C" w:rsidP="00BB1B6C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BB1B6C">
        <w:rPr>
          <w:rFonts w:eastAsia="Times New Roman" w:cs="Arial"/>
          <w:color w:val="000000"/>
          <w:u w:val="single"/>
          <w:lang w:eastAsia="bg-BG"/>
        </w:rPr>
        <w:t>Нарушения на нервната система</w:t>
      </w:r>
      <w:r w:rsidRPr="00BB1B6C">
        <w:rPr>
          <w:rFonts w:eastAsia="Times New Roman" w:cs="Arial"/>
          <w:color w:val="000000"/>
          <w:lang w:eastAsia="bg-BG"/>
        </w:rPr>
        <w:t>: чести - световъртеж или замайване, парестезия, невропатия, тремор, екстрапирамидни симптоми, атаксия; много редки - конвулсии при предозиране.</w:t>
      </w:r>
    </w:p>
    <w:p w14:paraId="0C274EE8" w14:textId="77777777" w:rsidR="00BB1B6C" w:rsidRPr="00BB1B6C" w:rsidRDefault="00BB1B6C" w:rsidP="00BB1B6C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BB1B6C">
        <w:rPr>
          <w:rFonts w:eastAsia="Times New Roman" w:cs="Arial"/>
          <w:color w:val="000000"/>
          <w:u w:val="single"/>
          <w:lang w:eastAsia="bg-BG"/>
        </w:rPr>
        <w:t>Нарушения на очите:</w:t>
      </w:r>
      <w:r w:rsidRPr="00BB1B6C">
        <w:rPr>
          <w:rFonts w:eastAsia="Times New Roman" w:cs="Arial"/>
          <w:color w:val="000000"/>
          <w:lang w:eastAsia="bg-BG"/>
        </w:rPr>
        <w:t xml:space="preserve"> чести - нарушения в зрението.</w:t>
      </w:r>
    </w:p>
    <w:p w14:paraId="5B0AC178" w14:textId="77777777" w:rsidR="00BB1B6C" w:rsidRPr="00BB1B6C" w:rsidRDefault="00BB1B6C" w:rsidP="00BB1B6C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BB1B6C">
        <w:rPr>
          <w:rFonts w:eastAsia="Times New Roman" w:cs="Arial"/>
          <w:color w:val="000000"/>
          <w:u w:val="single"/>
          <w:lang w:eastAsia="bg-BG"/>
        </w:rPr>
        <w:t>Респираторни гръдни и медиастинални нарушения:</w:t>
      </w:r>
      <w:r w:rsidRPr="00BB1B6C">
        <w:rPr>
          <w:rFonts w:eastAsia="Times New Roman" w:cs="Arial"/>
          <w:color w:val="000000"/>
          <w:lang w:eastAsia="bg-BG"/>
        </w:rPr>
        <w:t xml:space="preserve"> нечести - задух при пациенти склонни към бронхоспазъм.</w:t>
      </w:r>
    </w:p>
    <w:p w14:paraId="46ACF25C" w14:textId="77777777" w:rsidR="00BB1B6C" w:rsidRPr="00BB1B6C" w:rsidRDefault="00BB1B6C" w:rsidP="00BB1B6C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BB1B6C">
        <w:rPr>
          <w:rFonts w:eastAsia="Times New Roman" w:cs="Arial"/>
          <w:color w:val="000000"/>
          <w:u w:val="single"/>
          <w:lang w:eastAsia="bg-BG"/>
        </w:rPr>
        <w:t>Стомашно-чревни нарушения:</w:t>
      </w:r>
      <w:r w:rsidRPr="00BB1B6C">
        <w:rPr>
          <w:rFonts w:eastAsia="Times New Roman" w:cs="Arial"/>
          <w:color w:val="000000"/>
          <w:lang w:eastAsia="bg-BG"/>
        </w:rPr>
        <w:t xml:space="preserve"> чести - гадене, повдигане, повръщане, съхнене на устата, горчив вкус, подуване на корема, коремна болка, запек или диария обикновено при висока начална доза. </w:t>
      </w:r>
      <w:r w:rsidRPr="00BB1B6C">
        <w:rPr>
          <w:rFonts w:eastAsia="Times New Roman" w:cs="Arial"/>
          <w:color w:val="000000"/>
          <w:u w:val="single"/>
          <w:lang w:eastAsia="bg-BG"/>
        </w:rPr>
        <w:t>Нарушения на кожата и подкожната тъкан:</w:t>
      </w:r>
      <w:r w:rsidRPr="00BB1B6C">
        <w:rPr>
          <w:rFonts w:eastAsia="Times New Roman" w:cs="Arial"/>
          <w:color w:val="000000"/>
          <w:lang w:eastAsia="bg-BG"/>
        </w:rPr>
        <w:t xml:space="preserve"> нечести - еритема, сърбеж, обрив, уртикария, екзантем. </w:t>
      </w:r>
      <w:r w:rsidRPr="00BB1B6C">
        <w:rPr>
          <w:rFonts w:eastAsia="Times New Roman" w:cs="Arial"/>
          <w:color w:val="000000"/>
          <w:u w:val="single"/>
          <w:lang w:eastAsia="bg-BG"/>
        </w:rPr>
        <w:t>Нарушения на мускулно-скелетната система и съединителната тъкан:</w:t>
      </w:r>
      <w:r w:rsidRPr="00BB1B6C">
        <w:rPr>
          <w:rFonts w:eastAsia="Times New Roman" w:cs="Arial"/>
          <w:color w:val="000000"/>
          <w:lang w:eastAsia="bg-BG"/>
        </w:rPr>
        <w:t xml:space="preserve"> редки - повишаване на антинуклеарните антитела, лупус еритематодес-подобен синдром.</w:t>
      </w:r>
    </w:p>
    <w:p w14:paraId="73DA7E1F" w14:textId="77777777" w:rsidR="00BB1B6C" w:rsidRPr="00BB1B6C" w:rsidRDefault="00BB1B6C" w:rsidP="00BB1B6C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BB1B6C">
        <w:rPr>
          <w:rFonts w:eastAsia="Times New Roman" w:cs="Arial"/>
          <w:color w:val="000000"/>
          <w:u w:val="single"/>
          <w:lang w:eastAsia="bg-BG"/>
        </w:rPr>
        <w:t>Нарушения на метаболизма:</w:t>
      </w:r>
      <w:r w:rsidRPr="00BB1B6C">
        <w:rPr>
          <w:rFonts w:eastAsia="Times New Roman" w:cs="Arial"/>
          <w:color w:val="000000"/>
          <w:lang w:eastAsia="bg-BG"/>
        </w:rPr>
        <w:t xml:space="preserve"> чести - липса на апетит.</w:t>
      </w:r>
    </w:p>
    <w:p w14:paraId="20256F23" w14:textId="77777777" w:rsidR="00BB1B6C" w:rsidRPr="00BB1B6C" w:rsidRDefault="00BB1B6C" w:rsidP="00BB1B6C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BB1B6C">
        <w:rPr>
          <w:rFonts w:eastAsia="Times New Roman" w:cs="Arial"/>
          <w:color w:val="000000"/>
          <w:u w:val="single"/>
          <w:lang w:eastAsia="bg-BG"/>
        </w:rPr>
        <w:t>Съдови нарушения:</w:t>
      </w:r>
      <w:r w:rsidRPr="00BB1B6C">
        <w:rPr>
          <w:rFonts w:eastAsia="Times New Roman" w:cs="Arial"/>
          <w:color w:val="000000"/>
          <w:lang w:eastAsia="bg-BG"/>
        </w:rPr>
        <w:t xml:space="preserve"> чести - хипотония, при по-възрастни пациенти с ограничена миокардна функция може да се стигне до нарушена регулация на кръвообращението със склонност към ортостатичен синдром, синкоп.</w:t>
      </w:r>
    </w:p>
    <w:p w14:paraId="57255F90" w14:textId="77777777" w:rsidR="00BB1B6C" w:rsidRPr="00BB1B6C" w:rsidRDefault="00BB1B6C" w:rsidP="00BB1B6C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BB1B6C">
        <w:rPr>
          <w:rFonts w:eastAsia="Times New Roman" w:cs="Arial"/>
          <w:color w:val="000000"/>
          <w:u w:val="single"/>
          <w:lang w:eastAsia="bg-BG"/>
        </w:rPr>
        <w:t xml:space="preserve">Общи нарушения с ефекти на мястото на приложение: </w:t>
      </w:r>
      <w:r w:rsidRPr="00BB1B6C">
        <w:rPr>
          <w:rFonts w:eastAsia="Times New Roman" w:cs="Arial"/>
          <w:color w:val="000000"/>
          <w:lang w:eastAsia="bg-BG"/>
        </w:rPr>
        <w:t xml:space="preserve">чести - температура; нечести — главоболие. </w:t>
      </w:r>
      <w:r w:rsidRPr="00BB1B6C">
        <w:rPr>
          <w:rFonts w:eastAsia="Times New Roman" w:cs="Arial"/>
          <w:color w:val="000000"/>
          <w:u w:val="single"/>
          <w:lang w:eastAsia="bg-BG"/>
        </w:rPr>
        <w:t>Хепато-билиарни нарушения:</w:t>
      </w:r>
      <w:r w:rsidRPr="00BB1B6C">
        <w:rPr>
          <w:rFonts w:eastAsia="Times New Roman" w:cs="Arial"/>
          <w:color w:val="000000"/>
          <w:lang w:eastAsia="bg-BG"/>
        </w:rPr>
        <w:t xml:space="preserve"> нечести - холестаза като израз на хиперергично-алергична реакция и/или нарушена чернодробна функция, жълтеница, хепатит.</w:t>
      </w:r>
    </w:p>
    <w:p w14:paraId="4FD00CF3" w14:textId="77777777" w:rsidR="00BB1B6C" w:rsidRPr="00BB1B6C" w:rsidRDefault="00BB1B6C" w:rsidP="00BB1B6C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BB1B6C">
        <w:rPr>
          <w:rFonts w:eastAsia="Times New Roman" w:cs="Arial"/>
          <w:color w:val="000000"/>
          <w:u w:val="single"/>
          <w:lang w:eastAsia="bg-BG"/>
        </w:rPr>
        <w:t>Нарушения на възпроизводителната система и гърдата:</w:t>
      </w:r>
      <w:r w:rsidRPr="00BB1B6C">
        <w:rPr>
          <w:rFonts w:eastAsia="Times New Roman" w:cs="Arial"/>
          <w:color w:val="000000"/>
          <w:lang w:eastAsia="bg-BG"/>
        </w:rPr>
        <w:t xml:space="preserve"> рядко - при прием на високи дози пропафенон може да се наблюдава намаляване на потентността и броя на сперматозоидите. Тези явления са обратими и се възстановяват след прекратяване на терапията. Тъй като терапията с пропафенон може да е жизнено важна, тя не трябва да се прекъсва при появата им без лекарски съвет.</w:t>
      </w:r>
    </w:p>
    <w:p w14:paraId="570508C4" w14:textId="7B8DA6DB" w:rsidR="0091385D" w:rsidRPr="00BB1B6C" w:rsidRDefault="00BB1B6C" w:rsidP="00BB1B6C">
      <w:pPr>
        <w:rPr>
          <w:rFonts w:cs="Arial"/>
        </w:rPr>
      </w:pPr>
      <w:r w:rsidRPr="00BB1B6C">
        <w:rPr>
          <w:rFonts w:eastAsia="Times New Roman" w:cs="Arial"/>
          <w:color w:val="000000"/>
          <w:u w:val="single"/>
          <w:lang w:eastAsia="bg-BG"/>
        </w:rPr>
        <w:t>Психични нарушения:</w:t>
      </w:r>
      <w:r w:rsidRPr="00BB1B6C">
        <w:rPr>
          <w:rFonts w:eastAsia="Times New Roman" w:cs="Arial"/>
          <w:color w:val="000000"/>
          <w:lang w:eastAsia="bg-BG"/>
        </w:rPr>
        <w:t xml:space="preserve"> нечести - умора, обърканост, кошмари, безпокойство, нарушения на съня.</w:t>
      </w:r>
    </w:p>
    <w:p w14:paraId="43E3C48F" w14:textId="77777777" w:rsidR="0091385D" w:rsidRPr="0091385D" w:rsidRDefault="0091385D" w:rsidP="0091385D"/>
    <w:p w14:paraId="0A023CE0" w14:textId="13F87CFD" w:rsidR="00CF77F7" w:rsidRDefault="002C50EE" w:rsidP="004A448E">
      <w:pPr>
        <w:pStyle w:val="Heading2"/>
      </w:pPr>
      <w:r>
        <w:t>4.9. Предозиране</w:t>
      </w:r>
    </w:p>
    <w:p w14:paraId="3EDFC3FC" w14:textId="296E7EBA" w:rsidR="0091385D" w:rsidRDefault="0091385D" w:rsidP="0091385D"/>
    <w:p w14:paraId="58B5EFB3" w14:textId="77777777" w:rsidR="00BB1B6C" w:rsidRPr="00BB1B6C" w:rsidRDefault="00BB1B6C" w:rsidP="00BB1B6C">
      <w:pPr>
        <w:pStyle w:val="Heading3"/>
        <w:rPr>
          <w:rFonts w:eastAsia="Times New Roman"/>
          <w:u w:val="single"/>
          <w:lang w:eastAsia="bg-BG"/>
        </w:rPr>
      </w:pPr>
      <w:r w:rsidRPr="00BB1B6C">
        <w:rPr>
          <w:rFonts w:eastAsia="Times New Roman"/>
          <w:u w:val="single"/>
          <w:lang w:eastAsia="bg-BG"/>
        </w:rPr>
        <w:t>Симптоми на предозиране</w:t>
      </w:r>
    </w:p>
    <w:p w14:paraId="56B99DC3" w14:textId="77777777" w:rsidR="00BB1B6C" w:rsidRPr="00BB1B6C" w:rsidRDefault="00BB1B6C" w:rsidP="00BB1B6C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BB1B6C">
        <w:rPr>
          <w:rFonts w:eastAsia="Times New Roman" w:cs="Arial"/>
          <w:color w:val="000000"/>
          <w:lang w:eastAsia="bg-BG"/>
        </w:rPr>
        <w:t>- Симптоми от страна на сърцето</w:t>
      </w:r>
    </w:p>
    <w:p w14:paraId="29E625B9" w14:textId="77777777" w:rsidR="00BB1B6C" w:rsidRPr="00BB1B6C" w:rsidRDefault="00BB1B6C" w:rsidP="00BB1B6C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BB1B6C">
        <w:rPr>
          <w:rFonts w:eastAsia="Times New Roman" w:cs="Arial"/>
          <w:color w:val="000000"/>
          <w:lang w:eastAsia="bg-BG"/>
        </w:rPr>
        <w:t xml:space="preserve">Токсичните ефекти на пропафенон върху сърцето се изразяват в генериране на импулси и проводни нарушения, включващи удължаване на </w:t>
      </w:r>
      <w:r w:rsidRPr="00BB1B6C">
        <w:rPr>
          <w:rFonts w:eastAsia="Times New Roman" w:cs="Arial"/>
          <w:color w:val="000000"/>
          <w:lang w:val="en-US"/>
        </w:rPr>
        <w:t xml:space="preserve">PQ </w:t>
      </w:r>
      <w:r w:rsidRPr="00BB1B6C">
        <w:rPr>
          <w:rFonts w:eastAsia="Times New Roman" w:cs="Arial"/>
          <w:color w:val="000000"/>
          <w:lang w:eastAsia="bg-BG"/>
        </w:rPr>
        <w:t xml:space="preserve">инттервала, разширяване на </w:t>
      </w:r>
      <w:r w:rsidRPr="00BB1B6C">
        <w:rPr>
          <w:rFonts w:eastAsia="Times New Roman" w:cs="Arial"/>
          <w:color w:val="000000"/>
          <w:lang w:val="en-US"/>
        </w:rPr>
        <w:t>QRS</w:t>
      </w:r>
      <w:r w:rsidRPr="00BB1B6C">
        <w:rPr>
          <w:rFonts w:eastAsia="Times New Roman" w:cs="Arial"/>
          <w:color w:val="000000"/>
          <w:lang w:eastAsia="bg-BG"/>
        </w:rPr>
        <w:t xml:space="preserve">-комплекса, потискане автоматизма на синусовия възел, </w:t>
      </w:r>
      <w:r w:rsidRPr="00BB1B6C">
        <w:rPr>
          <w:rFonts w:eastAsia="Times New Roman" w:cs="Arial"/>
          <w:color w:val="000000"/>
          <w:lang w:val="en-US"/>
        </w:rPr>
        <w:t>AV</w:t>
      </w:r>
      <w:r w:rsidRPr="00BB1B6C">
        <w:rPr>
          <w:rFonts w:eastAsia="Times New Roman" w:cs="Arial"/>
          <w:color w:val="000000"/>
          <w:lang w:eastAsia="bg-BG"/>
        </w:rPr>
        <w:t>-блок, вентрикуларна тахикардия, камерно трептене, камерно мъждене. Отрицателният инотропен ефект в тежки случаи може да доведе до хипотония и кардиогенен шок.</w:t>
      </w:r>
    </w:p>
    <w:p w14:paraId="0F0079CB" w14:textId="639D2BD7" w:rsidR="0091385D" w:rsidRPr="00BB1B6C" w:rsidRDefault="00BB1B6C" w:rsidP="00BB1B6C">
      <w:pPr>
        <w:rPr>
          <w:rFonts w:eastAsia="Times New Roman" w:cs="Arial"/>
          <w:color w:val="000000"/>
          <w:lang w:eastAsia="bg-BG"/>
        </w:rPr>
      </w:pPr>
      <w:r w:rsidRPr="00BB1B6C">
        <w:rPr>
          <w:rFonts w:eastAsia="Times New Roman" w:cs="Arial"/>
          <w:color w:val="000000"/>
          <w:lang w:eastAsia="bg-BG"/>
        </w:rPr>
        <w:t>- Други симптоми</w:t>
      </w:r>
    </w:p>
    <w:p w14:paraId="29E4122D" w14:textId="04AA0D75" w:rsidR="00BB1B6C" w:rsidRPr="00BB1B6C" w:rsidRDefault="00BB1B6C" w:rsidP="00BB1B6C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BB1B6C">
        <w:rPr>
          <w:rFonts w:eastAsia="Times New Roman" w:cs="Arial"/>
          <w:color w:val="000000"/>
          <w:lang w:eastAsia="bg-BG"/>
        </w:rPr>
        <w:t>Главоболие, замаяност, нарушения в зрението, парестезии, тремор, сухота в устата, гадене, запек. В</w:t>
      </w:r>
      <w:r w:rsidRPr="00BB1B6C">
        <w:rPr>
          <w:rFonts w:eastAsia="Times New Roman" w:cs="Arial"/>
          <w:sz w:val="24"/>
          <w:szCs w:val="24"/>
          <w:lang w:eastAsia="bg-BG"/>
        </w:rPr>
        <w:t xml:space="preserve"> </w:t>
      </w:r>
      <w:r w:rsidRPr="00BB1B6C">
        <w:rPr>
          <w:rFonts w:eastAsia="Times New Roman" w:cs="Arial"/>
          <w:color w:val="000000"/>
          <w:lang w:eastAsia="bg-BG"/>
        </w:rPr>
        <w:t>тежки случаи може да се стигне до клонично-тонични гърчове, парестезии, сънливост, кома и</w:t>
      </w:r>
    </w:p>
    <w:p w14:paraId="2D9A0A36" w14:textId="77777777" w:rsidR="00BB1B6C" w:rsidRPr="00BB1B6C" w:rsidRDefault="00BB1B6C" w:rsidP="00BB1B6C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BB1B6C">
        <w:rPr>
          <w:rFonts w:eastAsia="Times New Roman" w:cs="Arial"/>
          <w:color w:val="000000"/>
          <w:lang w:eastAsia="bg-BG"/>
        </w:rPr>
        <w:t>спиране на дишането.</w:t>
      </w:r>
    </w:p>
    <w:p w14:paraId="0986867F" w14:textId="77777777" w:rsidR="00BB1B6C" w:rsidRPr="00BB1B6C" w:rsidRDefault="00BB1B6C" w:rsidP="00BB1B6C">
      <w:pPr>
        <w:pStyle w:val="Heading3"/>
        <w:rPr>
          <w:rFonts w:eastAsia="Times New Roman"/>
          <w:u w:val="single"/>
          <w:lang w:eastAsia="bg-BG"/>
        </w:rPr>
      </w:pPr>
      <w:r w:rsidRPr="00BB1B6C">
        <w:rPr>
          <w:rFonts w:eastAsia="Times New Roman"/>
          <w:u w:val="single"/>
          <w:lang w:eastAsia="bg-BG"/>
        </w:rPr>
        <w:lastRenderedPageBreak/>
        <w:t>Лечение</w:t>
      </w:r>
    </w:p>
    <w:p w14:paraId="08E2778E" w14:textId="77777777" w:rsidR="00BB1B6C" w:rsidRPr="00BB1B6C" w:rsidRDefault="00BB1B6C" w:rsidP="00BB1B6C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BB1B6C">
        <w:rPr>
          <w:rFonts w:eastAsia="Times New Roman" w:cs="Arial"/>
          <w:color w:val="000000"/>
          <w:lang w:eastAsia="bg-BG"/>
        </w:rPr>
        <w:t>Лечението е симптоматично, като основните функции трябва да се мониторират и коригират в интензивно отделение: дефибрилация, непряк сърдечен масаж, вливане на допамин и изопротеренол, с което се коригират ритъмът и артериалното налягане. Няма специфичен антидот.</w:t>
      </w:r>
    </w:p>
    <w:p w14:paraId="1FA7B13F" w14:textId="731125A6" w:rsidR="00BB1B6C" w:rsidRPr="00BB1B6C" w:rsidRDefault="00BB1B6C" w:rsidP="00BB1B6C">
      <w:pPr>
        <w:rPr>
          <w:rFonts w:cs="Arial"/>
        </w:rPr>
      </w:pPr>
      <w:r w:rsidRPr="00BB1B6C">
        <w:rPr>
          <w:rFonts w:eastAsia="Times New Roman" w:cs="Arial"/>
          <w:color w:val="000000"/>
          <w:lang w:eastAsia="bg-BG"/>
        </w:rPr>
        <w:t>Елиминирането чрез хемотрансфузия не е много ефективно. Поради високия си афинитет към плазмените протеини (&gt;95%) и големия обем на разпределение, хемодиализата е неефективна.</w:t>
      </w:r>
    </w:p>
    <w:p w14:paraId="48FF1584" w14:textId="77777777" w:rsidR="0091385D" w:rsidRPr="0091385D" w:rsidRDefault="0091385D" w:rsidP="0091385D"/>
    <w:p w14:paraId="02081B24" w14:textId="7CE94171" w:rsidR="00395555" w:rsidRDefault="002C50EE" w:rsidP="008A6AF2">
      <w:pPr>
        <w:pStyle w:val="Heading1"/>
      </w:pPr>
      <w:r>
        <w:t>5. ФАРМАКОЛОГИЧНИ СВОЙСТВА</w:t>
      </w:r>
    </w:p>
    <w:p w14:paraId="1B8079C0" w14:textId="77777777" w:rsidR="0091385D" w:rsidRPr="0091385D" w:rsidRDefault="0091385D" w:rsidP="0091385D"/>
    <w:p w14:paraId="32B6DE66" w14:textId="2ACB6B3B" w:rsidR="00CF77F7" w:rsidRDefault="002C50EE" w:rsidP="004A448E">
      <w:pPr>
        <w:pStyle w:val="Heading2"/>
      </w:pPr>
      <w:r>
        <w:t>5.1. Фармакодинамични свойства</w:t>
      </w:r>
    </w:p>
    <w:p w14:paraId="58DD7DEA" w14:textId="44345EC9" w:rsidR="0091385D" w:rsidRDefault="0091385D" w:rsidP="0091385D"/>
    <w:p w14:paraId="01926EB6" w14:textId="77777777" w:rsidR="00BB1B6C" w:rsidRPr="00BB1B6C" w:rsidRDefault="00BB1B6C" w:rsidP="00BB1B6C">
      <w:pPr>
        <w:spacing w:line="240" w:lineRule="auto"/>
        <w:rPr>
          <w:rFonts w:eastAsia="Times New Roman" w:cs="Arial"/>
          <w:lang w:eastAsia="bg-BG"/>
        </w:rPr>
      </w:pPr>
      <w:r w:rsidRPr="00BB1B6C">
        <w:rPr>
          <w:rFonts w:eastAsia="Times New Roman" w:cs="Arial"/>
          <w:color w:val="000000"/>
          <w:lang w:eastAsia="bg-BG"/>
        </w:rPr>
        <w:t xml:space="preserve">Фармакотерапевтична група: Антиаритмици, клас </w:t>
      </w:r>
      <w:r w:rsidRPr="00BB1B6C">
        <w:rPr>
          <w:rFonts w:eastAsia="Times New Roman" w:cs="Arial"/>
          <w:color w:val="000000"/>
          <w:lang w:val="en-US"/>
        </w:rPr>
        <w:t xml:space="preserve">IC, </w:t>
      </w:r>
      <w:r w:rsidRPr="00BB1B6C">
        <w:rPr>
          <w:rFonts w:eastAsia="Times New Roman" w:cs="Arial"/>
          <w:color w:val="000000"/>
          <w:lang w:eastAsia="bg-BG"/>
        </w:rPr>
        <w:t xml:space="preserve">АТС код: </w:t>
      </w:r>
      <w:r w:rsidRPr="00BB1B6C">
        <w:rPr>
          <w:rFonts w:eastAsia="Times New Roman" w:cs="Arial"/>
          <w:color w:val="000000"/>
          <w:lang w:val="en-US"/>
        </w:rPr>
        <w:t>C01BC03</w:t>
      </w:r>
    </w:p>
    <w:p w14:paraId="03847F97" w14:textId="77777777" w:rsidR="00BB1B6C" w:rsidRDefault="00BB1B6C" w:rsidP="00BB1B6C">
      <w:pPr>
        <w:spacing w:line="240" w:lineRule="auto"/>
        <w:rPr>
          <w:rFonts w:ascii="Times New Roman" w:eastAsia="Times New Roman" w:hAnsi="Times New Roman" w:cs="Times New Roman"/>
          <w:color w:val="000000"/>
          <w:lang w:eastAsia="bg-BG"/>
        </w:rPr>
      </w:pPr>
    </w:p>
    <w:p w14:paraId="69ADF73C" w14:textId="6AD8355F" w:rsidR="00BB1B6C" w:rsidRPr="00BB1B6C" w:rsidRDefault="00BB1B6C" w:rsidP="00BB1B6C">
      <w:pPr>
        <w:spacing w:line="240" w:lineRule="auto"/>
        <w:rPr>
          <w:rFonts w:eastAsia="Times New Roman" w:cs="Arial"/>
          <w:lang w:eastAsia="bg-BG"/>
        </w:rPr>
      </w:pPr>
      <w:r w:rsidRPr="00BB1B6C">
        <w:rPr>
          <w:rFonts w:eastAsia="Times New Roman" w:cs="Arial"/>
          <w:color w:val="000000"/>
          <w:lang w:eastAsia="bg-BG"/>
        </w:rPr>
        <w:t xml:space="preserve">Пропафенон потиска бързия натриев инфлукс (фаза 0), намалява амплитудата на акционния потенциал, повишава прага на диастолната деполяризация, инхибира автоматизма и пусковата активност, удължава рефрактерния период и времето за провеждане (в предсърдията, </w:t>
      </w:r>
      <w:r w:rsidRPr="00BB1B6C">
        <w:rPr>
          <w:rFonts w:eastAsia="Times New Roman" w:cs="Arial"/>
          <w:color w:val="000000"/>
          <w:lang w:val="en-US"/>
        </w:rPr>
        <w:t>AV</w:t>
      </w:r>
      <w:r w:rsidRPr="00BB1B6C">
        <w:rPr>
          <w:rFonts w:eastAsia="Times New Roman" w:cs="Arial"/>
          <w:color w:val="000000"/>
          <w:lang w:eastAsia="bg-BG"/>
        </w:rPr>
        <w:t>-възела, камерите и акцесорните пътища). В терапевтични дози има умерено изразен бета-блокиращ и отрицателен инотропен ефект.</w:t>
      </w:r>
    </w:p>
    <w:p w14:paraId="51F29EB3" w14:textId="77777777" w:rsidR="00BB1B6C" w:rsidRPr="00BB1B6C" w:rsidRDefault="00BB1B6C" w:rsidP="00BB1B6C">
      <w:pPr>
        <w:spacing w:line="240" w:lineRule="auto"/>
        <w:rPr>
          <w:rFonts w:eastAsia="Times New Roman" w:cs="Arial"/>
          <w:lang w:eastAsia="bg-BG"/>
        </w:rPr>
      </w:pPr>
      <w:r w:rsidRPr="00BB1B6C">
        <w:rPr>
          <w:rFonts w:eastAsia="Times New Roman" w:cs="Arial"/>
          <w:color w:val="000000"/>
          <w:lang w:eastAsia="bg-BG"/>
        </w:rPr>
        <w:t xml:space="preserve">При камерна тахикардия пропафенон удължава атрио-вентрикуларната проводимост и предизвиква незначителен ефект върху функцията на синусовия възел. Проводното време в </w:t>
      </w:r>
      <w:r w:rsidRPr="00BB1B6C">
        <w:rPr>
          <w:rFonts w:eastAsia="Times New Roman" w:cs="Arial"/>
          <w:color w:val="000000"/>
          <w:lang w:val="en-US"/>
        </w:rPr>
        <w:t>AV</w:t>
      </w:r>
      <w:r w:rsidRPr="00BB1B6C">
        <w:rPr>
          <w:rFonts w:eastAsia="Times New Roman" w:cs="Arial"/>
          <w:color w:val="000000"/>
          <w:lang w:eastAsia="bg-BG"/>
        </w:rPr>
        <w:t xml:space="preserve">-възела, както и проводното време в снопчето на Хис и влакната на Пуркиние се удължават под въздействие на пропафенон. Пропафенон има незначителен ефект върху предсърдния функционален рефрактерен период, но </w:t>
      </w:r>
      <w:r w:rsidRPr="00BB1B6C">
        <w:rPr>
          <w:rFonts w:eastAsia="Times New Roman" w:cs="Arial"/>
          <w:color w:val="000000"/>
          <w:lang w:val="en-US"/>
        </w:rPr>
        <w:t>AV</w:t>
      </w:r>
      <w:r w:rsidRPr="00BB1B6C">
        <w:rPr>
          <w:rFonts w:eastAsia="Times New Roman" w:cs="Arial"/>
          <w:color w:val="000000"/>
          <w:lang w:eastAsia="bg-BG"/>
        </w:rPr>
        <w:t>-нодалния функционален и ефективен рефрактерни периоди са удължени.</w:t>
      </w:r>
    </w:p>
    <w:p w14:paraId="63BF1F87" w14:textId="77777777" w:rsidR="00BB1B6C" w:rsidRPr="00BB1B6C" w:rsidRDefault="00BB1B6C" w:rsidP="00BB1B6C">
      <w:pPr>
        <w:spacing w:line="240" w:lineRule="auto"/>
        <w:rPr>
          <w:rFonts w:eastAsia="Times New Roman" w:cs="Arial"/>
          <w:lang w:eastAsia="bg-BG"/>
        </w:rPr>
      </w:pPr>
      <w:r w:rsidRPr="00BB1B6C">
        <w:rPr>
          <w:rFonts w:eastAsia="Times New Roman" w:cs="Arial"/>
          <w:color w:val="000000"/>
          <w:lang w:eastAsia="bg-BG"/>
        </w:rPr>
        <w:t xml:space="preserve">При пациенти с </w:t>
      </w:r>
      <w:r w:rsidRPr="00BB1B6C">
        <w:rPr>
          <w:rFonts w:eastAsia="Times New Roman" w:cs="Arial"/>
          <w:color w:val="000000"/>
          <w:lang w:val="en-US"/>
        </w:rPr>
        <w:t>WPW</w:t>
      </w:r>
      <w:r w:rsidRPr="00BB1B6C">
        <w:rPr>
          <w:rFonts w:eastAsia="Times New Roman" w:cs="Arial"/>
          <w:color w:val="000000"/>
          <w:lang w:eastAsia="bg-BG"/>
        </w:rPr>
        <w:t xml:space="preserve">-синдром, пропафенон намалява времето за проводимост и увеличава ефективния рефрактерен период на акцесорните пътища в предсърдието и в двете посоки. Пропафенон забавя проводимостта и следователно предизвиква дозозависими промени в </w:t>
      </w:r>
      <w:r w:rsidRPr="00BB1B6C">
        <w:rPr>
          <w:rFonts w:eastAsia="Times New Roman" w:cs="Arial"/>
          <w:color w:val="000000"/>
          <w:lang w:val="en-US"/>
        </w:rPr>
        <w:t>PR</w:t>
      </w:r>
      <w:r w:rsidRPr="00BB1B6C">
        <w:rPr>
          <w:rFonts w:eastAsia="Times New Roman" w:cs="Arial"/>
          <w:color w:val="000000"/>
          <w:lang w:eastAsia="bg-BG"/>
        </w:rPr>
        <w:t xml:space="preserve">- интервала и продължителността на </w:t>
      </w:r>
      <w:r w:rsidRPr="00BB1B6C">
        <w:rPr>
          <w:rFonts w:eastAsia="Times New Roman" w:cs="Arial"/>
          <w:color w:val="000000"/>
          <w:lang w:val="en-US"/>
        </w:rPr>
        <w:t>QRS</w:t>
      </w:r>
      <w:r w:rsidRPr="00BB1B6C">
        <w:rPr>
          <w:rFonts w:eastAsia="Times New Roman" w:cs="Arial"/>
          <w:color w:val="000000"/>
          <w:lang w:eastAsia="bg-BG"/>
        </w:rPr>
        <w:t>-комплекса.</w:t>
      </w:r>
    </w:p>
    <w:p w14:paraId="36296A77" w14:textId="77777777" w:rsidR="00BB1B6C" w:rsidRPr="00BB1B6C" w:rsidRDefault="00BB1B6C" w:rsidP="00BB1B6C">
      <w:pPr>
        <w:spacing w:line="240" w:lineRule="auto"/>
        <w:rPr>
          <w:rFonts w:eastAsia="Times New Roman" w:cs="Arial"/>
          <w:lang w:eastAsia="bg-BG"/>
        </w:rPr>
      </w:pPr>
      <w:r w:rsidRPr="00BB1B6C">
        <w:rPr>
          <w:rFonts w:eastAsia="Times New Roman" w:cs="Arial"/>
          <w:color w:val="000000"/>
          <w:lang w:eastAsia="bg-BG"/>
        </w:rPr>
        <w:t>Предизвиква дозозависимо и концентрация-зависимо намаление на честотата на единични и множествени екстрасистоли и може да прекрати рецидиви от камерна тахикардия.</w:t>
      </w:r>
    </w:p>
    <w:p w14:paraId="6DE62AB3" w14:textId="6766865E" w:rsidR="00BB1B6C" w:rsidRPr="00BB1B6C" w:rsidRDefault="00BB1B6C" w:rsidP="00BB1B6C">
      <w:pPr>
        <w:spacing w:line="240" w:lineRule="auto"/>
        <w:rPr>
          <w:rFonts w:eastAsia="Times New Roman" w:cs="Arial"/>
          <w:lang w:eastAsia="bg-BG"/>
        </w:rPr>
      </w:pPr>
      <w:r w:rsidRPr="00BB1B6C">
        <w:rPr>
          <w:rFonts w:eastAsia="Times New Roman" w:cs="Arial"/>
          <w:color w:val="000000"/>
          <w:lang w:eastAsia="bg-BG"/>
        </w:rPr>
        <w:t xml:space="preserve">Подобно </w:t>
      </w:r>
      <w:r w:rsidR="00101FBF">
        <w:rPr>
          <w:rFonts w:eastAsia="Times New Roman" w:cs="Arial"/>
          <w:color w:val="000000"/>
          <w:lang w:eastAsia="bg-BG"/>
        </w:rPr>
        <w:t xml:space="preserve">на други представители на клас </w:t>
      </w:r>
      <w:r w:rsidR="00101FBF">
        <w:rPr>
          <w:rFonts w:eastAsia="Times New Roman" w:cs="Arial"/>
          <w:color w:val="000000"/>
          <w:lang w:val="en-US" w:eastAsia="bg-BG"/>
        </w:rPr>
        <w:t>I</w:t>
      </w:r>
      <w:bookmarkStart w:id="1" w:name="_GoBack"/>
      <w:bookmarkEnd w:id="1"/>
      <w:r w:rsidRPr="00BB1B6C">
        <w:rPr>
          <w:rFonts w:eastAsia="Times New Roman" w:cs="Arial"/>
          <w:color w:val="000000"/>
          <w:lang w:eastAsia="bg-BG"/>
        </w:rPr>
        <w:t>С антиаритмични продукти пропафенон проявава отрицателен инотропен ефект върху миокарда.</w:t>
      </w:r>
    </w:p>
    <w:p w14:paraId="28252AA0" w14:textId="3200FC34" w:rsidR="0091385D" w:rsidRPr="00BB1B6C" w:rsidRDefault="00BB1B6C" w:rsidP="00BB1B6C">
      <w:pPr>
        <w:rPr>
          <w:rFonts w:cs="Arial"/>
        </w:rPr>
      </w:pPr>
      <w:r w:rsidRPr="00BB1B6C">
        <w:rPr>
          <w:rFonts w:eastAsia="Times New Roman" w:cs="Arial"/>
          <w:color w:val="000000"/>
          <w:lang w:eastAsia="bg-BG"/>
        </w:rPr>
        <w:t xml:space="preserve">При постигане на средна плазмена концентрация от 3 </w:t>
      </w:r>
      <w:proofErr w:type="spellStart"/>
      <w:r w:rsidRPr="00BB1B6C">
        <w:rPr>
          <w:rFonts w:eastAsia="Times New Roman" w:cs="Arial"/>
          <w:color w:val="000000"/>
          <w:lang w:val="en-US"/>
        </w:rPr>
        <w:t>pg</w:t>
      </w:r>
      <w:proofErr w:type="spellEnd"/>
      <w:r w:rsidRPr="00BB1B6C">
        <w:rPr>
          <w:rFonts w:eastAsia="Times New Roman" w:cs="Arial"/>
          <w:color w:val="000000"/>
          <w:lang w:val="en-US"/>
        </w:rPr>
        <w:t xml:space="preserve">/ml </w:t>
      </w:r>
      <w:r w:rsidRPr="00BB1B6C">
        <w:rPr>
          <w:rFonts w:eastAsia="Times New Roman" w:cs="Arial"/>
          <w:color w:val="000000"/>
          <w:lang w:eastAsia="bg-BG"/>
        </w:rPr>
        <w:t>се наблюдава значително намаление на пулмо-капилярното налягане, системната и белодробна съдова резистентност и намаление в стойностите на сърдечния ударен обем и сърдечния индекс.</w:t>
      </w:r>
    </w:p>
    <w:p w14:paraId="36152471" w14:textId="77777777" w:rsidR="0091385D" w:rsidRPr="0091385D" w:rsidRDefault="0091385D" w:rsidP="0091385D"/>
    <w:p w14:paraId="35F84B81" w14:textId="6423E5BB" w:rsidR="00CF77F7" w:rsidRDefault="002C50EE" w:rsidP="004A448E">
      <w:pPr>
        <w:pStyle w:val="Heading2"/>
      </w:pPr>
      <w:r>
        <w:t>5.2. Фармакокинетични свойства</w:t>
      </w:r>
    </w:p>
    <w:p w14:paraId="5031193D" w14:textId="06A21EFE" w:rsidR="0091385D" w:rsidRDefault="0091385D" w:rsidP="0091385D"/>
    <w:p w14:paraId="46F1B70E" w14:textId="77777777" w:rsidR="00BB1B6C" w:rsidRPr="00BB1B6C" w:rsidRDefault="00BB1B6C" w:rsidP="00BB1B6C">
      <w:pPr>
        <w:pStyle w:val="Heading3"/>
        <w:rPr>
          <w:rFonts w:eastAsia="Times New Roman"/>
          <w:u w:val="single"/>
          <w:lang w:eastAsia="bg-BG"/>
        </w:rPr>
      </w:pPr>
      <w:r w:rsidRPr="00BB1B6C">
        <w:rPr>
          <w:rFonts w:eastAsia="Times New Roman"/>
          <w:u w:val="single"/>
          <w:lang w:eastAsia="bg-BG"/>
        </w:rPr>
        <w:t>Резорбция</w:t>
      </w:r>
    </w:p>
    <w:p w14:paraId="420861A3" w14:textId="77777777" w:rsidR="00BB1B6C" w:rsidRPr="00BB1B6C" w:rsidRDefault="00BB1B6C" w:rsidP="00BB1B6C">
      <w:pPr>
        <w:spacing w:line="240" w:lineRule="auto"/>
        <w:rPr>
          <w:rFonts w:eastAsia="Times New Roman" w:cs="Arial"/>
          <w:lang w:eastAsia="bg-BG"/>
        </w:rPr>
      </w:pPr>
      <w:r w:rsidRPr="00BB1B6C">
        <w:rPr>
          <w:rFonts w:eastAsia="Times New Roman" w:cs="Arial"/>
          <w:color w:val="000000"/>
          <w:lang w:eastAsia="bg-BG"/>
        </w:rPr>
        <w:t xml:space="preserve">Пропафенон се резорбира бързо и пълно в гастроинтестиналния тракт. Максимални плазмени концентрации се достигат след 2-3 часа. Ниската бионаличност (около 50%) след еднократно дозиране се дължи на активен метаболизъм при </w:t>
      </w:r>
      <w:r w:rsidRPr="00BB1B6C">
        <w:rPr>
          <w:rFonts w:eastAsia="Times New Roman" w:cs="Arial"/>
          <w:color w:val="000000"/>
          <w:lang w:val="en-US"/>
        </w:rPr>
        <w:t xml:space="preserve">„first-pass effect” </w:t>
      </w:r>
      <w:r w:rsidRPr="00BB1B6C">
        <w:rPr>
          <w:rFonts w:eastAsia="Times New Roman" w:cs="Arial"/>
          <w:color w:val="000000"/>
          <w:lang w:eastAsia="bg-BG"/>
        </w:rPr>
        <w:t xml:space="preserve">на пропафенон през черния дроб. След повторен прием, плазмената концентрация и бионаличността нарастват съответно на насищането от метаболизма в черния дроб. </w:t>
      </w:r>
      <w:r w:rsidRPr="00BB1B6C">
        <w:rPr>
          <w:rFonts w:eastAsia="Times New Roman" w:cs="Arial"/>
          <w:color w:val="000000"/>
          <w:lang w:eastAsia="bg-BG"/>
        </w:rPr>
        <w:lastRenderedPageBreak/>
        <w:t>Постоянна плазмена концентрация се достига на 3-4</w:t>
      </w:r>
      <w:r w:rsidRPr="00BB1B6C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  <w:r w:rsidRPr="00BB1B6C">
        <w:rPr>
          <w:rFonts w:eastAsia="Times New Roman" w:cs="Arial"/>
          <w:color w:val="000000"/>
          <w:lang w:eastAsia="bg-BG"/>
        </w:rPr>
        <w:t xml:space="preserve">ден и бионаличността нараства близо до 100%. Терапевтичните плазмени концентрации варират от 100-1 500 </w:t>
      </w:r>
      <w:r w:rsidRPr="00BB1B6C">
        <w:rPr>
          <w:rFonts w:eastAsia="Times New Roman" w:cs="Arial"/>
          <w:color w:val="000000"/>
          <w:lang w:val="en-US"/>
        </w:rPr>
        <w:t>ng/l.</w:t>
      </w:r>
    </w:p>
    <w:p w14:paraId="569683FA" w14:textId="77777777" w:rsidR="00BB1B6C" w:rsidRPr="00BB1B6C" w:rsidRDefault="00BB1B6C" w:rsidP="00BB1B6C">
      <w:pPr>
        <w:pStyle w:val="Heading3"/>
        <w:rPr>
          <w:rFonts w:eastAsia="Times New Roman"/>
          <w:u w:val="single"/>
          <w:lang w:eastAsia="bg-BG"/>
        </w:rPr>
      </w:pPr>
      <w:r w:rsidRPr="00BB1B6C">
        <w:rPr>
          <w:rFonts w:eastAsia="Times New Roman"/>
          <w:u w:val="single"/>
          <w:lang w:eastAsia="bg-BG"/>
        </w:rPr>
        <w:t>Разпределение</w:t>
      </w:r>
    </w:p>
    <w:p w14:paraId="6751FEE3" w14:textId="47CFC69C" w:rsidR="00BB1B6C" w:rsidRPr="00BB1B6C" w:rsidRDefault="00BB1B6C" w:rsidP="00BB1B6C">
      <w:pPr>
        <w:spacing w:line="240" w:lineRule="auto"/>
        <w:rPr>
          <w:rFonts w:eastAsia="Times New Roman" w:cs="Arial"/>
          <w:lang w:eastAsia="bg-BG"/>
        </w:rPr>
      </w:pPr>
      <w:r w:rsidRPr="00BB1B6C">
        <w:rPr>
          <w:rFonts w:eastAsia="Times New Roman" w:cs="Arial"/>
          <w:color w:val="000000"/>
          <w:lang w:eastAsia="bg-BG"/>
        </w:rPr>
        <w:t xml:space="preserve">Пропафенон се свързва с плазмените протеини до 97%. Нивото на разпределение е 1,1-3,6 </w:t>
      </w:r>
      <w:r>
        <w:rPr>
          <w:rFonts w:eastAsia="Times New Roman" w:cs="Arial"/>
          <w:color w:val="000000"/>
          <w:lang w:val="en-US"/>
        </w:rPr>
        <w:t>l</w:t>
      </w:r>
      <w:r w:rsidRPr="00BB1B6C">
        <w:rPr>
          <w:rFonts w:eastAsia="Times New Roman" w:cs="Arial"/>
          <w:color w:val="000000"/>
          <w:lang w:val="en-US"/>
        </w:rPr>
        <w:t>/kg.</w:t>
      </w:r>
    </w:p>
    <w:p w14:paraId="4FAC27FA" w14:textId="77777777" w:rsidR="00BB1B6C" w:rsidRPr="00BB1B6C" w:rsidRDefault="00BB1B6C" w:rsidP="00BB1B6C">
      <w:pPr>
        <w:spacing w:line="240" w:lineRule="auto"/>
        <w:rPr>
          <w:rFonts w:eastAsia="Times New Roman" w:cs="Arial"/>
          <w:lang w:eastAsia="bg-BG"/>
        </w:rPr>
      </w:pPr>
      <w:r w:rsidRPr="00BB1B6C">
        <w:rPr>
          <w:rFonts w:eastAsia="Times New Roman" w:cs="Arial"/>
          <w:color w:val="000000"/>
          <w:lang w:eastAsia="bg-BG"/>
        </w:rPr>
        <w:t>Преминава през плацентарната бариера и се излъчва в кърмата.</w:t>
      </w:r>
    </w:p>
    <w:p w14:paraId="148BA3FC" w14:textId="1A866FAC" w:rsidR="0091385D" w:rsidRPr="00BB1B6C" w:rsidRDefault="00BB1B6C" w:rsidP="00BB1B6C">
      <w:pPr>
        <w:pStyle w:val="Heading3"/>
        <w:rPr>
          <w:u w:val="single"/>
        </w:rPr>
      </w:pPr>
      <w:r w:rsidRPr="00BB1B6C">
        <w:rPr>
          <w:rFonts w:eastAsia="Times New Roman"/>
          <w:u w:val="single"/>
          <w:lang w:eastAsia="bg-BG"/>
        </w:rPr>
        <w:t>Метаболизъм</w:t>
      </w:r>
    </w:p>
    <w:p w14:paraId="17FE2205" w14:textId="77777777" w:rsidR="00BB1B6C" w:rsidRPr="00BB1B6C" w:rsidRDefault="00BB1B6C" w:rsidP="00BB1B6C">
      <w:pPr>
        <w:spacing w:line="240" w:lineRule="auto"/>
        <w:rPr>
          <w:rFonts w:eastAsia="Times New Roman" w:cs="Arial"/>
          <w:lang w:eastAsia="bg-BG"/>
        </w:rPr>
      </w:pPr>
      <w:r w:rsidRPr="00BB1B6C">
        <w:rPr>
          <w:rFonts w:eastAsia="Times New Roman" w:cs="Arial"/>
          <w:color w:val="000000"/>
          <w:lang w:eastAsia="bg-BG"/>
        </w:rPr>
        <w:t xml:space="preserve">Метаболизира се основно в черния дроб. Има значителен </w:t>
      </w:r>
      <w:r w:rsidRPr="00BB1B6C">
        <w:rPr>
          <w:rFonts w:eastAsia="Times New Roman" w:cs="Arial"/>
          <w:color w:val="000000"/>
          <w:lang w:val="en-US"/>
        </w:rPr>
        <w:t xml:space="preserve">first-pass </w:t>
      </w:r>
      <w:r w:rsidRPr="00BB1B6C">
        <w:rPr>
          <w:rFonts w:eastAsia="Times New Roman" w:cs="Arial"/>
          <w:color w:val="000000"/>
          <w:lang w:eastAsia="bg-BG"/>
        </w:rPr>
        <w:t xml:space="preserve">метаболизъм. В над 90% от случаите пропафенон бързо се метаболизира до два активни метаболита: 5-хидроксипропафенон и </w:t>
      </w:r>
      <w:r w:rsidRPr="00BB1B6C">
        <w:rPr>
          <w:rFonts w:eastAsia="Times New Roman" w:cs="Arial"/>
          <w:color w:val="000000"/>
          <w:lang w:val="en-US"/>
        </w:rPr>
        <w:t xml:space="preserve">N- </w:t>
      </w:r>
      <w:r w:rsidRPr="00BB1B6C">
        <w:rPr>
          <w:rFonts w:eastAsia="Times New Roman" w:cs="Arial"/>
          <w:color w:val="000000"/>
          <w:lang w:eastAsia="bg-BG"/>
        </w:rPr>
        <w:t xml:space="preserve">депропилпропафенон, които имат антиаритмична активност, подобна на пропафенон, но присъстват в концентрации &lt; от 20% спрямо основния продукт. Скоростта на метаболизма е различна при бързо метаболизиращите и при бавно метаболизиращите индивиди. 90% от популацията се отнася към категорията с висока степен на метаболизъм. При бързите метаболизатори фармакокинетиката на пропафенон е нелинейна, поради насищането на </w:t>
      </w:r>
      <w:r w:rsidRPr="00BB1B6C">
        <w:rPr>
          <w:rFonts w:eastAsia="Times New Roman" w:cs="Arial"/>
          <w:color w:val="000000"/>
          <w:lang w:val="en-US"/>
        </w:rPr>
        <w:t xml:space="preserve">first pass </w:t>
      </w:r>
      <w:r w:rsidRPr="00BB1B6C">
        <w:rPr>
          <w:rFonts w:eastAsia="Times New Roman" w:cs="Arial"/>
          <w:color w:val="000000"/>
          <w:lang w:eastAsia="bg-BG"/>
        </w:rPr>
        <w:t xml:space="preserve">метаболизма. В групата на бавните метаболизатори фармакокинетичните криви за достигане на </w:t>
      </w:r>
      <w:r w:rsidRPr="00BB1B6C">
        <w:rPr>
          <w:rFonts w:eastAsia="Times New Roman" w:cs="Arial"/>
          <w:color w:val="000000"/>
          <w:lang w:val="en-US"/>
        </w:rPr>
        <w:t xml:space="preserve">steady state </w:t>
      </w:r>
      <w:r w:rsidRPr="00BB1B6C">
        <w:rPr>
          <w:rFonts w:eastAsia="Times New Roman" w:cs="Arial"/>
          <w:color w:val="000000"/>
          <w:lang w:eastAsia="bg-BG"/>
        </w:rPr>
        <w:t>плазмена концентрация са линейни.</w:t>
      </w:r>
    </w:p>
    <w:p w14:paraId="0B6BCD25" w14:textId="77777777" w:rsidR="00BB1B6C" w:rsidRPr="00BB1B6C" w:rsidRDefault="00BB1B6C" w:rsidP="00BB1B6C">
      <w:pPr>
        <w:pStyle w:val="Heading3"/>
        <w:rPr>
          <w:rFonts w:eastAsia="Times New Roman"/>
          <w:u w:val="single"/>
          <w:lang w:eastAsia="bg-BG"/>
        </w:rPr>
      </w:pPr>
      <w:r w:rsidRPr="00BB1B6C">
        <w:rPr>
          <w:rFonts w:eastAsia="Times New Roman"/>
          <w:u w:val="single"/>
          <w:lang w:eastAsia="bg-BG"/>
        </w:rPr>
        <w:t>Екскреция</w:t>
      </w:r>
    </w:p>
    <w:p w14:paraId="41A9C82D" w14:textId="77777777" w:rsidR="00BB1B6C" w:rsidRPr="00BB1B6C" w:rsidRDefault="00BB1B6C" w:rsidP="00BB1B6C">
      <w:pPr>
        <w:spacing w:line="240" w:lineRule="auto"/>
        <w:rPr>
          <w:rFonts w:eastAsia="Times New Roman" w:cs="Arial"/>
          <w:lang w:eastAsia="bg-BG"/>
        </w:rPr>
      </w:pPr>
      <w:r w:rsidRPr="00BB1B6C">
        <w:rPr>
          <w:rFonts w:eastAsia="Times New Roman" w:cs="Arial"/>
          <w:color w:val="000000"/>
          <w:lang w:eastAsia="bg-BG"/>
        </w:rPr>
        <w:t>Пропафенон се екскретира под формата на метаболити, като 53% се екскретира чрез жлъчката, а в 38% - чрез бъбреците. Само в 1% продукта се излъчва в неметаболизиран вид.</w:t>
      </w:r>
    </w:p>
    <w:p w14:paraId="4EE1BB0B" w14:textId="297147FB" w:rsidR="0091385D" w:rsidRPr="00BB1B6C" w:rsidRDefault="00BB1B6C" w:rsidP="00BB1B6C">
      <w:pPr>
        <w:rPr>
          <w:rFonts w:cs="Arial"/>
        </w:rPr>
      </w:pPr>
      <w:r w:rsidRPr="00BB1B6C">
        <w:rPr>
          <w:rFonts w:eastAsia="Times New Roman" w:cs="Arial"/>
          <w:color w:val="000000"/>
          <w:lang w:eastAsia="bg-BG"/>
        </w:rPr>
        <w:t>Времето на полуживот на пропафенон при бързите метаболизатори е 2-10 часа и около 17 часа при бавните метаболизатори.</w:t>
      </w:r>
    </w:p>
    <w:p w14:paraId="16CC3B10" w14:textId="77777777" w:rsidR="00BB1B6C" w:rsidRPr="0091385D" w:rsidRDefault="00BB1B6C" w:rsidP="0091385D"/>
    <w:p w14:paraId="648E39DA" w14:textId="44D16CBD" w:rsidR="00CF77F7" w:rsidRDefault="002C50EE" w:rsidP="004A448E">
      <w:pPr>
        <w:pStyle w:val="Heading2"/>
      </w:pPr>
      <w:r>
        <w:t>5.3. Предклинични данни за безопасност</w:t>
      </w:r>
    </w:p>
    <w:p w14:paraId="31455D09" w14:textId="4D0EFBF5" w:rsidR="0091385D" w:rsidRDefault="0091385D" w:rsidP="0091385D"/>
    <w:p w14:paraId="52E4D01A" w14:textId="587D9D81" w:rsidR="0091385D" w:rsidRPr="00BB1B6C" w:rsidRDefault="00BB1B6C" w:rsidP="0091385D">
      <w:pPr>
        <w:rPr>
          <w:rFonts w:cs="Arial"/>
        </w:rPr>
      </w:pPr>
      <w:r w:rsidRPr="00BB1B6C">
        <w:rPr>
          <w:rFonts w:cs="Arial"/>
        </w:rPr>
        <w:t>Пропафенон показва ембриотоксичен ефект при опитни зайци и плъхове в дози 10 и респ. 40 пъти превишаващи максималната препоръчвана доза при хора. И при двата вида не е наблюдаван тератогенен ефект.</w:t>
      </w:r>
    </w:p>
    <w:p w14:paraId="20E967BE" w14:textId="77777777" w:rsidR="0091385D" w:rsidRPr="0091385D" w:rsidRDefault="0091385D" w:rsidP="0091385D"/>
    <w:p w14:paraId="6A7820AB" w14:textId="353DB6D2" w:rsidR="008A6AF2" w:rsidRDefault="002C50EE" w:rsidP="00395555">
      <w:pPr>
        <w:pStyle w:val="Heading1"/>
      </w:pPr>
      <w:r>
        <w:t>7. ПРИТЕЖАТЕЛ НА РАЗРЕШЕНИЕТО ЗА УПОТРЕБА</w:t>
      </w:r>
    </w:p>
    <w:p w14:paraId="1B9B651E" w14:textId="3382E6AC" w:rsidR="0091385D" w:rsidRDefault="0091385D" w:rsidP="0091385D"/>
    <w:p w14:paraId="230B9238" w14:textId="77777777" w:rsidR="00BB1B6C" w:rsidRPr="00BB1B6C" w:rsidRDefault="00BB1B6C" w:rsidP="00BB1B6C">
      <w:pPr>
        <w:spacing w:line="240" w:lineRule="auto"/>
        <w:rPr>
          <w:rFonts w:eastAsia="Times New Roman" w:cs="Arial"/>
          <w:lang w:eastAsia="bg-BG"/>
        </w:rPr>
      </w:pPr>
      <w:r w:rsidRPr="00BB1B6C">
        <w:rPr>
          <w:rFonts w:eastAsia="Times New Roman" w:cs="Arial"/>
          <w:color w:val="000000"/>
          <w:lang w:eastAsia="bg-BG"/>
        </w:rPr>
        <w:t>СОФАРМА АД</w:t>
      </w:r>
    </w:p>
    <w:p w14:paraId="3FD825DB" w14:textId="0DF53A2D" w:rsidR="0091385D" w:rsidRPr="00BB1B6C" w:rsidRDefault="00BB1B6C" w:rsidP="00BB1B6C">
      <w:pPr>
        <w:rPr>
          <w:rFonts w:cs="Arial"/>
        </w:rPr>
      </w:pPr>
      <w:r w:rsidRPr="00BB1B6C">
        <w:rPr>
          <w:rFonts w:eastAsia="Times New Roman" w:cs="Arial"/>
          <w:color w:val="000000"/>
          <w:lang w:eastAsia="bg-BG"/>
        </w:rPr>
        <w:t>ул. Илиенско шосе 16 1220 София, България</w:t>
      </w:r>
    </w:p>
    <w:p w14:paraId="129C7566" w14:textId="77777777" w:rsidR="0091385D" w:rsidRPr="0091385D" w:rsidRDefault="0091385D" w:rsidP="0091385D"/>
    <w:p w14:paraId="7BA1BA64" w14:textId="17509450" w:rsidR="00CF77F7" w:rsidRDefault="002C50EE" w:rsidP="004A448E">
      <w:pPr>
        <w:pStyle w:val="Heading1"/>
      </w:pPr>
      <w:r>
        <w:t>8. НОМЕР НА РАЗРЕШЕНИЕТО ЗА УПОТРЕБА</w:t>
      </w:r>
    </w:p>
    <w:p w14:paraId="095674C4" w14:textId="54CA436A" w:rsidR="0091385D" w:rsidRDefault="0091385D" w:rsidP="0091385D"/>
    <w:p w14:paraId="07C294E5" w14:textId="77777777" w:rsidR="00BB1B6C" w:rsidRPr="00BB1B6C" w:rsidRDefault="00BB1B6C" w:rsidP="00BB1B6C">
      <w:pPr>
        <w:spacing w:line="240" w:lineRule="auto"/>
        <w:rPr>
          <w:rFonts w:eastAsia="Times New Roman" w:cs="Arial"/>
          <w:lang w:eastAsia="bg-BG"/>
        </w:rPr>
      </w:pPr>
      <w:proofErr w:type="spellStart"/>
      <w:r w:rsidRPr="00BB1B6C">
        <w:rPr>
          <w:rFonts w:eastAsia="Times New Roman" w:cs="Arial"/>
          <w:color w:val="000000"/>
          <w:lang w:val="en-US"/>
        </w:rPr>
        <w:t>Pe</w:t>
      </w:r>
      <w:proofErr w:type="spellEnd"/>
      <w:r w:rsidRPr="00BB1B6C">
        <w:rPr>
          <w:rFonts w:eastAsia="Times New Roman" w:cs="Arial"/>
          <w:color w:val="000000"/>
          <w:lang w:eastAsia="bg-BG"/>
        </w:rPr>
        <w:t>г</w:t>
      </w:r>
      <w:r w:rsidRPr="00BB1B6C">
        <w:rPr>
          <w:rFonts w:eastAsia="Times New Roman" w:cs="Arial"/>
          <w:color w:val="000000"/>
          <w:lang w:val="en-US"/>
        </w:rPr>
        <w:t xml:space="preserve">. </w:t>
      </w:r>
      <w:r w:rsidRPr="00BB1B6C">
        <w:rPr>
          <w:rFonts w:eastAsia="Times New Roman" w:cs="Arial"/>
          <w:color w:val="000000"/>
          <w:lang w:eastAsia="bg-BG"/>
        </w:rPr>
        <w:t xml:space="preserve">№ 20030582/ 21.08.2003 - за таблетки 150 </w:t>
      </w:r>
      <w:r w:rsidRPr="00BB1B6C">
        <w:rPr>
          <w:rFonts w:eastAsia="Times New Roman" w:cs="Arial"/>
          <w:color w:val="000000"/>
          <w:lang w:val="en-US"/>
        </w:rPr>
        <w:t>mg</w:t>
      </w:r>
    </w:p>
    <w:p w14:paraId="6E892CE5" w14:textId="4ED6D208" w:rsidR="0091385D" w:rsidRPr="00BB1B6C" w:rsidRDefault="00BB1B6C" w:rsidP="00BB1B6C">
      <w:pPr>
        <w:rPr>
          <w:rFonts w:cs="Arial"/>
        </w:rPr>
      </w:pPr>
      <w:proofErr w:type="spellStart"/>
      <w:r w:rsidRPr="00BB1B6C">
        <w:rPr>
          <w:rFonts w:eastAsia="Times New Roman" w:cs="Arial"/>
          <w:color w:val="000000"/>
          <w:lang w:val="en-US"/>
        </w:rPr>
        <w:t>Pe</w:t>
      </w:r>
      <w:proofErr w:type="spellEnd"/>
      <w:r w:rsidRPr="00BB1B6C">
        <w:rPr>
          <w:rFonts w:eastAsia="Times New Roman" w:cs="Arial"/>
          <w:color w:val="000000"/>
          <w:lang w:eastAsia="bg-BG"/>
        </w:rPr>
        <w:t>г</w:t>
      </w:r>
      <w:r w:rsidRPr="00BB1B6C">
        <w:rPr>
          <w:rFonts w:eastAsia="Times New Roman" w:cs="Arial"/>
          <w:color w:val="000000"/>
          <w:lang w:val="en-US"/>
        </w:rPr>
        <w:t xml:space="preserve">. </w:t>
      </w:r>
      <w:r w:rsidRPr="00BB1B6C">
        <w:rPr>
          <w:rFonts w:eastAsia="Times New Roman" w:cs="Arial"/>
          <w:color w:val="000000"/>
          <w:lang w:eastAsia="bg-BG"/>
        </w:rPr>
        <w:t xml:space="preserve">№ 20030583/ 21.08.2003 - за таблетки 300 </w:t>
      </w:r>
      <w:r w:rsidRPr="00BB1B6C">
        <w:rPr>
          <w:rFonts w:eastAsia="Times New Roman" w:cs="Arial"/>
          <w:color w:val="000000"/>
          <w:lang w:val="en-US"/>
        </w:rPr>
        <w:t>mg</w:t>
      </w:r>
    </w:p>
    <w:p w14:paraId="62EF7F8B" w14:textId="77777777" w:rsidR="0091385D" w:rsidRPr="0091385D" w:rsidRDefault="0091385D" w:rsidP="0091385D"/>
    <w:p w14:paraId="2CCB5832" w14:textId="18FCD95B" w:rsidR="007C605B" w:rsidRDefault="002C50EE" w:rsidP="007C605B">
      <w:pPr>
        <w:pStyle w:val="Heading1"/>
      </w:pPr>
      <w:r>
        <w:t>9. ДАТА НА ПЪРВО РАЗРЕШАВАНЕ/ПОДНОВЯВАНЕ НА РАЗРЕШЕНИЕТО ЗА УПОТРЕБА</w:t>
      </w:r>
    </w:p>
    <w:p w14:paraId="372B3414" w14:textId="0F79A9B4" w:rsidR="0091385D" w:rsidRDefault="0091385D" w:rsidP="0091385D"/>
    <w:p w14:paraId="497007FA" w14:textId="6D952493" w:rsidR="0091385D" w:rsidRPr="00BB1B6C" w:rsidRDefault="00BB1B6C" w:rsidP="0091385D">
      <w:pPr>
        <w:rPr>
          <w:rFonts w:cs="Arial"/>
        </w:rPr>
      </w:pPr>
      <w:r w:rsidRPr="00BB1B6C">
        <w:rPr>
          <w:rFonts w:cs="Arial"/>
        </w:rPr>
        <w:lastRenderedPageBreak/>
        <w:t>21.08.2003</w:t>
      </w:r>
    </w:p>
    <w:p w14:paraId="0A56E09D" w14:textId="77777777" w:rsidR="0091385D" w:rsidRPr="0091385D" w:rsidRDefault="0091385D" w:rsidP="0091385D"/>
    <w:p w14:paraId="0E9D0119" w14:textId="1FEC128A" w:rsidR="002C50EE" w:rsidRDefault="002C50EE" w:rsidP="002C50EE">
      <w:pPr>
        <w:pStyle w:val="Heading1"/>
      </w:pPr>
      <w:r>
        <w:t>10. ДАТА НА АКТУАЛИЗИРАНЕ НА ТЕКСТА</w:t>
      </w:r>
    </w:p>
    <w:p w14:paraId="3E8FFCC4" w14:textId="34E0D3BB" w:rsidR="0091385D" w:rsidRDefault="0091385D" w:rsidP="0091385D"/>
    <w:p w14:paraId="30276F52" w14:textId="5902F4EC" w:rsidR="0091385D" w:rsidRPr="00BB1B6C" w:rsidRDefault="00BB1B6C" w:rsidP="0091385D">
      <w:pPr>
        <w:rPr>
          <w:rFonts w:cs="Arial"/>
        </w:rPr>
      </w:pPr>
      <w:r w:rsidRPr="00BB1B6C">
        <w:rPr>
          <w:rFonts w:cs="Arial"/>
        </w:rPr>
        <w:t>Януари 2008</w:t>
      </w:r>
    </w:p>
    <w:p w14:paraId="6B00148E" w14:textId="77777777" w:rsidR="0091385D" w:rsidRPr="0091385D" w:rsidRDefault="0091385D" w:rsidP="0091385D"/>
    <w:bookmarkEnd w:id="0"/>
    <w:p w14:paraId="43FB38A2" w14:textId="5500C507" w:rsidR="007C605B" w:rsidRPr="003E3126" w:rsidRDefault="007C605B" w:rsidP="00CF77F7"/>
    <w:sectPr w:rsidR="007C605B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293C633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99A0F47"/>
    <w:multiLevelType w:val="hybridMultilevel"/>
    <w:tmpl w:val="5F3E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A2C2D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D3939"/>
    <w:multiLevelType w:val="hybridMultilevel"/>
    <w:tmpl w:val="00D092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1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BE65A60"/>
    <w:multiLevelType w:val="hybridMultilevel"/>
    <w:tmpl w:val="043252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17B77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" w15:restartNumberingAfterBreak="0">
    <w:nsid w:val="4B960DEC"/>
    <w:multiLevelType w:val="hybridMultilevel"/>
    <w:tmpl w:val="DE7AABEA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574AD"/>
    <w:multiLevelType w:val="hybridMultilevel"/>
    <w:tmpl w:val="C7F818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CD0714"/>
    <w:multiLevelType w:val="hybridMultilevel"/>
    <w:tmpl w:val="6B6C97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22928"/>
    <w:multiLevelType w:val="hybridMultilevel"/>
    <w:tmpl w:val="A8F0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AD1413"/>
    <w:multiLevelType w:val="hybridMultilevel"/>
    <w:tmpl w:val="9B941132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646080"/>
    <w:multiLevelType w:val="hybridMultilevel"/>
    <w:tmpl w:val="AF3E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9E39A0"/>
    <w:multiLevelType w:val="hybridMultilevel"/>
    <w:tmpl w:val="E28A72A8"/>
    <w:lvl w:ilvl="0" w:tplc="61A8CA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FB2D7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30"/>
  </w:num>
  <w:num w:numId="2">
    <w:abstractNumId w:val="0"/>
  </w:num>
  <w:num w:numId="3">
    <w:abstractNumId w:val="14"/>
  </w:num>
  <w:num w:numId="4">
    <w:abstractNumId w:val="3"/>
  </w:num>
  <w:num w:numId="5">
    <w:abstractNumId w:val="1"/>
  </w:num>
  <w:num w:numId="6">
    <w:abstractNumId w:val="17"/>
  </w:num>
  <w:num w:numId="7">
    <w:abstractNumId w:val="11"/>
  </w:num>
  <w:num w:numId="8">
    <w:abstractNumId w:val="16"/>
  </w:num>
  <w:num w:numId="9">
    <w:abstractNumId w:val="2"/>
  </w:num>
  <w:num w:numId="10">
    <w:abstractNumId w:val="4"/>
  </w:num>
  <w:num w:numId="11">
    <w:abstractNumId w:val="33"/>
  </w:num>
  <w:num w:numId="12">
    <w:abstractNumId w:val="15"/>
  </w:num>
  <w:num w:numId="13">
    <w:abstractNumId w:val="20"/>
  </w:num>
  <w:num w:numId="14">
    <w:abstractNumId w:val="13"/>
  </w:num>
  <w:num w:numId="15">
    <w:abstractNumId w:val="32"/>
  </w:num>
  <w:num w:numId="16">
    <w:abstractNumId w:val="10"/>
  </w:num>
  <w:num w:numId="17">
    <w:abstractNumId w:val="27"/>
  </w:num>
  <w:num w:numId="18">
    <w:abstractNumId w:val="7"/>
  </w:num>
  <w:num w:numId="19">
    <w:abstractNumId w:val="29"/>
  </w:num>
  <w:num w:numId="20">
    <w:abstractNumId w:val="26"/>
  </w:num>
  <w:num w:numId="21">
    <w:abstractNumId w:val="18"/>
  </w:num>
  <w:num w:numId="22">
    <w:abstractNumId w:val="28"/>
  </w:num>
  <w:num w:numId="23">
    <w:abstractNumId w:val="19"/>
  </w:num>
  <w:num w:numId="24">
    <w:abstractNumId w:val="9"/>
  </w:num>
  <w:num w:numId="25">
    <w:abstractNumId w:val="24"/>
  </w:num>
  <w:num w:numId="26">
    <w:abstractNumId w:val="22"/>
  </w:num>
  <w:num w:numId="27">
    <w:abstractNumId w:val="34"/>
  </w:num>
  <w:num w:numId="28">
    <w:abstractNumId w:val="6"/>
  </w:num>
  <w:num w:numId="29">
    <w:abstractNumId w:val="21"/>
  </w:num>
  <w:num w:numId="30">
    <w:abstractNumId w:val="37"/>
  </w:num>
  <w:num w:numId="31">
    <w:abstractNumId w:val="5"/>
  </w:num>
  <w:num w:numId="32">
    <w:abstractNumId w:val="36"/>
  </w:num>
  <w:num w:numId="33">
    <w:abstractNumId w:val="31"/>
  </w:num>
  <w:num w:numId="34">
    <w:abstractNumId w:val="35"/>
  </w:num>
  <w:num w:numId="35">
    <w:abstractNumId w:val="25"/>
  </w:num>
  <w:num w:numId="36">
    <w:abstractNumId w:val="12"/>
  </w:num>
  <w:num w:numId="37">
    <w:abstractNumId w:val="23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00"/>
    <w:rsid w:val="00101FBF"/>
    <w:rsid w:val="00185A46"/>
    <w:rsid w:val="001915B6"/>
    <w:rsid w:val="001D1B23"/>
    <w:rsid w:val="002B3C38"/>
    <w:rsid w:val="002B4DBB"/>
    <w:rsid w:val="002C50EE"/>
    <w:rsid w:val="00340A0A"/>
    <w:rsid w:val="003765DC"/>
    <w:rsid w:val="00395555"/>
    <w:rsid w:val="003E3126"/>
    <w:rsid w:val="00426E5F"/>
    <w:rsid w:val="004A448E"/>
    <w:rsid w:val="004D4D6B"/>
    <w:rsid w:val="004F1CE7"/>
    <w:rsid w:val="004F498A"/>
    <w:rsid w:val="00517A5B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75649D"/>
    <w:rsid w:val="007C605B"/>
    <w:rsid w:val="008134C8"/>
    <w:rsid w:val="00814073"/>
    <w:rsid w:val="00826F0D"/>
    <w:rsid w:val="00893B92"/>
    <w:rsid w:val="008A6AF2"/>
    <w:rsid w:val="008C70A2"/>
    <w:rsid w:val="008F1AF3"/>
    <w:rsid w:val="0091385D"/>
    <w:rsid w:val="009773E4"/>
    <w:rsid w:val="009B171C"/>
    <w:rsid w:val="009F1313"/>
    <w:rsid w:val="00A20351"/>
    <w:rsid w:val="00A65A81"/>
    <w:rsid w:val="00A73575"/>
    <w:rsid w:val="00AA23EC"/>
    <w:rsid w:val="00AC63CE"/>
    <w:rsid w:val="00AE2107"/>
    <w:rsid w:val="00B275A8"/>
    <w:rsid w:val="00BB1B6C"/>
    <w:rsid w:val="00BF2600"/>
    <w:rsid w:val="00C0049F"/>
    <w:rsid w:val="00C07B84"/>
    <w:rsid w:val="00C33464"/>
    <w:rsid w:val="00C40420"/>
    <w:rsid w:val="00C809A7"/>
    <w:rsid w:val="00C83063"/>
    <w:rsid w:val="00C87E90"/>
    <w:rsid w:val="00CA1B57"/>
    <w:rsid w:val="00CF77F7"/>
    <w:rsid w:val="00D86297"/>
    <w:rsid w:val="00DD466D"/>
    <w:rsid w:val="00EB6364"/>
    <w:rsid w:val="00F37B64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2540</Words>
  <Characters>14481</Characters>
  <Application>Microsoft Office Word</Application>
  <DocSecurity>0</DocSecurity>
  <Lines>120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Потребител на Windows</cp:lastModifiedBy>
  <cp:revision>2</cp:revision>
  <dcterms:created xsi:type="dcterms:W3CDTF">2022-10-31T17:57:00Z</dcterms:created>
  <dcterms:modified xsi:type="dcterms:W3CDTF">2022-10-31T17:57:00Z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