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09EA6757" w14:textId="16F0286F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A65B0">
        <w:rPr>
          <w:rFonts w:eastAsia="Times New Roman" w:cs="Arial"/>
          <w:b/>
          <w:bCs/>
          <w:color w:val="000000"/>
          <w:lang w:eastAsia="bg-BG"/>
        </w:rPr>
        <w:t xml:space="preserve">Ритмонорм </w:t>
      </w:r>
      <w:r w:rsidR="004F42ED">
        <w:rPr>
          <w:rFonts w:eastAsia="Times New Roman" w:cs="Arial"/>
          <w:b/>
          <w:bCs/>
          <w:color w:val="000000"/>
          <w:lang w:val="en-US"/>
        </w:rPr>
        <w:t>30</w:t>
      </w:r>
      <w:r w:rsidRPr="00EA65B0">
        <w:rPr>
          <w:rFonts w:eastAsia="Times New Roman" w:cs="Arial"/>
          <w:b/>
          <w:bCs/>
          <w:color w:val="000000"/>
          <w:lang w:val="en-US"/>
        </w:rPr>
        <w:t xml:space="preserve">0 mg </w:t>
      </w:r>
      <w:r w:rsidRPr="00EA65B0">
        <w:rPr>
          <w:rFonts w:eastAsia="Times New Roman" w:cs="Arial"/>
          <w:color w:val="000000"/>
          <w:lang w:eastAsia="bg-BG"/>
        </w:rPr>
        <w:t>филмирани таблетки</w:t>
      </w:r>
    </w:p>
    <w:p w14:paraId="5015A1FD" w14:textId="29C613F9" w:rsidR="00A73575" w:rsidRPr="00EA65B0" w:rsidRDefault="00EA65B0" w:rsidP="00EA65B0">
      <w:pPr>
        <w:rPr>
          <w:rFonts w:cs="Arial"/>
        </w:rPr>
      </w:pPr>
      <w:proofErr w:type="spellStart"/>
      <w:r w:rsidRPr="00EA65B0">
        <w:rPr>
          <w:rFonts w:eastAsia="Times New Roman" w:cs="Arial"/>
          <w:b/>
          <w:bCs/>
          <w:color w:val="000000"/>
          <w:lang w:val="en-US"/>
        </w:rPr>
        <w:t>Rytmonorm</w:t>
      </w:r>
      <w:proofErr w:type="spellEnd"/>
      <w:r w:rsidRPr="00EA65B0">
        <w:rPr>
          <w:rFonts w:eastAsia="Times New Roman" w:cs="Arial"/>
          <w:b/>
          <w:bCs/>
          <w:color w:val="000000"/>
          <w:lang w:val="en-US"/>
        </w:rPr>
        <w:t xml:space="preserve"> </w:t>
      </w:r>
      <w:r w:rsidR="004F42ED">
        <w:rPr>
          <w:rFonts w:eastAsia="Times New Roman" w:cs="Arial"/>
          <w:b/>
          <w:bCs/>
          <w:color w:val="000000"/>
          <w:lang w:val="en-US" w:eastAsia="bg-BG"/>
        </w:rPr>
        <w:t>30</w:t>
      </w:r>
      <w:r w:rsidRPr="00EA65B0">
        <w:rPr>
          <w:rFonts w:eastAsia="Times New Roman" w:cs="Arial"/>
          <w:b/>
          <w:bCs/>
          <w:color w:val="000000"/>
          <w:lang w:eastAsia="bg-BG"/>
        </w:rPr>
        <w:t xml:space="preserve">0 </w:t>
      </w:r>
      <w:r w:rsidRPr="00EA65B0">
        <w:rPr>
          <w:rFonts w:eastAsia="Times New Roman" w:cs="Arial"/>
          <w:b/>
          <w:bCs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val="en-US"/>
        </w:rPr>
        <w:t>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1681213E" w14:textId="5C67CCA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Всяка филмирана таблетка съдържа </w:t>
      </w:r>
      <w:r w:rsidR="004F42ED">
        <w:rPr>
          <w:rFonts w:eastAsia="Times New Roman" w:cs="Arial"/>
          <w:color w:val="000000"/>
          <w:lang w:val="en-US" w:eastAsia="bg-BG"/>
        </w:rPr>
        <w:t>30</w:t>
      </w:r>
      <w:r w:rsidRPr="00EA65B0">
        <w:rPr>
          <w:rFonts w:eastAsia="Times New Roman" w:cs="Arial"/>
          <w:color w:val="000000"/>
          <w:lang w:eastAsia="bg-BG"/>
        </w:rPr>
        <w:t xml:space="preserve">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пропафенонов хидрохлорид </w:t>
      </w:r>
      <w:r w:rsidRPr="00EA65B0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EA65B0">
        <w:rPr>
          <w:rFonts w:eastAsia="Times New Roman" w:cs="Arial"/>
          <w:i/>
          <w:iCs/>
          <w:color w:val="000000"/>
          <w:lang w:val="en-US"/>
        </w:rPr>
        <w:t>propafenone</w:t>
      </w:r>
      <w:proofErr w:type="spellEnd"/>
      <w:r w:rsidRPr="00EA65B0">
        <w:rPr>
          <w:rFonts w:eastAsia="Times New Roman" w:cs="Arial"/>
          <w:i/>
          <w:iCs/>
          <w:color w:val="000000"/>
          <w:lang w:val="en-US"/>
        </w:rPr>
        <w:t xml:space="preserve"> hydrochloride).</w:t>
      </w:r>
    </w:p>
    <w:p w14:paraId="72E505A3" w14:textId="3BB5C27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Помощни вещества: Всяка таблетка от </w:t>
      </w:r>
      <w:r w:rsidR="004F42ED">
        <w:rPr>
          <w:rFonts w:eastAsia="Times New Roman" w:cs="Arial"/>
          <w:color w:val="000000"/>
          <w:lang w:val="en-US" w:eastAsia="bg-BG"/>
        </w:rPr>
        <w:t>30</w:t>
      </w:r>
      <w:r w:rsidRPr="00EA65B0">
        <w:rPr>
          <w:rFonts w:eastAsia="Times New Roman" w:cs="Arial"/>
          <w:color w:val="000000"/>
          <w:lang w:eastAsia="bg-BG"/>
        </w:rPr>
        <w:t xml:space="preserve">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="004F42ED">
        <w:rPr>
          <w:rFonts w:eastAsia="Times New Roman" w:cs="Arial"/>
          <w:color w:val="000000"/>
          <w:lang w:eastAsia="bg-BG"/>
        </w:rPr>
        <w:t>съдържало 2</w:t>
      </w:r>
      <w:r w:rsidRPr="00EA65B0">
        <w:rPr>
          <w:rFonts w:eastAsia="Times New Roman" w:cs="Arial"/>
          <w:color w:val="000000"/>
          <w:lang w:eastAsia="bg-BG"/>
        </w:rPr>
        <w:t xml:space="preserve">0.0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>натрий.</w:t>
      </w:r>
    </w:p>
    <w:p w14:paraId="03110A50" w14:textId="57162E4E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4129ADBB" w14:textId="0C2AD62F" w:rsidR="0091385D" w:rsidRDefault="00EA65B0" w:rsidP="0091385D">
      <w:r>
        <w:t xml:space="preserve">Ритмонорм </w:t>
      </w:r>
      <w:r w:rsidR="004F42ED">
        <w:rPr>
          <w:lang w:val="en-US"/>
        </w:rPr>
        <w:t>30</w:t>
      </w:r>
      <w:r>
        <w:t xml:space="preserve">0 </w:t>
      </w:r>
      <w:r>
        <w:rPr>
          <w:lang w:val="en-US"/>
        </w:rPr>
        <w:t xml:space="preserve">mg </w:t>
      </w:r>
      <w:r>
        <w:t>филмирана таблетка - бели до почти бели, биконвексни таблетки с вдлъбнат</w:t>
      </w:r>
      <w:r w:rsidR="004F42ED">
        <w:t>о релефно изображение „</w:t>
      </w:r>
      <w:r w:rsidR="004F42ED">
        <w:rPr>
          <w:lang w:val="en-US"/>
        </w:rPr>
        <w:t>30</w:t>
      </w:r>
      <w:r>
        <w:t>0” от едната страна и гладки от другата страна.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50BC1CFC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Симптоматични надкамерни тахиаритмии, изискващи лечение, като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 xml:space="preserve">тахикардии, надкамерна тахикардия при пациенти със синдром на </w:t>
      </w:r>
      <w:r w:rsidRPr="00EA65B0">
        <w:rPr>
          <w:rFonts w:eastAsia="Times New Roman" w:cs="Arial"/>
          <w:i/>
          <w:iCs/>
          <w:color w:val="000000"/>
          <w:lang w:val="en-US"/>
        </w:rPr>
        <w:t>Wolff-Parkinson-White</w:t>
      </w:r>
      <w:r w:rsidRPr="00EA65B0">
        <w:rPr>
          <w:rFonts w:eastAsia="Times New Roman" w:cs="Arial"/>
          <w:color w:val="000000"/>
          <w:lang w:val="en-US"/>
        </w:rPr>
        <w:t xml:space="preserve"> (WPW) </w:t>
      </w:r>
      <w:r w:rsidRPr="00EA65B0">
        <w:rPr>
          <w:rFonts w:eastAsia="Times New Roman" w:cs="Arial"/>
          <w:color w:val="000000"/>
          <w:lang w:eastAsia="bg-BG"/>
        </w:rPr>
        <w:t>или пароксизмално предсърдно мъждене.</w:t>
      </w:r>
    </w:p>
    <w:p w14:paraId="180074A7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04B2E99C" w14:textId="27C0516C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Тежка симптоматична камерна тахиаритмия, която по преценката на лекаря е животозастрашаваща.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0043E6C5" w14:textId="77777777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>Дозировка</w:t>
      </w:r>
    </w:p>
    <w:p w14:paraId="12CFAC4D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F8B522" w14:textId="4581776F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Перорално приложение</w:t>
      </w:r>
    </w:p>
    <w:p w14:paraId="37C0C18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49C194" w14:textId="0CB9320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Дозировката трябва да се адаптира според индивидуалните нужди на всеки пациент.</w:t>
      </w:r>
    </w:p>
    <w:p w14:paraId="4794260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При пациенти със сигнификантно разширяване на </w:t>
      </w:r>
      <w:r w:rsidRPr="00EA65B0">
        <w:rPr>
          <w:rFonts w:eastAsia="Times New Roman" w:cs="Arial"/>
          <w:color w:val="000000"/>
          <w:lang w:val="en-US"/>
        </w:rPr>
        <w:t xml:space="preserve">QRS </w:t>
      </w:r>
      <w:r w:rsidRPr="00EA65B0">
        <w:rPr>
          <w:rFonts w:eastAsia="Times New Roman" w:cs="Arial"/>
          <w:color w:val="000000"/>
          <w:lang w:eastAsia="bg-BG"/>
        </w:rPr>
        <w:t xml:space="preserve">комплекса или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>блок втора и трета степен трябва да се обмисли намаление на дозата.</w:t>
      </w:r>
    </w:p>
    <w:p w14:paraId="1F459ED8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983BD87" w14:textId="78CE595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Възрастни</w:t>
      </w:r>
    </w:p>
    <w:p w14:paraId="6E0A957E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lastRenderedPageBreak/>
        <w:t xml:space="preserve">За периода на титриране и като поддържаща терапия при пациенти с телесно тегло около 70 </w:t>
      </w:r>
      <w:r w:rsidRPr="00EA65B0">
        <w:rPr>
          <w:rFonts w:eastAsia="Times New Roman" w:cs="Arial"/>
          <w:color w:val="000000"/>
          <w:lang w:val="en-US"/>
        </w:rPr>
        <w:t xml:space="preserve">kg </w:t>
      </w:r>
      <w:r w:rsidRPr="00EA65B0">
        <w:rPr>
          <w:rFonts w:eastAsia="Times New Roman" w:cs="Arial"/>
          <w:color w:val="000000"/>
          <w:lang w:eastAsia="bg-BG"/>
        </w:rPr>
        <w:t xml:space="preserve">се препоръчва дневна доза от 450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до 600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Ритмонорм, разделена на два или три приема дневно. В някои случаи може да е необходимо повишаване на дневната доза до 900 </w:t>
      </w:r>
      <w:r w:rsidRPr="00EA65B0">
        <w:rPr>
          <w:rFonts w:eastAsia="Times New Roman" w:cs="Arial"/>
          <w:color w:val="000000"/>
          <w:lang w:val="en-US"/>
        </w:rPr>
        <w:t>mg</w:t>
      </w:r>
      <w:r w:rsidRPr="00EA65B0">
        <w:rPr>
          <w:rFonts w:eastAsia="Times New Roman" w:cs="Arial"/>
          <w:color w:val="000000"/>
          <w:lang w:eastAsia="bg-BG"/>
        </w:rPr>
        <w:t xml:space="preserve"> Ритмонорм.</w:t>
      </w:r>
      <w:r w:rsidRPr="00EA65B0">
        <w:rPr>
          <w:rFonts w:eastAsia="Times New Roman" w:cs="Arial"/>
          <w:color w:val="000000"/>
          <w:lang w:val="en-US"/>
        </w:rPr>
        <w:t xml:space="preserve"> </w:t>
      </w:r>
    </w:p>
    <w:p w14:paraId="799964B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15FE7B" w14:textId="4411CAAF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пациенти с по-малко телесно тегло, дневната доза трябва да бъде съответно понижена. Повишаване на дозата не трябва да се предприема преди пациентът да е бил на това лечение за 3-4 дни.</w:t>
      </w:r>
    </w:p>
    <w:p w14:paraId="20603836" w14:textId="02D7F46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475300EC" w14:textId="265928DD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Индивидуалната поддържаща доза трябва да се определи при проследяване от кардиолог, включително ЕКГ мониториране и редовен контрол на кръвното налягане (период на титриране).</w:t>
      </w:r>
    </w:p>
    <w:p w14:paraId="6ACAF645" w14:textId="24022518" w:rsidR="0091385D" w:rsidRDefault="0091385D" w:rsidP="0091385D"/>
    <w:p w14:paraId="3E2C7113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9FAA84A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При деца, средна дневна доза 10 до 20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Ритмонорм на </w:t>
      </w:r>
      <w:r w:rsidRPr="00EA65B0">
        <w:rPr>
          <w:rFonts w:eastAsia="Times New Roman" w:cs="Arial"/>
          <w:color w:val="000000"/>
          <w:lang w:val="en-US"/>
        </w:rPr>
        <w:t xml:space="preserve">kg </w:t>
      </w:r>
      <w:r w:rsidRPr="00EA65B0">
        <w:rPr>
          <w:rFonts w:eastAsia="Times New Roman" w:cs="Arial"/>
          <w:color w:val="000000"/>
          <w:lang w:eastAsia="bg-BG"/>
        </w:rPr>
        <w:t>/телесно тегло, разделена на 3-4 дози е подходящата доза в периода на титриране и поддържащо лечение.</w:t>
      </w:r>
    </w:p>
    <w:p w14:paraId="7DDBE5BC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16F62D" w14:textId="0052A6F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Повишаване на дозата не трябва да се предприема преди пациентът да е бил на това лечение за 3-4 дни.</w:t>
      </w:r>
    </w:p>
    <w:p w14:paraId="177218CC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EEE746" w14:textId="78094A3E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Индивидуалната поддържаща доза трябва да се определи при проследяване от кардиолог, включително ЕКГ мониториране и редовен контрол на кръвното налягане (период на титриране).</w:t>
      </w:r>
    </w:p>
    <w:p w14:paraId="751DD5DD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2B5AD9" w14:textId="0F2E0FB9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7548F864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тази група пациенти не е наблюдавана разлика в безопасността и ефективността, но по-висока чувствителност при някои от тях не може да се изключи, затова тези пациенти трябва внимателно да бъдат мониторирани. Това се отнася и до поддържащата терапия. Всяко необходимо повишаване на дозата не трябва да се предприема преди пациентът да е бил на това лечение за 5 до 8 дни.</w:t>
      </w:r>
    </w:p>
    <w:p w14:paraId="38F630AD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B6E1210" w14:textId="14A27F31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Чернодробни/ бъбречни нарушения</w:t>
      </w:r>
    </w:p>
    <w:p w14:paraId="18B79B80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пациенти с нарушена чернодробна и/или бъбречна функция, може да е налице акумулиране на продукта при стандартни терапевтични дози. Въпреки това, пациентите с тези заболявания може да бъдат титрирани с Ритмонорм под ЕКГ-контрол и клинично мониториране.</w:t>
      </w:r>
    </w:p>
    <w:p w14:paraId="020F8A20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D52D01" w14:textId="57B62753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>Начин на приложение</w:t>
      </w:r>
    </w:p>
    <w:p w14:paraId="1669937A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0155CAB0" w14:textId="2932A17A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Поради горчивия вкус и повърхностното анестезиращо действие на Ритмонорм, филмираните таблетки трябва да се поглъщат цели (без дъвчене) с течности.</w:t>
      </w:r>
    </w:p>
    <w:p w14:paraId="5AA47773" w14:textId="77777777" w:rsidR="00EA65B0" w:rsidRPr="0091385D" w:rsidRDefault="00EA65B0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5A802F1B" w14:textId="77777777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Известна свръхчувствителност към пропафенонов хидрохлорид или към някое от помощните вещества, изброени в точка 6.1.</w:t>
      </w:r>
    </w:p>
    <w:p w14:paraId="0B69E3D7" w14:textId="77777777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Известен Бругада синдром (вижте Специални предупреждения и предпазни мерки при употреба)</w:t>
      </w:r>
    </w:p>
    <w:p w14:paraId="3D297709" w14:textId="77777777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Миокарден инфаркт през последните 3 месеца</w:t>
      </w:r>
    </w:p>
    <w:p w14:paraId="4F8EC568" w14:textId="09632FB2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lastRenderedPageBreak/>
        <w:t>Значимо структурно сърдечно заболяване като:</w:t>
      </w:r>
    </w:p>
    <w:p w14:paraId="51B1B210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Неконтролирана застойна сърдечна недостатъчност с левокамерна фракция на изтласкване под 35%</w:t>
      </w:r>
    </w:p>
    <w:p w14:paraId="4584C143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Кардиогенен шок, освен ако не е причинен от аритмия</w:t>
      </w:r>
    </w:p>
    <w:p w14:paraId="00815C4E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Тежка симптоматична брадикардия</w:t>
      </w:r>
    </w:p>
    <w:p w14:paraId="4113C930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Дисфункция на синусовия възел, предсърдни дефекти на провеждането,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>блок от втора или по-висока степен, или блок на проводния сноп, или дистален блок при отсъствие на пейсмейкър.</w:t>
      </w:r>
    </w:p>
    <w:p w14:paraId="355B16C8" w14:textId="5310A842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Тежка хипотония</w:t>
      </w:r>
    </w:p>
    <w:p w14:paraId="2C6C634D" w14:textId="77777777" w:rsidR="00EA65B0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Изявен електролитен дисбаланс (напр. нарушения на калиевия метаболизъм)</w:t>
      </w:r>
    </w:p>
    <w:p w14:paraId="227F9FAA" w14:textId="77777777" w:rsidR="00EA65B0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Тежка обструктивна белодробна болест</w:t>
      </w:r>
    </w:p>
    <w:p w14:paraId="68A4465E" w14:textId="77777777" w:rsidR="00EA65B0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Миастения грави</w:t>
      </w:r>
    </w:p>
    <w:p w14:paraId="2309EAB0" w14:textId="34277445" w:rsidR="0091385D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Едновременно лечение с ритонавир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0B3BEE35" w14:textId="0F629BCF" w:rsidR="0091385D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Ритмонорм, подобно на други антиаритмични средства, може да причини проаритмични ефекти, т.е. може да причини нови или да влоши съществуващите аритмии (вж.точка 4.8.) Особено важно е всеки пациент, приемащ Ритмонорм да бъде електрокардиографски клинично проследяван преди и по време на лечението, за да се установи дали отговорът към Ритмонорм подкрепя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>продължителното лечение.</w:t>
      </w:r>
    </w:p>
    <w:p w14:paraId="63D7DFF2" w14:textId="6BB73A3A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43D514C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Бругада синдром може да се манифестира или Бругада-подобните промени могат да бъдат провокирани в електрокардиограма (ЕКГ) след експозиция с Ритмонорм при пациенти, които до тогава са били безсимптомни носители на симптома. След започване на лечение с Ритмонорм, трябва да се направи ЕКГ, за да се изключат промени, насочващи към Бругада синдром.</w:t>
      </w:r>
    </w:p>
    <w:p w14:paraId="43FBEBD2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8AF30D" w14:textId="30017BEC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Лечението с Ритмонорм може да повлияе едновременно честотата и чувствителността на прага на възбудимост на пейсмейкърите. Функцията на пейсмейкърите трябва да бъде проверена и при необходимост, препрограмирана.</w:t>
      </w:r>
    </w:p>
    <w:p w14:paraId="17D3B63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9B34FB" w14:textId="16536198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Съществува възможност за превръщане на пароксизмалното предсърдно мъждене в предсърдно трептене с придружаващ 2:1 проводен блок или 1:1 проводимост (вижте Нежелани лекарствени реакции).</w:t>
      </w:r>
    </w:p>
    <w:p w14:paraId="3DC511A4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4C534E" w14:textId="32929E0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Както при останалите 1С анти-аритмици, пациентите със значимо структурно сърдечно заболяване може да са предразположени към сериозни нежелани събития, затова Ритмонорм е противопоказан при тези пациенти (вижте Противопоказания).</w:t>
      </w:r>
    </w:p>
    <w:p w14:paraId="10CF876B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24B42C" w14:textId="21C4AA8C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Ритмонорм трябва да бъде използван с повишено внимание при пациенти с обструкция на дихателните пътища, например астма.</w:t>
      </w:r>
    </w:p>
    <w:p w14:paraId="2E9B958A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20D7D9" w14:textId="4C4282AA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Натрий</w:t>
      </w:r>
    </w:p>
    <w:p w14:paraId="6F41B1D0" w14:textId="27056DD6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proofErr w:type="spellStart"/>
      <w:r w:rsidRPr="00EA65B0">
        <w:rPr>
          <w:rFonts w:eastAsia="Times New Roman" w:cs="Arial"/>
          <w:color w:val="000000"/>
          <w:lang w:val="en-US"/>
        </w:rPr>
        <w:t>mmol</w:t>
      </w:r>
      <w:proofErr w:type="spellEnd"/>
      <w:r w:rsidRPr="00EA65B0">
        <w:rPr>
          <w:rFonts w:eastAsia="Times New Roman" w:cs="Arial"/>
          <w:color w:val="000000"/>
          <w:lang w:val="en-US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 xml:space="preserve">натрий (23 </w:t>
      </w:r>
      <w:r w:rsidRPr="00EA65B0">
        <w:rPr>
          <w:rFonts w:eastAsia="Times New Roman" w:cs="Arial"/>
          <w:color w:val="000000"/>
          <w:lang w:val="en-US"/>
        </w:rPr>
        <w:t xml:space="preserve">mg) </w:t>
      </w:r>
      <w:r w:rsidRPr="00EA65B0">
        <w:rPr>
          <w:rFonts w:eastAsia="Times New Roman" w:cs="Arial"/>
          <w:color w:val="000000"/>
          <w:lang w:eastAsia="bg-BG"/>
        </w:rPr>
        <w:t>на таблетка, т.е. може да се каже, че практически не съдържа натрий.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78C1C426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Възможно е потенциране на страничните ефекти на Ритмонорм при едновременното му приложение с локални анестетици (напр. имплантиране на пейсмейкър, хирургични или стоматологични интервенции) или други лекарства, потискащи сърдечната честота и/или миокардния контрактилитет (напр. бета-блокери, трициклични антидепресанти).</w:t>
      </w:r>
    </w:p>
    <w:p w14:paraId="0D25BA7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8EDCA4" w14:textId="3F5DD0F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Едновременното приложение на Ритмонорм с лекарства, метаболизирани от </w:t>
      </w:r>
      <w:r w:rsidRPr="00EA65B0">
        <w:rPr>
          <w:rFonts w:eastAsia="Times New Roman" w:cs="Arial"/>
          <w:color w:val="000000"/>
          <w:lang w:val="en-US"/>
        </w:rPr>
        <w:t xml:space="preserve">CYP2D6 </w:t>
      </w:r>
      <w:r w:rsidRPr="00EA65B0">
        <w:rPr>
          <w:rFonts w:eastAsia="Times New Roman" w:cs="Arial"/>
          <w:color w:val="000000"/>
          <w:lang w:eastAsia="bg-BG"/>
        </w:rPr>
        <w:t>(като венлафаксин) може да доведе до повишаване нивата на тези лекарствени продукти. Докладвани са повишени плазмени нива на пропранолол, метопролол, дезипрамин, циклоспорин, теофилин и дигоксин по време на лечение с пропафенонов хидрохлорид. Ако се наблюдават признаци на свръхдозиране, дозите на тези лекарства трябва да бъдат намалени, колкото е необходимо.</w:t>
      </w:r>
    </w:p>
    <w:p w14:paraId="1C72C7D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B35CB7" w14:textId="7B7040CC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Инхибиторите на </w:t>
      </w:r>
      <w:r w:rsidRPr="00EA65B0">
        <w:rPr>
          <w:rFonts w:eastAsia="Times New Roman" w:cs="Arial"/>
          <w:color w:val="000000"/>
          <w:lang w:val="en-US"/>
        </w:rPr>
        <w:t xml:space="preserve">CYP2D6, CYP1A2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 xml:space="preserve">CYP3A4, </w:t>
      </w:r>
      <w:r w:rsidRPr="00EA65B0">
        <w:rPr>
          <w:rFonts w:eastAsia="Times New Roman" w:cs="Arial"/>
          <w:color w:val="000000"/>
          <w:lang w:eastAsia="bg-BG"/>
        </w:rPr>
        <w:t>напр. кетоконазол, циметидин, хинидин, еритромицин и сок от грейпфрут, могат да доведат до повишени нива на Ритмонорм. При приложението на Ритмонорм с инхибитори на тези ензими, пациентите трябва да бъдат внимателно проследявани, а дозата съответно адаптирана.</w:t>
      </w:r>
    </w:p>
    <w:p w14:paraId="1C71B4DE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F8A9DB" w14:textId="7A68AAE9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Комбинираното лечение с амиодарон и Ритмонорм може да повлияе провеждането и реполаризацията и да доведе до нарушения, имащи проаритмогенен потенциал. Може да е необходима промяна в дозата на двата лекарствени продукти в зависимост от терапевтичния отговор.</w:t>
      </w:r>
    </w:p>
    <w:p w14:paraId="620C7A4B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98F414" w14:textId="513464D1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едновременното приложение на Ритмонорм и лидокаин не са наблюдавани значими фармакокинетични ефекти. Въпреки това, при едновременното приложение на Ритмонорм и лидокаин са докладвани случаи на повишен риск от странични ефекти на лидокаин върху централната нервна система.</w:t>
      </w:r>
    </w:p>
    <w:p w14:paraId="41205FB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D85B9D" w14:textId="13BC7D5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Ритмонорм е известен като индукгор на </w:t>
      </w:r>
      <w:r w:rsidRPr="00EA65B0">
        <w:rPr>
          <w:rFonts w:eastAsia="Times New Roman" w:cs="Arial"/>
          <w:color w:val="000000"/>
          <w:lang w:val="en-US"/>
        </w:rPr>
        <w:t xml:space="preserve">CYP3A4. </w:t>
      </w:r>
      <w:r w:rsidRPr="00EA65B0">
        <w:rPr>
          <w:rFonts w:eastAsia="Times New Roman" w:cs="Arial"/>
          <w:color w:val="000000"/>
          <w:lang w:eastAsia="bg-BG"/>
        </w:rPr>
        <w:t>При едновременното продължително приложение с фенобарбитал е необходимо проследяване на отговора към лечението с Ритмонорм.</w:t>
      </w:r>
    </w:p>
    <w:p w14:paraId="0A930FC8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172AE819" w14:textId="1205FBA1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Едновременно прилагане на Ритмонорм и рифампин може да понижи антиаритмичния ефект на Ритмонорм в резултат от понижение на плазмените му нива.</w:t>
      </w:r>
    </w:p>
    <w:p w14:paraId="5B2761C5" w14:textId="34D3C8AD" w:rsidR="0091385D" w:rsidRDefault="0091385D" w:rsidP="0091385D"/>
    <w:p w14:paraId="7EA02CD8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Препоръчва се тясно наблюдение на показателите на кръвосъсирването при пациенти, които приемат перорални антикоагуланти (напр. фенпрокумон, варфарин) едновременно с Ритмонорм, тъй като той може да повиши техния ефект и да доведе до удължено протромбиново време. Ако се наблюдават признаци на свръхдозиране, дозите на тези лекарства трябва да бъдат намалени, колкото е необходимо.</w:t>
      </w:r>
    </w:p>
    <w:p w14:paraId="2922E0B8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E54D7B" w14:textId="68CD5AD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Повишени плазмени нива на Ритмонорм може да се наблюдават при едновременно приложение на Ритмонорм и инхибитори на обратния захват на серотонина </w:t>
      </w:r>
      <w:r w:rsidRPr="00EA65B0">
        <w:rPr>
          <w:rFonts w:eastAsia="Times New Roman" w:cs="Arial"/>
          <w:color w:val="000000"/>
          <w:lang w:val="en-US"/>
        </w:rPr>
        <w:t xml:space="preserve">(SSRI) </w:t>
      </w:r>
      <w:r w:rsidRPr="00EA65B0">
        <w:rPr>
          <w:rFonts w:eastAsia="Times New Roman" w:cs="Arial"/>
          <w:color w:val="000000"/>
          <w:lang w:eastAsia="bg-BG"/>
        </w:rPr>
        <w:t xml:space="preserve">като флуоксетин и пароксетин. Едновременното приложение на Ритмонорм и флуоксетин при пациенти - екстензивни метаболизатори води до повишаване на </w:t>
      </w:r>
      <w:r w:rsidRPr="00EA65B0">
        <w:rPr>
          <w:rFonts w:eastAsia="Times New Roman" w:cs="Arial"/>
          <w:color w:val="000000"/>
          <w:lang w:val="en-US"/>
        </w:rPr>
        <w:t xml:space="preserve">S </w:t>
      </w:r>
      <w:r w:rsidRPr="00EA65B0">
        <w:rPr>
          <w:rFonts w:eastAsia="Times New Roman" w:cs="Arial"/>
          <w:color w:val="000000"/>
          <w:lang w:eastAsia="bg-BG"/>
        </w:rPr>
        <w:t>пропафенон С</w:t>
      </w:r>
      <w:r w:rsidRPr="00EA65B0">
        <w:rPr>
          <w:rFonts w:eastAsia="Times New Roman" w:cs="Arial"/>
          <w:color w:val="000000"/>
          <w:lang w:val="en-US"/>
        </w:rPr>
        <w:t>max</w:t>
      </w:r>
      <w:r w:rsidRPr="00EA65B0">
        <w:rPr>
          <w:rFonts w:eastAsia="Times New Roman" w:cs="Arial"/>
          <w:color w:val="000000"/>
          <w:lang w:eastAsia="bg-BG"/>
        </w:rPr>
        <w:t xml:space="preserve"> и </w:t>
      </w:r>
      <w:r w:rsidRPr="00EA65B0">
        <w:rPr>
          <w:rFonts w:eastAsia="Times New Roman" w:cs="Arial"/>
          <w:color w:val="000000"/>
          <w:lang w:val="en-US"/>
        </w:rPr>
        <w:t xml:space="preserve">AUC </w:t>
      </w:r>
      <w:r w:rsidRPr="00EA65B0">
        <w:rPr>
          <w:rFonts w:eastAsia="Times New Roman" w:cs="Arial"/>
          <w:color w:val="000000"/>
          <w:lang w:eastAsia="bg-BG"/>
        </w:rPr>
        <w:t xml:space="preserve">с 39 и 50% и на </w:t>
      </w:r>
      <w:r w:rsidRPr="00EA65B0">
        <w:rPr>
          <w:rFonts w:eastAsia="Times New Roman" w:cs="Arial"/>
          <w:color w:val="000000"/>
          <w:lang w:val="en-US"/>
        </w:rPr>
        <w:t xml:space="preserve">R </w:t>
      </w:r>
      <w:r w:rsidRPr="00EA65B0">
        <w:rPr>
          <w:rFonts w:eastAsia="Times New Roman" w:cs="Arial"/>
          <w:color w:val="000000"/>
          <w:lang w:eastAsia="bg-BG"/>
        </w:rPr>
        <w:t>пропафенон С</w:t>
      </w:r>
      <w:r w:rsidRPr="00EA65B0">
        <w:rPr>
          <w:rFonts w:eastAsia="Times New Roman" w:cs="Arial"/>
          <w:color w:val="000000"/>
          <w:lang w:val="en-US"/>
        </w:rPr>
        <w:t>m</w:t>
      </w:r>
      <w:r w:rsidRPr="00EA65B0">
        <w:rPr>
          <w:rFonts w:eastAsia="Times New Roman" w:cs="Arial"/>
          <w:color w:val="000000"/>
          <w:lang w:eastAsia="bg-BG"/>
        </w:rPr>
        <w:t xml:space="preserve">ах и </w:t>
      </w:r>
      <w:r w:rsidRPr="00EA65B0">
        <w:rPr>
          <w:rFonts w:eastAsia="Times New Roman" w:cs="Arial"/>
          <w:color w:val="000000"/>
          <w:lang w:val="en-US"/>
        </w:rPr>
        <w:t xml:space="preserve">AUC </w:t>
      </w:r>
      <w:r w:rsidRPr="00EA65B0">
        <w:rPr>
          <w:rFonts w:eastAsia="Times New Roman" w:cs="Arial"/>
          <w:color w:val="000000"/>
          <w:lang w:eastAsia="bg-BG"/>
        </w:rPr>
        <w:t>с 71 и 50%. По-ниски дози на Ритмонорм са достатъчни за достигане на желания терапевтичен отговор.</w:t>
      </w:r>
    </w:p>
    <w:p w14:paraId="6B098F5A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DA60FE" w14:textId="6A62CAC3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lastRenderedPageBreak/>
        <w:t>Специални популации</w:t>
      </w:r>
    </w:p>
    <w:p w14:paraId="7A820E12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C7CD09" w14:textId="1446C86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3BC65CC8" w14:textId="6411A729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Проучвания за взаимодействие са провеждани само при възрастни. Не е известно дали взаимодействията при деца са подобни на тези при възрастни.</w:t>
      </w:r>
    </w:p>
    <w:p w14:paraId="55EC8931" w14:textId="77777777" w:rsidR="00EA65B0" w:rsidRPr="0091385D" w:rsidRDefault="00EA65B0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38736D12" w14:textId="77777777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Бременност</w:t>
      </w:r>
    </w:p>
    <w:p w14:paraId="3F2C14F8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Не са налични адекватни и добре контролирани изпитвания при бременни жени.</w:t>
      </w:r>
    </w:p>
    <w:p w14:paraId="192D483C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По време на бременност Ритмонорм трябва да се прилага само когато потенциалната полза надвишава потенциалния риск за плода.</w:t>
      </w:r>
    </w:p>
    <w:p w14:paraId="106C86C9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38ECFA" w14:textId="5E236F2A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Известно е, че Ритмонорм преминава през плацентарната бариера при хора. Има съобщения за нива на лекарствения продукт в пъпната връв, равни на около 30% от концентрацията му в кръвта на майката.</w:t>
      </w:r>
    </w:p>
    <w:p w14:paraId="55396012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E82217" w14:textId="2E7B8F68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Кърмене</w:t>
      </w:r>
    </w:p>
    <w:p w14:paraId="776662C5" w14:textId="3F709C28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Не е изследвано отделянето на Ритмонорм в кърмата. Ограничени данни говорят, че вероятно той се излъчва в кърмата. Ритмонорм трябва да се прилага с повишено внимание при кърмещи жени.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57FE1F3F" w:rsidR="0091385D" w:rsidRDefault="00EA65B0" w:rsidP="0091385D">
      <w:r>
        <w:t>Неясното зрение, замаяността, умората и хипотонията при изправяне, може да повлияят скоростта на реакция на пациентите, както и да нарушат способността за шофиране и работа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31D9DC5A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Обобщение на профила за безопасност</w:t>
      </w:r>
    </w:p>
    <w:p w14:paraId="0DE73F1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Най-честите нежелани лекарствени реакции, свързани с лечението с Ритмонорм са замаяност, нарушения на сърдечното провеждане и палпитации.</w:t>
      </w:r>
    </w:p>
    <w:p w14:paraId="7D2D5C2C" w14:textId="77777777" w:rsidR="00EA65B0" w:rsidRPr="00EA65B0" w:rsidRDefault="00EA65B0" w:rsidP="00EA65B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7B6C1963" w14:textId="405AF9C9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b/>
          <w:bCs/>
          <w:color w:val="000000"/>
          <w:lang w:eastAsia="bg-BG"/>
        </w:rPr>
        <w:t>Нежелани лекарствени реакции от клинични изпитвания или постмаркетингово наблюдение</w:t>
      </w:r>
      <w:bookmarkEnd w:id="1"/>
    </w:p>
    <w:p w14:paraId="76E8142D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570508C4" w14:textId="6CF32C29" w:rsidR="0091385D" w:rsidRDefault="00EA65B0" w:rsidP="00EA65B0">
      <w:pPr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 таблица 1 са показани нежеланите лекарствени реакции, появили се поне при 1 от 885 пациенти, които са приемали пропафенонов хидрохлорид с удължено освобождаване в пет клинични проучвания фаза II и в две клинични проучвания фаза III. Очаква се нежеланите лекарствени реакции и честотата при пропафенон с незабавно освобождаване да бъдат подбни. В таблицата са включени също и нежелани реакции от постмаркетинговия опит с Ритмонорм. Реакциите, които са считат за възможно свързани с пропафенон са представени по системо-органни класове и честота: много чести (&gt;1/10), чести (&gt;1/100 до &lt;1/10), нечести (&gt;1/1 000 до &lt;1/100)</w:t>
      </w:r>
      <w:r w:rsidRPr="00EA65B0">
        <w:rPr>
          <w:rFonts w:eastAsia="Times New Roman" w:cs="Arial"/>
          <w:color w:val="000000"/>
          <w:lang w:val="en-US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 xml:space="preserve">и с неизвестна честота (нежелани лекарствени реакции от постмаркетингов опит, от наличните данни не може да бъде </w:t>
      </w:r>
      <w:r w:rsidRPr="00EA65B0">
        <w:rPr>
          <w:rFonts w:eastAsia="Times New Roman" w:cs="Arial"/>
          <w:color w:val="000000"/>
          <w:lang w:eastAsia="bg-BG"/>
        </w:rPr>
        <w:lastRenderedPageBreak/>
        <w:t>направена оценка. Във всяка група по честота, нежеланите лекарствени рекции са представени в намаляващ ред по сериозност, когато е възможно тя да бъде оценена.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423"/>
        <w:gridCol w:w="1533"/>
        <w:gridCol w:w="1969"/>
        <w:gridCol w:w="2409"/>
      </w:tblGrid>
      <w:tr w:rsidR="00EA65B0" w14:paraId="047B68C1" w14:textId="77777777" w:rsidTr="00EA65B0">
        <w:tc>
          <w:tcPr>
            <w:tcW w:w="2110" w:type="dxa"/>
          </w:tcPr>
          <w:p w14:paraId="3C260A66" w14:textId="79B7EEE9" w:rsidR="00EA65B0" w:rsidRDefault="00EA65B0" w:rsidP="00EA65B0">
            <w:pPr>
              <w:rPr>
                <w:rFonts w:cs="Arial"/>
              </w:rPr>
            </w:pPr>
            <w:proofErr w:type="spellStart"/>
            <w:r>
              <w:rPr>
                <w:lang w:val="en-US"/>
              </w:rPr>
              <w:t>MedDRA</w:t>
            </w:r>
            <w:proofErr w:type="spellEnd"/>
            <w:r>
              <w:t>-база данни на системо- органни класове</w:t>
            </w:r>
          </w:p>
        </w:tc>
        <w:tc>
          <w:tcPr>
            <w:tcW w:w="1388" w:type="dxa"/>
          </w:tcPr>
          <w:p w14:paraId="1A69B5B0" w14:textId="20555A7B" w:rsidR="00EA65B0" w:rsidRDefault="00EA65B0" w:rsidP="00EA65B0">
            <w:pPr>
              <w:rPr>
                <w:rFonts w:cs="Arial"/>
              </w:rPr>
            </w:pPr>
            <w:r>
              <w:t>Много чести (≥1/10)</w:t>
            </w:r>
          </w:p>
        </w:tc>
        <w:tc>
          <w:tcPr>
            <w:tcW w:w="1499" w:type="dxa"/>
          </w:tcPr>
          <w:p w14:paraId="646BD11D" w14:textId="057CE1A6" w:rsidR="00EA65B0" w:rsidRDefault="00EA65B0" w:rsidP="00EA65B0">
            <w:pPr>
              <w:rPr>
                <w:rFonts w:cs="Arial"/>
              </w:rPr>
            </w:pPr>
            <w:r>
              <w:t>Чести (≥1/100 до &lt;1/10)</w:t>
            </w:r>
          </w:p>
        </w:tc>
        <w:tc>
          <w:tcPr>
            <w:tcW w:w="2058" w:type="dxa"/>
          </w:tcPr>
          <w:p w14:paraId="17423DDF" w14:textId="22E9634A" w:rsidR="00EA65B0" w:rsidRDefault="00EA65B0" w:rsidP="00EA65B0">
            <w:pPr>
              <w:rPr>
                <w:rFonts w:cs="Arial"/>
              </w:rPr>
            </w:pPr>
            <w:r>
              <w:t>Нечести (≥1/1 000 до &lt;1/100)</w:t>
            </w:r>
          </w:p>
        </w:tc>
        <w:tc>
          <w:tcPr>
            <w:tcW w:w="2521" w:type="dxa"/>
            <w:vAlign w:val="bottom"/>
          </w:tcPr>
          <w:p w14:paraId="634C62E9" w14:textId="6E92DA62" w:rsidR="00EA65B0" w:rsidRDefault="00EA65B0" w:rsidP="00EA65B0">
            <w:pPr>
              <w:rPr>
                <w:rFonts w:cs="Arial"/>
              </w:rPr>
            </w:pPr>
            <w:r>
              <w:t>С неизвестна честота (от наличните данни не може да бъде направена оценка)</w:t>
            </w:r>
          </w:p>
        </w:tc>
      </w:tr>
      <w:tr w:rsidR="00EA65B0" w14:paraId="1D2AD785" w14:textId="77777777" w:rsidTr="00EA65B0">
        <w:tc>
          <w:tcPr>
            <w:tcW w:w="2110" w:type="dxa"/>
          </w:tcPr>
          <w:p w14:paraId="12D0CCE7" w14:textId="77777777" w:rsidR="00EA65B0" w:rsidRDefault="00EA65B0" w:rsidP="00EA65B0">
            <w:r>
              <w:t>Нарушения на кръвта</w:t>
            </w:r>
            <w:r>
              <w:tab/>
              <w:t>и</w:t>
            </w:r>
          </w:p>
          <w:p w14:paraId="0D6E5B01" w14:textId="6F517196" w:rsidR="00EA65B0" w:rsidRDefault="00EA65B0" w:rsidP="00EA65B0">
            <w:pPr>
              <w:rPr>
                <w:rFonts w:cs="Arial"/>
              </w:rPr>
            </w:pPr>
            <w:r>
              <w:t>лимфната система</w:t>
            </w:r>
          </w:p>
        </w:tc>
        <w:tc>
          <w:tcPr>
            <w:tcW w:w="1388" w:type="dxa"/>
          </w:tcPr>
          <w:p w14:paraId="5DA5F341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4271DFC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25A3977D" w14:textId="227F8620" w:rsidR="00EA65B0" w:rsidRDefault="00EA65B0" w:rsidP="00EA65B0">
            <w:pPr>
              <w:rPr>
                <w:rFonts w:cs="Arial"/>
              </w:rPr>
            </w:pPr>
            <w:r>
              <w:t>Тромбоцитопения</w:t>
            </w:r>
          </w:p>
        </w:tc>
        <w:tc>
          <w:tcPr>
            <w:tcW w:w="2521" w:type="dxa"/>
          </w:tcPr>
          <w:p w14:paraId="0FF74BFD" w14:textId="11492C34" w:rsidR="00EA65B0" w:rsidRDefault="00EA65B0" w:rsidP="00EA65B0">
            <w:pPr>
              <w:rPr>
                <w:rFonts w:cs="Arial"/>
              </w:rPr>
            </w:pPr>
            <w:r>
              <w:t>Агранулоцитоза, левкопения, гранулоцитопения</w:t>
            </w:r>
          </w:p>
        </w:tc>
      </w:tr>
      <w:tr w:rsidR="00EA65B0" w14:paraId="7B3D33DF" w14:textId="77777777" w:rsidTr="00EA65B0">
        <w:tc>
          <w:tcPr>
            <w:tcW w:w="2110" w:type="dxa"/>
          </w:tcPr>
          <w:p w14:paraId="0F9ABC0C" w14:textId="3F3191AB" w:rsidR="00EA65B0" w:rsidRDefault="00EA65B0" w:rsidP="00EA65B0">
            <w:pPr>
              <w:rPr>
                <w:rFonts w:cs="Arial"/>
              </w:rPr>
            </w:pPr>
            <w:r>
              <w:t>Нарушения на имунната система</w:t>
            </w:r>
          </w:p>
        </w:tc>
        <w:tc>
          <w:tcPr>
            <w:tcW w:w="1388" w:type="dxa"/>
          </w:tcPr>
          <w:p w14:paraId="3E2CCAB6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5769845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0607618B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6435B3BD" w14:textId="6BAE3199" w:rsidR="00EA65B0" w:rsidRDefault="00EA65B0" w:rsidP="00EA65B0">
            <w:pPr>
              <w:rPr>
                <w:rFonts w:cs="Arial"/>
              </w:rPr>
            </w:pPr>
            <w:r>
              <w:t>Свръхчувствителност</w:t>
            </w:r>
            <w:r>
              <w:rPr>
                <w:vertAlign w:val="superscript"/>
              </w:rPr>
              <w:t>1</w:t>
            </w:r>
          </w:p>
        </w:tc>
      </w:tr>
      <w:tr w:rsidR="00EA65B0" w14:paraId="2179F818" w14:textId="77777777" w:rsidTr="00EA65B0">
        <w:tc>
          <w:tcPr>
            <w:tcW w:w="2110" w:type="dxa"/>
          </w:tcPr>
          <w:p w14:paraId="14B1AAAD" w14:textId="77777777" w:rsidR="00EA65B0" w:rsidRDefault="00EA65B0" w:rsidP="00EA65B0">
            <w:r>
              <w:t>Нарушения на метаболизма и</w:t>
            </w:r>
          </w:p>
          <w:p w14:paraId="75FBE686" w14:textId="7EED7E7E" w:rsidR="00EA65B0" w:rsidRDefault="00EA65B0" w:rsidP="00EA65B0">
            <w:pPr>
              <w:rPr>
                <w:rFonts w:cs="Arial"/>
              </w:rPr>
            </w:pPr>
            <w:r>
              <w:t>храненето</w:t>
            </w:r>
          </w:p>
        </w:tc>
        <w:tc>
          <w:tcPr>
            <w:tcW w:w="1388" w:type="dxa"/>
          </w:tcPr>
          <w:p w14:paraId="5BC78DE7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119BAE10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1C7158CE" w14:textId="781AAB32" w:rsidR="00EA65B0" w:rsidRDefault="00EA65B0" w:rsidP="00EA65B0">
            <w:pPr>
              <w:rPr>
                <w:rFonts w:cs="Arial"/>
              </w:rPr>
            </w:pPr>
            <w:r>
              <w:t>Понижен апетит</w:t>
            </w:r>
          </w:p>
        </w:tc>
        <w:tc>
          <w:tcPr>
            <w:tcW w:w="2521" w:type="dxa"/>
          </w:tcPr>
          <w:p w14:paraId="4368AB21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09041DC1" w14:textId="77777777" w:rsidTr="00EA65B0">
        <w:tc>
          <w:tcPr>
            <w:tcW w:w="2110" w:type="dxa"/>
          </w:tcPr>
          <w:p w14:paraId="5F2F61CC" w14:textId="32268E15" w:rsidR="00EA65B0" w:rsidRDefault="00EA65B0" w:rsidP="00EA65B0">
            <w:pPr>
              <w:rPr>
                <w:rFonts w:cs="Arial"/>
              </w:rPr>
            </w:pPr>
            <w:r>
              <w:t>Психични нарушения</w:t>
            </w:r>
          </w:p>
        </w:tc>
        <w:tc>
          <w:tcPr>
            <w:tcW w:w="1388" w:type="dxa"/>
          </w:tcPr>
          <w:p w14:paraId="37C7A7F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0183E5A2" w14:textId="0C258B48" w:rsidR="00EA65B0" w:rsidRDefault="00EA65B0" w:rsidP="00EA65B0">
            <w:pPr>
              <w:rPr>
                <w:rFonts w:cs="Arial"/>
              </w:rPr>
            </w:pPr>
            <w:r>
              <w:t>Тревожност, нарушения на съня</w:t>
            </w:r>
          </w:p>
        </w:tc>
        <w:tc>
          <w:tcPr>
            <w:tcW w:w="2058" w:type="dxa"/>
          </w:tcPr>
          <w:p w14:paraId="3C0D3A17" w14:textId="175CFFDB" w:rsidR="00EA65B0" w:rsidRDefault="00EA65B0" w:rsidP="00EA65B0">
            <w:pPr>
              <w:rPr>
                <w:rFonts w:cs="Arial"/>
              </w:rPr>
            </w:pPr>
            <w:r>
              <w:t>Кошмари</w:t>
            </w:r>
          </w:p>
        </w:tc>
        <w:tc>
          <w:tcPr>
            <w:tcW w:w="2521" w:type="dxa"/>
          </w:tcPr>
          <w:p w14:paraId="65D03EF6" w14:textId="77777777" w:rsidR="00EA65B0" w:rsidRDefault="00EA65B0" w:rsidP="00EA65B0">
            <w:r>
              <w:t>Състояние</w:t>
            </w:r>
            <w:r>
              <w:tab/>
              <w:t>на</w:t>
            </w:r>
          </w:p>
          <w:p w14:paraId="627A4DB6" w14:textId="010C4B5F" w:rsidR="00EA65B0" w:rsidRDefault="00EA65B0" w:rsidP="00EA65B0">
            <w:pPr>
              <w:rPr>
                <w:rFonts w:cs="Arial"/>
              </w:rPr>
            </w:pPr>
            <w:r>
              <w:t>обърканост</w:t>
            </w:r>
          </w:p>
        </w:tc>
      </w:tr>
      <w:tr w:rsidR="00EA65B0" w14:paraId="5D45E242" w14:textId="77777777" w:rsidTr="00EA65B0">
        <w:tc>
          <w:tcPr>
            <w:tcW w:w="2110" w:type="dxa"/>
          </w:tcPr>
          <w:p w14:paraId="7DF63865" w14:textId="4FB4337C" w:rsidR="00EA65B0" w:rsidRDefault="00EA65B0" w:rsidP="00EA65B0">
            <w:pPr>
              <w:rPr>
                <w:rFonts w:cs="Arial"/>
              </w:rPr>
            </w:pPr>
            <w:r>
              <w:t>Нарушения на нервната система</w:t>
            </w:r>
          </w:p>
        </w:tc>
        <w:tc>
          <w:tcPr>
            <w:tcW w:w="1388" w:type="dxa"/>
          </w:tcPr>
          <w:p w14:paraId="69DE7F3D" w14:textId="4F27E9D3" w:rsidR="00EA65B0" w:rsidRDefault="00EA65B0" w:rsidP="00EA65B0">
            <w:pPr>
              <w:rPr>
                <w:rFonts w:cs="Arial"/>
              </w:rPr>
            </w:pPr>
            <w:r>
              <w:t>Замаяност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9" w:type="dxa"/>
          </w:tcPr>
          <w:p w14:paraId="17C42D71" w14:textId="4942176C" w:rsidR="00EA65B0" w:rsidRDefault="00EA65B0" w:rsidP="00EA65B0">
            <w:pPr>
              <w:rPr>
                <w:rFonts w:cs="Arial"/>
              </w:rPr>
            </w:pPr>
            <w:r>
              <w:t>Главоболие, нарушение на вкуса</w:t>
            </w:r>
          </w:p>
        </w:tc>
        <w:tc>
          <w:tcPr>
            <w:tcW w:w="2058" w:type="dxa"/>
          </w:tcPr>
          <w:p w14:paraId="5C0FF934" w14:textId="078966ED" w:rsidR="00EA65B0" w:rsidRDefault="00EA65B0" w:rsidP="00EA65B0">
            <w:pPr>
              <w:rPr>
                <w:rFonts w:cs="Arial"/>
              </w:rPr>
            </w:pPr>
            <w:r>
              <w:t>Синкоп, атаксия, парестезия</w:t>
            </w:r>
          </w:p>
        </w:tc>
        <w:tc>
          <w:tcPr>
            <w:tcW w:w="2521" w:type="dxa"/>
          </w:tcPr>
          <w:p w14:paraId="6BD81FB9" w14:textId="3D3E39A9" w:rsidR="00EA65B0" w:rsidRDefault="00EA65B0" w:rsidP="00EA65B0">
            <w:pPr>
              <w:rPr>
                <w:rFonts w:cs="Arial"/>
              </w:rPr>
            </w:pPr>
            <w:r>
              <w:t>Конвулсии, екстрапирамидни симптоми, безпокойство</w:t>
            </w:r>
          </w:p>
        </w:tc>
      </w:tr>
      <w:tr w:rsidR="00EA65B0" w14:paraId="38CD8E68" w14:textId="77777777" w:rsidTr="00EA65B0">
        <w:tc>
          <w:tcPr>
            <w:tcW w:w="2110" w:type="dxa"/>
          </w:tcPr>
          <w:p w14:paraId="5D05E719" w14:textId="6D887109" w:rsidR="00EA65B0" w:rsidRDefault="00EA65B0" w:rsidP="00EA65B0">
            <w:pPr>
              <w:rPr>
                <w:rFonts w:cs="Arial"/>
              </w:rPr>
            </w:pPr>
            <w:r>
              <w:t>Нарушения на очите</w:t>
            </w:r>
          </w:p>
        </w:tc>
        <w:tc>
          <w:tcPr>
            <w:tcW w:w="1388" w:type="dxa"/>
          </w:tcPr>
          <w:p w14:paraId="467FA437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29CBAEAB" w14:textId="26655EC2" w:rsidR="00EA65B0" w:rsidRDefault="00EA65B0" w:rsidP="00EA65B0">
            <w:pPr>
              <w:rPr>
                <w:rFonts w:cs="Arial"/>
              </w:rPr>
            </w:pPr>
            <w:r>
              <w:t>Неясно зрение</w:t>
            </w:r>
          </w:p>
        </w:tc>
        <w:tc>
          <w:tcPr>
            <w:tcW w:w="2058" w:type="dxa"/>
          </w:tcPr>
          <w:p w14:paraId="05F8A40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2EBA369A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4702AE2C" w14:textId="77777777" w:rsidTr="00EA65B0">
        <w:tc>
          <w:tcPr>
            <w:tcW w:w="2110" w:type="dxa"/>
            <w:vAlign w:val="bottom"/>
          </w:tcPr>
          <w:p w14:paraId="40DD0B2A" w14:textId="19F0EEF4" w:rsidR="00EA65B0" w:rsidRDefault="00EA65B0" w:rsidP="00EA65B0">
            <w:pPr>
              <w:rPr>
                <w:rFonts w:cs="Arial"/>
              </w:rPr>
            </w:pPr>
            <w:r>
              <w:t>Нарушения на ухото и лабиринта</w:t>
            </w:r>
          </w:p>
        </w:tc>
        <w:tc>
          <w:tcPr>
            <w:tcW w:w="1388" w:type="dxa"/>
          </w:tcPr>
          <w:p w14:paraId="7B022CDC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1D7FF5A0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50FEBEC9" w14:textId="4B0BBC24" w:rsidR="00EA65B0" w:rsidRDefault="00EA65B0" w:rsidP="00EA65B0">
            <w:pPr>
              <w:rPr>
                <w:rFonts w:cs="Arial"/>
              </w:rPr>
            </w:pPr>
            <w:r>
              <w:t>Вертиго</w:t>
            </w:r>
          </w:p>
        </w:tc>
        <w:tc>
          <w:tcPr>
            <w:tcW w:w="2521" w:type="dxa"/>
          </w:tcPr>
          <w:p w14:paraId="57E9FFAE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2974679C" w14:textId="77777777" w:rsidTr="00EA65B0">
        <w:tc>
          <w:tcPr>
            <w:tcW w:w="2110" w:type="dxa"/>
          </w:tcPr>
          <w:p w14:paraId="4CE0A068" w14:textId="1C3D7F15" w:rsidR="00EA65B0" w:rsidRDefault="00EA65B0" w:rsidP="00EA65B0">
            <w:pPr>
              <w:rPr>
                <w:rFonts w:cs="Arial"/>
              </w:rPr>
            </w:pPr>
            <w:r>
              <w:t>Сърдечни нарушения</w:t>
            </w:r>
          </w:p>
        </w:tc>
        <w:tc>
          <w:tcPr>
            <w:tcW w:w="1388" w:type="dxa"/>
          </w:tcPr>
          <w:p w14:paraId="60768820" w14:textId="7E40FF79" w:rsidR="00EA65B0" w:rsidRDefault="00EA65B0" w:rsidP="00EA65B0">
            <w:pPr>
              <w:rPr>
                <w:rFonts w:cs="Arial"/>
              </w:rPr>
            </w:pPr>
            <w:r>
              <w:t>Сърдечни проводни нарушения</w:t>
            </w:r>
            <w:r>
              <w:rPr>
                <w:vertAlign w:val="superscript"/>
              </w:rPr>
              <w:t>3</w:t>
            </w:r>
            <w:r>
              <w:t>, палпитации</w:t>
            </w:r>
          </w:p>
        </w:tc>
        <w:tc>
          <w:tcPr>
            <w:tcW w:w="1499" w:type="dxa"/>
          </w:tcPr>
          <w:p w14:paraId="3E51255E" w14:textId="1E95C3AA" w:rsidR="00EA65B0" w:rsidRDefault="00EA65B0" w:rsidP="00EA65B0">
            <w:pPr>
              <w:rPr>
                <w:rFonts w:cs="Arial"/>
              </w:rPr>
            </w:pPr>
            <w:r>
              <w:t>Синусова брадикардия, брадикардия, тахикардия, предсърдно трептене</w:t>
            </w:r>
          </w:p>
        </w:tc>
        <w:tc>
          <w:tcPr>
            <w:tcW w:w="2058" w:type="dxa"/>
          </w:tcPr>
          <w:p w14:paraId="4A1356A6" w14:textId="72800A3A" w:rsidR="00EA65B0" w:rsidRDefault="00EA65B0" w:rsidP="00EA65B0">
            <w:pPr>
              <w:rPr>
                <w:rFonts w:cs="Arial"/>
              </w:rPr>
            </w:pPr>
            <w:r>
              <w:t>Камерна тахикардия, аритмия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521" w:type="dxa"/>
          </w:tcPr>
          <w:p w14:paraId="35153920" w14:textId="77777777" w:rsidR="00EA65B0" w:rsidRDefault="00EA65B0" w:rsidP="00EA65B0">
            <w:r>
              <w:t>Камерно</w:t>
            </w:r>
            <w:r>
              <w:tab/>
              <w:t>мъждене,</w:t>
            </w:r>
          </w:p>
          <w:p w14:paraId="0A3D4364" w14:textId="77777777" w:rsidR="00EA65B0" w:rsidRDefault="00EA65B0" w:rsidP="00EA65B0">
            <w:r>
              <w:t>сърдечна недостатъчност</w:t>
            </w:r>
            <w:r>
              <w:rPr>
                <w:vertAlign w:val="superscript"/>
              </w:rPr>
              <w:t xml:space="preserve">5, </w:t>
            </w:r>
            <w:r>
              <w:t>понижена</w:t>
            </w:r>
            <w:r>
              <w:tab/>
              <w:t>сърдечна</w:t>
            </w:r>
          </w:p>
          <w:p w14:paraId="62EFED6D" w14:textId="6B4F00BB" w:rsidR="00EA65B0" w:rsidRDefault="00EA65B0" w:rsidP="00EA65B0">
            <w:pPr>
              <w:rPr>
                <w:rFonts w:cs="Arial"/>
              </w:rPr>
            </w:pPr>
            <w:r>
              <w:t>честота</w:t>
            </w:r>
          </w:p>
        </w:tc>
      </w:tr>
      <w:tr w:rsidR="00EA65B0" w14:paraId="1A3DABA5" w14:textId="77777777" w:rsidTr="00EA65B0">
        <w:tc>
          <w:tcPr>
            <w:tcW w:w="2110" w:type="dxa"/>
          </w:tcPr>
          <w:p w14:paraId="71B78C8F" w14:textId="50DC08FC" w:rsidR="00EA65B0" w:rsidRDefault="00EA65B0" w:rsidP="00EA65B0">
            <w:pPr>
              <w:rPr>
                <w:rFonts w:cs="Arial"/>
              </w:rPr>
            </w:pPr>
            <w:r>
              <w:t>Съдови нарушения</w:t>
            </w:r>
          </w:p>
        </w:tc>
        <w:tc>
          <w:tcPr>
            <w:tcW w:w="1388" w:type="dxa"/>
          </w:tcPr>
          <w:p w14:paraId="29982F54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4E5C7A36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4CC95B82" w14:textId="2451798D" w:rsidR="00EA65B0" w:rsidRDefault="00EA65B0" w:rsidP="00EA65B0">
            <w:pPr>
              <w:rPr>
                <w:rFonts w:cs="Arial"/>
              </w:rPr>
            </w:pPr>
            <w:r>
              <w:t>Хипотония</w:t>
            </w:r>
          </w:p>
        </w:tc>
        <w:tc>
          <w:tcPr>
            <w:tcW w:w="2521" w:type="dxa"/>
          </w:tcPr>
          <w:p w14:paraId="63C867A9" w14:textId="64B0CD11" w:rsidR="00EA65B0" w:rsidRDefault="00EA65B0" w:rsidP="00EA65B0">
            <w:pPr>
              <w:rPr>
                <w:rFonts w:cs="Arial"/>
              </w:rPr>
            </w:pPr>
            <w:r>
              <w:t>Ортостатична хипотония</w:t>
            </w:r>
          </w:p>
        </w:tc>
      </w:tr>
      <w:tr w:rsidR="00EA65B0" w14:paraId="34B20E1C" w14:textId="77777777" w:rsidTr="00EA65B0">
        <w:tc>
          <w:tcPr>
            <w:tcW w:w="2110" w:type="dxa"/>
          </w:tcPr>
          <w:p w14:paraId="6DB803E1" w14:textId="77777777" w:rsidR="00EA65B0" w:rsidRDefault="00EA65B0" w:rsidP="00EA65B0">
            <w:r>
              <w:t>Респираторни» гръдни</w:t>
            </w:r>
            <w:r>
              <w:tab/>
              <w:t>и</w:t>
            </w:r>
          </w:p>
          <w:p w14:paraId="4AEE85F9" w14:textId="4779AE7F" w:rsidR="00EA65B0" w:rsidRDefault="00EA65B0" w:rsidP="00EA65B0">
            <w:pPr>
              <w:rPr>
                <w:rFonts w:cs="Arial"/>
              </w:rPr>
            </w:pPr>
            <w:r>
              <w:t>медиастинални нарушения</w:t>
            </w:r>
          </w:p>
        </w:tc>
        <w:tc>
          <w:tcPr>
            <w:tcW w:w="1388" w:type="dxa"/>
          </w:tcPr>
          <w:p w14:paraId="3B9681A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17F9394B" w14:textId="22281D5F" w:rsidR="00EA65B0" w:rsidRDefault="00EA65B0" w:rsidP="00EA65B0">
            <w:pPr>
              <w:rPr>
                <w:rFonts w:cs="Arial"/>
              </w:rPr>
            </w:pPr>
            <w:r>
              <w:t>Диспнея</w:t>
            </w:r>
          </w:p>
        </w:tc>
        <w:tc>
          <w:tcPr>
            <w:tcW w:w="2058" w:type="dxa"/>
          </w:tcPr>
          <w:p w14:paraId="4F17A040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586BA552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31918E88" w14:textId="77777777" w:rsidTr="00EA65B0">
        <w:tc>
          <w:tcPr>
            <w:tcW w:w="2110" w:type="dxa"/>
          </w:tcPr>
          <w:p w14:paraId="2DD4216A" w14:textId="77FB9A2D" w:rsidR="00EA65B0" w:rsidRDefault="00EA65B0" w:rsidP="00EA65B0">
            <w:pPr>
              <w:rPr>
                <w:rFonts w:cs="Arial"/>
              </w:rPr>
            </w:pPr>
            <w:r>
              <w:t>Стомашно-чревни нарушения</w:t>
            </w:r>
          </w:p>
        </w:tc>
        <w:tc>
          <w:tcPr>
            <w:tcW w:w="1388" w:type="dxa"/>
          </w:tcPr>
          <w:p w14:paraId="3E129FCC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6B89291A" w14:textId="0A56BA4B" w:rsidR="00EA65B0" w:rsidRDefault="00EA65B0" w:rsidP="00EA65B0">
            <w:pPr>
              <w:rPr>
                <w:rFonts w:cs="Arial"/>
              </w:rPr>
            </w:pPr>
            <w:r>
              <w:t xml:space="preserve">Коремна болка, повръщане, гадене, </w:t>
            </w:r>
            <w:r>
              <w:lastRenderedPageBreak/>
              <w:t>диария, запек, сухота в устата</w:t>
            </w:r>
          </w:p>
        </w:tc>
        <w:tc>
          <w:tcPr>
            <w:tcW w:w="2058" w:type="dxa"/>
          </w:tcPr>
          <w:p w14:paraId="3C359228" w14:textId="77777777" w:rsidR="00EA65B0" w:rsidRDefault="00EA65B0" w:rsidP="00EA65B0">
            <w:r>
              <w:lastRenderedPageBreak/>
              <w:t>Подуване</w:t>
            </w:r>
            <w:r>
              <w:tab/>
              <w:t>на</w:t>
            </w:r>
          </w:p>
          <w:p w14:paraId="07FABC0A" w14:textId="6E34EA3C" w:rsidR="00EA65B0" w:rsidRDefault="00EA65B0" w:rsidP="00EA65B0">
            <w:pPr>
              <w:rPr>
                <w:rFonts w:cs="Arial"/>
              </w:rPr>
            </w:pPr>
            <w:r>
              <w:t>корема, флатуленция</w:t>
            </w:r>
          </w:p>
        </w:tc>
        <w:tc>
          <w:tcPr>
            <w:tcW w:w="2521" w:type="dxa"/>
          </w:tcPr>
          <w:p w14:paraId="390C8D32" w14:textId="7F0AFA9A" w:rsidR="00EA65B0" w:rsidRDefault="00EA65B0" w:rsidP="00EA65B0">
            <w:pPr>
              <w:rPr>
                <w:rFonts w:cs="Arial"/>
              </w:rPr>
            </w:pPr>
            <w:r>
              <w:t>Гадене, стомашно-чревно нарушение</w:t>
            </w:r>
          </w:p>
        </w:tc>
      </w:tr>
      <w:tr w:rsidR="00EA65B0" w14:paraId="0CB33C40" w14:textId="77777777" w:rsidTr="00EA65B0">
        <w:tc>
          <w:tcPr>
            <w:tcW w:w="2110" w:type="dxa"/>
          </w:tcPr>
          <w:p w14:paraId="3815C94E" w14:textId="633CDB0E" w:rsidR="00EA65B0" w:rsidRDefault="00EA65B0" w:rsidP="00EA65B0">
            <w:pPr>
              <w:rPr>
                <w:rFonts w:cs="Arial"/>
              </w:rPr>
            </w:pPr>
            <w:r>
              <w:t>Хепато-билиарни нарушения</w:t>
            </w:r>
          </w:p>
        </w:tc>
        <w:tc>
          <w:tcPr>
            <w:tcW w:w="1388" w:type="dxa"/>
          </w:tcPr>
          <w:p w14:paraId="36D87D45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2A4A81EE" w14:textId="30ACA4B1" w:rsidR="00EA65B0" w:rsidRDefault="00EA65B0" w:rsidP="00EA65B0">
            <w:pPr>
              <w:rPr>
                <w:rFonts w:cs="Arial"/>
              </w:rPr>
            </w:pPr>
            <w:r>
              <w:t>Нарушена чернодробна функция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2058" w:type="dxa"/>
          </w:tcPr>
          <w:p w14:paraId="07675457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  <w:vAlign w:val="center"/>
          </w:tcPr>
          <w:p w14:paraId="6A36F6C3" w14:textId="77777777" w:rsidR="00EA65B0" w:rsidRDefault="00EA65B0" w:rsidP="00EA65B0">
            <w:r>
              <w:t>Хепатоцелуларна</w:t>
            </w:r>
          </w:p>
          <w:p w14:paraId="221B4F05" w14:textId="59A57639" w:rsidR="00EA65B0" w:rsidRDefault="00EA65B0" w:rsidP="00EA65B0">
            <w:pPr>
              <w:rPr>
                <w:rFonts w:cs="Arial"/>
              </w:rPr>
            </w:pPr>
            <w:r>
              <w:t xml:space="preserve"> увреда, холестаза, хепатит, жълтеница</w:t>
            </w:r>
          </w:p>
        </w:tc>
      </w:tr>
      <w:tr w:rsidR="00EA65B0" w14:paraId="0025A2D4" w14:textId="77777777" w:rsidTr="00EA65B0">
        <w:tc>
          <w:tcPr>
            <w:tcW w:w="2110" w:type="dxa"/>
          </w:tcPr>
          <w:p w14:paraId="526C225C" w14:textId="77777777" w:rsidR="00EA65B0" w:rsidRDefault="00EA65B0" w:rsidP="00EA65B0">
            <w:r>
              <w:t>Нарушения на кожата</w:t>
            </w:r>
            <w:r>
              <w:tab/>
              <w:t>и</w:t>
            </w:r>
          </w:p>
          <w:p w14:paraId="531B1706" w14:textId="196F123E" w:rsidR="00EA65B0" w:rsidRDefault="00EA65B0" w:rsidP="00EA65B0">
            <w:pPr>
              <w:rPr>
                <w:rFonts w:cs="Arial"/>
              </w:rPr>
            </w:pPr>
            <w:r>
              <w:t>подкожната тъкан</w:t>
            </w:r>
          </w:p>
        </w:tc>
        <w:tc>
          <w:tcPr>
            <w:tcW w:w="1388" w:type="dxa"/>
          </w:tcPr>
          <w:p w14:paraId="514F2EB9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65C05E79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1FF53E0C" w14:textId="551BA0CD" w:rsidR="00EA65B0" w:rsidRDefault="00EA65B0" w:rsidP="00EA65B0">
            <w:pPr>
              <w:rPr>
                <w:rFonts w:cs="Arial"/>
              </w:rPr>
            </w:pPr>
            <w:r>
              <w:t>Уртикария, сърбеж, обрив, еритема</w:t>
            </w:r>
          </w:p>
        </w:tc>
        <w:tc>
          <w:tcPr>
            <w:tcW w:w="2521" w:type="dxa"/>
          </w:tcPr>
          <w:p w14:paraId="1E5A1007" w14:textId="1FF4AEDE" w:rsidR="00EA65B0" w:rsidRDefault="00EA65B0" w:rsidP="00EA65B0">
            <w:pPr>
              <w:rPr>
                <w:rFonts w:cs="Arial"/>
              </w:rPr>
            </w:pPr>
            <w:r>
              <w:t>Остра генерализирана екзантематозна пустулоза</w:t>
            </w:r>
          </w:p>
        </w:tc>
      </w:tr>
      <w:tr w:rsidR="00EA65B0" w14:paraId="29AFB66F" w14:textId="77777777" w:rsidTr="00EA65B0">
        <w:tc>
          <w:tcPr>
            <w:tcW w:w="2110" w:type="dxa"/>
          </w:tcPr>
          <w:p w14:paraId="08E53EB0" w14:textId="77777777" w:rsidR="00EA65B0" w:rsidRDefault="00EA65B0" w:rsidP="00EA65B0">
            <w:r>
              <w:t>Нарушения на мускулно- скелетната система</w:t>
            </w:r>
            <w:r>
              <w:tab/>
              <w:t>и</w:t>
            </w:r>
          </w:p>
          <w:p w14:paraId="3EE46107" w14:textId="5DA296B7" w:rsidR="00EA65B0" w:rsidRDefault="00EA65B0" w:rsidP="00EA65B0">
            <w:pPr>
              <w:rPr>
                <w:rFonts w:cs="Arial"/>
              </w:rPr>
            </w:pPr>
            <w:r>
              <w:t>съединителната тъкан</w:t>
            </w:r>
          </w:p>
        </w:tc>
        <w:tc>
          <w:tcPr>
            <w:tcW w:w="1388" w:type="dxa"/>
          </w:tcPr>
          <w:p w14:paraId="5A6B245B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5B5EA4F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58EBF691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6F5EFA28" w14:textId="417CCDD6" w:rsidR="00EA65B0" w:rsidRDefault="00EA65B0" w:rsidP="00EA65B0">
            <w:pPr>
              <w:rPr>
                <w:rFonts w:cs="Arial"/>
              </w:rPr>
            </w:pPr>
            <w:r>
              <w:t>Лупус-подобен синдром</w:t>
            </w:r>
          </w:p>
        </w:tc>
      </w:tr>
      <w:tr w:rsidR="00EA65B0" w14:paraId="17CFB465" w14:textId="77777777" w:rsidTr="00EA65B0">
        <w:tc>
          <w:tcPr>
            <w:tcW w:w="2110" w:type="dxa"/>
          </w:tcPr>
          <w:p w14:paraId="54F69B5C" w14:textId="6BF15F09" w:rsidR="00EA65B0" w:rsidRDefault="00EA65B0" w:rsidP="00EA65B0">
            <w:pPr>
              <w:rPr>
                <w:rFonts w:cs="Arial"/>
              </w:rPr>
            </w:pPr>
            <w:r>
              <w:t>Нарушения на възпроизводителн ата система и гърдата</w:t>
            </w:r>
          </w:p>
        </w:tc>
        <w:tc>
          <w:tcPr>
            <w:tcW w:w="1388" w:type="dxa"/>
          </w:tcPr>
          <w:p w14:paraId="13B30CD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5701381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64D211AA" w14:textId="25D7C35F" w:rsidR="00EA65B0" w:rsidRDefault="00EA65B0" w:rsidP="00EA65B0">
            <w:pPr>
              <w:rPr>
                <w:rFonts w:cs="Arial"/>
              </w:rPr>
            </w:pPr>
            <w:r>
              <w:t>Еректилна дисфункция</w:t>
            </w:r>
          </w:p>
        </w:tc>
        <w:tc>
          <w:tcPr>
            <w:tcW w:w="2521" w:type="dxa"/>
          </w:tcPr>
          <w:p w14:paraId="69FC86E3" w14:textId="616EEAF4" w:rsidR="00EA65B0" w:rsidRDefault="00EA65B0" w:rsidP="00EA65B0">
            <w:pPr>
              <w:rPr>
                <w:rFonts w:cs="Arial"/>
              </w:rPr>
            </w:pPr>
            <w:r>
              <w:t>Намаление на броя на сперматозоидите</w:t>
            </w:r>
            <w:r>
              <w:rPr>
                <w:vertAlign w:val="superscript"/>
              </w:rPr>
              <w:t>7</w:t>
            </w:r>
          </w:p>
        </w:tc>
      </w:tr>
      <w:tr w:rsidR="00EA65B0" w14:paraId="54411889" w14:textId="77777777" w:rsidTr="00EA65B0">
        <w:tc>
          <w:tcPr>
            <w:tcW w:w="2110" w:type="dxa"/>
          </w:tcPr>
          <w:p w14:paraId="77386B81" w14:textId="77777777" w:rsidR="00EA65B0" w:rsidRDefault="00EA65B0" w:rsidP="00EA65B0">
            <w:r>
              <w:t>Общи нарушения и ефекти на мястото</w:t>
            </w:r>
            <w:r>
              <w:tab/>
              <w:t>на</w:t>
            </w:r>
          </w:p>
          <w:p w14:paraId="164838D2" w14:textId="4A811E09" w:rsidR="00EA65B0" w:rsidRDefault="00EA65B0" w:rsidP="00EA65B0">
            <w:pPr>
              <w:rPr>
                <w:rFonts w:cs="Arial"/>
              </w:rPr>
            </w:pPr>
            <w:r>
              <w:t>приложение</w:t>
            </w:r>
          </w:p>
        </w:tc>
        <w:tc>
          <w:tcPr>
            <w:tcW w:w="1388" w:type="dxa"/>
          </w:tcPr>
          <w:p w14:paraId="6BB8979E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239D859B" w14:textId="566A27F1" w:rsidR="00EA65B0" w:rsidRDefault="00EA65B0" w:rsidP="00EA65B0">
            <w:pPr>
              <w:rPr>
                <w:rFonts w:cs="Arial"/>
              </w:rPr>
            </w:pPr>
            <w:r>
              <w:t>Гръдна болка, астения, умора пирексия</w:t>
            </w:r>
          </w:p>
        </w:tc>
        <w:tc>
          <w:tcPr>
            <w:tcW w:w="2058" w:type="dxa"/>
          </w:tcPr>
          <w:p w14:paraId="6D1B52D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4C46D408" w14:textId="77777777" w:rsidR="00EA65B0" w:rsidRDefault="00EA65B0" w:rsidP="00EA65B0">
            <w:pPr>
              <w:rPr>
                <w:rFonts w:cs="Arial"/>
              </w:rPr>
            </w:pPr>
          </w:p>
        </w:tc>
      </w:tr>
    </w:tbl>
    <w:p w14:paraId="40552953" w14:textId="3E235512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1</w:t>
      </w:r>
      <w:r w:rsidRPr="00EA65B0">
        <w:rPr>
          <w:rFonts w:eastAsia="Times New Roman" w:cs="Arial"/>
          <w:color w:val="000000"/>
          <w:sz w:val="20"/>
          <w:lang w:eastAsia="bg-BG"/>
        </w:rPr>
        <w:t>Може да се манифестира при холестаза, кръвна дискразия и обрив.</w:t>
      </w:r>
    </w:p>
    <w:p w14:paraId="1E1F1BA0" w14:textId="259A161E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2</w:t>
      </w:r>
      <w:r w:rsidRPr="00EA65B0">
        <w:rPr>
          <w:rFonts w:eastAsia="Times New Roman" w:cs="Arial"/>
          <w:color w:val="000000"/>
          <w:sz w:val="20"/>
          <w:lang w:eastAsia="bg-BG"/>
        </w:rPr>
        <w:t>С изключение на вертиго.</w:t>
      </w:r>
    </w:p>
    <w:p w14:paraId="2A73896A" w14:textId="234F3313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3</w:t>
      </w:r>
      <w:r w:rsidRPr="00EA65B0">
        <w:rPr>
          <w:rFonts w:eastAsia="Times New Roman" w:cs="Arial"/>
          <w:color w:val="000000"/>
          <w:sz w:val="20"/>
          <w:lang w:eastAsia="bg-BG"/>
        </w:rPr>
        <w:t>Включително сино-атриален блок, атрио-вентрикуларен блок и интра-вентрикуларен блок.</w:t>
      </w:r>
    </w:p>
    <w:p w14:paraId="2D6B7B81" w14:textId="30671FE4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4</w:t>
      </w:r>
      <w:r w:rsidRPr="00EA65B0">
        <w:rPr>
          <w:rFonts w:eastAsia="Times New Roman" w:cs="Arial"/>
          <w:color w:val="000000"/>
          <w:sz w:val="20"/>
          <w:lang w:eastAsia="bg-BG"/>
        </w:rPr>
        <w:t>Ритмонорм може да бъде асоцииран с проаритмогенен ефект, който се проявява с повишаване на сърдечната честота (тахикардия) или камерно мъждене. Някои от тези аритмии може да бъдат живото-застрашаващи и да изискват реанимация за превенция на потенциален фатален изход.</w:t>
      </w:r>
    </w:p>
    <w:p w14:paraId="4D96D641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5</w:t>
      </w:r>
      <w:r w:rsidRPr="00EA65B0">
        <w:rPr>
          <w:rFonts w:eastAsia="Times New Roman" w:cs="Arial"/>
          <w:color w:val="000000"/>
          <w:sz w:val="20"/>
          <w:lang w:eastAsia="bg-BG"/>
        </w:rPr>
        <w:t>Може да се влоши съществуваща сърдечна недостатъчност.</w:t>
      </w:r>
    </w:p>
    <w:p w14:paraId="02AE8D49" w14:textId="66A7C754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6</w:t>
      </w:r>
      <w:r w:rsidRPr="00EA65B0">
        <w:rPr>
          <w:rFonts w:eastAsia="Times New Roman" w:cs="Arial"/>
          <w:color w:val="000000"/>
          <w:sz w:val="20"/>
          <w:lang w:eastAsia="bg-BG"/>
        </w:rPr>
        <w:t>Този термин покрива отклонения в чернодробните функционални тестове, като повишаване на аспартат аминотрансфераза, повишаване на аланин аминотрансфераза, повишаване на гамаглутамат трансфераза и повишаване на алкалната фосфатаза в кръвта.</w:t>
      </w:r>
    </w:p>
    <w:p w14:paraId="7D6EDA85" w14:textId="2EA6554E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7</w:t>
      </w:r>
      <w:r w:rsidRPr="00EA65B0">
        <w:rPr>
          <w:rFonts w:eastAsia="Times New Roman" w:cs="Arial"/>
          <w:color w:val="000000"/>
          <w:sz w:val="20"/>
          <w:lang w:eastAsia="bg-BG"/>
        </w:rPr>
        <w:t>Намаляването на броя на сперматозоидите е обратимо след прекъсване приложението на Ритмонорм.</w:t>
      </w:r>
    </w:p>
    <w:p w14:paraId="186A12C9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C21895" w14:textId="06CD98C3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135C4B3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3F0D130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C7E630" w14:textId="385F675C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0DD68D24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ул. „Дамян Груев” № 8</w:t>
      </w:r>
    </w:p>
    <w:p w14:paraId="7AF15F6A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1303 София</w:t>
      </w:r>
    </w:p>
    <w:p w14:paraId="18E64E56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Тел.: +35 928903417</w:t>
      </w:r>
    </w:p>
    <w:p w14:paraId="35171767" w14:textId="5657F136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lastRenderedPageBreak/>
        <w:t xml:space="preserve">уебсайт: </w:t>
      </w:r>
      <w:hyperlink r:id="rId5" w:history="1">
        <w:r w:rsidRPr="00EA65B0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3E3C48F" w14:textId="77777777" w:rsidR="0091385D" w:rsidRPr="0091385D" w:rsidRDefault="0091385D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663990C1" w14:textId="77777777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>Симптоми</w:t>
      </w:r>
    </w:p>
    <w:p w14:paraId="4973296F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Миокардни симптоми</w:t>
      </w:r>
    </w:p>
    <w:p w14:paraId="620961B0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Ефектът от предозирането на Ритмонорм върху миокарда се проявява с генериране на импулски и проводни нарушения като удължаване на </w:t>
      </w:r>
      <w:r w:rsidRPr="00EA65B0">
        <w:rPr>
          <w:rFonts w:eastAsia="Times New Roman" w:cs="Arial"/>
          <w:color w:val="000000"/>
          <w:lang w:val="en-US"/>
        </w:rPr>
        <w:t>PQ</w:t>
      </w:r>
      <w:r w:rsidRPr="00EA65B0">
        <w:rPr>
          <w:rFonts w:eastAsia="Times New Roman" w:cs="Arial"/>
          <w:color w:val="000000"/>
          <w:lang w:eastAsia="bg-BG"/>
        </w:rPr>
        <w:t xml:space="preserve">-интервала, разширяване на </w:t>
      </w:r>
      <w:r w:rsidRPr="00EA65B0">
        <w:rPr>
          <w:rFonts w:eastAsia="Times New Roman" w:cs="Arial"/>
          <w:color w:val="000000"/>
          <w:lang w:val="en-US"/>
        </w:rPr>
        <w:t>QRS-</w:t>
      </w:r>
      <w:r w:rsidRPr="00EA65B0">
        <w:rPr>
          <w:rFonts w:eastAsia="Times New Roman" w:cs="Arial"/>
          <w:color w:val="000000"/>
          <w:lang w:eastAsia="bg-BG"/>
        </w:rPr>
        <w:t xml:space="preserve">комплекса, потискане на автоматизма на синусовия възел,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>блок, камерна тахикардия, камерно трептене,  камерно мъждене и сърдечен арест. Потискането на контрактилитета (негативен инотропен ефект)</w:t>
      </w:r>
    </w:p>
    <w:p w14:paraId="1CF5790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може да причини хипотония, която в тежки случаи може да доведе до кардиоваскуларен шок.</w:t>
      </w:r>
    </w:p>
    <w:p w14:paraId="32BD953C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30BE17" w14:textId="48BA6B9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Несърдечни признаци и симптоми</w:t>
      </w:r>
    </w:p>
    <w:p w14:paraId="0F0079CB" w14:textId="2E12E66E" w:rsidR="0091385D" w:rsidRPr="00EA65B0" w:rsidRDefault="00EA65B0" w:rsidP="00EA65B0">
      <w:pPr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Метаболитна ацидоза, главоболие, замаяност, замъглено зрение, парестезия, тремор, гадене, запек,  сухота в устата и конвулсии са докладвани при предозиране. Също така е докладвана и смърт.</w:t>
      </w:r>
    </w:p>
    <w:p w14:paraId="261ED651" w14:textId="0810986D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26F6393B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 тежки случаи на отравяне може да се появят клонично-тонични конвулсии, парестезии, сънливост, кома и респираторен арест.</w:t>
      </w:r>
    </w:p>
    <w:p w14:paraId="4362B511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FE4800" w14:textId="5A2E759C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>Лечение</w:t>
      </w:r>
    </w:p>
    <w:p w14:paraId="0C1D115A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Опити за елиминирането чрез хемоперфузия са с ограничена ефикасност. Поради високата степен на свързване с плазмените белтъци (&gt;95%) и големия обем на разпределение, хемодиализата е неефективна.</w:t>
      </w:r>
    </w:p>
    <w:p w14:paraId="522F6C02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 допълнение към основните спешни мерки, трябва да се мониторират жизнените показатели в отделение за интензивни грижи и ако е необходимо, да се коригират.</w:t>
      </w:r>
    </w:p>
    <w:p w14:paraId="0CDEEB2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4F590E" w14:textId="3CC92D6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За контролиране на ритъма и кръвното налягане са били ефективни дефибрилацията, както и инфузия с допамин и изопротеренол. Конвулсиите са повлияни с интравенозен диазепам.</w:t>
      </w:r>
    </w:p>
    <w:p w14:paraId="1D38BFEA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7FB44D82" w14:textId="5EEF4BB8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Може да се приложат, ако е необходимо и основни поддържащи мерки като асистирано дишане и външен сърдечен масаж.</w:t>
      </w:r>
    </w:p>
    <w:p w14:paraId="48FF1584" w14:textId="77777777" w:rsidR="0091385D" w:rsidRPr="0091385D" w:rsidRDefault="0091385D" w:rsidP="0091385D"/>
    <w:p w14:paraId="02081B24" w14:textId="2C2B7B53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5D1F94F5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Фармакотерапевтична група: антиаритмици клас </w:t>
      </w:r>
      <w:r w:rsidRPr="00EA65B0">
        <w:rPr>
          <w:rFonts w:eastAsia="Times New Roman" w:cs="Arial"/>
          <w:color w:val="000000"/>
          <w:lang w:val="en-US"/>
        </w:rPr>
        <w:t>I</w:t>
      </w:r>
      <w:r w:rsidRPr="00EA65B0">
        <w:rPr>
          <w:rFonts w:eastAsia="Times New Roman" w:cs="Arial"/>
          <w:color w:val="000000"/>
          <w:lang w:eastAsia="bg-BG"/>
        </w:rPr>
        <w:t>С, АТС код: СО1ВС03</w:t>
      </w:r>
    </w:p>
    <w:p w14:paraId="59CAF1AF" w14:textId="77777777" w:rsidR="00EA65B0" w:rsidRDefault="00EA65B0" w:rsidP="00EA65B0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FA26435" w14:textId="78C5DD6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Пропафенонов хидрохлорид е клас I антиаритмик с някои структурни прилики на бета- блокиращите агенти.</w:t>
      </w:r>
    </w:p>
    <w:p w14:paraId="6B72B100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3EAF9A1" w14:textId="59A6B4CB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Механизъм на действие и Фармакодинамични ефекти</w:t>
      </w:r>
    </w:p>
    <w:p w14:paraId="28252AA0" w14:textId="58776E0D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lastRenderedPageBreak/>
        <w:t xml:space="preserve">Пропафенонов хидрохлорид е антиаритмик с мембраностабилизиращо действие, който блокира натриевите канали </w:t>
      </w:r>
      <w:r w:rsidRPr="00EA65B0">
        <w:rPr>
          <w:rFonts w:eastAsia="Times New Roman" w:cs="Arial"/>
          <w:color w:val="000000"/>
          <w:lang w:val="en-US"/>
        </w:rPr>
        <w:t xml:space="preserve">(Vaughan Williams, class </w:t>
      </w:r>
      <w:r w:rsidRPr="00EA65B0">
        <w:rPr>
          <w:rFonts w:eastAsia="Times New Roman" w:cs="Arial"/>
          <w:color w:val="000000"/>
          <w:lang w:eastAsia="bg-BG"/>
        </w:rPr>
        <w:t xml:space="preserve">1С). Той притежава слаб бета-блокиращ ефект </w:t>
      </w:r>
      <w:r w:rsidRPr="00EA65B0">
        <w:rPr>
          <w:rFonts w:eastAsia="Times New Roman" w:cs="Arial"/>
          <w:color w:val="000000"/>
          <w:lang w:val="en-US"/>
        </w:rPr>
        <w:t xml:space="preserve">(class </w:t>
      </w:r>
      <w:r w:rsidRPr="00EA65B0">
        <w:rPr>
          <w:rFonts w:eastAsia="Times New Roman" w:cs="Arial"/>
          <w:color w:val="000000"/>
          <w:lang w:eastAsia="bg-BG"/>
        </w:rPr>
        <w:t xml:space="preserve">II по </w:t>
      </w:r>
      <w:r w:rsidRPr="00EA65B0">
        <w:rPr>
          <w:rFonts w:eastAsia="Times New Roman" w:cs="Arial"/>
          <w:color w:val="000000"/>
          <w:lang w:val="en-US"/>
        </w:rPr>
        <w:t xml:space="preserve">Vaughan Williams). </w:t>
      </w:r>
      <w:r w:rsidRPr="00EA65B0">
        <w:rPr>
          <w:rFonts w:eastAsia="Times New Roman" w:cs="Arial"/>
          <w:color w:val="000000"/>
          <w:lang w:eastAsia="bg-BG"/>
        </w:rPr>
        <w:t xml:space="preserve">Пропафенонов хидрохлорид намалява скоростта на повишаване на акционния потенциал, като по този начин забавя провеждането на импулса (отрицателен дромотропен ефект). Рефрактерните периоди в предсърдията, атрио-вентрикуларния възел и камерите се удължават. Пропафенонов хидрохлорид удължава и рефрактерните периоди в допълнителните проводни пътища при пациенти с </w:t>
      </w:r>
      <w:r w:rsidRPr="00EA65B0">
        <w:rPr>
          <w:rFonts w:eastAsia="Times New Roman" w:cs="Arial"/>
          <w:color w:val="000000"/>
          <w:lang w:val="en-US"/>
        </w:rPr>
        <w:t>WPW</w:t>
      </w:r>
      <w:r w:rsidRPr="00EA65B0">
        <w:rPr>
          <w:rFonts w:eastAsia="Times New Roman" w:cs="Arial"/>
          <w:color w:val="000000"/>
          <w:lang w:eastAsia="bg-BG"/>
        </w:rPr>
        <w:t>-синдром.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1BA890A2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Ритмонорм е рацемична смес от </w:t>
      </w:r>
      <w:r w:rsidRPr="00EA65B0">
        <w:rPr>
          <w:rFonts w:eastAsia="Times New Roman" w:cs="Arial"/>
          <w:color w:val="000000"/>
          <w:lang w:val="en-US"/>
        </w:rPr>
        <w:t xml:space="preserve">S-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>R</w:t>
      </w:r>
      <w:r w:rsidRPr="00EA65B0">
        <w:rPr>
          <w:rFonts w:eastAsia="Times New Roman" w:cs="Arial"/>
          <w:color w:val="000000"/>
          <w:lang w:eastAsia="bg-BG"/>
        </w:rPr>
        <w:t>-пропафенон.</w:t>
      </w:r>
    </w:p>
    <w:p w14:paraId="355C0CC7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C14E00" w14:textId="66C52CFE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Абсорбция</w:t>
      </w:r>
    </w:p>
    <w:p w14:paraId="0EDA23DB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Максимални плазмени концентрации се достигат 2 до 3 часа след прилагане на пропафенонов хидрохлорид. Той преминава екстензивна и насищана пресистемна биотрансформация </w:t>
      </w:r>
      <w:r w:rsidRPr="00EA65B0">
        <w:rPr>
          <w:rFonts w:eastAsia="Times New Roman" w:cs="Arial"/>
          <w:color w:val="000000"/>
          <w:lang w:val="en-US"/>
        </w:rPr>
        <w:t xml:space="preserve">(CYP2D6 </w:t>
      </w:r>
      <w:r w:rsidRPr="00EA65B0">
        <w:rPr>
          <w:rFonts w:eastAsia="Times New Roman" w:cs="Arial"/>
          <w:color w:val="000000"/>
          <w:lang w:eastAsia="bg-BG"/>
        </w:rPr>
        <w:t>чернодробен ефект на първо преминаване), което води до зависима от дозата и лекарствената форма абсолютна бионаличност. Въпреки че приема на храна е повишил максималната плазмена концентрация и бионаличностга в проучване с единична доза, по време на многократно дозиране на пропафенон при здрави лица, храната не е променила значимо бионаличностга.</w:t>
      </w:r>
    </w:p>
    <w:p w14:paraId="2ADC76C5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9E3178" w14:textId="57531F16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Разпределение</w:t>
      </w:r>
    </w:p>
    <w:p w14:paraId="0CDCA92E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Пропафенон се разпределя бързо. Равновесният обем на разпределение е 1,9 до 3,0 </w:t>
      </w:r>
      <w:r w:rsidRPr="00EA65B0">
        <w:rPr>
          <w:rFonts w:eastAsia="Times New Roman" w:cs="Arial"/>
          <w:color w:val="000000"/>
          <w:lang w:val="en-US"/>
        </w:rPr>
        <w:t xml:space="preserve">l/kg. </w:t>
      </w:r>
      <w:r w:rsidRPr="00EA65B0">
        <w:rPr>
          <w:rFonts w:eastAsia="Times New Roman" w:cs="Arial"/>
          <w:color w:val="000000"/>
          <w:lang w:eastAsia="bg-BG"/>
        </w:rPr>
        <w:t>Степента на свързване на пропафенон с плазмените протеини е зависима от концентрацията и намалява от 97,3% при 0,25 μ</w:t>
      </w:r>
      <w:r w:rsidRPr="00EA65B0">
        <w:rPr>
          <w:rFonts w:eastAsia="Times New Roman" w:cs="Arial"/>
          <w:color w:val="000000"/>
          <w:lang w:val="en-US"/>
        </w:rPr>
        <w:t xml:space="preserve">g/ml </w:t>
      </w:r>
      <w:r w:rsidRPr="00EA65B0">
        <w:rPr>
          <w:rFonts w:eastAsia="Times New Roman" w:cs="Arial"/>
          <w:color w:val="000000"/>
          <w:lang w:eastAsia="bg-BG"/>
        </w:rPr>
        <w:t>до 81,3% при 100 μ</w:t>
      </w:r>
      <w:r w:rsidRPr="00EA65B0">
        <w:rPr>
          <w:rFonts w:eastAsia="Times New Roman" w:cs="Arial"/>
          <w:color w:val="000000"/>
          <w:lang w:val="en-US"/>
        </w:rPr>
        <w:t>g/ml.</w:t>
      </w:r>
    </w:p>
    <w:p w14:paraId="1A70123A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53025C" w14:textId="2762F57A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Биотрансформация и елиминиране</w:t>
      </w:r>
    </w:p>
    <w:p w14:paraId="67D03F75" w14:textId="77777777" w:rsidR="00952555" w:rsidRPr="00952555" w:rsidRDefault="00EA65B0" w:rsidP="00952555">
      <w:pPr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Съществуват два генетично-детерминирани начина на метаболизъм на пропафенон. У повече от</w:t>
      </w:r>
      <w:r w:rsidRPr="00EA65B0">
        <w:rPr>
          <w:rFonts w:eastAsia="Times New Roman" w:cs="Arial"/>
          <w:i/>
          <w:iCs/>
          <w:color w:val="000000"/>
          <w:vertAlign w:val="superscript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>90% от пациентите, лекарственият продукт се метаболизира бързо и екстензивно с време на</w:t>
      </w:r>
      <w:r w:rsidR="00952555">
        <w:rPr>
          <w:rFonts w:eastAsia="Times New Roman" w:cs="Arial"/>
          <w:sz w:val="24"/>
          <w:szCs w:val="24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>полуживот от 2 до 10 часа (т.е. екстензивни метаболизатори). Тези пациенти метаболизират</w:t>
      </w:r>
      <w:r w:rsidR="00952555">
        <w:rPr>
          <w:rFonts w:eastAsia="Times New Roman" w:cs="Arial"/>
          <w:sz w:val="24"/>
          <w:szCs w:val="24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 xml:space="preserve">пропафенон до два активни метаболита - 5-хидроксипропафенон, който се формира чрез </w:t>
      </w:r>
      <w:r w:rsidRPr="00EA65B0">
        <w:rPr>
          <w:rFonts w:eastAsia="Times New Roman" w:cs="Arial"/>
          <w:color w:val="000000"/>
          <w:lang w:val="en-US"/>
        </w:rPr>
        <w:t xml:space="preserve">CYP2D6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>N</w:t>
      </w:r>
      <w:r w:rsidRPr="00EA65B0">
        <w:rPr>
          <w:rFonts w:eastAsia="Times New Roman" w:cs="Arial"/>
          <w:color w:val="000000"/>
          <w:lang w:eastAsia="bg-BG"/>
        </w:rPr>
        <w:t>-депропилпропафенон (норпропафенон), който се формира чрез С</w:t>
      </w:r>
      <w:r w:rsidRPr="00EA65B0">
        <w:rPr>
          <w:rFonts w:eastAsia="Times New Roman" w:cs="Arial"/>
          <w:color w:val="000000"/>
          <w:lang w:val="en-US"/>
        </w:rPr>
        <w:t xml:space="preserve">YP3A4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 xml:space="preserve">CYP1A2. </w:t>
      </w:r>
      <w:r w:rsidRPr="00EA65B0">
        <w:rPr>
          <w:rFonts w:eastAsia="Times New Roman" w:cs="Arial"/>
          <w:color w:val="000000"/>
          <w:lang w:eastAsia="bg-BG"/>
        </w:rPr>
        <w:t xml:space="preserve">В </w:t>
      </w:r>
      <w:r w:rsidRPr="00952555">
        <w:rPr>
          <w:rFonts w:eastAsia="Times New Roman" w:cs="Arial"/>
          <w:color w:val="000000"/>
          <w:lang w:eastAsia="bg-BG"/>
        </w:rPr>
        <w:t>по-</w:t>
      </w:r>
      <w:r w:rsidR="00952555" w:rsidRPr="00952555">
        <w:rPr>
          <w:rFonts w:eastAsia="Times New Roman" w:cs="Arial"/>
          <w:color w:val="000000"/>
          <w:lang w:eastAsia="bg-BG"/>
        </w:rPr>
        <w:t xml:space="preserve">малко от 10% от пациентите, метаболизмът на пропафенон е по-бавен, защото 5-хидрокси метаболита не се образува или се образува в минимална степен (т.е. лоши метаболизатори). Времето на полуживот на пропафенон е от 2 до 10 часа за екстензивните метаболизатори и около 32 часа за бавните метаболизатори. Клирънса на пропафенон е от 0,67 до 0,81 </w:t>
      </w:r>
      <w:r w:rsidR="00952555" w:rsidRPr="00952555">
        <w:rPr>
          <w:rFonts w:eastAsia="Times New Roman" w:cs="Arial"/>
          <w:color w:val="000000"/>
          <w:lang w:val="en-US"/>
        </w:rPr>
        <w:t>L/h/kg.</w:t>
      </w:r>
    </w:p>
    <w:p w14:paraId="3B1F6A35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Поради това, че равновесното състояние се достига след 3 до 4 дни след дозирането на пропафенонов хидрохлорид, препоръчителният дозов режим на пропафенон е един и същ за всички пациенти независимо от метаболитния им статус (т.е. лоши или екстензивни метаболизатори).</w:t>
      </w:r>
    </w:p>
    <w:p w14:paraId="735BE4A0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3A5303" w14:textId="369B0001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Линейност/нелинейност</w:t>
      </w:r>
    </w:p>
    <w:p w14:paraId="3B8F792D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 xml:space="preserve">При екстензивните метаболизатори, насищания пътят на хидроксилиране </w:t>
      </w:r>
      <w:r w:rsidRPr="00952555">
        <w:rPr>
          <w:rFonts w:eastAsia="Times New Roman" w:cs="Arial"/>
          <w:color w:val="000000"/>
          <w:lang w:val="en-US"/>
        </w:rPr>
        <w:t xml:space="preserve">(CYP2D6) </w:t>
      </w:r>
      <w:r w:rsidRPr="00952555">
        <w:rPr>
          <w:rFonts w:eastAsia="Times New Roman" w:cs="Arial"/>
          <w:color w:val="000000"/>
          <w:lang w:eastAsia="bg-BG"/>
        </w:rPr>
        <w:t>води до нелинеарна кинетика. При бавните метаболизатори фармакокинетиката на пропафенон е линейна.</w:t>
      </w:r>
    </w:p>
    <w:p w14:paraId="2B78066B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287A15" w14:textId="3D742339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lastRenderedPageBreak/>
        <w:t>Индивидуална вариабилност</w:t>
      </w:r>
    </w:p>
    <w:p w14:paraId="4DE03D16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При пропафенон съществува значителна степен на индивидуална вариабилност във фармакокинетиката, което се дължи на ефекта на първо преминаване и нелинейната кинетика при екстензивните метаболизатори. Голямата вариабилност на плазмените нива изисква дозата да се титрира внимателно, при наблюдение за клинични и електрокардиографски данни за токсичност.</w:t>
      </w:r>
    </w:p>
    <w:p w14:paraId="75D3125B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945D72" w14:textId="5B4B60F2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0CD199D6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При пациенти в старческа възраст с нормална бъбречна функция експозицията на пропафенон е била с висока вариабилност и без значими разлики със здрави млади лица. Експозицията към 5- хидроксипропафенон е била подобна, но експозицията към пропафенонов глюкоронид е била удвоена.</w:t>
      </w:r>
    </w:p>
    <w:p w14:paraId="2BE09B66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075BCA" w14:textId="3BAB0B63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Бъбречно увреждане</w:t>
      </w:r>
    </w:p>
    <w:p w14:paraId="1559454D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При пациенти с бъбречно увреждане, експозицията към пропафенон и 5-хидроксипропафенон е била подобна на тази при здрави контроли, докато при пациенти с бъбречно увреждане е била наблюдавана акумулация на глюкоронидови метаболити. Пропафенонов хидрохлорид трябва да се прилага с повишено внимание при пациенти с бъбречно заболяване.</w:t>
      </w:r>
    </w:p>
    <w:p w14:paraId="0AC0C0F0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C46A8D" w14:textId="62B66800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Чернодробно увреждане</w:t>
      </w:r>
    </w:p>
    <w:p w14:paraId="363852F4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Пропафенон показва повишена перорална бионаличност и полуживот при пациенти с чернодробно увреждане. Дозата трябва да се адаптира при пациенти с чернодробна болест.</w:t>
      </w:r>
    </w:p>
    <w:p w14:paraId="351E024F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D3292B" w14:textId="1FB6711C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24DF17E3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 xml:space="preserve">Клирънса на пропафенон при новородени и деца от 3 дни до 7 години е от 0,13 до 2,98 </w:t>
      </w:r>
      <w:r w:rsidRPr="00952555">
        <w:rPr>
          <w:rFonts w:eastAsia="Times New Roman" w:cs="Arial"/>
          <w:color w:val="000000"/>
          <w:lang w:val="en-US"/>
        </w:rPr>
        <w:t xml:space="preserve">L/h/kg </w:t>
      </w:r>
      <w:r w:rsidRPr="00952555">
        <w:rPr>
          <w:rFonts w:eastAsia="Times New Roman" w:cs="Arial"/>
          <w:color w:val="000000"/>
          <w:lang w:eastAsia="bg-BG"/>
        </w:rPr>
        <w:t>след интравенозно или перорално приложение, без да има ясна връзка с възрастта.</w:t>
      </w:r>
    </w:p>
    <w:p w14:paraId="148BA3FC" w14:textId="1DA41AF6" w:rsidR="0091385D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Нормалната доза перорален пропафенон за достигане на равновесните концентрации при 47 деца на възраст 1 ден до 10,3 години (средно 2,2 месеца) е била с 45% по-висока при деца над 1 годишна възраст в сравнение с деца под 1 година. Въпреки че е имало широка вариабилност между лицата, мониторирането на ЕКГ изглежда по-подходящо за адаптиране на дозировката, отколкото плазмените концентрации на пропафенон.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2E4D01A" w14:textId="1236344A" w:rsidR="0091385D" w:rsidRDefault="00952555" w:rsidP="0091385D">
      <w:r>
        <w:t>Предклиничните данни, основани на конвенционални проучвания за фармакологична безопасност, токсичност при многократни дози, геногоксичност, карциногенен потенциал или репродуктивна токсичност не показват особен риск при хора.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27F2CEE1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Майлан ЕООД</w:t>
      </w:r>
    </w:p>
    <w:p w14:paraId="28F757EB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Офис сграда „Сердика офиси“</w:t>
      </w:r>
    </w:p>
    <w:p w14:paraId="33F4A578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бул. Ситняково № 48, ет. 7</w:t>
      </w:r>
    </w:p>
    <w:p w14:paraId="4B7CB0EE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1505 София</w:t>
      </w:r>
    </w:p>
    <w:p w14:paraId="3FD825DB" w14:textId="099C671E" w:rsidR="0091385D" w:rsidRDefault="00952555" w:rsidP="00952555"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482D287B" w:rsidR="0091385D" w:rsidRDefault="004F42ED" w:rsidP="0091385D">
      <w:r>
        <w:t>20020602</w:t>
      </w:r>
      <w:bookmarkStart w:id="2" w:name="_GoBack"/>
      <w:bookmarkEnd w:id="2"/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237670DB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Дата на първо разрешаване: 23.07.2002</w:t>
      </w:r>
    </w:p>
    <w:p w14:paraId="497007FA" w14:textId="11D436E9" w:rsidR="0091385D" w:rsidRDefault="00952555" w:rsidP="00952555"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Дата на последно подновяване: 24.10.2007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165DDF91" w:rsidR="0091385D" w:rsidRDefault="00952555" w:rsidP="0091385D">
      <w:r>
        <w:t>07/2021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53E65D4"/>
    <w:multiLevelType w:val="hybridMultilevel"/>
    <w:tmpl w:val="91E6B79E"/>
    <w:lvl w:ilvl="0" w:tplc="E20A4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6773"/>
    <w:multiLevelType w:val="hybridMultilevel"/>
    <w:tmpl w:val="5324EA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0408C"/>
    <w:multiLevelType w:val="hybridMultilevel"/>
    <w:tmpl w:val="FBEA072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122AC"/>
    <w:multiLevelType w:val="hybridMultilevel"/>
    <w:tmpl w:val="9A0C68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30"/>
  </w:num>
  <w:num w:numId="16">
    <w:abstractNumId w:val="9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3"/>
  </w:num>
  <w:num w:numId="28">
    <w:abstractNumId w:val="6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29"/>
  </w:num>
  <w:num w:numId="34">
    <w:abstractNumId w:val="34"/>
  </w:num>
  <w:num w:numId="35">
    <w:abstractNumId w:val="15"/>
  </w:num>
  <w:num w:numId="36">
    <w:abstractNumId w:val="32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2ED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52555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36DA0"/>
    <w:rsid w:val="00C40420"/>
    <w:rsid w:val="00C809A7"/>
    <w:rsid w:val="00C83063"/>
    <w:rsid w:val="00C87E90"/>
    <w:rsid w:val="00CA1B57"/>
    <w:rsid w:val="00CF77F7"/>
    <w:rsid w:val="00D86297"/>
    <w:rsid w:val="00DD466D"/>
    <w:rsid w:val="00EA65B0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2022-10-31T19:03:00Z</dcterms:created>
  <dcterms:modified xsi:type="dcterms:W3CDTF">2022-10-31T19:03:00Z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