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7222BDE8" w14:textId="77777777" w:rsidR="00982815" w:rsidRPr="00D55828" w:rsidRDefault="00982815" w:rsidP="0091385D">
      <w:pPr>
        <w:rPr>
          <w:rFonts w:cs="Arial"/>
        </w:rPr>
      </w:pPr>
      <w:r w:rsidRPr="00D55828">
        <w:rPr>
          <w:rFonts w:cs="Arial"/>
        </w:rPr>
        <w:t xml:space="preserve">САЛАЗОПИРИН </w:t>
      </w:r>
      <w:r w:rsidRPr="00D55828">
        <w:rPr>
          <w:rFonts w:cs="Arial"/>
          <w:lang w:val="en-US"/>
        </w:rPr>
        <w:t xml:space="preserve">EN </w:t>
      </w:r>
      <w:r w:rsidRPr="00D55828">
        <w:rPr>
          <w:rFonts w:cs="Arial"/>
        </w:rPr>
        <w:t xml:space="preserve">500 </w:t>
      </w:r>
      <w:r w:rsidRPr="00D55828">
        <w:rPr>
          <w:rFonts w:cs="Arial"/>
          <w:lang w:val="en-US"/>
        </w:rPr>
        <w:t xml:space="preserve">mg </w:t>
      </w:r>
      <w:r w:rsidRPr="00D55828">
        <w:rPr>
          <w:rFonts w:cs="Arial"/>
        </w:rPr>
        <w:t xml:space="preserve">стомашно-устойчиви таблетки </w:t>
      </w:r>
    </w:p>
    <w:p w14:paraId="69AC8148" w14:textId="364E3A63" w:rsidR="00EC41ED" w:rsidRPr="00D55828" w:rsidRDefault="00982815" w:rsidP="0091385D">
      <w:pPr>
        <w:rPr>
          <w:rFonts w:cs="Arial"/>
        </w:rPr>
      </w:pPr>
      <w:r w:rsidRPr="00D55828">
        <w:rPr>
          <w:rFonts w:cs="Arial"/>
          <w:lang w:val="en-US"/>
        </w:rPr>
        <w:t xml:space="preserve">SALAZOPYRIN EN </w:t>
      </w:r>
      <w:r w:rsidRPr="00D55828">
        <w:rPr>
          <w:rFonts w:cs="Arial"/>
        </w:rPr>
        <w:t xml:space="preserve">500 </w:t>
      </w:r>
      <w:r w:rsidRPr="00D55828">
        <w:rPr>
          <w:rFonts w:cs="Arial"/>
          <w:lang w:val="en-US"/>
        </w:rPr>
        <w:t>mg gastro-resistant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65DF492C"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 xml:space="preserve">Всяка стомашно-устойчива таблетка съдържа 535 </w:t>
      </w:r>
      <w:r w:rsidRPr="00982815">
        <w:rPr>
          <w:rFonts w:eastAsia="Times New Roman" w:cs="Arial"/>
          <w:color w:val="000000"/>
          <w:lang w:val="en-US"/>
        </w:rPr>
        <w:t xml:space="preserve">mg </w:t>
      </w:r>
      <w:r w:rsidRPr="00982815">
        <w:rPr>
          <w:rFonts w:eastAsia="Times New Roman" w:cs="Arial"/>
          <w:color w:val="000000"/>
          <w:lang w:eastAsia="bg-BG"/>
        </w:rPr>
        <w:t xml:space="preserve">сулфасалазин </w:t>
      </w:r>
      <w:r w:rsidRPr="00982815">
        <w:rPr>
          <w:rFonts w:eastAsia="Times New Roman" w:cs="Arial"/>
          <w:color w:val="000000"/>
          <w:lang w:val="en-US"/>
        </w:rPr>
        <w:t xml:space="preserve">(sulfasalazine) </w:t>
      </w:r>
      <w:r w:rsidRPr="00982815">
        <w:rPr>
          <w:rFonts w:eastAsia="Times New Roman" w:cs="Arial"/>
          <w:color w:val="000000"/>
          <w:lang w:eastAsia="bg-BG"/>
        </w:rPr>
        <w:t xml:space="preserve">с повидон </w:t>
      </w:r>
      <w:r w:rsidRPr="00982815">
        <w:rPr>
          <w:rFonts w:eastAsia="Times New Roman" w:cs="Arial"/>
          <w:color w:val="000000"/>
          <w:lang w:val="en-US"/>
        </w:rPr>
        <w:t xml:space="preserve">(povidone), </w:t>
      </w:r>
      <w:r w:rsidRPr="00982815">
        <w:rPr>
          <w:rFonts w:eastAsia="Times New Roman" w:cs="Arial"/>
          <w:color w:val="000000"/>
          <w:lang w:eastAsia="bg-BG"/>
        </w:rPr>
        <w:t xml:space="preserve">еквивалентен на 500 </w:t>
      </w:r>
      <w:r w:rsidRPr="00982815">
        <w:rPr>
          <w:rFonts w:eastAsia="Times New Roman" w:cs="Arial"/>
          <w:color w:val="000000"/>
          <w:lang w:val="en-US"/>
        </w:rPr>
        <w:t xml:space="preserve">mg </w:t>
      </w:r>
      <w:r w:rsidRPr="00982815">
        <w:rPr>
          <w:rFonts w:eastAsia="Times New Roman" w:cs="Arial"/>
          <w:color w:val="000000"/>
          <w:lang w:eastAsia="bg-BG"/>
        </w:rPr>
        <w:t>сулфасалазин.</w:t>
      </w:r>
    </w:p>
    <w:p w14:paraId="50EDA9FF" w14:textId="77777777" w:rsidR="00982815" w:rsidRPr="00D55828" w:rsidRDefault="00982815" w:rsidP="00982815">
      <w:pPr>
        <w:rPr>
          <w:rFonts w:eastAsia="Times New Roman" w:cs="Arial"/>
          <w:color w:val="000000"/>
          <w:lang w:eastAsia="bg-BG"/>
        </w:rPr>
      </w:pPr>
    </w:p>
    <w:p w14:paraId="54632B43" w14:textId="20FE2567" w:rsidR="00EC41ED" w:rsidRPr="00D55828" w:rsidRDefault="00982815" w:rsidP="00982815">
      <w:pPr>
        <w:rPr>
          <w:rFonts w:cs="Arial"/>
        </w:rPr>
      </w:pPr>
      <w:r w:rsidRPr="00D55828">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7E4782B8"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Стомашно-устойчива обвита таблетка</w:t>
      </w:r>
    </w:p>
    <w:p w14:paraId="743244F0" w14:textId="186ED49E" w:rsidR="00EC41ED" w:rsidRPr="00D55828" w:rsidRDefault="00982815" w:rsidP="00982815">
      <w:pPr>
        <w:rPr>
          <w:rFonts w:cs="Arial"/>
        </w:rPr>
      </w:pPr>
      <w:r w:rsidRPr="00D55828">
        <w:rPr>
          <w:rFonts w:eastAsia="Times New Roman" w:cs="Arial"/>
          <w:color w:val="000000"/>
          <w:lang w:eastAsia="bg-BG"/>
        </w:rPr>
        <w:t>Описание: жълто-оранжеви, елипсовидни, двойноизпъкнали таблетки с надпис „</w:t>
      </w:r>
      <w:proofErr w:type="spellStart"/>
      <w:r w:rsidRPr="00D55828">
        <w:rPr>
          <w:rFonts w:eastAsia="Times New Roman" w:cs="Arial"/>
          <w:color w:val="000000"/>
          <w:lang w:val="en-US"/>
        </w:rPr>
        <w:t>KPh</w:t>
      </w:r>
      <w:proofErr w:type="spellEnd"/>
      <w:r w:rsidRPr="00D55828">
        <w:rPr>
          <w:rFonts w:eastAsia="Times New Roman" w:cs="Arial"/>
          <w:color w:val="000000"/>
          <w:lang w:eastAsia="bg-BG"/>
        </w:rPr>
        <w:t>“ от едната страна и „102“ от другата.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DFA4B9D" w14:textId="2F7F8A9E" w:rsidR="0091385D" w:rsidRPr="00D55828" w:rsidRDefault="00982815" w:rsidP="0091385D">
      <w:r w:rsidRPr="00D55828">
        <w:t>Лечение на ревматоиден артрит и възпалителни заболявалия на червата (напр. улцерозен колит и болест на Крон).</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3402A17D" w14:textId="77777777" w:rsidR="00982815" w:rsidRPr="00D55828" w:rsidRDefault="00982815" w:rsidP="00D55828">
      <w:pPr>
        <w:pStyle w:val="Heading3"/>
        <w:rPr>
          <w:rFonts w:eastAsia="Times New Roman"/>
          <w:u w:val="single"/>
          <w:lang w:eastAsia="bg-BG"/>
        </w:rPr>
      </w:pPr>
      <w:r w:rsidRPr="00D55828">
        <w:rPr>
          <w:rFonts w:eastAsia="Times New Roman"/>
          <w:u w:val="single"/>
          <w:lang w:eastAsia="bg-BG"/>
        </w:rPr>
        <w:t>Дозировка</w:t>
      </w:r>
    </w:p>
    <w:p w14:paraId="115D2D0B" w14:textId="77777777" w:rsidR="00982815" w:rsidRPr="00D55828" w:rsidRDefault="00982815" w:rsidP="00982815">
      <w:pPr>
        <w:spacing w:line="240" w:lineRule="auto"/>
        <w:rPr>
          <w:rFonts w:eastAsia="Times New Roman" w:cs="Arial"/>
          <w:color w:val="000000"/>
          <w:lang w:eastAsia="bg-BG"/>
        </w:rPr>
      </w:pPr>
    </w:p>
    <w:p w14:paraId="63FA062F" w14:textId="04A6E2F3"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Дозировката трябва да бъде определяна индивидуално според поносимостта на пациента и отговора към лечението.</w:t>
      </w:r>
    </w:p>
    <w:p w14:paraId="09CC27BF"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Таблетките трябва да се поглъщат цели, за предпочитане след хранене, без да се стриват или чупят.</w:t>
      </w:r>
    </w:p>
    <w:p w14:paraId="2070061A" w14:textId="77777777" w:rsidR="00982815" w:rsidRPr="00D55828" w:rsidRDefault="00982815" w:rsidP="00982815">
      <w:pPr>
        <w:spacing w:line="240" w:lineRule="auto"/>
        <w:rPr>
          <w:rFonts w:eastAsia="Times New Roman" w:cs="Arial"/>
          <w:b/>
          <w:bCs/>
          <w:color w:val="000000"/>
          <w:lang w:eastAsia="bg-BG"/>
        </w:rPr>
      </w:pPr>
      <w:bookmarkStart w:id="1" w:name="bookmark0"/>
    </w:p>
    <w:p w14:paraId="781D88B9" w14:textId="6941E80C" w:rsidR="00982815" w:rsidRPr="00982815" w:rsidRDefault="00982815" w:rsidP="00982815">
      <w:pPr>
        <w:spacing w:line="240" w:lineRule="auto"/>
        <w:rPr>
          <w:rFonts w:eastAsia="Times New Roman" w:cs="Arial"/>
          <w:lang w:eastAsia="bg-BG"/>
        </w:rPr>
      </w:pPr>
      <w:r w:rsidRPr="00982815">
        <w:rPr>
          <w:rFonts w:eastAsia="Times New Roman" w:cs="Arial"/>
          <w:b/>
          <w:bCs/>
          <w:color w:val="000000"/>
          <w:lang w:eastAsia="bg-BG"/>
        </w:rPr>
        <w:t>Ревматоиден артрит</w:t>
      </w:r>
      <w:bookmarkEnd w:id="1"/>
    </w:p>
    <w:p w14:paraId="1BBE2944" w14:textId="77777777" w:rsidR="00982815" w:rsidRPr="00D55828" w:rsidRDefault="00982815" w:rsidP="00982815">
      <w:pPr>
        <w:spacing w:line="240" w:lineRule="auto"/>
        <w:rPr>
          <w:rFonts w:eastAsia="Times New Roman" w:cs="Arial"/>
          <w:i/>
          <w:iCs/>
          <w:color w:val="000000"/>
          <w:u w:val="single"/>
          <w:lang w:eastAsia="bg-BG"/>
        </w:rPr>
      </w:pPr>
    </w:p>
    <w:p w14:paraId="20132635" w14:textId="7A5EA3C8" w:rsidR="00982815" w:rsidRPr="00982815" w:rsidRDefault="00982815" w:rsidP="00982815">
      <w:pPr>
        <w:spacing w:line="240" w:lineRule="auto"/>
        <w:rPr>
          <w:rFonts w:eastAsia="Times New Roman" w:cs="Arial"/>
          <w:lang w:eastAsia="bg-BG"/>
        </w:rPr>
      </w:pPr>
      <w:r w:rsidRPr="00982815">
        <w:rPr>
          <w:rFonts w:eastAsia="Times New Roman" w:cs="Arial"/>
          <w:i/>
          <w:iCs/>
          <w:color w:val="000000"/>
          <w:u w:val="single"/>
          <w:lang w:eastAsia="bg-BG"/>
        </w:rPr>
        <w:t>Възрастни (вкл. пациенти в старческа възраст)</w:t>
      </w:r>
    </w:p>
    <w:p w14:paraId="19AD829E"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Поради благоприятното съотношение полза-риск, болест-модифицираща терапия със</w:t>
      </w:r>
    </w:p>
    <w:p w14:paraId="3078A631"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lastRenderedPageBreak/>
        <w:t xml:space="preserve">САЛАЗОПИРИН </w:t>
      </w:r>
      <w:r w:rsidRPr="00982815">
        <w:rPr>
          <w:rFonts w:eastAsia="Times New Roman" w:cs="Arial"/>
          <w:color w:val="000000"/>
          <w:lang w:val="en-US"/>
        </w:rPr>
        <w:t xml:space="preserve">EN </w:t>
      </w:r>
      <w:r w:rsidRPr="00982815">
        <w:rPr>
          <w:rFonts w:eastAsia="Times New Roman" w:cs="Arial"/>
          <w:color w:val="000000"/>
          <w:lang w:eastAsia="bg-BG"/>
        </w:rPr>
        <w:t xml:space="preserve">таблетки може да започне още рано в хода на ревматоидния артрит. Началната доза е 500 </w:t>
      </w:r>
      <w:r w:rsidRPr="00982815">
        <w:rPr>
          <w:rFonts w:eastAsia="Times New Roman" w:cs="Arial"/>
          <w:color w:val="000000"/>
          <w:lang w:val="en-US"/>
        </w:rPr>
        <w:t>mg</w:t>
      </w:r>
      <w:r w:rsidRPr="00982815">
        <w:rPr>
          <w:rFonts w:eastAsia="Times New Roman" w:cs="Arial"/>
          <w:color w:val="000000"/>
          <w:lang w:eastAsia="bg-BG"/>
        </w:rPr>
        <w:t xml:space="preserve">/ден, като всяка седмица се повишава с 500 </w:t>
      </w:r>
      <w:r w:rsidRPr="00982815">
        <w:rPr>
          <w:rFonts w:eastAsia="Times New Roman" w:cs="Arial"/>
          <w:color w:val="000000"/>
          <w:lang w:val="en-US"/>
        </w:rPr>
        <w:t xml:space="preserve">mg </w:t>
      </w:r>
      <w:r w:rsidRPr="00982815">
        <w:rPr>
          <w:rFonts w:eastAsia="Times New Roman" w:cs="Arial"/>
          <w:color w:val="000000"/>
          <w:lang w:eastAsia="bg-BG"/>
        </w:rPr>
        <w:t xml:space="preserve">до достигане 2 </w:t>
      </w:r>
      <w:r w:rsidRPr="00982815">
        <w:rPr>
          <w:rFonts w:eastAsia="Times New Roman" w:cs="Arial"/>
          <w:color w:val="000000"/>
          <w:lang w:val="en-US"/>
        </w:rPr>
        <w:t xml:space="preserve">g </w:t>
      </w:r>
      <w:r w:rsidRPr="00982815">
        <w:rPr>
          <w:rFonts w:eastAsia="Times New Roman" w:cs="Arial"/>
          <w:color w:val="000000"/>
          <w:lang w:eastAsia="bg-BG"/>
        </w:rPr>
        <w:t xml:space="preserve">дневно, прилагани в 2 до 4 приема. При някои пациенти могат да бъдат необходими 12 седмици лечение преди да настъпи клинично подобрение. Ако няма задоволителен клиничен отговор след 12 седмици, дневната доза може да бъде увеличена до 3 </w:t>
      </w:r>
      <w:r w:rsidRPr="00982815">
        <w:rPr>
          <w:rFonts w:eastAsia="Times New Roman" w:cs="Arial"/>
          <w:color w:val="000000"/>
          <w:lang w:val="en-US"/>
        </w:rPr>
        <w:t xml:space="preserve">g, </w:t>
      </w:r>
      <w:r w:rsidRPr="00982815">
        <w:rPr>
          <w:rFonts w:eastAsia="Times New Roman" w:cs="Arial"/>
          <w:color w:val="000000"/>
          <w:lang w:eastAsia="bg-BG"/>
        </w:rPr>
        <w:t xml:space="preserve">но при дози над 2 </w:t>
      </w:r>
      <w:r w:rsidRPr="00982815">
        <w:rPr>
          <w:rFonts w:eastAsia="Times New Roman" w:cs="Arial"/>
          <w:color w:val="000000"/>
          <w:lang w:val="en-US"/>
        </w:rPr>
        <w:t xml:space="preserve">g </w:t>
      </w:r>
      <w:r w:rsidRPr="00982815">
        <w:rPr>
          <w:rFonts w:eastAsia="Times New Roman" w:cs="Arial"/>
          <w:color w:val="000000"/>
          <w:lang w:eastAsia="bg-BG"/>
        </w:rPr>
        <w:t>дневно се препоръчва стриктно проследяване.</w:t>
      </w:r>
    </w:p>
    <w:p w14:paraId="2ABEF235" w14:textId="77777777" w:rsidR="00982815" w:rsidRPr="00D55828" w:rsidRDefault="00982815" w:rsidP="00982815">
      <w:pPr>
        <w:spacing w:line="240" w:lineRule="auto"/>
        <w:rPr>
          <w:rFonts w:eastAsia="Times New Roman" w:cs="Arial"/>
          <w:i/>
          <w:iCs/>
          <w:color w:val="000000"/>
          <w:u w:val="single"/>
          <w:lang w:eastAsia="bg-BG"/>
        </w:rPr>
      </w:pPr>
    </w:p>
    <w:p w14:paraId="1F8C6185" w14:textId="671BA612" w:rsidR="00982815" w:rsidRPr="00982815" w:rsidRDefault="00982815" w:rsidP="00982815">
      <w:pPr>
        <w:spacing w:line="240" w:lineRule="auto"/>
        <w:rPr>
          <w:rFonts w:eastAsia="Times New Roman" w:cs="Arial"/>
          <w:lang w:eastAsia="bg-BG"/>
        </w:rPr>
      </w:pPr>
      <w:r w:rsidRPr="00982815">
        <w:rPr>
          <w:rFonts w:eastAsia="Times New Roman" w:cs="Arial"/>
          <w:i/>
          <w:iCs/>
          <w:color w:val="000000"/>
          <w:u w:val="single"/>
          <w:lang w:eastAsia="bg-BG"/>
        </w:rPr>
        <w:t>Употреба при деца (на и над 6 години)</w:t>
      </w:r>
    </w:p>
    <w:p w14:paraId="6785FC3D"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 xml:space="preserve">30 до 75 </w:t>
      </w:r>
      <w:r w:rsidRPr="00982815">
        <w:rPr>
          <w:rFonts w:eastAsia="Times New Roman" w:cs="Arial"/>
          <w:color w:val="000000"/>
          <w:lang w:val="en-US"/>
        </w:rPr>
        <w:t>mg/kg</w:t>
      </w:r>
      <w:r w:rsidRPr="00982815">
        <w:rPr>
          <w:rFonts w:eastAsia="Times New Roman" w:cs="Arial"/>
          <w:color w:val="000000"/>
          <w:lang w:eastAsia="bg-BG"/>
        </w:rPr>
        <w:t xml:space="preserve">/ден, разделени в два еднакви приема. Обикновено максималната доза е 2 </w:t>
      </w:r>
      <w:r w:rsidRPr="00982815">
        <w:rPr>
          <w:rFonts w:eastAsia="Times New Roman" w:cs="Arial"/>
          <w:color w:val="000000"/>
          <w:lang w:val="en-US"/>
        </w:rPr>
        <w:t xml:space="preserve">g </w:t>
      </w:r>
      <w:r w:rsidRPr="00982815">
        <w:rPr>
          <w:rFonts w:eastAsia="Times New Roman" w:cs="Arial"/>
          <w:color w:val="000000"/>
          <w:lang w:eastAsia="bg-BG"/>
        </w:rPr>
        <w:t>дневно. За да се намали възможният стомашно-чревен дискомфорт, започнете с една четвърт до една трета от планираната поддържаща доза и повишавайте дозата през седмица, за да може за един месец да се достигне поддържащата доза (вж. точка 4.4).</w:t>
      </w:r>
    </w:p>
    <w:p w14:paraId="58484213" w14:textId="77777777" w:rsidR="00982815" w:rsidRPr="00D55828" w:rsidRDefault="00982815" w:rsidP="00982815">
      <w:pPr>
        <w:spacing w:line="240" w:lineRule="auto"/>
        <w:rPr>
          <w:rFonts w:eastAsia="Times New Roman" w:cs="Arial"/>
          <w:b/>
          <w:bCs/>
          <w:color w:val="000000"/>
          <w:lang w:eastAsia="bg-BG"/>
        </w:rPr>
      </w:pPr>
      <w:bookmarkStart w:id="2" w:name="bookmark2"/>
    </w:p>
    <w:p w14:paraId="1A2A9098" w14:textId="32D96018" w:rsidR="00982815" w:rsidRPr="00982815" w:rsidRDefault="00982815" w:rsidP="00982815">
      <w:pPr>
        <w:spacing w:line="240" w:lineRule="auto"/>
        <w:rPr>
          <w:rFonts w:eastAsia="Times New Roman" w:cs="Arial"/>
          <w:lang w:eastAsia="bg-BG"/>
        </w:rPr>
      </w:pPr>
      <w:r w:rsidRPr="00982815">
        <w:rPr>
          <w:rFonts w:eastAsia="Times New Roman" w:cs="Arial"/>
          <w:b/>
          <w:bCs/>
          <w:color w:val="000000"/>
          <w:lang w:eastAsia="bg-BG"/>
        </w:rPr>
        <w:t>Възпалителни заболявания на червата (улцерозен колит, болест на Крон)</w:t>
      </w:r>
      <w:bookmarkEnd w:id="2"/>
    </w:p>
    <w:p w14:paraId="29942197" w14:textId="77777777" w:rsidR="00982815" w:rsidRPr="00D55828" w:rsidRDefault="00982815" w:rsidP="00982815">
      <w:pPr>
        <w:rPr>
          <w:rFonts w:eastAsia="Times New Roman" w:cs="Arial"/>
          <w:i/>
          <w:iCs/>
          <w:color w:val="000000"/>
          <w:u w:val="single"/>
          <w:lang w:eastAsia="bg-BG"/>
        </w:rPr>
      </w:pPr>
    </w:p>
    <w:p w14:paraId="7FBF1BCE" w14:textId="3E95AB47" w:rsidR="00EC41ED" w:rsidRPr="00D55828" w:rsidRDefault="00982815" w:rsidP="00982815">
      <w:pPr>
        <w:rPr>
          <w:rFonts w:eastAsia="Times New Roman" w:cs="Arial"/>
          <w:i/>
          <w:iCs/>
          <w:color w:val="000000"/>
          <w:u w:val="single"/>
          <w:lang w:eastAsia="bg-BG"/>
        </w:rPr>
      </w:pPr>
      <w:r w:rsidRPr="00D55828">
        <w:rPr>
          <w:rFonts w:eastAsia="Times New Roman" w:cs="Arial"/>
          <w:i/>
          <w:iCs/>
          <w:color w:val="000000"/>
          <w:u w:val="single"/>
          <w:lang w:eastAsia="bg-BG"/>
        </w:rPr>
        <w:t>Възрастни (вкл. пациенти в старческа възраст)</w:t>
      </w:r>
    </w:p>
    <w:p w14:paraId="406AE589" w14:textId="77777777" w:rsidR="00982815" w:rsidRPr="00982815" w:rsidRDefault="00982815" w:rsidP="00982815">
      <w:pPr>
        <w:spacing w:line="240" w:lineRule="auto"/>
        <w:rPr>
          <w:rFonts w:eastAsia="Times New Roman" w:cs="Arial"/>
          <w:lang w:eastAsia="bg-BG"/>
        </w:rPr>
      </w:pPr>
      <w:r w:rsidRPr="00982815">
        <w:rPr>
          <w:rFonts w:eastAsia="Times New Roman" w:cs="Arial"/>
          <w:i/>
          <w:iCs/>
          <w:color w:val="000000"/>
          <w:lang w:eastAsia="bg-BG"/>
        </w:rPr>
        <w:t>Активна фаза на заболяването:</w:t>
      </w:r>
      <w:r w:rsidRPr="00982815">
        <w:rPr>
          <w:rFonts w:eastAsia="Times New Roman" w:cs="Arial"/>
          <w:color w:val="000000"/>
          <w:lang w:eastAsia="bg-BG"/>
        </w:rPr>
        <w:t xml:space="preserve"> Започнете лечението с 1 до 2 </w:t>
      </w:r>
      <w:r w:rsidRPr="00982815">
        <w:rPr>
          <w:rFonts w:eastAsia="Times New Roman" w:cs="Arial"/>
          <w:color w:val="000000"/>
          <w:lang w:val="en-US"/>
        </w:rPr>
        <w:t xml:space="preserve">g </w:t>
      </w:r>
      <w:r w:rsidRPr="00982815">
        <w:rPr>
          <w:rFonts w:eastAsia="Times New Roman" w:cs="Arial"/>
          <w:color w:val="000000"/>
          <w:lang w:eastAsia="bg-BG"/>
        </w:rPr>
        <w:t xml:space="preserve">дневно, разделени в 3 или повече еднакви приема. Повишете постепенно до 3 </w:t>
      </w:r>
      <w:r w:rsidRPr="00982815">
        <w:rPr>
          <w:rFonts w:eastAsia="Times New Roman" w:cs="Arial"/>
          <w:color w:val="000000"/>
          <w:lang w:val="en-US"/>
        </w:rPr>
        <w:t xml:space="preserve">g </w:t>
      </w:r>
      <w:r w:rsidRPr="00982815">
        <w:rPr>
          <w:rFonts w:eastAsia="Times New Roman" w:cs="Arial"/>
          <w:color w:val="000000"/>
          <w:lang w:eastAsia="bg-BG"/>
        </w:rPr>
        <w:t xml:space="preserve">- 8 </w:t>
      </w:r>
      <w:r w:rsidRPr="00982815">
        <w:rPr>
          <w:rFonts w:eastAsia="Times New Roman" w:cs="Arial"/>
          <w:color w:val="000000"/>
          <w:lang w:val="en-US"/>
        </w:rPr>
        <w:t xml:space="preserve">g </w:t>
      </w:r>
      <w:r w:rsidRPr="00982815">
        <w:rPr>
          <w:rFonts w:eastAsia="Times New Roman" w:cs="Arial"/>
          <w:color w:val="000000"/>
          <w:lang w:eastAsia="bg-BG"/>
        </w:rPr>
        <w:t>на ден.</w:t>
      </w:r>
    </w:p>
    <w:p w14:paraId="353E81C9" w14:textId="77777777" w:rsidR="00982815" w:rsidRPr="00D55828" w:rsidRDefault="00982815" w:rsidP="00982815">
      <w:pPr>
        <w:spacing w:line="240" w:lineRule="auto"/>
        <w:rPr>
          <w:rFonts w:eastAsia="Times New Roman" w:cs="Arial"/>
          <w:i/>
          <w:iCs/>
          <w:color w:val="000000"/>
          <w:lang w:eastAsia="bg-BG"/>
        </w:rPr>
      </w:pPr>
    </w:p>
    <w:p w14:paraId="5FF4851F" w14:textId="3248FDD4" w:rsidR="00982815" w:rsidRPr="00982815" w:rsidRDefault="00982815" w:rsidP="00982815">
      <w:pPr>
        <w:spacing w:line="240" w:lineRule="auto"/>
        <w:rPr>
          <w:rFonts w:eastAsia="Times New Roman" w:cs="Arial"/>
          <w:lang w:eastAsia="bg-BG"/>
        </w:rPr>
      </w:pPr>
      <w:r w:rsidRPr="00982815">
        <w:rPr>
          <w:rFonts w:eastAsia="Times New Roman" w:cs="Arial"/>
          <w:i/>
          <w:iCs/>
          <w:color w:val="000000"/>
          <w:lang w:eastAsia="bg-BG"/>
        </w:rPr>
        <w:t>Поддържаща доза при ремисия:</w:t>
      </w:r>
      <w:r w:rsidRPr="00982815">
        <w:rPr>
          <w:rFonts w:eastAsia="Times New Roman" w:cs="Arial"/>
          <w:color w:val="000000"/>
          <w:lang w:eastAsia="bg-BG"/>
        </w:rPr>
        <w:t xml:space="preserve"> 2 до 3 </w:t>
      </w:r>
      <w:r w:rsidRPr="00982815">
        <w:rPr>
          <w:rFonts w:eastAsia="Times New Roman" w:cs="Arial"/>
          <w:color w:val="000000"/>
          <w:lang w:val="en-US"/>
        </w:rPr>
        <w:t xml:space="preserve">g </w:t>
      </w:r>
      <w:r w:rsidRPr="00982815">
        <w:rPr>
          <w:rFonts w:eastAsia="Times New Roman" w:cs="Arial"/>
          <w:color w:val="000000"/>
          <w:lang w:eastAsia="bg-BG"/>
        </w:rPr>
        <w:t>дневно, разделени в 3 или повече еднакви приема.</w:t>
      </w:r>
    </w:p>
    <w:p w14:paraId="0D5765AF" w14:textId="77777777" w:rsidR="00982815" w:rsidRPr="00D55828" w:rsidRDefault="00982815" w:rsidP="00982815">
      <w:pPr>
        <w:spacing w:line="240" w:lineRule="auto"/>
        <w:rPr>
          <w:rFonts w:eastAsia="Times New Roman" w:cs="Arial"/>
          <w:i/>
          <w:iCs/>
          <w:color w:val="000000"/>
          <w:u w:val="single"/>
          <w:lang w:eastAsia="bg-BG"/>
        </w:rPr>
      </w:pPr>
    </w:p>
    <w:p w14:paraId="42A3D39F" w14:textId="3A05D8B5" w:rsidR="00982815" w:rsidRPr="00982815" w:rsidRDefault="00982815" w:rsidP="00982815">
      <w:pPr>
        <w:spacing w:line="240" w:lineRule="auto"/>
        <w:rPr>
          <w:rFonts w:eastAsia="Times New Roman" w:cs="Arial"/>
          <w:lang w:eastAsia="bg-BG"/>
        </w:rPr>
      </w:pPr>
      <w:r w:rsidRPr="00982815">
        <w:rPr>
          <w:rFonts w:eastAsia="Times New Roman" w:cs="Arial"/>
          <w:i/>
          <w:iCs/>
          <w:color w:val="000000"/>
          <w:u w:val="single"/>
          <w:lang w:eastAsia="bg-BG"/>
        </w:rPr>
        <w:t>Употреба при деца (на и над 6 години)</w:t>
      </w:r>
    </w:p>
    <w:p w14:paraId="1906309B" w14:textId="77777777" w:rsidR="00982815" w:rsidRPr="00D55828" w:rsidRDefault="00982815" w:rsidP="00982815">
      <w:pPr>
        <w:spacing w:line="240" w:lineRule="auto"/>
        <w:rPr>
          <w:rFonts w:eastAsia="Times New Roman" w:cs="Arial"/>
          <w:i/>
          <w:iCs/>
          <w:color w:val="000000"/>
          <w:lang w:eastAsia="bg-BG"/>
        </w:rPr>
      </w:pPr>
    </w:p>
    <w:p w14:paraId="21FA610A" w14:textId="6CE49A73" w:rsidR="00982815" w:rsidRPr="00982815" w:rsidRDefault="00982815" w:rsidP="00982815">
      <w:pPr>
        <w:spacing w:line="240" w:lineRule="auto"/>
        <w:rPr>
          <w:rFonts w:eastAsia="Times New Roman" w:cs="Arial"/>
          <w:lang w:eastAsia="bg-BG"/>
        </w:rPr>
      </w:pPr>
      <w:r w:rsidRPr="00982815">
        <w:rPr>
          <w:rFonts w:eastAsia="Times New Roman" w:cs="Arial"/>
          <w:i/>
          <w:iCs/>
          <w:color w:val="000000"/>
          <w:lang w:eastAsia="bg-BG"/>
        </w:rPr>
        <w:t>Активна фаза на заболяването:</w:t>
      </w:r>
      <w:r w:rsidRPr="00982815">
        <w:rPr>
          <w:rFonts w:eastAsia="Times New Roman" w:cs="Arial"/>
          <w:color w:val="000000"/>
          <w:lang w:eastAsia="bg-BG"/>
        </w:rPr>
        <w:t xml:space="preserve"> 40 до 150 </w:t>
      </w:r>
      <w:r w:rsidRPr="00982815">
        <w:rPr>
          <w:rFonts w:eastAsia="Times New Roman" w:cs="Arial"/>
          <w:color w:val="000000"/>
          <w:lang w:val="en-US"/>
        </w:rPr>
        <w:t>mg/kg</w:t>
      </w:r>
      <w:r w:rsidRPr="00982815">
        <w:rPr>
          <w:rFonts w:eastAsia="Times New Roman" w:cs="Arial"/>
          <w:color w:val="000000"/>
          <w:lang w:eastAsia="bg-BG"/>
        </w:rPr>
        <w:t>/ден, разделени в 3 или повече еднакви приема.</w:t>
      </w:r>
    </w:p>
    <w:p w14:paraId="28933445" w14:textId="77777777" w:rsidR="00982815" w:rsidRPr="00D55828" w:rsidRDefault="00982815" w:rsidP="00982815">
      <w:pPr>
        <w:rPr>
          <w:rFonts w:eastAsia="Times New Roman" w:cs="Arial"/>
          <w:i/>
          <w:iCs/>
          <w:color w:val="000000"/>
          <w:lang w:eastAsia="bg-BG"/>
        </w:rPr>
      </w:pPr>
    </w:p>
    <w:p w14:paraId="0ED8AA0C" w14:textId="766555A3" w:rsidR="00982815" w:rsidRPr="00D55828" w:rsidRDefault="00982815" w:rsidP="00982815">
      <w:pPr>
        <w:rPr>
          <w:rFonts w:cs="Arial"/>
        </w:rPr>
      </w:pPr>
      <w:r w:rsidRPr="00D55828">
        <w:rPr>
          <w:rFonts w:eastAsia="Times New Roman" w:cs="Arial"/>
          <w:i/>
          <w:iCs/>
          <w:color w:val="000000"/>
          <w:lang w:eastAsia="bg-BG"/>
        </w:rPr>
        <w:t>Поддържаща доза при ремисия:</w:t>
      </w:r>
      <w:r w:rsidRPr="00D55828">
        <w:rPr>
          <w:rFonts w:eastAsia="Times New Roman" w:cs="Arial"/>
          <w:color w:val="000000"/>
          <w:lang w:eastAsia="bg-BG"/>
        </w:rPr>
        <w:t xml:space="preserve"> 20 до 75 </w:t>
      </w:r>
      <w:r w:rsidRPr="00D55828">
        <w:rPr>
          <w:rFonts w:eastAsia="Times New Roman" w:cs="Arial"/>
          <w:color w:val="000000"/>
          <w:lang w:val="en-US"/>
        </w:rPr>
        <w:t>mg/kg</w:t>
      </w:r>
      <w:r w:rsidRPr="00D55828">
        <w:rPr>
          <w:rFonts w:eastAsia="Times New Roman" w:cs="Arial"/>
          <w:color w:val="000000"/>
          <w:lang w:eastAsia="bg-BG"/>
        </w:rPr>
        <w:t>/ден, разделени в 3 или повече еднакви приема.</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02A7069D"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Сулфасалазин е противопоказан при пациенти с:</w:t>
      </w:r>
    </w:p>
    <w:p w14:paraId="52B44DB5" w14:textId="77777777" w:rsidR="00982815" w:rsidRPr="00D55828" w:rsidRDefault="00982815" w:rsidP="00982815">
      <w:pPr>
        <w:pStyle w:val="ListParagraph"/>
        <w:numPr>
          <w:ilvl w:val="0"/>
          <w:numId w:val="36"/>
        </w:numPr>
        <w:spacing w:line="240" w:lineRule="auto"/>
        <w:rPr>
          <w:rFonts w:eastAsia="Times New Roman" w:cs="Arial"/>
          <w:color w:val="000000"/>
          <w:lang w:eastAsia="bg-BG"/>
        </w:rPr>
      </w:pPr>
      <w:r w:rsidRPr="00D55828">
        <w:rPr>
          <w:rFonts w:eastAsia="Times New Roman" w:cs="Arial"/>
          <w:color w:val="000000"/>
          <w:lang w:eastAsia="bg-BG"/>
        </w:rPr>
        <w:t>Известна свръхчувствителност към сулфасалазин, неговите метаболити или някое от помощните вещества на продукта, както и към сулфонамиди или салицилати.</w:t>
      </w:r>
    </w:p>
    <w:p w14:paraId="030B6A4D" w14:textId="74ED67CE" w:rsidR="00EC41ED" w:rsidRPr="00D55828" w:rsidRDefault="00982815" w:rsidP="00982815">
      <w:pPr>
        <w:pStyle w:val="ListParagraph"/>
        <w:numPr>
          <w:ilvl w:val="0"/>
          <w:numId w:val="36"/>
        </w:numPr>
        <w:spacing w:line="240" w:lineRule="auto"/>
        <w:rPr>
          <w:rFonts w:eastAsia="Times New Roman" w:cs="Arial"/>
          <w:color w:val="000000"/>
          <w:lang w:eastAsia="bg-BG"/>
        </w:rPr>
      </w:pPr>
      <w:r w:rsidRPr="00D55828">
        <w:rPr>
          <w:rFonts w:eastAsia="Times New Roman" w:cs="Arial"/>
          <w:color w:val="000000"/>
          <w:lang w:eastAsia="bg-BG"/>
        </w:rPr>
        <w:t>Порфирия.</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0EB0660A"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Съобщавани са сериозни инфекции, свързани с миелосупресия, включително сепсис и пневмония. Пациентите, които развиват нова инфекция, докато се подлагат на лечение със сулфасалазин, трябва да се проследяват стриктно. Приложението на сулфасалазин трябва да бъде спряно, ако пациент развие сериозна инфекция. Трябва да се подхожда с внимание, когато се обмисля употребата на сулфасалазин при пациенти с анамнеза за реццдивиращи или хронични инфекции, или с подлежащи заболявания, които предразполагат към развитието на инфекции.</w:t>
      </w:r>
    </w:p>
    <w:p w14:paraId="6EE8235C" w14:textId="77777777" w:rsidR="00982815" w:rsidRPr="00D55828" w:rsidRDefault="00982815" w:rsidP="00982815">
      <w:pPr>
        <w:spacing w:line="240" w:lineRule="auto"/>
        <w:rPr>
          <w:rFonts w:eastAsia="Times New Roman" w:cs="Arial"/>
          <w:color w:val="000000"/>
          <w:lang w:eastAsia="bg-BG"/>
        </w:rPr>
      </w:pPr>
    </w:p>
    <w:p w14:paraId="204740D0" w14:textId="4E92C04D"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 xml:space="preserve">Преди започване на лечението, както и на всяка втора седмица през първите три месеца от провеждането му, трябва да се изследват пълната кръвна картина, включително </w:t>
      </w:r>
      <w:r w:rsidRPr="00982815">
        <w:rPr>
          <w:rFonts w:eastAsia="Times New Roman" w:cs="Arial"/>
          <w:color w:val="000000"/>
          <w:lang w:eastAsia="bg-BG"/>
        </w:rPr>
        <w:lastRenderedPageBreak/>
        <w:t>диференциално броене на левкоцитите и чернодробната функция. През следващите 3 месеца същите изследвания трябва да се правят веднъж месечно, а след това веднъж на всеки три месеца, както и когато има клинично показание. Бъбречната функция трябва да се изследва (включително анализ на урината) при всички пациенти в началото и поне веднъж месечно през първите три месеца на лечението. След това проследяването се прави при клинични показания. Наличието на клинични симптоми като възпалено гърло, фебрилитет, бледност, пурпура или жълтеница по време на лечението със сулфасалазин може да е признак за миелосупресия, хемолиза или хепатотоксичност. Лечението със сулфасалазин трябва да се прекрати, докато се изчакват резултатите от кръвните изследвания.</w:t>
      </w:r>
    </w:p>
    <w:p w14:paraId="7F12BFD7" w14:textId="77777777" w:rsidR="00982815" w:rsidRPr="00D55828" w:rsidRDefault="00982815" w:rsidP="00982815">
      <w:pPr>
        <w:spacing w:line="240" w:lineRule="auto"/>
        <w:rPr>
          <w:rFonts w:eastAsia="Times New Roman" w:cs="Arial"/>
          <w:color w:val="000000"/>
          <w:lang w:eastAsia="bg-BG"/>
        </w:rPr>
      </w:pPr>
    </w:p>
    <w:p w14:paraId="688E215C" w14:textId="5AA17502"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Сулфасалазин не трябва да се прилага при пациенти с нарушена чернодробна или бъбречна функция, или със заболяване на кръвта, освен ако потенциалната полза не надвишава риска.</w:t>
      </w:r>
    </w:p>
    <w:p w14:paraId="4C7D2F72" w14:textId="77777777" w:rsidR="00982815" w:rsidRPr="00D55828" w:rsidRDefault="00982815" w:rsidP="00982815">
      <w:pPr>
        <w:spacing w:line="240" w:lineRule="auto"/>
        <w:rPr>
          <w:rFonts w:eastAsia="Times New Roman" w:cs="Arial"/>
          <w:color w:val="000000"/>
          <w:lang w:eastAsia="bg-BG"/>
        </w:rPr>
      </w:pPr>
    </w:p>
    <w:p w14:paraId="2FA2B04C" w14:textId="0D568D73"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Сулфасалазин трябва да се прилага с повишено внимание при пациенти с тежка алергия или бронхиална астма.</w:t>
      </w:r>
    </w:p>
    <w:p w14:paraId="72B7DA69" w14:textId="77777777" w:rsidR="00982815" w:rsidRPr="00D55828" w:rsidRDefault="00982815" w:rsidP="00982815">
      <w:pPr>
        <w:spacing w:line="240" w:lineRule="auto"/>
        <w:rPr>
          <w:rFonts w:eastAsia="Times New Roman" w:cs="Arial"/>
          <w:color w:val="000000"/>
          <w:lang w:eastAsia="bg-BG"/>
        </w:rPr>
      </w:pPr>
    </w:p>
    <w:p w14:paraId="0F522057" w14:textId="79920ADE"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Тежките реакции на свръхчувствителност могат да включват засягане на вътрешен орган, като хепатит, нефрит, миокардит, мононуклеозоподобен синдром (т.е. псевдомононуклеоза), хематологични отклонения (включително хемофагоцитна хистиоцитоза) и/или пневмонит, включително еозинофилна инфилтрация.</w:t>
      </w:r>
    </w:p>
    <w:p w14:paraId="2AA7F623" w14:textId="77777777" w:rsidR="00982815" w:rsidRPr="00D55828" w:rsidRDefault="00982815" w:rsidP="00982815">
      <w:pPr>
        <w:rPr>
          <w:rFonts w:eastAsia="Times New Roman" w:cs="Arial"/>
          <w:color w:val="000000"/>
          <w:lang w:eastAsia="bg-BG"/>
        </w:rPr>
      </w:pPr>
    </w:p>
    <w:p w14:paraId="2DFAC9F3" w14:textId="77777777" w:rsidR="00982815" w:rsidRPr="00D55828" w:rsidRDefault="00982815" w:rsidP="00982815">
      <w:pPr>
        <w:rPr>
          <w:rFonts w:eastAsia="Times New Roman" w:cs="Arial"/>
          <w:lang w:eastAsia="bg-BG"/>
        </w:rPr>
      </w:pPr>
      <w:r w:rsidRPr="00D55828">
        <w:rPr>
          <w:rFonts w:eastAsia="Times New Roman" w:cs="Arial"/>
          <w:color w:val="000000"/>
          <w:lang w:eastAsia="bg-BG"/>
        </w:rPr>
        <w:t xml:space="preserve">Тежки, животозастрашаващи системни реакции на свръхчувствителност като медикаментозен обрив, с еозинофилия и системни симптоми </w:t>
      </w:r>
      <w:r w:rsidRPr="00D55828">
        <w:rPr>
          <w:rFonts w:eastAsia="Times New Roman" w:cs="Arial"/>
          <w:color w:val="000000"/>
          <w:lang w:val="en-US"/>
        </w:rPr>
        <w:t xml:space="preserve">(DRESS) </w:t>
      </w:r>
      <w:r w:rsidRPr="00D55828">
        <w:rPr>
          <w:rFonts w:eastAsia="Times New Roman" w:cs="Arial"/>
          <w:color w:val="000000"/>
          <w:lang w:eastAsia="bg-BG"/>
        </w:rPr>
        <w:t>са съобщавани при пациенти, вземащи различни лекарства, включително и сулфасалазин. Важно е да се отбележи, че ранните прояви на</w:t>
      </w:r>
      <w:r w:rsidRPr="00D55828">
        <w:rPr>
          <w:rFonts w:eastAsia="Times New Roman" w:cs="Arial"/>
          <w:i/>
          <w:iCs/>
          <w:color w:val="000000"/>
          <w:lang w:eastAsia="bg-BG"/>
        </w:rPr>
        <w:t xml:space="preserve"> </w:t>
      </w:r>
      <w:r w:rsidRPr="00D55828">
        <w:rPr>
          <w:rFonts w:eastAsia="Times New Roman" w:cs="Arial"/>
          <w:color w:val="000000"/>
          <w:lang w:eastAsia="bg-BG"/>
        </w:rPr>
        <w:t>свръхчувствителност, като висока температура или лимфаденопатия, могат да съществуват дори и обривът да е незабележим. Ако има такива признаци или симптоми, пациентът трябва незабавно да бъде подложен на оценка. Сулфасалазинът трябва да бъде спрян, ако не може да се установи алтернативна етиология на признаците или симптомите.</w:t>
      </w:r>
    </w:p>
    <w:p w14:paraId="5E744951" w14:textId="77777777" w:rsidR="00982815" w:rsidRPr="00D55828" w:rsidRDefault="00982815" w:rsidP="00982815">
      <w:pPr>
        <w:spacing w:line="240" w:lineRule="auto"/>
        <w:rPr>
          <w:rFonts w:eastAsia="Times New Roman" w:cs="Arial"/>
          <w:color w:val="000000"/>
          <w:lang w:eastAsia="bg-BG"/>
        </w:rPr>
      </w:pPr>
    </w:p>
    <w:p w14:paraId="09222E5F" w14:textId="2C3A9509"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 xml:space="preserve">Сериозни кожни реакции, някои от които фатални, включително ексфолиативен дерматит, синдром на </w:t>
      </w:r>
      <w:r w:rsidRPr="00982815">
        <w:rPr>
          <w:rFonts w:eastAsia="Times New Roman" w:cs="Arial"/>
          <w:color w:val="000000"/>
          <w:lang w:val="en-US"/>
        </w:rPr>
        <w:t xml:space="preserve">Stevens-Johnson </w:t>
      </w:r>
      <w:r w:rsidRPr="00982815">
        <w:rPr>
          <w:rFonts w:eastAsia="Times New Roman" w:cs="Arial"/>
          <w:color w:val="000000"/>
          <w:lang w:eastAsia="bg-BG"/>
        </w:rPr>
        <w:t>и токсична епидермална некролиза, са съобщавани много рядко във връзка с употребата на сулфасалазин. Изглежда рискът от такива събития е най-висок при пациенти в ранните етапи на терапията, като в повечето случаи началото на събитието настъпва през първия месец от лечението. Сулфасалазин трябва да се спре при първата поява на кожен обрив, мукозни лезии или всякакви други признаци на свръхчувствителност.</w:t>
      </w:r>
    </w:p>
    <w:p w14:paraId="268BB29B" w14:textId="77777777" w:rsidR="00982815" w:rsidRPr="00D55828" w:rsidRDefault="00982815" w:rsidP="00982815">
      <w:pPr>
        <w:spacing w:line="240" w:lineRule="auto"/>
        <w:rPr>
          <w:rFonts w:eastAsia="Times New Roman" w:cs="Arial"/>
          <w:color w:val="000000"/>
          <w:lang w:eastAsia="bg-BG"/>
        </w:rPr>
      </w:pPr>
    </w:p>
    <w:p w14:paraId="7F59A3BC" w14:textId="2E2D9A78"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Употребата при деца с ювенилен ревматоиден артрит със системно начало може да доведе до подобна на серумна болест реакция. Ето защо сулфасалазин не се препоръчва при тези пациенти.</w:t>
      </w:r>
    </w:p>
    <w:p w14:paraId="022B186D" w14:textId="77777777" w:rsidR="00982815" w:rsidRPr="00D55828" w:rsidRDefault="00982815" w:rsidP="00982815">
      <w:pPr>
        <w:spacing w:line="240" w:lineRule="auto"/>
        <w:rPr>
          <w:rFonts w:eastAsia="Times New Roman" w:cs="Arial"/>
          <w:color w:val="000000"/>
          <w:lang w:eastAsia="bg-BG"/>
        </w:rPr>
      </w:pPr>
    </w:p>
    <w:p w14:paraId="2CEB7077" w14:textId="584FA2F3"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Пероралният сулфасалазин инхибира абсорбцията и метаболизма на фолиева киселина и може да предизвика дефицит на фолиева киселина (вж. точка 4.6), което може да доведе до сериозни нарушения в кръвната картина (напр. макроцитоза и панцитопения).</w:t>
      </w:r>
    </w:p>
    <w:p w14:paraId="3065E8BE" w14:textId="77777777" w:rsidR="00982815" w:rsidRPr="00D55828" w:rsidRDefault="00982815" w:rsidP="00982815">
      <w:pPr>
        <w:spacing w:line="240" w:lineRule="auto"/>
        <w:rPr>
          <w:rFonts w:eastAsia="Times New Roman" w:cs="Arial"/>
          <w:color w:val="000000"/>
          <w:lang w:eastAsia="bg-BG"/>
        </w:rPr>
      </w:pPr>
    </w:p>
    <w:p w14:paraId="5F4640CC" w14:textId="4A54C066"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Както и при останалите сулфонамиди, сулфасалазин може да причини хемолиза при пациенти с глюкозо-6-фосфатдехидрогеназна (Г-6-ФД) недостатъчност.</w:t>
      </w:r>
    </w:p>
    <w:p w14:paraId="6D187F71" w14:textId="77777777" w:rsidR="00982815" w:rsidRPr="00D55828" w:rsidRDefault="00982815" w:rsidP="00982815">
      <w:pPr>
        <w:spacing w:line="240" w:lineRule="auto"/>
        <w:rPr>
          <w:rFonts w:eastAsia="Times New Roman" w:cs="Arial"/>
          <w:color w:val="000000"/>
          <w:lang w:eastAsia="bg-BG"/>
        </w:rPr>
      </w:pPr>
    </w:p>
    <w:p w14:paraId="2530BB76" w14:textId="509E89C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Трябва да се поддържа нормалният прием на течности, тъй като сулфасалазин предизвиква кристалурия и образуване на камъни в бъбреците.</w:t>
      </w:r>
    </w:p>
    <w:p w14:paraId="62727BC2" w14:textId="77777777" w:rsidR="00982815" w:rsidRPr="00D55828" w:rsidRDefault="00982815" w:rsidP="00982815">
      <w:pPr>
        <w:rPr>
          <w:rFonts w:eastAsia="Times New Roman" w:cs="Arial"/>
          <w:color w:val="000000"/>
          <w:lang w:eastAsia="bg-BG"/>
        </w:rPr>
      </w:pPr>
    </w:p>
    <w:p w14:paraId="0E28BBDE" w14:textId="5FDDFE52" w:rsidR="007A2185" w:rsidRPr="00D55828" w:rsidRDefault="00982815" w:rsidP="00982815">
      <w:pPr>
        <w:rPr>
          <w:rFonts w:cs="Arial"/>
        </w:rPr>
      </w:pPr>
      <w:r w:rsidRPr="00D55828">
        <w:rPr>
          <w:rFonts w:eastAsia="Times New Roman" w:cs="Arial"/>
          <w:color w:val="000000"/>
          <w:lang w:eastAsia="bg-BG"/>
        </w:rPr>
        <w:t>При мъже, лекувани със сулфасалазин, е възможно да възникнат олигоспермия и безплодие. Тези ефекти са обратими след спиране на лечението в рамките на 2 до 3 месеца.</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11E8CBD3"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Отбелязана е намалена абсорбция на дигоксин при едновременно приложение със сулфасалазин, която води до субтерапевтични серумни нива на дигоксин.</w:t>
      </w:r>
    </w:p>
    <w:p w14:paraId="1E11ED2A" w14:textId="77777777" w:rsidR="00982815" w:rsidRPr="00D55828" w:rsidRDefault="00982815" w:rsidP="00982815">
      <w:pPr>
        <w:spacing w:line="240" w:lineRule="auto"/>
        <w:rPr>
          <w:rFonts w:eastAsia="Times New Roman" w:cs="Arial"/>
          <w:color w:val="000000"/>
          <w:lang w:eastAsia="bg-BG"/>
        </w:rPr>
      </w:pPr>
    </w:p>
    <w:p w14:paraId="2AE02B48" w14:textId="632BB028"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Когато тиопуринът 6-меркаптопурин или неговото предлекарство, азатиоприн, се използват едновременно с перорален сулфасалазин, са съобщавани костно-мозъчна супресия и левкопения, дължащи се на инхибиране на тиопуринметилтрансферазата (ТРМТ) от сулфасалазин.</w:t>
      </w:r>
    </w:p>
    <w:p w14:paraId="6DA71AC7" w14:textId="77777777" w:rsidR="00982815" w:rsidRPr="00D55828" w:rsidRDefault="00982815" w:rsidP="00982815">
      <w:pPr>
        <w:spacing w:line="240" w:lineRule="auto"/>
        <w:rPr>
          <w:rFonts w:eastAsia="Times New Roman" w:cs="Arial"/>
          <w:color w:val="000000"/>
          <w:lang w:eastAsia="bg-BG"/>
        </w:rPr>
      </w:pPr>
    </w:p>
    <w:p w14:paraId="74E92386" w14:textId="30C416B0"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Едновременното приложение на перорален сулфасалазин и метотрексат при пациенти с ревматоиден артрит не променя фармакокинетичното поведение на лекарствата. Въпреки това, се съобщава повишена честота на стомашно-чревните нежелани реакции, особено гадене.</w:t>
      </w:r>
    </w:p>
    <w:p w14:paraId="2E542F82" w14:textId="77777777" w:rsidR="00982815" w:rsidRPr="00D55828" w:rsidRDefault="00982815" w:rsidP="00982815">
      <w:pPr>
        <w:rPr>
          <w:rFonts w:eastAsia="Times New Roman" w:cs="Arial"/>
          <w:color w:val="000000"/>
          <w:lang w:eastAsia="bg-BG"/>
        </w:rPr>
      </w:pPr>
    </w:p>
    <w:p w14:paraId="5B2761C5" w14:textId="3EBB3104" w:rsidR="0091385D" w:rsidRPr="00D55828" w:rsidRDefault="00982815" w:rsidP="00982815">
      <w:pPr>
        <w:rPr>
          <w:rFonts w:cs="Arial"/>
        </w:rPr>
      </w:pPr>
      <w:r w:rsidRPr="00D55828">
        <w:rPr>
          <w:rFonts w:eastAsia="Times New Roman" w:cs="Arial"/>
          <w:color w:val="000000"/>
          <w:lang w:eastAsia="bg-BG"/>
        </w:rPr>
        <w:t>При пациенти, изложени на сулфасалазин или неговия метаболит месаламин/месалазин, се съобщава за възможно взаимодействие с измерванията на норметанефрин в урината чрез течна хроматография, водещо до фалшиво положителен резултат от изследването.</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17EA8969" w14:textId="77777777" w:rsidR="00982815" w:rsidRPr="00D55828" w:rsidRDefault="00982815" w:rsidP="00D55828">
      <w:pPr>
        <w:pStyle w:val="Heading3"/>
        <w:rPr>
          <w:rFonts w:eastAsia="Times New Roman"/>
          <w:u w:val="single"/>
          <w:lang w:eastAsia="bg-BG"/>
        </w:rPr>
      </w:pPr>
      <w:r w:rsidRPr="00D55828">
        <w:rPr>
          <w:rFonts w:eastAsia="Times New Roman"/>
          <w:u w:val="single"/>
          <w:lang w:eastAsia="bg-BG"/>
        </w:rPr>
        <w:t>Бременност</w:t>
      </w:r>
    </w:p>
    <w:p w14:paraId="6F110BDC" w14:textId="77777777" w:rsidR="00982815" w:rsidRPr="00D55828" w:rsidRDefault="00982815" w:rsidP="00982815">
      <w:pPr>
        <w:spacing w:line="240" w:lineRule="auto"/>
        <w:rPr>
          <w:rFonts w:eastAsia="Times New Roman" w:cs="Arial"/>
          <w:color w:val="000000"/>
          <w:lang w:eastAsia="bg-BG"/>
        </w:rPr>
      </w:pPr>
    </w:p>
    <w:p w14:paraId="511576C1" w14:textId="07CA472F"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Репродуктивни проучвания при плъхове и зайци не представят доказателства за вредни ефекти върху фетуса. Пероралният сулфасалазин инхибира абсорбцията и метаболизма на фолиевата киселина и може да причини дефицит на фолиева киселина (вж. точка 4.4). Има съобщения за бебета с дефекти на невралната тръба, родени от майки, които са били изложени на сулфасалазин по време на бременност, въпреки че ролята на сулфасалазин при тези дефекти не е установена. Сулфасалазин трябва да се използва по време на бременност само при абсолютна необходимост, тъй като</w:t>
      </w:r>
      <w:r w:rsidRPr="00D55828">
        <w:rPr>
          <w:rFonts w:eastAsia="Times New Roman" w:cs="Arial"/>
          <w:lang w:eastAsia="bg-BG"/>
        </w:rPr>
        <w:t xml:space="preserve"> </w:t>
      </w:r>
      <w:r w:rsidRPr="00982815">
        <w:rPr>
          <w:rFonts w:eastAsia="Times New Roman" w:cs="Arial"/>
          <w:color w:val="000000"/>
          <w:lang w:eastAsia="bg-BG"/>
        </w:rPr>
        <w:t>вероятността за вредни ефекти не може категорично да се отхвърли.</w:t>
      </w:r>
    </w:p>
    <w:p w14:paraId="38E135D2" w14:textId="7C00FC5E" w:rsidR="00982815" w:rsidRPr="00982815" w:rsidRDefault="00982815" w:rsidP="00982815">
      <w:pPr>
        <w:spacing w:line="240" w:lineRule="auto"/>
        <w:rPr>
          <w:rFonts w:eastAsia="Times New Roman" w:cs="Arial"/>
          <w:lang w:eastAsia="bg-BG"/>
        </w:rPr>
      </w:pPr>
    </w:p>
    <w:p w14:paraId="102F0D07" w14:textId="76198DBE" w:rsidR="007A2185" w:rsidRPr="00D55828" w:rsidRDefault="00982815" w:rsidP="00D55828">
      <w:pPr>
        <w:pStyle w:val="Heading3"/>
        <w:rPr>
          <w:rFonts w:eastAsia="Times New Roman"/>
          <w:u w:val="single"/>
          <w:lang w:eastAsia="bg-BG"/>
        </w:rPr>
      </w:pPr>
      <w:r w:rsidRPr="00D55828">
        <w:rPr>
          <w:rFonts w:eastAsia="Times New Roman"/>
          <w:u w:val="single"/>
          <w:lang w:eastAsia="bg-BG"/>
        </w:rPr>
        <w:t>Кър</w:t>
      </w:r>
      <w:bookmarkStart w:id="3" w:name="_GoBack"/>
      <w:bookmarkEnd w:id="3"/>
      <w:r w:rsidRPr="00D55828">
        <w:rPr>
          <w:rFonts w:eastAsia="Times New Roman"/>
          <w:u w:val="single"/>
          <w:lang w:eastAsia="bg-BG"/>
        </w:rPr>
        <w:t>мене</w:t>
      </w:r>
    </w:p>
    <w:p w14:paraId="4D5FB0A7" w14:textId="6B08CF9B" w:rsidR="00982815" w:rsidRPr="00D55828" w:rsidRDefault="00982815" w:rsidP="00982815">
      <w:pPr>
        <w:rPr>
          <w:rFonts w:eastAsia="Times New Roman" w:cs="Arial"/>
          <w:color w:val="000000"/>
          <w:u w:val="single"/>
          <w:lang w:eastAsia="bg-BG"/>
        </w:rPr>
      </w:pPr>
    </w:p>
    <w:p w14:paraId="4C115E73" w14:textId="1E8C03B5" w:rsidR="00982815" w:rsidRPr="00D55828" w:rsidRDefault="00982815" w:rsidP="00982815">
      <w:pPr>
        <w:rPr>
          <w:rFonts w:cs="Arial"/>
        </w:rPr>
      </w:pPr>
      <w:r w:rsidRPr="00D55828">
        <w:rPr>
          <w:rFonts w:cs="Arial"/>
        </w:rPr>
        <w:t xml:space="preserve">Сулфасалазин и сулфапиридин се откриват в малки количества в майчиното мляко. Необходимо е внимание, особено при кърмене на недоносени деца и деца с Г-6-ФД недостатъчност. Има съобщения за кръв в изпражненията или диария при кърмачета, чиито майки са приемали сулфасалазин. В случаите, при които е съобщаван изходът от </w:t>
      </w:r>
      <w:r w:rsidRPr="00D55828">
        <w:rPr>
          <w:rFonts w:cs="Arial"/>
        </w:rPr>
        <w:lastRenderedPageBreak/>
        <w:t>тази реакция, кръвта в изпражненията и диарията при кърмачето са отшумял и при прекратяване на лечението на майката със сулфасалазин.</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2676BF9D" w:rsidR="007A2185" w:rsidRPr="00D55828" w:rsidRDefault="00982815" w:rsidP="0091385D">
      <w:pPr>
        <w:rPr>
          <w:rFonts w:cs="Arial"/>
        </w:rPr>
      </w:pPr>
      <w:r w:rsidRPr="00D55828">
        <w:rPr>
          <w:rFonts w:cs="Arial"/>
        </w:rPr>
        <w:t>Ефектът на сулфасалазин върху способността за шофиране и работа с машини не е подробно изучен.</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68ECB003"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По-долу са изброени всички нежелани лекарствени реакции по системо-органен клас и честота (много чести (≥1/10); чести (≥1/100 до &lt;1/10); нечести (≥ 1/1 000 до &lt;1/100); редки (≥ 1/10 000 до &lt;1/1 000); много редки (&lt; 1/10 000), с неизвестна честота (от наличните данни не може да бъде направена оценка).</w:t>
      </w:r>
    </w:p>
    <w:p w14:paraId="5B295D12"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3CA1C33C" w14:textId="77777777" w:rsidR="00982815" w:rsidRPr="00D55828" w:rsidRDefault="00982815" w:rsidP="00982815">
      <w:pPr>
        <w:rPr>
          <w:rFonts w:eastAsia="Times New Roman" w:cs="Arial"/>
          <w:color w:val="000000"/>
          <w:lang w:eastAsia="bg-BG"/>
        </w:rPr>
      </w:pPr>
    </w:p>
    <w:p w14:paraId="0254AACC" w14:textId="24CBB84E" w:rsidR="007A2185" w:rsidRPr="00D55828" w:rsidRDefault="00982815" w:rsidP="00982815">
      <w:pPr>
        <w:rPr>
          <w:rFonts w:eastAsia="Times New Roman" w:cs="Arial"/>
          <w:color w:val="000000"/>
          <w:lang w:eastAsia="bg-BG"/>
        </w:rPr>
      </w:pPr>
      <w:r w:rsidRPr="00D55828">
        <w:rPr>
          <w:rFonts w:eastAsia="Times New Roman" w:cs="Arial"/>
          <w:color w:val="000000"/>
          <w:lang w:eastAsia="bg-BG"/>
        </w:rPr>
        <w:t>Установени са следните нежелани лекарствени реакции със сулфасалазин.</w:t>
      </w:r>
    </w:p>
    <w:p w14:paraId="366A4434" w14:textId="25C75DC0" w:rsidR="00982815" w:rsidRDefault="00982815" w:rsidP="00982815">
      <w:pPr>
        <w:rPr>
          <w:rFonts w:ascii="Times New Roman" w:eastAsia="Times New Roman" w:hAnsi="Times New Roman" w:cs="Times New Roman"/>
          <w:color w:val="000000"/>
          <w:lang w:eastAsia="bg-BG"/>
        </w:rPr>
      </w:pPr>
    </w:p>
    <w:tbl>
      <w:tblPr>
        <w:tblStyle w:val="TableGrid"/>
        <w:tblW w:w="0" w:type="auto"/>
        <w:tblLook w:val="04A0" w:firstRow="1" w:lastRow="0" w:firstColumn="1" w:lastColumn="0" w:noHBand="0" w:noVBand="1"/>
      </w:tblPr>
      <w:tblGrid>
        <w:gridCol w:w="3116"/>
        <w:gridCol w:w="3117"/>
        <w:gridCol w:w="3117"/>
      </w:tblGrid>
      <w:tr w:rsidR="00274299" w14:paraId="42E0298B" w14:textId="77777777" w:rsidTr="00982815">
        <w:tc>
          <w:tcPr>
            <w:tcW w:w="3116" w:type="dxa"/>
          </w:tcPr>
          <w:p w14:paraId="67AA6C74" w14:textId="30538C40" w:rsidR="00274299" w:rsidRDefault="00274299" w:rsidP="00274299">
            <w:r>
              <w:rPr>
                <w:b/>
                <w:bCs/>
              </w:rPr>
              <w:t>Системо-органен клас</w:t>
            </w:r>
          </w:p>
        </w:tc>
        <w:tc>
          <w:tcPr>
            <w:tcW w:w="3117" w:type="dxa"/>
          </w:tcPr>
          <w:p w14:paraId="100F79A2" w14:textId="4C3EE37D" w:rsidR="00274299" w:rsidRDefault="00274299" w:rsidP="00274299">
            <w:r>
              <w:rPr>
                <w:b/>
                <w:bCs/>
              </w:rPr>
              <w:t>Честота</w:t>
            </w:r>
          </w:p>
        </w:tc>
        <w:tc>
          <w:tcPr>
            <w:tcW w:w="3117" w:type="dxa"/>
          </w:tcPr>
          <w:p w14:paraId="3CB9E703" w14:textId="23AA18D7" w:rsidR="00274299" w:rsidRDefault="00274299" w:rsidP="00274299">
            <w:r>
              <w:rPr>
                <w:b/>
                <w:bCs/>
              </w:rPr>
              <w:t>Нежелана реакция</w:t>
            </w:r>
          </w:p>
        </w:tc>
      </w:tr>
      <w:tr w:rsidR="00274299" w14:paraId="3C013328" w14:textId="77777777" w:rsidTr="00982815">
        <w:tc>
          <w:tcPr>
            <w:tcW w:w="3116" w:type="dxa"/>
          </w:tcPr>
          <w:p w14:paraId="2CA68FF7" w14:textId="103845F9" w:rsidR="00274299" w:rsidRDefault="00274299" w:rsidP="00274299">
            <w:r>
              <w:t>Инфекции и инфестации</w:t>
            </w:r>
          </w:p>
        </w:tc>
        <w:tc>
          <w:tcPr>
            <w:tcW w:w="3117" w:type="dxa"/>
          </w:tcPr>
          <w:p w14:paraId="0CEDC1BD" w14:textId="4F87AF32" w:rsidR="00274299" w:rsidRDefault="00274299" w:rsidP="00274299">
            <w:r>
              <w:t>С неизвестна честота</w:t>
            </w:r>
          </w:p>
        </w:tc>
        <w:tc>
          <w:tcPr>
            <w:tcW w:w="3117" w:type="dxa"/>
          </w:tcPr>
          <w:p w14:paraId="182E1C52" w14:textId="2358E8C2" w:rsidR="00274299" w:rsidRDefault="00274299" w:rsidP="00274299">
            <w:r>
              <w:t xml:space="preserve">Асептичен менингит, псевдомембранозен колит </w:t>
            </w:r>
          </w:p>
        </w:tc>
      </w:tr>
      <w:tr w:rsidR="00274299" w14:paraId="2A5067EC" w14:textId="77777777" w:rsidTr="00982815">
        <w:tc>
          <w:tcPr>
            <w:tcW w:w="3116" w:type="dxa"/>
            <w:vMerge w:val="restart"/>
          </w:tcPr>
          <w:p w14:paraId="1514564F" w14:textId="59E12950" w:rsidR="00274299" w:rsidRDefault="00274299" w:rsidP="00274299">
            <w:r>
              <w:t>Нарушения на кръвта и лимфната система</w:t>
            </w:r>
          </w:p>
        </w:tc>
        <w:tc>
          <w:tcPr>
            <w:tcW w:w="3117" w:type="dxa"/>
          </w:tcPr>
          <w:p w14:paraId="483FC0D5" w14:textId="24E61AEB" w:rsidR="00274299" w:rsidRDefault="00274299" w:rsidP="00274299">
            <w:r>
              <w:t>Чести</w:t>
            </w:r>
          </w:p>
        </w:tc>
        <w:tc>
          <w:tcPr>
            <w:tcW w:w="3117" w:type="dxa"/>
          </w:tcPr>
          <w:p w14:paraId="50D584B1" w14:textId="2AA364F1" w:rsidR="00274299" w:rsidRDefault="00274299" w:rsidP="00274299">
            <w:r>
              <w:t>Левкопения</w:t>
            </w:r>
          </w:p>
        </w:tc>
      </w:tr>
      <w:tr w:rsidR="00274299" w14:paraId="4A219581" w14:textId="77777777" w:rsidTr="00982815">
        <w:tc>
          <w:tcPr>
            <w:tcW w:w="3116" w:type="dxa"/>
            <w:vMerge/>
          </w:tcPr>
          <w:p w14:paraId="69AF989B" w14:textId="77777777" w:rsidR="00274299" w:rsidRDefault="00274299" w:rsidP="00274299"/>
        </w:tc>
        <w:tc>
          <w:tcPr>
            <w:tcW w:w="3117" w:type="dxa"/>
          </w:tcPr>
          <w:p w14:paraId="107E6447" w14:textId="59643489" w:rsidR="00274299" w:rsidRDefault="00274299" w:rsidP="00274299">
            <w:r>
              <w:t>Нечести</w:t>
            </w:r>
          </w:p>
        </w:tc>
        <w:tc>
          <w:tcPr>
            <w:tcW w:w="3117" w:type="dxa"/>
          </w:tcPr>
          <w:p w14:paraId="5BD9B5D5" w14:textId="74405471" w:rsidR="00274299" w:rsidRDefault="00274299" w:rsidP="00274299">
            <w:r>
              <w:t>Тромбоцитопения**</w:t>
            </w:r>
          </w:p>
        </w:tc>
      </w:tr>
      <w:tr w:rsidR="00274299" w14:paraId="0DDF09B2" w14:textId="77777777" w:rsidTr="00982815">
        <w:tc>
          <w:tcPr>
            <w:tcW w:w="3116" w:type="dxa"/>
            <w:vMerge/>
          </w:tcPr>
          <w:p w14:paraId="057149A3" w14:textId="77777777" w:rsidR="00274299" w:rsidRDefault="00274299" w:rsidP="00274299"/>
        </w:tc>
        <w:tc>
          <w:tcPr>
            <w:tcW w:w="3117" w:type="dxa"/>
          </w:tcPr>
          <w:p w14:paraId="6622A889" w14:textId="62F469BC" w:rsidR="00274299" w:rsidRDefault="00274299" w:rsidP="00274299">
            <w:r>
              <w:t>С неизвестна честота</w:t>
            </w:r>
          </w:p>
        </w:tc>
        <w:tc>
          <w:tcPr>
            <w:tcW w:w="3117" w:type="dxa"/>
          </w:tcPr>
          <w:p w14:paraId="5AA8840F" w14:textId="558946B5" w:rsidR="00274299" w:rsidRDefault="00274299" w:rsidP="00274299">
            <w:r>
              <w:t>Панцитопения, агранулоцитоза, апластична анемия, псевдомононуклеоза, хемолитична анемия, макроцитоза, мегалобластна анемия.</w:t>
            </w:r>
          </w:p>
        </w:tc>
      </w:tr>
      <w:tr w:rsidR="00274299" w14:paraId="31DE8C67" w14:textId="77777777" w:rsidTr="00982815">
        <w:tc>
          <w:tcPr>
            <w:tcW w:w="3116" w:type="dxa"/>
          </w:tcPr>
          <w:p w14:paraId="4083A7C3" w14:textId="2DFAC352" w:rsidR="00274299" w:rsidRDefault="00274299" w:rsidP="00274299">
            <w:r>
              <w:t>Нарушения на имунната система</w:t>
            </w:r>
          </w:p>
        </w:tc>
        <w:tc>
          <w:tcPr>
            <w:tcW w:w="3117" w:type="dxa"/>
          </w:tcPr>
          <w:p w14:paraId="15C7C33A" w14:textId="0E6A7FCC" w:rsidR="00274299" w:rsidRDefault="00274299" w:rsidP="00274299">
            <w:r>
              <w:t>С неизвестна честота</w:t>
            </w:r>
          </w:p>
        </w:tc>
        <w:tc>
          <w:tcPr>
            <w:tcW w:w="3117" w:type="dxa"/>
          </w:tcPr>
          <w:p w14:paraId="2B994450" w14:textId="26B57A1F" w:rsidR="00274299" w:rsidRDefault="00274299" w:rsidP="00274299">
            <w:r>
              <w:t>Анафилаксия*, серумна болест.</w:t>
            </w:r>
          </w:p>
        </w:tc>
      </w:tr>
      <w:tr w:rsidR="00274299" w14:paraId="5DD779AB" w14:textId="77777777" w:rsidTr="00982815">
        <w:tc>
          <w:tcPr>
            <w:tcW w:w="3116" w:type="dxa"/>
            <w:vMerge w:val="restart"/>
          </w:tcPr>
          <w:p w14:paraId="41BD0F01" w14:textId="0823F1CA" w:rsidR="00274299" w:rsidRDefault="00274299" w:rsidP="00274299">
            <w:r>
              <w:t>Нарушения на метаболизма и храненето</w:t>
            </w:r>
          </w:p>
        </w:tc>
        <w:tc>
          <w:tcPr>
            <w:tcW w:w="3117" w:type="dxa"/>
          </w:tcPr>
          <w:p w14:paraId="0CF56D10" w14:textId="1B1AB5E8" w:rsidR="00274299" w:rsidRDefault="00274299" w:rsidP="00274299">
            <w:r>
              <w:t>Чести</w:t>
            </w:r>
          </w:p>
        </w:tc>
        <w:tc>
          <w:tcPr>
            <w:tcW w:w="3117" w:type="dxa"/>
          </w:tcPr>
          <w:p w14:paraId="3E65AE2B" w14:textId="6AC1330F" w:rsidR="00274299" w:rsidRDefault="00274299" w:rsidP="00274299">
            <w:r>
              <w:t>Загуба на апетит</w:t>
            </w:r>
          </w:p>
        </w:tc>
      </w:tr>
      <w:tr w:rsidR="00274299" w14:paraId="3AC3FBA9" w14:textId="77777777" w:rsidTr="00982815">
        <w:tc>
          <w:tcPr>
            <w:tcW w:w="3116" w:type="dxa"/>
            <w:vMerge/>
          </w:tcPr>
          <w:p w14:paraId="2E636AFE" w14:textId="77777777" w:rsidR="00274299" w:rsidRDefault="00274299" w:rsidP="00274299"/>
        </w:tc>
        <w:tc>
          <w:tcPr>
            <w:tcW w:w="3117" w:type="dxa"/>
          </w:tcPr>
          <w:p w14:paraId="370C4BE5" w14:textId="10D0C5FB" w:rsidR="00274299" w:rsidRDefault="00274299" w:rsidP="00274299">
            <w:r>
              <w:t>С неизвестна честота</w:t>
            </w:r>
          </w:p>
        </w:tc>
        <w:tc>
          <w:tcPr>
            <w:tcW w:w="3117" w:type="dxa"/>
          </w:tcPr>
          <w:p w14:paraId="6DC85DD1" w14:textId="3447E781" w:rsidR="00274299" w:rsidRDefault="00274299" w:rsidP="00274299">
            <w:r>
              <w:t>Фолатна недостатъчност*</w:t>
            </w:r>
            <w:r>
              <w:rPr>
                <w:u w:val="single"/>
                <w:vertAlign w:val="superscript"/>
              </w:rPr>
              <w:t>†</w:t>
            </w:r>
          </w:p>
        </w:tc>
      </w:tr>
      <w:tr w:rsidR="00274299" w14:paraId="3163B4DD" w14:textId="77777777" w:rsidTr="00982815">
        <w:tc>
          <w:tcPr>
            <w:tcW w:w="3116" w:type="dxa"/>
          </w:tcPr>
          <w:p w14:paraId="0B9A490E" w14:textId="65FF936B" w:rsidR="00274299" w:rsidRDefault="00274299" w:rsidP="00274299">
            <w:r>
              <w:t>Психични нарушения</w:t>
            </w:r>
          </w:p>
        </w:tc>
        <w:tc>
          <w:tcPr>
            <w:tcW w:w="3117" w:type="dxa"/>
          </w:tcPr>
          <w:p w14:paraId="38F15C94" w14:textId="458917FB" w:rsidR="00274299" w:rsidRDefault="00274299" w:rsidP="00274299">
            <w:r>
              <w:t>Нечести</w:t>
            </w:r>
          </w:p>
        </w:tc>
        <w:tc>
          <w:tcPr>
            <w:tcW w:w="3117" w:type="dxa"/>
          </w:tcPr>
          <w:p w14:paraId="1E795FFA" w14:textId="3769C30A" w:rsidR="00274299" w:rsidRDefault="00274299" w:rsidP="00274299">
            <w:r>
              <w:t>Депресия</w:t>
            </w:r>
          </w:p>
        </w:tc>
      </w:tr>
      <w:tr w:rsidR="00274299" w14:paraId="1A635617" w14:textId="77777777" w:rsidTr="00982815">
        <w:tc>
          <w:tcPr>
            <w:tcW w:w="3116" w:type="dxa"/>
            <w:vMerge w:val="restart"/>
          </w:tcPr>
          <w:p w14:paraId="591E6138" w14:textId="18C76330" w:rsidR="00274299" w:rsidRDefault="00274299" w:rsidP="00274299">
            <w:r>
              <w:t>Нарушения на нервната система</w:t>
            </w:r>
          </w:p>
        </w:tc>
        <w:tc>
          <w:tcPr>
            <w:tcW w:w="3117" w:type="dxa"/>
          </w:tcPr>
          <w:p w14:paraId="7D848080" w14:textId="6F6C1BB7" w:rsidR="00274299" w:rsidRDefault="00274299" w:rsidP="00274299">
            <w:r>
              <w:t>Чести</w:t>
            </w:r>
          </w:p>
        </w:tc>
        <w:tc>
          <w:tcPr>
            <w:tcW w:w="3117" w:type="dxa"/>
          </w:tcPr>
          <w:p w14:paraId="5F42A290" w14:textId="21702774" w:rsidR="00274299" w:rsidRDefault="00274299" w:rsidP="00274299">
            <w:r>
              <w:t>Замайване, главоболие, промени във вкуса</w:t>
            </w:r>
          </w:p>
        </w:tc>
      </w:tr>
      <w:tr w:rsidR="00274299" w14:paraId="2EA9420B" w14:textId="77777777" w:rsidTr="00982815">
        <w:tc>
          <w:tcPr>
            <w:tcW w:w="3116" w:type="dxa"/>
            <w:vMerge/>
          </w:tcPr>
          <w:p w14:paraId="6FEA79C8" w14:textId="77777777" w:rsidR="00274299" w:rsidRDefault="00274299" w:rsidP="00274299"/>
        </w:tc>
        <w:tc>
          <w:tcPr>
            <w:tcW w:w="3117" w:type="dxa"/>
          </w:tcPr>
          <w:p w14:paraId="114EEE29" w14:textId="47FF8142" w:rsidR="00274299" w:rsidRDefault="00274299" w:rsidP="00274299">
            <w:r>
              <w:t>С неизвестна честота</w:t>
            </w:r>
          </w:p>
        </w:tc>
        <w:tc>
          <w:tcPr>
            <w:tcW w:w="3117" w:type="dxa"/>
          </w:tcPr>
          <w:p w14:paraId="1C136227" w14:textId="300EADB3" w:rsidR="00274299" w:rsidRDefault="00274299" w:rsidP="00274299">
            <w:r>
              <w:t>Енцефалопатия, периферна невропатия, нарушения на обонянието</w:t>
            </w:r>
          </w:p>
        </w:tc>
      </w:tr>
      <w:tr w:rsidR="00274299" w14:paraId="15D04655" w14:textId="77777777" w:rsidTr="00982815">
        <w:tc>
          <w:tcPr>
            <w:tcW w:w="3116" w:type="dxa"/>
          </w:tcPr>
          <w:p w14:paraId="2E576B9A" w14:textId="3434F0D2" w:rsidR="00274299" w:rsidRDefault="00274299" w:rsidP="00274299">
            <w:r>
              <w:t>Нарушения на ухото и лабиринта</w:t>
            </w:r>
          </w:p>
        </w:tc>
        <w:tc>
          <w:tcPr>
            <w:tcW w:w="3117" w:type="dxa"/>
          </w:tcPr>
          <w:p w14:paraId="6AC7B0FC" w14:textId="3E2A7502" w:rsidR="00274299" w:rsidRDefault="00274299" w:rsidP="00274299">
            <w:r>
              <w:t>Чести</w:t>
            </w:r>
          </w:p>
        </w:tc>
        <w:tc>
          <w:tcPr>
            <w:tcW w:w="3117" w:type="dxa"/>
          </w:tcPr>
          <w:p w14:paraId="09DD9CAD" w14:textId="7DD7A46A" w:rsidR="00274299" w:rsidRDefault="00274299" w:rsidP="00274299">
            <w:r>
              <w:t>Шум в ушите</w:t>
            </w:r>
          </w:p>
        </w:tc>
      </w:tr>
      <w:tr w:rsidR="00274299" w14:paraId="27B795D0" w14:textId="77777777" w:rsidTr="00982815">
        <w:tc>
          <w:tcPr>
            <w:tcW w:w="3116" w:type="dxa"/>
          </w:tcPr>
          <w:p w14:paraId="7226E82B" w14:textId="6E076D98" w:rsidR="00274299" w:rsidRDefault="00274299" w:rsidP="00274299">
            <w:r>
              <w:t>Сърдечни нарушения</w:t>
            </w:r>
          </w:p>
        </w:tc>
        <w:tc>
          <w:tcPr>
            <w:tcW w:w="3117" w:type="dxa"/>
          </w:tcPr>
          <w:p w14:paraId="59A5A9CA" w14:textId="54CB7CC7" w:rsidR="00274299" w:rsidRDefault="00274299" w:rsidP="00274299">
            <w:r>
              <w:t>С неизвестна честота</w:t>
            </w:r>
          </w:p>
        </w:tc>
        <w:tc>
          <w:tcPr>
            <w:tcW w:w="3117" w:type="dxa"/>
          </w:tcPr>
          <w:p w14:paraId="436F8113" w14:textId="1D7ECB51" w:rsidR="00274299" w:rsidRDefault="00274299" w:rsidP="00274299">
            <w:r>
              <w:t>Миокардит*</w:t>
            </w:r>
            <w:r>
              <w:rPr>
                <w:u w:val="single"/>
                <w:vertAlign w:val="superscript"/>
              </w:rPr>
              <w:t>†</w:t>
            </w:r>
            <w:r>
              <w:t>, перикардит, цианоза</w:t>
            </w:r>
          </w:p>
        </w:tc>
      </w:tr>
      <w:tr w:rsidR="00274299" w14:paraId="27AA3FB5" w14:textId="77777777" w:rsidTr="00982815">
        <w:tc>
          <w:tcPr>
            <w:tcW w:w="3116" w:type="dxa"/>
          </w:tcPr>
          <w:p w14:paraId="48FB1338" w14:textId="2E046119" w:rsidR="00274299" w:rsidRDefault="00274299" w:rsidP="00274299">
            <w:r>
              <w:t>Съдови нарушения</w:t>
            </w:r>
          </w:p>
        </w:tc>
        <w:tc>
          <w:tcPr>
            <w:tcW w:w="3117" w:type="dxa"/>
          </w:tcPr>
          <w:p w14:paraId="631D3032" w14:textId="244AA0EB" w:rsidR="00274299" w:rsidRDefault="00274299" w:rsidP="00274299">
            <w:r>
              <w:t>С неизвестна честота</w:t>
            </w:r>
          </w:p>
        </w:tc>
        <w:tc>
          <w:tcPr>
            <w:tcW w:w="3117" w:type="dxa"/>
          </w:tcPr>
          <w:p w14:paraId="71CEDABC" w14:textId="5E0C1D94" w:rsidR="00274299" w:rsidRDefault="00274299" w:rsidP="00274299">
            <w:r>
              <w:t>Бледност*</w:t>
            </w:r>
            <w:r>
              <w:rPr>
                <w:u w:val="single"/>
                <w:vertAlign w:val="superscript"/>
              </w:rPr>
              <w:t>†</w:t>
            </w:r>
          </w:p>
        </w:tc>
      </w:tr>
      <w:tr w:rsidR="00982815" w14:paraId="7A37308A" w14:textId="77777777" w:rsidTr="00982815">
        <w:tc>
          <w:tcPr>
            <w:tcW w:w="3116" w:type="dxa"/>
            <w:vMerge w:val="restart"/>
          </w:tcPr>
          <w:p w14:paraId="495ABB53" w14:textId="3B63FADE" w:rsidR="00982815" w:rsidRPr="00274299" w:rsidRDefault="00274299" w:rsidP="00982815">
            <w:r w:rsidRPr="00274299">
              <w:t>Респираторни, гръдни и медиастинални нарушения</w:t>
            </w:r>
          </w:p>
        </w:tc>
        <w:tc>
          <w:tcPr>
            <w:tcW w:w="3117" w:type="dxa"/>
          </w:tcPr>
          <w:p w14:paraId="38D13E50" w14:textId="11D7982D" w:rsidR="00982815" w:rsidRDefault="00982815" w:rsidP="00982815">
            <w:r>
              <w:t>Чести</w:t>
            </w:r>
          </w:p>
        </w:tc>
        <w:tc>
          <w:tcPr>
            <w:tcW w:w="3117" w:type="dxa"/>
          </w:tcPr>
          <w:p w14:paraId="4E5050C3" w14:textId="16F5AEEC" w:rsidR="00982815" w:rsidRDefault="00982815" w:rsidP="00982815">
            <w:r>
              <w:t>Кашлица</w:t>
            </w:r>
          </w:p>
        </w:tc>
      </w:tr>
      <w:tr w:rsidR="00982815" w14:paraId="4B8DAE0F" w14:textId="77777777" w:rsidTr="00982815">
        <w:tc>
          <w:tcPr>
            <w:tcW w:w="3116" w:type="dxa"/>
            <w:vMerge/>
          </w:tcPr>
          <w:p w14:paraId="324E06F5" w14:textId="77777777" w:rsidR="00982815" w:rsidRDefault="00982815" w:rsidP="00982815"/>
        </w:tc>
        <w:tc>
          <w:tcPr>
            <w:tcW w:w="3117" w:type="dxa"/>
          </w:tcPr>
          <w:p w14:paraId="766DC356" w14:textId="6A444C87" w:rsidR="00982815" w:rsidRDefault="00982815" w:rsidP="00982815">
            <w:r>
              <w:t>Нечести</w:t>
            </w:r>
          </w:p>
        </w:tc>
        <w:tc>
          <w:tcPr>
            <w:tcW w:w="3117" w:type="dxa"/>
          </w:tcPr>
          <w:p w14:paraId="6BEBAE61" w14:textId="5938CB1B" w:rsidR="00982815" w:rsidRDefault="00982815" w:rsidP="00982815">
            <w:r>
              <w:t>Диспнея</w:t>
            </w:r>
          </w:p>
        </w:tc>
      </w:tr>
      <w:tr w:rsidR="00982815" w14:paraId="173D338D" w14:textId="77777777" w:rsidTr="00982815">
        <w:tc>
          <w:tcPr>
            <w:tcW w:w="3116" w:type="dxa"/>
            <w:vMerge/>
          </w:tcPr>
          <w:p w14:paraId="155B41CE" w14:textId="77777777" w:rsidR="00982815" w:rsidRDefault="00982815" w:rsidP="00982815"/>
        </w:tc>
        <w:tc>
          <w:tcPr>
            <w:tcW w:w="3117" w:type="dxa"/>
          </w:tcPr>
          <w:p w14:paraId="68F832D5" w14:textId="72D4B282" w:rsidR="00982815" w:rsidRDefault="00982815" w:rsidP="00982815">
            <w:r>
              <w:t>С неизвестна честота</w:t>
            </w:r>
          </w:p>
        </w:tc>
        <w:tc>
          <w:tcPr>
            <w:tcW w:w="3117" w:type="dxa"/>
          </w:tcPr>
          <w:p w14:paraId="64D10E0D" w14:textId="77777777" w:rsidR="00982815" w:rsidRDefault="00982815" w:rsidP="00982815">
            <w:r>
              <w:t>Интерстициалн обелодробно заболяване*, еозинофилия,  инфилтрация, фиброзиращ</w:t>
            </w:r>
          </w:p>
          <w:p w14:paraId="14C2FBA9" w14:textId="4314E70F" w:rsidR="00982815" w:rsidRDefault="00982815" w:rsidP="00982815">
            <w:r>
              <w:t xml:space="preserve">алвеолит,, орофарингеална </w:t>
            </w:r>
            <w:r w:rsidRPr="00982815">
              <w:t>болка*</w:t>
            </w:r>
            <w:r w:rsidRPr="00982815">
              <w:rPr>
                <w:vertAlign w:val="superscript"/>
              </w:rPr>
              <w:t>†</w:t>
            </w:r>
          </w:p>
        </w:tc>
      </w:tr>
      <w:tr w:rsidR="00274299" w14:paraId="7FDFEE64" w14:textId="77777777" w:rsidTr="00982815">
        <w:tc>
          <w:tcPr>
            <w:tcW w:w="3116" w:type="dxa"/>
            <w:vMerge w:val="restart"/>
          </w:tcPr>
          <w:p w14:paraId="21EF61B2" w14:textId="7C31B456" w:rsidR="00274299" w:rsidRDefault="00274299" w:rsidP="00274299">
            <w:r>
              <w:t>Стомашно-чревни нарушения</w:t>
            </w:r>
          </w:p>
        </w:tc>
        <w:tc>
          <w:tcPr>
            <w:tcW w:w="3117" w:type="dxa"/>
          </w:tcPr>
          <w:p w14:paraId="7783A95A" w14:textId="3BDE8566" w:rsidR="00274299" w:rsidRDefault="00274299" w:rsidP="00274299">
            <w:r>
              <w:t>Много чести</w:t>
            </w:r>
          </w:p>
        </w:tc>
        <w:tc>
          <w:tcPr>
            <w:tcW w:w="3117" w:type="dxa"/>
          </w:tcPr>
          <w:p w14:paraId="1104CAAC" w14:textId="62B06701" w:rsidR="00274299" w:rsidRDefault="00274299" w:rsidP="00274299">
            <w:r>
              <w:t>Епигастрален дистрес, гадене</w:t>
            </w:r>
          </w:p>
        </w:tc>
      </w:tr>
      <w:tr w:rsidR="00274299" w14:paraId="7FE5D14E" w14:textId="77777777" w:rsidTr="00982815">
        <w:tc>
          <w:tcPr>
            <w:tcW w:w="3116" w:type="dxa"/>
            <w:vMerge/>
          </w:tcPr>
          <w:p w14:paraId="4CC95E39" w14:textId="77777777" w:rsidR="00274299" w:rsidRDefault="00274299" w:rsidP="00274299"/>
        </w:tc>
        <w:tc>
          <w:tcPr>
            <w:tcW w:w="3117" w:type="dxa"/>
          </w:tcPr>
          <w:p w14:paraId="6430A020" w14:textId="246C801C" w:rsidR="00274299" w:rsidRDefault="00274299" w:rsidP="00274299">
            <w:r>
              <w:t>Чести</w:t>
            </w:r>
          </w:p>
        </w:tc>
        <w:tc>
          <w:tcPr>
            <w:tcW w:w="3117" w:type="dxa"/>
          </w:tcPr>
          <w:p w14:paraId="387BC949" w14:textId="717B777A" w:rsidR="00274299" w:rsidRDefault="00274299" w:rsidP="00274299">
            <w:r>
              <w:t>Абдоминална болка, диария*, повръщане*</w:t>
            </w:r>
          </w:p>
        </w:tc>
      </w:tr>
      <w:tr w:rsidR="00274299" w14:paraId="67367C66" w14:textId="77777777" w:rsidTr="00982815">
        <w:tc>
          <w:tcPr>
            <w:tcW w:w="3116" w:type="dxa"/>
            <w:vMerge/>
          </w:tcPr>
          <w:p w14:paraId="2E9B8ABC" w14:textId="77777777" w:rsidR="00274299" w:rsidRDefault="00274299" w:rsidP="00274299"/>
        </w:tc>
        <w:tc>
          <w:tcPr>
            <w:tcW w:w="3117" w:type="dxa"/>
          </w:tcPr>
          <w:p w14:paraId="20260945" w14:textId="28A38433" w:rsidR="00274299" w:rsidRDefault="00274299" w:rsidP="00274299">
            <w:r>
              <w:t>С неизвестна честота</w:t>
            </w:r>
          </w:p>
        </w:tc>
        <w:tc>
          <w:tcPr>
            <w:tcW w:w="3117" w:type="dxa"/>
          </w:tcPr>
          <w:p w14:paraId="6E3E4DAB" w14:textId="24135C31" w:rsidR="00274299" w:rsidRDefault="00274299" w:rsidP="00274299">
            <w:r>
              <w:t>Влошаване на улцерозен колит, панкреатит</w:t>
            </w:r>
          </w:p>
        </w:tc>
      </w:tr>
      <w:tr w:rsidR="00274299" w14:paraId="7C3F744D" w14:textId="77777777" w:rsidTr="00982815">
        <w:tc>
          <w:tcPr>
            <w:tcW w:w="3116" w:type="dxa"/>
            <w:vMerge w:val="restart"/>
          </w:tcPr>
          <w:p w14:paraId="304F48D2" w14:textId="19E053F6" w:rsidR="00274299" w:rsidRDefault="00274299" w:rsidP="00274299">
            <w:r>
              <w:t>Хепато-билиарни нарушения</w:t>
            </w:r>
          </w:p>
        </w:tc>
        <w:tc>
          <w:tcPr>
            <w:tcW w:w="3117" w:type="dxa"/>
          </w:tcPr>
          <w:p w14:paraId="6CA96C1D" w14:textId="15C4781B" w:rsidR="00274299" w:rsidRDefault="00274299" w:rsidP="00274299">
            <w:r>
              <w:t>Нечести</w:t>
            </w:r>
          </w:p>
        </w:tc>
        <w:tc>
          <w:tcPr>
            <w:tcW w:w="3117" w:type="dxa"/>
          </w:tcPr>
          <w:p w14:paraId="3AA58DD8" w14:textId="2D404F0B" w:rsidR="00274299" w:rsidRDefault="00274299" w:rsidP="00274299">
            <w:r>
              <w:t>Жълтеница*</w:t>
            </w:r>
            <w:r>
              <w:rPr>
                <w:u w:val="single"/>
                <w:vertAlign w:val="superscript"/>
              </w:rPr>
              <w:t>†</w:t>
            </w:r>
          </w:p>
        </w:tc>
      </w:tr>
      <w:tr w:rsidR="00274299" w14:paraId="35C513BC" w14:textId="77777777" w:rsidTr="00982815">
        <w:tc>
          <w:tcPr>
            <w:tcW w:w="3116" w:type="dxa"/>
            <w:vMerge/>
          </w:tcPr>
          <w:p w14:paraId="295DB033" w14:textId="77777777" w:rsidR="00274299" w:rsidRDefault="00274299" w:rsidP="00274299"/>
        </w:tc>
        <w:tc>
          <w:tcPr>
            <w:tcW w:w="3117" w:type="dxa"/>
          </w:tcPr>
          <w:p w14:paraId="0A3D62AE" w14:textId="17252B6C" w:rsidR="00274299" w:rsidRDefault="00274299" w:rsidP="00274299">
            <w:r>
              <w:t>С неизвестна честота</w:t>
            </w:r>
          </w:p>
        </w:tc>
        <w:tc>
          <w:tcPr>
            <w:tcW w:w="3117" w:type="dxa"/>
          </w:tcPr>
          <w:p w14:paraId="6FFF71FE" w14:textId="07FF7A39" w:rsidR="00274299" w:rsidRDefault="00274299" w:rsidP="00274299">
            <w:r>
              <w:t>Чернодробна недостатъчност*, фулминантен хепатит*, хепатит</w:t>
            </w:r>
            <w:r>
              <w:rPr>
                <w:u w:val="single"/>
                <w:vertAlign w:val="superscript"/>
              </w:rPr>
              <w:t>†</w:t>
            </w:r>
            <w:r>
              <w:t>**, холестатичен хепатит*, холестаза*</w:t>
            </w:r>
          </w:p>
        </w:tc>
      </w:tr>
      <w:tr w:rsidR="00274299" w14:paraId="56FC679B" w14:textId="77777777" w:rsidTr="00982815">
        <w:tc>
          <w:tcPr>
            <w:tcW w:w="3116" w:type="dxa"/>
            <w:vMerge w:val="restart"/>
          </w:tcPr>
          <w:p w14:paraId="6492F3E1" w14:textId="4E01BCA3" w:rsidR="00274299" w:rsidRDefault="00274299" w:rsidP="00274299">
            <w:r>
              <w:t>Нарушения на кожата и подкожната тъкан</w:t>
            </w:r>
          </w:p>
        </w:tc>
        <w:tc>
          <w:tcPr>
            <w:tcW w:w="3117" w:type="dxa"/>
          </w:tcPr>
          <w:p w14:paraId="74A2DDBF" w14:textId="6F0081B8" w:rsidR="00274299" w:rsidRDefault="00274299" w:rsidP="00274299">
            <w:r>
              <w:t>Чести</w:t>
            </w:r>
          </w:p>
        </w:tc>
        <w:tc>
          <w:tcPr>
            <w:tcW w:w="3117" w:type="dxa"/>
          </w:tcPr>
          <w:p w14:paraId="2721CE84" w14:textId="017D65B6" w:rsidR="00274299" w:rsidRDefault="00274299" w:rsidP="00274299">
            <w:r>
              <w:t>Пурпура*</w:t>
            </w:r>
            <w:r>
              <w:rPr>
                <w:u w:val="single"/>
                <w:vertAlign w:val="superscript"/>
              </w:rPr>
              <w:t>†</w:t>
            </w:r>
            <w:r>
              <w:rPr>
                <w:vertAlign w:val="superscript"/>
              </w:rPr>
              <w:t>,</w:t>
            </w:r>
            <w:r>
              <w:t xml:space="preserve"> пруритус,</w:t>
            </w:r>
          </w:p>
        </w:tc>
      </w:tr>
      <w:tr w:rsidR="00274299" w14:paraId="07CF10BB" w14:textId="77777777" w:rsidTr="00982815">
        <w:tc>
          <w:tcPr>
            <w:tcW w:w="3116" w:type="dxa"/>
            <w:vMerge/>
          </w:tcPr>
          <w:p w14:paraId="2C1F945B" w14:textId="77777777" w:rsidR="00274299" w:rsidRDefault="00274299" w:rsidP="00274299"/>
        </w:tc>
        <w:tc>
          <w:tcPr>
            <w:tcW w:w="3117" w:type="dxa"/>
          </w:tcPr>
          <w:p w14:paraId="528B21E0" w14:textId="42B39FF4" w:rsidR="00274299" w:rsidRDefault="00274299" w:rsidP="00274299">
            <w:r>
              <w:t>Нечести</w:t>
            </w:r>
          </w:p>
        </w:tc>
        <w:tc>
          <w:tcPr>
            <w:tcW w:w="3117" w:type="dxa"/>
          </w:tcPr>
          <w:p w14:paraId="3E9F7EC5" w14:textId="000C2D43" w:rsidR="00274299" w:rsidRDefault="00274299" w:rsidP="00274299">
            <w:r>
              <w:t>Алопеция, уртикария</w:t>
            </w:r>
          </w:p>
        </w:tc>
      </w:tr>
      <w:tr w:rsidR="00274299" w14:paraId="54167EC3" w14:textId="77777777" w:rsidTr="00982815">
        <w:tc>
          <w:tcPr>
            <w:tcW w:w="3116" w:type="dxa"/>
            <w:vMerge/>
          </w:tcPr>
          <w:p w14:paraId="2DC17C26" w14:textId="77777777" w:rsidR="00274299" w:rsidRDefault="00274299" w:rsidP="00274299"/>
        </w:tc>
        <w:tc>
          <w:tcPr>
            <w:tcW w:w="3117" w:type="dxa"/>
          </w:tcPr>
          <w:p w14:paraId="72C489B4" w14:textId="6E310534" w:rsidR="00274299" w:rsidRDefault="00274299" w:rsidP="00274299">
            <w:r>
              <w:t>С неизвестна честота</w:t>
            </w:r>
          </w:p>
        </w:tc>
        <w:tc>
          <w:tcPr>
            <w:tcW w:w="3117" w:type="dxa"/>
          </w:tcPr>
          <w:p w14:paraId="78E3BEAA" w14:textId="69A19FFD" w:rsidR="00274299" w:rsidRDefault="00274299" w:rsidP="00274299">
            <w:r>
              <w:t xml:space="preserve">Медикаментозен обрив с еозинофилия и системни симптоми </w:t>
            </w:r>
            <w:r>
              <w:rPr>
                <w:lang w:val="en-US"/>
              </w:rPr>
              <w:t>(DRESS)*</w:t>
            </w:r>
            <w:r>
              <w:rPr>
                <w:u w:val="single"/>
                <w:vertAlign w:val="superscript"/>
              </w:rPr>
              <w:t>†</w:t>
            </w:r>
            <w:r>
              <w:rPr>
                <w:lang w:val="en-US"/>
              </w:rPr>
              <w:t xml:space="preserve"> </w:t>
            </w:r>
            <w:r>
              <w:t xml:space="preserve">**, епидермална некролиза (синдром на </w:t>
            </w:r>
            <w:r>
              <w:rPr>
                <w:lang w:val="en-US"/>
              </w:rPr>
              <w:t xml:space="preserve">Lyell) </w:t>
            </w:r>
            <w:r>
              <w:rPr>
                <w:u w:val="single"/>
                <w:vertAlign w:val="superscript"/>
              </w:rPr>
              <w:t>†</w:t>
            </w:r>
            <w:r>
              <w:t xml:space="preserve">**, синдром на </w:t>
            </w:r>
            <w:r>
              <w:rPr>
                <w:lang w:val="en-US"/>
              </w:rPr>
              <w:t>Stevens Johnson</w:t>
            </w:r>
            <w:r>
              <w:rPr>
                <w:u w:val="single"/>
                <w:vertAlign w:val="superscript"/>
              </w:rPr>
              <w:t>†</w:t>
            </w:r>
            <w:r>
              <w:rPr>
                <w:lang w:val="en-US"/>
              </w:rPr>
              <w:t>**,</w:t>
            </w:r>
            <w:r>
              <w:t>, екзантема, ексфолиативен дерматит</w:t>
            </w:r>
            <w:r>
              <w:rPr>
                <w:u w:val="single"/>
                <w:vertAlign w:val="superscript"/>
              </w:rPr>
              <w:t>†</w:t>
            </w:r>
            <w:r>
              <w:t>**, ангиоедем*, токсична пустулодерма, лихен планус, фоточувствителност, еритема</w:t>
            </w:r>
          </w:p>
        </w:tc>
      </w:tr>
      <w:tr w:rsidR="00274299" w14:paraId="77335A92" w14:textId="77777777" w:rsidTr="00982815">
        <w:tc>
          <w:tcPr>
            <w:tcW w:w="3116" w:type="dxa"/>
            <w:vMerge w:val="restart"/>
          </w:tcPr>
          <w:p w14:paraId="7E09D42E" w14:textId="33AEA2DD" w:rsidR="00274299" w:rsidRDefault="00274299" w:rsidP="00274299">
            <w:r>
              <w:t>Нарушения на мускулно- скелетната система и съединителната тъкан</w:t>
            </w:r>
          </w:p>
        </w:tc>
        <w:tc>
          <w:tcPr>
            <w:tcW w:w="3117" w:type="dxa"/>
          </w:tcPr>
          <w:p w14:paraId="5A1DE4A4" w14:textId="78839D60" w:rsidR="00274299" w:rsidRDefault="00274299" w:rsidP="00274299">
            <w:r>
              <w:t>Чести</w:t>
            </w:r>
          </w:p>
        </w:tc>
        <w:tc>
          <w:tcPr>
            <w:tcW w:w="3117" w:type="dxa"/>
          </w:tcPr>
          <w:p w14:paraId="47D95233" w14:textId="6C395E5D" w:rsidR="00274299" w:rsidRDefault="00274299" w:rsidP="00274299">
            <w:r>
              <w:t>Артралгия</w:t>
            </w:r>
          </w:p>
        </w:tc>
      </w:tr>
      <w:tr w:rsidR="00274299" w14:paraId="57030DFF" w14:textId="77777777" w:rsidTr="00982815">
        <w:tc>
          <w:tcPr>
            <w:tcW w:w="3116" w:type="dxa"/>
            <w:vMerge/>
          </w:tcPr>
          <w:p w14:paraId="08269066" w14:textId="77777777" w:rsidR="00274299" w:rsidRDefault="00274299" w:rsidP="00274299"/>
        </w:tc>
        <w:tc>
          <w:tcPr>
            <w:tcW w:w="3117" w:type="dxa"/>
          </w:tcPr>
          <w:p w14:paraId="4A7E482F" w14:textId="6FE6049A" w:rsidR="00274299" w:rsidRDefault="00274299" w:rsidP="00274299">
            <w:r>
              <w:t>С неизвестна честота</w:t>
            </w:r>
          </w:p>
        </w:tc>
        <w:tc>
          <w:tcPr>
            <w:tcW w:w="3117" w:type="dxa"/>
          </w:tcPr>
          <w:p w14:paraId="69A41694" w14:textId="664B7AA9" w:rsidR="00274299" w:rsidRDefault="00274299" w:rsidP="00274299">
            <w:r>
              <w:t xml:space="preserve">Системен лупус еритематодес, синдром на </w:t>
            </w:r>
            <w:proofErr w:type="spellStart"/>
            <w:r>
              <w:rPr>
                <w:lang w:val="en-US"/>
              </w:rPr>
              <w:t>Sjogren</w:t>
            </w:r>
            <w:proofErr w:type="spellEnd"/>
            <w:r>
              <w:rPr>
                <w:lang w:val="en-US"/>
              </w:rPr>
              <w:t>,</w:t>
            </w:r>
          </w:p>
        </w:tc>
      </w:tr>
      <w:tr w:rsidR="00274299" w14:paraId="504B7891" w14:textId="77777777" w:rsidTr="00982815">
        <w:tc>
          <w:tcPr>
            <w:tcW w:w="3116" w:type="dxa"/>
            <w:vMerge w:val="restart"/>
          </w:tcPr>
          <w:p w14:paraId="2B3CCE7F" w14:textId="4DAAD678" w:rsidR="00274299" w:rsidRDefault="00274299" w:rsidP="00274299">
            <w:r>
              <w:t>Нарушения на бъбреците и пикочните пътища</w:t>
            </w:r>
          </w:p>
        </w:tc>
        <w:tc>
          <w:tcPr>
            <w:tcW w:w="3117" w:type="dxa"/>
          </w:tcPr>
          <w:p w14:paraId="56CAB654" w14:textId="1D2B0080" w:rsidR="00274299" w:rsidRDefault="00274299" w:rsidP="00274299">
            <w:r>
              <w:t>Чести</w:t>
            </w:r>
          </w:p>
        </w:tc>
        <w:tc>
          <w:tcPr>
            <w:tcW w:w="3117" w:type="dxa"/>
          </w:tcPr>
          <w:p w14:paraId="39C18657" w14:textId="15BEFBD4" w:rsidR="00274299" w:rsidRDefault="00274299" w:rsidP="00274299">
            <w:r>
              <w:t>Протеинурия</w:t>
            </w:r>
          </w:p>
        </w:tc>
      </w:tr>
      <w:tr w:rsidR="00274299" w14:paraId="14367C23" w14:textId="77777777" w:rsidTr="00982815">
        <w:tc>
          <w:tcPr>
            <w:tcW w:w="3116" w:type="dxa"/>
            <w:vMerge/>
          </w:tcPr>
          <w:p w14:paraId="7A5D3F05" w14:textId="77777777" w:rsidR="00274299" w:rsidRDefault="00274299" w:rsidP="00274299"/>
        </w:tc>
        <w:tc>
          <w:tcPr>
            <w:tcW w:w="3117" w:type="dxa"/>
          </w:tcPr>
          <w:p w14:paraId="664795AE" w14:textId="5ACFB8E0" w:rsidR="00274299" w:rsidRDefault="00274299" w:rsidP="00274299">
            <w:r>
              <w:t>С неизвестна честота</w:t>
            </w:r>
          </w:p>
        </w:tc>
        <w:tc>
          <w:tcPr>
            <w:tcW w:w="3117" w:type="dxa"/>
          </w:tcPr>
          <w:p w14:paraId="63461F95" w14:textId="6DF44070" w:rsidR="00274299" w:rsidRDefault="00274299" w:rsidP="00274299">
            <w:r>
              <w:t>Нефротичен синдром, интерстициален нефрит, нефролитиаза*, хематурия, кристалурия</w:t>
            </w:r>
            <w:r>
              <w:rPr>
                <w:u w:val="single"/>
                <w:vertAlign w:val="superscript"/>
              </w:rPr>
              <w:t>†</w:t>
            </w:r>
            <w:r>
              <w:t>**</w:t>
            </w:r>
          </w:p>
        </w:tc>
      </w:tr>
      <w:tr w:rsidR="00274299" w14:paraId="3ED7AB26" w14:textId="77777777" w:rsidTr="00982815">
        <w:tc>
          <w:tcPr>
            <w:tcW w:w="3116" w:type="dxa"/>
          </w:tcPr>
          <w:p w14:paraId="0944F880" w14:textId="2DF29FCC" w:rsidR="00274299" w:rsidRDefault="00274299" w:rsidP="00274299">
            <w:r>
              <w:t>Нарушения възпроизводителната система и гърдата</w:t>
            </w:r>
          </w:p>
        </w:tc>
        <w:tc>
          <w:tcPr>
            <w:tcW w:w="3117" w:type="dxa"/>
          </w:tcPr>
          <w:p w14:paraId="35FDF94D" w14:textId="4E590B70" w:rsidR="00274299" w:rsidRDefault="00274299" w:rsidP="00274299">
            <w:r>
              <w:t>С неизвестна честота</w:t>
            </w:r>
          </w:p>
        </w:tc>
        <w:tc>
          <w:tcPr>
            <w:tcW w:w="3117" w:type="dxa"/>
          </w:tcPr>
          <w:p w14:paraId="6B51DEA7" w14:textId="4918A02D" w:rsidR="00274299" w:rsidRDefault="00274299" w:rsidP="00274299">
            <w:r>
              <w:t>Обратима олигоспермия</w:t>
            </w:r>
            <w:r>
              <w:rPr>
                <w:vertAlign w:val="superscript"/>
              </w:rPr>
              <w:t>7</w:t>
            </w:r>
            <w:r>
              <w:t>**</w:t>
            </w:r>
          </w:p>
        </w:tc>
      </w:tr>
      <w:tr w:rsidR="00274299" w14:paraId="0FE89004" w14:textId="77777777" w:rsidTr="00982815">
        <w:tc>
          <w:tcPr>
            <w:tcW w:w="3116" w:type="dxa"/>
            <w:vMerge w:val="restart"/>
          </w:tcPr>
          <w:p w14:paraId="72CD9BA8" w14:textId="4FE925A8" w:rsidR="00274299" w:rsidRDefault="00274299" w:rsidP="00274299">
            <w:r>
              <w:t>Общи нарушения и ефекти на мястото на приложение</w:t>
            </w:r>
          </w:p>
        </w:tc>
        <w:tc>
          <w:tcPr>
            <w:tcW w:w="3117" w:type="dxa"/>
          </w:tcPr>
          <w:p w14:paraId="54D9677A" w14:textId="50C5CC0B" w:rsidR="00274299" w:rsidRDefault="00274299" w:rsidP="00274299">
            <w:r>
              <w:t>Чести</w:t>
            </w:r>
          </w:p>
        </w:tc>
        <w:tc>
          <w:tcPr>
            <w:tcW w:w="3117" w:type="dxa"/>
          </w:tcPr>
          <w:p w14:paraId="33639F71" w14:textId="4F3198D6" w:rsidR="00274299" w:rsidRDefault="00274299" w:rsidP="00274299">
            <w:r>
              <w:t>Повишена температура</w:t>
            </w:r>
            <w:r>
              <w:rPr>
                <w:u w:val="single"/>
                <w:vertAlign w:val="superscript"/>
              </w:rPr>
              <w:t>†</w:t>
            </w:r>
          </w:p>
        </w:tc>
      </w:tr>
      <w:tr w:rsidR="00274299" w14:paraId="68858522" w14:textId="77777777" w:rsidTr="00982815">
        <w:tc>
          <w:tcPr>
            <w:tcW w:w="3116" w:type="dxa"/>
            <w:vMerge/>
          </w:tcPr>
          <w:p w14:paraId="67E99463" w14:textId="77777777" w:rsidR="00274299" w:rsidRDefault="00274299" w:rsidP="00274299"/>
        </w:tc>
        <w:tc>
          <w:tcPr>
            <w:tcW w:w="3117" w:type="dxa"/>
          </w:tcPr>
          <w:p w14:paraId="06EE76E1" w14:textId="3CC13796" w:rsidR="00274299" w:rsidRDefault="00274299" w:rsidP="00274299">
            <w:r>
              <w:t>Нечести</w:t>
            </w:r>
          </w:p>
        </w:tc>
        <w:tc>
          <w:tcPr>
            <w:tcW w:w="3117" w:type="dxa"/>
          </w:tcPr>
          <w:p w14:paraId="05535236" w14:textId="5B7E5A45" w:rsidR="00274299" w:rsidRDefault="00274299" w:rsidP="00274299">
            <w:r>
              <w:t>Оток на лицето</w:t>
            </w:r>
          </w:p>
        </w:tc>
      </w:tr>
      <w:tr w:rsidR="00274299" w14:paraId="1F8C7DC6" w14:textId="77777777" w:rsidTr="00982815">
        <w:tc>
          <w:tcPr>
            <w:tcW w:w="3116" w:type="dxa"/>
            <w:vMerge/>
          </w:tcPr>
          <w:p w14:paraId="655146EF" w14:textId="77777777" w:rsidR="00274299" w:rsidRDefault="00274299" w:rsidP="00274299"/>
        </w:tc>
        <w:tc>
          <w:tcPr>
            <w:tcW w:w="3117" w:type="dxa"/>
          </w:tcPr>
          <w:p w14:paraId="7A1B3A01" w14:textId="1959EEAC" w:rsidR="00274299" w:rsidRDefault="00274299" w:rsidP="00274299">
            <w:r>
              <w:t>С неизвестна честота</w:t>
            </w:r>
          </w:p>
        </w:tc>
        <w:tc>
          <w:tcPr>
            <w:tcW w:w="3117" w:type="dxa"/>
          </w:tcPr>
          <w:p w14:paraId="018D29E2" w14:textId="2A25FBA7" w:rsidR="00274299" w:rsidRDefault="00274299" w:rsidP="00274299">
            <w:r>
              <w:t>Жълто оцветяване на кожата и телесните течности*</w:t>
            </w:r>
          </w:p>
        </w:tc>
      </w:tr>
      <w:tr w:rsidR="00274299" w14:paraId="7DC43AF8" w14:textId="77777777" w:rsidTr="00982815">
        <w:tc>
          <w:tcPr>
            <w:tcW w:w="3116" w:type="dxa"/>
            <w:vMerge w:val="restart"/>
          </w:tcPr>
          <w:p w14:paraId="6BC1D105" w14:textId="3E5681FC" w:rsidR="00274299" w:rsidRDefault="00274299" w:rsidP="00274299">
            <w:r>
              <w:t>Изследвания</w:t>
            </w:r>
          </w:p>
        </w:tc>
        <w:tc>
          <w:tcPr>
            <w:tcW w:w="3117" w:type="dxa"/>
          </w:tcPr>
          <w:p w14:paraId="057CAC16" w14:textId="0E33EDDE" w:rsidR="00274299" w:rsidRDefault="00274299" w:rsidP="00274299">
            <w:r>
              <w:t>Нечести</w:t>
            </w:r>
          </w:p>
        </w:tc>
        <w:tc>
          <w:tcPr>
            <w:tcW w:w="3117" w:type="dxa"/>
          </w:tcPr>
          <w:p w14:paraId="1AE27C38" w14:textId="793919F6" w:rsidR="00274299" w:rsidRDefault="00274299" w:rsidP="00274299">
            <w:r>
              <w:t>Увеличение на чернодробните ензими</w:t>
            </w:r>
          </w:p>
        </w:tc>
      </w:tr>
      <w:tr w:rsidR="00274299" w14:paraId="398C49ED" w14:textId="77777777" w:rsidTr="00982815">
        <w:tc>
          <w:tcPr>
            <w:tcW w:w="3116" w:type="dxa"/>
            <w:vMerge/>
          </w:tcPr>
          <w:p w14:paraId="6C1738FF" w14:textId="77777777" w:rsidR="00274299" w:rsidRDefault="00274299" w:rsidP="00274299"/>
        </w:tc>
        <w:tc>
          <w:tcPr>
            <w:tcW w:w="3117" w:type="dxa"/>
          </w:tcPr>
          <w:p w14:paraId="51F2870C" w14:textId="1EA5FB0A" w:rsidR="00274299" w:rsidRDefault="00274299" w:rsidP="00274299">
            <w:r>
              <w:t>С неизвестна честота</w:t>
            </w:r>
          </w:p>
        </w:tc>
        <w:tc>
          <w:tcPr>
            <w:tcW w:w="3117" w:type="dxa"/>
          </w:tcPr>
          <w:p w14:paraId="6033AD4D" w14:textId="609C6E18" w:rsidR="00274299" w:rsidRDefault="00274299" w:rsidP="00274299">
            <w:r>
              <w:t>Образуване на авто-антитела</w:t>
            </w:r>
          </w:p>
        </w:tc>
      </w:tr>
      <w:tr w:rsidR="00274299" w14:paraId="123CDE16" w14:textId="77777777" w:rsidTr="00A60183">
        <w:tc>
          <w:tcPr>
            <w:tcW w:w="9350" w:type="dxa"/>
            <w:gridSpan w:val="3"/>
          </w:tcPr>
          <w:p w14:paraId="43E7798A" w14:textId="203B20B4" w:rsidR="00274299" w:rsidRPr="00274299" w:rsidRDefault="00274299" w:rsidP="00274299">
            <w:pPr>
              <w:spacing w:line="240" w:lineRule="auto"/>
              <w:rPr>
                <w:rFonts w:eastAsia="Times New Roman" w:cs="Arial"/>
                <w:color w:val="000000"/>
                <w:lang w:eastAsia="bg-BG"/>
              </w:rPr>
            </w:pPr>
            <w:r w:rsidRPr="00D55828">
              <w:rPr>
                <w:rFonts w:eastAsia="Times New Roman" w:cs="Arial"/>
                <w:color w:val="000000"/>
                <w:lang w:val="en-US" w:eastAsia="bg-BG"/>
              </w:rPr>
              <w:t>*</w:t>
            </w:r>
            <w:r w:rsidRPr="00274299">
              <w:rPr>
                <w:rFonts w:eastAsia="Times New Roman" w:cs="Arial"/>
                <w:color w:val="000000"/>
                <w:lang w:eastAsia="bg-BG"/>
              </w:rPr>
              <w:t>Нежелани лекарствени реакции, установени в постмаркетинговия период</w:t>
            </w:r>
          </w:p>
          <w:p w14:paraId="2607BF26" w14:textId="4E07E724" w:rsidR="00274299" w:rsidRDefault="00274299" w:rsidP="00274299">
            <w:r w:rsidRPr="00D55828">
              <w:rPr>
                <w:rFonts w:eastAsia="Times New Roman" w:cs="Arial"/>
                <w:color w:val="000000"/>
                <w:lang w:eastAsia="bg-BG"/>
              </w:rPr>
              <w:t>*</w:t>
            </w:r>
            <w:r w:rsidRPr="00D55828">
              <w:rPr>
                <w:rFonts w:eastAsia="Times New Roman" w:cs="Arial"/>
                <w:color w:val="000000"/>
                <w:lang w:val="en-US" w:eastAsia="bg-BG"/>
              </w:rPr>
              <w:t xml:space="preserve">* </w:t>
            </w:r>
            <w:r w:rsidRPr="00D55828">
              <w:rPr>
                <w:rFonts w:cs="Arial"/>
                <w:vertAlign w:val="superscript"/>
              </w:rPr>
              <w:t>†</w:t>
            </w:r>
            <w:r w:rsidRPr="00D55828">
              <w:rPr>
                <w:rFonts w:eastAsia="Times New Roman" w:cs="Arial"/>
                <w:color w:val="000000"/>
                <w:lang w:eastAsia="bg-BG"/>
              </w:rPr>
              <w:t>Вж. точка 4.4. Специални предупреждения и предпазни мерки при употреба</w:t>
            </w:r>
          </w:p>
        </w:tc>
      </w:tr>
    </w:tbl>
    <w:p w14:paraId="6C6466F0" w14:textId="4420BE32" w:rsidR="00982815" w:rsidRDefault="00982815" w:rsidP="00982815"/>
    <w:p w14:paraId="372D5397" w14:textId="4940068A" w:rsidR="00982815" w:rsidRPr="00D55828" w:rsidRDefault="00982815" w:rsidP="00982815">
      <w:pPr>
        <w:rPr>
          <w:rFonts w:cs="Arial"/>
          <w:b/>
          <w:bCs/>
          <w:u w:val="single"/>
        </w:rPr>
      </w:pPr>
      <w:r w:rsidRPr="00D55828">
        <w:rPr>
          <w:rFonts w:cs="Arial"/>
          <w:b/>
          <w:bCs/>
          <w:u w:val="single"/>
        </w:rPr>
        <w:t>Честота на нежеланите лекарствени реакции в клиничните проучвания</w:t>
      </w:r>
    </w:p>
    <w:p w14:paraId="3847C376" w14:textId="34224BDA" w:rsidR="00982815" w:rsidRDefault="00982815" w:rsidP="00982815">
      <w:pPr>
        <w:rPr>
          <w:b/>
          <w:bCs/>
          <w:sz w:val="44"/>
          <w:szCs w:val="44"/>
          <w:u w:val="single"/>
        </w:rPr>
      </w:pPr>
    </w:p>
    <w:tbl>
      <w:tblPr>
        <w:tblStyle w:val="TableGrid"/>
        <w:tblW w:w="0" w:type="auto"/>
        <w:tblLook w:val="04A0" w:firstRow="1" w:lastRow="0" w:firstColumn="1" w:lastColumn="0" w:noHBand="0" w:noVBand="1"/>
      </w:tblPr>
      <w:tblGrid>
        <w:gridCol w:w="3116"/>
        <w:gridCol w:w="3117"/>
        <w:gridCol w:w="3117"/>
      </w:tblGrid>
      <w:tr w:rsidR="00274299" w14:paraId="4AD26F9A" w14:textId="77777777" w:rsidTr="00982815">
        <w:tc>
          <w:tcPr>
            <w:tcW w:w="3116" w:type="dxa"/>
          </w:tcPr>
          <w:p w14:paraId="28A99CED" w14:textId="4C9D8A0C" w:rsidR="00274299" w:rsidRDefault="00274299" w:rsidP="00274299">
            <w:r>
              <w:rPr>
                <w:b/>
                <w:bCs/>
              </w:rPr>
              <w:t>Системо-органен клас</w:t>
            </w:r>
          </w:p>
        </w:tc>
        <w:tc>
          <w:tcPr>
            <w:tcW w:w="3117" w:type="dxa"/>
          </w:tcPr>
          <w:p w14:paraId="0DF5F9FB" w14:textId="52C5DB74" w:rsidR="00274299" w:rsidRDefault="00274299" w:rsidP="00274299">
            <w:r>
              <w:rPr>
                <w:b/>
                <w:bCs/>
              </w:rPr>
              <w:t>Нежелана реакция</w:t>
            </w:r>
          </w:p>
        </w:tc>
        <w:tc>
          <w:tcPr>
            <w:tcW w:w="3117" w:type="dxa"/>
          </w:tcPr>
          <w:p w14:paraId="3083C968" w14:textId="0B80DCF7" w:rsidR="00274299" w:rsidRDefault="00274299" w:rsidP="00274299">
            <w:r>
              <w:rPr>
                <w:b/>
                <w:bCs/>
              </w:rPr>
              <w:t>Честота (%)</w:t>
            </w:r>
          </w:p>
        </w:tc>
      </w:tr>
      <w:tr w:rsidR="00274299" w14:paraId="72591FC8" w14:textId="77777777" w:rsidTr="00E92B21">
        <w:tc>
          <w:tcPr>
            <w:tcW w:w="3116" w:type="dxa"/>
          </w:tcPr>
          <w:p w14:paraId="0610321A" w14:textId="69A9B1D1" w:rsidR="00274299" w:rsidRDefault="00274299" w:rsidP="00274299">
            <w:r>
              <w:t>Инфекции и инфестации</w:t>
            </w:r>
          </w:p>
        </w:tc>
        <w:tc>
          <w:tcPr>
            <w:tcW w:w="3117" w:type="dxa"/>
            <w:vAlign w:val="bottom"/>
          </w:tcPr>
          <w:p w14:paraId="365ECA0A" w14:textId="2E1780B5" w:rsidR="00274299" w:rsidRDefault="00274299" w:rsidP="00274299">
            <w:r>
              <w:t>асептичен менингит псевдомембранозен колит</w:t>
            </w:r>
          </w:p>
        </w:tc>
        <w:tc>
          <w:tcPr>
            <w:tcW w:w="3117" w:type="dxa"/>
            <w:vAlign w:val="bottom"/>
          </w:tcPr>
          <w:p w14:paraId="56B17B2A" w14:textId="77777777" w:rsidR="00274299" w:rsidRDefault="00274299" w:rsidP="00274299">
            <w:r>
              <w:t>С неизвестна честота</w:t>
            </w:r>
          </w:p>
          <w:p w14:paraId="6D79BD1E" w14:textId="71CEEB2C" w:rsidR="00274299" w:rsidRDefault="00274299" w:rsidP="00274299">
            <w:r>
              <w:t>С неизвестна честота</w:t>
            </w:r>
          </w:p>
        </w:tc>
      </w:tr>
      <w:tr w:rsidR="00274299" w14:paraId="690989DB" w14:textId="77777777" w:rsidTr="00E92B21">
        <w:tc>
          <w:tcPr>
            <w:tcW w:w="3116" w:type="dxa"/>
            <w:vMerge w:val="restart"/>
            <w:vAlign w:val="bottom"/>
          </w:tcPr>
          <w:p w14:paraId="053F44F8" w14:textId="77777777" w:rsidR="00274299" w:rsidRDefault="00274299" w:rsidP="00274299">
            <w:r>
              <w:t>Нарушения на кръвта и</w:t>
            </w:r>
          </w:p>
          <w:p w14:paraId="60252D78" w14:textId="674589DA" w:rsidR="00274299" w:rsidRDefault="00274299" w:rsidP="00274299">
            <w:r>
              <w:t>лимфната система</w:t>
            </w:r>
          </w:p>
        </w:tc>
        <w:tc>
          <w:tcPr>
            <w:tcW w:w="3117" w:type="dxa"/>
            <w:vAlign w:val="bottom"/>
          </w:tcPr>
          <w:p w14:paraId="0D4E5181" w14:textId="4C2DEFFA" w:rsidR="00274299" w:rsidRDefault="00274299" w:rsidP="00274299">
            <w:r>
              <w:t>левкопения</w:t>
            </w:r>
          </w:p>
        </w:tc>
        <w:tc>
          <w:tcPr>
            <w:tcW w:w="3117" w:type="dxa"/>
            <w:vAlign w:val="bottom"/>
          </w:tcPr>
          <w:p w14:paraId="10996D7A" w14:textId="195C2649" w:rsidR="00274299" w:rsidRDefault="00274299" w:rsidP="00274299">
            <w:r>
              <w:t>9/298 (3,0%)</w:t>
            </w:r>
            <w:r>
              <w:tab/>
            </w:r>
            <w:r>
              <w:rPr>
                <w:vertAlign w:val="superscript"/>
                <w:lang w:val="en-US"/>
              </w:rPr>
              <w:t>h</w:t>
            </w:r>
          </w:p>
        </w:tc>
      </w:tr>
      <w:tr w:rsidR="00274299" w14:paraId="13CA0986" w14:textId="77777777" w:rsidTr="00E92B21">
        <w:tc>
          <w:tcPr>
            <w:tcW w:w="3116" w:type="dxa"/>
            <w:vMerge/>
            <w:vAlign w:val="bottom"/>
          </w:tcPr>
          <w:p w14:paraId="2DFA7AAA" w14:textId="02D6CB3B" w:rsidR="00274299" w:rsidRDefault="00274299" w:rsidP="00274299"/>
        </w:tc>
        <w:tc>
          <w:tcPr>
            <w:tcW w:w="3117" w:type="dxa"/>
            <w:vAlign w:val="bottom"/>
          </w:tcPr>
          <w:p w14:paraId="7D409901" w14:textId="4137CBBD" w:rsidR="00274299" w:rsidRDefault="00274299" w:rsidP="00274299">
            <w:r>
              <w:t>тромбоцитопения</w:t>
            </w:r>
            <w:r>
              <w:rPr>
                <w:u w:val="single"/>
                <w:vertAlign w:val="superscript"/>
              </w:rPr>
              <w:t>†</w:t>
            </w:r>
          </w:p>
        </w:tc>
        <w:tc>
          <w:tcPr>
            <w:tcW w:w="3117" w:type="dxa"/>
            <w:vAlign w:val="bottom"/>
          </w:tcPr>
          <w:p w14:paraId="323AC5FB" w14:textId="148FED00" w:rsidR="00274299" w:rsidRDefault="00274299" w:rsidP="00274299">
            <w:r>
              <w:t>2/298 (0,7%)</w:t>
            </w:r>
          </w:p>
        </w:tc>
      </w:tr>
      <w:tr w:rsidR="00274299" w14:paraId="29D018FA" w14:textId="77777777" w:rsidTr="00E92B21">
        <w:tc>
          <w:tcPr>
            <w:tcW w:w="3116" w:type="dxa"/>
            <w:vMerge/>
          </w:tcPr>
          <w:p w14:paraId="48DC1D44" w14:textId="77777777" w:rsidR="00274299" w:rsidRDefault="00274299" w:rsidP="00274299"/>
        </w:tc>
        <w:tc>
          <w:tcPr>
            <w:tcW w:w="3117" w:type="dxa"/>
            <w:vAlign w:val="bottom"/>
          </w:tcPr>
          <w:p w14:paraId="3F5B8D66" w14:textId="7083DC95" w:rsidR="00274299" w:rsidRDefault="00274299" w:rsidP="00274299">
            <w:r>
              <w:t>панцитопения, агранулоцитоза, апластична анемия</w:t>
            </w:r>
          </w:p>
        </w:tc>
        <w:tc>
          <w:tcPr>
            <w:tcW w:w="3117" w:type="dxa"/>
            <w:vAlign w:val="bottom"/>
          </w:tcPr>
          <w:p w14:paraId="0DB23A31" w14:textId="77777777" w:rsidR="00274299" w:rsidRDefault="00274299" w:rsidP="00274299">
            <w:r>
              <w:t>С неизвестна честота</w:t>
            </w:r>
          </w:p>
          <w:p w14:paraId="096F193C" w14:textId="77777777" w:rsidR="00274299" w:rsidRDefault="00274299" w:rsidP="00274299">
            <w:r>
              <w:t>С неизвестна честота</w:t>
            </w:r>
          </w:p>
          <w:p w14:paraId="0627C574" w14:textId="77777777" w:rsidR="00274299" w:rsidRDefault="00274299" w:rsidP="00274299"/>
          <w:p w14:paraId="364C57C6" w14:textId="3ECE9E86" w:rsidR="00274299" w:rsidRDefault="00274299" w:rsidP="00274299">
            <w:r>
              <w:t>С неизвестна честота</w:t>
            </w:r>
          </w:p>
        </w:tc>
      </w:tr>
      <w:tr w:rsidR="00274299" w14:paraId="4236D428" w14:textId="77777777" w:rsidTr="0046538E">
        <w:tc>
          <w:tcPr>
            <w:tcW w:w="3116" w:type="dxa"/>
            <w:vMerge/>
          </w:tcPr>
          <w:p w14:paraId="2F5B04B1" w14:textId="77777777" w:rsidR="00274299" w:rsidRPr="00274299" w:rsidRDefault="00274299" w:rsidP="00274299"/>
        </w:tc>
        <w:tc>
          <w:tcPr>
            <w:tcW w:w="3117" w:type="dxa"/>
            <w:vAlign w:val="bottom"/>
          </w:tcPr>
          <w:p w14:paraId="4095E79F" w14:textId="77777777" w:rsidR="00274299" w:rsidRPr="00274299" w:rsidRDefault="00274299" w:rsidP="00274299">
            <w:r w:rsidRPr="00274299">
              <w:t>хемолитична анемия</w:t>
            </w:r>
          </w:p>
          <w:p w14:paraId="51CFB3EB" w14:textId="51E39381" w:rsidR="00274299" w:rsidRPr="00274299" w:rsidRDefault="00274299" w:rsidP="00274299">
            <w:r w:rsidRPr="00274299">
              <w:t>макроцитоза мегалобластна анемия псевдомононуклеоза*</w:t>
            </w:r>
            <w:r w:rsidRPr="00274299">
              <w:rPr>
                <w:u w:val="single"/>
                <w:vertAlign w:val="superscript"/>
              </w:rPr>
              <w:t>†</w:t>
            </w:r>
          </w:p>
        </w:tc>
        <w:tc>
          <w:tcPr>
            <w:tcW w:w="3117" w:type="dxa"/>
            <w:vAlign w:val="bottom"/>
          </w:tcPr>
          <w:p w14:paraId="147CE05E" w14:textId="77777777" w:rsidR="00274299" w:rsidRDefault="00274299" w:rsidP="00274299">
            <w:r w:rsidRPr="00274299">
              <w:t xml:space="preserve">С неизвестна честота </w:t>
            </w:r>
          </w:p>
          <w:p w14:paraId="546F78D0" w14:textId="77777777" w:rsidR="00274299" w:rsidRDefault="00274299" w:rsidP="00274299">
            <w:r w:rsidRPr="00274299">
              <w:t xml:space="preserve">С неизвестна честота </w:t>
            </w:r>
          </w:p>
          <w:p w14:paraId="25AF9F28" w14:textId="77777777" w:rsidR="00274299" w:rsidRDefault="00274299" w:rsidP="00274299">
            <w:r w:rsidRPr="00274299">
              <w:t xml:space="preserve">С неизвестна честота </w:t>
            </w:r>
          </w:p>
          <w:p w14:paraId="2836325D" w14:textId="537AB647" w:rsidR="00274299" w:rsidRPr="00274299" w:rsidRDefault="00274299" w:rsidP="00274299">
            <w:r w:rsidRPr="00274299">
              <w:t>С неизвестна честота</w:t>
            </w:r>
          </w:p>
        </w:tc>
      </w:tr>
      <w:tr w:rsidR="00274299" w14:paraId="2F553D59" w14:textId="77777777" w:rsidTr="0046538E">
        <w:tc>
          <w:tcPr>
            <w:tcW w:w="3116" w:type="dxa"/>
            <w:vAlign w:val="bottom"/>
          </w:tcPr>
          <w:p w14:paraId="4C75C91D" w14:textId="3B62EF39" w:rsidR="00274299" w:rsidRPr="00274299" w:rsidRDefault="00274299" w:rsidP="00274299">
            <w:r w:rsidRPr="00274299">
              <w:t>Нарушения на имунната система</w:t>
            </w:r>
          </w:p>
        </w:tc>
        <w:tc>
          <w:tcPr>
            <w:tcW w:w="3117" w:type="dxa"/>
            <w:vAlign w:val="bottom"/>
          </w:tcPr>
          <w:p w14:paraId="1967C9EF" w14:textId="77777777" w:rsidR="00274299" w:rsidRDefault="00274299" w:rsidP="00274299">
            <w:r w:rsidRPr="00274299">
              <w:t xml:space="preserve">анафилаксия* </w:t>
            </w:r>
          </w:p>
          <w:p w14:paraId="5DB13B6B" w14:textId="5D798172" w:rsidR="00274299" w:rsidRPr="00274299" w:rsidRDefault="00274299" w:rsidP="00274299">
            <w:r w:rsidRPr="00274299">
              <w:t>серумна болест</w:t>
            </w:r>
          </w:p>
        </w:tc>
        <w:tc>
          <w:tcPr>
            <w:tcW w:w="3117" w:type="dxa"/>
            <w:vAlign w:val="bottom"/>
          </w:tcPr>
          <w:p w14:paraId="1B10A556" w14:textId="77777777" w:rsidR="00274299" w:rsidRPr="00274299" w:rsidRDefault="00274299" w:rsidP="00274299">
            <w:r w:rsidRPr="00274299">
              <w:t>С неизвестна честота</w:t>
            </w:r>
          </w:p>
          <w:p w14:paraId="7341688F" w14:textId="68A38DEF" w:rsidR="00274299" w:rsidRPr="00274299" w:rsidRDefault="00274299" w:rsidP="00274299">
            <w:r w:rsidRPr="00274299">
              <w:t>С неизвестна честота</w:t>
            </w:r>
          </w:p>
        </w:tc>
      </w:tr>
      <w:tr w:rsidR="00274299" w14:paraId="0DB208FC" w14:textId="77777777" w:rsidTr="009F73AB">
        <w:tc>
          <w:tcPr>
            <w:tcW w:w="3116" w:type="dxa"/>
            <w:vMerge w:val="restart"/>
            <w:vAlign w:val="bottom"/>
          </w:tcPr>
          <w:p w14:paraId="741F3B7F" w14:textId="395CCEF4" w:rsidR="00274299" w:rsidRDefault="00274299" w:rsidP="00274299">
            <w:r>
              <w:t>Нарушения на метаболизма и храненето</w:t>
            </w:r>
          </w:p>
        </w:tc>
        <w:tc>
          <w:tcPr>
            <w:tcW w:w="3117" w:type="dxa"/>
            <w:vAlign w:val="bottom"/>
          </w:tcPr>
          <w:p w14:paraId="6D3A71DE" w14:textId="749263CF" w:rsidR="00274299" w:rsidRDefault="00274299" w:rsidP="00274299">
            <w:r>
              <w:t>загуба на апетит</w:t>
            </w:r>
          </w:p>
        </w:tc>
        <w:tc>
          <w:tcPr>
            <w:tcW w:w="3117" w:type="dxa"/>
            <w:vAlign w:val="bottom"/>
          </w:tcPr>
          <w:p w14:paraId="762F3FDD" w14:textId="2F0BEC4B" w:rsidR="00274299" w:rsidRDefault="00274299" w:rsidP="00274299">
            <w:r>
              <w:t>Анорексия 9/298 (3,0%)</w:t>
            </w:r>
          </w:p>
        </w:tc>
      </w:tr>
      <w:tr w:rsidR="00274299" w14:paraId="2D8158DB" w14:textId="77777777" w:rsidTr="009F73AB">
        <w:tc>
          <w:tcPr>
            <w:tcW w:w="3116" w:type="dxa"/>
            <w:vMerge/>
            <w:vAlign w:val="bottom"/>
          </w:tcPr>
          <w:p w14:paraId="020F5D3A" w14:textId="77777777" w:rsidR="00274299" w:rsidRDefault="00274299" w:rsidP="00274299"/>
        </w:tc>
        <w:tc>
          <w:tcPr>
            <w:tcW w:w="3117" w:type="dxa"/>
            <w:vAlign w:val="bottom"/>
          </w:tcPr>
          <w:p w14:paraId="22783DF5" w14:textId="7774C8E4" w:rsidR="00274299" w:rsidRDefault="00274299" w:rsidP="00274299">
            <w:r>
              <w:t>фолатна недостатъчност*</w:t>
            </w:r>
            <w:r>
              <w:rPr>
                <w:u w:val="single"/>
                <w:vertAlign w:val="superscript"/>
              </w:rPr>
              <w:t>†</w:t>
            </w:r>
          </w:p>
        </w:tc>
        <w:tc>
          <w:tcPr>
            <w:tcW w:w="3117" w:type="dxa"/>
            <w:vAlign w:val="bottom"/>
          </w:tcPr>
          <w:p w14:paraId="79EDA935" w14:textId="564BD640" w:rsidR="00274299" w:rsidRDefault="00274299" w:rsidP="00274299">
            <w:r>
              <w:t>С неизвестна честота</w:t>
            </w:r>
          </w:p>
        </w:tc>
      </w:tr>
      <w:tr w:rsidR="00274299" w14:paraId="293C333B" w14:textId="77777777" w:rsidTr="009F73AB">
        <w:tc>
          <w:tcPr>
            <w:tcW w:w="3116" w:type="dxa"/>
            <w:vAlign w:val="bottom"/>
          </w:tcPr>
          <w:p w14:paraId="563A941C" w14:textId="387C3B16" w:rsidR="00274299" w:rsidRDefault="00274299" w:rsidP="00274299">
            <w:r>
              <w:t>Психични нарушения</w:t>
            </w:r>
          </w:p>
        </w:tc>
        <w:tc>
          <w:tcPr>
            <w:tcW w:w="3117" w:type="dxa"/>
            <w:vAlign w:val="bottom"/>
          </w:tcPr>
          <w:p w14:paraId="2050EC1C" w14:textId="3667462B" w:rsidR="00274299" w:rsidRDefault="00274299" w:rsidP="00274299">
            <w:r>
              <w:t>депресия</w:t>
            </w:r>
          </w:p>
        </w:tc>
        <w:tc>
          <w:tcPr>
            <w:tcW w:w="3117" w:type="dxa"/>
            <w:vAlign w:val="bottom"/>
          </w:tcPr>
          <w:p w14:paraId="5B7EC443" w14:textId="32FBAF32" w:rsidR="00274299" w:rsidRDefault="00274299" w:rsidP="00274299">
            <w:r>
              <w:t>1/298 (0,3%)</w:t>
            </w:r>
          </w:p>
        </w:tc>
      </w:tr>
      <w:tr w:rsidR="00274299" w14:paraId="3DAE4276" w14:textId="77777777" w:rsidTr="00EA6463">
        <w:tc>
          <w:tcPr>
            <w:tcW w:w="3116" w:type="dxa"/>
            <w:vMerge w:val="restart"/>
          </w:tcPr>
          <w:p w14:paraId="05861FB3" w14:textId="10F389AC" w:rsidR="00274299" w:rsidRDefault="00274299" w:rsidP="00274299">
            <w:r>
              <w:t>Нарушения на нервната система</w:t>
            </w:r>
          </w:p>
        </w:tc>
        <w:tc>
          <w:tcPr>
            <w:tcW w:w="3117" w:type="dxa"/>
          </w:tcPr>
          <w:p w14:paraId="057AD186" w14:textId="7C7CE741" w:rsidR="00274299" w:rsidRDefault="00274299" w:rsidP="00274299">
            <w:r>
              <w:t>главоболие замайване промени във вкуса</w:t>
            </w:r>
          </w:p>
        </w:tc>
        <w:tc>
          <w:tcPr>
            <w:tcW w:w="3117" w:type="dxa"/>
            <w:vAlign w:val="bottom"/>
          </w:tcPr>
          <w:p w14:paraId="5EC09D80" w14:textId="77777777" w:rsidR="00274299" w:rsidRDefault="00274299" w:rsidP="00274299">
            <w:r>
              <w:t>27/298 (9,1%)</w:t>
            </w:r>
          </w:p>
          <w:p w14:paraId="1E671F21" w14:textId="77777777" w:rsidR="00274299" w:rsidRDefault="00274299" w:rsidP="00274299">
            <w:r>
              <w:t>13/298 (4,4%)</w:t>
            </w:r>
          </w:p>
          <w:p w14:paraId="7521F07A" w14:textId="77777777" w:rsidR="00274299" w:rsidRDefault="00274299" w:rsidP="00274299">
            <w:r>
              <w:t>[Загуба на вкуса 4/298 (1,3%), Нарушения във вкуса 1/298</w:t>
            </w:r>
          </w:p>
          <w:p w14:paraId="53C4BDB2" w14:textId="32138111" w:rsidR="00274299" w:rsidRDefault="00274299" w:rsidP="00274299">
            <w:r>
              <w:t>(0,3%)]</w:t>
            </w:r>
          </w:p>
        </w:tc>
      </w:tr>
      <w:tr w:rsidR="00274299" w14:paraId="663AD65E" w14:textId="77777777" w:rsidTr="00EA6463">
        <w:tc>
          <w:tcPr>
            <w:tcW w:w="3116" w:type="dxa"/>
            <w:vMerge/>
          </w:tcPr>
          <w:p w14:paraId="613878D0" w14:textId="77777777" w:rsidR="00274299" w:rsidRDefault="00274299" w:rsidP="00274299"/>
        </w:tc>
        <w:tc>
          <w:tcPr>
            <w:tcW w:w="3117" w:type="dxa"/>
            <w:vAlign w:val="bottom"/>
          </w:tcPr>
          <w:p w14:paraId="4E7FBC7F" w14:textId="314B2FAF" w:rsidR="00274299" w:rsidRDefault="00274299" w:rsidP="00274299">
            <w:r>
              <w:t>енцефалопатия периферна невропатия нарушения на обонянието</w:t>
            </w:r>
          </w:p>
        </w:tc>
        <w:tc>
          <w:tcPr>
            <w:tcW w:w="3117" w:type="dxa"/>
            <w:vAlign w:val="bottom"/>
          </w:tcPr>
          <w:p w14:paraId="3E26C60B" w14:textId="77777777" w:rsidR="00D55828" w:rsidRDefault="00274299" w:rsidP="00274299">
            <w:r>
              <w:t xml:space="preserve">С неизвестна честота </w:t>
            </w:r>
          </w:p>
          <w:p w14:paraId="3B7A8CF8" w14:textId="77777777" w:rsidR="00D55828" w:rsidRDefault="00274299" w:rsidP="00274299">
            <w:r>
              <w:t xml:space="preserve">С неизвестна честота </w:t>
            </w:r>
          </w:p>
          <w:p w14:paraId="156F346C" w14:textId="7088643E" w:rsidR="00274299" w:rsidRDefault="00274299" w:rsidP="00274299">
            <w:r>
              <w:t>С неизвестна честота</w:t>
            </w:r>
          </w:p>
        </w:tc>
      </w:tr>
      <w:tr w:rsidR="00274299" w14:paraId="67595725" w14:textId="77777777" w:rsidTr="009F73AB">
        <w:tc>
          <w:tcPr>
            <w:tcW w:w="3116" w:type="dxa"/>
            <w:vAlign w:val="bottom"/>
          </w:tcPr>
          <w:p w14:paraId="7A3ECAC2" w14:textId="69F53451" w:rsidR="00274299" w:rsidRDefault="00274299" w:rsidP="00274299">
            <w:r>
              <w:t>Нарушения на ухото и лабиринта</w:t>
            </w:r>
          </w:p>
        </w:tc>
        <w:tc>
          <w:tcPr>
            <w:tcW w:w="3117" w:type="dxa"/>
          </w:tcPr>
          <w:p w14:paraId="55F562EB" w14:textId="0B6B673A" w:rsidR="00274299" w:rsidRDefault="00274299" w:rsidP="00274299">
            <w:r>
              <w:t>шум в ушите</w:t>
            </w:r>
          </w:p>
        </w:tc>
        <w:tc>
          <w:tcPr>
            <w:tcW w:w="3117" w:type="dxa"/>
          </w:tcPr>
          <w:p w14:paraId="41E0C7AF" w14:textId="3263D65E" w:rsidR="00274299" w:rsidRDefault="00274299" w:rsidP="00274299">
            <w:r>
              <w:t>9/298 (3,0%)</w:t>
            </w:r>
          </w:p>
        </w:tc>
      </w:tr>
      <w:tr w:rsidR="00274299" w14:paraId="64956E71" w14:textId="77777777" w:rsidTr="00EA6463">
        <w:tc>
          <w:tcPr>
            <w:tcW w:w="3116" w:type="dxa"/>
          </w:tcPr>
          <w:p w14:paraId="697106B9" w14:textId="7EE50766" w:rsidR="00274299" w:rsidRDefault="00274299" w:rsidP="00274299">
            <w:r>
              <w:t>Сърдечни нарушения</w:t>
            </w:r>
          </w:p>
        </w:tc>
        <w:tc>
          <w:tcPr>
            <w:tcW w:w="3117" w:type="dxa"/>
            <w:vAlign w:val="bottom"/>
          </w:tcPr>
          <w:p w14:paraId="301BD0B5" w14:textId="3B2393C3" w:rsidR="00274299" w:rsidRDefault="00274299" w:rsidP="00274299">
            <w:r>
              <w:t>миокардит*</w:t>
            </w:r>
            <w:r>
              <w:rPr>
                <w:u w:val="single"/>
                <w:vertAlign w:val="superscript"/>
              </w:rPr>
              <w:t>†</w:t>
            </w:r>
            <w:r>
              <w:rPr>
                <w:vertAlign w:val="superscript"/>
              </w:rPr>
              <w:t xml:space="preserve"> </w:t>
            </w:r>
            <w:r>
              <w:t>перикардит цианоза</w:t>
            </w:r>
          </w:p>
        </w:tc>
        <w:tc>
          <w:tcPr>
            <w:tcW w:w="3117" w:type="dxa"/>
            <w:vAlign w:val="bottom"/>
          </w:tcPr>
          <w:p w14:paraId="78230FFC" w14:textId="77777777" w:rsidR="00D55828" w:rsidRDefault="00274299" w:rsidP="00274299">
            <w:r>
              <w:t xml:space="preserve">С неизвестна честота </w:t>
            </w:r>
          </w:p>
          <w:p w14:paraId="696E94CB" w14:textId="77777777" w:rsidR="00D55828" w:rsidRDefault="00274299" w:rsidP="00274299">
            <w:r>
              <w:t xml:space="preserve">С неизвестна честота </w:t>
            </w:r>
          </w:p>
          <w:p w14:paraId="36228001" w14:textId="7429249D" w:rsidR="00274299" w:rsidRDefault="00274299" w:rsidP="00274299">
            <w:r>
              <w:t>С неизвестна честота</w:t>
            </w:r>
          </w:p>
        </w:tc>
      </w:tr>
      <w:tr w:rsidR="00274299" w14:paraId="428F82B3" w14:textId="77777777" w:rsidTr="009F73AB">
        <w:tc>
          <w:tcPr>
            <w:tcW w:w="3116" w:type="dxa"/>
            <w:vAlign w:val="bottom"/>
          </w:tcPr>
          <w:p w14:paraId="53BADB36" w14:textId="3359DD8D" w:rsidR="00274299" w:rsidRDefault="00274299" w:rsidP="00274299">
            <w:r>
              <w:t>Съдови нарушения</w:t>
            </w:r>
          </w:p>
        </w:tc>
        <w:tc>
          <w:tcPr>
            <w:tcW w:w="3117" w:type="dxa"/>
            <w:vAlign w:val="bottom"/>
          </w:tcPr>
          <w:p w14:paraId="4278919D" w14:textId="18CA2BCA" w:rsidR="00274299" w:rsidRDefault="00274299" w:rsidP="00274299">
            <w:r>
              <w:t>бледност*</w:t>
            </w:r>
            <w:r>
              <w:rPr>
                <w:u w:val="single"/>
                <w:vertAlign w:val="superscript"/>
              </w:rPr>
              <w:t>†</w:t>
            </w:r>
          </w:p>
        </w:tc>
        <w:tc>
          <w:tcPr>
            <w:tcW w:w="3117" w:type="dxa"/>
            <w:vAlign w:val="bottom"/>
          </w:tcPr>
          <w:p w14:paraId="26771C90" w14:textId="1EFEA293" w:rsidR="00274299" w:rsidRDefault="00274299" w:rsidP="00274299">
            <w:r>
              <w:t>С неизвестна честота</w:t>
            </w:r>
          </w:p>
        </w:tc>
      </w:tr>
      <w:tr w:rsidR="00274299" w14:paraId="244F870B" w14:textId="77777777" w:rsidTr="00EA6463">
        <w:tc>
          <w:tcPr>
            <w:tcW w:w="3116" w:type="dxa"/>
            <w:vMerge w:val="restart"/>
          </w:tcPr>
          <w:p w14:paraId="1695E452" w14:textId="199529B1" w:rsidR="00274299" w:rsidRDefault="00274299" w:rsidP="00274299">
            <w:r>
              <w:lastRenderedPageBreak/>
              <w:t>Респираторни, гръдни и медиастинални нарушения</w:t>
            </w:r>
          </w:p>
        </w:tc>
        <w:tc>
          <w:tcPr>
            <w:tcW w:w="3117" w:type="dxa"/>
            <w:vAlign w:val="bottom"/>
          </w:tcPr>
          <w:p w14:paraId="0F64E8B8" w14:textId="29AFB21A" w:rsidR="00274299" w:rsidRDefault="00274299" w:rsidP="00274299">
            <w:r>
              <w:t>кашлица</w:t>
            </w:r>
          </w:p>
        </w:tc>
        <w:tc>
          <w:tcPr>
            <w:tcW w:w="3117" w:type="dxa"/>
            <w:vAlign w:val="bottom"/>
          </w:tcPr>
          <w:p w14:paraId="2D40A6E6" w14:textId="54505AF9" w:rsidR="00274299" w:rsidRDefault="00274299" w:rsidP="00274299">
            <w:r>
              <w:t>4/298 (1,3%)</w:t>
            </w:r>
          </w:p>
        </w:tc>
      </w:tr>
      <w:tr w:rsidR="00274299" w14:paraId="7B65A83A" w14:textId="77777777" w:rsidTr="00EA6463">
        <w:tc>
          <w:tcPr>
            <w:tcW w:w="3116" w:type="dxa"/>
            <w:vMerge/>
          </w:tcPr>
          <w:p w14:paraId="19FC8166" w14:textId="77777777" w:rsidR="00274299" w:rsidRDefault="00274299" w:rsidP="00274299"/>
        </w:tc>
        <w:tc>
          <w:tcPr>
            <w:tcW w:w="3117" w:type="dxa"/>
            <w:vAlign w:val="bottom"/>
          </w:tcPr>
          <w:p w14:paraId="06FCD5B7" w14:textId="29BEDFE5" w:rsidR="00274299" w:rsidRDefault="00274299" w:rsidP="00274299">
            <w:r>
              <w:t>диспнея</w:t>
            </w:r>
          </w:p>
        </w:tc>
        <w:tc>
          <w:tcPr>
            <w:tcW w:w="3117" w:type="dxa"/>
            <w:vAlign w:val="bottom"/>
          </w:tcPr>
          <w:p w14:paraId="2C9F6EAD" w14:textId="1AA01B14" w:rsidR="00274299" w:rsidRDefault="00274299" w:rsidP="00274299">
            <w:r>
              <w:t>2/298 (0,7%)</w:t>
            </w:r>
          </w:p>
        </w:tc>
      </w:tr>
      <w:tr w:rsidR="00274299" w14:paraId="180EE88B" w14:textId="77777777" w:rsidTr="0014020C">
        <w:tc>
          <w:tcPr>
            <w:tcW w:w="3116" w:type="dxa"/>
            <w:vMerge/>
          </w:tcPr>
          <w:p w14:paraId="05F3C0EB" w14:textId="77777777" w:rsidR="00274299" w:rsidRDefault="00274299" w:rsidP="00274299"/>
        </w:tc>
        <w:tc>
          <w:tcPr>
            <w:tcW w:w="3117" w:type="dxa"/>
            <w:vAlign w:val="bottom"/>
          </w:tcPr>
          <w:p w14:paraId="3E676D64" w14:textId="77777777" w:rsidR="00274299" w:rsidRDefault="00274299" w:rsidP="00274299">
            <w:r>
              <w:t>интерстициално белодробно заболяване*</w:t>
            </w:r>
          </w:p>
          <w:p w14:paraId="733CB6FB" w14:textId="20DC69C7" w:rsidR="00274299" w:rsidRDefault="00274299" w:rsidP="00274299">
            <w:r>
              <w:t>еозинофилна инфилтрация фиброзиращ алвеолит орофарингеална болка*</w:t>
            </w:r>
            <w:r>
              <w:rPr>
                <w:u w:val="single"/>
                <w:vertAlign w:val="superscript"/>
              </w:rPr>
              <w:t>†</w:t>
            </w:r>
          </w:p>
        </w:tc>
        <w:tc>
          <w:tcPr>
            <w:tcW w:w="3117" w:type="dxa"/>
            <w:vAlign w:val="bottom"/>
          </w:tcPr>
          <w:p w14:paraId="0FA29991" w14:textId="77777777" w:rsidR="00D55828" w:rsidRDefault="00274299" w:rsidP="00274299">
            <w:r>
              <w:t xml:space="preserve">С неизвестна честота </w:t>
            </w:r>
          </w:p>
          <w:p w14:paraId="0A29109F" w14:textId="77777777" w:rsidR="00D55828" w:rsidRDefault="00274299" w:rsidP="00274299">
            <w:r>
              <w:t xml:space="preserve">С неизвестна честота </w:t>
            </w:r>
          </w:p>
          <w:p w14:paraId="1EFC8AA0" w14:textId="77777777" w:rsidR="00D55828" w:rsidRDefault="00274299" w:rsidP="00274299">
            <w:r>
              <w:t xml:space="preserve">С неизвестна честота </w:t>
            </w:r>
          </w:p>
          <w:p w14:paraId="2A17A187" w14:textId="77777777" w:rsidR="00D55828" w:rsidRDefault="00274299" w:rsidP="00274299">
            <w:r>
              <w:t xml:space="preserve">С неизвестна честота </w:t>
            </w:r>
          </w:p>
          <w:p w14:paraId="7B44C38D" w14:textId="595EEF85" w:rsidR="00274299" w:rsidRDefault="00274299" w:rsidP="00274299">
            <w:r>
              <w:t>С неизвестна честота</w:t>
            </w:r>
          </w:p>
        </w:tc>
      </w:tr>
      <w:tr w:rsidR="00274299" w14:paraId="4CBAF0BC" w14:textId="77777777" w:rsidTr="0014020C">
        <w:tc>
          <w:tcPr>
            <w:tcW w:w="3116" w:type="dxa"/>
            <w:vMerge w:val="restart"/>
          </w:tcPr>
          <w:p w14:paraId="0EFBDAC4" w14:textId="0A6D1903" w:rsidR="00274299" w:rsidRDefault="00274299" w:rsidP="00274299">
            <w:r>
              <w:t>Стомашно-чревни нарушения</w:t>
            </w:r>
          </w:p>
        </w:tc>
        <w:tc>
          <w:tcPr>
            <w:tcW w:w="3117" w:type="dxa"/>
            <w:vAlign w:val="bottom"/>
          </w:tcPr>
          <w:p w14:paraId="28B444CE" w14:textId="77777777" w:rsidR="00274299" w:rsidRDefault="00274299" w:rsidP="00274299">
            <w:r>
              <w:t>гадене</w:t>
            </w:r>
          </w:p>
          <w:p w14:paraId="26C06D47" w14:textId="77777777" w:rsidR="00274299" w:rsidRDefault="00274299" w:rsidP="00274299">
            <w:r>
              <w:t>епигастрален дистрес абдоминална болка, повръщане*</w:t>
            </w:r>
          </w:p>
          <w:p w14:paraId="6F044281" w14:textId="3F2CF97C" w:rsidR="00274299" w:rsidRDefault="00274299" w:rsidP="00274299">
            <w:r>
              <w:t>диария*</w:t>
            </w:r>
          </w:p>
        </w:tc>
        <w:tc>
          <w:tcPr>
            <w:tcW w:w="3117" w:type="dxa"/>
            <w:vAlign w:val="bottom"/>
          </w:tcPr>
          <w:p w14:paraId="3B6BE8D5" w14:textId="77777777" w:rsidR="00274299" w:rsidRDefault="00274299" w:rsidP="00274299">
            <w:r>
              <w:t>58/298(19,5%)</w:t>
            </w:r>
          </w:p>
          <w:p w14:paraId="35D0049A" w14:textId="77777777" w:rsidR="00274299" w:rsidRDefault="00274299" w:rsidP="00274299">
            <w:r>
              <w:t>Диспепсия 39/298 (13,1%)</w:t>
            </w:r>
          </w:p>
          <w:p w14:paraId="084D5DE4" w14:textId="77777777" w:rsidR="00274299" w:rsidRDefault="00274299" w:rsidP="00274299">
            <w:r>
              <w:t>25/298 (8,4%)</w:t>
            </w:r>
          </w:p>
          <w:p w14:paraId="1B17B46B" w14:textId="77777777" w:rsidR="00274299" w:rsidRDefault="00274299" w:rsidP="00274299">
            <w:r>
              <w:t>24/298 (8,1%)</w:t>
            </w:r>
          </w:p>
          <w:p w14:paraId="11783CA3" w14:textId="7771365F" w:rsidR="00274299" w:rsidRDefault="00274299" w:rsidP="00274299">
            <w:r>
              <w:t>15/298 (5,0%)</w:t>
            </w:r>
          </w:p>
        </w:tc>
      </w:tr>
      <w:tr w:rsidR="00274299" w14:paraId="66B83020" w14:textId="77777777" w:rsidTr="0014020C">
        <w:tc>
          <w:tcPr>
            <w:tcW w:w="3116" w:type="dxa"/>
            <w:vMerge/>
          </w:tcPr>
          <w:p w14:paraId="3AB24CFD" w14:textId="77777777" w:rsidR="00274299" w:rsidRDefault="00274299" w:rsidP="00274299"/>
        </w:tc>
        <w:tc>
          <w:tcPr>
            <w:tcW w:w="3117" w:type="dxa"/>
            <w:vAlign w:val="bottom"/>
          </w:tcPr>
          <w:p w14:paraId="654066F1" w14:textId="4D3FE1FB" w:rsidR="00274299" w:rsidRDefault="00274299" w:rsidP="00274299">
            <w:r>
              <w:t>влошаване на улцерозен колит* панкреатит</w:t>
            </w:r>
          </w:p>
        </w:tc>
        <w:tc>
          <w:tcPr>
            <w:tcW w:w="3117" w:type="dxa"/>
            <w:vAlign w:val="bottom"/>
          </w:tcPr>
          <w:p w14:paraId="26CD439C" w14:textId="77777777" w:rsidR="00274299" w:rsidRDefault="00274299" w:rsidP="00274299">
            <w:r>
              <w:t>С неизвестна честота</w:t>
            </w:r>
          </w:p>
          <w:p w14:paraId="72BA0E01" w14:textId="2BA780F4" w:rsidR="00274299" w:rsidRDefault="00274299" w:rsidP="00274299">
            <w:r>
              <w:t xml:space="preserve">С неизвестна честота </w:t>
            </w:r>
          </w:p>
        </w:tc>
      </w:tr>
      <w:tr w:rsidR="00274299" w14:paraId="46BCC107" w14:textId="77777777" w:rsidTr="0014020C">
        <w:tc>
          <w:tcPr>
            <w:tcW w:w="3116" w:type="dxa"/>
            <w:vMerge w:val="restart"/>
          </w:tcPr>
          <w:p w14:paraId="431B2DE4" w14:textId="166533ED" w:rsidR="00274299" w:rsidRDefault="00274299" w:rsidP="00274299">
            <w:r>
              <w:t>Хепато-билиарни нарушения</w:t>
            </w:r>
          </w:p>
        </w:tc>
        <w:tc>
          <w:tcPr>
            <w:tcW w:w="3117" w:type="dxa"/>
            <w:vAlign w:val="bottom"/>
          </w:tcPr>
          <w:p w14:paraId="04BC5DBF" w14:textId="540ADCD8" w:rsidR="00274299" w:rsidRDefault="00274299" w:rsidP="00274299">
            <w:r>
              <w:t>жълтеница*</w:t>
            </w:r>
            <w:r>
              <w:rPr>
                <w:u w:val="single"/>
                <w:vertAlign w:val="superscript"/>
              </w:rPr>
              <w:t>†</w:t>
            </w:r>
          </w:p>
        </w:tc>
        <w:tc>
          <w:tcPr>
            <w:tcW w:w="3117" w:type="dxa"/>
            <w:vAlign w:val="bottom"/>
          </w:tcPr>
          <w:p w14:paraId="49651AAA" w14:textId="3FC719E5" w:rsidR="00274299" w:rsidRDefault="00274299" w:rsidP="00274299">
            <w:r>
              <w:t>1/298(0,3%)</w:t>
            </w:r>
          </w:p>
        </w:tc>
      </w:tr>
      <w:tr w:rsidR="00274299" w14:paraId="173EDE1A" w14:textId="77777777" w:rsidTr="0014020C">
        <w:tc>
          <w:tcPr>
            <w:tcW w:w="3116" w:type="dxa"/>
            <w:vMerge/>
          </w:tcPr>
          <w:p w14:paraId="5245F824" w14:textId="77777777" w:rsidR="00274299" w:rsidRDefault="00274299" w:rsidP="00274299"/>
        </w:tc>
        <w:tc>
          <w:tcPr>
            <w:tcW w:w="3117" w:type="dxa"/>
            <w:vAlign w:val="bottom"/>
          </w:tcPr>
          <w:p w14:paraId="54392E59" w14:textId="77777777" w:rsidR="00274299" w:rsidRDefault="00274299" w:rsidP="00274299">
            <w:r>
              <w:t>чернодробна недостатъчност* фулминантен хепатит* хепатит*</w:t>
            </w:r>
          </w:p>
          <w:p w14:paraId="30B3E31A" w14:textId="77777777" w:rsidR="00274299" w:rsidRDefault="00274299" w:rsidP="00274299">
            <w:r>
              <w:t>холестатичен хепатит*</w:t>
            </w:r>
          </w:p>
          <w:p w14:paraId="614D6BAC" w14:textId="001C1CF6" w:rsidR="00274299" w:rsidRDefault="00274299" w:rsidP="00274299">
            <w:r>
              <w:t>холестаза*</w:t>
            </w:r>
          </w:p>
        </w:tc>
        <w:tc>
          <w:tcPr>
            <w:tcW w:w="3117" w:type="dxa"/>
            <w:vAlign w:val="bottom"/>
          </w:tcPr>
          <w:p w14:paraId="20F8994B" w14:textId="77777777" w:rsidR="00D55828" w:rsidRDefault="00274299" w:rsidP="00274299">
            <w:r>
              <w:t xml:space="preserve">С неизвестна честота </w:t>
            </w:r>
          </w:p>
          <w:p w14:paraId="2D1EF5EE" w14:textId="3F9A0E03" w:rsidR="00D55828" w:rsidRDefault="00274299" w:rsidP="00274299">
            <w:r>
              <w:t xml:space="preserve">С неизвестна честота </w:t>
            </w:r>
          </w:p>
          <w:p w14:paraId="04E329CB" w14:textId="77777777" w:rsidR="00D55828" w:rsidRDefault="00274299" w:rsidP="00274299">
            <w:r>
              <w:t xml:space="preserve">С неизвестна честота </w:t>
            </w:r>
          </w:p>
          <w:p w14:paraId="04CB7B6F" w14:textId="77777777" w:rsidR="00D55828" w:rsidRDefault="00274299" w:rsidP="00274299">
            <w:r>
              <w:t xml:space="preserve">С неизвестна честота </w:t>
            </w:r>
          </w:p>
          <w:p w14:paraId="72288338" w14:textId="19C7105D" w:rsidR="00274299" w:rsidRDefault="00274299" w:rsidP="00274299">
            <w:r>
              <w:t>С неизвестна честота</w:t>
            </w:r>
          </w:p>
        </w:tc>
      </w:tr>
      <w:tr w:rsidR="00274299" w14:paraId="23230063" w14:textId="77777777" w:rsidTr="0014020C">
        <w:tc>
          <w:tcPr>
            <w:tcW w:w="3116" w:type="dxa"/>
            <w:vMerge w:val="restart"/>
          </w:tcPr>
          <w:p w14:paraId="61DB4E81" w14:textId="4385C88A" w:rsidR="00274299" w:rsidRDefault="00274299" w:rsidP="00274299">
            <w:r>
              <w:t>Нарушения на кожата и подкожната тъкан</w:t>
            </w:r>
          </w:p>
        </w:tc>
        <w:tc>
          <w:tcPr>
            <w:tcW w:w="3117" w:type="dxa"/>
            <w:vAlign w:val="bottom"/>
          </w:tcPr>
          <w:p w14:paraId="148E4227" w14:textId="77777777" w:rsidR="00274299" w:rsidRDefault="00274299" w:rsidP="00274299">
            <w:r>
              <w:t>пруритус пурпура*</w:t>
            </w:r>
            <w:r>
              <w:rPr>
                <w:u w:val="single"/>
                <w:vertAlign w:val="superscript"/>
              </w:rPr>
              <w:t>†</w:t>
            </w:r>
          </w:p>
          <w:p w14:paraId="355F9A82" w14:textId="308C7CE1" w:rsidR="00274299" w:rsidRDefault="00274299" w:rsidP="00274299">
            <w:r>
              <w:t>алопеция уртикария</w:t>
            </w:r>
          </w:p>
        </w:tc>
        <w:tc>
          <w:tcPr>
            <w:tcW w:w="3117" w:type="dxa"/>
            <w:vAlign w:val="bottom"/>
          </w:tcPr>
          <w:p w14:paraId="2FB7396E" w14:textId="189F8BBF" w:rsidR="00274299" w:rsidRDefault="00274299" w:rsidP="00274299">
            <w:r>
              <w:t>11/298 (3,7%) 3/298(1,0%) 1/298(0,3%) 1/298 (0,3%)</w:t>
            </w:r>
          </w:p>
        </w:tc>
      </w:tr>
      <w:tr w:rsidR="00274299" w14:paraId="4813AAD8" w14:textId="77777777" w:rsidTr="0014020C">
        <w:tc>
          <w:tcPr>
            <w:tcW w:w="3116" w:type="dxa"/>
            <w:vMerge/>
          </w:tcPr>
          <w:p w14:paraId="10D29E20" w14:textId="77777777" w:rsidR="00274299" w:rsidRDefault="00274299" w:rsidP="00274299"/>
        </w:tc>
        <w:tc>
          <w:tcPr>
            <w:tcW w:w="3117" w:type="dxa"/>
            <w:vAlign w:val="bottom"/>
          </w:tcPr>
          <w:p w14:paraId="7B08E207" w14:textId="3BC0E738" w:rsidR="00274299" w:rsidRDefault="00274299" w:rsidP="00274299">
            <w:r>
              <w:t xml:space="preserve">Медикаментозен обрив с еозинофилия и системни симптоми </w:t>
            </w:r>
            <w:r>
              <w:rPr>
                <w:lang w:val="en-US"/>
              </w:rPr>
              <w:t>(DRESS)*</w:t>
            </w:r>
            <w:r>
              <w:rPr>
                <w:u w:val="single"/>
                <w:vertAlign w:val="superscript"/>
              </w:rPr>
              <w:t>†</w:t>
            </w:r>
            <w:r>
              <w:t xml:space="preserve"> епидермална некролиза (синдром на </w:t>
            </w:r>
            <w:r>
              <w:rPr>
                <w:lang w:val="en-US"/>
              </w:rPr>
              <w:t xml:space="preserve">Lyell) </w:t>
            </w:r>
            <w:r>
              <w:rPr>
                <w:u w:val="single"/>
                <w:vertAlign w:val="superscript"/>
              </w:rPr>
              <w:t>†</w:t>
            </w:r>
            <w:r>
              <w:t xml:space="preserve"> синдром на </w:t>
            </w:r>
            <w:r>
              <w:rPr>
                <w:lang w:val="en-US"/>
              </w:rPr>
              <w:t>Stevens Johnson</w:t>
            </w:r>
            <w:r>
              <w:rPr>
                <w:u w:val="single"/>
                <w:vertAlign w:val="superscript"/>
              </w:rPr>
              <w:t>†</w:t>
            </w:r>
            <w:r>
              <w:t xml:space="preserve"> екзантема </w:t>
            </w:r>
            <w:r w:rsidRPr="00274299">
              <w:t>ексфолиативен дерматит*</w:t>
            </w:r>
          </w:p>
        </w:tc>
        <w:tc>
          <w:tcPr>
            <w:tcW w:w="3117" w:type="dxa"/>
            <w:vAlign w:val="bottom"/>
          </w:tcPr>
          <w:p w14:paraId="72731819" w14:textId="77777777" w:rsidR="00274299" w:rsidRDefault="00274299" w:rsidP="00274299">
            <w:r>
              <w:t>С неизвестна честота</w:t>
            </w:r>
          </w:p>
          <w:p w14:paraId="44705F3C" w14:textId="77777777" w:rsidR="00274299" w:rsidRDefault="00274299" w:rsidP="00274299">
            <w:r>
              <w:t>С неизвестна честота</w:t>
            </w:r>
          </w:p>
          <w:p w14:paraId="260246DB" w14:textId="77777777" w:rsidR="00274299" w:rsidRDefault="00274299" w:rsidP="00274299">
            <w:r>
              <w:t>С неизвестна честота</w:t>
            </w:r>
          </w:p>
          <w:p w14:paraId="40651307" w14:textId="77777777" w:rsidR="00274299" w:rsidRDefault="00274299" w:rsidP="00274299">
            <w:r>
              <w:t>С неизвестна честота</w:t>
            </w:r>
          </w:p>
          <w:p w14:paraId="1ED40D6C" w14:textId="0097DAB9" w:rsidR="00274299" w:rsidRDefault="00274299" w:rsidP="00274299">
            <w:r>
              <w:t>С неизвестна честота</w:t>
            </w:r>
          </w:p>
        </w:tc>
      </w:tr>
      <w:tr w:rsidR="00274299" w14:paraId="78A698D1" w14:textId="77777777" w:rsidTr="00982815">
        <w:tc>
          <w:tcPr>
            <w:tcW w:w="3116" w:type="dxa"/>
            <w:vMerge/>
          </w:tcPr>
          <w:p w14:paraId="358E0CAB" w14:textId="77777777" w:rsidR="00274299" w:rsidRDefault="00274299" w:rsidP="00274299"/>
        </w:tc>
        <w:tc>
          <w:tcPr>
            <w:tcW w:w="3117" w:type="dxa"/>
          </w:tcPr>
          <w:p w14:paraId="61DEDB45" w14:textId="77777777" w:rsidR="00274299" w:rsidRDefault="00274299" w:rsidP="00274299">
            <w:r>
              <w:t>ангиоедем*</w:t>
            </w:r>
          </w:p>
          <w:p w14:paraId="2588BAB0" w14:textId="3D8ED316" w:rsidR="00274299" w:rsidRDefault="00274299" w:rsidP="00274299">
            <w:r>
              <w:t>токсична пустулодерма лихен планус фоточувствителност еритема</w:t>
            </w:r>
          </w:p>
        </w:tc>
        <w:tc>
          <w:tcPr>
            <w:tcW w:w="3117" w:type="dxa"/>
          </w:tcPr>
          <w:p w14:paraId="2E97033A" w14:textId="77777777" w:rsidR="00D55828" w:rsidRDefault="00274299" w:rsidP="00274299">
            <w:r>
              <w:t xml:space="preserve">С неизвестна честота </w:t>
            </w:r>
          </w:p>
          <w:p w14:paraId="71E88917" w14:textId="77777777" w:rsidR="00D55828" w:rsidRDefault="00274299" w:rsidP="00274299">
            <w:r>
              <w:t xml:space="preserve">С неизвестна честота </w:t>
            </w:r>
          </w:p>
          <w:p w14:paraId="354A347D" w14:textId="77777777" w:rsidR="00D55828" w:rsidRDefault="00274299" w:rsidP="00274299">
            <w:r>
              <w:t xml:space="preserve">С неизвестна честота </w:t>
            </w:r>
          </w:p>
          <w:p w14:paraId="11688885" w14:textId="77777777" w:rsidR="00D55828" w:rsidRDefault="00274299" w:rsidP="00274299">
            <w:r>
              <w:t xml:space="preserve">С неизвестна честота </w:t>
            </w:r>
          </w:p>
          <w:p w14:paraId="096EBF1E" w14:textId="7ACC79C6" w:rsidR="00274299" w:rsidRDefault="00274299" w:rsidP="00274299">
            <w:r>
              <w:t>С неизвестна честота</w:t>
            </w:r>
          </w:p>
        </w:tc>
      </w:tr>
      <w:tr w:rsidR="00274299" w14:paraId="3354950C" w14:textId="77777777" w:rsidTr="00982815">
        <w:tc>
          <w:tcPr>
            <w:tcW w:w="3116" w:type="dxa"/>
            <w:vMerge w:val="restart"/>
          </w:tcPr>
          <w:p w14:paraId="2A418F99" w14:textId="03CA09F7" w:rsidR="00274299" w:rsidRDefault="00274299" w:rsidP="00274299">
            <w:r>
              <w:t>Нарушения на мускулно- скелетната система и съединителната тъкан</w:t>
            </w:r>
          </w:p>
        </w:tc>
        <w:tc>
          <w:tcPr>
            <w:tcW w:w="3117" w:type="dxa"/>
          </w:tcPr>
          <w:p w14:paraId="302EBC38" w14:textId="0B19660B" w:rsidR="00274299" w:rsidRDefault="00274299" w:rsidP="00274299">
            <w:r>
              <w:t>артралгия</w:t>
            </w:r>
          </w:p>
        </w:tc>
        <w:tc>
          <w:tcPr>
            <w:tcW w:w="3117" w:type="dxa"/>
          </w:tcPr>
          <w:p w14:paraId="0BF78FCE" w14:textId="686C6F0A" w:rsidR="00274299" w:rsidRDefault="00274299" w:rsidP="00274299">
            <w:r>
              <w:t>8/298 (2,7%)</w:t>
            </w:r>
          </w:p>
        </w:tc>
      </w:tr>
      <w:tr w:rsidR="00274299" w14:paraId="4BE90080" w14:textId="77777777" w:rsidTr="00982815">
        <w:tc>
          <w:tcPr>
            <w:tcW w:w="3116" w:type="dxa"/>
            <w:vMerge/>
          </w:tcPr>
          <w:p w14:paraId="4EE6C493" w14:textId="77777777" w:rsidR="00274299" w:rsidRDefault="00274299" w:rsidP="00274299"/>
        </w:tc>
        <w:tc>
          <w:tcPr>
            <w:tcW w:w="3117" w:type="dxa"/>
          </w:tcPr>
          <w:p w14:paraId="061025BB" w14:textId="22ECB192" w:rsidR="00274299" w:rsidRDefault="00274299" w:rsidP="00274299">
            <w:r>
              <w:t xml:space="preserve">системен лупус еритематодес синдром на </w:t>
            </w:r>
            <w:proofErr w:type="spellStart"/>
            <w:r>
              <w:rPr>
                <w:lang w:val="en-US"/>
              </w:rPr>
              <w:t>Sjogren</w:t>
            </w:r>
            <w:proofErr w:type="spellEnd"/>
            <w:r>
              <w:rPr>
                <w:lang w:val="en-US"/>
              </w:rPr>
              <w:t>,</w:t>
            </w:r>
          </w:p>
        </w:tc>
        <w:tc>
          <w:tcPr>
            <w:tcW w:w="3117" w:type="dxa"/>
          </w:tcPr>
          <w:p w14:paraId="6D64E6D5" w14:textId="77777777" w:rsidR="00274299" w:rsidRDefault="00274299" w:rsidP="00274299">
            <w:r>
              <w:t>С неизвестна честота</w:t>
            </w:r>
          </w:p>
          <w:p w14:paraId="348420BF" w14:textId="52F86D71" w:rsidR="00274299" w:rsidRDefault="00274299" w:rsidP="00274299">
            <w:r>
              <w:t>С неизвестна честота</w:t>
            </w:r>
          </w:p>
        </w:tc>
      </w:tr>
      <w:tr w:rsidR="00274299" w14:paraId="0BB29D49" w14:textId="77777777" w:rsidTr="00982815">
        <w:tc>
          <w:tcPr>
            <w:tcW w:w="3116" w:type="dxa"/>
            <w:vMerge w:val="restart"/>
          </w:tcPr>
          <w:p w14:paraId="44C5026B" w14:textId="78ED01E6" w:rsidR="00274299" w:rsidRDefault="00274299" w:rsidP="00274299">
            <w:r>
              <w:t>Нарушения на бъбреците и пикочните пътища</w:t>
            </w:r>
          </w:p>
        </w:tc>
        <w:tc>
          <w:tcPr>
            <w:tcW w:w="3117" w:type="dxa"/>
          </w:tcPr>
          <w:p w14:paraId="54FAAD7E" w14:textId="1F8B6FD4" w:rsidR="00274299" w:rsidRDefault="00274299" w:rsidP="00274299">
            <w:r>
              <w:t>протеинурия</w:t>
            </w:r>
          </w:p>
        </w:tc>
        <w:tc>
          <w:tcPr>
            <w:tcW w:w="3117" w:type="dxa"/>
          </w:tcPr>
          <w:p w14:paraId="2FDEA6D2" w14:textId="434DE172" w:rsidR="00274299" w:rsidRDefault="00274299" w:rsidP="00274299">
            <w:r>
              <w:t>Албуминурия 3/298 (1,0%)</w:t>
            </w:r>
          </w:p>
        </w:tc>
      </w:tr>
      <w:tr w:rsidR="00274299" w14:paraId="3C56589E" w14:textId="77777777" w:rsidTr="00982815">
        <w:tc>
          <w:tcPr>
            <w:tcW w:w="3116" w:type="dxa"/>
            <w:vMerge/>
          </w:tcPr>
          <w:p w14:paraId="5E48A893" w14:textId="77777777" w:rsidR="00274299" w:rsidRDefault="00274299" w:rsidP="00274299"/>
        </w:tc>
        <w:tc>
          <w:tcPr>
            <w:tcW w:w="3117" w:type="dxa"/>
          </w:tcPr>
          <w:p w14:paraId="2477EBF1" w14:textId="1DCEAC8E" w:rsidR="00274299" w:rsidRDefault="00274299" w:rsidP="00274299">
            <w:r>
              <w:t>нефротичен синдром интерстициален нефрит нефролитиаза* хематурия кристалурия</w:t>
            </w:r>
            <w:r>
              <w:rPr>
                <w:vertAlign w:val="superscript"/>
              </w:rPr>
              <w:t>†</w:t>
            </w:r>
          </w:p>
        </w:tc>
        <w:tc>
          <w:tcPr>
            <w:tcW w:w="3117" w:type="dxa"/>
          </w:tcPr>
          <w:p w14:paraId="682F1D56" w14:textId="77777777" w:rsidR="00D55828" w:rsidRDefault="00274299" w:rsidP="00274299">
            <w:r>
              <w:t xml:space="preserve">С неизвестна честота </w:t>
            </w:r>
          </w:p>
          <w:p w14:paraId="7F6273D7" w14:textId="77777777" w:rsidR="00D55828" w:rsidRDefault="00274299" w:rsidP="00274299">
            <w:r>
              <w:t xml:space="preserve">С неизвестна честота </w:t>
            </w:r>
          </w:p>
          <w:p w14:paraId="2E182D55" w14:textId="77777777" w:rsidR="00D55828" w:rsidRDefault="00274299" w:rsidP="00274299">
            <w:r>
              <w:t xml:space="preserve">С неизвестна честота </w:t>
            </w:r>
          </w:p>
          <w:p w14:paraId="58FE24C7" w14:textId="77777777" w:rsidR="00D55828" w:rsidRDefault="00274299" w:rsidP="00274299">
            <w:r>
              <w:t xml:space="preserve">С неизвестна честота </w:t>
            </w:r>
          </w:p>
          <w:p w14:paraId="27A33C8B" w14:textId="708FD57E" w:rsidR="00274299" w:rsidRDefault="00274299" w:rsidP="00274299">
            <w:r>
              <w:t>С неизвестна честота</w:t>
            </w:r>
          </w:p>
        </w:tc>
      </w:tr>
      <w:tr w:rsidR="00274299" w14:paraId="0D2C34DD" w14:textId="77777777" w:rsidTr="00982815">
        <w:tc>
          <w:tcPr>
            <w:tcW w:w="3116" w:type="dxa"/>
          </w:tcPr>
          <w:p w14:paraId="5792811C" w14:textId="376EC519" w:rsidR="00274299" w:rsidRDefault="00274299" w:rsidP="00274299">
            <w:r>
              <w:lastRenderedPageBreak/>
              <w:t>Нарушения възпроизводителната система и гърдата</w:t>
            </w:r>
          </w:p>
        </w:tc>
        <w:tc>
          <w:tcPr>
            <w:tcW w:w="3117" w:type="dxa"/>
          </w:tcPr>
          <w:p w14:paraId="2A6FF59A" w14:textId="54DE7078" w:rsidR="00274299" w:rsidRDefault="00274299" w:rsidP="00274299">
            <w:r>
              <w:t>обратима олигоспермия</w:t>
            </w:r>
            <w:r>
              <w:rPr>
                <w:vertAlign w:val="superscript"/>
              </w:rPr>
              <w:t>†</w:t>
            </w:r>
          </w:p>
        </w:tc>
        <w:tc>
          <w:tcPr>
            <w:tcW w:w="3117" w:type="dxa"/>
          </w:tcPr>
          <w:p w14:paraId="242DD409" w14:textId="748DA1AE" w:rsidR="00274299" w:rsidRDefault="00274299" w:rsidP="00274299">
            <w:r>
              <w:t>С неизвестна честота</w:t>
            </w:r>
          </w:p>
        </w:tc>
      </w:tr>
      <w:tr w:rsidR="00274299" w14:paraId="7643335B" w14:textId="77777777" w:rsidTr="00982815">
        <w:tc>
          <w:tcPr>
            <w:tcW w:w="3116" w:type="dxa"/>
            <w:vMerge w:val="restart"/>
          </w:tcPr>
          <w:p w14:paraId="73F4C2B8" w14:textId="2F8C2354" w:rsidR="00274299" w:rsidRDefault="00274299" w:rsidP="00274299">
            <w:r>
              <w:t>Общи нарушения и ефекти на мястото на приложение</w:t>
            </w:r>
          </w:p>
        </w:tc>
        <w:tc>
          <w:tcPr>
            <w:tcW w:w="3117" w:type="dxa"/>
          </w:tcPr>
          <w:p w14:paraId="0FDF1524" w14:textId="7880743D" w:rsidR="00274299" w:rsidRDefault="00274299" w:rsidP="00274299">
            <w:r>
              <w:t>повишена температура</w:t>
            </w:r>
            <w:r>
              <w:rPr>
                <w:vertAlign w:val="superscript"/>
              </w:rPr>
              <w:t xml:space="preserve">† </w:t>
            </w:r>
            <w:r>
              <w:t>оток на лицето</w:t>
            </w:r>
          </w:p>
        </w:tc>
        <w:tc>
          <w:tcPr>
            <w:tcW w:w="3117" w:type="dxa"/>
          </w:tcPr>
          <w:p w14:paraId="72F834E1" w14:textId="77777777" w:rsidR="00274299" w:rsidRDefault="00274299" w:rsidP="00274299">
            <w:r>
              <w:t>16/298 (5,4%)</w:t>
            </w:r>
          </w:p>
          <w:p w14:paraId="7C3AC923" w14:textId="37118B28" w:rsidR="00274299" w:rsidRDefault="00274299" w:rsidP="00274299">
            <w:r>
              <w:t>2/298 (0,7%)</w:t>
            </w:r>
          </w:p>
        </w:tc>
      </w:tr>
      <w:tr w:rsidR="00274299" w14:paraId="74776C4C" w14:textId="77777777" w:rsidTr="00982815">
        <w:tc>
          <w:tcPr>
            <w:tcW w:w="3116" w:type="dxa"/>
            <w:vMerge/>
          </w:tcPr>
          <w:p w14:paraId="0B161CC7" w14:textId="77777777" w:rsidR="00274299" w:rsidRDefault="00274299" w:rsidP="00274299"/>
        </w:tc>
        <w:tc>
          <w:tcPr>
            <w:tcW w:w="3117" w:type="dxa"/>
          </w:tcPr>
          <w:p w14:paraId="6A5AB55D" w14:textId="37145B44" w:rsidR="00274299" w:rsidRDefault="00274299" w:rsidP="00274299">
            <w:r>
              <w:t>жълто оцветяване на кожата и телесните течности*</w:t>
            </w:r>
          </w:p>
        </w:tc>
        <w:tc>
          <w:tcPr>
            <w:tcW w:w="3117" w:type="dxa"/>
          </w:tcPr>
          <w:p w14:paraId="34EC9E08" w14:textId="22FE2276" w:rsidR="00274299" w:rsidRDefault="00274299" w:rsidP="00274299">
            <w:r>
              <w:t>С неизвестна честота</w:t>
            </w:r>
          </w:p>
        </w:tc>
      </w:tr>
      <w:tr w:rsidR="00274299" w14:paraId="2A5B7BE6" w14:textId="77777777" w:rsidTr="00982815">
        <w:tc>
          <w:tcPr>
            <w:tcW w:w="3116" w:type="dxa"/>
            <w:vMerge w:val="restart"/>
          </w:tcPr>
          <w:p w14:paraId="2482A62F" w14:textId="2E341FCA" w:rsidR="00274299" w:rsidRDefault="00274299" w:rsidP="00274299">
            <w:r>
              <w:t>Изследвания</w:t>
            </w:r>
          </w:p>
        </w:tc>
        <w:tc>
          <w:tcPr>
            <w:tcW w:w="3117" w:type="dxa"/>
          </w:tcPr>
          <w:p w14:paraId="432E153E" w14:textId="0A7CCBC8" w:rsidR="00274299" w:rsidRDefault="00274299" w:rsidP="00274299">
            <w:r>
              <w:t>увеличение на чернодробните ензими</w:t>
            </w:r>
          </w:p>
        </w:tc>
        <w:tc>
          <w:tcPr>
            <w:tcW w:w="3117" w:type="dxa"/>
          </w:tcPr>
          <w:p w14:paraId="59F1BFE4" w14:textId="70A272FF" w:rsidR="00274299" w:rsidRDefault="00274299" w:rsidP="00274299">
            <w:r>
              <w:rPr>
                <w:lang w:val="en-US"/>
              </w:rPr>
              <w:t xml:space="preserve">[SGOT </w:t>
            </w:r>
            <w:r>
              <w:t>увеличен 1/298 (0</w:t>
            </w:r>
            <w:proofErr w:type="gramStart"/>
            <w:r>
              <w:t>,3</w:t>
            </w:r>
            <w:proofErr w:type="gramEnd"/>
            <w:r>
              <w:t xml:space="preserve">%) </w:t>
            </w:r>
            <w:r>
              <w:rPr>
                <w:lang w:val="en-US"/>
              </w:rPr>
              <w:t xml:space="preserve">SGPT </w:t>
            </w:r>
            <w:r>
              <w:t>увеличен 1/298 (0</w:t>
            </w:r>
            <w:proofErr w:type="gramStart"/>
            <w:r>
              <w:t>,3</w:t>
            </w:r>
            <w:proofErr w:type="gramEnd"/>
            <w:r>
              <w:t>%)]</w:t>
            </w:r>
          </w:p>
        </w:tc>
      </w:tr>
      <w:tr w:rsidR="00274299" w14:paraId="4C2CE3EF" w14:textId="77777777" w:rsidTr="00982815">
        <w:tc>
          <w:tcPr>
            <w:tcW w:w="3116" w:type="dxa"/>
            <w:vMerge/>
          </w:tcPr>
          <w:p w14:paraId="12ACF9E1" w14:textId="77777777" w:rsidR="00274299" w:rsidRDefault="00274299" w:rsidP="00274299"/>
        </w:tc>
        <w:tc>
          <w:tcPr>
            <w:tcW w:w="3117" w:type="dxa"/>
          </w:tcPr>
          <w:p w14:paraId="10FADF9E" w14:textId="23229B72" w:rsidR="00274299" w:rsidRDefault="00274299" w:rsidP="00274299">
            <w:r>
              <w:t>образуване на авто-антитела</w:t>
            </w:r>
          </w:p>
        </w:tc>
        <w:tc>
          <w:tcPr>
            <w:tcW w:w="3117" w:type="dxa"/>
          </w:tcPr>
          <w:p w14:paraId="036170B1" w14:textId="01B2332B" w:rsidR="00274299" w:rsidRDefault="00274299" w:rsidP="00274299">
            <w:r>
              <w:t>С неизвестна честота</w:t>
            </w:r>
          </w:p>
        </w:tc>
      </w:tr>
      <w:tr w:rsidR="00274299" w14:paraId="226F7C42" w14:textId="77777777" w:rsidTr="00BF68FA">
        <w:tc>
          <w:tcPr>
            <w:tcW w:w="9350" w:type="dxa"/>
            <w:gridSpan w:val="3"/>
          </w:tcPr>
          <w:p w14:paraId="74E94846" w14:textId="77777777" w:rsidR="00274299" w:rsidRPr="00274299" w:rsidRDefault="00274299" w:rsidP="00274299">
            <w:pPr>
              <w:spacing w:line="240" w:lineRule="auto"/>
              <w:rPr>
                <w:rFonts w:eastAsia="Times New Roman" w:cs="Arial"/>
                <w:lang w:eastAsia="bg-BG"/>
              </w:rPr>
            </w:pPr>
            <w:r w:rsidRPr="00274299">
              <w:rPr>
                <w:rFonts w:eastAsia="Times New Roman" w:cs="Arial"/>
                <w:color w:val="000000"/>
                <w:lang w:eastAsia="bg-BG"/>
              </w:rPr>
              <w:t>* Нежелани лекарствени реакции, установени в постмаркетинговия период</w:t>
            </w:r>
          </w:p>
          <w:p w14:paraId="6B75D4BE" w14:textId="34869D77" w:rsidR="00274299" w:rsidRDefault="00274299" w:rsidP="00274299">
            <w:r w:rsidRPr="00D55828">
              <w:rPr>
                <w:rFonts w:eastAsia="Times New Roman" w:cs="Arial"/>
                <w:color w:val="000000"/>
                <w:vertAlign w:val="superscript"/>
                <w:lang w:eastAsia="bg-BG"/>
              </w:rPr>
              <w:t>†</w:t>
            </w:r>
            <w:r w:rsidRPr="00D55828">
              <w:rPr>
                <w:rFonts w:eastAsia="Times New Roman" w:cs="Arial"/>
                <w:color w:val="000000"/>
                <w:lang w:eastAsia="bg-BG"/>
              </w:rPr>
              <w:t>вж. точка 4.4. Специални предупреждения и предпазни мерки</w:t>
            </w:r>
            <w:r w:rsidRPr="00D55828">
              <w:rPr>
                <w:rFonts w:eastAsia="Times New Roman" w:cs="Arial"/>
                <w:color w:val="000000"/>
                <w:u w:val="single"/>
                <w:lang w:eastAsia="bg-BG"/>
              </w:rPr>
              <w:t xml:space="preserve"> </w:t>
            </w:r>
            <w:r w:rsidRPr="00D55828">
              <w:rPr>
                <w:rFonts w:eastAsia="Times New Roman" w:cs="Arial"/>
                <w:color w:val="000000"/>
                <w:lang w:eastAsia="bg-BG"/>
              </w:rPr>
              <w:t>при употреба</w:t>
            </w:r>
          </w:p>
        </w:tc>
      </w:tr>
    </w:tbl>
    <w:p w14:paraId="22C4B6B3" w14:textId="29FEA481" w:rsidR="00982815" w:rsidRDefault="00982815" w:rsidP="00982815"/>
    <w:p w14:paraId="4D4A3B2D"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u w:val="single"/>
          <w:lang w:eastAsia="bg-BG"/>
        </w:rPr>
        <w:t>Съобщаване на подозирани нежелани реакции</w:t>
      </w:r>
    </w:p>
    <w:p w14:paraId="3876170D" w14:textId="77777777" w:rsidR="00982815" w:rsidRPr="00D55828" w:rsidRDefault="00982815" w:rsidP="00982815">
      <w:pPr>
        <w:rPr>
          <w:rFonts w:eastAsia="Times New Roman" w:cs="Arial"/>
          <w:color w:val="000000"/>
          <w:lang w:eastAsia="bg-BG"/>
        </w:rPr>
      </w:pPr>
    </w:p>
    <w:p w14:paraId="28F9A901" w14:textId="5D4B9A94" w:rsidR="00982815" w:rsidRPr="00D55828" w:rsidRDefault="00982815" w:rsidP="00982815">
      <w:pPr>
        <w:rPr>
          <w:rFonts w:cs="Arial"/>
        </w:rPr>
      </w:pPr>
      <w:r w:rsidRPr="00D55828">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 8903417, уебсайт: </w:t>
      </w:r>
      <w:r w:rsidRPr="00D55828">
        <w:rPr>
          <w:rFonts w:eastAsia="Times New Roman" w:cs="Arial"/>
          <w:lang w:eastAsia="bg-BG"/>
        </w:rPr>
        <w:fldChar w:fldCharType="begin"/>
      </w:r>
      <w:r w:rsidRPr="00D55828">
        <w:rPr>
          <w:rFonts w:eastAsia="Times New Roman" w:cs="Arial"/>
          <w:lang w:eastAsia="bg-BG"/>
        </w:rPr>
        <w:instrText xml:space="preserve"> HYPERLINK "http://www.bda.bg" </w:instrText>
      </w:r>
      <w:r w:rsidRPr="00D55828">
        <w:rPr>
          <w:rFonts w:eastAsia="Times New Roman" w:cs="Arial"/>
          <w:lang w:eastAsia="bg-BG"/>
        </w:rPr>
      </w:r>
      <w:r w:rsidRPr="00D55828">
        <w:rPr>
          <w:rFonts w:eastAsia="Times New Roman" w:cs="Arial"/>
          <w:lang w:eastAsia="bg-BG"/>
        </w:rPr>
        <w:fldChar w:fldCharType="separate"/>
      </w:r>
      <w:r w:rsidRPr="00D55828">
        <w:rPr>
          <w:rFonts w:eastAsia="Times New Roman" w:cs="Arial"/>
          <w:color w:val="000000"/>
          <w:lang w:val="en-US"/>
        </w:rPr>
        <w:t>www.bda.bg</w:t>
      </w:r>
      <w:r w:rsidRPr="00D55828">
        <w:rPr>
          <w:rFonts w:eastAsia="Times New Roman" w:cs="Arial"/>
          <w:lang w:eastAsia="bg-BG"/>
        </w:rPr>
        <w:fldChar w:fldCharType="end"/>
      </w:r>
      <w:r w:rsidRPr="00D55828">
        <w:rPr>
          <w:rFonts w:eastAsia="Times New Roman" w:cs="Arial"/>
          <w:color w:val="000000"/>
          <w:lang w:val="en-US"/>
        </w:rPr>
        <w:t>.</w:t>
      </w:r>
    </w:p>
    <w:p w14:paraId="443BC107" w14:textId="77777777" w:rsidR="005B0F27" w:rsidRPr="0091385D" w:rsidRDefault="005B0F27"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10E1022A"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Подобно на другите сулфонамиди, най-честите симптоми са гадене и повръщане. Пациентите с нарушена бъбречна функция са с повишен риск от сериозна интоксикация.</w:t>
      </w:r>
    </w:p>
    <w:p w14:paraId="6A43B8F3" w14:textId="231CB9EF" w:rsidR="007A2185" w:rsidRPr="00D55828" w:rsidRDefault="00982815" w:rsidP="00982815">
      <w:pPr>
        <w:rPr>
          <w:rFonts w:cs="Arial"/>
        </w:rPr>
      </w:pPr>
      <w:r w:rsidRPr="00D55828">
        <w:rPr>
          <w:rFonts w:eastAsia="Times New Roman" w:cs="Arial"/>
          <w:color w:val="000000"/>
          <w:lang w:eastAsia="bg-BG"/>
        </w:rPr>
        <w:t>Лечението е симптоматично и трябва да бъде поддържащо, като включва и алкализиране на урината. Пациентите трябва да се проследяват за развитие на метхемоглобинемия или сулфахемоглобинемия. Ако такива се установят, трябва да се приложи подходящо лечение.</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1BA3A228"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Фармакотерапевтична група: чревни противовъзпалителни лекарствени продукти</w:t>
      </w:r>
    </w:p>
    <w:p w14:paraId="6F90A1E2"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АТС код: А07Е С01</w:t>
      </w:r>
    </w:p>
    <w:p w14:paraId="7AEDE601" w14:textId="77777777" w:rsidR="00982815" w:rsidRPr="00D55828" w:rsidRDefault="00982815" w:rsidP="00982815">
      <w:pPr>
        <w:spacing w:line="240" w:lineRule="auto"/>
        <w:rPr>
          <w:rFonts w:eastAsia="Times New Roman" w:cs="Arial"/>
          <w:color w:val="000000"/>
          <w:u w:val="single"/>
          <w:lang w:eastAsia="bg-BG"/>
        </w:rPr>
      </w:pPr>
    </w:p>
    <w:p w14:paraId="1A9F54A3" w14:textId="3218C297" w:rsidR="00982815" w:rsidRPr="00982815" w:rsidRDefault="00982815" w:rsidP="00982815">
      <w:pPr>
        <w:spacing w:line="240" w:lineRule="auto"/>
        <w:rPr>
          <w:rFonts w:eastAsia="Times New Roman" w:cs="Arial"/>
          <w:lang w:eastAsia="bg-BG"/>
        </w:rPr>
      </w:pPr>
      <w:r w:rsidRPr="00982815">
        <w:rPr>
          <w:rFonts w:eastAsia="Times New Roman" w:cs="Arial"/>
          <w:color w:val="000000"/>
          <w:u w:val="single"/>
          <w:lang w:eastAsia="bg-BG"/>
        </w:rPr>
        <w:t>Механизъм на действие</w:t>
      </w:r>
    </w:p>
    <w:p w14:paraId="0D940692" w14:textId="77777777" w:rsidR="00982815" w:rsidRPr="00D55828" w:rsidRDefault="00982815" w:rsidP="00982815">
      <w:pPr>
        <w:rPr>
          <w:rFonts w:eastAsia="Times New Roman" w:cs="Arial"/>
          <w:lang w:eastAsia="bg-BG"/>
        </w:rPr>
      </w:pPr>
      <w:r w:rsidRPr="00D55828">
        <w:rPr>
          <w:rFonts w:eastAsia="Times New Roman" w:cs="Arial"/>
          <w:color w:val="000000"/>
          <w:lang w:eastAsia="bg-BG"/>
        </w:rPr>
        <w:t>Механизмът на действие на сулфасалазин или неговите метаболити, 5-аминосалицилова киселина (5- АСА) и сулфапиридин все още се проучва, но може би е свързан с противовъзпалителнит</w:t>
      </w:r>
      <w:r w:rsidRPr="00D55828">
        <w:rPr>
          <w:rFonts w:eastAsia="Times New Roman" w:cs="Arial"/>
          <w:color w:val="000000"/>
          <w:lang w:val="en-US"/>
        </w:rPr>
        <w:t xml:space="preserve">e </w:t>
      </w:r>
      <w:r w:rsidRPr="00D55828">
        <w:rPr>
          <w:rFonts w:eastAsia="Times New Roman" w:cs="Arial"/>
          <w:color w:val="000000"/>
          <w:lang w:eastAsia="bg-BG"/>
        </w:rPr>
        <w:t xml:space="preserve">и/или имуномодулиращите свойства, наблюдавани при животни и при </w:t>
      </w:r>
      <w:r w:rsidRPr="00D55828">
        <w:rPr>
          <w:rFonts w:eastAsia="Times New Roman" w:cs="Arial"/>
          <w:i/>
          <w:iCs/>
          <w:color w:val="000000"/>
          <w:lang w:val="en-US"/>
        </w:rPr>
        <w:t>in vitro</w:t>
      </w:r>
      <w:r w:rsidRPr="00D55828">
        <w:rPr>
          <w:rFonts w:eastAsia="Times New Roman" w:cs="Arial"/>
          <w:color w:val="000000"/>
          <w:lang w:val="en-US"/>
        </w:rPr>
        <w:t xml:space="preserve"> </w:t>
      </w:r>
      <w:r w:rsidRPr="00D55828">
        <w:rPr>
          <w:rFonts w:eastAsia="Times New Roman" w:cs="Arial"/>
          <w:color w:val="000000"/>
          <w:lang w:eastAsia="bg-BG"/>
        </w:rPr>
        <w:t xml:space="preserve">модели, с афинитет към съединителната тъкан и/или с относително високите </w:t>
      </w:r>
      <w:r w:rsidRPr="00D55828">
        <w:rPr>
          <w:rFonts w:eastAsia="Times New Roman" w:cs="Arial"/>
          <w:color w:val="000000"/>
          <w:lang w:eastAsia="bg-BG"/>
        </w:rPr>
        <w:lastRenderedPageBreak/>
        <w:t>концентрации, които се достигат в телесните течности, черния дроб и чревната стена, потвърдено в авторадиографски проучвания при животни.</w:t>
      </w:r>
    </w:p>
    <w:p w14:paraId="7D0F10AF" w14:textId="77777777" w:rsidR="00982815" w:rsidRPr="00D55828" w:rsidRDefault="00982815" w:rsidP="00982815">
      <w:pPr>
        <w:spacing w:line="240" w:lineRule="auto"/>
        <w:rPr>
          <w:rFonts w:eastAsia="Times New Roman" w:cs="Arial"/>
          <w:color w:val="000000"/>
          <w:u w:val="single"/>
          <w:lang w:eastAsia="bg-BG"/>
        </w:rPr>
      </w:pPr>
    </w:p>
    <w:p w14:paraId="02CCD600" w14:textId="3871B3E4" w:rsidR="00982815" w:rsidRPr="00982815" w:rsidRDefault="00982815" w:rsidP="00982815">
      <w:pPr>
        <w:spacing w:line="240" w:lineRule="auto"/>
        <w:rPr>
          <w:rFonts w:eastAsia="Times New Roman" w:cs="Arial"/>
          <w:lang w:eastAsia="bg-BG"/>
        </w:rPr>
      </w:pPr>
      <w:r w:rsidRPr="00982815">
        <w:rPr>
          <w:rFonts w:eastAsia="Times New Roman" w:cs="Arial"/>
          <w:color w:val="000000"/>
          <w:u w:val="single"/>
          <w:lang w:eastAsia="bg-BG"/>
        </w:rPr>
        <w:t>Фармакодинамичнн ефекти</w:t>
      </w:r>
    </w:p>
    <w:p w14:paraId="073A7201"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При улцерозен колит, клиничните проучвания, използвали ректално приложение на сулфасалазин, сулфапиридин и 5-АСА, са показали, че основното терапевтично действие може да се дължи на 5- АСА.</w:t>
      </w:r>
    </w:p>
    <w:p w14:paraId="038F692B" w14:textId="68344616" w:rsidR="007A2185" w:rsidRPr="00D55828" w:rsidRDefault="00982815" w:rsidP="00982815">
      <w:pPr>
        <w:rPr>
          <w:rFonts w:cs="Arial"/>
        </w:rPr>
      </w:pPr>
      <w:r w:rsidRPr="00D55828">
        <w:rPr>
          <w:rFonts w:eastAsia="Times New Roman" w:cs="Arial"/>
          <w:color w:val="000000"/>
          <w:lang w:eastAsia="bg-BG"/>
        </w:rPr>
        <w:t>Отделният принос на изходното вещество и главните метаболити при ревматоиден артрит не е известен.</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04773167" w14:textId="77777777" w:rsidR="00982815" w:rsidRPr="00982815" w:rsidRDefault="00982815" w:rsidP="00982815">
      <w:pPr>
        <w:spacing w:line="240" w:lineRule="auto"/>
        <w:rPr>
          <w:rFonts w:eastAsia="Times New Roman" w:cs="Arial"/>
          <w:lang w:eastAsia="bg-BG"/>
        </w:rPr>
      </w:pPr>
      <w:r w:rsidRPr="00982815">
        <w:rPr>
          <w:rFonts w:eastAsia="Times New Roman" w:cs="Arial"/>
          <w:i/>
          <w:iCs/>
          <w:color w:val="000000"/>
          <w:lang w:val="en-US"/>
        </w:rPr>
        <w:t>In vivo</w:t>
      </w:r>
      <w:r w:rsidRPr="00982815">
        <w:rPr>
          <w:rFonts w:eastAsia="Times New Roman" w:cs="Arial"/>
          <w:color w:val="000000"/>
          <w:lang w:val="en-US"/>
        </w:rPr>
        <w:t xml:space="preserve"> </w:t>
      </w:r>
      <w:r w:rsidRPr="00982815">
        <w:rPr>
          <w:rFonts w:eastAsia="Times New Roman" w:cs="Arial"/>
          <w:color w:val="000000"/>
          <w:lang w:eastAsia="bg-BG"/>
        </w:rPr>
        <w:t>проучвания показват, че абсолютната бионаличност на перорално приложения сулфасалазин е по-малко от 15% за изходното лекарство. В червата сулфасалазин се метаболизира от чревната флора до сулфапиридин и 5-АСА. От двата метаболита сулфапиридин се абсорбира сравнително добре от червата и се метаболизира в голяма степен, докато 5-АСА се абсорбира по-слабо.</w:t>
      </w:r>
    </w:p>
    <w:p w14:paraId="2B6A44E7" w14:textId="77777777" w:rsidR="00982815" w:rsidRPr="00D55828" w:rsidRDefault="00982815" w:rsidP="00982815">
      <w:pPr>
        <w:spacing w:line="240" w:lineRule="auto"/>
        <w:rPr>
          <w:rFonts w:eastAsia="Times New Roman" w:cs="Arial"/>
          <w:color w:val="000000"/>
          <w:u w:val="single"/>
          <w:lang w:eastAsia="bg-BG"/>
        </w:rPr>
      </w:pPr>
    </w:p>
    <w:p w14:paraId="6BAEEA1F" w14:textId="7D687555" w:rsidR="00982815" w:rsidRPr="00D55828" w:rsidRDefault="00982815" w:rsidP="00D55828">
      <w:pPr>
        <w:pStyle w:val="Heading3"/>
        <w:rPr>
          <w:rFonts w:eastAsia="Times New Roman"/>
          <w:u w:val="single"/>
          <w:lang w:eastAsia="bg-BG"/>
        </w:rPr>
      </w:pPr>
      <w:r w:rsidRPr="00D55828">
        <w:rPr>
          <w:rFonts w:eastAsia="Times New Roman"/>
          <w:u w:val="single"/>
          <w:lang w:eastAsia="bg-BG"/>
        </w:rPr>
        <w:t>Абсорбция:</w:t>
      </w:r>
    </w:p>
    <w:p w14:paraId="30589FD3"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 xml:space="preserve">След перорално приложение на 1 </w:t>
      </w:r>
      <w:r w:rsidRPr="00982815">
        <w:rPr>
          <w:rFonts w:eastAsia="Times New Roman" w:cs="Arial"/>
          <w:color w:val="000000"/>
          <w:lang w:val="en-US"/>
        </w:rPr>
        <w:t xml:space="preserve">g </w:t>
      </w:r>
      <w:r w:rsidRPr="00982815">
        <w:rPr>
          <w:rFonts w:eastAsia="Times New Roman" w:cs="Arial"/>
          <w:color w:val="000000"/>
          <w:lang w:eastAsia="bg-BG"/>
        </w:rPr>
        <w:t>сулфасалазин при 9 здрави мъже, по-малко от 15% от дозата сулфасалазин се абсорбира като непроменено вещество. Установими серумни концентрации сулфасалазин са открити при здрави доброволци 90 минути след приема. Максимални концентрации сулфасалазин се достигат между 3 и 12 часа след прием, като средната стойност е 6 μ</w:t>
      </w:r>
      <w:r w:rsidRPr="00982815">
        <w:rPr>
          <w:rFonts w:eastAsia="Times New Roman" w:cs="Arial"/>
          <w:color w:val="000000"/>
          <w:lang w:val="en-US"/>
        </w:rPr>
        <w:t xml:space="preserve">g/ml </w:t>
      </w:r>
      <w:r w:rsidRPr="00982815">
        <w:rPr>
          <w:rFonts w:eastAsia="Times New Roman" w:cs="Arial"/>
          <w:color w:val="000000"/>
          <w:lang w:eastAsia="bg-BG"/>
        </w:rPr>
        <w:t>след 6 часа.</w:t>
      </w:r>
    </w:p>
    <w:p w14:paraId="49CD3027" w14:textId="77777777" w:rsidR="00982815" w:rsidRPr="00D55828" w:rsidRDefault="00982815" w:rsidP="00982815">
      <w:pPr>
        <w:spacing w:line="240" w:lineRule="auto"/>
        <w:rPr>
          <w:rFonts w:eastAsia="Times New Roman" w:cs="Arial"/>
          <w:color w:val="000000"/>
          <w:lang w:eastAsia="bg-BG"/>
        </w:rPr>
      </w:pPr>
    </w:p>
    <w:p w14:paraId="52F81F2B" w14:textId="26E211AF"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За сравнение, максимални плазмени нива на сулфапиридин и 5-АСА се достигат приблизително 10 часа след прием. Дългото време за достигане на максимални плазмени нива е показателно за транзитното време през стомашно-чревния тракт до дебелото черво, където бактериите извършват метаболизма. Сулфапиридинът се абсорбира добре от дебелото черво с приблизителна бионаличност 60%. В същото това проучване 5-АСА се абсорбира доста по-слабо от стомашно-чревния тракт с приблизителна бионаличност от 10% до 30%.</w:t>
      </w:r>
    </w:p>
    <w:p w14:paraId="074BAE40" w14:textId="77777777" w:rsidR="00982815" w:rsidRPr="00D55828" w:rsidRDefault="00982815" w:rsidP="00982815">
      <w:pPr>
        <w:spacing w:line="240" w:lineRule="auto"/>
        <w:rPr>
          <w:rFonts w:eastAsia="Times New Roman" w:cs="Arial"/>
          <w:color w:val="000000"/>
          <w:u w:val="single"/>
          <w:lang w:eastAsia="bg-BG"/>
        </w:rPr>
      </w:pPr>
    </w:p>
    <w:p w14:paraId="13D09355" w14:textId="54DB9764" w:rsidR="00982815" w:rsidRPr="00D55828" w:rsidRDefault="00982815" w:rsidP="00D55828">
      <w:pPr>
        <w:pStyle w:val="Heading3"/>
        <w:rPr>
          <w:rFonts w:eastAsia="Times New Roman"/>
          <w:u w:val="single"/>
          <w:lang w:eastAsia="bg-BG"/>
        </w:rPr>
      </w:pPr>
      <w:r w:rsidRPr="00D55828">
        <w:rPr>
          <w:rFonts w:eastAsia="Times New Roman"/>
          <w:u w:val="single"/>
          <w:lang w:eastAsia="bg-BG"/>
        </w:rPr>
        <w:t>Разпределение:</w:t>
      </w:r>
    </w:p>
    <w:p w14:paraId="43B0EE22"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Изчисленият обем на разпределение на сулфасалазин след интравенозна инжекция е 7,5 ± 1,6 1. Сулфасалазин се свързва в голяма степен с албумина (&gt;99,3%), докато сулфапиридин е само 70% свързан с албумина. Ацетилсулфапиридин, главният метаболит на сулфапиридин, е приблизително 90% свързан с плазмените протеини.</w:t>
      </w:r>
    </w:p>
    <w:p w14:paraId="0E9713B4" w14:textId="77777777" w:rsidR="00982815" w:rsidRPr="00D55828" w:rsidRDefault="00982815" w:rsidP="00982815">
      <w:pPr>
        <w:spacing w:line="240" w:lineRule="auto"/>
        <w:rPr>
          <w:rFonts w:eastAsia="Times New Roman" w:cs="Arial"/>
          <w:color w:val="000000"/>
          <w:u w:val="single"/>
          <w:lang w:eastAsia="bg-BG"/>
        </w:rPr>
      </w:pPr>
    </w:p>
    <w:p w14:paraId="75AC686A" w14:textId="03271D2E" w:rsidR="00982815" w:rsidRPr="00D55828" w:rsidRDefault="00982815" w:rsidP="00D55828">
      <w:pPr>
        <w:pStyle w:val="Heading3"/>
        <w:rPr>
          <w:rFonts w:eastAsia="Times New Roman"/>
          <w:u w:val="single"/>
          <w:lang w:eastAsia="bg-BG"/>
        </w:rPr>
      </w:pPr>
      <w:r w:rsidRPr="00D55828">
        <w:rPr>
          <w:rFonts w:eastAsia="Times New Roman"/>
          <w:u w:val="single"/>
          <w:lang w:eastAsia="bg-BG"/>
        </w:rPr>
        <w:t>Метаболизъм:</w:t>
      </w:r>
    </w:p>
    <w:p w14:paraId="722E9115"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 xml:space="preserve">Както е споменато по-горе, сулфасалазин се метаболизира от чревните бактерии до сулфапиридин и 5-АСА. Приблизително 15% от дозата сулфасалазин се абсорбира като непроменено вещество и се метаболизира частично в черния дроб до същите два метаболита. Наблюдаваният плазмен полуживот при интравенозно приложение на сулфасалазин е 7,6 ±3,4 часа. Главният път на метаболизиране на сулфапиридин е чрез ацетилиране до ацетилсулфапиридин </w:t>
      </w:r>
      <w:r w:rsidRPr="00982815">
        <w:rPr>
          <w:rFonts w:eastAsia="Times New Roman" w:cs="Arial"/>
          <w:color w:val="000000"/>
          <w:lang w:val="en-US"/>
        </w:rPr>
        <w:t>(</w:t>
      </w:r>
      <w:proofErr w:type="spellStart"/>
      <w:r w:rsidRPr="00982815">
        <w:rPr>
          <w:rFonts w:eastAsia="Times New Roman" w:cs="Arial"/>
          <w:color w:val="000000"/>
          <w:lang w:val="en-US"/>
        </w:rPr>
        <w:t>AcSP</w:t>
      </w:r>
      <w:proofErr w:type="spellEnd"/>
      <w:r w:rsidRPr="00982815">
        <w:rPr>
          <w:rFonts w:eastAsia="Times New Roman" w:cs="Arial"/>
          <w:color w:val="000000"/>
          <w:lang w:val="en-US"/>
        </w:rPr>
        <w:t xml:space="preserve">). </w:t>
      </w:r>
      <w:r w:rsidRPr="00982815">
        <w:rPr>
          <w:rFonts w:eastAsia="Times New Roman" w:cs="Arial"/>
          <w:color w:val="000000"/>
          <w:lang w:eastAsia="bg-BG"/>
        </w:rPr>
        <w:t>Скоростта на метаболизиране от сулфапиридин до ацетилсулфапиридин зависи от ацетилаторния фенотип. При бързите ацетилатори средният плазмен полуживот на сулфапиридин е 10,4 часа, докато при бавните ацетилатори е 14,8 часа. Сулфапиридин може също да се метаболизира до 5-</w:t>
      </w:r>
      <w:r w:rsidRPr="00982815">
        <w:rPr>
          <w:rFonts w:eastAsia="Times New Roman" w:cs="Arial"/>
          <w:color w:val="000000"/>
          <w:lang w:eastAsia="bg-BG"/>
        </w:rPr>
        <w:lastRenderedPageBreak/>
        <w:t xml:space="preserve">хидроксисулфапиридин </w:t>
      </w:r>
      <w:r w:rsidRPr="00982815">
        <w:rPr>
          <w:rFonts w:eastAsia="Times New Roman" w:cs="Arial"/>
          <w:color w:val="000000"/>
          <w:lang w:val="en-US"/>
        </w:rPr>
        <w:t xml:space="preserve">(SPOH) </w:t>
      </w:r>
      <w:r w:rsidRPr="00982815">
        <w:rPr>
          <w:rFonts w:eastAsia="Times New Roman" w:cs="Arial"/>
          <w:color w:val="000000"/>
          <w:lang w:eastAsia="bg-BG"/>
        </w:rPr>
        <w:t xml:space="preserve">и </w:t>
      </w:r>
      <w:r w:rsidRPr="00982815">
        <w:rPr>
          <w:rFonts w:eastAsia="Times New Roman" w:cs="Arial"/>
          <w:color w:val="000000"/>
          <w:lang w:val="en-US"/>
        </w:rPr>
        <w:t>N</w:t>
      </w:r>
      <w:r w:rsidRPr="00982815">
        <w:rPr>
          <w:rFonts w:eastAsia="Times New Roman" w:cs="Arial"/>
          <w:color w:val="000000"/>
          <w:lang w:eastAsia="bg-BG"/>
        </w:rPr>
        <w:t xml:space="preserve">-ацетил- 5-хидроксисулфапиридин. 5-АСА се метаболизира главно в черния дроб и червата до </w:t>
      </w:r>
      <w:r w:rsidRPr="00982815">
        <w:rPr>
          <w:rFonts w:eastAsia="Times New Roman" w:cs="Arial"/>
          <w:color w:val="000000"/>
          <w:lang w:val="en-US"/>
        </w:rPr>
        <w:t>N</w:t>
      </w:r>
      <w:r w:rsidRPr="00982815">
        <w:rPr>
          <w:rFonts w:eastAsia="Times New Roman" w:cs="Arial"/>
          <w:color w:val="000000"/>
          <w:lang w:eastAsia="bg-BG"/>
        </w:rPr>
        <w:t>-ацетил-5- аминосалицилова киселина чрез независимия от ацетилаторния фенотип път. Поради ниските плазмени нива, достигани от 5-АСА след перорално приложение, не е възможно да се дадат надеждни приблизителни стойности на плазмения полуживот.</w:t>
      </w:r>
    </w:p>
    <w:p w14:paraId="7A0DEC17" w14:textId="77777777" w:rsidR="00982815" w:rsidRPr="00D55828" w:rsidRDefault="00982815" w:rsidP="00982815">
      <w:pPr>
        <w:spacing w:line="240" w:lineRule="auto"/>
        <w:rPr>
          <w:rFonts w:eastAsia="Times New Roman" w:cs="Arial"/>
          <w:color w:val="000000"/>
          <w:u w:val="single"/>
          <w:lang w:eastAsia="bg-BG"/>
        </w:rPr>
      </w:pPr>
    </w:p>
    <w:p w14:paraId="7F80C617" w14:textId="6E98E173" w:rsidR="00982815" w:rsidRPr="00D55828" w:rsidRDefault="00982815" w:rsidP="00D55828">
      <w:pPr>
        <w:pStyle w:val="Heading3"/>
        <w:rPr>
          <w:rFonts w:eastAsia="Times New Roman"/>
          <w:u w:val="single"/>
          <w:lang w:eastAsia="bg-BG"/>
        </w:rPr>
      </w:pPr>
      <w:r w:rsidRPr="00D55828">
        <w:rPr>
          <w:rFonts w:eastAsia="Times New Roman"/>
          <w:u w:val="single"/>
          <w:lang w:eastAsia="bg-BG"/>
        </w:rPr>
        <w:t>Екскреция:</w:t>
      </w:r>
    </w:p>
    <w:p w14:paraId="45551830" w14:textId="30BD4FB7" w:rsidR="007A2185" w:rsidRPr="00D55828" w:rsidRDefault="00982815" w:rsidP="00982815">
      <w:pPr>
        <w:spacing w:line="240" w:lineRule="auto"/>
        <w:rPr>
          <w:rFonts w:eastAsia="Times New Roman" w:cs="Arial"/>
          <w:lang w:eastAsia="bg-BG"/>
        </w:rPr>
      </w:pPr>
      <w:r w:rsidRPr="00982815">
        <w:rPr>
          <w:rFonts w:eastAsia="Times New Roman" w:cs="Arial"/>
          <w:color w:val="000000"/>
          <w:lang w:eastAsia="bg-BG"/>
        </w:rPr>
        <w:t>Абсорбираните сулфапиридин и 5-АСА и техните метаболити се елиминират главно</w:t>
      </w:r>
      <w:r w:rsidRPr="00982815">
        <w:rPr>
          <w:rFonts w:eastAsia="Times New Roman" w:cs="Arial"/>
          <w:color w:val="000000"/>
          <w:lang w:val="en-US"/>
        </w:rPr>
        <w:t xml:space="preserve"> </w:t>
      </w:r>
      <w:r w:rsidRPr="00982815">
        <w:rPr>
          <w:rFonts w:eastAsia="Times New Roman" w:cs="Arial"/>
          <w:color w:val="000000"/>
          <w:lang w:eastAsia="bg-BG"/>
        </w:rPr>
        <w:t>с урината като</w:t>
      </w:r>
      <w:r w:rsidRPr="00D55828">
        <w:rPr>
          <w:rFonts w:eastAsia="Times New Roman" w:cs="Arial"/>
          <w:lang w:eastAsia="bg-BG"/>
        </w:rPr>
        <w:t xml:space="preserve"> </w:t>
      </w:r>
      <w:r w:rsidRPr="00982815">
        <w:rPr>
          <w:rFonts w:eastAsia="Times New Roman" w:cs="Arial"/>
          <w:color w:val="000000"/>
          <w:lang w:eastAsia="bg-BG"/>
        </w:rPr>
        <w:t>свободни метаболити или като конюгирани глюкурониди. Голяма част от 5-АСА остава в лумена на</w:t>
      </w:r>
      <w:r w:rsidRPr="00D55828">
        <w:rPr>
          <w:rFonts w:eastAsia="Times New Roman" w:cs="Arial"/>
          <w:lang w:eastAsia="bg-BG"/>
        </w:rPr>
        <w:t xml:space="preserve"> </w:t>
      </w:r>
      <w:r w:rsidRPr="00982815">
        <w:rPr>
          <w:rFonts w:eastAsia="Times New Roman" w:cs="Arial"/>
          <w:color w:val="000000"/>
          <w:lang w:eastAsia="bg-BG"/>
        </w:rPr>
        <w:t>червото и се екскретира с фецеса като 5-АСА и ацетил-5-АСА. Изчисленият клирънс на</w:t>
      </w:r>
      <w:r w:rsidR="00D55828">
        <w:rPr>
          <w:rFonts w:eastAsia="Times New Roman" w:cs="Arial"/>
          <w:lang w:val="en-US" w:eastAsia="bg-BG"/>
        </w:rPr>
        <w:t xml:space="preserve"> </w:t>
      </w:r>
      <w:r w:rsidRPr="00982815">
        <w:rPr>
          <w:rFonts w:eastAsia="Times New Roman" w:cs="Arial"/>
          <w:color w:val="000000"/>
          <w:lang w:eastAsia="bg-BG"/>
        </w:rPr>
        <w:t xml:space="preserve">сулфасалазин след интравенозно приложение е 11/час. Изчислено е, че бъбречният клирънс възлиза </w:t>
      </w:r>
      <w:r w:rsidRPr="00D55828">
        <w:rPr>
          <w:rFonts w:eastAsia="Times New Roman" w:cs="Arial"/>
          <w:color w:val="000000"/>
          <w:lang w:eastAsia="bg-BG"/>
        </w:rPr>
        <w:t>на 37% от общия клирънс.</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57F29DAA"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 xml:space="preserve">Двугодишни проучвания на перорална карциногенност са проведени при мъжки и женски плъхове линия </w:t>
      </w:r>
      <w:r w:rsidRPr="00982815">
        <w:rPr>
          <w:rFonts w:eastAsia="Times New Roman" w:cs="Arial"/>
          <w:color w:val="000000"/>
          <w:lang w:val="en-US"/>
        </w:rPr>
        <w:t xml:space="preserve">F344/N </w:t>
      </w:r>
      <w:r w:rsidRPr="00982815">
        <w:rPr>
          <w:rFonts w:eastAsia="Times New Roman" w:cs="Arial"/>
          <w:color w:val="000000"/>
          <w:lang w:eastAsia="bg-BG"/>
        </w:rPr>
        <w:t xml:space="preserve">и мишки линия </w:t>
      </w:r>
      <w:r w:rsidRPr="00982815">
        <w:rPr>
          <w:rFonts w:eastAsia="Times New Roman" w:cs="Arial"/>
          <w:color w:val="000000"/>
          <w:lang w:val="en-US"/>
        </w:rPr>
        <w:t xml:space="preserve">B6C3F1. </w:t>
      </w:r>
      <w:r w:rsidRPr="00982815">
        <w:rPr>
          <w:rFonts w:eastAsia="Times New Roman" w:cs="Arial"/>
          <w:color w:val="000000"/>
          <w:lang w:eastAsia="bg-BG"/>
        </w:rPr>
        <w:t xml:space="preserve">Сулфасалазин е бил тестван при плъхове в дози 84 (496 </w:t>
      </w:r>
      <w:r w:rsidRPr="00982815">
        <w:rPr>
          <w:rFonts w:eastAsia="Times New Roman" w:cs="Arial"/>
          <w:color w:val="000000"/>
          <w:lang w:val="en-US"/>
        </w:rPr>
        <w:t>mg/m</w:t>
      </w:r>
      <w:r w:rsidRPr="00982815">
        <w:rPr>
          <w:rFonts w:eastAsia="Times New Roman" w:cs="Arial"/>
          <w:color w:val="000000"/>
          <w:vertAlign w:val="superscript"/>
          <w:lang w:val="en-US"/>
        </w:rPr>
        <w:t>2</w:t>
      </w:r>
      <w:r w:rsidRPr="00982815">
        <w:rPr>
          <w:rFonts w:eastAsia="Times New Roman" w:cs="Arial"/>
          <w:color w:val="000000"/>
          <w:lang w:val="en-US"/>
        </w:rPr>
        <w:t xml:space="preserve">), </w:t>
      </w:r>
      <w:r w:rsidRPr="00982815">
        <w:rPr>
          <w:rFonts w:eastAsia="Times New Roman" w:cs="Arial"/>
          <w:color w:val="000000"/>
          <w:lang w:eastAsia="bg-BG"/>
        </w:rPr>
        <w:t xml:space="preserve">168 (991 </w:t>
      </w:r>
      <w:r w:rsidRPr="00982815">
        <w:rPr>
          <w:rFonts w:eastAsia="Times New Roman" w:cs="Arial"/>
          <w:color w:val="000000"/>
          <w:lang w:val="en-US"/>
        </w:rPr>
        <w:t>mg/m</w:t>
      </w:r>
      <w:r w:rsidRPr="00982815">
        <w:rPr>
          <w:rFonts w:eastAsia="Times New Roman" w:cs="Arial"/>
          <w:color w:val="000000"/>
          <w:vertAlign w:val="superscript"/>
          <w:lang w:val="en-US"/>
        </w:rPr>
        <w:t>2</w:t>
      </w:r>
      <w:r w:rsidRPr="00982815">
        <w:rPr>
          <w:rFonts w:eastAsia="Times New Roman" w:cs="Arial"/>
          <w:color w:val="000000"/>
          <w:lang w:val="en-US"/>
        </w:rPr>
        <w:t xml:space="preserve">) </w:t>
      </w:r>
      <w:r w:rsidRPr="00982815">
        <w:rPr>
          <w:rFonts w:eastAsia="Times New Roman" w:cs="Arial"/>
          <w:color w:val="000000"/>
          <w:lang w:eastAsia="bg-BG"/>
        </w:rPr>
        <w:t xml:space="preserve">и 337,5 (1991 </w:t>
      </w:r>
      <w:r w:rsidRPr="00982815">
        <w:rPr>
          <w:rFonts w:eastAsia="Times New Roman" w:cs="Arial"/>
          <w:color w:val="000000"/>
          <w:lang w:val="en-US"/>
        </w:rPr>
        <w:t>mg/m</w:t>
      </w:r>
      <w:r w:rsidRPr="00982815">
        <w:rPr>
          <w:rFonts w:eastAsia="Times New Roman" w:cs="Arial"/>
          <w:color w:val="000000"/>
          <w:vertAlign w:val="superscript"/>
          <w:lang w:val="en-US"/>
        </w:rPr>
        <w:t>2</w:t>
      </w:r>
      <w:r w:rsidRPr="00982815">
        <w:rPr>
          <w:rFonts w:eastAsia="Times New Roman" w:cs="Arial"/>
          <w:color w:val="000000"/>
          <w:lang w:val="en-US"/>
        </w:rPr>
        <w:t>) mg/kg</w:t>
      </w:r>
      <w:r w:rsidRPr="00982815">
        <w:rPr>
          <w:rFonts w:eastAsia="Times New Roman" w:cs="Arial"/>
          <w:color w:val="000000"/>
          <w:lang w:eastAsia="bg-BG"/>
        </w:rPr>
        <w:t xml:space="preserve">/ден. Наблюдавано е статистически значимо повишаване на честотата на преходноклетъчна папилома на пикочния мехур при мъжки плъхове. При женските плъхове два (4%) от третираните с дози 337,5 </w:t>
      </w:r>
      <w:r w:rsidRPr="00982815">
        <w:rPr>
          <w:rFonts w:eastAsia="Times New Roman" w:cs="Arial"/>
          <w:color w:val="000000"/>
          <w:lang w:val="en-US"/>
        </w:rPr>
        <w:t xml:space="preserve">mg/kg </w:t>
      </w:r>
      <w:r w:rsidRPr="00982815">
        <w:rPr>
          <w:rFonts w:eastAsia="Times New Roman" w:cs="Arial"/>
          <w:color w:val="000000"/>
          <w:lang w:eastAsia="bg-BG"/>
        </w:rPr>
        <w:t xml:space="preserve">плъхове са имали преходноклетъчна папилома на бъбреците. Повишената честота на неоплазмите на пикочния мехур и бъбреците при плъхове е свързана също с повишено образуване на камъни в бъбреците и хиперплазия на преходноклетьчния епител. В проучването при мишки сулфасалазин е тестван в дози 675 (2025 </w:t>
      </w:r>
      <w:r w:rsidRPr="00982815">
        <w:rPr>
          <w:rFonts w:eastAsia="Times New Roman" w:cs="Arial"/>
          <w:color w:val="000000"/>
          <w:lang w:val="en-US"/>
        </w:rPr>
        <w:t>mg/m</w:t>
      </w:r>
      <w:r w:rsidRPr="00982815">
        <w:rPr>
          <w:rFonts w:eastAsia="Times New Roman" w:cs="Arial"/>
          <w:color w:val="000000"/>
          <w:vertAlign w:val="superscript"/>
          <w:lang w:val="en-US"/>
        </w:rPr>
        <w:t>2</w:t>
      </w:r>
      <w:r w:rsidRPr="00982815">
        <w:rPr>
          <w:rFonts w:eastAsia="Times New Roman" w:cs="Arial"/>
          <w:color w:val="000000"/>
          <w:lang w:val="en-US"/>
        </w:rPr>
        <w:t xml:space="preserve">), </w:t>
      </w:r>
      <w:r w:rsidRPr="00982815">
        <w:rPr>
          <w:rFonts w:eastAsia="Times New Roman" w:cs="Arial"/>
          <w:color w:val="000000"/>
          <w:lang w:eastAsia="bg-BG"/>
        </w:rPr>
        <w:t xml:space="preserve">1350 (4050 </w:t>
      </w:r>
      <w:r w:rsidRPr="00982815">
        <w:rPr>
          <w:rFonts w:eastAsia="Times New Roman" w:cs="Arial"/>
          <w:color w:val="000000"/>
          <w:lang w:val="en-US"/>
        </w:rPr>
        <w:t>mg/m</w:t>
      </w:r>
      <w:r w:rsidRPr="00982815">
        <w:rPr>
          <w:rFonts w:eastAsia="Times New Roman" w:cs="Arial"/>
          <w:color w:val="000000"/>
          <w:vertAlign w:val="superscript"/>
          <w:lang w:val="en-US"/>
        </w:rPr>
        <w:t>2</w:t>
      </w:r>
      <w:r w:rsidRPr="00982815">
        <w:rPr>
          <w:rFonts w:eastAsia="Times New Roman" w:cs="Arial"/>
          <w:color w:val="000000"/>
          <w:lang w:val="en-US"/>
        </w:rPr>
        <w:t xml:space="preserve">) </w:t>
      </w:r>
      <w:r w:rsidRPr="00982815">
        <w:rPr>
          <w:rFonts w:eastAsia="Times New Roman" w:cs="Arial"/>
          <w:color w:val="000000"/>
          <w:lang w:eastAsia="bg-BG"/>
        </w:rPr>
        <w:t xml:space="preserve">и 2700 (8100 </w:t>
      </w:r>
      <w:r w:rsidRPr="00982815">
        <w:rPr>
          <w:rFonts w:eastAsia="Times New Roman" w:cs="Arial"/>
          <w:color w:val="000000"/>
          <w:lang w:val="en-US"/>
        </w:rPr>
        <w:t>mg/m</w:t>
      </w:r>
      <w:r w:rsidRPr="00982815">
        <w:rPr>
          <w:rFonts w:eastAsia="Times New Roman" w:cs="Arial"/>
          <w:color w:val="000000"/>
          <w:vertAlign w:val="superscript"/>
          <w:lang w:val="en-US"/>
        </w:rPr>
        <w:t>2</w:t>
      </w:r>
      <w:r w:rsidRPr="00982815">
        <w:rPr>
          <w:rFonts w:eastAsia="Times New Roman" w:cs="Arial"/>
          <w:color w:val="000000"/>
          <w:lang w:val="en-US"/>
        </w:rPr>
        <w:t>) mg/kg</w:t>
      </w:r>
      <w:r w:rsidRPr="00982815">
        <w:rPr>
          <w:rFonts w:eastAsia="Times New Roman" w:cs="Arial"/>
          <w:color w:val="000000"/>
          <w:lang w:eastAsia="bg-BG"/>
        </w:rPr>
        <w:t>/ден. Честотата на хепатоцелуларен аденом или карцином при мъжки и женски мишки е била значимо по-висока в сравнение с контролната група за всички тествани дози.</w:t>
      </w:r>
    </w:p>
    <w:p w14:paraId="537280DB" w14:textId="77777777" w:rsidR="00982815" w:rsidRPr="00982815" w:rsidRDefault="00982815" w:rsidP="00982815">
      <w:pPr>
        <w:spacing w:line="240" w:lineRule="auto"/>
        <w:rPr>
          <w:rFonts w:eastAsia="Times New Roman" w:cs="Arial"/>
          <w:color w:val="000000"/>
          <w:lang w:eastAsia="bg-BG"/>
        </w:rPr>
      </w:pPr>
    </w:p>
    <w:p w14:paraId="119761D8" w14:textId="1F712A5A"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 xml:space="preserve">Сулфасалазин не показва мутагенност чрез метода на бактериална обратна мутация </w:t>
      </w:r>
      <w:r w:rsidRPr="00982815">
        <w:rPr>
          <w:rFonts w:eastAsia="Times New Roman" w:cs="Arial"/>
          <w:color w:val="000000"/>
          <w:lang w:val="en-US"/>
        </w:rPr>
        <w:t xml:space="preserve">(Ames test) </w:t>
      </w:r>
      <w:r w:rsidRPr="00982815">
        <w:rPr>
          <w:rFonts w:eastAsia="Times New Roman" w:cs="Arial"/>
          <w:color w:val="000000"/>
          <w:lang w:eastAsia="bg-BG"/>
        </w:rPr>
        <w:t xml:space="preserve">или чрез </w:t>
      </w:r>
      <w:r w:rsidRPr="00982815">
        <w:rPr>
          <w:rFonts w:eastAsia="Times New Roman" w:cs="Arial"/>
          <w:color w:val="000000"/>
          <w:lang w:val="en-US"/>
        </w:rPr>
        <w:t xml:space="preserve">HGPRT </w:t>
      </w:r>
      <w:r w:rsidRPr="00982815">
        <w:rPr>
          <w:rFonts w:eastAsia="Times New Roman" w:cs="Arial"/>
          <w:color w:val="000000"/>
          <w:lang w:eastAsia="bg-BG"/>
        </w:rPr>
        <w:t xml:space="preserve">тест на лимфомни клетки от мишки линия </w:t>
      </w:r>
      <w:r w:rsidRPr="00982815">
        <w:rPr>
          <w:rFonts w:eastAsia="Times New Roman" w:cs="Arial"/>
          <w:color w:val="000000"/>
          <w:lang w:val="en-US"/>
        </w:rPr>
        <w:t xml:space="preserve">L51784. </w:t>
      </w:r>
      <w:r w:rsidRPr="00982815">
        <w:rPr>
          <w:rFonts w:eastAsia="Times New Roman" w:cs="Arial"/>
          <w:color w:val="000000"/>
          <w:lang w:eastAsia="bg-BG"/>
        </w:rPr>
        <w:t>Въпреки това сулфасалазин показва еднакъв мутагенен ефект при микроядрения тест на костен мозък на мишки и плъхове и периферни еритроцити на мишки и при сестрински хроматиден обмен, хромозомни аберации и микроядрен тест на човешки лимфоцити.</w:t>
      </w:r>
    </w:p>
    <w:p w14:paraId="51B7BFFD" w14:textId="77777777" w:rsidR="00982815" w:rsidRPr="00982815" w:rsidRDefault="00982815" w:rsidP="00982815">
      <w:pPr>
        <w:rPr>
          <w:rFonts w:eastAsia="Times New Roman" w:cs="Arial"/>
          <w:color w:val="000000"/>
          <w:lang w:eastAsia="bg-BG"/>
        </w:rPr>
      </w:pPr>
    </w:p>
    <w:p w14:paraId="13A7B62A" w14:textId="6AC63A4E" w:rsidR="007A2185" w:rsidRPr="00982815" w:rsidRDefault="00982815" w:rsidP="00982815">
      <w:pPr>
        <w:rPr>
          <w:rFonts w:cs="Arial"/>
        </w:rPr>
      </w:pPr>
      <w:r w:rsidRPr="00982815">
        <w:rPr>
          <w:rFonts w:eastAsia="Times New Roman" w:cs="Arial"/>
          <w:color w:val="000000"/>
          <w:lang w:eastAsia="bg-BG"/>
        </w:rPr>
        <w:t xml:space="preserve">Наблюдавани са нарушения на мъжкия фертилитет при репродуктивни проучвания при плъхове при 800 </w:t>
      </w:r>
      <w:r w:rsidRPr="00982815">
        <w:rPr>
          <w:rFonts w:eastAsia="Times New Roman" w:cs="Arial"/>
          <w:color w:val="000000"/>
          <w:lang w:val="en-US"/>
        </w:rPr>
        <w:t>mg/kg</w:t>
      </w:r>
      <w:r w:rsidRPr="00982815">
        <w:rPr>
          <w:rFonts w:eastAsia="Times New Roman" w:cs="Arial"/>
          <w:color w:val="000000"/>
          <w:lang w:eastAsia="bg-BG"/>
        </w:rPr>
        <w:t xml:space="preserve">/ден (4800 </w:t>
      </w:r>
      <w:r w:rsidRPr="00982815">
        <w:rPr>
          <w:rFonts w:eastAsia="Times New Roman" w:cs="Arial"/>
          <w:color w:val="000000"/>
          <w:lang w:val="en-US"/>
        </w:rPr>
        <w:t>mg/m</w:t>
      </w:r>
      <w:r w:rsidRPr="00982815">
        <w:rPr>
          <w:rFonts w:eastAsia="Times New Roman" w:cs="Arial"/>
          <w:color w:val="000000"/>
          <w:vertAlign w:val="superscript"/>
          <w:lang w:val="en-US"/>
        </w:rPr>
        <w:t>2</w:t>
      </w:r>
      <w:r w:rsidRPr="00982815">
        <w:rPr>
          <w:rFonts w:eastAsia="Times New Roman" w:cs="Arial"/>
          <w:color w:val="000000"/>
          <w:lang w:val="en-US"/>
        </w:rPr>
        <w:t xml:space="preserve">). </w:t>
      </w:r>
      <w:r w:rsidRPr="00982815">
        <w:rPr>
          <w:rFonts w:eastAsia="Times New Roman" w:cs="Arial"/>
          <w:color w:val="000000"/>
          <w:lang w:eastAsia="bg-BG"/>
        </w:rPr>
        <w:t>Описани са олигоспермия и безплодие при мъже, лекувани със сулфасалазин. Тези ефекти изглежда са обратими при прекратяване приема на лекарството.</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21067855" w14:textId="77777777" w:rsidR="00982815" w:rsidRPr="00982815" w:rsidRDefault="00982815" w:rsidP="00982815">
      <w:pPr>
        <w:spacing w:line="240" w:lineRule="auto"/>
        <w:rPr>
          <w:rFonts w:eastAsia="Times New Roman" w:cs="Arial"/>
          <w:lang w:val="en-US" w:eastAsia="bg-BG"/>
        </w:rPr>
      </w:pPr>
      <w:r w:rsidRPr="00982815">
        <w:rPr>
          <w:rFonts w:eastAsia="Times New Roman" w:cs="Arial"/>
          <w:color w:val="000000"/>
          <w:lang w:val="en-US"/>
        </w:rPr>
        <w:t>Pfizer Enterprises SARL</w:t>
      </w:r>
    </w:p>
    <w:p w14:paraId="10430B81" w14:textId="77777777" w:rsidR="00982815" w:rsidRPr="00982815" w:rsidRDefault="00982815" w:rsidP="00982815">
      <w:pPr>
        <w:spacing w:line="240" w:lineRule="auto"/>
        <w:rPr>
          <w:rFonts w:eastAsia="Times New Roman" w:cs="Arial"/>
          <w:lang w:val="en-US" w:eastAsia="bg-BG"/>
        </w:rPr>
      </w:pPr>
      <w:proofErr w:type="spellStart"/>
      <w:r w:rsidRPr="00982815">
        <w:rPr>
          <w:rFonts w:eastAsia="Times New Roman" w:cs="Arial"/>
          <w:color w:val="000000"/>
          <w:lang w:val="en-US"/>
        </w:rPr>
        <w:t>Rond</w:t>
      </w:r>
      <w:proofErr w:type="spellEnd"/>
      <w:r w:rsidRPr="00982815">
        <w:rPr>
          <w:rFonts w:eastAsia="Times New Roman" w:cs="Arial"/>
          <w:color w:val="000000"/>
          <w:lang w:val="en-US"/>
        </w:rPr>
        <w:t xml:space="preserve">-point du </w:t>
      </w:r>
      <w:proofErr w:type="spellStart"/>
      <w:r w:rsidRPr="00982815">
        <w:rPr>
          <w:rFonts w:eastAsia="Times New Roman" w:cs="Arial"/>
          <w:color w:val="000000"/>
          <w:lang w:val="en-US"/>
        </w:rPr>
        <w:t>Kirchberg</w:t>
      </w:r>
      <w:proofErr w:type="spellEnd"/>
      <w:r w:rsidRPr="00982815">
        <w:rPr>
          <w:rFonts w:eastAsia="Times New Roman" w:cs="Arial"/>
          <w:color w:val="000000"/>
          <w:lang w:val="en-US"/>
        </w:rPr>
        <w:t>, 51, Avenue J.F. Kennedy,</w:t>
      </w:r>
    </w:p>
    <w:p w14:paraId="771D174C" w14:textId="77777777" w:rsidR="00982815" w:rsidRPr="00982815" w:rsidRDefault="00982815" w:rsidP="00982815">
      <w:pPr>
        <w:spacing w:line="240" w:lineRule="auto"/>
        <w:rPr>
          <w:rFonts w:eastAsia="Times New Roman" w:cs="Arial"/>
          <w:lang w:val="en-US" w:eastAsia="bg-BG"/>
        </w:rPr>
      </w:pPr>
      <w:r w:rsidRPr="00982815">
        <w:rPr>
          <w:rFonts w:eastAsia="Times New Roman" w:cs="Arial"/>
          <w:color w:val="000000"/>
          <w:lang w:val="en-US"/>
        </w:rPr>
        <w:t>L-1855 Luxembourg</w:t>
      </w:r>
    </w:p>
    <w:p w14:paraId="4F02909F" w14:textId="3213AABB" w:rsidR="007A2185" w:rsidRPr="00982815" w:rsidRDefault="00982815" w:rsidP="00982815">
      <w:pPr>
        <w:rPr>
          <w:rFonts w:cs="Arial"/>
        </w:rPr>
      </w:pPr>
      <w:r w:rsidRPr="00982815">
        <w:rPr>
          <w:rFonts w:eastAsia="Times New Roman" w:cs="Arial"/>
          <w:color w:val="000000"/>
          <w:lang w:eastAsia="bg-BG"/>
        </w:rPr>
        <w:t>Люксембург</w:t>
      </w:r>
    </w:p>
    <w:p w14:paraId="129C7566" w14:textId="77777777" w:rsidR="0091385D" w:rsidRPr="0091385D" w:rsidRDefault="0091385D" w:rsidP="0091385D"/>
    <w:p w14:paraId="7BA1BA64" w14:textId="17509450" w:rsidR="00CF77F7" w:rsidRDefault="002C50EE" w:rsidP="004A448E">
      <w:pPr>
        <w:pStyle w:val="Heading1"/>
      </w:pPr>
      <w:r>
        <w:lastRenderedPageBreak/>
        <w:t>8. НОМЕР НА РАЗРЕШЕНИЕТО ЗА УПОТРЕБА</w:t>
      </w:r>
    </w:p>
    <w:p w14:paraId="095674C4" w14:textId="3072FB0E" w:rsidR="0091385D" w:rsidRDefault="0091385D" w:rsidP="0091385D"/>
    <w:p w14:paraId="46161304" w14:textId="43196CFA" w:rsidR="007A2185" w:rsidRPr="00982815" w:rsidRDefault="00982815" w:rsidP="0091385D">
      <w:pPr>
        <w:rPr>
          <w:rFonts w:cs="Arial"/>
        </w:rPr>
      </w:pPr>
      <w:r w:rsidRPr="00982815">
        <w:rPr>
          <w:rFonts w:cs="Arial"/>
        </w:rPr>
        <w:t>9700310</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03FA0A1C" w14:textId="77777777" w:rsidR="00982815" w:rsidRPr="00982815" w:rsidRDefault="00982815" w:rsidP="00982815">
      <w:pPr>
        <w:spacing w:line="240" w:lineRule="auto"/>
        <w:rPr>
          <w:rFonts w:eastAsia="Times New Roman" w:cs="Arial"/>
          <w:lang w:eastAsia="bg-BG"/>
        </w:rPr>
      </w:pPr>
      <w:r w:rsidRPr="00982815">
        <w:rPr>
          <w:rFonts w:eastAsia="Times New Roman" w:cs="Arial"/>
          <w:color w:val="000000"/>
          <w:lang w:eastAsia="bg-BG"/>
        </w:rPr>
        <w:t>Дата на първо разрешаване: 15 май 1997 г.</w:t>
      </w:r>
    </w:p>
    <w:p w14:paraId="6C57D8B6" w14:textId="2A62755E" w:rsidR="007A2185" w:rsidRPr="00982815" w:rsidRDefault="00982815" w:rsidP="00982815">
      <w:pPr>
        <w:rPr>
          <w:rFonts w:cs="Arial"/>
        </w:rPr>
      </w:pPr>
      <w:r w:rsidRPr="00982815">
        <w:rPr>
          <w:rFonts w:eastAsia="Times New Roman" w:cs="Arial"/>
          <w:color w:val="000000"/>
          <w:lang w:eastAsia="bg-BG"/>
        </w:rPr>
        <w:t>Дата на последно подновяване: 18 март 2009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77777777" w:rsidR="007A2185" w:rsidRDefault="007A2185"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278DB"/>
    <w:multiLevelType w:val="hybridMultilevel"/>
    <w:tmpl w:val="73F60F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1"/>
  </w:num>
  <w:num w:numId="12">
    <w:abstractNumId w:val="14"/>
  </w:num>
  <w:num w:numId="13">
    <w:abstractNumId w:val="20"/>
  </w:num>
  <w:num w:numId="14">
    <w:abstractNumId w:val="11"/>
  </w:num>
  <w:num w:numId="15">
    <w:abstractNumId w:val="30"/>
  </w:num>
  <w:num w:numId="16">
    <w:abstractNumId w:val="9"/>
  </w:num>
  <w:num w:numId="17">
    <w:abstractNumId w:val="25"/>
  </w:num>
  <w:num w:numId="18">
    <w:abstractNumId w:val="7"/>
  </w:num>
  <w:num w:numId="19">
    <w:abstractNumId w:val="27"/>
  </w:num>
  <w:num w:numId="20">
    <w:abstractNumId w:val="24"/>
  </w:num>
  <w:num w:numId="21">
    <w:abstractNumId w:val="17"/>
  </w:num>
  <w:num w:numId="22">
    <w:abstractNumId w:val="26"/>
  </w:num>
  <w:num w:numId="23">
    <w:abstractNumId w:val="19"/>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74299"/>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82815"/>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55828"/>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3464</Words>
  <Characters>19751</Characters>
  <Application>Microsoft Office Word</Application>
  <DocSecurity>0</DocSecurity>
  <Lines>164</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2023-04-05T13:47:00Z</dcterms:created>
  <dcterms:modified xsi:type="dcterms:W3CDTF">2023-04-05T13:47:00Z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