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471D99B3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супозитории </w:t>
      </w:r>
    </w:p>
    <w:p w14:paraId="55E657F3" w14:textId="4B884DCD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C44DF2">
        <w:rPr>
          <w:rFonts w:eastAsia="Times New Roman" w:cs="Arial"/>
          <w:color w:val="000000"/>
          <w:lang w:eastAsia="bg-BG"/>
        </w:rPr>
        <w:t>мезалазин</w:t>
      </w:r>
    </w:p>
    <w:p w14:paraId="7EC7A16A" w14:textId="77777777" w:rsidR="00C44DF2" w:rsidRPr="00C44DF2" w:rsidRDefault="00C44DF2" w:rsidP="00C44DF2">
      <w:pPr>
        <w:rPr>
          <w:rFonts w:eastAsia="Times New Roman" w:cs="Arial"/>
          <w:color w:val="000000"/>
          <w:lang w:val="en-US"/>
        </w:rPr>
      </w:pPr>
    </w:p>
    <w:p w14:paraId="316069B2" w14:textId="77777777" w:rsidR="00C44DF2" w:rsidRPr="00C44DF2" w:rsidRDefault="00C44DF2" w:rsidP="00C44DF2">
      <w:pPr>
        <w:rPr>
          <w:rFonts w:eastAsia="Times New Roman" w:cs="Arial"/>
          <w:color w:val="000000"/>
          <w:lang w:val="en-US"/>
        </w:rPr>
      </w:pPr>
      <w:proofErr w:type="spellStart"/>
      <w:r w:rsidRPr="00C44DF2">
        <w:rPr>
          <w:rFonts w:eastAsia="Times New Roman" w:cs="Arial"/>
          <w:color w:val="000000"/>
          <w:lang w:val="en-US"/>
        </w:rPr>
        <w:t>Salofalk</w:t>
      </w:r>
      <w:proofErr w:type="spellEnd"/>
      <w:r w:rsidRPr="00C44DF2">
        <w:rPr>
          <w:rFonts w:eastAsia="Times New Roman" w:cs="Arial"/>
          <w:color w:val="000000"/>
          <w:lang w:val="en-US"/>
        </w:rPr>
        <w:t xml:space="preserve"> </w:t>
      </w:r>
      <w:r w:rsidRPr="00C44DF2">
        <w:rPr>
          <w:rFonts w:eastAsia="Times New Roman" w:cs="Arial"/>
          <w:color w:val="000000"/>
          <w:lang w:eastAsia="bg-BG"/>
        </w:rPr>
        <w:t xml:space="preserve">500 </w:t>
      </w:r>
      <w:r w:rsidRPr="00C44DF2">
        <w:rPr>
          <w:rFonts w:eastAsia="Times New Roman" w:cs="Arial"/>
          <w:color w:val="000000"/>
          <w:lang w:val="en-US"/>
        </w:rPr>
        <w:t xml:space="preserve">mg suppositories </w:t>
      </w:r>
    </w:p>
    <w:p w14:paraId="5015A1FD" w14:textId="559E34E7" w:rsidR="00A73575" w:rsidRPr="00C44DF2" w:rsidRDefault="00C44DF2" w:rsidP="00C44DF2">
      <w:pPr>
        <w:rPr>
          <w:rFonts w:cs="Arial"/>
        </w:rPr>
      </w:pPr>
      <w:proofErr w:type="spellStart"/>
      <w:r w:rsidRPr="00C44DF2">
        <w:rPr>
          <w:rFonts w:eastAsia="Times New Roman" w:cs="Arial"/>
          <w:color w:val="000000"/>
          <w:lang w:val="en-US"/>
        </w:rPr>
        <w:t>Mesalazine</w:t>
      </w:r>
      <w:proofErr w:type="spellEnd"/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53FBB8F2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Една 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супозитория съдържа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мезалазин </w:t>
      </w:r>
      <w:r w:rsidRPr="00C44DF2">
        <w:rPr>
          <w:rFonts w:eastAsia="Times New Roman" w:cs="Arial"/>
          <w:color w:val="000000"/>
          <w:lang w:val="en-US"/>
        </w:rPr>
        <w:t>(</w:t>
      </w:r>
      <w:proofErr w:type="spellStart"/>
      <w:r w:rsidRPr="00C44DF2">
        <w:rPr>
          <w:rFonts w:eastAsia="Times New Roman" w:cs="Arial"/>
          <w:color w:val="000000"/>
          <w:lang w:val="en-US"/>
        </w:rPr>
        <w:t>mesalazine</w:t>
      </w:r>
      <w:proofErr w:type="spellEnd"/>
      <w:r w:rsidRPr="00C44DF2">
        <w:rPr>
          <w:rFonts w:eastAsia="Times New Roman" w:cs="Arial"/>
          <w:color w:val="000000"/>
          <w:lang w:val="en-US"/>
        </w:rPr>
        <w:t xml:space="preserve">) </w:t>
      </w:r>
      <w:r w:rsidRPr="00C44DF2">
        <w:rPr>
          <w:rFonts w:eastAsia="Times New Roman" w:cs="Arial"/>
          <w:color w:val="000000"/>
          <w:lang w:eastAsia="bg-BG"/>
        </w:rPr>
        <w:t>като терапевтично активно вещество.</w:t>
      </w:r>
    </w:p>
    <w:p w14:paraId="794208E9" w14:textId="77777777" w:rsidR="00C44DF2" w:rsidRPr="00C44DF2" w:rsidRDefault="00C44DF2" w:rsidP="00C44DF2">
      <w:pPr>
        <w:rPr>
          <w:rFonts w:eastAsia="Times New Roman" w:cs="Arial"/>
          <w:color w:val="000000"/>
          <w:lang w:eastAsia="bg-BG"/>
        </w:rPr>
      </w:pPr>
    </w:p>
    <w:p w14:paraId="03110A50" w14:textId="57CD47A2" w:rsidR="0091385D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1510413C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Супозитория за ректално приложение</w:t>
      </w:r>
    </w:p>
    <w:p w14:paraId="4EC8A310" w14:textId="77777777" w:rsidR="00C44DF2" w:rsidRPr="00C44DF2" w:rsidRDefault="00C44DF2" w:rsidP="00C44DF2">
      <w:pPr>
        <w:rPr>
          <w:rFonts w:eastAsia="Times New Roman" w:cs="Arial"/>
          <w:color w:val="000000"/>
          <w:lang w:eastAsia="bg-BG"/>
        </w:rPr>
      </w:pPr>
    </w:p>
    <w:p w14:paraId="4129ADBB" w14:textId="31A2D4C0" w:rsidR="0091385D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eastAsia="bg-BG"/>
        </w:rPr>
        <w:t>Външен вид: бяла до кремаво оцветена, с форма на торпедо супозитория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4B2E99C" w14:textId="10DF1314" w:rsidR="0091385D" w:rsidRPr="00C44DF2" w:rsidRDefault="00C44DF2" w:rsidP="0091385D">
      <w:pPr>
        <w:rPr>
          <w:rFonts w:cs="Arial"/>
        </w:rPr>
      </w:pPr>
      <w:r w:rsidRPr="00C44DF2">
        <w:rPr>
          <w:rFonts w:cs="Arial"/>
        </w:rPr>
        <w:t>Лечение на остър улцерозен колит, който е ограничен в ректума.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0700C69E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В зависимост от индивидуалните клинични нужди, една 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супозитория се поставя в</w:t>
      </w:r>
      <w:bookmarkStart w:id="1" w:name="_GoBack"/>
      <w:bookmarkEnd w:id="1"/>
      <w:r w:rsidRPr="00C44DF2">
        <w:rPr>
          <w:rFonts w:eastAsia="Times New Roman" w:cs="Arial"/>
          <w:color w:val="000000"/>
          <w:lang w:eastAsia="bg-BG"/>
        </w:rPr>
        <w:t xml:space="preserve"> ректума три пъти дневно (еквивалентно на 1 500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мезалазин дневно).</w:t>
      </w:r>
    </w:p>
    <w:p w14:paraId="39919C18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D04E93" w14:textId="197506C6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След настъпването на ремисия, дозата трябва се редуцира до една супозитория с 250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мезалазин (напр. Салофалк 250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супозитории) три пъти дневно за профилактика на рецидив.</w:t>
      </w:r>
    </w:p>
    <w:p w14:paraId="74A2827E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633991" w14:textId="3BF9AE5A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u w:val="single"/>
          <w:lang w:eastAsia="bg-BG"/>
        </w:rPr>
        <w:t>Деца на възраст под 6 години</w:t>
      </w:r>
    </w:p>
    <w:p w14:paraId="5EA4332F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 не трябва да се прилагат при деца на възраст под 6 години поради много ограничения опит при тази възрастова група.</w:t>
      </w:r>
    </w:p>
    <w:p w14:paraId="4726F109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C4C852A" w14:textId="3EF7E55D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u w:val="single"/>
          <w:lang w:eastAsia="bg-BG"/>
        </w:rPr>
        <w:t>Деца на възраст над 6 години и юноши</w:t>
      </w:r>
    </w:p>
    <w:p w14:paraId="7E9D7618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В зависимост от тежестта на заболяването, по време на острото състояние трябва да се прилагат 30-50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мезалазин</w:t>
      </w:r>
      <w:r w:rsidRPr="00C44DF2">
        <w:rPr>
          <w:rFonts w:eastAsia="Times New Roman" w:cs="Arial"/>
          <w:color w:val="000000"/>
          <w:lang w:val="en-US"/>
        </w:rPr>
        <w:t xml:space="preserve">/kg </w:t>
      </w:r>
      <w:r w:rsidRPr="00C44DF2">
        <w:rPr>
          <w:rFonts w:eastAsia="Times New Roman" w:cs="Arial"/>
          <w:color w:val="000000"/>
          <w:lang w:eastAsia="bg-BG"/>
        </w:rPr>
        <w:t>телесно тегло дневно, разделени на 3 дози.</w:t>
      </w:r>
    </w:p>
    <w:p w14:paraId="67C1B83E" w14:textId="77777777" w:rsid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C86EC0" w14:textId="6CDFFB89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За профилактика на рецидив, трябва да се прилагат 15-30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мезалазин</w:t>
      </w:r>
      <w:r w:rsidRPr="00C44DF2">
        <w:rPr>
          <w:rFonts w:eastAsia="Times New Roman" w:cs="Arial"/>
          <w:color w:val="000000"/>
          <w:lang w:val="en-US"/>
        </w:rPr>
        <w:t xml:space="preserve">/kg </w:t>
      </w:r>
      <w:r w:rsidRPr="00C44DF2">
        <w:rPr>
          <w:rFonts w:eastAsia="Times New Roman" w:cs="Arial"/>
          <w:color w:val="000000"/>
          <w:lang w:eastAsia="bg-BG"/>
        </w:rPr>
        <w:t>телесно тегло дневно, разделени на 2 до 3 дози.</w:t>
      </w:r>
    </w:p>
    <w:p w14:paraId="7939F1A3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24D1E7" w14:textId="091E5CEF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Най-общо се препоръчва при телесно тегло до 40 </w:t>
      </w:r>
      <w:r w:rsidRPr="00C44DF2">
        <w:rPr>
          <w:rFonts w:eastAsia="Times New Roman" w:cs="Arial"/>
          <w:color w:val="000000"/>
          <w:lang w:val="en-US"/>
        </w:rPr>
        <w:t xml:space="preserve">kg </w:t>
      </w:r>
      <w:r w:rsidRPr="00C44DF2">
        <w:rPr>
          <w:rFonts w:eastAsia="Times New Roman" w:cs="Arial"/>
          <w:color w:val="000000"/>
          <w:lang w:eastAsia="bg-BG"/>
        </w:rPr>
        <w:t>да се прилага половината от дозата за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C44DF2">
        <w:rPr>
          <w:rFonts w:eastAsia="Times New Roman" w:cs="Arial"/>
          <w:color w:val="000000"/>
          <w:lang w:eastAsia="bg-BG"/>
        </w:rPr>
        <w:t xml:space="preserve">възрастни, а при телесно тегло над 40 </w:t>
      </w:r>
      <w:r w:rsidRPr="00C44DF2">
        <w:rPr>
          <w:rFonts w:eastAsia="Times New Roman" w:cs="Arial"/>
          <w:color w:val="000000"/>
          <w:lang w:val="en-US"/>
        </w:rPr>
        <w:t xml:space="preserve">kg </w:t>
      </w:r>
      <w:r w:rsidRPr="00C44DF2">
        <w:rPr>
          <w:rFonts w:eastAsia="Times New Roman" w:cs="Arial"/>
          <w:color w:val="000000"/>
          <w:lang w:eastAsia="bg-BG"/>
        </w:rPr>
        <w:t>- нормалната доза за възрастни.</w:t>
      </w:r>
    </w:p>
    <w:p w14:paraId="5D957BC2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475300EC" w14:textId="7FB0A1F1" w:rsidR="0091385D" w:rsidRDefault="00C44DF2" w:rsidP="00C44DF2">
      <w:pPr>
        <w:rPr>
          <w:rFonts w:eastAsia="Times New Roman" w:cs="Arial"/>
          <w:color w:val="000000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Така, при деца с телесно тегло до 40 </w:t>
      </w:r>
      <w:r w:rsidRPr="00C44DF2">
        <w:rPr>
          <w:rFonts w:eastAsia="Times New Roman" w:cs="Arial"/>
          <w:color w:val="000000"/>
          <w:lang w:val="en-US"/>
        </w:rPr>
        <w:t xml:space="preserve">kg </w:t>
      </w:r>
      <w:r w:rsidRPr="00C44DF2">
        <w:rPr>
          <w:rFonts w:eastAsia="Times New Roman" w:cs="Arial"/>
          <w:color w:val="000000"/>
          <w:lang w:eastAsia="bg-BG"/>
        </w:rPr>
        <w:t>се прилагат:</w:t>
      </w:r>
    </w:p>
    <w:p w14:paraId="36418DF1" w14:textId="77777777" w:rsidR="00C44DF2" w:rsidRDefault="00C44DF2" w:rsidP="00C44DF2">
      <w:pPr>
        <w:rPr>
          <w:rFonts w:eastAsia="Times New Roman" w:cs="Arial"/>
          <w:color w:val="000000"/>
          <w:lang w:eastAsia="bg-BG"/>
        </w:rPr>
      </w:pPr>
    </w:p>
    <w:p w14:paraId="15E7BD69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-за лечение на остро състояние: 1 супозитория с 250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мезалазин три пъти дневно (напр. Салофалк 250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супозитории)</w:t>
      </w:r>
    </w:p>
    <w:p w14:paraId="765A2727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-за предотвратяване на рецидив: 1 супозитория с 250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мезалазин два пъти дневно (сутрин и вечер) (напр. Салофалк 250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супозитории)</w:t>
      </w:r>
    </w:p>
    <w:p w14:paraId="708DD01A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9D0457" w14:textId="0BEF25E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При деца с телесно тегло над 40 </w:t>
      </w:r>
      <w:r w:rsidRPr="00C44DF2">
        <w:rPr>
          <w:rFonts w:eastAsia="Times New Roman" w:cs="Arial"/>
          <w:color w:val="000000"/>
          <w:lang w:val="en-US"/>
        </w:rPr>
        <w:t xml:space="preserve">kg </w:t>
      </w:r>
      <w:r w:rsidRPr="00C44DF2">
        <w:rPr>
          <w:rFonts w:eastAsia="Times New Roman" w:cs="Arial"/>
          <w:color w:val="000000"/>
          <w:lang w:eastAsia="bg-BG"/>
        </w:rPr>
        <w:t>се прилага дозата за възрастни.</w:t>
      </w:r>
    </w:p>
    <w:p w14:paraId="3457713E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BC8380" w14:textId="0B7576B3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Когато 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 се използват 3 пъти дневно, те трябва да се поставят в ануса сутрин, по обяд и вечер.</w:t>
      </w:r>
    </w:p>
    <w:p w14:paraId="2FA70493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0DB61E" w14:textId="19A0248D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Лечението със 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 трябва да се прилага редовно и постоянно, тъй като само по този начин може да се постигне успешно възстановяване.</w:t>
      </w:r>
    </w:p>
    <w:p w14:paraId="548C47BE" w14:textId="77777777" w:rsidR="00C44DF2" w:rsidRPr="00C44DF2" w:rsidRDefault="00C44DF2" w:rsidP="00C44DF2">
      <w:pPr>
        <w:rPr>
          <w:rFonts w:eastAsia="Times New Roman" w:cs="Arial"/>
          <w:color w:val="000000"/>
          <w:lang w:eastAsia="bg-BG"/>
        </w:rPr>
      </w:pPr>
    </w:p>
    <w:p w14:paraId="64327CED" w14:textId="35673C97" w:rsidR="00C44DF2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eastAsia="bg-BG"/>
        </w:rPr>
        <w:t>Острото състояние на улцерозен колит обикновено отзвучава в рамките на 8 - 12 седмици. Продължителността на употребата се определя от лекаря.</w:t>
      </w:r>
    </w:p>
    <w:p w14:paraId="6ACAF645" w14:textId="77777777" w:rsidR="0091385D" w:rsidRPr="0091385D" w:rsidRDefault="0091385D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66C34AFC" w14:textId="77777777" w:rsidR="00C44DF2" w:rsidRDefault="00C44DF2" w:rsidP="0091385D">
      <w:r>
        <w:t xml:space="preserve">Салофалк 500 </w:t>
      </w:r>
      <w:r>
        <w:rPr>
          <w:lang w:val="en-US"/>
        </w:rPr>
        <w:t xml:space="preserve">mg </w:t>
      </w:r>
      <w:r>
        <w:t>супозитории са п</w:t>
      </w:r>
      <w:r>
        <w:t xml:space="preserve">ротивопоказани при пациенти с: </w:t>
      </w:r>
    </w:p>
    <w:p w14:paraId="2C460FDA" w14:textId="77777777" w:rsidR="00C44DF2" w:rsidRDefault="00C44DF2" w:rsidP="0091385D">
      <w:pPr>
        <w:pStyle w:val="ListParagraph"/>
        <w:numPr>
          <w:ilvl w:val="0"/>
          <w:numId w:val="36"/>
        </w:numPr>
      </w:pPr>
      <w:r>
        <w:t>известна свръхчувствителност към салицилати или к</w:t>
      </w:r>
      <w:r>
        <w:t xml:space="preserve">ъм някое от помощните вещества </w:t>
      </w:r>
    </w:p>
    <w:p w14:paraId="2309EAB0" w14:textId="45E639D9" w:rsidR="0091385D" w:rsidRDefault="00C44DF2" w:rsidP="0091385D">
      <w:pPr>
        <w:pStyle w:val="ListParagraph"/>
        <w:numPr>
          <w:ilvl w:val="0"/>
          <w:numId w:val="36"/>
        </w:numPr>
      </w:pPr>
      <w:r>
        <w:t>тежко увреждане на чернодробната или бъбречна функция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5CA717FC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Изследванията на кръвта (диференциална кръвна картина, чернодробни функционални изследвания, като АЛАТ или АС АТ; серумен креатинин) и изследването на урината чрез тест ленти трябва да бъдат извършени преди и по време на лечението, по преценка на лекуващия лекар. Като правило, проследяващи изследвания се препоръчват 14 дни след започване на лечението, последвани от допълнителни две или три изследвания през интервали от 4 седмици.</w:t>
      </w:r>
    </w:p>
    <w:p w14:paraId="1C2D7978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5000B5" w14:textId="75F03BA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Ако находките са нормални, проследяващите изследвания трябва да се провеждат на всеки 3 месеца. Ако възникнат допълнителни симптоми, изследванията трябва да се проведат незабавно.</w:t>
      </w:r>
    </w:p>
    <w:p w14:paraId="7F237695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37D148" w14:textId="1799B78E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lastRenderedPageBreak/>
        <w:t>При пациенти с увредена чернодробна функция се препоръчва повишено внимание.</w:t>
      </w:r>
    </w:p>
    <w:p w14:paraId="1377CC95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649379" w14:textId="4177294A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 не трябва да се употребяват при пациенти с увредена бъбречна функция. Ако по време на лечението бъбречната функция се влоши, трябва да се има предвид вероятността за мезалазин-индуцирана бъбречна токсичност.</w:t>
      </w:r>
    </w:p>
    <w:p w14:paraId="5E4613EC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7A340A" w14:textId="35A6E258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Съобщавани са случаи на нефролитиаза при употреба на мезалазин, включително камъни със съдържание на 100 % мезалазин. Препоръчва се по време на лечението да се осигури достатъчен прием на течности.</w:t>
      </w:r>
    </w:p>
    <w:p w14:paraId="40B2F4BF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2B4E7B" w14:textId="0E893495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Пациентите с белодробно заболяване, по-специално астма, трябва да бъдат много внимателно проследявани в хода на лечението със 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супозитории.</w:t>
      </w:r>
    </w:p>
    <w:p w14:paraId="17746F3D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6E9F6B" w14:textId="2C641B34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Тежки кожни нежелани реакции</w:t>
      </w:r>
    </w:p>
    <w:p w14:paraId="23E6CACD" w14:textId="68DC265D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Съобщавани са тежки кожни нежелани реакции (ТКНР), включително синдром на </w:t>
      </w:r>
      <w:r w:rsidRPr="00C44DF2">
        <w:rPr>
          <w:rFonts w:eastAsia="Times New Roman" w:cs="Arial"/>
          <w:color w:val="000000"/>
          <w:lang w:val="en-US"/>
        </w:rPr>
        <w:t xml:space="preserve">Stevens- Johnson (SJS) </w:t>
      </w:r>
      <w:r w:rsidRPr="00C44DF2">
        <w:rPr>
          <w:rFonts w:eastAsia="Times New Roman" w:cs="Arial"/>
          <w:color w:val="000000"/>
          <w:lang w:eastAsia="bg-BG"/>
        </w:rPr>
        <w:t xml:space="preserve">и токсична епидермална некролиза </w:t>
      </w:r>
      <w:r w:rsidRPr="00C44DF2">
        <w:rPr>
          <w:rFonts w:eastAsia="Times New Roman" w:cs="Arial"/>
          <w:color w:val="000000"/>
          <w:lang w:val="en-US"/>
        </w:rPr>
        <w:t xml:space="preserve">(TEN), </w:t>
      </w:r>
      <w:r w:rsidRPr="00C44DF2">
        <w:rPr>
          <w:rFonts w:eastAsia="Times New Roman" w:cs="Arial"/>
          <w:color w:val="000000"/>
          <w:lang w:eastAsia="bg-BG"/>
        </w:rPr>
        <w:t>свързани с лечението с мезалазин. Мезалазин трябва да се прекрати при първата поява на признаци и симптоми на тежки кожни реакции като обрив по кожата, лезии на лигавицата или друг признак на свръхчувствителност</w:t>
      </w:r>
    </w:p>
    <w:p w14:paraId="271BCA17" w14:textId="77777777" w:rsidR="00C44DF2" w:rsidRPr="00C44DF2" w:rsidRDefault="00C44DF2" w:rsidP="00C44DF2">
      <w:pPr>
        <w:rPr>
          <w:rFonts w:eastAsia="Times New Roman" w:cs="Arial"/>
          <w:color w:val="000000"/>
          <w:lang w:eastAsia="bg-BG"/>
        </w:rPr>
      </w:pPr>
    </w:p>
    <w:p w14:paraId="0B3BEE35" w14:textId="5F843C63" w:rsidR="0091385D" w:rsidRDefault="00C44DF2" w:rsidP="00C44DF2">
      <w:pPr>
        <w:rPr>
          <w:rFonts w:eastAsia="Times New Roman" w:cs="Arial"/>
          <w:color w:val="000000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Пациентите с анамнеза за нежелани лекарствени реакции към лекарствени продукти, съдържащи сулфасалазин, трябва да бъдат под строго лекарско наблюдение при започване на лечебен курс със 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супозитории. Ако 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 предизвикат остри реакции на непоносимост, като коремни спазми, остра коремна болка, треска, тежко главоболие и обрив, лечението трябва незабавно да се преустанови.</w:t>
      </w:r>
    </w:p>
    <w:p w14:paraId="07CDD435" w14:textId="77777777" w:rsidR="00C44DF2" w:rsidRDefault="00C44DF2" w:rsidP="00C44DF2"/>
    <w:p w14:paraId="4E0F92F1" w14:textId="03CDC366" w:rsidR="00C44DF2" w:rsidRPr="00C44DF2" w:rsidRDefault="00C44DF2" w:rsidP="00C44DF2">
      <w:pPr>
        <w:rPr>
          <w:rFonts w:cs="Arial"/>
        </w:rPr>
      </w:pPr>
      <w:r>
        <w:t xml:space="preserve">Цетиловият алкохол, помощно вещество в състава на Салофалк 500 </w:t>
      </w:r>
      <w:r>
        <w:rPr>
          <w:lang w:val="en-US"/>
        </w:rPr>
        <w:t xml:space="preserve">mg, </w:t>
      </w:r>
      <w:r>
        <w:t>може да предизвика локално дразнене на кожата (напр. контактен дерматит).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6D11E82E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Не са провеждани проучвания за специфични взаимодействия.</w:t>
      </w:r>
    </w:p>
    <w:p w14:paraId="781BFECE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052DE3" w14:textId="1536F32F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При пациенти на съпътстващо лечение с азатиоприн, 6-меркаптопурин или тиогуанин, трябва да се има предвид възможно усилване на миелосупресивните ефекти на азатиоприн, 6-меркаптопурин или тиогуанин.</w:t>
      </w:r>
    </w:p>
    <w:p w14:paraId="745FC76B" w14:textId="77777777" w:rsidR="00C44DF2" w:rsidRPr="00C44DF2" w:rsidRDefault="00C44DF2" w:rsidP="00C44DF2">
      <w:pPr>
        <w:rPr>
          <w:rFonts w:eastAsia="Times New Roman" w:cs="Arial"/>
          <w:color w:val="000000"/>
          <w:lang w:eastAsia="bg-BG"/>
        </w:rPr>
      </w:pPr>
    </w:p>
    <w:p w14:paraId="172AE819" w14:textId="650B0F88" w:rsidR="0091385D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eastAsia="bg-BG"/>
        </w:rPr>
        <w:t>Налице са незначителни доказателства, че мезалазин може да понижи антикоагулантния ефект на варфарин.</w:t>
      </w:r>
    </w:p>
    <w:p w14:paraId="5B2761C5" w14:textId="77777777" w:rsidR="0091385D" w:rsidRPr="0091385D" w:rsidRDefault="0091385D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0C037F43" w14:textId="77777777" w:rsidR="00C44DF2" w:rsidRPr="00C44DF2" w:rsidRDefault="00C44DF2" w:rsidP="00C44DF2">
      <w:pPr>
        <w:pStyle w:val="Heading3"/>
        <w:rPr>
          <w:rFonts w:eastAsia="Times New Roman"/>
          <w:u w:val="single"/>
          <w:lang w:eastAsia="bg-BG"/>
        </w:rPr>
      </w:pPr>
      <w:r w:rsidRPr="00C44DF2">
        <w:rPr>
          <w:rFonts w:eastAsia="Times New Roman"/>
          <w:u w:val="single"/>
          <w:lang w:eastAsia="bg-BG"/>
        </w:rPr>
        <w:t>Бременност</w:t>
      </w:r>
    </w:p>
    <w:p w14:paraId="7D35E53C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Няма достатъчно данни за употребата на 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супозитории при бременни жени. Данните от ограничен брой случаи на експозиция по време на бременност показват, </w:t>
      </w:r>
      <w:r w:rsidRPr="00C44DF2">
        <w:rPr>
          <w:rFonts w:eastAsia="Times New Roman" w:cs="Arial"/>
          <w:color w:val="000000"/>
          <w:lang w:eastAsia="bg-BG"/>
        </w:rPr>
        <w:lastRenderedPageBreak/>
        <w:t>обаче, че мезалазин няма нежелани ефекти върху бременността или здравето на фетуса/новороденото дете. До момента няма други значими епидемиологични данни.</w:t>
      </w:r>
    </w:p>
    <w:p w14:paraId="17A81BF8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В един единствен случай след дългосрочна употреба на висока доза мезалазин (2-4 </w:t>
      </w:r>
      <w:r w:rsidRPr="00C44DF2">
        <w:rPr>
          <w:rFonts w:eastAsia="Times New Roman" w:cs="Arial"/>
          <w:color w:val="000000"/>
          <w:lang w:val="en-US"/>
        </w:rPr>
        <w:t xml:space="preserve">g, </w:t>
      </w:r>
      <w:r w:rsidRPr="00C44DF2">
        <w:rPr>
          <w:rFonts w:eastAsia="Times New Roman" w:cs="Arial"/>
          <w:color w:val="000000"/>
          <w:lang w:eastAsia="bg-BG"/>
        </w:rPr>
        <w:t>перорално) по време на бременността, е съобщена бъбречна недостатъчност при новороденото.</w:t>
      </w:r>
    </w:p>
    <w:p w14:paraId="62C5E61F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45C599" w14:textId="63B99CEC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Проучванията при животни върху перорално прилаган мезалазин не показват пряко или непряко вредно въздействие върху бременността, ембрионалното/феталното развитие, раждането или постнаталното развитие.</w:t>
      </w:r>
    </w:p>
    <w:p w14:paraId="1AA26998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BA4384" w14:textId="32C715F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 трябва да бъдат използвани по време на бременност само ако потенциалната полза надвишава възможния риск.</w:t>
      </w:r>
    </w:p>
    <w:p w14:paraId="363F3AFF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6BCFCFE" w14:textId="69BDED23" w:rsidR="00C44DF2" w:rsidRPr="00C44DF2" w:rsidRDefault="00C44DF2" w:rsidP="00C44DF2">
      <w:pPr>
        <w:pStyle w:val="Heading3"/>
        <w:rPr>
          <w:rFonts w:eastAsia="Times New Roman"/>
          <w:u w:val="single"/>
          <w:lang w:eastAsia="bg-BG"/>
        </w:rPr>
      </w:pPr>
      <w:r w:rsidRPr="00C44DF2">
        <w:rPr>
          <w:rFonts w:eastAsia="Times New Roman"/>
          <w:u w:val="single"/>
          <w:lang w:eastAsia="bg-BG"/>
        </w:rPr>
        <w:t>Кърмене</w:t>
      </w:r>
    </w:p>
    <w:p w14:paraId="776662C5" w14:textId="6B424E2C" w:rsidR="0091385D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val="en-US"/>
        </w:rPr>
        <w:t>N</w:t>
      </w:r>
      <w:r w:rsidRPr="00C44DF2">
        <w:rPr>
          <w:rFonts w:eastAsia="Times New Roman" w:cs="Arial"/>
          <w:color w:val="000000"/>
          <w:lang w:eastAsia="bg-BG"/>
        </w:rPr>
        <w:t xml:space="preserve">-ацетил-5-аминосалициловата киселина и в по-малка степен мезалазин се отделят в майчината кърма. До момента е налице само ограничен опит при жени в периода на лактация. Реакции на свръхчувствителност, като диария при кърмачето, не могат да бъдат изключени. Ето защо, Салофалк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 трябва да бъдат използвани по време на кърмене само ако потенциалната полза надвишава възможния риск. Ако кърмачето развие диария, кърменето трябва да се преустанови.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455FBE39" w:rsidR="0091385D" w:rsidRDefault="00C44DF2" w:rsidP="0091385D">
      <w:r>
        <w:t>Не са наблюдавани ефекти върху способността за шофиране и работа с машини.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570508C4" w14:textId="7B223843" w:rsidR="0091385D" w:rsidRDefault="00C44DF2" w:rsidP="0091385D">
      <w:r>
        <w:t>Следните нежелани лекарствени реакции са били съобщени при употребата на мезалазин: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2371"/>
        <w:gridCol w:w="2411"/>
        <w:gridCol w:w="2326"/>
      </w:tblGrid>
      <w:tr w:rsidR="00C44DF2" w14:paraId="0FEFCDC5" w14:textId="77777777" w:rsidTr="00C44DF2">
        <w:tc>
          <w:tcPr>
            <w:tcW w:w="2468" w:type="dxa"/>
          </w:tcPr>
          <w:p w14:paraId="145E800D" w14:textId="395E3BC9" w:rsidR="00C44DF2" w:rsidRDefault="00C44DF2" w:rsidP="00C44DF2">
            <w:r>
              <w:t>Системо-органни класове</w:t>
            </w:r>
          </w:p>
        </w:tc>
        <w:tc>
          <w:tcPr>
            <w:tcW w:w="7108" w:type="dxa"/>
            <w:gridSpan w:val="3"/>
          </w:tcPr>
          <w:p w14:paraId="56C99F44" w14:textId="6F284EC1" w:rsidR="00C44DF2" w:rsidRDefault="00C44DF2" w:rsidP="00C44DF2">
            <w:pPr>
              <w:jc w:val="center"/>
            </w:pPr>
            <w:r>
              <w:t xml:space="preserve">Честота по </w:t>
            </w:r>
            <w:proofErr w:type="spellStart"/>
            <w:r>
              <w:rPr>
                <w:lang w:val="en-US"/>
              </w:rPr>
              <w:t>MedDRA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конвенцията</w:t>
            </w:r>
          </w:p>
        </w:tc>
      </w:tr>
      <w:tr w:rsidR="00C44DF2" w14:paraId="11FC1B8F" w14:textId="77777777" w:rsidTr="00C44DF2">
        <w:tc>
          <w:tcPr>
            <w:tcW w:w="2468" w:type="dxa"/>
          </w:tcPr>
          <w:p w14:paraId="7DB5BEC7" w14:textId="77777777" w:rsidR="00C44DF2" w:rsidRDefault="00C44DF2" w:rsidP="00C44DF2"/>
        </w:tc>
        <w:tc>
          <w:tcPr>
            <w:tcW w:w="2371" w:type="dxa"/>
          </w:tcPr>
          <w:p w14:paraId="4064CBAF" w14:textId="58DB3EA5" w:rsidR="00C44DF2" w:rsidRDefault="00C44DF2" w:rsidP="00C44DF2">
            <w:r>
              <w:t>Редки (≥ 1/10 000 до &lt; 1/1 000)</w:t>
            </w:r>
          </w:p>
        </w:tc>
        <w:tc>
          <w:tcPr>
            <w:tcW w:w="2411" w:type="dxa"/>
          </w:tcPr>
          <w:p w14:paraId="75E6C7EC" w14:textId="6DFF1D4D" w:rsidR="00C44DF2" w:rsidRDefault="00C44DF2" w:rsidP="00C44DF2">
            <w:r>
              <w:t>Много редки (&lt; 1/10 000)</w:t>
            </w:r>
          </w:p>
        </w:tc>
        <w:tc>
          <w:tcPr>
            <w:tcW w:w="2326" w:type="dxa"/>
          </w:tcPr>
          <w:p w14:paraId="6F13F93F" w14:textId="77777777" w:rsidR="00C44DF2" w:rsidRDefault="00C44DF2" w:rsidP="00C44DF2">
            <w:r>
              <w:t>С неизвестна честота</w:t>
            </w:r>
          </w:p>
          <w:p w14:paraId="6C4DE3D7" w14:textId="77777777" w:rsidR="00C44DF2" w:rsidRDefault="00C44DF2" w:rsidP="00C44DF2">
            <w:r>
              <w:t>(от</w:t>
            </w:r>
          </w:p>
          <w:p w14:paraId="31909049" w14:textId="032A95FC" w:rsidR="00C44DF2" w:rsidRDefault="00C44DF2" w:rsidP="00C44DF2">
            <w:r>
              <w:t>не може да бъде направена оценка)</w:t>
            </w:r>
          </w:p>
        </w:tc>
      </w:tr>
      <w:tr w:rsidR="00C44DF2" w14:paraId="74081AAD" w14:textId="77777777" w:rsidTr="006A46E2">
        <w:trPr>
          <w:trHeight w:val="2159"/>
        </w:trPr>
        <w:tc>
          <w:tcPr>
            <w:tcW w:w="2468" w:type="dxa"/>
          </w:tcPr>
          <w:p w14:paraId="0FBA0B07" w14:textId="13C8A729" w:rsidR="00C44DF2" w:rsidRDefault="00C44DF2" w:rsidP="00C44DF2">
            <w:r>
              <w:t>Нарушения на кръвта и лимфната система</w:t>
            </w:r>
          </w:p>
        </w:tc>
        <w:tc>
          <w:tcPr>
            <w:tcW w:w="2371" w:type="dxa"/>
          </w:tcPr>
          <w:p w14:paraId="6F45C95B" w14:textId="77777777" w:rsidR="00C44DF2" w:rsidRDefault="00C44DF2" w:rsidP="00C44DF2"/>
        </w:tc>
        <w:tc>
          <w:tcPr>
            <w:tcW w:w="2411" w:type="dxa"/>
          </w:tcPr>
          <w:p w14:paraId="1AA95505" w14:textId="77777777" w:rsidR="00C44DF2" w:rsidRDefault="00C44DF2" w:rsidP="00C44DF2">
            <w:r>
              <w:t>Промени в кръвната картина (апластична анемия,</w:t>
            </w:r>
          </w:p>
          <w:p w14:paraId="634AA2A4" w14:textId="6D2F6FDD" w:rsidR="00C44DF2" w:rsidRDefault="00C44DF2" w:rsidP="00C44DF2">
            <w:r>
              <w:t>агранулоцитоза, панцитопения, неутропения, левкопения, тромбоцитопения)</w:t>
            </w:r>
          </w:p>
        </w:tc>
        <w:tc>
          <w:tcPr>
            <w:tcW w:w="2326" w:type="dxa"/>
            <w:textDirection w:val="tbRl"/>
          </w:tcPr>
          <w:p w14:paraId="414E4DB6" w14:textId="77777777" w:rsidR="00C44DF2" w:rsidRDefault="00C44DF2" w:rsidP="00C44DF2"/>
        </w:tc>
      </w:tr>
      <w:tr w:rsidR="00C44DF2" w14:paraId="0127A831" w14:textId="77777777" w:rsidTr="00C44DF2">
        <w:tc>
          <w:tcPr>
            <w:tcW w:w="2468" w:type="dxa"/>
            <w:vAlign w:val="bottom"/>
          </w:tcPr>
          <w:p w14:paraId="60F7F34B" w14:textId="1176A921" w:rsidR="00C44DF2" w:rsidRDefault="00C44DF2" w:rsidP="00C44DF2">
            <w:r>
              <w:t>Нарушения на нервната система</w:t>
            </w:r>
          </w:p>
        </w:tc>
        <w:tc>
          <w:tcPr>
            <w:tcW w:w="2371" w:type="dxa"/>
            <w:vAlign w:val="bottom"/>
          </w:tcPr>
          <w:p w14:paraId="233D7803" w14:textId="10432152" w:rsidR="00C44DF2" w:rsidRDefault="00C44DF2" w:rsidP="00C44DF2">
            <w:r>
              <w:t>Главоболие, замаяност</w:t>
            </w:r>
          </w:p>
        </w:tc>
        <w:tc>
          <w:tcPr>
            <w:tcW w:w="2411" w:type="dxa"/>
            <w:vAlign w:val="bottom"/>
          </w:tcPr>
          <w:p w14:paraId="0831D6EC" w14:textId="7A620174" w:rsidR="00C44DF2" w:rsidRDefault="00C44DF2" w:rsidP="00C44DF2">
            <w:r>
              <w:t>Периферна невропатия</w:t>
            </w:r>
          </w:p>
        </w:tc>
        <w:tc>
          <w:tcPr>
            <w:tcW w:w="2326" w:type="dxa"/>
          </w:tcPr>
          <w:p w14:paraId="7B0EC850" w14:textId="77777777" w:rsidR="00C44DF2" w:rsidRDefault="00C44DF2" w:rsidP="00C44DF2"/>
        </w:tc>
      </w:tr>
      <w:tr w:rsidR="00C44DF2" w14:paraId="2196CE10" w14:textId="77777777" w:rsidTr="00C44DF2">
        <w:tc>
          <w:tcPr>
            <w:tcW w:w="2468" w:type="dxa"/>
            <w:vAlign w:val="bottom"/>
          </w:tcPr>
          <w:p w14:paraId="696C0E7B" w14:textId="1CDEC7F6" w:rsidR="00C44DF2" w:rsidRDefault="00C44DF2" w:rsidP="00C44DF2">
            <w:r>
              <w:t>Сърдечни нарушения</w:t>
            </w:r>
          </w:p>
        </w:tc>
        <w:tc>
          <w:tcPr>
            <w:tcW w:w="2371" w:type="dxa"/>
            <w:vAlign w:val="bottom"/>
          </w:tcPr>
          <w:p w14:paraId="717464BD" w14:textId="29A9F5EB" w:rsidR="00C44DF2" w:rsidRDefault="00C44DF2" w:rsidP="00C44DF2">
            <w:r>
              <w:t xml:space="preserve">Миокардит, </w:t>
            </w:r>
            <w:r>
              <w:lastRenderedPageBreak/>
              <w:t>перикардит</w:t>
            </w:r>
          </w:p>
        </w:tc>
        <w:tc>
          <w:tcPr>
            <w:tcW w:w="2411" w:type="dxa"/>
          </w:tcPr>
          <w:p w14:paraId="1949AD16" w14:textId="77777777" w:rsidR="00C44DF2" w:rsidRDefault="00C44DF2" w:rsidP="00C44DF2"/>
        </w:tc>
        <w:tc>
          <w:tcPr>
            <w:tcW w:w="2326" w:type="dxa"/>
          </w:tcPr>
          <w:p w14:paraId="3A81D360" w14:textId="77777777" w:rsidR="00C44DF2" w:rsidRDefault="00C44DF2" w:rsidP="00C44DF2"/>
        </w:tc>
      </w:tr>
      <w:tr w:rsidR="00C44DF2" w14:paraId="4737A176" w14:textId="77777777" w:rsidTr="00C44DF2">
        <w:tc>
          <w:tcPr>
            <w:tcW w:w="2468" w:type="dxa"/>
          </w:tcPr>
          <w:p w14:paraId="316BFA87" w14:textId="784C1222" w:rsidR="00C44DF2" w:rsidRDefault="00C44DF2" w:rsidP="00C44DF2">
            <w:r>
              <w:t>Респираторни, гръдни и медиастинални нарушения</w:t>
            </w:r>
          </w:p>
        </w:tc>
        <w:tc>
          <w:tcPr>
            <w:tcW w:w="2371" w:type="dxa"/>
          </w:tcPr>
          <w:p w14:paraId="1676E829" w14:textId="77777777" w:rsidR="00C44DF2" w:rsidRDefault="00C44DF2" w:rsidP="00C44DF2"/>
        </w:tc>
        <w:tc>
          <w:tcPr>
            <w:tcW w:w="2411" w:type="dxa"/>
            <w:vAlign w:val="bottom"/>
          </w:tcPr>
          <w:p w14:paraId="6AB51B93" w14:textId="1960936C" w:rsidR="00C44DF2" w:rsidRDefault="00C44DF2" w:rsidP="00C44DF2">
            <w:r>
              <w:t>Алергични и фибротични белодробни реакции (включително диспнея, кашлица, бронхоспазъм, алвеолит, пулмонална еозинофилия, белодробна инфилтрация, пневмонит)</w:t>
            </w:r>
          </w:p>
        </w:tc>
        <w:tc>
          <w:tcPr>
            <w:tcW w:w="2326" w:type="dxa"/>
          </w:tcPr>
          <w:p w14:paraId="40EFB676" w14:textId="77777777" w:rsidR="00C44DF2" w:rsidRDefault="00C44DF2" w:rsidP="00C44DF2"/>
        </w:tc>
      </w:tr>
      <w:tr w:rsidR="00C44DF2" w14:paraId="225DEB1F" w14:textId="77777777" w:rsidTr="00C44DF2">
        <w:tc>
          <w:tcPr>
            <w:tcW w:w="2468" w:type="dxa"/>
          </w:tcPr>
          <w:p w14:paraId="3C3A087B" w14:textId="29044D75" w:rsidR="00C44DF2" w:rsidRDefault="00C44DF2" w:rsidP="00C44DF2">
            <w:r>
              <w:t>Стомашно-чревни нарушения</w:t>
            </w:r>
          </w:p>
        </w:tc>
        <w:tc>
          <w:tcPr>
            <w:tcW w:w="2371" w:type="dxa"/>
          </w:tcPr>
          <w:p w14:paraId="19641DA5" w14:textId="251C5653" w:rsidR="00C44DF2" w:rsidRDefault="00C44DF2" w:rsidP="00C44DF2">
            <w:r>
              <w:t>Болка в корема, диария, флатуленция, гадене, повръщане</w:t>
            </w:r>
          </w:p>
        </w:tc>
        <w:tc>
          <w:tcPr>
            <w:tcW w:w="2411" w:type="dxa"/>
          </w:tcPr>
          <w:p w14:paraId="30D1F6F1" w14:textId="4B28794E" w:rsidR="00C44DF2" w:rsidRDefault="00C44DF2" w:rsidP="00C44DF2">
            <w:r>
              <w:t>Остър панкреатит</w:t>
            </w:r>
          </w:p>
        </w:tc>
        <w:tc>
          <w:tcPr>
            <w:tcW w:w="2326" w:type="dxa"/>
          </w:tcPr>
          <w:p w14:paraId="01FB57A4" w14:textId="77777777" w:rsidR="00C44DF2" w:rsidRDefault="00C44DF2" w:rsidP="00C44DF2"/>
        </w:tc>
      </w:tr>
      <w:tr w:rsidR="00C44DF2" w14:paraId="00A651E6" w14:textId="77777777" w:rsidTr="00C44DF2">
        <w:tc>
          <w:tcPr>
            <w:tcW w:w="2468" w:type="dxa"/>
          </w:tcPr>
          <w:p w14:paraId="0811D51E" w14:textId="75157E0E" w:rsidR="00C44DF2" w:rsidRDefault="00C44DF2" w:rsidP="00C44DF2">
            <w:r>
              <w:t>Нарушения на бъбреците и пикочните пътища</w:t>
            </w:r>
          </w:p>
        </w:tc>
        <w:tc>
          <w:tcPr>
            <w:tcW w:w="2371" w:type="dxa"/>
          </w:tcPr>
          <w:p w14:paraId="2F2983A4" w14:textId="77777777" w:rsidR="00C44DF2" w:rsidRDefault="00C44DF2" w:rsidP="00C44DF2"/>
        </w:tc>
        <w:tc>
          <w:tcPr>
            <w:tcW w:w="2411" w:type="dxa"/>
            <w:vAlign w:val="bottom"/>
          </w:tcPr>
          <w:p w14:paraId="66ABF6B4" w14:textId="5491C969" w:rsidR="00C44DF2" w:rsidRDefault="00C44DF2" w:rsidP="00C44DF2">
            <w:r>
              <w:t>Увреждане на бъбречната функция, включително остър и хроничен интерстициален нефрит и бъбречна недостатъчност</w:t>
            </w:r>
          </w:p>
        </w:tc>
        <w:tc>
          <w:tcPr>
            <w:tcW w:w="2326" w:type="dxa"/>
          </w:tcPr>
          <w:p w14:paraId="6E244635" w14:textId="77E89164" w:rsidR="00C44DF2" w:rsidRDefault="00C44DF2" w:rsidP="00C44DF2">
            <w:r>
              <w:t>Нефролитиаза*</w:t>
            </w:r>
          </w:p>
        </w:tc>
      </w:tr>
      <w:tr w:rsidR="00C44DF2" w14:paraId="38308F25" w14:textId="77777777" w:rsidTr="00C44DF2">
        <w:tc>
          <w:tcPr>
            <w:tcW w:w="2468" w:type="dxa"/>
          </w:tcPr>
          <w:p w14:paraId="07A094BD" w14:textId="301E97C6" w:rsidR="00C44DF2" w:rsidRDefault="00C44DF2" w:rsidP="00C44DF2">
            <w:r>
              <w:t>Нарушения на кожата и подкожната тъкан</w:t>
            </w:r>
          </w:p>
        </w:tc>
        <w:tc>
          <w:tcPr>
            <w:tcW w:w="2371" w:type="dxa"/>
          </w:tcPr>
          <w:p w14:paraId="3676C245" w14:textId="20B156E1" w:rsidR="00C44DF2" w:rsidRDefault="00C44DF2" w:rsidP="00C44DF2">
            <w:r>
              <w:t>Фоточувствителност</w:t>
            </w:r>
          </w:p>
        </w:tc>
        <w:tc>
          <w:tcPr>
            <w:tcW w:w="2411" w:type="dxa"/>
          </w:tcPr>
          <w:p w14:paraId="0507AB79" w14:textId="4E5EC84F" w:rsidR="00C44DF2" w:rsidRDefault="00C44DF2" w:rsidP="00C44DF2">
            <w:r>
              <w:t>Алопеция</w:t>
            </w:r>
          </w:p>
        </w:tc>
        <w:tc>
          <w:tcPr>
            <w:tcW w:w="2326" w:type="dxa"/>
            <w:vAlign w:val="bottom"/>
          </w:tcPr>
          <w:p w14:paraId="1249E706" w14:textId="25375EFC" w:rsidR="00C44DF2" w:rsidRDefault="00C44DF2" w:rsidP="00C44DF2">
            <w:r>
              <w:t xml:space="preserve">Синдром на </w:t>
            </w:r>
            <w:r>
              <w:rPr>
                <w:lang w:val="en-US"/>
              </w:rPr>
              <w:t xml:space="preserve">Stevens- Johnson (SJS), </w:t>
            </w:r>
            <w:r>
              <w:t xml:space="preserve">токсична епидермална некролиза </w:t>
            </w:r>
            <w:r>
              <w:rPr>
                <w:lang w:val="en-US"/>
              </w:rPr>
              <w:t>(TEN)</w:t>
            </w:r>
          </w:p>
        </w:tc>
      </w:tr>
      <w:tr w:rsidR="00C44DF2" w14:paraId="6DCEBB6F" w14:textId="77777777" w:rsidTr="00C44DF2">
        <w:tc>
          <w:tcPr>
            <w:tcW w:w="2468" w:type="dxa"/>
            <w:vAlign w:val="bottom"/>
          </w:tcPr>
          <w:p w14:paraId="39F06099" w14:textId="5843ACAE" w:rsidR="00C44DF2" w:rsidRDefault="00C44DF2" w:rsidP="00C44DF2">
            <w:r>
              <w:t>Нарушения на мускулно-скелетната система и съединителната тъкан</w:t>
            </w:r>
          </w:p>
        </w:tc>
        <w:tc>
          <w:tcPr>
            <w:tcW w:w="2371" w:type="dxa"/>
          </w:tcPr>
          <w:p w14:paraId="55B6A579" w14:textId="77777777" w:rsidR="00C44DF2" w:rsidRDefault="00C44DF2" w:rsidP="00C44DF2"/>
        </w:tc>
        <w:tc>
          <w:tcPr>
            <w:tcW w:w="2411" w:type="dxa"/>
          </w:tcPr>
          <w:p w14:paraId="5AF6EF44" w14:textId="374485D3" w:rsidR="00C44DF2" w:rsidRDefault="00C44DF2" w:rsidP="00C44DF2">
            <w:r>
              <w:t>Миалгия, артралгия</w:t>
            </w:r>
          </w:p>
        </w:tc>
        <w:tc>
          <w:tcPr>
            <w:tcW w:w="2326" w:type="dxa"/>
          </w:tcPr>
          <w:p w14:paraId="4E45FB83" w14:textId="77777777" w:rsidR="00C44DF2" w:rsidRDefault="00C44DF2" w:rsidP="00C44DF2"/>
        </w:tc>
      </w:tr>
      <w:tr w:rsidR="00C44DF2" w14:paraId="459628E1" w14:textId="77777777" w:rsidTr="00C44DF2">
        <w:tc>
          <w:tcPr>
            <w:tcW w:w="2468" w:type="dxa"/>
          </w:tcPr>
          <w:p w14:paraId="2EF99247" w14:textId="5ACEB7BB" w:rsidR="00C44DF2" w:rsidRDefault="00C44DF2" w:rsidP="00C44DF2">
            <w:r>
              <w:t>Нарушения на имунната система</w:t>
            </w:r>
          </w:p>
        </w:tc>
        <w:tc>
          <w:tcPr>
            <w:tcW w:w="2371" w:type="dxa"/>
          </w:tcPr>
          <w:p w14:paraId="376D787F" w14:textId="77777777" w:rsidR="00C44DF2" w:rsidRDefault="00C44DF2" w:rsidP="00C44DF2"/>
        </w:tc>
        <w:tc>
          <w:tcPr>
            <w:tcW w:w="2411" w:type="dxa"/>
            <w:vAlign w:val="bottom"/>
          </w:tcPr>
          <w:p w14:paraId="7DB47DA5" w14:textId="476B7718" w:rsidR="00C44DF2" w:rsidRDefault="00C44DF2" w:rsidP="00C44DF2">
            <w:r>
              <w:t>Реакции на свръхчувствителност като алергична екзантема, лекарствена треска, синдром на лупус еритематодес, панколит</w:t>
            </w:r>
          </w:p>
        </w:tc>
        <w:tc>
          <w:tcPr>
            <w:tcW w:w="2326" w:type="dxa"/>
            <w:vAlign w:val="bottom"/>
          </w:tcPr>
          <w:p w14:paraId="10451729" w14:textId="77777777" w:rsidR="00C44DF2" w:rsidRDefault="00C44DF2" w:rsidP="00C44DF2"/>
        </w:tc>
      </w:tr>
      <w:tr w:rsidR="00C44DF2" w14:paraId="08C8B10E" w14:textId="77777777" w:rsidTr="00960B78">
        <w:trPr>
          <w:trHeight w:val="2429"/>
        </w:trPr>
        <w:tc>
          <w:tcPr>
            <w:tcW w:w="2468" w:type="dxa"/>
          </w:tcPr>
          <w:p w14:paraId="2CAB274A" w14:textId="00C4BEB8" w:rsidR="00C44DF2" w:rsidRDefault="00C44DF2" w:rsidP="00C44DF2">
            <w:r>
              <w:lastRenderedPageBreak/>
              <w:t>Хепато-билиарни нарушения</w:t>
            </w:r>
          </w:p>
        </w:tc>
        <w:tc>
          <w:tcPr>
            <w:tcW w:w="2371" w:type="dxa"/>
          </w:tcPr>
          <w:p w14:paraId="3D0F1CC5" w14:textId="77777777" w:rsidR="00C44DF2" w:rsidRDefault="00C44DF2" w:rsidP="00C44DF2"/>
        </w:tc>
        <w:tc>
          <w:tcPr>
            <w:tcW w:w="2411" w:type="dxa"/>
            <w:vAlign w:val="bottom"/>
          </w:tcPr>
          <w:p w14:paraId="79393BC2" w14:textId="77777777" w:rsidR="00C44DF2" w:rsidRDefault="00C44DF2" w:rsidP="00C44DF2">
            <w:r>
              <w:t>Промени в показателите на чернодробната функция (повишение на трансаминазите и показателите за</w:t>
            </w:r>
          </w:p>
          <w:p w14:paraId="07CF9812" w14:textId="23B67205" w:rsidR="00C44DF2" w:rsidRDefault="00C44DF2" w:rsidP="00C44DF2">
            <w:r>
              <w:t>холестаза), хепатит, холестатичен хепатит</w:t>
            </w:r>
          </w:p>
        </w:tc>
        <w:tc>
          <w:tcPr>
            <w:tcW w:w="2326" w:type="dxa"/>
            <w:vAlign w:val="bottom"/>
          </w:tcPr>
          <w:p w14:paraId="12111E1E" w14:textId="77777777" w:rsidR="00C44DF2" w:rsidRDefault="00C44DF2" w:rsidP="00C44DF2">
            <w:r>
              <w:rPr>
                <w:sz w:val="14"/>
                <w:szCs w:val="14"/>
              </w:rPr>
              <w:t>/</w:t>
            </w:r>
          </w:p>
          <w:p w14:paraId="4209B099" w14:textId="77777777" w:rsidR="00C44DF2" w:rsidRDefault="00C44DF2" w:rsidP="00C44DF2"/>
        </w:tc>
      </w:tr>
      <w:tr w:rsidR="00C44DF2" w14:paraId="2C906293" w14:textId="77777777" w:rsidTr="00C44DF2">
        <w:tc>
          <w:tcPr>
            <w:tcW w:w="2468" w:type="dxa"/>
          </w:tcPr>
          <w:p w14:paraId="19B2A468" w14:textId="4824E40D" w:rsidR="00C44DF2" w:rsidRDefault="00C44DF2" w:rsidP="00C44DF2">
            <w:r>
              <w:t>Нарушения на възпроизводителната система</w:t>
            </w:r>
          </w:p>
        </w:tc>
        <w:tc>
          <w:tcPr>
            <w:tcW w:w="2371" w:type="dxa"/>
          </w:tcPr>
          <w:p w14:paraId="7559F6BB" w14:textId="77777777" w:rsidR="00C44DF2" w:rsidRDefault="00C44DF2" w:rsidP="00C44DF2"/>
        </w:tc>
        <w:tc>
          <w:tcPr>
            <w:tcW w:w="2411" w:type="dxa"/>
          </w:tcPr>
          <w:p w14:paraId="175B52AE" w14:textId="4A4DAFB2" w:rsidR="00C44DF2" w:rsidRDefault="00C44DF2" w:rsidP="00C44DF2">
            <w:r>
              <w:t>Олигоспермия (обратима)</w:t>
            </w:r>
          </w:p>
        </w:tc>
        <w:tc>
          <w:tcPr>
            <w:tcW w:w="2326" w:type="dxa"/>
          </w:tcPr>
          <w:p w14:paraId="257FA2AC" w14:textId="77777777" w:rsidR="00C44DF2" w:rsidRDefault="00C44DF2" w:rsidP="00C44DF2"/>
        </w:tc>
      </w:tr>
    </w:tbl>
    <w:p w14:paraId="6AD56097" w14:textId="13A653A2" w:rsidR="00C44DF2" w:rsidRDefault="00C44DF2" w:rsidP="0091385D"/>
    <w:p w14:paraId="248F783F" w14:textId="77777777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u w:val="single"/>
          <w:lang w:eastAsia="bg-BG"/>
        </w:rPr>
        <w:t xml:space="preserve">Съобщавани са тежки кожни нежелани реакции (ТКНР),), включително синдром на </w:t>
      </w:r>
      <w:r w:rsidRPr="00C44DF2">
        <w:rPr>
          <w:rFonts w:eastAsia="Times New Roman" w:cs="Arial"/>
          <w:color w:val="000000"/>
          <w:u w:val="single"/>
          <w:lang w:val="en-US"/>
        </w:rPr>
        <w:t xml:space="preserve">Stevens- Johnson (SJS) </w:t>
      </w:r>
      <w:r w:rsidRPr="00C44DF2">
        <w:rPr>
          <w:rFonts w:eastAsia="Times New Roman" w:cs="Arial"/>
          <w:color w:val="000000"/>
          <w:u w:val="single"/>
          <w:lang w:eastAsia="bg-BG"/>
        </w:rPr>
        <w:t xml:space="preserve">и токсична епидермална некролиза </w:t>
      </w:r>
      <w:r w:rsidRPr="00C44DF2">
        <w:rPr>
          <w:rFonts w:eastAsia="Times New Roman" w:cs="Arial"/>
          <w:color w:val="000000"/>
          <w:u w:val="single"/>
          <w:lang w:val="en-US"/>
        </w:rPr>
        <w:t xml:space="preserve">(TEN), </w:t>
      </w:r>
      <w:r w:rsidRPr="00C44DF2">
        <w:rPr>
          <w:rFonts w:eastAsia="Times New Roman" w:cs="Arial"/>
          <w:color w:val="000000"/>
          <w:u w:val="single"/>
          <w:lang w:eastAsia="bg-BG"/>
        </w:rPr>
        <w:t>свързани с лечението с мезалазин (вж. точка 4.4).</w:t>
      </w:r>
    </w:p>
    <w:p w14:paraId="2D1F07B2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F04D3E4" w14:textId="47CD616A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u w:val="single"/>
          <w:lang w:eastAsia="bg-BG"/>
        </w:rPr>
        <w:t>Фоточувствителност</w:t>
      </w:r>
    </w:p>
    <w:p w14:paraId="6741A4D9" w14:textId="77777777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По-тежки реакции се съобщават при пациенти със съществуващи заболявания на кожата, като атопичен дерматит и атопична екзема.</w:t>
      </w:r>
    </w:p>
    <w:p w14:paraId="0B93FFEA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C5DFC8F" w14:textId="019D535E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CAEF116" w14:textId="77777777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7E63AB7C" w14:textId="77777777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50B6B3B9" w14:textId="77777777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ул.,Дамян Груев” № 8</w:t>
      </w:r>
    </w:p>
    <w:p w14:paraId="0C19ADD5" w14:textId="77777777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1303 София</w:t>
      </w:r>
    </w:p>
    <w:p w14:paraId="502E6DE3" w14:textId="77777777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Тел.:+359 2 8903417</w:t>
      </w:r>
    </w:p>
    <w:p w14:paraId="6EE33C86" w14:textId="203A8F6F" w:rsidR="00C44DF2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C44DF2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3E3C48F" w14:textId="77777777" w:rsidR="0091385D" w:rsidRPr="0091385D" w:rsidRDefault="0091385D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0F0079CB" w14:textId="38816F1E" w:rsidR="0091385D" w:rsidRDefault="00C44DF2" w:rsidP="0091385D">
      <w:r>
        <w:t>Налични са ограничени данни за предозиране (напр. при възнамерявано самоубийство с високи перорални дози на мезалазин), които не показват бъбречна или чернодробна токсичност. Няма специфичен антидот и лечението е симптоматично и поддържащо.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640B32DE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Фармакотерапевтична група: Аминосалицилова киселина и подобни средства, АТС код: А07ЕС02</w:t>
      </w:r>
    </w:p>
    <w:p w14:paraId="01499821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AB5E4B" w14:textId="10ED790D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Механизмът на противовъзпалително действие е неизвестен. Резултатите от </w:t>
      </w:r>
      <w:r w:rsidRPr="00C44DF2">
        <w:rPr>
          <w:rFonts w:eastAsia="Times New Roman" w:cs="Arial"/>
          <w:i/>
          <w:iCs/>
          <w:color w:val="000000"/>
          <w:lang w:val="en-US"/>
        </w:rPr>
        <w:t>in vitro</w:t>
      </w:r>
      <w:r w:rsidRPr="00C44DF2">
        <w:rPr>
          <w:rFonts w:eastAsia="Times New Roman" w:cs="Arial"/>
          <w:color w:val="000000"/>
          <w:lang w:val="en-US"/>
        </w:rPr>
        <w:t xml:space="preserve"> </w:t>
      </w:r>
      <w:r w:rsidRPr="00C44DF2">
        <w:rPr>
          <w:rFonts w:eastAsia="Times New Roman" w:cs="Arial"/>
          <w:color w:val="000000"/>
          <w:lang w:eastAsia="bg-BG"/>
        </w:rPr>
        <w:t>проучвания показват, че инхибирането на липоксигеназата вероятно играе роля.</w:t>
      </w:r>
    </w:p>
    <w:p w14:paraId="754D2F72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lastRenderedPageBreak/>
        <w:t xml:space="preserve">Установени са и ефекти върху концентрацията на простагландин в чревната мукоза. Мезалазин (5-аминосалицилова киселина / </w:t>
      </w:r>
      <w:r w:rsidRPr="00C44DF2">
        <w:rPr>
          <w:rFonts w:eastAsia="Times New Roman" w:cs="Arial"/>
          <w:color w:val="000000"/>
          <w:lang w:val="en-US"/>
        </w:rPr>
        <w:t xml:space="preserve">5-ASA) </w:t>
      </w:r>
      <w:r w:rsidRPr="00C44DF2">
        <w:rPr>
          <w:rFonts w:eastAsia="Times New Roman" w:cs="Arial"/>
          <w:color w:val="000000"/>
          <w:lang w:eastAsia="bg-BG"/>
        </w:rPr>
        <w:t>може също напълно да отстранява реактивните кислородни съединения.</w:t>
      </w:r>
    </w:p>
    <w:p w14:paraId="28252AA0" w14:textId="2D221E34" w:rsidR="0091385D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eastAsia="bg-BG"/>
        </w:rPr>
        <w:t>Когато достигне чревния лумен, ректално приложеният мезалазин оказва предимно локално въздействие върху чревната мукоза и субмукозна тъкан.</w:t>
      </w:r>
    </w:p>
    <w:p w14:paraId="36152471" w14:textId="77777777" w:rsidR="0091385D" w:rsidRPr="0091385D" w:rsidRDefault="0091385D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4259CB1B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u w:val="single"/>
          <w:lang w:eastAsia="bg-BG"/>
        </w:rPr>
        <w:t>Основни аспекти на мезалазин:</w:t>
      </w:r>
    </w:p>
    <w:p w14:paraId="52DD552D" w14:textId="77777777" w:rsidR="00C44DF2" w:rsidRPr="00C44DF2" w:rsidRDefault="00C44DF2" w:rsidP="00C44DF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9D1AFAA" w14:textId="5CF234B8" w:rsidR="00C44DF2" w:rsidRPr="00C44DF2" w:rsidRDefault="00C44DF2" w:rsidP="00C44DF2">
      <w:pPr>
        <w:pStyle w:val="Heading3"/>
        <w:rPr>
          <w:rFonts w:eastAsia="Times New Roman"/>
          <w:u w:val="single"/>
          <w:lang w:eastAsia="bg-BG"/>
        </w:rPr>
      </w:pPr>
      <w:r w:rsidRPr="00C44DF2">
        <w:rPr>
          <w:rFonts w:eastAsia="Times New Roman"/>
          <w:u w:val="single"/>
          <w:lang w:eastAsia="bg-BG"/>
        </w:rPr>
        <w:t>Абсорбция</w:t>
      </w:r>
    </w:p>
    <w:p w14:paraId="4C4CD2F7" w14:textId="763B5329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Абсорбцията на мезалазин е най-висока в проксималните и най-ниска в дисталните чревни участъци.</w:t>
      </w:r>
    </w:p>
    <w:p w14:paraId="3A462F23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148BA3FC" w14:textId="1019937D" w:rsidR="0091385D" w:rsidRPr="00C44DF2" w:rsidRDefault="00C44DF2" w:rsidP="00C44DF2">
      <w:pPr>
        <w:pStyle w:val="Heading3"/>
        <w:rPr>
          <w:rFonts w:eastAsia="Times New Roman"/>
          <w:u w:val="single"/>
          <w:lang w:eastAsia="bg-BG"/>
        </w:rPr>
      </w:pPr>
      <w:r w:rsidRPr="00C44DF2">
        <w:rPr>
          <w:rFonts w:eastAsia="Times New Roman"/>
          <w:u w:val="single"/>
          <w:lang w:eastAsia="bg-BG"/>
        </w:rPr>
        <w:t>Биотрансформация</w:t>
      </w:r>
    </w:p>
    <w:p w14:paraId="565EAD57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Мезалазин се метаболизира пред-системно както в чревната лигавица, така и в черния дроб, до фармакологично неактивната </w:t>
      </w:r>
      <w:r w:rsidRPr="00C44DF2">
        <w:rPr>
          <w:rFonts w:eastAsia="Times New Roman" w:cs="Arial"/>
          <w:color w:val="000000"/>
          <w:lang w:val="en-US"/>
        </w:rPr>
        <w:t>N</w:t>
      </w:r>
      <w:r w:rsidRPr="00C44DF2">
        <w:rPr>
          <w:rFonts w:eastAsia="Times New Roman" w:cs="Arial"/>
          <w:color w:val="000000"/>
          <w:lang w:eastAsia="bg-BG"/>
        </w:rPr>
        <w:t xml:space="preserve">-ацетил-5-аминосалицилова киселина </w:t>
      </w:r>
      <w:r w:rsidRPr="00C44DF2">
        <w:rPr>
          <w:rFonts w:eastAsia="Times New Roman" w:cs="Arial"/>
          <w:color w:val="000000"/>
          <w:lang w:val="en-US"/>
        </w:rPr>
        <w:t>(N-Ac-5-ASA).</w:t>
      </w:r>
    </w:p>
    <w:p w14:paraId="092CB9AD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Ацетилирането изглежда независимо от ацетилаторния фенотип на пациента. Известно количество мезалазин се ацетилира и от чревните бактерии. Свързването с плазмените протеини на мезалазин и </w:t>
      </w:r>
      <w:r w:rsidRPr="00C44DF2">
        <w:rPr>
          <w:rFonts w:eastAsia="Times New Roman" w:cs="Arial"/>
          <w:color w:val="000000"/>
          <w:lang w:val="en-US"/>
        </w:rPr>
        <w:t xml:space="preserve">N-Ac-5-ASA </w:t>
      </w:r>
      <w:r w:rsidRPr="00C44DF2">
        <w:rPr>
          <w:rFonts w:eastAsia="Times New Roman" w:cs="Arial"/>
          <w:color w:val="000000"/>
          <w:lang w:eastAsia="bg-BG"/>
        </w:rPr>
        <w:t>е 43% и 78%, съответно.</w:t>
      </w:r>
    </w:p>
    <w:p w14:paraId="65223C01" w14:textId="77777777" w:rsidR="00C44DF2" w:rsidRPr="00C44DF2" w:rsidRDefault="00C44DF2" w:rsidP="00C44DF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3DBD7E0" w14:textId="34315F4F" w:rsidR="00C44DF2" w:rsidRPr="00C44DF2" w:rsidRDefault="00C44DF2" w:rsidP="00C44DF2">
      <w:pPr>
        <w:pStyle w:val="Heading3"/>
        <w:rPr>
          <w:rFonts w:eastAsia="Times New Roman"/>
          <w:u w:val="single"/>
          <w:lang w:eastAsia="bg-BG"/>
        </w:rPr>
      </w:pPr>
      <w:r w:rsidRPr="00C44DF2">
        <w:rPr>
          <w:rFonts w:eastAsia="Times New Roman"/>
          <w:u w:val="single"/>
          <w:lang w:eastAsia="bg-BG"/>
        </w:rPr>
        <w:t>Елиминиране</w:t>
      </w:r>
    </w:p>
    <w:p w14:paraId="73F55E6D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Мезалазин и неговият метаболит </w:t>
      </w:r>
      <w:r w:rsidRPr="00C44DF2">
        <w:rPr>
          <w:rFonts w:eastAsia="Times New Roman" w:cs="Arial"/>
          <w:color w:val="000000"/>
          <w:lang w:val="en-US"/>
        </w:rPr>
        <w:t xml:space="preserve">N-Ac-5-ASA </w:t>
      </w:r>
      <w:r w:rsidRPr="00C44DF2">
        <w:rPr>
          <w:rFonts w:eastAsia="Times New Roman" w:cs="Arial"/>
          <w:color w:val="000000"/>
          <w:lang w:eastAsia="bg-BG"/>
        </w:rPr>
        <w:t xml:space="preserve">се елиминират чрез фекалиите (основна част), урината (количеството варира между 20 и 50%, в зависимост от начина на прилагане, лекарствената форма и освобождаването на мезалазин) и жлъчката (малка част). Екскрецията в урината е главно под формата на </w:t>
      </w:r>
      <w:r w:rsidRPr="00C44DF2">
        <w:rPr>
          <w:rFonts w:eastAsia="Times New Roman" w:cs="Arial"/>
          <w:color w:val="000000"/>
          <w:lang w:val="en-US"/>
        </w:rPr>
        <w:t xml:space="preserve">N-Ac-5-ASA. </w:t>
      </w:r>
      <w:r w:rsidRPr="00C44DF2">
        <w:rPr>
          <w:rFonts w:eastAsia="Times New Roman" w:cs="Arial"/>
          <w:color w:val="000000"/>
          <w:lang w:eastAsia="bg-BG"/>
        </w:rPr>
        <w:t xml:space="preserve">Около 1% от перорално приложената доза мезалазин се екскретира в кърмата като </w:t>
      </w:r>
      <w:r w:rsidRPr="00C44DF2">
        <w:rPr>
          <w:rFonts w:eastAsia="Times New Roman" w:cs="Arial"/>
          <w:color w:val="000000"/>
          <w:lang w:val="en-US"/>
        </w:rPr>
        <w:t>N-Ac-5-ASA.</w:t>
      </w:r>
    </w:p>
    <w:p w14:paraId="4C034315" w14:textId="77777777" w:rsidR="00C44DF2" w:rsidRPr="00C44DF2" w:rsidRDefault="00C44DF2" w:rsidP="00C44DF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346254" w14:textId="5C5BE23E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u w:val="single"/>
          <w:lang w:eastAsia="bg-BG"/>
        </w:rPr>
        <w:t>Специфични аспекти на Салофалк супозитории:</w:t>
      </w:r>
    </w:p>
    <w:p w14:paraId="2298D624" w14:textId="77777777" w:rsidR="00C44DF2" w:rsidRPr="00C44DF2" w:rsidRDefault="00C44DF2" w:rsidP="00C44DF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FACE531" w14:textId="5AFC781D" w:rsidR="00C44DF2" w:rsidRPr="00C44DF2" w:rsidRDefault="00C44DF2" w:rsidP="00C44DF2">
      <w:pPr>
        <w:pStyle w:val="Heading3"/>
        <w:rPr>
          <w:rFonts w:eastAsia="Times New Roman"/>
          <w:u w:val="single"/>
          <w:lang w:eastAsia="bg-BG"/>
        </w:rPr>
      </w:pPr>
      <w:r w:rsidRPr="00C44DF2">
        <w:rPr>
          <w:rFonts w:eastAsia="Times New Roman"/>
          <w:u w:val="single"/>
          <w:lang w:eastAsia="bg-BG"/>
        </w:rPr>
        <w:t>Разпределение</w:t>
      </w:r>
    </w:p>
    <w:p w14:paraId="46E156E0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Сцинтиграфски проучвания с белязани с технеций </w:t>
      </w:r>
      <w:proofErr w:type="spellStart"/>
      <w:r w:rsidRPr="00C44DF2">
        <w:rPr>
          <w:rFonts w:eastAsia="Times New Roman" w:cs="Arial"/>
          <w:color w:val="000000"/>
          <w:lang w:val="en-US"/>
        </w:rPr>
        <w:t>Salofalk</w:t>
      </w:r>
      <w:proofErr w:type="spellEnd"/>
      <w:r w:rsidRPr="00C44DF2">
        <w:rPr>
          <w:rFonts w:eastAsia="Times New Roman" w:cs="Arial"/>
          <w:color w:val="000000"/>
          <w:lang w:val="en-US"/>
        </w:rPr>
        <w:t xml:space="preserve"> </w:t>
      </w:r>
      <w:r w:rsidRPr="00C44DF2">
        <w:rPr>
          <w:rFonts w:eastAsia="Times New Roman" w:cs="Arial"/>
          <w:color w:val="000000"/>
          <w:lang w:eastAsia="bg-BG"/>
        </w:rPr>
        <w:t xml:space="preserve">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>супозитории, са показали пиково разпространение на супозитория, която се е разтопила след 2-3 часа в резултат на телесната температура. Разпространението е било ограничено най-вече в ректума и ректосигмоидната свръзка. Ето защо, Салофалк супозитории са особено подходящи за лечение на проктит (улцерозен колит на ректума).</w:t>
      </w:r>
    </w:p>
    <w:p w14:paraId="630F3F4E" w14:textId="77777777" w:rsidR="00C44DF2" w:rsidRPr="00C44DF2" w:rsidRDefault="00C44DF2" w:rsidP="00C44DF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DCEB38E" w14:textId="4540D3EF" w:rsidR="00C44DF2" w:rsidRPr="00C44DF2" w:rsidRDefault="00C44DF2" w:rsidP="00C44DF2">
      <w:pPr>
        <w:pStyle w:val="Heading3"/>
        <w:rPr>
          <w:rFonts w:eastAsia="Times New Roman"/>
          <w:u w:val="single"/>
          <w:lang w:eastAsia="bg-BG"/>
        </w:rPr>
      </w:pPr>
      <w:r w:rsidRPr="00C44DF2">
        <w:rPr>
          <w:rFonts w:eastAsia="Times New Roman"/>
          <w:u w:val="single"/>
          <w:lang w:eastAsia="bg-BG"/>
        </w:rPr>
        <w:t>Абсорбция</w:t>
      </w:r>
    </w:p>
    <w:p w14:paraId="0DCB22CF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Максималните плазмени концентрации на </w:t>
      </w:r>
      <w:r w:rsidRPr="00C44DF2">
        <w:rPr>
          <w:rFonts w:eastAsia="Times New Roman" w:cs="Arial"/>
          <w:color w:val="000000"/>
          <w:lang w:val="en-US"/>
        </w:rPr>
        <w:t xml:space="preserve">5-ASA </w:t>
      </w:r>
      <w:r w:rsidRPr="00C44DF2">
        <w:rPr>
          <w:rFonts w:eastAsia="Times New Roman" w:cs="Arial"/>
          <w:color w:val="000000"/>
          <w:lang w:eastAsia="bg-BG"/>
        </w:rPr>
        <w:t xml:space="preserve">след еднократна доза, както и след няколко седмично, многократно прилагане на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мезалазин 3 пъти дневно под формата на Салофалк супозитории, са били само между 0.1 и 1,0 микрограма/мл, докато тези на основния метаболит </w:t>
      </w:r>
      <w:r w:rsidRPr="00C44DF2">
        <w:rPr>
          <w:rFonts w:eastAsia="Times New Roman" w:cs="Arial"/>
          <w:color w:val="000000"/>
          <w:lang w:val="en-US"/>
        </w:rPr>
        <w:t xml:space="preserve">N-Ac-5-ASA </w:t>
      </w:r>
      <w:r w:rsidRPr="00C44DF2">
        <w:rPr>
          <w:rFonts w:eastAsia="Times New Roman" w:cs="Arial"/>
          <w:color w:val="000000"/>
          <w:lang w:eastAsia="bg-BG"/>
        </w:rPr>
        <w:t xml:space="preserve">са били между 0,3 и 1,6 микрограма/мл. В някои случаи максималните плазмени концентрации на </w:t>
      </w:r>
      <w:r w:rsidRPr="00C44DF2">
        <w:rPr>
          <w:rFonts w:eastAsia="Times New Roman" w:cs="Arial"/>
          <w:color w:val="000000"/>
          <w:lang w:val="en-US"/>
        </w:rPr>
        <w:t xml:space="preserve">5-ASA </w:t>
      </w:r>
      <w:r w:rsidRPr="00C44DF2">
        <w:rPr>
          <w:rFonts w:eastAsia="Times New Roman" w:cs="Arial"/>
          <w:color w:val="000000"/>
          <w:lang w:eastAsia="bg-BG"/>
        </w:rPr>
        <w:t>са били достигнати в рамките на един час след прилагането.</w:t>
      </w:r>
    </w:p>
    <w:p w14:paraId="2B751203" w14:textId="77777777" w:rsidR="00C44DF2" w:rsidRPr="00C44DF2" w:rsidRDefault="00C44DF2" w:rsidP="00C44DF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50318F8" w14:textId="4935AE85" w:rsidR="00C44DF2" w:rsidRPr="00C44DF2" w:rsidRDefault="00C44DF2" w:rsidP="00C44DF2">
      <w:pPr>
        <w:pStyle w:val="Heading3"/>
        <w:rPr>
          <w:rFonts w:eastAsia="Times New Roman"/>
          <w:u w:val="single"/>
          <w:lang w:eastAsia="bg-BG"/>
        </w:rPr>
      </w:pPr>
      <w:r w:rsidRPr="00C44DF2">
        <w:rPr>
          <w:rFonts w:eastAsia="Times New Roman"/>
          <w:u w:val="single"/>
          <w:lang w:eastAsia="bg-BG"/>
        </w:rPr>
        <w:lastRenderedPageBreak/>
        <w:t>Елиминиране</w:t>
      </w:r>
    </w:p>
    <w:p w14:paraId="403BEAB7" w14:textId="22E1BDA9" w:rsidR="00C44DF2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eastAsia="bg-BG"/>
        </w:rPr>
        <w:t xml:space="preserve">След еднократна доза на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мезалазин под формата на Салофалк супозитории, приблизително 11% (в рамките на 72 часа), както и след няколко седмично, многократно прилагане на 500 </w:t>
      </w:r>
      <w:r w:rsidRPr="00C44DF2">
        <w:rPr>
          <w:rFonts w:eastAsia="Times New Roman" w:cs="Arial"/>
          <w:color w:val="000000"/>
          <w:lang w:val="en-US"/>
        </w:rPr>
        <w:t xml:space="preserve">mg </w:t>
      </w:r>
      <w:r w:rsidRPr="00C44DF2">
        <w:rPr>
          <w:rFonts w:eastAsia="Times New Roman" w:cs="Arial"/>
          <w:color w:val="000000"/>
          <w:lang w:eastAsia="bg-BG"/>
        </w:rPr>
        <w:t xml:space="preserve">мезалазин 3 пъти дневно под формата на Салофалк супозитории, приблизително 13% от приложената </w:t>
      </w:r>
      <w:r w:rsidRPr="00C44DF2">
        <w:rPr>
          <w:rFonts w:eastAsia="Times New Roman" w:cs="Arial"/>
          <w:color w:val="000000"/>
          <w:lang w:val="en-US"/>
        </w:rPr>
        <w:t xml:space="preserve">5-ASA </w:t>
      </w:r>
      <w:r w:rsidRPr="00C44DF2">
        <w:rPr>
          <w:rFonts w:eastAsia="Times New Roman" w:cs="Arial"/>
          <w:color w:val="000000"/>
          <w:lang w:eastAsia="bg-BG"/>
        </w:rPr>
        <w:t>доза са били открити в урината. Приблизително 10% от приложената доза се елиминира чрез жлъчката.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7DDF65DA" w14:textId="77777777" w:rsidR="00C44DF2" w:rsidRPr="00C44DF2" w:rsidRDefault="00C44DF2" w:rsidP="00C44DF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Неклиничните данни не показват особен риск за хора на базата на конвенционалните фармакологични проучвания за безопасност, генотоксичност, карциногенен потенциал (плъхове) или репродуктивна токсичност.</w:t>
      </w:r>
    </w:p>
    <w:p w14:paraId="18108A61" w14:textId="77777777" w:rsidR="00C44DF2" w:rsidRPr="00C44DF2" w:rsidRDefault="00C44DF2" w:rsidP="00C44DF2">
      <w:pPr>
        <w:rPr>
          <w:rFonts w:eastAsia="Times New Roman" w:cs="Arial"/>
          <w:color w:val="000000"/>
          <w:lang w:eastAsia="bg-BG"/>
        </w:rPr>
      </w:pPr>
    </w:p>
    <w:p w14:paraId="52E4D01A" w14:textId="5FECBCB6" w:rsidR="0091385D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eastAsia="bg-BG"/>
        </w:rPr>
        <w:t>Бъбречна токсичност (бъбречна папиларна некроза и епително увреждане в проксималните извити тубули или в целия нефрон) е било наблюдавано след многократно прилагане на високи перорални дози мезалазин. Клиничната релевантност на тази находка е неизвестна.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1E3ABCDB" w14:textId="77777777" w:rsidR="00C44DF2" w:rsidRPr="00C44DF2" w:rsidRDefault="00C44DF2" w:rsidP="00C44DF2">
      <w:pPr>
        <w:spacing w:line="240" w:lineRule="auto"/>
        <w:rPr>
          <w:rFonts w:eastAsia="Times New Roman" w:cs="Arial"/>
          <w:lang w:val="en-US" w:eastAsia="bg-BG"/>
        </w:rPr>
      </w:pPr>
      <w:r w:rsidRPr="00C44DF2">
        <w:rPr>
          <w:rFonts w:eastAsia="Times New Roman" w:cs="Arial"/>
          <w:color w:val="000000"/>
          <w:lang w:val="en-US"/>
        </w:rPr>
        <w:t>Dr. FALK PHARMA GmbH</w:t>
      </w:r>
    </w:p>
    <w:p w14:paraId="4E6BEEB5" w14:textId="77777777" w:rsidR="00C44DF2" w:rsidRPr="00C44DF2" w:rsidRDefault="00C44DF2" w:rsidP="00C44DF2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C44DF2">
        <w:rPr>
          <w:rFonts w:eastAsia="Times New Roman" w:cs="Arial"/>
          <w:color w:val="000000"/>
          <w:lang w:val="en-US"/>
        </w:rPr>
        <w:t>Leinenweberstr</w:t>
      </w:r>
      <w:proofErr w:type="spellEnd"/>
      <w:r w:rsidRPr="00C44DF2">
        <w:rPr>
          <w:rFonts w:eastAsia="Times New Roman" w:cs="Arial"/>
          <w:color w:val="000000"/>
          <w:lang w:val="en-US"/>
        </w:rPr>
        <w:t>. 5</w:t>
      </w:r>
    </w:p>
    <w:p w14:paraId="1DB164BB" w14:textId="77777777" w:rsidR="00C44DF2" w:rsidRPr="00C44DF2" w:rsidRDefault="00C44DF2" w:rsidP="00C44DF2">
      <w:pPr>
        <w:spacing w:line="240" w:lineRule="auto"/>
        <w:rPr>
          <w:rFonts w:eastAsia="Times New Roman" w:cs="Arial"/>
          <w:lang w:val="en-US" w:eastAsia="bg-BG"/>
        </w:rPr>
      </w:pPr>
      <w:r w:rsidRPr="00C44DF2">
        <w:rPr>
          <w:rFonts w:eastAsia="Times New Roman" w:cs="Arial"/>
          <w:color w:val="000000"/>
          <w:lang w:val="en-US"/>
        </w:rPr>
        <w:t>79108 Freiburg</w:t>
      </w:r>
    </w:p>
    <w:p w14:paraId="39721EA5" w14:textId="77777777" w:rsidR="00C44DF2" w:rsidRPr="00C44DF2" w:rsidRDefault="00C44DF2" w:rsidP="00C44DF2">
      <w:pPr>
        <w:spacing w:line="240" w:lineRule="auto"/>
        <w:rPr>
          <w:rFonts w:eastAsia="Times New Roman" w:cs="Arial"/>
          <w:lang w:val="en-US" w:eastAsia="bg-BG"/>
        </w:rPr>
      </w:pPr>
      <w:r w:rsidRPr="00C44DF2">
        <w:rPr>
          <w:rFonts w:eastAsia="Times New Roman" w:cs="Arial"/>
          <w:color w:val="000000"/>
          <w:lang w:eastAsia="bg-BG"/>
        </w:rPr>
        <w:t>Германия</w:t>
      </w:r>
    </w:p>
    <w:p w14:paraId="6A0E6912" w14:textId="77777777" w:rsidR="00C44DF2" w:rsidRPr="00C44DF2" w:rsidRDefault="00C44DF2" w:rsidP="00C44DF2">
      <w:pPr>
        <w:spacing w:line="240" w:lineRule="auto"/>
        <w:rPr>
          <w:rFonts w:eastAsia="Times New Roman" w:cs="Arial"/>
          <w:lang w:val="en-US" w:eastAsia="bg-BG"/>
        </w:rPr>
      </w:pPr>
      <w:r w:rsidRPr="00C44DF2">
        <w:rPr>
          <w:rFonts w:eastAsia="Times New Roman" w:cs="Arial"/>
          <w:color w:val="000000"/>
          <w:lang w:eastAsia="bg-BG"/>
        </w:rPr>
        <w:t>тел.:</w:t>
      </w:r>
      <w:r w:rsidRPr="00C44DF2">
        <w:rPr>
          <w:rFonts w:eastAsia="Times New Roman" w:cs="Arial"/>
          <w:color w:val="000000"/>
          <w:lang w:val="en-US"/>
        </w:rPr>
        <w:t xml:space="preserve">+49 (0) </w:t>
      </w:r>
      <w:r w:rsidRPr="00C44DF2">
        <w:rPr>
          <w:rFonts w:eastAsia="Times New Roman" w:cs="Arial"/>
          <w:color w:val="000000"/>
          <w:lang w:eastAsia="bg-BG"/>
        </w:rPr>
        <w:t>761 / 1514-0</w:t>
      </w:r>
    </w:p>
    <w:p w14:paraId="45E1BC2B" w14:textId="77777777" w:rsidR="00C44DF2" w:rsidRPr="00C44DF2" w:rsidRDefault="00C44DF2" w:rsidP="00C44DF2">
      <w:pPr>
        <w:spacing w:line="240" w:lineRule="auto"/>
        <w:rPr>
          <w:rFonts w:eastAsia="Times New Roman" w:cs="Arial"/>
          <w:lang w:val="en-US" w:eastAsia="bg-BG"/>
        </w:rPr>
      </w:pPr>
      <w:r w:rsidRPr="00C44DF2">
        <w:rPr>
          <w:rFonts w:eastAsia="Times New Roman" w:cs="Arial"/>
          <w:color w:val="000000"/>
          <w:lang w:eastAsia="bg-BG"/>
        </w:rPr>
        <w:t xml:space="preserve">факс: </w:t>
      </w:r>
      <w:r w:rsidRPr="00C44DF2">
        <w:rPr>
          <w:rFonts w:eastAsia="Times New Roman" w:cs="Arial"/>
          <w:color w:val="000000"/>
          <w:lang w:val="en-US"/>
        </w:rPr>
        <w:t xml:space="preserve">+49(0) 761 </w:t>
      </w:r>
      <w:r w:rsidRPr="00C44DF2">
        <w:rPr>
          <w:rFonts w:eastAsia="Times New Roman" w:cs="Arial"/>
          <w:color w:val="000000"/>
          <w:lang w:eastAsia="bg-BG"/>
        </w:rPr>
        <w:t xml:space="preserve">/ </w:t>
      </w:r>
      <w:r w:rsidRPr="00C44DF2">
        <w:rPr>
          <w:rFonts w:eastAsia="Times New Roman" w:cs="Arial"/>
          <w:color w:val="000000"/>
          <w:lang w:val="en-US"/>
        </w:rPr>
        <w:t>1514-321</w:t>
      </w:r>
    </w:p>
    <w:p w14:paraId="3FD825DB" w14:textId="7FFC9549" w:rsidR="0091385D" w:rsidRPr="00C44DF2" w:rsidRDefault="00C44DF2" w:rsidP="00C44DF2">
      <w:pPr>
        <w:rPr>
          <w:rFonts w:cs="Arial"/>
        </w:rPr>
      </w:pPr>
      <w:proofErr w:type="gramStart"/>
      <w:r w:rsidRPr="00C44DF2">
        <w:rPr>
          <w:rFonts w:eastAsia="Times New Roman" w:cs="Arial"/>
          <w:color w:val="000000"/>
          <w:lang w:val="en-US"/>
        </w:rPr>
        <w:t>e-mail</w:t>
      </w:r>
      <w:proofErr w:type="gramEnd"/>
      <w:r w:rsidRPr="00C44DF2">
        <w:rPr>
          <w:rFonts w:eastAsia="Times New Roman" w:cs="Arial"/>
          <w:color w:val="000000"/>
          <w:lang w:val="en-US"/>
        </w:rPr>
        <w:t xml:space="preserve">: </w:t>
      </w:r>
      <w:hyperlink r:id="rId6" w:history="1">
        <w:r w:rsidRPr="00C44DF2">
          <w:rPr>
            <w:rFonts w:eastAsia="Times New Roman" w:cs="Arial"/>
            <w:color w:val="000000"/>
            <w:u w:val="single"/>
            <w:lang w:val="en-US"/>
          </w:rPr>
          <w:t>zentrale@drfalkpharma.de</w:t>
        </w:r>
      </w:hyperlink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72C776CE" w:rsidR="0091385D" w:rsidRPr="00C44DF2" w:rsidRDefault="00C44DF2" w:rsidP="0091385D">
      <w:pPr>
        <w:rPr>
          <w:rFonts w:cs="Arial"/>
        </w:rPr>
      </w:pPr>
      <w:r w:rsidRPr="00C44DF2">
        <w:rPr>
          <w:rFonts w:cs="Arial"/>
        </w:rPr>
        <w:t>Pe</w:t>
      </w:r>
      <w:r w:rsidRPr="00C44DF2">
        <w:rPr>
          <w:rFonts w:cs="Arial"/>
          <w:lang w:eastAsia="bg-BG"/>
        </w:rPr>
        <w:t>г</w:t>
      </w:r>
      <w:r w:rsidRPr="00C44DF2">
        <w:rPr>
          <w:rFonts w:cs="Arial"/>
        </w:rPr>
        <w:t>. № 9600068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6C6D0406" w14:textId="77777777" w:rsidR="00C44DF2" w:rsidRPr="00C44DF2" w:rsidRDefault="00C44DF2" w:rsidP="00C44DF2">
      <w:pPr>
        <w:spacing w:line="240" w:lineRule="auto"/>
        <w:rPr>
          <w:rFonts w:eastAsia="Times New Roman" w:cs="Arial"/>
          <w:lang w:eastAsia="bg-BG"/>
        </w:rPr>
      </w:pPr>
      <w:r w:rsidRPr="00C44DF2">
        <w:rPr>
          <w:rFonts w:eastAsia="Times New Roman" w:cs="Arial"/>
          <w:color w:val="000000"/>
          <w:lang w:eastAsia="bg-BG"/>
        </w:rPr>
        <w:t>Дата на първо разрешаване: 16 април 1996 г.</w:t>
      </w:r>
    </w:p>
    <w:p w14:paraId="497007FA" w14:textId="2D4056A3" w:rsidR="0091385D" w:rsidRPr="00C44DF2" w:rsidRDefault="00C44DF2" w:rsidP="00C44DF2">
      <w:pPr>
        <w:rPr>
          <w:rFonts w:cs="Arial"/>
        </w:rPr>
      </w:pPr>
      <w:r w:rsidRPr="00C44DF2">
        <w:rPr>
          <w:rFonts w:eastAsia="Times New Roman" w:cs="Arial"/>
          <w:color w:val="000000"/>
          <w:lang w:eastAsia="bg-BG"/>
        </w:rPr>
        <w:t>Дата на последно подновяване: 05 септември 2007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6822CA27" w:rsidR="0091385D" w:rsidRPr="00C44DF2" w:rsidRDefault="00C44DF2" w:rsidP="0091385D">
      <w:pPr>
        <w:rPr>
          <w:rFonts w:cs="Arial"/>
        </w:rPr>
      </w:pPr>
      <w:r w:rsidRPr="00C44DF2">
        <w:rPr>
          <w:rFonts w:cs="Arial"/>
        </w:rPr>
        <w:t>Януари 2021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9D7"/>
    <w:multiLevelType w:val="hybridMultilevel"/>
    <w:tmpl w:val="03D084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B43C4"/>
    <w:multiLevelType w:val="hybridMultilevel"/>
    <w:tmpl w:val="D9B4714C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19"/>
  </w:num>
  <w:num w:numId="14">
    <w:abstractNumId w:val="12"/>
  </w:num>
  <w:num w:numId="15">
    <w:abstractNumId w:val="30"/>
  </w:num>
  <w:num w:numId="16">
    <w:abstractNumId w:val="10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2"/>
  </w:num>
  <w:num w:numId="28">
    <w:abstractNumId w:val="6"/>
  </w:num>
  <w:num w:numId="29">
    <w:abstractNumId w:val="20"/>
  </w:num>
  <w:num w:numId="30">
    <w:abstractNumId w:val="35"/>
  </w:num>
  <w:num w:numId="31">
    <w:abstractNumId w:val="5"/>
  </w:num>
  <w:num w:numId="32">
    <w:abstractNumId w:val="34"/>
  </w:num>
  <w:num w:numId="33">
    <w:abstractNumId w:val="29"/>
  </w:num>
  <w:num w:numId="34">
    <w:abstractNumId w:val="33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44DF2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trale@drfalkpharma.de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2017</Words>
  <Characters>11498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2022-11-01T13:22:00Z</dcterms:created>
  <dcterms:modified xsi:type="dcterms:W3CDTF">2022-11-01T13:22:00Z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