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639CF731" w14:textId="77777777" w:rsidR="00F17984" w:rsidRPr="00F17984" w:rsidRDefault="00F17984" w:rsidP="00F17984">
      <w:pPr>
        <w:spacing w:line="240" w:lineRule="auto"/>
        <w:rPr>
          <w:rFonts w:eastAsia="Times New Roman" w:cs="Arial"/>
          <w:lang w:val="en-US" w:eastAsia="bg-BG"/>
        </w:rPr>
      </w:pPr>
      <w:r w:rsidRPr="00F17984">
        <w:rPr>
          <w:rFonts w:eastAsia="Times New Roman" w:cs="Arial"/>
          <w:color w:val="000000"/>
          <w:lang w:eastAsia="bg-BG"/>
        </w:rPr>
        <w:t xml:space="preserve">Сандимун Неорал 25 </w:t>
      </w:r>
      <w:r w:rsidRPr="00F17984">
        <w:rPr>
          <w:rFonts w:eastAsia="Times New Roman" w:cs="Arial"/>
          <w:color w:val="000000"/>
          <w:lang w:val="en-US"/>
        </w:rPr>
        <w:t xml:space="preserve">mg </w:t>
      </w:r>
      <w:r w:rsidRPr="00F17984">
        <w:rPr>
          <w:rFonts w:eastAsia="Times New Roman" w:cs="Arial"/>
          <w:color w:val="000000"/>
          <w:lang w:eastAsia="bg-BG"/>
        </w:rPr>
        <w:t>меки капсули</w:t>
      </w:r>
    </w:p>
    <w:p w14:paraId="17C40D89" w14:textId="77777777" w:rsidR="00F17984" w:rsidRPr="00F17984" w:rsidRDefault="00F17984" w:rsidP="00F17984">
      <w:pPr>
        <w:spacing w:line="240" w:lineRule="auto"/>
        <w:rPr>
          <w:rFonts w:eastAsia="Times New Roman" w:cs="Arial"/>
          <w:lang w:val="en-US" w:eastAsia="bg-BG"/>
        </w:rPr>
      </w:pPr>
      <w:r w:rsidRPr="00F17984">
        <w:rPr>
          <w:rFonts w:eastAsia="Times New Roman" w:cs="Arial"/>
          <w:color w:val="000000"/>
          <w:lang w:eastAsia="bg-BG"/>
        </w:rPr>
        <w:t xml:space="preserve">Сандимун Неорал 50 </w:t>
      </w:r>
      <w:r w:rsidRPr="00F17984">
        <w:rPr>
          <w:rFonts w:eastAsia="Times New Roman" w:cs="Arial"/>
          <w:color w:val="000000"/>
          <w:lang w:val="en-US"/>
        </w:rPr>
        <w:t xml:space="preserve">mg </w:t>
      </w:r>
      <w:r w:rsidRPr="00F17984">
        <w:rPr>
          <w:rFonts w:eastAsia="Times New Roman" w:cs="Arial"/>
          <w:color w:val="000000"/>
          <w:lang w:eastAsia="bg-BG"/>
        </w:rPr>
        <w:t>меки капсули</w:t>
      </w:r>
    </w:p>
    <w:p w14:paraId="5748087A" w14:textId="77777777" w:rsidR="00F17984" w:rsidRPr="00F17984" w:rsidRDefault="00F17984" w:rsidP="00F17984">
      <w:pPr>
        <w:spacing w:line="240" w:lineRule="auto"/>
        <w:rPr>
          <w:rFonts w:eastAsia="Times New Roman" w:cs="Arial"/>
          <w:lang w:val="en-US" w:eastAsia="bg-BG"/>
        </w:rPr>
      </w:pPr>
      <w:r w:rsidRPr="00F17984">
        <w:rPr>
          <w:rFonts w:eastAsia="Times New Roman" w:cs="Arial"/>
          <w:color w:val="000000"/>
          <w:lang w:eastAsia="bg-BG"/>
        </w:rPr>
        <w:t xml:space="preserve">Сандимун Неорал 100 </w:t>
      </w:r>
      <w:r w:rsidRPr="00F17984">
        <w:rPr>
          <w:rFonts w:eastAsia="Times New Roman" w:cs="Arial"/>
          <w:color w:val="000000"/>
          <w:lang w:val="en-US"/>
        </w:rPr>
        <w:t xml:space="preserve">mg </w:t>
      </w:r>
      <w:r w:rsidRPr="00F17984">
        <w:rPr>
          <w:rFonts w:eastAsia="Times New Roman" w:cs="Arial"/>
          <w:color w:val="000000"/>
          <w:lang w:eastAsia="bg-BG"/>
        </w:rPr>
        <w:t>меки капсули</w:t>
      </w:r>
    </w:p>
    <w:p w14:paraId="61BBB46E" w14:textId="77777777" w:rsidR="00F17984" w:rsidRPr="00F17984" w:rsidRDefault="00F17984" w:rsidP="00F17984">
      <w:pPr>
        <w:spacing w:line="240" w:lineRule="auto"/>
        <w:rPr>
          <w:rFonts w:eastAsia="Times New Roman" w:cs="Arial"/>
          <w:color w:val="000000"/>
          <w:lang w:val="en-US"/>
        </w:rPr>
      </w:pPr>
    </w:p>
    <w:p w14:paraId="017A03A5" w14:textId="625B4039" w:rsidR="00F17984" w:rsidRPr="00F17984" w:rsidRDefault="00F17984" w:rsidP="00F17984">
      <w:pPr>
        <w:spacing w:line="240" w:lineRule="auto"/>
        <w:rPr>
          <w:rFonts w:eastAsia="Times New Roman" w:cs="Arial"/>
          <w:lang w:val="en-US" w:eastAsia="bg-BG"/>
        </w:rPr>
      </w:pPr>
      <w:r w:rsidRPr="00F17984">
        <w:rPr>
          <w:rFonts w:eastAsia="Times New Roman" w:cs="Arial"/>
          <w:color w:val="000000"/>
          <w:lang w:val="en-US"/>
        </w:rPr>
        <w:t xml:space="preserve">Sandimmun Neoral </w:t>
      </w:r>
      <w:r w:rsidRPr="00F17984">
        <w:rPr>
          <w:rFonts w:eastAsia="Times New Roman" w:cs="Arial"/>
          <w:color w:val="000000"/>
          <w:lang w:eastAsia="bg-BG"/>
        </w:rPr>
        <w:t xml:space="preserve">25 </w:t>
      </w:r>
      <w:r w:rsidRPr="00F17984">
        <w:rPr>
          <w:rFonts w:eastAsia="Times New Roman" w:cs="Arial"/>
          <w:color w:val="000000"/>
          <w:lang w:val="en-US"/>
        </w:rPr>
        <w:t>mg soft capsules</w:t>
      </w:r>
    </w:p>
    <w:p w14:paraId="40EA83D1" w14:textId="77777777" w:rsidR="00F17984" w:rsidRPr="00F17984" w:rsidRDefault="00F17984" w:rsidP="00F17984">
      <w:pPr>
        <w:spacing w:line="240" w:lineRule="auto"/>
        <w:rPr>
          <w:rFonts w:eastAsia="Times New Roman" w:cs="Arial"/>
          <w:lang w:val="en-US" w:eastAsia="bg-BG"/>
        </w:rPr>
      </w:pPr>
      <w:r w:rsidRPr="00F17984">
        <w:rPr>
          <w:rFonts w:eastAsia="Times New Roman" w:cs="Arial"/>
          <w:color w:val="000000"/>
          <w:lang w:val="en-US"/>
        </w:rPr>
        <w:t>Sandimmun Neoral 50 mg soft capsules</w:t>
      </w:r>
    </w:p>
    <w:p w14:paraId="5015A1FD" w14:textId="7FCFCF93" w:rsidR="00A73575" w:rsidRPr="00F17984" w:rsidRDefault="00F17984" w:rsidP="00F17984">
      <w:pPr>
        <w:rPr>
          <w:rFonts w:cs="Arial"/>
        </w:rPr>
      </w:pPr>
      <w:r w:rsidRPr="00F17984">
        <w:rPr>
          <w:rFonts w:eastAsia="Times New Roman" w:cs="Arial"/>
          <w:color w:val="000000"/>
          <w:lang w:val="en-US"/>
        </w:rPr>
        <w:t>Sandimmun Neoral 100 mg soft capsules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0F3BD7C2"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Всяка 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25 </w:t>
      </w:r>
      <w:r w:rsidRPr="00F17984">
        <w:rPr>
          <w:rFonts w:eastAsia="Times New Roman" w:cs="Arial"/>
          <w:color w:val="000000"/>
          <w:lang w:val="en-US"/>
        </w:rPr>
        <w:t xml:space="preserve">mg </w:t>
      </w:r>
      <w:r w:rsidRPr="00F17984">
        <w:rPr>
          <w:rFonts w:eastAsia="Times New Roman" w:cs="Arial"/>
          <w:color w:val="000000"/>
          <w:lang w:eastAsia="bg-BG"/>
        </w:rPr>
        <w:t xml:space="preserve">съдържа 25 </w:t>
      </w:r>
      <w:r w:rsidRPr="00F17984">
        <w:rPr>
          <w:rFonts w:eastAsia="Times New Roman" w:cs="Arial"/>
          <w:color w:val="000000"/>
          <w:lang w:val="en-US"/>
        </w:rPr>
        <w:t xml:space="preserve">mg </w:t>
      </w:r>
      <w:r w:rsidRPr="00F17984">
        <w:rPr>
          <w:rFonts w:eastAsia="Times New Roman" w:cs="Arial"/>
          <w:color w:val="000000"/>
          <w:lang w:eastAsia="bg-BG"/>
        </w:rPr>
        <w:t>циклоспорин.</w:t>
      </w:r>
    </w:p>
    <w:p w14:paraId="05D0F02B"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u w:val="single"/>
          <w:lang w:eastAsia="bg-BG"/>
        </w:rPr>
        <w:t>Помощни вещества с известно действие:</w:t>
      </w:r>
    </w:p>
    <w:p w14:paraId="3B9A480F"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Етанол: 25 </w:t>
      </w:r>
      <w:r w:rsidRPr="00F17984">
        <w:rPr>
          <w:rFonts w:eastAsia="Times New Roman" w:cs="Arial"/>
          <w:color w:val="000000"/>
          <w:lang w:val="en-US"/>
        </w:rPr>
        <w:t>mg</w:t>
      </w:r>
      <w:r w:rsidRPr="00F17984">
        <w:rPr>
          <w:rFonts w:eastAsia="Times New Roman" w:cs="Arial"/>
          <w:color w:val="000000"/>
          <w:lang w:eastAsia="bg-BG"/>
        </w:rPr>
        <w:t xml:space="preserve">/капсула.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меки капсули съдържат 11</w:t>
      </w:r>
      <w:proofErr w:type="gramStart"/>
      <w:r w:rsidRPr="00F17984">
        <w:rPr>
          <w:rFonts w:eastAsia="Times New Roman" w:cs="Arial"/>
          <w:color w:val="000000"/>
          <w:lang w:eastAsia="bg-BG"/>
        </w:rPr>
        <w:t>,8</w:t>
      </w:r>
      <w:proofErr w:type="gramEnd"/>
      <w:r w:rsidRPr="00F17984">
        <w:rPr>
          <w:rFonts w:eastAsia="Times New Roman" w:cs="Arial"/>
          <w:color w:val="000000"/>
          <w:lang w:eastAsia="bg-BG"/>
        </w:rPr>
        <w:t>% о/о етанол (9,4% м/о).</w:t>
      </w:r>
    </w:p>
    <w:p w14:paraId="28CB4842"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Пропиленгликол: 46,42 </w:t>
      </w:r>
      <w:r w:rsidRPr="00F17984">
        <w:rPr>
          <w:rFonts w:eastAsia="Times New Roman" w:cs="Arial"/>
          <w:color w:val="000000"/>
          <w:lang w:val="en-US"/>
        </w:rPr>
        <w:t>mg</w:t>
      </w:r>
      <w:r w:rsidRPr="00F17984">
        <w:rPr>
          <w:rFonts w:eastAsia="Times New Roman" w:cs="Arial"/>
          <w:color w:val="000000"/>
          <w:lang w:eastAsia="bg-BG"/>
        </w:rPr>
        <w:t>/капсула.</w:t>
      </w:r>
    </w:p>
    <w:p w14:paraId="199FD988"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Макроголглицеролов хидроксистеарат / Полиоксил 40 хидрогенирано рициново масло: 101,25 </w:t>
      </w:r>
      <w:r w:rsidRPr="00F17984">
        <w:rPr>
          <w:rFonts w:eastAsia="Times New Roman" w:cs="Arial"/>
          <w:color w:val="000000"/>
          <w:lang w:val="en-US"/>
        </w:rPr>
        <w:t>mg</w:t>
      </w:r>
      <w:r w:rsidRPr="00F17984">
        <w:rPr>
          <w:rFonts w:eastAsia="Times New Roman" w:cs="Arial"/>
          <w:color w:val="000000"/>
          <w:lang w:eastAsia="bg-BG"/>
        </w:rPr>
        <w:t>/капсула.</w:t>
      </w:r>
    </w:p>
    <w:p w14:paraId="1A94D497" w14:textId="77777777" w:rsidR="00F17984" w:rsidRPr="00F17984" w:rsidRDefault="00F17984" w:rsidP="00F17984">
      <w:pPr>
        <w:spacing w:line="240" w:lineRule="auto"/>
        <w:rPr>
          <w:rFonts w:eastAsia="Times New Roman" w:cs="Arial"/>
          <w:color w:val="000000"/>
          <w:lang w:eastAsia="bg-BG"/>
        </w:rPr>
      </w:pPr>
    </w:p>
    <w:p w14:paraId="2468E9CF" w14:textId="5CF0BD23"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Всяка 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50 </w:t>
      </w:r>
      <w:r w:rsidRPr="00F17984">
        <w:rPr>
          <w:rFonts w:eastAsia="Times New Roman" w:cs="Arial"/>
          <w:color w:val="000000"/>
          <w:lang w:val="en-US"/>
        </w:rPr>
        <w:t xml:space="preserve">mg </w:t>
      </w:r>
      <w:r w:rsidRPr="00F17984">
        <w:rPr>
          <w:rFonts w:eastAsia="Times New Roman" w:cs="Arial"/>
          <w:color w:val="000000"/>
          <w:lang w:eastAsia="bg-BG"/>
        </w:rPr>
        <w:t xml:space="preserve">съдържа 50 </w:t>
      </w:r>
      <w:r w:rsidRPr="00F17984">
        <w:rPr>
          <w:rFonts w:eastAsia="Times New Roman" w:cs="Arial"/>
          <w:color w:val="000000"/>
          <w:lang w:val="en-US"/>
        </w:rPr>
        <w:t xml:space="preserve">mg </w:t>
      </w:r>
      <w:r w:rsidRPr="00F17984">
        <w:rPr>
          <w:rFonts w:eastAsia="Times New Roman" w:cs="Arial"/>
          <w:color w:val="000000"/>
          <w:lang w:eastAsia="bg-BG"/>
        </w:rPr>
        <w:t>циклоспорин.</w:t>
      </w:r>
    </w:p>
    <w:p w14:paraId="67DE74E7"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u w:val="single"/>
          <w:lang w:eastAsia="bg-BG"/>
        </w:rPr>
        <w:t>Помощни вещества с известно действие:</w:t>
      </w:r>
    </w:p>
    <w:p w14:paraId="5C379F6D"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Етанол: 50 </w:t>
      </w:r>
      <w:r w:rsidRPr="00F17984">
        <w:rPr>
          <w:rFonts w:eastAsia="Times New Roman" w:cs="Arial"/>
          <w:color w:val="000000"/>
          <w:lang w:val="en-US"/>
        </w:rPr>
        <w:t>mg</w:t>
      </w:r>
      <w:r w:rsidRPr="00F17984">
        <w:rPr>
          <w:rFonts w:eastAsia="Times New Roman" w:cs="Arial"/>
          <w:color w:val="000000"/>
          <w:lang w:eastAsia="bg-BG"/>
        </w:rPr>
        <w:t xml:space="preserve">/капсула.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меки капсули съдържат 11</w:t>
      </w:r>
      <w:proofErr w:type="gramStart"/>
      <w:r w:rsidRPr="00F17984">
        <w:rPr>
          <w:rFonts w:eastAsia="Times New Roman" w:cs="Arial"/>
          <w:color w:val="000000"/>
          <w:lang w:eastAsia="bg-BG"/>
        </w:rPr>
        <w:t>,8</w:t>
      </w:r>
      <w:proofErr w:type="gramEnd"/>
      <w:r w:rsidRPr="00F17984">
        <w:rPr>
          <w:rFonts w:eastAsia="Times New Roman" w:cs="Arial"/>
          <w:color w:val="000000"/>
          <w:lang w:eastAsia="bg-BG"/>
        </w:rPr>
        <w:t>% о/о етанол (9,4% м/о).</w:t>
      </w:r>
    </w:p>
    <w:p w14:paraId="5CEC0CCF"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Пропиленгликол: 90,36 </w:t>
      </w:r>
      <w:r w:rsidRPr="00F17984">
        <w:rPr>
          <w:rFonts w:eastAsia="Times New Roman" w:cs="Arial"/>
          <w:color w:val="000000"/>
          <w:lang w:val="en-US"/>
        </w:rPr>
        <w:t xml:space="preserve">mg/ </w:t>
      </w:r>
      <w:r w:rsidRPr="00F17984">
        <w:rPr>
          <w:rFonts w:eastAsia="Times New Roman" w:cs="Arial"/>
          <w:color w:val="000000"/>
          <w:lang w:eastAsia="bg-BG"/>
        </w:rPr>
        <w:t>капсула.</w:t>
      </w:r>
    </w:p>
    <w:p w14:paraId="66B456D6"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Макроголглицеролов хидроксистеарат / Полиоксил 40 хидрогенирано рициново масло:</w:t>
      </w:r>
    </w:p>
    <w:p w14:paraId="2F743053"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202,5 </w:t>
      </w:r>
      <w:r w:rsidRPr="00F17984">
        <w:rPr>
          <w:rFonts w:eastAsia="Times New Roman" w:cs="Arial"/>
          <w:color w:val="000000"/>
          <w:lang w:val="en-US"/>
        </w:rPr>
        <w:t>mg</w:t>
      </w:r>
      <w:r w:rsidRPr="00F17984">
        <w:rPr>
          <w:rFonts w:eastAsia="Times New Roman" w:cs="Arial"/>
          <w:color w:val="000000"/>
          <w:lang w:eastAsia="bg-BG"/>
        </w:rPr>
        <w:t>/капсула.</w:t>
      </w:r>
    </w:p>
    <w:p w14:paraId="20556B99" w14:textId="77777777" w:rsidR="00F17984" w:rsidRPr="00F17984" w:rsidRDefault="00F17984" w:rsidP="00F17984">
      <w:pPr>
        <w:spacing w:line="240" w:lineRule="auto"/>
        <w:rPr>
          <w:rFonts w:eastAsia="Times New Roman" w:cs="Arial"/>
          <w:color w:val="000000"/>
          <w:lang w:eastAsia="bg-BG"/>
        </w:rPr>
      </w:pPr>
    </w:p>
    <w:p w14:paraId="176EBF2A" w14:textId="5AAC5568"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Всяка 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100 </w:t>
      </w:r>
      <w:r w:rsidRPr="00F17984">
        <w:rPr>
          <w:rFonts w:eastAsia="Times New Roman" w:cs="Arial"/>
          <w:color w:val="000000"/>
          <w:lang w:val="en-US"/>
        </w:rPr>
        <w:t xml:space="preserve">mg </w:t>
      </w:r>
      <w:r w:rsidRPr="00F17984">
        <w:rPr>
          <w:rFonts w:eastAsia="Times New Roman" w:cs="Arial"/>
          <w:color w:val="000000"/>
          <w:lang w:eastAsia="bg-BG"/>
        </w:rPr>
        <w:t xml:space="preserve">съдържа 100 </w:t>
      </w:r>
      <w:r w:rsidRPr="00F17984">
        <w:rPr>
          <w:rFonts w:eastAsia="Times New Roman" w:cs="Arial"/>
          <w:color w:val="000000"/>
          <w:lang w:val="en-US"/>
        </w:rPr>
        <w:t xml:space="preserve">mg </w:t>
      </w:r>
      <w:r w:rsidRPr="00F17984">
        <w:rPr>
          <w:rFonts w:eastAsia="Times New Roman" w:cs="Arial"/>
          <w:color w:val="000000"/>
          <w:lang w:eastAsia="bg-BG"/>
        </w:rPr>
        <w:t>циклоспорин.</w:t>
      </w:r>
    </w:p>
    <w:p w14:paraId="0EA86E06"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u w:val="single"/>
          <w:lang w:eastAsia="bg-BG"/>
        </w:rPr>
        <w:t>Помощни вещества с известно действие:</w:t>
      </w:r>
    </w:p>
    <w:p w14:paraId="6E91A5C2"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Етанол: 100 </w:t>
      </w:r>
      <w:r w:rsidRPr="00F17984">
        <w:rPr>
          <w:rFonts w:eastAsia="Times New Roman" w:cs="Arial"/>
          <w:color w:val="000000"/>
          <w:lang w:val="en-US"/>
        </w:rPr>
        <w:t>mg</w:t>
      </w:r>
      <w:r w:rsidRPr="00F17984">
        <w:rPr>
          <w:rFonts w:eastAsia="Times New Roman" w:cs="Arial"/>
          <w:color w:val="000000"/>
          <w:lang w:eastAsia="bg-BG"/>
        </w:rPr>
        <w:t xml:space="preserve">/капсула.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меки капсули съдържат 11</w:t>
      </w:r>
      <w:proofErr w:type="gramStart"/>
      <w:r w:rsidRPr="00F17984">
        <w:rPr>
          <w:rFonts w:eastAsia="Times New Roman" w:cs="Arial"/>
          <w:color w:val="000000"/>
          <w:lang w:eastAsia="bg-BG"/>
        </w:rPr>
        <w:t>,8</w:t>
      </w:r>
      <w:proofErr w:type="gramEnd"/>
      <w:r w:rsidRPr="00F17984">
        <w:rPr>
          <w:rFonts w:eastAsia="Times New Roman" w:cs="Arial"/>
          <w:color w:val="000000"/>
          <w:lang w:eastAsia="bg-BG"/>
        </w:rPr>
        <w:t>% о/о етанол</w:t>
      </w:r>
    </w:p>
    <w:p w14:paraId="6490EB8D"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(9,4% м/о).</w:t>
      </w:r>
    </w:p>
    <w:p w14:paraId="26A9659A"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Пропиленгликол: 148,31 </w:t>
      </w:r>
      <w:r w:rsidRPr="00F17984">
        <w:rPr>
          <w:rFonts w:eastAsia="Times New Roman" w:cs="Arial"/>
          <w:color w:val="000000"/>
          <w:lang w:val="en-US"/>
        </w:rPr>
        <w:t>mg/</w:t>
      </w:r>
      <w:r w:rsidRPr="00F17984">
        <w:rPr>
          <w:rFonts w:eastAsia="Times New Roman" w:cs="Arial"/>
          <w:color w:val="000000"/>
          <w:lang w:eastAsia="bg-BG"/>
        </w:rPr>
        <w:t>капсула.</w:t>
      </w:r>
    </w:p>
    <w:p w14:paraId="4BAB9591"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Макроголглицеролов хидроксистеарат / Полиоксил 40 хидрогенирано рициново масло: 405,0 </w:t>
      </w:r>
      <w:r w:rsidRPr="00F17984">
        <w:rPr>
          <w:rFonts w:eastAsia="Times New Roman" w:cs="Arial"/>
          <w:color w:val="000000"/>
          <w:lang w:val="en-US"/>
        </w:rPr>
        <w:t>mg</w:t>
      </w:r>
      <w:r w:rsidRPr="00F17984">
        <w:rPr>
          <w:rFonts w:eastAsia="Times New Roman" w:cs="Arial"/>
          <w:color w:val="000000"/>
          <w:lang w:eastAsia="bg-BG"/>
        </w:rPr>
        <w:t>/капсула.</w:t>
      </w:r>
    </w:p>
    <w:p w14:paraId="09FC255B" w14:textId="77777777" w:rsidR="00F17984" w:rsidRPr="00F17984" w:rsidRDefault="00F17984" w:rsidP="00F17984">
      <w:pPr>
        <w:rPr>
          <w:rFonts w:eastAsia="Times New Roman" w:cs="Arial"/>
          <w:color w:val="000000"/>
          <w:lang w:eastAsia="bg-BG"/>
        </w:rPr>
      </w:pPr>
    </w:p>
    <w:p w14:paraId="03110A50" w14:textId="080D86E1" w:rsidR="0091385D" w:rsidRPr="00F17984" w:rsidRDefault="00F17984" w:rsidP="00F17984">
      <w:pPr>
        <w:rPr>
          <w:rFonts w:cs="Arial"/>
        </w:rPr>
      </w:pPr>
      <w:r w:rsidRPr="00F17984">
        <w:rPr>
          <w:rFonts w:eastAsia="Times New Roman" w:cs="Arial"/>
          <w:color w:val="000000"/>
          <w:lang w:eastAsia="bg-BG"/>
        </w:rPr>
        <w:t>За пълния списък на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35EEA461"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Меки капсули</w:t>
      </w:r>
    </w:p>
    <w:p w14:paraId="1612E42D" w14:textId="77777777" w:rsidR="00F17984" w:rsidRPr="00F17984" w:rsidRDefault="00F17984" w:rsidP="00F17984">
      <w:pPr>
        <w:spacing w:line="240" w:lineRule="auto"/>
        <w:rPr>
          <w:rFonts w:eastAsia="Times New Roman" w:cs="Arial"/>
          <w:color w:val="000000"/>
          <w:lang w:val="en-US"/>
        </w:rPr>
      </w:pPr>
    </w:p>
    <w:p w14:paraId="1F24E0FA" w14:textId="1B79432D" w:rsidR="00F17984" w:rsidRPr="00F17984" w:rsidRDefault="00F17984" w:rsidP="00F17984">
      <w:pPr>
        <w:spacing w:line="240" w:lineRule="auto"/>
        <w:rPr>
          <w:rFonts w:eastAsia="Times New Roman" w:cs="Arial"/>
          <w:lang w:eastAsia="bg-BG"/>
        </w:rPr>
      </w:pPr>
      <w:r w:rsidRPr="00F17984">
        <w:rPr>
          <w:rFonts w:eastAsia="Times New Roman" w:cs="Arial"/>
          <w:color w:val="000000"/>
          <w:lang w:val="en-US"/>
        </w:rPr>
        <w:lastRenderedPageBreak/>
        <w:t xml:space="preserve">Sandimmun Neoral </w:t>
      </w:r>
      <w:r w:rsidRPr="00F17984">
        <w:rPr>
          <w:rFonts w:eastAsia="Times New Roman" w:cs="Arial"/>
          <w:color w:val="000000"/>
          <w:lang w:eastAsia="bg-BG"/>
        </w:rPr>
        <w:t xml:space="preserve">25 </w:t>
      </w:r>
      <w:r w:rsidRPr="00F17984">
        <w:rPr>
          <w:rFonts w:eastAsia="Times New Roman" w:cs="Arial"/>
          <w:color w:val="000000"/>
          <w:lang w:val="en-US"/>
        </w:rPr>
        <w:t xml:space="preserve">mg </w:t>
      </w:r>
      <w:r w:rsidRPr="00F17984">
        <w:rPr>
          <w:rFonts w:eastAsia="Times New Roman" w:cs="Arial"/>
          <w:color w:val="000000"/>
          <w:lang w:eastAsia="bg-BG"/>
        </w:rPr>
        <w:t xml:space="preserve">- Синьо-сива, овална, мека желатинова капсула, с надпис в червено </w:t>
      </w:r>
      <w:r w:rsidRPr="00F17984">
        <w:rPr>
          <w:rFonts w:eastAsia="Times New Roman" w:cs="Arial"/>
          <w:color w:val="000000"/>
          <w:lang w:val="en-US"/>
        </w:rPr>
        <w:t>“NVR 25mg".</w:t>
      </w:r>
    </w:p>
    <w:p w14:paraId="64D79216"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val="en-US"/>
        </w:rPr>
        <w:t xml:space="preserve">Sandimmun Neoral </w:t>
      </w:r>
      <w:r w:rsidRPr="00F17984">
        <w:rPr>
          <w:rFonts w:eastAsia="Times New Roman" w:cs="Arial"/>
          <w:color w:val="000000"/>
          <w:lang w:eastAsia="bg-BG"/>
        </w:rPr>
        <w:t xml:space="preserve">50 </w:t>
      </w:r>
      <w:r w:rsidRPr="00F17984">
        <w:rPr>
          <w:rFonts w:eastAsia="Times New Roman" w:cs="Arial"/>
          <w:color w:val="000000"/>
          <w:lang w:val="en-US"/>
        </w:rPr>
        <w:t xml:space="preserve">mg - </w:t>
      </w:r>
      <w:r w:rsidRPr="00F17984">
        <w:rPr>
          <w:rFonts w:eastAsia="Times New Roman" w:cs="Arial"/>
          <w:color w:val="000000"/>
          <w:lang w:eastAsia="bg-BG"/>
        </w:rPr>
        <w:t xml:space="preserve">Жълто-бяла, продълговата, мека желатинова капсула, с надпис в червено </w:t>
      </w:r>
      <w:r w:rsidRPr="00F17984">
        <w:rPr>
          <w:rFonts w:eastAsia="Times New Roman" w:cs="Arial"/>
          <w:color w:val="000000"/>
          <w:lang w:val="en-US"/>
        </w:rPr>
        <w:t>“NVR 50mg”.</w:t>
      </w:r>
    </w:p>
    <w:p w14:paraId="4129ADBB" w14:textId="3D0C49D5" w:rsidR="0091385D" w:rsidRPr="00F17984" w:rsidRDefault="00F17984" w:rsidP="00F17984">
      <w:pPr>
        <w:rPr>
          <w:rFonts w:cs="Arial"/>
        </w:rPr>
      </w:pPr>
      <w:r w:rsidRPr="00F17984">
        <w:rPr>
          <w:rFonts w:eastAsia="Times New Roman" w:cs="Arial"/>
          <w:color w:val="000000"/>
          <w:lang w:val="en-US"/>
        </w:rPr>
        <w:t xml:space="preserve">Sandimmun Neoral </w:t>
      </w:r>
      <w:r w:rsidRPr="00F17984">
        <w:rPr>
          <w:rFonts w:eastAsia="Times New Roman" w:cs="Arial"/>
          <w:color w:val="000000"/>
          <w:lang w:eastAsia="bg-BG"/>
        </w:rPr>
        <w:t xml:space="preserve">100 </w:t>
      </w:r>
      <w:r w:rsidRPr="00F17984">
        <w:rPr>
          <w:rFonts w:eastAsia="Times New Roman" w:cs="Arial"/>
          <w:color w:val="000000"/>
          <w:lang w:val="en-US"/>
        </w:rPr>
        <w:t xml:space="preserve">mg - </w:t>
      </w:r>
      <w:r w:rsidRPr="00F17984">
        <w:rPr>
          <w:rFonts w:eastAsia="Times New Roman" w:cs="Arial"/>
          <w:color w:val="000000"/>
          <w:lang w:eastAsia="bg-BG"/>
        </w:rPr>
        <w:t xml:space="preserve">Синьо-сива, продълговата, мека желатинова капсула, с надпис в червено </w:t>
      </w:r>
      <w:r w:rsidRPr="00F17984">
        <w:rPr>
          <w:rFonts w:eastAsia="Times New Roman" w:cs="Arial"/>
          <w:color w:val="000000"/>
          <w:lang w:val="en-US"/>
        </w:rPr>
        <w:t>“NVR 100 rng”.</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6C640FD2" w14:textId="77777777" w:rsidR="00F17984" w:rsidRPr="00F17984" w:rsidRDefault="00F17984" w:rsidP="00F17984">
      <w:pPr>
        <w:spacing w:line="240" w:lineRule="auto"/>
        <w:rPr>
          <w:rFonts w:eastAsia="Times New Roman" w:cs="Arial"/>
          <w:lang w:eastAsia="bg-BG"/>
        </w:rPr>
      </w:pPr>
      <w:r w:rsidRPr="00F17984">
        <w:rPr>
          <w:rFonts w:eastAsia="Times New Roman" w:cs="Arial"/>
          <w:i/>
          <w:iCs/>
          <w:color w:val="000000"/>
          <w:u w:val="single"/>
          <w:lang w:eastAsia="bg-BG"/>
        </w:rPr>
        <w:t>Показания в областта на</w:t>
      </w:r>
      <w:r w:rsidRPr="00F17984">
        <w:rPr>
          <w:rFonts w:eastAsia="Times New Roman" w:cs="Arial"/>
          <w:color w:val="000000"/>
          <w:u w:val="single"/>
          <w:lang w:eastAsia="bg-BG"/>
        </w:rPr>
        <w:t xml:space="preserve"> транспдантацията</w:t>
      </w:r>
    </w:p>
    <w:p w14:paraId="04B2E99C" w14:textId="55BFE499" w:rsidR="0091385D" w:rsidRPr="00F17984" w:rsidRDefault="00F17984" w:rsidP="00F17984">
      <w:pPr>
        <w:rPr>
          <w:rFonts w:cs="Arial"/>
        </w:rPr>
      </w:pPr>
      <w:r w:rsidRPr="00F17984">
        <w:rPr>
          <w:rFonts w:eastAsia="Times New Roman" w:cs="Arial"/>
          <w:i/>
          <w:iCs/>
          <w:color w:val="000000"/>
          <w:lang w:eastAsia="bg-BG"/>
        </w:rPr>
        <w:t>Трансплантация на солидни органи</w:t>
      </w:r>
    </w:p>
    <w:p w14:paraId="6DFA4B9D" w14:textId="3DB19E6B" w:rsidR="0091385D" w:rsidRPr="00F17984" w:rsidRDefault="0091385D" w:rsidP="0091385D">
      <w:pPr>
        <w:rPr>
          <w:rFonts w:cs="Arial"/>
        </w:rPr>
      </w:pPr>
    </w:p>
    <w:p w14:paraId="64CC8661"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Предотвратяване на реакция на отхвърляне на присадката след трансплантация на солидни органи.</w:t>
      </w:r>
    </w:p>
    <w:p w14:paraId="22BEA698" w14:textId="77777777" w:rsidR="00F17984" w:rsidRPr="00F17984" w:rsidRDefault="00F17984" w:rsidP="00F17984">
      <w:pPr>
        <w:spacing w:line="240" w:lineRule="auto"/>
        <w:rPr>
          <w:rFonts w:eastAsia="Times New Roman" w:cs="Arial"/>
          <w:color w:val="000000"/>
          <w:lang w:eastAsia="bg-BG"/>
        </w:rPr>
      </w:pPr>
    </w:p>
    <w:p w14:paraId="154C33B2" w14:textId="572ADF20"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Лечение на реакция на клетъчно отхвърляне на присадката при пациенти, приемащи други имуносупресиращи средства.</w:t>
      </w:r>
    </w:p>
    <w:p w14:paraId="4D372247" w14:textId="77777777" w:rsidR="00F17984" w:rsidRPr="00F17984" w:rsidRDefault="00F17984" w:rsidP="00F17984">
      <w:pPr>
        <w:spacing w:line="240" w:lineRule="auto"/>
        <w:rPr>
          <w:rFonts w:eastAsia="Times New Roman" w:cs="Arial"/>
          <w:i/>
          <w:iCs/>
          <w:color w:val="000000"/>
          <w:lang w:eastAsia="bg-BG"/>
        </w:rPr>
      </w:pPr>
    </w:p>
    <w:p w14:paraId="27680231" w14:textId="32ADB64B"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t>Трансплантация на костен мозък</w:t>
      </w:r>
    </w:p>
    <w:p w14:paraId="5C28D310"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Предотвратяване на реакцията на отхвърляне на присадката след алогенна костномозъчна трансплантация или трансплантация на стволови клетки.</w:t>
      </w:r>
    </w:p>
    <w:p w14:paraId="1ECF560B" w14:textId="77777777" w:rsidR="00F17984" w:rsidRPr="00F17984" w:rsidRDefault="00F17984" w:rsidP="00F17984">
      <w:pPr>
        <w:spacing w:line="240" w:lineRule="auto"/>
        <w:rPr>
          <w:rFonts w:eastAsia="Times New Roman" w:cs="Arial"/>
          <w:color w:val="000000"/>
          <w:lang w:eastAsia="bg-BG"/>
        </w:rPr>
      </w:pPr>
    </w:p>
    <w:p w14:paraId="2535EEAC" w14:textId="0709D224"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Профилактика или лечение на болестта, предизвикана от реакцията на присадката срещу приемателя </w:t>
      </w:r>
      <w:r w:rsidRPr="00F17984">
        <w:rPr>
          <w:rFonts w:eastAsia="Times New Roman" w:cs="Arial"/>
          <w:color w:val="000000"/>
          <w:lang w:val="en-US"/>
        </w:rPr>
        <w:t>(graft versus host disease - GVHD).</w:t>
      </w:r>
    </w:p>
    <w:p w14:paraId="006EB0A1" w14:textId="77777777" w:rsidR="00F17984" w:rsidRPr="00F17984" w:rsidRDefault="00F17984" w:rsidP="00F17984">
      <w:pPr>
        <w:spacing w:line="240" w:lineRule="auto"/>
        <w:rPr>
          <w:rFonts w:eastAsia="Times New Roman" w:cs="Arial"/>
          <w:color w:val="000000"/>
          <w:u w:val="single"/>
          <w:lang w:eastAsia="bg-BG"/>
        </w:rPr>
      </w:pPr>
    </w:p>
    <w:p w14:paraId="2111F881" w14:textId="1324A8DC" w:rsidR="00F17984" w:rsidRPr="00F17984" w:rsidRDefault="00F17984" w:rsidP="00F17984">
      <w:pPr>
        <w:spacing w:line="240" w:lineRule="auto"/>
        <w:rPr>
          <w:rFonts w:eastAsia="Times New Roman" w:cs="Arial"/>
          <w:lang w:eastAsia="bg-BG"/>
        </w:rPr>
      </w:pPr>
      <w:r w:rsidRPr="00F17984">
        <w:rPr>
          <w:rFonts w:eastAsia="Times New Roman" w:cs="Arial"/>
          <w:color w:val="000000"/>
          <w:u w:val="single"/>
          <w:lang w:eastAsia="bg-BG"/>
        </w:rPr>
        <w:t>Показания извън областта на трансплантацията</w:t>
      </w:r>
    </w:p>
    <w:p w14:paraId="4977334C" w14:textId="7F88E097"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t>Ендогенен увеит</w:t>
      </w:r>
    </w:p>
    <w:p w14:paraId="7CF7BA8E"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Лечение на застрашаващ зрението интермедиерен или заден увеит от неинфекциозен произход, при пациенти, при които конвенционалната терапия е била неуспешна или е предизвикала неприемливи нежелани реакции.</w:t>
      </w:r>
    </w:p>
    <w:p w14:paraId="671B015E" w14:textId="77777777" w:rsidR="00F17984" w:rsidRPr="00F17984" w:rsidRDefault="00F17984" w:rsidP="00F17984">
      <w:pPr>
        <w:spacing w:line="240" w:lineRule="auto"/>
        <w:rPr>
          <w:rFonts w:eastAsia="Times New Roman" w:cs="Arial"/>
          <w:color w:val="000000"/>
          <w:lang w:eastAsia="bg-BG"/>
        </w:rPr>
      </w:pPr>
    </w:p>
    <w:p w14:paraId="46BCD285" w14:textId="7A493FA1"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Лечение на увеит при болест на Бехчет с рецидивиращи възпалителни реакции, засягащи ретината при пациенти без неврологични прояви.</w:t>
      </w:r>
    </w:p>
    <w:p w14:paraId="0D5D3534" w14:textId="77777777" w:rsidR="00F17984" w:rsidRPr="00F17984" w:rsidRDefault="00F17984" w:rsidP="00F17984">
      <w:pPr>
        <w:spacing w:line="240" w:lineRule="auto"/>
        <w:rPr>
          <w:rFonts w:eastAsia="Times New Roman" w:cs="Arial"/>
          <w:i/>
          <w:iCs/>
          <w:color w:val="000000"/>
          <w:lang w:eastAsia="bg-BG"/>
        </w:rPr>
      </w:pPr>
    </w:p>
    <w:p w14:paraId="54E518C0" w14:textId="411CEA81"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t>Нефротичен синдром</w:t>
      </w:r>
    </w:p>
    <w:p w14:paraId="73F34ED2"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Стероид-зависим и стероид-резистентен нефротичен синдром, вследствие първични гломерулни заболявания като болест на минималните изменения, фокална и сегментна гломерулосклероза или мембранозен гломерулонефрит.</w:t>
      </w:r>
    </w:p>
    <w:p w14:paraId="174C4D3D" w14:textId="77777777" w:rsidR="00F17984" w:rsidRPr="00F17984" w:rsidRDefault="00F17984" w:rsidP="00F17984">
      <w:pPr>
        <w:spacing w:line="240" w:lineRule="auto"/>
        <w:rPr>
          <w:rFonts w:eastAsia="Times New Roman" w:cs="Arial"/>
          <w:color w:val="000000"/>
          <w:lang w:val="en-US"/>
        </w:rPr>
      </w:pPr>
    </w:p>
    <w:p w14:paraId="5823BCA8" w14:textId="121052FC" w:rsidR="00F17984" w:rsidRPr="00F17984" w:rsidRDefault="00F17984" w:rsidP="00F17984">
      <w:pPr>
        <w:spacing w:line="240" w:lineRule="auto"/>
        <w:rPr>
          <w:rFonts w:eastAsia="Times New Roman" w:cs="Arial"/>
          <w:lang w:eastAsia="bg-BG"/>
        </w:rPr>
      </w:pPr>
      <w:r w:rsidRPr="00F17984">
        <w:rPr>
          <w:rFonts w:eastAsia="Times New Roman" w:cs="Arial"/>
          <w:color w:val="000000"/>
          <w:lang w:val="en-US"/>
        </w:rPr>
        <w:t xml:space="preserve">Sandimmun Neoral </w:t>
      </w:r>
      <w:r w:rsidRPr="00F17984">
        <w:rPr>
          <w:rFonts w:eastAsia="Times New Roman" w:cs="Arial"/>
          <w:color w:val="000000"/>
          <w:lang w:eastAsia="bg-BG"/>
        </w:rPr>
        <w:t>може да се използва за индукция и поддържане на ремисия. Може да се използва също така за поддържане на стероид-индуцирана ремисия, позволявайки спиране на кортикостероидите.</w:t>
      </w:r>
    </w:p>
    <w:p w14:paraId="53C17FA4" w14:textId="77777777" w:rsidR="00F17984" w:rsidRPr="00F17984" w:rsidRDefault="00F17984" w:rsidP="00F17984">
      <w:pPr>
        <w:spacing w:line="240" w:lineRule="auto"/>
        <w:rPr>
          <w:rFonts w:eastAsia="Times New Roman" w:cs="Arial"/>
          <w:i/>
          <w:iCs/>
          <w:color w:val="000000"/>
          <w:lang w:eastAsia="bg-BG"/>
        </w:rPr>
      </w:pPr>
    </w:p>
    <w:p w14:paraId="6E09684C" w14:textId="4BCEB34D"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t>Ревматоиден артрит</w:t>
      </w:r>
    </w:p>
    <w:p w14:paraId="79F321B1"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Лечение на тежък, активен ревматоиден артрит.</w:t>
      </w:r>
    </w:p>
    <w:p w14:paraId="6633F7CA" w14:textId="77777777" w:rsidR="00F17984" w:rsidRPr="00F17984" w:rsidRDefault="00F17984" w:rsidP="00F17984">
      <w:pPr>
        <w:spacing w:line="240" w:lineRule="auto"/>
        <w:rPr>
          <w:rFonts w:eastAsia="Times New Roman" w:cs="Arial"/>
          <w:i/>
          <w:iCs/>
          <w:color w:val="000000"/>
          <w:lang w:eastAsia="bg-BG"/>
        </w:rPr>
      </w:pPr>
    </w:p>
    <w:p w14:paraId="7F608DB1" w14:textId="414A9B48"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lastRenderedPageBreak/>
        <w:t>Псориазис</w:t>
      </w:r>
    </w:p>
    <w:p w14:paraId="3628AC06"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Лечение на тежък псориазис при пациенти, при които конвенционалната терапия е неподходяща или без ефект.</w:t>
      </w:r>
    </w:p>
    <w:p w14:paraId="47E01317" w14:textId="77777777" w:rsidR="00F17984" w:rsidRPr="00F17984" w:rsidRDefault="00F17984" w:rsidP="00F17984">
      <w:pPr>
        <w:spacing w:line="240" w:lineRule="auto"/>
        <w:rPr>
          <w:rFonts w:eastAsia="Times New Roman" w:cs="Arial"/>
          <w:i/>
          <w:iCs/>
          <w:color w:val="000000"/>
          <w:lang w:eastAsia="bg-BG"/>
        </w:rPr>
      </w:pPr>
    </w:p>
    <w:p w14:paraId="515C2B3C" w14:textId="72B5EA07"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t>Атопичен дерматит</w:t>
      </w:r>
    </w:p>
    <w:p w14:paraId="62174ABB" w14:textId="57F37A75" w:rsidR="00F17984" w:rsidRPr="00F17984" w:rsidRDefault="00F17984" w:rsidP="00F17984">
      <w:pPr>
        <w:rPr>
          <w:rFonts w:cs="Arial"/>
        </w:rPr>
      </w:pPr>
      <w:r w:rsidRPr="00F17984">
        <w:rPr>
          <w:rFonts w:eastAsia="Times New Roman" w:cs="Arial"/>
          <w:color w:val="000000"/>
          <w:lang w:val="en-US"/>
        </w:rPr>
        <w:t xml:space="preserve">Sandimmun Neoral </w:t>
      </w:r>
      <w:r w:rsidRPr="00F17984">
        <w:rPr>
          <w:rFonts w:eastAsia="Times New Roman" w:cs="Arial"/>
          <w:color w:val="000000"/>
          <w:lang w:eastAsia="bg-BG"/>
        </w:rPr>
        <w:t>е показан при пациенти с тежък атопичен дерматит, при които е необходима системна терапия.</w:t>
      </w:r>
    </w:p>
    <w:p w14:paraId="7A022CD1" w14:textId="77777777" w:rsidR="00F17984" w:rsidRPr="0091385D" w:rsidRDefault="00F17984"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44065D94" w14:textId="77777777" w:rsidR="00F17984" w:rsidRPr="00AB7E9B" w:rsidRDefault="00F17984" w:rsidP="00AB7E9B">
      <w:pPr>
        <w:pStyle w:val="Heading3"/>
        <w:rPr>
          <w:rFonts w:eastAsia="Times New Roman"/>
          <w:u w:val="single"/>
          <w:lang w:eastAsia="bg-BG"/>
        </w:rPr>
      </w:pPr>
      <w:r w:rsidRPr="00AB7E9B">
        <w:rPr>
          <w:rFonts w:eastAsia="Times New Roman"/>
          <w:u w:val="single"/>
          <w:lang w:eastAsia="bg-BG"/>
        </w:rPr>
        <w:t>Дозировка</w:t>
      </w:r>
    </w:p>
    <w:p w14:paraId="4340C271"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Приложените схеми на приложение са само насочващи.</w:t>
      </w:r>
    </w:p>
    <w:p w14:paraId="381E1631" w14:textId="77777777" w:rsidR="00F17984" w:rsidRPr="00F17984" w:rsidRDefault="00F17984" w:rsidP="00F17984">
      <w:pPr>
        <w:spacing w:line="240" w:lineRule="auto"/>
        <w:rPr>
          <w:rFonts w:eastAsia="Times New Roman" w:cs="Arial"/>
          <w:color w:val="000000"/>
          <w:lang w:eastAsia="bg-BG"/>
        </w:rPr>
      </w:pPr>
    </w:p>
    <w:p w14:paraId="2670546D" w14:textId="148E74A8"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Дневната доза на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трябва винаги да се дава в два отделни приема, разпределени на равни интервали през деня. Препоръчва се да има строг график на прилагане на </w:t>
      </w:r>
      <w:r w:rsidRPr="00F17984">
        <w:rPr>
          <w:rFonts w:eastAsia="Times New Roman" w:cs="Arial"/>
          <w:color w:val="000000"/>
          <w:lang w:val="en-US"/>
        </w:rPr>
        <w:t xml:space="preserve">Sandimmun Neoral </w:t>
      </w:r>
      <w:r w:rsidRPr="00F17984">
        <w:rPr>
          <w:rFonts w:eastAsia="Times New Roman" w:cs="Arial"/>
          <w:color w:val="000000"/>
          <w:lang w:eastAsia="bg-BG"/>
        </w:rPr>
        <w:t>по отношение на времето и връзката с храна.</w:t>
      </w:r>
    </w:p>
    <w:p w14:paraId="1EA1AF25" w14:textId="77777777" w:rsidR="00F17984" w:rsidRPr="00F17984" w:rsidRDefault="00F17984" w:rsidP="00F17984">
      <w:pPr>
        <w:spacing w:line="240" w:lineRule="auto"/>
        <w:rPr>
          <w:rFonts w:eastAsia="Times New Roman" w:cs="Arial"/>
          <w:color w:val="000000"/>
          <w:lang w:val="en-US"/>
        </w:rPr>
      </w:pPr>
    </w:p>
    <w:p w14:paraId="3E63983D" w14:textId="75462260"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val="en-US"/>
        </w:rPr>
        <w:t xml:space="preserve">Sandimmun Neoral </w:t>
      </w:r>
      <w:r w:rsidRPr="00F17984">
        <w:rPr>
          <w:rFonts w:eastAsia="Times New Roman" w:cs="Arial"/>
          <w:color w:val="000000"/>
          <w:lang w:eastAsia="bg-BG"/>
        </w:rPr>
        <w:t>трябва да се предписва само от, или в тясна колаборация с, лекар с опит в имуносупресивната терапия и/или органната трансплантация.</w:t>
      </w:r>
    </w:p>
    <w:p w14:paraId="6CDA7A30" w14:textId="77777777" w:rsidR="00F17984" w:rsidRPr="00F17984" w:rsidRDefault="00F17984" w:rsidP="00F17984">
      <w:pPr>
        <w:spacing w:line="240" w:lineRule="auto"/>
        <w:rPr>
          <w:rFonts w:eastAsia="Times New Roman" w:cs="Arial"/>
          <w:i/>
          <w:iCs/>
          <w:color w:val="000000"/>
          <w:u w:val="single"/>
          <w:lang w:eastAsia="bg-BG"/>
        </w:rPr>
      </w:pPr>
    </w:p>
    <w:p w14:paraId="0DD4304F" w14:textId="6A69832E"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u w:val="single"/>
          <w:lang w:eastAsia="bg-BG"/>
        </w:rPr>
        <w:t>Трансплантация</w:t>
      </w:r>
    </w:p>
    <w:p w14:paraId="475300EC" w14:textId="204DF981" w:rsidR="0091385D" w:rsidRPr="00F17984" w:rsidRDefault="00F17984" w:rsidP="00F17984">
      <w:pPr>
        <w:rPr>
          <w:rFonts w:cs="Arial"/>
        </w:rPr>
      </w:pPr>
      <w:r w:rsidRPr="00F17984">
        <w:rPr>
          <w:rFonts w:eastAsia="Times New Roman" w:cs="Arial"/>
          <w:i/>
          <w:iCs/>
          <w:color w:val="000000"/>
          <w:lang w:eastAsia="bg-BG"/>
        </w:rPr>
        <w:t>Трансплантация на солидни органи</w:t>
      </w:r>
    </w:p>
    <w:p w14:paraId="6ACAF645" w14:textId="3BC8D211" w:rsidR="0091385D" w:rsidRPr="00F17984" w:rsidRDefault="0091385D" w:rsidP="0091385D">
      <w:pPr>
        <w:rPr>
          <w:rFonts w:cs="Arial"/>
        </w:rPr>
      </w:pPr>
    </w:p>
    <w:p w14:paraId="48B03066"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трябва да се започне в рамките на 12 часа преди операцията в доза от 10 до 15 </w:t>
      </w:r>
      <w:r w:rsidRPr="00F17984">
        <w:rPr>
          <w:rFonts w:eastAsia="Times New Roman" w:cs="Arial"/>
          <w:color w:val="000000"/>
          <w:lang w:val="en-US"/>
        </w:rPr>
        <w:t xml:space="preserve">mg/kg, </w:t>
      </w:r>
      <w:r w:rsidRPr="00F17984">
        <w:rPr>
          <w:rFonts w:eastAsia="Times New Roman" w:cs="Arial"/>
          <w:color w:val="000000"/>
          <w:lang w:eastAsia="bg-BG"/>
        </w:rPr>
        <w:t xml:space="preserve">разделена на 2 приема. Тази доза трябва да се поддържа като дневна доза в продължение на 1 до 2 седмици след операцията, като постепенно се намалява в съответствие с плазмените нива, в съответствие с локалния имуносупресивен протокол до достигане на препоръчителната поддържаща доза от около 2 до 6 </w:t>
      </w:r>
      <w:r w:rsidRPr="00F17984">
        <w:rPr>
          <w:rFonts w:eastAsia="Times New Roman" w:cs="Arial"/>
          <w:color w:val="000000"/>
          <w:lang w:val="en-US"/>
        </w:rPr>
        <w:t xml:space="preserve">mg/kg, </w:t>
      </w:r>
      <w:r w:rsidRPr="00F17984">
        <w:rPr>
          <w:rFonts w:eastAsia="Times New Roman" w:cs="Arial"/>
          <w:color w:val="000000"/>
          <w:lang w:eastAsia="bg-BG"/>
        </w:rPr>
        <w:t>приложена в 2 отделни приема.</w:t>
      </w:r>
    </w:p>
    <w:p w14:paraId="4C78D481" w14:textId="77777777" w:rsidR="00F17984" w:rsidRPr="00F17984" w:rsidRDefault="00F17984" w:rsidP="00F17984">
      <w:pPr>
        <w:spacing w:line="240" w:lineRule="auto"/>
        <w:rPr>
          <w:rFonts w:eastAsia="Times New Roman" w:cs="Arial"/>
          <w:color w:val="000000"/>
          <w:lang w:eastAsia="bg-BG"/>
        </w:rPr>
      </w:pPr>
    </w:p>
    <w:p w14:paraId="2A3D8A34" w14:textId="25085A31"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Когато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се прилага с други имуносупресори (напр. кортикостероиди или като част от тройна или четворна лекарствена терапия), може да се прилага в по-ниски дози (напр. 3 до 6 </w:t>
      </w:r>
      <w:r w:rsidRPr="00F17984">
        <w:rPr>
          <w:rFonts w:eastAsia="Times New Roman" w:cs="Arial"/>
          <w:color w:val="000000"/>
          <w:lang w:val="en-US"/>
        </w:rPr>
        <w:t xml:space="preserve">mg/kg, </w:t>
      </w:r>
      <w:r w:rsidRPr="00F17984">
        <w:rPr>
          <w:rFonts w:eastAsia="Times New Roman" w:cs="Arial"/>
          <w:color w:val="000000"/>
          <w:lang w:eastAsia="bg-BG"/>
        </w:rPr>
        <w:t>приложени в 2 отделни приема за започване на лечението).</w:t>
      </w:r>
    </w:p>
    <w:p w14:paraId="625D0151" w14:textId="77777777" w:rsidR="00F17984" w:rsidRPr="00F17984" w:rsidRDefault="00F17984" w:rsidP="00F17984">
      <w:pPr>
        <w:spacing w:line="240" w:lineRule="auto"/>
        <w:rPr>
          <w:rFonts w:eastAsia="Times New Roman" w:cs="Arial"/>
          <w:i/>
          <w:iCs/>
          <w:color w:val="000000"/>
          <w:lang w:eastAsia="bg-BG"/>
        </w:rPr>
      </w:pPr>
    </w:p>
    <w:p w14:paraId="15EBBBDE" w14:textId="07B5BE95"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Трансплантация на костен мозък</w:t>
      </w:r>
    </w:p>
    <w:p w14:paraId="0F92F85C"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Началната доза трябва да се даде в деня на трансплантацията. В повечето случаи за тази цел се предпочита прилагането на </w:t>
      </w:r>
      <w:r w:rsidRPr="00F17984">
        <w:rPr>
          <w:rFonts w:eastAsia="Times New Roman" w:cs="Arial"/>
          <w:color w:val="000000"/>
          <w:lang w:val="en-US"/>
        </w:rPr>
        <w:t xml:space="preserve">Sandimmun </w:t>
      </w:r>
      <w:r w:rsidRPr="00F17984">
        <w:rPr>
          <w:rFonts w:eastAsia="Times New Roman" w:cs="Arial"/>
          <w:color w:val="000000"/>
          <w:lang w:eastAsia="bg-BG"/>
        </w:rPr>
        <w:t xml:space="preserve">концентрат за инфузионен разтвор. Препоръчителната интравенозна доза е 3 до 5 </w:t>
      </w:r>
      <w:r w:rsidRPr="00F17984">
        <w:rPr>
          <w:rFonts w:eastAsia="Times New Roman" w:cs="Arial"/>
          <w:color w:val="000000"/>
          <w:lang w:val="en-US"/>
        </w:rPr>
        <w:t>mg/kg</w:t>
      </w:r>
      <w:r w:rsidRPr="00F17984">
        <w:rPr>
          <w:rFonts w:eastAsia="Times New Roman" w:cs="Arial"/>
          <w:color w:val="000000"/>
          <w:lang w:eastAsia="bg-BG"/>
        </w:rPr>
        <w:t xml:space="preserve">/ден. Инфузията продължава в същата доза по време на непосредствения посттрансплантационен период до 2 седмици след трансплантацията, преди да се премине към перорална поддържаща терапия със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в дневна доза от около 12,5 </w:t>
      </w:r>
      <w:r w:rsidRPr="00F17984">
        <w:rPr>
          <w:rFonts w:eastAsia="Times New Roman" w:cs="Arial"/>
          <w:color w:val="000000"/>
          <w:lang w:val="en-US"/>
        </w:rPr>
        <w:t xml:space="preserve">mg/kg </w:t>
      </w:r>
      <w:r w:rsidRPr="00F17984">
        <w:rPr>
          <w:rFonts w:eastAsia="Times New Roman" w:cs="Arial"/>
          <w:color w:val="000000"/>
          <w:lang w:eastAsia="bg-BG"/>
        </w:rPr>
        <w:t>приложена в два отделни приема.</w:t>
      </w:r>
    </w:p>
    <w:p w14:paraId="289BCEBA" w14:textId="77777777" w:rsidR="00F17984" w:rsidRPr="00F17984" w:rsidRDefault="00F17984" w:rsidP="00F17984">
      <w:pPr>
        <w:spacing w:line="240" w:lineRule="auto"/>
        <w:rPr>
          <w:rFonts w:eastAsia="Times New Roman" w:cs="Arial"/>
          <w:color w:val="000000"/>
          <w:lang w:eastAsia="bg-BG"/>
        </w:rPr>
      </w:pPr>
    </w:p>
    <w:p w14:paraId="144EAA8E" w14:textId="527D365F"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Поддържащото лечение трябва да продължи поне 3 месеца (за предпочитане 6 месеца) преди дозата постепенно да се намали до нула, 1 година след трансплантацията.</w:t>
      </w:r>
    </w:p>
    <w:p w14:paraId="1E33330E" w14:textId="77777777" w:rsidR="00F17984" w:rsidRPr="00F17984" w:rsidRDefault="00F17984" w:rsidP="00F17984">
      <w:pPr>
        <w:spacing w:line="240" w:lineRule="auto"/>
        <w:rPr>
          <w:rFonts w:eastAsia="Times New Roman" w:cs="Arial"/>
          <w:color w:val="000000"/>
          <w:lang w:eastAsia="bg-BG"/>
        </w:rPr>
      </w:pPr>
    </w:p>
    <w:p w14:paraId="28F1C7DA" w14:textId="7C5684D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Ако при започване на лечението се прилага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препоръчителната дневна доза е 12,5 до 15 </w:t>
      </w:r>
      <w:r w:rsidRPr="00F17984">
        <w:rPr>
          <w:rFonts w:eastAsia="Times New Roman" w:cs="Arial"/>
          <w:color w:val="000000"/>
          <w:lang w:val="en-US"/>
        </w:rPr>
        <w:t xml:space="preserve">mg/kg, </w:t>
      </w:r>
      <w:r w:rsidRPr="00F17984">
        <w:rPr>
          <w:rFonts w:eastAsia="Times New Roman" w:cs="Arial"/>
          <w:color w:val="000000"/>
          <w:lang w:eastAsia="bg-BG"/>
        </w:rPr>
        <w:t>приложени в 2 отделни приема, като се започва в деня преди трансплантацията.</w:t>
      </w:r>
    </w:p>
    <w:p w14:paraId="50274B9B" w14:textId="77777777" w:rsidR="00F17984" w:rsidRPr="00F17984" w:rsidRDefault="00F17984" w:rsidP="00F17984">
      <w:pPr>
        <w:spacing w:line="240" w:lineRule="auto"/>
        <w:rPr>
          <w:rFonts w:eastAsia="Times New Roman" w:cs="Arial"/>
          <w:color w:val="000000"/>
          <w:lang w:eastAsia="bg-BG"/>
        </w:rPr>
      </w:pPr>
    </w:p>
    <w:p w14:paraId="135794FC" w14:textId="77777777" w:rsidR="00F17984" w:rsidRPr="00F17984" w:rsidRDefault="00F17984" w:rsidP="00F17984">
      <w:pPr>
        <w:spacing w:line="240" w:lineRule="auto"/>
        <w:rPr>
          <w:rFonts w:eastAsia="Times New Roman" w:cs="Arial"/>
          <w:color w:val="000000"/>
          <w:lang w:eastAsia="bg-BG"/>
        </w:rPr>
      </w:pPr>
      <w:r w:rsidRPr="00F17984">
        <w:rPr>
          <w:rFonts w:eastAsia="Times New Roman" w:cs="Arial"/>
          <w:color w:val="000000"/>
          <w:lang w:eastAsia="bg-BG"/>
        </w:rPr>
        <w:lastRenderedPageBreak/>
        <w:t xml:space="preserve">Може да се наложи прилагането на по-високи дози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или прилагане на интравенозно лечение със </w:t>
      </w:r>
      <w:r w:rsidRPr="00F17984">
        <w:rPr>
          <w:rFonts w:eastAsia="Times New Roman" w:cs="Arial"/>
          <w:color w:val="000000"/>
          <w:lang w:val="en-US"/>
        </w:rPr>
        <w:t xml:space="preserve">Sandimmun, </w:t>
      </w:r>
      <w:r w:rsidRPr="00F17984">
        <w:rPr>
          <w:rFonts w:eastAsia="Times New Roman" w:cs="Arial"/>
          <w:color w:val="000000"/>
          <w:lang w:eastAsia="bg-BG"/>
        </w:rPr>
        <w:t>при наличие на стомашно-чревни нарушения, които могат да намалят абсорбцията.</w:t>
      </w:r>
    </w:p>
    <w:p w14:paraId="3D45302A" w14:textId="77777777" w:rsidR="00F17984" w:rsidRPr="00F17984" w:rsidRDefault="00F17984" w:rsidP="00F17984">
      <w:pPr>
        <w:spacing w:line="240" w:lineRule="auto"/>
        <w:rPr>
          <w:rFonts w:eastAsia="Times New Roman" w:cs="Arial"/>
          <w:color w:val="000000"/>
          <w:lang w:eastAsia="bg-BG"/>
        </w:rPr>
      </w:pPr>
    </w:p>
    <w:p w14:paraId="5AC25EB1" w14:textId="21FB35A1"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При някои пациенти, след спиране на лечението с циклоспорин може да възникне </w:t>
      </w:r>
      <w:r w:rsidRPr="00F17984">
        <w:rPr>
          <w:rFonts w:eastAsia="Times New Roman" w:cs="Arial"/>
          <w:color w:val="000000"/>
          <w:lang w:val="en-US"/>
        </w:rPr>
        <w:t xml:space="preserve">GVHD, </w:t>
      </w:r>
      <w:r w:rsidRPr="00F17984">
        <w:rPr>
          <w:rFonts w:eastAsia="Times New Roman" w:cs="Arial"/>
          <w:color w:val="000000"/>
          <w:lang w:eastAsia="bg-BG"/>
        </w:rPr>
        <w:t xml:space="preserve">но обикновено се повлиява благоприятно след подновяване на лечението. В такива случаи първоначално се прилага перорално натоварваща доза от 10 до 12,5 </w:t>
      </w:r>
      <w:r w:rsidRPr="00F17984">
        <w:rPr>
          <w:rFonts w:eastAsia="Times New Roman" w:cs="Arial"/>
          <w:color w:val="000000"/>
          <w:lang w:val="en-US"/>
        </w:rPr>
        <w:t xml:space="preserve">mg/kg, </w:t>
      </w:r>
      <w:r w:rsidRPr="00F17984">
        <w:rPr>
          <w:rFonts w:eastAsia="Times New Roman" w:cs="Arial"/>
          <w:color w:val="000000"/>
          <w:lang w:eastAsia="bg-BG"/>
        </w:rPr>
        <w:t xml:space="preserve">след което се прилага поддържащата доза, която преди това е била с добър ефект. При лечение на лека хронична </w:t>
      </w:r>
      <w:r w:rsidRPr="00F17984">
        <w:rPr>
          <w:rFonts w:eastAsia="Times New Roman" w:cs="Arial"/>
          <w:color w:val="000000"/>
          <w:lang w:val="en-US"/>
        </w:rPr>
        <w:t xml:space="preserve">GVHD </w:t>
      </w:r>
      <w:r w:rsidRPr="00F17984">
        <w:rPr>
          <w:rFonts w:eastAsia="Times New Roman" w:cs="Arial"/>
          <w:color w:val="000000"/>
          <w:lang w:eastAsia="bg-BG"/>
        </w:rPr>
        <w:t xml:space="preserve">трябва да се прилагат ниски дози </w:t>
      </w:r>
      <w:r w:rsidRPr="00F17984">
        <w:rPr>
          <w:rFonts w:eastAsia="Times New Roman" w:cs="Arial"/>
          <w:color w:val="000000"/>
          <w:lang w:val="en-US"/>
        </w:rPr>
        <w:t>Sandimmun Neoral.</w:t>
      </w:r>
    </w:p>
    <w:p w14:paraId="326DC3EF" w14:textId="77777777" w:rsidR="00F17984" w:rsidRPr="00F17984" w:rsidRDefault="00F17984" w:rsidP="00F17984">
      <w:pPr>
        <w:spacing w:line="240" w:lineRule="auto"/>
        <w:rPr>
          <w:rFonts w:eastAsia="Times New Roman" w:cs="Arial"/>
          <w:i/>
          <w:iCs/>
          <w:color w:val="000000"/>
          <w:u w:val="single"/>
          <w:lang w:eastAsia="bg-BG"/>
        </w:rPr>
      </w:pPr>
    </w:p>
    <w:p w14:paraId="6DB78A1C" w14:textId="2D3A58CF"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u w:val="single"/>
          <w:lang w:eastAsia="bg-BG"/>
        </w:rPr>
        <w:t>Показания извън трансплантацията</w:t>
      </w:r>
    </w:p>
    <w:p w14:paraId="353A3DE6"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Когато </w:t>
      </w:r>
      <w:r w:rsidRPr="00F17984">
        <w:rPr>
          <w:rFonts w:eastAsia="Times New Roman" w:cs="Arial"/>
          <w:color w:val="000000"/>
          <w:lang w:val="en-US"/>
        </w:rPr>
        <w:t xml:space="preserve">Sandimmun Neoral </w:t>
      </w:r>
      <w:r w:rsidRPr="00F17984">
        <w:rPr>
          <w:rFonts w:eastAsia="Times New Roman" w:cs="Arial"/>
          <w:color w:val="000000"/>
          <w:lang w:eastAsia="bg-BG"/>
        </w:rPr>
        <w:t>се използва поради някое от установените показания извън трансплантацията, трябва да се следват следните общи правила:</w:t>
      </w:r>
    </w:p>
    <w:p w14:paraId="199B304C" w14:textId="77777777" w:rsidR="00F17984" w:rsidRPr="00F17984" w:rsidRDefault="00F17984" w:rsidP="00F17984">
      <w:pPr>
        <w:spacing w:line="240" w:lineRule="auto"/>
        <w:rPr>
          <w:rFonts w:eastAsia="Times New Roman" w:cs="Arial"/>
          <w:color w:val="000000"/>
          <w:lang w:eastAsia="bg-BG"/>
        </w:rPr>
      </w:pPr>
    </w:p>
    <w:p w14:paraId="16655F6C" w14:textId="09B25608"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Преди започване на лечението трябва поне двукратно да се направи оценка на изходната бъбречна функция. Изчислената скорост на гломерулна филтрация </w:t>
      </w:r>
      <w:r w:rsidRPr="00F17984">
        <w:rPr>
          <w:rFonts w:eastAsia="Times New Roman" w:cs="Arial"/>
          <w:color w:val="000000"/>
          <w:lang w:val="en-US"/>
        </w:rPr>
        <w:t xml:space="preserve">(eGFR), </w:t>
      </w:r>
      <w:r w:rsidRPr="00F17984">
        <w:rPr>
          <w:rFonts w:eastAsia="Times New Roman" w:cs="Arial"/>
          <w:color w:val="000000"/>
          <w:lang w:eastAsia="bg-BG"/>
        </w:rPr>
        <w:t xml:space="preserve">изчислена по формулата </w:t>
      </w:r>
      <w:r w:rsidRPr="00F17984">
        <w:rPr>
          <w:rFonts w:eastAsia="Times New Roman" w:cs="Arial"/>
          <w:color w:val="000000"/>
          <w:lang w:val="en-US"/>
        </w:rPr>
        <w:t xml:space="preserve">MDRD, </w:t>
      </w:r>
      <w:r w:rsidRPr="00F17984">
        <w:rPr>
          <w:rFonts w:eastAsia="Times New Roman" w:cs="Arial"/>
          <w:color w:val="000000"/>
          <w:lang w:eastAsia="bg-BG"/>
        </w:rPr>
        <w:t xml:space="preserve">може да се използва за оценка на бъбречната функция при възрастни пациенти, а съответната подходяща формула за деца трябва да се използва за оценка на </w:t>
      </w:r>
      <w:r w:rsidRPr="00F17984">
        <w:rPr>
          <w:rFonts w:eastAsia="Times New Roman" w:cs="Arial"/>
          <w:color w:val="000000"/>
          <w:lang w:val="en-US"/>
        </w:rPr>
        <w:t xml:space="preserve">eGFR </w:t>
      </w:r>
      <w:r w:rsidRPr="00F17984">
        <w:rPr>
          <w:rFonts w:eastAsia="Times New Roman" w:cs="Arial"/>
          <w:color w:val="000000"/>
          <w:lang w:eastAsia="bg-BG"/>
        </w:rPr>
        <w:t xml:space="preserve">при педиатрични пациенти. Тъй като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може да увреди бъбречната функция, е необходимо често да се прави оценка на бъбречната функция. Ако </w:t>
      </w:r>
      <w:r w:rsidRPr="00F17984">
        <w:rPr>
          <w:rFonts w:eastAsia="Times New Roman" w:cs="Arial"/>
          <w:color w:val="000000"/>
          <w:lang w:val="en-US"/>
        </w:rPr>
        <w:t xml:space="preserve">eGFR </w:t>
      </w:r>
      <w:r w:rsidRPr="00F17984">
        <w:rPr>
          <w:rFonts w:eastAsia="Times New Roman" w:cs="Arial"/>
          <w:color w:val="000000"/>
          <w:lang w:eastAsia="bg-BG"/>
        </w:rPr>
        <w:t xml:space="preserve">се понижи с повече от 25% спрямо изходната стойност, при повече от едно измерване, дозата на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трябва да се намали с 25 до 50%. Ако понижението на </w:t>
      </w:r>
      <w:r w:rsidRPr="00F17984">
        <w:rPr>
          <w:rFonts w:eastAsia="Times New Roman" w:cs="Arial"/>
          <w:color w:val="000000"/>
          <w:lang w:val="en-US"/>
        </w:rPr>
        <w:t xml:space="preserve">eGFR </w:t>
      </w:r>
      <w:r w:rsidRPr="00F17984">
        <w:rPr>
          <w:rFonts w:eastAsia="Times New Roman" w:cs="Arial"/>
          <w:color w:val="000000"/>
          <w:lang w:eastAsia="bg-BG"/>
        </w:rPr>
        <w:t xml:space="preserve">спрямо изходната стойност е над 35%, трябва да се има предвид по-нататъшно намаляване на дозата на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Препоръките са валидни, дори когато стойностите на креатинина при съответния пациент са в рамките на нормалните лабораторни стойности. Ако намаляването на дозата не доведе до подобрение на </w:t>
      </w:r>
      <w:r w:rsidRPr="00F17984">
        <w:rPr>
          <w:rFonts w:eastAsia="Times New Roman" w:cs="Arial"/>
          <w:color w:val="000000"/>
          <w:lang w:val="en-US"/>
        </w:rPr>
        <w:t xml:space="preserve">eGFR </w:t>
      </w:r>
      <w:r w:rsidRPr="00F17984">
        <w:rPr>
          <w:rFonts w:eastAsia="Times New Roman" w:cs="Arial"/>
          <w:color w:val="000000"/>
          <w:lang w:eastAsia="bg-BG"/>
        </w:rPr>
        <w:t xml:space="preserve">в рамките на един месец, 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трябвда да се преустанови (вж. точка 4.4).</w:t>
      </w:r>
    </w:p>
    <w:p w14:paraId="4A0A74EC" w14:textId="46AD841E" w:rsidR="00F17984" w:rsidRPr="00F17984" w:rsidRDefault="00F17984" w:rsidP="00F17984">
      <w:pPr>
        <w:spacing w:line="240" w:lineRule="auto"/>
        <w:rPr>
          <w:rFonts w:eastAsia="Times New Roman" w:cs="Arial"/>
          <w:sz w:val="24"/>
          <w:szCs w:val="24"/>
          <w:lang w:eastAsia="bg-BG"/>
        </w:rPr>
      </w:pPr>
    </w:p>
    <w:p w14:paraId="222FB5C9" w14:textId="0E344E8A" w:rsidR="00F17984" w:rsidRPr="00F17984" w:rsidRDefault="00F17984" w:rsidP="00F17984">
      <w:pPr>
        <w:rPr>
          <w:rFonts w:cs="Arial"/>
        </w:rPr>
      </w:pPr>
      <w:r w:rsidRPr="00F17984">
        <w:rPr>
          <w:rFonts w:eastAsia="Times New Roman" w:cs="Arial"/>
          <w:color w:val="000000"/>
          <w:lang w:eastAsia="bg-BG"/>
        </w:rPr>
        <w:t>Необходимо е редовно проследяване на кръвното налягане.</w:t>
      </w:r>
    </w:p>
    <w:p w14:paraId="74628D98" w14:textId="2BCD51C1" w:rsidR="00F17984" w:rsidRDefault="00F17984" w:rsidP="0091385D"/>
    <w:p w14:paraId="3F6B1619"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Препоръчва се определяне на билирубина и на останалите показатели за оценка на чернодробната функция преди започване на лечението, както и внимателното им проследяване по време на лечението. Препоръчва се също така определяне на серумните липиди, нивото на калия, магнезия и пикочната киселина, преди започване на лечението и периодично по време на лечението.</w:t>
      </w:r>
    </w:p>
    <w:p w14:paraId="727B7ADD" w14:textId="77777777" w:rsidR="00F17984" w:rsidRPr="00F17984" w:rsidRDefault="00F17984" w:rsidP="00F17984">
      <w:pPr>
        <w:spacing w:line="240" w:lineRule="auto"/>
        <w:rPr>
          <w:rFonts w:eastAsia="Times New Roman" w:cs="Arial"/>
          <w:color w:val="000000"/>
          <w:lang w:eastAsia="bg-BG"/>
        </w:rPr>
      </w:pPr>
    </w:p>
    <w:p w14:paraId="0A3BA576" w14:textId="5E1BFB10"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Може да се наложи извънредно проследяване на нивото на циклоспорин в кръвта при прилагането му при показания извън областта на трансплантацията, напр. при прилагане на </w:t>
      </w:r>
      <w:r w:rsidRPr="00F17984">
        <w:rPr>
          <w:rFonts w:eastAsia="Times New Roman" w:cs="Arial"/>
          <w:color w:val="000000"/>
          <w:lang w:val="en-US"/>
        </w:rPr>
        <w:t xml:space="preserve">Sandimmun Neoral </w:t>
      </w:r>
      <w:r w:rsidRPr="00F17984">
        <w:rPr>
          <w:rFonts w:eastAsia="Times New Roman" w:cs="Arial"/>
          <w:color w:val="000000"/>
          <w:lang w:eastAsia="bg-BG"/>
        </w:rPr>
        <w:t>едновременно с вещества, които могат да повлияят фармакокинетиката на циклоспорин или в случай на необичаен клиничен отговор (напр. липса на ефикасност или повишена лекарствена непоносимост, като например бъбречна дисфункция).</w:t>
      </w:r>
    </w:p>
    <w:p w14:paraId="61DE253F" w14:textId="77777777" w:rsidR="00F17984" w:rsidRPr="00F17984" w:rsidRDefault="00F17984" w:rsidP="00F17984">
      <w:pPr>
        <w:spacing w:line="240" w:lineRule="auto"/>
        <w:rPr>
          <w:rFonts w:eastAsia="Times New Roman" w:cs="Arial"/>
          <w:color w:val="000000"/>
          <w:lang w:eastAsia="bg-BG"/>
        </w:rPr>
      </w:pPr>
    </w:p>
    <w:p w14:paraId="2D475452" w14:textId="06255943"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Обичайният начин на приложение е през устата. Ако се използва концентрат за инфузионен разтвор, трябва да се внимава да се осигури прилагането на адекватна интравенозна доза, която да съответства на пероралната доза. Препоръчва се консултация с лекар с опит в прилагането на циклоспорин,</w:t>
      </w:r>
    </w:p>
    <w:p w14:paraId="37AE6113" w14:textId="77777777" w:rsidR="00F17984" w:rsidRPr="00F17984" w:rsidRDefault="00F17984" w:rsidP="00F17984">
      <w:pPr>
        <w:spacing w:line="240" w:lineRule="auto"/>
        <w:rPr>
          <w:rFonts w:eastAsia="Times New Roman" w:cs="Arial"/>
          <w:color w:val="000000"/>
          <w:lang w:eastAsia="bg-BG"/>
        </w:rPr>
      </w:pPr>
    </w:p>
    <w:p w14:paraId="247A86F6" w14:textId="2247CDC9"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Изключвайки пациентите със застрашаващ зрението ендогенен увеит и децата с нефротичен синдром, общата дневна доза не трябва никога да превишава 5 </w:t>
      </w:r>
      <w:r w:rsidRPr="00F17984">
        <w:rPr>
          <w:rFonts w:eastAsia="Times New Roman" w:cs="Arial"/>
          <w:color w:val="000000"/>
          <w:lang w:val="en-US"/>
        </w:rPr>
        <w:t>mg/kg.</w:t>
      </w:r>
    </w:p>
    <w:p w14:paraId="1962B71A" w14:textId="77777777" w:rsidR="00F17984" w:rsidRPr="00F17984" w:rsidRDefault="00F17984" w:rsidP="00F17984">
      <w:pPr>
        <w:spacing w:line="240" w:lineRule="auto"/>
        <w:rPr>
          <w:rFonts w:eastAsia="Times New Roman" w:cs="Arial"/>
          <w:color w:val="000000"/>
          <w:lang w:eastAsia="bg-BG"/>
        </w:rPr>
      </w:pPr>
    </w:p>
    <w:p w14:paraId="0B98558D" w14:textId="37CEF390"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За поддържащо лечение най-ниската ефективна и добре поносима доза трябва да се определи индивидуално.</w:t>
      </w:r>
    </w:p>
    <w:p w14:paraId="425254A7" w14:textId="77777777" w:rsidR="00F17984" w:rsidRPr="00F17984" w:rsidRDefault="00F17984" w:rsidP="00F17984">
      <w:pPr>
        <w:spacing w:line="240" w:lineRule="auto"/>
        <w:rPr>
          <w:rFonts w:eastAsia="Times New Roman" w:cs="Arial"/>
          <w:color w:val="000000"/>
          <w:lang w:eastAsia="bg-BG"/>
        </w:rPr>
      </w:pPr>
    </w:p>
    <w:p w14:paraId="6E16AEF4" w14:textId="7B172779"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При пациенти, при които за определен период от време (за по-конкретна информация виж по- долу) не се постигне задоволителен отговор или ефективната доза не е съвместима с установените препоръки за безопасност, 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трябва да се спре.</w:t>
      </w:r>
    </w:p>
    <w:p w14:paraId="1D85A401" w14:textId="77777777" w:rsidR="00F17984" w:rsidRPr="00F17984" w:rsidRDefault="00F17984" w:rsidP="00F17984">
      <w:pPr>
        <w:spacing w:line="240" w:lineRule="auto"/>
        <w:rPr>
          <w:rFonts w:eastAsia="Times New Roman" w:cs="Arial"/>
          <w:i/>
          <w:iCs/>
          <w:color w:val="000000"/>
          <w:lang w:eastAsia="bg-BG"/>
        </w:rPr>
      </w:pPr>
    </w:p>
    <w:p w14:paraId="7742B156" w14:textId="6B8662B5"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Ендогенен увеит</w:t>
      </w:r>
    </w:p>
    <w:p w14:paraId="549A2342"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Първоначално се препоръчват 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разпределени в два приема, докато се постигне ремисия на активното възпаление на увеята и подобрение на зрителната острота. При рефрактерни случаи дозировката може да се повиши до 7 </w:t>
      </w:r>
      <w:r w:rsidRPr="00F17984">
        <w:rPr>
          <w:rFonts w:eastAsia="Times New Roman" w:cs="Arial"/>
          <w:color w:val="000000"/>
          <w:lang w:val="en-US"/>
        </w:rPr>
        <w:t xml:space="preserve">mg/kg </w:t>
      </w:r>
      <w:r w:rsidRPr="00F17984">
        <w:rPr>
          <w:rFonts w:eastAsia="Times New Roman" w:cs="Arial"/>
          <w:color w:val="000000"/>
          <w:lang w:eastAsia="bg-BG"/>
        </w:rPr>
        <w:t>дневно за ограничен период от време.</w:t>
      </w:r>
    </w:p>
    <w:p w14:paraId="29F4D402" w14:textId="77777777" w:rsidR="00F17984" w:rsidRPr="00F17984" w:rsidRDefault="00F17984" w:rsidP="00F17984">
      <w:pPr>
        <w:spacing w:line="240" w:lineRule="auto"/>
        <w:rPr>
          <w:rFonts w:eastAsia="Times New Roman" w:cs="Arial"/>
          <w:color w:val="000000"/>
          <w:lang w:eastAsia="bg-BG"/>
        </w:rPr>
      </w:pPr>
    </w:p>
    <w:p w14:paraId="38476DEC" w14:textId="3A354DC2"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За постигане на начална ремисия или за неутрализиране на възпалителни епизоди може да се прилага допълнително системно кортикостероидно лечение с дневни дозировки от 0,2 до 0,6 </w:t>
      </w:r>
      <w:r w:rsidRPr="00F17984">
        <w:rPr>
          <w:rFonts w:eastAsia="Times New Roman" w:cs="Arial"/>
          <w:color w:val="000000"/>
          <w:lang w:val="en-US"/>
        </w:rPr>
        <w:t xml:space="preserve">mg/kg </w:t>
      </w:r>
      <w:r w:rsidRPr="00F17984">
        <w:rPr>
          <w:rFonts w:eastAsia="Times New Roman" w:cs="Arial"/>
          <w:color w:val="000000"/>
          <w:lang w:eastAsia="bg-BG"/>
        </w:rPr>
        <w:t xml:space="preserve">преднизон или негов еквивалент, ако самостоятелното приложение на </w:t>
      </w:r>
      <w:r w:rsidRPr="00F17984">
        <w:rPr>
          <w:rFonts w:eastAsia="Times New Roman" w:cs="Arial"/>
          <w:color w:val="000000"/>
          <w:lang w:val="en-US"/>
        </w:rPr>
        <w:t xml:space="preserve">Sandimmun Neoral </w:t>
      </w:r>
      <w:r w:rsidRPr="00F17984">
        <w:rPr>
          <w:rFonts w:eastAsia="Times New Roman" w:cs="Arial"/>
          <w:color w:val="000000"/>
          <w:lang w:eastAsia="bg-BG"/>
        </w:rPr>
        <w:t>не води до задоволителен контрол на състоянието. След 3 месеца дозата на кортикостероидите може да се намали до най-ниската ефективна доза.</w:t>
      </w:r>
    </w:p>
    <w:p w14:paraId="0E56FD04" w14:textId="77777777" w:rsidR="00F17984" w:rsidRPr="00F17984" w:rsidRDefault="00F17984" w:rsidP="00F17984">
      <w:pPr>
        <w:spacing w:line="240" w:lineRule="auto"/>
        <w:rPr>
          <w:rFonts w:eastAsia="Times New Roman" w:cs="Arial"/>
          <w:color w:val="000000"/>
          <w:lang w:eastAsia="bg-BG"/>
        </w:rPr>
      </w:pPr>
    </w:p>
    <w:p w14:paraId="2750D37F" w14:textId="2AF183B8"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За поддържащо лечение дозата трябва бавно да се намали до минималното ефективно ниво, което във фазите на ремисия не трябва да надвишава 5 </w:t>
      </w:r>
      <w:r w:rsidRPr="00F17984">
        <w:rPr>
          <w:rFonts w:eastAsia="Times New Roman" w:cs="Arial"/>
          <w:color w:val="000000"/>
          <w:lang w:val="en-US"/>
        </w:rPr>
        <w:t xml:space="preserve">mg/kg </w:t>
      </w:r>
      <w:r w:rsidRPr="00F17984">
        <w:rPr>
          <w:rFonts w:eastAsia="Times New Roman" w:cs="Arial"/>
          <w:color w:val="000000"/>
          <w:lang w:eastAsia="bg-BG"/>
        </w:rPr>
        <w:t>дневно.</w:t>
      </w:r>
    </w:p>
    <w:p w14:paraId="5904C696" w14:textId="77777777" w:rsidR="00F17984" w:rsidRPr="00F17984" w:rsidRDefault="00F17984" w:rsidP="00F17984">
      <w:pPr>
        <w:spacing w:line="240" w:lineRule="auto"/>
        <w:rPr>
          <w:rFonts w:eastAsia="Times New Roman" w:cs="Arial"/>
          <w:color w:val="000000"/>
          <w:lang w:eastAsia="bg-BG"/>
        </w:rPr>
      </w:pPr>
    </w:p>
    <w:p w14:paraId="62CE8407" w14:textId="4F039F58"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Трябва да се изключат инфекциозни причинители на увеит преди употребата на имуносупресори.</w:t>
      </w:r>
    </w:p>
    <w:p w14:paraId="3F4ED9BB" w14:textId="77777777" w:rsidR="00F17984" w:rsidRPr="00F17984" w:rsidRDefault="00F17984" w:rsidP="00F17984">
      <w:pPr>
        <w:spacing w:line="240" w:lineRule="auto"/>
        <w:rPr>
          <w:rFonts w:eastAsia="Times New Roman" w:cs="Arial"/>
          <w:i/>
          <w:iCs/>
          <w:color w:val="000000"/>
          <w:lang w:eastAsia="bg-BG"/>
        </w:rPr>
      </w:pPr>
    </w:p>
    <w:p w14:paraId="27ABF908" w14:textId="307623F9"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Нефротичен синдром</w:t>
      </w:r>
    </w:p>
    <w:p w14:paraId="0B7D5E62"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За постигане на ремисия препоръчителната дневна доза се разпределя в два приема.</w:t>
      </w:r>
    </w:p>
    <w:p w14:paraId="52E6C499" w14:textId="77777777" w:rsidR="00F17984" w:rsidRPr="00F17984" w:rsidRDefault="00F17984" w:rsidP="00F17984">
      <w:pPr>
        <w:spacing w:line="240" w:lineRule="auto"/>
        <w:rPr>
          <w:rFonts w:eastAsia="Times New Roman" w:cs="Arial"/>
          <w:color w:val="000000"/>
          <w:lang w:eastAsia="bg-BG"/>
        </w:rPr>
      </w:pPr>
    </w:p>
    <w:p w14:paraId="7EE0F910" w14:textId="613F427E" w:rsidR="00F17984" w:rsidRPr="00F17984" w:rsidRDefault="00F17984" w:rsidP="00F17984">
      <w:pPr>
        <w:spacing w:line="240" w:lineRule="auto"/>
        <w:rPr>
          <w:rFonts w:eastAsia="Times New Roman" w:cs="Arial"/>
          <w:color w:val="000000"/>
          <w:lang w:eastAsia="bg-BG"/>
        </w:rPr>
      </w:pPr>
      <w:r w:rsidRPr="00F17984">
        <w:rPr>
          <w:rFonts w:eastAsia="Times New Roman" w:cs="Arial"/>
          <w:color w:val="000000"/>
          <w:lang w:eastAsia="bg-BG"/>
        </w:rPr>
        <w:t>Ако бъбречната функция е нормална (с изключение на протеинурия), препоръчителната дневна доза е следната:</w:t>
      </w:r>
    </w:p>
    <w:p w14:paraId="3AD73272" w14:textId="77777777" w:rsidR="00F17984" w:rsidRPr="00F17984" w:rsidRDefault="00F17984" w:rsidP="00F17984">
      <w:pPr>
        <w:numPr>
          <w:ilvl w:val="0"/>
          <w:numId w:val="2"/>
        </w:numPr>
        <w:spacing w:line="240" w:lineRule="auto"/>
        <w:rPr>
          <w:rFonts w:eastAsia="Times New Roman" w:cs="Arial"/>
          <w:color w:val="000000"/>
          <w:lang w:eastAsia="bg-BG"/>
        </w:rPr>
      </w:pPr>
      <w:r w:rsidRPr="00F17984">
        <w:rPr>
          <w:rFonts w:eastAsia="Times New Roman" w:cs="Arial"/>
          <w:color w:val="000000"/>
          <w:lang w:eastAsia="bg-BG"/>
        </w:rPr>
        <w:t xml:space="preserve">възрастни: 5 </w:t>
      </w:r>
      <w:r w:rsidRPr="00F17984">
        <w:rPr>
          <w:rFonts w:eastAsia="Times New Roman" w:cs="Arial"/>
          <w:color w:val="000000"/>
          <w:lang w:val="en-US"/>
        </w:rPr>
        <w:t>mg/kg</w:t>
      </w:r>
    </w:p>
    <w:p w14:paraId="6CB71C9F" w14:textId="77777777" w:rsidR="00F17984" w:rsidRPr="00F17984" w:rsidRDefault="00F17984" w:rsidP="00F17984">
      <w:pPr>
        <w:numPr>
          <w:ilvl w:val="0"/>
          <w:numId w:val="2"/>
        </w:numPr>
        <w:spacing w:line="240" w:lineRule="auto"/>
        <w:rPr>
          <w:rFonts w:eastAsia="Times New Roman" w:cs="Arial"/>
          <w:color w:val="000000"/>
          <w:lang w:eastAsia="bg-BG"/>
        </w:rPr>
      </w:pPr>
      <w:r w:rsidRPr="00F17984">
        <w:rPr>
          <w:rFonts w:eastAsia="Times New Roman" w:cs="Arial"/>
          <w:color w:val="000000"/>
          <w:lang w:eastAsia="bg-BG"/>
        </w:rPr>
        <w:t xml:space="preserve">деца: 6 </w:t>
      </w:r>
      <w:r w:rsidRPr="00F17984">
        <w:rPr>
          <w:rFonts w:eastAsia="Times New Roman" w:cs="Arial"/>
          <w:color w:val="000000"/>
          <w:lang w:val="en-US"/>
        </w:rPr>
        <w:t>mg/kg</w:t>
      </w:r>
    </w:p>
    <w:p w14:paraId="5E6AD979" w14:textId="77777777" w:rsidR="00F17984" w:rsidRPr="00F17984" w:rsidRDefault="00F17984" w:rsidP="00F17984">
      <w:pPr>
        <w:rPr>
          <w:rFonts w:eastAsia="Times New Roman" w:cs="Arial"/>
          <w:color w:val="000000"/>
          <w:lang w:eastAsia="bg-BG"/>
        </w:rPr>
      </w:pPr>
    </w:p>
    <w:p w14:paraId="7EC6345F" w14:textId="27435D9B" w:rsidR="00F17984" w:rsidRPr="00F17984" w:rsidRDefault="00F17984" w:rsidP="00F17984">
      <w:pPr>
        <w:rPr>
          <w:rFonts w:cs="Arial"/>
        </w:rPr>
      </w:pPr>
      <w:r w:rsidRPr="00F17984">
        <w:rPr>
          <w:rFonts w:eastAsia="Times New Roman" w:cs="Arial"/>
          <w:color w:val="000000"/>
          <w:lang w:eastAsia="bg-BG"/>
        </w:rPr>
        <w:t xml:space="preserve">При пациенти с нарушена бъбречна функция началната дозировка не трябва да надвишава 2,5 </w:t>
      </w:r>
      <w:r w:rsidRPr="00F17984">
        <w:rPr>
          <w:rFonts w:eastAsia="Times New Roman" w:cs="Arial"/>
          <w:color w:val="000000"/>
          <w:lang w:val="en-US"/>
        </w:rPr>
        <w:t xml:space="preserve">mg/kg </w:t>
      </w:r>
      <w:r w:rsidRPr="00F17984">
        <w:rPr>
          <w:rFonts w:eastAsia="Times New Roman" w:cs="Arial"/>
          <w:color w:val="000000"/>
          <w:lang w:eastAsia="bg-BG"/>
        </w:rPr>
        <w:t>дневно.</w:t>
      </w:r>
    </w:p>
    <w:p w14:paraId="2A568E73" w14:textId="5297184B" w:rsidR="00F17984" w:rsidRDefault="00F17984" w:rsidP="0091385D"/>
    <w:p w14:paraId="1C74E148"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Комбинацията от ниски дози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и ниски дози перорални кортикостероиди се препоръчва при липса на задоволителен ефект от самостоятелното приложение на </w:t>
      </w:r>
      <w:r w:rsidRPr="00F17984">
        <w:rPr>
          <w:rFonts w:eastAsia="Times New Roman" w:cs="Arial"/>
          <w:color w:val="000000"/>
          <w:lang w:val="en-US"/>
        </w:rPr>
        <w:t xml:space="preserve">Sandimmun Neoral, </w:t>
      </w:r>
      <w:r w:rsidRPr="00F17984">
        <w:rPr>
          <w:rFonts w:eastAsia="Times New Roman" w:cs="Arial"/>
          <w:color w:val="000000"/>
          <w:lang w:eastAsia="bg-BG"/>
        </w:rPr>
        <w:t>особено при стероид-резистентни пациенти.</w:t>
      </w:r>
    </w:p>
    <w:p w14:paraId="4E94C0EE" w14:textId="77777777" w:rsidR="00F17984" w:rsidRPr="00F17984" w:rsidRDefault="00F17984" w:rsidP="00F17984">
      <w:pPr>
        <w:spacing w:line="240" w:lineRule="auto"/>
        <w:rPr>
          <w:rFonts w:eastAsia="Times New Roman" w:cs="Arial"/>
          <w:color w:val="000000"/>
          <w:lang w:eastAsia="bg-BG"/>
        </w:rPr>
      </w:pPr>
    </w:p>
    <w:p w14:paraId="4AF357C7" w14:textId="45C26B22"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Времето за благоприятно повлияване варира от 3 до 6 месеца в зависимост от вида на гломерулопатията. При липса на подобрение след този период от време, 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трябва да се спре.</w:t>
      </w:r>
    </w:p>
    <w:p w14:paraId="75FD3712" w14:textId="77777777" w:rsidR="00F17984" w:rsidRPr="00F17984" w:rsidRDefault="00F17984" w:rsidP="00F17984">
      <w:pPr>
        <w:spacing w:line="240" w:lineRule="auto"/>
        <w:rPr>
          <w:rFonts w:eastAsia="Times New Roman" w:cs="Arial"/>
          <w:color w:val="000000"/>
          <w:lang w:eastAsia="bg-BG"/>
        </w:rPr>
      </w:pPr>
    </w:p>
    <w:p w14:paraId="747B5836" w14:textId="3BBA5289"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Дозите се определят индивидуално според ефикасността (протеинурия) и безопасността (на първо място серумния креатинин), но не трябва да надвишават 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при възрастни и 6 </w:t>
      </w:r>
      <w:r w:rsidRPr="00F17984">
        <w:rPr>
          <w:rFonts w:eastAsia="Times New Roman" w:cs="Arial"/>
          <w:color w:val="000000"/>
          <w:lang w:val="en-US"/>
        </w:rPr>
        <w:t xml:space="preserve">mg/kg </w:t>
      </w:r>
      <w:r w:rsidRPr="00F17984">
        <w:rPr>
          <w:rFonts w:eastAsia="Times New Roman" w:cs="Arial"/>
          <w:color w:val="000000"/>
          <w:lang w:eastAsia="bg-BG"/>
        </w:rPr>
        <w:t>дневно при деца.</w:t>
      </w:r>
    </w:p>
    <w:p w14:paraId="60473FB4" w14:textId="77777777" w:rsidR="00F17984" w:rsidRPr="00F17984" w:rsidRDefault="00F17984" w:rsidP="00F17984">
      <w:pPr>
        <w:spacing w:line="240" w:lineRule="auto"/>
        <w:rPr>
          <w:rFonts w:eastAsia="Times New Roman" w:cs="Arial"/>
          <w:color w:val="000000"/>
          <w:lang w:eastAsia="bg-BG"/>
        </w:rPr>
      </w:pPr>
    </w:p>
    <w:p w14:paraId="3AF4178A" w14:textId="0E369D8F"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lastRenderedPageBreak/>
        <w:t>За поддържащо лечение дозата трябва бавно да се редуцира до най-ниското ефективно ниво.</w:t>
      </w:r>
    </w:p>
    <w:p w14:paraId="1677CE68" w14:textId="77777777" w:rsidR="00F17984" w:rsidRPr="00F17984" w:rsidRDefault="00F17984" w:rsidP="00F17984">
      <w:pPr>
        <w:spacing w:line="240" w:lineRule="auto"/>
        <w:rPr>
          <w:rFonts w:eastAsia="Times New Roman" w:cs="Arial"/>
          <w:i/>
          <w:iCs/>
          <w:color w:val="000000"/>
          <w:lang w:eastAsia="bg-BG"/>
        </w:rPr>
      </w:pPr>
    </w:p>
    <w:p w14:paraId="4137CFCA" w14:textId="2863C48B"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Ревматоидем артрит</w:t>
      </w:r>
    </w:p>
    <w:p w14:paraId="152B5D3D"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През първите 6 седмици от лечението препоръчителната доза е 3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перорално, разделени в два приема. При недостатъчен ефект дневната доза може да се повиши постепенно, до границата на индивидуалната поносимост, но не трябва да надвишава 5 </w:t>
      </w:r>
      <w:r w:rsidRPr="00F17984">
        <w:rPr>
          <w:rFonts w:eastAsia="Times New Roman" w:cs="Arial"/>
          <w:color w:val="000000"/>
          <w:lang w:val="en-US"/>
        </w:rPr>
        <w:t xml:space="preserve">mg/kg. </w:t>
      </w:r>
      <w:r w:rsidRPr="00F17984">
        <w:rPr>
          <w:rFonts w:eastAsia="Times New Roman" w:cs="Arial"/>
          <w:color w:val="000000"/>
          <w:lang w:eastAsia="bg-BG"/>
        </w:rPr>
        <w:t xml:space="preserve">За постигане на оптимална ефективност може да се наложи до 12-седмично лечение със </w:t>
      </w:r>
      <w:r w:rsidRPr="00F17984">
        <w:rPr>
          <w:rFonts w:eastAsia="Times New Roman" w:cs="Arial"/>
          <w:color w:val="000000"/>
          <w:lang w:val="en-US"/>
        </w:rPr>
        <w:t>Sandimmun Neoral.</w:t>
      </w:r>
    </w:p>
    <w:p w14:paraId="730EB97A" w14:textId="77777777" w:rsidR="00F17984" w:rsidRPr="00F17984" w:rsidRDefault="00F17984" w:rsidP="00F17984">
      <w:pPr>
        <w:spacing w:line="240" w:lineRule="auto"/>
        <w:rPr>
          <w:rFonts w:eastAsia="Times New Roman" w:cs="Arial"/>
          <w:color w:val="000000"/>
          <w:lang w:eastAsia="bg-BG"/>
        </w:rPr>
      </w:pPr>
    </w:p>
    <w:p w14:paraId="3BA4B35E" w14:textId="0D363151"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За поддържащо лечение дозата трябва да се определя според индивидуалната поносимост.</w:t>
      </w:r>
    </w:p>
    <w:p w14:paraId="56E4E8E8" w14:textId="77777777" w:rsidR="00F17984" w:rsidRPr="00F17984" w:rsidRDefault="00F17984" w:rsidP="00F17984">
      <w:pPr>
        <w:spacing w:line="240" w:lineRule="auto"/>
        <w:rPr>
          <w:rFonts w:eastAsia="Times New Roman" w:cs="Arial"/>
          <w:color w:val="000000"/>
          <w:lang w:val="en-US"/>
        </w:rPr>
      </w:pPr>
    </w:p>
    <w:p w14:paraId="3881FE8E" w14:textId="16EE8159"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val="en-US"/>
        </w:rPr>
        <w:t xml:space="preserve">Sandimmun Neoral </w:t>
      </w:r>
      <w:r w:rsidRPr="00F17984">
        <w:rPr>
          <w:rFonts w:eastAsia="Times New Roman" w:cs="Arial"/>
          <w:color w:val="000000"/>
          <w:lang w:eastAsia="bg-BG"/>
        </w:rPr>
        <w:t xml:space="preserve">може да се комбинира с ниски дози кортикостероиди и/или нестероидни противовъзпалителни лекарствени средства (НСПВС) (вж. точка 4.4).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може да се комбинира и с ниски дози метотрексат седмично при пациенти, които не се повлияват достатъчно от самостоятелно приложение на метотрексат, като първоначално се използват 2,5 </w:t>
      </w:r>
      <w:r w:rsidRPr="00F17984">
        <w:rPr>
          <w:rFonts w:eastAsia="Times New Roman" w:cs="Arial"/>
          <w:color w:val="000000"/>
          <w:lang w:val="en-US"/>
        </w:rPr>
        <w:t xml:space="preserve">mg/kg Sandimmun Neoral, </w:t>
      </w:r>
      <w:r w:rsidRPr="00F17984">
        <w:rPr>
          <w:rFonts w:eastAsia="Times New Roman" w:cs="Arial"/>
          <w:color w:val="000000"/>
          <w:lang w:eastAsia="bg-BG"/>
        </w:rPr>
        <w:t>разделени в два отделни приема с възможност дозата да се повиши, ако индивидуалната поносимост позволява.</w:t>
      </w:r>
    </w:p>
    <w:p w14:paraId="5D192D57" w14:textId="77777777" w:rsidR="00F17984" w:rsidRPr="00F17984" w:rsidRDefault="00F17984" w:rsidP="00F17984">
      <w:pPr>
        <w:spacing w:line="240" w:lineRule="auto"/>
        <w:rPr>
          <w:rFonts w:eastAsia="Times New Roman" w:cs="Arial"/>
          <w:i/>
          <w:iCs/>
          <w:color w:val="000000"/>
          <w:lang w:eastAsia="bg-BG"/>
        </w:rPr>
      </w:pPr>
    </w:p>
    <w:p w14:paraId="6E0F6C85" w14:textId="26C7E140"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Псориазис</w:t>
      </w:r>
    </w:p>
    <w:p w14:paraId="60C30979"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трябва да се започне от лекари с опит в диагностицирането и лечението на псориазис. Поради разнообразието на това състояние, лечението трябва да бъде индивидуално. За постигане на ремисия препоръчителната начална доза е 2,5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разделена в два отделни приема. Ако до 1 месец не последва подобрение, дневната доза може постепенно да се повиши, но не и над 5 </w:t>
      </w:r>
      <w:r w:rsidRPr="00F17984">
        <w:rPr>
          <w:rFonts w:eastAsia="Times New Roman" w:cs="Arial"/>
          <w:color w:val="000000"/>
          <w:lang w:val="en-US"/>
        </w:rPr>
        <w:t xml:space="preserve">mg/kg. </w:t>
      </w:r>
      <w:r w:rsidRPr="00F17984">
        <w:rPr>
          <w:rFonts w:eastAsia="Times New Roman" w:cs="Arial"/>
          <w:color w:val="000000"/>
          <w:lang w:eastAsia="bg-BG"/>
        </w:rPr>
        <w:t xml:space="preserve">Лечението трябва да се преустанови при пациенти, при които желаното повлияване на псориатичните лезии не бъде постигнато за 6 седмици с 5 </w:t>
      </w:r>
      <w:r w:rsidRPr="00F17984">
        <w:rPr>
          <w:rFonts w:eastAsia="Times New Roman" w:cs="Arial"/>
          <w:color w:val="000000"/>
          <w:lang w:val="en-US"/>
        </w:rPr>
        <w:t xml:space="preserve">mg/kg </w:t>
      </w:r>
      <w:r w:rsidRPr="00F17984">
        <w:rPr>
          <w:rFonts w:eastAsia="Times New Roman" w:cs="Arial"/>
          <w:color w:val="000000"/>
          <w:lang w:eastAsia="bg-BG"/>
        </w:rPr>
        <w:t>дневно или ефективната доза не е съвместима с изискванията за безопасност (вж. точка 4.4).</w:t>
      </w:r>
    </w:p>
    <w:p w14:paraId="0D099507" w14:textId="77777777" w:rsidR="00F17984" w:rsidRPr="00F17984" w:rsidRDefault="00F17984" w:rsidP="00F17984">
      <w:pPr>
        <w:spacing w:line="240" w:lineRule="auto"/>
        <w:rPr>
          <w:rFonts w:eastAsia="Times New Roman" w:cs="Arial"/>
          <w:color w:val="000000"/>
          <w:lang w:eastAsia="bg-BG"/>
        </w:rPr>
      </w:pPr>
    </w:p>
    <w:p w14:paraId="354F5B2C" w14:textId="29ED3B52"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Начални дози от 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са оправдани при пациенти, чието състояние изисква бързо подобрение. Веднъж след като се постигне задоволителен ефект, терапията със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може да се преустанови и при следващ рецидив да се използва отново </w:t>
      </w:r>
      <w:r w:rsidRPr="00F17984">
        <w:rPr>
          <w:rFonts w:eastAsia="Times New Roman" w:cs="Arial"/>
          <w:color w:val="000000"/>
          <w:lang w:val="en-US"/>
        </w:rPr>
        <w:t xml:space="preserve">Sandimmun Neoral </w:t>
      </w:r>
      <w:r w:rsidRPr="00F17984">
        <w:rPr>
          <w:rFonts w:eastAsia="Times New Roman" w:cs="Arial"/>
          <w:color w:val="000000"/>
          <w:lang w:eastAsia="bg-BG"/>
        </w:rPr>
        <w:t>в предишната ефективна доза. При някои пациенти може да се наложи по-продължителна поддържаща терапия.</w:t>
      </w:r>
    </w:p>
    <w:p w14:paraId="7785C6C8" w14:textId="77777777" w:rsidR="00F17984" w:rsidRPr="00F17984" w:rsidRDefault="00F17984" w:rsidP="00F17984">
      <w:pPr>
        <w:spacing w:line="240" w:lineRule="auto"/>
        <w:rPr>
          <w:rFonts w:eastAsia="Times New Roman" w:cs="Arial"/>
          <w:color w:val="000000"/>
          <w:lang w:eastAsia="bg-BG"/>
        </w:rPr>
      </w:pPr>
    </w:p>
    <w:p w14:paraId="40697642" w14:textId="43A6F806"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За поддържащо лечение дозите трябва да се определят индивидуално до най-ниското ефективно ниво, като не трябва да надвишават 5 </w:t>
      </w:r>
      <w:r w:rsidRPr="00F17984">
        <w:rPr>
          <w:rFonts w:eastAsia="Times New Roman" w:cs="Arial"/>
          <w:color w:val="000000"/>
          <w:lang w:val="en-US"/>
        </w:rPr>
        <w:t xml:space="preserve">mg/kg </w:t>
      </w:r>
      <w:r w:rsidRPr="00F17984">
        <w:rPr>
          <w:rFonts w:eastAsia="Times New Roman" w:cs="Arial"/>
          <w:color w:val="000000"/>
          <w:lang w:eastAsia="bg-BG"/>
        </w:rPr>
        <w:t>дневно.</w:t>
      </w:r>
    </w:p>
    <w:p w14:paraId="2FDEB6F3" w14:textId="77777777" w:rsidR="00F17984" w:rsidRPr="00F17984" w:rsidRDefault="00F17984" w:rsidP="00F17984">
      <w:pPr>
        <w:spacing w:line="240" w:lineRule="auto"/>
        <w:rPr>
          <w:rFonts w:eastAsia="Times New Roman" w:cs="Arial"/>
          <w:i/>
          <w:iCs/>
          <w:color w:val="000000"/>
          <w:lang w:eastAsia="bg-BG"/>
        </w:rPr>
      </w:pPr>
    </w:p>
    <w:p w14:paraId="28EAA290" w14:textId="6227E73B"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Атопичен дерматит</w:t>
      </w:r>
    </w:p>
    <w:p w14:paraId="6FAE2935" w14:textId="77777777" w:rsidR="00F17984" w:rsidRPr="00F17984" w:rsidRDefault="00F17984" w:rsidP="00F17984">
      <w:pPr>
        <w:rPr>
          <w:rFonts w:eastAsia="Times New Roman" w:cs="Arial"/>
          <w:sz w:val="24"/>
          <w:szCs w:val="24"/>
          <w:lang w:eastAsia="bg-BG"/>
        </w:rPr>
      </w:pPr>
      <w:r w:rsidRPr="00F17984">
        <w:rPr>
          <w:rFonts w:eastAsia="Times New Roman" w:cs="Arial"/>
          <w:color w:val="000000"/>
          <w:lang w:eastAsia="bg-BG"/>
        </w:rPr>
        <w:t xml:space="preserve">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трябва да се започне от лекари с опит в диагностицирането и лечението на атопичен дерматит. Поради разнообразния характер на това заболяване, </w:t>
      </w:r>
      <w:r w:rsidRPr="00F17984">
        <w:rPr>
          <w:rFonts w:eastAsia="Times New Roman" w:cs="Arial"/>
          <w:color w:val="000000"/>
          <w:u w:val="single"/>
          <w:lang w:eastAsia="bg-BG"/>
        </w:rPr>
        <w:t xml:space="preserve"> </w:t>
      </w:r>
      <w:r w:rsidRPr="00F17984">
        <w:rPr>
          <w:rFonts w:eastAsia="Times New Roman" w:cs="Arial"/>
          <w:color w:val="000000"/>
          <w:lang w:eastAsia="bg-BG"/>
        </w:rPr>
        <w:t xml:space="preserve">лечението трябва да бъде индивидуално. Препоръчителната доза варира от 2,5 до 5 </w:t>
      </w:r>
      <w:r w:rsidRPr="00F17984">
        <w:rPr>
          <w:rFonts w:eastAsia="Times New Roman" w:cs="Arial"/>
          <w:color w:val="000000"/>
          <w:lang w:val="en-US"/>
        </w:rPr>
        <w:t>mg/kg</w:t>
      </w:r>
      <w:r w:rsidRPr="00F17984">
        <w:rPr>
          <w:rFonts w:eastAsia="Times New Roman" w:cs="Arial"/>
          <w:color w:val="000000"/>
          <w:lang w:eastAsia="bg-BG"/>
        </w:rPr>
        <w:t xml:space="preserve"> дневно, разпределена в два отделни приема. Ако при начална доза от 2,5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не се постигне задоволителен резултат в продължение на 2 седмици, дневната доза може бързо да се повиши до максимум 5 </w:t>
      </w:r>
      <w:r w:rsidRPr="00F17984">
        <w:rPr>
          <w:rFonts w:eastAsia="Times New Roman" w:cs="Arial"/>
          <w:color w:val="000000"/>
          <w:lang w:val="en-US"/>
        </w:rPr>
        <w:t xml:space="preserve">mg/kg. </w:t>
      </w:r>
      <w:r w:rsidRPr="00F17984">
        <w:rPr>
          <w:rFonts w:eastAsia="Times New Roman" w:cs="Arial"/>
          <w:color w:val="000000"/>
          <w:lang w:eastAsia="bg-BG"/>
        </w:rPr>
        <w:t xml:space="preserve">При много тежки случаи е по-вероятно да се постигне бърз и адекватен контрол на заболяването при начална доза от 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След като се постигне задоволителен ефект, дозата </w:t>
      </w:r>
      <w:r w:rsidRPr="00F17984">
        <w:rPr>
          <w:rFonts w:eastAsia="Times New Roman" w:cs="Arial"/>
          <w:color w:val="000000"/>
          <w:lang w:eastAsia="bg-BG"/>
        </w:rPr>
        <w:lastRenderedPageBreak/>
        <w:t xml:space="preserve">трябва постепенно да се намали и ако е възможно,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да се спре. Следващият рецидив може да бъде третиран с нов терапевтичен курс със </w:t>
      </w:r>
      <w:r w:rsidRPr="00F17984">
        <w:rPr>
          <w:rFonts w:eastAsia="Times New Roman" w:cs="Arial"/>
          <w:color w:val="000000"/>
          <w:lang w:val="en-US"/>
        </w:rPr>
        <w:t>Sandimmun Neoral.</w:t>
      </w:r>
    </w:p>
    <w:p w14:paraId="167E7E4F" w14:textId="77777777" w:rsidR="00F17984" w:rsidRPr="00F17984" w:rsidRDefault="00F17984" w:rsidP="00F17984">
      <w:pPr>
        <w:spacing w:line="240" w:lineRule="auto"/>
        <w:rPr>
          <w:rFonts w:eastAsia="Times New Roman" w:cs="Arial"/>
          <w:color w:val="000000"/>
          <w:lang w:eastAsia="bg-BG"/>
        </w:rPr>
      </w:pPr>
    </w:p>
    <w:p w14:paraId="076FCA9F" w14:textId="0B715960"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Независимо, че при 8 седмично лечение може да се постигне адекватно повлияване, съществуват данни за ефективност и добра поносимост на терапията до 1 година, при спазване на препоръките за мониториране.</w:t>
      </w:r>
    </w:p>
    <w:p w14:paraId="2A14EEE1" w14:textId="77777777" w:rsidR="00F17984" w:rsidRPr="00F17984" w:rsidRDefault="00F17984" w:rsidP="00F17984">
      <w:pPr>
        <w:spacing w:line="240" w:lineRule="auto"/>
        <w:rPr>
          <w:rFonts w:eastAsia="Times New Roman" w:cs="Arial"/>
          <w:i/>
          <w:iCs/>
          <w:color w:val="000000"/>
          <w:u w:val="single"/>
          <w:lang w:eastAsia="bg-BG"/>
        </w:rPr>
      </w:pPr>
    </w:p>
    <w:p w14:paraId="66BCECAF" w14:textId="0DC06CA7"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u w:val="single"/>
          <w:lang w:eastAsia="bg-BG"/>
        </w:rPr>
        <w:t xml:space="preserve">Преминаване от </w:t>
      </w:r>
      <w:r w:rsidRPr="00F17984">
        <w:rPr>
          <w:rFonts w:eastAsia="Times New Roman" w:cs="Arial"/>
          <w:i/>
          <w:iCs/>
          <w:color w:val="000000"/>
          <w:u w:val="single"/>
          <w:lang w:val="en-US"/>
        </w:rPr>
        <w:t xml:space="preserve">Sandimmun </w:t>
      </w:r>
      <w:r w:rsidRPr="00F17984">
        <w:rPr>
          <w:rFonts w:eastAsia="Times New Roman" w:cs="Arial"/>
          <w:i/>
          <w:iCs/>
          <w:color w:val="000000"/>
          <w:u w:val="single"/>
          <w:lang w:eastAsia="bg-BG"/>
        </w:rPr>
        <w:t xml:space="preserve">перорална форма към </w:t>
      </w:r>
      <w:r w:rsidRPr="00F17984">
        <w:rPr>
          <w:rFonts w:eastAsia="Times New Roman" w:cs="Arial"/>
          <w:i/>
          <w:iCs/>
          <w:color w:val="000000"/>
          <w:u w:val="single"/>
          <w:lang w:val="en-US"/>
        </w:rPr>
        <w:t xml:space="preserve">Sandimmun Neoral </w:t>
      </w:r>
      <w:r w:rsidRPr="00F17984">
        <w:rPr>
          <w:rFonts w:eastAsia="Times New Roman" w:cs="Arial"/>
          <w:i/>
          <w:iCs/>
          <w:color w:val="000000"/>
          <w:u w:val="single"/>
          <w:lang w:eastAsia="bg-BG"/>
        </w:rPr>
        <w:t xml:space="preserve">перорална форма </w:t>
      </w:r>
      <w:r w:rsidRPr="00F17984">
        <w:rPr>
          <w:rFonts w:eastAsia="Times New Roman" w:cs="Arial"/>
          <w:color w:val="000000"/>
          <w:lang w:eastAsia="bg-BG"/>
        </w:rPr>
        <w:t xml:space="preserve">Наличните данни показват, че след преминаване 1:1 от </w:t>
      </w:r>
      <w:r w:rsidRPr="00F17984">
        <w:rPr>
          <w:rFonts w:eastAsia="Times New Roman" w:cs="Arial"/>
          <w:color w:val="000000"/>
          <w:lang w:val="en-US"/>
        </w:rPr>
        <w:t xml:space="preserve">Sandimmun </w:t>
      </w:r>
      <w:r w:rsidRPr="00F17984">
        <w:rPr>
          <w:rFonts w:eastAsia="Times New Roman" w:cs="Arial"/>
          <w:color w:val="000000"/>
          <w:lang w:eastAsia="bg-BG"/>
        </w:rPr>
        <w:t xml:space="preserve">перорална форма.кьм </w:t>
      </w:r>
      <w:r w:rsidRPr="00F17984">
        <w:rPr>
          <w:rFonts w:eastAsia="Times New Roman" w:cs="Arial"/>
          <w:color w:val="000000"/>
          <w:lang w:val="en-US"/>
        </w:rPr>
        <w:t xml:space="preserve">Sandimmun Neoral </w:t>
      </w:r>
      <w:r w:rsidRPr="00F17984">
        <w:rPr>
          <w:rFonts w:eastAsia="Times New Roman" w:cs="Arial"/>
          <w:color w:val="000000"/>
          <w:lang w:eastAsia="bg-BG"/>
        </w:rPr>
        <w:t>перорална форма, концентрациите на циклоспорин в пълноценна кръв са сравними. При много пациенти обаче, може да настъпят по-високи пикови концентрации (С</w:t>
      </w:r>
      <w:r w:rsidRPr="00F17984">
        <w:rPr>
          <w:rFonts w:eastAsia="Times New Roman" w:cs="Arial"/>
          <w:color w:val="000000"/>
          <w:lang w:val="en-US"/>
        </w:rPr>
        <w:t>m</w:t>
      </w:r>
      <w:r w:rsidRPr="00F17984">
        <w:rPr>
          <w:rFonts w:eastAsia="Times New Roman" w:cs="Arial"/>
          <w:color w:val="000000"/>
          <w:lang w:eastAsia="bg-BG"/>
        </w:rPr>
        <w:t xml:space="preserve">ах) и повишена експозиция на лекарството </w:t>
      </w:r>
      <w:r w:rsidRPr="00F17984">
        <w:rPr>
          <w:rFonts w:eastAsia="Times New Roman" w:cs="Arial"/>
          <w:color w:val="000000"/>
          <w:lang w:val="en-US"/>
        </w:rPr>
        <w:t xml:space="preserve">(AUC). </w:t>
      </w:r>
      <w:r w:rsidRPr="00F17984">
        <w:rPr>
          <w:rFonts w:eastAsia="Times New Roman" w:cs="Arial"/>
          <w:color w:val="000000"/>
          <w:lang w:eastAsia="bg-BG"/>
        </w:rPr>
        <w:t xml:space="preserve">При малък брой пациенти тези промени са по- изразени и може да имат клинично значение. Освен това, абсорбцията на циклоспорин от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е по-малко вариабилна и корелацията между концентрациите на циклоспорин и експозицията (в смисъл на </w:t>
      </w:r>
      <w:r w:rsidRPr="00F17984">
        <w:rPr>
          <w:rFonts w:eastAsia="Times New Roman" w:cs="Arial"/>
          <w:color w:val="000000"/>
          <w:lang w:val="en-US"/>
        </w:rPr>
        <w:t xml:space="preserve">AUC) </w:t>
      </w:r>
      <w:r w:rsidRPr="00F17984">
        <w:rPr>
          <w:rFonts w:eastAsia="Times New Roman" w:cs="Arial"/>
          <w:color w:val="000000"/>
          <w:lang w:eastAsia="bg-BG"/>
        </w:rPr>
        <w:t xml:space="preserve">е много по-силна, в сравнение със </w:t>
      </w:r>
      <w:r w:rsidRPr="00F17984">
        <w:rPr>
          <w:rFonts w:eastAsia="Times New Roman" w:cs="Arial"/>
          <w:color w:val="000000"/>
          <w:lang w:val="en-US"/>
        </w:rPr>
        <w:t xml:space="preserve">Sandimmun </w:t>
      </w:r>
      <w:r w:rsidRPr="00F17984">
        <w:rPr>
          <w:rFonts w:eastAsia="Times New Roman" w:cs="Arial"/>
          <w:color w:val="000000"/>
          <w:lang w:eastAsia="bg-BG"/>
        </w:rPr>
        <w:t>перорална форма.</w:t>
      </w:r>
    </w:p>
    <w:p w14:paraId="36A89993" w14:textId="77777777" w:rsidR="00F17984" w:rsidRPr="00F17984" w:rsidRDefault="00F17984" w:rsidP="00F17984">
      <w:pPr>
        <w:spacing w:line="240" w:lineRule="auto"/>
        <w:rPr>
          <w:rFonts w:eastAsia="Times New Roman" w:cs="Arial"/>
          <w:color w:val="000000"/>
          <w:lang w:eastAsia="bg-BG"/>
        </w:rPr>
      </w:pPr>
    </w:p>
    <w:p w14:paraId="78D0D4E1" w14:textId="7057AFF4"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Поради възможността за повишена експозиция на лекарствения продукт при преминаване от </w:t>
      </w:r>
      <w:r w:rsidRPr="00F17984">
        <w:rPr>
          <w:rFonts w:eastAsia="Times New Roman" w:cs="Arial"/>
          <w:color w:val="000000"/>
          <w:lang w:val="en-US"/>
        </w:rPr>
        <w:t xml:space="preserve">Sandimmun </w:t>
      </w:r>
      <w:r w:rsidRPr="00F17984">
        <w:rPr>
          <w:rFonts w:eastAsia="Times New Roman" w:cs="Arial"/>
          <w:color w:val="000000"/>
          <w:lang w:eastAsia="bg-BG"/>
        </w:rPr>
        <w:t xml:space="preserve">перорална форма към </w:t>
      </w:r>
      <w:r w:rsidRPr="00F17984">
        <w:rPr>
          <w:rFonts w:eastAsia="Times New Roman" w:cs="Arial"/>
          <w:color w:val="000000"/>
          <w:lang w:val="en-US"/>
        </w:rPr>
        <w:t xml:space="preserve">Sandimmun Neoral </w:t>
      </w:r>
      <w:r w:rsidRPr="00F17984">
        <w:rPr>
          <w:rFonts w:eastAsia="Times New Roman" w:cs="Arial"/>
          <w:color w:val="000000"/>
          <w:lang w:eastAsia="bg-BG"/>
        </w:rPr>
        <w:t>перорална форма, трябва да се спазват следните правила:</w:t>
      </w:r>
    </w:p>
    <w:p w14:paraId="557DD68C" w14:textId="77777777" w:rsidR="00F17984" w:rsidRPr="00F17984" w:rsidRDefault="00F17984" w:rsidP="00F17984">
      <w:pPr>
        <w:spacing w:line="240" w:lineRule="auto"/>
        <w:rPr>
          <w:rFonts w:eastAsia="Times New Roman" w:cs="Arial"/>
          <w:color w:val="000000"/>
          <w:lang w:eastAsia="bg-BG"/>
        </w:rPr>
      </w:pPr>
    </w:p>
    <w:p w14:paraId="7E83BDBC" w14:textId="6F06086B"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При трансплантирани пациенти трябва да се започне със същите дневни дози на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както и на преди това използвания </w:t>
      </w:r>
      <w:r w:rsidRPr="00F17984">
        <w:rPr>
          <w:rFonts w:eastAsia="Times New Roman" w:cs="Arial"/>
          <w:color w:val="000000"/>
          <w:lang w:val="en-US"/>
        </w:rPr>
        <w:t xml:space="preserve">Sandimmun </w:t>
      </w:r>
      <w:r w:rsidRPr="00F17984">
        <w:rPr>
          <w:rFonts w:eastAsia="Times New Roman" w:cs="Arial"/>
          <w:color w:val="000000"/>
          <w:lang w:eastAsia="bg-BG"/>
        </w:rPr>
        <w:t xml:space="preserve">перорална форма. В началото концентрацията на циклоспорин в кръвта трябва да се проследи в рамките на 4 до 7 дни след преминаването към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Освен това, през първите 2 месеца след преминаването към </w:t>
      </w:r>
      <w:r w:rsidRPr="00F17984">
        <w:rPr>
          <w:rFonts w:eastAsia="Times New Roman" w:cs="Arial"/>
          <w:color w:val="000000"/>
          <w:lang w:val="en-US"/>
        </w:rPr>
        <w:t xml:space="preserve">Sandimmun Neoral </w:t>
      </w:r>
      <w:r w:rsidRPr="00F17984">
        <w:rPr>
          <w:rFonts w:eastAsia="Times New Roman" w:cs="Arial"/>
          <w:color w:val="000000"/>
          <w:lang w:eastAsia="bg-BG"/>
        </w:rPr>
        <w:t>перорална форма е необходимо да се следят клиничните параметри за безопасност, като бъбречна функция и кръвно налягане. В случай, че кръвните нива на циклоспорин са извън терапевтичния обхват, и/или възникне влошаване на параметрите за клинична безопасност, дозата трябва да се адаптира в съответствие с това.</w:t>
      </w:r>
    </w:p>
    <w:p w14:paraId="2F834E5E" w14:textId="77777777" w:rsidR="00F17984" w:rsidRPr="00F17984" w:rsidRDefault="00F17984" w:rsidP="00F17984">
      <w:pPr>
        <w:spacing w:line="240" w:lineRule="auto"/>
        <w:rPr>
          <w:rFonts w:eastAsia="Times New Roman" w:cs="Arial"/>
          <w:color w:val="000000"/>
          <w:lang w:eastAsia="bg-BG"/>
        </w:rPr>
      </w:pPr>
    </w:p>
    <w:p w14:paraId="1F12DB32" w14:textId="579CA56E"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При пациенти, лекувани за показания, различни от областта на трансплантацията,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трябва да се започне в същите дневни дози както използвания </w:t>
      </w:r>
      <w:r w:rsidRPr="00F17984">
        <w:rPr>
          <w:rFonts w:eastAsia="Times New Roman" w:cs="Arial"/>
          <w:color w:val="000000"/>
          <w:lang w:val="en-US"/>
        </w:rPr>
        <w:t xml:space="preserve">Sandimmun </w:t>
      </w:r>
      <w:r w:rsidRPr="00F17984">
        <w:rPr>
          <w:rFonts w:eastAsia="Times New Roman" w:cs="Arial"/>
          <w:color w:val="000000"/>
          <w:lang w:eastAsia="bg-BG"/>
        </w:rPr>
        <w:t xml:space="preserve">перорална форма. На втората, четвъртата и осмата седмица след преминаването към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трябва да се проследят бъбречната функция и стойностите на кръвното налягане. Ако стойностите на кръвното налягане значително надвишават стойностите преди преминаването към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или ако </w:t>
      </w:r>
      <w:r w:rsidRPr="00F17984">
        <w:rPr>
          <w:rFonts w:eastAsia="Times New Roman" w:cs="Arial"/>
          <w:color w:val="000000"/>
          <w:lang w:val="en-US"/>
        </w:rPr>
        <w:t xml:space="preserve">eGFR </w:t>
      </w:r>
      <w:r w:rsidRPr="00F17984">
        <w:rPr>
          <w:rFonts w:eastAsia="Times New Roman" w:cs="Arial"/>
          <w:color w:val="000000"/>
          <w:lang w:eastAsia="bg-BG"/>
        </w:rPr>
        <w:t xml:space="preserve">се понижи с повече от 25% спрямо изчислената стойност преди терапията със </w:t>
      </w:r>
      <w:r w:rsidRPr="00F17984">
        <w:rPr>
          <w:rFonts w:eastAsia="Times New Roman" w:cs="Arial"/>
          <w:color w:val="000000"/>
          <w:lang w:val="en-US"/>
        </w:rPr>
        <w:t xml:space="preserve">Sandimmun </w:t>
      </w:r>
      <w:r w:rsidRPr="00F17984">
        <w:rPr>
          <w:rFonts w:eastAsia="Times New Roman" w:cs="Arial"/>
          <w:color w:val="000000"/>
          <w:lang w:eastAsia="bg-BG"/>
        </w:rPr>
        <w:t>перорална форма, при повече от едно измерване, дозата трябва да се редуцира (виж също “Допълнителни предпазни мерки” в точка 4.4). В случай на неочаквана токсичност или неефективност на циклоспорин трябва да се мониторират и кръвните нива.</w:t>
      </w:r>
    </w:p>
    <w:p w14:paraId="6FF00187" w14:textId="77777777" w:rsidR="00F17984" w:rsidRPr="00F17984" w:rsidRDefault="00F17984" w:rsidP="00F17984">
      <w:pPr>
        <w:spacing w:line="240" w:lineRule="auto"/>
        <w:rPr>
          <w:rFonts w:eastAsia="Times New Roman" w:cs="Arial"/>
          <w:i/>
          <w:iCs/>
          <w:color w:val="000000"/>
          <w:u w:val="single"/>
          <w:lang w:eastAsia="bg-BG"/>
        </w:rPr>
      </w:pPr>
    </w:p>
    <w:p w14:paraId="316FD76B" w14:textId="001CE7A9"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u w:val="single"/>
          <w:lang w:eastAsia="bg-BG"/>
        </w:rPr>
        <w:t>Преминаване от една перорална форма циклоспорин в друга</w:t>
      </w:r>
    </w:p>
    <w:p w14:paraId="2AA7FDF0"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Преминаването от една перорална форма циклоспорин към друга трябва да става под лекарско наблюдение, включващо проследяване на кръвните нива на циклоспорин при трансплантираните пациенти.</w:t>
      </w:r>
    </w:p>
    <w:p w14:paraId="64E743C9" w14:textId="77777777" w:rsidR="00F17984" w:rsidRPr="00F17984" w:rsidRDefault="00F17984" w:rsidP="00F17984">
      <w:pPr>
        <w:spacing w:line="240" w:lineRule="auto"/>
        <w:rPr>
          <w:rFonts w:eastAsia="Times New Roman" w:cs="Arial"/>
          <w:i/>
          <w:iCs/>
          <w:color w:val="000000"/>
          <w:u w:val="single"/>
          <w:lang w:eastAsia="bg-BG"/>
        </w:rPr>
      </w:pPr>
    </w:p>
    <w:p w14:paraId="09C5A068" w14:textId="5B624B15"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u w:val="single"/>
          <w:lang w:eastAsia="bg-BG"/>
        </w:rPr>
        <w:t>Специални популации</w:t>
      </w:r>
    </w:p>
    <w:p w14:paraId="7DA75C71"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Пациенти с бъбречно увреждане</w:t>
      </w:r>
    </w:p>
    <w:p w14:paraId="189250C4"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lastRenderedPageBreak/>
        <w:t>Всички показания</w:t>
      </w:r>
    </w:p>
    <w:p w14:paraId="40313077"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Циклоспорин се елиминира в малка степен чрез бъбреците и неговата фармакокинетика не се повлиява значително при бъбречно увреждане (вж. точка 5.2). Въпреки това, поради</w:t>
      </w:r>
    </w:p>
    <w:p w14:paraId="098BE09F" w14:textId="3A1D2716" w:rsidR="00F17984" w:rsidRPr="00F17984" w:rsidRDefault="00F17984" w:rsidP="00F17984">
      <w:pPr>
        <w:rPr>
          <w:rFonts w:cs="Arial"/>
        </w:rPr>
      </w:pPr>
      <w:r w:rsidRPr="00F17984">
        <w:rPr>
          <w:rFonts w:eastAsia="Times New Roman" w:cs="Arial"/>
          <w:color w:val="000000"/>
          <w:lang w:eastAsia="bg-BG"/>
        </w:rPr>
        <w:t>нефротоксичния потенциал (вж. точка 4.8), се препоръчва внимателно проследяване на бъбречната функция (вж. точка 4.4).</w:t>
      </w:r>
    </w:p>
    <w:p w14:paraId="48442D90" w14:textId="1B3D789C" w:rsidR="00F17984" w:rsidRPr="00AB7E9B" w:rsidRDefault="00F17984" w:rsidP="0091385D">
      <w:pPr>
        <w:rPr>
          <w:rFonts w:cs="Arial"/>
        </w:rPr>
      </w:pPr>
    </w:p>
    <w:p w14:paraId="0B0A5C04"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Показания извън областта на трансплантацията</w:t>
      </w:r>
    </w:p>
    <w:p w14:paraId="2778C1EC"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С изключение на пациентите с нефротичен синдром, пациентите с нарушена бъбречна функция не трябва да приемат циклоспорин (вж, подточката за допълнителни предупреждения при показания извън областта на трансплантацията в точка 4.4). При пациенти с нефротичен синдром, с нарушена бъбречна функция, началната доза не трябва да превишава 2,5 </w:t>
      </w:r>
      <w:r w:rsidRPr="00F17984">
        <w:rPr>
          <w:rFonts w:eastAsia="Times New Roman" w:cs="Arial"/>
          <w:color w:val="000000"/>
          <w:lang w:val="en-US"/>
        </w:rPr>
        <w:t>mg/kg</w:t>
      </w:r>
      <w:r w:rsidRPr="00F17984">
        <w:rPr>
          <w:rFonts w:eastAsia="Times New Roman" w:cs="Arial"/>
          <w:color w:val="000000"/>
          <w:lang w:eastAsia="bg-BG"/>
        </w:rPr>
        <w:t>/ден.</w:t>
      </w:r>
    </w:p>
    <w:p w14:paraId="6AC27E61" w14:textId="77777777" w:rsidR="00F17984" w:rsidRPr="00AB7E9B" w:rsidRDefault="00F17984" w:rsidP="00F17984">
      <w:pPr>
        <w:spacing w:line="240" w:lineRule="auto"/>
        <w:rPr>
          <w:rFonts w:eastAsia="Times New Roman" w:cs="Arial"/>
          <w:i/>
          <w:iCs/>
          <w:color w:val="000000"/>
          <w:lang w:eastAsia="bg-BG"/>
        </w:rPr>
      </w:pPr>
    </w:p>
    <w:p w14:paraId="5EB4449D" w14:textId="55103B5F"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Пациенти с чернодробно увреждане</w:t>
      </w:r>
    </w:p>
    <w:p w14:paraId="44B9189F"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Циклоспорин се метаболизира в голяма степен от черния дроб. Може да се наблюдава приблизително 2 до 3 пъти повишение на експозицията на циклоспорин при пациент с тежка степен на чернодробно увреждане. Може да е необходимо намаляване на дозата при пациентите с тежка степен на чернодробно увреждане, за да се поддържат плазмени нива в рамките на прицелния интервал (вж. точки 4.4 и 5.2) и се препоръчва проследяване на плазмените нива на циклоспорин до достигане на стабилни стойности на нивата.</w:t>
      </w:r>
    </w:p>
    <w:p w14:paraId="75943AB4" w14:textId="77777777" w:rsidR="00F17984" w:rsidRPr="00AB7E9B" w:rsidRDefault="00F17984" w:rsidP="00F17984">
      <w:pPr>
        <w:spacing w:line="240" w:lineRule="auto"/>
        <w:rPr>
          <w:rFonts w:eastAsia="Times New Roman" w:cs="Arial"/>
          <w:i/>
          <w:iCs/>
          <w:color w:val="000000"/>
          <w:lang w:eastAsia="bg-BG"/>
        </w:rPr>
      </w:pPr>
    </w:p>
    <w:p w14:paraId="0BF26096" w14:textId="42774B65"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Педиатрична популация</w:t>
      </w:r>
    </w:p>
    <w:p w14:paraId="6C6FFF48"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Клиничните проучвания включват деца на възраст над 1 година. В редица проучвания при педиатричните пациенти са били необходими и са се понасяли по-добре по-високи дози на циклоспорин на килограм телесна маса отколкото при възрастни.</w:t>
      </w:r>
    </w:p>
    <w:p w14:paraId="6C9C25EE" w14:textId="77777777" w:rsidR="00F17984" w:rsidRPr="00AB7E9B" w:rsidRDefault="00F17984" w:rsidP="00F17984">
      <w:pPr>
        <w:spacing w:line="240" w:lineRule="auto"/>
        <w:rPr>
          <w:rFonts w:eastAsia="Times New Roman" w:cs="Arial"/>
          <w:color w:val="000000"/>
          <w:lang w:eastAsia="bg-BG"/>
        </w:rPr>
      </w:pPr>
    </w:p>
    <w:p w14:paraId="1FA14E1E" w14:textId="529D0380"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Употребата на </w:t>
      </w:r>
      <w:r w:rsidRPr="00F17984">
        <w:rPr>
          <w:rFonts w:eastAsia="Times New Roman" w:cs="Arial"/>
          <w:color w:val="000000"/>
          <w:lang w:val="en-US"/>
        </w:rPr>
        <w:t xml:space="preserve">Sandimmun Neoral </w:t>
      </w:r>
      <w:r w:rsidRPr="00F17984">
        <w:rPr>
          <w:rFonts w:eastAsia="Times New Roman" w:cs="Arial"/>
          <w:color w:val="000000"/>
          <w:lang w:eastAsia="bg-BG"/>
        </w:rPr>
        <w:t>при деца за лечение на показания извън областта на трансплантацията, с изключение на нефротичен синдром, не се препоръчва (вж. точка 4.4).</w:t>
      </w:r>
    </w:p>
    <w:p w14:paraId="19226405" w14:textId="77777777" w:rsidR="00AB7E9B" w:rsidRPr="00AB7E9B" w:rsidRDefault="00AB7E9B" w:rsidP="00F17984">
      <w:pPr>
        <w:spacing w:line="240" w:lineRule="auto"/>
        <w:rPr>
          <w:rFonts w:eastAsia="Times New Roman" w:cs="Arial"/>
          <w:i/>
          <w:iCs/>
          <w:color w:val="000000"/>
          <w:lang w:eastAsia="bg-BG"/>
        </w:rPr>
      </w:pPr>
    </w:p>
    <w:p w14:paraId="0A3E8A2D" w14:textId="5ECA7CCB"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Старческа популация (на възраст 65 години и повече)</w:t>
      </w:r>
    </w:p>
    <w:p w14:paraId="1C479972"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Опитът със </w:t>
      </w:r>
      <w:r w:rsidRPr="00F17984">
        <w:rPr>
          <w:rFonts w:eastAsia="Times New Roman" w:cs="Arial"/>
          <w:color w:val="000000"/>
          <w:lang w:val="en-US"/>
        </w:rPr>
        <w:t xml:space="preserve">Sandimmun Neoral </w:t>
      </w:r>
      <w:r w:rsidRPr="00F17984">
        <w:rPr>
          <w:rFonts w:eastAsia="Times New Roman" w:cs="Arial"/>
          <w:color w:val="000000"/>
          <w:lang w:eastAsia="bg-BG"/>
        </w:rPr>
        <w:t>при пациенти в старческа възраст е ограничен.</w:t>
      </w:r>
    </w:p>
    <w:p w14:paraId="2C961AC0" w14:textId="77777777" w:rsidR="00AB7E9B" w:rsidRPr="00AB7E9B" w:rsidRDefault="00AB7E9B" w:rsidP="00F17984">
      <w:pPr>
        <w:spacing w:line="240" w:lineRule="auto"/>
        <w:rPr>
          <w:rFonts w:eastAsia="Times New Roman" w:cs="Arial"/>
          <w:color w:val="000000"/>
          <w:lang w:eastAsia="bg-BG"/>
        </w:rPr>
      </w:pPr>
    </w:p>
    <w:p w14:paraId="01D66DA1" w14:textId="5763D959"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При клинични проучвания на перорален циклоспорин при ревматоиден артрит, пациентите на възраст 65 години и повече е по-вероятно да развият систолна хипертония при лечението и е по-вероятно да се наблюдава повишение на серумния креатинин ≥ 50% над изходното ниво след 3-4 месечна терапия.</w:t>
      </w:r>
    </w:p>
    <w:p w14:paraId="335585E4" w14:textId="77777777" w:rsidR="00AB7E9B" w:rsidRPr="00AB7E9B" w:rsidRDefault="00AB7E9B" w:rsidP="00F17984">
      <w:pPr>
        <w:spacing w:line="240" w:lineRule="auto"/>
        <w:rPr>
          <w:rFonts w:eastAsia="Times New Roman" w:cs="Arial"/>
          <w:color w:val="000000"/>
          <w:lang w:eastAsia="bg-BG"/>
        </w:rPr>
      </w:pPr>
    </w:p>
    <w:p w14:paraId="1A386A58" w14:textId="7243EFDA"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Изборът на доза при пациенти в старческа възраст трябва да става с повишено внимание, като обикновено се започва с най-ниската терапевтична доза, имайки предвид честотата на понижена чернодробна, бъбречна или сърдечносъдова функция при тази група пациенти, както и придружаващо заболяване или друга лекарствена терапия и повишената чувствителност към инфекции.</w:t>
      </w:r>
    </w:p>
    <w:p w14:paraId="607B38EE" w14:textId="77777777" w:rsidR="00AB7E9B" w:rsidRPr="00AB7E9B" w:rsidRDefault="00AB7E9B" w:rsidP="00F17984">
      <w:pPr>
        <w:spacing w:line="240" w:lineRule="auto"/>
        <w:rPr>
          <w:rFonts w:eastAsia="Times New Roman" w:cs="Arial"/>
          <w:color w:val="000000"/>
          <w:u w:val="single"/>
          <w:lang w:eastAsia="bg-BG"/>
        </w:rPr>
      </w:pPr>
    </w:p>
    <w:p w14:paraId="015475EF" w14:textId="158D156A" w:rsidR="00F17984" w:rsidRPr="00AB7E9B" w:rsidRDefault="00F17984" w:rsidP="00AB7E9B">
      <w:pPr>
        <w:pStyle w:val="Heading3"/>
        <w:rPr>
          <w:rFonts w:eastAsia="Times New Roman"/>
          <w:u w:val="single"/>
          <w:lang w:eastAsia="bg-BG"/>
        </w:rPr>
      </w:pPr>
      <w:r w:rsidRPr="00AB7E9B">
        <w:rPr>
          <w:rFonts w:eastAsia="Times New Roman"/>
          <w:u w:val="single"/>
          <w:lang w:eastAsia="bg-BG"/>
        </w:rPr>
        <w:t>Начин на приложение</w:t>
      </w:r>
    </w:p>
    <w:p w14:paraId="203D12A4"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Перорално приложение</w:t>
      </w:r>
    </w:p>
    <w:p w14:paraId="2048ACAD" w14:textId="6200D5A0" w:rsidR="00F17984" w:rsidRPr="00AB7E9B" w:rsidRDefault="00F17984" w:rsidP="00F17984">
      <w:pPr>
        <w:rPr>
          <w:rFonts w:cs="Arial"/>
        </w:rPr>
      </w:pPr>
      <w:r w:rsidRPr="00AB7E9B">
        <w:rPr>
          <w:rFonts w:eastAsia="Times New Roman" w:cs="Arial"/>
          <w:color w:val="000000"/>
          <w:lang w:eastAsia="bg-BG"/>
        </w:rPr>
        <w:t xml:space="preserve">Капсулите </w:t>
      </w:r>
      <w:r w:rsidRPr="00AB7E9B">
        <w:rPr>
          <w:rFonts w:eastAsia="Times New Roman" w:cs="Arial"/>
          <w:color w:val="000000"/>
          <w:lang w:val="en-US"/>
        </w:rPr>
        <w:t xml:space="preserve">Sandimmun Neoral </w:t>
      </w:r>
      <w:r w:rsidRPr="00AB7E9B">
        <w:rPr>
          <w:rFonts w:eastAsia="Times New Roman" w:cs="Arial"/>
          <w:color w:val="000000"/>
          <w:lang w:eastAsia="bg-BG"/>
        </w:rPr>
        <w:t>трябва да се поглъщат цели,</w:t>
      </w:r>
    </w:p>
    <w:p w14:paraId="0842A9F3" w14:textId="77777777" w:rsidR="00F17984" w:rsidRPr="0091385D" w:rsidRDefault="00F17984" w:rsidP="0091385D"/>
    <w:p w14:paraId="28C984E8" w14:textId="0756AE28" w:rsidR="008134C8" w:rsidRDefault="002C50EE" w:rsidP="004A448E">
      <w:pPr>
        <w:pStyle w:val="Heading2"/>
      </w:pPr>
      <w:r>
        <w:lastRenderedPageBreak/>
        <w:t>4.3. Противопоказания</w:t>
      </w:r>
    </w:p>
    <w:p w14:paraId="2363D607" w14:textId="48168570" w:rsidR="0091385D" w:rsidRDefault="0091385D" w:rsidP="0091385D"/>
    <w:p w14:paraId="43C95C9D"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Свръхчувствителност към активното вещество или към някое от помощните вещества, изброени в точка 6.1.</w:t>
      </w:r>
    </w:p>
    <w:p w14:paraId="0A2B44E2" w14:textId="77777777" w:rsidR="00AB7E9B" w:rsidRPr="00AB7E9B" w:rsidRDefault="00AB7E9B" w:rsidP="00AB7E9B">
      <w:pPr>
        <w:spacing w:line="240" w:lineRule="auto"/>
        <w:rPr>
          <w:rFonts w:eastAsia="Times New Roman" w:cs="Arial"/>
          <w:color w:val="000000"/>
          <w:lang w:eastAsia="bg-BG"/>
        </w:rPr>
      </w:pPr>
    </w:p>
    <w:p w14:paraId="1EF2CA41" w14:textId="0B384E94"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Комбиниране с продукти, съдържащи </w:t>
      </w:r>
      <w:r w:rsidRPr="00AB7E9B">
        <w:rPr>
          <w:rFonts w:eastAsia="Times New Roman" w:cs="Arial"/>
          <w:i/>
          <w:iCs/>
          <w:color w:val="000000"/>
          <w:lang w:val="en-US"/>
        </w:rPr>
        <w:t>Hypericum perforatum</w:t>
      </w:r>
      <w:r w:rsidRPr="00AB7E9B">
        <w:rPr>
          <w:rFonts w:eastAsia="Times New Roman" w:cs="Arial"/>
          <w:color w:val="000000"/>
          <w:lang w:val="en-US"/>
        </w:rPr>
        <w:t xml:space="preserve"> </w:t>
      </w:r>
      <w:r w:rsidRPr="00AB7E9B">
        <w:rPr>
          <w:rFonts w:eastAsia="Times New Roman" w:cs="Arial"/>
          <w:color w:val="000000"/>
          <w:lang w:eastAsia="bg-BG"/>
        </w:rPr>
        <w:t>(жълт кантарион) (вж. точка 4.5).</w:t>
      </w:r>
    </w:p>
    <w:p w14:paraId="0CDCFAA8" w14:textId="77777777" w:rsidR="00AB7E9B" w:rsidRPr="00AB7E9B" w:rsidRDefault="00AB7E9B" w:rsidP="00AB7E9B">
      <w:pPr>
        <w:rPr>
          <w:rFonts w:eastAsia="Times New Roman" w:cs="Arial"/>
          <w:color w:val="000000"/>
          <w:lang w:eastAsia="bg-BG"/>
        </w:rPr>
      </w:pPr>
    </w:p>
    <w:p w14:paraId="2309EAB0" w14:textId="38FE3FA9" w:rsidR="0091385D" w:rsidRPr="00AB7E9B" w:rsidRDefault="00AB7E9B" w:rsidP="00AB7E9B">
      <w:pPr>
        <w:rPr>
          <w:rFonts w:cs="Arial"/>
        </w:rPr>
      </w:pPr>
      <w:r w:rsidRPr="00AB7E9B">
        <w:rPr>
          <w:rFonts w:eastAsia="Times New Roman" w:cs="Arial"/>
          <w:color w:val="000000"/>
          <w:lang w:eastAsia="bg-BG"/>
        </w:rPr>
        <w:t>Комбиниране с лекарства, които са субстрати на ефлуксния транспортер за много лекарства Р- гликопротеин или на протеините транспортиращи органични аниони (ОАТР), при които повишените плазмени концентрации са свързани със сериозни и/или животозастрашаващи събития, напр. босентан, дабигатран етексилат и алискирен (вж, точка 4.5).</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4ED2C339"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Лекарско проследяване</w:t>
      </w:r>
      <w:r w:rsidRPr="00AB7E9B">
        <w:rPr>
          <w:rFonts w:eastAsia="Times New Roman" w:cs="Arial"/>
          <w:color w:val="000000"/>
          <w:lang w:eastAsia="bg-BG"/>
        </w:rPr>
        <w:tab/>
      </w:r>
    </w:p>
    <w:p w14:paraId="5405946C" w14:textId="77777777" w:rsidR="00AB7E9B" w:rsidRPr="00AB7E9B" w:rsidRDefault="00AB7E9B" w:rsidP="00AB7E9B">
      <w:pPr>
        <w:rPr>
          <w:rFonts w:eastAsia="Times New Roman" w:cs="Arial"/>
          <w:sz w:val="24"/>
          <w:szCs w:val="24"/>
          <w:lang w:eastAsia="bg-BG"/>
        </w:rPr>
      </w:pPr>
      <w:r w:rsidRPr="00AB7E9B">
        <w:rPr>
          <w:rFonts w:eastAsia="Times New Roman" w:cs="Arial"/>
          <w:color w:val="000000"/>
          <w:lang w:val="en-US"/>
        </w:rPr>
        <w:t xml:space="preserve">Sandimmun Neoral </w:t>
      </w:r>
      <w:r w:rsidRPr="00AB7E9B">
        <w:rPr>
          <w:rFonts w:eastAsia="Times New Roman" w:cs="Arial"/>
          <w:color w:val="000000"/>
          <w:lang w:eastAsia="bg-BG"/>
        </w:rPr>
        <w:t>следва да се назначава само от лекари с опит в областта на имуносупресивната терапия, които са в състояние да провеждат необходимото проследяване на болните, включващо редовни пълни клинични прегледи, измерване на кръвното налягане и контрол на лабораторните параметри, свързани с безопасността, Трансплантираните пациенти, получаващи този лекарствен продукт, трябва да бъдат обслужвани в болнични заведения, разполагащи с подходящо клинико-лабораторно оборудване и медицински ресурси. Лекарят, който контролира провеждането на поддържащата терапия, трябва да разполага с пълната информация, необходима за проследяването на пациента.</w:t>
      </w:r>
    </w:p>
    <w:p w14:paraId="438CB04C" w14:textId="77777777" w:rsidR="00AB7E9B" w:rsidRPr="00AB7E9B" w:rsidRDefault="00AB7E9B" w:rsidP="00AB7E9B">
      <w:pPr>
        <w:spacing w:line="240" w:lineRule="auto"/>
        <w:rPr>
          <w:rFonts w:eastAsia="Times New Roman" w:cs="Arial"/>
          <w:color w:val="000000"/>
          <w:u w:val="single"/>
          <w:lang w:eastAsia="bg-BG"/>
        </w:rPr>
      </w:pPr>
    </w:p>
    <w:p w14:paraId="751BDE14" w14:textId="25297C2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Лимфоми и други злокачествени заболявания</w:t>
      </w:r>
    </w:p>
    <w:p w14:paraId="4923A638"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Подобно на други имуносупресори, циклоспорин увеличава риска от развитие на лимфоми и други злокачествени образувания, особено такива на кожата. Повишеният риск изглежда зависи повече от степента и времетраенето на имуносупресията, отколкото от вида на специфичните агенти.</w:t>
      </w:r>
    </w:p>
    <w:p w14:paraId="40C58474" w14:textId="77777777" w:rsidR="00AB7E9B" w:rsidRPr="00AB7E9B" w:rsidRDefault="00AB7E9B" w:rsidP="00AB7E9B">
      <w:pPr>
        <w:spacing w:line="240" w:lineRule="auto"/>
        <w:rPr>
          <w:rFonts w:eastAsia="Times New Roman" w:cs="Arial"/>
          <w:color w:val="000000"/>
          <w:lang w:eastAsia="bg-BG"/>
        </w:rPr>
      </w:pPr>
    </w:p>
    <w:p w14:paraId="77AC7D0B" w14:textId="07541C12"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Следователно, режим на лечение, включващ множество имуносупресори (включително циклоспорин) трябва да се прилага внимателно, тъй като може да доведе до лимфопролиферативни заболявания и тумори на солидни органи, при някои от които има съобщения за фатален изход.</w:t>
      </w:r>
    </w:p>
    <w:p w14:paraId="1AF447CF" w14:textId="77777777" w:rsidR="00AB7E9B" w:rsidRPr="00AB7E9B" w:rsidRDefault="00AB7E9B" w:rsidP="00AB7E9B">
      <w:pPr>
        <w:spacing w:line="240" w:lineRule="auto"/>
        <w:rPr>
          <w:rFonts w:eastAsia="Times New Roman" w:cs="Arial"/>
          <w:color w:val="000000"/>
          <w:lang w:eastAsia="bg-BG"/>
        </w:rPr>
      </w:pPr>
    </w:p>
    <w:p w14:paraId="2F4612DF" w14:textId="74772C88"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С оглед потенциалния риск от злокачествени заболявания на кожата, пациентите на лечение със </w:t>
      </w:r>
      <w:r w:rsidRPr="00AB7E9B">
        <w:rPr>
          <w:rFonts w:eastAsia="Times New Roman" w:cs="Arial"/>
          <w:color w:val="000000"/>
          <w:lang w:val="en-US"/>
        </w:rPr>
        <w:t xml:space="preserve">Sandimmun Neoral, </w:t>
      </w:r>
      <w:r w:rsidRPr="00AB7E9B">
        <w:rPr>
          <w:rFonts w:eastAsia="Times New Roman" w:cs="Arial"/>
          <w:color w:val="000000"/>
          <w:lang w:eastAsia="bg-BG"/>
        </w:rPr>
        <w:t xml:space="preserve">и по-специално тези, които се лекуват за псориазис или атопичен дерматит, трябва да бъдат предупредени да избягват да се излагат на слънце без слънцезащита и да не бъдат лекувани по същото време с ултравиолетова В или </w:t>
      </w:r>
      <w:r w:rsidRPr="00AB7E9B">
        <w:rPr>
          <w:rFonts w:eastAsia="Times New Roman" w:cs="Arial"/>
          <w:color w:val="000000"/>
          <w:lang w:val="en-US"/>
        </w:rPr>
        <w:t xml:space="preserve">PUVA </w:t>
      </w:r>
      <w:r w:rsidRPr="00AB7E9B">
        <w:rPr>
          <w:rFonts w:eastAsia="Times New Roman" w:cs="Arial"/>
          <w:color w:val="000000"/>
          <w:lang w:eastAsia="bg-BG"/>
        </w:rPr>
        <w:t>фототерапия.</w:t>
      </w:r>
    </w:p>
    <w:p w14:paraId="53B6C17B" w14:textId="77777777" w:rsidR="00AB7E9B" w:rsidRPr="00AB7E9B" w:rsidRDefault="00AB7E9B" w:rsidP="00AB7E9B">
      <w:pPr>
        <w:spacing w:line="240" w:lineRule="auto"/>
        <w:rPr>
          <w:rFonts w:eastAsia="Times New Roman" w:cs="Arial"/>
          <w:color w:val="000000"/>
          <w:u w:val="single"/>
          <w:lang w:eastAsia="bg-BG"/>
        </w:rPr>
      </w:pPr>
    </w:p>
    <w:p w14:paraId="2E4EC2DD" w14:textId="7BE322B0"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Инфекции</w:t>
      </w:r>
    </w:p>
    <w:p w14:paraId="1E966790"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Както други имуносупресори, циклоспорин предразполага пациентите към развитие на различни бактериални, гъбични, паразитни и вирусни инфекции, често предизвикани от опортюнистични патогени. При пациенти, приемащи циклоспорин е наблюдавано активиране на латентна </w:t>
      </w:r>
      <w:r w:rsidRPr="00AB7E9B">
        <w:rPr>
          <w:rFonts w:eastAsia="Times New Roman" w:cs="Arial"/>
          <w:color w:val="000000"/>
          <w:lang w:val="en-US"/>
        </w:rPr>
        <w:t xml:space="preserve">Polyomavirus </w:t>
      </w:r>
      <w:r w:rsidRPr="00AB7E9B">
        <w:rPr>
          <w:rFonts w:eastAsia="Times New Roman" w:cs="Arial"/>
          <w:color w:val="000000"/>
          <w:lang w:eastAsia="bg-BG"/>
        </w:rPr>
        <w:t xml:space="preserve">инфекция, която може да доведе до </w:t>
      </w:r>
      <w:r w:rsidRPr="00AB7E9B">
        <w:rPr>
          <w:rFonts w:eastAsia="Times New Roman" w:cs="Arial"/>
          <w:color w:val="000000"/>
          <w:lang w:val="en-US"/>
        </w:rPr>
        <w:t xml:space="preserve">Polyomavirus </w:t>
      </w:r>
      <w:r w:rsidRPr="00AB7E9B">
        <w:rPr>
          <w:rFonts w:eastAsia="Times New Roman" w:cs="Arial"/>
          <w:color w:val="000000"/>
          <w:lang w:eastAsia="bg-BG"/>
        </w:rPr>
        <w:lastRenderedPageBreak/>
        <w:t xml:space="preserve">свързана нефропатия </w:t>
      </w:r>
      <w:r w:rsidRPr="00AB7E9B">
        <w:rPr>
          <w:rFonts w:eastAsia="Times New Roman" w:cs="Arial"/>
          <w:color w:val="000000"/>
          <w:lang w:val="en-US"/>
        </w:rPr>
        <w:t xml:space="preserve">(PVAN), </w:t>
      </w:r>
      <w:r w:rsidRPr="00AB7E9B">
        <w:rPr>
          <w:rFonts w:eastAsia="Times New Roman" w:cs="Arial"/>
          <w:color w:val="000000"/>
          <w:lang w:eastAsia="bg-BG"/>
        </w:rPr>
        <w:t xml:space="preserve">по-специално ВК вирусна нефропатия </w:t>
      </w:r>
      <w:r w:rsidRPr="00AB7E9B">
        <w:rPr>
          <w:rFonts w:eastAsia="Times New Roman" w:cs="Arial"/>
          <w:color w:val="000000"/>
          <w:lang w:val="en-US"/>
        </w:rPr>
        <w:t xml:space="preserve">(BKVN), </w:t>
      </w:r>
      <w:r w:rsidRPr="00AB7E9B">
        <w:rPr>
          <w:rFonts w:eastAsia="Times New Roman" w:cs="Arial"/>
          <w:color w:val="000000"/>
          <w:lang w:eastAsia="bg-BG"/>
        </w:rPr>
        <w:t xml:space="preserve">или до </w:t>
      </w:r>
      <w:r w:rsidRPr="00AB7E9B">
        <w:rPr>
          <w:rFonts w:eastAsia="Times New Roman" w:cs="Arial"/>
          <w:color w:val="000000"/>
          <w:lang w:val="en-US"/>
        </w:rPr>
        <w:t xml:space="preserve">JC </w:t>
      </w:r>
      <w:r w:rsidRPr="00AB7E9B">
        <w:rPr>
          <w:rFonts w:eastAsia="Times New Roman" w:cs="Arial"/>
          <w:color w:val="000000"/>
          <w:lang w:eastAsia="bg-BG"/>
        </w:rPr>
        <w:t xml:space="preserve">вирус свързана прогресивна мултифокална левкоенцефалопатия </w:t>
      </w:r>
      <w:r w:rsidRPr="00AB7E9B">
        <w:rPr>
          <w:rFonts w:eastAsia="Times New Roman" w:cs="Arial"/>
          <w:color w:val="000000"/>
          <w:lang w:val="en-US"/>
        </w:rPr>
        <w:t xml:space="preserve">(PML). </w:t>
      </w:r>
      <w:r w:rsidRPr="00AB7E9B">
        <w:rPr>
          <w:rFonts w:eastAsia="Times New Roman" w:cs="Arial"/>
          <w:color w:val="000000"/>
          <w:lang w:eastAsia="bg-BG"/>
        </w:rPr>
        <w:t>Тези случаи често са свързани с високо общо имуносупресивно обременяване и трябва да бъдат отнесени към диференциалните диагнози на имуносупресирани пациенти с влошени бъбречни функции или неврологични симптоми. Има съобщения за сериозни и/или фатални последствия. Трябва да се приложи активна предварителна терапевтична стратегия, особено при пациенти, подложени на дългосрочна имуносупресивна терапия.</w:t>
      </w:r>
    </w:p>
    <w:p w14:paraId="7227DA2C" w14:textId="77777777" w:rsidR="00AB7E9B" w:rsidRPr="00AB7E9B" w:rsidRDefault="00AB7E9B" w:rsidP="00AB7E9B">
      <w:pPr>
        <w:spacing w:line="240" w:lineRule="auto"/>
        <w:rPr>
          <w:rFonts w:eastAsia="Times New Roman" w:cs="Arial"/>
          <w:color w:val="000000"/>
          <w:u w:val="single"/>
          <w:lang w:eastAsia="bg-BG"/>
        </w:rPr>
      </w:pPr>
    </w:p>
    <w:p w14:paraId="0B0FB989" w14:textId="287380FB"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Бъбречна токсичност</w:t>
      </w:r>
    </w:p>
    <w:p w14:paraId="754D756A"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Често наблюдавано и потенциално опасно усложнение е повишаването на серумния креатинин и урея, което може да настъпи по време на лечението със </w:t>
      </w:r>
      <w:r w:rsidRPr="00AB7E9B">
        <w:rPr>
          <w:rFonts w:eastAsia="Times New Roman" w:cs="Arial"/>
          <w:color w:val="000000"/>
          <w:lang w:val="en-US"/>
        </w:rPr>
        <w:t xml:space="preserve">Sandimmun Neoral. </w:t>
      </w:r>
      <w:r w:rsidRPr="00AB7E9B">
        <w:rPr>
          <w:rFonts w:eastAsia="Times New Roman" w:cs="Arial"/>
          <w:color w:val="000000"/>
          <w:lang w:eastAsia="bg-BG"/>
        </w:rPr>
        <w:t>Това са дозозависими, обратими, функционални промени, които обикновено отзвучават след понижаване на дозата. При продължително лечение при някои болни може да се развият структурни промени в бъбреците (напр. интерстициална фиброза), които, при бъбречно трансплантирани пациенти, трябва да се разграничат от промените при хронично отхвърляне на присадката. Поради тази причина се изисква често проследяване на бъбречната функция съгласно местните ръководства при съответното показание (вж. точки 4.2 и 4,8).</w:t>
      </w:r>
    </w:p>
    <w:p w14:paraId="0C29AEC2" w14:textId="77777777" w:rsidR="00AB7E9B" w:rsidRPr="00AB7E9B" w:rsidRDefault="00AB7E9B" w:rsidP="00AB7E9B">
      <w:pPr>
        <w:spacing w:line="240" w:lineRule="auto"/>
        <w:rPr>
          <w:rFonts w:eastAsia="Times New Roman" w:cs="Arial"/>
          <w:color w:val="000000"/>
          <w:u w:val="single"/>
          <w:lang w:eastAsia="bg-BG"/>
        </w:rPr>
      </w:pPr>
    </w:p>
    <w:p w14:paraId="379E49A3" w14:textId="7DE9C4A3"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Хепатотоксичност</w:t>
      </w:r>
    </w:p>
    <w:p w14:paraId="5097BAF0" w14:textId="77777777" w:rsidR="00AB7E9B" w:rsidRPr="00AB7E9B" w:rsidRDefault="00AB7E9B" w:rsidP="00AB7E9B">
      <w:pPr>
        <w:rPr>
          <w:rFonts w:eastAsia="Times New Roman" w:cs="Arial"/>
          <w:sz w:val="24"/>
          <w:szCs w:val="24"/>
          <w:lang w:eastAsia="bg-BG"/>
        </w:rPr>
      </w:pPr>
      <w:r w:rsidRPr="00AB7E9B">
        <w:rPr>
          <w:rFonts w:eastAsia="Times New Roman" w:cs="Arial"/>
          <w:color w:val="000000"/>
          <w:lang w:val="en-US"/>
        </w:rPr>
        <w:t xml:space="preserve">Sandimmun Neoral </w:t>
      </w:r>
      <w:r w:rsidRPr="00AB7E9B">
        <w:rPr>
          <w:rFonts w:eastAsia="Times New Roman" w:cs="Arial"/>
          <w:color w:val="000000"/>
          <w:lang w:eastAsia="bg-BG"/>
        </w:rPr>
        <w:t xml:space="preserve">може също така да предизвика и дозозависимо, обратимо повишение на серумния билирубин и в някои случаи на чернодробните ензими (вж. точка 4.8). Има провокирани също така и спонтанни постмаркетингови съобщения за хепатотоксичност и </w:t>
      </w:r>
      <w:r w:rsidRPr="00AB7E9B">
        <w:rPr>
          <w:rFonts w:eastAsia="Times New Roman" w:cs="Arial"/>
          <w:color w:val="000000"/>
          <w:u w:val="single"/>
          <w:lang w:eastAsia="bg-BG"/>
        </w:rPr>
        <w:t xml:space="preserve"> </w:t>
      </w:r>
      <w:r w:rsidRPr="00AB7E9B">
        <w:rPr>
          <w:rFonts w:eastAsia="Times New Roman" w:cs="Arial"/>
          <w:color w:val="000000"/>
          <w:lang w:eastAsia="bg-BG"/>
        </w:rPr>
        <w:t>чернодробно увреждане, включително холестаза, жълтеница, хепатит и чернодробна недостатъчност при пациенти, лекувани с циклоспорин. Повечето съобщения са от пациенти със значима коморбидност, подлежащи състояния и други смущаващи фактори, включително инфекциозни усложнения и комедикация с хепатотоксичен потенциал. В някои случаи предимно при трансплантирани пациенти, се съобщава и за фатален изход (вж. точка 4.8).  Необходимо е стриктно проследяване на показателите за оценка на чернодробната функция</w:t>
      </w:r>
      <w:r>
        <w:rPr>
          <w:rFonts w:eastAsia="Times New Roman" w:cs="Arial"/>
          <w:color w:val="000000"/>
          <w:lang w:eastAsia="bg-BG"/>
        </w:rPr>
        <w:t xml:space="preserve"> </w:t>
      </w:r>
      <w:r w:rsidRPr="00AB7E9B">
        <w:rPr>
          <w:rFonts w:eastAsia="Times New Roman" w:cs="Arial"/>
          <w:color w:val="000000"/>
          <w:lang w:eastAsia="bg-BG"/>
        </w:rPr>
        <w:t>при отклонения от нормалните стойности може да се наложи намаляване на дозата (вж. точки 4.2 и 5.2).</w:t>
      </w:r>
    </w:p>
    <w:p w14:paraId="1F49D47D" w14:textId="77777777" w:rsidR="00AB7E9B" w:rsidRPr="00AB7E9B" w:rsidRDefault="00AB7E9B" w:rsidP="00AB7E9B">
      <w:pPr>
        <w:spacing w:line="240" w:lineRule="auto"/>
        <w:rPr>
          <w:rFonts w:eastAsia="Times New Roman" w:cs="Arial"/>
          <w:color w:val="000000"/>
          <w:u w:val="single"/>
          <w:lang w:eastAsia="bg-BG"/>
        </w:rPr>
      </w:pPr>
    </w:p>
    <w:p w14:paraId="67EB6AF8" w14:textId="34E3B955"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Пациенти в старческа възраст (на възраст 65 години и повече)</w:t>
      </w:r>
    </w:p>
    <w:p w14:paraId="4D738781"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Трябва да се наблюдава с особено внимание бъбречната функция при пациенти в старческа възраст.</w:t>
      </w:r>
    </w:p>
    <w:p w14:paraId="0C585C90" w14:textId="77777777" w:rsidR="00AB7E9B" w:rsidRPr="00AB7E9B" w:rsidRDefault="00AB7E9B" w:rsidP="00AB7E9B">
      <w:pPr>
        <w:spacing w:line="240" w:lineRule="auto"/>
        <w:rPr>
          <w:rFonts w:eastAsia="Times New Roman" w:cs="Arial"/>
          <w:color w:val="000000"/>
          <w:u w:val="single"/>
          <w:lang w:eastAsia="bg-BG"/>
        </w:rPr>
      </w:pPr>
    </w:p>
    <w:p w14:paraId="642250C7" w14:textId="4BD02CED"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Проследяване на нивата на циклоспорин (вж. точка 4,2)</w:t>
      </w:r>
    </w:p>
    <w:p w14:paraId="1381D83C"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Когато </w:t>
      </w:r>
      <w:r w:rsidRPr="00AB7E9B">
        <w:rPr>
          <w:rFonts w:eastAsia="Times New Roman" w:cs="Arial"/>
          <w:color w:val="000000"/>
          <w:lang w:val="en-US"/>
        </w:rPr>
        <w:t xml:space="preserve">Sandimmun Neoral </w:t>
      </w:r>
      <w:r w:rsidRPr="00AB7E9B">
        <w:rPr>
          <w:rFonts w:eastAsia="Times New Roman" w:cs="Arial"/>
          <w:color w:val="000000"/>
          <w:lang w:eastAsia="bg-BG"/>
        </w:rPr>
        <w:t xml:space="preserve">се прилага при трансплантирани пациенти, рутинното проследяване на нивата на циклоспорин в кръвта е важна мярка за безопасност. За контрол на циклоспориновите нива в кръвта се предпочитат специфични моноклонални антитела (измерване на изходното лекарствено вещество; може да се използва и </w:t>
      </w:r>
      <w:r w:rsidRPr="00AB7E9B">
        <w:rPr>
          <w:rFonts w:eastAsia="Times New Roman" w:cs="Arial"/>
          <w:color w:val="000000"/>
          <w:lang w:val="en-US"/>
        </w:rPr>
        <w:t xml:space="preserve">HPLC </w:t>
      </w:r>
      <w:r w:rsidRPr="00AB7E9B">
        <w:rPr>
          <w:rFonts w:eastAsia="Times New Roman" w:cs="Arial"/>
          <w:color w:val="000000"/>
          <w:lang w:eastAsia="bg-BG"/>
        </w:rPr>
        <w:t>метод (високо ефективна течна хроматография), при който също се определя изходното лекарствено вещество. При използване на плазма или серум е задължително да се спазва стандартния протокол за разделяне (време и температура). За начално мониториране на пациенти с трансплантиран черен дроб трябва да се използват или специфични моноклонални антитела, или да се провеждат паралелни изследвания със специфични и неспецифични моноклонални антитела, за да се определи дозировката, осигуряваща адекватна имуносупресия.</w:t>
      </w:r>
    </w:p>
    <w:p w14:paraId="3996087B" w14:textId="77777777" w:rsidR="00AB7E9B" w:rsidRPr="00AB7E9B" w:rsidRDefault="00AB7E9B" w:rsidP="00AB7E9B">
      <w:pPr>
        <w:spacing w:line="240" w:lineRule="auto"/>
        <w:rPr>
          <w:rFonts w:eastAsia="Times New Roman" w:cs="Arial"/>
          <w:color w:val="000000"/>
          <w:lang w:eastAsia="bg-BG"/>
        </w:rPr>
      </w:pPr>
    </w:p>
    <w:p w14:paraId="77512586" w14:textId="31AF9FE6"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lastRenderedPageBreak/>
        <w:t xml:space="preserve">При пациенти, лекувани с циклоспорин за показания извън областта на трансплантацията, се препоръчва извънредно проследяване на нивата на циклоспорин в кръвта, напр. при прилагане на </w:t>
      </w:r>
      <w:r w:rsidRPr="00AB7E9B">
        <w:rPr>
          <w:rFonts w:eastAsia="Times New Roman" w:cs="Arial"/>
          <w:color w:val="000000"/>
          <w:lang w:val="en-US"/>
        </w:rPr>
        <w:t xml:space="preserve">Sandimmun Neoral </w:t>
      </w:r>
      <w:r w:rsidRPr="00AB7E9B">
        <w:rPr>
          <w:rFonts w:eastAsia="Times New Roman" w:cs="Arial"/>
          <w:color w:val="000000"/>
          <w:lang w:eastAsia="bg-BG"/>
        </w:rPr>
        <w:t>едновременно с вещества, които могат да повлияят фармакокинетиката на циклоспорин или в случай на необичаен клиничен отговор (напр. липса на ефикасност или повишена лекарствена непоносимост, като например бъбречна дисфункция).</w:t>
      </w:r>
    </w:p>
    <w:p w14:paraId="7F197A90"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Не трябва да се забравя, че концентрацията на циклоспорин в кръвта, плазмата или серума е само един от факторите, определящи клиничния статус на пациента. Следователно резултатите би трябвало да служат само за ориентир към определена дозировка, като се отчитат и другите клинични и лабораторни параметри.</w:t>
      </w:r>
    </w:p>
    <w:p w14:paraId="5EA2BD8C" w14:textId="77777777" w:rsidR="00AB7E9B" w:rsidRPr="00AB7E9B" w:rsidRDefault="00AB7E9B" w:rsidP="00AB7E9B">
      <w:pPr>
        <w:spacing w:line="240" w:lineRule="auto"/>
        <w:rPr>
          <w:rFonts w:eastAsia="Times New Roman" w:cs="Arial"/>
          <w:color w:val="000000"/>
          <w:u w:val="single"/>
          <w:lang w:eastAsia="bg-BG"/>
        </w:rPr>
      </w:pPr>
    </w:p>
    <w:p w14:paraId="0F7FF44E" w14:textId="6E697462"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Хипертония</w:t>
      </w:r>
    </w:p>
    <w:p w14:paraId="3ACC0FE8"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По време на лечение със </w:t>
      </w:r>
      <w:r w:rsidRPr="00AB7E9B">
        <w:rPr>
          <w:rFonts w:eastAsia="Times New Roman" w:cs="Arial"/>
          <w:color w:val="000000"/>
          <w:lang w:val="en-US"/>
        </w:rPr>
        <w:t xml:space="preserve">Sandimmun Neoral </w:t>
      </w:r>
      <w:r w:rsidRPr="00AB7E9B">
        <w:rPr>
          <w:rFonts w:eastAsia="Times New Roman" w:cs="Arial"/>
          <w:color w:val="000000"/>
          <w:lang w:eastAsia="bg-BG"/>
        </w:rPr>
        <w:t>е необходим периодичен контрол на кръвното налягане; при хипертония е необходимо назначаването на адекватно антихипертензивно лечение. Трябва да се предпочетат антихипертензивни средства, които не оказват влияние върху фармакокинетиката на циклоспорин, напр. исрадипин (вж. точка 4.5).</w:t>
      </w:r>
    </w:p>
    <w:p w14:paraId="7712D5D4" w14:textId="77777777" w:rsidR="00AB7E9B" w:rsidRPr="00AB7E9B" w:rsidRDefault="00AB7E9B" w:rsidP="00AB7E9B">
      <w:pPr>
        <w:spacing w:line="240" w:lineRule="auto"/>
        <w:rPr>
          <w:rFonts w:eastAsia="Times New Roman" w:cs="Arial"/>
          <w:color w:val="000000"/>
          <w:u w:val="single"/>
          <w:lang w:eastAsia="bg-BG"/>
        </w:rPr>
      </w:pPr>
    </w:p>
    <w:p w14:paraId="418AFA44" w14:textId="244E9E12"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Повишаване на липидите в кръвта</w:t>
      </w:r>
    </w:p>
    <w:p w14:paraId="0BAFEB62"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Тъй като има съобщения за случаи на обратимо леко повишаване на липидите в кръвта от </w:t>
      </w:r>
      <w:r w:rsidRPr="00AB7E9B">
        <w:rPr>
          <w:rFonts w:eastAsia="Times New Roman" w:cs="Arial"/>
          <w:color w:val="000000"/>
          <w:lang w:val="en-US"/>
        </w:rPr>
        <w:t xml:space="preserve">Sandimmun Neoral, </w:t>
      </w:r>
      <w:r w:rsidRPr="00AB7E9B">
        <w:rPr>
          <w:rFonts w:eastAsia="Times New Roman" w:cs="Arial"/>
          <w:color w:val="000000"/>
          <w:lang w:eastAsia="bg-BG"/>
        </w:rPr>
        <w:t>се препоръчва определяне на липидния статус преди започване на лечението и един месец след това. При наличие на повишени стойности следва да се обсъди възможността за ограничаване на приема на мазнини с храната и ако е подходящо, редукция на дозата.</w:t>
      </w:r>
    </w:p>
    <w:p w14:paraId="6D39DFC4" w14:textId="77777777" w:rsidR="00AB7E9B" w:rsidRPr="00AB7E9B" w:rsidRDefault="00AB7E9B" w:rsidP="00AB7E9B">
      <w:pPr>
        <w:spacing w:line="240" w:lineRule="auto"/>
        <w:rPr>
          <w:rFonts w:eastAsia="Times New Roman" w:cs="Arial"/>
          <w:color w:val="000000"/>
          <w:u w:val="single"/>
          <w:lang w:eastAsia="bg-BG"/>
        </w:rPr>
      </w:pPr>
    </w:p>
    <w:p w14:paraId="76E5B88F" w14:textId="28A2162F"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Хиперкалиемия</w:t>
      </w:r>
    </w:p>
    <w:p w14:paraId="65E63B5C"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Циклоспорин повишава риска от хиперкалиемия, особено при пациенти с бъбречна дисфункция. Необходимо е повишено внимание, когато циклоспорин се прилага заедно с калий-съхраняващи лекарства (калий-съхраняващи диуретици, инхибитори на ангиотензин- конвертиращия ензим, ангиотензин II рецепторни антагонисти) и калий-съдържащи лекарствени продукти, както и при пациенти, подложени на богата на калий диета. В тези случаи се препоръчва контрол на калиевите нива.</w:t>
      </w:r>
    </w:p>
    <w:p w14:paraId="1BD71932" w14:textId="77777777" w:rsidR="00AB7E9B" w:rsidRPr="00AB7E9B" w:rsidRDefault="00AB7E9B" w:rsidP="00AB7E9B">
      <w:pPr>
        <w:spacing w:line="240" w:lineRule="auto"/>
        <w:rPr>
          <w:rFonts w:eastAsia="Times New Roman" w:cs="Arial"/>
          <w:color w:val="000000"/>
          <w:u w:val="single"/>
          <w:lang w:eastAsia="bg-BG"/>
        </w:rPr>
      </w:pPr>
    </w:p>
    <w:p w14:paraId="4C802A8A" w14:textId="604A421C"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Хипомагнезиемия</w:t>
      </w:r>
    </w:p>
    <w:p w14:paraId="0B3BEE35" w14:textId="2E48E08E" w:rsidR="0091385D"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Циклоспорин повишава магнезиевия клирънс. Това може да доведе до симтоматична хипомагнезиемия, особено в перитрансплантационния период. Следователно се препоръчва</w:t>
      </w:r>
      <w:r>
        <w:rPr>
          <w:rFonts w:eastAsia="Times New Roman" w:cs="Arial"/>
          <w:sz w:val="24"/>
          <w:szCs w:val="24"/>
          <w:lang w:eastAsia="bg-BG"/>
        </w:rPr>
        <w:t xml:space="preserve"> </w:t>
      </w:r>
      <w:r w:rsidRPr="00AB7E9B">
        <w:rPr>
          <w:rFonts w:eastAsia="Times New Roman" w:cs="Arial"/>
          <w:color w:val="000000"/>
          <w:lang w:eastAsia="bg-BG"/>
        </w:rPr>
        <w:t>контрол на магнезиевите нива в перитрансплантационния период, особено ако присъстват неврологични симптоми/признаци. Ако се сметне за необходимо, може да се приложи</w:t>
      </w:r>
      <w:r>
        <w:rPr>
          <w:rFonts w:eastAsia="Times New Roman" w:cs="Arial"/>
          <w:sz w:val="24"/>
          <w:szCs w:val="24"/>
          <w:lang w:eastAsia="bg-BG"/>
        </w:rPr>
        <w:t xml:space="preserve"> </w:t>
      </w:r>
      <w:r w:rsidRPr="00AB7E9B">
        <w:rPr>
          <w:rFonts w:eastAsia="Times New Roman" w:cs="Arial"/>
          <w:color w:val="000000"/>
          <w:lang w:eastAsia="bg-BG"/>
        </w:rPr>
        <w:t>допълнително магнезий.</w:t>
      </w:r>
    </w:p>
    <w:p w14:paraId="24E3E82F" w14:textId="43CD7675" w:rsidR="0091385D" w:rsidRDefault="0091385D" w:rsidP="0091385D"/>
    <w:p w14:paraId="621F4E2C"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Хиперурикемия</w:t>
      </w:r>
    </w:p>
    <w:p w14:paraId="6606CA38"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Необходимо е повишено внимание при пациенти с хиперурикемия.</w:t>
      </w:r>
    </w:p>
    <w:p w14:paraId="55B6B3BA" w14:textId="77777777" w:rsidR="00470F01" w:rsidRPr="00470F01" w:rsidRDefault="00470F01" w:rsidP="00470F01">
      <w:pPr>
        <w:spacing w:line="240" w:lineRule="auto"/>
        <w:rPr>
          <w:rFonts w:eastAsia="Times New Roman" w:cs="Arial"/>
          <w:color w:val="000000"/>
          <w:u w:val="single"/>
          <w:lang w:eastAsia="bg-BG"/>
        </w:rPr>
      </w:pPr>
    </w:p>
    <w:p w14:paraId="2D88B730" w14:textId="6E588A18"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Живи-атенюирани ваксини</w:t>
      </w:r>
    </w:p>
    <w:p w14:paraId="70E8750A"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По време на лечение с циклоспорин е възможно ваксините да бъдат по-слабо ефикасни. Трябва да се избягва употреба на живи атенюирани ваксини (вж. точка 4.5).</w:t>
      </w:r>
    </w:p>
    <w:p w14:paraId="27BBE54D" w14:textId="77777777" w:rsidR="00470F01" w:rsidRPr="00470F01" w:rsidRDefault="00470F01" w:rsidP="00470F01">
      <w:pPr>
        <w:spacing w:line="240" w:lineRule="auto"/>
        <w:rPr>
          <w:rFonts w:eastAsia="Times New Roman" w:cs="Arial"/>
          <w:color w:val="000000"/>
          <w:u w:val="single"/>
          <w:lang w:eastAsia="bg-BG"/>
        </w:rPr>
      </w:pPr>
    </w:p>
    <w:p w14:paraId="20DF0136" w14:textId="698ED630"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Взаимодействия</w:t>
      </w:r>
    </w:p>
    <w:p w14:paraId="4FC53D5F"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Необходимо е повишено внимание при едновременно прилагане на циклоспорин с лекарства, които частично повишават или намаляват плазмените концентрации на циклоспорин, като потискат или индуцират </w:t>
      </w:r>
      <w:r w:rsidRPr="00470F01">
        <w:rPr>
          <w:rFonts w:eastAsia="Times New Roman" w:cs="Arial"/>
          <w:color w:val="000000"/>
          <w:lang w:val="en-US"/>
        </w:rPr>
        <w:t xml:space="preserve">CYP3A4 </w:t>
      </w:r>
      <w:r w:rsidRPr="00470F01">
        <w:rPr>
          <w:rFonts w:eastAsia="Times New Roman" w:cs="Arial"/>
          <w:color w:val="000000"/>
          <w:lang w:eastAsia="bg-BG"/>
        </w:rPr>
        <w:t>и/или Р-гликопротеина (вж. точка 4.5).</w:t>
      </w:r>
    </w:p>
    <w:p w14:paraId="3BF2F32E" w14:textId="77777777" w:rsidR="00470F01" w:rsidRPr="00470F01" w:rsidRDefault="00470F01" w:rsidP="00470F01">
      <w:pPr>
        <w:spacing w:line="240" w:lineRule="auto"/>
        <w:rPr>
          <w:rFonts w:eastAsia="Times New Roman" w:cs="Arial"/>
          <w:lang w:eastAsia="bg-BG"/>
        </w:rPr>
      </w:pPr>
    </w:p>
    <w:p w14:paraId="3D94445A" w14:textId="5CD03E4D"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Бъбречната токсичност трябва да се проследява при прилагане на циклоспорин едновременно с активни вещества, които повишават нивата на циклоспорин или вещества, които проявяват синергична нефротоксичност (вж. точка 4.5). Клиничното състояние на пациента трябва да се наблюдава внимателно. Може да се наложи проследяване на нивото на циклоспорин в кръвта и коригиране на дозата циклоспорин.</w:t>
      </w:r>
    </w:p>
    <w:p w14:paraId="41FCB68A" w14:textId="77777777" w:rsidR="00470F01" w:rsidRPr="00470F01" w:rsidRDefault="00470F01" w:rsidP="00470F01">
      <w:pPr>
        <w:spacing w:line="240" w:lineRule="auto"/>
        <w:rPr>
          <w:rFonts w:eastAsia="Times New Roman" w:cs="Arial"/>
          <w:color w:val="000000"/>
          <w:lang w:eastAsia="bg-BG"/>
        </w:rPr>
      </w:pPr>
    </w:p>
    <w:p w14:paraId="7C0F00CA" w14:textId="5D19CDE5"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Едновременната употреба на циклоспорин и такролимус трябва да се избягва (вж, точка 4.5).</w:t>
      </w:r>
    </w:p>
    <w:p w14:paraId="32CEA9A8" w14:textId="77777777" w:rsidR="00470F01" w:rsidRPr="00470F01" w:rsidRDefault="00470F01" w:rsidP="00470F01">
      <w:pPr>
        <w:spacing w:line="240" w:lineRule="auto"/>
        <w:rPr>
          <w:rFonts w:eastAsia="Times New Roman" w:cs="Arial"/>
          <w:color w:val="000000"/>
          <w:lang w:eastAsia="bg-BG"/>
        </w:rPr>
      </w:pPr>
    </w:p>
    <w:p w14:paraId="669E4C40" w14:textId="2C46CA61"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Циклоспорин е инхибитор на </w:t>
      </w:r>
      <w:r w:rsidRPr="00470F01">
        <w:rPr>
          <w:rFonts w:eastAsia="Times New Roman" w:cs="Arial"/>
          <w:color w:val="000000"/>
          <w:lang w:val="en-US"/>
        </w:rPr>
        <w:t xml:space="preserve">CYP3A4, </w:t>
      </w:r>
      <w:r w:rsidRPr="00470F01">
        <w:rPr>
          <w:rFonts w:eastAsia="Times New Roman" w:cs="Arial"/>
          <w:color w:val="000000"/>
          <w:lang w:eastAsia="bg-BG"/>
        </w:rPr>
        <w:t>ефлукс транспортерът за редица лекарства Р- гликопротеин и транспортиращите органични аниони полипептиди (ОАТР) и може да повиши плазмените концентрации на съвместно приложени лекарства, които са субстрати на тези ензими и/или транспортер. Необходимо е повишено внимание при прилагане на циклоспорин с такива лекарства или едновременната употреба трябва да се избягва (вж. точки 4.5).</w:t>
      </w:r>
    </w:p>
    <w:p w14:paraId="61E031A7"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Циклоспорин повишава експозицията на инхибиторите на </w:t>
      </w:r>
      <w:r w:rsidRPr="00470F01">
        <w:rPr>
          <w:rFonts w:eastAsia="Times New Roman" w:cs="Arial"/>
          <w:color w:val="000000"/>
          <w:lang w:val="en-US"/>
        </w:rPr>
        <w:t xml:space="preserve">HMG-CoA </w:t>
      </w:r>
      <w:r w:rsidRPr="00470F01">
        <w:rPr>
          <w:rFonts w:eastAsia="Times New Roman" w:cs="Arial"/>
          <w:color w:val="000000"/>
          <w:lang w:eastAsia="bg-BG"/>
        </w:rPr>
        <w:t>редуктазата (статини). При едновременно прилагане с циклоспорин дозата на статините трябва да се намали или употребата на статини трябва да се избягва съгласно препоръките. Лечението със статини трябва временно да се спре или да се прекрати при пациенти с признаци и симптоми на миопатия, както и при тези с рискови фактори, предразполагащи към тежко увреждане на бъбреците, включително бъбречна недостатъчност вследствие на рабдомиолизата (вж. точка 4.5),</w:t>
      </w:r>
    </w:p>
    <w:p w14:paraId="26EDA999" w14:textId="77777777" w:rsidR="00470F01" w:rsidRPr="00470F01" w:rsidRDefault="00470F01" w:rsidP="00470F01">
      <w:pPr>
        <w:spacing w:line="240" w:lineRule="auto"/>
        <w:rPr>
          <w:rFonts w:eastAsia="Times New Roman" w:cs="Arial"/>
          <w:color w:val="000000"/>
          <w:lang w:eastAsia="bg-BG"/>
        </w:rPr>
      </w:pPr>
    </w:p>
    <w:p w14:paraId="70DDBDEA" w14:textId="3D4F5145"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При едновременно прилагане на циклоспорин и </w:t>
      </w:r>
      <w:r w:rsidRPr="00470F01">
        <w:rPr>
          <w:rFonts w:eastAsia="Times New Roman" w:cs="Arial"/>
          <w:i/>
          <w:iCs/>
          <w:color w:val="000000"/>
          <w:lang w:eastAsia="bg-BG"/>
        </w:rPr>
        <w:t>лерканидипин</w:t>
      </w:r>
      <w:r w:rsidRPr="00470F01">
        <w:rPr>
          <w:rFonts w:eastAsia="Times New Roman" w:cs="Arial"/>
          <w:color w:val="000000"/>
          <w:lang w:eastAsia="bg-BG"/>
        </w:rPr>
        <w:t xml:space="preserve"> </w:t>
      </w:r>
      <w:r w:rsidRPr="00470F01">
        <w:rPr>
          <w:rFonts w:eastAsia="Times New Roman" w:cs="Arial"/>
          <w:color w:val="000000"/>
          <w:lang w:val="en-US"/>
        </w:rPr>
        <w:t xml:space="preserve">AUC </w:t>
      </w:r>
      <w:r w:rsidRPr="00470F01">
        <w:rPr>
          <w:rFonts w:eastAsia="Times New Roman" w:cs="Arial"/>
          <w:color w:val="000000"/>
          <w:lang w:eastAsia="bg-BG"/>
        </w:rPr>
        <w:t xml:space="preserve">на лерканидипин се повишава три пъти, </w:t>
      </w:r>
      <w:r w:rsidRPr="00470F01">
        <w:rPr>
          <w:rFonts w:eastAsia="Times New Roman" w:cs="Arial"/>
          <w:color w:val="000000"/>
          <w:lang w:val="en-US"/>
        </w:rPr>
        <w:t xml:space="preserve">a AUC </w:t>
      </w:r>
      <w:r w:rsidRPr="00470F01">
        <w:rPr>
          <w:rFonts w:eastAsia="Times New Roman" w:cs="Arial"/>
          <w:color w:val="000000"/>
          <w:lang w:eastAsia="bg-BG"/>
        </w:rPr>
        <w:t xml:space="preserve">на циклоспорин се повишава с 21%. Поради тази причина комбинирането по едно и също време на циклоспорин и лерканидипин трябва да се избягва. Прилагането на циклоспорин 3 часа след лерканидипин не води до промени в </w:t>
      </w:r>
      <w:r w:rsidRPr="00470F01">
        <w:rPr>
          <w:rFonts w:eastAsia="Times New Roman" w:cs="Arial"/>
          <w:color w:val="000000"/>
          <w:lang w:val="en-US"/>
        </w:rPr>
        <w:t xml:space="preserve">AUC </w:t>
      </w:r>
      <w:r w:rsidRPr="00470F01">
        <w:rPr>
          <w:rFonts w:eastAsia="Times New Roman" w:cs="Arial"/>
          <w:color w:val="000000"/>
          <w:lang w:eastAsia="bg-BG"/>
        </w:rPr>
        <w:t xml:space="preserve">на лерканидипин, но </w:t>
      </w:r>
      <w:r w:rsidRPr="00470F01">
        <w:rPr>
          <w:rFonts w:eastAsia="Times New Roman" w:cs="Arial"/>
          <w:color w:val="000000"/>
          <w:lang w:val="en-US"/>
        </w:rPr>
        <w:t xml:space="preserve">AUC </w:t>
      </w:r>
      <w:r w:rsidRPr="00470F01">
        <w:rPr>
          <w:rFonts w:eastAsia="Times New Roman" w:cs="Arial"/>
          <w:color w:val="000000"/>
          <w:lang w:eastAsia="bg-BG"/>
        </w:rPr>
        <w:t>на циклоспорин се повишава с 27%. Поради тази причина тази комбинация трябва да се прилага с повишено внимание с интервал от поне 3 часа.</w:t>
      </w:r>
    </w:p>
    <w:p w14:paraId="5EFA56F9" w14:textId="77777777" w:rsidR="00470F01" w:rsidRPr="00470F01" w:rsidRDefault="00470F01" w:rsidP="00470F01">
      <w:pPr>
        <w:spacing w:line="240" w:lineRule="auto"/>
        <w:rPr>
          <w:rFonts w:eastAsia="Times New Roman" w:cs="Arial"/>
          <w:color w:val="000000"/>
          <w:u w:val="single"/>
          <w:lang w:eastAsia="bg-BG"/>
        </w:rPr>
      </w:pPr>
    </w:p>
    <w:p w14:paraId="05CBA994" w14:textId="06900AC8"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Допълнителни предпазни мерки при показания извън областта на трансплантацията</w:t>
      </w:r>
    </w:p>
    <w:p w14:paraId="71355812"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Пациенти с увредена бъбречна функция (с изключение на пациенти с нефротичен синдром, с допустима степен на бъбречно увреждане), неконтролирана хипертония, неконтролирани инфекции или някакво злокачествено заболяване, не трябва да получават циклоспорин.</w:t>
      </w:r>
    </w:p>
    <w:p w14:paraId="7DDDCEAA" w14:textId="77777777" w:rsidR="00470F01" w:rsidRPr="00470F01" w:rsidRDefault="00470F01" w:rsidP="00470F01">
      <w:pPr>
        <w:spacing w:line="240" w:lineRule="auto"/>
        <w:rPr>
          <w:rFonts w:eastAsia="Times New Roman" w:cs="Arial"/>
          <w:color w:val="000000"/>
          <w:lang w:eastAsia="bg-BG"/>
        </w:rPr>
      </w:pPr>
    </w:p>
    <w:p w14:paraId="2680AB6B" w14:textId="44E770C3"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Преди започване на лечението трябва поне двукратно да се направи оценка на изходната бъбречна функция, чрез измерване на </w:t>
      </w:r>
      <w:r w:rsidRPr="00470F01">
        <w:rPr>
          <w:rFonts w:eastAsia="Times New Roman" w:cs="Arial"/>
          <w:color w:val="000000"/>
          <w:lang w:val="en-US"/>
        </w:rPr>
        <w:t xml:space="preserve">eGFR. </w:t>
      </w:r>
      <w:r w:rsidRPr="00470F01">
        <w:rPr>
          <w:rFonts w:eastAsia="Times New Roman" w:cs="Arial"/>
          <w:color w:val="000000"/>
          <w:lang w:eastAsia="bg-BG"/>
        </w:rPr>
        <w:t>Бъбречната функция трябва да се проследява често в хода на лечението, с оглед коригиране на дозата (вж. точка 4.2).</w:t>
      </w:r>
    </w:p>
    <w:p w14:paraId="73810C25" w14:textId="77777777" w:rsidR="00470F01" w:rsidRPr="00470F01" w:rsidRDefault="00470F01" w:rsidP="00470F01">
      <w:pPr>
        <w:spacing w:line="240" w:lineRule="auto"/>
        <w:rPr>
          <w:rFonts w:eastAsia="Times New Roman" w:cs="Arial"/>
          <w:color w:val="000000"/>
          <w:u w:val="single"/>
          <w:lang w:eastAsia="bg-BG"/>
        </w:rPr>
      </w:pPr>
    </w:p>
    <w:p w14:paraId="313CEB88" w14:textId="414E4A31"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Допълнителни предпазни мерки при ендогенен увеит</w:t>
      </w:r>
    </w:p>
    <w:p w14:paraId="09249B13"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val="en-US"/>
        </w:rPr>
        <w:t xml:space="preserve">Sandimmun Neoral </w:t>
      </w:r>
      <w:r w:rsidRPr="00470F01">
        <w:rPr>
          <w:rFonts w:eastAsia="Times New Roman" w:cs="Arial"/>
          <w:color w:val="000000"/>
          <w:lang w:eastAsia="bg-BG"/>
        </w:rPr>
        <w:t>трябва да се прилага с повишено внимание при пациенти с болест на Бехчет с неврологични прояви. Неврологичният статус на тези пациенти трябва внимателно да бъде проследен.</w:t>
      </w:r>
    </w:p>
    <w:p w14:paraId="1987AFBA" w14:textId="77777777" w:rsidR="00470F01" w:rsidRPr="00470F01" w:rsidRDefault="00470F01" w:rsidP="00470F01">
      <w:pPr>
        <w:spacing w:line="240" w:lineRule="auto"/>
        <w:rPr>
          <w:rFonts w:eastAsia="Times New Roman" w:cs="Arial"/>
          <w:color w:val="000000"/>
          <w:lang w:eastAsia="bg-BG"/>
        </w:rPr>
      </w:pPr>
    </w:p>
    <w:p w14:paraId="5C5DD322" w14:textId="38BBD92F"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Има ограничен опит с употребата на </w:t>
      </w:r>
      <w:r w:rsidRPr="00470F01">
        <w:rPr>
          <w:rFonts w:eastAsia="Times New Roman" w:cs="Arial"/>
          <w:color w:val="000000"/>
          <w:lang w:val="en-US"/>
        </w:rPr>
        <w:t xml:space="preserve">Sandimmun Neoral </w:t>
      </w:r>
      <w:r w:rsidRPr="00470F01">
        <w:rPr>
          <w:rFonts w:eastAsia="Times New Roman" w:cs="Arial"/>
          <w:color w:val="000000"/>
          <w:lang w:eastAsia="bg-BG"/>
        </w:rPr>
        <w:t>при деца с ендогенен увеит.</w:t>
      </w:r>
    </w:p>
    <w:p w14:paraId="1679B824" w14:textId="77777777" w:rsidR="00470F01" w:rsidRPr="00470F01" w:rsidRDefault="00470F01" w:rsidP="00470F01">
      <w:pPr>
        <w:spacing w:line="240" w:lineRule="auto"/>
        <w:rPr>
          <w:rFonts w:eastAsia="Times New Roman" w:cs="Arial"/>
          <w:lang w:eastAsia="bg-BG"/>
        </w:rPr>
      </w:pPr>
    </w:p>
    <w:p w14:paraId="3C463E65" w14:textId="5699E90F" w:rsidR="00470F01" w:rsidRPr="00470F01" w:rsidRDefault="00470F01" w:rsidP="00470F01">
      <w:pPr>
        <w:rPr>
          <w:rFonts w:cs="Arial"/>
        </w:rPr>
      </w:pPr>
      <w:r w:rsidRPr="00470F01">
        <w:rPr>
          <w:rFonts w:eastAsia="Times New Roman" w:cs="Arial"/>
          <w:color w:val="000000"/>
          <w:u w:val="single"/>
          <w:lang w:eastAsia="bg-BG"/>
        </w:rPr>
        <w:t>Допълнителни предпазни мерки при нефротичен синдром</w:t>
      </w:r>
    </w:p>
    <w:p w14:paraId="1694CE6B"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Пациентите с изходни нарушения в бъбречната функция трябва да бъдат лекувани първоначално с доза от 2,5 </w:t>
      </w:r>
      <w:r w:rsidRPr="00470F01">
        <w:rPr>
          <w:rFonts w:eastAsia="Times New Roman" w:cs="Arial"/>
          <w:color w:val="000000"/>
          <w:lang w:val="en-US"/>
        </w:rPr>
        <w:t>mg/kg</w:t>
      </w:r>
      <w:r w:rsidRPr="00470F01">
        <w:rPr>
          <w:rFonts w:eastAsia="Times New Roman" w:cs="Arial"/>
          <w:color w:val="000000"/>
          <w:lang w:eastAsia="bg-BG"/>
        </w:rPr>
        <w:t>/ден и да бъдат проследени много внимателно.</w:t>
      </w:r>
    </w:p>
    <w:p w14:paraId="5B41DE02" w14:textId="77777777" w:rsidR="00470F01" w:rsidRPr="00470F01" w:rsidRDefault="00470F01" w:rsidP="00470F01">
      <w:pPr>
        <w:spacing w:line="240" w:lineRule="auto"/>
        <w:rPr>
          <w:rFonts w:eastAsia="Times New Roman" w:cs="Arial"/>
          <w:color w:val="000000"/>
          <w:lang w:eastAsia="bg-BG"/>
        </w:rPr>
      </w:pPr>
    </w:p>
    <w:p w14:paraId="65BF92B8" w14:textId="6F24363E"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При някои пациенти може да е трудно да се установи предизвикана от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бъбречна дисфункция, поради промени в бъбречната функция в резултат на самия нефротичен синдром. Това обяснява, защо в редки случаи се наблюдават </w:t>
      </w:r>
      <w:r w:rsidRPr="00470F01">
        <w:rPr>
          <w:rFonts w:eastAsia="Times New Roman" w:cs="Arial"/>
          <w:color w:val="000000"/>
          <w:lang w:val="en-US"/>
        </w:rPr>
        <w:t>Sandimmun Neoral</w:t>
      </w:r>
      <w:r w:rsidRPr="00470F01">
        <w:rPr>
          <w:rFonts w:eastAsia="Times New Roman" w:cs="Arial"/>
          <w:color w:val="000000"/>
          <w:lang w:eastAsia="bg-BG"/>
        </w:rPr>
        <w:t xml:space="preserve">-асоциирани структурни бъбречни увреждания, без повишаване на серумния креатинин. Трябва да се предвиди бъбречна биопсия при пациенти със кортикостероид-зависима болест на минималните изменения, при които е провеждано лечение със </w:t>
      </w:r>
      <w:r w:rsidRPr="00470F01">
        <w:rPr>
          <w:rFonts w:eastAsia="Times New Roman" w:cs="Arial"/>
          <w:color w:val="000000"/>
          <w:lang w:val="en-US"/>
        </w:rPr>
        <w:t xml:space="preserve">Sandimmun Neoral </w:t>
      </w:r>
      <w:r w:rsidRPr="00470F01">
        <w:rPr>
          <w:rFonts w:eastAsia="Times New Roman" w:cs="Arial"/>
          <w:color w:val="000000"/>
          <w:lang w:eastAsia="bg-BG"/>
        </w:rPr>
        <w:t>за повече от 1 година.</w:t>
      </w:r>
    </w:p>
    <w:p w14:paraId="50D6728C" w14:textId="77777777" w:rsidR="00470F01" w:rsidRPr="00470F01" w:rsidRDefault="00470F01" w:rsidP="00470F01">
      <w:pPr>
        <w:spacing w:line="240" w:lineRule="auto"/>
        <w:rPr>
          <w:rFonts w:eastAsia="Times New Roman" w:cs="Arial"/>
          <w:color w:val="000000"/>
          <w:lang w:eastAsia="bg-BG"/>
        </w:rPr>
      </w:pPr>
    </w:p>
    <w:p w14:paraId="016C915D" w14:textId="08EEEBBD"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При пациенти с нефротичен синдром, лекувани с имуносупресори (включително циклоспорин) се съобщава за случаи на злокачествени заболявания (включително Ходжкинов лимфом).</w:t>
      </w:r>
    </w:p>
    <w:p w14:paraId="562DD6C8" w14:textId="77777777" w:rsidR="00470F01" w:rsidRPr="00470F01" w:rsidRDefault="00470F01" w:rsidP="00470F01">
      <w:pPr>
        <w:spacing w:line="240" w:lineRule="auto"/>
        <w:rPr>
          <w:rFonts w:eastAsia="Times New Roman" w:cs="Arial"/>
          <w:color w:val="000000"/>
          <w:u w:val="single"/>
          <w:lang w:eastAsia="bg-BG"/>
        </w:rPr>
      </w:pPr>
    </w:p>
    <w:p w14:paraId="3D113B35" w14:textId="4DF54A3D"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Допълнителни предпазни мерки при ревматоиден артрит</w:t>
      </w:r>
    </w:p>
    <w:p w14:paraId="5919305A"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След 6 месечно лечение, бъбречната функция трябва да се оценява на всеки 4 до 8 седмици в зависимост от стабилността на заболяването, прилаганото съпътстващо лечение и придружаващите заболявания. По-чести изследвания са необходими при повишаване на дозата на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или при започване на съпътстващо лечение с НСПВС или при повишаване на дозата им. Възможно е да се наложи спиране на лечението със </w:t>
      </w:r>
      <w:r w:rsidRPr="00470F01">
        <w:rPr>
          <w:rFonts w:eastAsia="Times New Roman" w:cs="Arial"/>
          <w:color w:val="000000"/>
          <w:lang w:val="en-US"/>
        </w:rPr>
        <w:t xml:space="preserve">Sandimmun Neoral, </w:t>
      </w:r>
      <w:r w:rsidRPr="00470F01">
        <w:rPr>
          <w:rFonts w:eastAsia="Times New Roman" w:cs="Arial"/>
          <w:color w:val="000000"/>
          <w:lang w:eastAsia="bg-BG"/>
        </w:rPr>
        <w:t>ако появилата се в хода на лечението хипертония не може да бъде контролирана.</w:t>
      </w:r>
    </w:p>
    <w:p w14:paraId="02648C54" w14:textId="77777777" w:rsidR="00470F01" w:rsidRPr="00470F01" w:rsidRDefault="00470F01" w:rsidP="00470F01">
      <w:pPr>
        <w:spacing w:line="240" w:lineRule="auto"/>
        <w:rPr>
          <w:rFonts w:eastAsia="Times New Roman" w:cs="Arial"/>
          <w:color w:val="000000"/>
          <w:lang w:eastAsia="bg-BG"/>
        </w:rPr>
      </w:pPr>
    </w:p>
    <w:p w14:paraId="3660D8AB" w14:textId="3795A194"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Както и при другите продължителни имуносупресивни лечения, трябва да се има предвид повишения риск от лимфопролиферативни заболявания. Необходимо е специално внимание при прилагане на </w:t>
      </w:r>
      <w:r w:rsidRPr="00470F01">
        <w:rPr>
          <w:rFonts w:eastAsia="Times New Roman" w:cs="Arial"/>
          <w:color w:val="000000"/>
          <w:lang w:val="en-US"/>
        </w:rPr>
        <w:t xml:space="preserve">Sandimmun Neoral </w:t>
      </w:r>
      <w:r w:rsidRPr="00470F01">
        <w:rPr>
          <w:rFonts w:eastAsia="Times New Roman" w:cs="Arial"/>
          <w:color w:val="000000"/>
          <w:lang w:eastAsia="bg-BG"/>
        </w:rPr>
        <w:t>в комбинация с метотрексат, поради синергична нефротоксичност.</w:t>
      </w:r>
    </w:p>
    <w:p w14:paraId="41A0B450" w14:textId="77777777" w:rsidR="00470F01" w:rsidRPr="00470F01" w:rsidRDefault="00470F01" w:rsidP="00470F01">
      <w:pPr>
        <w:spacing w:line="240" w:lineRule="auto"/>
        <w:rPr>
          <w:rFonts w:eastAsia="Times New Roman" w:cs="Arial"/>
          <w:color w:val="000000"/>
          <w:u w:val="single"/>
          <w:lang w:eastAsia="bg-BG"/>
        </w:rPr>
      </w:pPr>
    </w:p>
    <w:p w14:paraId="3C64E825" w14:textId="666812A8"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Допълнителни предпазни мерки при псориазис</w:t>
      </w:r>
    </w:p>
    <w:p w14:paraId="062AACFC"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Препоръчва се спиране на лечението със </w:t>
      </w:r>
      <w:r w:rsidRPr="00470F01">
        <w:rPr>
          <w:rFonts w:eastAsia="Times New Roman" w:cs="Arial"/>
          <w:color w:val="000000"/>
          <w:lang w:val="en-US"/>
        </w:rPr>
        <w:t xml:space="preserve">Sandimmun Neoral, </w:t>
      </w:r>
      <w:r w:rsidRPr="00470F01">
        <w:rPr>
          <w:rFonts w:eastAsia="Times New Roman" w:cs="Arial"/>
          <w:color w:val="000000"/>
          <w:lang w:eastAsia="bg-BG"/>
        </w:rPr>
        <w:t>ако появилата се в хода на лечението хипертония не може да бъде овладяна със съответната терапия.</w:t>
      </w:r>
    </w:p>
    <w:p w14:paraId="1CC80D8C" w14:textId="77777777" w:rsidR="00470F01" w:rsidRPr="00470F01" w:rsidRDefault="00470F01" w:rsidP="00470F01">
      <w:pPr>
        <w:spacing w:line="240" w:lineRule="auto"/>
        <w:rPr>
          <w:rFonts w:eastAsia="Times New Roman" w:cs="Arial"/>
          <w:color w:val="000000"/>
          <w:lang w:eastAsia="bg-BG"/>
        </w:rPr>
      </w:pPr>
    </w:p>
    <w:p w14:paraId="2E3AF559" w14:textId="4D324684"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Пациентите в старческа възраст трябва да бъдат подлагани на лечение само при наличие на инвалидизиращ псориазис, при стриктно следене на бъбречната функция.</w:t>
      </w:r>
    </w:p>
    <w:p w14:paraId="75C6698A" w14:textId="77777777" w:rsidR="00470F01" w:rsidRPr="00470F01" w:rsidRDefault="00470F01" w:rsidP="00470F01">
      <w:pPr>
        <w:spacing w:line="240" w:lineRule="auto"/>
        <w:rPr>
          <w:rFonts w:eastAsia="Times New Roman" w:cs="Arial"/>
          <w:color w:val="000000"/>
          <w:lang w:eastAsia="bg-BG"/>
        </w:rPr>
      </w:pPr>
    </w:p>
    <w:p w14:paraId="26E31AD8" w14:textId="41BC744C"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Има ограничен опит с употребата на </w:t>
      </w:r>
      <w:r w:rsidRPr="00470F01">
        <w:rPr>
          <w:rFonts w:eastAsia="Times New Roman" w:cs="Arial"/>
          <w:color w:val="000000"/>
          <w:lang w:val="en-US"/>
        </w:rPr>
        <w:t xml:space="preserve">Sandimmun Neoral </w:t>
      </w:r>
      <w:r w:rsidRPr="00470F01">
        <w:rPr>
          <w:rFonts w:eastAsia="Times New Roman" w:cs="Arial"/>
          <w:color w:val="000000"/>
          <w:lang w:eastAsia="bg-BG"/>
        </w:rPr>
        <w:t>при деца с псориазис.</w:t>
      </w:r>
    </w:p>
    <w:p w14:paraId="3E0AA382" w14:textId="77777777" w:rsidR="00470F01" w:rsidRPr="00470F01" w:rsidRDefault="00470F01" w:rsidP="00470F01">
      <w:pPr>
        <w:spacing w:line="240" w:lineRule="auto"/>
        <w:rPr>
          <w:rFonts w:eastAsia="Times New Roman" w:cs="Arial"/>
          <w:color w:val="000000"/>
          <w:lang w:eastAsia="bg-BG"/>
        </w:rPr>
      </w:pPr>
    </w:p>
    <w:p w14:paraId="71899D31" w14:textId="57CBBC7B"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При болни от псориазис, лекувани с циклоспорин, както и при тези на конвенционално лечение, съществуват данни за развитие на злокачествени заболявания (засягащи предимно кожата). При кожни лезии нетипични за псориазис, но съмнителни за канцероза или пре- канцероза трябва да се направи биопсия преди да се назначи терапия със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При пациенти със злокачествени или пре-канцерозни кожни промени може да се прилага </w:t>
      </w:r>
      <w:r w:rsidRPr="00470F01">
        <w:rPr>
          <w:rFonts w:eastAsia="Times New Roman" w:cs="Arial"/>
          <w:color w:val="000000"/>
          <w:lang w:val="en-US"/>
        </w:rPr>
        <w:t xml:space="preserve">Sandimmun Neoral, </w:t>
      </w:r>
      <w:r w:rsidRPr="00470F01">
        <w:rPr>
          <w:rFonts w:eastAsia="Times New Roman" w:cs="Arial"/>
          <w:color w:val="000000"/>
          <w:lang w:eastAsia="bg-BG"/>
        </w:rPr>
        <w:t>само след подходящото лечение на гореспоменатите промени и при условие, че не съществува друга терапевтична алтернатива.</w:t>
      </w:r>
    </w:p>
    <w:p w14:paraId="70C6D237" w14:textId="77777777" w:rsidR="00470F01" w:rsidRPr="00470F01" w:rsidRDefault="00470F01" w:rsidP="00470F01">
      <w:pPr>
        <w:spacing w:line="240" w:lineRule="auto"/>
        <w:rPr>
          <w:rFonts w:eastAsia="Times New Roman" w:cs="Arial"/>
          <w:color w:val="000000"/>
          <w:lang w:eastAsia="bg-BG"/>
        </w:rPr>
      </w:pPr>
    </w:p>
    <w:p w14:paraId="47606101" w14:textId="392F907D"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Описани са няколко случая на лимфопролиферативни заболявания при пациенти с псориазис, третирани със </w:t>
      </w:r>
      <w:r w:rsidRPr="00470F01">
        <w:rPr>
          <w:rFonts w:eastAsia="Times New Roman" w:cs="Arial"/>
          <w:color w:val="000000"/>
          <w:lang w:val="en-US"/>
        </w:rPr>
        <w:t xml:space="preserve">Sandimmun Neoral. </w:t>
      </w:r>
      <w:r w:rsidRPr="00470F01">
        <w:rPr>
          <w:rFonts w:eastAsia="Times New Roman" w:cs="Arial"/>
          <w:color w:val="000000"/>
          <w:lang w:eastAsia="bg-BG"/>
        </w:rPr>
        <w:t>Те са се повлияли благоприятно от незабавното преустановяване на лечението.</w:t>
      </w:r>
    </w:p>
    <w:p w14:paraId="6D5C8838" w14:textId="77777777" w:rsidR="00470F01" w:rsidRPr="00470F01" w:rsidRDefault="00470F01" w:rsidP="00470F01">
      <w:pPr>
        <w:spacing w:line="240" w:lineRule="auto"/>
        <w:rPr>
          <w:rFonts w:eastAsia="Times New Roman" w:cs="Arial"/>
          <w:color w:val="000000"/>
          <w:lang w:eastAsia="bg-BG"/>
        </w:rPr>
      </w:pPr>
    </w:p>
    <w:p w14:paraId="5776351C" w14:textId="1B32225A"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Приложението на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не трябва да се съчетава с облъчване с ултравиолетова В или </w:t>
      </w:r>
      <w:r w:rsidRPr="00470F01">
        <w:rPr>
          <w:rFonts w:eastAsia="Times New Roman" w:cs="Arial"/>
          <w:color w:val="000000"/>
          <w:lang w:val="en-US"/>
        </w:rPr>
        <w:t xml:space="preserve">PUVA </w:t>
      </w:r>
      <w:r w:rsidRPr="00470F01">
        <w:rPr>
          <w:rFonts w:eastAsia="Times New Roman" w:cs="Arial"/>
          <w:color w:val="000000"/>
          <w:lang w:eastAsia="bg-BG"/>
        </w:rPr>
        <w:t>фотохимиотерапия.</w:t>
      </w:r>
    </w:p>
    <w:p w14:paraId="452CC443" w14:textId="77777777" w:rsidR="00470F01" w:rsidRPr="00470F01" w:rsidRDefault="00470F01" w:rsidP="00470F01">
      <w:pPr>
        <w:spacing w:line="240" w:lineRule="auto"/>
        <w:rPr>
          <w:rFonts w:eastAsia="Times New Roman" w:cs="Arial"/>
          <w:color w:val="000000"/>
          <w:u w:val="single"/>
          <w:lang w:eastAsia="bg-BG"/>
        </w:rPr>
      </w:pPr>
    </w:p>
    <w:p w14:paraId="6CE05387" w14:textId="11E2CF06"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Допълнителни предпазни мерки при атопичен дерматит</w:t>
      </w:r>
    </w:p>
    <w:p w14:paraId="74F15282"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Препоръчва се спиране на лечението със </w:t>
      </w:r>
      <w:r w:rsidRPr="00470F01">
        <w:rPr>
          <w:rFonts w:eastAsia="Times New Roman" w:cs="Arial"/>
          <w:color w:val="000000"/>
          <w:lang w:val="en-US"/>
        </w:rPr>
        <w:t xml:space="preserve">Sandimmun Neoral, </w:t>
      </w:r>
      <w:r w:rsidRPr="00470F01">
        <w:rPr>
          <w:rFonts w:eastAsia="Times New Roman" w:cs="Arial"/>
          <w:color w:val="000000"/>
          <w:lang w:eastAsia="bg-BG"/>
        </w:rPr>
        <w:t>ако появилата се в хода на лечението хипертония не може да бъде овладяна със съответната терапия.</w:t>
      </w:r>
    </w:p>
    <w:p w14:paraId="1A21BBE6" w14:textId="77777777" w:rsidR="00470F01" w:rsidRPr="00470F01" w:rsidRDefault="00470F01" w:rsidP="00470F01">
      <w:pPr>
        <w:rPr>
          <w:rFonts w:eastAsia="Times New Roman" w:cs="Arial"/>
          <w:color w:val="000000"/>
          <w:lang w:eastAsia="bg-BG"/>
        </w:rPr>
      </w:pPr>
    </w:p>
    <w:p w14:paraId="0CFF48D0" w14:textId="167B7AC6" w:rsidR="00470F01" w:rsidRPr="00470F01" w:rsidRDefault="00470F01" w:rsidP="00470F01">
      <w:pPr>
        <w:rPr>
          <w:rFonts w:cs="Arial"/>
        </w:rPr>
      </w:pPr>
      <w:r w:rsidRPr="00470F01">
        <w:rPr>
          <w:rFonts w:eastAsia="Times New Roman" w:cs="Arial"/>
          <w:color w:val="000000"/>
          <w:lang w:eastAsia="bg-BG"/>
        </w:rPr>
        <w:t xml:space="preserve">Опитът със </w:t>
      </w:r>
      <w:r w:rsidRPr="00470F01">
        <w:rPr>
          <w:rFonts w:eastAsia="Times New Roman" w:cs="Arial"/>
          <w:color w:val="000000"/>
          <w:lang w:val="en-US"/>
        </w:rPr>
        <w:t xml:space="preserve">Sandimmun Neoral </w:t>
      </w:r>
      <w:r w:rsidRPr="00470F01">
        <w:rPr>
          <w:rFonts w:eastAsia="Times New Roman" w:cs="Arial"/>
          <w:color w:val="000000"/>
          <w:lang w:eastAsia="bg-BG"/>
        </w:rPr>
        <w:t>при деца с атопичен дерматит е ограничен.</w:t>
      </w:r>
    </w:p>
    <w:p w14:paraId="47D50678" w14:textId="1ADE0FCA" w:rsidR="00470F01" w:rsidRDefault="00470F01" w:rsidP="0091385D"/>
    <w:p w14:paraId="2403F1C5"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Пациентите в старческа възраст трябва да бъдат подлагани на лечение само при наличие на инвалидизиращ атопичен дерматит, при стриктно следене на бъбречната функция.</w:t>
      </w:r>
    </w:p>
    <w:p w14:paraId="07677EF8" w14:textId="77777777" w:rsidR="00470F01" w:rsidRPr="00470F01" w:rsidRDefault="00470F01" w:rsidP="00470F01">
      <w:pPr>
        <w:spacing w:line="240" w:lineRule="auto"/>
        <w:rPr>
          <w:rFonts w:eastAsia="Times New Roman" w:cs="Arial"/>
          <w:color w:val="000000"/>
          <w:lang w:eastAsia="bg-BG"/>
        </w:rPr>
      </w:pPr>
    </w:p>
    <w:p w14:paraId="465ED33B" w14:textId="2E016AB5"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Доброкачествената лимфаденопатия обикновено се свързва с поява на атопичен дерматит и отзвучава спонтанно или в рамките на общото подобрение при заболяването.</w:t>
      </w:r>
    </w:p>
    <w:p w14:paraId="1D1C6C4D" w14:textId="77777777" w:rsidR="00470F01" w:rsidRPr="00470F01" w:rsidRDefault="00470F01" w:rsidP="00470F01">
      <w:pPr>
        <w:spacing w:line="240" w:lineRule="auto"/>
        <w:rPr>
          <w:rFonts w:eastAsia="Times New Roman" w:cs="Arial"/>
          <w:color w:val="000000"/>
          <w:lang w:eastAsia="bg-BG"/>
        </w:rPr>
      </w:pPr>
    </w:p>
    <w:p w14:paraId="3EDA4EE8" w14:textId="287EA213"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Лимфаденопатия, наблюдавана по време на лечение с циклоспорин трябва да се проследява редовно.</w:t>
      </w:r>
    </w:p>
    <w:p w14:paraId="77D03965" w14:textId="77777777" w:rsidR="00470F01" w:rsidRPr="00470F01" w:rsidRDefault="00470F01" w:rsidP="00470F01">
      <w:pPr>
        <w:spacing w:line="240" w:lineRule="auto"/>
        <w:rPr>
          <w:rFonts w:eastAsia="Times New Roman" w:cs="Arial"/>
          <w:color w:val="000000"/>
          <w:lang w:eastAsia="bg-BG"/>
        </w:rPr>
      </w:pPr>
    </w:p>
    <w:p w14:paraId="5811F744" w14:textId="66737EB1"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При лимфаденопатия, която персистира независимо от подобрението в основното заболяване, трябва да се проведе биопсия, като предпазна мярка за изключване на лимфом.</w:t>
      </w:r>
    </w:p>
    <w:p w14:paraId="71F7611D" w14:textId="77777777" w:rsidR="00470F01" w:rsidRPr="00470F01" w:rsidRDefault="00470F01" w:rsidP="00470F01">
      <w:pPr>
        <w:spacing w:line="240" w:lineRule="auto"/>
        <w:rPr>
          <w:rFonts w:eastAsia="Times New Roman" w:cs="Arial"/>
          <w:color w:val="000000"/>
          <w:lang w:eastAsia="bg-BG"/>
        </w:rPr>
      </w:pPr>
    </w:p>
    <w:p w14:paraId="4447D580" w14:textId="0A36C384"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Преди започване на терапия със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трябва да се третират активните </w:t>
      </w:r>
      <w:r w:rsidRPr="00470F01">
        <w:rPr>
          <w:rFonts w:eastAsia="Times New Roman" w:cs="Arial"/>
          <w:color w:val="000000"/>
          <w:lang w:val="en-US"/>
        </w:rPr>
        <w:t xml:space="preserve">herpes simplex </w:t>
      </w:r>
      <w:r w:rsidRPr="00470F01">
        <w:rPr>
          <w:rFonts w:eastAsia="Times New Roman" w:cs="Arial"/>
          <w:color w:val="000000"/>
          <w:lang w:eastAsia="bg-BG"/>
        </w:rPr>
        <w:t>инфекции, но тяхна поява в хода на лечението, не налага задължително преустановяване на терапията, освен ако инфекцията не е тежка.</w:t>
      </w:r>
    </w:p>
    <w:p w14:paraId="7CDA8DF5" w14:textId="77777777" w:rsidR="00470F01" w:rsidRPr="00470F01" w:rsidRDefault="00470F01" w:rsidP="00470F01">
      <w:pPr>
        <w:spacing w:line="240" w:lineRule="auto"/>
        <w:rPr>
          <w:rFonts w:eastAsia="Times New Roman" w:cs="Arial"/>
          <w:color w:val="000000"/>
          <w:lang w:eastAsia="bg-BG"/>
        </w:rPr>
      </w:pPr>
    </w:p>
    <w:p w14:paraId="12D67BA0" w14:textId="3A557E49"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Кожните инфекции от </w:t>
      </w:r>
      <w:r w:rsidRPr="00470F01">
        <w:rPr>
          <w:rFonts w:eastAsia="Times New Roman" w:cs="Arial"/>
          <w:i/>
          <w:iCs/>
          <w:color w:val="000000"/>
          <w:lang w:val="en-US"/>
        </w:rPr>
        <w:t>Staphylococcus aureus</w:t>
      </w:r>
      <w:r w:rsidRPr="00470F01">
        <w:rPr>
          <w:rFonts w:eastAsia="Times New Roman" w:cs="Arial"/>
          <w:color w:val="000000"/>
          <w:lang w:val="en-US"/>
        </w:rPr>
        <w:t xml:space="preserve"> </w:t>
      </w:r>
      <w:r w:rsidRPr="00470F01">
        <w:rPr>
          <w:rFonts w:eastAsia="Times New Roman" w:cs="Arial"/>
          <w:color w:val="000000"/>
          <w:lang w:eastAsia="bg-BG"/>
        </w:rPr>
        <w:t xml:space="preserve">не са абсолютно противопоказание за терапия със </w:t>
      </w:r>
      <w:r w:rsidRPr="00470F01">
        <w:rPr>
          <w:rFonts w:eastAsia="Times New Roman" w:cs="Arial"/>
          <w:color w:val="000000"/>
          <w:lang w:val="en-US"/>
        </w:rPr>
        <w:t xml:space="preserve">Sandimmun Neoral, </w:t>
      </w:r>
      <w:r w:rsidRPr="00470F01">
        <w:rPr>
          <w:rFonts w:eastAsia="Times New Roman" w:cs="Arial"/>
          <w:color w:val="000000"/>
          <w:lang w:eastAsia="bg-BG"/>
        </w:rPr>
        <w:t>но трябва да се контролират с подходящи антибактериални средства. Да се избягва пероралния еритромицин, за който е известно, че потенцира повишаването на концентрацията на циклоспорин в кръвта (вж. точка 4.5), а при липса на друга алтернатива, се препоръчва мониториране на плазмените нива на циклоспорин, бъбречната функция и появата на нежелани ефекти.</w:t>
      </w:r>
    </w:p>
    <w:p w14:paraId="71DA94C1" w14:textId="77777777" w:rsidR="00470F01" w:rsidRPr="00470F01" w:rsidRDefault="00470F01" w:rsidP="00470F01">
      <w:pPr>
        <w:spacing w:line="240" w:lineRule="auto"/>
        <w:rPr>
          <w:rFonts w:eastAsia="Times New Roman" w:cs="Arial"/>
          <w:color w:val="000000"/>
          <w:lang w:eastAsia="bg-BG"/>
        </w:rPr>
      </w:pPr>
    </w:p>
    <w:p w14:paraId="495160B9" w14:textId="6784EF3B"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Пациентите на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не трябва да бъдат облъчвани по същото време с ултравиолетова В или </w:t>
      </w:r>
      <w:r w:rsidRPr="00470F01">
        <w:rPr>
          <w:rFonts w:eastAsia="Times New Roman" w:cs="Arial"/>
          <w:color w:val="000000"/>
          <w:lang w:val="en-US"/>
        </w:rPr>
        <w:t xml:space="preserve">PUVA </w:t>
      </w:r>
      <w:r w:rsidRPr="00470F01">
        <w:rPr>
          <w:rFonts w:eastAsia="Times New Roman" w:cs="Arial"/>
          <w:color w:val="000000"/>
          <w:lang w:eastAsia="bg-BG"/>
        </w:rPr>
        <w:t>фотохимиотерапия.</w:t>
      </w:r>
    </w:p>
    <w:p w14:paraId="60CB15EE" w14:textId="77777777" w:rsidR="00470F01" w:rsidRPr="00470F01" w:rsidRDefault="00470F01" w:rsidP="00470F01">
      <w:pPr>
        <w:spacing w:line="240" w:lineRule="auto"/>
        <w:rPr>
          <w:rFonts w:eastAsia="Times New Roman" w:cs="Arial"/>
          <w:color w:val="000000"/>
          <w:u w:val="single"/>
          <w:lang w:eastAsia="bg-BG"/>
        </w:rPr>
      </w:pPr>
    </w:p>
    <w:p w14:paraId="51F86A81" w14:textId="6989A6A6"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Педиатрична употреба при показания извън областта на трансплантацията</w:t>
      </w:r>
    </w:p>
    <w:p w14:paraId="421AB3C6"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С изключение на лечението на нефротичен синдром, няма задоволителен опит с прилагането на </w:t>
      </w:r>
      <w:r w:rsidRPr="00470F01">
        <w:rPr>
          <w:rFonts w:eastAsia="Times New Roman" w:cs="Arial"/>
          <w:color w:val="000000"/>
          <w:lang w:val="en-US"/>
        </w:rPr>
        <w:t xml:space="preserve">Sandimmun Neoral. </w:t>
      </w:r>
      <w:r w:rsidRPr="00470F01">
        <w:rPr>
          <w:rFonts w:eastAsia="Times New Roman" w:cs="Arial"/>
          <w:color w:val="000000"/>
          <w:lang w:eastAsia="bg-BG"/>
        </w:rPr>
        <w:t>Прилагането при деца на възраст под 16 години за показания извън областта на трансплантацията не може да се препоръча.</w:t>
      </w:r>
    </w:p>
    <w:p w14:paraId="49785ECE" w14:textId="77777777" w:rsidR="00470F01" w:rsidRPr="00470F01" w:rsidRDefault="00470F01" w:rsidP="00470F01">
      <w:pPr>
        <w:spacing w:line="240" w:lineRule="auto"/>
        <w:rPr>
          <w:rFonts w:eastAsia="Times New Roman" w:cs="Arial"/>
          <w:color w:val="000000"/>
          <w:u w:val="single"/>
          <w:lang w:eastAsia="bg-BG"/>
        </w:rPr>
      </w:pPr>
    </w:p>
    <w:p w14:paraId="156F95C3" w14:textId="6A152D51"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Специални помощни вещества: Полиоксил 40 хидрогенирано рициново масло</w:t>
      </w:r>
    </w:p>
    <w:p w14:paraId="74D123B7"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val="en-US"/>
        </w:rPr>
        <w:t xml:space="preserve">Sandimmun Neoral </w:t>
      </w:r>
      <w:r w:rsidRPr="00470F01">
        <w:rPr>
          <w:rFonts w:eastAsia="Times New Roman" w:cs="Arial"/>
          <w:color w:val="000000"/>
          <w:lang w:eastAsia="bg-BG"/>
        </w:rPr>
        <w:t>съдържа полиоксил 40 хидрогенирано рициново масло, което може да причини стомашно неразположение и диария.</w:t>
      </w:r>
    </w:p>
    <w:p w14:paraId="2917A3CD" w14:textId="77777777" w:rsidR="00470F01" w:rsidRPr="00470F01" w:rsidRDefault="00470F01" w:rsidP="00470F01">
      <w:pPr>
        <w:spacing w:line="240" w:lineRule="auto"/>
        <w:rPr>
          <w:rFonts w:eastAsia="Times New Roman" w:cs="Arial"/>
          <w:color w:val="000000"/>
          <w:u w:val="single"/>
          <w:lang w:eastAsia="bg-BG"/>
        </w:rPr>
      </w:pPr>
    </w:p>
    <w:p w14:paraId="1654276F" w14:textId="29D9F1A2"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Специални помощни вещества: Етанол</w:t>
      </w:r>
    </w:p>
    <w:p w14:paraId="35797BDB"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val="en-US"/>
        </w:rPr>
        <w:t xml:space="preserve">Sandimmun Neoral </w:t>
      </w:r>
      <w:r w:rsidRPr="00470F01">
        <w:rPr>
          <w:rFonts w:eastAsia="Times New Roman" w:cs="Arial"/>
          <w:color w:val="000000"/>
          <w:lang w:eastAsia="bg-BG"/>
        </w:rPr>
        <w:t xml:space="preserve">съдържа съответно 25, 50, 100 </w:t>
      </w:r>
      <w:r w:rsidRPr="00470F01">
        <w:rPr>
          <w:rFonts w:eastAsia="Times New Roman" w:cs="Arial"/>
          <w:color w:val="000000"/>
          <w:lang w:val="en-US"/>
        </w:rPr>
        <w:t xml:space="preserve">mg </w:t>
      </w:r>
      <w:r w:rsidRPr="00470F01">
        <w:rPr>
          <w:rFonts w:eastAsia="Times New Roman" w:cs="Arial"/>
          <w:color w:val="000000"/>
          <w:lang w:eastAsia="bg-BG"/>
        </w:rPr>
        <w:t xml:space="preserve">алкохол (етанол) във всяка 25, 50, 100 </w:t>
      </w:r>
      <w:r w:rsidRPr="00470F01">
        <w:rPr>
          <w:rFonts w:eastAsia="Times New Roman" w:cs="Arial"/>
          <w:color w:val="000000"/>
          <w:lang w:val="en-US"/>
        </w:rPr>
        <w:t xml:space="preserve">mg </w:t>
      </w:r>
      <w:r w:rsidRPr="00470F01">
        <w:rPr>
          <w:rFonts w:eastAsia="Times New Roman" w:cs="Arial"/>
          <w:color w:val="000000"/>
          <w:lang w:eastAsia="bg-BG"/>
        </w:rPr>
        <w:t xml:space="preserve">капсула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което е еквивалентно на 11,8% о/о. Една доза от 500 </w:t>
      </w:r>
      <w:r w:rsidRPr="00470F01">
        <w:rPr>
          <w:rFonts w:eastAsia="Times New Roman" w:cs="Arial"/>
          <w:color w:val="000000"/>
          <w:lang w:val="en-US"/>
        </w:rPr>
        <w:t xml:space="preserve">mg Sandimmun Neoral </w:t>
      </w:r>
      <w:r w:rsidRPr="00470F01">
        <w:rPr>
          <w:rFonts w:eastAsia="Times New Roman" w:cs="Arial"/>
          <w:color w:val="000000"/>
          <w:lang w:eastAsia="bg-BG"/>
        </w:rPr>
        <w:t xml:space="preserve">съдържа 500 </w:t>
      </w:r>
      <w:r w:rsidRPr="00470F01">
        <w:rPr>
          <w:rFonts w:eastAsia="Times New Roman" w:cs="Arial"/>
          <w:color w:val="000000"/>
          <w:lang w:val="en-US"/>
        </w:rPr>
        <w:t xml:space="preserve">mg </w:t>
      </w:r>
      <w:r w:rsidRPr="00470F01">
        <w:rPr>
          <w:rFonts w:eastAsia="Times New Roman" w:cs="Arial"/>
          <w:color w:val="000000"/>
          <w:lang w:eastAsia="bg-BG"/>
        </w:rPr>
        <w:t xml:space="preserve">етанол, еквивалентни приблизително на 13 </w:t>
      </w:r>
      <w:r w:rsidRPr="00470F01">
        <w:rPr>
          <w:rFonts w:eastAsia="Times New Roman" w:cs="Arial"/>
          <w:color w:val="000000"/>
          <w:lang w:val="en-US"/>
        </w:rPr>
        <w:t xml:space="preserve">ml </w:t>
      </w:r>
      <w:r w:rsidRPr="00470F01">
        <w:rPr>
          <w:rFonts w:eastAsia="Times New Roman" w:cs="Arial"/>
          <w:color w:val="000000"/>
          <w:lang w:eastAsia="bg-BG"/>
        </w:rPr>
        <w:t xml:space="preserve">бира или 5 </w:t>
      </w:r>
      <w:r w:rsidRPr="00470F01">
        <w:rPr>
          <w:rFonts w:eastAsia="Times New Roman" w:cs="Arial"/>
          <w:color w:val="000000"/>
          <w:lang w:val="en-US"/>
        </w:rPr>
        <w:t xml:space="preserve">ml </w:t>
      </w:r>
      <w:r w:rsidRPr="00470F01">
        <w:rPr>
          <w:rFonts w:eastAsia="Times New Roman" w:cs="Arial"/>
          <w:color w:val="000000"/>
          <w:lang w:eastAsia="bg-BG"/>
        </w:rPr>
        <w:t>вино.</w:t>
      </w:r>
    </w:p>
    <w:p w14:paraId="109152AF"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Малкото количество алкохол в този лекарствен продукт няма да има някакви забележими ефекти.</w:t>
      </w:r>
    </w:p>
    <w:p w14:paraId="44680047" w14:textId="77777777" w:rsidR="00470F01" w:rsidRPr="00470F01" w:rsidRDefault="00470F01" w:rsidP="00470F01">
      <w:pPr>
        <w:spacing w:line="240" w:lineRule="auto"/>
        <w:rPr>
          <w:rFonts w:eastAsia="Times New Roman" w:cs="Arial"/>
          <w:color w:val="000000"/>
          <w:u w:val="single"/>
          <w:lang w:eastAsia="bg-BG"/>
        </w:rPr>
      </w:pPr>
    </w:p>
    <w:p w14:paraId="321DBA0C" w14:textId="0AF3C20C"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Специални помощни вещества: Натрий</w:t>
      </w:r>
    </w:p>
    <w:p w14:paraId="54106B1C" w14:textId="39773A39" w:rsidR="00470F01" w:rsidRPr="00470F01" w:rsidRDefault="00470F01" w:rsidP="00470F01">
      <w:pPr>
        <w:rPr>
          <w:rFonts w:cs="Arial"/>
        </w:rPr>
      </w:pPr>
      <w:r w:rsidRPr="00470F01">
        <w:rPr>
          <w:rFonts w:eastAsia="Times New Roman" w:cs="Arial"/>
          <w:color w:val="000000"/>
          <w:lang w:eastAsia="bg-BG"/>
        </w:rPr>
        <w:t xml:space="preserve">Този лекарствен продукт съдържа по-малко от 1 </w:t>
      </w:r>
      <w:r w:rsidRPr="00470F01">
        <w:rPr>
          <w:rFonts w:eastAsia="Times New Roman" w:cs="Arial"/>
          <w:color w:val="000000"/>
          <w:lang w:val="en-US"/>
        </w:rPr>
        <w:t xml:space="preserve">mmol </w:t>
      </w:r>
      <w:r w:rsidRPr="00470F01">
        <w:rPr>
          <w:rFonts w:eastAsia="Times New Roman" w:cs="Arial"/>
          <w:color w:val="000000"/>
          <w:lang w:eastAsia="bg-BG"/>
        </w:rPr>
        <w:t xml:space="preserve">натрий (23 </w:t>
      </w:r>
      <w:r w:rsidRPr="00470F01">
        <w:rPr>
          <w:rFonts w:eastAsia="Times New Roman" w:cs="Arial"/>
          <w:color w:val="000000"/>
          <w:lang w:val="en-US"/>
        </w:rPr>
        <w:t xml:space="preserve">mg) </w:t>
      </w:r>
      <w:r w:rsidRPr="00470F01">
        <w:rPr>
          <w:rFonts w:eastAsia="Times New Roman" w:cs="Arial"/>
          <w:color w:val="000000"/>
          <w:lang w:eastAsia="bg-BG"/>
        </w:rPr>
        <w:t xml:space="preserve">във всяка капсула от 25, 50 или 100 </w:t>
      </w:r>
      <w:r w:rsidRPr="00470F01">
        <w:rPr>
          <w:rFonts w:eastAsia="Times New Roman" w:cs="Arial"/>
          <w:color w:val="000000"/>
          <w:lang w:val="en-US"/>
        </w:rPr>
        <w:t xml:space="preserve">mg, </w:t>
      </w:r>
      <w:r w:rsidRPr="00470F01">
        <w:rPr>
          <w:rFonts w:eastAsia="Times New Roman" w:cs="Arial"/>
          <w:color w:val="000000"/>
          <w:lang w:eastAsia="bg-BG"/>
        </w:rPr>
        <w:t>т.е. може да се каже, че практически не съдържа натрий.</w:t>
      </w:r>
    </w:p>
    <w:p w14:paraId="6CBE85B3" w14:textId="77777777" w:rsidR="00470F01" w:rsidRPr="0091385D" w:rsidRDefault="00470F01"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746A4889"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Взаимодействия с лекарства</w:t>
      </w:r>
    </w:p>
    <w:p w14:paraId="04DFADD6" w14:textId="776488E3"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От многото лекарства, за които е установено, че взаимодей</w:t>
      </w:r>
      <w:r>
        <w:rPr>
          <w:rFonts w:eastAsia="Times New Roman" w:cs="Arial"/>
          <w:color w:val="000000"/>
          <w:lang w:eastAsia="bg-BG"/>
        </w:rPr>
        <w:t xml:space="preserve">стват с циклоспорин, по-долу са </w:t>
      </w:r>
      <w:r w:rsidRPr="00470F01">
        <w:rPr>
          <w:rFonts w:eastAsia="Times New Roman" w:cs="Arial"/>
          <w:color w:val="000000"/>
          <w:lang w:eastAsia="bg-BG"/>
        </w:rPr>
        <w:t>изброени тези, за които е установено и съответно доказано, че имат клинично значение.</w:t>
      </w:r>
    </w:p>
    <w:p w14:paraId="694D7881" w14:textId="77777777" w:rsidR="00470F01" w:rsidRPr="00470F01" w:rsidRDefault="00470F01" w:rsidP="00470F01">
      <w:pPr>
        <w:rPr>
          <w:rFonts w:eastAsia="Times New Roman" w:cs="Arial"/>
          <w:color w:val="000000"/>
          <w:lang w:eastAsia="bg-BG"/>
        </w:rPr>
      </w:pPr>
    </w:p>
    <w:p w14:paraId="172AE819" w14:textId="26175CBD" w:rsidR="0091385D" w:rsidRPr="00470F01" w:rsidRDefault="00470F01" w:rsidP="00470F01">
      <w:pPr>
        <w:rPr>
          <w:rFonts w:cs="Arial"/>
        </w:rPr>
      </w:pPr>
      <w:r w:rsidRPr="00470F01">
        <w:rPr>
          <w:rFonts w:eastAsia="Times New Roman" w:cs="Arial"/>
          <w:color w:val="000000"/>
          <w:lang w:eastAsia="bg-BG"/>
        </w:rPr>
        <w:t xml:space="preserve">Познати са много вещества, които повишават или намаляват нивата на циклоспорин в плазмата или общия кръвен ток, обикновено чрез инхибиране или индукция на ензими, включени в метаболизма на циклоспорина и в частност </w:t>
      </w:r>
      <w:r w:rsidRPr="00470F01">
        <w:rPr>
          <w:rFonts w:eastAsia="Times New Roman" w:cs="Arial"/>
          <w:color w:val="000000"/>
          <w:lang w:val="en-US"/>
        </w:rPr>
        <w:t>CYP3A4.</w:t>
      </w:r>
    </w:p>
    <w:p w14:paraId="5B2761C5" w14:textId="66E45AFB" w:rsidR="0091385D" w:rsidRDefault="0091385D" w:rsidP="0091385D"/>
    <w:p w14:paraId="3EB1541C"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Циклоспорин е също инхибитор на </w:t>
      </w:r>
      <w:r w:rsidRPr="00470F01">
        <w:rPr>
          <w:rFonts w:eastAsia="Times New Roman" w:cs="Arial"/>
          <w:color w:val="000000"/>
          <w:lang w:val="en-US"/>
        </w:rPr>
        <w:t xml:space="preserve">CYP3A4, </w:t>
      </w:r>
      <w:r w:rsidRPr="00470F01">
        <w:rPr>
          <w:rFonts w:eastAsia="Times New Roman" w:cs="Arial"/>
          <w:color w:val="000000"/>
          <w:lang w:eastAsia="bg-BG"/>
        </w:rPr>
        <w:t>ефлуксния транспортер на много лекарства Р- гликопротеин и транспортиращите органични аниони полипептиди (ОАТР) и може да повиши плазмените нива на съпътстващите лекарства, които са субстрати на този ензим и/или неговите транспортери.</w:t>
      </w:r>
    </w:p>
    <w:p w14:paraId="63DD5A7E" w14:textId="77777777" w:rsidR="00470F01" w:rsidRPr="00470F01" w:rsidRDefault="00470F01" w:rsidP="00470F01">
      <w:pPr>
        <w:spacing w:line="240" w:lineRule="auto"/>
        <w:rPr>
          <w:rFonts w:eastAsia="Times New Roman" w:cs="Arial"/>
          <w:color w:val="000000"/>
          <w:lang w:eastAsia="bg-BG"/>
        </w:rPr>
      </w:pPr>
    </w:p>
    <w:p w14:paraId="33F48E10" w14:textId="04C06488"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Лекарствени продукти, за които се знае, че понижават или повишават бионаличността на циклоспорин: При трансплантираните пациенти е необходимо често проследяване на нивата на циклоспорин и при необходимост коригиране на дозата, особено при въвеждане или спиране на съпътстващо лечение. При не-трансплантираните пациенти връзката между кръвните нива и клиничните ефекти е по-слабо изразена. При едновременно прилагане на лекарствени продукти, за които се знае, че повишават нивата на циклоспорин, честото изследване на бъбречната функция и внимателното проследяване за поява на свързани с циклоспорин нежелани реакции, би било по-подходящо от изследването на нивата на циклоспорин в кръвта.</w:t>
      </w:r>
    </w:p>
    <w:p w14:paraId="2AE95550" w14:textId="77777777" w:rsidR="00470F01" w:rsidRPr="00470F01" w:rsidRDefault="00470F01" w:rsidP="00470F01">
      <w:pPr>
        <w:spacing w:line="240" w:lineRule="auto"/>
        <w:rPr>
          <w:rFonts w:eastAsia="Times New Roman" w:cs="Arial"/>
          <w:i/>
          <w:iCs/>
          <w:color w:val="000000"/>
          <w:u w:val="single"/>
          <w:lang w:eastAsia="bg-BG"/>
        </w:rPr>
      </w:pPr>
    </w:p>
    <w:p w14:paraId="47FAD820" w14:textId="3DE5909B"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u w:val="single"/>
          <w:lang w:eastAsia="bg-BG"/>
        </w:rPr>
        <w:t>Лекарства, които понижават нивата на циклоспорин</w:t>
      </w:r>
    </w:p>
    <w:p w14:paraId="7D421512"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Всички индуктори на </w:t>
      </w:r>
      <w:r w:rsidRPr="00470F01">
        <w:rPr>
          <w:rFonts w:eastAsia="Times New Roman" w:cs="Arial"/>
          <w:color w:val="000000"/>
          <w:lang w:val="en-US"/>
        </w:rPr>
        <w:t xml:space="preserve">CYP3A4 </w:t>
      </w:r>
      <w:r w:rsidRPr="00470F01">
        <w:rPr>
          <w:rFonts w:eastAsia="Times New Roman" w:cs="Arial"/>
          <w:color w:val="000000"/>
          <w:lang w:eastAsia="bg-BG"/>
        </w:rPr>
        <w:t xml:space="preserve">и/или Р-гликопротеин се очаква да понижат нивата на циклоспорин. Примери за лекарства, които понижават нивата на циклоспорин са: </w:t>
      </w:r>
      <w:r w:rsidRPr="00470F01">
        <w:rPr>
          <w:rFonts w:eastAsia="Times New Roman" w:cs="Arial"/>
          <w:i/>
          <w:iCs/>
          <w:color w:val="000000"/>
          <w:lang w:eastAsia="bg-BG"/>
        </w:rPr>
        <w:t xml:space="preserve">Барбитурати, карбамазепин, окскарбазепин, фенитоин, нафцилин, сулфадимидин </w:t>
      </w:r>
      <w:r w:rsidRPr="00470F01">
        <w:rPr>
          <w:rFonts w:eastAsia="Times New Roman" w:cs="Arial"/>
          <w:i/>
          <w:iCs/>
          <w:color w:val="000000"/>
          <w:lang w:val="en-US"/>
        </w:rPr>
        <w:t xml:space="preserve">i.v., </w:t>
      </w:r>
      <w:r w:rsidRPr="00470F01">
        <w:rPr>
          <w:rFonts w:eastAsia="Times New Roman" w:cs="Arial"/>
          <w:i/>
          <w:iCs/>
          <w:color w:val="000000"/>
          <w:lang w:eastAsia="bg-BG"/>
        </w:rPr>
        <w:t xml:space="preserve">рифампицин, октреотид, пробукол, орлистат, </w:t>
      </w:r>
      <w:r w:rsidRPr="00470F01">
        <w:rPr>
          <w:rFonts w:eastAsia="Times New Roman" w:cs="Arial"/>
          <w:i/>
          <w:iCs/>
          <w:color w:val="000000"/>
          <w:lang w:val="en-US"/>
        </w:rPr>
        <w:t xml:space="preserve">Hypericum perforatum </w:t>
      </w:r>
      <w:r w:rsidRPr="00470F01">
        <w:rPr>
          <w:rFonts w:eastAsia="Times New Roman" w:cs="Arial"/>
          <w:i/>
          <w:iCs/>
          <w:color w:val="000000"/>
          <w:lang w:eastAsia="bg-BG"/>
        </w:rPr>
        <w:t>(жълт кантарион), тиклопидин, сулфинпиразон, тербинафин, босентан.</w:t>
      </w:r>
    </w:p>
    <w:p w14:paraId="01E8565D" w14:textId="77777777" w:rsidR="00470F01" w:rsidRPr="00470F01" w:rsidRDefault="00470F01" w:rsidP="00470F01">
      <w:pPr>
        <w:spacing w:line="240" w:lineRule="auto"/>
        <w:rPr>
          <w:rFonts w:eastAsia="Times New Roman" w:cs="Arial"/>
          <w:color w:val="000000"/>
          <w:lang w:eastAsia="bg-BG"/>
        </w:rPr>
      </w:pPr>
    </w:p>
    <w:p w14:paraId="6B2F3E62" w14:textId="547AB115"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Продукти, съдържащи </w:t>
      </w:r>
      <w:r w:rsidRPr="00470F01">
        <w:rPr>
          <w:rFonts w:eastAsia="Times New Roman" w:cs="Arial"/>
          <w:i/>
          <w:iCs/>
          <w:color w:val="000000"/>
          <w:lang w:val="en-US"/>
        </w:rPr>
        <w:t>Hypericum perforatum</w:t>
      </w:r>
      <w:r w:rsidRPr="00470F01">
        <w:rPr>
          <w:rFonts w:eastAsia="Times New Roman" w:cs="Arial"/>
          <w:color w:val="000000"/>
          <w:lang w:val="en-US"/>
        </w:rPr>
        <w:t xml:space="preserve"> </w:t>
      </w:r>
      <w:r w:rsidRPr="00470F01">
        <w:rPr>
          <w:rFonts w:eastAsia="Times New Roman" w:cs="Arial"/>
          <w:color w:val="000000"/>
          <w:lang w:eastAsia="bg-BG"/>
        </w:rPr>
        <w:t xml:space="preserve">(жълт кантарион) не трябва да се използват едновременно със </w:t>
      </w:r>
      <w:r w:rsidRPr="00470F01">
        <w:rPr>
          <w:rFonts w:eastAsia="Times New Roman" w:cs="Arial"/>
          <w:color w:val="000000"/>
          <w:lang w:val="en-US"/>
        </w:rPr>
        <w:t xml:space="preserve">Sandimmun Neoral </w:t>
      </w:r>
      <w:r w:rsidRPr="00470F01">
        <w:rPr>
          <w:rFonts w:eastAsia="Times New Roman" w:cs="Arial"/>
          <w:color w:val="000000"/>
          <w:lang w:eastAsia="bg-BG"/>
        </w:rPr>
        <w:t>поради риска от понижаване на нивата на циклоспорин в кръвта, а оттам и намаляване на ефекта му (вж. точка 4.3).</w:t>
      </w:r>
    </w:p>
    <w:p w14:paraId="1783C8AA" w14:textId="77777777" w:rsidR="00470F01" w:rsidRPr="00470F01" w:rsidRDefault="00470F01" w:rsidP="00470F01">
      <w:pPr>
        <w:spacing w:line="240" w:lineRule="auto"/>
        <w:rPr>
          <w:rFonts w:eastAsia="Times New Roman" w:cs="Arial"/>
          <w:i/>
          <w:iCs/>
          <w:color w:val="000000"/>
          <w:lang w:eastAsia="bg-BG"/>
        </w:rPr>
      </w:pPr>
    </w:p>
    <w:p w14:paraId="0E7936B5" w14:textId="4945D832"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Рифампицин</w:t>
      </w:r>
      <w:r w:rsidRPr="00470F01">
        <w:rPr>
          <w:rFonts w:eastAsia="Times New Roman" w:cs="Arial"/>
          <w:color w:val="000000"/>
          <w:lang w:eastAsia="bg-BG"/>
        </w:rPr>
        <w:t xml:space="preserve"> индуцира чревния и чернодробния метаболизъм на циклоспорин. Може да се наложи повишаване на дозата на циклоспорин 3 до 5 пъти при едновременно прилагане.</w:t>
      </w:r>
    </w:p>
    <w:p w14:paraId="1F2089AC" w14:textId="77777777" w:rsidR="00470F01" w:rsidRPr="00470F01" w:rsidRDefault="00470F01" w:rsidP="00470F01">
      <w:pPr>
        <w:spacing w:line="240" w:lineRule="auto"/>
        <w:rPr>
          <w:rFonts w:eastAsia="Times New Roman" w:cs="Arial"/>
          <w:i/>
          <w:iCs/>
          <w:color w:val="000000"/>
          <w:lang w:eastAsia="bg-BG"/>
        </w:rPr>
      </w:pPr>
    </w:p>
    <w:p w14:paraId="5B347008" w14:textId="35B5EBB7"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Октреотид</w:t>
      </w:r>
      <w:r w:rsidRPr="00470F01">
        <w:rPr>
          <w:rFonts w:eastAsia="Times New Roman" w:cs="Arial"/>
          <w:color w:val="000000"/>
          <w:lang w:eastAsia="bg-BG"/>
        </w:rPr>
        <w:t xml:space="preserve"> намалява пероралната абсорбция на циклоспорин и може да се наложи повишаване на дозата на циклоспорин с 50% или интравенозно приложение.</w:t>
      </w:r>
    </w:p>
    <w:p w14:paraId="5F33429A" w14:textId="77777777" w:rsidR="00470F01" w:rsidRPr="00470F01" w:rsidRDefault="00470F01" w:rsidP="00470F01">
      <w:pPr>
        <w:spacing w:line="240" w:lineRule="auto"/>
        <w:rPr>
          <w:rFonts w:eastAsia="Times New Roman" w:cs="Arial"/>
          <w:i/>
          <w:iCs/>
          <w:color w:val="000000"/>
          <w:u w:val="single"/>
          <w:lang w:eastAsia="bg-BG"/>
        </w:rPr>
      </w:pPr>
    </w:p>
    <w:p w14:paraId="05BAB82E" w14:textId="3E4E5C2F"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u w:val="single"/>
          <w:lang w:eastAsia="bg-BG"/>
        </w:rPr>
        <w:t>Лекарства, които повишават нивата на циклоспорин</w:t>
      </w:r>
    </w:p>
    <w:p w14:paraId="673864F2"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Всички инхибитори на </w:t>
      </w:r>
      <w:r w:rsidRPr="00470F01">
        <w:rPr>
          <w:rFonts w:eastAsia="Times New Roman" w:cs="Arial"/>
          <w:color w:val="000000"/>
          <w:lang w:val="en-US"/>
        </w:rPr>
        <w:t xml:space="preserve">CYP3A4 </w:t>
      </w:r>
      <w:r w:rsidRPr="00470F01">
        <w:rPr>
          <w:rFonts w:eastAsia="Times New Roman" w:cs="Arial"/>
          <w:color w:val="000000"/>
          <w:lang w:eastAsia="bg-BG"/>
        </w:rPr>
        <w:t>и/или Р-гликопротеин могат да доведат до повишаване на нивата на циклоспорин, например:</w:t>
      </w:r>
    </w:p>
    <w:p w14:paraId="79858681"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Никардипин, метоклопрамид, перорални контрацептиви, метилпреднизолон (високи дози), алопуринол, холева киселина и производните й, протеазни инхибитори, иматиниб, колхицин, нефазодон.</w:t>
      </w:r>
    </w:p>
    <w:p w14:paraId="21E8D57C" w14:textId="77777777" w:rsidR="00470F01" w:rsidRPr="00470F01" w:rsidRDefault="00470F01" w:rsidP="00470F01">
      <w:pPr>
        <w:spacing w:line="240" w:lineRule="auto"/>
        <w:rPr>
          <w:rFonts w:eastAsia="Times New Roman" w:cs="Arial"/>
          <w:i/>
          <w:iCs/>
          <w:color w:val="000000"/>
          <w:lang w:eastAsia="bg-BG"/>
        </w:rPr>
      </w:pPr>
    </w:p>
    <w:p w14:paraId="128606F7" w14:textId="4C8EEB61"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Макролидни антибиотици: Еритромицин</w:t>
      </w:r>
      <w:r w:rsidRPr="00470F01">
        <w:rPr>
          <w:rFonts w:eastAsia="Times New Roman" w:cs="Arial"/>
          <w:color w:val="000000"/>
          <w:lang w:eastAsia="bg-BG"/>
        </w:rPr>
        <w:t xml:space="preserve"> може да повиши експозицията на циклоспорин 4 до 7 пъти, което понякога може да доведе до нефротоксичност. Съобщава се, че </w:t>
      </w:r>
      <w:r w:rsidRPr="00470F01">
        <w:rPr>
          <w:rFonts w:eastAsia="Times New Roman" w:cs="Arial"/>
          <w:i/>
          <w:iCs/>
          <w:color w:val="000000"/>
          <w:lang w:eastAsia="bg-BG"/>
        </w:rPr>
        <w:t xml:space="preserve">кларитромицин </w:t>
      </w:r>
      <w:r w:rsidRPr="00470F01">
        <w:rPr>
          <w:rFonts w:eastAsia="Times New Roman" w:cs="Arial"/>
          <w:color w:val="000000"/>
          <w:lang w:eastAsia="bg-BG"/>
        </w:rPr>
        <w:t xml:space="preserve">удвоява експозицията на циклоспорин. </w:t>
      </w:r>
      <w:r w:rsidRPr="00470F01">
        <w:rPr>
          <w:rFonts w:eastAsia="Times New Roman" w:cs="Arial"/>
          <w:i/>
          <w:iCs/>
          <w:color w:val="000000"/>
          <w:lang w:eastAsia="bg-BG"/>
        </w:rPr>
        <w:t>Азшпромицин</w:t>
      </w:r>
      <w:r w:rsidRPr="00470F01">
        <w:rPr>
          <w:rFonts w:eastAsia="Times New Roman" w:cs="Arial"/>
          <w:color w:val="000000"/>
          <w:lang w:eastAsia="bg-BG"/>
        </w:rPr>
        <w:t xml:space="preserve"> повишава нивата на циклоспорин с около 20%.</w:t>
      </w:r>
    </w:p>
    <w:p w14:paraId="63A0A434" w14:textId="77777777" w:rsidR="00470F01" w:rsidRPr="00470F01" w:rsidRDefault="00470F01" w:rsidP="00470F01">
      <w:pPr>
        <w:spacing w:line="240" w:lineRule="auto"/>
        <w:rPr>
          <w:rFonts w:eastAsia="Times New Roman" w:cs="Arial"/>
          <w:i/>
          <w:iCs/>
          <w:color w:val="000000"/>
          <w:lang w:eastAsia="bg-BG"/>
        </w:rPr>
      </w:pPr>
    </w:p>
    <w:p w14:paraId="3AC5EE33" w14:textId="6D6C0249"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Азолни антимикотици: кетоконазол, флуконазол, итраконазол и вориконазол,</w:t>
      </w:r>
      <w:r w:rsidRPr="00470F01">
        <w:rPr>
          <w:rFonts w:eastAsia="Times New Roman" w:cs="Arial"/>
          <w:color w:val="000000"/>
          <w:lang w:eastAsia="bg-BG"/>
        </w:rPr>
        <w:t xml:space="preserve"> могат да повишат повече от два пъти експозицията на циклоспорин.</w:t>
      </w:r>
    </w:p>
    <w:p w14:paraId="0F06D443" w14:textId="77777777" w:rsidR="00470F01" w:rsidRPr="00470F01" w:rsidRDefault="00470F01" w:rsidP="00470F01">
      <w:pPr>
        <w:spacing w:line="240" w:lineRule="auto"/>
        <w:rPr>
          <w:rFonts w:eastAsia="Times New Roman" w:cs="Arial"/>
          <w:i/>
          <w:iCs/>
          <w:color w:val="000000"/>
          <w:lang w:eastAsia="bg-BG"/>
        </w:rPr>
      </w:pPr>
    </w:p>
    <w:p w14:paraId="564FE468" w14:textId="7C52C970"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Верапамил</w:t>
      </w:r>
      <w:r w:rsidRPr="00470F01">
        <w:rPr>
          <w:rFonts w:eastAsia="Times New Roman" w:cs="Arial"/>
          <w:color w:val="000000"/>
          <w:lang w:eastAsia="bg-BG"/>
        </w:rPr>
        <w:t xml:space="preserve"> повишава концентрацията на циклоспорин в кръвта 2 до 3 пъти.</w:t>
      </w:r>
    </w:p>
    <w:p w14:paraId="301E30A4" w14:textId="77777777" w:rsidR="00470F01" w:rsidRPr="00470F01" w:rsidRDefault="00470F01" w:rsidP="00470F01">
      <w:pPr>
        <w:spacing w:line="240" w:lineRule="auto"/>
        <w:rPr>
          <w:rFonts w:eastAsia="Times New Roman" w:cs="Arial"/>
          <w:color w:val="000000"/>
          <w:lang w:eastAsia="bg-BG"/>
        </w:rPr>
      </w:pPr>
    </w:p>
    <w:p w14:paraId="51FA475E" w14:textId="24C83822"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Едновременното прилагане с </w:t>
      </w:r>
      <w:r w:rsidRPr="00470F01">
        <w:rPr>
          <w:rFonts w:eastAsia="Times New Roman" w:cs="Arial"/>
          <w:i/>
          <w:iCs/>
          <w:color w:val="000000"/>
          <w:lang w:eastAsia="bg-BG"/>
        </w:rPr>
        <w:t>телапревир</w:t>
      </w:r>
      <w:r w:rsidRPr="00470F01">
        <w:rPr>
          <w:rFonts w:eastAsia="Times New Roman" w:cs="Arial"/>
          <w:color w:val="000000"/>
          <w:lang w:eastAsia="bg-BG"/>
        </w:rPr>
        <w:t xml:space="preserve"> води до приблизително 4,64 пъти повишаване на нормалната експозиция </w:t>
      </w:r>
      <w:r w:rsidRPr="00470F01">
        <w:rPr>
          <w:rFonts w:eastAsia="Times New Roman" w:cs="Arial"/>
          <w:color w:val="000000"/>
          <w:lang w:val="en-US"/>
        </w:rPr>
        <w:t xml:space="preserve">(AUC) </w:t>
      </w:r>
      <w:r w:rsidRPr="00470F01">
        <w:rPr>
          <w:rFonts w:eastAsia="Times New Roman" w:cs="Arial"/>
          <w:color w:val="000000"/>
          <w:lang w:eastAsia="bg-BG"/>
        </w:rPr>
        <w:t>на циклоспорин.</w:t>
      </w:r>
    </w:p>
    <w:p w14:paraId="56AAB198" w14:textId="77777777" w:rsidR="00470F01" w:rsidRPr="00470F01" w:rsidRDefault="00470F01" w:rsidP="00470F01">
      <w:pPr>
        <w:spacing w:line="240" w:lineRule="auto"/>
        <w:rPr>
          <w:rFonts w:eastAsia="Times New Roman" w:cs="Arial"/>
          <w:i/>
          <w:iCs/>
          <w:color w:val="000000"/>
          <w:lang w:eastAsia="bg-BG"/>
        </w:rPr>
      </w:pPr>
    </w:p>
    <w:p w14:paraId="0FA1B640" w14:textId="7E772169"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Амиодарон</w:t>
      </w:r>
      <w:r w:rsidRPr="00470F01">
        <w:rPr>
          <w:rFonts w:eastAsia="Times New Roman" w:cs="Arial"/>
          <w:color w:val="000000"/>
          <w:lang w:eastAsia="bg-BG"/>
        </w:rPr>
        <w:t xml:space="preserve"> частично повишава плазмената концентрация на циклоспорин едновременно повишаването на серумния креатинин. Това взаимодействие може да възникне дълго време след спирането на амиодарон поради дългия му по лу живот (около 50 дни).</w:t>
      </w:r>
    </w:p>
    <w:p w14:paraId="3B49B6E0" w14:textId="77777777" w:rsidR="00470F01" w:rsidRPr="00470F01" w:rsidRDefault="00470F01" w:rsidP="00470F01">
      <w:pPr>
        <w:spacing w:line="240" w:lineRule="auto"/>
        <w:rPr>
          <w:rFonts w:eastAsia="Times New Roman" w:cs="Arial"/>
          <w:sz w:val="24"/>
          <w:szCs w:val="24"/>
          <w:lang w:eastAsia="bg-BG"/>
        </w:rPr>
      </w:pPr>
    </w:p>
    <w:p w14:paraId="61834C63" w14:textId="46FB32A7" w:rsidR="00470F01" w:rsidRDefault="00470F01" w:rsidP="00470F01">
      <w:pPr>
        <w:spacing w:line="240" w:lineRule="auto"/>
        <w:rPr>
          <w:rFonts w:eastAsia="Times New Roman" w:cs="Arial"/>
          <w:color w:val="000000"/>
          <w:lang w:eastAsia="bg-BG"/>
        </w:rPr>
      </w:pPr>
      <w:r w:rsidRPr="00470F01">
        <w:rPr>
          <w:rFonts w:eastAsia="Times New Roman" w:cs="Arial"/>
          <w:color w:val="000000"/>
          <w:lang w:eastAsia="bg-BG"/>
        </w:rPr>
        <w:t xml:space="preserve">Съобщава се, че </w:t>
      </w:r>
      <w:r w:rsidRPr="00470F01">
        <w:rPr>
          <w:rFonts w:eastAsia="Times New Roman" w:cs="Arial"/>
          <w:i/>
          <w:iCs/>
          <w:color w:val="000000"/>
          <w:lang w:eastAsia="bg-BG"/>
        </w:rPr>
        <w:t>даназол</w:t>
      </w:r>
      <w:r w:rsidRPr="00470F01">
        <w:rPr>
          <w:rFonts w:eastAsia="Times New Roman" w:cs="Arial"/>
          <w:color w:val="000000"/>
          <w:lang w:eastAsia="bg-BG"/>
        </w:rPr>
        <w:t xml:space="preserve"> повишава концентрацията на циклоспорин в кръвта приблизително с</w:t>
      </w:r>
      <w:r>
        <w:rPr>
          <w:rFonts w:eastAsia="Times New Roman" w:cs="Arial"/>
          <w:sz w:val="24"/>
          <w:szCs w:val="24"/>
          <w:lang w:eastAsia="bg-BG"/>
        </w:rPr>
        <w:t xml:space="preserve"> </w:t>
      </w:r>
      <w:r w:rsidRPr="00470F01">
        <w:rPr>
          <w:rFonts w:eastAsia="Times New Roman" w:cs="Arial"/>
          <w:color w:val="000000"/>
          <w:lang w:eastAsia="bg-BG"/>
        </w:rPr>
        <w:t>50%.</w:t>
      </w:r>
    </w:p>
    <w:p w14:paraId="2DD30E8E" w14:textId="14E227EB" w:rsidR="00470F01" w:rsidRDefault="00470F01" w:rsidP="00470F01">
      <w:pPr>
        <w:spacing w:line="240" w:lineRule="auto"/>
        <w:rPr>
          <w:rFonts w:eastAsia="Times New Roman" w:cs="Arial"/>
          <w:color w:val="000000"/>
          <w:lang w:eastAsia="bg-BG"/>
        </w:rPr>
      </w:pPr>
    </w:p>
    <w:p w14:paraId="00A14BBD"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Дилтиазем</w:t>
      </w:r>
      <w:r w:rsidRPr="00470F01">
        <w:rPr>
          <w:rFonts w:eastAsia="Times New Roman" w:cs="Arial"/>
          <w:color w:val="000000"/>
          <w:lang w:eastAsia="bg-BG"/>
        </w:rPr>
        <w:t xml:space="preserve"> (в дози от 90 </w:t>
      </w:r>
      <w:r w:rsidRPr="00470F01">
        <w:rPr>
          <w:rFonts w:eastAsia="Times New Roman" w:cs="Arial"/>
          <w:color w:val="000000"/>
          <w:lang w:val="en-US"/>
        </w:rPr>
        <w:t>mg</w:t>
      </w:r>
      <w:r w:rsidRPr="00470F01">
        <w:rPr>
          <w:rFonts w:eastAsia="Times New Roman" w:cs="Arial"/>
          <w:color w:val="000000"/>
          <w:lang w:eastAsia="bg-BG"/>
        </w:rPr>
        <w:t>/ден) може да повиши плазмената концентрация на циклоспорин с 50%.</w:t>
      </w:r>
    </w:p>
    <w:p w14:paraId="70571DE3" w14:textId="77777777" w:rsidR="00470F01" w:rsidRPr="00470F01" w:rsidRDefault="00470F01" w:rsidP="00470F01">
      <w:pPr>
        <w:spacing w:line="240" w:lineRule="auto"/>
        <w:rPr>
          <w:rFonts w:eastAsia="Times New Roman" w:cs="Arial"/>
          <w:i/>
          <w:iCs/>
          <w:color w:val="000000"/>
          <w:lang w:eastAsia="bg-BG"/>
        </w:rPr>
      </w:pPr>
    </w:p>
    <w:p w14:paraId="46E34330" w14:textId="09D94C77"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Иматиниб</w:t>
      </w:r>
      <w:r w:rsidRPr="00470F01">
        <w:rPr>
          <w:rFonts w:eastAsia="Times New Roman" w:cs="Arial"/>
          <w:color w:val="000000"/>
          <w:lang w:eastAsia="bg-BG"/>
        </w:rPr>
        <w:t xml:space="preserve"> може да повиши експозицията и С</w:t>
      </w:r>
      <w:r w:rsidRPr="00470F01">
        <w:rPr>
          <w:rFonts w:eastAsia="Times New Roman" w:cs="Arial"/>
          <w:color w:val="000000"/>
          <w:vertAlign w:val="subscript"/>
          <w:lang w:val="en-US"/>
        </w:rPr>
        <w:t>max</w:t>
      </w:r>
      <w:r w:rsidRPr="00470F01">
        <w:rPr>
          <w:rFonts w:eastAsia="Times New Roman" w:cs="Arial"/>
          <w:color w:val="000000"/>
          <w:lang w:eastAsia="bg-BG"/>
        </w:rPr>
        <w:t xml:space="preserve"> на циклоспорин с около 20%.</w:t>
      </w:r>
    </w:p>
    <w:p w14:paraId="195D5C04" w14:textId="77777777" w:rsidR="00470F01" w:rsidRPr="00470F01" w:rsidRDefault="00470F01" w:rsidP="00470F01">
      <w:pPr>
        <w:spacing w:line="240" w:lineRule="auto"/>
        <w:rPr>
          <w:rFonts w:eastAsia="Times New Roman" w:cs="Arial"/>
          <w:i/>
          <w:iCs/>
          <w:color w:val="000000"/>
          <w:lang w:eastAsia="bg-BG"/>
        </w:rPr>
      </w:pPr>
    </w:p>
    <w:p w14:paraId="179564C1" w14:textId="59227131"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 xml:space="preserve">Канабидиол (инхибитор на </w:t>
      </w:r>
      <w:r w:rsidRPr="00470F01">
        <w:rPr>
          <w:rFonts w:eastAsia="Times New Roman" w:cs="Arial"/>
          <w:i/>
          <w:iCs/>
          <w:color w:val="000000"/>
          <w:lang w:val="en-US"/>
        </w:rPr>
        <w:t>P-gp):</w:t>
      </w:r>
      <w:r w:rsidRPr="00470F01">
        <w:rPr>
          <w:rFonts w:eastAsia="Times New Roman" w:cs="Arial"/>
          <w:color w:val="000000"/>
          <w:lang w:val="en-US"/>
        </w:rPr>
        <w:t xml:space="preserve"> </w:t>
      </w:r>
      <w:r w:rsidRPr="00470F01">
        <w:rPr>
          <w:rFonts w:eastAsia="Times New Roman" w:cs="Arial"/>
          <w:color w:val="000000"/>
          <w:lang w:eastAsia="bg-BG"/>
        </w:rPr>
        <w:t>Има съобщения за повишаване на нивата на калциневринов инхибитор в кръвта при съпътстваща употреба с канабидиол. Това взаимодействие може да възникне поради инхибиране на ефлукса на Р-гликопротеина в червата, което води до повишена бионаличност на калциневриновия инхибитор. Следователно циклоспорин и канабидиол трябва да се прилагат едновременно с повишено внимание, като се следи внимателно за нежелани реакции. При реципиенти на трансплантат трябва да се следят най- ниските концентрации на циклоспорин в цяла кръв и да се адаптира дозата на циклоспорин, ако е необходимо. При пациенти без трансплантат трябва да се обмисли проследяване на нивата на циклоспорин в кръвта с коригиране на дозата, ако е необходимо (вж. точки 4.2 и 4.4).</w:t>
      </w:r>
    </w:p>
    <w:p w14:paraId="2CC865F5" w14:textId="77777777" w:rsidR="00470F01" w:rsidRPr="00470F01" w:rsidRDefault="00470F01" w:rsidP="00470F01">
      <w:pPr>
        <w:spacing w:line="240" w:lineRule="auto"/>
        <w:rPr>
          <w:rFonts w:eastAsia="Times New Roman" w:cs="Arial"/>
          <w:color w:val="000000"/>
          <w:u w:val="single"/>
          <w:lang w:eastAsia="bg-BG"/>
        </w:rPr>
      </w:pPr>
    </w:p>
    <w:p w14:paraId="5946F6A9" w14:textId="5A37E13A"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Взаимодействия с храни</w:t>
      </w:r>
    </w:p>
    <w:p w14:paraId="1271943A"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Установено е, че едновременното приемане на сок от грейпфрут повишава бионаличността на циклоспорин.</w:t>
      </w:r>
    </w:p>
    <w:p w14:paraId="4C4EE5F9" w14:textId="77777777" w:rsidR="00470F01" w:rsidRPr="00470F01" w:rsidRDefault="00470F01" w:rsidP="00470F01">
      <w:pPr>
        <w:spacing w:line="240" w:lineRule="auto"/>
        <w:rPr>
          <w:rFonts w:eastAsia="Times New Roman" w:cs="Arial"/>
          <w:color w:val="000000"/>
          <w:u w:val="single"/>
          <w:lang w:eastAsia="bg-BG"/>
        </w:rPr>
      </w:pPr>
    </w:p>
    <w:p w14:paraId="2A503EF4" w14:textId="1EFC3376"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Комбинации с повишен риск от нефротоксичност</w:t>
      </w:r>
    </w:p>
    <w:p w14:paraId="638BCDDC"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Необходимо е повишено внимание, когато се използва циклоспорин едновременно с други лекарства, проявяващи нефротоксичен синергизъм като: </w:t>
      </w:r>
      <w:r w:rsidRPr="00470F01">
        <w:rPr>
          <w:rFonts w:eastAsia="Times New Roman" w:cs="Arial"/>
          <w:i/>
          <w:iCs/>
          <w:color w:val="000000"/>
          <w:lang w:eastAsia="bg-BG"/>
        </w:rPr>
        <w:t xml:space="preserve">аминогликозиди (вкл. </w:t>
      </w:r>
      <w:r w:rsidRPr="00470F01">
        <w:rPr>
          <w:rFonts w:eastAsia="Times New Roman" w:cs="Arial"/>
          <w:i/>
          <w:iCs/>
          <w:color w:val="000000"/>
          <w:lang w:eastAsia="bg-BG"/>
        </w:rPr>
        <w:lastRenderedPageBreak/>
        <w:t xml:space="preserve">гентамицин, тобрамицин), амфотерцин В, ципрофлоксацин, ванкомицин, триметоприм (+ сулфаметоксазол); фибриновата киселина (напр. безафибрат, фенофибрат); НСПВС (включително диклофенак, напроксен, сулиндак); мефалан, хистамин </w:t>
      </w:r>
      <w:r w:rsidRPr="00470F01">
        <w:rPr>
          <w:rFonts w:eastAsia="Times New Roman" w:cs="Arial"/>
          <w:i/>
          <w:iCs/>
          <w:color w:val="000000"/>
          <w:lang w:val="en-US"/>
        </w:rPr>
        <w:t>Hj</w:t>
      </w:r>
      <w:r w:rsidRPr="00470F01">
        <w:rPr>
          <w:rFonts w:eastAsia="Times New Roman" w:cs="Arial"/>
          <w:i/>
          <w:iCs/>
          <w:color w:val="000000"/>
          <w:lang w:eastAsia="bg-BG"/>
        </w:rPr>
        <w:t>-рецеппюрни антагонисти (напр. циметидин, ранитидин); метотрексат (вж. точка 4.4).</w:t>
      </w:r>
    </w:p>
    <w:p w14:paraId="6377F4C7" w14:textId="77777777" w:rsidR="00470F01" w:rsidRPr="00470F01" w:rsidRDefault="00470F01" w:rsidP="00470F01">
      <w:pPr>
        <w:spacing w:line="240" w:lineRule="auto"/>
        <w:rPr>
          <w:rFonts w:eastAsia="Times New Roman" w:cs="Arial"/>
          <w:color w:val="000000"/>
          <w:lang w:eastAsia="bg-BG"/>
        </w:rPr>
      </w:pPr>
    </w:p>
    <w:p w14:paraId="05656C1C" w14:textId="2D9FB88E"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По време на едновременното използване на лекарства, които може да проявят нефротоксичен синергизъм трябва да се прави често мониториране на бъбречната функция. Ако има значително увреждане на бъбречната функция, то дозата на едновременно прилаганото лекарство трябва да се редуцира или да се прецени алтернативно лечение.</w:t>
      </w:r>
    </w:p>
    <w:p w14:paraId="0672373D" w14:textId="77777777" w:rsidR="00470F01" w:rsidRPr="00470F01" w:rsidRDefault="00470F01" w:rsidP="00470F01">
      <w:pPr>
        <w:spacing w:line="240" w:lineRule="auto"/>
        <w:rPr>
          <w:rFonts w:eastAsia="Times New Roman" w:cs="Arial"/>
          <w:color w:val="000000"/>
          <w:lang w:eastAsia="bg-BG"/>
        </w:rPr>
      </w:pPr>
    </w:p>
    <w:p w14:paraId="1EF112F7" w14:textId="0BF6644B"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Едновременната употреба на циклоспорин и такролимус трябва да се избягва поради риск от нефротоксичност и фармакокинетични взаимодействия чрез </w:t>
      </w:r>
      <w:r w:rsidRPr="00470F01">
        <w:rPr>
          <w:rFonts w:eastAsia="Times New Roman" w:cs="Arial"/>
          <w:color w:val="000000"/>
          <w:lang w:val="en-US"/>
        </w:rPr>
        <w:t xml:space="preserve">CYP3A4 </w:t>
      </w:r>
      <w:r w:rsidRPr="00470F01">
        <w:rPr>
          <w:rFonts w:eastAsia="Times New Roman" w:cs="Arial"/>
          <w:color w:val="000000"/>
          <w:lang w:eastAsia="bg-BG"/>
        </w:rPr>
        <w:t xml:space="preserve">и/или </w:t>
      </w:r>
      <w:r w:rsidRPr="00470F01">
        <w:rPr>
          <w:rFonts w:eastAsia="Times New Roman" w:cs="Arial"/>
          <w:color w:val="000000"/>
          <w:lang w:val="en-US"/>
        </w:rPr>
        <w:t xml:space="preserve">P-gp </w:t>
      </w:r>
      <w:r w:rsidRPr="00470F01">
        <w:rPr>
          <w:rFonts w:eastAsia="Times New Roman" w:cs="Arial"/>
          <w:color w:val="000000"/>
          <w:lang w:eastAsia="bg-BG"/>
        </w:rPr>
        <w:t>(вж. точка 4.4).</w:t>
      </w:r>
    </w:p>
    <w:p w14:paraId="1BCDA2D0" w14:textId="77777777" w:rsidR="00470F01" w:rsidRPr="00470F01" w:rsidRDefault="00470F01" w:rsidP="00470F01">
      <w:pPr>
        <w:spacing w:line="240" w:lineRule="auto"/>
        <w:rPr>
          <w:rFonts w:eastAsia="Times New Roman" w:cs="Arial"/>
          <w:color w:val="000000"/>
          <w:u w:val="single"/>
          <w:lang w:eastAsia="bg-BG"/>
        </w:rPr>
      </w:pPr>
    </w:p>
    <w:p w14:paraId="21714854" w14:textId="66BDD628"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 xml:space="preserve">Въздействие на </w:t>
      </w:r>
      <w:r w:rsidRPr="00470F01">
        <w:rPr>
          <w:rFonts w:eastAsia="Times New Roman" w:cs="Arial"/>
          <w:color w:val="000000"/>
          <w:u w:val="single"/>
          <w:lang w:val="en-US"/>
        </w:rPr>
        <w:t xml:space="preserve">DAA </w:t>
      </w:r>
      <w:r w:rsidRPr="00470F01">
        <w:rPr>
          <w:rFonts w:eastAsia="Times New Roman" w:cs="Arial"/>
          <w:color w:val="000000"/>
          <w:u w:val="single"/>
          <w:lang w:eastAsia="bg-BG"/>
        </w:rPr>
        <w:t>терапия</w:t>
      </w:r>
    </w:p>
    <w:p w14:paraId="11F073A5"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Фармакокинетиката на циклоспорин може да бъде повлияна от промени във функционирането на черния дроб по време на директно действаща антивирусна терапия </w:t>
      </w:r>
      <w:r w:rsidRPr="00470F01">
        <w:rPr>
          <w:rFonts w:eastAsia="Times New Roman" w:cs="Arial"/>
          <w:color w:val="000000"/>
          <w:lang w:val="en-US"/>
        </w:rPr>
        <w:t xml:space="preserve">(DAA), </w:t>
      </w:r>
      <w:r w:rsidRPr="00470F01">
        <w:rPr>
          <w:rFonts w:eastAsia="Times New Roman" w:cs="Arial"/>
          <w:color w:val="000000"/>
          <w:lang w:eastAsia="bg-BG"/>
        </w:rPr>
        <w:t xml:space="preserve">свързана с изчистване от </w:t>
      </w:r>
      <w:r w:rsidRPr="00470F01">
        <w:rPr>
          <w:rFonts w:eastAsia="Times New Roman" w:cs="Arial"/>
          <w:color w:val="000000"/>
          <w:lang w:val="en-US"/>
        </w:rPr>
        <w:t xml:space="preserve">HCV </w:t>
      </w:r>
      <w:r w:rsidRPr="00470F01">
        <w:rPr>
          <w:rFonts w:eastAsia="Times New Roman" w:cs="Arial"/>
          <w:color w:val="000000"/>
          <w:lang w:eastAsia="bg-BG"/>
        </w:rPr>
        <w:t>вируса. Трябва да се осигури внимателно наблюдение и при необходимост коригиране на дозата циклоспорин, за да се гарантира продължителна ефикасност.</w:t>
      </w:r>
    </w:p>
    <w:p w14:paraId="7FCD6A4F" w14:textId="77777777" w:rsidR="00470F01" w:rsidRPr="00470F01" w:rsidRDefault="00470F01" w:rsidP="00470F01">
      <w:pPr>
        <w:spacing w:line="240" w:lineRule="auto"/>
        <w:rPr>
          <w:rFonts w:eastAsia="Times New Roman" w:cs="Arial"/>
          <w:color w:val="000000"/>
          <w:u w:val="single"/>
          <w:lang w:eastAsia="bg-BG"/>
        </w:rPr>
      </w:pPr>
    </w:p>
    <w:p w14:paraId="50912C19" w14:textId="3AEBB6B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Ефекти на циклоспорин върху други лекарства</w:t>
      </w:r>
    </w:p>
    <w:p w14:paraId="6C55ACE5"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Циклоспорин е инхибитор на </w:t>
      </w:r>
      <w:r w:rsidRPr="00470F01">
        <w:rPr>
          <w:rFonts w:eastAsia="Times New Roman" w:cs="Arial"/>
          <w:color w:val="000000"/>
          <w:lang w:val="en-US"/>
        </w:rPr>
        <w:t xml:space="preserve">CYP3A4, </w:t>
      </w:r>
      <w:r w:rsidRPr="00470F01">
        <w:rPr>
          <w:rFonts w:eastAsia="Times New Roman" w:cs="Arial"/>
          <w:color w:val="000000"/>
          <w:lang w:eastAsia="bg-BG"/>
        </w:rPr>
        <w:t xml:space="preserve">ефлуксния транспортер на редица лекарства Р- гликопротеин </w:t>
      </w:r>
      <w:r w:rsidRPr="00470F01">
        <w:rPr>
          <w:rFonts w:eastAsia="Times New Roman" w:cs="Arial"/>
          <w:color w:val="000000"/>
          <w:lang w:val="en-US"/>
        </w:rPr>
        <w:t xml:space="preserve">(P-gp) </w:t>
      </w:r>
      <w:r w:rsidRPr="00470F01">
        <w:rPr>
          <w:rFonts w:eastAsia="Times New Roman" w:cs="Arial"/>
          <w:color w:val="000000"/>
          <w:lang w:eastAsia="bg-BG"/>
        </w:rPr>
        <w:t xml:space="preserve">и транспортера на органични аниони (ОАТР). Едновременното прилагане с лекарства, които са субстрати на </w:t>
      </w:r>
      <w:r w:rsidRPr="00470F01">
        <w:rPr>
          <w:rFonts w:eastAsia="Times New Roman" w:cs="Arial"/>
          <w:color w:val="000000"/>
          <w:lang w:val="en-US"/>
        </w:rPr>
        <w:t xml:space="preserve">CYP3A4, P-gp </w:t>
      </w:r>
      <w:r w:rsidRPr="00470F01">
        <w:rPr>
          <w:rFonts w:eastAsia="Times New Roman" w:cs="Arial"/>
          <w:color w:val="000000"/>
          <w:lang w:eastAsia="bg-BG"/>
        </w:rPr>
        <w:t>и ОАТР с циклоспорин, може да повиши концентрацията на субстратите на съответните ензими и/или транспортери.</w:t>
      </w:r>
    </w:p>
    <w:p w14:paraId="3A57F2A9" w14:textId="77777777" w:rsidR="00470F01" w:rsidRPr="00470F01" w:rsidRDefault="00470F01" w:rsidP="00470F01">
      <w:pPr>
        <w:spacing w:line="240" w:lineRule="auto"/>
        <w:rPr>
          <w:rFonts w:eastAsia="Times New Roman" w:cs="Arial"/>
          <w:color w:val="000000"/>
          <w:lang w:eastAsia="bg-BG"/>
        </w:rPr>
      </w:pPr>
    </w:p>
    <w:p w14:paraId="2DD6CA06" w14:textId="0674651E"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По-долу са изброени няколко примера:</w:t>
      </w:r>
    </w:p>
    <w:p w14:paraId="57DC848D" w14:textId="77777777" w:rsidR="00470F01" w:rsidRPr="00470F01" w:rsidRDefault="00470F01" w:rsidP="00470F01">
      <w:pPr>
        <w:rPr>
          <w:rFonts w:eastAsia="Times New Roman" w:cs="Arial"/>
          <w:sz w:val="24"/>
          <w:szCs w:val="24"/>
          <w:lang w:eastAsia="bg-BG"/>
        </w:rPr>
      </w:pPr>
      <w:r w:rsidRPr="00470F01">
        <w:rPr>
          <w:rFonts w:eastAsia="Times New Roman" w:cs="Arial"/>
          <w:color w:val="000000"/>
          <w:lang w:eastAsia="bg-BG"/>
        </w:rPr>
        <w:t xml:space="preserve">Циклоспорин може също да редуцира клирънса на </w:t>
      </w:r>
      <w:r w:rsidRPr="00470F01">
        <w:rPr>
          <w:rFonts w:eastAsia="Times New Roman" w:cs="Arial"/>
          <w:i/>
          <w:iCs/>
          <w:color w:val="000000"/>
          <w:lang w:eastAsia="bg-BG"/>
        </w:rPr>
        <w:t xml:space="preserve">дигоксин, колхицин, преднизолон, </w:t>
      </w:r>
      <w:r w:rsidRPr="00470F01">
        <w:rPr>
          <w:rFonts w:eastAsia="Times New Roman" w:cs="Arial"/>
          <w:i/>
          <w:iCs/>
          <w:color w:val="000000"/>
          <w:lang w:val="en-US"/>
        </w:rPr>
        <w:t xml:space="preserve">HMG-CoA </w:t>
      </w:r>
      <w:r w:rsidRPr="00470F01">
        <w:rPr>
          <w:rFonts w:eastAsia="Times New Roman" w:cs="Arial"/>
          <w:i/>
          <w:iCs/>
          <w:color w:val="000000"/>
          <w:lang w:eastAsia="bg-BG"/>
        </w:rPr>
        <w:t>редуктазните инхибитори (статини) и етопозид.</w:t>
      </w:r>
      <w:r w:rsidRPr="00470F01">
        <w:rPr>
          <w:rFonts w:eastAsia="Times New Roman" w:cs="Arial"/>
          <w:color w:val="000000"/>
          <w:lang w:eastAsia="bg-BG"/>
        </w:rPr>
        <w:t xml:space="preserve"> При едновременна употреба на някое от тези лекарства с циклоспорин, е необходимо да се осигури строго клинично наблюдение, с цел ранно откриване на токсичните прояви на дигоксин или колхицин, последвано от понижение на</w:t>
      </w:r>
      <w:r w:rsidRPr="00470F01">
        <w:rPr>
          <w:rFonts w:eastAsia="Times New Roman" w:cs="Arial"/>
          <w:smallCaps/>
          <w:color w:val="000000"/>
          <w:lang w:eastAsia="bg-BG"/>
        </w:rPr>
        <w:t xml:space="preserve"> </w:t>
      </w:r>
      <w:r w:rsidRPr="00470F01">
        <w:rPr>
          <w:rFonts w:eastAsia="Times New Roman" w:cs="Arial"/>
          <w:color w:val="000000"/>
          <w:lang w:eastAsia="bg-BG"/>
        </w:rPr>
        <w:t>дозата или преустановяване на приема им. При съвместно прилагане на статини с циклоспорин,</w:t>
      </w:r>
      <w:r w:rsidRPr="00470F01">
        <w:rPr>
          <w:rFonts w:eastAsia="Times New Roman" w:cs="Arial"/>
          <w:smallCaps/>
          <w:color w:val="000000"/>
          <w:lang w:eastAsia="bg-BG"/>
        </w:rPr>
        <w:t xml:space="preserve"> </w:t>
      </w:r>
      <w:r w:rsidRPr="00470F01">
        <w:rPr>
          <w:rFonts w:eastAsia="Times New Roman" w:cs="Arial"/>
          <w:color w:val="000000"/>
          <w:lang w:eastAsia="bg-BG"/>
        </w:rPr>
        <w:t>дозата им трябва да се намали и съвместната употреба с определени статини трябва да се</w:t>
      </w:r>
      <w:r w:rsidRPr="00470F01">
        <w:rPr>
          <w:rFonts w:eastAsia="Times New Roman" w:cs="Arial"/>
          <w:sz w:val="24"/>
          <w:szCs w:val="24"/>
          <w:lang w:eastAsia="bg-BG"/>
        </w:rPr>
        <w:t xml:space="preserve"> </w:t>
      </w:r>
      <w:r w:rsidRPr="00470F01">
        <w:rPr>
          <w:rFonts w:eastAsia="Times New Roman" w:cs="Arial"/>
          <w:color w:val="000000"/>
          <w:lang w:eastAsia="bg-BG"/>
        </w:rPr>
        <w:t>избягва, съгласно наличните препоръки. Промените в експозицията на най-често прилаганите с циклоспорин статини са обобщени в Таблица 1. Необходимо е лечението със статини да бъде временно прекъснато или спряно при пациенти с признаци и симптоми на миопатия или такива с рискови фактори, предразполагащи към тежко бъбречно увреждане, включително бъбречна недостатъчност вследствие на рабдомиолиза.</w:t>
      </w:r>
    </w:p>
    <w:p w14:paraId="3B01A8E3" w14:textId="77777777" w:rsidR="00470F01" w:rsidRPr="00470F01" w:rsidRDefault="00470F01" w:rsidP="00470F01">
      <w:pPr>
        <w:spacing w:line="240" w:lineRule="auto"/>
        <w:rPr>
          <w:rFonts w:eastAsia="Times New Roman" w:cs="Arial"/>
          <w:color w:val="000000"/>
          <w:lang w:eastAsia="bg-BG"/>
        </w:rPr>
      </w:pPr>
    </w:p>
    <w:p w14:paraId="43221D0A" w14:textId="4697721D"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Таблица 1 Обобщение на промените в експозицията на най-често прилаганите статини, при съвместно приложение с циклоспорин</w:t>
      </w:r>
    </w:p>
    <w:tbl>
      <w:tblPr>
        <w:tblStyle w:val="TableGrid"/>
        <w:tblW w:w="0" w:type="auto"/>
        <w:tblLook w:val="04A0" w:firstRow="1" w:lastRow="0" w:firstColumn="1" w:lastColumn="0" w:noHBand="0" w:noVBand="1"/>
      </w:tblPr>
      <w:tblGrid>
        <w:gridCol w:w="3116"/>
        <w:gridCol w:w="3117"/>
        <w:gridCol w:w="3117"/>
      </w:tblGrid>
      <w:tr w:rsidR="00470F01" w14:paraId="0333844C" w14:textId="77777777" w:rsidTr="00470F01">
        <w:tc>
          <w:tcPr>
            <w:tcW w:w="3116" w:type="dxa"/>
          </w:tcPr>
          <w:p w14:paraId="69D4E92B" w14:textId="74834F69" w:rsidR="00470F01" w:rsidRDefault="00470F01" w:rsidP="00470F01">
            <w:r>
              <w:rPr>
                <w:b/>
                <w:bCs/>
              </w:rPr>
              <w:t>Статии</w:t>
            </w:r>
          </w:p>
        </w:tc>
        <w:tc>
          <w:tcPr>
            <w:tcW w:w="3117" w:type="dxa"/>
          </w:tcPr>
          <w:p w14:paraId="2801F987" w14:textId="6C8A6DB2" w:rsidR="00470F01" w:rsidRDefault="00470F01" w:rsidP="00470F01">
            <w:r>
              <w:rPr>
                <w:b/>
                <w:bCs/>
              </w:rPr>
              <w:t>Налични дози</w:t>
            </w:r>
          </w:p>
        </w:tc>
        <w:tc>
          <w:tcPr>
            <w:tcW w:w="3117" w:type="dxa"/>
          </w:tcPr>
          <w:p w14:paraId="6ECE80E3" w14:textId="159F3DED" w:rsidR="00470F01" w:rsidRDefault="00470F01" w:rsidP="00470F01">
            <w:r>
              <w:rPr>
                <w:b/>
                <w:bCs/>
              </w:rPr>
              <w:t>Промяна в експозицията при съвместно приложение с циклоспорин</w:t>
            </w:r>
          </w:p>
        </w:tc>
      </w:tr>
      <w:tr w:rsidR="00470F01" w14:paraId="538B4F29" w14:textId="77777777" w:rsidTr="00470F01">
        <w:tc>
          <w:tcPr>
            <w:tcW w:w="3116" w:type="dxa"/>
          </w:tcPr>
          <w:p w14:paraId="6A670696" w14:textId="1917751B" w:rsidR="00470F01" w:rsidRDefault="00470F01" w:rsidP="00470F01">
            <w:r>
              <w:lastRenderedPageBreak/>
              <w:t>Аторвастатин</w:t>
            </w:r>
          </w:p>
        </w:tc>
        <w:tc>
          <w:tcPr>
            <w:tcW w:w="3117" w:type="dxa"/>
          </w:tcPr>
          <w:p w14:paraId="0D74A46E" w14:textId="33F455A4" w:rsidR="00470F01" w:rsidRDefault="00470F01" w:rsidP="00470F01">
            <w:r>
              <w:t xml:space="preserve">10-80 </w:t>
            </w:r>
            <w:r>
              <w:rPr>
                <w:lang w:val="en-US"/>
              </w:rPr>
              <w:t>mg</w:t>
            </w:r>
          </w:p>
        </w:tc>
        <w:tc>
          <w:tcPr>
            <w:tcW w:w="3117" w:type="dxa"/>
          </w:tcPr>
          <w:p w14:paraId="4ED4C4B6" w14:textId="3F863D55" w:rsidR="00470F01" w:rsidRDefault="00470F01" w:rsidP="00470F01">
            <w:r>
              <w:t>8-10</w:t>
            </w:r>
          </w:p>
        </w:tc>
      </w:tr>
      <w:tr w:rsidR="00470F01" w14:paraId="2CC5951A" w14:textId="77777777" w:rsidTr="00470F01">
        <w:tc>
          <w:tcPr>
            <w:tcW w:w="3116" w:type="dxa"/>
          </w:tcPr>
          <w:p w14:paraId="2268B7F4" w14:textId="1BEBCE08" w:rsidR="00470F01" w:rsidRDefault="00470F01" w:rsidP="00470F01">
            <w:r>
              <w:t>Симвастатин</w:t>
            </w:r>
          </w:p>
        </w:tc>
        <w:tc>
          <w:tcPr>
            <w:tcW w:w="3117" w:type="dxa"/>
          </w:tcPr>
          <w:p w14:paraId="2665E03D" w14:textId="404BCED1" w:rsidR="00470F01" w:rsidRDefault="00470F01" w:rsidP="00470F01">
            <w:r>
              <w:t xml:space="preserve">10-80 </w:t>
            </w:r>
            <w:r>
              <w:rPr>
                <w:lang w:val="en-US"/>
              </w:rPr>
              <w:t>mg</w:t>
            </w:r>
          </w:p>
        </w:tc>
        <w:tc>
          <w:tcPr>
            <w:tcW w:w="3117" w:type="dxa"/>
          </w:tcPr>
          <w:p w14:paraId="2D583A69" w14:textId="3749ED76" w:rsidR="00470F01" w:rsidRDefault="00470F01" w:rsidP="00470F01">
            <w:r>
              <w:t>6-8</w:t>
            </w:r>
          </w:p>
        </w:tc>
      </w:tr>
      <w:tr w:rsidR="00470F01" w14:paraId="4B74D672" w14:textId="77777777" w:rsidTr="00470F01">
        <w:tc>
          <w:tcPr>
            <w:tcW w:w="3116" w:type="dxa"/>
          </w:tcPr>
          <w:p w14:paraId="32F5E0CF" w14:textId="2A2790ED" w:rsidR="00470F01" w:rsidRDefault="00470F01" w:rsidP="00470F01">
            <w:r>
              <w:t>Флувастатин</w:t>
            </w:r>
          </w:p>
        </w:tc>
        <w:tc>
          <w:tcPr>
            <w:tcW w:w="3117" w:type="dxa"/>
          </w:tcPr>
          <w:p w14:paraId="1DBE414A" w14:textId="4AEF8B65" w:rsidR="00470F01" w:rsidRDefault="00470F01" w:rsidP="00470F01">
            <w:r>
              <w:t xml:space="preserve">20-80 </w:t>
            </w:r>
            <w:r>
              <w:rPr>
                <w:lang w:val="en-US"/>
              </w:rPr>
              <w:t>mg</w:t>
            </w:r>
          </w:p>
        </w:tc>
        <w:tc>
          <w:tcPr>
            <w:tcW w:w="3117" w:type="dxa"/>
          </w:tcPr>
          <w:p w14:paraId="26DB706D" w14:textId="62C37D7A" w:rsidR="00470F01" w:rsidRDefault="00470F01" w:rsidP="00470F01">
            <w:r>
              <w:t>2-4</w:t>
            </w:r>
          </w:p>
        </w:tc>
      </w:tr>
      <w:tr w:rsidR="00470F01" w14:paraId="4B3FD4DB" w14:textId="77777777" w:rsidTr="00470F01">
        <w:tc>
          <w:tcPr>
            <w:tcW w:w="3116" w:type="dxa"/>
          </w:tcPr>
          <w:p w14:paraId="5C53ACE1" w14:textId="00B19EB8" w:rsidR="00470F01" w:rsidRDefault="00470F01" w:rsidP="00470F01">
            <w:r>
              <w:t>Ловастатин</w:t>
            </w:r>
          </w:p>
        </w:tc>
        <w:tc>
          <w:tcPr>
            <w:tcW w:w="3117" w:type="dxa"/>
          </w:tcPr>
          <w:p w14:paraId="111C08EF" w14:textId="3922B3D0" w:rsidR="00470F01" w:rsidRDefault="00470F01" w:rsidP="00470F01">
            <w:r>
              <w:t xml:space="preserve">20-40 </w:t>
            </w:r>
            <w:r>
              <w:rPr>
                <w:lang w:val="en-US"/>
              </w:rPr>
              <w:t>mg</w:t>
            </w:r>
          </w:p>
        </w:tc>
        <w:tc>
          <w:tcPr>
            <w:tcW w:w="3117" w:type="dxa"/>
          </w:tcPr>
          <w:p w14:paraId="7B8F8074" w14:textId="03590A89" w:rsidR="00470F01" w:rsidRDefault="00470F01" w:rsidP="00470F01">
            <w:r>
              <w:t>5-8</w:t>
            </w:r>
          </w:p>
        </w:tc>
      </w:tr>
      <w:tr w:rsidR="00470F01" w14:paraId="54C82211" w14:textId="77777777" w:rsidTr="00470F01">
        <w:tc>
          <w:tcPr>
            <w:tcW w:w="3116" w:type="dxa"/>
          </w:tcPr>
          <w:p w14:paraId="6AD5B2FE" w14:textId="09F5CBCA" w:rsidR="00470F01" w:rsidRDefault="00470F01" w:rsidP="00470F01">
            <w:r>
              <w:t>Правастатин</w:t>
            </w:r>
          </w:p>
        </w:tc>
        <w:tc>
          <w:tcPr>
            <w:tcW w:w="3117" w:type="dxa"/>
          </w:tcPr>
          <w:p w14:paraId="2340A785" w14:textId="3597C9B1" w:rsidR="00470F01" w:rsidRDefault="00470F01" w:rsidP="00470F01">
            <w:r>
              <w:rPr>
                <w:lang w:val="en-US"/>
              </w:rPr>
              <w:t>20-80 mg</w:t>
            </w:r>
          </w:p>
        </w:tc>
        <w:tc>
          <w:tcPr>
            <w:tcW w:w="3117" w:type="dxa"/>
          </w:tcPr>
          <w:p w14:paraId="02676CDE" w14:textId="1B2165D1" w:rsidR="00470F01" w:rsidRDefault="00470F01" w:rsidP="00470F01">
            <w:r>
              <w:t>5-10</w:t>
            </w:r>
          </w:p>
        </w:tc>
      </w:tr>
      <w:tr w:rsidR="00470F01" w14:paraId="79C5F953" w14:textId="77777777" w:rsidTr="00470F01">
        <w:tc>
          <w:tcPr>
            <w:tcW w:w="3116" w:type="dxa"/>
          </w:tcPr>
          <w:p w14:paraId="1CCFC078" w14:textId="6B4BC695" w:rsidR="00470F01" w:rsidRDefault="00470F01" w:rsidP="00470F01">
            <w:r>
              <w:t>Росувастатин</w:t>
            </w:r>
          </w:p>
        </w:tc>
        <w:tc>
          <w:tcPr>
            <w:tcW w:w="3117" w:type="dxa"/>
          </w:tcPr>
          <w:p w14:paraId="6917815A" w14:textId="550E4328" w:rsidR="00470F01" w:rsidRDefault="00470F01" w:rsidP="00470F01">
            <w:r>
              <w:rPr>
                <w:lang w:val="en-US"/>
              </w:rPr>
              <w:t>5-40 mg</w:t>
            </w:r>
          </w:p>
        </w:tc>
        <w:tc>
          <w:tcPr>
            <w:tcW w:w="3117" w:type="dxa"/>
          </w:tcPr>
          <w:p w14:paraId="45CA37A8" w14:textId="1F332748" w:rsidR="00470F01" w:rsidRDefault="00470F01" w:rsidP="00470F01">
            <w:r>
              <w:t>5-10</w:t>
            </w:r>
          </w:p>
        </w:tc>
      </w:tr>
      <w:tr w:rsidR="00470F01" w14:paraId="557CA6B1" w14:textId="77777777" w:rsidTr="00470F01">
        <w:tc>
          <w:tcPr>
            <w:tcW w:w="3116" w:type="dxa"/>
          </w:tcPr>
          <w:p w14:paraId="3AFAE86D" w14:textId="0876AF28" w:rsidR="00470F01" w:rsidRDefault="00470F01" w:rsidP="00470F01">
            <w:r>
              <w:t>Питавастатин</w:t>
            </w:r>
          </w:p>
        </w:tc>
        <w:tc>
          <w:tcPr>
            <w:tcW w:w="3117" w:type="dxa"/>
          </w:tcPr>
          <w:p w14:paraId="46B3806E" w14:textId="4C2A3546" w:rsidR="00470F01" w:rsidRDefault="00470F01" w:rsidP="00470F01">
            <w:r>
              <w:rPr>
                <w:lang w:val="en-US"/>
              </w:rPr>
              <w:t>1-4 mg</w:t>
            </w:r>
          </w:p>
        </w:tc>
        <w:tc>
          <w:tcPr>
            <w:tcW w:w="3117" w:type="dxa"/>
          </w:tcPr>
          <w:p w14:paraId="6F52C5D6" w14:textId="0A4A8A8F" w:rsidR="00470F01" w:rsidRDefault="00470F01" w:rsidP="00470F01">
            <w:r>
              <w:rPr>
                <w:lang w:val="en-US"/>
              </w:rPr>
              <w:t>4-6</w:t>
            </w:r>
          </w:p>
        </w:tc>
      </w:tr>
    </w:tbl>
    <w:p w14:paraId="46666CFA" w14:textId="68B25867" w:rsidR="00470F01" w:rsidRDefault="00470F01" w:rsidP="0091385D"/>
    <w:p w14:paraId="229AF6ED"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Необходимо е повишено внимание при едновременната употреба на циклоспорин с лерканидипин (вж. точка 4.4).</w:t>
      </w:r>
    </w:p>
    <w:p w14:paraId="4D62AE0D" w14:textId="77777777" w:rsidR="00470F01" w:rsidRPr="00470F01" w:rsidRDefault="00470F01" w:rsidP="00470F01">
      <w:pPr>
        <w:spacing w:line="240" w:lineRule="auto"/>
        <w:rPr>
          <w:rFonts w:eastAsia="Times New Roman" w:cs="Arial"/>
          <w:color w:val="000000"/>
          <w:lang w:eastAsia="bg-BG"/>
        </w:rPr>
      </w:pPr>
    </w:p>
    <w:p w14:paraId="2DFF96A0" w14:textId="33332D6E"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При едновременно прилагане на циклоспорин и алискирен С</w:t>
      </w:r>
      <w:r w:rsidRPr="00470F01">
        <w:rPr>
          <w:rFonts w:eastAsia="Times New Roman" w:cs="Arial"/>
          <w:color w:val="000000"/>
          <w:lang w:val="en-US"/>
        </w:rPr>
        <w:t>m</w:t>
      </w:r>
      <w:r w:rsidRPr="00470F01">
        <w:rPr>
          <w:rFonts w:eastAsia="Times New Roman" w:cs="Arial"/>
          <w:color w:val="000000"/>
          <w:lang w:eastAsia="bg-BG"/>
        </w:rPr>
        <w:t xml:space="preserve">ах на алискирен, субстрат на </w:t>
      </w:r>
      <w:r w:rsidRPr="00470F01">
        <w:rPr>
          <w:rFonts w:eastAsia="Times New Roman" w:cs="Arial"/>
          <w:color w:val="000000"/>
          <w:lang w:val="en-US"/>
        </w:rPr>
        <w:t xml:space="preserve">P-gp </w:t>
      </w:r>
      <w:r w:rsidRPr="00470F01">
        <w:rPr>
          <w:rFonts w:eastAsia="Times New Roman" w:cs="Arial"/>
          <w:color w:val="000000"/>
          <w:lang w:eastAsia="bg-BG"/>
        </w:rPr>
        <w:t xml:space="preserve">се повишава приблизително 2,5 пъти, </w:t>
      </w:r>
      <w:r w:rsidRPr="00470F01">
        <w:rPr>
          <w:rFonts w:eastAsia="Times New Roman" w:cs="Arial"/>
          <w:color w:val="000000"/>
          <w:lang w:val="en-US"/>
        </w:rPr>
        <w:t xml:space="preserve">a AUC </w:t>
      </w:r>
      <w:r w:rsidRPr="00470F01">
        <w:rPr>
          <w:rFonts w:eastAsia="Times New Roman" w:cs="Arial"/>
          <w:color w:val="000000"/>
          <w:lang w:eastAsia="bg-BG"/>
        </w:rPr>
        <w:t>приблизително 5 пъти. Фармакокинетичният профил на циклоспорин не се изменя значително. Не се препоръчва едновременно прилагане на циклоспорин и алискирен (вж. точка 4.3).</w:t>
      </w:r>
    </w:p>
    <w:p w14:paraId="38C686EE" w14:textId="77777777" w:rsidR="00470F01" w:rsidRPr="00470F01" w:rsidRDefault="00470F01" w:rsidP="00470F01">
      <w:pPr>
        <w:spacing w:line="240" w:lineRule="auto"/>
        <w:rPr>
          <w:rFonts w:eastAsia="Times New Roman" w:cs="Arial"/>
          <w:color w:val="000000"/>
          <w:lang w:eastAsia="bg-BG"/>
        </w:rPr>
      </w:pPr>
    </w:p>
    <w:p w14:paraId="41423844" w14:textId="5E8BEB16"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Едновременното приложение с дабигатран етексилат не се препоръчва поради </w:t>
      </w:r>
      <w:r w:rsidRPr="00470F01">
        <w:rPr>
          <w:rFonts w:eastAsia="Times New Roman" w:cs="Arial"/>
          <w:color w:val="000000"/>
          <w:lang w:val="en-US"/>
        </w:rPr>
        <w:t xml:space="preserve">P-gp </w:t>
      </w:r>
      <w:r w:rsidRPr="00470F01">
        <w:rPr>
          <w:rFonts w:eastAsia="Times New Roman" w:cs="Arial"/>
          <w:color w:val="000000"/>
          <w:lang w:eastAsia="bg-BG"/>
        </w:rPr>
        <w:t>инхибиторната активност на циклоспорин (вж. точка 4.3).</w:t>
      </w:r>
    </w:p>
    <w:p w14:paraId="314FD42F" w14:textId="77777777" w:rsidR="00470F01" w:rsidRPr="00470F01" w:rsidRDefault="00470F01" w:rsidP="00470F01">
      <w:pPr>
        <w:spacing w:line="240" w:lineRule="auto"/>
        <w:rPr>
          <w:rFonts w:eastAsia="Times New Roman" w:cs="Arial"/>
          <w:color w:val="000000"/>
          <w:lang w:eastAsia="bg-BG"/>
        </w:rPr>
      </w:pPr>
    </w:p>
    <w:p w14:paraId="24754EC3" w14:textId="242B6F0C"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Едновременното прилагане на </w:t>
      </w:r>
      <w:r w:rsidRPr="00470F01">
        <w:rPr>
          <w:rFonts w:eastAsia="Times New Roman" w:cs="Arial"/>
          <w:i/>
          <w:iCs/>
          <w:color w:val="000000"/>
          <w:lang w:eastAsia="bg-BG"/>
        </w:rPr>
        <w:t>нифедипин</w:t>
      </w:r>
      <w:r w:rsidRPr="00470F01">
        <w:rPr>
          <w:rFonts w:eastAsia="Times New Roman" w:cs="Arial"/>
          <w:color w:val="000000"/>
          <w:lang w:eastAsia="bg-BG"/>
        </w:rPr>
        <w:t xml:space="preserve"> с циклоспорин може да доведе до повишена степен на поява на гингивална хиперплазия, в сравнение с тази при самостоятелна употреба на циклоспорин.</w:t>
      </w:r>
    </w:p>
    <w:p w14:paraId="6E6B4463" w14:textId="77777777" w:rsidR="00470F01" w:rsidRPr="00470F01" w:rsidRDefault="00470F01" w:rsidP="00470F01">
      <w:pPr>
        <w:spacing w:line="240" w:lineRule="auto"/>
        <w:rPr>
          <w:rFonts w:eastAsia="Times New Roman" w:cs="Arial"/>
          <w:color w:val="000000"/>
          <w:lang w:eastAsia="bg-BG"/>
        </w:rPr>
      </w:pPr>
    </w:p>
    <w:p w14:paraId="435B624F" w14:textId="67D195C3"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Едновременното използване на </w:t>
      </w:r>
      <w:r w:rsidRPr="00470F01">
        <w:rPr>
          <w:rFonts w:eastAsia="Times New Roman" w:cs="Arial"/>
          <w:i/>
          <w:iCs/>
          <w:color w:val="000000"/>
          <w:lang w:eastAsia="bg-BG"/>
        </w:rPr>
        <w:t>диклофенак</w:t>
      </w:r>
      <w:r w:rsidRPr="00470F01">
        <w:rPr>
          <w:rFonts w:eastAsia="Times New Roman" w:cs="Arial"/>
          <w:color w:val="000000"/>
          <w:lang w:eastAsia="bg-BG"/>
        </w:rPr>
        <w:t xml:space="preserve"> и циклоспорин води до значително увеличаване бионаличността на диклофенак с възможна последица обратимо увреждане на бъбречната функция. Повишаването на бионаличността на диклофенак се дължи най-вероятно на редуцирането на неговия изразен </w:t>
      </w:r>
      <w:r w:rsidRPr="00470F01">
        <w:rPr>
          <w:rFonts w:eastAsia="Times New Roman" w:cs="Arial"/>
          <w:color w:val="000000"/>
          <w:lang w:val="en-US"/>
        </w:rPr>
        <w:t xml:space="preserve">“first pass” </w:t>
      </w:r>
      <w:r w:rsidRPr="00470F01">
        <w:rPr>
          <w:rFonts w:eastAsia="Times New Roman" w:cs="Arial"/>
          <w:color w:val="000000"/>
          <w:lang w:eastAsia="bg-BG"/>
        </w:rPr>
        <w:t xml:space="preserve">ефект. Когато заедно с циклоспорин се прилагат </w:t>
      </w:r>
      <w:r w:rsidRPr="00470F01">
        <w:rPr>
          <w:rFonts w:eastAsia="Times New Roman" w:cs="Arial"/>
          <w:i/>
          <w:iCs/>
          <w:color w:val="000000"/>
          <w:lang w:eastAsia="bg-BG"/>
        </w:rPr>
        <w:t>НСПВС</w:t>
      </w:r>
      <w:r w:rsidRPr="00470F01">
        <w:rPr>
          <w:rFonts w:eastAsia="Times New Roman" w:cs="Arial"/>
          <w:color w:val="000000"/>
          <w:lang w:eastAsia="bg-BG"/>
        </w:rPr>
        <w:t xml:space="preserve"> със слабо изразен </w:t>
      </w:r>
      <w:r w:rsidRPr="00470F01">
        <w:rPr>
          <w:rFonts w:eastAsia="Times New Roman" w:cs="Arial"/>
          <w:color w:val="000000"/>
          <w:lang w:val="en-US"/>
        </w:rPr>
        <w:t xml:space="preserve">“first pass” </w:t>
      </w:r>
      <w:r w:rsidRPr="00470F01">
        <w:rPr>
          <w:rFonts w:eastAsia="Times New Roman" w:cs="Arial"/>
          <w:color w:val="000000"/>
          <w:lang w:eastAsia="bg-BG"/>
        </w:rPr>
        <w:t>ефект (напр. ацетилсалицилова киселина) не се очаква повишение на бионаличността им.</w:t>
      </w:r>
    </w:p>
    <w:p w14:paraId="109001ED" w14:textId="77777777" w:rsidR="00470F01" w:rsidRPr="00470F01" w:rsidRDefault="00470F01" w:rsidP="00470F01">
      <w:pPr>
        <w:spacing w:line="240" w:lineRule="auto"/>
        <w:rPr>
          <w:rFonts w:eastAsia="Times New Roman" w:cs="Arial"/>
          <w:color w:val="000000"/>
          <w:lang w:eastAsia="bg-BG"/>
        </w:rPr>
      </w:pPr>
    </w:p>
    <w:p w14:paraId="23D757E1" w14:textId="5DBC0170"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По време на проучванията с </w:t>
      </w:r>
      <w:r w:rsidRPr="00470F01">
        <w:rPr>
          <w:rFonts w:eastAsia="Times New Roman" w:cs="Arial"/>
          <w:i/>
          <w:iCs/>
          <w:color w:val="000000"/>
          <w:lang w:eastAsia="bg-BG"/>
        </w:rPr>
        <w:t>еверолимус</w:t>
      </w:r>
      <w:r w:rsidRPr="00470F01">
        <w:rPr>
          <w:rFonts w:eastAsia="Times New Roman" w:cs="Arial"/>
          <w:color w:val="000000"/>
          <w:lang w:eastAsia="bg-BG"/>
        </w:rPr>
        <w:t xml:space="preserve"> или </w:t>
      </w:r>
      <w:r w:rsidRPr="00470F01">
        <w:rPr>
          <w:rFonts w:eastAsia="Times New Roman" w:cs="Arial"/>
          <w:i/>
          <w:iCs/>
          <w:color w:val="000000"/>
          <w:lang w:eastAsia="bg-BG"/>
        </w:rPr>
        <w:t>сиролимус</w:t>
      </w:r>
      <w:r w:rsidRPr="00470F01">
        <w:rPr>
          <w:rFonts w:eastAsia="Times New Roman" w:cs="Arial"/>
          <w:color w:val="000000"/>
          <w:lang w:eastAsia="bg-BG"/>
        </w:rPr>
        <w:t xml:space="preserve"> се наблюдава повишаване на серумния креатинин при едновременно прилагане със стандартна доза циклоспорин микроемулсия. Ефектът често пъти е обратим при намаляване на дозата на циклоспорин. Еверолимус и сиролимус повлияват незначително фармакокинетиката на циклоспорин. Едновременното прилагане с циклоспорин сигнификантно повишава нивата на еверолимус и сиролимус в кръвта.</w:t>
      </w:r>
    </w:p>
    <w:p w14:paraId="3811155F" w14:textId="77777777" w:rsidR="00470F01" w:rsidRPr="00470F01" w:rsidRDefault="00470F01" w:rsidP="00470F01">
      <w:pPr>
        <w:rPr>
          <w:rFonts w:eastAsia="Times New Roman" w:cs="Arial"/>
          <w:color w:val="000000"/>
          <w:lang w:eastAsia="bg-BG"/>
        </w:rPr>
      </w:pPr>
    </w:p>
    <w:p w14:paraId="1CF65A10" w14:textId="7FA6AB93" w:rsidR="00470F01" w:rsidRPr="00470F01" w:rsidRDefault="00470F01" w:rsidP="00470F01">
      <w:pPr>
        <w:rPr>
          <w:rFonts w:cs="Arial"/>
        </w:rPr>
      </w:pPr>
      <w:r w:rsidRPr="00470F01">
        <w:rPr>
          <w:rFonts w:eastAsia="Times New Roman" w:cs="Arial"/>
          <w:color w:val="000000"/>
          <w:lang w:eastAsia="bg-BG"/>
        </w:rPr>
        <w:t xml:space="preserve">Необходимо е повишено внимание, когато циклоспорин се прилага заедно с калий-съхраняващи </w:t>
      </w:r>
      <w:r w:rsidRPr="00470F01">
        <w:rPr>
          <w:rFonts w:eastAsia="Times New Roman" w:cs="Arial"/>
          <w:i/>
          <w:iCs/>
          <w:color w:val="000000"/>
          <w:lang w:eastAsia="bg-BG"/>
        </w:rPr>
        <w:t xml:space="preserve">лекарства (калий-съхраняващи диуретици, инхибитори на ангиотензин-конвертиращия ензим ангиотензин II рецепторни антагонисти) и калий-съдържащи лекарствени продукти, тъй като </w:t>
      </w:r>
      <w:r w:rsidRPr="00470F01">
        <w:rPr>
          <w:rFonts w:eastAsia="Times New Roman" w:cs="Arial"/>
          <w:color w:val="000000"/>
          <w:lang w:eastAsia="bg-BG"/>
        </w:rPr>
        <w:t>те могат да доведат до значително повишаване на нивата на калий (вж. точка 4.4)</w:t>
      </w:r>
    </w:p>
    <w:p w14:paraId="017C17B3" w14:textId="026DB7CE" w:rsidR="00470F01" w:rsidRPr="00470F01" w:rsidRDefault="00470F01" w:rsidP="0091385D">
      <w:pPr>
        <w:rPr>
          <w:rFonts w:cs="Arial"/>
        </w:rPr>
      </w:pPr>
    </w:p>
    <w:p w14:paraId="7114EB04"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Циклоспорин може да повиши плазмените концентрации на </w:t>
      </w:r>
      <w:r w:rsidRPr="00470F01">
        <w:rPr>
          <w:rFonts w:eastAsia="Times New Roman" w:cs="Arial"/>
          <w:i/>
          <w:iCs/>
          <w:color w:val="000000"/>
          <w:lang w:eastAsia="bg-BG"/>
        </w:rPr>
        <w:t>репаглинид</w:t>
      </w:r>
      <w:r w:rsidRPr="00470F01">
        <w:rPr>
          <w:rFonts w:eastAsia="Times New Roman" w:cs="Arial"/>
          <w:color w:val="000000"/>
          <w:lang w:eastAsia="bg-BG"/>
        </w:rPr>
        <w:t xml:space="preserve"> и така да увеличи риска от хипогликемия.</w:t>
      </w:r>
    </w:p>
    <w:p w14:paraId="4F01BFBA" w14:textId="77777777" w:rsidR="00470F01" w:rsidRPr="00470F01" w:rsidRDefault="00470F01" w:rsidP="00470F01">
      <w:pPr>
        <w:spacing w:line="240" w:lineRule="auto"/>
        <w:rPr>
          <w:rFonts w:eastAsia="Times New Roman" w:cs="Arial"/>
          <w:color w:val="000000"/>
          <w:lang w:eastAsia="bg-BG"/>
        </w:rPr>
      </w:pPr>
    </w:p>
    <w:p w14:paraId="4A88EB2B" w14:textId="014BAB92"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Едновременното прилагане на </w:t>
      </w:r>
      <w:r w:rsidRPr="00470F01">
        <w:rPr>
          <w:rFonts w:eastAsia="Times New Roman" w:cs="Arial"/>
          <w:i/>
          <w:iCs/>
          <w:color w:val="000000"/>
          <w:lang w:eastAsia="bg-BG"/>
        </w:rPr>
        <w:t>босентан</w:t>
      </w:r>
      <w:r w:rsidRPr="00470F01">
        <w:rPr>
          <w:rFonts w:eastAsia="Times New Roman" w:cs="Arial"/>
          <w:color w:val="000000"/>
          <w:lang w:eastAsia="bg-BG"/>
        </w:rPr>
        <w:t xml:space="preserve"> и циклоспорин при здрави доброволци повишава експозицията на босентан няколко пъти и понижава с 35% експозицията на </w:t>
      </w:r>
      <w:r w:rsidRPr="00470F01">
        <w:rPr>
          <w:rFonts w:eastAsia="Times New Roman" w:cs="Arial"/>
          <w:color w:val="000000"/>
          <w:lang w:eastAsia="bg-BG"/>
        </w:rPr>
        <w:lastRenderedPageBreak/>
        <w:t>циклоспорин. Не се препоръчва едновременното прилагане на циклоспорин и босентан (вж. по-горе подточка “Лекарства, които понижават нивата на циклоспорин” и точка 4.3).</w:t>
      </w:r>
    </w:p>
    <w:p w14:paraId="5A046B28" w14:textId="77777777" w:rsidR="00470F01" w:rsidRPr="00470F01" w:rsidRDefault="00470F01" w:rsidP="00470F01">
      <w:pPr>
        <w:spacing w:line="240" w:lineRule="auto"/>
        <w:rPr>
          <w:rFonts w:eastAsia="Times New Roman" w:cs="Arial"/>
          <w:color w:val="000000"/>
          <w:lang w:eastAsia="bg-BG"/>
        </w:rPr>
      </w:pPr>
    </w:p>
    <w:p w14:paraId="01B2AE10" w14:textId="11252B8D"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Многократното прилагане на </w:t>
      </w:r>
      <w:r w:rsidRPr="00470F01">
        <w:rPr>
          <w:rFonts w:eastAsia="Times New Roman" w:cs="Arial"/>
          <w:i/>
          <w:iCs/>
          <w:color w:val="000000"/>
          <w:lang w:eastAsia="bg-BG"/>
        </w:rPr>
        <w:t>амбрисентан</w:t>
      </w:r>
      <w:r w:rsidRPr="00470F01">
        <w:rPr>
          <w:rFonts w:eastAsia="Times New Roman" w:cs="Arial"/>
          <w:color w:val="000000"/>
          <w:lang w:eastAsia="bg-BG"/>
        </w:rPr>
        <w:t xml:space="preserve"> и циклоспорин при здрави доброволци води до приблизително двукратно повишаване на експозицията на амбрисентан, докато експозицията на циклоспорин се повишава незначително (приблизително 10%).</w:t>
      </w:r>
    </w:p>
    <w:p w14:paraId="143646ED" w14:textId="77777777" w:rsidR="00470F01" w:rsidRPr="00470F01" w:rsidRDefault="00470F01" w:rsidP="00470F01">
      <w:pPr>
        <w:spacing w:line="240" w:lineRule="auto"/>
        <w:rPr>
          <w:rFonts w:eastAsia="Times New Roman" w:cs="Arial"/>
          <w:color w:val="000000"/>
          <w:lang w:eastAsia="bg-BG"/>
        </w:rPr>
      </w:pPr>
    </w:p>
    <w:p w14:paraId="3ECC3C55" w14:textId="5C3C6688"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Наблюдава се сигнификантно повишаване на експозицията на </w:t>
      </w:r>
      <w:r w:rsidRPr="00470F01">
        <w:rPr>
          <w:rFonts w:eastAsia="Times New Roman" w:cs="Arial"/>
          <w:i/>
          <w:iCs/>
          <w:color w:val="000000"/>
          <w:lang w:eastAsia="bg-BG"/>
        </w:rPr>
        <w:t>антрациклиновите антибиотици (напр. доксорубицин, митоксантрон, даунорубицин)</w:t>
      </w:r>
      <w:r w:rsidRPr="00470F01">
        <w:rPr>
          <w:rFonts w:eastAsia="Times New Roman" w:cs="Arial"/>
          <w:color w:val="000000"/>
          <w:lang w:eastAsia="bg-BG"/>
        </w:rPr>
        <w:t xml:space="preserve"> при онкологични пациенти, при които се прилагат едновременно интравенозно антрациклинови антибиотици и високи дози циклоспорин.</w:t>
      </w:r>
    </w:p>
    <w:p w14:paraId="304EDB36" w14:textId="77777777" w:rsidR="00470F01" w:rsidRPr="00470F01" w:rsidRDefault="00470F01" w:rsidP="00470F01">
      <w:pPr>
        <w:spacing w:line="240" w:lineRule="auto"/>
        <w:rPr>
          <w:rFonts w:eastAsia="Times New Roman" w:cs="Arial"/>
          <w:color w:val="000000"/>
          <w:lang w:eastAsia="bg-BG"/>
        </w:rPr>
      </w:pPr>
    </w:p>
    <w:p w14:paraId="3C335C47" w14:textId="470545AD"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По време на лечението с циклоспорин ваксинациите могат да бъдат по-малко ефективни и употребата на живи атенюирани ваксини трябва да се избягва.</w:t>
      </w:r>
    </w:p>
    <w:p w14:paraId="207BC36F" w14:textId="77777777" w:rsidR="00470F01" w:rsidRPr="00470F01" w:rsidRDefault="00470F01" w:rsidP="00470F01">
      <w:pPr>
        <w:spacing w:line="240" w:lineRule="auto"/>
        <w:rPr>
          <w:rFonts w:eastAsia="Times New Roman" w:cs="Arial"/>
          <w:color w:val="000000"/>
          <w:u w:val="single"/>
          <w:lang w:eastAsia="bg-BG"/>
        </w:rPr>
      </w:pPr>
    </w:p>
    <w:p w14:paraId="1967E0A5" w14:textId="48C3F430"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Педиатрична популация</w:t>
      </w:r>
    </w:p>
    <w:p w14:paraId="46310897" w14:textId="4121CD0B" w:rsidR="00470F01" w:rsidRPr="00470F01" w:rsidRDefault="00470F01" w:rsidP="00470F01">
      <w:pPr>
        <w:rPr>
          <w:rFonts w:cs="Arial"/>
        </w:rPr>
      </w:pPr>
      <w:r w:rsidRPr="00470F01">
        <w:rPr>
          <w:rFonts w:eastAsia="Times New Roman" w:cs="Arial"/>
          <w:color w:val="000000"/>
          <w:lang w:eastAsia="bg-BG"/>
        </w:rPr>
        <w:t>Проучвания за взаимодействия са провеждани само при възрастни.</w:t>
      </w:r>
    </w:p>
    <w:p w14:paraId="04881895" w14:textId="77777777" w:rsidR="00470F01" w:rsidRPr="0091385D" w:rsidRDefault="00470F01"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453BEF39" w14:textId="77777777" w:rsidR="00470F01" w:rsidRPr="00156704" w:rsidRDefault="00470F01" w:rsidP="00156704">
      <w:pPr>
        <w:pStyle w:val="Heading3"/>
        <w:rPr>
          <w:rFonts w:eastAsia="Times New Roman"/>
          <w:u w:val="single"/>
          <w:lang w:eastAsia="bg-BG"/>
        </w:rPr>
      </w:pPr>
      <w:r w:rsidRPr="00156704">
        <w:rPr>
          <w:rFonts w:eastAsia="Times New Roman"/>
          <w:u w:val="single"/>
          <w:lang w:eastAsia="bg-BG"/>
        </w:rPr>
        <w:t>Бременно</w:t>
      </w:r>
      <w:bookmarkStart w:id="1" w:name="_GoBack"/>
      <w:bookmarkEnd w:id="1"/>
      <w:r w:rsidRPr="00156704">
        <w:rPr>
          <w:rFonts w:eastAsia="Times New Roman"/>
          <w:u w:val="single"/>
          <w:lang w:eastAsia="bg-BG"/>
        </w:rPr>
        <w:t>ст</w:t>
      </w:r>
    </w:p>
    <w:p w14:paraId="27553766"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Проучванията при животни показват репродуктивна токсичност при плъхове и зайци.</w:t>
      </w:r>
    </w:p>
    <w:p w14:paraId="05C1C791" w14:textId="77777777" w:rsidR="00470F01" w:rsidRPr="00470F01" w:rsidRDefault="00470F01" w:rsidP="00470F01">
      <w:pPr>
        <w:spacing w:line="240" w:lineRule="auto"/>
        <w:rPr>
          <w:rFonts w:eastAsia="Times New Roman" w:cs="Arial"/>
          <w:color w:val="000000"/>
          <w:lang w:eastAsia="bg-BG"/>
        </w:rPr>
      </w:pPr>
    </w:p>
    <w:p w14:paraId="0B3B07CB" w14:textId="6AE246C4"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Опитът със </w:t>
      </w:r>
      <w:r w:rsidRPr="00470F01">
        <w:rPr>
          <w:rFonts w:eastAsia="Times New Roman" w:cs="Arial"/>
          <w:color w:val="000000"/>
          <w:lang w:val="en-US"/>
        </w:rPr>
        <w:t xml:space="preserve">Sandimmun Neoral </w:t>
      </w:r>
      <w:r w:rsidRPr="00470F01">
        <w:rPr>
          <w:rFonts w:eastAsia="Times New Roman" w:cs="Arial"/>
          <w:color w:val="000000"/>
          <w:lang w:eastAsia="bg-BG"/>
        </w:rPr>
        <w:t>при бременни жени е ограничен. Бременните, при които след трансплантация се провежда имуносупресивно лечение, включително с циклоспорин или циклоспоринови производни, са изложени на повишен риск от преждевременно раждане (&lt;37 седмици).</w:t>
      </w:r>
    </w:p>
    <w:p w14:paraId="1ECB37EE" w14:textId="77777777" w:rsidR="00470F01" w:rsidRPr="00470F01" w:rsidRDefault="00470F01" w:rsidP="00470F01">
      <w:pPr>
        <w:spacing w:line="240" w:lineRule="auto"/>
        <w:rPr>
          <w:rFonts w:eastAsia="Times New Roman" w:cs="Arial"/>
          <w:color w:val="000000"/>
          <w:lang w:eastAsia="bg-BG"/>
        </w:rPr>
      </w:pPr>
    </w:p>
    <w:p w14:paraId="72A6B203" w14:textId="7611AA9D"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Налични са ограничен брой наблюдения при деца на възраст до 7 години, изложени на циклоспорин </w:t>
      </w:r>
      <w:r w:rsidRPr="00470F01">
        <w:rPr>
          <w:rFonts w:eastAsia="Times New Roman" w:cs="Arial"/>
          <w:i/>
          <w:iCs/>
          <w:color w:val="000000"/>
          <w:lang w:val="en-US"/>
        </w:rPr>
        <w:t>in utero.</w:t>
      </w:r>
      <w:r w:rsidRPr="00470F01">
        <w:rPr>
          <w:rFonts w:eastAsia="Times New Roman" w:cs="Arial"/>
          <w:color w:val="000000"/>
          <w:lang w:val="en-US"/>
        </w:rPr>
        <w:t xml:space="preserve"> </w:t>
      </w:r>
      <w:r w:rsidRPr="00470F01">
        <w:rPr>
          <w:rFonts w:eastAsia="Times New Roman" w:cs="Arial"/>
          <w:color w:val="000000"/>
          <w:lang w:eastAsia="bg-BG"/>
        </w:rPr>
        <w:t xml:space="preserve">Бъбречната функция и артериалното налягане при тези деца са нормални. Въпреки това, няма задоволителни и добре контролирани проучвания при бременни жени и поради тази причина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не трябва да се прилага по време на бременност, освен ако потенциалните ползи за майката не оправдават потенциалния риск за плода. Съдържанието на алкохол в </w:t>
      </w:r>
      <w:r w:rsidRPr="00470F01">
        <w:rPr>
          <w:rFonts w:eastAsia="Times New Roman" w:cs="Arial"/>
          <w:color w:val="000000"/>
          <w:lang w:val="en-US"/>
        </w:rPr>
        <w:t xml:space="preserve">Sandimmun Neoral </w:t>
      </w:r>
      <w:r w:rsidRPr="00470F01">
        <w:rPr>
          <w:rFonts w:eastAsia="Times New Roman" w:cs="Arial"/>
          <w:color w:val="000000"/>
          <w:lang w:eastAsia="bg-BG"/>
        </w:rPr>
        <w:t>трябва също да се има предвид при бременни жени (вж. точка 4.4).</w:t>
      </w:r>
    </w:p>
    <w:p w14:paraId="17C3FEB8" w14:textId="77777777" w:rsidR="00470F01" w:rsidRPr="00470F01" w:rsidRDefault="00470F01" w:rsidP="00470F01">
      <w:pPr>
        <w:spacing w:line="240" w:lineRule="auto"/>
        <w:rPr>
          <w:rFonts w:eastAsia="Times New Roman" w:cs="Arial"/>
          <w:color w:val="000000"/>
          <w:u w:val="single"/>
          <w:lang w:eastAsia="bg-BG"/>
        </w:rPr>
      </w:pPr>
    </w:p>
    <w:p w14:paraId="000810EF" w14:textId="04965EEB" w:rsidR="00470F01" w:rsidRPr="00156704" w:rsidRDefault="00470F01" w:rsidP="00156704">
      <w:pPr>
        <w:pStyle w:val="Heading3"/>
        <w:rPr>
          <w:rFonts w:eastAsia="Times New Roman"/>
          <w:u w:val="single"/>
          <w:lang w:eastAsia="bg-BG"/>
        </w:rPr>
      </w:pPr>
      <w:r w:rsidRPr="00156704">
        <w:rPr>
          <w:rFonts w:eastAsia="Times New Roman"/>
          <w:u w:val="single"/>
          <w:lang w:eastAsia="bg-BG"/>
        </w:rPr>
        <w:t>Кърмене</w:t>
      </w:r>
    </w:p>
    <w:p w14:paraId="507E4D68"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Циклоспорин преминава в кърмата. Съдържанието на алкохол в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също трябва да се има предвид при жени, които кърмят (вж. точка 4.4). Майки, подложени на лечение със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не трябва да кърмят, поради потенциалния риск </w:t>
      </w:r>
      <w:r w:rsidRPr="00470F01">
        <w:rPr>
          <w:rFonts w:eastAsia="Times New Roman" w:cs="Arial"/>
          <w:color w:val="000000"/>
          <w:lang w:val="en-US"/>
        </w:rPr>
        <w:t xml:space="preserve">Sandimmun Neoral </w:t>
      </w:r>
      <w:r w:rsidRPr="00470F01">
        <w:rPr>
          <w:rFonts w:eastAsia="Times New Roman" w:cs="Arial"/>
          <w:color w:val="000000"/>
          <w:lang w:eastAsia="bg-BG"/>
        </w:rPr>
        <w:t>да предизвика сериозни нежелани лекарствени реакции у новороденото/кърмачето. Трябва да се вземе решение, дали да се преустанови кърменето или да се спре приема на лекарството, като се има предвид колко важно е лекарството за майката.</w:t>
      </w:r>
    </w:p>
    <w:p w14:paraId="4F8CE2B6" w14:textId="77777777" w:rsidR="00470F01" w:rsidRPr="00470F01" w:rsidRDefault="00470F01" w:rsidP="00470F01">
      <w:pPr>
        <w:spacing w:line="240" w:lineRule="auto"/>
        <w:rPr>
          <w:rFonts w:eastAsia="Times New Roman" w:cs="Arial"/>
          <w:color w:val="000000"/>
          <w:u w:val="single"/>
          <w:lang w:eastAsia="bg-BG"/>
        </w:rPr>
      </w:pPr>
    </w:p>
    <w:p w14:paraId="186C6B8C" w14:textId="550F85CD" w:rsidR="00470F01" w:rsidRPr="00156704" w:rsidRDefault="00470F01" w:rsidP="00156704">
      <w:pPr>
        <w:pStyle w:val="Heading3"/>
        <w:rPr>
          <w:rFonts w:eastAsia="Times New Roman"/>
          <w:u w:val="single"/>
          <w:lang w:eastAsia="bg-BG"/>
        </w:rPr>
      </w:pPr>
      <w:r w:rsidRPr="00156704">
        <w:rPr>
          <w:rFonts w:eastAsia="Times New Roman"/>
          <w:u w:val="single"/>
          <w:lang w:eastAsia="bg-BG"/>
        </w:rPr>
        <w:t>Фертилитет</w:t>
      </w:r>
    </w:p>
    <w:p w14:paraId="776662C5" w14:textId="562246D1" w:rsidR="0091385D" w:rsidRPr="00156704" w:rsidRDefault="00470F01" w:rsidP="00470F01">
      <w:pPr>
        <w:rPr>
          <w:rFonts w:cs="Arial"/>
        </w:rPr>
      </w:pPr>
      <w:r w:rsidRPr="00156704">
        <w:rPr>
          <w:rFonts w:eastAsia="Times New Roman" w:cs="Arial"/>
          <w:color w:val="000000"/>
          <w:lang w:eastAsia="bg-BG"/>
        </w:rPr>
        <w:t xml:space="preserve">Има ограничени данни относно влиянието на </w:t>
      </w:r>
      <w:r w:rsidRPr="00156704">
        <w:rPr>
          <w:rFonts w:eastAsia="Times New Roman" w:cs="Arial"/>
          <w:color w:val="000000"/>
          <w:lang w:val="en-US"/>
        </w:rPr>
        <w:t xml:space="preserve">Sandimmun Neoral </w:t>
      </w:r>
      <w:r w:rsidRPr="00156704">
        <w:rPr>
          <w:rFonts w:eastAsia="Times New Roman" w:cs="Arial"/>
          <w:color w:val="000000"/>
          <w:lang w:eastAsia="bg-BG"/>
        </w:rPr>
        <w:t>върху фертилитета при хора</w:t>
      </w:r>
      <w:r w:rsidR="00156704" w:rsidRPr="00156704">
        <w:rPr>
          <w:rFonts w:eastAsia="Times New Roman" w:cs="Arial"/>
          <w:color w:val="000000"/>
          <w:lang w:eastAsia="bg-BG"/>
        </w:rPr>
        <w:t xml:space="preserve"> </w:t>
      </w:r>
      <w:r w:rsidRPr="00156704">
        <w:rPr>
          <w:rFonts w:eastAsia="Times New Roman" w:cs="Arial"/>
          <w:color w:val="000000"/>
          <w:lang w:eastAsia="bg-BG"/>
        </w:rPr>
        <w:t>(вж. точка 5.3).</w:t>
      </w:r>
    </w:p>
    <w:p w14:paraId="3E8789C3" w14:textId="77777777" w:rsidR="0091385D" w:rsidRPr="0091385D" w:rsidRDefault="0091385D" w:rsidP="0091385D"/>
    <w:p w14:paraId="064DF1DE" w14:textId="70BCC16C" w:rsidR="00CF77F7" w:rsidRDefault="002C50EE" w:rsidP="004A448E">
      <w:pPr>
        <w:pStyle w:val="Heading2"/>
      </w:pPr>
      <w:r>
        <w:lastRenderedPageBreak/>
        <w:t>4.7. Ефекти върху способността за шофиране и работа с машини</w:t>
      </w:r>
    </w:p>
    <w:p w14:paraId="1455464C" w14:textId="2676810A" w:rsidR="0091385D" w:rsidRDefault="0091385D" w:rsidP="0091385D"/>
    <w:p w14:paraId="2B4135A6" w14:textId="61978057" w:rsidR="0091385D" w:rsidRPr="00EC46C5" w:rsidRDefault="00156704" w:rsidP="00EC46C5">
      <w:pPr>
        <w:spacing w:line="240" w:lineRule="auto"/>
        <w:rPr>
          <w:rFonts w:eastAsia="Times New Roman" w:cs="Arial"/>
          <w:lang w:eastAsia="bg-BG"/>
        </w:rPr>
      </w:pPr>
      <w:r w:rsidRPr="00156704">
        <w:rPr>
          <w:rFonts w:eastAsia="Times New Roman" w:cs="Arial"/>
          <w:color w:val="000000"/>
          <w:lang w:eastAsia="bg-BG"/>
        </w:rPr>
        <w:t xml:space="preserve">Няма данни за ефектите на </w:t>
      </w:r>
      <w:r w:rsidRPr="00156704">
        <w:rPr>
          <w:rFonts w:eastAsia="Times New Roman" w:cs="Arial"/>
          <w:color w:val="000000"/>
          <w:lang w:val="en-US"/>
        </w:rPr>
        <w:t xml:space="preserve">Sandimmun Neoral </w:t>
      </w:r>
      <w:r w:rsidRPr="00156704">
        <w:rPr>
          <w:rFonts w:eastAsia="Times New Roman" w:cs="Arial"/>
          <w:color w:val="000000"/>
          <w:lang w:eastAsia="bg-BG"/>
        </w:rPr>
        <w:t>върху способността за шофиране и работа с</w:t>
      </w:r>
      <w:r w:rsidR="00EC46C5">
        <w:rPr>
          <w:rFonts w:eastAsia="Times New Roman" w:cs="Arial"/>
          <w:lang w:eastAsia="bg-BG"/>
        </w:rPr>
        <w:t xml:space="preserve"> </w:t>
      </w:r>
      <w:r w:rsidRPr="00EC46C5">
        <w:rPr>
          <w:rFonts w:eastAsia="Times New Roman" w:cs="Arial"/>
          <w:color w:val="000000"/>
          <w:lang w:eastAsia="bg-BG"/>
        </w:rPr>
        <w:t>машини.</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42976075" w14:textId="77777777" w:rsidR="00156704" w:rsidRPr="00156704" w:rsidRDefault="00156704" w:rsidP="00156704">
      <w:pPr>
        <w:spacing w:line="240" w:lineRule="auto"/>
        <w:rPr>
          <w:rFonts w:eastAsia="Times New Roman" w:cs="Arial"/>
          <w:lang w:eastAsia="bg-BG"/>
        </w:rPr>
      </w:pPr>
      <w:r w:rsidRPr="00156704">
        <w:rPr>
          <w:rFonts w:eastAsia="Times New Roman" w:cs="Arial"/>
          <w:color w:val="000000"/>
          <w:u w:val="single"/>
          <w:lang w:eastAsia="bg-BG"/>
        </w:rPr>
        <w:t>Обобщение на профила за безопасност</w:t>
      </w:r>
    </w:p>
    <w:p w14:paraId="445C2F76" w14:textId="77777777" w:rsidR="00156704" w:rsidRPr="00156704" w:rsidRDefault="00156704" w:rsidP="00156704">
      <w:pPr>
        <w:spacing w:line="240" w:lineRule="auto"/>
        <w:rPr>
          <w:rFonts w:eastAsia="Times New Roman" w:cs="Arial"/>
          <w:lang w:eastAsia="bg-BG"/>
        </w:rPr>
      </w:pPr>
      <w:r w:rsidRPr="00156704">
        <w:rPr>
          <w:rFonts w:eastAsia="Times New Roman" w:cs="Arial"/>
          <w:color w:val="000000"/>
          <w:lang w:eastAsia="bg-BG"/>
        </w:rPr>
        <w:t>Основните нежелани реакции, наблюдавани в хода на клиничните изпитвания, свързани с прилагането на циклоспорин включват бъбречна дисфункция, тремор, хирзутизъм, хипертония, диария, анорексия, гадене и повръщане.</w:t>
      </w:r>
    </w:p>
    <w:p w14:paraId="4E776F2A" w14:textId="77777777" w:rsidR="00156704" w:rsidRPr="00EC46C5" w:rsidRDefault="00156704" w:rsidP="00156704">
      <w:pPr>
        <w:spacing w:line="240" w:lineRule="auto"/>
        <w:rPr>
          <w:rFonts w:eastAsia="Times New Roman" w:cs="Arial"/>
          <w:color w:val="000000"/>
          <w:lang w:eastAsia="bg-BG"/>
        </w:rPr>
      </w:pPr>
    </w:p>
    <w:p w14:paraId="1F959C3C" w14:textId="3667FD91" w:rsidR="00156704" w:rsidRPr="00156704" w:rsidRDefault="00156704" w:rsidP="00156704">
      <w:pPr>
        <w:spacing w:line="240" w:lineRule="auto"/>
        <w:rPr>
          <w:rFonts w:eastAsia="Times New Roman" w:cs="Arial"/>
          <w:lang w:eastAsia="bg-BG"/>
        </w:rPr>
      </w:pPr>
      <w:r w:rsidRPr="00156704">
        <w:rPr>
          <w:rFonts w:eastAsia="Times New Roman" w:cs="Arial"/>
          <w:color w:val="000000"/>
          <w:lang w:eastAsia="bg-BG"/>
        </w:rPr>
        <w:t xml:space="preserve">Много нежелани реакции, свързани с циклоспориновата терапия са дозозависими </w:t>
      </w:r>
      <w:r w:rsidRPr="00156704">
        <w:rPr>
          <w:rFonts w:eastAsia="Times New Roman" w:cs="Arial"/>
          <w:i/>
          <w:iCs/>
          <w:color w:val="000000"/>
          <w:lang w:eastAsia="bg-BG"/>
        </w:rPr>
        <w:t>и</w:t>
      </w:r>
      <w:r w:rsidRPr="00156704">
        <w:rPr>
          <w:rFonts w:eastAsia="Times New Roman" w:cs="Arial"/>
          <w:color w:val="000000"/>
          <w:lang w:eastAsia="bg-BG"/>
        </w:rPr>
        <w:t xml:space="preserve"> търпят обратно развитие при намаляване на дозата. При различните показания общият спектър на нежеланите реакции е най-общо еднакъв, но има разлики в честотата и тежестта им. В резултат на високите начални дози и дълготрайната поддържаща терапия, изискваща се след трансплантация, нежеланите реакции са по-чести и обикновено по-тежки при трансплантирани пациенти, отколкото при пациенти с други индикации.</w:t>
      </w:r>
    </w:p>
    <w:p w14:paraId="25E0A6B4" w14:textId="77777777" w:rsidR="00156704" w:rsidRPr="00EC46C5" w:rsidRDefault="00156704" w:rsidP="00156704">
      <w:pPr>
        <w:spacing w:line="240" w:lineRule="auto"/>
        <w:rPr>
          <w:rFonts w:eastAsia="Times New Roman" w:cs="Arial"/>
          <w:color w:val="000000"/>
          <w:u w:val="single"/>
          <w:lang w:eastAsia="bg-BG"/>
        </w:rPr>
      </w:pPr>
    </w:p>
    <w:p w14:paraId="49975F85" w14:textId="00AA71E9" w:rsidR="00156704" w:rsidRPr="00156704" w:rsidRDefault="00156704" w:rsidP="00156704">
      <w:pPr>
        <w:spacing w:line="240" w:lineRule="auto"/>
        <w:rPr>
          <w:rFonts w:eastAsia="Times New Roman" w:cs="Arial"/>
          <w:lang w:eastAsia="bg-BG"/>
        </w:rPr>
      </w:pPr>
      <w:r w:rsidRPr="00156704">
        <w:rPr>
          <w:rFonts w:eastAsia="Times New Roman" w:cs="Arial"/>
          <w:color w:val="000000"/>
          <w:u w:val="single"/>
          <w:lang w:eastAsia="bg-BG"/>
        </w:rPr>
        <w:t>Инфекции и инфестации</w:t>
      </w:r>
    </w:p>
    <w:p w14:paraId="4F385439" w14:textId="77777777" w:rsidR="00156704" w:rsidRPr="00156704" w:rsidRDefault="00156704" w:rsidP="00156704">
      <w:pPr>
        <w:spacing w:line="240" w:lineRule="auto"/>
        <w:rPr>
          <w:rFonts w:eastAsia="Times New Roman" w:cs="Arial"/>
          <w:lang w:eastAsia="bg-BG"/>
        </w:rPr>
      </w:pPr>
      <w:r w:rsidRPr="00156704">
        <w:rPr>
          <w:rFonts w:eastAsia="Times New Roman" w:cs="Arial"/>
          <w:color w:val="000000"/>
          <w:lang w:eastAsia="bg-BG"/>
        </w:rPr>
        <w:t xml:space="preserve">При пациенти, които са на лечение с имуносупресанти, включително с циклоспорин и циклоспорин-съдържащи режими, съществува повишен риск от инфекции (вирусни, бактериални, гъбични, паразитни) (вж. точка 4.4). Могат да се наблюдават както общи, така и локални инфекции. Може да настъпи задълбочаване на вече съществуващи инфекции, както и повторно активиране на </w:t>
      </w:r>
      <w:r w:rsidRPr="00156704">
        <w:rPr>
          <w:rFonts w:eastAsia="Times New Roman" w:cs="Arial"/>
          <w:color w:val="000000"/>
          <w:lang w:val="en-US"/>
        </w:rPr>
        <w:t xml:space="preserve">Polyomavirus </w:t>
      </w:r>
      <w:r w:rsidRPr="00156704">
        <w:rPr>
          <w:rFonts w:eastAsia="Times New Roman" w:cs="Arial"/>
          <w:color w:val="000000"/>
          <w:lang w:eastAsia="bg-BG"/>
        </w:rPr>
        <w:t xml:space="preserve">инфекция, която може да доведе до </w:t>
      </w:r>
      <w:r w:rsidRPr="00156704">
        <w:rPr>
          <w:rFonts w:eastAsia="Times New Roman" w:cs="Arial"/>
          <w:color w:val="000000"/>
          <w:lang w:val="en-US"/>
        </w:rPr>
        <w:t xml:space="preserve">Polyomavirus </w:t>
      </w:r>
      <w:r w:rsidRPr="00156704">
        <w:rPr>
          <w:rFonts w:eastAsia="Times New Roman" w:cs="Arial"/>
          <w:color w:val="000000"/>
          <w:lang w:eastAsia="bg-BG"/>
        </w:rPr>
        <w:t xml:space="preserve">свързана нефропатия </w:t>
      </w:r>
      <w:r w:rsidRPr="00156704">
        <w:rPr>
          <w:rFonts w:eastAsia="Times New Roman" w:cs="Arial"/>
          <w:color w:val="000000"/>
          <w:lang w:val="en-US"/>
        </w:rPr>
        <w:t xml:space="preserve">(PVAN) </w:t>
      </w:r>
      <w:r w:rsidRPr="00156704">
        <w:rPr>
          <w:rFonts w:eastAsia="Times New Roman" w:cs="Arial"/>
          <w:color w:val="000000"/>
          <w:lang w:eastAsia="bg-BG"/>
        </w:rPr>
        <w:t xml:space="preserve">или до </w:t>
      </w:r>
      <w:r w:rsidRPr="00156704">
        <w:rPr>
          <w:rFonts w:eastAsia="Times New Roman" w:cs="Arial"/>
          <w:color w:val="000000"/>
          <w:lang w:val="en-US"/>
        </w:rPr>
        <w:t xml:space="preserve">JC </w:t>
      </w:r>
      <w:r w:rsidRPr="00156704">
        <w:rPr>
          <w:rFonts w:eastAsia="Times New Roman" w:cs="Arial"/>
          <w:color w:val="000000"/>
          <w:lang w:eastAsia="bg-BG"/>
        </w:rPr>
        <w:t xml:space="preserve">вирус свързана прогресивна мултифокална левкоенцефалопатия </w:t>
      </w:r>
      <w:r w:rsidRPr="00156704">
        <w:rPr>
          <w:rFonts w:eastAsia="Times New Roman" w:cs="Arial"/>
          <w:color w:val="000000"/>
          <w:lang w:val="en-US"/>
        </w:rPr>
        <w:t xml:space="preserve">(PML). </w:t>
      </w:r>
      <w:r w:rsidRPr="00156704">
        <w:rPr>
          <w:rFonts w:eastAsia="Times New Roman" w:cs="Arial"/>
          <w:color w:val="000000"/>
          <w:lang w:eastAsia="bg-BG"/>
        </w:rPr>
        <w:t>Има съобщения за сериозни и/или фатални последствия.</w:t>
      </w:r>
    </w:p>
    <w:p w14:paraId="543B43F2" w14:textId="77777777" w:rsidR="00156704" w:rsidRPr="00EC46C5" w:rsidRDefault="00156704" w:rsidP="00156704">
      <w:pPr>
        <w:spacing w:line="240" w:lineRule="auto"/>
        <w:rPr>
          <w:rFonts w:eastAsia="Times New Roman" w:cs="Arial"/>
          <w:color w:val="000000"/>
          <w:u w:val="single"/>
          <w:lang w:eastAsia="bg-BG"/>
        </w:rPr>
      </w:pPr>
    </w:p>
    <w:p w14:paraId="3F03DF8E" w14:textId="0E61AD1F" w:rsidR="00156704" w:rsidRPr="00156704" w:rsidRDefault="00156704" w:rsidP="00156704">
      <w:pPr>
        <w:spacing w:line="240" w:lineRule="auto"/>
        <w:rPr>
          <w:rFonts w:eastAsia="Times New Roman" w:cs="Arial"/>
          <w:lang w:eastAsia="bg-BG"/>
        </w:rPr>
      </w:pPr>
      <w:r w:rsidRPr="00156704">
        <w:rPr>
          <w:rFonts w:eastAsia="Times New Roman" w:cs="Arial"/>
          <w:color w:val="000000"/>
          <w:u w:val="single"/>
          <w:lang w:eastAsia="bg-BG"/>
        </w:rPr>
        <w:t xml:space="preserve">Неоплазми - доброкачествени, злокачествени и неопределени (включително кисти и полипи) </w:t>
      </w:r>
      <w:r w:rsidRPr="00156704">
        <w:rPr>
          <w:rFonts w:eastAsia="Times New Roman" w:cs="Arial"/>
          <w:color w:val="000000"/>
          <w:lang w:eastAsia="bg-BG"/>
        </w:rPr>
        <w:t>При пациенти, които са на лечение с имуносупресанти, включително с циклоспорин и циклоспорин-съдържащи режими, съществува повишен риск от развитие на лимфоми или лимфопролиферативни разстройства и други злокачествени образувания, особено на кожата. Честотата на злокачествените образувания се увеличава с интензитета и продължителността на терапията (вж. точка 4.4). Някои злокачествените образувания могат да бъдат фатални.</w:t>
      </w:r>
    </w:p>
    <w:p w14:paraId="2AA4C68C" w14:textId="77777777" w:rsidR="00156704" w:rsidRPr="00EC46C5" w:rsidRDefault="00156704" w:rsidP="00156704">
      <w:pPr>
        <w:spacing w:line="240" w:lineRule="auto"/>
        <w:rPr>
          <w:rFonts w:eastAsia="Times New Roman" w:cs="Arial"/>
          <w:color w:val="000000"/>
          <w:u w:val="single"/>
          <w:lang w:eastAsia="bg-BG"/>
        </w:rPr>
      </w:pPr>
    </w:p>
    <w:p w14:paraId="12A4240E" w14:textId="712B7141" w:rsidR="00156704" w:rsidRPr="00156704" w:rsidRDefault="00156704" w:rsidP="00156704">
      <w:pPr>
        <w:spacing w:line="240" w:lineRule="auto"/>
        <w:rPr>
          <w:rFonts w:eastAsia="Times New Roman" w:cs="Arial"/>
          <w:lang w:eastAsia="bg-BG"/>
        </w:rPr>
      </w:pPr>
      <w:r w:rsidRPr="00156704">
        <w:rPr>
          <w:rFonts w:eastAsia="Times New Roman" w:cs="Arial"/>
          <w:color w:val="000000"/>
          <w:u w:val="single"/>
          <w:lang w:eastAsia="bg-BG"/>
        </w:rPr>
        <w:t xml:space="preserve">Таблично обобщение на нежеланите лекарствени реакции от клиничните изпитвания </w:t>
      </w:r>
      <w:r w:rsidRPr="00156704">
        <w:rPr>
          <w:rFonts w:eastAsia="Times New Roman" w:cs="Arial"/>
          <w:color w:val="000000"/>
          <w:lang w:eastAsia="bg-BG"/>
        </w:rPr>
        <w:t xml:space="preserve">Нежеланите лекарствени реакции от клиничните изпитвания (Таблица </w:t>
      </w:r>
      <w:r w:rsidRPr="00156704">
        <w:rPr>
          <w:rFonts w:eastAsia="Times New Roman" w:cs="Arial"/>
          <w:i/>
          <w:iCs/>
          <w:color w:val="000000"/>
          <w:lang w:eastAsia="bg-BG"/>
        </w:rPr>
        <w:t>2)</w:t>
      </w:r>
      <w:r w:rsidRPr="00156704">
        <w:rPr>
          <w:rFonts w:eastAsia="Times New Roman" w:cs="Arial"/>
          <w:color w:val="000000"/>
          <w:lang w:eastAsia="bg-BG"/>
        </w:rPr>
        <w:t xml:space="preserve"> са изброени съгласно </w:t>
      </w:r>
      <w:r w:rsidRPr="00156704">
        <w:rPr>
          <w:rFonts w:eastAsia="Times New Roman" w:cs="Arial"/>
          <w:color w:val="000000"/>
          <w:lang w:val="en-US"/>
        </w:rPr>
        <w:t xml:space="preserve">MedDRA </w:t>
      </w:r>
      <w:r w:rsidRPr="00156704">
        <w:rPr>
          <w:rFonts w:eastAsia="Times New Roman" w:cs="Arial"/>
          <w:color w:val="000000"/>
          <w:lang w:eastAsia="bg-BG"/>
        </w:rPr>
        <w:t xml:space="preserve">по системо-органни класове. В рамките на всеки системо-органен клас са групирани по честота, като най-честите са първи. При всяко групиране в зависимост от честотата нежеланите ефекти са представени в низходящ ред по отношение на тяхната сериозност. Освен това, за всяка нежелана реакция съответните категории честоти са представени съгласно следната конвенция </w:t>
      </w:r>
      <w:r w:rsidRPr="00156704">
        <w:rPr>
          <w:rFonts w:eastAsia="Times New Roman" w:cs="Arial"/>
          <w:color w:val="000000"/>
          <w:lang w:val="en-US"/>
        </w:rPr>
        <w:t xml:space="preserve">(CIOMS </w:t>
      </w:r>
      <w:r w:rsidRPr="00156704">
        <w:rPr>
          <w:rFonts w:eastAsia="Times New Roman" w:cs="Arial"/>
          <w:color w:val="000000"/>
          <w:lang w:eastAsia="bg-BG"/>
        </w:rPr>
        <w:t>III): много чести (≥1/10); чести (≥ 1/100, &lt;1/10); нечести (≥ 1/1 000, &lt;1/100); редки (≥1/10 000, &lt;1/1 000), много редки (&lt;1/10 000), с неизвестна честота (от наличните данни не може да бъде направена оценка).</w:t>
      </w:r>
    </w:p>
    <w:p w14:paraId="3E8E38F2" w14:textId="77777777" w:rsidR="00156704" w:rsidRPr="00EC46C5" w:rsidRDefault="00156704" w:rsidP="00156704">
      <w:pPr>
        <w:rPr>
          <w:rFonts w:eastAsia="Times New Roman" w:cs="Arial"/>
          <w:b/>
          <w:bCs/>
          <w:color w:val="000000"/>
          <w:lang w:eastAsia="bg-BG"/>
        </w:rPr>
      </w:pPr>
      <w:bookmarkStart w:id="2" w:name="bookmark0"/>
    </w:p>
    <w:p w14:paraId="570508C4" w14:textId="3CAC7195" w:rsidR="0091385D" w:rsidRPr="00EC46C5" w:rsidRDefault="00156704" w:rsidP="00156704">
      <w:pPr>
        <w:rPr>
          <w:rFonts w:cs="Arial"/>
        </w:rPr>
      </w:pPr>
      <w:r w:rsidRPr="00EC46C5">
        <w:rPr>
          <w:rFonts w:eastAsia="Times New Roman" w:cs="Arial"/>
          <w:b/>
          <w:bCs/>
          <w:color w:val="000000"/>
          <w:lang w:eastAsia="bg-BG"/>
        </w:rPr>
        <w:t xml:space="preserve">Таблица </w:t>
      </w:r>
      <w:r w:rsidRPr="00EC46C5">
        <w:rPr>
          <w:rFonts w:eastAsia="Times New Roman" w:cs="Arial"/>
          <w:i/>
          <w:iCs/>
          <w:color w:val="000000"/>
          <w:lang w:eastAsia="bg-BG"/>
        </w:rPr>
        <w:t>2:</w:t>
      </w:r>
      <w:r w:rsidRPr="00EC46C5">
        <w:rPr>
          <w:rFonts w:eastAsia="Times New Roman" w:cs="Arial"/>
          <w:b/>
          <w:bCs/>
          <w:color w:val="000000"/>
          <w:lang w:eastAsia="bg-BG"/>
        </w:rPr>
        <w:t xml:space="preserve"> Нежелани лекарствени реакции от клинични изпитвания</w:t>
      </w:r>
      <w:bookmarkEnd w:id="2"/>
    </w:p>
    <w:p w14:paraId="43E3C48F" w14:textId="6DA49B67" w:rsidR="0091385D" w:rsidRPr="00EC46C5" w:rsidRDefault="0091385D" w:rsidP="0091385D">
      <w:pPr>
        <w:rPr>
          <w:rFonts w:cs="Arial"/>
        </w:rPr>
      </w:pPr>
    </w:p>
    <w:tbl>
      <w:tblPr>
        <w:tblStyle w:val="TableGrid"/>
        <w:tblW w:w="0" w:type="auto"/>
        <w:tblLook w:val="04A0" w:firstRow="1" w:lastRow="0" w:firstColumn="1" w:lastColumn="0" w:noHBand="0" w:noVBand="1"/>
      </w:tblPr>
      <w:tblGrid>
        <w:gridCol w:w="4675"/>
        <w:gridCol w:w="4675"/>
      </w:tblGrid>
      <w:tr w:rsidR="00156704" w:rsidRPr="00EC46C5" w14:paraId="18905B81" w14:textId="77777777" w:rsidTr="004F00D7">
        <w:tc>
          <w:tcPr>
            <w:tcW w:w="9350" w:type="dxa"/>
            <w:gridSpan w:val="2"/>
          </w:tcPr>
          <w:p w14:paraId="759963A3" w14:textId="1975D55F" w:rsidR="00156704" w:rsidRPr="00EC46C5" w:rsidRDefault="00156704" w:rsidP="0091385D">
            <w:pPr>
              <w:rPr>
                <w:rFonts w:cs="Arial"/>
              </w:rPr>
            </w:pPr>
            <w:r w:rsidRPr="00EC46C5">
              <w:rPr>
                <w:rFonts w:cs="Arial"/>
                <w:b/>
                <w:bCs/>
              </w:rPr>
              <w:lastRenderedPageBreak/>
              <w:t>Нарушения на кръвта и лимфната система</w:t>
            </w:r>
          </w:p>
        </w:tc>
      </w:tr>
      <w:tr w:rsidR="00156704" w:rsidRPr="00EC46C5" w14:paraId="5F2A81B6" w14:textId="77777777" w:rsidTr="00156704">
        <w:tc>
          <w:tcPr>
            <w:tcW w:w="4675" w:type="dxa"/>
          </w:tcPr>
          <w:p w14:paraId="5B37CBB4" w14:textId="77777777" w:rsidR="00156704" w:rsidRPr="00EC46C5" w:rsidRDefault="00156704" w:rsidP="00156704">
            <w:pPr>
              <w:rPr>
                <w:rFonts w:cs="Arial"/>
              </w:rPr>
            </w:pPr>
            <w:r w:rsidRPr="00EC46C5">
              <w:rPr>
                <w:rFonts w:cs="Arial"/>
              </w:rPr>
              <w:t xml:space="preserve">Чести </w:t>
            </w:r>
          </w:p>
          <w:p w14:paraId="1603B609" w14:textId="77777777" w:rsidR="00156704" w:rsidRPr="00EC46C5" w:rsidRDefault="00156704" w:rsidP="00156704">
            <w:pPr>
              <w:rPr>
                <w:rFonts w:cs="Arial"/>
              </w:rPr>
            </w:pPr>
          </w:p>
          <w:p w14:paraId="261118AB" w14:textId="7E0C4E4B" w:rsidR="00156704" w:rsidRPr="00EC46C5" w:rsidRDefault="00156704" w:rsidP="00156704">
            <w:pPr>
              <w:rPr>
                <w:rFonts w:cs="Arial"/>
              </w:rPr>
            </w:pPr>
            <w:r w:rsidRPr="00EC46C5">
              <w:rPr>
                <w:rFonts w:cs="Arial"/>
              </w:rPr>
              <w:t xml:space="preserve">Нечести </w:t>
            </w:r>
          </w:p>
          <w:p w14:paraId="4D5B9BF4" w14:textId="77777777" w:rsidR="00156704" w:rsidRPr="00EC46C5" w:rsidRDefault="00156704" w:rsidP="00156704">
            <w:pPr>
              <w:rPr>
                <w:rFonts w:cs="Arial"/>
              </w:rPr>
            </w:pPr>
          </w:p>
          <w:p w14:paraId="73DE44CC" w14:textId="3924A1AF" w:rsidR="00156704" w:rsidRPr="00EC46C5" w:rsidRDefault="00156704" w:rsidP="00156704">
            <w:pPr>
              <w:rPr>
                <w:rFonts w:cs="Arial"/>
              </w:rPr>
            </w:pPr>
            <w:r w:rsidRPr="00EC46C5">
              <w:rPr>
                <w:rFonts w:cs="Arial"/>
              </w:rPr>
              <w:t>Редки</w:t>
            </w:r>
          </w:p>
          <w:p w14:paraId="53C8E543" w14:textId="77777777" w:rsidR="00156704" w:rsidRPr="00EC46C5" w:rsidRDefault="00156704" w:rsidP="00156704">
            <w:pPr>
              <w:rPr>
                <w:rFonts w:cs="Arial"/>
              </w:rPr>
            </w:pPr>
          </w:p>
          <w:p w14:paraId="4E316A10" w14:textId="77777777" w:rsidR="00156704" w:rsidRPr="00EC46C5" w:rsidRDefault="00156704" w:rsidP="00156704">
            <w:pPr>
              <w:rPr>
                <w:rFonts w:cs="Arial"/>
              </w:rPr>
            </w:pPr>
          </w:p>
          <w:p w14:paraId="75131DEE" w14:textId="5D101CE5" w:rsidR="00156704" w:rsidRPr="00EC46C5" w:rsidRDefault="00156704" w:rsidP="00156704">
            <w:pPr>
              <w:rPr>
                <w:rFonts w:cs="Arial"/>
              </w:rPr>
            </w:pPr>
            <w:r w:rsidRPr="00EC46C5">
              <w:rPr>
                <w:rFonts w:cs="Arial"/>
              </w:rPr>
              <w:t>С неизвестна честота*</w:t>
            </w:r>
          </w:p>
        </w:tc>
        <w:tc>
          <w:tcPr>
            <w:tcW w:w="4675" w:type="dxa"/>
          </w:tcPr>
          <w:p w14:paraId="3B98C78B" w14:textId="77777777" w:rsidR="00156704" w:rsidRPr="00EC46C5" w:rsidRDefault="00156704" w:rsidP="00156704">
            <w:pPr>
              <w:rPr>
                <w:rFonts w:cs="Arial"/>
              </w:rPr>
            </w:pPr>
            <w:r w:rsidRPr="00EC46C5">
              <w:rPr>
                <w:rFonts w:cs="Arial"/>
              </w:rPr>
              <w:t>Левкопения</w:t>
            </w:r>
          </w:p>
          <w:p w14:paraId="5AECA5C1" w14:textId="77777777" w:rsidR="00156704" w:rsidRPr="00EC46C5" w:rsidRDefault="00156704" w:rsidP="00156704">
            <w:pPr>
              <w:rPr>
                <w:rFonts w:cs="Arial"/>
              </w:rPr>
            </w:pPr>
          </w:p>
          <w:p w14:paraId="6F2BE7E0" w14:textId="65006341" w:rsidR="00156704" w:rsidRPr="00EC46C5" w:rsidRDefault="00156704" w:rsidP="00156704">
            <w:pPr>
              <w:rPr>
                <w:rFonts w:cs="Arial"/>
              </w:rPr>
            </w:pPr>
            <w:r w:rsidRPr="00EC46C5">
              <w:rPr>
                <w:rFonts w:cs="Arial"/>
              </w:rPr>
              <w:t>Тромбоцитопения, анемия</w:t>
            </w:r>
          </w:p>
          <w:p w14:paraId="62D2ADF2" w14:textId="77777777" w:rsidR="00156704" w:rsidRPr="00EC46C5" w:rsidRDefault="00156704" w:rsidP="00156704">
            <w:pPr>
              <w:rPr>
                <w:rFonts w:cs="Arial"/>
              </w:rPr>
            </w:pPr>
          </w:p>
          <w:p w14:paraId="026B680D" w14:textId="439FC198" w:rsidR="00156704" w:rsidRPr="00EC46C5" w:rsidRDefault="00156704" w:rsidP="00156704">
            <w:pPr>
              <w:rPr>
                <w:rFonts w:cs="Arial"/>
              </w:rPr>
            </w:pPr>
            <w:r w:rsidRPr="00EC46C5">
              <w:rPr>
                <w:rFonts w:cs="Arial"/>
              </w:rPr>
              <w:t>Хемолитично уремичен синдром, микроангиопатична хемолитична анемия</w:t>
            </w:r>
          </w:p>
          <w:p w14:paraId="7EAAEB28" w14:textId="77777777" w:rsidR="00156704" w:rsidRPr="00EC46C5" w:rsidRDefault="00156704" w:rsidP="00156704">
            <w:pPr>
              <w:rPr>
                <w:rFonts w:cs="Arial"/>
              </w:rPr>
            </w:pPr>
          </w:p>
          <w:p w14:paraId="79702AE5" w14:textId="476812ED" w:rsidR="00156704" w:rsidRPr="00EC46C5" w:rsidRDefault="00156704" w:rsidP="00156704">
            <w:pPr>
              <w:rPr>
                <w:rFonts w:cs="Arial"/>
              </w:rPr>
            </w:pPr>
            <w:r w:rsidRPr="00EC46C5">
              <w:rPr>
                <w:rFonts w:cs="Arial"/>
              </w:rPr>
              <w:t>Тромботична микроангиопатия, тромботична тромбоцитопенична пурпура</w:t>
            </w:r>
          </w:p>
        </w:tc>
      </w:tr>
      <w:tr w:rsidR="00156704" w:rsidRPr="00EC46C5" w14:paraId="11547EC3" w14:textId="77777777" w:rsidTr="002B26FF">
        <w:tc>
          <w:tcPr>
            <w:tcW w:w="4675" w:type="dxa"/>
          </w:tcPr>
          <w:p w14:paraId="7CBEF9F5" w14:textId="336F79C1" w:rsidR="00156704" w:rsidRPr="00EC46C5" w:rsidRDefault="00156704" w:rsidP="00156704">
            <w:pPr>
              <w:rPr>
                <w:rFonts w:cs="Arial"/>
              </w:rPr>
            </w:pPr>
            <w:r w:rsidRPr="00EC46C5">
              <w:rPr>
                <w:rFonts w:cs="Arial"/>
              </w:rPr>
              <w:t>Нечести</w:t>
            </w:r>
          </w:p>
        </w:tc>
        <w:tc>
          <w:tcPr>
            <w:tcW w:w="4675" w:type="dxa"/>
            <w:vAlign w:val="bottom"/>
          </w:tcPr>
          <w:p w14:paraId="458819D9" w14:textId="569EC2BE" w:rsidR="00156704" w:rsidRPr="00EC46C5" w:rsidRDefault="00156704" w:rsidP="00156704">
            <w:pPr>
              <w:rPr>
                <w:rFonts w:cs="Arial"/>
              </w:rPr>
            </w:pPr>
            <w:r w:rsidRPr="00EC46C5">
              <w:rPr>
                <w:rFonts w:cs="Arial"/>
              </w:rPr>
              <w:t xml:space="preserve">Енцефалопатия, включително синдром на задна обратима енцефалопатия </w:t>
            </w:r>
            <w:r w:rsidRPr="00EC46C5">
              <w:rPr>
                <w:rFonts w:cs="Arial"/>
                <w:lang w:val="en-US"/>
              </w:rPr>
              <w:t xml:space="preserve">(Posterior Reversible Encephalopathy Syndrome) (PRES), </w:t>
            </w:r>
            <w:r w:rsidRPr="00EC46C5">
              <w:rPr>
                <w:rFonts w:cs="Arial"/>
              </w:rPr>
              <w:t>признаци и симптоми като конвулсии, обърканост, дезориентация, забавени реакции, тревожност, безсъние, зрителни нарушения, кортикална слепота, кома, пареза и церебеларна атаксия</w:t>
            </w:r>
          </w:p>
        </w:tc>
      </w:tr>
      <w:tr w:rsidR="00EC46C5" w:rsidRPr="00EC46C5" w14:paraId="76143C0A" w14:textId="77777777" w:rsidTr="00C7123A">
        <w:trPr>
          <w:trHeight w:val="2169"/>
        </w:trPr>
        <w:tc>
          <w:tcPr>
            <w:tcW w:w="4675" w:type="dxa"/>
          </w:tcPr>
          <w:p w14:paraId="23A1E6DD" w14:textId="77777777" w:rsidR="00EC46C5" w:rsidRPr="00EC46C5" w:rsidRDefault="00EC46C5" w:rsidP="00156704">
            <w:pPr>
              <w:rPr>
                <w:rFonts w:cs="Arial"/>
              </w:rPr>
            </w:pPr>
            <w:r w:rsidRPr="00EC46C5">
              <w:rPr>
                <w:rFonts w:cs="Arial"/>
              </w:rPr>
              <w:t>Редки</w:t>
            </w:r>
          </w:p>
          <w:p w14:paraId="73EFA5C2" w14:textId="77777777" w:rsidR="00EC46C5" w:rsidRPr="00EC46C5" w:rsidRDefault="00EC46C5" w:rsidP="00156704">
            <w:pPr>
              <w:rPr>
                <w:rFonts w:cs="Arial"/>
              </w:rPr>
            </w:pPr>
          </w:p>
          <w:p w14:paraId="679531AB" w14:textId="77777777" w:rsidR="00EC46C5" w:rsidRPr="00EC46C5" w:rsidRDefault="00EC46C5" w:rsidP="00156704">
            <w:pPr>
              <w:rPr>
                <w:rFonts w:cs="Arial"/>
              </w:rPr>
            </w:pPr>
            <w:r w:rsidRPr="00EC46C5">
              <w:rPr>
                <w:rFonts w:cs="Arial"/>
              </w:rPr>
              <w:t>Много редки</w:t>
            </w:r>
          </w:p>
          <w:p w14:paraId="7D9C2390" w14:textId="77777777" w:rsidR="00EC46C5" w:rsidRPr="00EC46C5" w:rsidRDefault="00EC46C5" w:rsidP="00156704">
            <w:pPr>
              <w:rPr>
                <w:rFonts w:cs="Arial"/>
              </w:rPr>
            </w:pPr>
          </w:p>
          <w:p w14:paraId="1B3C36F2" w14:textId="77777777" w:rsidR="00EC46C5" w:rsidRPr="00EC46C5" w:rsidRDefault="00EC46C5" w:rsidP="00156704">
            <w:pPr>
              <w:rPr>
                <w:rFonts w:cs="Arial"/>
              </w:rPr>
            </w:pPr>
          </w:p>
          <w:p w14:paraId="641AE7D0" w14:textId="77777777" w:rsidR="00EC46C5" w:rsidRPr="00EC46C5" w:rsidRDefault="00EC46C5" w:rsidP="00156704">
            <w:pPr>
              <w:rPr>
                <w:rFonts w:cs="Arial"/>
              </w:rPr>
            </w:pPr>
          </w:p>
          <w:p w14:paraId="540C13DC" w14:textId="77777777" w:rsidR="00EC46C5" w:rsidRPr="00EC46C5" w:rsidRDefault="00EC46C5" w:rsidP="00156704">
            <w:pPr>
              <w:rPr>
                <w:rFonts w:cs="Arial"/>
              </w:rPr>
            </w:pPr>
          </w:p>
          <w:p w14:paraId="606D336F" w14:textId="77777777" w:rsidR="00EC46C5" w:rsidRPr="00EC46C5" w:rsidRDefault="00EC46C5" w:rsidP="00156704">
            <w:pPr>
              <w:rPr>
                <w:rFonts w:cs="Arial"/>
              </w:rPr>
            </w:pPr>
          </w:p>
          <w:p w14:paraId="718FCC03" w14:textId="6E62D408" w:rsidR="00EC46C5" w:rsidRPr="00EC46C5" w:rsidRDefault="00EC46C5" w:rsidP="00156704">
            <w:pPr>
              <w:rPr>
                <w:rFonts w:cs="Arial"/>
              </w:rPr>
            </w:pPr>
            <w:r w:rsidRPr="00EC46C5">
              <w:rPr>
                <w:rFonts w:cs="Arial"/>
              </w:rPr>
              <w:t>С неизвестна честота*</w:t>
            </w:r>
          </w:p>
        </w:tc>
        <w:tc>
          <w:tcPr>
            <w:tcW w:w="4675" w:type="dxa"/>
          </w:tcPr>
          <w:p w14:paraId="67721774" w14:textId="77777777" w:rsidR="00EC46C5" w:rsidRPr="00EC46C5" w:rsidRDefault="00EC46C5" w:rsidP="00156704">
            <w:pPr>
              <w:rPr>
                <w:rFonts w:cs="Arial"/>
              </w:rPr>
            </w:pPr>
            <w:r w:rsidRPr="00EC46C5">
              <w:rPr>
                <w:rFonts w:cs="Arial"/>
              </w:rPr>
              <w:t>Моторна полиневропатия</w:t>
            </w:r>
          </w:p>
          <w:p w14:paraId="480950E4" w14:textId="77777777" w:rsidR="00EC46C5" w:rsidRPr="00EC46C5" w:rsidRDefault="00EC46C5" w:rsidP="00156704">
            <w:pPr>
              <w:rPr>
                <w:rFonts w:cs="Arial"/>
              </w:rPr>
            </w:pPr>
          </w:p>
          <w:p w14:paraId="10D4B721" w14:textId="77777777" w:rsidR="00EC46C5" w:rsidRPr="00EC46C5" w:rsidRDefault="00EC46C5" w:rsidP="00156704">
            <w:pPr>
              <w:rPr>
                <w:rFonts w:cs="Arial"/>
              </w:rPr>
            </w:pPr>
            <w:r w:rsidRPr="00EC46C5">
              <w:rPr>
                <w:rFonts w:cs="Arial"/>
              </w:rPr>
              <w:t>Едем на оптичния нерв, включително оток на палилата с възможно зрително увреждане вследствие на доброкачествено повишаване на вътречерепното налягане</w:t>
            </w:r>
          </w:p>
          <w:p w14:paraId="32903B41" w14:textId="77777777" w:rsidR="00EC46C5" w:rsidRPr="00EC46C5" w:rsidRDefault="00EC46C5" w:rsidP="00156704">
            <w:pPr>
              <w:rPr>
                <w:rFonts w:cs="Arial"/>
              </w:rPr>
            </w:pPr>
          </w:p>
          <w:p w14:paraId="349292BD" w14:textId="0717AE8E" w:rsidR="00EC46C5" w:rsidRPr="00EC46C5" w:rsidRDefault="00EC46C5" w:rsidP="00156704">
            <w:pPr>
              <w:rPr>
                <w:rFonts w:cs="Arial"/>
              </w:rPr>
            </w:pPr>
            <w:r w:rsidRPr="00EC46C5">
              <w:rPr>
                <w:rFonts w:cs="Arial"/>
              </w:rPr>
              <w:t>Мигрена</w:t>
            </w:r>
          </w:p>
        </w:tc>
      </w:tr>
      <w:tr w:rsidR="00156704" w:rsidRPr="00EC46C5" w14:paraId="205B5C08" w14:textId="77777777" w:rsidTr="002B26FF">
        <w:tc>
          <w:tcPr>
            <w:tcW w:w="4675" w:type="dxa"/>
            <w:vAlign w:val="bottom"/>
          </w:tcPr>
          <w:p w14:paraId="7D050F6C" w14:textId="77777777" w:rsidR="00156704" w:rsidRPr="00EC46C5" w:rsidRDefault="00156704" w:rsidP="00156704">
            <w:pPr>
              <w:rPr>
                <w:rFonts w:cs="Arial"/>
              </w:rPr>
            </w:pPr>
            <w:r w:rsidRPr="00EC46C5">
              <w:rPr>
                <w:rFonts w:cs="Arial"/>
                <w:b/>
                <w:bCs/>
              </w:rPr>
              <w:t>Съдови нарушения</w:t>
            </w:r>
          </w:p>
          <w:p w14:paraId="462D92DA" w14:textId="77777777" w:rsidR="00156704" w:rsidRPr="00EC46C5" w:rsidRDefault="00156704" w:rsidP="00156704">
            <w:pPr>
              <w:rPr>
                <w:rFonts w:cs="Arial"/>
              </w:rPr>
            </w:pPr>
            <w:r w:rsidRPr="00EC46C5">
              <w:rPr>
                <w:rFonts w:cs="Arial"/>
              </w:rPr>
              <w:t>Много чести</w:t>
            </w:r>
          </w:p>
          <w:p w14:paraId="23409A01" w14:textId="5D678F55" w:rsidR="00156704" w:rsidRPr="00EC46C5" w:rsidRDefault="00156704" w:rsidP="00156704">
            <w:pPr>
              <w:rPr>
                <w:rFonts w:cs="Arial"/>
              </w:rPr>
            </w:pPr>
            <w:r w:rsidRPr="00EC46C5">
              <w:rPr>
                <w:rFonts w:cs="Arial"/>
              </w:rPr>
              <w:t>Чести</w:t>
            </w:r>
          </w:p>
        </w:tc>
        <w:tc>
          <w:tcPr>
            <w:tcW w:w="4675" w:type="dxa"/>
            <w:vAlign w:val="bottom"/>
          </w:tcPr>
          <w:p w14:paraId="68F29D6C" w14:textId="77777777" w:rsidR="00156704" w:rsidRPr="00EC46C5" w:rsidRDefault="00156704" w:rsidP="00156704">
            <w:pPr>
              <w:rPr>
                <w:rFonts w:cs="Arial"/>
              </w:rPr>
            </w:pPr>
            <w:r w:rsidRPr="00EC46C5">
              <w:rPr>
                <w:rFonts w:cs="Arial"/>
              </w:rPr>
              <w:t>Хипертония</w:t>
            </w:r>
          </w:p>
          <w:p w14:paraId="0060E5C5" w14:textId="3E8E2781" w:rsidR="00156704" w:rsidRPr="00EC46C5" w:rsidRDefault="00156704" w:rsidP="00156704">
            <w:pPr>
              <w:rPr>
                <w:rFonts w:cs="Arial"/>
              </w:rPr>
            </w:pPr>
            <w:r w:rsidRPr="00EC46C5">
              <w:rPr>
                <w:rFonts w:cs="Arial"/>
              </w:rPr>
              <w:t>Почервеняване</w:t>
            </w:r>
          </w:p>
        </w:tc>
      </w:tr>
      <w:tr w:rsidR="00156704" w:rsidRPr="00EC46C5" w14:paraId="67493737" w14:textId="77777777" w:rsidTr="002B26FF">
        <w:tc>
          <w:tcPr>
            <w:tcW w:w="4675" w:type="dxa"/>
            <w:vAlign w:val="bottom"/>
          </w:tcPr>
          <w:p w14:paraId="6E8E4F96" w14:textId="6B10D7DA" w:rsidR="00156704" w:rsidRPr="00EC46C5" w:rsidRDefault="00156704" w:rsidP="00156704">
            <w:pPr>
              <w:rPr>
                <w:rFonts w:cs="Arial"/>
              </w:rPr>
            </w:pPr>
            <w:r w:rsidRPr="00EC46C5">
              <w:rPr>
                <w:rFonts w:cs="Arial"/>
                <w:b/>
                <w:bCs/>
              </w:rPr>
              <w:t xml:space="preserve">Стомашно-чревни </w:t>
            </w:r>
            <w:r w:rsidR="00EC46C5" w:rsidRPr="00EC46C5">
              <w:rPr>
                <w:rFonts w:cs="Arial"/>
                <w:b/>
                <w:bCs/>
                <w:i/>
                <w:iCs/>
              </w:rPr>
              <w:t>нарушения</w:t>
            </w:r>
          </w:p>
          <w:p w14:paraId="64901185" w14:textId="77777777" w:rsidR="00156704" w:rsidRPr="00EC46C5" w:rsidRDefault="00156704" w:rsidP="00156704">
            <w:pPr>
              <w:rPr>
                <w:rFonts w:cs="Arial"/>
              </w:rPr>
            </w:pPr>
            <w:r w:rsidRPr="00EC46C5">
              <w:rPr>
                <w:rFonts w:cs="Arial"/>
              </w:rPr>
              <w:t>Чести</w:t>
            </w:r>
          </w:p>
          <w:p w14:paraId="5B08C76B" w14:textId="77777777" w:rsidR="00EC46C5" w:rsidRPr="00EC46C5" w:rsidRDefault="00EC46C5" w:rsidP="00156704">
            <w:pPr>
              <w:rPr>
                <w:rFonts w:cs="Arial"/>
              </w:rPr>
            </w:pPr>
          </w:p>
          <w:p w14:paraId="2E1258FF" w14:textId="77777777" w:rsidR="00EC46C5" w:rsidRPr="00EC46C5" w:rsidRDefault="00EC46C5" w:rsidP="00156704">
            <w:pPr>
              <w:rPr>
                <w:rFonts w:cs="Arial"/>
              </w:rPr>
            </w:pPr>
          </w:p>
          <w:p w14:paraId="6BF8B534" w14:textId="77777777" w:rsidR="00EC46C5" w:rsidRPr="00EC46C5" w:rsidRDefault="00EC46C5" w:rsidP="00156704">
            <w:pPr>
              <w:rPr>
                <w:rFonts w:cs="Arial"/>
              </w:rPr>
            </w:pPr>
          </w:p>
          <w:p w14:paraId="6BE671DA" w14:textId="10ECEACF" w:rsidR="00156704" w:rsidRPr="00EC46C5" w:rsidRDefault="00156704" w:rsidP="00156704">
            <w:pPr>
              <w:rPr>
                <w:rFonts w:cs="Arial"/>
              </w:rPr>
            </w:pPr>
            <w:r w:rsidRPr="00EC46C5">
              <w:rPr>
                <w:rFonts w:cs="Arial"/>
              </w:rPr>
              <w:t>Редки</w:t>
            </w:r>
          </w:p>
        </w:tc>
        <w:tc>
          <w:tcPr>
            <w:tcW w:w="4675" w:type="dxa"/>
            <w:vAlign w:val="bottom"/>
          </w:tcPr>
          <w:p w14:paraId="572A309D" w14:textId="765A97BB" w:rsidR="00156704" w:rsidRPr="00EC46C5" w:rsidRDefault="00156704" w:rsidP="00156704">
            <w:pPr>
              <w:rPr>
                <w:rFonts w:cs="Arial"/>
              </w:rPr>
            </w:pPr>
          </w:p>
          <w:p w14:paraId="0897CDBB" w14:textId="77777777" w:rsidR="00156704" w:rsidRPr="00EC46C5" w:rsidRDefault="00156704" w:rsidP="00156704">
            <w:pPr>
              <w:rPr>
                <w:rFonts w:cs="Arial"/>
              </w:rPr>
            </w:pPr>
            <w:r w:rsidRPr="00EC46C5">
              <w:rPr>
                <w:rFonts w:cs="Arial"/>
              </w:rPr>
              <w:t>Гадене, повръщане, стомашен дискомфорт/болка, диария, гингивална хиперплазия, пептична язва</w:t>
            </w:r>
          </w:p>
          <w:p w14:paraId="073C7042" w14:textId="77777777" w:rsidR="00EC46C5" w:rsidRPr="00EC46C5" w:rsidRDefault="00EC46C5" w:rsidP="00156704">
            <w:pPr>
              <w:rPr>
                <w:rFonts w:cs="Arial"/>
              </w:rPr>
            </w:pPr>
          </w:p>
          <w:p w14:paraId="02AAA359" w14:textId="0C7BDF91" w:rsidR="00156704" w:rsidRPr="00EC46C5" w:rsidRDefault="00156704" w:rsidP="00156704">
            <w:pPr>
              <w:rPr>
                <w:rFonts w:cs="Arial"/>
              </w:rPr>
            </w:pPr>
            <w:r w:rsidRPr="00EC46C5">
              <w:rPr>
                <w:rFonts w:cs="Arial"/>
              </w:rPr>
              <w:t>Панкреатит</w:t>
            </w:r>
          </w:p>
        </w:tc>
      </w:tr>
      <w:tr w:rsidR="00EC46C5" w:rsidRPr="00EC46C5" w14:paraId="112495FD" w14:textId="77777777" w:rsidTr="005D1692">
        <w:tc>
          <w:tcPr>
            <w:tcW w:w="4675" w:type="dxa"/>
          </w:tcPr>
          <w:p w14:paraId="02DC7988" w14:textId="143E572E" w:rsidR="00EC46C5" w:rsidRPr="00EC46C5" w:rsidRDefault="00EC46C5" w:rsidP="00EC46C5">
            <w:pPr>
              <w:rPr>
                <w:rFonts w:cs="Arial"/>
              </w:rPr>
            </w:pPr>
            <w:r w:rsidRPr="00EC46C5">
              <w:rPr>
                <w:rFonts w:cs="Arial"/>
                <w:b/>
                <w:bCs/>
              </w:rPr>
              <w:t>Хепатобилиарни нарушения</w:t>
            </w:r>
          </w:p>
          <w:p w14:paraId="79C6DB5A" w14:textId="77777777" w:rsidR="00EC46C5" w:rsidRPr="00EC46C5" w:rsidRDefault="00EC46C5" w:rsidP="00EC46C5">
            <w:pPr>
              <w:rPr>
                <w:rFonts w:cs="Arial"/>
              </w:rPr>
            </w:pPr>
          </w:p>
          <w:p w14:paraId="5F2F0F20" w14:textId="53A8475F" w:rsidR="00EC46C5" w:rsidRPr="00EC46C5" w:rsidRDefault="00EC46C5" w:rsidP="00EC46C5">
            <w:pPr>
              <w:rPr>
                <w:rFonts w:cs="Arial"/>
              </w:rPr>
            </w:pPr>
            <w:r w:rsidRPr="00EC46C5">
              <w:rPr>
                <w:rFonts w:cs="Arial"/>
              </w:rPr>
              <w:t>Чести</w:t>
            </w:r>
          </w:p>
          <w:p w14:paraId="247E75C8" w14:textId="77777777" w:rsidR="00EC46C5" w:rsidRPr="00EC46C5" w:rsidRDefault="00EC46C5" w:rsidP="00EC46C5">
            <w:pPr>
              <w:rPr>
                <w:rFonts w:cs="Arial"/>
              </w:rPr>
            </w:pPr>
          </w:p>
          <w:p w14:paraId="2B3C21DB" w14:textId="77777777" w:rsidR="00EC46C5" w:rsidRPr="00EC46C5" w:rsidRDefault="00EC46C5" w:rsidP="00EC46C5">
            <w:pPr>
              <w:rPr>
                <w:rFonts w:cs="Arial"/>
              </w:rPr>
            </w:pPr>
          </w:p>
          <w:p w14:paraId="7ED8276C" w14:textId="57D5416F" w:rsidR="00EC46C5" w:rsidRPr="00EC46C5" w:rsidRDefault="00EC46C5" w:rsidP="00EC46C5">
            <w:pPr>
              <w:rPr>
                <w:rFonts w:cs="Arial"/>
              </w:rPr>
            </w:pPr>
            <w:r w:rsidRPr="00EC46C5">
              <w:rPr>
                <w:rFonts w:cs="Arial"/>
              </w:rPr>
              <w:t>С неизвестна честота*</w:t>
            </w:r>
          </w:p>
        </w:tc>
        <w:tc>
          <w:tcPr>
            <w:tcW w:w="4675" w:type="dxa"/>
            <w:vAlign w:val="bottom"/>
          </w:tcPr>
          <w:p w14:paraId="357FD770" w14:textId="77777777" w:rsidR="00EC46C5" w:rsidRPr="00EC46C5" w:rsidRDefault="00EC46C5" w:rsidP="00EC46C5">
            <w:pPr>
              <w:rPr>
                <w:rFonts w:cs="Arial"/>
              </w:rPr>
            </w:pPr>
          </w:p>
          <w:p w14:paraId="22E70570" w14:textId="77777777" w:rsidR="00EC46C5" w:rsidRPr="00EC46C5" w:rsidRDefault="00EC46C5" w:rsidP="00EC46C5">
            <w:pPr>
              <w:rPr>
                <w:rFonts w:cs="Arial"/>
              </w:rPr>
            </w:pPr>
          </w:p>
          <w:p w14:paraId="09DFCC6B" w14:textId="77777777" w:rsidR="00EC46C5" w:rsidRPr="00EC46C5" w:rsidRDefault="00EC46C5" w:rsidP="00EC46C5">
            <w:pPr>
              <w:rPr>
                <w:rFonts w:cs="Arial"/>
              </w:rPr>
            </w:pPr>
            <w:r w:rsidRPr="00EC46C5">
              <w:rPr>
                <w:rFonts w:cs="Arial"/>
              </w:rPr>
              <w:t xml:space="preserve">Нарушаване на чернодробната функция (вж. точка 4.4) </w:t>
            </w:r>
          </w:p>
          <w:p w14:paraId="69AE1E82" w14:textId="77777777" w:rsidR="00EC46C5" w:rsidRPr="00EC46C5" w:rsidRDefault="00EC46C5" w:rsidP="00EC46C5">
            <w:pPr>
              <w:rPr>
                <w:rFonts w:cs="Arial"/>
              </w:rPr>
            </w:pPr>
          </w:p>
          <w:p w14:paraId="456D6766" w14:textId="69B1EBC0" w:rsidR="00EC46C5" w:rsidRPr="00EC46C5" w:rsidRDefault="00EC46C5" w:rsidP="00EC46C5">
            <w:pPr>
              <w:rPr>
                <w:rFonts w:cs="Arial"/>
              </w:rPr>
            </w:pPr>
            <w:r w:rsidRPr="00EC46C5">
              <w:rPr>
                <w:rFonts w:cs="Arial"/>
              </w:rPr>
              <w:t>Хепатотоксичност и чернодробно увреждане, включително холестаза, жълтеница, хепатит и чернодробна недостатъчност, понякога с фатален изход (вж. точка 4.4)</w:t>
            </w:r>
          </w:p>
        </w:tc>
      </w:tr>
      <w:tr w:rsidR="00EC46C5" w:rsidRPr="00EC46C5" w14:paraId="4EAFBEF9" w14:textId="77777777" w:rsidTr="005D1692">
        <w:tc>
          <w:tcPr>
            <w:tcW w:w="4675" w:type="dxa"/>
            <w:vAlign w:val="bottom"/>
          </w:tcPr>
          <w:p w14:paraId="2E612E78" w14:textId="2A53B564" w:rsidR="00EC46C5" w:rsidRPr="00EC46C5" w:rsidRDefault="00EC46C5" w:rsidP="00EC46C5">
            <w:pPr>
              <w:rPr>
                <w:rFonts w:cs="Arial"/>
              </w:rPr>
            </w:pPr>
            <w:r w:rsidRPr="00EC46C5">
              <w:rPr>
                <w:rFonts w:cs="Arial"/>
                <w:b/>
                <w:bCs/>
              </w:rPr>
              <w:lastRenderedPageBreak/>
              <w:t>Нарушения на кожата и подкожната тъкан</w:t>
            </w:r>
          </w:p>
          <w:p w14:paraId="36D64C2B" w14:textId="77777777" w:rsidR="00EC46C5" w:rsidRPr="00EC46C5" w:rsidRDefault="00EC46C5" w:rsidP="00EC46C5">
            <w:pPr>
              <w:rPr>
                <w:rFonts w:cs="Arial"/>
              </w:rPr>
            </w:pPr>
          </w:p>
          <w:p w14:paraId="61408CEE" w14:textId="3CEBA2EE" w:rsidR="00EC46C5" w:rsidRPr="00EC46C5" w:rsidRDefault="00EC46C5" w:rsidP="00EC46C5">
            <w:pPr>
              <w:rPr>
                <w:rFonts w:cs="Arial"/>
              </w:rPr>
            </w:pPr>
            <w:r w:rsidRPr="00EC46C5">
              <w:rPr>
                <w:rFonts w:cs="Arial"/>
              </w:rPr>
              <w:t>Много чести</w:t>
            </w:r>
          </w:p>
          <w:p w14:paraId="5E60CFC6" w14:textId="77777777" w:rsidR="00EC46C5" w:rsidRPr="00EC46C5" w:rsidRDefault="00EC46C5" w:rsidP="00EC46C5">
            <w:pPr>
              <w:rPr>
                <w:rFonts w:cs="Arial"/>
              </w:rPr>
            </w:pPr>
          </w:p>
          <w:p w14:paraId="046B706A" w14:textId="074E3556" w:rsidR="00EC46C5" w:rsidRPr="00EC46C5" w:rsidRDefault="00EC46C5" w:rsidP="00EC46C5">
            <w:pPr>
              <w:rPr>
                <w:rFonts w:cs="Arial"/>
              </w:rPr>
            </w:pPr>
            <w:r w:rsidRPr="00EC46C5">
              <w:rPr>
                <w:rFonts w:cs="Arial"/>
              </w:rPr>
              <w:t>Чести</w:t>
            </w:r>
          </w:p>
          <w:p w14:paraId="4E8E08D7" w14:textId="77777777" w:rsidR="00EC46C5" w:rsidRPr="00EC46C5" w:rsidRDefault="00EC46C5" w:rsidP="00EC46C5">
            <w:pPr>
              <w:rPr>
                <w:rFonts w:cs="Arial"/>
              </w:rPr>
            </w:pPr>
          </w:p>
          <w:p w14:paraId="439ACDE5" w14:textId="38271644" w:rsidR="00EC46C5" w:rsidRPr="00EC46C5" w:rsidRDefault="00EC46C5" w:rsidP="00EC46C5">
            <w:pPr>
              <w:rPr>
                <w:rFonts w:cs="Arial"/>
              </w:rPr>
            </w:pPr>
            <w:r w:rsidRPr="00EC46C5">
              <w:rPr>
                <w:rFonts w:cs="Arial"/>
              </w:rPr>
              <w:t>Нечести</w:t>
            </w:r>
          </w:p>
        </w:tc>
        <w:tc>
          <w:tcPr>
            <w:tcW w:w="4675" w:type="dxa"/>
            <w:vAlign w:val="bottom"/>
          </w:tcPr>
          <w:p w14:paraId="45A656CA" w14:textId="77777777" w:rsidR="00EC46C5" w:rsidRPr="00EC46C5" w:rsidRDefault="00EC46C5" w:rsidP="00EC46C5">
            <w:pPr>
              <w:rPr>
                <w:rFonts w:cs="Arial"/>
              </w:rPr>
            </w:pPr>
          </w:p>
          <w:p w14:paraId="095CAF45" w14:textId="77777777" w:rsidR="00EC46C5" w:rsidRPr="00EC46C5" w:rsidRDefault="00EC46C5" w:rsidP="00EC46C5">
            <w:pPr>
              <w:rPr>
                <w:rFonts w:cs="Arial"/>
              </w:rPr>
            </w:pPr>
          </w:p>
          <w:p w14:paraId="33C42863" w14:textId="77777777" w:rsidR="00EC46C5" w:rsidRPr="00EC46C5" w:rsidRDefault="00EC46C5" w:rsidP="00EC46C5">
            <w:pPr>
              <w:rPr>
                <w:rFonts w:cs="Arial"/>
              </w:rPr>
            </w:pPr>
          </w:p>
          <w:p w14:paraId="1010A0B4" w14:textId="43BC8EEE" w:rsidR="00EC46C5" w:rsidRPr="00EC46C5" w:rsidRDefault="00EC46C5" w:rsidP="00EC46C5">
            <w:pPr>
              <w:rPr>
                <w:rFonts w:cs="Arial"/>
              </w:rPr>
            </w:pPr>
            <w:r w:rsidRPr="00EC46C5">
              <w:rPr>
                <w:rFonts w:cs="Arial"/>
              </w:rPr>
              <w:t>Хирзутизъм</w:t>
            </w:r>
          </w:p>
          <w:p w14:paraId="5040EBEE" w14:textId="77777777" w:rsidR="00EC46C5" w:rsidRPr="00EC46C5" w:rsidRDefault="00EC46C5" w:rsidP="00EC46C5">
            <w:pPr>
              <w:rPr>
                <w:rFonts w:cs="Arial"/>
              </w:rPr>
            </w:pPr>
          </w:p>
          <w:p w14:paraId="68F1C8E5" w14:textId="430FCD39" w:rsidR="00EC46C5" w:rsidRPr="00EC46C5" w:rsidRDefault="00EC46C5" w:rsidP="00EC46C5">
            <w:pPr>
              <w:rPr>
                <w:rFonts w:cs="Arial"/>
              </w:rPr>
            </w:pPr>
            <w:r w:rsidRPr="00EC46C5">
              <w:rPr>
                <w:rFonts w:cs="Arial"/>
              </w:rPr>
              <w:t>Акне, хипертрихоза</w:t>
            </w:r>
          </w:p>
          <w:p w14:paraId="789646CD" w14:textId="77777777" w:rsidR="00EC46C5" w:rsidRPr="00EC46C5" w:rsidRDefault="00EC46C5" w:rsidP="00EC46C5">
            <w:pPr>
              <w:rPr>
                <w:rFonts w:cs="Arial"/>
              </w:rPr>
            </w:pPr>
          </w:p>
          <w:p w14:paraId="24D9B2DE" w14:textId="65A7FCB3" w:rsidR="00EC46C5" w:rsidRPr="00EC46C5" w:rsidRDefault="00EC46C5" w:rsidP="00EC46C5">
            <w:pPr>
              <w:rPr>
                <w:rFonts w:cs="Arial"/>
              </w:rPr>
            </w:pPr>
            <w:r w:rsidRPr="00EC46C5">
              <w:rPr>
                <w:rFonts w:cs="Arial"/>
              </w:rPr>
              <w:t>Алергичен обрив</w:t>
            </w:r>
          </w:p>
        </w:tc>
      </w:tr>
      <w:tr w:rsidR="00EC46C5" w:rsidRPr="00EC46C5" w14:paraId="2C69044B" w14:textId="77777777" w:rsidTr="005D1692">
        <w:tc>
          <w:tcPr>
            <w:tcW w:w="4675" w:type="dxa"/>
            <w:vAlign w:val="bottom"/>
          </w:tcPr>
          <w:p w14:paraId="28B00568" w14:textId="03CC3CA7" w:rsidR="00EC46C5" w:rsidRPr="00EC46C5" w:rsidRDefault="00EC46C5" w:rsidP="00EC46C5">
            <w:pPr>
              <w:rPr>
                <w:rFonts w:cs="Arial"/>
              </w:rPr>
            </w:pPr>
            <w:r w:rsidRPr="00EC46C5">
              <w:rPr>
                <w:rFonts w:cs="Arial"/>
                <w:b/>
                <w:bCs/>
              </w:rPr>
              <w:t xml:space="preserve">Нарушения на муск </w:t>
            </w:r>
            <w:r w:rsidRPr="00EC46C5">
              <w:rPr>
                <w:rFonts w:cs="Arial"/>
                <w:b/>
                <w:bCs/>
              </w:rPr>
              <w:t>улно-скелетната система и съединителната тъкан</w:t>
            </w:r>
          </w:p>
          <w:p w14:paraId="43364DF4" w14:textId="77777777" w:rsidR="00EC46C5" w:rsidRPr="00EC46C5" w:rsidRDefault="00EC46C5" w:rsidP="00EC46C5">
            <w:pPr>
              <w:rPr>
                <w:rFonts w:cs="Arial"/>
              </w:rPr>
            </w:pPr>
          </w:p>
          <w:p w14:paraId="5F211130" w14:textId="045B7223" w:rsidR="00EC46C5" w:rsidRPr="00EC46C5" w:rsidRDefault="00EC46C5" w:rsidP="00EC46C5">
            <w:pPr>
              <w:rPr>
                <w:rFonts w:cs="Arial"/>
              </w:rPr>
            </w:pPr>
            <w:r w:rsidRPr="00EC46C5">
              <w:rPr>
                <w:rFonts w:cs="Arial"/>
              </w:rPr>
              <w:t>Чести</w:t>
            </w:r>
          </w:p>
          <w:p w14:paraId="5B479432" w14:textId="77777777" w:rsidR="00EC46C5" w:rsidRPr="00EC46C5" w:rsidRDefault="00EC46C5" w:rsidP="00EC46C5">
            <w:pPr>
              <w:rPr>
                <w:rFonts w:cs="Arial"/>
              </w:rPr>
            </w:pPr>
          </w:p>
          <w:p w14:paraId="7B56C82F" w14:textId="77777777" w:rsidR="00EC46C5" w:rsidRPr="00EC46C5" w:rsidRDefault="00EC46C5" w:rsidP="00EC46C5">
            <w:pPr>
              <w:rPr>
                <w:rFonts w:cs="Arial"/>
              </w:rPr>
            </w:pPr>
          </w:p>
          <w:p w14:paraId="129D4B63" w14:textId="090E0EB4" w:rsidR="00EC46C5" w:rsidRPr="00EC46C5" w:rsidRDefault="00EC46C5" w:rsidP="00EC46C5">
            <w:pPr>
              <w:rPr>
                <w:rFonts w:cs="Arial"/>
              </w:rPr>
            </w:pPr>
            <w:r w:rsidRPr="00EC46C5">
              <w:rPr>
                <w:rFonts w:cs="Arial"/>
              </w:rPr>
              <w:t>Редки</w:t>
            </w:r>
          </w:p>
          <w:p w14:paraId="58A33985" w14:textId="77777777" w:rsidR="00EC46C5" w:rsidRPr="00EC46C5" w:rsidRDefault="00EC46C5" w:rsidP="00EC46C5">
            <w:pPr>
              <w:rPr>
                <w:rFonts w:cs="Arial"/>
              </w:rPr>
            </w:pPr>
          </w:p>
          <w:p w14:paraId="473E2582" w14:textId="54A2EA94" w:rsidR="00EC46C5" w:rsidRPr="00EC46C5" w:rsidRDefault="00EC46C5" w:rsidP="00EC46C5">
            <w:pPr>
              <w:rPr>
                <w:rFonts w:cs="Arial"/>
              </w:rPr>
            </w:pPr>
            <w:r w:rsidRPr="00EC46C5">
              <w:rPr>
                <w:rFonts w:cs="Arial"/>
              </w:rPr>
              <w:t>С неизвестна честота*</w:t>
            </w:r>
          </w:p>
        </w:tc>
        <w:tc>
          <w:tcPr>
            <w:tcW w:w="4675" w:type="dxa"/>
          </w:tcPr>
          <w:p w14:paraId="6DE3BE86" w14:textId="77777777" w:rsidR="00EC46C5" w:rsidRPr="00EC46C5" w:rsidRDefault="00EC46C5" w:rsidP="00EC46C5">
            <w:pPr>
              <w:rPr>
                <w:rFonts w:cs="Arial"/>
              </w:rPr>
            </w:pPr>
          </w:p>
          <w:p w14:paraId="07CBF545" w14:textId="77777777" w:rsidR="00EC46C5" w:rsidRPr="00EC46C5" w:rsidRDefault="00EC46C5" w:rsidP="00EC46C5">
            <w:pPr>
              <w:rPr>
                <w:rFonts w:cs="Arial"/>
              </w:rPr>
            </w:pPr>
          </w:p>
          <w:p w14:paraId="5BFDC54C" w14:textId="77777777" w:rsidR="00EC46C5" w:rsidRPr="00EC46C5" w:rsidRDefault="00EC46C5" w:rsidP="00EC46C5">
            <w:pPr>
              <w:rPr>
                <w:rFonts w:cs="Arial"/>
              </w:rPr>
            </w:pPr>
          </w:p>
          <w:p w14:paraId="06BFB0B2" w14:textId="11CF6899" w:rsidR="00EC46C5" w:rsidRPr="00EC46C5" w:rsidRDefault="00EC46C5" w:rsidP="00EC46C5">
            <w:pPr>
              <w:rPr>
                <w:rFonts w:cs="Arial"/>
              </w:rPr>
            </w:pPr>
            <w:r w:rsidRPr="00EC46C5">
              <w:rPr>
                <w:rFonts w:cs="Arial"/>
              </w:rPr>
              <w:t>Миалгия, мускулни крампи</w:t>
            </w:r>
          </w:p>
          <w:p w14:paraId="1C37BD1D" w14:textId="77777777" w:rsidR="00EC46C5" w:rsidRPr="00EC46C5" w:rsidRDefault="00EC46C5" w:rsidP="00EC46C5">
            <w:pPr>
              <w:rPr>
                <w:rFonts w:cs="Arial"/>
              </w:rPr>
            </w:pPr>
          </w:p>
          <w:p w14:paraId="02EA58C3" w14:textId="7402CA07" w:rsidR="00EC46C5" w:rsidRPr="00EC46C5" w:rsidRDefault="00EC46C5" w:rsidP="00EC46C5">
            <w:pPr>
              <w:rPr>
                <w:rFonts w:cs="Arial"/>
              </w:rPr>
            </w:pPr>
            <w:r w:rsidRPr="00EC46C5">
              <w:rPr>
                <w:rFonts w:cs="Arial"/>
              </w:rPr>
              <w:t>Мускулна слабост, миопатия</w:t>
            </w:r>
          </w:p>
          <w:p w14:paraId="4D7D75C8" w14:textId="77777777" w:rsidR="00EC46C5" w:rsidRPr="00EC46C5" w:rsidRDefault="00EC46C5" w:rsidP="00EC46C5">
            <w:pPr>
              <w:rPr>
                <w:rFonts w:cs="Arial"/>
              </w:rPr>
            </w:pPr>
          </w:p>
          <w:p w14:paraId="75BFA3FE" w14:textId="77777777" w:rsidR="00EC46C5" w:rsidRPr="00EC46C5" w:rsidRDefault="00EC46C5" w:rsidP="00EC46C5">
            <w:pPr>
              <w:rPr>
                <w:rFonts w:cs="Arial"/>
              </w:rPr>
            </w:pPr>
          </w:p>
          <w:p w14:paraId="3631B7E8" w14:textId="08E28973" w:rsidR="00EC46C5" w:rsidRPr="00EC46C5" w:rsidRDefault="00EC46C5" w:rsidP="00EC46C5">
            <w:pPr>
              <w:rPr>
                <w:rFonts w:cs="Arial"/>
              </w:rPr>
            </w:pPr>
            <w:r w:rsidRPr="00EC46C5">
              <w:rPr>
                <w:rFonts w:cs="Arial"/>
              </w:rPr>
              <w:t>Болка в долните крайници</w:t>
            </w:r>
          </w:p>
        </w:tc>
      </w:tr>
      <w:tr w:rsidR="00EC46C5" w:rsidRPr="00EC46C5" w14:paraId="6388D8D6" w14:textId="77777777" w:rsidTr="005D1692">
        <w:tc>
          <w:tcPr>
            <w:tcW w:w="4675" w:type="dxa"/>
            <w:vAlign w:val="bottom"/>
          </w:tcPr>
          <w:p w14:paraId="19F5C083" w14:textId="2ECEB22A" w:rsidR="00EC46C5" w:rsidRPr="00EC46C5" w:rsidRDefault="00EC46C5" w:rsidP="00EC46C5">
            <w:pPr>
              <w:rPr>
                <w:rFonts w:cs="Arial"/>
              </w:rPr>
            </w:pPr>
            <w:r w:rsidRPr="00EC46C5">
              <w:rPr>
                <w:rFonts w:cs="Arial"/>
                <w:b/>
                <w:bCs/>
              </w:rPr>
              <w:t>Нарушения на бъбр</w:t>
            </w:r>
            <w:r w:rsidRPr="00EC46C5">
              <w:rPr>
                <w:rFonts w:cs="Arial"/>
                <w:b/>
                <w:bCs/>
              </w:rPr>
              <w:t>еците и пикочните пътища</w:t>
            </w:r>
          </w:p>
          <w:p w14:paraId="25759E92" w14:textId="77777777" w:rsidR="00EC46C5" w:rsidRPr="00EC46C5" w:rsidRDefault="00EC46C5" w:rsidP="00EC46C5">
            <w:pPr>
              <w:rPr>
                <w:rFonts w:cs="Arial"/>
              </w:rPr>
            </w:pPr>
          </w:p>
          <w:p w14:paraId="53D66FE3" w14:textId="2C510AB3" w:rsidR="00EC46C5" w:rsidRPr="00EC46C5" w:rsidRDefault="00EC46C5" w:rsidP="00EC46C5">
            <w:pPr>
              <w:rPr>
                <w:rFonts w:cs="Arial"/>
              </w:rPr>
            </w:pPr>
            <w:r w:rsidRPr="00EC46C5">
              <w:rPr>
                <w:rFonts w:cs="Arial"/>
              </w:rPr>
              <w:t>Много чести</w:t>
            </w:r>
          </w:p>
        </w:tc>
        <w:tc>
          <w:tcPr>
            <w:tcW w:w="4675" w:type="dxa"/>
            <w:vAlign w:val="bottom"/>
          </w:tcPr>
          <w:p w14:paraId="648F2B9B" w14:textId="72420AE5" w:rsidR="00EC46C5" w:rsidRPr="00EC46C5" w:rsidRDefault="00EC46C5" w:rsidP="00EC46C5">
            <w:pPr>
              <w:rPr>
                <w:rFonts w:cs="Arial"/>
              </w:rPr>
            </w:pPr>
            <w:r w:rsidRPr="00EC46C5">
              <w:rPr>
                <w:rFonts w:cs="Arial"/>
              </w:rPr>
              <w:t>Бъбречна дисфункция (вж. точка 4.4)</w:t>
            </w:r>
          </w:p>
        </w:tc>
      </w:tr>
      <w:tr w:rsidR="00EC46C5" w:rsidRPr="00EC46C5" w14:paraId="7F120155" w14:textId="77777777" w:rsidTr="00174180">
        <w:tc>
          <w:tcPr>
            <w:tcW w:w="4675" w:type="dxa"/>
            <w:vAlign w:val="bottom"/>
          </w:tcPr>
          <w:p w14:paraId="32B7D668" w14:textId="285ED457" w:rsidR="00EC46C5" w:rsidRPr="00EC46C5" w:rsidRDefault="00EC46C5" w:rsidP="00EC46C5">
            <w:pPr>
              <w:rPr>
                <w:rFonts w:cs="Arial"/>
              </w:rPr>
            </w:pPr>
            <w:r w:rsidRPr="00EC46C5">
              <w:rPr>
                <w:rFonts w:cs="Arial"/>
                <w:b/>
                <w:bCs/>
              </w:rPr>
              <w:t>Нарушения на възп</w:t>
            </w:r>
            <w:r w:rsidRPr="00EC46C5">
              <w:rPr>
                <w:rFonts w:cs="Arial"/>
                <w:b/>
                <w:bCs/>
              </w:rPr>
              <w:t>роизводителната система и гърдата</w:t>
            </w:r>
          </w:p>
          <w:p w14:paraId="4562C67D" w14:textId="77777777" w:rsidR="00EC46C5" w:rsidRPr="00EC46C5" w:rsidRDefault="00EC46C5" w:rsidP="00EC46C5">
            <w:pPr>
              <w:rPr>
                <w:rFonts w:cs="Arial"/>
                <w:b/>
                <w:bCs/>
              </w:rPr>
            </w:pPr>
            <w:r w:rsidRPr="00EC46C5">
              <w:rPr>
                <w:rFonts w:cs="Arial"/>
                <w:b/>
                <w:bCs/>
              </w:rPr>
              <w:t xml:space="preserve"> </w:t>
            </w:r>
          </w:p>
          <w:p w14:paraId="13F3696E" w14:textId="40B39B8A" w:rsidR="00EC46C5" w:rsidRPr="00EC46C5" w:rsidRDefault="00EC46C5" w:rsidP="00EC46C5">
            <w:pPr>
              <w:rPr>
                <w:rFonts w:cs="Arial"/>
              </w:rPr>
            </w:pPr>
            <w:r w:rsidRPr="00EC46C5">
              <w:rPr>
                <w:rFonts w:cs="Arial"/>
              </w:rPr>
              <w:t>Редки</w:t>
            </w:r>
          </w:p>
        </w:tc>
        <w:tc>
          <w:tcPr>
            <w:tcW w:w="4675" w:type="dxa"/>
            <w:vAlign w:val="bottom"/>
          </w:tcPr>
          <w:p w14:paraId="19F884C9" w14:textId="77777777" w:rsidR="00EC46C5" w:rsidRPr="00EC46C5" w:rsidRDefault="00EC46C5" w:rsidP="00EC46C5">
            <w:pPr>
              <w:rPr>
                <w:rFonts w:cs="Arial"/>
              </w:rPr>
            </w:pPr>
          </w:p>
          <w:p w14:paraId="7C2052B6" w14:textId="3C5EC000" w:rsidR="00EC46C5" w:rsidRPr="00EC46C5" w:rsidRDefault="00EC46C5" w:rsidP="00EC46C5">
            <w:pPr>
              <w:rPr>
                <w:rFonts w:cs="Arial"/>
              </w:rPr>
            </w:pPr>
            <w:r w:rsidRPr="00EC46C5">
              <w:rPr>
                <w:rFonts w:cs="Arial"/>
              </w:rPr>
              <w:t>Менструални нарушения, гинекомастия</w:t>
            </w:r>
          </w:p>
        </w:tc>
      </w:tr>
      <w:tr w:rsidR="00EC46C5" w:rsidRPr="00EC46C5" w14:paraId="210356FD" w14:textId="77777777" w:rsidTr="006D3926">
        <w:trPr>
          <w:trHeight w:val="1315"/>
        </w:trPr>
        <w:tc>
          <w:tcPr>
            <w:tcW w:w="4675" w:type="dxa"/>
            <w:vAlign w:val="bottom"/>
          </w:tcPr>
          <w:p w14:paraId="1E9D2F6F" w14:textId="77777777" w:rsidR="00EC46C5" w:rsidRPr="00EC46C5" w:rsidRDefault="00EC46C5" w:rsidP="00EC46C5">
            <w:pPr>
              <w:rPr>
                <w:rFonts w:cs="Arial"/>
                <w:b/>
                <w:bCs/>
              </w:rPr>
            </w:pPr>
            <w:r w:rsidRPr="00EC46C5">
              <w:rPr>
                <w:rFonts w:cs="Arial"/>
                <w:b/>
                <w:bCs/>
              </w:rPr>
              <w:t>Общи нарушения и</w:t>
            </w:r>
            <w:r w:rsidRPr="00EC46C5">
              <w:rPr>
                <w:rFonts w:cs="Arial"/>
                <w:b/>
                <w:bCs/>
              </w:rPr>
              <w:t xml:space="preserve"> </w:t>
            </w:r>
            <w:r w:rsidRPr="00EC46C5">
              <w:rPr>
                <w:rFonts w:cs="Arial"/>
                <w:b/>
                <w:bCs/>
              </w:rPr>
              <w:t>ефекти на мястото на приложение</w:t>
            </w:r>
          </w:p>
          <w:p w14:paraId="25395610" w14:textId="77777777" w:rsidR="00EC46C5" w:rsidRPr="00EC46C5" w:rsidRDefault="00EC46C5" w:rsidP="00EC46C5">
            <w:pPr>
              <w:spacing w:line="240" w:lineRule="auto"/>
              <w:rPr>
                <w:rFonts w:eastAsia="Times New Roman" w:cs="Arial"/>
                <w:color w:val="000000"/>
                <w:lang w:eastAsia="bg-BG"/>
              </w:rPr>
            </w:pPr>
          </w:p>
          <w:p w14:paraId="0F317D1C" w14:textId="36C4568E"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Чести</w:t>
            </w:r>
          </w:p>
          <w:p w14:paraId="0E941F44" w14:textId="77777777" w:rsidR="00EC46C5" w:rsidRPr="00EC46C5" w:rsidRDefault="00EC46C5" w:rsidP="00EC46C5">
            <w:pPr>
              <w:rPr>
                <w:rFonts w:eastAsia="Times New Roman" w:cs="Arial"/>
                <w:color w:val="000000"/>
                <w:lang w:eastAsia="bg-BG"/>
              </w:rPr>
            </w:pPr>
          </w:p>
          <w:p w14:paraId="5954FD5F" w14:textId="3092E626" w:rsidR="00EC46C5" w:rsidRPr="00EC46C5" w:rsidRDefault="00EC46C5" w:rsidP="00EC46C5">
            <w:pPr>
              <w:rPr>
                <w:rFonts w:cs="Arial"/>
                <w:b/>
                <w:bCs/>
              </w:rPr>
            </w:pPr>
            <w:r w:rsidRPr="00EC46C5">
              <w:rPr>
                <w:rFonts w:eastAsia="Times New Roman" w:cs="Arial"/>
                <w:color w:val="000000"/>
                <w:lang w:eastAsia="bg-BG"/>
              </w:rPr>
              <w:t>Нечести</w:t>
            </w:r>
          </w:p>
        </w:tc>
        <w:tc>
          <w:tcPr>
            <w:tcW w:w="4675" w:type="dxa"/>
            <w:vAlign w:val="bottom"/>
          </w:tcPr>
          <w:p w14:paraId="3A2C8B3F"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Пирексия, умора</w:t>
            </w:r>
          </w:p>
          <w:p w14:paraId="067E2660" w14:textId="77777777" w:rsidR="00EC46C5" w:rsidRPr="00EC46C5" w:rsidRDefault="00EC46C5" w:rsidP="00EC46C5">
            <w:pPr>
              <w:rPr>
                <w:rFonts w:eastAsia="Times New Roman" w:cs="Arial"/>
                <w:color w:val="000000"/>
                <w:lang w:eastAsia="bg-BG"/>
              </w:rPr>
            </w:pPr>
          </w:p>
          <w:p w14:paraId="2C890EA3" w14:textId="7C7DF071" w:rsidR="00EC46C5" w:rsidRPr="00EC46C5" w:rsidRDefault="00EC46C5" w:rsidP="00EC46C5">
            <w:pPr>
              <w:rPr>
                <w:rFonts w:cs="Arial"/>
              </w:rPr>
            </w:pPr>
            <w:r w:rsidRPr="00EC46C5">
              <w:rPr>
                <w:rFonts w:eastAsia="Times New Roman" w:cs="Arial"/>
                <w:color w:val="000000"/>
                <w:lang w:eastAsia="bg-BG"/>
              </w:rPr>
              <w:t>Оток, повишаване на теглото</w:t>
            </w:r>
          </w:p>
        </w:tc>
      </w:tr>
      <w:tr w:rsidR="00EC46C5" w:rsidRPr="00EC46C5" w14:paraId="3E908BD7" w14:textId="77777777" w:rsidTr="00740DCD">
        <w:tc>
          <w:tcPr>
            <w:tcW w:w="9350" w:type="dxa"/>
            <w:gridSpan w:val="2"/>
          </w:tcPr>
          <w:p w14:paraId="1698ECBF" w14:textId="2D43AEA9"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 xml:space="preserve">* Нежелани реакции, </w:t>
            </w:r>
            <w:r w:rsidRPr="00EC46C5">
              <w:rPr>
                <w:rFonts w:cs="Arial"/>
              </w:rPr>
              <w:t>съобщени по време на постмаркетинговия опит, където честотата на НЛР</w:t>
            </w:r>
            <w:r w:rsidRPr="00EC46C5">
              <w:rPr>
                <w:rFonts w:cs="Arial"/>
              </w:rPr>
              <w:t xml:space="preserve"> е неизвестна поради ли</w:t>
            </w:r>
            <w:r w:rsidRPr="00EC46C5">
              <w:rPr>
                <w:rFonts w:cs="Arial"/>
              </w:rPr>
              <w:t>псата на общ знаменател.</w:t>
            </w:r>
          </w:p>
          <w:p w14:paraId="171C9519" w14:textId="77777777" w:rsidR="00EC46C5" w:rsidRPr="00EC46C5" w:rsidRDefault="00EC46C5" w:rsidP="0091385D">
            <w:pPr>
              <w:rPr>
                <w:rFonts w:cs="Arial"/>
              </w:rPr>
            </w:pPr>
          </w:p>
        </w:tc>
      </w:tr>
    </w:tbl>
    <w:p w14:paraId="5EEAA033" w14:textId="77777777" w:rsidR="00156704" w:rsidRDefault="00156704" w:rsidP="0091385D"/>
    <w:p w14:paraId="5126668B"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u w:val="single"/>
          <w:lang w:eastAsia="bg-BG"/>
        </w:rPr>
        <w:t xml:space="preserve">Други нежелани лекарствени реакции, съобщени по време на постмаркетинговия опит </w:t>
      </w:r>
      <w:r w:rsidRPr="00EC46C5">
        <w:rPr>
          <w:rFonts w:eastAsia="Times New Roman" w:cs="Arial"/>
          <w:color w:val="000000"/>
          <w:lang w:eastAsia="bg-BG"/>
        </w:rPr>
        <w:t>Има провокирани и спонтанни постмаркетингови съобщения за хепатотоксичност и чернодробно увреждане, включително холестаза, жълтеница, хепатит и чернодробна недостатъчност при пациенти, лекувани с циклоспорин. Повечето съобщения са от пациенти със значима коморбидност, подлежащи състояния и други смущаващи фактори включително инфекциозни усложнения и комедикация с хепатотоксичен потенциал. В някои случаи, предимно при трансплантирани пациенти, се съобщава и за фатален изход (вж. точка 4.4).</w:t>
      </w:r>
    </w:p>
    <w:p w14:paraId="60BB8105" w14:textId="77777777" w:rsidR="00EC46C5" w:rsidRPr="00EC46C5" w:rsidRDefault="00EC46C5" w:rsidP="00EC46C5">
      <w:pPr>
        <w:spacing w:line="240" w:lineRule="auto"/>
        <w:rPr>
          <w:rFonts w:eastAsia="Times New Roman" w:cs="Arial"/>
          <w:color w:val="000000"/>
          <w:u w:val="single"/>
          <w:lang w:eastAsia="bg-BG"/>
        </w:rPr>
      </w:pPr>
    </w:p>
    <w:p w14:paraId="4938CB05" w14:textId="567EFCF7" w:rsidR="00EC46C5" w:rsidRPr="00EC46C5" w:rsidRDefault="00EC46C5" w:rsidP="00EC46C5">
      <w:pPr>
        <w:spacing w:line="240" w:lineRule="auto"/>
        <w:rPr>
          <w:rFonts w:eastAsia="Times New Roman" w:cs="Arial"/>
          <w:lang w:eastAsia="bg-BG"/>
        </w:rPr>
      </w:pPr>
      <w:r w:rsidRPr="00EC46C5">
        <w:rPr>
          <w:rFonts w:eastAsia="Times New Roman" w:cs="Arial"/>
          <w:color w:val="000000"/>
          <w:u w:val="single"/>
          <w:lang w:eastAsia="bg-BG"/>
        </w:rPr>
        <w:t>Остра и хронична нефротоксичност</w:t>
      </w:r>
    </w:p>
    <w:p w14:paraId="40EBF504" w14:textId="77777777" w:rsidR="00EC46C5" w:rsidRPr="00EC46C5" w:rsidRDefault="00EC46C5" w:rsidP="00EC46C5">
      <w:pPr>
        <w:rPr>
          <w:rFonts w:eastAsia="Times New Roman" w:cs="Arial"/>
          <w:lang w:eastAsia="bg-BG"/>
        </w:rPr>
      </w:pPr>
      <w:r w:rsidRPr="00EC46C5">
        <w:rPr>
          <w:rFonts w:eastAsia="Times New Roman" w:cs="Arial"/>
          <w:color w:val="000000"/>
          <w:lang w:eastAsia="bg-BG"/>
        </w:rPr>
        <w:t xml:space="preserve">Пациентите, провеждащи лечение с калциневринови инхибитори, включително циклоспорин и циклоспоринови производни са изложени на повишен риск от развитие на остра или хронична бъбречна недостатъчност. Има съобщения от клинични изпитвания и </w:t>
      </w:r>
      <w:r w:rsidRPr="00EC46C5">
        <w:rPr>
          <w:rFonts w:eastAsia="Times New Roman" w:cs="Arial"/>
          <w:color w:val="000000"/>
          <w:lang w:eastAsia="bg-BG"/>
        </w:rPr>
        <w:lastRenderedPageBreak/>
        <w:t xml:space="preserve">от постмаркетинговия опит, свързани с употребата на </w:t>
      </w:r>
      <w:r w:rsidRPr="00EC46C5">
        <w:rPr>
          <w:rFonts w:eastAsia="Times New Roman" w:cs="Arial"/>
          <w:color w:val="000000"/>
          <w:lang w:val="en-US"/>
        </w:rPr>
        <w:t xml:space="preserve">Sandimmun Neoral. </w:t>
      </w:r>
      <w:r w:rsidRPr="00EC46C5">
        <w:rPr>
          <w:rFonts w:eastAsia="Times New Roman" w:cs="Arial"/>
          <w:color w:val="000000"/>
          <w:lang w:eastAsia="bg-BG"/>
        </w:rPr>
        <w:t>Случаите на остра нефротоксичността са свързани с нарушения в йонната хомеостаза като хиперкалиемия, хипомагнезиемия и хиперурикемия. Случаите на хронични морфологични промени са свързани с артериоларна хиалиноза, тубулна атрофия и интерстициална фиброза (вж. точка 4.4).</w:t>
      </w:r>
    </w:p>
    <w:p w14:paraId="667AC11A" w14:textId="77777777" w:rsidR="00EC46C5" w:rsidRPr="00EC46C5" w:rsidRDefault="00EC46C5" w:rsidP="00EC46C5">
      <w:pPr>
        <w:spacing w:line="240" w:lineRule="auto"/>
        <w:rPr>
          <w:rFonts w:eastAsia="Times New Roman" w:cs="Arial"/>
          <w:color w:val="000000"/>
          <w:u w:val="single"/>
          <w:lang w:eastAsia="bg-BG"/>
        </w:rPr>
      </w:pPr>
    </w:p>
    <w:p w14:paraId="37236DED" w14:textId="58E86515" w:rsidR="00EC46C5" w:rsidRPr="00EC46C5" w:rsidRDefault="00EC46C5" w:rsidP="00EC46C5">
      <w:pPr>
        <w:spacing w:line="240" w:lineRule="auto"/>
        <w:rPr>
          <w:rFonts w:eastAsia="Times New Roman" w:cs="Arial"/>
          <w:lang w:eastAsia="bg-BG"/>
        </w:rPr>
      </w:pPr>
      <w:r w:rsidRPr="00EC46C5">
        <w:rPr>
          <w:rFonts w:eastAsia="Times New Roman" w:cs="Arial"/>
          <w:color w:val="000000"/>
          <w:u w:val="single"/>
          <w:lang w:eastAsia="bg-BG"/>
        </w:rPr>
        <w:t>Болка в долните крайници</w:t>
      </w:r>
    </w:p>
    <w:p w14:paraId="653CDDE9"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 xml:space="preserve">Изолирани случаи на болка в долните крайници са били съобщени във връзка с циклоспорин. Болката в долните крайници също е отбелязана като част от калциневрин-инхибитор индуцирания болков синдром </w:t>
      </w:r>
      <w:r w:rsidRPr="00EC46C5">
        <w:rPr>
          <w:rFonts w:eastAsia="Times New Roman" w:cs="Arial"/>
          <w:color w:val="000000"/>
          <w:lang w:val="en-US"/>
        </w:rPr>
        <w:t>(Calcineurin-Inhibitor Induced Pain Syndrome - CIPS).</w:t>
      </w:r>
    </w:p>
    <w:p w14:paraId="030986D3" w14:textId="77777777" w:rsidR="00EC46C5" w:rsidRPr="00EC46C5" w:rsidRDefault="00EC46C5" w:rsidP="00EC46C5">
      <w:pPr>
        <w:spacing w:line="240" w:lineRule="auto"/>
        <w:rPr>
          <w:rFonts w:eastAsia="Times New Roman" w:cs="Arial"/>
          <w:color w:val="000000"/>
          <w:u w:val="single"/>
          <w:lang w:eastAsia="bg-BG"/>
        </w:rPr>
      </w:pPr>
    </w:p>
    <w:p w14:paraId="6B1A120D" w14:textId="0E4EE08F" w:rsidR="00EC46C5" w:rsidRPr="00EC46C5" w:rsidRDefault="00EC46C5" w:rsidP="00EC46C5">
      <w:pPr>
        <w:spacing w:line="240" w:lineRule="auto"/>
        <w:rPr>
          <w:rFonts w:eastAsia="Times New Roman" w:cs="Arial"/>
          <w:lang w:eastAsia="bg-BG"/>
        </w:rPr>
      </w:pPr>
      <w:r w:rsidRPr="00EC46C5">
        <w:rPr>
          <w:rFonts w:eastAsia="Times New Roman" w:cs="Arial"/>
          <w:color w:val="000000"/>
          <w:u w:val="single"/>
          <w:lang w:eastAsia="bg-BG"/>
        </w:rPr>
        <w:t>Педиатрична популация</w:t>
      </w:r>
    </w:p>
    <w:p w14:paraId="623377D4"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Клиничните проучвания, включващи деца на възраст над 1 година, са със сравним профил на безопасност с този при възрастните пациенти.</w:t>
      </w:r>
    </w:p>
    <w:p w14:paraId="71F96C95" w14:textId="77777777" w:rsidR="00EC46C5" w:rsidRPr="00EC46C5" w:rsidRDefault="00EC46C5" w:rsidP="00EC46C5">
      <w:pPr>
        <w:spacing w:line="240" w:lineRule="auto"/>
        <w:rPr>
          <w:rFonts w:eastAsia="Times New Roman" w:cs="Arial"/>
          <w:color w:val="000000"/>
          <w:u w:val="single"/>
          <w:lang w:eastAsia="bg-BG"/>
        </w:rPr>
      </w:pPr>
    </w:p>
    <w:p w14:paraId="6B88EAA3" w14:textId="1F85FAF6" w:rsidR="00EC46C5" w:rsidRPr="00EC46C5" w:rsidRDefault="00EC46C5" w:rsidP="00EC46C5">
      <w:pPr>
        <w:spacing w:line="240" w:lineRule="auto"/>
        <w:rPr>
          <w:rFonts w:eastAsia="Times New Roman" w:cs="Arial"/>
          <w:lang w:eastAsia="bg-BG"/>
        </w:rPr>
      </w:pPr>
      <w:r w:rsidRPr="00EC46C5">
        <w:rPr>
          <w:rFonts w:eastAsia="Times New Roman" w:cs="Arial"/>
          <w:color w:val="000000"/>
          <w:u w:val="single"/>
          <w:lang w:eastAsia="bg-BG"/>
        </w:rPr>
        <w:t>Съобщаване на подозирани нежелани реакции</w:t>
      </w:r>
    </w:p>
    <w:p w14:paraId="7E9E5B42"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националния регулаторен орган на адрес:</w:t>
      </w:r>
    </w:p>
    <w:p w14:paraId="6AF8DEA0" w14:textId="77777777" w:rsidR="00EC46C5" w:rsidRPr="00EC46C5" w:rsidRDefault="00EC46C5" w:rsidP="00EC46C5">
      <w:pPr>
        <w:spacing w:line="240" w:lineRule="auto"/>
        <w:rPr>
          <w:rFonts w:eastAsia="Times New Roman" w:cs="Arial"/>
          <w:b/>
          <w:bCs/>
          <w:color w:val="000000"/>
          <w:lang w:eastAsia="bg-BG"/>
        </w:rPr>
      </w:pPr>
    </w:p>
    <w:p w14:paraId="1C1FF07C" w14:textId="08C79056" w:rsidR="00EC46C5" w:rsidRPr="00EC46C5" w:rsidRDefault="00EC46C5" w:rsidP="00EC46C5">
      <w:pPr>
        <w:spacing w:line="240" w:lineRule="auto"/>
        <w:rPr>
          <w:rFonts w:eastAsia="Times New Roman" w:cs="Arial"/>
          <w:lang w:eastAsia="bg-BG"/>
        </w:rPr>
      </w:pPr>
      <w:r w:rsidRPr="00EC46C5">
        <w:rPr>
          <w:rFonts w:eastAsia="Times New Roman" w:cs="Arial"/>
          <w:b/>
          <w:bCs/>
          <w:color w:val="000000"/>
          <w:lang w:eastAsia="bg-BG"/>
        </w:rPr>
        <w:t>България</w:t>
      </w:r>
    </w:p>
    <w:p w14:paraId="1059821E"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Изпълнителна агенция по лекарствата</w:t>
      </w:r>
    </w:p>
    <w:p w14:paraId="54E16DCC"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ул. „Дамян Груев” № 8</w:t>
      </w:r>
    </w:p>
    <w:p w14:paraId="673E0E16"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1303 София</w:t>
      </w:r>
    </w:p>
    <w:p w14:paraId="52AF602C"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Тел.:+359 2 8903417</w:t>
      </w:r>
    </w:p>
    <w:p w14:paraId="651EE784" w14:textId="2D094D54" w:rsidR="00156704" w:rsidRPr="00EC46C5" w:rsidRDefault="00EC46C5" w:rsidP="00EC46C5">
      <w:pPr>
        <w:rPr>
          <w:rFonts w:cs="Arial"/>
        </w:rPr>
      </w:pPr>
      <w:r w:rsidRPr="00EC46C5">
        <w:rPr>
          <w:rFonts w:eastAsia="Times New Roman" w:cs="Arial"/>
          <w:color w:val="000000"/>
          <w:lang w:eastAsia="bg-BG"/>
        </w:rPr>
        <w:t xml:space="preserve">уебсайт: </w:t>
      </w:r>
      <w:hyperlink r:id="rId5" w:history="1">
        <w:r w:rsidRPr="00EC46C5">
          <w:rPr>
            <w:rFonts w:eastAsia="Times New Roman" w:cs="Arial"/>
            <w:color w:val="000000"/>
            <w:lang w:val="en-US"/>
          </w:rPr>
          <w:t>www.bda.bg</w:t>
        </w:r>
      </w:hyperlink>
    </w:p>
    <w:p w14:paraId="49A164EC" w14:textId="77777777" w:rsidR="00EC46C5" w:rsidRPr="0091385D" w:rsidRDefault="00EC46C5" w:rsidP="0091385D"/>
    <w:p w14:paraId="0A023CE0" w14:textId="77777777" w:rsidR="00CF77F7" w:rsidRDefault="002C50EE" w:rsidP="004A448E">
      <w:pPr>
        <w:pStyle w:val="Heading2"/>
      </w:pPr>
      <w:r>
        <w:t>4.9. Предозиране</w:t>
      </w:r>
    </w:p>
    <w:p w14:paraId="3EDFC3FC" w14:textId="296E7EBA" w:rsidR="0091385D" w:rsidRDefault="0091385D" w:rsidP="0091385D"/>
    <w:p w14:paraId="22CA075B"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Пероралната </w:t>
      </w:r>
      <w:r w:rsidRPr="00EC46C5">
        <w:rPr>
          <w:rFonts w:eastAsia="Times New Roman" w:cs="Arial"/>
          <w:color w:val="000000"/>
          <w:lang w:val="en-US"/>
        </w:rPr>
        <w:t xml:space="preserve">LD50 </w:t>
      </w:r>
      <w:r w:rsidRPr="00EC46C5">
        <w:rPr>
          <w:rFonts w:eastAsia="Times New Roman" w:cs="Arial"/>
          <w:color w:val="000000"/>
          <w:lang w:eastAsia="bg-BG"/>
        </w:rPr>
        <w:t xml:space="preserve">на циклоспорин е 2 329 </w:t>
      </w:r>
      <w:r w:rsidRPr="00EC46C5">
        <w:rPr>
          <w:rFonts w:eastAsia="Times New Roman" w:cs="Arial"/>
          <w:color w:val="000000"/>
          <w:lang w:val="en-US"/>
        </w:rPr>
        <w:t xml:space="preserve">mg/kg </w:t>
      </w:r>
      <w:r w:rsidRPr="00EC46C5">
        <w:rPr>
          <w:rFonts w:eastAsia="Times New Roman" w:cs="Arial"/>
          <w:color w:val="000000"/>
          <w:lang w:eastAsia="bg-BG"/>
        </w:rPr>
        <w:t xml:space="preserve">при мишки, 1 480 </w:t>
      </w:r>
      <w:r w:rsidRPr="00EC46C5">
        <w:rPr>
          <w:rFonts w:eastAsia="Times New Roman" w:cs="Arial"/>
          <w:color w:val="000000"/>
          <w:lang w:val="en-US"/>
        </w:rPr>
        <w:t xml:space="preserve">mg/kg </w:t>
      </w:r>
      <w:r w:rsidRPr="00EC46C5">
        <w:rPr>
          <w:rFonts w:eastAsia="Times New Roman" w:cs="Arial"/>
          <w:color w:val="000000"/>
          <w:lang w:eastAsia="bg-BG"/>
        </w:rPr>
        <w:t xml:space="preserve">при плъхове и &gt; 1 000 </w:t>
      </w:r>
      <w:r w:rsidRPr="00EC46C5">
        <w:rPr>
          <w:rFonts w:eastAsia="Times New Roman" w:cs="Arial"/>
          <w:color w:val="000000"/>
          <w:lang w:val="en-US"/>
        </w:rPr>
        <w:t xml:space="preserve">mg/kg </w:t>
      </w:r>
      <w:r w:rsidRPr="00EC46C5">
        <w:rPr>
          <w:rFonts w:eastAsia="Times New Roman" w:cs="Arial"/>
          <w:color w:val="000000"/>
          <w:lang w:eastAsia="bg-BG"/>
        </w:rPr>
        <w:t xml:space="preserve">при зайци. Интравенозната </w:t>
      </w:r>
      <w:r w:rsidRPr="00EC46C5">
        <w:rPr>
          <w:rFonts w:eastAsia="Times New Roman" w:cs="Arial"/>
          <w:color w:val="000000"/>
          <w:lang w:val="en-US"/>
        </w:rPr>
        <w:t xml:space="preserve">LD50 </w:t>
      </w:r>
      <w:r w:rsidRPr="00EC46C5">
        <w:rPr>
          <w:rFonts w:eastAsia="Times New Roman" w:cs="Arial"/>
          <w:color w:val="000000"/>
          <w:lang w:eastAsia="bg-BG"/>
        </w:rPr>
        <w:t xml:space="preserve">на циклоспорин е 148 </w:t>
      </w:r>
      <w:r w:rsidRPr="00EC46C5">
        <w:rPr>
          <w:rFonts w:eastAsia="Times New Roman" w:cs="Arial"/>
          <w:color w:val="000000"/>
          <w:lang w:val="en-US"/>
        </w:rPr>
        <w:t xml:space="preserve">mg/kg </w:t>
      </w:r>
      <w:r w:rsidRPr="00EC46C5">
        <w:rPr>
          <w:rFonts w:eastAsia="Times New Roman" w:cs="Arial"/>
          <w:color w:val="000000"/>
          <w:lang w:eastAsia="bg-BG"/>
        </w:rPr>
        <w:t xml:space="preserve">при мишки, 104 </w:t>
      </w:r>
      <w:r w:rsidRPr="00EC46C5">
        <w:rPr>
          <w:rFonts w:eastAsia="Times New Roman" w:cs="Arial"/>
          <w:color w:val="000000"/>
          <w:lang w:val="en-US"/>
        </w:rPr>
        <w:t xml:space="preserve">mg/kg </w:t>
      </w:r>
      <w:r w:rsidRPr="00EC46C5">
        <w:rPr>
          <w:rFonts w:eastAsia="Times New Roman" w:cs="Arial"/>
          <w:color w:val="000000"/>
          <w:lang w:eastAsia="bg-BG"/>
        </w:rPr>
        <w:t xml:space="preserve">при плъхове и 46 </w:t>
      </w:r>
      <w:r w:rsidRPr="00EC46C5">
        <w:rPr>
          <w:rFonts w:eastAsia="Times New Roman" w:cs="Arial"/>
          <w:color w:val="000000"/>
          <w:lang w:val="en-US"/>
        </w:rPr>
        <w:t xml:space="preserve">mg/kg </w:t>
      </w:r>
      <w:r w:rsidRPr="00EC46C5">
        <w:rPr>
          <w:rFonts w:eastAsia="Times New Roman" w:cs="Arial"/>
          <w:color w:val="000000"/>
          <w:lang w:eastAsia="bg-BG"/>
        </w:rPr>
        <w:t>при зайци.</w:t>
      </w:r>
    </w:p>
    <w:p w14:paraId="77CDFEAA" w14:textId="77777777" w:rsidR="00EC46C5" w:rsidRPr="00EC46C5" w:rsidRDefault="00EC46C5" w:rsidP="00EC46C5">
      <w:pPr>
        <w:spacing w:line="240" w:lineRule="auto"/>
        <w:rPr>
          <w:rFonts w:eastAsia="Times New Roman" w:cs="Arial"/>
          <w:color w:val="000000"/>
          <w:u w:val="single"/>
          <w:lang w:eastAsia="bg-BG"/>
        </w:rPr>
      </w:pPr>
    </w:p>
    <w:p w14:paraId="3B89001B" w14:textId="2BC9CD19" w:rsidR="00EC46C5" w:rsidRPr="00EC46C5" w:rsidRDefault="00EC46C5" w:rsidP="00EC46C5">
      <w:pPr>
        <w:pStyle w:val="Heading3"/>
        <w:rPr>
          <w:rFonts w:eastAsia="Times New Roman"/>
          <w:u w:val="single"/>
          <w:lang w:eastAsia="bg-BG"/>
        </w:rPr>
      </w:pPr>
      <w:r w:rsidRPr="00EC46C5">
        <w:rPr>
          <w:rFonts w:eastAsia="Times New Roman"/>
          <w:u w:val="single"/>
          <w:lang w:eastAsia="bg-BG"/>
        </w:rPr>
        <w:t>Симптоми</w:t>
      </w:r>
    </w:p>
    <w:p w14:paraId="11D5E1AE"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Опитът при остро предозиране с циклоспорин е ограничен. Пероралните дози на циклоспорин до 10 </w:t>
      </w:r>
      <w:r w:rsidRPr="00EC46C5">
        <w:rPr>
          <w:rFonts w:eastAsia="Times New Roman" w:cs="Arial"/>
          <w:color w:val="000000"/>
          <w:lang w:val="en-US"/>
        </w:rPr>
        <w:t xml:space="preserve">g </w:t>
      </w:r>
      <w:r w:rsidRPr="00EC46C5">
        <w:rPr>
          <w:rFonts w:eastAsia="Times New Roman" w:cs="Arial"/>
          <w:color w:val="000000"/>
          <w:lang w:eastAsia="bg-BG"/>
        </w:rPr>
        <w:t xml:space="preserve">(около 150 </w:t>
      </w:r>
      <w:r w:rsidRPr="00EC46C5">
        <w:rPr>
          <w:rFonts w:eastAsia="Times New Roman" w:cs="Arial"/>
          <w:color w:val="000000"/>
          <w:lang w:val="en-US"/>
        </w:rPr>
        <w:t xml:space="preserve">mg/kg) </w:t>
      </w:r>
      <w:r w:rsidRPr="00EC46C5">
        <w:rPr>
          <w:rFonts w:eastAsia="Times New Roman" w:cs="Arial"/>
          <w:color w:val="000000"/>
          <w:lang w:eastAsia="bg-BG"/>
        </w:rPr>
        <w:t>се понасят с относително по-малки клинични последствия, такива като повръщане, сънливост, главоболие, тахикардия, и при малко на брой пациенти, умерено тежко, обратимо нарушение на бъбречната функция. Обаче, сериозни симптоми на интоксикация са докладвани вследствие на инцидентно парентерално предозиране с циклоспорин при недоносени бебета.</w:t>
      </w:r>
    </w:p>
    <w:p w14:paraId="51F8C988" w14:textId="77777777" w:rsidR="00EC46C5" w:rsidRPr="00EC46C5" w:rsidRDefault="00EC46C5" w:rsidP="00EC46C5">
      <w:pPr>
        <w:spacing w:line="240" w:lineRule="auto"/>
        <w:rPr>
          <w:rFonts w:eastAsia="Times New Roman" w:cs="Arial"/>
          <w:color w:val="000000"/>
          <w:u w:val="single"/>
          <w:lang w:eastAsia="bg-BG"/>
        </w:rPr>
      </w:pPr>
    </w:p>
    <w:p w14:paraId="553F89D4" w14:textId="34AFA925" w:rsidR="00EC46C5" w:rsidRPr="00EC46C5" w:rsidRDefault="00EC46C5" w:rsidP="00EC46C5">
      <w:pPr>
        <w:pStyle w:val="Heading3"/>
        <w:rPr>
          <w:rFonts w:eastAsia="Times New Roman"/>
          <w:u w:val="single"/>
          <w:lang w:eastAsia="bg-BG"/>
        </w:rPr>
      </w:pPr>
      <w:r w:rsidRPr="00EC46C5">
        <w:rPr>
          <w:rFonts w:eastAsia="Times New Roman"/>
          <w:u w:val="single"/>
          <w:lang w:eastAsia="bg-BG"/>
        </w:rPr>
        <w:t>Лечение</w:t>
      </w:r>
    </w:p>
    <w:p w14:paraId="0F0079CB" w14:textId="01977E02" w:rsidR="0091385D" w:rsidRPr="00EC46C5" w:rsidRDefault="00EC46C5" w:rsidP="00EC46C5">
      <w:pPr>
        <w:rPr>
          <w:rFonts w:cs="Arial"/>
        </w:rPr>
      </w:pPr>
      <w:r w:rsidRPr="00EC46C5">
        <w:rPr>
          <w:rFonts w:eastAsia="Times New Roman" w:cs="Arial"/>
          <w:color w:val="000000"/>
          <w:lang w:eastAsia="bg-BG"/>
        </w:rPr>
        <w:t xml:space="preserve">При всички случаи на предозиране, трябва да се предприемат общо поддържащи мероприятия и да се лекуват симптомите. Принудително повръщане и промивка на стомаха могат да бъдат ефикасни през първите няколко часа след пероралния прием. </w:t>
      </w:r>
      <w:r w:rsidRPr="00EC46C5">
        <w:rPr>
          <w:rFonts w:eastAsia="Times New Roman" w:cs="Arial"/>
          <w:color w:val="000000"/>
          <w:lang w:eastAsia="bg-BG"/>
        </w:rPr>
        <w:lastRenderedPageBreak/>
        <w:t>Циклоспоринът не се поддава лесно на диализа, нито се елиминира лесно чрез хемоперфузия с активен въглен.</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468340DE"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Фармакотерапевтична група: Имуносупресивни средства, калциневринови инхибитори, </w:t>
      </w:r>
      <w:r w:rsidRPr="00EC46C5">
        <w:rPr>
          <w:rFonts w:eastAsia="Times New Roman" w:cs="Arial"/>
          <w:color w:val="000000"/>
          <w:lang w:val="en-US"/>
        </w:rPr>
        <w:t>ATC</w:t>
      </w:r>
      <w:r w:rsidRPr="00EC46C5">
        <w:rPr>
          <w:rFonts w:eastAsia="Times New Roman" w:cs="Arial"/>
          <w:color w:val="000000"/>
          <w:vertAlign w:val="subscript"/>
          <w:lang w:eastAsia="bg-BG"/>
        </w:rPr>
        <w:t xml:space="preserve"> </w:t>
      </w:r>
      <w:r w:rsidRPr="00EC46C5">
        <w:rPr>
          <w:rFonts w:eastAsia="Times New Roman" w:cs="Arial"/>
          <w:color w:val="000000"/>
          <w:lang w:eastAsia="bg-BG"/>
        </w:rPr>
        <w:t xml:space="preserve">код: </w:t>
      </w:r>
      <w:r w:rsidRPr="00EC46C5">
        <w:rPr>
          <w:rFonts w:eastAsia="Times New Roman" w:cs="Arial"/>
          <w:color w:val="000000"/>
          <w:lang w:val="en-US"/>
        </w:rPr>
        <w:t>L04AD01</w:t>
      </w:r>
    </w:p>
    <w:p w14:paraId="08F6ADA4" w14:textId="77777777" w:rsidR="00EC46C5" w:rsidRPr="00EC46C5" w:rsidRDefault="00EC46C5" w:rsidP="00EC46C5">
      <w:pPr>
        <w:rPr>
          <w:rFonts w:eastAsia="Times New Roman" w:cs="Arial"/>
          <w:color w:val="000000"/>
          <w:lang w:eastAsia="bg-BG"/>
        </w:rPr>
      </w:pPr>
    </w:p>
    <w:p w14:paraId="4F680879" w14:textId="77777777" w:rsidR="00EC46C5" w:rsidRPr="00EC46C5" w:rsidRDefault="00EC46C5" w:rsidP="00EC46C5">
      <w:pPr>
        <w:rPr>
          <w:rFonts w:eastAsia="Times New Roman" w:cs="Arial"/>
          <w:sz w:val="24"/>
          <w:szCs w:val="24"/>
          <w:lang w:eastAsia="bg-BG"/>
        </w:rPr>
      </w:pPr>
      <w:r w:rsidRPr="00EC46C5">
        <w:rPr>
          <w:rFonts w:eastAsia="Times New Roman" w:cs="Arial"/>
          <w:color w:val="000000"/>
          <w:lang w:eastAsia="bg-BG"/>
        </w:rPr>
        <w:t xml:space="preserve">Циклоспорин (известен също като циклоспорин А) е цикличен полипептид, съставен от 11 аминокиселини. Представлява мощно имуносупресивно средство, което при експерименти, с животни удължава срока на преживяване на алогенни трансплантанти на кожа, сърце, бъбрек, панкреас, костен мозък, тънко черво или бял дроб. Проучванията показват, че циклоспоринът потиска развитието на клетъчно-медиираните имунни реакции, включително имунитета на алографта, кожна свръхчувствителност от забавен тип, експериментален алергичен енцефаломиелит, адювантен артрит на Фройнд, реакцията на присадката срещу приемателя </w:t>
      </w:r>
      <w:r w:rsidRPr="00EC46C5">
        <w:rPr>
          <w:rFonts w:eastAsia="Times New Roman" w:cs="Arial"/>
          <w:color w:val="000000"/>
          <w:lang w:val="en-US"/>
        </w:rPr>
        <w:t xml:space="preserve">(graft versus host disease - GVHD), </w:t>
      </w:r>
      <w:r w:rsidRPr="00EC46C5">
        <w:rPr>
          <w:rFonts w:eastAsia="Times New Roman" w:cs="Arial"/>
          <w:color w:val="000000"/>
          <w:lang w:eastAsia="bg-BG"/>
        </w:rPr>
        <w:t xml:space="preserve">както и </w:t>
      </w:r>
      <w:r w:rsidRPr="00EC46C5">
        <w:rPr>
          <w:rFonts w:eastAsia="Times New Roman" w:cs="Arial"/>
          <w:color w:val="000000"/>
          <w:lang w:val="en-US"/>
        </w:rPr>
        <w:t>T-</w:t>
      </w:r>
      <w:r w:rsidRPr="00EC46C5">
        <w:rPr>
          <w:rFonts w:eastAsia="Times New Roman" w:cs="Arial"/>
          <w:color w:val="000000"/>
          <w:lang w:eastAsia="bg-BG"/>
        </w:rPr>
        <w:t xml:space="preserve">клетъчно зависимото образуване на антитела. На клетъчно ниво той инхибира продукцията и освобождаването на лимфокини, включително интерлевкин 2 (Т-клетъчен растежен фактор, </w:t>
      </w:r>
      <w:r w:rsidRPr="00EC46C5">
        <w:rPr>
          <w:rFonts w:eastAsia="Times New Roman" w:cs="Arial"/>
          <w:color w:val="000000"/>
          <w:lang w:val="en-US"/>
        </w:rPr>
        <w:t xml:space="preserve">TCGF). </w:t>
      </w:r>
      <w:r w:rsidRPr="00EC46C5">
        <w:rPr>
          <w:rFonts w:eastAsia="Times New Roman" w:cs="Arial"/>
          <w:color w:val="000000"/>
          <w:lang w:eastAsia="bg-BG"/>
        </w:rPr>
        <w:t xml:space="preserve">Очевидно циклоспоринът блокира лимфоцити във фаза </w:t>
      </w:r>
      <w:r w:rsidRPr="00EC46C5">
        <w:rPr>
          <w:rFonts w:eastAsia="Times New Roman" w:cs="Arial"/>
          <w:color w:val="000000"/>
          <w:lang w:val="en-US"/>
        </w:rPr>
        <w:t xml:space="preserve">G0 </w:t>
      </w:r>
      <w:r w:rsidRPr="00EC46C5">
        <w:rPr>
          <w:rFonts w:eastAsia="Times New Roman" w:cs="Arial"/>
          <w:color w:val="000000"/>
          <w:lang w:eastAsia="bg-BG"/>
        </w:rPr>
        <w:t xml:space="preserve">или </w:t>
      </w:r>
      <w:r w:rsidRPr="00EC46C5">
        <w:rPr>
          <w:rFonts w:eastAsia="Times New Roman" w:cs="Arial"/>
          <w:color w:val="000000"/>
          <w:lang w:val="en-US"/>
        </w:rPr>
        <w:t>G1</w:t>
      </w:r>
      <w:r w:rsidRPr="00EC46C5">
        <w:rPr>
          <w:rFonts w:eastAsia="Times New Roman" w:cs="Arial"/>
          <w:color w:val="000000"/>
          <w:lang w:eastAsia="bg-BG"/>
        </w:rPr>
        <w:t xml:space="preserve"> на клетъчния цикъл и потиска антиген-провокираното освобождаване на лимфокини от активираните Т-клетки.</w:t>
      </w:r>
    </w:p>
    <w:p w14:paraId="6DA2083D" w14:textId="77777777" w:rsidR="00EC46C5" w:rsidRPr="00EC46C5" w:rsidRDefault="00EC46C5" w:rsidP="00EC46C5">
      <w:pPr>
        <w:spacing w:line="240" w:lineRule="auto"/>
        <w:rPr>
          <w:rFonts w:eastAsia="Times New Roman" w:cs="Arial"/>
          <w:color w:val="000000"/>
          <w:lang w:eastAsia="bg-BG"/>
        </w:rPr>
      </w:pPr>
    </w:p>
    <w:p w14:paraId="6519F6D3" w14:textId="2DE963AF"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Всички налични данни показват, че циклоспорин оказва специфично и обратимо въздействие върху лимфоцитите. За разлика от цитостатиците, той не потиска хемопоезата и не влияе върху функцията на фагоцитите.</w:t>
      </w:r>
    </w:p>
    <w:p w14:paraId="1C02AE67" w14:textId="77777777" w:rsidR="00EC46C5" w:rsidRPr="00EC46C5" w:rsidRDefault="00EC46C5" w:rsidP="00EC46C5">
      <w:pPr>
        <w:spacing w:line="240" w:lineRule="auto"/>
        <w:rPr>
          <w:rFonts w:eastAsia="Times New Roman" w:cs="Arial"/>
          <w:color w:val="000000"/>
          <w:lang w:eastAsia="bg-BG"/>
        </w:rPr>
      </w:pPr>
    </w:p>
    <w:p w14:paraId="301EF9EF" w14:textId="6FBC0B19"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Благодарение на приложението на циклоспорин за профилактика и лечение на отхвърляне на трансплантанта и реакцията на трансплантата срещу приемателя са извършени успешни органни и костно-мозъчни трансплантации. Циклоспорин е прилаган успешно както при хепатит С вирус </w:t>
      </w:r>
      <w:r w:rsidRPr="00EC46C5">
        <w:rPr>
          <w:rFonts w:eastAsia="Times New Roman" w:cs="Arial"/>
          <w:color w:val="000000"/>
          <w:lang w:val="en-US"/>
        </w:rPr>
        <w:t xml:space="preserve">(HCV) </w:t>
      </w:r>
      <w:r w:rsidRPr="00EC46C5">
        <w:rPr>
          <w:rFonts w:eastAsia="Times New Roman" w:cs="Arial"/>
          <w:color w:val="000000"/>
          <w:lang w:eastAsia="bg-BG"/>
        </w:rPr>
        <w:t xml:space="preserve">позитивни, така и при </w:t>
      </w:r>
      <w:r w:rsidRPr="00EC46C5">
        <w:rPr>
          <w:rFonts w:eastAsia="Times New Roman" w:cs="Arial"/>
          <w:color w:val="000000"/>
          <w:lang w:val="en-US"/>
        </w:rPr>
        <w:t xml:space="preserve">HCV </w:t>
      </w:r>
      <w:r w:rsidRPr="00EC46C5">
        <w:rPr>
          <w:rFonts w:eastAsia="Times New Roman" w:cs="Arial"/>
          <w:color w:val="000000"/>
          <w:lang w:eastAsia="bg-BG"/>
        </w:rPr>
        <w:t>негативни чернодробно трансплантирани пациенти. Благоприятни ефекти от терапията с циклоспорин са наблюдавани при редица заболявания с доказана или предполагаема автоимунна етиология.</w:t>
      </w:r>
    </w:p>
    <w:p w14:paraId="28340BF9" w14:textId="77777777" w:rsidR="00EC46C5" w:rsidRPr="00EC46C5" w:rsidRDefault="00EC46C5" w:rsidP="00EC46C5">
      <w:pPr>
        <w:rPr>
          <w:rFonts w:eastAsia="Times New Roman" w:cs="Arial"/>
          <w:color w:val="000000"/>
          <w:u w:val="single"/>
          <w:lang w:eastAsia="bg-BG"/>
        </w:rPr>
      </w:pPr>
    </w:p>
    <w:p w14:paraId="28252AA0" w14:textId="2081A217" w:rsidR="0091385D" w:rsidRPr="00EC46C5" w:rsidRDefault="00EC46C5" w:rsidP="00EC46C5">
      <w:pPr>
        <w:rPr>
          <w:rFonts w:cs="Arial"/>
        </w:rPr>
      </w:pPr>
      <w:r w:rsidRPr="00EC46C5">
        <w:rPr>
          <w:rFonts w:eastAsia="Times New Roman" w:cs="Arial"/>
          <w:color w:val="000000"/>
          <w:u w:val="single"/>
          <w:lang w:eastAsia="bg-BG"/>
        </w:rPr>
        <w:t>Педиатрична популация</w:t>
      </w:r>
      <w:r w:rsidRPr="00EC46C5">
        <w:rPr>
          <w:rFonts w:eastAsia="Times New Roman" w:cs="Arial"/>
          <w:color w:val="000000"/>
          <w:lang w:eastAsia="bg-BG"/>
        </w:rPr>
        <w:t>: Циклоспорин е доказал своята ефикасност при кортикостероид- зависим нефротичен синдром.</w:t>
      </w:r>
    </w:p>
    <w:p w14:paraId="36152471" w14:textId="77777777" w:rsidR="0091385D" w:rsidRPr="0091385D" w:rsidRDefault="0091385D"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26111F5C" w14:textId="77777777" w:rsidR="00EC46C5" w:rsidRPr="00EC46C5" w:rsidRDefault="00EC46C5" w:rsidP="00EC46C5">
      <w:pPr>
        <w:pStyle w:val="Heading3"/>
        <w:rPr>
          <w:rFonts w:eastAsia="Times New Roman"/>
          <w:u w:val="single"/>
          <w:lang w:eastAsia="bg-BG"/>
        </w:rPr>
      </w:pPr>
      <w:r w:rsidRPr="00EC46C5">
        <w:rPr>
          <w:rFonts w:eastAsia="Times New Roman"/>
          <w:u w:val="single"/>
          <w:lang w:eastAsia="bg-BG"/>
        </w:rPr>
        <w:t>Абсорбция</w:t>
      </w:r>
    </w:p>
    <w:p w14:paraId="79ECDA6B"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След перорално прилагане на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пикова плазмена концентрация на циклоспорин се достига в рамките на 1-2 часа. Абсолютната перорална бионаличност на циклоспорин след прилагане на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е 20 до 50%. Наблюдава се около 13 и 33% понижение на </w:t>
      </w:r>
      <w:r w:rsidRPr="00EC46C5">
        <w:rPr>
          <w:rFonts w:eastAsia="Times New Roman" w:cs="Arial"/>
          <w:color w:val="000000"/>
          <w:lang w:val="en-US"/>
        </w:rPr>
        <w:t xml:space="preserve">AUC </w:t>
      </w:r>
      <w:r w:rsidRPr="00EC46C5">
        <w:rPr>
          <w:rFonts w:eastAsia="Times New Roman" w:cs="Arial"/>
          <w:color w:val="000000"/>
          <w:lang w:eastAsia="bg-BG"/>
        </w:rPr>
        <w:t>и С</w:t>
      </w:r>
      <w:r w:rsidRPr="00EC46C5">
        <w:rPr>
          <w:rFonts w:eastAsia="Times New Roman" w:cs="Arial"/>
          <w:color w:val="000000"/>
          <w:vertAlign w:val="subscript"/>
          <w:lang w:val="en-US"/>
        </w:rPr>
        <w:t>max</w:t>
      </w:r>
      <w:r w:rsidRPr="00EC46C5">
        <w:rPr>
          <w:rFonts w:eastAsia="Times New Roman" w:cs="Arial"/>
          <w:color w:val="000000"/>
          <w:lang w:eastAsia="bg-BG"/>
        </w:rPr>
        <w:t xml:space="preserve"> при прилагане на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с храни с високо </w:t>
      </w:r>
      <w:r w:rsidRPr="00EC46C5">
        <w:rPr>
          <w:rFonts w:eastAsia="Times New Roman" w:cs="Arial"/>
          <w:color w:val="000000"/>
          <w:lang w:eastAsia="bg-BG"/>
        </w:rPr>
        <w:lastRenderedPageBreak/>
        <w:t xml:space="preserve">съдържание на мазнини. Връзката между приложената доза и експозицията </w:t>
      </w:r>
      <w:r w:rsidRPr="00EC46C5">
        <w:rPr>
          <w:rFonts w:eastAsia="Times New Roman" w:cs="Arial"/>
          <w:color w:val="000000"/>
          <w:lang w:val="en-US"/>
        </w:rPr>
        <w:t xml:space="preserve">(AUC) </w:t>
      </w:r>
      <w:r w:rsidRPr="00EC46C5">
        <w:rPr>
          <w:rFonts w:eastAsia="Times New Roman" w:cs="Arial"/>
          <w:color w:val="000000"/>
          <w:lang w:eastAsia="bg-BG"/>
        </w:rPr>
        <w:t xml:space="preserve">на циклоспорин е линейна в рамките на терапевтичния дозов интервал. Междувидовата и вътревидовата вариабилност на </w:t>
      </w:r>
      <w:r w:rsidRPr="00EC46C5">
        <w:rPr>
          <w:rFonts w:eastAsia="Times New Roman" w:cs="Arial"/>
          <w:color w:val="000000"/>
          <w:lang w:val="en-US"/>
        </w:rPr>
        <w:t xml:space="preserve">AUC </w:t>
      </w:r>
      <w:r w:rsidRPr="00EC46C5">
        <w:rPr>
          <w:rFonts w:eastAsia="Times New Roman" w:cs="Arial"/>
          <w:color w:val="000000"/>
          <w:lang w:eastAsia="bg-BG"/>
        </w:rPr>
        <w:t>и С</w:t>
      </w:r>
      <w:r w:rsidRPr="00EC46C5">
        <w:rPr>
          <w:rFonts w:eastAsia="Times New Roman" w:cs="Arial"/>
          <w:color w:val="000000"/>
          <w:lang w:val="en-US"/>
        </w:rPr>
        <w:t>m</w:t>
      </w:r>
      <w:r w:rsidRPr="00EC46C5">
        <w:rPr>
          <w:rFonts w:eastAsia="Times New Roman" w:cs="Arial"/>
          <w:color w:val="000000"/>
          <w:lang w:eastAsia="bg-BG"/>
        </w:rPr>
        <w:t xml:space="preserve">ах е приблизително 10-20%. </w:t>
      </w:r>
      <w:r w:rsidRPr="00EC46C5">
        <w:rPr>
          <w:rFonts w:eastAsia="Times New Roman" w:cs="Arial"/>
          <w:color w:val="000000"/>
          <w:lang w:val="en-US"/>
        </w:rPr>
        <w:t xml:space="preserve">Sandimmun Neoral </w:t>
      </w:r>
      <w:r w:rsidRPr="00EC46C5">
        <w:rPr>
          <w:rFonts w:eastAsia="Times New Roman" w:cs="Arial"/>
          <w:color w:val="000000"/>
          <w:lang w:eastAsia="bg-BG"/>
        </w:rPr>
        <w:t>разтвор и желатинови капсули са биоеквиваленти.</w:t>
      </w:r>
    </w:p>
    <w:p w14:paraId="2A2EFA0C" w14:textId="77777777" w:rsidR="00EC46C5" w:rsidRPr="00EC46C5" w:rsidRDefault="00EC46C5" w:rsidP="00EC46C5">
      <w:pPr>
        <w:spacing w:line="240" w:lineRule="auto"/>
        <w:rPr>
          <w:rFonts w:eastAsia="Times New Roman" w:cs="Arial"/>
          <w:color w:val="000000"/>
          <w:lang w:eastAsia="bg-BG"/>
        </w:rPr>
      </w:pPr>
    </w:p>
    <w:p w14:paraId="0E843E73" w14:textId="6F33157E"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Прилагането на </w:t>
      </w:r>
      <w:r w:rsidRPr="00EC46C5">
        <w:rPr>
          <w:rFonts w:eastAsia="Times New Roman" w:cs="Arial"/>
          <w:color w:val="000000"/>
          <w:lang w:val="en-US"/>
        </w:rPr>
        <w:t xml:space="preserve">Sandimmun Neoral </w:t>
      </w:r>
      <w:r w:rsidRPr="00EC46C5">
        <w:rPr>
          <w:rFonts w:eastAsia="Times New Roman" w:cs="Arial"/>
          <w:color w:val="000000"/>
          <w:lang w:eastAsia="bg-BG"/>
        </w:rPr>
        <w:t>води до 59% по-висока С</w:t>
      </w:r>
      <w:r w:rsidRPr="00EC46C5">
        <w:rPr>
          <w:rFonts w:eastAsia="Times New Roman" w:cs="Arial"/>
          <w:color w:val="000000"/>
          <w:lang w:val="en-US" w:eastAsia="bg-BG"/>
        </w:rPr>
        <w:t>m</w:t>
      </w:r>
      <w:r w:rsidRPr="00EC46C5">
        <w:rPr>
          <w:rFonts w:eastAsia="Times New Roman" w:cs="Arial"/>
          <w:color w:val="000000"/>
          <w:lang w:eastAsia="bg-BG"/>
        </w:rPr>
        <w:t xml:space="preserve">ах и приблизително 29% по-висока бионаличност отколкото </w:t>
      </w:r>
      <w:r w:rsidRPr="00EC46C5">
        <w:rPr>
          <w:rFonts w:eastAsia="Times New Roman" w:cs="Arial"/>
          <w:color w:val="000000"/>
          <w:lang w:val="en-US"/>
        </w:rPr>
        <w:t xml:space="preserve">Sandimmun. </w:t>
      </w:r>
      <w:r w:rsidRPr="00EC46C5">
        <w:rPr>
          <w:rFonts w:eastAsia="Times New Roman" w:cs="Arial"/>
          <w:color w:val="000000"/>
          <w:lang w:eastAsia="bg-BG"/>
        </w:rPr>
        <w:t xml:space="preserve">Наличните данни.показват следното: при преминаване 1:1 от </w:t>
      </w:r>
      <w:r w:rsidRPr="00EC46C5">
        <w:rPr>
          <w:rFonts w:eastAsia="Times New Roman" w:cs="Arial"/>
          <w:color w:val="000000"/>
          <w:lang w:val="en-US"/>
        </w:rPr>
        <w:t xml:space="preserve">Sandimmun </w:t>
      </w:r>
      <w:r w:rsidRPr="00EC46C5">
        <w:rPr>
          <w:rFonts w:eastAsia="Times New Roman" w:cs="Arial"/>
          <w:color w:val="000000"/>
          <w:lang w:eastAsia="bg-BG"/>
        </w:rPr>
        <w:t xml:space="preserve">меки желатинови капсули към </w:t>
      </w:r>
      <w:r w:rsidRPr="00EC46C5">
        <w:rPr>
          <w:rFonts w:eastAsia="Times New Roman" w:cs="Arial"/>
          <w:color w:val="000000"/>
          <w:lang w:val="en-US"/>
        </w:rPr>
        <w:t xml:space="preserve">Sandimmun Neoral </w:t>
      </w:r>
      <w:r w:rsidRPr="00EC46C5">
        <w:rPr>
          <w:rFonts w:eastAsia="Times New Roman" w:cs="Arial"/>
          <w:color w:val="000000"/>
          <w:lang w:eastAsia="bg-BG"/>
        </w:rPr>
        <w:t>меки желатинови капсули, средните концентрации в пълна кръв са сравними и в желания терапевтичен интервал.</w:t>
      </w:r>
    </w:p>
    <w:p w14:paraId="025C73C2"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Прилагането на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повлиява благоприятно линейността на експозицията на циклоспорин </w:t>
      </w:r>
      <w:r w:rsidRPr="00EC46C5">
        <w:rPr>
          <w:rFonts w:eastAsia="Times New Roman" w:cs="Arial"/>
          <w:smallCaps/>
          <w:color w:val="000000"/>
          <w:lang w:val="en-US"/>
        </w:rPr>
        <w:t>(AUC</w:t>
      </w:r>
      <w:r w:rsidRPr="00EC46C5">
        <w:rPr>
          <w:rFonts w:eastAsia="Times New Roman" w:cs="Arial"/>
          <w:smallCaps/>
          <w:color w:val="000000"/>
          <w:vertAlign w:val="subscript"/>
          <w:lang w:val="en-US"/>
        </w:rPr>
        <w:t>B</w:t>
      </w:r>
      <w:r w:rsidRPr="00EC46C5">
        <w:rPr>
          <w:rFonts w:eastAsia="Times New Roman" w:cs="Arial"/>
          <w:smallCaps/>
          <w:color w:val="000000"/>
          <w:lang w:val="en-US"/>
        </w:rPr>
        <w:t xml:space="preserve">). </w:t>
      </w:r>
      <w:r w:rsidRPr="00EC46C5">
        <w:rPr>
          <w:rFonts w:eastAsia="Times New Roman" w:cs="Arial"/>
          <w:smallCaps/>
          <w:color w:val="000000"/>
          <w:lang w:eastAsia="bg-BG"/>
        </w:rPr>
        <w:t>Той</w:t>
      </w:r>
      <w:r w:rsidRPr="00EC46C5">
        <w:rPr>
          <w:rFonts w:eastAsia="Times New Roman" w:cs="Arial"/>
          <w:color w:val="000000"/>
          <w:lang w:eastAsia="bg-BG"/>
        </w:rPr>
        <w:t xml:space="preserve"> предлага по-постоянен профил на абсорбция, който не се влияе от приема на храна и от ритъма на деня за разлика от </w:t>
      </w:r>
      <w:r w:rsidRPr="00EC46C5">
        <w:rPr>
          <w:rFonts w:eastAsia="Times New Roman" w:cs="Arial"/>
          <w:color w:val="000000"/>
          <w:lang w:val="en-US"/>
        </w:rPr>
        <w:t>Sandimmun.</w:t>
      </w:r>
    </w:p>
    <w:p w14:paraId="7B23A352" w14:textId="77777777" w:rsidR="00EC46C5" w:rsidRPr="00EC46C5" w:rsidRDefault="00EC46C5" w:rsidP="00EC46C5">
      <w:pPr>
        <w:spacing w:line="240" w:lineRule="auto"/>
        <w:rPr>
          <w:rFonts w:eastAsia="Times New Roman" w:cs="Arial"/>
          <w:color w:val="000000"/>
          <w:u w:val="single"/>
          <w:lang w:eastAsia="bg-BG"/>
        </w:rPr>
      </w:pPr>
    </w:p>
    <w:p w14:paraId="2FD192DF" w14:textId="7B18A29F" w:rsidR="00EC46C5" w:rsidRPr="00EC46C5" w:rsidRDefault="00EC46C5" w:rsidP="00EC46C5">
      <w:pPr>
        <w:pStyle w:val="Heading3"/>
        <w:rPr>
          <w:rFonts w:eastAsia="Times New Roman"/>
          <w:u w:val="single"/>
          <w:lang w:eastAsia="bg-BG"/>
        </w:rPr>
      </w:pPr>
      <w:r w:rsidRPr="00EC46C5">
        <w:rPr>
          <w:rFonts w:eastAsia="Times New Roman"/>
          <w:u w:val="single"/>
          <w:lang w:eastAsia="bg-BG"/>
        </w:rPr>
        <w:t>Разпределение</w:t>
      </w:r>
    </w:p>
    <w:p w14:paraId="15FC541A"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Циклоспорин се разпределя в голяма степен извън обема на циркулиращата кръв, с привиден обем на разпределение от 3,5 </w:t>
      </w:r>
      <w:r w:rsidRPr="00EC46C5">
        <w:rPr>
          <w:rFonts w:eastAsia="Times New Roman" w:cs="Arial"/>
          <w:color w:val="000000"/>
          <w:lang w:val="en-US"/>
        </w:rPr>
        <w:t xml:space="preserve">1/kg. </w:t>
      </w:r>
      <w:r w:rsidRPr="00EC46C5">
        <w:rPr>
          <w:rFonts w:eastAsia="Times New Roman" w:cs="Arial"/>
          <w:color w:val="000000"/>
          <w:lang w:eastAsia="bg-BG"/>
        </w:rPr>
        <w:t>В кръвта 33 до 47% е наличен в плазмата, 4 до 9% в лимфоцитите, 5 до 12% в гранулоцитите и 41 до 58% в еритроцитите. В плазмата приблизително 90% е свързан с протеините, предимно с липопротеините.</w:t>
      </w:r>
    </w:p>
    <w:p w14:paraId="4F84A247" w14:textId="77777777" w:rsidR="00EC46C5" w:rsidRPr="00EC46C5" w:rsidRDefault="00EC46C5" w:rsidP="00EC46C5">
      <w:pPr>
        <w:spacing w:line="240" w:lineRule="auto"/>
        <w:rPr>
          <w:rFonts w:eastAsia="Times New Roman" w:cs="Arial"/>
          <w:color w:val="000000"/>
          <w:u w:val="single"/>
          <w:lang w:eastAsia="bg-BG"/>
        </w:rPr>
      </w:pPr>
    </w:p>
    <w:p w14:paraId="0C3320D2" w14:textId="213D80D8" w:rsidR="00EC46C5" w:rsidRPr="00EC46C5" w:rsidRDefault="00EC46C5" w:rsidP="00EC46C5">
      <w:pPr>
        <w:pStyle w:val="Heading3"/>
        <w:rPr>
          <w:rFonts w:eastAsia="Times New Roman"/>
          <w:u w:val="single"/>
          <w:lang w:eastAsia="bg-BG"/>
        </w:rPr>
      </w:pPr>
      <w:r w:rsidRPr="00EC46C5">
        <w:rPr>
          <w:rFonts w:eastAsia="Times New Roman"/>
          <w:u w:val="single"/>
          <w:lang w:eastAsia="bg-BG"/>
        </w:rPr>
        <w:t>Биотрансформация</w:t>
      </w:r>
    </w:p>
    <w:p w14:paraId="148BA3FC" w14:textId="58459EAC" w:rsidR="0091385D"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Циклоспорин се метаболизира в голяма степен до приблизително 15 метаболита. Метаболизмът се осъществява главно в черния дроб чрез цитохром Р450 ЗА4 </w:t>
      </w:r>
      <w:r w:rsidRPr="00EC46C5">
        <w:rPr>
          <w:rFonts w:eastAsia="Times New Roman" w:cs="Arial"/>
          <w:color w:val="000000"/>
          <w:lang w:val="en-US"/>
        </w:rPr>
        <w:t xml:space="preserve">(CYP3A4) </w:t>
      </w:r>
      <w:r w:rsidRPr="00EC46C5">
        <w:rPr>
          <w:rFonts w:eastAsia="Times New Roman" w:cs="Arial"/>
          <w:color w:val="000000"/>
          <w:lang w:eastAsia="bg-BG"/>
        </w:rPr>
        <w:t>и основният път на</w:t>
      </w:r>
      <w:r>
        <w:rPr>
          <w:rFonts w:eastAsia="Times New Roman" w:cs="Arial"/>
          <w:sz w:val="24"/>
          <w:szCs w:val="24"/>
          <w:lang w:val="en-US" w:eastAsia="bg-BG"/>
        </w:rPr>
        <w:t xml:space="preserve"> </w:t>
      </w:r>
      <w:r w:rsidRPr="00EC46C5">
        <w:rPr>
          <w:rFonts w:eastAsia="Times New Roman" w:cs="Arial"/>
          <w:color w:val="000000"/>
          <w:lang w:eastAsia="bg-BG"/>
        </w:rPr>
        <w:t xml:space="preserve">метаболизиране включва моно- и дихидроксилиране и </w:t>
      </w:r>
      <w:r w:rsidRPr="00EC46C5">
        <w:rPr>
          <w:rFonts w:eastAsia="Times New Roman" w:cs="Arial"/>
          <w:color w:val="000000"/>
          <w:lang w:val="en-US"/>
        </w:rPr>
        <w:t>N</w:t>
      </w:r>
      <w:r w:rsidRPr="00EC46C5">
        <w:rPr>
          <w:rFonts w:eastAsia="Times New Roman" w:cs="Arial"/>
          <w:color w:val="000000"/>
          <w:lang w:eastAsia="bg-BG"/>
        </w:rPr>
        <w:t>-деметилиране на различни участъци</w:t>
      </w:r>
      <w:r>
        <w:rPr>
          <w:rFonts w:eastAsia="Times New Roman" w:cs="Arial"/>
          <w:sz w:val="24"/>
          <w:szCs w:val="24"/>
          <w:lang w:val="en-US" w:eastAsia="bg-BG"/>
        </w:rPr>
        <w:t xml:space="preserve"> </w:t>
      </w:r>
      <w:r w:rsidRPr="00EC46C5">
        <w:rPr>
          <w:rFonts w:eastAsia="Times New Roman" w:cs="Arial"/>
          <w:color w:val="000000"/>
          <w:lang w:eastAsia="bg-BG"/>
        </w:rPr>
        <w:t>от молекулата. Всички идентифицирани метаболити съдържат цялостната пептидна структура</w:t>
      </w:r>
      <w:r>
        <w:rPr>
          <w:rFonts w:eastAsia="Times New Roman" w:cs="Arial"/>
          <w:sz w:val="24"/>
          <w:szCs w:val="24"/>
          <w:lang w:val="en-US" w:eastAsia="bg-BG"/>
        </w:rPr>
        <w:t xml:space="preserve"> </w:t>
      </w:r>
      <w:r w:rsidRPr="00EC46C5">
        <w:rPr>
          <w:rFonts w:eastAsia="Times New Roman" w:cs="Arial"/>
          <w:color w:val="000000"/>
          <w:lang w:eastAsia="bg-BG"/>
        </w:rPr>
        <w:t>на основното вещество, някои притежават по-слаба имуносупресивна активност (до една десета от тази на непромененото лекарство).</w:t>
      </w:r>
    </w:p>
    <w:p w14:paraId="4EE1BB0B" w14:textId="01E5104B" w:rsidR="0091385D" w:rsidRDefault="0091385D" w:rsidP="0091385D"/>
    <w:p w14:paraId="3B529C9A" w14:textId="77777777" w:rsidR="00EC46C5" w:rsidRPr="00EC46C5" w:rsidRDefault="00EC46C5" w:rsidP="00EC46C5">
      <w:pPr>
        <w:pStyle w:val="Heading3"/>
        <w:rPr>
          <w:rFonts w:eastAsia="Times New Roman"/>
          <w:u w:val="single"/>
          <w:lang w:eastAsia="bg-BG"/>
        </w:rPr>
      </w:pPr>
      <w:r w:rsidRPr="00EC46C5">
        <w:rPr>
          <w:rFonts w:eastAsia="Times New Roman"/>
          <w:u w:val="single"/>
          <w:lang w:eastAsia="bg-BG"/>
        </w:rPr>
        <w:t>Елиминиране</w:t>
      </w:r>
    </w:p>
    <w:p w14:paraId="6B4E8B65"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Елиминирането е предимно чрез жлъчката, едва 6% от пероралната доза се екскретира в урината и само 0,1% от екскретираното в урината е в непроменен вид.</w:t>
      </w:r>
    </w:p>
    <w:p w14:paraId="22C891C1" w14:textId="77777777" w:rsidR="00EC46C5" w:rsidRPr="00EC46C5" w:rsidRDefault="00EC46C5" w:rsidP="00EC46C5">
      <w:pPr>
        <w:spacing w:line="240" w:lineRule="auto"/>
        <w:rPr>
          <w:rFonts w:eastAsia="Times New Roman" w:cs="Arial"/>
          <w:color w:val="000000"/>
          <w:lang w:eastAsia="bg-BG"/>
        </w:rPr>
      </w:pPr>
    </w:p>
    <w:p w14:paraId="3F469E86" w14:textId="7A29705D"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Данните за крайния полуживот са противоречиви и са в пряка зависимост от метода на изследване и таргетната популация. Крайният полуживот варира от 6,3 часа при здрави доброволци до 20,4 часа при пациенти с тежко чернодробно заболяване (вж. точки 4.2 и 4.4). Полуживотът при бъбречно трансплантирани пациенти е приблизително 11 часа, с интервал между 4 и 25 часа.</w:t>
      </w:r>
    </w:p>
    <w:p w14:paraId="25B05E96" w14:textId="77777777" w:rsidR="00EC46C5" w:rsidRPr="00EC46C5" w:rsidRDefault="00EC46C5" w:rsidP="00EC46C5">
      <w:pPr>
        <w:spacing w:line="240" w:lineRule="auto"/>
        <w:rPr>
          <w:rFonts w:eastAsia="Times New Roman" w:cs="Arial"/>
          <w:color w:val="000000"/>
          <w:u w:val="single"/>
          <w:lang w:eastAsia="bg-BG"/>
        </w:rPr>
      </w:pPr>
    </w:p>
    <w:p w14:paraId="133C45D6" w14:textId="25075764"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u w:val="single"/>
          <w:lang w:eastAsia="bg-BG"/>
        </w:rPr>
        <w:t>Специални популации</w:t>
      </w:r>
    </w:p>
    <w:p w14:paraId="0A4FDD57"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i/>
          <w:iCs/>
          <w:color w:val="000000"/>
          <w:lang w:eastAsia="bg-BG"/>
        </w:rPr>
        <w:t>Пациенти с бъбречно увреждане</w:t>
      </w:r>
    </w:p>
    <w:p w14:paraId="34EB07BB"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В проучване, проведено при пациенти с терминална бъбречна недостатъчност, системният клирънс е приблизително две трети от средния системен клирънс при пациентите с нормална бъбречна функция. По-малко от 1% от приложената доза може да бъде отстранена чрез диализа.</w:t>
      </w:r>
    </w:p>
    <w:p w14:paraId="43440F2F" w14:textId="77777777" w:rsidR="00EC46C5" w:rsidRPr="00EC46C5" w:rsidRDefault="00EC46C5" w:rsidP="00EC46C5">
      <w:pPr>
        <w:spacing w:line="240" w:lineRule="auto"/>
        <w:rPr>
          <w:rFonts w:eastAsia="Times New Roman" w:cs="Arial"/>
          <w:i/>
          <w:iCs/>
          <w:color w:val="000000"/>
          <w:lang w:eastAsia="bg-BG"/>
        </w:rPr>
      </w:pPr>
    </w:p>
    <w:p w14:paraId="37946275" w14:textId="12F10471" w:rsidR="00EC46C5" w:rsidRPr="00EC46C5" w:rsidRDefault="00EC46C5" w:rsidP="00EC46C5">
      <w:pPr>
        <w:spacing w:line="240" w:lineRule="auto"/>
        <w:rPr>
          <w:rFonts w:eastAsia="Times New Roman" w:cs="Arial"/>
          <w:sz w:val="24"/>
          <w:szCs w:val="24"/>
          <w:lang w:eastAsia="bg-BG"/>
        </w:rPr>
      </w:pPr>
      <w:r w:rsidRPr="00EC46C5">
        <w:rPr>
          <w:rFonts w:eastAsia="Times New Roman" w:cs="Arial"/>
          <w:i/>
          <w:iCs/>
          <w:color w:val="000000"/>
          <w:lang w:eastAsia="bg-BG"/>
        </w:rPr>
        <w:t>Пациенти с чернодробно увреждане</w:t>
      </w:r>
    </w:p>
    <w:p w14:paraId="5291EDF5"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Може да се наблюдава 2 до 3 пъти повишаване на експозицията на циклоспорин при пациенти с чернодробно увреждане. В проучване при пациенти с тежка степен на чернодробно увреждане, с биопсично доказана цироза, крайният полуживот е 20,4 часа (интервал между 10,8 до 48,0 часа) спрямо 7,4 до 11,0 часа при здрави индивиди.</w:t>
      </w:r>
    </w:p>
    <w:p w14:paraId="446933B2" w14:textId="77777777" w:rsidR="00EC46C5" w:rsidRPr="00EC46C5" w:rsidRDefault="00EC46C5" w:rsidP="00EC46C5">
      <w:pPr>
        <w:spacing w:line="240" w:lineRule="auto"/>
        <w:rPr>
          <w:rFonts w:eastAsia="Times New Roman" w:cs="Arial"/>
          <w:color w:val="000000"/>
          <w:u w:val="single"/>
          <w:lang w:eastAsia="bg-BG"/>
        </w:rPr>
      </w:pPr>
    </w:p>
    <w:p w14:paraId="4362A679" w14:textId="2377C264"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u w:val="single"/>
          <w:lang w:eastAsia="bg-BG"/>
        </w:rPr>
        <w:t>Педиатрична популация</w:t>
      </w:r>
    </w:p>
    <w:p w14:paraId="4BAEBEA0" w14:textId="3A993AF6" w:rsidR="00EC46C5" w:rsidRPr="00EC46C5" w:rsidRDefault="00EC46C5" w:rsidP="00EC46C5">
      <w:pPr>
        <w:rPr>
          <w:rFonts w:cs="Arial"/>
        </w:rPr>
      </w:pPr>
      <w:r w:rsidRPr="00EC46C5">
        <w:rPr>
          <w:rFonts w:eastAsia="Times New Roman" w:cs="Arial"/>
          <w:color w:val="000000"/>
          <w:lang w:eastAsia="bg-BG"/>
        </w:rPr>
        <w:t xml:space="preserve">Фармакокинетичните данни от приложението на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или </w:t>
      </w:r>
      <w:r w:rsidRPr="00EC46C5">
        <w:rPr>
          <w:rFonts w:eastAsia="Times New Roman" w:cs="Arial"/>
          <w:color w:val="000000"/>
          <w:lang w:val="en-US"/>
        </w:rPr>
        <w:t xml:space="preserve">Sandimmun </w:t>
      </w:r>
      <w:r w:rsidRPr="00EC46C5">
        <w:rPr>
          <w:rFonts w:eastAsia="Times New Roman" w:cs="Arial"/>
          <w:color w:val="000000"/>
          <w:lang w:eastAsia="bg-BG"/>
        </w:rPr>
        <w:t xml:space="preserve">при педиатрични пациенти са много ограничени. При 15 бъбречно-трансплантирани пациенти на възраст 3-16 години, клирънсът на циклоспорин от пълна кръв след интравенозно приложение на </w:t>
      </w:r>
      <w:r w:rsidRPr="00EC46C5">
        <w:rPr>
          <w:rFonts w:eastAsia="Times New Roman" w:cs="Arial"/>
          <w:color w:val="000000"/>
          <w:lang w:val="en-US"/>
        </w:rPr>
        <w:t xml:space="preserve">Sandimmun </w:t>
      </w:r>
      <w:r w:rsidRPr="00EC46C5">
        <w:rPr>
          <w:rFonts w:eastAsia="Times New Roman" w:cs="Arial"/>
          <w:color w:val="000000"/>
          <w:lang w:eastAsia="bg-BG"/>
        </w:rPr>
        <w:t xml:space="preserve">е 10,6±3,7 </w:t>
      </w:r>
      <w:r w:rsidRPr="00EC46C5">
        <w:rPr>
          <w:rFonts w:eastAsia="Times New Roman" w:cs="Arial"/>
          <w:color w:val="000000"/>
          <w:lang w:val="en-US"/>
        </w:rPr>
        <w:t xml:space="preserve">ml/min/kg </w:t>
      </w:r>
      <w:r w:rsidRPr="00EC46C5">
        <w:rPr>
          <w:rFonts w:eastAsia="Times New Roman" w:cs="Arial"/>
          <w:color w:val="000000"/>
          <w:lang w:eastAsia="bg-BG"/>
        </w:rPr>
        <w:t xml:space="preserve">(определен чрез: </w:t>
      </w:r>
      <w:r w:rsidRPr="00EC46C5">
        <w:rPr>
          <w:rFonts w:eastAsia="Times New Roman" w:cs="Arial"/>
          <w:color w:val="000000"/>
          <w:lang w:val="en-US"/>
        </w:rPr>
        <w:t xml:space="preserve">Cyclo-trac </w:t>
      </w:r>
      <w:r w:rsidRPr="00EC46C5">
        <w:rPr>
          <w:rFonts w:eastAsia="Times New Roman" w:cs="Arial"/>
          <w:color w:val="000000"/>
          <w:lang w:eastAsia="bg-BG"/>
        </w:rPr>
        <w:t xml:space="preserve">специфичен имуноензимен метод). В проучване при 7 бъбречно трансплантирани пациенти на възраст 2-16 години клирънсът на циклоспорин варира от 9,8-15,5 </w:t>
      </w:r>
      <w:r w:rsidRPr="00EC46C5">
        <w:rPr>
          <w:rFonts w:eastAsia="Times New Roman" w:cs="Arial"/>
          <w:color w:val="000000"/>
          <w:lang w:val="en-US"/>
        </w:rPr>
        <w:t xml:space="preserve">ml/min/kg. </w:t>
      </w:r>
      <w:r w:rsidRPr="00EC46C5">
        <w:rPr>
          <w:rFonts w:eastAsia="Times New Roman" w:cs="Arial"/>
          <w:color w:val="000000"/>
          <w:lang w:eastAsia="bg-BG"/>
        </w:rPr>
        <w:t xml:space="preserve">При 9 чернодробно трансплантирани пациенти на възраст 0,65-6 години клирънсът е 9,3 ± 5,4 </w:t>
      </w:r>
      <w:r w:rsidRPr="00EC46C5">
        <w:rPr>
          <w:rFonts w:eastAsia="Times New Roman" w:cs="Arial"/>
          <w:color w:val="000000"/>
          <w:lang w:val="en-US"/>
        </w:rPr>
        <w:t xml:space="preserve">ml/min/kg </w:t>
      </w:r>
      <w:r w:rsidRPr="00EC46C5">
        <w:rPr>
          <w:rFonts w:eastAsia="Times New Roman" w:cs="Arial"/>
          <w:color w:val="000000"/>
          <w:lang w:eastAsia="bg-BG"/>
        </w:rPr>
        <w:t xml:space="preserve">(определен чрез: </w:t>
      </w:r>
      <w:r w:rsidRPr="00EC46C5">
        <w:rPr>
          <w:rFonts w:eastAsia="Times New Roman" w:cs="Arial"/>
          <w:color w:val="000000"/>
          <w:lang w:val="en-US"/>
        </w:rPr>
        <w:t xml:space="preserve">HPLC </w:t>
      </w:r>
      <w:r w:rsidRPr="00EC46C5">
        <w:rPr>
          <w:rFonts w:eastAsia="Times New Roman" w:cs="Arial"/>
          <w:color w:val="000000"/>
          <w:lang w:eastAsia="bg-BG"/>
        </w:rPr>
        <w:t xml:space="preserve">метод). При сравнение с възрастни трансплантирани пациенти, разликата в бионаличността между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и </w:t>
      </w:r>
      <w:r w:rsidRPr="00EC46C5">
        <w:rPr>
          <w:rFonts w:eastAsia="Times New Roman" w:cs="Arial"/>
          <w:color w:val="000000"/>
          <w:lang w:val="en-US"/>
        </w:rPr>
        <w:t xml:space="preserve">Sandimmun </w:t>
      </w:r>
      <w:r w:rsidRPr="00EC46C5">
        <w:rPr>
          <w:rFonts w:eastAsia="Times New Roman" w:cs="Arial"/>
          <w:color w:val="000000"/>
          <w:lang w:eastAsia="bg-BG"/>
        </w:rPr>
        <w:t>при деца е сравнима с тази, наблюдавана при възрастни.</w:t>
      </w:r>
    </w:p>
    <w:p w14:paraId="1DA5F532" w14:textId="77777777" w:rsidR="00EC46C5" w:rsidRPr="0091385D" w:rsidRDefault="00EC46C5"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1B53E64F" w14:textId="77777777" w:rsidR="004313DF" w:rsidRPr="004313DF" w:rsidRDefault="004313DF" w:rsidP="004313DF">
      <w:pPr>
        <w:spacing w:line="240" w:lineRule="auto"/>
        <w:rPr>
          <w:rFonts w:eastAsia="Times New Roman" w:cs="Arial"/>
          <w:sz w:val="24"/>
          <w:szCs w:val="24"/>
          <w:lang w:eastAsia="bg-BG"/>
        </w:rPr>
      </w:pPr>
      <w:r w:rsidRPr="004313DF">
        <w:rPr>
          <w:rFonts w:eastAsia="Times New Roman" w:cs="Arial"/>
          <w:color w:val="000000"/>
          <w:lang w:eastAsia="bg-BG"/>
        </w:rPr>
        <w:t xml:space="preserve">Циклоспорин не показва мутагенен и тератогенен ефект за стандартните тест-системи при перорално приложение (плъхове до 17 </w:t>
      </w:r>
      <w:r w:rsidRPr="004313DF">
        <w:rPr>
          <w:rFonts w:eastAsia="Times New Roman" w:cs="Arial"/>
          <w:color w:val="000000"/>
          <w:lang w:val="en-US"/>
        </w:rPr>
        <w:t xml:space="preserve">mg/kg </w:t>
      </w:r>
      <w:r w:rsidRPr="004313DF">
        <w:rPr>
          <w:rFonts w:eastAsia="Times New Roman" w:cs="Arial"/>
          <w:color w:val="000000"/>
          <w:lang w:eastAsia="bg-BG"/>
        </w:rPr>
        <w:t xml:space="preserve">и зайци до 30 </w:t>
      </w:r>
      <w:r w:rsidRPr="004313DF">
        <w:rPr>
          <w:rFonts w:eastAsia="Times New Roman" w:cs="Arial"/>
          <w:color w:val="000000"/>
          <w:lang w:val="en-US"/>
        </w:rPr>
        <w:t xml:space="preserve">mg/kg </w:t>
      </w:r>
      <w:r w:rsidRPr="004313DF">
        <w:rPr>
          <w:rFonts w:eastAsia="Times New Roman" w:cs="Arial"/>
          <w:color w:val="000000"/>
          <w:lang w:eastAsia="bg-BG"/>
        </w:rPr>
        <w:t xml:space="preserve">дневно перорално). При токсични дозировки (плъхове- 30 </w:t>
      </w:r>
      <w:r w:rsidRPr="004313DF">
        <w:rPr>
          <w:rFonts w:eastAsia="Times New Roman" w:cs="Arial"/>
          <w:color w:val="000000"/>
          <w:lang w:val="en-US"/>
        </w:rPr>
        <w:t xml:space="preserve">mg/kg </w:t>
      </w:r>
      <w:r w:rsidRPr="004313DF">
        <w:rPr>
          <w:rFonts w:eastAsia="Times New Roman" w:cs="Arial"/>
          <w:color w:val="000000"/>
          <w:lang w:eastAsia="bg-BG"/>
        </w:rPr>
        <w:t xml:space="preserve">и зайци- 100 </w:t>
      </w:r>
      <w:r w:rsidRPr="004313DF">
        <w:rPr>
          <w:rFonts w:eastAsia="Times New Roman" w:cs="Arial"/>
          <w:color w:val="000000"/>
          <w:lang w:val="en-US"/>
        </w:rPr>
        <w:t xml:space="preserve">mg/kg </w:t>
      </w:r>
      <w:r w:rsidRPr="004313DF">
        <w:rPr>
          <w:rFonts w:eastAsia="Times New Roman" w:cs="Arial"/>
          <w:color w:val="000000"/>
          <w:lang w:eastAsia="bg-BG"/>
        </w:rPr>
        <w:t>дневно, перорално) циклоспорин е бил ембрио- и фетотксичен, което се проявява като повишена пре- и постнатална смъртност, редуцирано тегло на плода и изоставане в скелетното развитие.</w:t>
      </w:r>
    </w:p>
    <w:p w14:paraId="1E03E767" w14:textId="77777777" w:rsidR="004313DF" w:rsidRPr="004313DF" w:rsidRDefault="004313DF" w:rsidP="004313DF">
      <w:pPr>
        <w:spacing w:line="240" w:lineRule="auto"/>
        <w:rPr>
          <w:rFonts w:eastAsia="Times New Roman" w:cs="Arial"/>
          <w:color w:val="000000"/>
          <w:lang w:eastAsia="bg-BG"/>
        </w:rPr>
      </w:pPr>
    </w:p>
    <w:p w14:paraId="7CB71600" w14:textId="73EB1EA7" w:rsidR="004313DF" w:rsidRPr="004313DF" w:rsidRDefault="004313DF" w:rsidP="004313DF">
      <w:pPr>
        <w:spacing w:line="240" w:lineRule="auto"/>
        <w:rPr>
          <w:rFonts w:eastAsia="Times New Roman" w:cs="Arial"/>
          <w:sz w:val="24"/>
          <w:szCs w:val="24"/>
          <w:lang w:eastAsia="bg-BG"/>
        </w:rPr>
      </w:pPr>
      <w:r w:rsidRPr="004313DF">
        <w:rPr>
          <w:rFonts w:eastAsia="Times New Roman" w:cs="Arial"/>
          <w:color w:val="000000"/>
          <w:lang w:eastAsia="bg-BG"/>
        </w:rPr>
        <w:t xml:space="preserve">В две публикувани изследователски проучвания, зайци на възраст до 35 седмици, изложени на циклоспорин </w:t>
      </w:r>
      <w:r w:rsidRPr="004313DF">
        <w:rPr>
          <w:rFonts w:eastAsia="Times New Roman" w:cs="Arial"/>
          <w:i/>
          <w:iCs/>
          <w:color w:val="000000"/>
          <w:lang w:val="en-US"/>
        </w:rPr>
        <w:t>in utero</w:t>
      </w:r>
      <w:r w:rsidRPr="004313DF">
        <w:rPr>
          <w:rFonts w:eastAsia="Times New Roman" w:cs="Arial"/>
          <w:color w:val="000000"/>
          <w:lang w:val="en-US"/>
        </w:rPr>
        <w:t xml:space="preserve"> </w:t>
      </w:r>
      <w:r w:rsidRPr="004313DF">
        <w:rPr>
          <w:rFonts w:eastAsia="Times New Roman" w:cs="Arial"/>
          <w:color w:val="000000"/>
          <w:lang w:eastAsia="bg-BG"/>
        </w:rPr>
        <w:t xml:space="preserve">(10 </w:t>
      </w:r>
      <w:r w:rsidRPr="004313DF">
        <w:rPr>
          <w:rFonts w:eastAsia="Times New Roman" w:cs="Arial"/>
          <w:color w:val="000000"/>
          <w:lang w:val="en-US"/>
        </w:rPr>
        <w:t xml:space="preserve">mg/kg </w:t>
      </w:r>
      <w:r w:rsidRPr="004313DF">
        <w:rPr>
          <w:rFonts w:eastAsia="Times New Roman" w:cs="Arial"/>
          <w:color w:val="000000"/>
          <w:lang w:eastAsia="bg-BG"/>
        </w:rPr>
        <w:t>дневно подкожно) са показали понижен брой на нефроните, бъбречна хипертрофия, системна хипертония и прогресивна бъбречна недостатъчност.</w:t>
      </w:r>
    </w:p>
    <w:p w14:paraId="16D3EBC6" w14:textId="77777777" w:rsidR="004313DF" w:rsidRPr="004313DF" w:rsidRDefault="004313DF" w:rsidP="004313DF">
      <w:pPr>
        <w:spacing w:line="240" w:lineRule="auto"/>
        <w:rPr>
          <w:rFonts w:eastAsia="Times New Roman" w:cs="Arial"/>
          <w:sz w:val="24"/>
          <w:szCs w:val="24"/>
          <w:lang w:eastAsia="bg-BG"/>
        </w:rPr>
      </w:pPr>
      <w:r w:rsidRPr="004313DF">
        <w:rPr>
          <w:rFonts w:eastAsia="Times New Roman" w:cs="Arial"/>
          <w:color w:val="000000"/>
          <w:lang w:eastAsia="bg-BG"/>
        </w:rPr>
        <w:t xml:space="preserve">Бременни плъхове, които са получавали циклоспорин 12 </w:t>
      </w:r>
      <w:r w:rsidRPr="004313DF">
        <w:rPr>
          <w:rFonts w:eastAsia="Times New Roman" w:cs="Arial"/>
          <w:color w:val="000000"/>
          <w:lang w:val="en-US"/>
        </w:rPr>
        <w:t>mg/kg</w:t>
      </w:r>
      <w:r w:rsidRPr="004313DF">
        <w:rPr>
          <w:rFonts w:eastAsia="Times New Roman" w:cs="Arial"/>
          <w:color w:val="000000"/>
          <w:lang w:eastAsia="bg-BG"/>
        </w:rPr>
        <w:t>/дневно интравенозно (два пъти препоръчителната интравенозна доза при човек) са имали зародиши с повишена степен на поява на камерен преграден дефект. Тези находки не са били установени при други видове и тяхната валидност при хора е неизвестна. Не се наблюдава увреждане на фертилитета в проучвания при мъжки и женски плъхове.</w:t>
      </w:r>
    </w:p>
    <w:p w14:paraId="23288ECC" w14:textId="77777777" w:rsidR="004313DF" w:rsidRPr="004313DF" w:rsidRDefault="004313DF" w:rsidP="004313DF">
      <w:pPr>
        <w:spacing w:line="240" w:lineRule="auto"/>
        <w:rPr>
          <w:rFonts w:eastAsia="Times New Roman" w:cs="Arial"/>
          <w:color w:val="000000"/>
          <w:lang w:eastAsia="bg-BG"/>
        </w:rPr>
      </w:pPr>
    </w:p>
    <w:p w14:paraId="5B08C273" w14:textId="3ED8EDD3" w:rsidR="004313DF" w:rsidRPr="004313DF" w:rsidRDefault="004313DF" w:rsidP="004313DF">
      <w:pPr>
        <w:spacing w:line="240" w:lineRule="auto"/>
        <w:rPr>
          <w:rFonts w:eastAsia="Times New Roman" w:cs="Arial"/>
          <w:sz w:val="24"/>
          <w:szCs w:val="24"/>
          <w:lang w:eastAsia="bg-BG"/>
        </w:rPr>
      </w:pPr>
      <w:r w:rsidRPr="004313DF">
        <w:rPr>
          <w:rFonts w:eastAsia="Times New Roman" w:cs="Arial"/>
          <w:color w:val="000000"/>
          <w:lang w:eastAsia="bg-BG"/>
        </w:rPr>
        <w:t xml:space="preserve">Циклоспорин е проучван в редица </w:t>
      </w:r>
      <w:r w:rsidRPr="004313DF">
        <w:rPr>
          <w:rFonts w:eastAsia="Times New Roman" w:cs="Arial"/>
          <w:i/>
          <w:iCs/>
          <w:color w:val="000000"/>
          <w:lang w:val="en-US"/>
        </w:rPr>
        <w:t>in vitro</w:t>
      </w:r>
      <w:r w:rsidRPr="004313DF">
        <w:rPr>
          <w:rFonts w:eastAsia="Times New Roman" w:cs="Arial"/>
          <w:color w:val="000000"/>
          <w:lang w:val="en-US"/>
        </w:rPr>
        <w:t xml:space="preserve"> </w:t>
      </w:r>
      <w:r w:rsidRPr="004313DF">
        <w:rPr>
          <w:rFonts w:eastAsia="Times New Roman" w:cs="Arial"/>
          <w:color w:val="000000"/>
          <w:lang w:eastAsia="bg-BG"/>
        </w:rPr>
        <w:t xml:space="preserve">и </w:t>
      </w:r>
      <w:r w:rsidRPr="004313DF">
        <w:rPr>
          <w:rFonts w:eastAsia="Times New Roman" w:cs="Arial"/>
          <w:i/>
          <w:iCs/>
          <w:color w:val="000000"/>
          <w:lang w:val="en-US"/>
        </w:rPr>
        <w:t>in vivo</w:t>
      </w:r>
      <w:r w:rsidRPr="004313DF">
        <w:rPr>
          <w:rFonts w:eastAsia="Times New Roman" w:cs="Arial"/>
          <w:color w:val="000000"/>
          <w:lang w:val="en-US"/>
        </w:rPr>
        <w:t xml:space="preserve"> </w:t>
      </w:r>
      <w:r w:rsidRPr="004313DF">
        <w:rPr>
          <w:rFonts w:eastAsia="Times New Roman" w:cs="Arial"/>
          <w:color w:val="000000"/>
          <w:lang w:eastAsia="bg-BG"/>
        </w:rPr>
        <w:t>изследвания за генотоксичност без данни за клинично значим мутагенен потенциал.</w:t>
      </w:r>
    </w:p>
    <w:p w14:paraId="7A18A677" w14:textId="77777777" w:rsidR="004313DF" w:rsidRPr="004313DF" w:rsidRDefault="004313DF" w:rsidP="004313DF">
      <w:pPr>
        <w:spacing w:line="240" w:lineRule="auto"/>
        <w:rPr>
          <w:rFonts w:eastAsia="Times New Roman" w:cs="Arial"/>
          <w:sz w:val="24"/>
          <w:szCs w:val="24"/>
          <w:lang w:eastAsia="bg-BG"/>
        </w:rPr>
      </w:pPr>
    </w:p>
    <w:p w14:paraId="068E53BB" w14:textId="5A318C88" w:rsidR="004313DF" w:rsidRPr="004313DF" w:rsidRDefault="004313DF" w:rsidP="004313DF">
      <w:pPr>
        <w:rPr>
          <w:rFonts w:cs="Arial"/>
          <w:lang w:val="en-US"/>
        </w:rPr>
      </w:pPr>
      <w:r w:rsidRPr="004313DF">
        <w:rPr>
          <w:rFonts w:eastAsia="Times New Roman" w:cs="Arial"/>
          <w:color w:val="000000"/>
          <w:lang w:eastAsia="bg-BG"/>
        </w:rPr>
        <w:t xml:space="preserve">Проучвания за канцерогенност са проведени при мъжки и женски плъхове и мишки. В 78-седмично проучване при мишки, при дозировки от 1,4 и 16 </w:t>
      </w:r>
      <w:r w:rsidRPr="004313DF">
        <w:rPr>
          <w:rFonts w:eastAsia="Times New Roman" w:cs="Arial"/>
          <w:color w:val="000000"/>
          <w:lang w:val="en-US"/>
        </w:rPr>
        <w:t xml:space="preserve">mg/kg </w:t>
      </w:r>
      <w:r w:rsidRPr="004313DF">
        <w:rPr>
          <w:rFonts w:eastAsia="Times New Roman" w:cs="Arial"/>
          <w:color w:val="000000"/>
          <w:lang w:eastAsia="bg-BG"/>
        </w:rPr>
        <w:t>дневно са открити</w:t>
      </w:r>
      <w:r w:rsidRPr="004313DF">
        <w:rPr>
          <w:rFonts w:eastAsia="Times New Roman" w:cs="Arial"/>
          <w:color w:val="000000"/>
          <w:lang w:val="en-US" w:eastAsia="bg-BG"/>
        </w:rPr>
        <w:t xml:space="preserve"> </w:t>
      </w:r>
      <w:r w:rsidRPr="004313DF">
        <w:rPr>
          <w:rFonts w:cs="Arial"/>
        </w:rPr>
        <w:t xml:space="preserve">доказателства за статистически значимо повишение на лимфоцитни лимфоми при женските екземпляри, а честотата на хепатоцелуларния карцином при средните дозировки при мъжките значително надвишава контролната стойност. В 24-седмично проучване при плъхове, проведено с дозировки от 0,5, 2 и 8 </w:t>
      </w:r>
      <w:r w:rsidRPr="004313DF">
        <w:rPr>
          <w:rFonts w:cs="Arial"/>
          <w:lang w:val="en-US"/>
        </w:rPr>
        <w:t xml:space="preserve">mg/kg </w:t>
      </w:r>
      <w:r w:rsidRPr="004313DF">
        <w:rPr>
          <w:rFonts w:cs="Arial"/>
        </w:rPr>
        <w:t>дневно, при ниските дозировки, появата на аденоми на островните клетки в панкреаса значително надвишава контролната стойност. Хепатоцелуларни карциноми и аденоми на островните клетки на панкреаса не са били дозозависими.</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42BA3E0F" w14:textId="77777777" w:rsidR="004313DF" w:rsidRPr="004313DF" w:rsidRDefault="004313DF" w:rsidP="004313DF">
      <w:pPr>
        <w:spacing w:line="240" w:lineRule="auto"/>
        <w:rPr>
          <w:rFonts w:eastAsia="Times New Roman" w:cs="Arial"/>
          <w:lang w:val="en-US" w:eastAsia="bg-BG"/>
        </w:rPr>
      </w:pPr>
      <w:r w:rsidRPr="004313DF">
        <w:rPr>
          <w:rFonts w:eastAsia="Times New Roman" w:cs="Arial"/>
          <w:color w:val="000000"/>
          <w:lang w:val="en-US"/>
        </w:rPr>
        <w:t>Novartis Pharma GmbH</w:t>
      </w:r>
    </w:p>
    <w:p w14:paraId="7DEB99AA" w14:textId="77777777" w:rsidR="004313DF" w:rsidRPr="004313DF" w:rsidRDefault="004313DF" w:rsidP="004313DF">
      <w:pPr>
        <w:spacing w:line="240" w:lineRule="auto"/>
        <w:rPr>
          <w:rFonts w:eastAsia="Times New Roman" w:cs="Arial"/>
          <w:lang w:val="en-US" w:eastAsia="bg-BG"/>
        </w:rPr>
      </w:pPr>
      <w:r w:rsidRPr="004313DF">
        <w:rPr>
          <w:rFonts w:eastAsia="Times New Roman" w:cs="Arial"/>
          <w:color w:val="000000"/>
          <w:lang w:val="en-US"/>
        </w:rPr>
        <w:lastRenderedPageBreak/>
        <w:t>Roonstrasse 25</w:t>
      </w:r>
    </w:p>
    <w:p w14:paraId="3FD825DB" w14:textId="52731541" w:rsidR="0091385D" w:rsidRPr="004313DF" w:rsidRDefault="004313DF" w:rsidP="004313DF">
      <w:pPr>
        <w:rPr>
          <w:rFonts w:cs="Arial"/>
        </w:rPr>
      </w:pPr>
      <w:r w:rsidRPr="004313DF">
        <w:rPr>
          <w:rFonts w:eastAsia="Times New Roman" w:cs="Arial"/>
          <w:color w:val="000000"/>
          <w:lang w:val="en-US"/>
        </w:rPr>
        <w:t xml:space="preserve">90429 Niimberg, </w:t>
      </w:r>
      <w:r w:rsidRPr="004313DF">
        <w:rPr>
          <w:rFonts w:eastAsia="Times New Roman" w:cs="Arial"/>
          <w:color w:val="000000"/>
          <w:lang w:eastAsia="bg-BG"/>
        </w:rPr>
        <w:t>Германия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43E808DC" w14:textId="77777777" w:rsidR="004313DF" w:rsidRPr="004313DF" w:rsidRDefault="004313DF" w:rsidP="004313DF">
      <w:pPr>
        <w:spacing w:line="240" w:lineRule="auto"/>
        <w:rPr>
          <w:rFonts w:eastAsia="Times New Roman" w:cs="Arial"/>
          <w:lang w:val="en-US" w:eastAsia="bg-BG"/>
        </w:rPr>
      </w:pPr>
      <w:r w:rsidRPr="004313DF">
        <w:rPr>
          <w:rFonts w:eastAsia="Times New Roman" w:cs="Arial"/>
          <w:color w:val="000000"/>
          <w:lang w:val="en-US"/>
        </w:rPr>
        <w:t>Sandimmun Neoral 25 mg - 20010481</w:t>
      </w:r>
    </w:p>
    <w:p w14:paraId="37A8B318" w14:textId="77777777" w:rsidR="004313DF" w:rsidRPr="004313DF" w:rsidRDefault="004313DF" w:rsidP="004313DF">
      <w:pPr>
        <w:spacing w:line="240" w:lineRule="auto"/>
        <w:rPr>
          <w:rFonts w:eastAsia="Times New Roman" w:cs="Arial"/>
          <w:lang w:val="en-US" w:eastAsia="bg-BG"/>
        </w:rPr>
      </w:pPr>
      <w:r w:rsidRPr="004313DF">
        <w:rPr>
          <w:rFonts w:eastAsia="Times New Roman" w:cs="Arial"/>
          <w:color w:val="000000"/>
          <w:lang w:val="en-US"/>
        </w:rPr>
        <w:t>Sandimmun Neoral 50 mg - 20010482</w:t>
      </w:r>
    </w:p>
    <w:p w14:paraId="6E892CE5" w14:textId="5DEB8206" w:rsidR="0091385D" w:rsidRPr="004313DF" w:rsidRDefault="004313DF" w:rsidP="004313DF">
      <w:pPr>
        <w:rPr>
          <w:rFonts w:cs="Arial"/>
        </w:rPr>
      </w:pPr>
      <w:r w:rsidRPr="004313DF">
        <w:rPr>
          <w:rFonts w:eastAsia="Times New Roman" w:cs="Arial"/>
          <w:color w:val="000000"/>
          <w:lang w:val="en-US"/>
        </w:rPr>
        <w:t>Sandimmun Neoral 100 mg - 20010483</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3DE97057" w14:textId="77777777" w:rsidR="004313DF" w:rsidRPr="004313DF" w:rsidRDefault="004313DF" w:rsidP="004313DF">
      <w:pPr>
        <w:spacing w:line="240" w:lineRule="auto"/>
        <w:rPr>
          <w:rFonts w:eastAsia="Times New Roman" w:cs="Arial"/>
          <w:lang w:eastAsia="bg-BG"/>
        </w:rPr>
      </w:pPr>
      <w:r w:rsidRPr="004313DF">
        <w:rPr>
          <w:rFonts w:eastAsia="Times New Roman" w:cs="Arial"/>
          <w:color w:val="000000"/>
          <w:lang w:eastAsia="bg-BG"/>
        </w:rPr>
        <w:t>Дата на първо разрешаване: 21 юни 1994 г.</w:t>
      </w:r>
    </w:p>
    <w:p w14:paraId="497007FA" w14:textId="3F87A128" w:rsidR="0091385D" w:rsidRPr="004313DF" w:rsidRDefault="004313DF" w:rsidP="004313DF">
      <w:pPr>
        <w:rPr>
          <w:rFonts w:cs="Arial"/>
        </w:rPr>
      </w:pPr>
      <w:r w:rsidRPr="004313DF">
        <w:rPr>
          <w:rFonts w:eastAsia="Times New Roman" w:cs="Arial"/>
          <w:color w:val="000000"/>
          <w:lang w:eastAsia="bg-BG"/>
        </w:rPr>
        <w:t>Дата на последно подновяване: 21 април 2011 г.</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4EB827CE" w14:textId="77777777" w:rsidR="004313DF" w:rsidRPr="004313DF" w:rsidRDefault="004313DF" w:rsidP="004313DF">
      <w:pPr>
        <w:spacing w:line="240" w:lineRule="auto"/>
        <w:rPr>
          <w:rFonts w:eastAsia="Times New Roman" w:cs="Arial"/>
          <w:lang w:eastAsia="bg-BG"/>
        </w:rPr>
      </w:pPr>
      <w:r w:rsidRPr="004313DF">
        <w:rPr>
          <w:rFonts w:eastAsia="Times New Roman" w:cs="Arial"/>
          <w:color w:val="000000"/>
          <w:lang w:eastAsia="bg-BG"/>
        </w:rPr>
        <w:t>20 май 2022 г.</w:t>
      </w:r>
    </w:p>
    <w:p w14:paraId="7825F165" w14:textId="77777777" w:rsidR="004313DF" w:rsidRPr="004313DF" w:rsidRDefault="004313DF" w:rsidP="004313DF">
      <w:pPr>
        <w:rPr>
          <w:rFonts w:eastAsia="Times New Roman" w:cs="Arial"/>
          <w:color w:val="000000"/>
          <w:lang w:eastAsia="bg-BG"/>
        </w:rPr>
      </w:pPr>
    </w:p>
    <w:p w14:paraId="30276F52" w14:textId="554CA36A" w:rsidR="0091385D" w:rsidRPr="004313DF" w:rsidRDefault="004313DF" w:rsidP="004313DF">
      <w:pPr>
        <w:rPr>
          <w:rFonts w:cs="Arial"/>
        </w:rPr>
      </w:pPr>
      <w:r w:rsidRPr="004313DF">
        <w:rPr>
          <w:rFonts w:eastAsia="Times New Roman" w:cs="Arial"/>
          <w:color w:val="000000"/>
          <w:lang w:eastAsia="bg-BG"/>
        </w:rPr>
        <w:t xml:space="preserve">Подробна информация за този лекарствен продукт е предоставена на уебсайта на Изпълнителна агенция по лекарствата </w:t>
      </w:r>
      <w:hyperlink r:id="rId6" w:history="1">
        <w:r w:rsidRPr="004313DF">
          <w:rPr>
            <w:rFonts w:eastAsia="Times New Roman" w:cs="Arial"/>
            <w:color w:val="000000"/>
            <w:u w:val="single"/>
            <w:lang w:val="en-US"/>
          </w:rPr>
          <w:t>www.bda.bg</w:t>
        </w:r>
      </w:hyperlink>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9"/>
  </w:num>
  <w:num w:numId="12">
    <w:abstractNumId w:val="13"/>
  </w:num>
  <w:num w:numId="13">
    <w:abstractNumId w:val="18"/>
  </w:num>
  <w:num w:numId="14">
    <w:abstractNumId w:val="11"/>
  </w:num>
  <w:num w:numId="15">
    <w:abstractNumId w:val="28"/>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0"/>
  </w:num>
  <w:num w:numId="28">
    <w:abstractNumId w:val="6"/>
  </w:num>
  <w:num w:numId="29">
    <w:abstractNumId w:val="19"/>
  </w:num>
  <w:num w:numId="30">
    <w:abstractNumId w:val="33"/>
  </w:num>
  <w:num w:numId="31">
    <w:abstractNumId w:val="5"/>
  </w:num>
  <w:num w:numId="32">
    <w:abstractNumId w:val="32"/>
  </w:num>
  <w:num w:numId="33">
    <w:abstractNumId w:val="27"/>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56704"/>
    <w:rsid w:val="00185A46"/>
    <w:rsid w:val="001915B6"/>
    <w:rsid w:val="001D1B23"/>
    <w:rsid w:val="002B3C38"/>
    <w:rsid w:val="002B4DBB"/>
    <w:rsid w:val="002C50EE"/>
    <w:rsid w:val="00340A0A"/>
    <w:rsid w:val="003765DC"/>
    <w:rsid w:val="00395555"/>
    <w:rsid w:val="003E3126"/>
    <w:rsid w:val="00426E5F"/>
    <w:rsid w:val="004313DF"/>
    <w:rsid w:val="00470F01"/>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8F1AF3"/>
    <w:rsid w:val="0091385D"/>
    <w:rsid w:val="009773E4"/>
    <w:rsid w:val="009B171C"/>
    <w:rsid w:val="009F1313"/>
    <w:rsid w:val="00A20351"/>
    <w:rsid w:val="00A65A81"/>
    <w:rsid w:val="00A73575"/>
    <w:rsid w:val="00AA23EC"/>
    <w:rsid w:val="00AB7E9B"/>
    <w:rsid w:val="00AC63CE"/>
    <w:rsid w:val="00AE2107"/>
    <w:rsid w:val="00B275A8"/>
    <w:rsid w:val="00BF2600"/>
    <w:rsid w:val="00C0049F"/>
    <w:rsid w:val="00C07B84"/>
    <w:rsid w:val="00C33464"/>
    <w:rsid w:val="00C40420"/>
    <w:rsid w:val="00C809A7"/>
    <w:rsid w:val="00C83063"/>
    <w:rsid w:val="00C87E90"/>
    <w:rsid w:val="00CA1B57"/>
    <w:rsid w:val="00CF77F7"/>
    <w:rsid w:val="00D86297"/>
    <w:rsid w:val="00DD466D"/>
    <w:rsid w:val="00EB6364"/>
    <w:rsid w:val="00EC46C5"/>
    <w:rsid w:val="00F1798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da.bg" TargetMode="Externa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9818</Words>
  <Characters>55965</Characters>
  <Application>Microsoft Office Word</Application>
  <DocSecurity>0</DocSecurity>
  <Lines>466</Lines>
  <Paragraphs>131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2022-11-04T02:44:00Z</dcterms:created>
  <dcterms:modified xsi:type="dcterms:W3CDTF">2022-11-04T02:44:00Z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