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41FD41DA" w14:textId="77777777" w:rsidR="00E84CF5" w:rsidRPr="00E84CF5" w:rsidRDefault="00E84CF5" w:rsidP="00E84CF5">
      <w:pPr>
        <w:spacing w:line="240" w:lineRule="auto"/>
        <w:rPr>
          <w:rFonts w:eastAsia="Times New Roman" w:cs="Arial"/>
          <w:lang w:val="en-US" w:eastAsia="bg-BG"/>
        </w:rPr>
      </w:pPr>
      <w:r w:rsidRPr="00E84CF5">
        <w:rPr>
          <w:rFonts w:eastAsia="Times New Roman" w:cs="Arial"/>
          <w:color w:val="000000"/>
          <w:lang w:eastAsia="bg-BG"/>
        </w:rPr>
        <w:t xml:space="preserve">Сартег 40 </w:t>
      </w:r>
      <w:r w:rsidRPr="00E84CF5">
        <w:rPr>
          <w:rFonts w:eastAsia="Times New Roman" w:cs="Arial"/>
          <w:color w:val="000000"/>
          <w:lang w:val="en-US"/>
        </w:rPr>
        <w:t xml:space="preserve">mg </w:t>
      </w:r>
      <w:r w:rsidRPr="00E84CF5">
        <w:rPr>
          <w:rFonts w:eastAsia="Times New Roman" w:cs="Arial"/>
          <w:color w:val="000000"/>
          <w:lang w:eastAsia="bg-BG"/>
        </w:rPr>
        <w:t>филмирани таблетки</w:t>
      </w:r>
    </w:p>
    <w:p w14:paraId="2BD425DB" w14:textId="77777777" w:rsidR="00E84CF5" w:rsidRPr="00E84CF5" w:rsidRDefault="00E84CF5" w:rsidP="00E84CF5">
      <w:pPr>
        <w:spacing w:line="240" w:lineRule="auto"/>
        <w:rPr>
          <w:rFonts w:eastAsia="Times New Roman" w:cs="Arial"/>
          <w:lang w:val="en-US" w:eastAsia="bg-BG"/>
        </w:rPr>
      </w:pPr>
      <w:proofErr w:type="spellStart"/>
      <w:r w:rsidRPr="00E84CF5">
        <w:rPr>
          <w:rFonts w:eastAsia="Times New Roman" w:cs="Arial"/>
          <w:color w:val="000000"/>
          <w:lang w:val="en-US"/>
        </w:rPr>
        <w:t>Sarteg</w:t>
      </w:r>
      <w:proofErr w:type="spellEnd"/>
      <w:r w:rsidRPr="00E84CF5">
        <w:rPr>
          <w:rFonts w:eastAsia="Times New Roman" w:cs="Arial"/>
          <w:color w:val="000000"/>
          <w:lang w:val="en-US"/>
        </w:rPr>
        <w:t xml:space="preserve"> </w:t>
      </w:r>
      <w:r w:rsidRPr="00E84CF5">
        <w:rPr>
          <w:rFonts w:eastAsia="Times New Roman" w:cs="Arial"/>
          <w:color w:val="000000"/>
          <w:lang w:eastAsia="bg-BG"/>
        </w:rPr>
        <w:t xml:space="preserve">40 </w:t>
      </w:r>
      <w:r w:rsidRPr="00E84CF5">
        <w:rPr>
          <w:rFonts w:eastAsia="Times New Roman" w:cs="Arial"/>
          <w:color w:val="000000"/>
          <w:lang w:val="en-US"/>
        </w:rPr>
        <w:t>mg film coated tablets</w:t>
      </w:r>
    </w:p>
    <w:p w14:paraId="2F00F301" w14:textId="77777777" w:rsidR="00E84CF5" w:rsidRPr="00E84CF5" w:rsidRDefault="00E84CF5" w:rsidP="00E84CF5">
      <w:pPr>
        <w:spacing w:line="240" w:lineRule="auto"/>
        <w:rPr>
          <w:rFonts w:eastAsia="Times New Roman" w:cs="Arial"/>
          <w:color w:val="000000"/>
          <w:lang w:eastAsia="bg-BG"/>
        </w:rPr>
      </w:pPr>
    </w:p>
    <w:p w14:paraId="04BD1E5A" w14:textId="113B6791" w:rsidR="00E84CF5" w:rsidRPr="00E84CF5" w:rsidRDefault="00E84CF5" w:rsidP="00E84CF5">
      <w:pPr>
        <w:spacing w:line="240" w:lineRule="auto"/>
        <w:rPr>
          <w:rFonts w:eastAsia="Times New Roman" w:cs="Arial"/>
          <w:lang w:val="en-US" w:eastAsia="bg-BG"/>
        </w:rPr>
      </w:pPr>
      <w:r w:rsidRPr="00E84CF5">
        <w:rPr>
          <w:rFonts w:eastAsia="Times New Roman" w:cs="Arial"/>
          <w:color w:val="000000"/>
          <w:lang w:eastAsia="bg-BG"/>
        </w:rPr>
        <w:t xml:space="preserve">Сартег </w:t>
      </w:r>
      <w:r w:rsidRPr="00E84CF5">
        <w:rPr>
          <w:rFonts w:eastAsia="Times New Roman" w:cs="Arial"/>
          <w:color w:val="000000"/>
          <w:lang w:val="en-US"/>
        </w:rPr>
        <w:t xml:space="preserve">80 mg </w:t>
      </w:r>
      <w:r w:rsidRPr="00E84CF5">
        <w:rPr>
          <w:rFonts w:eastAsia="Times New Roman" w:cs="Arial"/>
          <w:color w:val="000000"/>
          <w:lang w:eastAsia="bg-BG"/>
        </w:rPr>
        <w:t>филмирани таблетки</w:t>
      </w:r>
    </w:p>
    <w:p w14:paraId="6642035D" w14:textId="77777777" w:rsidR="00E84CF5" w:rsidRPr="00E84CF5" w:rsidRDefault="00E84CF5" w:rsidP="00E84CF5">
      <w:pPr>
        <w:spacing w:line="240" w:lineRule="auto"/>
        <w:rPr>
          <w:rFonts w:eastAsia="Times New Roman" w:cs="Arial"/>
          <w:lang w:val="en-US" w:eastAsia="bg-BG"/>
        </w:rPr>
      </w:pPr>
      <w:proofErr w:type="spellStart"/>
      <w:r w:rsidRPr="00E84CF5">
        <w:rPr>
          <w:rFonts w:eastAsia="Times New Roman" w:cs="Arial"/>
          <w:color w:val="000000"/>
          <w:lang w:val="en-US"/>
        </w:rPr>
        <w:t>Sarteg</w:t>
      </w:r>
      <w:proofErr w:type="spellEnd"/>
      <w:r w:rsidRPr="00E84CF5">
        <w:rPr>
          <w:rFonts w:eastAsia="Times New Roman" w:cs="Arial"/>
          <w:color w:val="000000"/>
          <w:lang w:val="en-US"/>
        </w:rPr>
        <w:t xml:space="preserve"> 80 mg film coated tablets</w:t>
      </w:r>
    </w:p>
    <w:p w14:paraId="41CE8BC6" w14:textId="77777777" w:rsidR="00E84CF5" w:rsidRPr="00E84CF5" w:rsidRDefault="00E84CF5" w:rsidP="00E84CF5">
      <w:pPr>
        <w:spacing w:line="240" w:lineRule="auto"/>
        <w:rPr>
          <w:rFonts w:eastAsia="Times New Roman" w:cs="Arial"/>
          <w:color w:val="000000"/>
          <w:lang w:eastAsia="bg-BG"/>
        </w:rPr>
      </w:pPr>
    </w:p>
    <w:p w14:paraId="0D87E81F" w14:textId="52773239" w:rsidR="00E84CF5" w:rsidRPr="00E84CF5" w:rsidRDefault="00E84CF5" w:rsidP="00E84CF5">
      <w:pPr>
        <w:spacing w:line="240" w:lineRule="auto"/>
        <w:rPr>
          <w:rFonts w:eastAsia="Times New Roman" w:cs="Arial"/>
          <w:lang w:val="en-US" w:eastAsia="bg-BG"/>
        </w:rPr>
      </w:pPr>
      <w:r w:rsidRPr="00E84CF5">
        <w:rPr>
          <w:rFonts w:eastAsia="Times New Roman" w:cs="Arial"/>
          <w:color w:val="000000"/>
          <w:lang w:eastAsia="bg-BG"/>
        </w:rPr>
        <w:t xml:space="preserve">Сартег </w:t>
      </w:r>
      <w:r w:rsidRPr="00E84CF5">
        <w:rPr>
          <w:rFonts w:eastAsia="Times New Roman" w:cs="Arial"/>
          <w:color w:val="000000"/>
          <w:lang w:val="en-US"/>
        </w:rPr>
        <w:t xml:space="preserve">160 mg </w:t>
      </w:r>
      <w:r w:rsidRPr="00E84CF5">
        <w:rPr>
          <w:rFonts w:eastAsia="Times New Roman" w:cs="Arial"/>
          <w:color w:val="000000"/>
          <w:lang w:eastAsia="bg-BG"/>
        </w:rPr>
        <w:t>филмирани таблетки</w:t>
      </w:r>
    </w:p>
    <w:p w14:paraId="69AC8148" w14:textId="31E09EDE" w:rsidR="00EC41ED" w:rsidRPr="00E84CF5" w:rsidRDefault="00E84CF5" w:rsidP="00E84CF5">
      <w:pPr>
        <w:rPr>
          <w:rFonts w:cs="Arial"/>
        </w:rPr>
      </w:pPr>
      <w:proofErr w:type="spellStart"/>
      <w:r w:rsidRPr="00E84CF5">
        <w:rPr>
          <w:rFonts w:eastAsia="Times New Roman" w:cs="Arial"/>
          <w:color w:val="000000"/>
          <w:lang w:val="en-US"/>
        </w:rPr>
        <w:t>Sarteg</w:t>
      </w:r>
      <w:proofErr w:type="spellEnd"/>
      <w:r w:rsidRPr="00E84CF5">
        <w:rPr>
          <w:rFonts w:eastAsia="Times New Roman" w:cs="Arial"/>
          <w:color w:val="000000"/>
          <w:lang w:val="en-US"/>
        </w:rPr>
        <w:t xml:space="preserve"> 160mg film 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16A70024"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Сартег 40 </w:t>
      </w:r>
      <w:r w:rsidRPr="00E84CF5">
        <w:rPr>
          <w:rFonts w:eastAsia="Times New Roman" w:cs="Arial"/>
          <w:color w:val="000000"/>
          <w:lang w:val="en-US"/>
        </w:rPr>
        <w:t xml:space="preserve">mg </w:t>
      </w:r>
      <w:r w:rsidRPr="00E84CF5">
        <w:rPr>
          <w:rFonts w:eastAsia="Times New Roman" w:cs="Arial"/>
          <w:color w:val="000000"/>
          <w:lang w:eastAsia="bg-BG"/>
        </w:rPr>
        <w:t>филмирани таблетки</w:t>
      </w:r>
    </w:p>
    <w:p w14:paraId="1FBD1961"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Една филмирана таблетка съдържа 40 </w:t>
      </w:r>
      <w:r w:rsidRPr="00E84CF5">
        <w:rPr>
          <w:rFonts w:eastAsia="Times New Roman" w:cs="Arial"/>
          <w:color w:val="000000"/>
          <w:lang w:val="en-US"/>
        </w:rPr>
        <w:t xml:space="preserve">mg </w:t>
      </w:r>
      <w:r w:rsidRPr="00E84CF5">
        <w:rPr>
          <w:rFonts w:eastAsia="Times New Roman" w:cs="Arial"/>
          <w:color w:val="000000"/>
          <w:lang w:eastAsia="bg-BG"/>
        </w:rPr>
        <w:t xml:space="preserve">валсартан </w:t>
      </w:r>
      <w:r w:rsidRPr="00E84CF5">
        <w:rPr>
          <w:rFonts w:eastAsia="Times New Roman" w:cs="Arial"/>
          <w:color w:val="000000"/>
          <w:lang w:val="en-US"/>
        </w:rPr>
        <w:t>(valsartan)</w:t>
      </w:r>
    </w:p>
    <w:p w14:paraId="38E9F5CC" w14:textId="77777777" w:rsidR="00E84CF5" w:rsidRPr="00E84CF5" w:rsidRDefault="00E84CF5" w:rsidP="00E84CF5">
      <w:pPr>
        <w:spacing w:line="240" w:lineRule="auto"/>
        <w:rPr>
          <w:rFonts w:eastAsia="Times New Roman" w:cs="Arial"/>
          <w:color w:val="000000"/>
          <w:lang w:eastAsia="bg-BG"/>
        </w:rPr>
      </w:pPr>
    </w:p>
    <w:p w14:paraId="34836FD6" w14:textId="783F8BFA"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Сартег 80 </w:t>
      </w:r>
      <w:r w:rsidRPr="00E84CF5">
        <w:rPr>
          <w:rFonts w:eastAsia="Times New Roman" w:cs="Arial"/>
          <w:color w:val="000000"/>
          <w:lang w:val="en-US"/>
        </w:rPr>
        <w:t xml:space="preserve">mg </w:t>
      </w:r>
      <w:r w:rsidRPr="00E84CF5">
        <w:rPr>
          <w:rFonts w:eastAsia="Times New Roman" w:cs="Arial"/>
          <w:color w:val="000000"/>
          <w:lang w:eastAsia="bg-BG"/>
        </w:rPr>
        <w:t>филмирани таблетки</w:t>
      </w:r>
    </w:p>
    <w:p w14:paraId="3166372A"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Една филмирана таблетка съдържа 80 </w:t>
      </w:r>
      <w:r w:rsidRPr="00E84CF5">
        <w:rPr>
          <w:rFonts w:eastAsia="Times New Roman" w:cs="Arial"/>
          <w:color w:val="000000"/>
          <w:lang w:val="en-US"/>
        </w:rPr>
        <w:t xml:space="preserve">mg </w:t>
      </w:r>
      <w:r w:rsidRPr="00E84CF5">
        <w:rPr>
          <w:rFonts w:eastAsia="Times New Roman" w:cs="Arial"/>
          <w:color w:val="000000"/>
          <w:lang w:eastAsia="bg-BG"/>
        </w:rPr>
        <w:t xml:space="preserve">валсартан </w:t>
      </w:r>
      <w:r w:rsidRPr="00E84CF5">
        <w:rPr>
          <w:rFonts w:eastAsia="Times New Roman" w:cs="Arial"/>
          <w:color w:val="000000"/>
          <w:lang w:val="en-US"/>
        </w:rPr>
        <w:t>(valsartan)</w:t>
      </w:r>
    </w:p>
    <w:p w14:paraId="424F5368" w14:textId="77777777" w:rsidR="00E84CF5" w:rsidRPr="00E84CF5" w:rsidRDefault="00E84CF5" w:rsidP="00E84CF5">
      <w:pPr>
        <w:spacing w:line="240" w:lineRule="auto"/>
        <w:rPr>
          <w:rFonts w:eastAsia="Times New Roman" w:cs="Arial"/>
          <w:color w:val="000000"/>
          <w:lang w:eastAsia="bg-BG"/>
        </w:rPr>
      </w:pPr>
    </w:p>
    <w:p w14:paraId="395F189B" w14:textId="489975F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Сартег 160 </w:t>
      </w:r>
      <w:r w:rsidRPr="00E84CF5">
        <w:rPr>
          <w:rFonts w:eastAsia="Times New Roman" w:cs="Arial"/>
          <w:color w:val="000000"/>
          <w:lang w:val="en-US"/>
        </w:rPr>
        <w:t xml:space="preserve">mg </w:t>
      </w:r>
      <w:r w:rsidRPr="00E84CF5">
        <w:rPr>
          <w:rFonts w:eastAsia="Times New Roman" w:cs="Arial"/>
          <w:color w:val="000000"/>
          <w:lang w:eastAsia="bg-BG"/>
        </w:rPr>
        <w:t>филмирани таблетки</w:t>
      </w:r>
    </w:p>
    <w:p w14:paraId="103FBDB1"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Една филмирана таблетка съдържа 160 </w:t>
      </w:r>
      <w:r w:rsidRPr="00E84CF5">
        <w:rPr>
          <w:rFonts w:eastAsia="Times New Roman" w:cs="Arial"/>
          <w:color w:val="000000"/>
          <w:lang w:val="en-US"/>
        </w:rPr>
        <w:t xml:space="preserve">mg </w:t>
      </w:r>
      <w:r w:rsidRPr="00E84CF5">
        <w:rPr>
          <w:rFonts w:eastAsia="Times New Roman" w:cs="Arial"/>
          <w:color w:val="000000"/>
          <w:lang w:eastAsia="bg-BG"/>
        </w:rPr>
        <w:t xml:space="preserve">валсартан </w:t>
      </w:r>
      <w:r w:rsidRPr="00E84CF5">
        <w:rPr>
          <w:rFonts w:eastAsia="Times New Roman" w:cs="Arial"/>
          <w:color w:val="000000"/>
          <w:lang w:val="en-US"/>
        </w:rPr>
        <w:t>(valsartan)</w:t>
      </w:r>
    </w:p>
    <w:p w14:paraId="13EB654A" w14:textId="77777777" w:rsidR="00E84CF5" w:rsidRPr="00E84CF5" w:rsidRDefault="00E84CF5" w:rsidP="00E84CF5">
      <w:pPr>
        <w:spacing w:line="240" w:lineRule="auto"/>
        <w:rPr>
          <w:rFonts w:eastAsia="Times New Roman" w:cs="Arial"/>
          <w:color w:val="000000"/>
          <w:u w:val="single"/>
          <w:lang w:eastAsia="bg-BG"/>
        </w:rPr>
      </w:pPr>
    </w:p>
    <w:p w14:paraId="785CD86F" w14:textId="659EB0A4" w:rsidR="00E84CF5" w:rsidRPr="00E84CF5" w:rsidRDefault="00E84CF5" w:rsidP="00E84CF5">
      <w:pPr>
        <w:spacing w:line="240" w:lineRule="auto"/>
        <w:rPr>
          <w:rFonts w:eastAsia="Times New Roman" w:cs="Arial"/>
          <w:lang w:eastAsia="bg-BG"/>
        </w:rPr>
      </w:pPr>
      <w:r w:rsidRPr="00E84CF5">
        <w:rPr>
          <w:rFonts w:eastAsia="Times New Roman" w:cs="Arial"/>
          <w:color w:val="000000"/>
          <w:u w:val="single"/>
          <w:lang w:eastAsia="bg-BG"/>
        </w:rPr>
        <w:t>Помощни вещества с известен ефект</w:t>
      </w:r>
    </w:p>
    <w:p w14:paraId="1CE80FD0" w14:textId="0287763E"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Сартег 40 </w:t>
      </w:r>
      <w:r w:rsidRPr="00E84CF5">
        <w:rPr>
          <w:rFonts w:eastAsia="Times New Roman" w:cs="Arial"/>
          <w:color w:val="000000"/>
          <w:lang w:val="en-US"/>
        </w:rPr>
        <w:t xml:space="preserve">mg </w:t>
      </w:r>
      <w:r w:rsidRPr="00E84CF5">
        <w:rPr>
          <w:rFonts w:eastAsia="Times New Roman" w:cs="Arial"/>
          <w:color w:val="000000"/>
          <w:lang w:eastAsia="bg-BG"/>
        </w:rPr>
        <w:t>филмирани таблетки</w:t>
      </w:r>
    </w:p>
    <w:p w14:paraId="0DB37136"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Всяка филмирана таблетка Сартег 40 </w:t>
      </w:r>
      <w:r w:rsidRPr="00E84CF5">
        <w:rPr>
          <w:rFonts w:eastAsia="Times New Roman" w:cs="Arial"/>
          <w:color w:val="000000"/>
          <w:lang w:val="en-US"/>
        </w:rPr>
        <w:t xml:space="preserve">mg </w:t>
      </w:r>
      <w:r w:rsidRPr="00E84CF5">
        <w:rPr>
          <w:rFonts w:eastAsia="Times New Roman" w:cs="Arial"/>
          <w:color w:val="000000"/>
          <w:lang w:eastAsia="bg-BG"/>
        </w:rPr>
        <w:t xml:space="preserve">съдържа 21,11 </w:t>
      </w:r>
      <w:r w:rsidRPr="00E84CF5">
        <w:rPr>
          <w:rFonts w:eastAsia="Times New Roman" w:cs="Arial"/>
          <w:color w:val="000000"/>
          <w:lang w:val="en-US"/>
        </w:rPr>
        <w:t xml:space="preserve">mg </w:t>
      </w:r>
      <w:r w:rsidRPr="00E84CF5">
        <w:rPr>
          <w:rFonts w:eastAsia="Times New Roman" w:cs="Arial"/>
          <w:color w:val="000000"/>
          <w:lang w:eastAsia="bg-BG"/>
        </w:rPr>
        <w:t xml:space="preserve">лактоза монохидрат и 0,126 </w:t>
      </w:r>
      <w:r w:rsidRPr="00E84CF5">
        <w:rPr>
          <w:rFonts w:eastAsia="Times New Roman" w:cs="Arial"/>
          <w:color w:val="000000"/>
          <w:lang w:val="en-US"/>
        </w:rPr>
        <w:t xml:space="preserve">mg </w:t>
      </w:r>
      <w:r w:rsidRPr="00E84CF5">
        <w:rPr>
          <w:rFonts w:eastAsia="Times New Roman" w:cs="Arial"/>
          <w:color w:val="000000"/>
          <w:lang w:eastAsia="bg-BG"/>
        </w:rPr>
        <w:t>лецитин (съдържа соево масло).</w:t>
      </w:r>
    </w:p>
    <w:p w14:paraId="142876AC" w14:textId="77777777" w:rsidR="00E84CF5" w:rsidRPr="00E84CF5" w:rsidRDefault="00E84CF5" w:rsidP="00E84CF5">
      <w:pPr>
        <w:spacing w:line="240" w:lineRule="auto"/>
        <w:rPr>
          <w:rFonts w:eastAsia="Times New Roman" w:cs="Arial"/>
          <w:color w:val="000000"/>
          <w:lang w:eastAsia="bg-BG"/>
        </w:rPr>
      </w:pPr>
    </w:p>
    <w:p w14:paraId="380AE582" w14:textId="4EB1C03B"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Сартег 80 </w:t>
      </w:r>
      <w:r w:rsidRPr="00E84CF5">
        <w:rPr>
          <w:rFonts w:eastAsia="Times New Roman" w:cs="Arial"/>
          <w:color w:val="000000"/>
          <w:lang w:val="en-US"/>
        </w:rPr>
        <w:t xml:space="preserve">mg </w:t>
      </w:r>
      <w:r w:rsidRPr="00E84CF5">
        <w:rPr>
          <w:rFonts w:eastAsia="Times New Roman" w:cs="Arial"/>
          <w:color w:val="000000"/>
          <w:lang w:eastAsia="bg-BG"/>
        </w:rPr>
        <w:t>филмирани таблетки</w:t>
      </w:r>
    </w:p>
    <w:p w14:paraId="15136B3F"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Всяка филмирана таблетка Сартег 80 </w:t>
      </w:r>
      <w:r w:rsidRPr="00E84CF5">
        <w:rPr>
          <w:rFonts w:eastAsia="Times New Roman" w:cs="Arial"/>
          <w:color w:val="000000"/>
          <w:lang w:val="en-US"/>
        </w:rPr>
        <w:t xml:space="preserve">mg </w:t>
      </w:r>
      <w:r w:rsidRPr="00E84CF5">
        <w:rPr>
          <w:rFonts w:eastAsia="Times New Roman" w:cs="Arial"/>
          <w:color w:val="000000"/>
          <w:lang w:eastAsia="bg-BG"/>
        </w:rPr>
        <w:t xml:space="preserve">съдържа 42,22 </w:t>
      </w:r>
      <w:r w:rsidRPr="00E84CF5">
        <w:rPr>
          <w:rFonts w:eastAsia="Times New Roman" w:cs="Arial"/>
          <w:color w:val="000000"/>
          <w:lang w:val="en-US"/>
        </w:rPr>
        <w:t xml:space="preserve">mg </w:t>
      </w:r>
      <w:r w:rsidRPr="00E84CF5">
        <w:rPr>
          <w:rFonts w:eastAsia="Times New Roman" w:cs="Arial"/>
          <w:color w:val="000000"/>
          <w:lang w:eastAsia="bg-BG"/>
        </w:rPr>
        <w:t xml:space="preserve">лактоза монохидрат и 0,252 </w:t>
      </w:r>
      <w:r w:rsidRPr="00E84CF5">
        <w:rPr>
          <w:rFonts w:eastAsia="Times New Roman" w:cs="Arial"/>
          <w:color w:val="000000"/>
          <w:lang w:val="en-US"/>
        </w:rPr>
        <w:t xml:space="preserve">mg </w:t>
      </w:r>
      <w:r w:rsidRPr="00E84CF5">
        <w:rPr>
          <w:rFonts w:eastAsia="Times New Roman" w:cs="Arial"/>
          <w:color w:val="000000"/>
          <w:lang w:eastAsia="bg-BG"/>
        </w:rPr>
        <w:t>лецитин (съдържа соево масло).</w:t>
      </w:r>
    </w:p>
    <w:p w14:paraId="6B1639BC" w14:textId="77777777" w:rsidR="00E84CF5" w:rsidRPr="00E84CF5" w:rsidRDefault="00E84CF5" w:rsidP="00E84CF5">
      <w:pPr>
        <w:spacing w:line="240" w:lineRule="auto"/>
        <w:rPr>
          <w:rFonts w:eastAsia="Times New Roman" w:cs="Arial"/>
          <w:color w:val="000000"/>
          <w:lang w:eastAsia="bg-BG"/>
        </w:rPr>
      </w:pPr>
    </w:p>
    <w:p w14:paraId="2505FA26" w14:textId="08060C65"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Сартег 160 </w:t>
      </w:r>
      <w:r w:rsidRPr="00E84CF5">
        <w:rPr>
          <w:rFonts w:eastAsia="Times New Roman" w:cs="Arial"/>
          <w:color w:val="000000"/>
          <w:lang w:val="en-US"/>
        </w:rPr>
        <w:t xml:space="preserve">mg </w:t>
      </w:r>
      <w:r w:rsidRPr="00E84CF5">
        <w:rPr>
          <w:rFonts w:eastAsia="Times New Roman" w:cs="Arial"/>
          <w:color w:val="000000"/>
          <w:lang w:eastAsia="bg-BG"/>
        </w:rPr>
        <w:t>филмирани таблетки</w:t>
      </w:r>
    </w:p>
    <w:p w14:paraId="715A485D"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Всяка филмирана таблетка Сартег 160 </w:t>
      </w:r>
      <w:r w:rsidRPr="00E84CF5">
        <w:rPr>
          <w:rFonts w:eastAsia="Times New Roman" w:cs="Arial"/>
          <w:color w:val="000000"/>
          <w:lang w:val="en-US"/>
        </w:rPr>
        <w:t xml:space="preserve">mg </w:t>
      </w:r>
      <w:r w:rsidRPr="00E84CF5">
        <w:rPr>
          <w:rFonts w:eastAsia="Times New Roman" w:cs="Arial"/>
          <w:color w:val="000000"/>
          <w:lang w:eastAsia="bg-BG"/>
        </w:rPr>
        <w:t xml:space="preserve">съдържа 84,44 </w:t>
      </w:r>
      <w:r w:rsidRPr="00E84CF5">
        <w:rPr>
          <w:rFonts w:eastAsia="Times New Roman" w:cs="Arial"/>
          <w:color w:val="000000"/>
          <w:lang w:val="en-US"/>
        </w:rPr>
        <w:t xml:space="preserve">mg </w:t>
      </w:r>
      <w:r w:rsidRPr="00E84CF5">
        <w:rPr>
          <w:rFonts w:eastAsia="Times New Roman" w:cs="Arial"/>
          <w:color w:val="000000"/>
          <w:lang w:eastAsia="bg-BG"/>
        </w:rPr>
        <w:t xml:space="preserve">лактоза монохидрат и 0,504 </w:t>
      </w:r>
      <w:r w:rsidRPr="00E84CF5">
        <w:rPr>
          <w:rFonts w:eastAsia="Times New Roman" w:cs="Arial"/>
          <w:color w:val="000000"/>
          <w:lang w:val="en-US"/>
        </w:rPr>
        <w:t xml:space="preserve">mg </w:t>
      </w:r>
      <w:r w:rsidRPr="00E84CF5">
        <w:rPr>
          <w:rFonts w:eastAsia="Times New Roman" w:cs="Arial"/>
          <w:color w:val="000000"/>
          <w:lang w:eastAsia="bg-BG"/>
        </w:rPr>
        <w:t>лецитин (съдържа соево масло).</w:t>
      </w:r>
    </w:p>
    <w:p w14:paraId="6875BDFA" w14:textId="77777777" w:rsidR="00E84CF5" w:rsidRPr="00E84CF5" w:rsidRDefault="00E84CF5" w:rsidP="00E84CF5">
      <w:pPr>
        <w:rPr>
          <w:rFonts w:eastAsia="Times New Roman" w:cs="Arial"/>
          <w:color w:val="000000"/>
          <w:lang w:eastAsia="bg-BG"/>
        </w:rPr>
      </w:pPr>
    </w:p>
    <w:p w14:paraId="54632B43" w14:textId="4DE86BA0" w:rsidR="00EC41ED" w:rsidRPr="00E84CF5" w:rsidRDefault="00E84CF5" w:rsidP="00E84CF5">
      <w:pPr>
        <w:rPr>
          <w:rFonts w:cs="Arial"/>
        </w:rPr>
      </w:pPr>
      <w:r w:rsidRPr="00E84CF5">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67F9C61D" w:rsidR="0091385D" w:rsidRDefault="0091385D" w:rsidP="0091385D"/>
    <w:p w14:paraId="5808E04D"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Филмирана таблетка</w:t>
      </w:r>
    </w:p>
    <w:p w14:paraId="253E7F4D" w14:textId="77777777" w:rsidR="00E84CF5" w:rsidRPr="00E84CF5" w:rsidRDefault="00E84CF5" w:rsidP="00E84CF5">
      <w:pPr>
        <w:spacing w:line="240" w:lineRule="auto"/>
        <w:rPr>
          <w:rFonts w:eastAsia="Times New Roman" w:cs="Arial"/>
          <w:color w:val="000000"/>
          <w:lang w:eastAsia="bg-BG"/>
        </w:rPr>
      </w:pPr>
    </w:p>
    <w:p w14:paraId="6791C8D4" w14:textId="7236393B"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lastRenderedPageBreak/>
        <w:t xml:space="preserve">Сартег 40 </w:t>
      </w:r>
      <w:r w:rsidRPr="00E84CF5">
        <w:rPr>
          <w:rFonts w:eastAsia="Times New Roman" w:cs="Arial"/>
          <w:color w:val="000000"/>
          <w:lang w:val="en-US"/>
        </w:rPr>
        <w:t xml:space="preserve">mg </w:t>
      </w:r>
      <w:r w:rsidRPr="00E84CF5">
        <w:rPr>
          <w:rFonts w:eastAsia="Times New Roman" w:cs="Arial"/>
          <w:color w:val="000000"/>
          <w:lang w:eastAsia="bg-BG"/>
        </w:rPr>
        <w:t xml:space="preserve">филмирани таблетки: жълти, овални, двойноизпъкнали, филмирани таблетки, 9 х 4.5 </w:t>
      </w:r>
      <w:r w:rsidRPr="00E84CF5">
        <w:rPr>
          <w:rFonts w:eastAsia="Times New Roman" w:cs="Arial"/>
          <w:color w:val="000000"/>
          <w:lang w:val="en-US"/>
        </w:rPr>
        <w:t>mm,</w:t>
      </w:r>
      <w:r w:rsidRPr="00E84CF5">
        <w:rPr>
          <w:rFonts w:eastAsia="Times New Roman" w:cs="Arial"/>
          <w:color w:val="000000"/>
          <w:lang w:eastAsia="bg-BG"/>
        </w:rPr>
        <w:t>е делителна черта от едната страна и надпис "V" на другата страна.</w:t>
      </w:r>
    </w:p>
    <w:p w14:paraId="5ED26B91"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Сартег 80 </w:t>
      </w:r>
      <w:r w:rsidRPr="00E84CF5">
        <w:rPr>
          <w:rFonts w:eastAsia="Times New Roman" w:cs="Arial"/>
          <w:color w:val="000000"/>
          <w:lang w:val="en-US"/>
        </w:rPr>
        <w:t xml:space="preserve">mg </w:t>
      </w:r>
      <w:r w:rsidRPr="00E84CF5">
        <w:rPr>
          <w:rFonts w:eastAsia="Times New Roman" w:cs="Arial"/>
          <w:color w:val="000000"/>
          <w:lang w:eastAsia="bg-BG"/>
        </w:rPr>
        <w:t xml:space="preserve">филмирани таблетки: розови, кръгли, двойноизпъкнали, филмирани таблетки,с диаметър 8 </w:t>
      </w:r>
      <w:r w:rsidRPr="00E84CF5">
        <w:rPr>
          <w:rFonts w:eastAsia="Times New Roman" w:cs="Arial"/>
          <w:color w:val="000000"/>
          <w:lang w:val="en-US"/>
        </w:rPr>
        <w:t xml:space="preserve">mm, </w:t>
      </w:r>
      <w:r w:rsidRPr="00E84CF5">
        <w:rPr>
          <w:rFonts w:eastAsia="Times New Roman" w:cs="Arial"/>
          <w:color w:val="000000"/>
          <w:lang w:eastAsia="bg-BG"/>
        </w:rPr>
        <w:t xml:space="preserve">с делителна черта от двете страни и надпис </w:t>
      </w:r>
      <w:r w:rsidRPr="00E84CF5">
        <w:rPr>
          <w:rFonts w:eastAsia="Times New Roman" w:cs="Arial"/>
          <w:color w:val="000000"/>
          <w:lang w:val="en-US"/>
        </w:rPr>
        <w:t xml:space="preserve">"V" </w:t>
      </w:r>
      <w:r w:rsidRPr="00E84CF5">
        <w:rPr>
          <w:rFonts w:eastAsia="Times New Roman" w:cs="Arial"/>
          <w:color w:val="000000"/>
          <w:lang w:eastAsia="bg-BG"/>
        </w:rPr>
        <w:t>на едната страна.</w:t>
      </w:r>
    </w:p>
    <w:p w14:paraId="497591DC"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Сартег 160 </w:t>
      </w:r>
      <w:r w:rsidRPr="00E84CF5">
        <w:rPr>
          <w:rFonts w:eastAsia="Times New Roman" w:cs="Arial"/>
          <w:color w:val="000000"/>
          <w:lang w:val="en-US"/>
        </w:rPr>
        <w:t xml:space="preserve">mg </w:t>
      </w:r>
      <w:r w:rsidRPr="00E84CF5">
        <w:rPr>
          <w:rFonts w:eastAsia="Times New Roman" w:cs="Arial"/>
          <w:color w:val="000000"/>
          <w:lang w:eastAsia="bg-BG"/>
        </w:rPr>
        <w:t xml:space="preserve">филмирани таблетки: жълти, овални, двойноизпъкнали, филмирани таблетки, 15 х 6.5 </w:t>
      </w:r>
      <w:r w:rsidRPr="00E84CF5">
        <w:rPr>
          <w:rFonts w:eastAsia="Times New Roman" w:cs="Arial"/>
          <w:color w:val="000000"/>
          <w:lang w:val="en-US"/>
        </w:rPr>
        <w:t xml:space="preserve">mm, </w:t>
      </w:r>
      <w:r w:rsidRPr="00E84CF5">
        <w:rPr>
          <w:rFonts w:eastAsia="Times New Roman" w:cs="Arial"/>
          <w:color w:val="000000"/>
          <w:lang w:eastAsia="bg-BG"/>
        </w:rPr>
        <w:t>с делителна черта от едната страна и надпис ’'V"  на другата страна.</w:t>
      </w:r>
    </w:p>
    <w:p w14:paraId="743244F0" w14:textId="3E698C40" w:rsidR="00EC41ED" w:rsidRPr="00E84CF5" w:rsidRDefault="00E84CF5" w:rsidP="00E84CF5">
      <w:pPr>
        <w:rPr>
          <w:rFonts w:cs="Arial"/>
        </w:rPr>
      </w:pPr>
      <w:r w:rsidRPr="00E84CF5">
        <w:rPr>
          <w:rFonts w:eastAsia="Times New Roman" w:cs="Arial"/>
          <w:color w:val="000000"/>
          <w:lang w:eastAsia="bg-BG"/>
        </w:rPr>
        <w:t>Таблетката може да бъде разделяна на две равни дози.</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7A9C3ABC"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Сартег 40 </w:t>
      </w:r>
      <w:r w:rsidRPr="00E84CF5">
        <w:rPr>
          <w:rFonts w:eastAsia="Times New Roman" w:cs="Arial"/>
          <w:color w:val="000000"/>
          <w:lang w:val="en-US"/>
        </w:rPr>
        <w:t xml:space="preserve">mg </w:t>
      </w:r>
      <w:r w:rsidRPr="00E84CF5">
        <w:rPr>
          <w:rFonts w:eastAsia="Times New Roman" w:cs="Arial"/>
          <w:color w:val="000000"/>
          <w:lang w:eastAsia="bg-BG"/>
        </w:rPr>
        <w:t>филмирани таблетки:</w:t>
      </w:r>
    </w:p>
    <w:p w14:paraId="506463B7" w14:textId="77777777" w:rsidR="00E84CF5" w:rsidRPr="00E84CF5" w:rsidRDefault="00E84CF5" w:rsidP="00E84CF5">
      <w:pPr>
        <w:spacing w:line="240" w:lineRule="auto"/>
        <w:rPr>
          <w:rFonts w:eastAsia="Times New Roman" w:cs="Arial"/>
          <w:color w:val="000000"/>
          <w:lang w:eastAsia="bg-BG"/>
        </w:rPr>
      </w:pPr>
    </w:p>
    <w:p w14:paraId="56864A09" w14:textId="70D5AD40"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Хипертония</w:t>
      </w:r>
    </w:p>
    <w:p w14:paraId="78D33254"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Лечение на хипертония при деца и юноши на възраст от 6 до под 18 години.</w:t>
      </w:r>
    </w:p>
    <w:p w14:paraId="0B830A6A" w14:textId="77777777" w:rsidR="00E84CF5" w:rsidRPr="00E84CF5" w:rsidRDefault="00E84CF5" w:rsidP="00E84CF5">
      <w:pPr>
        <w:spacing w:line="240" w:lineRule="auto"/>
        <w:rPr>
          <w:rFonts w:eastAsia="Times New Roman" w:cs="Arial"/>
          <w:color w:val="000000"/>
          <w:lang w:eastAsia="bg-BG"/>
        </w:rPr>
      </w:pPr>
    </w:p>
    <w:p w14:paraId="593EB268" w14:textId="365239E0"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Пресен миокарден инфаркт</w:t>
      </w:r>
    </w:p>
    <w:p w14:paraId="554F1D37"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Лечение на клинично стабилни възрастни пациенти със симптоматична сърдечна недостатъчност или безсимптомна левокамерна систолна дисфункция след пресен (12 часа - 10 дни) миокарден инфаркт (вж. точки 4.4 и 5.1).</w:t>
      </w:r>
    </w:p>
    <w:p w14:paraId="709014DF" w14:textId="77777777" w:rsidR="00E84CF5" w:rsidRPr="00E84CF5" w:rsidRDefault="00E84CF5" w:rsidP="00E84CF5">
      <w:pPr>
        <w:spacing w:line="240" w:lineRule="auto"/>
        <w:rPr>
          <w:rFonts w:eastAsia="Times New Roman" w:cs="Arial"/>
          <w:color w:val="000000"/>
          <w:lang w:eastAsia="bg-BG"/>
        </w:rPr>
      </w:pPr>
    </w:p>
    <w:p w14:paraId="5720B43A" w14:textId="3D333549"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Сърдечна недостатъчност</w:t>
      </w:r>
    </w:p>
    <w:p w14:paraId="1CAEE878"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Лечение на възрастни пациенти със симптоматична сърдечна недостатъчност, когато инхибитори на ангиотензин-конвертиращия ензим (АСЕ) не се понасят, или при пациента с непоносимост към бета блокери като допълваща терапия към АСЕ инхибигорите, когато не е възможно да се използват минералкоргикоидни рецепторни антагонисти (вж. точки 4.2, 4.4, 4.5 и 5.1).</w:t>
      </w:r>
    </w:p>
    <w:p w14:paraId="09E2EC4D" w14:textId="77777777" w:rsidR="00E84CF5" w:rsidRPr="00E84CF5" w:rsidRDefault="00E84CF5" w:rsidP="00E84CF5">
      <w:pPr>
        <w:spacing w:line="240" w:lineRule="auto"/>
        <w:rPr>
          <w:rFonts w:eastAsia="Times New Roman" w:cs="Arial"/>
          <w:color w:val="000000"/>
          <w:lang w:eastAsia="bg-BG"/>
        </w:rPr>
      </w:pPr>
    </w:p>
    <w:p w14:paraId="7D18FD6F" w14:textId="627DA9AB"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Сартег 80 </w:t>
      </w:r>
      <w:r w:rsidRPr="00E84CF5">
        <w:rPr>
          <w:rFonts w:eastAsia="Times New Roman" w:cs="Arial"/>
          <w:color w:val="000000"/>
          <w:lang w:val="en-US"/>
        </w:rPr>
        <w:t xml:space="preserve">mg </w:t>
      </w:r>
      <w:r w:rsidRPr="00E84CF5">
        <w:rPr>
          <w:rFonts w:eastAsia="Times New Roman" w:cs="Arial"/>
          <w:color w:val="000000"/>
          <w:lang w:eastAsia="bg-BG"/>
        </w:rPr>
        <w:t xml:space="preserve">и Сартег 160 </w:t>
      </w:r>
      <w:r w:rsidRPr="00E84CF5">
        <w:rPr>
          <w:rFonts w:eastAsia="Times New Roman" w:cs="Arial"/>
          <w:color w:val="000000"/>
          <w:lang w:val="en-US"/>
        </w:rPr>
        <w:t xml:space="preserve">mg </w:t>
      </w:r>
      <w:r w:rsidRPr="00E84CF5">
        <w:rPr>
          <w:rFonts w:eastAsia="Times New Roman" w:cs="Arial"/>
          <w:color w:val="000000"/>
          <w:lang w:eastAsia="bg-BG"/>
        </w:rPr>
        <w:t>филмирани таблетки:</w:t>
      </w:r>
    </w:p>
    <w:p w14:paraId="6C10DA8F" w14:textId="77777777" w:rsidR="00E84CF5" w:rsidRPr="00E84CF5" w:rsidRDefault="00E84CF5" w:rsidP="00E84CF5">
      <w:pPr>
        <w:spacing w:line="240" w:lineRule="auto"/>
        <w:rPr>
          <w:rFonts w:eastAsia="Times New Roman" w:cs="Arial"/>
          <w:color w:val="000000"/>
          <w:lang w:eastAsia="bg-BG"/>
        </w:rPr>
      </w:pPr>
    </w:p>
    <w:p w14:paraId="42BF9438" w14:textId="618FFE04"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Хипертония</w:t>
      </w:r>
    </w:p>
    <w:p w14:paraId="4AA5FCCA"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Лечение на есенциална хипертония при възрастни лица, както и хипертония при деца и юноши от 6 до под 18 години.</w:t>
      </w:r>
    </w:p>
    <w:p w14:paraId="7FD70F5C" w14:textId="77777777" w:rsidR="00E84CF5" w:rsidRPr="00E84CF5" w:rsidRDefault="00E84CF5" w:rsidP="00E84CF5">
      <w:pPr>
        <w:spacing w:line="240" w:lineRule="auto"/>
        <w:rPr>
          <w:rFonts w:eastAsia="Times New Roman" w:cs="Arial"/>
          <w:color w:val="000000"/>
          <w:lang w:eastAsia="bg-BG"/>
        </w:rPr>
      </w:pPr>
    </w:p>
    <w:p w14:paraId="5CDFA00E" w14:textId="5D9D8A7F"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Пресен миокарден инфаркт</w:t>
      </w:r>
    </w:p>
    <w:p w14:paraId="0A0C2EA7"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Лечение на клинично стабилни възрастни пациенти със симптоматична сърдечна недостатъчност или безсимптомна левокамерна систолна дисфункция след пресен (12 часа - 10 дни) миокарден инфаркт (вж. точки 4.4 и 5.1).</w:t>
      </w:r>
    </w:p>
    <w:p w14:paraId="46EB1DB2" w14:textId="77777777" w:rsidR="00E84CF5" w:rsidRPr="00E84CF5" w:rsidRDefault="00E84CF5" w:rsidP="00E84CF5">
      <w:pPr>
        <w:spacing w:line="240" w:lineRule="auto"/>
        <w:rPr>
          <w:rFonts w:eastAsia="Times New Roman" w:cs="Arial"/>
          <w:color w:val="000000"/>
          <w:lang w:eastAsia="bg-BG"/>
        </w:rPr>
      </w:pPr>
    </w:p>
    <w:p w14:paraId="10666FEC" w14:textId="78754BD5"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Сърдечна недостатъчност</w:t>
      </w:r>
    </w:p>
    <w:p w14:paraId="6DFA4B9D" w14:textId="44E06D80" w:rsidR="0091385D" w:rsidRPr="00E84CF5" w:rsidRDefault="00E84CF5" w:rsidP="00E84CF5">
      <w:pPr>
        <w:rPr>
          <w:rFonts w:cs="Arial"/>
        </w:rPr>
      </w:pPr>
      <w:r w:rsidRPr="00E84CF5">
        <w:rPr>
          <w:rFonts w:eastAsia="Times New Roman" w:cs="Arial"/>
          <w:color w:val="000000"/>
          <w:lang w:eastAsia="bg-BG"/>
        </w:rPr>
        <w:t>Лечение на възрастни пациенти със симптоматична сърдечна недостатъчност, когато инхибитори на ангиотензин-конвертиращия ензим (АСЕ) не се понасят, или при пациенти с непоносимост към бета блокери като допълваща терапия към АСЕ инхибиторите, когато не е възможно да се използват минералкоргикоидни рецепторни антагонисти (вж. точки 4.2, 4.4, 4.5 и 5.1).</w:t>
      </w:r>
    </w:p>
    <w:p w14:paraId="642F56D9" w14:textId="77777777" w:rsidR="00EC41ED" w:rsidRPr="0091385D" w:rsidRDefault="00EC41ED" w:rsidP="0091385D"/>
    <w:p w14:paraId="30BE2C7B" w14:textId="3633C1E4" w:rsidR="008134C8" w:rsidRDefault="002C50EE" w:rsidP="004A448E">
      <w:pPr>
        <w:pStyle w:val="Heading2"/>
      </w:pPr>
      <w:r>
        <w:t>4.2. Дозировка и начин на приложение</w:t>
      </w:r>
    </w:p>
    <w:p w14:paraId="7AA22B68" w14:textId="0723B40D" w:rsidR="0091385D" w:rsidRDefault="0091385D" w:rsidP="0091385D"/>
    <w:p w14:paraId="632CE3EC" w14:textId="77777777" w:rsidR="00E84CF5" w:rsidRPr="00E84CF5" w:rsidRDefault="00E84CF5" w:rsidP="00E84CF5">
      <w:pPr>
        <w:pStyle w:val="Heading3"/>
        <w:rPr>
          <w:rFonts w:eastAsia="Times New Roman"/>
          <w:u w:val="single"/>
          <w:lang w:eastAsia="bg-BG"/>
        </w:rPr>
      </w:pPr>
      <w:r w:rsidRPr="00E84CF5">
        <w:rPr>
          <w:rFonts w:eastAsia="Times New Roman"/>
          <w:u w:val="single"/>
          <w:lang w:eastAsia="bg-BG"/>
        </w:rPr>
        <w:t>Дозировка</w:t>
      </w:r>
    </w:p>
    <w:p w14:paraId="3FA26D5F" w14:textId="77777777" w:rsidR="00E84CF5" w:rsidRPr="00E84CF5" w:rsidRDefault="00E84CF5" w:rsidP="00E84CF5">
      <w:pPr>
        <w:spacing w:line="240" w:lineRule="auto"/>
        <w:rPr>
          <w:rFonts w:eastAsia="Times New Roman" w:cs="Arial"/>
          <w:color w:val="000000"/>
          <w:u w:val="single"/>
          <w:lang w:eastAsia="bg-BG"/>
        </w:rPr>
      </w:pPr>
    </w:p>
    <w:p w14:paraId="4C30C6DA" w14:textId="7424B78C" w:rsidR="00E84CF5" w:rsidRPr="00E84CF5" w:rsidRDefault="00E84CF5" w:rsidP="00E84CF5">
      <w:pPr>
        <w:spacing w:line="240" w:lineRule="auto"/>
        <w:rPr>
          <w:rFonts w:eastAsia="Times New Roman" w:cs="Arial"/>
          <w:lang w:eastAsia="bg-BG"/>
        </w:rPr>
      </w:pPr>
      <w:r w:rsidRPr="00E84CF5">
        <w:rPr>
          <w:rFonts w:eastAsia="Times New Roman" w:cs="Arial"/>
          <w:color w:val="000000"/>
          <w:u w:val="single"/>
          <w:lang w:eastAsia="bg-BG"/>
        </w:rPr>
        <w:t>Пресен миокарден инфаркт</w:t>
      </w:r>
    </w:p>
    <w:p w14:paraId="0649652D"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При клинично стабилни пациента лечението може да бъде започнато в рамките на 12 часа след миокардния инфаркт. След начална доза от 20 </w:t>
      </w:r>
      <w:r w:rsidRPr="00E84CF5">
        <w:rPr>
          <w:rFonts w:eastAsia="Times New Roman" w:cs="Arial"/>
          <w:color w:val="000000"/>
          <w:lang w:val="en-US"/>
        </w:rPr>
        <w:t xml:space="preserve">mg </w:t>
      </w:r>
      <w:r w:rsidRPr="00E84CF5">
        <w:rPr>
          <w:rFonts w:eastAsia="Times New Roman" w:cs="Arial"/>
          <w:color w:val="000000"/>
          <w:lang w:eastAsia="bg-BG"/>
        </w:rPr>
        <w:t xml:space="preserve">два пъти дневно дозата на валсартан трябва да се повиши до 40 </w:t>
      </w:r>
      <w:r w:rsidRPr="00E84CF5">
        <w:rPr>
          <w:rFonts w:eastAsia="Times New Roman" w:cs="Arial"/>
          <w:color w:val="000000"/>
          <w:lang w:val="en-US"/>
        </w:rPr>
        <w:t xml:space="preserve">mg, </w:t>
      </w:r>
      <w:r w:rsidRPr="00E84CF5">
        <w:rPr>
          <w:rFonts w:eastAsia="Times New Roman" w:cs="Arial"/>
          <w:color w:val="000000"/>
          <w:lang w:eastAsia="bg-BG"/>
        </w:rPr>
        <w:t xml:space="preserve">80 </w:t>
      </w:r>
      <w:r w:rsidRPr="00E84CF5">
        <w:rPr>
          <w:rFonts w:eastAsia="Times New Roman" w:cs="Arial"/>
          <w:color w:val="000000"/>
          <w:lang w:val="en-US"/>
        </w:rPr>
        <w:t xml:space="preserve">mg </w:t>
      </w:r>
      <w:r w:rsidRPr="00E84CF5">
        <w:rPr>
          <w:rFonts w:eastAsia="Times New Roman" w:cs="Arial"/>
          <w:color w:val="000000"/>
          <w:lang w:eastAsia="bg-BG"/>
        </w:rPr>
        <w:t xml:space="preserve">и 160 </w:t>
      </w:r>
      <w:r w:rsidRPr="00E84CF5">
        <w:rPr>
          <w:rFonts w:eastAsia="Times New Roman" w:cs="Arial"/>
          <w:color w:val="000000"/>
          <w:lang w:val="en-US"/>
        </w:rPr>
        <w:t xml:space="preserve">mg </w:t>
      </w:r>
      <w:r w:rsidRPr="00E84CF5">
        <w:rPr>
          <w:rFonts w:eastAsia="Times New Roman" w:cs="Arial"/>
          <w:color w:val="000000"/>
          <w:lang w:eastAsia="bg-BG"/>
        </w:rPr>
        <w:t xml:space="preserve">два пъти дневно в следващите няколко седмици. Началната доза се осигурява чрез 40 </w:t>
      </w:r>
      <w:r w:rsidRPr="00E84CF5">
        <w:rPr>
          <w:rFonts w:eastAsia="Times New Roman" w:cs="Arial"/>
          <w:color w:val="000000"/>
          <w:lang w:val="en-US"/>
        </w:rPr>
        <w:t xml:space="preserve">mg </w:t>
      </w:r>
      <w:r w:rsidRPr="00E84CF5">
        <w:rPr>
          <w:rFonts w:eastAsia="Times New Roman" w:cs="Arial"/>
          <w:color w:val="000000"/>
          <w:lang w:eastAsia="bg-BG"/>
        </w:rPr>
        <w:t xml:space="preserve">делими таблетки. Прицелната максимална доза е 160 </w:t>
      </w:r>
      <w:r w:rsidRPr="00E84CF5">
        <w:rPr>
          <w:rFonts w:eastAsia="Times New Roman" w:cs="Arial"/>
          <w:color w:val="000000"/>
          <w:lang w:val="en-US"/>
        </w:rPr>
        <w:t xml:space="preserve">mg </w:t>
      </w:r>
      <w:r w:rsidRPr="00E84CF5">
        <w:rPr>
          <w:rFonts w:eastAsia="Times New Roman" w:cs="Arial"/>
          <w:color w:val="000000"/>
          <w:lang w:eastAsia="bg-BG"/>
        </w:rPr>
        <w:t xml:space="preserve">два пъти дневно. Обикновено се препоръчва пациентите да достигнат доза от 80 </w:t>
      </w:r>
      <w:r w:rsidRPr="00E84CF5">
        <w:rPr>
          <w:rFonts w:eastAsia="Times New Roman" w:cs="Arial"/>
          <w:color w:val="000000"/>
          <w:lang w:val="en-US"/>
        </w:rPr>
        <w:t xml:space="preserve">mg </w:t>
      </w:r>
      <w:r w:rsidRPr="00E84CF5">
        <w:rPr>
          <w:rFonts w:eastAsia="Times New Roman" w:cs="Arial"/>
          <w:color w:val="000000"/>
          <w:lang w:eastAsia="bg-BG"/>
        </w:rPr>
        <w:t xml:space="preserve">два пъти дневно за две седмици след започване на лечението, а прицелната максимална доза от 160 </w:t>
      </w:r>
      <w:r w:rsidRPr="00E84CF5">
        <w:rPr>
          <w:rFonts w:eastAsia="Times New Roman" w:cs="Arial"/>
          <w:color w:val="000000"/>
          <w:lang w:val="en-US"/>
        </w:rPr>
        <w:t xml:space="preserve">mg </w:t>
      </w:r>
      <w:r w:rsidRPr="00E84CF5">
        <w:rPr>
          <w:rFonts w:eastAsia="Times New Roman" w:cs="Arial"/>
          <w:color w:val="000000"/>
          <w:lang w:eastAsia="bg-BG"/>
        </w:rPr>
        <w:t>два пъта дневно да се достигне за три месеца в зависимост от поносимостга на пациента. При поява на симптоматична хипотония или нарушение на бъбречната функция следва да се обсъди намаляване на дозата.</w:t>
      </w:r>
    </w:p>
    <w:p w14:paraId="48BB29DE"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Валсартан може да се прилага при пациента, лекувани с други средства за лечение на слединфарктни състояния, напр. тромболитици, ацетилсалицилова киселина, бета-блокери, статини и диуретици. Комбинацията с АСЕ инхибитори не се препоръчва (вж. точки 4.4 и 5.1).</w:t>
      </w:r>
    </w:p>
    <w:p w14:paraId="31C08D44" w14:textId="04E8B51A"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Оценката на пациентите след миокарден инфаркт винаги трябва да включва оценка на бъбречната функция.</w:t>
      </w:r>
    </w:p>
    <w:p w14:paraId="42F834C8" w14:textId="77777777" w:rsidR="00E84CF5" w:rsidRPr="00E84CF5" w:rsidRDefault="00E84CF5" w:rsidP="00E84CF5">
      <w:pPr>
        <w:spacing w:line="240" w:lineRule="auto"/>
        <w:rPr>
          <w:rFonts w:eastAsia="Times New Roman" w:cs="Arial"/>
          <w:lang w:eastAsia="bg-BG"/>
        </w:rPr>
      </w:pPr>
    </w:p>
    <w:p w14:paraId="7FBF1BCE" w14:textId="470DB6A5" w:rsidR="00EC41ED" w:rsidRPr="00E84CF5" w:rsidRDefault="00E84CF5" w:rsidP="00E84CF5">
      <w:pPr>
        <w:rPr>
          <w:rFonts w:cs="Arial"/>
        </w:rPr>
      </w:pPr>
      <w:r w:rsidRPr="00E84CF5">
        <w:rPr>
          <w:rFonts w:eastAsia="Times New Roman" w:cs="Arial"/>
          <w:color w:val="000000"/>
          <w:u w:val="single"/>
          <w:lang w:eastAsia="bg-BG"/>
        </w:rPr>
        <w:t>Сърдечна недостатъчност</w:t>
      </w:r>
    </w:p>
    <w:p w14:paraId="071B6C0D"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Препоръчителната начална доза Сартег е 40 </w:t>
      </w:r>
      <w:r w:rsidRPr="00E84CF5">
        <w:rPr>
          <w:rFonts w:eastAsia="Times New Roman" w:cs="Arial"/>
          <w:color w:val="000000"/>
          <w:lang w:val="en-US"/>
        </w:rPr>
        <w:t xml:space="preserve">mg </w:t>
      </w:r>
      <w:r w:rsidRPr="00E84CF5">
        <w:rPr>
          <w:rFonts w:eastAsia="Times New Roman" w:cs="Arial"/>
          <w:color w:val="000000"/>
          <w:lang w:eastAsia="bg-BG"/>
        </w:rPr>
        <w:t xml:space="preserve">два пъти дневно. Покачването на дозата до 80 </w:t>
      </w:r>
      <w:r w:rsidRPr="00E84CF5">
        <w:rPr>
          <w:rFonts w:eastAsia="Times New Roman" w:cs="Arial"/>
          <w:color w:val="000000"/>
          <w:lang w:val="en-US"/>
        </w:rPr>
        <w:t xml:space="preserve">mg </w:t>
      </w:r>
      <w:r w:rsidRPr="00E84CF5">
        <w:rPr>
          <w:rFonts w:eastAsia="Times New Roman" w:cs="Arial"/>
          <w:color w:val="000000"/>
          <w:lang w:eastAsia="bg-BG"/>
        </w:rPr>
        <w:t xml:space="preserve">и 160 </w:t>
      </w:r>
      <w:r w:rsidRPr="00E84CF5">
        <w:rPr>
          <w:rFonts w:eastAsia="Times New Roman" w:cs="Arial"/>
          <w:color w:val="000000"/>
          <w:lang w:val="en-US"/>
        </w:rPr>
        <w:t xml:space="preserve">mg </w:t>
      </w:r>
      <w:r w:rsidRPr="00E84CF5">
        <w:rPr>
          <w:rFonts w:eastAsia="Times New Roman" w:cs="Arial"/>
          <w:color w:val="000000"/>
          <w:lang w:eastAsia="bg-BG"/>
        </w:rPr>
        <w:t xml:space="preserve">два пъти дневно трябва да се осъществява през интервали от най-малко две седмици, до най- високата доза в зависимост от поносимостта на пациента. Следва да се обсъди намаляване на дозата на включения в лечението диуретик. Максималната дневна доза, прилагана в клинични проучвания, е 320 </w:t>
      </w:r>
      <w:r w:rsidRPr="00E84CF5">
        <w:rPr>
          <w:rFonts w:eastAsia="Times New Roman" w:cs="Arial"/>
          <w:color w:val="000000"/>
          <w:lang w:val="en-US"/>
        </w:rPr>
        <w:t xml:space="preserve">mg </w:t>
      </w:r>
      <w:r w:rsidRPr="00E84CF5">
        <w:rPr>
          <w:rFonts w:eastAsia="Times New Roman" w:cs="Arial"/>
          <w:color w:val="000000"/>
          <w:lang w:eastAsia="bg-BG"/>
        </w:rPr>
        <w:t>в неколкократен прием.</w:t>
      </w:r>
    </w:p>
    <w:p w14:paraId="420CEFE9"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Валсартан може да бъде прилаган с други схеми за лечение на сърдечна недостатъчност. Независимо от това не се препоръчва тройната комбинация от АСЕ инхибитор, валсартан и бета-блокер или калий-съхраняващ диуретик (вж. точки 4.4 и 5.1).</w:t>
      </w:r>
    </w:p>
    <w:p w14:paraId="055C9889"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Оценката на пациентите със сърдечна недостатъчност винаги трябва да включва оценка на бъбречната функция.</w:t>
      </w:r>
    </w:p>
    <w:p w14:paraId="6391232B" w14:textId="77777777" w:rsidR="00E84CF5" w:rsidRPr="00E84CF5" w:rsidRDefault="00E84CF5" w:rsidP="00E84CF5">
      <w:pPr>
        <w:spacing w:line="240" w:lineRule="auto"/>
        <w:rPr>
          <w:rFonts w:eastAsia="Times New Roman" w:cs="Arial"/>
          <w:color w:val="000000"/>
          <w:u w:val="single"/>
          <w:lang w:eastAsia="bg-BG"/>
        </w:rPr>
      </w:pPr>
    </w:p>
    <w:p w14:paraId="4C547FE8" w14:textId="3BE5378E" w:rsidR="00E84CF5" w:rsidRPr="00E84CF5" w:rsidRDefault="00E84CF5" w:rsidP="00E84CF5">
      <w:pPr>
        <w:spacing w:line="240" w:lineRule="auto"/>
        <w:rPr>
          <w:rFonts w:eastAsia="Times New Roman" w:cs="Arial"/>
          <w:lang w:eastAsia="bg-BG"/>
        </w:rPr>
      </w:pPr>
      <w:r w:rsidRPr="00E84CF5">
        <w:rPr>
          <w:rFonts w:eastAsia="Times New Roman" w:cs="Arial"/>
          <w:color w:val="000000"/>
          <w:u w:val="single"/>
          <w:lang w:eastAsia="bg-BG"/>
        </w:rPr>
        <w:t>Хипертония</w:t>
      </w:r>
    </w:p>
    <w:p w14:paraId="60BBD3B3"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При възрастни пациенти препоръчителната доза Сартег е 80 </w:t>
      </w:r>
      <w:r w:rsidRPr="00E84CF5">
        <w:rPr>
          <w:rFonts w:eastAsia="Times New Roman" w:cs="Arial"/>
          <w:color w:val="000000"/>
          <w:lang w:val="en-US"/>
        </w:rPr>
        <w:t xml:space="preserve">mg </w:t>
      </w:r>
      <w:r w:rsidRPr="00E84CF5">
        <w:rPr>
          <w:rFonts w:eastAsia="Times New Roman" w:cs="Arial"/>
          <w:color w:val="000000"/>
          <w:lang w:eastAsia="bg-BG"/>
        </w:rPr>
        <w:t>един път дневно.</w:t>
      </w:r>
    </w:p>
    <w:p w14:paraId="20B573DD"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Антихипертензивният ефект е подчертано наличен след 2 седмици, а максимален ефект се постига след 4 седмици. При пациенти, чието артериално налягане не се контролира адекватно, дозата може да бъде завишена до 160 </w:t>
      </w:r>
      <w:r w:rsidRPr="00E84CF5">
        <w:rPr>
          <w:rFonts w:eastAsia="Times New Roman" w:cs="Arial"/>
          <w:color w:val="000000"/>
          <w:lang w:val="en-US"/>
        </w:rPr>
        <w:t xml:space="preserve">mg </w:t>
      </w:r>
      <w:r w:rsidRPr="00E84CF5">
        <w:rPr>
          <w:rFonts w:eastAsia="Times New Roman" w:cs="Arial"/>
          <w:color w:val="000000"/>
          <w:lang w:eastAsia="bg-BG"/>
        </w:rPr>
        <w:t xml:space="preserve">и максимално до 320 </w:t>
      </w:r>
      <w:r w:rsidRPr="00E84CF5">
        <w:rPr>
          <w:rFonts w:eastAsia="Times New Roman" w:cs="Arial"/>
          <w:color w:val="000000"/>
          <w:lang w:val="en-US"/>
        </w:rPr>
        <w:t>mg.</w:t>
      </w:r>
    </w:p>
    <w:p w14:paraId="6C2AA619"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Сартег може да бъде прилаган едновременно с други антихипертензивни лекарствени средства (вж. точки 4.3, 4.4, 4.5 и 5.1). Добавянето на диуретик, например хидрохлоротиазид, допълнително понижава артериалното налягане при тези пациенти.</w:t>
      </w:r>
    </w:p>
    <w:p w14:paraId="4069F4E8" w14:textId="77777777" w:rsidR="00E84CF5" w:rsidRPr="00E84CF5" w:rsidRDefault="00E84CF5" w:rsidP="00E84CF5">
      <w:pPr>
        <w:spacing w:line="240" w:lineRule="auto"/>
        <w:rPr>
          <w:rFonts w:eastAsia="Times New Roman" w:cs="Arial"/>
          <w:i/>
          <w:iCs/>
          <w:color w:val="000000"/>
          <w:u w:val="single"/>
          <w:lang w:eastAsia="bg-BG"/>
        </w:rPr>
      </w:pPr>
    </w:p>
    <w:p w14:paraId="3B32EB7E" w14:textId="0A2B7667" w:rsidR="00E84CF5" w:rsidRPr="00E84CF5" w:rsidRDefault="00E84CF5" w:rsidP="00E84CF5">
      <w:pPr>
        <w:spacing w:line="240" w:lineRule="auto"/>
        <w:rPr>
          <w:rFonts w:eastAsia="Times New Roman" w:cs="Arial"/>
          <w:lang w:eastAsia="bg-BG"/>
        </w:rPr>
      </w:pPr>
      <w:r w:rsidRPr="00E84CF5">
        <w:rPr>
          <w:rFonts w:eastAsia="Times New Roman" w:cs="Arial"/>
          <w:i/>
          <w:iCs/>
          <w:color w:val="000000"/>
          <w:u w:val="single"/>
          <w:lang w:eastAsia="bg-BG"/>
        </w:rPr>
        <w:t>Специални групи пациенти</w:t>
      </w:r>
    </w:p>
    <w:p w14:paraId="3AC7483F" w14:textId="77777777" w:rsidR="00E84CF5" w:rsidRPr="00E84CF5" w:rsidRDefault="00E84CF5" w:rsidP="00E84CF5">
      <w:pPr>
        <w:spacing w:line="240" w:lineRule="auto"/>
        <w:rPr>
          <w:rFonts w:eastAsia="Times New Roman" w:cs="Arial"/>
          <w:color w:val="000000"/>
          <w:u w:val="single"/>
          <w:lang w:eastAsia="bg-BG"/>
        </w:rPr>
      </w:pPr>
    </w:p>
    <w:p w14:paraId="2B811585" w14:textId="44062507" w:rsidR="00E84CF5" w:rsidRPr="00E84CF5" w:rsidRDefault="00E84CF5" w:rsidP="00E84CF5">
      <w:pPr>
        <w:spacing w:line="240" w:lineRule="auto"/>
        <w:rPr>
          <w:rFonts w:eastAsia="Times New Roman" w:cs="Arial"/>
          <w:lang w:eastAsia="bg-BG"/>
        </w:rPr>
      </w:pPr>
      <w:r w:rsidRPr="00E84CF5">
        <w:rPr>
          <w:rFonts w:eastAsia="Times New Roman" w:cs="Arial"/>
          <w:color w:val="000000"/>
          <w:u w:val="single"/>
          <w:lang w:eastAsia="bg-BG"/>
        </w:rPr>
        <w:t>Старческа възраст</w:t>
      </w:r>
    </w:p>
    <w:p w14:paraId="12235381"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Не е необходимо намаляване на дозата при възрастни хора.</w:t>
      </w:r>
    </w:p>
    <w:p w14:paraId="4B70DE1F" w14:textId="77777777" w:rsidR="00E84CF5" w:rsidRPr="00E84CF5" w:rsidRDefault="00E84CF5" w:rsidP="00E84CF5">
      <w:pPr>
        <w:spacing w:line="240" w:lineRule="auto"/>
        <w:rPr>
          <w:rFonts w:eastAsia="Times New Roman" w:cs="Arial"/>
          <w:color w:val="000000"/>
          <w:u w:val="single"/>
          <w:lang w:eastAsia="bg-BG"/>
        </w:rPr>
      </w:pPr>
    </w:p>
    <w:p w14:paraId="70473A93" w14:textId="1863E5BA" w:rsidR="00E84CF5" w:rsidRPr="00E84CF5" w:rsidRDefault="00E84CF5" w:rsidP="00E84CF5">
      <w:pPr>
        <w:spacing w:line="240" w:lineRule="auto"/>
        <w:rPr>
          <w:rFonts w:eastAsia="Times New Roman" w:cs="Arial"/>
          <w:lang w:eastAsia="bg-BG"/>
        </w:rPr>
      </w:pPr>
      <w:r w:rsidRPr="00E84CF5">
        <w:rPr>
          <w:rFonts w:eastAsia="Times New Roman" w:cs="Arial"/>
          <w:color w:val="000000"/>
          <w:u w:val="single"/>
          <w:lang w:eastAsia="bg-BG"/>
        </w:rPr>
        <w:t>Бъбречно увреждане</w:t>
      </w:r>
    </w:p>
    <w:p w14:paraId="779F1AE0"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lastRenderedPageBreak/>
        <w:t xml:space="preserve">Не е необходимо коригиране на дозата при възрастни пациенти с креатитнинов клиърънс &gt;10 </w:t>
      </w:r>
      <w:r w:rsidRPr="00E84CF5">
        <w:rPr>
          <w:rFonts w:eastAsia="Times New Roman" w:cs="Arial"/>
          <w:color w:val="000000"/>
          <w:lang w:val="en-US"/>
        </w:rPr>
        <w:t xml:space="preserve">ml/min </w:t>
      </w:r>
      <w:r w:rsidRPr="00E84CF5">
        <w:rPr>
          <w:rFonts w:eastAsia="Times New Roman" w:cs="Arial"/>
          <w:color w:val="000000"/>
          <w:lang w:eastAsia="bg-BG"/>
        </w:rPr>
        <w:t>(вж. точки 4.4 и 5.2).</w:t>
      </w:r>
    </w:p>
    <w:p w14:paraId="73E7A2F7" w14:textId="77777777" w:rsidR="00E84CF5" w:rsidRPr="00E84CF5" w:rsidRDefault="00E84CF5" w:rsidP="00E84CF5">
      <w:pPr>
        <w:spacing w:line="240" w:lineRule="auto"/>
        <w:rPr>
          <w:rFonts w:eastAsia="Times New Roman" w:cs="Arial"/>
          <w:color w:val="000000"/>
          <w:u w:val="single"/>
          <w:lang w:eastAsia="bg-BG"/>
        </w:rPr>
      </w:pPr>
    </w:p>
    <w:p w14:paraId="2DD6FEC9" w14:textId="23EA706C" w:rsidR="00E84CF5" w:rsidRPr="00E84CF5" w:rsidRDefault="00E84CF5" w:rsidP="00E84CF5">
      <w:pPr>
        <w:spacing w:line="240" w:lineRule="auto"/>
        <w:rPr>
          <w:rFonts w:eastAsia="Times New Roman" w:cs="Arial"/>
          <w:lang w:eastAsia="bg-BG"/>
        </w:rPr>
      </w:pPr>
      <w:r w:rsidRPr="00E84CF5">
        <w:rPr>
          <w:rFonts w:eastAsia="Times New Roman" w:cs="Arial"/>
          <w:color w:val="000000"/>
          <w:u w:val="single"/>
          <w:lang w:eastAsia="bg-BG"/>
        </w:rPr>
        <w:t>Захарен диабет</w:t>
      </w:r>
    </w:p>
    <w:p w14:paraId="2BF91ECA"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Едновременното приложение на валсартан с алискирен е противопоказано при пациенти със захарен диабет (вж. точка 4.3).</w:t>
      </w:r>
    </w:p>
    <w:p w14:paraId="628BAFF7" w14:textId="77777777" w:rsidR="00E84CF5" w:rsidRPr="00E84CF5" w:rsidRDefault="00E84CF5" w:rsidP="00E84CF5">
      <w:pPr>
        <w:spacing w:line="240" w:lineRule="auto"/>
        <w:rPr>
          <w:rFonts w:eastAsia="Times New Roman" w:cs="Arial"/>
          <w:color w:val="000000"/>
          <w:u w:val="single"/>
          <w:lang w:eastAsia="bg-BG"/>
        </w:rPr>
      </w:pPr>
    </w:p>
    <w:p w14:paraId="0F1F06F3" w14:textId="2FE44083" w:rsidR="00E84CF5" w:rsidRPr="00E84CF5" w:rsidRDefault="00E84CF5" w:rsidP="00E84CF5">
      <w:pPr>
        <w:spacing w:line="240" w:lineRule="auto"/>
        <w:rPr>
          <w:rFonts w:eastAsia="Times New Roman" w:cs="Arial"/>
          <w:color w:val="000000"/>
          <w:u w:val="single"/>
          <w:lang w:eastAsia="bg-BG"/>
        </w:rPr>
      </w:pPr>
      <w:r w:rsidRPr="00E84CF5">
        <w:rPr>
          <w:rFonts w:eastAsia="Times New Roman" w:cs="Arial"/>
          <w:color w:val="000000"/>
          <w:u w:val="single"/>
          <w:lang w:eastAsia="bg-BG"/>
        </w:rPr>
        <w:t>Чернодробно увреждане</w:t>
      </w:r>
    </w:p>
    <w:p w14:paraId="345A4A68"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Сартег е противопоказан при пациенти с тежки чернодробни заболявания, жлъчна цироза и при пациенти с холестаза (вж. точки 4.3, 4.4 и 5.2). При пациенти с леко до умерено чернодробно увреждане, без холестаза, дозата на валсартан не трябва да надвишава 80 </w:t>
      </w:r>
      <w:r w:rsidRPr="00E84CF5">
        <w:rPr>
          <w:rFonts w:eastAsia="Times New Roman" w:cs="Arial"/>
          <w:color w:val="000000"/>
          <w:lang w:val="en-US"/>
        </w:rPr>
        <w:t>mg.</w:t>
      </w:r>
    </w:p>
    <w:p w14:paraId="60C6895B" w14:textId="77777777" w:rsidR="00E84CF5" w:rsidRPr="00E84CF5" w:rsidRDefault="00E84CF5" w:rsidP="00E84CF5">
      <w:pPr>
        <w:spacing w:line="240" w:lineRule="auto"/>
        <w:rPr>
          <w:rFonts w:eastAsia="Times New Roman" w:cs="Arial"/>
          <w:color w:val="000000"/>
          <w:u w:val="single"/>
          <w:lang w:eastAsia="bg-BG"/>
        </w:rPr>
      </w:pPr>
    </w:p>
    <w:p w14:paraId="06E53F1E" w14:textId="09501872" w:rsidR="00E84CF5" w:rsidRPr="00E84CF5" w:rsidRDefault="00E84CF5" w:rsidP="00E84CF5">
      <w:pPr>
        <w:spacing w:line="240" w:lineRule="auto"/>
        <w:rPr>
          <w:rFonts w:eastAsia="Times New Roman" w:cs="Arial"/>
          <w:lang w:eastAsia="bg-BG"/>
        </w:rPr>
      </w:pPr>
      <w:r w:rsidRPr="00E84CF5">
        <w:rPr>
          <w:rFonts w:eastAsia="Times New Roman" w:cs="Arial"/>
          <w:color w:val="000000"/>
          <w:u w:val="single"/>
          <w:lang w:eastAsia="bg-BG"/>
        </w:rPr>
        <w:t>Педиатрична популация</w:t>
      </w:r>
    </w:p>
    <w:p w14:paraId="051ECAA0" w14:textId="77777777" w:rsidR="00E84CF5" w:rsidRPr="00E84CF5" w:rsidRDefault="00E84CF5" w:rsidP="00E84CF5">
      <w:pPr>
        <w:spacing w:line="240" w:lineRule="auto"/>
        <w:rPr>
          <w:rFonts w:eastAsia="Times New Roman" w:cs="Arial"/>
          <w:color w:val="000000"/>
          <w:u w:val="single"/>
          <w:lang w:eastAsia="bg-BG"/>
        </w:rPr>
      </w:pPr>
    </w:p>
    <w:p w14:paraId="23B31261" w14:textId="2600BB51" w:rsidR="00E84CF5" w:rsidRPr="00E84CF5" w:rsidRDefault="00E84CF5" w:rsidP="00E84CF5">
      <w:pPr>
        <w:spacing w:line="240" w:lineRule="auto"/>
        <w:rPr>
          <w:rFonts w:eastAsia="Times New Roman" w:cs="Arial"/>
          <w:lang w:eastAsia="bg-BG"/>
        </w:rPr>
      </w:pPr>
      <w:r w:rsidRPr="00E84CF5">
        <w:rPr>
          <w:rFonts w:eastAsia="Times New Roman" w:cs="Arial"/>
          <w:color w:val="000000"/>
          <w:u w:val="single"/>
          <w:lang w:eastAsia="bg-BG"/>
        </w:rPr>
        <w:t>Хипертония при деца</w:t>
      </w:r>
    </w:p>
    <w:p w14:paraId="27D4DAB9" w14:textId="77777777" w:rsidR="00E84CF5" w:rsidRPr="00E84CF5" w:rsidRDefault="00E84CF5" w:rsidP="00E84CF5">
      <w:pPr>
        <w:spacing w:line="240" w:lineRule="auto"/>
        <w:rPr>
          <w:rFonts w:eastAsia="Times New Roman" w:cs="Arial"/>
          <w:lang w:eastAsia="bg-BG"/>
        </w:rPr>
      </w:pPr>
      <w:r w:rsidRPr="00E84CF5">
        <w:rPr>
          <w:rFonts w:eastAsia="Times New Roman" w:cs="Arial"/>
          <w:i/>
          <w:iCs/>
          <w:color w:val="000000"/>
          <w:lang w:eastAsia="bg-BG"/>
        </w:rPr>
        <w:t>Деца и юноши на възраст от 6 до под 18 години</w:t>
      </w:r>
    </w:p>
    <w:p w14:paraId="2BD7A9A0"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 xml:space="preserve">Началната доза е 40 </w:t>
      </w:r>
      <w:r w:rsidRPr="00E84CF5">
        <w:rPr>
          <w:rFonts w:eastAsia="Times New Roman" w:cs="Arial"/>
          <w:color w:val="000000"/>
          <w:lang w:val="en-US"/>
        </w:rPr>
        <w:t xml:space="preserve">mg </w:t>
      </w:r>
      <w:r w:rsidRPr="00E84CF5">
        <w:rPr>
          <w:rFonts w:eastAsia="Times New Roman" w:cs="Arial"/>
          <w:color w:val="000000"/>
          <w:lang w:eastAsia="bg-BG"/>
        </w:rPr>
        <w:t xml:space="preserve">веднъж дневно за деца с тегло под 35 </w:t>
      </w:r>
      <w:r w:rsidRPr="00E84CF5">
        <w:rPr>
          <w:rFonts w:eastAsia="Times New Roman" w:cs="Arial"/>
          <w:color w:val="000000"/>
          <w:lang w:val="en-US"/>
        </w:rPr>
        <w:t xml:space="preserve">kg </w:t>
      </w:r>
      <w:r w:rsidRPr="00E84CF5">
        <w:rPr>
          <w:rFonts w:eastAsia="Times New Roman" w:cs="Arial"/>
          <w:color w:val="000000"/>
          <w:lang w:eastAsia="bg-BG"/>
        </w:rPr>
        <w:t xml:space="preserve">и 80 </w:t>
      </w:r>
      <w:r w:rsidRPr="00E84CF5">
        <w:rPr>
          <w:rFonts w:eastAsia="Times New Roman" w:cs="Arial"/>
          <w:color w:val="000000"/>
          <w:lang w:val="en-US"/>
        </w:rPr>
        <w:t xml:space="preserve">mg </w:t>
      </w:r>
      <w:r w:rsidRPr="00E84CF5">
        <w:rPr>
          <w:rFonts w:eastAsia="Times New Roman" w:cs="Arial"/>
          <w:color w:val="000000"/>
          <w:lang w:eastAsia="bg-BG"/>
        </w:rPr>
        <w:t xml:space="preserve">веднъж дневно за тези с тегло над 35 </w:t>
      </w:r>
      <w:r w:rsidRPr="00E84CF5">
        <w:rPr>
          <w:rFonts w:eastAsia="Times New Roman" w:cs="Arial"/>
          <w:color w:val="000000"/>
          <w:lang w:val="en-US"/>
        </w:rPr>
        <w:t xml:space="preserve">kg. </w:t>
      </w:r>
      <w:r w:rsidRPr="00E84CF5">
        <w:rPr>
          <w:rFonts w:eastAsia="Times New Roman" w:cs="Arial"/>
          <w:color w:val="000000"/>
          <w:lang w:eastAsia="bg-BG"/>
        </w:rPr>
        <w:t>Дозата трябва да се коригира в зависимост от повлияването на артериалното налягане и поносимостта. Моля, вижте максималните дози, проучени в хода на клиничните изпитвания в таблицата по-долу.</w:t>
      </w:r>
    </w:p>
    <w:p w14:paraId="132F3111" w14:textId="0B931E5E" w:rsidR="005B0F27" w:rsidRPr="00E84CF5" w:rsidRDefault="00E84CF5" w:rsidP="00E84CF5">
      <w:pPr>
        <w:rPr>
          <w:rFonts w:cs="Arial"/>
        </w:rPr>
      </w:pPr>
      <w:r w:rsidRPr="00E84CF5">
        <w:rPr>
          <w:rFonts w:eastAsia="Times New Roman" w:cs="Arial"/>
          <w:color w:val="000000"/>
          <w:lang w:eastAsia="bg-BG"/>
        </w:rPr>
        <w:t>Дози, по-високи от описаните не са били проучвани и поради тази причина не се препоръчват.</w:t>
      </w:r>
    </w:p>
    <w:p w14:paraId="2B97F3FE" w14:textId="611B2C99" w:rsidR="00E84CF5" w:rsidRPr="00E84CF5" w:rsidRDefault="00E84CF5" w:rsidP="0091385D">
      <w:pPr>
        <w:rPr>
          <w:rFonts w:cs="Arial"/>
        </w:rPr>
      </w:pPr>
    </w:p>
    <w:tbl>
      <w:tblPr>
        <w:tblStyle w:val="TableGrid"/>
        <w:tblW w:w="0" w:type="auto"/>
        <w:tblLook w:val="04A0" w:firstRow="1" w:lastRow="0" w:firstColumn="1" w:lastColumn="0" w:noHBand="0" w:noVBand="1"/>
      </w:tblPr>
      <w:tblGrid>
        <w:gridCol w:w="4675"/>
        <w:gridCol w:w="4675"/>
      </w:tblGrid>
      <w:tr w:rsidR="00E84CF5" w:rsidRPr="00E84CF5" w14:paraId="2617F184" w14:textId="77777777" w:rsidTr="00E84CF5">
        <w:tc>
          <w:tcPr>
            <w:tcW w:w="4675" w:type="dxa"/>
          </w:tcPr>
          <w:p w14:paraId="01031AEE" w14:textId="327AFCD6" w:rsidR="00E84CF5" w:rsidRPr="00E84CF5" w:rsidRDefault="00E84CF5" w:rsidP="00E84CF5">
            <w:pPr>
              <w:rPr>
                <w:rFonts w:cs="Arial"/>
              </w:rPr>
            </w:pPr>
            <w:r w:rsidRPr="00E84CF5">
              <w:rPr>
                <w:rFonts w:cs="Arial"/>
              </w:rPr>
              <w:t>Тегло</w:t>
            </w:r>
          </w:p>
        </w:tc>
        <w:tc>
          <w:tcPr>
            <w:tcW w:w="4675" w:type="dxa"/>
          </w:tcPr>
          <w:p w14:paraId="6F2CD5EE" w14:textId="33427B7B" w:rsidR="00E84CF5" w:rsidRPr="00E84CF5" w:rsidRDefault="00E84CF5" w:rsidP="00E84CF5">
            <w:pPr>
              <w:rPr>
                <w:rFonts w:cs="Arial"/>
              </w:rPr>
            </w:pPr>
            <w:r w:rsidRPr="00E84CF5">
              <w:rPr>
                <w:rFonts w:cs="Arial"/>
              </w:rPr>
              <w:t>Максимална доза таблетки, проучена в клинични изпитвания</w:t>
            </w:r>
          </w:p>
        </w:tc>
      </w:tr>
      <w:tr w:rsidR="00E84CF5" w:rsidRPr="00E84CF5" w14:paraId="4A32A277" w14:textId="77777777" w:rsidTr="00E84CF5">
        <w:tc>
          <w:tcPr>
            <w:tcW w:w="4675" w:type="dxa"/>
          </w:tcPr>
          <w:p w14:paraId="7F99231A" w14:textId="1887DA14" w:rsidR="00E84CF5" w:rsidRPr="00E84CF5" w:rsidRDefault="00E84CF5" w:rsidP="00E84CF5">
            <w:pPr>
              <w:rPr>
                <w:rFonts w:cs="Arial"/>
              </w:rPr>
            </w:pPr>
            <w:r w:rsidRPr="00E84CF5">
              <w:rPr>
                <w:rFonts w:cs="Arial"/>
              </w:rPr>
              <w:t xml:space="preserve">≥18 </w:t>
            </w:r>
            <w:r w:rsidRPr="00E84CF5">
              <w:rPr>
                <w:rFonts w:cs="Arial"/>
                <w:lang w:val="en-US"/>
              </w:rPr>
              <w:t xml:space="preserve">kg </w:t>
            </w:r>
            <w:r w:rsidRPr="00E84CF5">
              <w:rPr>
                <w:rFonts w:cs="Arial"/>
              </w:rPr>
              <w:t xml:space="preserve">до &lt;35 </w:t>
            </w:r>
            <w:r w:rsidRPr="00E84CF5">
              <w:rPr>
                <w:rFonts w:cs="Arial"/>
                <w:lang w:val="en-US"/>
              </w:rPr>
              <w:t>kg</w:t>
            </w:r>
          </w:p>
        </w:tc>
        <w:tc>
          <w:tcPr>
            <w:tcW w:w="4675" w:type="dxa"/>
          </w:tcPr>
          <w:p w14:paraId="30E48798" w14:textId="2EC5F42E" w:rsidR="00E84CF5" w:rsidRPr="00E84CF5" w:rsidRDefault="00E84CF5" w:rsidP="00E84CF5">
            <w:pPr>
              <w:rPr>
                <w:rFonts w:cs="Arial"/>
              </w:rPr>
            </w:pPr>
            <w:r w:rsidRPr="00E84CF5">
              <w:rPr>
                <w:rFonts w:cs="Arial"/>
              </w:rPr>
              <w:t xml:space="preserve">80 </w:t>
            </w:r>
            <w:r w:rsidRPr="00E84CF5">
              <w:rPr>
                <w:rFonts w:cs="Arial"/>
                <w:lang w:val="en-US"/>
              </w:rPr>
              <w:t>mg</w:t>
            </w:r>
          </w:p>
        </w:tc>
      </w:tr>
      <w:tr w:rsidR="00E84CF5" w:rsidRPr="00E84CF5" w14:paraId="3DCB35F1" w14:textId="77777777" w:rsidTr="00E84CF5">
        <w:tc>
          <w:tcPr>
            <w:tcW w:w="4675" w:type="dxa"/>
          </w:tcPr>
          <w:p w14:paraId="138F9DAE" w14:textId="7B35440D" w:rsidR="00E84CF5" w:rsidRPr="00E84CF5" w:rsidRDefault="00E84CF5" w:rsidP="00E84CF5">
            <w:pPr>
              <w:rPr>
                <w:rFonts w:cs="Arial"/>
              </w:rPr>
            </w:pPr>
            <w:r w:rsidRPr="00E84CF5">
              <w:rPr>
                <w:rFonts w:cs="Arial"/>
              </w:rPr>
              <w:t xml:space="preserve">≥35 </w:t>
            </w:r>
            <w:r w:rsidRPr="00E84CF5">
              <w:rPr>
                <w:rFonts w:cs="Arial"/>
                <w:lang w:val="en-US"/>
              </w:rPr>
              <w:t xml:space="preserve">kg </w:t>
            </w:r>
            <w:r w:rsidRPr="00E84CF5">
              <w:rPr>
                <w:rFonts w:cs="Arial"/>
              </w:rPr>
              <w:t xml:space="preserve">до &lt;80 </w:t>
            </w:r>
            <w:r w:rsidRPr="00E84CF5">
              <w:rPr>
                <w:rFonts w:cs="Arial"/>
                <w:lang w:val="en-US"/>
              </w:rPr>
              <w:t>kg</w:t>
            </w:r>
          </w:p>
        </w:tc>
        <w:tc>
          <w:tcPr>
            <w:tcW w:w="4675" w:type="dxa"/>
          </w:tcPr>
          <w:p w14:paraId="07A0C5A6" w14:textId="4580A188" w:rsidR="00E84CF5" w:rsidRPr="00E84CF5" w:rsidRDefault="00E84CF5" w:rsidP="00E84CF5">
            <w:pPr>
              <w:rPr>
                <w:rFonts w:cs="Arial"/>
              </w:rPr>
            </w:pPr>
            <w:r w:rsidRPr="00E84CF5">
              <w:rPr>
                <w:rFonts w:cs="Arial"/>
              </w:rPr>
              <w:t xml:space="preserve">160 </w:t>
            </w:r>
            <w:r w:rsidRPr="00E84CF5">
              <w:rPr>
                <w:rFonts w:cs="Arial"/>
                <w:lang w:val="en-US"/>
              </w:rPr>
              <w:t>mg</w:t>
            </w:r>
          </w:p>
        </w:tc>
      </w:tr>
      <w:tr w:rsidR="00E84CF5" w:rsidRPr="00E84CF5" w14:paraId="63FCF1F0" w14:textId="77777777" w:rsidTr="00E84CF5">
        <w:tc>
          <w:tcPr>
            <w:tcW w:w="4675" w:type="dxa"/>
          </w:tcPr>
          <w:p w14:paraId="37E120B7" w14:textId="72C1AD27" w:rsidR="00E84CF5" w:rsidRPr="00E84CF5" w:rsidRDefault="00E84CF5" w:rsidP="00E84CF5">
            <w:pPr>
              <w:rPr>
                <w:rFonts w:cs="Arial"/>
              </w:rPr>
            </w:pPr>
            <w:r w:rsidRPr="00E84CF5">
              <w:rPr>
                <w:rFonts w:cs="Arial"/>
              </w:rPr>
              <w:t xml:space="preserve">≥80 </w:t>
            </w:r>
            <w:r w:rsidRPr="00E84CF5">
              <w:rPr>
                <w:rFonts w:cs="Arial"/>
                <w:lang w:val="en-US"/>
              </w:rPr>
              <w:t xml:space="preserve">kg </w:t>
            </w:r>
            <w:r w:rsidRPr="00E84CF5">
              <w:rPr>
                <w:rFonts w:cs="Arial"/>
              </w:rPr>
              <w:t xml:space="preserve">до ≤160 </w:t>
            </w:r>
            <w:r w:rsidRPr="00E84CF5">
              <w:rPr>
                <w:rFonts w:cs="Arial"/>
                <w:lang w:val="en-US"/>
              </w:rPr>
              <w:t>kg</w:t>
            </w:r>
          </w:p>
        </w:tc>
        <w:tc>
          <w:tcPr>
            <w:tcW w:w="4675" w:type="dxa"/>
          </w:tcPr>
          <w:p w14:paraId="52B0CEDE" w14:textId="0B1CADB4" w:rsidR="00E84CF5" w:rsidRPr="00E84CF5" w:rsidRDefault="00E84CF5" w:rsidP="00E84CF5">
            <w:pPr>
              <w:rPr>
                <w:rFonts w:cs="Arial"/>
              </w:rPr>
            </w:pPr>
            <w:r w:rsidRPr="00E84CF5">
              <w:rPr>
                <w:rFonts w:cs="Arial"/>
              </w:rPr>
              <w:t xml:space="preserve">320 </w:t>
            </w:r>
            <w:r w:rsidRPr="00E84CF5">
              <w:rPr>
                <w:rFonts w:cs="Arial"/>
                <w:lang w:val="en-US"/>
              </w:rPr>
              <w:t>mg</w:t>
            </w:r>
          </w:p>
        </w:tc>
      </w:tr>
    </w:tbl>
    <w:p w14:paraId="6A8AC930" w14:textId="664081AB" w:rsidR="00E84CF5" w:rsidRPr="00E84CF5" w:rsidRDefault="00E84CF5" w:rsidP="0091385D">
      <w:pPr>
        <w:rPr>
          <w:rFonts w:cs="Arial"/>
        </w:rPr>
      </w:pPr>
    </w:p>
    <w:p w14:paraId="53BB6E90" w14:textId="4D52B249" w:rsidR="00E84CF5" w:rsidRPr="00E84CF5" w:rsidRDefault="00E84CF5" w:rsidP="0091385D">
      <w:pPr>
        <w:rPr>
          <w:rFonts w:cs="Arial"/>
          <w:i/>
          <w:iCs/>
        </w:rPr>
      </w:pPr>
      <w:r w:rsidRPr="00E84CF5">
        <w:rPr>
          <w:rFonts w:cs="Arial"/>
          <w:i/>
          <w:iCs/>
        </w:rPr>
        <w:t>Деца под 6-годишна възраст</w:t>
      </w:r>
    </w:p>
    <w:p w14:paraId="44490A88"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За деца на възраст под 6 години и за тези, които изпитват затруднение при преглъщане на таблетката, се препоръчва друга подходяща фармацевтична форма на валсартан. Наличните данни са описани в точки 4.8, 5.1 и 5.2</w:t>
      </w:r>
      <w:r w:rsidRPr="00E84CF5">
        <w:rPr>
          <w:rFonts w:eastAsia="Times New Roman" w:cs="Arial"/>
          <w:i/>
          <w:iCs/>
          <w:color w:val="000000"/>
          <w:lang w:eastAsia="bg-BG"/>
        </w:rPr>
        <w:t>.</w:t>
      </w:r>
      <w:r w:rsidRPr="00E84CF5">
        <w:rPr>
          <w:rFonts w:eastAsia="Times New Roman" w:cs="Arial"/>
          <w:color w:val="000000"/>
          <w:lang w:eastAsia="bg-BG"/>
        </w:rPr>
        <w:t xml:space="preserve"> Безопасността и ефикасността на валсартан при деца на възраст под 1 година не са установени.</w:t>
      </w:r>
    </w:p>
    <w:p w14:paraId="15D975DF" w14:textId="77777777" w:rsidR="00E84CF5" w:rsidRPr="00E84CF5" w:rsidRDefault="00E84CF5" w:rsidP="00E84CF5">
      <w:pPr>
        <w:spacing w:line="240" w:lineRule="auto"/>
        <w:rPr>
          <w:rFonts w:eastAsia="Times New Roman" w:cs="Arial"/>
          <w:i/>
          <w:iCs/>
          <w:color w:val="000000"/>
          <w:lang w:eastAsia="bg-BG"/>
        </w:rPr>
      </w:pPr>
    </w:p>
    <w:p w14:paraId="4125D155" w14:textId="2B69D33C" w:rsidR="00E84CF5" w:rsidRPr="00E84CF5" w:rsidRDefault="00E84CF5" w:rsidP="00E84CF5">
      <w:pPr>
        <w:spacing w:line="240" w:lineRule="auto"/>
        <w:rPr>
          <w:rFonts w:eastAsia="Times New Roman" w:cs="Arial"/>
          <w:lang w:eastAsia="bg-BG"/>
        </w:rPr>
      </w:pPr>
      <w:r w:rsidRPr="00E84CF5">
        <w:rPr>
          <w:rFonts w:eastAsia="Times New Roman" w:cs="Arial"/>
          <w:i/>
          <w:iCs/>
          <w:color w:val="000000"/>
          <w:lang w:eastAsia="bg-BG"/>
        </w:rPr>
        <w:t xml:space="preserve">Употреба при педиатрични пациенти на възраст от 6 до под 18 години с бъбречно увреждане </w:t>
      </w:r>
      <w:r w:rsidRPr="00E84CF5">
        <w:rPr>
          <w:rFonts w:eastAsia="Times New Roman" w:cs="Arial"/>
          <w:color w:val="000000"/>
          <w:lang w:eastAsia="bg-BG"/>
        </w:rPr>
        <w:t xml:space="preserve">Употребата при педиатрични пациенти с креатининов клирънс &lt;30 </w:t>
      </w:r>
      <w:r w:rsidRPr="00E84CF5">
        <w:rPr>
          <w:rFonts w:eastAsia="Times New Roman" w:cs="Arial"/>
          <w:color w:val="000000"/>
          <w:lang w:val="en-US"/>
        </w:rPr>
        <w:t xml:space="preserve">ml/min </w:t>
      </w:r>
      <w:r w:rsidRPr="00E84CF5">
        <w:rPr>
          <w:rFonts w:eastAsia="Times New Roman" w:cs="Arial"/>
          <w:color w:val="000000"/>
          <w:lang w:eastAsia="bg-BG"/>
        </w:rPr>
        <w:t xml:space="preserve">и педиатрични пациенти, подложени на хемодиализа, не е проучена и поради тази причина не се препоръчва прилагането на валсартан при такива пациенти. Не се изисква коригиране на дозата при педиатрични пациенти с креатининов клирънс &gt;30 </w:t>
      </w:r>
      <w:r w:rsidRPr="00E84CF5">
        <w:rPr>
          <w:rFonts w:eastAsia="Times New Roman" w:cs="Arial"/>
          <w:color w:val="000000"/>
          <w:lang w:val="en-US"/>
        </w:rPr>
        <w:t xml:space="preserve">ml/min. </w:t>
      </w:r>
      <w:r w:rsidRPr="00E84CF5">
        <w:rPr>
          <w:rFonts w:eastAsia="Times New Roman" w:cs="Arial"/>
          <w:color w:val="000000"/>
          <w:lang w:eastAsia="bg-BG"/>
        </w:rPr>
        <w:t>Бъбречната функция и нивата на серумния калий трябва да бъдат внимателно проследявани (вж. точки 4.4 и 5.2).</w:t>
      </w:r>
    </w:p>
    <w:p w14:paraId="43BC5731" w14:textId="77777777" w:rsidR="00E84CF5" w:rsidRPr="00E84CF5" w:rsidRDefault="00E84CF5" w:rsidP="00E84CF5">
      <w:pPr>
        <w:spacing w:line="240" w:lineRule="auto"/>
        <w:rPr>
          <w:rFonts w:eastAsia="Times New Roman" w:cs="Arial"/>
          <w:i/>
          <w:iCs/>
          <w:color w:val="000000"/>
          <w:lang w:eastAsia="bg-BG"/>
        </w:rPr>
      </w:pPr>
    </w:p>
    <w:p w14:paraId="62DC801F" w14:textId="79155DCC" w:rsidR="00E84CF5" w:rsidRPr="00E84CF5" w:rsidRDefault="00E84CF5" w:rsidP="00E84CF5">
      <w:pPr>
        <w:spacing w:line="240" w:lineRule="auto"/>
        <w:rPr>
          <w:rFonts w:eastAsia="Times New Roman" w:cs="Arial"/>
          <w:lang w:eastAsia="bg-BG"/>
        </w:rPr>
      </w:pPr>
      <w:r w:rsidRPr="00E84CF5">
        <w:rPr>
          <w:rFonts w:eastAsia="Times New Roman" w:cs="Arial"/>
          <w:i/>
          <w:iCs/>
          <w:color w:val="000000"/>
          <w:lang w:eastAsia="bg-BG"/>
        </w:rPr>
        <w:t xml:space="preserve">Употреба при педиатрични пациенти на възраст от 6 до под 18 години с чернодробно увреждане </w:t>
      </w:r>
      <w:r w:rsidRPr="00E84CF5">
        <w:rPr>
          <w:rFonts w:eastAsia="Times New Roman" w:cs="Arial"/>
          <w:color w:val="000000"/>
          <w:lang w:eastAsia="bg-BG"/>
        </w:rPr>
        <w:t xml:space="preserve">Подобно на възрастните пациенти, валсартан е противопоказан при педиатрични пациенти с тежко чернодробно увреждане, жлъчна цироза и холестаза (вж. точки 4.3, 4.4 и 5.2). Има ограничен клиничен опит с употребата на валсартан при педиатрични пациенти с леко до умерено чернодробно увреждане. При такива пациенти дозата на валсартан не трябва да превишава 80 </w:t>
      </w:r>
      <w:r w:rsidRPr="00E84CF5">
        <w:rPr>
          <w:rFonts w:eastAsia="Times New Roman" w:cs="Arial"/>
          <w:color w:val="000000"/>
          <w:lang w:val="en-US"/>
        </w:rPr>
        <w:t>mg.</w:t>
      </w:r>
    </w:p>
    <w:p w14:paraId="5485ECA5" w14:textId="77777777" w:rsidR="00E84CF5" w:rsidRPr="00E84CF5" w:rsidRDefault="00E84CF5" w:rsidP="00E84CF5">
      <w:pPr>
        <w:spacing w:line="240" w:lineRule="auto"/>
        <w:rPr>
          <w:rFonts w:eastAsia="Times New Roman" w:cs="Arial"/>
          <w:i/>
          <w:iCs/>
          <w:color w:val="000000"/>
          <w:u w:val="single"/>
          <w:lang w:eastAsia="bg-BG"/>
        </w:rPr>
      </w:pPr>
    </w:p>
    <w:p w14:paraId="402C01B9" w14:textId="528BB404" w:rsidR="00E84CF5" w:rsidRPr="00E84CF5" w:rsidRDefault="00E84CF5" w:rsidP="00E84CF5">
      <w:pPr>
        <w:spacing w:line="240" w:lineRule="auto"/>
        <w:rPr>
          <w:rFonts w:eastAsia="Times New Roman" w:cs="Arial"/>
          <w:lang w:eastAsia="bg-BG"/>
        </w:rPr>
      </w:pPr>
      <w:r w:rsidRPr="00E84CF5">
        <w:rPr>
          <w:rFonts w:eastAsia="Times New Roman" w:cs="Arial"/>
          <w:i/>
          <w:iCs/>
          <w:color w:val="000000"/>
          <w:u w:val="single"/>
          <w:lang w:eastAsia="bg-BG"/>
        </w:rPr>
        <w:t>Сърдечна недостатъчност и пресен миокарден инфаркт при деиа</w:t>
      </w:r>
    </w:p>
    <w:p w14:paraId="734AF597"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Валсартан не се препоръчва за лечение на сърдечна недостатъчност или пресен миокарден инфаркт при деца и юноши под 18 години поради липсата на данни за безопасността и ефикасността.</w:t>
      </w:r>
    </w:p>
    <w:p w14:paraId="5F35D899" w14:textId="77777777" w:rsidR="00E84CF5" w:rsidRDefault="00E84CF5" w:rsidP="00E84CF5">
      <w:pPr>
        <w:spacing w:line="240" w:lineRule="auto"/>
        <w:rPr>
          <w:rFonts w:ascii="Times New Roman" w:eastAsia="Times New Roman" w:hAnsi="Times New Roman" w:cs="Times New Roman"/>
          <w:i/>
          <w:iCs/>
          <w:color w:val="000000"/>
          <w:sz w:val="20"/>
          <w:szCs w:val="20"/>
          <w:u w:val="single"/>
          <w:lang w:eastAsia="bg-BG"/>
        </w:rPr>
      </w:pPr>
    </w:p>
    <w:p w14:paraId="1DBC8477" w14:textId="30D46510" w:rsidR="00E84CF5" w:rsidRPr="00E84CF5" w:rsidRDefault="00E84CF5" w:rsidP="00E84CF5">
      <w:pPr>
        <w:pStyle w:val="Heading3"/>
        <w:rPr>
          <w:rFonts w:eastAsia="Times New Roman"/>
          <w:u w:val="single"/>
          <w:lang w:eastAsia="bg-BG"/>
        </w:rPr>
      </w:pPr>
      <w:r w:rsidRPr="00E84CF5">
        <w:rPr>
          <w:rFonts w:eastAsia="Times New Roman"/>
          <w:u w:val="single"/>
          <w:lang w:eastAsia="bg-BG"/>
        </w:rPr>
        <w:t>Начин на приложение</w:t>
      </w:r>
    </w:p>
    <w:p w14:paraId="64327E34" w14:textId="77777777" w:rsidR="00E84CF5" w:rsidRPr="00E84CF5" w:rsidRDefault="00E84CF5" w:rsidP="00E84CF5">
      <w:pPr>
        <w:spacing w:line="240" w:lineRule="auto"/>
        <w:rPr>
          <w:rFonts w:eastAsia="Times New Roman" w:cs="Arial"/>
          <w:lang w:eastAsia="bg-BG"/>
        </w:rPr>
      </w:pPr>
      <w:r w:rsidRPr="00E84CF5">
        <w:rPr>
          <w:rFonts w:eastAsia="Times New Roman" w:cs="Arial"/>
          <w:color w:val="000000"/>
          <w:lang w:eastAsia="bg-BG"/>
        </w:rPr>
        <w:t>За перорално приложение.</w:t>
      </w:r>
    </w:p>
    <w:p w14:paraId="788E78A0" w14:textId="00207AD8" w:rsidR="00E84CF5" w:rsidRPr="00E84CF5" w:rsidRDefault="00E84CF5" w:rsidP="00E84CF5">
      <w:pPr>
        <w:rPr>
          <w:rFonts w:cs="Arial"/>
        </w:rPr>
      </w:pPr>
      <w:r w:rsidRPr="00E84CF5">
        <w:rPr>
          <w:rFonts w:eastAsia="Times New Roman" w:cs="Arial"/>
          <w:color w:val="000000"/>
          <w:lang w:eastAsia="bg-BG"/>
        </w:rPr>
        <w:t>Сартег може да се употребява независимо от приема на храна и трябва да се приема с вода.</w:t>
      </w:r>
    </w:p>
    <w:p w14:paraId="1821BB4D" w14:textId="77777777" w:rsidR="00E84CF5" w:rsidRPr="0091385D" w:rsidRDefault="00E84CF5" w:rsidP="0091385D"/>
    <w:p w14:paraId="28C984E8" w14:textId="0756AE28" w:rsidR="008134C8" w:rsidRDefault="002C50EE" w:rsidP="004A448E">
      <w:pPr>
        <w:pStyle w:val="Heading2"/>
      </w:pPr>
      <w:r>
        <w:t>4.3. Противопоказания</w:t>
      </w:r>
    </w:p>
    <w:p w14:paraId="2363D607" w14:textId="619A99CE" w:rsidR="0091385D" w:rsidRDefault="0091385D" w:rsidP="0091385D"/>
    <w:p w14:paraId="53745146" w14:textId="77777777" w:rsidR="00E84CF5" w:rsidRPr="00E84CF5" w:rsidRDefault="00E84CF5" w:rsidP="00E84CF5">
      <w:pPr>
        <w:pStyle w:val="ListParagraph"/>
        <w:numPr>
          <w:ilvl w:val="0"/>
          <w:numId w:val="38"/>
        </w:numPr>
        <w:spacing w:line="240" w:lineRule="auto"/>
        <w:rPr>
          <w:rFonts w:eastAsia="Times New Roman" w:cs="Arial"/>
          <w:color w:val="000000"/>
          <w:szCs w:val="20"/>
          <w:lang w:eastAsia="bg-BG"/>
        </w:rPr>
      </w:pPr>
      <w:r w:rsidRPr="00E84CF5">
        <w:rPr>
          <w:rFonts w:eastAsia="Times New Roman" w:cs="Arial"/>
          <w:color w:val="000000"/>
          <w:szCs w:val="20"/>
          <w:lang w:eastAsia="bg-BG"/>
        </w:rPr>
        <w:t>Свръхчувствителност към активното вещество, соево масло, фъстъчено масло или към някое от помощните вещества, изброени в т. 6.1.</w:t>
      </w:r>
    </w:p>
    <w:p w14:paraId="2B9E22E1" w14:textId="77777777" w:rsidR="00E84CF5" w:rsidRPr="00E84CF5" w:rsidRDefault="00E84CF5" w:rsidP="00E84CF5">
      <w:pPr>
        <w:pStyle w:val="ListParagraph"/>
        <w:numPr>
          <w:ilvl w:val="0"/>
          <w:numId w:val="38"/>
        </w:numPr>
        <w:spacing w:line="240" w:lineRule="auto"/>
        <w:rPr>
          <w:rFonts w:eastAsia="Times New Roman" w:cs="Arial"/>
          <w:color w:val="000000"/>
          <w:szCs w:val="20"/>
          <w:lang w:eastAsia="bg-BG"/>
        </w:rPr>
      </w:pPr>
      <w:r w:rsidRPr="00E84CF5">
        <w:rPr>
          <w:rFonts w:eastAsia="Times New Roman" w:cs="Arial"/>
          <w:color w:val="000000"/>
          <w:szCs w:val="20"/>
          <w:lang w:eastAsia="bg-BG"/>
        </w:rPr>
        <w:t>Тежки чернодробни увреждания, жлъчна цироза и холестаза.</w:t>
      </w:r>
    </w:p>
    <w:p w14:paraId="70BFB917" w14:textId="77777777" w:rsidR="00E84CF5" w:rsidRPr="00E84CF5" w:rsidRDefault="00E84CF5" w:rsidP="00E84CF5">
      <w:pPr>
        <w:pStyle w:val="ListParagraph"/>
        <w:numPr>
          <w:ilvl w:val="0"/>
          <w:numId w:val="38"/>
        </w:numPr>
        <w:spacing w:line="240" w:lineRule="auto"/>
        <w:rPr>
          <w:rFonts w:eastAsia="Times New Roman" w:cs="Arial"/>
          <w:color w:val="000000"/>
          <w:szCs w:val="20"/>
          <w:lang w:eastAsia="bg-BG"/>
        </w:rPr>
      </w:pPr>
      <w:r w:rsidRPr="00E84CF5">
        <w:rPr>
          <w:rFonts w:eastAsia="Times New Roman" w:cs="Arial"/>
          <w:color w:val="000000"/>
          <w:szCs w:val="20"/>
          <w:lang w:eastAsia="bg-BG"/>
        </w:rPr>
        <w:t>Второто и третото тримесечие на бременността (вж. точки 4.4 и 4.6)</w:t>
      </w:r>
    </w:p>
    <w:p w14:paraId="030B6A4D" w14:textId="522F042B" w:rsidR="00EC41ED" w:rsidRPr="00E84CF5" w:rsidRDefault="00E84CF5" w:rsidP="00E84CF5">
      <w:pPr>
        <w:pStyle w:val="ListParagraph"/>
        <w:numPr>
          <w:ilvl w:val="0"/>
          <w:numId w:val="38"/>
        </w:numPr>
        <w:spacing w:line="240" w:lineRule="auto"/>
        <w:rPr>
          <w:rFonts w:eastAsia="Times New Roman" w:cs="Arial"/>
          <w:color w:val="000000"/>
          <w:szCs w:val="20"/>
          <w:lang w:eastAsia="bg-BG"/>
        </w:rPr>
      </w:pPr>
      <w:r w:rsidRPr="00E84CF5">
        <w:rPr>
          <w:rFonts w:eastAsia="Times New Roman" w:cs="Arial"/>
          <w:color w:val="000000"/>
          <w:szCs w:val="20"/>
          <w:lang w:eastAsia="bg-BG"/>
        </w:rPr>
        <w:t xml:space="preserve">Едновременно приложение на Сартег с алискирен-съдържащи продукти при пациенти със захарен диабет или бъбречно увреждане (гломерулна филтрация, </w:t>
      </w:r>
      <w:r w:rsidRPr="00E84CF5">
        <w:rPr>
          <w:rFonts w:eastAsia="Times New Roman" w:cs="Arial"/>
          <w:color w:val="000000"/>
          <w:szCs w:val="20"/>
          <w:lang w:val="en-US"/>
        </w:rPr>
        <w:t xml:space="preserve">GFR </w:t>
      </w:r>
      <w:r w:rsidRPr="00E84CF5">
        <w:rPr>
          <w:rFonts w:eastAsia="Times New Roman" w:cs="Arial"/>
          <w:color w:val="000000"/>
          <w:szCs w:val="20"/>
          <w:lang w:eastAsia="bg-BG"/>
        </w:rPr>
        <w:t xml:space="preserve">&lt;60 </w:t>
      </w:r>
      <w:r w:rsidRPr="00E84CF5">
        <w:rPr>
          <w:rFonts w:eastAsia="Times New Roman" w:cs="Arial"/>
          <w:color w:val="000000"/>
          <w:szCs w:val="20"/>
          <w:lang w:val="en-US"/>
        </w:rPr>
        <w:t>mL/min/1,73 m</w:t>
      </w:r>
      <w:r w:rsidRPr="00E84CF5">
        <w:rPr>
          <w:rFonts w:eastAsia="Times New Roman" w:cs="Arial"/>
          <w:color w:val="000000"/>
          <w:szCs w:val="20"/>
          <w:vertAlign w:val="superscript"/>
          <w:lang w:val="en-US"/>
        </w:rPr>
        <w:t>2</w:t>
      </w:r>
      <w:r w:rsidRPr="00E84CF5">
        <w:rPr>
          <w:rFonts w:eastAsia="Times New Roman" w:cs="Arial"/>
          <w:color w:val="000000"/>
          <w:szCs w:val="20"/>
          <w:lang w:val="en-US"/>
        </w:rPr>
        <w:t xml:space="preserve">) </w:t>
      </w:r>
      <w:r w:rsidRPr="00E84CF5">
        <w:rPr>
          <w:rFonts w:eastAsia="Times New Roman" w:cs="Arial"/>
          <w:color w:val="000000"/>
          <w:szCs w:val="20"/>
          <w:lang w:eastAsia="bg-BG"/>
        </w:rPr>
        <w:t>(вж. точки 4.5 и 5.1).</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1E0703C7" w:rsidR="0091385D" w:rsidRDefault="0091385D" w:rsidP="0091385D"/>
    <w:p w14:paraId="150FABC3" w14:textId="77777777"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u w:val="single"/>
          <w:lang w:eastAsia="bg-BG"/>
        </w:rPr>
        <w:t>Хиперкалиемия</w:t>
      </w:r>
    </w:p>
    <w:p w14:paraId="153D046D" w14:textId="77777777"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lang w:eastAsia="bg-BG"/>
        </w:rPr>
        <w:t>Едновременната употреба с калиеви добавки, съхраняващи калия диуретици, заместители на солта, съдържащи калий, или други лекарствени продукти, които могат да повишат нивата на калий (хепарин и др.) не се препоръчва. При необходимост трябва да се прави мониторираие на стойностите на калия.</w:t>
      </w:r>
    </w:p>
    <w:p w14:paraId="6AE2777D" w14:textId="77777777" w:rsidR="00E84CF5" w:rsidRPr="00E84CF5" w:rsidRDefault="00E84CF5" w:rsidP="00E84CF5">
      <w:pPr>
        <w:spacing w:line="240" w:lineRule="auto"/>
        <w:rPr>
          <w:rFonts w:eastAsia="Times New Roman" w:cs="Arial"/>
          <w:color w:val="000000"/>
          <w:szCs w:val="20"/>
          <w:u w:val="single"/>
          <w:lang w:eastAsia="bg-BG"/>
        </w:rPr>
      </w:pPr>
    </w:p>
    <w:p w14:paraId="60DF7FFE" w14:textId="47C1A4F7"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u w:val="single"/>
          <w:lang w:eastAsia="bg-BG"/>
        </w:rPr>
        <w:t>Бъбречно увреждане</w:t>
      </w:r>
    </w:p>
    <w:p w14:paraId="793E2E87" w14:textId="77777777"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lang w:eastAsia="bg-BG"/>
        </w:rPr>
        <w:t xml:space="preserve">Няма опит в безопасната употреба на лекарството при пациенти с креатининов клирънс &lt;10 </w:t>
      </w:r>
      <w:r w:rsidRPr="00E84CF5">
        <w:rPr>
          <w:rFonts w:eastAsia="Times New Roman" w:cs="Arial"/>
          <w:color w:val="000000"/>
          <w:szCs w:val="20"/>
          <w:lang w:val="en-US"/>
        </w:rPr>
        <w:t xml:space="preserve">ml/min </w:t>
      </w:r>
      <w:r w:rsidRPr="00E84CF5">
        <w:rPr>
          <w:rFonts w:eastAsia="Times New Roman" w:cs="Arial"/>
          <w:color w:val="000000"/>
          <w:szCs w:val="20"/>
          <w:lang w:eastAsia="bg-BG"/>
        </w:rPr>
        <w:t xml:space="preserve">и пациенти на хемодиализа, следователно валсартан трябва да се прилага с повишено внимание при тях (виж точки 4.2 и 5.2). Не се изисква коригиране на дозата при възрастни пациенти с креатининов клирънс &gt;10 </w:t>
      </w:r>
      <w:r w:rsidRPr="00E84CF5">
        <w:rPr>
          <w:rFonts w:eastAsia="Times New Roman" w:cs="Arial"/>
          <w:color w:val="000000"/>
          <w:szCs w:val="20"/>
          <w:lang w:val="en-US"/>
        </w:rPr>
        <w:t xml:space="preserve">ml/min </w:t>
      </w:r>
      <w:r w:rsidRPr="00E84CF5">
        <w:rPr>
          <w:rFonts w:eastAsia="Times New Roman" w:cs="Arial"/>
          <w:color w:val="000000"/>
          <w:szCs w:val="20"/>
          <w:lang w:eastAsia="bg-BG"/>
        </w:rPr>
        <w:t>(вж. точки 4.2 и 5.2).</w:t>
      </w:r>
    </w:p>
    <w:p w14:paraId="618BE987" w14:textId="77777777"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lang w:eastAsia="bg-BG"/>
        </w:rPr>
        <w:t xml:space="preserve">Едновременно приложение на </w:t>
      </w:r>
      <w:r w:rsidRPr="00E84CF5">
        <w:rPr>
          <w:rFonts w:eastAsia="Times New Roman" w:cs="Arial"/>
          <w:color w:val="000000"/>
          <w:szCs w:val="20"/>
          <w:lang w:val="en-US"/>
        </w:rPr>
        <w:t xml:space="preserve">ARB, </w:t>
      </w:r>
      <w:r w:rsidRPr="00E84CF5">
        <w:rPr>
          <w:rFonts w:eastAsia="Times New Roman" w:cs="Arial"/>
          <w:color w:val="000000"/>
          <w:szCs w:val="20"/>
          <w:lang w:eastAsia="bg-BG"/>
        </w:rPr>
        <w:t xml:space="preserve">включително валсартан или </w:t>
      </w:r>
      <w:r w:rsidRPr="00E84CF5">
        <w:rPr>
          <w:rFonts w:eastAsia="Times New Roman" w:cs="Arial"/>
          <w:color w:val="000000"/>
          <w:szCs w:val="20"/>
          <w:lang w:val="en-US"/>
        </w:rPr>
        <w:t xml:space="preserve">ACEI </w:t>
      </w:r>
      <w:r w:rsidRPr="00E84CF5">
        <w:rPr>
          <w:rFonts w:eastAsia="Times New Roman" w:cs="Arial"/>
          <w:color w:val="000000"/>
          <w:szCs w:val="20"/>
          <w:lang w:eastAsia="bg-BG"/>
        </w:rPr>
        <w:t xml:space="preserve">с алискирен при пациенти с бъбречно увреждане (гломерулна филтрация, </w:t>
      </w:r>
      <w:r w:rsidRPr="00E84CF5">
        <w:rPr>
          <w:rFonts w:eastAsia="Times New Roman" w:cs="Arial"/>
          <w:color w:val="000000"/>
          <w:szCs w:val="20"/>
          <w:lang w:val="en-US"/>
        </w:rPr>
        <w:t>GFR&lt;60 mL/min/1,73 m</w:t>
      </w:r>
      <w:r w:rsidRPr="00E84CF5">
        <w:rPr>
          <w:rFonts w:eastAsia="Times New Roman" w:cs="Arial"/>
          <w:color w:val="000000"/>
          <w:szCs w:val="20"/>
          <w:vertAlign w:val="superscript"/>
          <w:lang w:val="en-US"/>
        </w:rPr>
        <w:t>2</w:t>
      </w:r>
      <w:r w:rsidRPr="00E84CF5">
        <w:rPr>
          <w:rFonts w:eastAsia="Times New Roman" w:cs="Arial"/>
          <w:color w:val="000000"/>
          <w:szCs w:val="20"/>
          <w:lang w:val="en-US"/>
        </w:rPr>
        <w:t xml:space="preserve">) </w:t>
      </w:r>
      <w:r w:rsidRPr="00E84CF5">
        <w:rPr>
          <w:rFonts w:eastAsia="Times New Roman" w:cs="Arial"/>
          <w:color w:val="000000"/>
          <w:szCs w:val="20"/>
          <w:lang w:eastAsia="bg-BG"/>
        </w:rPr>
        <w:t>(вж. точки 4.3 и 4.5).</w:t>
      </w:r>
    </w:p>
    <w:p w14:paraId="4F8ABCE1" w14:textId="77777777" w:rsidR="00E84CF5" w:rsidRPr="00E84CF5" w:rsidRDefault="00E84CF5" w:rsidP="00E84CF5">
      <w:pPr>
        <w:spacing w:line="240" w:lineRule="auto"/>
        <w:rPr>
          <w:rFonts w:eastAsia="Times New Roman" w:cs="Arial"/>
          <w:sz w:val="28"/>
          <w:szCs w:val="24"/>
          <w:lang w:eastAsia="bg-BG"/>
        </w:rPr>
      </w:pPr>
    </w:p>
    <w:p w14:paraId="187CDF9A" w14:textId="77777777"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u w:val="single"/>
          <w:lang w:eastAsia="bg-BG"/>
        </w:rPr>
        <w:t>Чернодробно увреждане</w:t>
      </w:r>
    </w:p>
    <w:p w14:paraId="099AE4F3" w14:textId="77777777"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lang w:eastAsia="bg-BG"/>
        </w:rPr>
        <w:t>При пациенти с леко до средно тежко чернодробно увреждане без холестаза валсартан трябва да се прилага с повишено внимание (вж. точки 4.2 и 5.2).</w:t>
      </w:r>
    </w:p>
    <w:p w14:paraId="0D212FF3" w14:textId="77777777" w:rsidR="00E84CF5" w:rsidRPr="00E84CF5" w:rsidRDefault="00E84CF5" w:rsidP="00E84CF5">
      <w:pPr>
        <w:rPr>
          <w:rFonts w:eastAsia="Times New Roman" w:cs="Arial"/>
          <w:color w:val="000000"/>
          <w:szCs w:val="20"/>
          <w:u w:val="single"/>
          <w:lang w:eastAsia="bg-BG"/>
        </w:rPr>
      </w:pPr>
    </w:p>
    <w:p w14:paraId="0E28BBDE" w14:textId="0D0ED57F" w:rsidR="007A2185" w:rsidRPr="00E84CF5" w:rsidRDefault="00E84CF5" w:rsidP="00E84CF5">
      <w:pPr>
        <w:rPr>
          <w:rFonts w:cs="Arial"/>
          <w:sz w:val="24"/>
        </w:rPr>
      </w:pPr>
      <w:r w:rsidRPr="00E84CF5">
        <w:rPr>
          <w:rFonts w:eastAsia="Times New Roman" w:cs="Arial"/>
          <w:color w:val="000000"/>
          <w:szCs w:val="20"/>
          <w:u w:val="single"/>
          <w:lang w:eastAsia="bg-BG"/>
        </w:rPr>
        <w:t>Пациенти с натриев и/или обемен дефицит</w:t>
      </w:r>
    </w:p>
    <w:p w14:paraId="73A67A00" w14:textId="77777777"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lang w:eastAsia="bg-BG"/>
        </w:rPr>
        <w:t>При пациенти с тежко понижение на натрия и/или намален съдов обем, като пациенти приемащи високи дози диуретици, в редки случаи може да се наблюдава симптоматична хипотензия след започване на лечението с валсартан. Натрият и/или намаленият съдов обем трябва да бъде коригиран преди започване на лечение със Сартег, например чрез намаление на дозата на диуретика.</w:t>
      </w:r>
    </w:p>
    <w:p w14:paraId="104C23E6" w14:textId="77777777" w:rsidR="00E84CF5" w:rsidRPr="00E84CF5" w:rsidRDefault="00E84CF5" w:rsidP="00E84CF5">
      <w:pPr>
        <w:spacing w:line="240" w:lineRule="auto"/>
        <w:rPr>
          <w:rFonts w:eastAsia="Times New Roman" w:cs="Arial"/>
          <w:color w:val="000000"/>
          <w:szCs w:val="20"/>
          <w:u w:val="single"/>
          <w:lang w:eastAsia="bg-BG"/>
        </w:rPr>
      </w:pPr>
    </w:p>
    <w:p w14:paraId="54A35A85" w14:textId="748E4078"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u w:val="single"/>
          <w:lang w:eastAsia="bg-BG"/>
        </w:rPr>
        <w:lastRenderedPageBreak/>
        <w:t>Стеноза на бъбречната артерия</w:t>
      </w:r>
    </w:p>
    <w:p w14:paraId="19D4785C" w14:textId="77777777"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lang w:eastAsia="bg-BG"/>
        </w:rPr>
        <w:t>Безопасната употреба на валсартан не е доказана при пациенти с двустранна стеноза на бъбречната артерия или стеноза на артерията на единствен бъбрек.</w:t>
      </w:r>
    </w:p>
    <w:p w14:paraId="071A2550" w14:textId="77777777"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lang w:eastAsia="bg-BG"/>
        </w:rPr>
        <w:t>Краткотрайната употреба на валсартан при дванадесет пациенти с реновазална хипергензия след едностранна стеноза на бъбречната артерия не води до значителни промени в бъбречната хемодинамика, серумния креатинин, или нивото на уреята. Независимо от това се препоръчва проследяване при пациенти с едностранна стеноза на бъбречната артерия, тъй като при тях другите лекарства, които повлияват ренин-ангиотензин-алдостероновата система, могат да увеличат стойностите на уреята и серумния креатинин.</w:t>
      </w:r>
    </w:p>
    <w:p w14:paraId="406B6F01" w14:textId="77777777" w:rsidR="00E84CF5" w:rsidRPr="00E84CF5" w:rsidRDefault="00E84CF5" w:rsidP="00E84CF5">
      <w:pPr>
        <w:spacing w:line="240" w:lineRule="auto"/>
        <w:rPr>
          <w:rFonts w:eastAsia="Times New Roman" w:cs="Arial"/>
          <w:color w:val="000000"/>
          <w:szCs w:val="20"/>
          <w:u w:val="single"/>
          <w:lang w:eastAsia="bg-BG"/>
        </w:rPr>
      </w:pPr>
    </w:p>
    <w:p w14:paraId="111610E8" w14:textId="441A4F92"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u w:val="single"/>
          <w:lang w:eastAsia="bg-BG"/>
        </w:rPr>
        <w:t>Бъбречна трансплантания</w:t>
      </w:r>
    </w:p>
    <w:p w14:paraId="16935985" w14:textId="77777777"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lang w:eastAsia="bg-BG"/>
        </w:rPr>
        <w:t>Все още липсват данни по отношение на безопасността при употреба на валсартан при пациенти след наскоро проведена бъбречна трансплантация.</w:t>
      </w:r>
    </w:p>
    <w:p w14:paraId="0B2FCEB9" w14:textId="77777777" w:rsidR="00E84CF5" w:rsidRPr="00E84CF5" w:rsidRDefault="00E84CF5" w:rsidP="00E84CF5">
      <w:pPr>
        <w:spacing w:line="240" w:lineRule="auto"/>
        <w:rPr>
          <w:rFonts w:eastAsia="Times New Roman" w:cs="Arial"/>
          <w:color w:val="000000"/>
          <w:szCs w:val="20"/>
          <w:u w:val="single"/>
          <w:lang w:eastAsia="bg-BG"/>
        </w:rPr>
      </w:pPr>
    </w:p>
    <w:p w14:paraId="2DDDF080" w14:textId="7E512CC7"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u w:val="single"/>
          <w:lang w:eastAsia="bg-BG"/>
        </w:rPr>
        <w:t>Първичен хипералдостеронизъм</w:t>
      </w:r>
    </w:p>
    <w:p w14:paraId="36602648" w14:textId="77777777"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lang w:eastAsia="bg-BG"/>
        </w:rPr>
        <w:t>Валсартан не трябва да се прилага при пациенти с първичен хипералдостеронизъм, тъй като при тях ренин-ангиотензин-алдостероновата система не е активна.</w:t>
      </w:r>
    </w:p>
    <w:p w14:paraId="6727D632" w14:textId="77777777" w:rsidR="00E84CF5" w:rsidRPr="00E84CF5" w:rsidRDefault="00E84CF5" w:rsidP="00E84CF5">
      <w:pPr>
        <w:spacing w:line="240" w:lineRule="auto"/>
        <w:rPr>
          <w:rFonts w:eastAsia="Times New Roman" w:cs="Arial"/>
          <w:color w:val="000000"/>
          <w:szCs w:val="20"/>
          <w:u w:val="single"/>
          <w:lang w:eastAsia="bg-BG"/>
        </w:rPr>
      </w:pPr>
    </w:p>
    <w:p w14:paraId="21A97272" w14:textId="2952C3A2"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u w:val="single"/>
          <w:lang w:eastAsia="bg-BG"/>
        </w:rPr>
        <w:t>Аортна и митрална стеноза. обструктивна хипертрофична кардиомиопатия</w:t>
      </w:r>
    </w:p>
    <w:p w14:paraId="62C7E2C0" w14:textId="77777777" w:rsidR="00E84CF5" w:rsidRPr="00E84CF5" w:rsidRDefault="00E84CF5" w:rsidP="00E84CF5">
      <w:pPr>
        <w:spacing w:line="240" w:lineRule="auto"/>
        <w:rPr>
          <w:rFonts w:eastAsia="Times New Roman" w:cs="Arial"/>
          <w:color w:val="000000"/>
          <w:szCs w:val="20"/>
          <w:lang w:eastAsia="bg-BG"/>
        </w:rPr>
      </w:pPr>
      <w:r w:rsidRPr="00E84CF5">
        <w:rPr>
          <w:rFonts w:eastAsia="Times New Roman" w:cs="Arial"/>
          <w:color w:val="000000"/>
          <w:szCs w:val="20"/>
          <w:lang w:eastAsia="bg-BG"/>
        </w:rPr>
        <w:t xml:space="preserve">Както при всички други вазодилататори, е необходимо спазване на специални предпазни мерки при пациенти с аортна и митрална стеноза, или обструктивна хипертрофична кардиомиопатия (ОХКМ). </w:t>
      </w:r>
    </w:p>
    <w:p w14:paraId="7C985487" w14:textId="229A264A"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u w:val="single"/>
          <w:lang w:eastAsia="bg-BG"/>
        </w:rPr>
        <w:t>Бременност</w:t>
      </w:r>
    </w:p>
    <w:p w14:paraId="7AEFCC6E" w14:textId="77777777"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lang w:eastAsia="bg-BG"/>
        </w:rPr>
        <w:t>Не трябва да се започва лечение с инхибитори на ангиотензин II рецепторите по време на бременността. В случаите когато продължаването на лечението с инхибитори на ангиотензин II рецепторите се счита за крайно необходимо, лечението на пациентки, които планират бременност, трябва да бъде заместено с алтернативно антихипертензивно лечение с продукти, които имат утвърден профил на безопасност за употреба по време на бременността. Когато бременността е диагностицирана, лечението с ангиотензин II антагонисти трябва да се прекрати незабавно, и ако се налага, трябва да започне алтернативно лечение (вж. точки 4.3 и 4.6).</w:t>
      </w:r>
    </w:p>
    <w:p w14:paraId="5350C95A" w14:textId="77777777" w:rsidR="00E84CF5" w:rsidRPr="00E84CF5" w:rsidRDefault="00E84CF5" w:rsidP="00E84CF5">
      <w:pPr>
        <w:spacing w:line="240" w:lineRule="auto"/>
        <w:rPr>
          <w:rFonts w:eastAsia="Times New Roman" w:cs="Arial"/>
          <w:color w:val="000000"/>
          <w:szCs w:val="20"/>
          <w:u w:val="single"/>
          <w:lang w:eastAsia="bg-BG"/>
        </w:rPr>
      </w:pPr>
    </w:p>
    <w:p w14:paraId="5C828EDF" w14:textId="7DFC4E32"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u w:val="single"/>
          <w:lang w:eastAsia="bg-BG"/>
        </w:rPr>
        <w:t>Пресен миокарден инфаркт</w:t>
      </w:r>
    </w:p>
    <w:p w14:paraId="17AFE50B" w14:textId="77777777"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lang w:eastAsia="bg-BG"/>
        </w:rPr>
        <w:t>Комбинацията на каптоприл и валсартан не показва допълнителна клинична полза; напротив, рискът от нежелани реакции се повишава в сравнение със съответните терапии (вж. точки 4.2 и 5.1). Поради това не се препоръчва комбинацията на валсартан и АСЕ инхибитор.</w:t>
      </w:r>
    </w:p>
    <w:p w14:paraId="51F29D47" w14:textId="77777777"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lang w:eastAsia="bg-BG"/>
        </w:rPr>
        <w:t>Необходимо е да се обърне особено внимание при започване на терапия при пациенти след миокарден инфаркт. Оценката на пациентите след прекаран миокарден инфаркт винаги трябва да включва оценка на бъбречната функция (вж. т. 4.2).</w:t>
      </w:r>
    </w:p>
    <w:p w14:paraId="6388952B" w14:textId="77777777"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lang w:eastAsia="bg-BG"/>
        </w:rPr>
        <w:t>Употребата на валсартан при пациенти след миокарден инфаркт често води до понижаване на артериалното налягане, но обикновено не се налага преустановяване на лечението поради продължаваща симптоматична хипотония, ако се спазват указанията за дозиране (вж. т. 4.2).</w:t>
      </w:r>
    </w:p>
    <w:p w14:paraId="47400493" w14:textId="77777777" w:rsidR="00E84CF5" w:rsidRPr="00E84CF5" w:rsidRDefault="00E84CF5" w:rsidP="00E84CF5">
      <w:pPr>
        <w:spacing w:line="240" w:lineRule="auto"/>
        <w:rPr>
          <w:rFonts w:eastAsia="Times New Roman" w:cs="Arial"/>
          <w:color w:val="000000"/>
          <w:szCs w:val="20"/>
          <w:u w:val="single"/>
          <w:lang w:eastAsia="bg-BG"/>
        </w:rPr>
      </w:pPr>
    </w:p>
    <w:p w14:paraId="09CF6D70" w14:textId="2C189CB1" w:rsidR="00E84CF5"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u w:val="single"/>
          <w:lang w:eastAsia="bg-BG"/>
        </w:rPr>
        <w:t>Сърдечна недостатъчност</w:t>
      </w:r>
    </w:p>
    <w:p w14:paraId="24E3E82F" w14:textId="736DD5E6" w:rsidR="0091385D" w:rsidRPr="00E84CF5" w:rsidRDefault="00E84CF5" w:rsidP="00E84CF5">
      <w:pPr>
        <w:spacing w:line="240" w:lineRule="auto"/>
        <w:rPr>
          <w:rFonts w:eastAsia="Times New Roman" w:cs="Arial"/>
          <w:sz w:val="28"/>
          <w:szCs w:val="24"/>
          <w:lang w:eastAsia="bg-BG"/>
        </w:rPr>
      </w:pPr>
      <w:r w:rsidRPr="00E84CF5">
        <w:rPr>
          <w:rFonts w:eastAsia="Times New Roman" w:cs="Arial"/>
          <w:color w:val="000000"/>
          <w:szCs w:val="20"/>
          <w:lang w:eastAsia="bg-BG"/>
        </w:rPr>
        <w:t>Рискът от нежелани лекарствени реакции, особено хипотония, хиперкалиемия и намаляване на бъбречната функция (включително остра бъбречна недостатъчност), може да се повиши, когато Сартег се използва в комбинация с АСЕ инхибитор. При пациенти със сърдечна недостатъчност тройната комбинация от АСЕ инхибитор, бета-</w:t>
      </w:r>
      <w:r w:rsidRPr="00E84CF5">
        <w:rPr>
          <w:rFonts w:eastAsia="Times New Roman" w:cs="Arial"/>
          <w:color w:val="000000"/>
          <w:szCs w:val="20"/>
          <w:lang w:eastAsia="bg-BG"/>
        </w:rPr>
        <w:lastRenderedPageBreak/>
        <w:t>блокер и валсартан не показва клинична полза (вж. т. 5.1). Тази комбинация явно повишава риска от нежелани реакции и следователно не се препоръчва. Тройна комбинация от АСЕ инхибитор, минералкортикоиден рецепторен антагонист и валсартан</w:t>
      </w:r>
      <w:r w:rsidRPr="00E84CF5">
        <w:rPr>
          <w:rFonts w:eastAsia="Times New Roman" w:cs="Arial"/>
          <w:sz w:val="28"/>
          <w:szCs w:val="24"/>
          <w:lang w:eastAsia="bg-BG"/>
        </w:rPr>
        <w:t xml:space="preserve"> </w:t>
      </w:r>
      <w:r w:rsidRPr="00E84CF5">
        <w:rPr>
          <w:rFonts w:eastAsia="Times New Roman" w:cs="Arial"/>
          <w:color w:val="000000"/>
          <w:szCs w:val="20"/>
          <w:lang w:eastAsia="bg-BG"/>
        </w:rPr>
        <w:t>също не се препоръчва. Тези комбинации трябва да се използват под наблюдението на специалист и при често внимателно мониториране на бъбречната функция, електролитите и кръвното налягане.</w:t>
      </w:r>
    </w:p>
    <w:p w14:paraId="240DA4F0" w14:textId="1FF345DE" w:rsidR="00E84CF5" w:rsidRDefault="00E84CF5" w:rsidP="0091385D"/>
    <w:p w14:paraId="45689749" w14:textId="77777777" w:rsidR="003E1D81" w:rsidRPr="003E1D81" w:rsidRDefault="003E1D81" w:rsidP="003E1D81">
      <w:pPr>
        <w:spacing w:line="240" w:lineRule="auto"/>
        <w:rPr>
          <w:rFonts w:eastAsia="Times New Roman" w:cs="Arial"/>
          <w:lang w:eastAsia="bg-BG"/>
        </w:rPr>
      </w:pPr>
      <w:r w:rsidRPr="003E1D81">
        <w:rPr>
          <w:rFonts w:ascii="Times New Roman" w:eastAsia="Times New Roman" w:hAnsi="Times New Roman" w:cs="Times New Roman"/>
          <w:color w:val="000000"/>
          <w:sz w:val="20"/>
          <w:szCs w:val="20"/>
          <w:lang w:eastAsia="bg-BG"/>
        </w:rPr>
        <w:t>Н</w:t>
      </w:r>
      <w:r w:rsidRPr="003E1D81">
        <w:rPr>
          <w:rFonts w:eastAsia="Times New Roman" w:cs="Arial"/>
          <w:color w:val="000000"/>
          <w:lang w:eastAsia="bg-BG"/>
        </w:rPr>
        <w:t>еобходимо е да се обърне особено внимание при започване на терапия при пациенти със сърдечна недостатъчност. Оценката на пациентите със сърдечна недостатъчност винаги трябва да включва оценка на бъбречната функция (вж. т. 4.2).</w:t>
      </w:r>
    </w:p>
    <w:p w14:paraId="58809D31" w14:textId="77777777" w:rsidR="003E1D81" w:rsidRPr="003E1D81" w:rsidRDefault="003E1D81" w:rsidP="003E1D81">
      <w:pPr>
        <w:spacing w:line="240" w:lineRule="auto"/>
        <w:rPr>
          <w:rFonts w:eastAsia="Times New Roman" w:cs="Arial"/>
          <w:lang w:eastAsia="bg-BG"/>
        </w:rPr>
      </w:pPr>
      <w:r w:rsidRPr="003E1D81">
        <w:rPr>
          <w:rFonts w:eastAsia="Times New Roman" w:cs="Arial"/>
          <w:color w:val="000000"/>
          <w:lang w:eastAsia="bg-BG"/>
        </w:rPr>
        <w:t>Употребата на валсартан при пациенти със сърдечна недостатъчност често води до известно понижаване на артериалното налягане, но обикновено не се налага преустановяване на лечението поради продължаваща симптоматична хипотония, ако се спазват инструкциите за дозиране (вж. т. 4.2).</w:t>
      </w:r>
    </w:p>
    <w:p w14:paraId="591B3A30" w14:textId="2C481838" w:rsidR="003E1D81" w:rsidRPr="003E1D81" w:rsidRDefault="003E1D81" w:rsidP="003E1D81">
      <w:pPr>
        <w:spacing w:line="240" w:lineRule="auto"/>
        <w:rPr>
          <w:rFonts w:eastAsia="Times New Roman" w:cs="Arial"/>
          <w:lang w:eastAsia="bg-BG"/>
        </w:rPr>
      </w:pPr>
      <w:r w:rsidRPr="003E1D81">
        <w:rPr>
          <w:rFonts w:eastAsia="Times New Roman" w:cs="Arial"/>
          <w:color w:val="000000"/>
          <w:lang w:eastAsia="bg-BG"/>
        </w:rPr>
        <w:t>При пациенти, чиято бъбречна функция би могла да зависи от активността на системата, ренин- ангиотензин-алдостерон (напр. пациенти с тежка застойна сърдечна недостатъчност), лечението с АСЕ инхибитори се свързва с олигурия и/или прогресираща азотемия и в редки случаи с остра бъбречна недостатъчност и/или смърт. Тъй като валсартан е ангиотензин II-рецепторен блокер, не може да се изключи възможна връзка на употребата на Сартег с нарушаване на бъбречната функция. АСЕ инхибитори и ангиотензин II-рецепторни блокери не трябва да се използват едновременно при пациенти с диабетна нефропатия.</w:t>
      </w:r>
    </w:p>
    <w:p w14:paraId="209AE570" w14:textId="77777777" w:rsidR="003E1D81" w:rsidRPr="003E1D81" w:rsidRDefault="003E1D81" w:rsidP="003E1D81">
      <w:pPr>
        <w:spacing w:line="240" w:lineRule="auto"/>
        <w:rPr>
          <w:rFonts w:eastAsia="Times New Roman" w:cs="Arial"/>
          <w:color w:val="000000"/>
          <w:u w:val="single"/>
          <w:lang w:eastAsia="bg-BG"/>
        </w:rPr>
      </w:pPr>
    </w:p>
    <w:p w14:paraId="04943808" w14:textId="10AEE52F" w:rsidR="003E1D81" w:rsidRPr="003E1D81" w:rsidRDefault="003E1D81" w:rsidP="003E1D81">
      <w:pPr>
        <w:spacing w:line="240" w:lineRule="auto"/>
        <w:rPr>
          <w:rFonts w:eastAsia="Times New Roman" w:cs="Arial"/>
          <w:lang w:eastAsia="bg-BG"/>
        </w:rPr>
      </w:pPr>
      <w:r w:rsidRPr="003E1D81">
        <w:rPr>
          <w:rFonts w:eastAsia="Times New Roman" w:cs="Arial"/>
          <w:color w:val="000000"/>
          <w:u w:val="single"/>
          <w:lang w:eastAsia="bg-BG"/>
        </w:rPr>
        <w:t>Анамнеза за ангионевротичен оток</w:t>
      </w:r>
    </w:p>
    <w:p w14:paraId="4536304C" w14:textId="77777777" w:rsidR="003E1D81" w:rsidRPr="003E1D81" w:rsidRDefault="003E1D81" w:rsidP="003E1D81">
      <w:pPr>
        <w:spacing w:line="240" w:lineRule="auto"/>
        <w:rPr>
          <w:rFonts w:eastAsia="Times New Roman" w:cs="Arial"/>
          <w:lang w:eastAsia="bg-BG"/>
        </w:rPr>
      </w:pPr>
      <w:r w:rsidRPr="003E1D81">
        <w:rPr>
          <w:rFonts w:eastAsia="Times New Roman" w:cs="Arial"/>
          <w:color w:val="000000"/>
          <w:lang w:eastAsia="bg-BG"/>
        </w:rPr>
        <w:t>Има съобщения за ангионевротичен оток, в т.ч. подуване на ларинкса и глотиса, което причинява блокиране на въздухоносните пътища и/или подуване на лицето, устните, фаринкса и/или на езика при пациенти, лекувани с валсартан; някои от тези пациенти преди това са получавали ангионевротичен оток при прием на други лекарства (напр. АСЕ инхибитори).</w:t>
      </w:r>
    </w:p>
    <w:p w14:paraId="4AE79F96" w14:textId="77777777" w:rsidR="003E1D81" w:rsidRPr="003E1D81" w:rsidRDefault="003E1D81" w:rsidP="003E1D81">
      <w:pPr>
        <w:spacing w:line="240" w:lineRule="auto"/>
        <w:rPr>
          <w:rFonts w:eastAsia="Times New Roman" w:cs="Arial"/>
          <w:lang w:eastAsia="bg-BG"/>
        </w:rPr>
      </w:pPr>
      <w:r w:rsidRPr="003E1D81">
        <w:rPr>
          <w:rFonts w:eastAsia="Times New Roman" w:cs="Arial"/>
          <w:color w:val="000000"/>
          <w:lang w:eastAsia="bg-BG"/>
        </w:rPr>
        <w:t>Приемът на Сартег трябва незабавно да бъде преустановен при пациенти, които получат ангионевротичен оток и приложението му не трябва да бъде подновявано (вж. т. 4.8).</w:t>
      </w:r>
    </w:p>
    <w:p w14:paraId="12137CFE" w14:textId="77777777" w:rsidR="003E1D81" w:rsidRPr="003E1D81" w:rsidRDefault="003E1D81" w:rsidP="003E1D81">
      <w:pPr>
        <w:spacing w:line="240" w:lineRule="auto"/>
        <w:rPr>
          <w:rFonts w:eastAsia="Times New Roman" w:cs="Arial"/>
          <w:color w:val="000000"/>
          <w:u w:val="single"/>
          <w:lang w:eastAsia="bg-BG"/>
        </w:rPr>
      </w:pPr>
    </w:p>
    <w:p w14:paraId="32E21E60" w14:textId="7924C12B" w:rsidR="003E1D81" w:rsidRPr="003E1D81" w:rsidRDefault="003E1D81" w:rsidP="003E1D81">
      <w:pPr>
        <w:spacing w:line="240" w:lineRule="auto"/>
        <w:rPr>
          <w:rFonts w:eastAsia="Times New Roman" w:cs="Arial"/>
          <w:lang w:eastAsia="bg-BG"/>
        </w:rPr>
      </w:pPr>
      <w:r w:rsidRPr="003E1D81">
        <w:rPr>
          <w:rFonts w:eastAsia="Times New Roman" w:cs="Arial"/>
          <w:color w:val="000000"/>
          <w:u w:val="single"/>
          <w:lang w:eastAsia="bg-BG"/>
        </w:rPr>
        <w:t xml:space="preserve">Двойна блокада на системата ренин-ангиотензин-алдостерон </w:t>
      </w:r>
      <w:r w:rsidRPr="003E1D81">
        <w:rPr>
          <w:rFonts w:eastAsia="Times New Roman" w:cs="Arial"/>
          <w:color w:val="000000"/>
          <w:u w:val="single"/>
          <w:lang w:val="en-US"/>
        </w:rPr>
        <w:t>(RAAS)</w:t>
      </w:r>
    </w:p>
    <w:p w14:paraId="27B41D65" w14:textId="689E5D78" w:rsidR="003E1D81" w:rsidRPr="003E1D81" w:rsidRDefault="003E1D81" w:rsidP="003E1D81">
      <w:pPr>
        <w:spacing w:line="240" w:lineRule="auto"/>
        <w:rPr>
          <w:rFonts w:eastAsia="Times New Roman" w:cs="Arial"/>
          <w:lang w:eastAsia="bg-BG"/>
        </w:rPr>
      </w:pPr>
      <w:r w:rsidRPr="003E1D81">
        <w:rPr>
          <w:rFonts w:eastAsia="Times New Roman" w:cs="Arial"/>
          <w:color w:val="000000"/>
          <w:lang w:eastAsia="bg-BG"/>
        </w:rPr>
        <w:t>Има данни, че едновременната употреба на АСЕ инхибитори, ангиотензин II -рецепторни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II -рецепторни блокери или алискирен (вж. точки 4.5 и 5.1).</w:t>
      </w:r>
    </w:p>
    <w:p w14:paraId="43D88156" w14:textId="77777777" w:rsidR="003E1D81" w:rsidRPr="003E1D81" w:rsidRDefault="003E1D81" w:rsidP="003E1D81">
      <w:pPr>
        <w:spacing w:line="240" w:lineRule="auto"/>
        <w:rPr>
          <w:rFonts w:eastAsia="Times New Roman" w:cs="Arial"/>
          <w:lang w:eastAsia="bg-BG"/>
        </w:rPr>
      </w:pPr>
      <w:r w:rsidRPr="003E1D81">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63E68B52" w14:textId="77777777" w:rsidR="003E1D81" w:rsidRPr="003E1D81" w:rsidRDefault="003E1D81" w:rsidP="003E1D81">
      <w:pPr>
        <w:spacing w:line="240" w:lineRule="auto"/>
        <w:rPr>
          <w:rFonts w:eastAsia="Times New Roman" w:cs="Arial"/>
          <w:lang w:eastAsia="bg-BG"/>
        </w:rPr>
      </w:pPr>
      <w:r w:rsidRPr="003E1D81">
        <w:rPr>
          <w:rFonts w:eastAsia="Times New Roman" w:cs="Arial"/>
          <w:color w:val="000000"/>
          <w:lang w:eastAsia="bg-BG"/>
        </w:rPr>
        <w:t>АСЕ инхибитори и ангиотензин П-рецепторни блокери не трябва да се използват едновременно при пациенти с диабетна нефропатия.</w:t>
      </w:r>
    </w:p>
    <w:p w14:paraId="58275CEC" w14:textId="77777777" w:rsidR="003E1D81" w:rsidRPr="003E1D81" w:rsidRDefault="003E1D81" w:rsidP="003E1D81">
      <w:pPr>
        <w:spacing w:line="240" w:lineRule="auto"/>
        <w:rPr>
          <w:rFonts w:eastAsia="Times New Roman" w:cs="Arial"/>
          <w:i/>
          <w:iCs/>
          <w:color w:val="000000"/>
          <w:u w:val="single"/>
          <w:lang w:eastAsia="bg-BG"/>
        </w:rPr>
      </w:pPr>
    </w:p>
    <w:p w14:paraId="1E7BA2C8" w14:textId="1C8FEA97" w:rsidR="003E1D81" w:rsidRPr="003E1D81" w:rsidRDefault="003E1D81" w:rsidP="003E1D81">
      <w:pPr>
        <w:spacing w:line="240" w:lineRule="auto"/>
        <w:rPr>
          <w:rFonts w:eastAsia="Times New Roman" w:cs="Arial"/>
          <w:lang w:eastAsia="bg-BG"/>
        </w:rPr>
      </w:pPr>
      <w:r w:rsidRPr="003E1D81">
        <w:rPr>
          <w:rFonts w:eastAsia="Times New Roman" w:cs="Arial"/>
          <w:i/>
          <w:iCs/>
          <w:color w:val="000000"/>
          <w:u w:val="single"/>
          <w:lang w:eastAsia="bg-BG"/>
        </w:rPr>
        <w:t>Педиатрична популация</w:t>
      </w:r>
    </w:p>
    <w:p w14:paraId="4C0951B2" w14:textId="77777777" w:rsidR="003E1D81" w:rsidRPr="003E1D81" w:rsidRDefault="003E1D81" w:rsidP="003E1D81">
      <w:pPr>
        <w:spacing w:line="240" w:lineRule="auto"/>
        <w:rPr>
          <w:rFonts w:eastAsia="Times New Roman" w:cs="Arial"/>
          <w:color w:val="000000"/>
          <w:u w:val="single"/>
          <w:lang w:eastAsia="bg-BG"/>
        </w:rPr>
      </w:pPr>
    </w:p>
    <w:p w14:paraId="08208BE8" w14:textId="4DEE5A41" w:rsidR="003E1D81" w:rsidRPr="003E1D81" w:rsidRDefault="003E1D81" w:rsidP="003E1D81">
      <w:pPr>
        <w:spacing w:line="240" w:lineRule="auto"/>
        <w:rPr>
          <w:rFonts w:eastAsia="Times New Roman" w:cs="Arial"/>
          <w:lang w:eastAsia="bg-BG"/>
        </w:rPr>
      </w:pPr>
      <w:r w:rsidRPr="003E1D81">
        <w:rPr>
          <w:rFonts w:eastAsia="Times New Roman" w:cs="Arial"/>
          <w:color w:val="000000"/>
          <w:u w:val="single"/>
          <w:lang w:eastAsia="bg-BG"/>
        </w:rPr>
        <w:t>Бъбречно увреждане</w:t>
      </w:r>
    </w:p>
    <w:p w14:paraId="63A3EE10" w14:textId="77777777" w:rsidR="003E1D81" w:rsidRPr="003E1D81" w:rsidRDefault="003E1D81" w:rsidP="003E1D81">
      <w:pPr>
        <w:spacing w:line="240" w:lineRule="auto"/>
        <w:rPr>
          <w:rFonts w:eastAsia="Times New Roman" w:cs="Arial"/>
          <w:lang w:eastAsia="bg-BG"/>
        </w:rPr>
      </w:pPr>
      <w:r w:rsidRPr="003E1D81">
        <w:rPr>
          <w:rFonts w:eastAsia="Times New Roman" w:cs="Arial"/>
          <w:color w:val="000000"/>
          <w:lang w:eastAsia="bg-BG"/>
        </w:rPr>
        <w:t xml:space="preserve">Употребата при педиатрични пациенти с креатининов клирънс &lt;30 </w:t>
      </w:r>
      <w:r w:rsidRPr="003E1D81">
        <w:rPr>
          <w:rFonts w:eastAsia="Times New Roman" w:cs="Arial"/>
          <w:color w:val="000000"/>
          <w:lang w:val="en-US"/>
        </w:rPr>
        <w:t xml:space="preserve">ml/min </w:t>
      </w:r>
      <w:r w:rsidRPr="003E1D81">
        <w:rPr>
          <w:rFonts w:eastAsia="Times New Roman" w:cs="Arial"/>
          <w:color w:val="000000"/>
          <w:lang w:eastAsia="bg-BG"/>
        </w:rPr>
        <w:t xml:space="preserve">и педиатрични пациенти, подложени на хемодиализа, не е проучена и поради тази причина не се препоръчва прилагането на валсартан при такива пациенти. Не се изисква коригиране на дозата при педиатрични пациенти с креатининов клирънс &gt;30 </w:t>
      </w:r>
      <w:r w:rsidRPr="003E1D81">
        <w:rPr>
          <w:rFonts w:eastAsia="Times New Roman" w:cs="Arial"/>
          <w:color w:val="000000"/>
          <w:lang w:val="en-US"/>
        </w:rPr>
        <w:t xml:space="preserve">ml/min </w:t>
      </w:r>
      <w:r w:rsidRPr="003E1D81">
        <w:rPr>
          <w:rFonts w:eastAsia="Times New Roman" w:cs="Arial"/>
          <w:color w:val="000000"/>
          <w:lang w:eastAsia="bg-BG"/>
        </w:rPr>
        <w:t xml:space="preserve">(вж. точки 4.2 и 5.2). </w:t>
      </w:r>
      <w:r w:rsidRPr="003E1D81">
        <w:rPr>
          <w:rFonts w:eastAsia="Times New Roman" w:cs="Arial"/>
          <w:color w:val="000000"/>
          <w:lang w:eastAsia="bg-BG"/>
        </w:rPr>
        <w:lastRenderedPageBreak/>
        <w:t>Бъбречната функция и нивата на серумния калий трябва да бъдат внимателно проследявани по време на лечението с валсартан, особено когато валсартан се прилага при наличие на други състояния (висока температура, дехидратация), които могат да предизвикат нарушение на бъбречната функция.</w:t>
      </w:r>
    </w:p>
    <w:p w14:paraId="22F0D127" w14:textId="77777777" w:rsidR="003E1D81" w:rsidRPr="003E1D81" w:rsidRDefault="003E1D81" w:rsidP="003E1D81">
      <w:pPr>
        <w:spacing w:line="240" w:lineRule="auto"/>
        <w:rPr>
          <w:rFonts w:eastAsia="Times New Roman" w:cs="Arial"/>
          <w:lang w:eastAsia="bg-BG"/>
        </w:rPr>
      </w:pPr>
      <w:r w:rsidRPr="003E1D81">
        <w:rPr>
          <w:rFonts w:eastAsia="Times New Roman" w:cs="Arial"/>
          <w:color w:val="000000"/>
          <w:lang w:eastAsia="bg-BG"/>
        </w:rPr>
        <w:t xml:space="preserve">Едновременното приложение на </w:t>
      </w:r>
      <w:r w:rsidRPr="003E1D81">
        <w:rPr>
          <w:rFonts w:eastAsia="Times New Roman" w:cs="Arial"/>
          <w:color w:val="000000"/>
          <w:lang w:val="en-US"/>
        </w:rPr>
        <w:t xml:space="preserve">ARB, </w:t>
      </w:r>
      <w:r w:rsidRPr="003E1D81">
        <w:rPr>
          <w:rFonts w:eastAsia="Times New Roman" w:cs="Arial"/>
          <w:color w:val="000000"/>
          <w:lang w:eastAsia="bg-BG"/>
        </w:rPr>
        <w:t xml:space="preserve">включително валсартан или </w:t>
      </w:r>
      <w:r w:rsidRPr="003E1D81">
        <w:rPr>
          <w:rFonts w:eastAsia="Times New Roman" w:cs="Arial"/>
          <w:color w:val="000000"/>
          <w:lang w:val="en-US"/>
        </w:rPr>
        <w:t xml:space="preserve">ACEI </w:t>
      </w:r>
      <w:r w:rsidRPr="003E1D81">
        <w:rPr>
          <w:rFonts w:eastAsia="Times New Roman" w:cs="Arial"/>
          <w:color w:val="000000"/>
          <w:lang w:eastAsia="bg-BG"/>
        </w:rPr>
        <w:t xml:space="preserve">с алискирен е противопоказано при пациенти с бъбречно увреждане (гломерулна филтрация, </w:t>
      </w:r>
      <w:r w:rsidRPr="003E1D81">
        <w:rPr>
          <w:rFonts w:eastAsia="Times New Roman" w:cs="Arial"/>
          <w:color w:val="000000"/>
          <w:lang w:val="en-US"/>
        </w:rPr>
        <w:t xml:space="preserve">GFR </w:t>
      </w:r>
      <w:r w:rsidRPr="003E1D81">
        <w:rPr>
          <w:rFonts w:eastAsia="Times New Roman" w:cs="Arial"/>
          <w:color w:val="000000"/>
          <w:lang w:eastAsia="bg-BG"/>
        </w:rPr>
        <w:t xml:space="preserve">&lt;60 </w:t>
      </w:r>
      <w:r w:rsidRPr="003E1D81">
        <w:rPr>
          <w:rFonts w:eastAsia="Times New Roman" w:cs="Arial"/>
          <w:color w:val="000000"/>
          <w:lang w:val="en-US"/>
        </w:rPr>
        <w:t>mL/min/1,73 m</w:t>
      </w:r>
      <w:r w:rsidRPr="003E1D81">
        <w:rPr>
          <w:rFonts w:eastAsia="Times New Roman" w:cs="Arial"/>
          <w:color w:val="000000"/>
          <w:vertAlign w:val="superscript"/>
          <w:lang w:val="en-US"/>
        </w:rPr>
        <w:t>2</w:t>
      </w:r>
      <w:r w:rsidRPr="003E1D81">
        <w:rPr>
          <w:rFonts w:eastAsia="Times New Roman" w:cs="Arial"/>
          <w:color w:val="000000"/>
          <w:lang w:val="en-US"/>
        </w:rPr>
        <w:t xml:space="preserve">) </w:t>
      </w:r>
      <w:r w:rsidRPr="003E1D81">
        <w:rPr>
          <w:rFonts w:eastAsia="Times New Roman" w:cs="Arial"/>
          <w:color w:val="000000"/>
          <w:lang w:eastAsia="bg-BG"/>
        </w:rPr>
        <w:t>(вж. точки 4.3 и 4.5).</w:t>
      </w:r>
    </w:p>
    <w:p w14:paraId="2DB683E3" w14:textId="77777777" w:rsidR="003E1D81" w:rsidRPr="003E1D81" w:rsidRDefault="003E1D81" w:rsidP="003E1D81">
      <w:pPr>
        <w:spacing w:line="240" w:lineRule="auto"/>
        <w:rPr>
          <w:rFonts w:eastAsia="Times New Roman" w:cs="Arial"/>
          <w:color w:val="000000"/>
          <w:u w:val="single"/>
          <w:lang w:eastAsia="bg-BG"/>
        </w:rPr>
      </w:pPr>
    </w:p>
    <w:p w14:paraId="0B9489E1" w14:textId="0F6EEE3E" w:rsidR="003E1D81" w:rsidRPr="003E1D81" w:rsidRDefault="003E1D81" w:rsidP="003E1D81">
      <w:pPr>
        <w:spacing w:line="240" w:lineRule="auto"/>
        <w:rPr>
          <w:rFonts w:eastAsia="Times New Roman" w:cs="Arial"/>
          <w:lang w:eastAsia="bg-BG"/>
        </w:rPr>
      </w:pPr>
      <w:r w:rsidRPr="003E1D81">
        <w:rPr>
          <w:rFonts w:eastAsia="Times New Roman" w:cs="Arial"/>
          <w:color w:val="000000"/>
          <w:u w:val="single"/>
          <w:lang w:eastAsia="bg-BG"/>
        </w:rPr>
        <w:t>Чернодробно увреждане</w:t>
      </w:r>
    </w:p>
    <w:p w14:paraId="5C7A45DE" w14:textId="77777777" w:rsidR="003E1D81" w:rsidRPr="003E1D81" w:rsidRDefault="003E1D81" w:rsidP="003E1D81">
      <w:pPr>
        <w:spacing w:line="240" w:lineRule="auto"/>
        <w:rPr>
          <w:rFonts w:eastAsia="Times New Roman" w:cs="Arial"/>
          <w:lang w:eastAsia="bg-BG"/>
        </w:rPr>
      </w:pPr>
      <w:r w:rsidRPr="003E1D81">
        <w:rPr>
          <w:rFonts w:eastAsia="Times New Roman" w:cs="Arial"/>
          <w:color w:val="000000"/>
          <w:lang w:eastAsia="bg-BG"/>
        </w:rPr>
        <w:t xml:space="preserve">Какго при възрастните пациенти, Сартег е противопоказан при педиатрични пациенти с тежко чернодробно увреждане, жлъчна цироза и пациенти с холестаза (вж. точки 43 и 5.2). Има страничен клиничен опит с употребата на валсартан при педиатрични пациенти с леко до умерено чернодробно увреждане. При такива пациенти дозата на валсартан не трябва да превишава 80 </w:t>
      </w:r>
      <w:r w:rsidRPr="003E1D81">
        <w:rPr>
          <w:rFonts w:eastAsia="Times New Roman" w:cs="Arial"/>
          <w:color w:val="000000"/>
          <w:lang w:val="en-US"/>
        </w:rPr>
        <w:t>mg.</w:t>
      </w:r>
    </w:p>
    <w:p w14:paraId="24B6AF47" w14:textId="77777777" w:rsidR="003E1D81" w:rsidRPr="003E1D81" w:rsidRDefault="003E1D81" w:rsidP="003E1D81">
      <w:pPr>
        <w:rPr>
          <w:rFonts w:eastAsia="Times New Roman" w:cs="Arial"/>
          <w:color w:val="000000"/>
          <w:u w:val="single"/>
          <w:lang w:eastAsia="bg-BG"/>
        </w:rPr>
      </w:pPr>
    </w:p>
    <w:p w14:paraId="52CC254C" w14:textId="30E38D76" w:rsidR="003E1D81" w:rsidRPr="003E1D81" w:rsidRDefault="003E1D81" w:rsidP="003E1D81">
      <w:pPr>
        <w:rPr>
          <w:rFonts w:cs="Arial"/>
        </w:rPr>
      </w:pPr>
      <w:r w:rsidRPr="003E1D81">
        <w:rPr>
          <w:rFonts w:eastAsia="Times New Roman" w:cs="Arial"/>
          <w:color w:val="000000"/>
          <w:u w:val="single"/>
          <w:lang w:eastAsia="bg-BG"/>
        </w:rPr>
        <w:t>Сартег съдържа лактоза монохидрат</w:t>
      </w:r>
    </w:p>
    <w:p w14:paraId="1FABA028" w14:textId="77777777" w:rsidR="003E1D81" w:rsidRPr="003E1D81" w:rsidRDefault="003E1D81" w:rsidP="003E1D81">
      <w:pPr>
        <w:spacing w:line="240" w:lineRule="auto"/>
        <w:rPr>
          <w:rFonts w:eastAsia="Times New Roman" w:cs="Arial"/>
          <w:lang w:eastAsia="bg-BG"/>
        </w:rPr>
      </w:pPr>
      <w:r w:rsidRPr="003E1D81">
        <w:rPr>
          <w:rFonts w:eastAsia="Times New Roman" w:cs="Arial"/>
          <w:color w:val="000000"/>
          <w:lang w:eastAsia="bg-BG"/>
        </w:rPr>
        <w:t>Пациенти с редки наследствени проблеми на галактозна непоносимост, пълен лактазен дефицит или глюкозо-галактозна малабсорбция не трябва да приемат този продукт.</w:t>
      </w:r>
    </w:p>
    <w:p w14:paraId="2096831F" w14:textId="77777777" w:rsidR="003E1D81" w:rsidRPr="003E1D81" w:rsidRDefault="003E1D81" w:rsidP="003E1D81">
      <w:pPr>
        <w:spacing w:line="240" w:lineRule="auto"/>
        <w:rPr>
          <w:rFonts w:eastAsia="Times New Roman" w:cs="Arial"/>
          <w:color w:val="000000"/>
          <w:u w:val="single"/>
          <w:lang w:eastAsia="bg-BG"/>
        </w:rPr>
      </w:pPr>
    </w:p>
    <w:p w14:paraId="162BEFAE" w14:textId="07DF679C" w:rsidR="003E1D81" w:rsidRPr="003E1D81" w:rsidRDefault="003E1D81" w:rsidP="003E1D81">
      <w:pPr>
        <w:spacing w:line="240" w:lineRule="auto"/>
        <w:rPr>
          <w:rFonts w:eastAsia="Times New Roman" w:cs="Arial"/>
          <w:lang w:eastAsia="bg-BG"/>
        </w:rPr>
      </w:pPr>
      <w:r w:rsidRPr="003E1D81">
        <w:rPr>
          <w:rFonts w:eastAsia="Times New Roman" w:cs="Arial"/>
          <w:color w:val="000000"/>
          <w:u w:val="single"/>
          <w:lang w:eastAsia="bg-BG"/>
        </w:rPr>
        <w:t>Сартег съдържа лецитин (съдържа соево масло)</w:t>
      </w:r>
    </w:p>
    <w:p w14:paraId="2E96B530" w14:textId="77777777" w:rsidR="003E1D81" w:rsidRPr="003E1D81" w:rsidRDefault="003E1D81" w:rsidP="003E1D81">
      <w:pPr>
        <w:spacing w:line="240" w:lineRule="auto"/>
        <w:rPr>
          <w:rFonts w:eastAsia="Times New Roman" w:cs="Arial"/>
          <w:lang w:eastAsia="bg-BG"/>
        </w:rPr>
      </w:pPr>
      <w:r w:rsidRPr="003E1D81">
        <w:rPr>
          <w:rFonts w:eastAsia="Times New Roman" w:cs="Arial"/>
          <w:color w:val="000000"/>
          <w:lang w:eastAsia="bg-BG"/>
        </w:rPr>
        <w:t>При пациенти със свръхчувствителност към фъстъци или соя, този продукт е противопоказан.</w:t>
      </w:r>
    </w:p>
    <w:p w14:paraId="4FB257CE" w14:textId="77777777" w:rsidR="003E1D81" w:rsidRPr="003E1D81" w:rsidRDefault="003E1D81" w:rsidP="003E1D81">
      <w:pPr>
        <w:spacing w:line="240" w:lineRule="auto"/>
        <w:rPr>
          <w:rFonts w:eastAsia="Times New Roman" w:cs="Arial"/>
          <w:color w:val="000000"/>
          <w:u w:val="single"/>
          <w:lang w:eastAsia="bg-BG"/>
        </w:rPr>
      </w:pPr>
    </w:p>
    <w:p w14:paraId="66B1B725" w14:textId="0DA6B675" w:rsidR="003E1D81" w:rsidRPr="003E1D81" w:rsidRDefault="003E1D81" w:rsidP="003E1D81">
      <w:pPr>
        <w:spacing w:line="240" w:lineRule="auto"/>
        <w:rPr>
          <w:rFonts w:eastAsia="Times New Roman" w:cs="Arial"/>
          <w:lang w:eastAsia="bg-BG"/>
        </w:rPr>
      </w:pPr>
      <w:r w:rsidRPr="003E1D81">
        <w:rPr>
          <w:rFonts w:eastAsia="Times New Roman" w:cs="Arial"/>
          <w:color w:val="000000"/>
          <w:u w:val="single"/>
          <w:lang w:eastAsia="bg-BG"/>
        </w:rPr>
        <w:t>Сартег съдържа натрий</w:t>
      </w:r>
    </w:p>
    <w:p w14:paraId="610FDDE3" w14:textId="4ACBF5EF" w:rsidR="003E1D81" w:rsidRPr="003E1D81" w:rsidRDefault="003E1D81" w:rsidP="003E1D81">
      <w:pPr>
        <w:rPr>
          <w:rFonts w:cs="Arial"/>
        </w:rPr>
      </w:pPr>
      <w:r w:rsidRPr="003E1D81">
        <w:rPr>
          <w:rFonts w:eastAsia="Times New Roman" w:cs="Arial"/>
          <w:color w:val="000000"/>
          <w:lang w:eastAsia="bg-BG"/>
        </w:rPr>
        <w:t xml:space="preserve">Това лекарство съдържа по-малко от 1 </w:t>
      </w:r>
      <w:proofErr w:type="spellStart"/>
      <w:r w:rsidRPr="003E1D81">
        <w:rPr>
          <w:rFonts w:eastAsia="Times New Roman" w:cs="Arial"/>
          <w:color w:val="000000"/>
          <w:lang w:val="en-US"/>
        </w:rPr>
        <w:t>mmol</w:t>
      </w:r>
      <w:proofErr w:type="spellEnd"/>
      <w:r w:rsidRPr="003E1D81">
        <w:rPr>
          <w:rFonts w:eastAsia="Times New Roman" w:cs="Arial"/>
          <w:color w:val="000000"/>
          <w:lang w:val="en-US"/>
        </w:rPr>
        <w:t xml:space="preserve"> </w:t>
      </w:r>
      <w:r w:rsidRPr="003E1D81">
        <w:rPr>
          <w:rFonts w:eastAsia="Times New Roman" w:cs="Arial"/>
          <w:color w:val="000000"/>
          <w:lang w:eastAsia="bg-BG"/>
        </w:rPr>
        <w:t xml:space="preserve">натрий (23 </w:t>
      </w:r>
      <w:r w:rsidRPr="003E1D81">
        <w:rPr>
          <w:rFonts w:eastAsia="Times New Roman" w:cs="Arial"/>
          <w:color w:val="000000"/>
          <w:lang w:val="en-US"/>
        </w:rPr>
        <w:t xml:space="preserve">mg) </w:t>
      </w:r>
      <w:r w:rsidRPr="003E1D81">
        <w:rPr>
          <w:rFonts w:eastAsia="Times New Roman" w:cs="Arial"/>
          <w:color w:val="000000"/>
          <w:lang w:eastAsia="bg-BG"/>
        </w:rPr>
        <w:t>на таблетка, т.е. по същество не съдържа натрий.</w:t>
      </w:r>
    </w:p>
    <w:p w14:paraId="7A50346C" w14:textId="77777777" w:rsidR="003E1D81" w:rsidRPr="0091385D" w:rsidRDefault="003E1D81"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0A19E0F8" w14:textId="77777777" w:rsidR="003E1D81" w:rsidRPr="003E1D81" w:rsidRDefault="003E1D81" w:rsidP="003E1D81">
      <w:pPr>
        <w:spacing w:line="240" w:lineRule="auto"/>
        <w:rPr>
          <w:rFonts w:eastAsia="Times New Roman" w:cs="Arial"/>
          <w:lang w:eastAsia="bg-BG"/>
        </w:rPr>
      </w:pPr>
      <w:r w:rsidRPr="003E1D81">
        <w:rPr>
          <w:rFonts w:eastAsia="Times New Roman" w:cs="Arial"/>
          <w:i/>
          <w:iCs/>
          <w:color w:val="000000"/>
          <w:lang w:eastAsia="bg-BG"/>
        </w:rPr>
        <w:t xml:space="preserve">Двойна блокада на системата ренин-ангоитензин </w:t>
      </w:r>
      <w:r w:rsidRPr="003E1D81">
        <w:rPr>
          <w:rFonts w:eastAsia="Times New Roman" w:cs="Arial"/>
          <w:i/>
          <w:iCs/>
          <w:color w:val="000000"/>
          <w:lang w:val="en-US"/>
        </w:rPr>
        <w:t xml:space="preserve">(RAS) </w:t>
      </w:r>
      <w:r w:rsidRPr="003E1D81">
        <w:rPr>
          <w:rFonts w:eastAsia="Times New Roman" w:cs="Arial"/>
          <w:i/>
          <w:iCs/>
          <w:color w:val="000000"/>
          <w:lang w:eastAsia="bg-BG"/>
        </w:rPr>
        <w:t xml:space="preserve">с </w:t>
      </w:r>
      <w:r w:rsidRPr="003E1D81">
        <w:rPr>
          <w:rFonts w:eastAsia="Times New Roman" w:cs="Arial"/>
          <w:i/>
          <w:iCs/>
          <w:color w:val="000000"/>
          <w:lang w:val="en-US"/>
        </w:rPr>
        <w:t xml:space="preserve">ARB, </w:t>
      </w:r>
      <w:r w:rsidRPr="003E1D81">
        <w:rPr>
          <w:rFonts w:eastAsia="Times New Roman" w:cs="Arial"/>
          <w:i/>
          <w:iCs/>
          <w:color w:val="000000"/>
          <w:lang w:eastAsia="bg-BG"/>
        </w:rPr>
        <w:t>АСЕ1 или алискирен:</w:t>
      </w:r>
    </w:p>
    <w:p w14:paraId="1DD84C1C" w14:textId="77777777" w:rsidR="003E1D81" w:rsidRPr="003E1D81" w:rsidRDefault="003E1D81" w:rsidP="003E1D81">
      <w:pPr>
        <w:spacing w:line="240" w:lineRule="auto"/>
        <w:rPr>
          <w:rFonts w:eastAsia="Times New Roman" w:cs="Arial"/>
          <w:lang w:eastAsia="bg-BG"/>
        </w:rPr>
      </w:pPr>
      <w:r w:rsidRPr="003E1D81">
        <w:rPr>
          <w:rFonts w:eastAsia="Times New Roman" w:cs="Arial"/>
          <w:color w:val="000000"/>
          <w:lang w:eastAsia="bg-BG"/>
        </w:rPr>
        <w:t xml:space="preserve">Едновременното приложение на ангиотензин рецепторни антагонисти </w:t>
      </w:r>
      <w:r w:rsidRPr="003E1D81">
        <w:rPr>
          <w:rFonts w:eastAsia="Times New Roman" w:cs="Arial"/>
          <w:color w:val="000000"/>
          <w:lang w:val="en-US"/>
        </w:rPr>
        <w:t xml:space="preserve">(ARB), </w:t>
      </w:r>
      <w:r w:rsidRPr="003E1D81">
        <w:rPr>
          <w:rFonts w:eastAsia="Times New Roman" w:cs="Arial"/>
          <w:color w:val="000000"/>
          <w:lang w:eastAsia="bg-BG"/>
        </w:rPr>
        <w:t xml:space="preserve">включително валсартан или инхибитори на ангиотензин-конвертиращия ензим </w:t>
      </w:r>
      <w:r w:rsidRPr="003E1D81">
        <w:rPr>
          <w:rFonts w:eastAsia="Times New Roman" w:cs="Arial"/>
          <w:color w:val="000000"/>
          <w:lang w:val="en-US"/>
        </w:rPr>
        <w:t xml:space="preserve">(ACEI) </w:t>
      </w:r>
      <w:r w:rsidRPr="003E1D81">
        <w:rPr>
          <w:rFonts w:eastAsia="Times New Roman" w:cs="Arial"/>
          <w:color w:val="000000"/>
          <w:lang w:eastAsia="bg-BG"/>
        </w:rPr>
        <w:t xml:space="preserve">с алискирен при пациенти със захарен диабет или бъбречно увреждане (гломерулна филтрация, </w:t>
      </w:r>
      <w:r w:rsidRPr="003E1D81">
        <w:rPr>
          <w:rFonts w:eastAsia="Times New Roman" w:cs="Arial"/>
          <w:color w:val="000000"/>
          <w:lang w:val="en-US"/>
        </w:rPr>
        <w:t xml:space="preserve">GFR </w:t>
      </w:r>
      <w:r w:rsidRPr="003E1D81">
        <w:rPr>
          <w:rFonts w:eastAsia="Times New Roman" w:cs="Arial"/>
          <w:color w:val="000000"/>
          <w:lang w:eastAsia="bg-BG"/>
        </w:rPr>
        <w:t xml:space="preserve">&lt;60 </w:t>
      </w:r>
      <w:r w:rsidRPr="003E1D81">
        <w:rPr>
          <w:rFonts w:eastAsia="Times New Roman" w:cs="Arial"/>
          <w:color w:val="000000"/>
          <w:lang w:val="en-US"/>
        </w:rPr>
        <w:t>ml/min/1,73 m</w:t>
      </w:r>
      <w:r w:rsidRPr="003E1D81">
        <w:rPr>
          <w:rFonts w:eastAsia="Times New Roman" w:cs="Arial"/>
          <w:color w:val="000000"/>
          <w:vertAlign w:val="superscript"/>
          <w:lang w:val="en-US"/>
        </w:rPr>
        <w:t>2</w:t>
      </w:r>
      <w:r w:rsidRPr="003E1D81">
        <w:rPr>
          <w:rFonts w:eastAsia="Times New Roman" w:cs="Arial"/>
          <w:color w:val="000000"/>
          <w:lang w:val="en-US"/>
        </w:rPr>
        <w:t xml:space="preserve">) </w:t>
      </w:r>
      <w:r w:rsidRPr="003E1D81">
        <w:rPr>
          <w:rFonts w:eastAsia="Times New Roman" w:cs="Arial"/>
          <w:color w:val="000000"/>
          <w:lang w:eastAsia="bg-BG"/>
        </w:rPr>
        <w:t>е противопоказано (вж. т. 4.3).</w:t>
      </w:r>
    </w:p>
    <w:p w14:paraId="392B92AD" w14:textId="77777777" w:rsidR="003E1D81" w:rsidRPr="003E1D81" w:rsidRDefault="003E1D81" w:rsidP="003E1D81">
      <w:pPr>
        <w:spacing w:line="240" w:lineRule="auto"/>
        <w:rPr>
          <w:rFonts w:eastAsia="Times New Roman" w:cs="Arial"/>
          <w:color w:val="000000"/>
          <w:lang w:eastAsia="bg-BG"/>
        </w:rPr>
      </w:pPr>
    </w:p>
    <w:p w14:paraId="0DEC82A0" w14:textId="5BFAA227" w:rsidR="003E1D81" w:rsidRPr="003E1D81" w:rsidRDefault="003E1D81" w:rsidP="003E1D81">
      <w:pPr>
        <w:spacing w:line="240" w:lineRule="auto"/>
        <w:rPr>
          <w:rFonts w:eastAsia="Times New Roman" w:cs="Arial"/>
          <w:lang w:eastAsia="bg-BG"/>
        </w:rPr>
      </w:pPr>
      <w:r w:rsidRPr="003E1D81">
        <w:rPr>
          <w:rFonts w:eastAsia="Times New Roman" w:cs="Arial"/>
          <w:color w:val="000000"/>
          <w:lang w:eastAsia="bg-BG"/>
        </w:rPr>
        <w:t>Данни от клинични проучвания показват, че двойното блокиране на ренин ангиотензин- алдостероновата система (РААС) чрез комбинираната употреба на АСЕ инхибитори, ангиотензин II- 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w:t>
      </w:r>
      <w:r w:rsidRPr="003E1D81">
        <w:rPr>
          <w:rFonts w:eastAsia="Times New Roman" w:cs="Arial"/>
          <w:color w:val="000000"/>
          <w:lang w:val="en-US"/>
        </w:rPr>
        <w:t xml:space="preserve"> </w:t>
      </w:r>
      <w:r w:rsidRPr="003E1D81">
        <w:rPr>
          <w:rFonts w:eastAsia="Times New Roman" w:cs="Arial"/>
          <w:color w:val="000000"/>
          <w:lang w:eastAsia="bg-BG"/>
        </w:rPr>
        <w:t>4.4 и 5.1).</w:t>
      </w:r>
    </w:p>
    <w:p w14:paraId="1A3E1D66" w14:textId="77777777" w:rsidR="003E1D81" w:rsidRPr="003E1D81" w:rsidRDefault="003E1D81" w:rsidP="003E1D81">
      <w:pPr>
        <w:spacing w:line="240" w:lineRule="auto"/>
        <w:rPr>
          <w:rFonts w:eastAsia="Times New Roman" w:cs="Arial"/>
          <w:i/>
          <w:iCs/>
          <w:color w:val="000000"/>
          <w:u w:val="single"/>
          <w:lang w:eastAsia="bg-BG"/>
        </w:rPr>
      </w:pPr>
    </w:p>
    <w:p w14:paraId="455BED4C" w14:textId="798C6651" w:rsidR="003E1D81" w:rsidRPr="003E1D81" w:rsidRDefault="003E1D81" w:rsidP="003E1D81">
      <w:pPr>
        <w:spacing w:line="240" w:lineRule="auto"/>
        <w:rPr>
          <w:rFonts w:eastAsia="Times New Roman" w:cs="Arial"/>
          <w:lang w:eastAsia="bg-BG"/>
        </w:rPr>
      </w:pPr>
      <w:r w:rsidRPr="003E1D81">
        <w:rPr>
          <w:rFonts w:eastAsia="Times New Roman" w:cs="Arial"/>
          <w:i/>
          <w:iCs/>
          <w:color w:val="000000"/>
          <w:u w:val="single"/>
          <w:lang w:eastAsia="bg-BG"/>
        </w:rPr>
        <w:t>Едновременното приложение не се препоръчва</w:t>
      </w:r>
    </w:p>
    <w:p w14:paraId="72AB46C9" w14:textId="77777777" w:rsidR="003E1D81" w:rsidRPr="003E1D81" w:rsidRDefault="003E1D81" w:rsidP="003E1D81">
      <w:pPr>
        <w:spacing w:line="240" w:lineRule="auto"/>
        <w:rPr>
          <w:rFonts w:eastAsia="Times New Roman" w:cs="Arial"/>
          <w:lang w:eastAsia="bg-BG"/>
        </w:rPr>
      </w:pPr>
      <w:r w:rsidRPr="003E1D81">
        <w:rPr>
          <w:rFonts w:eastAsia="Times New Roman" w:cs="Arial"/>
          <w:i/>
          <w:iCs/>
          <w:color w:val="000000"/>
          <w:lang w:eastAsia="bg-BG"/>
        </w:rPr>
        <w:t>Литий</w:t>
      </w:r>
    </w:p>
    <w:p w14:paraId="2FC7867B" w14:textId="77777777" w:rsidR="003E1D81" w:rsidRPr="003E1D81" w:rsidRDefault="003E1D81" w:rsidP="003E1D81">
      <w:pPr>
        <w:spacing w:line="240" w:lineRule="auto"/>
        <w:rPr>
          <w:rFonts w:eastAsia="Times New Roman" w:cs="Arial"/>
          <w:lang w:eastAsia="bg-BG"/>
        </w:rPr>
      </w:pPr>
      <w:r w:rsidRPr="003E1D81">
        <w:rPr>
          <w:rFonts w:eastAsia="Times New Roman" w:cs="Arial"/>
          <w:color w:val="000000"/>
          <w:lang w:eastAsia="bg-BG"/>
        </w:rPr>
        <w:t>Обратимо увеличение на литиевите серумни нива и токсични ефекти са били докладвани по време на едновременната употреба с АСЕ инхибитори. Поради липса на опит по отношение на едновременната употреба на валсартан и литий, тази комбинация не се препоръчва. Ако обаче тя е необходима, препоръчва се внимателно проследяване на серумните нива на лития.</w:t>
      </w:r>
    </w:p>
    <w:p w14:paraId="355BC4B7" w14:textId="77777777" w:rsidR="003E1D81" w:rsidRPr="003E1D81" w:rsidRDefault="003E1D81" w:rsidP="003E1D81">
      <w:pPr>
        <w:spacing w:line="240" w:lineRule="auto"/>
        <w:rPr>
          <w:rFonts w:eastAsia="Times New Roman" w:cs="Arial"/>
          <w:i/>
          <w:iCs/>
          <w:color w:val="000000"/>
          <w:lang w:eastAsia="bg-BG"/>
        </w:rPr>
      </w:pPr>
    </w:p>
    <w:p w14:paraId="147EE119" w14:textId="57A6CEE3" w:rsidR="003E1D81" w:rsidRPr="003E1D81" w:rsidRDefault="003E1D81" w:rsidP="003E1D81">
      <w:pPr>
        <w:spacing w:line="240" w:lineRule="auto"/>
        <w:rPr>
          <w:rFonts w:eastAsia="Times New Roman" w:cs="Arial"/>
          <w:lang w:eastAsia="bg-BG"/>
        </w:rPr>
      </w:pPr>
      <w:r w:rsidRPr="003E1D81">
        <w:rPr>
          <w:rFonts w:eastAsia="Times New Roman" w:cs="Arial"/>
          <w:i/>
          <w:iCs/>
          <w:color w:val="000000"/>
          <w:lang w:eastAsia="bg-BG"/>
        </w:rPr>
        <w:t>Калий-съхраняващи диуретици, калиеви добавки, заместители на солта, съдържащи калий, или други лекарства, които могат да увеличат нивото на калий</w:t>
      </w:r>
    </w:p>
    <w:p w14:paraId="628E2956" w14:textId="77777777" w:rsidR="003E1D81" w:rsidRPr="003E1D81" w:rsidRDefault="003E1D81" w:rsidP="003E1D81">
      <w:pPr>
        <w:spacing w:line="240" w:lineRule="auto"/>
        <w:rPr>
          <w:rFonts w:eastAsia="Times New Roman" w:cs="Arial"/>
          <w:lang w:eastAsia="bg-BG"/>
        </w:rPr>
      </w:pPr>
      <w:r w:rsidRPr="003E1D81">
        <w:rPr>
          <w:rFonts w:eastAsia="Times New Roman" w:cs="Arial"/>
          <w:color w:val="000000"/>
          <w:lang w:eastAsia="bg-BG"/>
        </w:rPr>
        <w:t>Ако трябва да се приложи лекарствен продукт, който повлиява серумните нива на калий, в комбинация с валсартан, препоръчва се проследяване стойностите на калий в кръвта.</w:t>
      </w:r>
    </w:p>
    <w:p w14:paraId="51614A2C" w14:textId="77777777" w:rsidR="003E1D81" w:rsidRPr="003E1D81" w:rsidRDefault="003E1D81" w:rsidP="003E1D81">
      <w:pPr>
        <w:spacing w:line="240" w:lineRule="auto"/>
        <w:rPr>
          <w:rFonts w:eastAsia="Times New Roman" w:cs="Arial"/>
          <w:i/>
          <w:iCs/>
          <w:color w:val="000000"/>
          <w:u w:val="single"/>
          <w:lang w:eastAsia="bg-BG"/>
        </w:rPr>
      </w:pPr>
    </w:p>
    <w:p w14:paraId="02D4BD5C" w14:textId="1C9669B0" w:rsidR="003E1D81" w:rsidRPr="003E1D81" w:rsidRDefault="003E1D81" w:rsidP="003E1D81">
      <w:pPr>
        <w:spacing w:line="240" w:lineRule="auto"/>
        <w:rPr>
          <w:rFonts w:eastAsia="Times New Roman" w:cs="Arial"/>
          <w:lang w:eastAsia="bg-BG"/>
        </w:rPr>
      </w:pPr>
      <w:r w:rsidRPr="003E1D81">
        <w:rPr>
          <w:rFonts w:eastAsia="Times New Roman" w:cs="Arial"/>
          <w:i/>
          <w:iCs/>
          <w:color w:val="000000"/>
          <w:u w:val="single"/>
          <w:lang w:eastAsia="bg-BG"/>
        </w:rPr>
        <w:t>Внимание при едновременно приложение</w:t>
      </w:r>
    </w:p>
    <w:p w14:paraId="42162230" w14:textId="77777777" w:rsidR="003E1D81" w:rsidRPr="003E1D81" w:rsidRDefault="003E1D81" w:rsidP="003E1D81">
      <w:pPr>
        <w:spacing w:line="240" w:lineRule="auto"/>
        <w:rPr>
          <w:rFonts w:eastAsia="Times New Roman" w:cs="Arial"/>
          <w:i/>
          <w:iCs/>
          <w:color w:val="000000"/>
          <w:lang w:eastAsia="bg-BG"/>
        </w:rPr>
      </w:pPr>
    </w:p>
    <w:p w14:paraId="3671223A" w14:textId="1C674D88" w:rsidR="003E1D81" w:rsidRPr="003E1D81" w:rsidRDefault="003E1D81" w:rsidP="003E1D81">
      <w:pPr>
        <w:spacing w:line="240" w:lineRule="auto"/>
        <w:rPr>
          <w:rFonts w:eastAsia="Times New Roman" w:cs="Arial"/>
          <w:lang w:eastAsia="bg-BG"/>
        </w:rPr>
      </w:pPr>
      <w:r w:rsidRPr="003E1D81">
        <w:rPr>
          <w:rFonts w:eastAsia="Times New Roman" w:cs="Arial"/>
          <w:i/>
          <w:iCs/>
          <w:color w:val="000000"/>
          <w:lang w:eastAsia="bg-BG"/>
        </w:rPr>
        <w:t xml:space="preserve">Нестероидни противовъзпалителни средства </w:t>
      </w:r>
      <w:r w:rsidRPr="003E1D81">
        <w:rPr>
          <w:rFonts w:eastAsia="Times New Roman" w:cs="Arial"/>
          <w:i/>
          <w:iCs/>
          <w:color w:val="000000"/>
          <w:lang w:val="en-US"/>
        </w:rPr>
        <w:t xml:space="preserve">(HCIJBC), </w:t>
      </w:r>
      <w:r w:rsidRPr="003E1D81">
        <w:rPr>
          <w:rFonts w:eastAsia="Times New Roman" w:cs="Arial"/>
          <w:i/>
          <w:iCs/>
          <w:color w:val="000000"/>
          <w:lang w:eastAsia="bg-BG"/>
        </w:rPr>
        <w:t xml:space="preserve">включително селективни СОХ-2 инхибитори, ацетилсалицилова киселина (&gt;3 </w:t>
      </w:r>
      <w:r w:rsidRPr="003E1D81">
        <w:rPr>
          <w:rFonts w:eastAsia="Times New Roman" w:cs="Arial"/>
          <w:i/>
          <w:iCs/>
          <w:color w:val="000000"/>
          <w:lang w:val="en-US"/>
        </w:rPr>
        <w:t>g</w:t>
      </w:r>
      <w:r w:rsidRPr="003E1D81">
        <w:rPr>
          <w:rFonts w:eastAsia="Times New Roman" w:cs="Arial"/>
          <w:i/>
          <w:iCs/>
          <w:color w:val="000000"/>
          <w:lang w:eastAsia="bg-BG"/>
        </w:rPr>
        <w:t>/дневно) и неселективни НСПВС</w:t>
      </w:r>
    </w:p>
    <w:p w14:paraId="2D3AE091" w14:textId="77777777" w:rsidR="003E1D81" w:rsidRPr="003E1D81" w:rsidRDefault="003E1D81" w:rsidP="003E1D81">
      <w:pPr>
        <w:spacing w:line="240" w:lineRule="auto"/>
        <w:rPr>
          <w:rFonts w:eastAsia="Times New Roman" w:cs="Arial"/>
          <w:lang w:eastAsia="bg-BG"/>
        </w:rPr>
      </w:pPr>
      <w:r w:rsidRPr="003E1D81">
        <w:rPr>
          <w:rFonts w:eastAsia="Times New Roman" w:cs="Arial"/>
          <w:color w:val="000000"/>
          <w:lang w:eastAsia="bg-BG"/>
        </w:rPr>
        <w:t>Когато ангиотензин II антагонисти се прилагат едновременно с нестероидни противовъзпалителни средства, може да се появи намаляване на антихипертензивния ефект. В допълнение, едновременното приложение на ангиотензин II антагонисти с нестероидни противовъзпалителни средства може да доведе до увеличен риск от влошаване на бъбречната функция и увеличение на серумния калий.</w:t>
      </w:r>
    </w:p>
    <w:p w14:paraId="46C5EED2" w14:textId="77777777" w:rsidR="003E1D81" w:rsidRPr="003E1D81" w:rsidRDefault="003E1D81" w:rsidP="003E1D81">
      <w:pPr>
        <w:spacing w:line="240" w:lineRule="auto"/>
        <w:rPr>
          <w:rFonts w:eastAsia="Times New Roman" w:cs="Arial"/>
          <w:lang w:eastAsia="bg-BG"/>
        </w:rPr>
      </w:pPr>
      <w:r w:rsidRPr="003E1D81">
        <w:rPr>
          <w:rFonts w:eastAsia="Times New Roman" w:cs="Arial"/>
          <w:color w:val="000000"/>
          <w:lang w:eastAsia="bg-BG"/>
        </w:rPr>
        <w:t>Затова се препоръчва проследяване на бъбречната функция в началото на лечението, а също и адекватна хидратация на пациента.</w:t>
      </w:r>
    </w:p>
    <w:p w14:paraId="038D65B1" w14:textId="77777777" w:rsidR="003E1D81" w:rsidRPr="003E1D81" w:rsidRDefault="003E1D81" w:rsidP="003E1D81">
      <w:pPr>
        <w:spacing w:line="240" w:lineRule="auto"/>
        <w:rPr>
          <w:rFonts w:eastAsia="Times New Roman" w:cs="Arial"/>
          <w:i/>
          <w:iCs/>
          <w:color w:val="000000"/>
          <w:lang w:eastAsia="bg-BG"/>
        </w:rPr>
      </w:pPr>
    </w:p>
    <w:p w14:paraId="3267C774" w14:textId="662A65B9" w:rsidR="003E1D81" w:rsidRPr="003E1D81" w:rsidRDefault="003E1D81" w:rsidP="003E1D81">
      <w:pPr>
        <w:spacing w:line="240" w:lineRule="auto"/>
        <w:rPr>
          <w:rFonts w:eastAsia="Times New Roman" w:cs="Arial"/>
          <w:lang w:eastAsia="bg-BG"/>
        </w:rPr>
      </w:pPr>
      <w:r w:rsidRPr="003E1D81">
        <w:rPr>
          <w:rFonts w:eastAsia="Times New Roman" w:cs="Arial"/>
          <w:i/>
          <w:iCs/>
          <w:color w:val="000000"/>
          <w:lang w:eastAsia="bg-BG"/>
        </w:rPr>
        <w:t>Транспортери</w:t>
      </w:r>
    </w:p>
    <w:p w14:paraId="525B8CD3" w14:textId="77777777" w:rsidR="003E1D81" w:rsidRPr="003E1D81" w:rsidRDefault="003E1D81" w:rsidP="003E1D81">
      <w:pPr>
        <w:spacing w:line="240" w:lineRule="auto"/>
        <w:rPr>
          <w:rFonts w:eastAsia="Times New Roman" w:cs="Arial"/>
          <w:lang w:eastAsia="bg-BG"/>
        </w:rPr>
      </w:pPr>
      <w:r w:rsidRPr="003E1D81">
        <w:rPr>
          <w:rFonts w:eastAsia="Times New Roman" w:cs="Arial"/>
          <w:color w:val="000000"/>
          <w:lang w:eastAsia="bg-BG"/>
        </w:rPr>
        <w:t xml:space="preserve">Данните от </w:t>
      </w:r>
      <w:r w:rsidRPr="003E1D81">
        <w:rPr>
          <w:rFonts w:eastAsia="Times New Roman" w:cs="Arial"/>
          <w:color w:val="000000"/>
          <w:lang w:val="en-US"/>
        </w:rPr>
        <w:t xml:space="preserve">in vitro </w:t>
      </w:r>
      <w:r w:rsidRPr="003E1D81">
        <w:rPr>
          <w:rFonts w:eastAsia="Times New Roman" w:cs="Arial"/>
          <w:color w:val="000000"/>
          <w:lang w:eastAsia="bg-BG"/>
        </w:rPr>
        <w:t>проучвания показват, че валсартан е субстрат на чернодробния инфлукс</w:t>
      </w:r>
      <w:r w:rsidRPr="003E1D81">
        <w:rPr>
          <w:rFonts w:eastAsia="Times New Roman" w:cs="Arial"/>
          <w:color w:val="000000"/>
          <w:u w:val="single"/>
          <w:lang w:eastAsia="bg-BG"/>
        </w:rPr>
        <w:t xml:space="preserve"> </w:t>
      </w:r>
      <w:r w:rsidRPr="003E1D81">
        <w:rPr>
          <w:rFonts w:eastAsia="Times New Roman" w:cs="Arial"/>
          <w:color w:val="000000"/>
          <w:lang w:eastAsia="bg-BG"/>
        </w:rPr>
        <w:t xml:space="preserve">транспортер ОАТР1В1 и на чернодробния ефлукс транспортер </w:t>
      </w:r>
      <w:r w:rsidRPr="003E1D81">
        <w:rPr>
          <w:rFonts w:eastAsia="Times New Roman" w:cs="Arial"/>
          <w:color w:val="000000"/>
          <w:lang w:val="en-US"/>
        </w:rPr>
        <w:t xml:space="preserve">MRP2. </w:t>
      </w:r>
      <w:r w:rsidRPr="003E1D81">
        <w:rPr>
          <w:rFonts w:eastAsia="Times New Roman" w:cs="Arial"/>
          <w:color w:val="000000"/>
          <w:lang w:eastAsia="bg-BG"/>
        </w:rPr>
        <w:t>Едновременното приложение с инхибитори на инфлукс транспортера (рифампицин, циклоспорин) или на ефлукс транспортер (ритонавир) може да повиши системната експозиция на валсартан. Започването или завършването на</w:t>
      </w:r>
      <w:r w:rsidRPr="003E1D81">
        <w:rPr>
          <w:rFonts w:eastAsia="Times New Roman" w:cs="Arial"/>
          <w:i/>
          <w:iCs/>
          <w:smallCaps/>
          <w:color w:val="000000"/>
          <w:lang w:eastAsia="bg-BG"/>
        </w:rPr>
        <w:t xml:space="preserve"> </w:t>
      </w:r>
      <w:r w:rsidRPr="003E1D81">
        <w:rPr>
          <w:rFonts w:eastAsia="Times New Roman" w:cs="Arial"/>
          <w:color w:val="000000"/>
          <w:lang w:eastAsia="bg-BG"/>
        </w:rPr>
        <w:t>едновременно лечение с такива лекарства трябва да става с необходимото внимание.</w:t>
      </w:r>
    </w:p>
    <w:p w14:paraId="1D3652C5" w14:textId="77777777" w:rsidR="003E1D81" w:rsidRPr="003E1D81" w:rsidRDefault="003E1D81" w:rsidP="003E1D81">
      <w:pPr>
        <w:spacing w:line="240" w:lineRule="auto"/>
        <w:rPr>
          <w:rFonts w:eastAsia="Times New Roman" w:cs="Arial"/>
          <w:lang w:eastAsia="bg-BG"/>
        </w:rPr>
      </w:pPr>
    </w:p>
    <w:p w14:paraId="5B2761C5" w14:textId="48121A6B" w:rsidR="0091385D" w:rsidRPr="003E1D81" w:rsidRDefault="003E1D81" w:rsidP="003E1D81">
      <w:pPr>
        <w:rPr>
          <w:rFonts w:cs="Arial"/>
        </w:rPr>
      </w:pPr>
      <w:r w:rsidRPr="003E1D81">
        <w:rPr>
          <w:rFonts w:eastAsia="Times New Roman" w:cs="Arial"/>
          <w:i/>
          <w:iCs/>
          <w:color w:val="000000"/>
          <w:lang w:eastAsia="bg-BG"/>
        </w:rPr>
        <w:t>Други</w:t>
      </w:r>
    </w:p>
    <w:p w14:paraId="0F928B84" w14:textId="77777777"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lang w:eastAsia="bg-BG"/>
        </w:rPr>
        <w:t>В проучванията на лекарствените взаимодействия с валсартан не са установени взаимодействия с клинично значение със следните продукти: циметццин, варфарин, фуроземид, дигоксин, атенолол. индометацин, хидрохлоротиазид, амлодипин, глибенкламид.</w:t>
      </w:r>
    </w:p>
    <w:p w14:paraId="4ED2F9DE" w14:textId="77777777" w:rsidR="003E1D81" w:rsidRPr="003E1D81" w:rsidRDefault="003E1D81" w:rsidP="003E1D81">
      <w:pPr>
        <w:spacing w:line="240" w:lineRule="auto"/>
        <w:rPr>
          <w:rFonts w:eastAsia="Times New Roman" w:cs="Arial"/>
          <w:i/>
          <w:iCs/>
          <w:color w:val="000000"/>
          <w:szCs w:val="20"/>
          <w:u w:val="single"/>
          <w:lang w:eastAsia="bg-BG"/>
        </w:rPr>
      </w:pPr>
    </w:p>
    <w:p w14:paraId="03FEF843" w14:textId="3802646A" w:rsidR="003E1D81" w:rsidRPr="003E1D81" w:rsidRDefault="003E1D81" w:rsidP="003E1D81">
      <w:pPr>
        <w:spacing w:line="240" w:lineRule="auto"/>
        <w:rPr>
          <w:rFonts w:eastAsia="Times New Roman" w:cs="Arial"/>
          <w:sz w:val="28"/>
          <w:szCs w:val="24"/>
          <w:lang w:eastAsia="bg-BG"/>
        </w:rPr>
      </w:pPr>
      <w:r w:rsidRPr="003E1D81">
        <w:rPr>
          <w:rFonts w:eastAsia="Times New Roman" w:cs="Arial"/>
          <w:i/>
          <w:iCs/>
          <w:color w:val="000000"/>
          <w:szCs w:val="20"/>
          <w:u w:val="single"/>
          <w:lang w:eastAsia="bg-BG"/>
        </w:rPr>
        <w:t>Педиатрична популация</w:t>
      </w:r>
    </w:p>
    <w:p w14:paraId="0395BD2E" w14:textId="6786C362" w:rsidR="007A2185" w:rsidRPr="003E1D81" w:rsidRDefault="003E1D81" w:rsidP="003E1D81">
      <w:pPr>
        <w:rPr>
          <w:rFonts w:cs="Arial"/>
          <w:sz w:val="24"/>
        </w:rPr>
      </w:pPr>
      <w:r w:rsidRPr="003E1D81">
        <w:rPr>
          <w:rFonts w:eastAsia="Times New Roman" w:cs="Arial"/>
          <w:color w:val="000000"/>
          <w:szCs w:val="20"/>
          <w:lang w:eastAsia="bg-BG"/>
        </w:rPr>
        <w:t>При хипертония при деца и юноши, когато обичайната причина за това са бъбречни аномалии, се препоръчва повишено внимание при употребата на валсартан и други субстанции, които потискат ренин-ангиотензин-алдостероновата система, което може да повиши калий в плазмата. Внимателно трябва да се наблюдават бъбречната функция и плазмения калий.</w:t>
      </w:r>
    </w:p>
    <w:p w14:paraId="158972C6" w14:textId="77777777" w:rsidR="003E1D81" w:rsidRPr="0091385D" w:rsidRDefault="003E1D81"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7C2BC95D" w14:textId="77777777" w:rsidR="003E1D81" w:rsidRPr="003E1D81" w:rsidRDefault="003E1D81" w:rsidP="003E1D81">
      <w:pPr>
        <w:pStyle w:val="Heading3"/>
        <w:rPr>
          <w:rFonts w:eastAsia="Times New Roman"/>
          <w:sz w:val="28"/>
          <w:u w:val="single"/>
          <w:lang w:eastAsia="bg-BG"/>
        </w:rPr>
      </w:pPr>
      <w:r w:rsidRPr="003E1D81">
        <w:rPr>
          <w:rFonts w:eastAsia="Times New Roman"/>
          <w:u w:val="single"/>
          <w:lang w:eastAsia="bg-BG"/>
        </w:rPr>
        <w:t>Бременност</w:t>
      </w:r>
    </w:p>
    <w:p w14:paraId="3703F25F" w14:textId="7202BA60" w:rsidR="003E1D81" w:rsidRDefault="003E1D81" w:rsidP="003E1D81">
      <w:pPr>
        <w:spacing w:line="240" w:lineRule="auto"/>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9350"/>
      </w:tblGrid>
      <w:tr w:rsidR="003E1D81" w14:paraId="1C69ADF0" w14:textId="77777777" w:rsidTr="003E1D81">
        <w:tc>
          <w:tcPr>
            <w:tcW w:w="9350" w:type="dxa"/>
          </w:tcPr>
          <w:p w14:paraId="32630954" w14:textId="2BB5CE84"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lang w:eastAsia="bg-BG"/>
              </w:rPr>
              <w:t xml:space="preserve">Употребата на Ангиотензин II рецепторни антагонисти </w:t>
            </w:r>
            <w:r w:rsidRPr="003E1D81">
              <w:rPr>
                <w:rFonts w:eastAsia="Times New Roman" w:cs="Arial"/>
                <w:color w:val="000000"/>
                <w:szCs w:val="20"/>
                <w:lang w:val="en-US"/>
              </w:rPr>
              <w:t xml:space="preserve">(AIIRA) </w:t>
            </w:r>
            <w:r w:rsidRPr="003E1D81">
              <w:rPr>
                <w:rFonts w:eastAsia="Times New Roman" w:cs="Arial"/>
                <w:color w:val="000000"/>
                <w:szCs w:val="20"/>
                <w:lang w:eastAsia="bg-BG"/>
              </w:rPr>
              <w:t>не се препоръчва през първото тримесечие от бременността (вж. т. 4.4). Употребата на ангиотензин II рецепторни антагонисти е противопоказана по време на второто и третото тримесечие от бременността (вж. точки 4.3 и 4.4).</w:t>
            </w:r>
          </w:p>
        </w:tc>
      </w:tr>
    </w:tbl>
    <w:p w14:paraId="21BC1C98" w14:textId="77777777" w:rsidR="003E1D81" w:rsidRPr="003E1D81" w:rsidRDefault="003E1D81" w:rsidP="003E1D81">
      <w:pPr>
        <w:spacing w:line="240" w:lineRule="auto"/>
        <w:rPr>
          <w:rFonts w:eastAsia="Times New Roman" w:cs="Arial"/>
          <w:color w:val="000000"/>
          <w:szCs w:val="20"/>
          <w:lang w:eastAsia="bg-BG"/>
        </w:rPr>
      </w:pPr>
    </w:p>
    <w:p w14:paraId="3AD40FE6" w14:textId="490C2560"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lang w:eastAsia="bg-BG"/>
        </w:rPr>
        <w:lastRenderedPageBreak/>
        <w:t>Епидемиологичните доказателства за риска от тератогенност след приложение на АСЕ инхибитори по време на първото тримесечие от бременността не са окончателни, не може обаче да бъде изключено наличие на леко повишен риск. Докато няма контролирани епидемиологични данни по отношение на риска, свързан с инхибигорите на ангиотензин II рецепторите, може да се приеме съществуването на риск при прилагането на този клас лекарства. Освен ако продължаването на терапията с ангиотензин II рецепторни антагонисти се счита за изключително важна, пациентите планиращи бременност, трябва да сменят антихипертензивното си лечение с алтернативно такова, което има установен профил на безопасност за употреба по време на бременността. Когато бременността е диагностиц</w:t>
      </w:r>
      <w:r>
        <w:rPr>
          <w:rFonts w:eastAsia="Times New Roman" w:cs="Arial"/>
          <w:color w:val="000000"/>
          <w:szCs w:val="20"/>
          <w:lang w:eastAsia="bg-BG"/>
        </w:rPr>
        <w:t xml:space="preserve">ирана, лечението с ангиотензин </w:t>
      </w:r>
      <w:r w:rsidRPr="003E1D81">
        <w:rPr>
          <w:rFonts w:eastAsia="Times New Roman" w:cs="Arial"/>
          <w:color w:val="000000"/>
          <w:szCs w:val="20"/>
          <w:lang w:eastAsia="bg-BG"/>
        </w:rPr>
        <w:t>II антагонисти трябва да бъде прекратено незабавно и да се започне алтернативно лечение в случаите, когато това се налага.</w:t>
      </w:r>
    </w:p>
    <w:p w14:paraId="7472BBED" w14:textId="2F7319D1"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lang w:eastAsia="bg-BG"/>
        </w:rPr>
        <w:t xml:space="preserve">Известно </w:t>
      </w:r>
      <w:r>
        <w:rPr>
          <w:rFonts w:eastAsia="Times New Roman" w:cs="Arial"/>
          <w:color w:val="000000"/>
          <w:szCs w:val="20"/>
          <w:lang w:eastAsia="bg-BG"/>
        </w:rPr>
        <w:t xml:space="preserve">е, че лечението с ангиотензин </w:t>
      </w:r>
      <w:r w:rsidRPr="003E1D81">
        <w:rPr>
          <w:rFonts w:eastAsia="Times New Roman" w:cs="Arial"/>
          <w:color w:val="000000"/>
          <w:szCs w:val="20"/>
          <w:lang w:eastAsia="bg-BG"/>
        </w:rPr>
        <w:t>II антагонисти по време на второто и третото тримесечие от бременността предизвиква фетотоксичност при хора (понижена бъбречна функция, олигохидрамнион, забавено вкостяване на черепа) и неонатална токсичност (бъбречна недостатъчност, хипотензия, хиперкалиемия); вижте също т. 5.3. „Предклинични данни за безопасност“.</w:t>
      </w:r>
    </w:p>
    <w:p w14:paraId="70A056F9" w14:textId="77777777"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lang w:eastAsia="bg-BG"/>
        </w:rPr>
        <w:t>Ако лечението с ангиотензин II антагонисти е по време на второто и третото тримесечие от бременността, се препоръчва ултразвукова диагностика на бъбречната функция и черепа. Бебета, чиито майки са приемали ангиотензин II антагонисти, трябва да бъдат стриктно проследяване за проява на хипотензия (вж. също точки 4.3 и 4.4).</w:t>
      </w:r>
    </w:p>
    <w:p w14:paraId="5E913AA7" w14:textId="77777777" w:rsidR="003E1D81" w:rsidRPr="003E1D81" w:rsidRDefault="003E1D81" w:rsidP="003E1D81">
      <w:pPr>
        <w:spacing w:line="240" w:lineRule="auto"/>
        <w:rPr>
          <w:rFonts w:eastAsia="Times New Roman" w:cs="Arial"/>
          <w:i/>
          <w:iCs/>
          <w:color w:val="000000"/>
          <w:szCs w:val="20"/>
          <w:u w:val="single"/>
          <w:lang w:eastAsia="bg-BG"/>
        </w:rPr>
      </w:pPr>
    </w:p>
    <w:p w14:paraId="5235939B" w14:textId="04D79C3B" w:rsidR="003E1D81" w:rsidRPr="003E1D81" w:rsidRDefault="003E1D81" w:rsidP="003E1D81">
      <w:pPr>
        <w:pStyle w:val="Heading3"/>
        <w:rPr>
          <w:rFonts w:eastAsia="Times New Roman"/>
          <w:sz w:val="28"/>
          <w:u w:val="single"/>
          <w:lang w:eastAsia="bg-BG"/>
        </w:rPr>
      </w:pPr>
      <w:r w:rsidRPr="003E1D81">
        <w:rPr>
          <w:rFonts w:eastAsia="Times New Roman"/>
          <w:u w:val="single"/>
          <w:lang w:eastAsia="bg-BG"/>
        </w:rPr>
        <w:t>Кърмене</w:t>
      </w:r>
    </w:p>
    <w:p w14:paraId="6C6C729A" w14:textId="77777777"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lang w:eastAsia="bg-BG"/>
        </w:rPr>
        <w:t>Тъй като няма информация относно употребата на валсартан по време на кърмене, Сартег не се препоръчва, а трябва да се приложи алтернативна терапия с установен профил на безопасност по време на кърмене, особено при кърмене на новородени и преждевременно родени деца.</w:t>
      </w:r>
    </w:p>
    <w:p w14:paraId="59FA5D59" w14:textId="77777777" w:rsidR="003E1D81" w:rsidRPr="003E1D81" w:rsidRDefault="003E1D81" w:rsidP="003E1D81">
      <w:pPr>
        <w:spacing w:line="240" w:lineRule="auto"/>
        <w:rPr>
          <w:rFonts w:eastAsia="Times New Roman" w:cs="Arial"/>
          <w:i/>
          <w:iCs/>
          <w:color w:val="000000"/>
          <w:szCs w:val="20"/>
          <w:u w:val="single"/>
          <w:lang w:eastAsia="bg-BG"/>
        </w:rPr>
      </w:pPr>
    </w:p>
    <w:p w14:paraId="17758139" w14:textId="048413DB" w:rsidR="003E1D81" w:rsidRPr="003E1D81" w:rsidRDefault="003E1D81" w:rsidP="003E1D81">
      <w:pPr>
        <w:pStyle w:val="Heading3"/>
        <w:rPr>
          <w:rFonts w:eastAsia="Times New Roman"/>
          <w:sz w:val="28"/>
          <w:u w:val="single"/>
          <w:lang w:eastAsia="bg-BG"/>
        </w:rPr>
      </w:pPr>
      <w:r w:rsidRPr="003E1D81">
        <w:rPr>
          <w:rFonts w:eastAsia="Times New Roman"/>
          <w:u w:val="single"/>
          <w:lang w:eastAsia="bg-BG"/>
        </w:rPr>
        <w:t>Фертилитет</w:t>
      </w:r>
    </w:p>
    <w:p w14:paraId="102F0D07" w14:textId="11EB242D" w:rsidR="007A2185" w:rsidRPr="003E1D81" w:rsidRDefault="003E1D81" w:rsidP="003E1D81">
      <w:pPr>
        <w:rPr>
          <w:rFonts w:cs="Arial"/>
          <w:sz w:val="24"/>
        </w:rPr>
      </w:pPr>
      <w:r w:rsidRPr="003E1D81">
        <w:rPr>
          <w:rFonts w:eastAsia="Times New Roman" w:cs="Arial"/>
          <w:color w:val="000000"/>
          <w:szCs w:val="20"/>
          <w:lang w:eastAsia="bg-BG"/>
        </w:rPr>
        <w:t xml:space="preserve">Валсартан няма нежелани ефекти върху репродуктивната способност на мъжки и женски плъхове при прием на перорални дози до 200 </w:t>
      </w:r>
      <w:r w:rsidRPr="003E1D81">
        <w:rPr>
          <w:rFonts w:eastAsia="Times New Roman" w:cs="Arial"/>
          <w:color w:val="000000"/>
          <w:szCs w:val="20"/>
          <w:lang w:val="en-US"/>
        </w:rPr>
        <w:t>mg/kg</w:t>
      </w:r>
      <w:r w:rsidRPr="003E1D81">
        <w:rPr>
          <w:rFonts w:eastAsia="Times New Roman" w:cs="Arial"/>
          <w:color w:val="000000"/>
          <w:szCs w:val="20"/>
          <w:lang w:eastAsia="bg-BG"/>
        </w:rPr>
        <w:t xml:space="preserve">/ден. Тази доза е 6 пъти по-висока от максималната препоръчвана доза при хора, определена на база </w:t>
      </w:r>
      <w:r w:rsidRPr="003E1D81">
        <w:rPr>
          <w:rFonts w:eastAsia="Times New Roman" w:cs="Arial"/>
          <w:color w:val="000000"/>
          <w:szCs w:val="20"/>
          <w:lang w:val="en-US"/>
        </w:rPr>
        <w:t>mg/m</w:t>
      </w:r>
      <w:r w:rsidRPr="003E1D81">
        <w:rPr>
          <w:rFonts w:eastAsia="Times New Roman" w:cs="Arial"/>
          <w:color w:val="000000"/>
          <w:szCs w:val="20"/>
          <w:vertAlign w:val="superscript"/>
          <w:lang w:val="en-US"/>
        </w:rPr>
        <w:t>2</w:t>
      </w:r>
      <w:r w:rsidRPr="003E1D81">
        <w:rPr>
          <w:rFonts w:eastAsia="Times New Roman" w:cs="Arial"/>
          <w:color w:val="000000"/>
          <w:szCs w:val="20"/>
          <w:lang w:val="en-US"/>
        </w:rPr>
        <w:t xml:space="preserve"> </w:t>
      </w:r>
      <w:r w:rsidRPr="003E1D81">
        <w:rPr>
          <w:rFonts w:eastAsia="Times New Roman" w:cs="Arial"/>
          <w:color w:val="000000"/>
          <w:szCs w:val="20"/>
          <w:lang w:eastAsia="bg-BG"/>
        </w:rPr>
        <w:t xml:space="preserve">(изчислението е за перорална доза от 320 </w:t>
      </w:r>
      <w:r w:rsidRPr="003E1D81">
        <w:rPr>
          <w:rFonts w:eastAsia="Times New Roman" w:cs="Arial"/>
          <w:color w:val="000000"/>
          <w:szCs w:val="20"/>
          <w:lang w:val="en-US"/>
        </w:rPr>
        <w:t>mg</w:t>
      </w:r>
      <w:r w:rsidRPr="003E1D81">
        <w:rPr>
          <w:rFonts w:eastAsia="Times New Roman" w:cs="Arial"/>
          <w:color w:val="000000"/>
          <w:szCs w:val="20"/>
          <w:lang w:eastAsia="bg-BG"/>
        </w:rPr>
        <w:t xml:space="preserve">/ден и пациент с тегло 60 </w:t>
      </w:r>
      <w:r w:rsidRPr="003E1D81">
        <w:rPr>
          <w:rFonts w:eastAsia="Times New Roman" w:cs="Arial"/>
          <w:color w:val="000000"/>
          <w:szCs w:val="20"/>
          <w:lang w:val="en-US"/>
        </w:rPr>
        <w:t>kg).</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78136F1E" w:rsidR="0091385D" w:rsidRDefault="0091385D" w:rsidP="0091385D"/>
    <w:p w14:paraId="1C9ABB96" w14:textId="05ABD313" w:rsidR="007A2185" w:rsidRPr="003E1D81" w:rsidRDefault="003E1D81" w:rsidP="0091385D">
      <w:pPr>
        <w:rPr>
          <w:rFonts w:cs="Arial"/>
          <w:sz w:val="24"/>
        </w:rPr>
      </w:pPr>
      <w:r w:rsidRPr="003E1D81">
        <w:rPr>
          <w:rFonts w:cs="Arial"/>
          <w:szCs w:val="20"/>
        </w:rPr>
        <w:t>Няма провеждани проучвания на ефектите върху способността за шофиране. При шофиране и използване на машини, трябва да се има предвид, че могат да се появят замайване или умора.</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0C8ECAD5" w14:textId="77777777"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lang w:eastAsia="bg-BG"/>
        </w:rPr>
        <w:t>При контролирани клинични проучвания при възрастни пациенти с хипертония, общата честота на нежеланите лекарствени реакции (НЛР) е сравнима с тази при плацебо и в съответствие с фармакологията на валсартан. Честотата на нежелани реакции не е дозозависима или зависима от продължителността на лечението, и не е наблюдавана връзка с пола, възрастта или расата.</w:t>
      </w:r>
    </w:p>
    <w:p w14:paraId="03DC88F4" w14:textId="77777777" w:rsidR="003E1D81" w:rsidRPr="003E1D81" w:rsidRDefault="003E1D81" w:rsidP="003E1D81">
      <w:pPr>
        <w:spacing w:line="240" w:lineRule="auto"/>
        <w:rPr>
          <w:rFonts w:eastAsia="Times New Roman" w:cs="Arial"/>
          <w:color w:val="000000"/>
          <w:szCs w:val="20"/>
          <w:lang w:eastAsia="bg-BG"/>
        </w:rPr>
      </w:pPr>
    </w:p>
    <w:p w14:paraId="5D080157" w14:textId="56B549C9"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lang w:eastAsia="bg-BG"/>
        </w:rPr>
        <w:lastRenderedPageBreak/>
        <w:t>Нежеланите лекарствени реакции, съобщени в клиничните и пост-маркетинговите проучвания и лабораторни изследвания са представени по-долу според системо-органни класове.</w:t>
      </w:r>
    </w:p>
    <w:p w14:paraId="1AB8026E" w14:textId="77777777" w:rsidR="003E1D81" w:rsidRPr="003E1D81" w:rsidRDefault="003E1D81" w:rsidP="003E1D81">
      <w:pPr>
        <w:spacing w:line="240" w:lineRule="auto"/>
        <w:rPr>
          <w:rFonts w:eastAsia="Times New Roman" w:cs="Arial"/>
          <w:b/>
          <w:bCs/>
          <w:color w:val="000000"/>
          <w:szCs w:val="20"/>
          <w:u w:val="single"/>
          <w:lang w:eastAsia="bg-BG"/>
        </w:rPr>
      </w:pPr>
    </w:p>
    <w:p w14:paraId="17285DE5" w14:textId="3E7E9F74" w:rsidR="003E1D81" w:rsidRPr="003E1D81" w:rsidRDefault="003E1D81" w:rsidP="003E1D81">
      <w:pPr>
        <w:spacing w:line="240" w:lineRule="auto"/>
        <w:rPr>
          <w:rFonts w:eastAsia="Times New Roman" w:cs="Arial"/>
          <w:sz w:val="28"/>
          <w:szCs w:val="24"/>
          <w:lang w:eastAsia="bg-BG"/>
        </w:rPr>
      </w:pPr>
      <w:r w:rsidRPr="003E1D81">
        <w:rPr>
          <w:rFonts w:eastAsia="Times New Roman" w:cs="Arial"/>
          <w:b/>
          <w:bCs/>
          <w:color w:val="000000"/>
          <w:szCs w:val="20"/>
          <w:u w:val="single"/>
          <w:lang w:eastAsia="bg-BG"/>
        </w:rPr>
        <w:t>Нежелани лекарствени реакции</w:t>
      </w:r>
    </w:p>
    <w:p w14:paraId="1C7715EC" w14:textId="77777777" w:rsidR="003E1D81" w:rsidRPr="003E1D81" w:rsidRDefault="003E1D81" w:rsidP="003E1D81">
      <w:pPr>
        <w:spacing w:line="240" w:lineRule="auto"/>
        <w:rPr>
          <w:rFonts w:eastAsia="Times New Roman" w:cs="Arial"/>
          <w:color w:val="000000"/>
          <w:szCs w:val="20"/>
          <w:lang w:eastAsia="bg-BG"/>
        </w:rPr>
      </w:pPr>
    </w:p>
    <w:p w14:paraId="02A6D444" w14:textId="2041EEE9"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lang w:eastAsia="bg-BG"/>
        </w:rPr>
        <w:t>Нежеланите лекарствени реакции са представени по честота, започвайки от най-честите, като според честотата си те са определени по следния начин:</w:t>
      </w:r>
    </w:p>
    <w:p w14:paraId="426CAD84" w14:textId="6F980D93"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lang w:eastAsia="bg-BG"/>
        </w:rPr>
        <w:t>много чести (≥ 1/10); чести (≥ 1/100 до &lt;1/10); нечести (≥ 1/1 000 до &lt;1/100); редки (≥ 1/10 000 до</w:t>
      </w:r>
      <w:r>
        <w:rPr>
          <w:rFonts w:eastAsia="Times New Roman" w:cs="Arial"/>
          <w:sz w:val="28"/>
          <w:szCs w:val="24"/>
          <w:lang w:eastAsia="bg-BG"/>
        </w:rPr>
        <w:t xml:space="preserve"> </w:t>
      </w:r>
      <w:r w:rsidRPr="003E1D81">
        <w:rPr>
          <w:rFonts w:eastAsia="Times New Roman" w:cs="Arial"/>
          <w:color w:val="000000"/>
          <w:szCs w:val="20"/>
          <w:lang w:eastAsia="bg-BG"/>
        </w:rPr>
        <w:t>&lt;1/1 000); много редки (&lt;1/10 000), с неизвестна честота (честотата не може да бъде оценена от наличните данни).</w:t>
      </w:r>
    </w:p>
    <w:p w14:paraId="0DE92998" w14:textId="77777777" w:rsidR="003E1D81" w:rsidRPr="003E1D81" w:rsidRDefault="003E1D81" w:rsidP="003E1D81">
      <w:pPr>
        <w:spacing w:line="240" w:lineRule="auto"/>
        <w:rPr>
          <w:rFonts w:eastAsia="Times New Roman" w:cs="Arial"/>
          <w:color w:val="000000"/>
          <w:szCs w:val="20"/>
          <w:lang w:eastAsia="bg-BG"/>
        </w:rPr>
      </w:pPr>
    </w:p>
    <w:p w14:paraId="5E4980C9" w14:textId="1F90B7D5"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lang w:eastAsia="bg-BG"/>
        </w:rPr>
        <w:t>Във всяка честотна група реакциите са изброени в низходящ ред според тежестта.</w:t>
      </w:r>
    </w:p>
    <w:p w14:paraId="611865DC" w14:textId="77777777" w:rsidR="003E1D81" w:rsidRPr="003E1D81" w:rsidRDefault="003E1D81" w:rsidP="003E1D81">
      <w:pPr>
        <w:spacing w:line="240" w:lineRule="auto"/>
        <w:rPr>
          <w:rFonts w:eastAsia="Times New Roman" w:cs="Arial"/>
          <w:color w:val="000000"/>
          <w:szCs w:val="20"/>
          <w:lang w:eastAsia="bg-BG"/>
        </w:rPr>
      </w:pPr>
    </w:p>
    <w:p w14:paraId="44DE8512" w14:textId="44ED5D12"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lang w:eastAsia="bg-BG"/>
        </w:rPr>
        <w:t>За всички нежелани лекарствени реакции, съобщени в пост-маркетинговите проучвания и лабораторни изследвания, не е възможно да се определи честотата на НЛР и затова те са представени като НЛР с „неизвестна честота“.</w:t>
      </w:r>
    </w:p>
    <w:p w14:paraId="65DA32FA" w14:textId="77777777" w:rsidR="003E1D81" w:rsidRPr="003E1D81" w:rsidRDefault="003E1D81" w:rsidP="003E1D81">
      <w:pPr>
        <w:rPr>
          <w:rFonts w:eastAsia="Times New Roman" w:cs="Arial"/>
          <w:b/>
          <w:bCs/>
          <w:color w:val="000000"/>
          <w:szCs w:val="20"/>
          <w:lang w:eastAsia="bg-BG"/>
        </w:rPr>
      </w:pPr>
    </w:p>
    <w:p w14:paraId="0254AACC" w14:textId="00089F76" w:rsidR="007A2185" w:rsidRPr="003E1D81" w:rsidRDefault="003E1D81" w:rsidP="003E1D81">
      <w:pPr>
        <w:rPr>
          <w:rFonts w:cs="Arial"/>
          <w:sz w:val="24"/>
        </w:rPr>
      </w:pPr>
      <w:r w:rsidRPr="003E1D81">
        <w:rPr>
          <w:rFonts w:eastAsia="Times New Roman" w:cs="Arial"/>
          <w:b/>
          <w:bCs/>
          <w:color w:val="000000"/>
          <w:szCs w:val="20"/>
          <w:lang w:eastAsia="bg-BG"/>
        </w:rPr>
        <w:t>• Хипертония</w:t>
      </w:r>
    </w:p>
    <w:tbl>
      <w:tblPr>
        <w:tblStyle w:val="TableGrid"/>
        <w:tblW w:w="0" w:type="auto"/>
        <w:tblLook w:val="04A0" w:firstRow="1" w:lastRow="0" w:firstColumn="1" w:lastColumn="0" w:noHBand="0" w:noVBand="1"/>
      </w:tblPr>
      <w:tblGrid>
        <w:gridCol w:w="4675"/>
        <w:gridCol w:w="4675"/>
      </w:tblGrid>
      <w:tr w:rsidR="003E1D81" w14:paraId="610B36BA" w14:textId="77777777" w:rsidTr="00432457">
        <w:tc>
          <w:tcPr>
            <w:tcW w:w="4675" w:type="dxa"/>
          </w:tcPr>
          <w:p w14:paraId="53B75111" w14:textId="77777777" w:rsidR="003E1D81" w:rsidRPr="003E1D81" w:rsidRDefault="003E1D81" w:rsidP="003E1D81">
            <w:r w:rsidRPr="003E1D81">
              <w:rPr>
                <w:b/>
                <w:bCs/>
                <w:szCs w:val="20"/>
              </w:rPr>
              <w:t>Нарушения на кръвта и лимфната система</w:t>
            </w:r>
          </w:p>
          <w:p w14:paraId="25C7A9F0" w14:textId="3AADE4EC" w:rsidR="003E1D81" w:rsidRPr="003E1D81" w:rsidRDefault="003E1D81" w:rsidP="003E1D81">
            <w:r w:rsidRPr="003E1D81">
              <w:rPr>
                <w:szCs w:val="20"/>
              </w:rPr>
              <w:t>С неизвестна честота</w:t>
            </w:r>
          </w:p>
        </w:tc>
        <w:tc>
          <w:tcPr>
            <w:tcW w:w="4675" w:type="dxa"/>
            <w:vAlign w:val="bottom"/>
          </w:tcPr>
          <w:p w14:paraId="77CF26AA" w14:textId="3C341337" w:rsidR="003E1D81" w:rsidRPr="003E1D81" w:rsidRDefault="003E1D81" w:rsidP="003E1D81">
            <w:r w:rsidRPr="003E1D81">
              <w:rPr>
                <w:szCs w:val="20"/>
              </w:rPr>
              <w:t>Намаление на хемоглобина, Намаление на хематокрита, неутропения, тромбоцитопения</w:t>
            </w:r>
          </w:p>
        </w:tc>
      </w:tr>
      <w:tr w:rsidR="003E1D81" w14:paraId="5B162EA8" w14:textId="77777777" w:rsidTr="00432457">
        <w:tc>
          <w:tcPr>
            <w:tcW w:w="4675" w:type="dxa"/>
          </w:tcPr>
          <w:p w14:paraId="34D20AE2" w14:textId="77777777" w:rsidR="003E1D81" w:rsidRPr="003E1D81" w:rsidRDefault="003E1D81" w:rsidP="003E1D81">
            <w:r w:rsidRPr="003E1D81">
              <w:rPr>
                <w:b/>
                <w:bCs/>
                <w:szCs w:val="20"/>
              </w:rPr>
              <w:t>Нарушения на имунната система</w:t>
            </w:r>
          </w:p>
          <w:p w14:paraId="063F57DD" w14:textId="78F85B23" w:rsidR="003E1D81" w:rsidRPr="003E1D81" w:rsidRDefault="003E1D81" w:rsidP="003E1D81">
            <w:r w:rsidRPr="003E1D81">
              <w:rPr>
                <w:szCs w:val="20"/>
              </w:rPr>
              <w:t>С неизвестна честота</w:t>
            </w:r>
          </w:p>
        </w:tc>
        <w:tc>
          <w:tcPr>
            <w:tcW w:w="4675" w:type="dxa"/>
            <w:vAlign w:val="bottom"/>
          </w:tcPr>
          <w:p w14:paraId="471A680A" w14:textId="6ACD4227" w:rsidR="003E1D81" w:rsidRPr="003E1D81" w:rsidRDefault="003E1D81" w:rsidP="003E1D81">
            <w:r w:rsidRPr="003E1D81">
              <w:rPr>
                <w:szCs w:val="20"/>
              </w:rPr>
              <w:t>Свръхчувствителност, включително серумна болест</w:t>
            </w:r>
          </w:p>
        </w:tc>
      </w:tr>
      <w:tr w:rsidR="003E1D81" w14:paraId="6EF48EB9" w14:textId="77777777" w:rsidTr="00432457">
        <w:tc>
          <w:tcPr>
            <w:tcW w:w="4675" w:type="dxa"/>
          </w:tcPr>
          <w:p w14:paraId="5F6FB67F" w14:textId="77777777" w:rsidR="003E1D81" w:rsidRPr="003E1D81" w:rsidRDefault="003E1D81" w:rsidP="003E1D81">
            <w:r w:rsidRPr="003E1D81">
              <w:rPr>
                <w:b/>
                <w:bCs/>
                <w:szCs w:val="20"/>
              </w:rPr>
              <w:t>Нарушения на метаболизма и храненето</w:t>
            </w:r>
          </w:p>
          <w:p w14:paraId="7D08D9DD" w14:textId="5BB9085E" w:rsidR="003E1D81" w:rsidRPr="003E1D81" w:rsidRDefault="003E1D81" w:rsidP="003E1D81">
            <w:r w:rsidRPr="003E1D81">
              <w:rPr>
                <w:szCs w:val="20"/>
              </w:rPr>
              <w:t>С неизвестна честота</w:t>
            </w:r>
          </w:p>
        </w:tc>
        <w:tc>
          <w:tcPr>
            <w:tcW w:w="4675" w:type="dxa"/>
            <w:vAlign w:val="bottom"/>
          </w:tcPr>
          <w:p w14:paraId="579AF6A2" w14:textId="6482DD01" w:rsidR="003E1D81" w:rsidRPr="003E1D81" w:rsidRDefault="003E1D81" w:rsidP="003E1D81">
            <w:r w:rsidRPr="003E1D81">
              <w:rPr>
                <w:szCs w:val="20"/>
              </w:rPr>
              <w:t>Увеличение на серумния калий, хипонатриемия</w:t>
            </w:r>
          </w:p>
        </w:tc>
      </w:tr>
      <w:tr w:rsidR="003E1D81" w14:paraId="7D9C0872" w14:textId="77777777" w:rsidTr="00432457">
        <w:tc>
          <w:tcPr>
            <w:tcW w:w="4675" w:type="dxa"/>
            <w:vAlign w:val="bottom"/>
          </w:tcPr>
          <w:p w14:paraId="0B656DEC" w14:textId="77777777" w:rsidR="003E1D81" w:rsidRPr="003E1D81" w:rsidRDefault="003E1D81" w:rsidP="003E1D81">
            <w:r w:rsidRPr="003E1D81">
              <w:rPr>
                <w:b/>
                <w:bCs/>
                <w:szCs w:val="20"/>
              </w:rPr>
              <w:t>Нарушения на ухото и лабиринта</w:t>
            </w:r>
          </w:p>
          <w:p w14:paraId="3714424C" w14:textId="4D36A231" w:rsidR="003E1D81" w:rsidRPr="003E1D81" w:rsidRDefault="003E1D81" w:rsidP="003E1D81">
            <w:r w:rsidRPr="003E1D81">
              <w:rPr>
                <w:szCs w:val="20"/>
              </w:rPr>
              <w:t>Нечести</w:t>
            </w:r>
          </w:p>
        </w:tc>
        <w:tc>
          <w:tcPr>
            <w:tcW w:w="4675" w:type="dxa"/>
            <w:vAlign w:val="bottom"/>
          </w:tcPr>
          <w:p w14:paraId="1F403773" w14:textId="43F91921" w:rsidR="003E1D81" w:rsidRPr="003E1D81" w:rsidRDefault="003E1D81" w:rsidP="003E1D81">
            <w:r w:rsidRPr="003E1D81">
              <w:rPr>
                <w:szCs w:val="20"/>
              </w:rPr>
              <w:t>Световъртеж</w:t>
            </w:r>
          </w:p>
        </w:tc>
      </w:tr>
      <w:tr w:rsidR="003E1D81" w14:paraId="69F3B874" w14:textId="77777777" w:rsidTr="00432457">
        <w:tc>
          <w:tcPr>
            <w:tcW w:w="4675" w:type="dxa"/>
            <w:vAlign w:val="bottom"/>
          </w:tcPr>
          <w:p w14:paraId="4645CCF9" w14:textId="77777777" w:rsidR="003E1D81" w:rsidRPr="003E1D81" w:rsidRDefault="003E1D81" w:rsidP="003E1D81">
            <w:r w:rsidRPr="003E1D81">
              <w:rPr>
                <w:b/>
                <w:bCs/>
                <w:szCs w:val="20"/>
              </w:rPr>
              <w:t>Съдови нарушения</w:t>
            </w:r>
          </w:p>
          <w:p w14:paraId="65FCFD2A" w14:textId="7ED538F5" w:rsidR="003E1D81" w:rsidRPr="003E1D81" w:rsidRDefault="003E1D81" w:rsidP="003E1D81">
            <w:r w:rsidRPr="003E1D81">
              <w:rPr>
                <w:szCs w:val="20"/>
              </w:rPr>
              <w:t>С неизвестна честота</w:t>
            </w:r>
          </w:p>
        </w:tc>
        <w:tc>
          <w:tcPr>
            <w:tcW w:w="4675" w:type="dxa"/>
            <w:vAlign w:val="bottom"/>
          </w:tcPr>
          <w:p w14:paraId="358928EC" w14:textId="54F6FA4D" w:rsidR="003E1D81" w:rsidRPr="003E1D81" w:rsidRDefault="003E1D81" w:rsidP="003E1D81">
            <w:r w:rsidRPr="003E1D81">
              <w:rPr>
                <w:szCs w:val="20"/>
              </w:rPr>
              <w:t>Васкулит</w:t>
            </w:r>
          </w:p>
        </w:tc>
      </w:tr>
      <w:tr w:rsidR="003E1D81" w14:paraId="66720E35" w14:textId="77777777" w:rsidTr="00432457">
        <w:tc>
          <w:tcPr>
            <w:tcW w:w="4675" w:type="dxa"/>
            <w:vAlign w:val="bottom"/>
          </w:tcPr>
          <w:p w14:paraId="21ED3A03" w14:textId="0BC0B4CB" w:rsidR="003E1D81" w:rsidRPr="003E1D81" w:rsidRDefault="003E1D81" w:rsidP="003E1D81">
            <w:r w:rsidRPr="003E1D81">
              <w:rPr>
                <w:b/>
                <w:bCs/>
                <w:szCs w:val="20"/>
              </w:rPr>
              <w:t>Респирато</w:t>
            </w:r>
            <w:r>
              <w:rPr>
                <w:b/>
                <w:bCs/>
                <w:szCs w:val="20"/>
              </w:rPr>
              <w:t>рни, гръдни и медиастинални нарушения</w:t>
            </w:r>
          </w:p>
          <w:p w14:paraId="45F8285C" w14:textId="24D736FE" w:rsidR="003E1D81" w:rsidRPr="003E1D81" w:rsidRDefault="003E1D81" w:rsidP="003E1D81">
            <w:r w:rsidRPr="003E1D81">
              <w:rPr>
                <w:szCs w:val="20"/>
              </w:rPr>
              <w:t>Нечести</w:t>
            </w:r>
          </w:p>
        </w:tc>
        <w:tc>
          <w:tcPr>
            <w:tcW w:w="4675" w:type="dxa"/>
            <w:vAlign w:val="bottom"/>
          </w:tcPr>
          <w:p w14:paraId="6F658710" w14:textId="22EAE5D5" w:rsidR="003E1D81" w:rsidRPr="003E1D81" w:rsidRDefault="003E1D81" w:rsidP="003E1D81"/>
          <w:p w14:paraId="5C3132AD" w14:textId="24FB5405" w:rsidR="003E1D81" w:rsidRPr="003E1D81" w:rsidRDefault="003E1D81" w:rsidP="003E1D81">
            <w:r w:rsidRPr="003E1D81">
              <w:rPr>
                <w:szCs w:val="20"/>
              </w:rPr>
              <w:t>Кашлица</w:t>
            </w:r>
          </w:p>
        </w:tc>
      </w:tr>
      <w:tr w:rsidR="003E1D81" w14:paraId="0EF3DEEE" w14:textId="77777777" w:rsidTr="00432457">
        <w:tc>
          <w:tcPr>
            <w:tcW w:w="4675" w:type="dxa"/>
            <w:vAlign w:val="bottom"/>
          </w:tcPr>
          <w:p w14:paraId="58D30A2C" w14:textId="77777777" w:rsidR="003E1D81" w:rsidRPr="003E1D81" w:rsidRDefault="003E1D81" w:rsidP="003E1D81">
            <w:r w:rsidRPr="003E1D81">
              <w:rPr>
                <w:b/>
                <w:bCs/>
                <w:szCs w:val="20"/>
              </w:rPr>
              <w:t>Стомашно-чревни нарушения</w:t>
            </w:r>
          </w:p>
          <w:p w14:paraId="4097EEA8" w14:textId="333A2954" w:rsidR="003E1D81" w:rsidRPr="003E1D81" w:rsidRDefault="003E1D81" w:rsidP="003E1D81">
            <w:r w:rsidRPr="003E1D81">
              <w:rPr>
                <w:szCs w:val="20"/>
              </w:rPr>
              <w:t>Нечести</w:t>
            </w:r>
          </w:p>
        </w:tc>
        <w:tc>
          <w:tcPr>
            <w:tcW w:w="4675" w:type="dxa"/>
            <w:vAlign w:val="bottom"/>
          </w:tcPr>
          <w:p w14:paraId="1FAB6FFC" w14:textId="59505235" w:rsidR="003E1D81" w:rsidRPr="003E1D81" w:rsidRDefault="003E1D81" w:rsidP="003E1D81">
            <w:r w:rsidRPr="003E1D81">
              <w:rPr>
                <w:szCs w:val="20"/>
              </w:rPr>
              <w:t>Коремна болка</w:t>
            </w:r>
          </w:p>
        </w:tc>
      </w:tr>
      <w:tr w:rsidR="003E1D81" w14:paraId="79E24649" w14:textId="77777777" w:rsidTr="00432457">
        <w:tc>
          <w:tcPr>
            <w:tcW w:w="4675" w:type="dxa"/>
          </w:tcPr>
          <w:p w14:paraId="796E9B29" w14:textId="77777777" w:rsidR="003E1D81" w:rsidRPr="003E1D81" w:rsidRDefault="003E1D81" w:rsidP="003E1D81">
            <w:r w:rsidRPr="003E1D81">
              <w:rPr>
                <w:b/>
                <w:bCs/>
                <w:szCs w:val="20"/>
              </w:rPr>
              <w:t>Хепатобилиарни нарушения</w:t>
            </w:r>
          </w:p>
          <w:p w14:paraId="3CBC15C5" w14:textId="234360EB" w:rsidR="003E1D81" w:rsidRPr="003E1D81" w:rsidRDefault="003E1D81" w:rsidP="003E1D81">
            <w:r w:rsidRPr="003E1D81">
              <w:rPr>
                <w:szCs w:val="20"/>
              </w:rPr>
              <w:t>С неизвестна честота</w:t>
            </w:r>
          </w:p>
        </w:tc>
        <w:tc>
          <w:tcPr>
            <w:tcW w:w="4675" w:type="dxa"/>
            <w:vAlign w:val="bottom"/>
          </w:tcPr>
          <w:p w14:paraId="169C0115" w14:textId="6AE9D5EF" w:rsidR="003E1D81" w:rsidRPr="003E1D81" w:rsidRDefault="003E1D81" w:rsidP="003E1D81">
            <w:r w:rsidRPr="003E1D81">
              <w:rPr>
                <w:szCs w:val="20"/>
              </w:rPr>
              <w:t>Увеличение на нивата на показателите на чернодробната функция, включително увеличение на серумния билирубин</w:t>
            </w:r>
          </w:p>
        </w:tc>
      </w:tr>
      <w:tr w:rsidR="003E1D81" w14:paraId="1687CDBF" w14:textId="77777777" w:rsidTr="00432457">
        <w:tc>
          <w:tcPr>
            <w:tcW w:w="4675" w:type="dxa"/>
            <w:vAlign w:val="bottom"/>
          </w:tcPr>
          <w:p w14:paraId="27C1255E" w14:textId="77777777" w:rsidR="003E1D81" w:rsidRPr="003E1D81" w:rsidRDefault="003E1D81" w:rsidP="003E1D81">
            <w:r w:rsidRPr="003E1D81">
              <w:rPr>
                <w:b/>
                <w:bCs/>
                <w:szCs w:val="20"/>
              </w:rPr>
              <w:t>Нарушения на кожа и подкожната тъкан</w:t>
            </w:r>
          </w:p>
          <w:p w14:paraId="78AF5F8B" w14:textId="37C33E39" w:rsidR="003E1D81" w:rsidRPr="003E1D81" w:rsidRDefault="003E1D81" w:rsidP="003E1D81">
            <w:r w:rsidRPr="003E1D81">
              <w:rPr>
                <w:szCs w:val="20"/>
              </w:rPr>
              <w:t>С неизвестна честота</w:t>
            </w:r>
          </w:p>
        </w:tc>
        <w:tc>
          <w:tcPr>
            <w:tcW w:w="4675" w:type="dxa"/>
            <w:vAlign w:val="bottom"/>
          </w:tcPr>
          <w:p w14:paraId="7AF14F9A" w14:textId="5836D797" w:rsidR="003E1D81" w:rsidRPr="003E1D81" w:rsidRDefault="003E1D81" w:rsidP="003E1D81">
            <w:r w:rsidRPr="003E1D81">
              <w:rPr>
                <w:szCs w:val="20"/>
              </w:rPr>
              <w:t>Ангиоедем, обрив, сърбеж</w:t>
            </w:r>
          </w:p>
        </w:tc>
      </w:tr>
      <w:tr w:rsidR="003E1D81" w14:paraId="573DCB3A" w14:textId="77777777" w:rsidTr="00432457">
        <w:tc>
          <w:tcPr>
            <w:tcW w:w="4675" w:type="dxa"/>
            <w:vAlign w:val="bottom"/>
          </w:tcPr>
          <w:p w14:paraId="4AF98F40" w14:textId="7D324EE6" w:rsidR="003E1D81" w:rsidRPr="003E1D81" w:rsidRDefault="003E1D81" w:rsidP="003E1D81">
            <w:r w:rsidRPr="003E1D81">
              <w:rPr>
                <w:b/>
                <w:bCs/>
                <w:szCs w:val="20"/>
              </w:rPr>
              <w:t>Нарушения на мускулно-скелетната система</w:t>
            </w:r>
            <w:r>
              <w:rPr>
                <w:b/>
                <w:bCs/>
                <w:szCs w:val="20"/>
              </w:rPr>
              <w:t xml:space="preserve"> </w:t>
            </w:r>
            <w:r w:rsidRPr="003E1D81">
              <w:rPr>
                <w:b/>
                <w:bCs/>
                <w:szCs w:val="20"/>
              </w:rPr>
              <w:t>и съединителната тъкан</w:t>
            </w:r>
          </w:p>
          <w:p w14:paraId="72ECC32B" w14:textId="62F96A75" w:rsidR="003E1D81" w:rsidRPr="003E1D81" w:rsidRDefault="003E1D81" w:rsidP="003E1D81">
            <w:r w:rsidRPr="003E1D81">
              <w:rPr>
                <w:szCs w:val="20"/>
              </w:rPr>
              <w:t>С неизвестна честота</w:t>
            </w:r>
          </w:p>
        </w:tc>
        <w:tc>
          <w:tcPr>
            <w:tcW w:w="4675" w:type="dxa"/>
            <w:vAlign w:val="bottom"/>
          </w:tcPr>
          <w:p w14:paraId="00083DF7" w14:textId="307E7E70" w:rsidR="003E1D81" w:rsidRPr="003E1D81" w:rsidRDefault="003E1D81" w:rsidP="003E1D81">
            <w:r w:rsidRPr="003E1D81">
              <w:rPr>
                <w:szCs w:val="20"/>
              </w:rPr>
              <w:t>Миалгия</w:t>
            </w:r>
          </w:p>
        </w:tc>
      </w:tr>
      <w:tr w:rsidR="003E1D81" w14:paraId="0FCE7467" w14:textId="77777777" w:rsidTr="00432457">
        <w:tc>
          <w:tcPr>
            <w:tcW w:w="4675" w:type="dxa"/>
            <w:vAlign w:val="center"/>
          </w:tcPr>
          <w:p w14:paraId="681346A3" w14:textId="70BB0288" w:rsidR="003E1D81" w:rsidRPr="003E1D81" w:rsidRDefault="003E1D81" w:rsidP="003E1D81">
            <w:r w:rsidRPr="003E1D81">
              <w:rPr>
                <w:b/>
                <w:bCs/>
                <w:szCs w:val="20"/>
              </w:rPr>
              <w:t>Нарушени</w:t>
            </w:r>
            <w:r>
              <w:rPr>
                <w:b/>
                <w:bCs/>
                <w:szCs w:val="20"/>
              </w:rPr>
              <w:t>я на бъбреците и пикочните пътища</w:t>
            </w:r>
          </w:p>
          <w:p w14:paraId="78AA4723" w14:textId="4689C949" w:rsidR="003E1D81" w:rsidRPr="003E1D81" w:rsidRDefault="003E1D81" w:rsidP="003E1D81">
            <w:r w:rsidRPr="003E1D81">
              <w:rPr>
                <w:szCs w:val="20"/>
              </w:rPr>
              <w:t>С неизвестна честота</w:t>
            </w:r>
          </w:p>
        </w:tc>
        <w:tc>
          <w:tcPr>
            <w:tcW w:w="4675" w:type="dxa"/>
            <w:vAlign w:val="bottom"/>
          </w:tcPr>
          <w:p w14:paraId="2EFBC8D7" w14:textId="0B8125B9" w:rsidR="003E1D81" w:rsidRPr="003E1D81" w:rsidRDefault="003E1D81" w:rsidP="003E1D81"/>
          <w:p w14:paraId="3777F3BD" w14:textId="0C54B959" w:rsidR="003E1D81" w:rsidRPr="003E1D81" w:rsidRDefault="003E1D81" w:rsidP="003E1D81">
            <w:r w:rsidRPr="003E1D81">
              <w:rPr>
                <w:szCs w:val="20"/>
              </w:rPr>
              <w:t>Бъбречна недостатъчност и увреждане</w:t>
            </w:r>
            <w:r w:rsidRPr="003E1D81">
              <w:rPr>
                <w:szCs w:val="20"/>
                <w:u w:val="single"/>
              </w:rPr>
              <w:t xml:space="preserve"> </w:t>
            </w:r>
            <w:r w:rsidRPr="003E1D81">
              <w:rPr>
                <w:szCs w:val="20"/>
              </w:rPr>
              <w:t>увеличение на серумния креатинин</w:t>
            </w:r>
          </w:p>
        </w:tc>
      </w:tr>
      <w:tr w:rsidR="003E1D81" w14:paraId="49853F9C" w14:textId="77777777" w:rsidTr="003E1D81">
        <w:tc>
          <w:tcPr>
            <w:tcW w:w="4675" w:type="dxa"/>
          </w:tcPr>
          <w:p w14:paraId="29574B9F" w14:textId="5F2694C7" w:rsidR="003E1D81" w:rsidRPr="003E1D81" w:rsidRDefault="003E1D81" w:rsidP="003E1D81">
            <w:r w:rsidRPr="003E1D81">
              <w:rPr>
                <w:b/>
                <w:bCs/>
                <w:szCs w:val="20"/>
              </w:rPr>
              <w:lastRenderedPageBreak/>
              <w:t xml:space="preserve">Общи нарушения и ефекти на мястото на </w:t>
            </w:r>
            <w:proofErr w:type="spellStart"/>
            <w:r>
              <w:rPr>
                <w:b/>
                <w:bCs/>
                <w:szCs w:val="20"/>
                <w:lang w:val="en-US"/>
              </w:rPr>
              <w:t>приложение</w:t>
            </w:r>
            <w:proofErr w:type="spellEnd"/>
          </w:p>
          <w:p w14:paraId="7E54459E" w14:textId="14FCE6C2" w:rsidR="003E1D81" w:rsidRPr="003E1D81" w:rsidRDefault="003E1D81" w:rsidP="003E1D81">
            <w:r w:rsidRPr="003E1D81">
              <w:rPr>
                <w:szCs w:val="20"/>
              </w:rPr>
              <w:t>С неизвестна честота</w:t>
            </w:r>
          </w:p>
        </w:tc>
        <w:tc>
          <w:tcPr>
            <w:tcW w:w="4675" w:type="dxa"/>
          </w:tcPr>
          <w:p w14:paraId="452D6BB4" w14:textId="77777777" w:rsidR="003E1D81" w:rsidRPr="003E1D81" w:rsidRDefault="003E1D81" w:rsidP="003E1D81"/>
          <w:p w14:paraId="7A89C050" w14:textId="66268303" w:rsidR="003E1D81" w:rsidRPr="003E1D81" w:rsidRDefault="003E1D81" w:rsidP="003E1D81"/>
          <w:p w14:paraId="01FFB311" w14:textId="11A3BACC" w:rsidR="003E1D81" w:rsidRPr="003E1D81" w:rsidRDefault="003E1D81" w:rsidP="003E1D81">
            <w:r w:rsidRPr="003E1D81">
              <w:rPr>
                <w:szCs w:val="20"/>
              </w:rPr>
              <w:t>Уморяемост</w:t>
            </w:r>
          </w:p>
        </w:tc>
      </w:tr>
    </w:tbl>
    <w:p w14:paraId="443BC107" w14:textId="7EE29B1A" w:rsidR="005B0F27" w:rsidRDefault="005B0F27" w:rsidP="0091385D"/>
    <w:p w14:paraId="56652CB4" w14:textId="7D629486" w:rsidR="003E1D81" w:rsidRPr="003E1D81" w:rsidRDefault="003E1D81" w:rsidP="0091385D">
      <w:pPr>
        <w:rPr>
          <w:sz w:val="24"/>
        </w:rPr>
      </w:pPr>
      <w:r w:rsidRPr="003E1D81">
        <w:rPr>
          <w:i/>
          <w:iCs/>
          <w:szCs w:val="20"/>
          <w:u w:val="single"/>
        </w:rPr>
        <w:t>Педиатрична популаиия</w:t>
      </w:r>
    </w:p>
    <w:p w14:paraId="4833B441" w14:textId="77777777" w:rsidR="003E1D81" w:rsidRDefault="003E1D81" w:rsidP="003E1D81">
      <w:pPr>
        <w:spacing w:line="240" w:lineRule="auto"/>
        <w:rPr>
          <w:rFonts w:eastAsia="Times New Roman" w:cs="Arial"/>
          <w:color w:val="000000"/>
          <w:szCs w:val="20"/>
          <w:u w:val="single"/>
          <w:lang w:eastAsia="bg-BG"/>
        </w:rPr>
      </w:pPr>
    </w:p>
    <w:p w14:paraId="4179E2CF" w14:textId="5C0BB536"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u w:val="single"/>
          <w:lang w:eastAsia="bg-BG"/>
        </w:rPr>
        <w:t>Хипертония</w:t>
      </w:r>
    </w:p>
    <w:p w14:paraId="7CBCA06B" w14:textId="77777777" w:rsidR="003E1D81" w:rsidRPr="003E1D81" w:rsidRDefault="003E1D81" w:rsidP="003E1D81">
      <w:pPr>
        <w:spacing w:line="240" w:lineRule="auto"/>
        <w:rPr>
          <w:rFonts w:eastAsia="Times New Roman" w:cs="Arial"/>
          <w:color w:val="000000"/>
          <w:szCs w:val="20"/>
          <w:lang w:eastAsia="bg-BG"/>
        </w:rPr>
      </w:pPr>
    </w:p>
    <w:p w14:paraId="7BFEE40E" w14:textId="626FF952"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lang w:eastAsia="bg-BG"/>
        </w:rPr>
        <w:t>Антихипертензивният ефект на валсартан е оценен в хода на две рандомизирани, двойно-слепи клинични проучвания (всяко последвано от период на продължение) и едно отворено проучване. Тези проучвания включват 711 педиатрични пациенти на възраст от 6 до под 18 години със или без хронично бъбречно заболяване (ХБЗ), от които 560 пациенти са получавали валсартан. С изключение на изолирани случаи на стомашно-чревни нарушения (например коремна болка, гадене, повръщане) и замаяност, не са установени значими различия във вида, честотата и тежестта на нежеланите реакции, наблюдавани при педиатрични пациенти на възраст от 6 до под 18 години и тези, съобщени преди това при възрастни пациенти.</w:t>
      </w:r>
    </w:p>
    <w:p w14:paraId="5E2C0CD0" w14:textId="77777777" w:rsidR="003E1D81" w:rsidRPr="003E1D81" w:rsidRDefault="003E1D81" w:rsidP="003E1D81">
      <w:pPr>
        <w:spacing w:line="240" w:lineRule="auto"/>
        <w:rPr>
          <w:rFonts w:eastAsia="Times New Roman" w:cs="Arial"/>
          <w:color w:val="000000"/>
          <w:szCs w:val="20"/>
          <w:lang w:eastAsia="bg-BG"/>
        </w:rPr>
      </w:pPr>
    </w:p>
    <w:p w14:paraId="7C7FEA83" w14:textId="2B365372"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lang w:eastAsia="bg-BG"/>
        </w:rPr>
        <w:t xml:space="preserve">Оценката на неврокогнитивниге функции и развитието на пед иатрични пациенти на възраст от 6 до 16 години, като цяло не показва някакво клинично значимо неблагоприятно повлияване при лечение с валсартан в продължение </w:t>
      </w:r>
      <w:r w:rsidRPr="003E1D81">
        <w:rPr>
          <w:rFonts w:eastAsia="Times New Roman" w:cs="Arial"/>
          <w:i/>
          <w:iCs/>
          <w:color w:val="000000"/>
          <w:szCs w:val="20"/>
          <w:lang w:eastAsia="bg-BG"/>
        </w:rPr>
        <w:t>на една</w:t>
      </w:r>
      <w:r w:rsidRPr="003E1D81">
        <w:rPr>
          <w:rFonts w:eastAsia="Times New Roman" w:cs="Arial"/>
          <w:color w:val="000000"/>
          <w:szCs w:val="20"/>
          <w:lang w:eastAsia="bg-BG"/>
        </w:rPr>
        <w:t xml:space="preserve"> година.</w:t>
      </w:r>
    </w:p>
    <w:p w14:paraId="6BB6E4AF" w14:textId="77777777" w:rsidR="003E1D81" w:rsidRPr="003E1D81" w:rsidRDefault="003E1D81" w:rsidP="003E1D81">
      <w:pPr>
        <w:spacing w:line="240" w:lineRule="auto"/>
        <w:rPr>
          <w:rFonts w:eastAsia="Times New Roman" w:cs="Arial"/>
          <w:color w:val="000000"/>
          <w:szCs w:val="20"/>
          <w:lang w:eastAsia="bg-BG"/>
        </w:rPr>
      </w:pPr>
    </w:p>
    <w:p w14:paraId="5254A67D" w14:textId="5AF45D94"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lang w:eastAsia="bg-BG"/>
        </w:rPr>
        <w:t>Направен е общ анализ на данните от 560 хипертензивни пациенти в педиатрична възраст (между 6 и 17 години), приемали монотерапия е валсартан [</w:t>
      </w:r>
      <w:r w:rsidRPr="003E1D81">
        <w:rPr>
          <w:rFonts w:eastAsia="Times New Roman" w:cs="Arial"/>
          <w:color w:val="000000"/>
          <w:szCs w:val="20"/>
          <w:lang w:val="en-US"/>
        </w:rPr>
        <w:t>n</w:t>
      </w:r>
      <w:r w:rsidRPr="003E1D81">
        <w:rPr>
          <w:rFonts w:eastAsia="Times New Roman" w:cs="Arial"/>
          <w:color w:val="000000"/>
          <w:szCs w:val="20"/>
          <w:lang w:eastAsia="bg-BG"/>
        </w:rPr>
        <w:t>=483] или комбинирана антихипертензивна терапия, включваща валсартан [</w:t>
      </w:r>
      <w:r w:rsidRPr="003E1D81">
        <w:rPr>
          <w:rFonts w:eastAsia="Times New Roman" w:cs="Arial"/>
          <w:color w:val="000000"/>
          <w:szCs w:val="20"/>
          <w:lang w:val="en-US"/>
        </w:rPr>
        <w:t>n</w:t>
      </w:r>
      <w:r w:rsidRPr="003E1D81">
        <w:rPr>
          <w:rFonts w:eastAsia="Times New Roman" w:cs="Arial"/>
          <w:color w:val="000000"/>
          <w:szCs w:val="20"/>
          <w:lang w:eastAsia="bg-BG"/>
        </w:rPr>
        <w:t xml:space="preserve">=77]. От 560-те пациенти, 85 (15,2) са имали ХБЗ (изходна стойност на </w:t>
      </w:r>
      <w:r w:rsidRPr="003E1D81">
        <w:rPr>
          <w:rFonts w:eastAsia="Times New Roman" w:cs="Arial"/>
          <w:color w:val="000000"/>
          <w:szCs w:val="20"/>
          <w:lang w:val="en-US"/>
        </w:rPr>
        <w:t xml:space="preserve">GFR </w:t>
      </w:r>
      <w:r w:rsidRPr="003E1D81">
        <w:rPr>
          <w:rFonts w:eastAsia="Times New Roman" w:cs="Arial"/>
          <w:color w:val="000000"/>
          <w:szCs w:val="20"/>
          <w:lang w:eastAsia="bg-BG"/>
        </w:rPr>
        <w:t xml:space="preserve">&lt;90 </w:t>
      </w:r>
      <w:r w:rsidRPr="003E1D81">
        <w:rPr>
          <w:rFonts w:eastAsia="Times New Roman" w:cs="Arial"/>
          <w:color w:val="000000"/>
          <w:szCs w:val="20"/>
          <w:lang w:val="en-US"/>
        </w:rPr>
        <w:t>mL/min/l,73m</w:t>
      </w:r>
      <w:r w:rsidRPr="003E1D81">
        <w:rPr>
          <w:rFonts w:eastAsia="Times New Roman" w:cs="Arial"/>
          <w:color w:val="000000"/>
          <w:szCs w:val="20"/>
          <w:vertAlign w:val="superscript"/>
          <w:lang w:val="en-US"/>
        </w:rPr>
        <w:t>2</w:t>
      </w:r>
      <w:r w:rsidRPr="003E1D81">
        <w:rPr>
          <w:rFonts w:eastAsia="Times New Roman" w:cs="Arial"/>
          <w:color w:val="000000"/>
          <w:szCs w:val="20"/>
          <w:lang w:val="en-US"/>
        </w:rPr>
        <w:t xml:space="preserve">). </w:t>
      </w:r>
      <w:r w:rsidRPr="003E1D81">
        <w:rPr>
          <w:rFonts w:eastAsia="Times New Roman" w:cs="Arial"/>
          <w:color w:val="000000"/>
          <w:szCs w:val="20"/>
          <w:lang w:eastAsia="bg-BG"/>
        </w:rPr>
        <w:t>Общо 45 (8,0%) пациенти са прекратили участието си в проучване поради настъпили нежелани събития. Общо 111 (2,3%) пациенти са имали нежелана лекарствена реакция (НЛР), от които най-честите са били главоболие (5,4%), замаяност (2,3%) и хиперкалиемия (2,3%). При пациентите с ХБЗ най-честите НЛР са били хиперкалиемия (12,9%), главоболие (7,1%), повишен креатитин в кръвта (5,9%) и хипотония (4,7%). При пациентите без ХБЗ най-честите НЛР са били главоболие (5,1%) и замаяност (2,7%). НЛР са наблюдавани по-често при пациентите, приемали валсартан в комбинация с друго антихипертензивно средство, отколкото при монотерапия с валсартан.</w:t>
      </w:r>
    </w:p>
    <w:p w14:paraId="54514510" w14:textId="77777777" w:rsidR="003E1D81" w:rsidRPr="003E1D81" w:rsidRDefault="003E1D81" w:rsidP="003E1D81">
      <w:pPr>
        <w:spacing w:line="240" w:lineRule="auto"/>
        <w:rPr>
          <w:rFonts w:eastAsia="Times New Roman" w:cs="Arial"/>
          <w:color w:val="000000"/>
          <w:szCs w:val="20"/>
          <w:lang w:eastAsia="bg-BG"/>
        </w:rPr>
      </w:pPr>
    </w:p>
    <w:p w14:paraId="1483EFD7" w14:textId="6B631CB5"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lang w:eastAsia="bg-BG"/>
        </w:rPr>
        <w:t xml:space="preserve">Антихипертензивният ефект на валсартан при деца </w:t>
      </w:r>
      <w:r w:rsidRPr="003E1D81">
        <w:rPr>
          <w:rFonts w:eastAsia="Times New Roman" w:cs="Arial"/>
          <w:i/>
          <w:iCs/>
          <w:color w:val="000000"/>
          <w:szCs w:val="20"/>
          <w:lang w:eastAsia="bg-BG"/>
        </w:rPr>
        <w:t>на</w:t>
      </w:r>
      <w:r w:rsidRPr="003E1D81">
        <w:rPr>
          <w:rFonts w:eastAsia="Times New Roman" w:cs="Arial"/>
          <w:color w:val="000000"/>
          <w:szCs w:val="20"/>
          <w:lang w:eastAsia="bg-BG"/>
        </w:rPr>
        <w:t xml:space="preserve"> възраст от 1 до под 6 години е оценен в три рандомизирани, двойно-слепи клинични проучвания (всяко следвано от удължен период). В първото проучване при 90 деца на възраст от 1 до под 6 години са наблюдавани два смъртни случая и единични случаи на подчертано повишаване на чернодробните трансаминази. Тези случаи са възникнали при популация, която е имала значителни съпътстващи заболявалия. Причинна връзка с валсартан не е установена. В двете последващи проучвания, при които са рандомизирани 202 деца на възраст от 1 до под 6 години, при лечение с валсартан не са настъпили значителни повишения на чернодробните трансаминази или смърт.</w:t>
      </w:r>
    </w:p>
    <w:p w14:paraId="623CE32A" w14:textId="77777777" w:rsidR="003E1D81" w:rsidRPr="003E1D81" w:rsidRDefault="003E1D81" w:rsidP="003E1D81">
      <w:pPr>
        <w:spacing w:line="240" w:lineRule="auto"/>
        <w:rPr>
          <w:rFonts w:eastAsia="Times New Roman" w:cs="Arial"/>
          <w:color w:val="000000"/>
          <w:szCs w:val="20"/>
          <w:lang w:eastAsia="bg-BG"/>
        </w:rPr>
      </w:pPr>
    </w:p>
    <w:p w14:paraId="2494CA32" w14:textId="4CD353A6"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lang w:eastAsia="bg-BG"/>
        </w:rPr>
        <w:t xml:space="preserve">В общ анализ на двете последващи проучвания при 202 деца с хипертония (на възраст от 1 до под 6 години) всички пациенти са получавали монотерапия с валсартан в двойно-слепите периоди (с изключение на периода на излизане от плацебо). От тях 186 пациенти са участвали или в продължение на проучването, или в отворено такова. От 202 пациенти, 33 (16,3%) са имали ХБЗ (изходен иГФ &lt;90 </w:t>
      </w:r>
      <w:r w:rsidRPr="003E1D81">
        <w:rPr>
          <w:rFonts w:eastAsia="Times New Roman" w:cs="Arial"/>
          <w:color w:val="000000"/>
          <w:szCs w:val="20"/>
          <w:lang w:val="en-US"/>
        </w:rPr>
        <w:t xml:space="preserve">ml </w:t>
      </w:r>
      <w:r w:rsidRPr="003E1D81">
        <w:rPr>
          <w:rFonts w:eastAsia="Times New Roman" w:cs="Arial"/>
          <w:color w:val="000000"/>
          <w:szCs w:val="20"/>
          <w:lang w:eastAsia="bg-BG"/>
        </w:rPr>
        <w:t xml:space="preserve">/ </w:t>
      </w:r>
      <w:r w:rsidRPr="003E1D81">
        <w:rPr>
          <w:rFonts w:eastAsia="Times New Roman" w:cs="Arial"/>
          <w:color w:val="000000"/>
          <w:szCs w:val="20"/>
          <w:lang w:val="en-US"/>
        </w:rPr>
        <w:t xml:space="preserve">min). </w:t>
      </w:r>
      <w:r w:rsidRPr="003E1D81">
        <w:rPr>
          <w:rFonts w:eastAsia="Times New Roman" w:cs="Arial"/>
          <w:color w:val="000000"/>
          <w:szCs w:val="20"/>
          <w:lang w:eastAsia="bg-BG"/>
        </w:rPr>
        <w:t xml:space="preserve">В двойно- слепия период </w:t>
      </w:r>
      <w:r w:rsidRPr="003E1D81">
        <w:rPr>
          <w:rFonts w:eastAsia="Times New Roman" w:cs="Arial"/>
          <w:color w:val="000000"/>
          <w:szCs w:val="20"/>
          <w:lang w:eastAsia="bg-BG"/>
        </w:rPr>
        <w:lastRenderedPageBreak/>
        <w:t xml:space="preserve">двама пациенти (1%) са отпаднали поради нежелано събитие, а четирима пациенти (2,1%) са отпаднали поради нежелано събитие в отворения период и в продължението на проучването. По време на двойно-слепия период 13 (7,0%) пациенти са имали поне една НЛР. Най-честите НЛР са били повръщане </w:t>
      </w:r>
      <w:r w:rsidRPr="003E1D81">
        <w:rPr>
          <w:rFonts w:eastAsia="Times New Roman" w:cs="Arial"/>
          <w:color w:val="000000"/>
          <w:szCs w:val="20"/>
          <w:lang w:val="en-US"/>
        </w:rPr>
        <w:t>n</w:t>
      </w:r>
      <w:r w:rsidRPr="003E1D81">
        <w:rPr>
          <w:rFonts w:eastAsia="Times New Roman" w:cs="Arial"/>
          <w:color w:val="000000"/>
          <w:szCs w:val="20"/>
          <w:lang w:eastAsia="bg-BG"/>
        </w:rPr>
        <w:t xml:space="preserve">=3 (1,6%) и диария </w:t>
      </w:r>
      <w:r w:rsidRPr="003E1D81">
        <w:rPr>
          <w:rFonts w:eastAsia="Times New Roman" w:cs="Arial"/>
          <w:color w:val="000000"/>
          <w:szCs w:val="20"/>
          <w:lang w:val="en-US"/>
        </w:rPr>
        <w:t>n</w:t>
      </w:r>
      <w:r w:rsidRPr="003E1D81">
        <w:rPr>
          <w:rFonts w:eastAsia="Times New Roman" w:cs="Arial"/>
          <w:color w:val="000000"/>
          <w:szCs w:val="20"/>
          <w:lang w:eastAsia="bg-BG"/>
        </w:rPr>
        <w:t>=2 (1,1%). Имало е един пациент с НРЛ (диария) в групата с ХБЗ. В отворения период 5,4% пациенти (10/186) са имали поне една НЛР. Най-честата НЛР е била намален апетит, която е е съобщена от двама пациенти (1,1%). Както в двойно-слепия период, така и в отворения период се съобщава за хиперкалиемия при един пациент във всеки период. Не са наблюдавани случаи на хипотония или замаяност нито в двойно-слепия, нито в отворения период.</w:t>
      </w:r>
    </w:p>
    <w:p w14:paraId="3EE1CEF9" w14:textId="77777777" w:rsidR="003E1D81" w:rsidRPr="003E1D81" w:rsidRDefault="003E1D81" w:rsidP="003E1D81">
      <w:pPr>
        <w:spacing w:line="240" w:lineRule="auto"/>
        <w:rPr>
          <w:rFonts w:eastAsia="Times New Roman" w:cs="Arial"/>
          <w:color w:val="000000"/>
          <w:szCs w:val="20"/>
          <w:lang w:eastAsia="bg-BG"/>
        </w:rPr>
      </w:pPr>
    </w:p>
    <w:p w14:paraId="7B1DB7C1" w14:textId="54E3B69F"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lang w:eastAsia="bg-BG"/>
        </w:rPr>
        <w:t>Хиперкалиемия се наблюдава по-често при деца и юноши на възраст от 1 до под 18 години с подлежащо хронично бъбречно заболяване (ХБЗ). Рискът от хиперкалиемия може да бъде по-висок при деца на възраст от 1 до 5 години в сравнение с деца на възраст от 6 до под 18 години.</w:t>
      </w:r>
    </w:p>
    <w:p w14:paraId="34B4B7DE" w14:textId="77777777" w:rsidR="003E1D81" w:rsidRPr="003E1D81" w:rsidRDefault="003E1D81" w:rsidP="003E1D81">
      <w:pPr>
        <w:spacing w:line="240" w:lineRule="auto"/>
        <w:rPr>
          <w:rFonts w:eastAsia="Times New Roman" w:cs="Arial"/>
          <w:color w:val="000000"/>
          <w:szCs w:val="20"/>
          <w:lang w:eastAsia="bg-BG"/>
        </w:rPr>
      </w:pPr>
    </w:p>
    <w:p w14:paraId="4B79EE04" w14:textId="4425B82E"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lang w:eastAsia="bg-BG"/>
        </w:rPr>
        <w:t>Профилът на безопасност, наблюдаван в контролирани клинични проучвания при възрастни пациенти след инфаркт на миокарда и/или сърдечна недостатъчност се различава от профила на</w:t>
      </w:r>
      <w:r w:rsidRPr="003E1D81">
        <w:rPr>
          <w:rFonts w:eastAsia="Times New Roman" w:cs="Arial"/>
          <w:sz w:val="28"/>
          <w:szCs w:val="24"/>
          <w:lang w:eastAsia="bg-BG"/>
        </w:rPr>
        <w:t xml:space="preserve"> </w:t>
      </w:r>
      <w:r w:rsidRPr="003E1D81">
        <w:rPr>
          <w:rFonts w:eastAsia="Times New Roman" w:cs="Arial"/>
          <w:color w:val="000000"/>
          <w:szCs w:val="20"/>
          <w:lang w:eastAsia="bg-BG"/>
        </w:rPr>
        <w:t xml:space="preserve">безопасност при хипертензивни пациенти. Това е може би е свързано с основното заболяване на пациента. Нежеланите реакции, проявили се при възрастни пациенти след </w:t>
      </w:r>
      <w:r w:rsidRPr="003E1D81">
        <w:rPr>
          <w:rFonts w:eastAsia="Times New Roman" w:cs="Arial"/>
          <w:iCs/>
          <w:color w:val="000000"/>
          <w:szCs w:val="20"/>
          <w:lang w:eastAsia="bg-BG"/>
        </w:rPr>
        <w:t>инфаркт на миокарда и/или</w:t>
      </w:r>
      <w:r w:rsidRPr="003E1D81">
        <w:rPr>
          <w:rFonts w:eastAsia="Times New Roman" w:cs="Arial"/>
          <w:sz w:val="28"/>
          <w:szCs w:val="24"/>
          <w:lang w:eastAsia="bg-BG"/>
        </w:rPr>
        <w:t xml:space="preserve"> </w:t>
      </w:r>
      <w:r w:rsidRPr="003E1D81">
        <w:rPr>
          <w:rFonts w:eastAsia="Times New Roman" w:cs="Arial"/>
          <w:color w:val="000000"/>
          <w:szCs w:val="20"/>
          <w:lang w:eastAsia="bg-BG"/>
        </w:rPr>
        <w:t>сърдечна недостатъчност са посочени по-долу:</w:t>
      </w:r>
    </w:p>
    <w:p w14:paraId="21C1F990" w14:textId="77777777" w:rsidR="003E1D81" w:rsidRDefault="003E1D81" w:rsidP="003E1D81">
      <w:pPr>
        <w:rPr>
          <w:rFonts w:eastAsia="Times New Roman" w:cs="Arial"/>
          <w:b/>
          <w:bCs/>
          <w:color w:val="000000"/>
          <w:szCs w:val="20"/>
          <w:lang w:eastAsia="bg-BG"/>
        </w:rPr>
      </w:pPr>
      <w:bookmarkStart w:id="1" w:name="bookmark0"/>
    </w:p>
    <w:p w14:paraId="0481CBAD" w14:textId="06ED9A6D" w:rsidR="003E1D81" w:rsidRPr="003E1D81" w:rsidRDefault="003E1D81" w:rsidP="003E1D81">
      <w:pPr>
        <w:pStyle w:val="ListParagraph"/>
        <w:numPr>
          <w:ilvl w:val="0"/>
          <w:numId w:val="40"/>
        </w:numPr>
      </w:pPr>
      <w:r w:rsidRPr="003E1D81">
        <w:rPr>
          <w:b/>
          <w:bCs/>
        </w:rPr>
        <w:t>След инфаркт на миокарда и/или сърдечна недостатъчност (проучвания само при възрастни пациенти)</w:t>
      </w:r>
      <w:bookmarkEnd w:id="1"/>
    </w:p>
    <w:p w14:paraId="7610F91C" w14:textId="059A3FCE" w:rsidR="003E1D81" w:rsidRDefault="003E1D81" w:rsidP="0091385D"/>
    <w:tbl>
      <w:tblPr>
        <w:tblStyle w:val="TableGrid"/>
        <w:tblW w:w="0" w:type="auto"/>
        <w:tblLook w:val="04A0" w:firstRow="1" w:lastRow="0" w:firstColumn="1" w:lastColumn="0" w:noHBand="0" w:noVBand="1"/>
      </w:tblPr>
      <w:tblGrid>
        <w:gridCol w:w="4675"/>
        <w:gridCol w:w="4675"/>
      </w:tblGrid>
      <w:tr w:rsidR="003E1D81" w14:paraId="49E4F5B8" w14:textId="77777777" w:rsidTr="003E1D81">
        <w:tc>
          <w:tcPr>
            <w:tcW w:w="4675" w:type="dxa"/>
          </w:tcPr>
          <w:p w14:paraId="497E282B" w14:textId="480AC128" w:rsidR="003E1D81" w:rsidRPr="003E1D81" w:rsidRDefault="00432457" w:rsidP="003E1D81">
            <w:r>
              <w:rPr>
                <w:b/>
                <w:bCs/>
              </w:rPr>
              <w:t>Нарушения на кръвта и</w:t>
            </w:r>
            <w:r w:rsidR="003E1D81" w:rsidRPr="003E1D81">
              <w:rPr>
                <w:b/>
                <w:bCs/>
              </w:rPr>
              <w:t xml:space="preserve"> лимфната система</w:t>
            </w:r>
          </w:p>
          <w:p w14:paraId="67AD4CF0" w14:textId="07D7C407" w:rsidR="003E1D81" w:rsidRPr="003E1D81" w:rsidRDefault="003E1D81" w:rsidP="003E1D81">
            <w:r w:rsidRPr="003E1D81">
              <w:t>С неизвестна честота</w:t>
            </w:r>
          </w:p>
        </w:tc>
        <w:tc>
          <w:tcPr>
            <w:tcW w:w="4675" w:type="dxa"/>
          </w:tcPr>
          <w:p w14:paraId="7E6D806E" w14:textId="7B88022D" w:rsidR="003E1D81" w:rsidRPr="003E1D81" w:rsidRDefault="003E1D81" w:rsidP="003E1D81">
            <w:r w:rsidRPr="003E1D81">
              <w:t>Тромбоцитопения</w:t>
            </w:r>
          </w:p>
        </w:tc>
      </w:tr>
      <w:tr w:rsidR="003E1D81" w14:paraId="4DE870DF" w14:textId="77777777" w:rsidTr="003E1D81">
        <w:tc>
          <w:tcPr>
            <w:tcW w:w="4675" w:type="dxa"/>
          </w:tcPr>
          <w:p w14:paraId="2BC87D0C" w14:textId="77777777" w:rsidR="003E1D81" w:rsidRPr="003E1D81" w:rsidRDefault="003E1D81" w:rsidP="003E1D81">
            <w:r w:rsidRPr="003E1D81">
              <w:rPr>
                <w:b/>
                <w:bCs/>
              </w:rPr>
              <w:t>Нарушения на имунната система</w:t>
            </w:r>
          </w:p>
          <w:p w14:paraId="6FB37420" w14:textId="45720336" w:rsidR="003E1D81" w:rsidRPr="003E1D81" w:rsidRDefault="003E1D81" w:rsidP="003E1D81">
            <w:r w:rsidRPr="003E1D81">
              <w:t>С неизвестна честота</w:t>
            </w:r>
          </w:p>
        </w:tc>
        <w:tc>
          <w:tcPr>
            <w:tcW w:w="4675" w:type="dxa"/>
          </w:tcPr>
          <w:p w14:paraId="527AD920" w14:textId="41F1FDE4" w:rsidR="003E1D81" w:rsidRPr="003E1D81" w:rsidRDefault="003E1D81" w:rsidP="003E1D81">
            <w:r w:rsidRPr="003E1D81">
              <w:t>Свръхчувствителност, включително серумна болест</w:t>
            </w:r>
          </w:p>
        </w:tc>
      </w:tr>
      <w:tr w:rsidR="003E1D81" w14:paraId="59517DF8" w14:textId="77777777" w:rsidTr="003E1D81">
        <w:tc>
          <w:tcPr>
            <w:tcW w:w="4675" w:type="dxa"/>
          </w:tcPr>
          <w:p w14:paraId="7BA5F468" w14:textId="77777777" w:rsidR="003E1D81" w:rsidRPr="003E1D81" w:rsidRDefault="003E1D81" w:rsidP="003E1D81">
            <w:r w:rsidRPr="003E1D81">
              <w:rPr>
                <w:b/>
                <w:bCs/>
              </w:rPr>
              <w:t>Нарушения на метаболизма и храненето</w:t>
            </w:r>
          </w:p>
          <w:p w14:paraId="289E3F28" w14:textId="77777777" w:rsidR="003E1D81" w:rsidRPr="003E1D81" w:rsidRDefault="003E1D81" w:rsidP="003E1D81">
            <w:r w:rsidRPr="003E1D81">
              <w:t>Нечести</w:t>
            </w:r>
          </w:p>
          <w:p w14:paraId="693F0974" w14:textId="59E9A14B" w:rsidR="003E1D81" w:rsidRPr="003E1D81" w:rsidRDefault="003E1D81" w:rsidP="003E1D81">
            <w:r w:rsidRPr="003E1D81">
              <w:t>С неизвестна честота</w:t>
            </w:r>
          </w:p>
        </w:tc>
        <w:tc>
          <w:tcPr>
            <w:tcW w:w="4675" w:type="dxa"/>
          </w:tcPr>
          <w:p w14:paraId="72DDAA30" w14:textId="77777777" w:rsidR="003E1D81" w:rsidRPr="003E1D81" w:rsidRDefault="003E1D81" w:rsidP="003E1D81">
            <w:r w:rsidRPr="003E1D81">
              <w:t>Хиперкалиемия</w:t>
            </w:r>
          </w:p>
          <w:p w14:paraId="325A9D4E" w14:textId="3CD6DB83" w:rsidR="003E1D81" w:rsidRPr="003E1D81" w:rsidRDefault="003E1D81" w:rsidP="003E1D81">
            <w:r w:rsidRPr="003E1D81">
              <w:t>Увеличение на серумния калий, хипонатриемия</w:t>
            </w:r>
          </w:p>
        </w:tc>
      </w:tr>
      <w:tr w:rsidR="003E1D81" w14:paraId="147A9A19" w14:textId="77777777" w:rsidTr="003E1D81">
        <w:tc>
          <w:tcPr>
            <w:tcW w:w="4675" w:type="dxa"/>
          </w:tcPr>
          <w:p w14:paraId="19B015F8" w14:textId="77777777" w:rsidR="003E1D81" w:rsidRPr="003E1D81" w:rsidRDefault="003E1D81" w:rsidP="003E1D81">
            <w:r w:rsidRPr="003E1D81">
              <w:rPr>
                <w:b/>
                <w:bCs/>
              </w:rPr>
              <w:t>Нарушения на нервната система</w:t>
            </w:r>
          </w:p>
          <w:p w14:paraId="13479BB8" w14:textId="77777777" w:rsidR="003E1D81" w:rsidRPr="003E1D81" w:rsidRDefault="003E1D81" w:rsidP="003E1D81">
            <w:r w:rsidRPr="003E1D81">
              <w:t>Чести</w:t>
            </w:r>
          </w:p>
          <w:p w14:paraId="265A7B9F" w14:textId="3D2DA667" w:rsidR="003E1D81" w:rsidRPr="003E1D81" w:rsidRDefault="003E1D81" w:rsidP="003E1D81">
            <w:r w:rsidRPr="003E1D81">
              <w:t>Нечести</w:t>
            </w:r>
          </w:p>
        </w:tc>
        <w:tc>
          <w:tcPr>
            <w:tcW w:w="4675" w:type="dxa"/>
          </w:tcPr>
          <w:p w14:paraId="78454525" w14:textId="1B559EFA" w:rsidR="003E1D81" w:rsidRPr="003E1D81" w:rsidRDefault="003E1D81" w:rsidP="003E1D81">
            <w:r w:rsidRPr="003E1D81">
              <w:t>Замаяност, постурална замаяност Синкоп, главоболие</w:t>
            </w:r>
          </w:p>
        </w:tc>
      </w:tr>
      <w:tr w:rsidR="003E1D81" w14:paraId="5D15F5D1" w14:textId="77777777" w:rsidTr="003E1D81">
        <w:tc>
          <w:tcPr>
            <w:tcW w:w="4675" w:type="dxa"/>
          </w:tcPr>
          <w:p w14:paraId="3EC0A354" w14:textId="77777777" w:rsidR="003E1D81" w:rsidRPr="003E1D81" w:rsidRDefault="003E1D81" w:rsidP="003E1D81">
            <w:r w:rsidRPr="003E1D81">
              <w:rPr>
                <w:b/>
                <w:bCs/>
              </w:rPr>
              <w:t>Нарушения на ухото н лабиринта</w:t>
            </w:r>
          </w:p>
          <w:p w14:paraId="3E767C16" w14:textId="7F46A46E" w:rsidR="003E1D81" w:rsidRPr="003E1D81" w:rsidRDefault="003E1D81" w:rsidP="003E1D81">
            <w:r w:rsidRPr="003E1D81">
              <w:t>Нечести</w:t>
            </w:r>
          </w:p>
        </w:tc>
        <w:tc>
          <w:tcPr>
            <w:tcW w:w="4675" w:type="dxa"/>
          </w:tcPr>
          <w:p w14:paraId="62832B03" w14:textId="541F04C6" w:rsidR="003E1D81" w:rsidRPr="003E1D81" w:rsidRDefault="003E1D81" w:rsidP="003E1D81">
            <w:r w:rsidRPr="003E1D81">
              <w:t>Световъртеж</w:t>
            </w:r>
          </w:p>
        </w:tc>
      </w:tr>
      <w:tr w:rsidR="003E1D81" w14:paraId="18702204" w14:textId="77777777" w:rsidTr="003E1D81">
        <w:tc>
          <w:tcPr>
            <w:tcW w:w="4675" w:type="dxa"/>
          </w:tcPr>
          <w:p w14:paraId="450700AA" w14:textId="77777777" w:rsidR="003E1D81" w:rsidRPr="003E1D81" w:rsidRDefault="003E1D81" w:rsidP="003E1D81">
            <w:r w:rsidRPr="003E1D81">
              <w:rPr>
                <w:b/>
                <w:bCs/>
              </w:rPr>
              <w:t>Сърдечни нарушения</w:t>
            </w:r>
          </w:p>
          <w:p w14:paraId="2E844A10" w14:textId="38B14057" w:rsidR="003E1D81" w:rsidRPr="003E1D81" w:rsidRDefault="003E1D81" w:rsidP="003E1D81">
            <w:r w:rsidRPr="003E1D81">
              <w:t>Нечести</w:t>
            </w:r>
          </w:p>
        </w:tc>
        <w:tc>
          <w:tcPr>
            <w:tcW w:w="4675" w:type="dxa"/>
          </w:tcPr>
          <w:p w14:paraId="241A1A50" w14:textId="02FE277F" w:rsidR="003E1D81" w:rsidRPr="003E1D81" w:rsidRDefault="003E1D81" w:rsidP="003E1D81">
            <w:r w:rsidRPr="003E1D81">
              <w:t>Сърдечна недостатъчност</w:t>
            </w:r>
          </w:p>
        </w:tc>
      </w:tr>
      <w:tr w:rsidR="003E1D81" w14:paraId="440186E0" w14:textId="77777777" w:rsidTr="003E1D81">
        <w:tc>
          <w:tcPr>
            <w:tcW w:w="4675" w:type="dxa"/>
          </w:tcPr>
          <w:p w14:paraId="6B3DD71A" w14:textId="77777777" w:rsidR="003E1D81" w:rsidRPr="003E1D81" w:rsidRDefault="003E1D81" w:rsidP="003E1D81">
            <w:r w:rsidRPr="003E1D81">
              <w:rPr>
                <w:b/>
                <w:bCs/>
              </w:rPr>
              <w:t>Съдови нарушения</w:t>
            </w:r>
          </w:p>
          <w:p w14:paraId="20D5BAB6" w14:textId="3E71E17B" w:rsidR="003E1D81" w:rsidRPr="003E1D81" w:rsidRDefault="003E1D81" w:rsidP="003E1D81">
            <w:r w:rsidRPr="003E1D81">
              <w:t>Чести С неизвестна честота</w:t>
            </w:r>
          </w:p>
        </w:tc>
        <w:tc>
          <w:tcPr>
            <w:tcW w:w="4675" w:type="dxa"/>
          </w:tcPr>
          <w:p w14:paraId="4268A7FE" w14:textId="31E3FEC8" w:rsidR="003E1D81" w:rsidRPr="003E1D81" w:rsidRDefault="003E1D81" w:rsidP="003E1D81">
            <w:r w:rsidRPr="003E1D81">
              <w:t>Хипотония, ортостатична хипотония Васкулит</w:t>
            </w:r>
          </w:p>
        </w:tc>
      </w:tr>
      <w:tr w:rsidR="003E1D81" w14:paraId="36F746A4" w14:textId="77777777" w:rsidTr="003E1D81">
        <w:tc>
          <w:tcPr>
            <w:tcW w:w="4675" w:type="dxa"/>
          </w:tcPr>
          <w:p w14:paraId="6B28EA7C" w14:textId="69785665" w:rsidR="003E1D81" w:rsidRPr="003E1D81" w:rsidRDefault="003E1D81" w:rsidP="003E1D81">
            <w:r w:rsidRPr="003E1D81">
              <w:rPr>
                <w:b/>
                <w:bCs/>
              </w:rPr>
              <w:t>Респираторн</w:t>
            </w:r>
            <w:r>
              <w:rPr>
                <w:b/>
                <w:bCs/>
              </w:rPr>
              <w:t>и, гръдни и медиастннални нарушения</w:t>
            </w:r>
          </w:p>
          <w:p w14:paraId="12B202FE" w14:textId="77F41DD2" w:rsidR="003E1D81" w:rsidRPr="003E1D81" w:rsidRDefault="003E1D81" w:rsidP="003E1D81"/>
          <w:p w14:paraId="09A023C8" w14:textId="522996ED" w:rsidR="003E1D81" w:rsidRPr="003E1D81" w:rsidRDefault="003E1D81" w:rsidP="003E1D81">
            <w:r w:rsidRPr="003E1D81">
              <w:t>Нечести</w:t>
            </w:r>
          </w:p>
        </w:tc>
        <w:tc>
          <w:tcPr>
            <w:tcW w:w="4675" w:type="dxa"/>
          </w:tcPr>
          <w:p w14:paraId="5F89726A" w14:textId="48EA03E3" w:rsidR="003E1D81" w:rsidRPr="003E1D81" w:rsidRDefault="003E1D81" w:rsidP="003E1D81">
            <w:r w:rsidRPr="003E1D81">
              <w:t>Кашлица</w:t>
            </w:r>
          </w:p>
        </w:tc>
      </w:tr>
      <w:tr w:rsidR="003E1D81" w14:paraId="53CC8ABB" w14:textId="77777777" w:rsidTr="003E1D81">
        <w:tc>
          <w:tcPr>
            <w:tcW w:w="4675" w:type="dxa"/>
          </w:tcPr>
          <w:p w14:paraId="54A3F47B" w14:textId="77777777" w:rsidR="003E1D81" w:rsidRPr="003E1D81" w:rsidRDefault="003E1D81" w:rsidP="003E1D81">
            <w:r w:rsidRPr="003E1D81">
              <w:rPr>
                <w:b/>
                <w:bCs/>
              </w:rPr>
              <w:t>Стомашно-чревни нарушения</w:t>
            </w:r>
          </w:p>
          <w:p w14:paraId="475DDE44" w14:textId="30E6E46E" w:rsidR="003E1D81" w:rsidRPr="003E1D81" w:rsidRDefault="003E1D81" w:rsidP="003E1D81">
            <w:r w:rsidRPr="003E1D81">
              <w:lastRenderedPageBreak/>
              <w:t>Нечести</w:t>
            </w:r>
          </w:p>
        </w:tc>
        <w:tc>
          <w:tcPr>
            <w:tcW w:w="4675" w:type="dxa"/>
          </w:tcPr>
          <w:p w14:paraId="7724A4A0" w14:textId="24D63052" w:rsidR="003E1D81" w:rsidRPr="003E1D81" w:rsidRDefault="003E1D81" w:rsidP="003E1D81">
            <w:r w:rsidRPr="003E1D81">
              <w:lastRenderedPageBreak/>
              <w:t>Гадене, диария</w:t>
            </w:r>
          </w:p>
        </w:tc>
      </w:tr>
      <w:tr w:rsidR="003E1D81" w14:paraId="57910366" w14:textId="77777777" w:rsidTr="003E1D81">
        <w:tc>
          <w:tcPr>
            <w:tcW w:w="4675" w:type="dxa"/>
          </w:tcPr>
          <w:p w14:paraId="480883E5" w14:textId="77777777" w:rsidR="003E1D81" w:rsidRPr="003E1D81" w:rsidRDefault="003E1D81" w:rsidP="003E1D81">
            <w:r w:rsidRPr="003E1D81">
              <w:rPr>
                <w:b/>
                <w:bCs/>
              </w:rPr>
              <w:t>Хепатобилиарни нарушения</w:t>
            </w:r>
          </w:p>
          <w:p w14:paraId="68F30478" w14:textId="09B8B452" w:rsidR="003E1D81" w:rsidRPr="003E1D81" w:rsidRDefault="003E1D81" w:rsidP="003E1D81">
            <w:r w:rsidRPr="003E1D81">
              <w:t>С неизвестна честота</w:t>
            </w:r>
          </w:p>
        </w:tc>
        <w:tc>
          <w:tcPr>
            <w:tcW w:w="4675" w:type="dxa"/>
          </w:tcPr>
          <w:p w14:paraId="4DFF55F2" w14:textId="0DEA7640" w:rsidR="003E1D81" w:rsidRPr="003E1D81" w:rsidRDefault="003E1D81" w:rsidP="003E1D81">
            <w:r w:rsidRPr="003E1D81">
              <w:t>Увеличение на нивата на показателите на чернодробната функция</w:t>
            </w:r>
          </w:p>
        </w:tc>
      </w:tr>
      <w:tr w:rsidR="00432457" w14:paraId="24976A05" w14:textId="77777777" w:rsidTr="003E1D81">
        <w:tc>
          <w:tcPr>
            <w:tcW w:w="4675" w:type="dxa"/>
          </w:tcPr>
          <w:p w14:paraId="0DAF3E4C" w14:textId="77777777" w:rsidR="00432457" w:rsidRPr="00432457" w:rsidRDefault="00432457" w:rsidP="00432457">
            <w:r w:rsidRPr="00432457">
              <w:rPr>
                <w:b/>
                <w:bCs/>
                <w:szCs w:val="20"/>
              </w:rPr>
              <w:t>Нарушения на кожата и подкожната тъкан</w:t>
            </w:r>
          </w:p>
          <w:p w14:paraId="16F5AAA6" w14:textId="77777777" w:rsidR="00432457" w:rsidRPr="00432457" w:rsidRDefault="00432457" w:rsidP="00432457">
            <w:r w:rsidRPr="00432457">
              <w:rPr>
                <w:szCs w:val="20"/>
              </w:rPr>
              <w:t>Нечести</w:t>
            </w:r>
          </w:p>
          <w:p w14:paraId="713C3BC4" w14:textId="69A06F41" w:rsidR="00432457" w:rsidRPr="00432457" w:rsidRDefault="00432457" w:rsidP="00432457">
            <w:r w:rsidRPr="00432457">
              <w:rPr>
                <w:szCs w:val="20"/>
              </w:rPr>
              <w:t>С неизвестна честота</w:t>
            </w:r>
          </w:p>
        </w:tc>
        <w:tc>
          <w:tcPr>
            <w:tcW w:w="4675" w:type="dxa"/>
          </w:tcPr>
          <w:p w14:paraId="4AD8FF5B" w14:textId="77777777" w:rsidR="00432457" w:rsidRPr="00432457" w:rsidRDefault="00432457" w:rsidP="00432457">
            <w:r w:rsidRPr="00432457">
              <w:rPr>
                <w:szCs w:val="20"/>
              </w:rPr>
              <w:t>Ангиоедем</w:t>
            </w:r>
          </w:p>
          <w:p w14:paraId="2ECDB4A2" w14:textId="01C931BC" w:rsidR="00432457" w:rsidRPr="00432457" w:rsidRDefault="00432457" w:rsidP="00432457">
            <w:r w:rsidRPr="00432457">
              <w:rPr>
                <w:szCs w:val="20"/>
              </w:rPr>
              <w:t>Обрив, сърбеж</w:t>
            </w:r>
          </w:p>
        </w:tc>
      </w:tr>
      <w:tr w:rsidR="00432457" w14:paraId="009092E0" w14:textId="77777777" w:rsidTr="003E1D81">
        <w:tc>
          <w:tcPr>
            <w:tcW w:w="4675" w:type="dxa"/>
          </w:tcPr>
          <w:p w14:paraId="109EA642" w14:textId="77777777" w:rsidR="00432457" w:rsidRPr="00432457" w:rsidRDefault="00432457" w:rsidP="00432457">
            <w:r w:rsidRPr="00432457">
              <w:rPr>
                <w:b/>
                <w:bCs/>
                <w:szCs w:val="20"/>
              </w:rPr>
              <w:t>Нарушения на</w:t>
            </w:r>
            <w:r>
              <w:rPr>
                <w:b/>
                <w:bCs/>
                <w:szCs w:val="20"/>
              </w:rPr>
              <w:t xml:space="preserve"> мускулно-скелетната система и </w:t>
            </w:r>
            <w:r w:rsidRPr="00432457">
              <w:rPr>
                <w:b/>
                <w:bCs/>
                <w:szCs w:val="20"/>
              </w:rPr>
              <w:t>съединителната тъкан</w:t>
            </w:r>
          </w:p>
          <w:p w14:paraId="5FCAFA03" w14:textId="315CEDC5" w:rsidR="00432457" w:rsidRPr="00432457" w:rsidRDefault="00432457" w:rsidP="00432457">
            <w:r w:rsidRPr="00432457">
              <w:rPr>
                <w:szCs w:val="20"/>
              </w:rPr>
              <w:t>С неизвестна честота</w:t>
            </w:r>
          </w:p>
        </w:tc>
        <w:tc>
          <w:tcPr>
            <w:tcW w:w="4675" w:type="dxa"/>
          </w:tcPr>
          <w:p w14:paraId="733F42D0" w14:textId="77777777" w:rsidR="00432457" w:rsidRDefault="00432457" w:rsidP="00432457">
            <w:pPr>
              <w:rPr>
                <w:szCs w:val="20"/>
              </w:rPr>
            </w:pPr>
          </w:p>
          <w:p w14:paraId="75BAB06E" w14:textId="77777777" w:rsidR="00432457" w:rsidRDefault="00432457" w:rsidP="00432457">
            <w:pPr>
              <w:rPr>
                <w:szCs w:val="20"/>
              </w:rPr>
            </w:pPr>
          </w:p>
          <w:p w14:paraId="08E627C6" w14:textId="5CF31D5F" w:rsidR="00432457" w:rsidRPr="00432457" w:rsidRDefault="00432457" w:rsidP="00432457">
            <w:r w:rsidRPr="00432457">
              <w:rPr>
                <w:szCs w:val="20"/>
              </w:rPr>
              <w:t>Миалгия</w:t>
            </w:r>
          </w:p>
        </w:tc>
      </w:tr>
      <w:tr w:rsidR="00432457" w14:paraId="2D88A202" w14:textId="77777777" w:rsidTr="003E1D81">
        <w:tc>
          <w:tcPr>
            <w:tcW w:w="4675" w:type="dxa"/>
          </w:tcPr>
          <w:p w14:paraId="59D29519" w14:textId="77777777" w:rsidR="00432457" w:rsidRPr="00432457" w:rsidRDefault="00432457" w:rsidP="00432457">
            <w:r w:rsidRPr="00432457">
              <w:rPr>
                <w:b/>
                <w:bCs/>
                <w:szCs w:val="20"/>
              </w:rPr>
              <w:t>Нарушения на бъбреците и пикочните пътища</w:t>
            </w:r>
          </w:p>
          <w:p w14:paraId="7EAED8B7" w14:textId="77777777" w:rsidR="00432457" w:rsidRPr="00432457" w:rsidRDefault="00432457" w:rsidP="00432457">
            <w:r w:rsidRPr="00432457">
              <w:rPr>
                <w:szCs w:val="20"/>
              </w:rPr>
              <w:t>Чести</w:t>
            </w:r>
          </w:p>
          <w:p w14:paraId="14BCCF42" w14:textId="77777777" w:rsidR="00432457" w:rsidRPr="00432457" w:rsidRDefault="00432457" w:rsidP="00432457">
            <w:r w:rsidRPr="00432457">
              <w:rPr>
                <w:szCs w:val="20"/>
              </w:rPr>
              <w:t>Нечести</w:t>
            </w:r>
          </w:p>
          <w:p w14:paraId="455F5AD7" w14:textId="2A67C44F" w:rsidR="00432457" w:rsidRPr="00432457" w:rsidRDefault="00432457" w:rsidP="00432457">
            <w:r w:rsidRPr="00432457">
              <w:rPr>
                <w:szCs w:val="20"/>
              </w:rPr>
              <w:t>С неизвестна честота</w:t>
            </w:r>
          </w:p>
        </w:tc>
        <w:tc>
          <w:tcPr>
            <w:tcW w:w="4675" w:type="dxa"/>
          </w:tcPr>
          <w:p w14:paraId="69E2E06A" w14:textId="77777777" w:rsidR="00432457" w:rsidRPr="00432457" w:rsidRDefault="00432457" w:rsidP="00432457">
            <w:r w:rsidRPr="00432457">
              <w:rPr>
                <w:szCs w:val="20"/>
              </w:rPr>
              <w:t>Бъбречна недостатъчност и увреждане</w:t>
            </w:r>
          </w:p>
          <w:p w14:paraId="3FC83AEB" w14:textId="77777777" w:rsidR="00432457" w:rsidRPr="00432457" w:rsidRDefault="00432457" w:rsidP="00432457">
            <w:r w:rsidRPr="00432457">
              <w:rPr>
                <w:szCs w:val="20"/>
              </w:rPr>
              <w:t>Остра бъбречна недостатъчност, увеличение на серумния креатинин</w:t>
            </w:r>
          </w:p>
          <w:p w14:paraId="762CBE2C" w14:textId="7F891F3C" w:rsidR="00432457" w:rsidRPr="00432457" w:rsidRDefault="00432457" w:rsidP="00432457">
            <w:r w:rsidRPr="00432457">
              <w:rPr>
                <w:szCs w:val="20"/>
              </w:rPr>
              <w:t>Увеличение на кръвен уреен азот</w:t>
            </w:r>
          </w:p>
        </w:tc>
      </w:tr>
      <w:tr w:rsidR="00432457" w14:paraId="1BBEA0D0" w14:textId="77777777" w:rsidTr="003E1D81">
        <w:tc>
          <w:tcPr>
            <w:tcW w:w="4675" w:type="dxa"/>
          </w:tcPr>
          <w:p w14:paraId="4A804725" w14:textId="41F8E19D" w:rsidR="00432457" w:rsidRPr="00432457" w:rsidRDefault="00432457" w:rsidP="00432457">
            <w:r w:rsidRPr="00432457">
              <w:rPr>
                <w:b/>
                <w:bCs/>
                <w:szCs w:val="20"/>
              </w:rPr>
              <w:t>Общи</w:t>
            </w:r>
            <w:r>
              <w:rPr>
                <w:b/>
                <w:bCs/>
                <w:szCs w:val="20"/>
              </w:rPr>
              <w:t xml:space="preserve"> нарушения и ефекти на мястото на приложение</w:t>
            </w:r>
          </w:p>
          <w:p w14:paraId="6DBC02A9" w14:textId="36362425" w:rsidR="00432457" w:rsidRPr="00432457" w:rsidRDefault="00432457" w:rsidP="00432457">
            <w:r w:rsidRPr="00432457">
              <w:rPr>
                <w:szCs w:val="20"/>
              </w:rPr>
              <w:t>Нечести</w:t>
            </w:r>
          </w:p>
        </w:tc>
        <w:tc>
          <w:tcPr>
            <w:tcW w:w="4675" w:type="dxa"/>
          </w:tcPr>
          <w:p w14:paraId="561560C7" w14:textId="0974F7F7" w:rsidR="00432457" w:rsidRPr="00432457" w:rsidRDefault="00432457" w:rsidP="00432457"/>
          <w:p w14:paraId="60BF08BA" w14:textId="0D2E9B1F" w:rsidR="00432457" w:rsidRPr="00432457" w:rsidRDefault="00432457" w:rsidP="00432457">
            <w:r w:rsidRPr="00432457">
              <w:rPr>
                <w:szCs w:val="20"/>
              </w:rPr>
              <w:t>Астения, уморяемост</w:t>
            </w:r>
          </w:p>
        </w:tc>
      </w:tr>
    </w:tbl>
    <w:p w14:paraId="4299867A" w14:textId="77777777" w:rsidR="004C42F9" w:rsidRDefault="004C42F9" w:rsidP="003E1D81">
      <w:pPr>
        <w:spacing w:line="240" w:lineRule="auto"/>
        <w:rPr>
          <w:rFonts w:eastAsia="Times New Roman" w:cs="Arial"/>
          <w:color w:val="000000"/>
          <w:szCs w:val="20"/>
          <w:u w:val="single"/>
          <w:lang w:eastAsia="bg-BG"/>
        </w:rPr>
      </w:pPr>
    </w:p>
    <w:p w14:paraId="7EFDE7B5" w14:textId="61A2EE36" w:rsidR="003E1D81" w:rsidRPr="003E1D81" w:rsidRDefault="003E1D81" w:rsidP="003E1D81">
      <w:pPr>
        <w:spacing w:line="240" w:lineRule="auto"/>
        <w:rPr>
          <w:rFonts w:eastAsia="Times New Roman" w:cs="Arial"/>
          <w:szCs w:val="20"/>
          <w:lang w:eastAsia="bg-BG"/>
        </w:rPr>
      </w:pPr>
      <w:r w:rsidRPr="003E1D81">
        <w:rPr>
          <w:rFonts w:eastAsia="Times New Roman" w:cs="Arial"/>
          <w:color w:val="000000"/>
          <w:szCs w:val="20"/>
          <w:u w:val="single"/>
          <w:lang w:eastAsia="bg-BG"/>
        </w:rPr>
        <w:t>Съобщаване на подозирани нежелани реакции</w:t>
      </w:r>
    </w:p>
    <w:p w14:paraId="098E6BF3" w14:textId="6DAEF6B9" w:rsidR="003E1D81" w:rsidRPr="003E1D81" w:rsidRDefault="003E1D81" w:rsidP="003E1D81">
      <w:pPr>
        <w:rPr>
          <w:rFonts w:cs="Arial"/>
          <w:szCs w:val="20"/>
        </w:rPr>
      </w:pPr>
      <w:r w:rsidRPr="003E1D81">
        <w:rPr>
          <w:rFonts w:eastAsia="Times New Roman" w:cs="Arial"/>
          <w:color w:val="000000"/>
          <w:szCs w:val="2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в Изпълнителна агенция по лекарствата ул. „Дамян Груев“ № 8, 1303 София, Тел.: +35 928903417, уебсайт: </w:t>
      </w:r>
      <w:r w:rsidRPr="003E1D81">
        <w:rPr>
          <w:rFonts w:eastAsia="Times New Roman" w:cs="Arial"/>
          <w:szCs w:val="20"/>
          <w:lang w:eastAsia="bg-BG"/>
        </w:rPr>
        <w:fldChar w:fldCharType="begin"/>
      </w:r>
      <w:r w:rsidRPr="003E1D81">
        <w:rPr>
          <w:rFonts w:eastAsia="Times New Roman" w:cs="Arial"/>
          <w:szCs w:val="20"/>
          <w:lang w:eastAsia="bg-BG"/>
        </w:rPr>
        <w:instrText xml:space="preserve"> HYPERLINK "http://www.bda.bg" </w:instrText>
      </w:r>
      <w:r w:rsidRPr="003E1D81">
        <w:rPr>
          <w:rFonts w:eastAsia="Times New Roman" w:cs="Arial"/>
          <w:szCs w:val="20"/>
          <w:lang w:eastAsia="bg-BG"/>
        </w:rPr>
      </w:r>
      <w:r w:rsidRPr="003E1D81">
        <w:rPr>
          <w:rFonts w:eastAsia="Times New Roman" w:cs="Arial"/>
          <w:szCs w:val="20"/>
          <w:lang w:eastAsia="bg-BG"/>
        </w:rPr>
        <w:fldChar w:fldCharType="separate"/>
      </w:r>
      <w:r w:rsidRPr="003E1D81">
        <w:rPr>
          <w:rFonts w:eastAsia="Times New Roman" w:cs="Arial"/>
          <w:color w:val="000000"/>
          <w:szCs w:val="20"/>
          <w:u w:val="single"/>
          <w:lang w:val="en-US"/>
        </w:rPr>
        <w:t>www.bda.bg</w:t>
      </w:r>
      <w:r w:rsidRPr="003E1D81">
        <w:rPr>
          <w:rFonts w:eastAsia="Times New Roman" w:cs="Arial"/>
          <w:szCs w:val="20"/>
          <w:lang w:eastAsia="bg-BG"/>
        </w:rPr>
        <w:fldChar w:fldCharType="end"/>
      </w:r>
    </w:p>
    <w:p w14:paraId="36EEE37F" w14:textId="77777777" w:rsidR="003E1D81" w:rsidRPr="0091385D" w:rsidRDefault="003E1D81" w:rsidP="0091385D"/>
    <w:p w14:paraId="0A023CE0" w14:textId="13F87CFD" w:rsidR="00CF77F7" w:rsidRDefault="002C50EE" w:rsidP="004A448E">
      <w:pPr>
        <w:pStyle w:val="Heading2"/>
      </w:pPr>
      <w:r>
        <w:t>4.9. Предозиране</w:t>
      </w:r>
    </w:p>
    <w:p w14:paraId="3EDFC3FC" w14:textId="771B3817" w:rsidR="0091385D" w:rsidRDefault="0091385D" w:rsidP="0091385D"/>
    <w:p w14:paraId="134B9258" w14:textId="77777777" w:rsidR="003E1D81" w:rsidRPr="003E1D81" w:rsidRDefault="003E1D81" w:rsidP="003E1D81">
      <w:pPr>
        <w:pStyle w:val="Heading3"/>
        <w:rPr>
          <w:rFonts w:eastAsia="Times New Roman"/>
          <w:sz w:val="28"/>
          <w:u w:val="single"/>
          <w:lang w:eastAsia="bg-BG"/>
        </w:rPr>
      </w:pPr>
      <w:r w:rsidRPr="003E1D81">
        <w:rPr>
          <w:rFonts w:eastAsia="Times New Roman"/>
          <w:u w:val="single"/>
          <w:lang w:eastAsia="bg-BG"/>
        </w:rPr>
        <w:t>Симптоми</w:t>
      </w:r>
    </w:p>
    <w:p w14:paraId="5539F204" w14:textId="77777777" w:rsidR="003E1D81" w:rsidRPr="003E1D81" w:rsidRDefault="003E1D81" w:rsidP="003E1D81">
      <w:pPr>
        <w:spacing w:line="240" w:lineRule="auto"/>
        <w:rPr>
          <w:rFonts w:eastAsia="Times New Roman" w:cs="Arial"/>
          <w:sz w:val="28"/>
          <w:szCs w:val="24"/>
          <w:lang w:eastAsia="bg-BG"/>
        </w:rPr>
      </w:pPr>
      <w:r w:rsidRPr="003E1D81">
        <w:rPr>
          <w:rFonts w:eastAsia="Times New Roman" w:cs="Arial"/>
          <w:color w:val="000000"/>
          <w:szCs w:val="20"/>
          <w:lang w:eastAsia="bg-BG"/>
        </w:rPr>
        <w:t>Предозирането със Сартег може да доведе до значителна хипотония, която може да предизвика замъглено съзнание, циркулаторен колапс и/или шок.</w:t>
      </w:r>
    </w:p>
    <w:p w14:paraId="2EBB5847" w14:textId="77777777" w:rsidR="003E1D81" w:rsidRPr="003E1D81" w:rsidRDefault="003E1D81" w:rsidP="003E1D81">
      <w:pPr>
        <w:spacing w:line="240" w:lineRule="auto"/>
        <w:rPr>
          <w:rFonts w:eastAsia="Times New Roman" w:cs="Arial"/>
          <w:color w:val="000000"/>
          <w:szCs w:val="20"/>
          <w:u w:val="single"/>
          <w:lang w:eastAsia="bg-BG"/>
        </w:rPr>
      </w:pPr>
    </w:p>
    <w:p w14:paraId="2B065833" w14:textId="17F50B33" w:rsidR="003E1D81" w:rsidRPr="003E1D81" w:rsidRDefault="003E1D81" w:rsidP="003E1D81">
      <w:pPr>
        <w:pStyle w:val="Heading3"/>
        <w:rPr>
          <w:rFonts w:eastAsia="Times New Roman"/>
          <w:sz w:val="28"/>
          <w:u w:val="single"/>
          <w:lang w:eastAsia="bg-BG"/>
        </w:rPr>
      </w:pPr>
      <w:r w:rsidRPr="003E1D81">
        <w:rPr>
          <w:rFonts w:eastAsia="Times New Roman"/>
          <w:u w:val="single"/>
          <w:lang w:eastAsia="bg-BG"/>
        </w:rPr>
        <w:t>Лечение</w:t>
      </w:r>
    </w:p>
    <w:p w14:paraId="6A43B8F3" w14:textId="1793A1CE" w:rsidR="007A2185" w:rsidRPr="003E1D81" w:rsidRDefault="003E1D81" w:rsidP="003E1D81">
      <w:pPr>
        <w:rPr>
          <w:rFonts w:cs="Arial"/>
          <w:sz w:val="24"/>
        </w:rPr>
      </w:pPr>
      <w:r w:rsidRPr="003E1D81">
        <w:rPr>
          <w:rFonts w:eastAsia="Times New Roman" w:cs="Arial"/>
          <w:color w:val="000000"/>
          <w:szCs w:val="20"/>
          <w:lang w:eastAsia="bg-BG"/>
        </w:rPr>
        <w:t>Лечението е в зависимост от времето на поглъщане на продукта и тежестта на симптомите, като</w:t>
      </w:r>
      <w:r w:rsidRPr="003E1D81">
        <w:rPr>
          <w:rFonts w:eastAsia="Times New Roman" w:cs="Arial"/>
          <w:i/>
          <w:iCs/>
          <w:color w:val="000000"/>
          <w:szCs w:val="20"/>
          <w:lang w:eastAsia="bg-BG"/>
        </w:rPr>
        <w:t xml:space="preserve"> </w:t>
      </w:r>
      <w:r w:rsidRPr="003E1D81">
        <w:rPr>
          <w:rFonts w:eastAsia="Times New Roman" w:cs="Arial"/>
          <w:color w:val="000000"/>
          <w:szCs w:val="20"/>
          <w:lang w:eastAsia="bg-BG"/>
        </w:rPr>
        <w:t>стабилизирането на циркулаторното състояние е от първостепенно значение.</w:t>
      </w:r>
    </w:p>
    <w:p w14:paraId="48FF1584" w14:textId="03F42C31" w:rsidR="0091385D" w:rsidRDefault="0091385D" w:rsidP="0091385D"/>
    <w:p w14:paraId="71E14115"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Ако се появи хипотензия, пациентът трябва да се сложи да легне по гръб и да бъде коригирана обемната загуба.</w:t>
      </w:r>
    </w:p>
    <w:p w14:paraId="494FF358" w14:textId="698AA3F6" w:rsidR="00432457" w:rsidRPr="00432457" w:rsidRDefault="00432457" w:rsidP="00432457">
      <w:pPr>
        <w:rPr>
          <w:rFonts w:cs="Arial"/>
          <w:sz w:val="24"/>
        </w:rPr>
      </w:pPr>
      <w:r w:rsidRPr="00432457">
        <w:rPr>
          <w:rFonts w:eastAsia="Times New Roman" w:cs="Arial"/>
          <w:color w:val="000000"/>
          <w:szCs w:val="20"/>
          <w:lang w:eastAsia="bg-BG"/>
        </w:rPr>
        <w:t>Не е вероятно валсартан да бъде отстранен от организма чрез хемодиализа.</w:t>
      </w:r>
    </w:p>
    <w:p w14:paraId="36D8A7B4" w14:textId="77777777" w:rsidR="00432457" w:rsidRPr="0091385D" w:rsidRDefault="00432457"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lastRenderedPageBreak/>
        <w:t>5.1. Фармакодинамични свойства</w:t>
      </w:r>
    </w:p>
    <w:p w14:paraId="58DD7DEA" w14:textId="73F11A6B" w:rsidR="0091385D" w:rsidRDefault="0091385D" w:rsidP="0091385D"/>
    <w:p w14:paraId="389F036E"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Фармакотерапевтична група: Ангиотензин II антагонисти, самостоятелно, АТС код: С09СА03</w:t>
      </w:r>
    </w:p>
    <w:p w14:paraId="512DBAC1" w14:textId="77777777" w:rsidR="00432457" w:rsidRPr="00432457" w:rsidRDefault="00432457" w:rsidP="00432457">
      <w:pPr>
        <w:spacing w:line="240" w:lineRule="auto"/>
        <w:rPr>
          <w:rFonts w:eastAsia="Times New Roman" w:cs="Arial"/>
          <w:color w:val="000000"/>
          <w:szCs w:val="20"/>
          <w:lang w:eastAsia="bg-BG"/>
        </w:rPr>
      </w:pPr>
    </w:p>
    <w:p w14:paraId="47536562" w14:textId="7EBA6E7D"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Валсартан е перорално активен, мощен и специфичен антагонист на ангиотензин II рецепторите. Той действа избирателно върху АТ</w:t>
      </w:r>
      <w:r w:rsidRPr="00432457">
        <w:rPr>
          <w:rFonts w:eastAsia="Times New Roman" w:cs="Arial"/>
          <w:color w:val="000000"/>
          <w:szCs w:val="20"/>
          <w:vertAlign w:val="subscript"/>
          <w:lang w:eastAsia="bg-BG"/>
        </w:rPr>
        <w:t>1</w:t>
      </w:r>
      <w:r w:rsidRPr="00432457">
        <w:rPr>
          <w:rFonts w:eastAsia="Times New Roman" w:cs="Arial"/>
          <w:color w:val="000000"/>
          <w:szCs w:val="20"/>
          <w:lang w:eastAsia="bg-BG"/>
        </w:rPr>
        <w:t xml:space="preserve"> рецепторите, отговорни за известната активност на ангиотензин II. Повишаването плазмените нива на ангиотензин II вследствие блокадата на АТ</w:t>
      </w:r>
      <w:r w:rsidRPr="00432457">
        <w:rPr>
          <w:rFonts w:eastAsia="Times New Roman" w:cs="Arial"/>
          <w:color w:val="000000"/>
          <w:szCs w:val="20"/>
          <w:vertAlign w:val="subscript"/>
          <w:lang w:eastAsia="bg-BG"/>
        </w:rPr>
        <w:t>1</w:t>
      </w:r>
      <w:r w:rsidRPr="00432457">
        <w:rPr>
          <w:rFonts w:eastAsia="Times New Roman" w:cs="Arial"/>
          <w:color w:val="000000"/>
          <w:szCs w:val="20"/>
          <w:lang w:val="en-US"/>
        </w:rPr>
        <w:t xml:space="preserve"> </w:t>
      </w:r>
      <w:r w:rsidRPr="00432457">
        <w:rPr>
          <w:rFonts w:eastAsia="Times New Roman" w:cs="Arial"/>
          <w:color w:val="000000"/>
          <w:szCs w:val="20"/>
          <w:lang w:eastAsia="bg-BG"/>
        </w:rPr>
        <w:t>рецепторите от валсартан, може да стимулира неблокираните АТ</w:t>
      </w:r>
      <w:r w:rsidRPr="00432457">
        <w:rPr>
          <w:rFonts w:eastAsia="Times New Roman" w:cs="Arial"/>
          <w:color w:val="000000"/>
          <w:szCs w:val="20"/>
          <w:vertAlign w:val="subscript"/>
          <w:lang w:eastAsia="bg-BG"/>
        </w:rPr>
        <w:t>2</w:t>
      </w:r>
      <w:r w:rsidRPr="00432457">
        <w:rPr>
          <w:rFonts w:eastAsia="Times New Roman" w:cs="Arial"/>
          <w:color w:val="000000"/>
          <w:szCs w:val="20"/>
          <w:lang w:eastAsia="bg-BG"/>
        </w:rPr>
        <w:t xml:space="preserve"> рецептори, което изглежда компенсира АТ</w:t>
      </w:r>
      <w:r w:rsidRPr="00432457">
        <w:rPr>
          <w:rFonts w:eastAsia="Times New Roman" w:cs="Arial"/>
          <w:color w:val="000000"/>
          <w:szCs w:val="20"/>
          <w:vertAlign w:val="subscript"/>
          <w:lang w:eastAsia="bg-BG"/>
        </w:rPr>
        <w:t>1</w:t>
      </w:r>
      <w:r w:rsidRPr="00432457">
        <w:rPr>
          <w:rFonts w:eastAsia="Times New Roman" w:cs="Arial"/>
          <w:color w:val="000000"/>
          <w:szCs w:val="20"/>
          <w:lang w:eastAsia="bg-BG"/>
        </w:rPr>
        <w:t xml:space="preserve"> рецепторните ефекти.</w:t>
      </w:r>
    </w:p>
    <w:p w14:paraId="656532F2"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Валсартан не показва никаква частична активност на агонист по отношение на АТ</w:t>
      </w:r>
      <w:r w:rsidRPr="00432457">
        <w:rPr>
          <w:rFonts w:eastAsia="Times New Roman" w:cs="Arial"/>
          <w:color w:val="000000"/>
          <w:szCs w:val="20"/>
          <w:vertAlign w:val="subscript"/>
          <w:lang w:eastAsia="bg-BG"/>
        </w:rPr>
        <w:t>1</w:t>
      </w:r>
      <w:r w:rsidRPr="00432457">
        <w:rPr>
          <w:rFonts w:eastAsia="Times New Roman" w:cs="Arial"/>
          <w:color w:val="000000"/>
          <w:szCs w:val="20"/>
          <w:lang w:eastAsia="bg-BG"/>
        </w:rPr>
        <w:t xml:space="preserve"> рецептори и има голям (около 20 000 пъти по-голям) афинитет към АТ</w:t>
      </w:r>
      <w:r w:rsidRPr="00432457">
        <w:rPr>
          <w:rFonts w:eastAsia="Times New Roman" w:cs="Arial"/>
          <w:color w:val="000000"/>
          <w:szCs w:val="20"/>
          <w:vertAlign w:val="subscript"/>
          <w:lang w:eastAsia="bg-BG"/>
        </w:rPr>
        <w:t>1</w:t>
      </w:r>
      <w:r w:rsidRPr="00432457">
        <w:rPr>
          <w:rFonts w:eastAsia="Times New Roman" w:cs="Arial"/>
          <w:color w:val="000000"/>
          <w:szCs w:val="20"/>
          <w:lang w:val="en-US"/>
        </w:rPr>
        <w:t xml:space="preserve"> </w:t>
      </w:r>
      <w:r w:rsidRPr="00432457">
        <w:rPr>
          <w:rFonts w:eastAsia="Times New Roman" w:cs="Arial"/>
          <w:color w:val="000000"/>
          <w:szCs w:val="20"/>
          <w:lang w:eastAsia="bg-BG"/>
        </w:rPr>
        <w:t>рецептори, в сравнение с този към АТ</w:t>
      </w:r>
      <w:r w:rsidRPr="00432457">
        <w:rPr>
          <w:rFonts w:eastAsia="Times New Roman" w:cs="Arial"/>
          <w:color w:val="000000"/>
          <w:szCs w:val="20"/>
          <w:vertAlign w:val="subscript"/>
          <w:lang w:eastAsia="bg-BG"/>
        </w:rPr>
        <w:t>2</w:t>
      </w:r>
      <w:r w:rsidRPr="00432457">
        <w:rPr>
          <w:rFonts w:eastAsia="Times New Roman" w:cs="Arial"/>
          <w:color w:val="000000"/>
          <w:szCs w:val="20"/>
          <w:lang w:eastAsia="bg-BG"/>
        </w:rPr>
        <w:t xml:space="preserve"> рецептори. Не е известно валсартан да се свързва или блокира други хормонни рецептори или йонни каналчета, имащи важно участие в регулацията на сърдечно-съдовата функция.</w:t>
      </w:r>
    </w:p>
    <w:p w14:paraId="4512D677" w14:textId="77777777" w:rsidR="00432457" w:rsidRPr="00432457" w:rsidRDefault="00432457" w:rsidP="00432457">
      <w:pPr>
        <w:spacing w:line="240" w:lineRule="auto"/>
        <w:rPr>
          <w:rFonts w:eastAsia="Times New Roman" w:cs="Arial"/>
          <w:color w:val="000000"/>
          <w:szCs w:val="20"/>
          <w:lang w:eastAsia="bg-BG"/>
        </w:rPr>
      </w:pPr>
    </w:p>
    <w:p w14:paraId="76605FA7" w14:textId="60695C9D"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 xml:space="preserve">Валсартан не потиска АСЕ (също известен като кининаза 11), който преобразува ангиотензин I в ангиотензин II и разгражда брадикинина. Тъй като не упражняват ефект върху АСЕ и не потенцират брадикинин или субстанция Р, ангиотензин II антагонистите не е вероятно да бъдат свързани </w:t>
      </w:r>
      <w:r w:rsidRPr="00432457">
        <w:rPr>
          <w:rFonts w:eastAsia="Times New Roman" w:cs="Arial"/>
          <w:i/>
          <w:iCs/>
          <w:color w:val="000000"/>
          <w:szCs w:val="20"/>
          <w:lang w:eastAsia="bg-BG"/>
        </w:rPr>
        <w:t xml:space="preserve">с </w:t>
      </w:r>
      <w:r w:rsidRPr="00432457">
        <w:rPr>
          <w:rFonts w:eastAsia="Times New Roman" w:cs="Arial"/>
          <w:color w:val="000000"/>
          <w:szCs w:val="20"/>
          <w:lang w:eastAsia="bg-BG"/>
        </w:rPr>
        <w:t>кашлица. В клиничните проучвания, в които валсартан е сравняван с АСЕ-инхибитор, при пациентите лекувани с валсартан честотата на случаите със суха кашлица е била значително по-малка (р &lt;0,05), в сравнение с пациентите лекувани с АСЕ-инхибитор (2,6% срещу 7,9%, съответно). В клинично проучване на пациенти с анамнеза за суха кашлица по време на лечение с АСЕ-инхибитор, 19,5% от участниците в изпитването, лекувани с валсартан и 19% от тези приемали тиазидов диуретик са имали кашлица в сравнение с 68,5 % от пациентите, лекувани с АСЕ-инхибитор (р&lt;0,05).</w:t>
      </w:r>
    </w:p>
    <w:p w14:paraId="6E4822BB" w14:textId="77777777" w:rsidR="00432457" w:rsidRPr="00432457" w:rsidRDefault="00432457" w:rsidP="00432457">
      <w:pPr>
        <w:spacing w:line="240" w:lineRule="auto"/>
        <w:rPr>
          <w:rFonts w:eastAsia="Times New Roman" w:cs="Arial"/>
          <w:color w:val="000000"/>
          <w:szCs w:val="20"/>
          <w:u w:val="single"/>
          <w:lang w:eastAsia="bg-BG"/>
        </w:rPr>
      </w:pPr>
    </w:p>
    <w:p w14:paraId="6A427F87" w14:textId="2A17CE0A"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u w:val="single"/>
          <w:lang w:eastAsia="bg-BG"/>
        </w:rPr>
        <w:t>Пресен миокарден инфаркт</w:t>
      </w:r>
    </w:p>
    <w:p w14:paraId="1423539C" w14:textId="77777777" w:rsidR="00432457" w:rsidRPr="00432457" w:rsidRDefault="00432457" w:rsidP="00432457">
      <w:pPr>
        <w:spacing w:line="240" w:lineRule="auto"/>
        <w:rPr>
          <w:rFonts w:eastAsia="Times New Roman" w:cs="Arial"/>
          <w:sz w:val="28"/>
          <w:szCs w:val="24"/>
          <w:lang w:eastAsia="bg-BG"/>
        </w:rPr>
      </w:pPr>
      <w:proofErr w:type="spellStart"/>
      <w:r w:rsidRPr="00432457">
        <w:rPr>
          <w:rFonts w:eastAsia="Times New Roman" w:cs="Arial"/>
          <w:color w:val="000000"/>
          <w:szCs w:val="20"/>
          <w:lang w:val="en-US"/>
        </w:rPr>
        <w:t>VALsartan</w:t>
      </w:r>
      <w:proofErr w:type="spellEnd"/>
      <w:r w:rsidRPr="00432457">
        <w:rPr>
          <w:rFonts w:eastAsia="Times New Roman" w:cs="Arial"/>
          <w:color w:val="000000"/>
          <w:szCs w:val="20"/>
          <w:lang w:val="en-US"/>
        </w:rPr>
        <w:t xml:space="preserve"> In Acute myocardial </w:t>
      </w:r>
      <w:proofErr w:type="spellStart"/>
      <w:r w:rsidRPr="00432457">
        <w:rPr>
          <w:rFonts w:eastAsia="Times New Roman" w:cs="Arial"/>
          <w:color w:val="000000"/>
          <w:szCs w:val="20"/>
          <w:lang w:val="en-US"/>
        </w:rPr>
        <w:t>iNfarcTion</w:t>
      </w:r>
      <w:proofErr w:type="spellEnd"/>
      <w:r w:rsidRPr="00432457">
        <w:rPr>
          <w:rFonts w:eastAsia="Times New Roman" w:cs="Arial"/>
          <w:color w:val="000000"/>
          <w:szCs w:val="20"/>
          <w:lang w:val="en-US"/>
        </w:rPr>
        <w:t xml:space="preserve"> (VALIANT) </w:t>
      </w:r>
      <w:r w:rsidRPr="00432457">
        <w:rPr>
          <w:rFonts w:eastAsia="Times New Roman" w:cs="Arial"/>
          <w:color w:val="000000"/>
          <w:szCs w:val="20"/>
          <w:lang w:eastAsia="bg-BG"/>
        </w:rPr>
        <w:t>е рандомизирано контролирано, многонационално, двойно-сляпо проучване при 14 703 пациенти с остър миокарден инфаркт и признаци, симптоми или радиологични данни за застойна сърдечна недостатъчност и/или данни за левокамерна систолна дисфункция (проявена като фракция на изтласкване &lt;40% чрез радионуклидна вентрикулография или &lt;35% чрез ехокардиография или вентрикулна контрастна ангиография). Пациентите са рандомизирани спрямо валсартан, каптоприл или комбинация от двата в рамките на 12 часа до 10 дни след началото на симптомите на миокарден инфаркт. Средният период на лечение е две години. Първичната крайна точка е времето до настъпване на смърт поради всякакви причини. Валсартан е също толкова ефективен, колкото каптоприл по отношение намаляването на общата смъртност след миокарден инфаркт. Общата смъртност е подобна в групите с валсартан (19,9%), каптоприл (19,5%) и валсартан + каптоприл (19,3%). Комбинацията на валсартан с каптоприл не добавя допълнителна полза спрямо лечението само с каптоприл. Няма разлика между валсартан и каптоприл по отношение на общата смъртност в зависимост от възрастта, пола, расата, изходните терапии или основното заболяване. Валсартан е ефективен и в удължаване на времето и в редуциране на сърдечно-съдовата смъртност, хоспитализации по повод на сърдечна недостатъчност, повторен миокарден инфаркт, реанимирано спиране на сърцето и нефатален инсулт (вторична съставна крайна точка).</w:t>
      </w:r>
    </w:p>
    <w:p w14:paraId="2A4B3AED"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 xml:space="preserve">Профилът на безопасност на валсартан съответства на клиничното протичане при пациентите, лекувани след прекаран миокарден инфаркт. По отношение на бъбречната </w:t>
      </w:r>
      <w:r w:rsidRPr="00432457">
        <w:rPr>
          <w:rFonts w:eastAsia="Times New Roman" w:cs="Arial"/>
          <w:color w:val="000000"/>
          <w:szCs w:val="20"/>
          <w:lang w:eastAsia="bg-BG"/>
        </w:rPr>
        <w:lastRenderedPageBreak/>
        <w:t xml:space="preserve">функция е наблюдавано удвояване на серумния креатинин при 4,2% от пациентите, лекувани с валсартан, </w:t>
      </w:r>
      <w:r w:rsidRPr="00432457">
        <w:rPr>
          <w:rFonts w:eastAsia="Times New Roman" w:cs="Arial"/>
          <w:color w:val="000000"/>
          <w:szCs w:val="20"/>
          <w:lang w:val="en-US"/>
        </w:rPr>
        <w:t>4,8%</w:t>
      </w:r>
      <w:r w:rsidRPr="00432457">
        <w:rPr>
          <w:rFonts w:eastAsia="Times New Roman" w:cs="Arial"/>
          <w:color w:val="000000"/>
          <w:szCs w:val="20"/>
          <w:lang w:eastAsia="bg-BG"/>
        </w:rPr>
        <w:t xml:space="preserve"> от пациентите, лекувани с валсартан + каптоприл, и 3,4% от пациентите, лекувани с каптоприл.Прекъсване поради</w:t>
      </w:r>
    </w:p>
    <w:p w14:paraId="038F692B" w14:textId="232052DE" w:rsidR="007A2185" w:rsidRPr="00432457" w:rsidRDefault="00432457" w:rsidP="00432457">
      <w:pPr>
        <w:rPr>
          <w:rFonts w:cs="Arial"/>
          <w:sz w:val="24"/>
        </w:rPr>
      </w:pPr>
      <w:r w:rsidRPr="00432457">
        <w:rPr>
          <w:rFonts w:eastAsia="Times New Roman" w:cs="Arial"/>
          <w:color w:val="000000"/>
          <w:szCs w:val="20"/>
          <w:lang w:eastAsia="bg-BG"/>
        </w:rPr>
        <w:t>различни видове бъбречна дисфункция настъпват при 1,1% от пациентите, лекувани с валсартан, 1,3% от пациентите, лекувани с валсартан + каптоприл, и 0,8% от пациентите, лекувани с каптоприл. Оценка на бъбречната функция трябва да бъде включена в общата оценка на пациентите, прекарали миокарден инфаркт.</w:t>
      </w:r>
    </w:p>
    <w:p w14:paraId="36152471" w14:textId="62625601" w:rsidR="0091385D" w:rsidRPr="00432457" w:rsidRDefault="0091385D" w:rsidP="0091385D">
      <w:pPr>
        <w:rPr>
          <w:rFonts w:cs="Arial"/>
          <w:sz w:val="24"/>
        </w:rPr>
      </w:pPr>
    </w:p>
    <w:p w14:paraId="50B6ACDE"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Няма разлика в общата смъртност, сърдечно-съдовата смъртност и заболеваемостта, когато се прилагат бета-блокери едновременно с комбинацията валсартан + каптоприл, само валсартан или само каптоприл. Независимо от лечението, смъртността е по-ниска в групата на пациентите, лекувани с бета-блокер, което показва, че познатата полза от бета-блокерите при тази популация се потвърждава в това проучване.</w:t>
      </w:r>
    </w:p>
    <w:p w14:paraId="21A2F6D4" w14:textId="77777777" w:rsidR="00432457" w:rsidRPr="00432457" w:rsidRDefault="00432457" w:rsidP="00432457">
      <w:pPr>
        <w:spacing w:line="240" w:lineRule="auto"/>
        <w:rPr>
          <w:rFonts w:eastAsia="Times New Roman" w:cs="Arial"/>
          <w:color w:val="000000"/>
          <w:szCs w:val="20"/>
          <w:u w:val="single"/>
          <w:lang w:eastAsia="bg-BG"/>
        </w:rPr>
      </w:pPr>
    </w:p>
    <w:p w14:paraId="0B1290E6" w14:textId="4E2FFA52"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u w:val="single"/>
          <w:lang w:eastAsia="bg-BG"/>
        </w:rPr>
        <w:t>Сърдечна недостатъчност</w:t>
      </w:r>
    </w:p>
    <w:p w14:paraId="624D8FA2"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val="en-US"/>
        </w:rPr>
        <w:t>Val-</w:t>
      </w:r>
      <w:proofErr w:type="spellStart"/>
      <w:r w:rsidRPr="00432457">
        <w:rPr>
          <w:rFonts w:eastAsia="Times New Roman" w:cs="Arial"/>
          <w:color w:val="000000"/>
          <w:szCs w:val="20"/>
          <w:lang w:val="en-US"/>
        </w:rPr>
        <w:t>HeFT</w:t>
      </w:r>
      <w:proofErr w:type="spellEnd"/>
      <w:r w:rsidRPr="00432457">
        <w:rPr>
          <w:rFonts w:eastAsia="Times New Roman" w:cs="Arial"/>
          <w:color w:val="000000"/>
          <w:szCs w:val="20"/>
          <w:lang w:val="en-US"/>
        </w:rPr>
        <w:t xml:space="preserve"> </w:t>
      </w:r>
      <w:r w:rsidRPr="00432457">
        <w:rPr>
          <w:rFonts w:eastAsia="Times New Roman" w:cs="Arial"/>
          <w:color w:val="000000"/>
          <w:szCs w:val="20"/>
          <w:lang w:eastAsia="bg-BG"/>
        </w:rPr>
        <w:t xml:space="preserve">е рандомизирано, контролирано, международно клинично проучване на валсартан в сравнение с плацебо върху заболеваемостта и смъртността при 5 010 пациенти със сърдечна недостатъчност клас II (62%), III (36%) и IV (2 %) по </w:t>
      </w:r>
      <w:r w:rsidRPr="00432457">
        <w:rPr>
          <w:rFonts w:eastAsia="Times New Roman" w:cs="Arial"/>
          <w:color w:val="000000"/>
          <w:szCs w:val="20"/>
          <w:lang w:val="en-US"/>
        </w:rPr>
        <w:t xml:space="preserve">NYHA, </w:t>
      </w:r>
      <w:r w:rsidRPr="00432457">
        <w:rPr>
          <w:rFonts w:eastAsia="Times New Roman" w:cs="Arial"/>
          <w:color w:val="000000"/>
          <w:szCs w:val="20"/>
          <w:lang w:eastAsia="bg-BG"/>
        </w:rPr>
        <w:t xml:space="preserve">получаващи обичайна терапия с левокамерна ФИ &lt;40% и левокамерен вътрешен диастолен диаметър </w:t>
      </w:r>
      <w:r w:rsidRPr="00432457">
        <w:rPr>
          <w:rFonts w:eastAsia="Times New Roman" w:cs="Arial"/>
          <w:color w:val="000000"/>
          <w:szCs w:val="20"/>
          <w:lang w:val="en-US"/>
        </w:rPr>
        <w:t xml:space="preserve">(LVIDD) </w:t>
      </w:r>
      <w:r w:rsidRPr="00432457">
        <w:rPr>
          <w:rFonts w:eastAsia="Times New Roman" w:cs="Arial"/>
          <w:color w:val="000000"/>
          <w:szCs w:val="20"/>
          <w:lang w:eastAsia="bg-BG"/>
        </w:rPr>
        <w:t>&gt;2</w:t>
      </w:r>
      <w:proofErr w:type="gramStart"/>
      <w:r w:rsidRPr="00432457">
        <w:rPr>
          <w:rFonts w:eastAsia="Times New Roman" w:cs="Arial"/>
          <w:color w:val="000000"/>
          <w:szCs w:val="20"/>
          <w:lang w:eastAsia="bg-BG"/>
        </w:rPr>
        <w:t>,9</w:t>
      </w:r>
      <w:proofErr w:type="gramEnd"/>
      <w:r w:rsidRPr="00432457">
        <w:rPr>
          <w:rFonts w:eastAsia="Times New Roman" w:cs="Arial"/>
          <w:color w:val="000000"/>
          <w:szCs w:val="20"/>
          <w:lang w:eastAsia="bg-BG"/>
        </w:rPr>
        <w:t xml:space="preserve"> </w:t>
      </w:r>
      <w:r w:rsidRPr="00432457">
        <w:rPr>
          <w:rFonts w:eastAsia="Times New Roman" w:cs="Arial"/>
          <w:color w:val="000000"/>
          <w:szCs w:val="20"/>
          <w:lang w:val="en-US"/>
        </w:rPr>
        <w:t xml:space="preserve">cm/m2. </w:t>
      </w:r>
      <w:r w:rsidRPr="00432457">
        <w:rPr>
          <w:rFonts w:eastAsia="Times New Roman" w:cs="Arial"/>
          <w:color w:val="000000"/>
          <w:szCs w:val="20"/>
          <w:lang w:eastAsia="bg-BG"/>
        </w:rPr>
        <w:t xml:space="preserve">Основната терапия включва АСЕ инхибитори (93%), диуретици (86%), дигоксин (67%) и бета-блокери (36 %). Средната продължителност на проследяването е приблизително две години. Средната дневна доза на валсартан във </w:t>
      </w:r>
      <w:r w:rsidRPr="00432457">
        <w:rPr>
          <w:rFonts w:eastAsia="Times New Roman" w:cs="Arial"/>
          <w:color w:val="000000"/>
          <w:szCs w:val="20"/>
          <w:lang w:val="en-US"/>
        </w:rPr>
        <w:t>Val-</w:t>
      </w:r>
      <w:proofErr w:type="spellStart"/>
      <w:r w:rsidRPr="00432457">
        <w:rPr>
          <w:rFonts w:eastAsia="Times New Roman" w:cs="Arial"/>
          <w:color w:val="000000"/>
          <w:szCs w:val="20"/>
          <w:lang w:val="en-US"/>
        </w:rPr>
        <w:t>HeFT</w:t>
      </w:r>
      <w:proofErr w:type="spellEnd"/>
      <w:r w:rsidRPr="00432457">
        <w:rPr>
          <w:rFonts w:eastAsia="Times New Roman" w:cs="Arial"/>
          <w:color w:val="000000"/>
          <w:szCs w:val="20"/>
          <w:lang w:val="en-US"/>
        </w:rPr>
        <w:t xml:space="preserve"> </w:t>
      </w:r>
      <w:r w:rsidRPr="00432457">
        <w:rPr>
          <w:rFonts w:eastAsia="Times New Roman" w:cs="Arial"/>
          <w:color w:val="000000"/>
          <w:szCs w:val="20"/>
          <w:lang w:eastAsia="bg-BG"/>
        </w:rPr>
        <w:t xml:space="preserve">е 254 </w:t>
      </w:r>
      <w:r w:rsidRPr="00432457">
        <w:rPr>
          <w:rFonts w:eastAsia="Times New Roman" w:cs="Arial"/>
          <w:color w:val="000000"/>
          <w:szCs w:val="20"/>
          <w:lang w:val="en-US"/>
        </w:rPr>
        <w:t xml:space="preserve">mg. </w:t>
      </w:r>
      <w:r w:rsidRPr="00432457">
        <w:rPr>
          <w:rFonts w:eastAsia="Times New Roman" w:cs="Arial"/>
          <w:color w:val="000000"/>
          <w:szCs w:val="20"/>
          <w:lang w:eastAsia="bg-BG"/>
        </w:rPr>
        <w:t>Проучването има две първични крайни точки: обща смъртност (време до настъпване на смъртта) и съставна смъртност и заболеваемост от сърдечна недостатъчност (време до първото болестно събитие), дефинирани като смърт, внезапна смърт с реанимация, хоспитализация по повод на сърдечна недостатъчност или приложение на венозни инотропни или вазодилататорни средства за четири или повече часа без хоспитализация.</w:t>
      </w:r>
    </w:p>
    <w:p w14:paraId="548C3003"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 xml:space="preserve">Общата смъртност е подобна в групите </w:t>
      </w:r>
      <w:r w:rsidRPr="00432457">
        <w:rPr>
          <w:rFonts w:eastAsia="Times New Roman" w:cs="Arial"/>
          <w:color w:val="000000"/>
          <w:szCs w:val="20"/>
          <w:lang w:val="en-US"/>
        </w:rPr>
        <w:t xml:space="preserve">(p=NS) </w:t>
      </w:r>
      <w:r w:rsidRPr="00432457">
        <w:rPr>
          <w:rFonts w:eastAsia="Times New Roman" w:cs="Arial"/>
          <w:color w:val="000000"/>
          <w:szCs w:val="20"/>
          <w:lang w:eastAsia="bg-BG"/>
        </w:rPr>
        <w:t>с валсартан (19,7%) и плацебо (19,4%). Първичната полза е 27,5% (95% ДИ: 17 до 37%) намаляване на риска за времето на първата хоспитализация по повод на сърдечна недостатъчност (13,9% спрямо 18,5%). Резултати, изглеждащи в полза на плацебо (съставната смъртност и заболеваемостта е 21,9% с плацебо спрямо 25,4% в групата с валсартан), са наблюдавани при пациентите, приемащи тройна комбинация от АСЕ инхибитор, бета-блокер и валсартан.</w:t>
      </w:r>
    </w:p>
    <w:p w14:paraId="211ACE17"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В подгрупата на пациенти, които не приемат АСЕ инхибитор (</w:t>
      </w:r>
      <w:r w:rsidRPr="00432457">
        <w:rPr>
          <w:rFonts w:eastAsia="Times New Roman" w:cs="Arial"/>
          <w:color w:val="000000"/>
          <w:szCs w:val="20"/>
          <w:lang w:val="en-US"/>
        </w:rPr>
        <w:t>n</w:t>
      </w:r>
      <w:r w:rsidRPr="00432457">
        <w:rPr>
          <w:rFonts w:eastAsia="Times New Roman" w:cs="Arial"/>
          <w:color w:val="000000"/>
          <w:szCs w:val="20"/>
          <w:lang w:eastAsia="bg-BG"/>
        </w:rPr>
        <w:t xml:space="preserve">=366), ползите по отношение на заболеваемостта са по-големи. В тази подгрупа общата смъртност е значително намалена с валсартан в сравнение с плацебо, с 33% (95% ДИ: </w:t>
      </w:r>
      <w:r w:rsidRPr="00432457">
        <w:rPr>
          <w:rFonts w:eastAsia="Times New Roman" w:cs="Arial"/>
          <w:i/>
          <w:iCs/>
          <w:color w:val="000000"/>
          <w:szCs w:val="20"/>
          <w:lang w:eastAsia="bg-BG"/>
        </w:rPr>
        <w:t>-6%</w:t>
      </w:r>
      <w:r w:rsidRPr="00432457">
        <w:rPr>
          <w:rFonts w:eastAsia="Times New Roman" w:cs="Arial"/>
          <w:color w:val="000000"/>
          <w:szCs w:val="20"/>
          <w:lang w:eastAsia="bg-BG"/>
        </w:rPr>
        <w:t xml:space="preserve"> до 58%) (17,3% валсартан спрямо 27,1% плацебо), а съставната смъртност и риска за заболеваемост са значително намалени с 44% (24,9% валсартан спрямо 42,5% плацебо).При пациенти, които приемат АСЕ инхибитор без бета-блокер, общата смъртност е подобна </w:t>
      </w:r>
      <w:r w:rsidRPr="00432457">
        <w:rPr>
          <w:rFonts w:eastAsia="Times New Roman" w:cs="Arial"/>
          <w:color w:val="000000"/>
          <w:szCs w:val="20"/>
          <w:lang w:val="en-US"/>
        </w:rPr>
        <w:t xml:space="preserve">(p=NS) </w:t>
      </w:r>
      <w:r w:rsidRPr="00432457">
        <w:rPr>
          <w:rFonts w:eastAsia="Times New Roman" w:cs="Arial"/>
          <w:color w:val="000000"/>
          <w:szCs w:val="20"/>
          <w:lang w:eastAsia="bg-BG"/>
        </w:rPr>
        <w:t>в групите с валсартан (21,8%) и плацебо (22,5%). Съставната смъртност и рискът за заболеваемост са значително намалени с 18,3% (95% ДИ: 8% до 28%) при валсартан в сравнение с плацебо (31,0% спрямо 36,3%).</w:t>
      </w:r>
    </w:p>
    <w:p w14:paraId="1C610A85"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 xml:space="preserve">В общата популация на </w:t>
      </w:r>
      <w:r w:rsidRPr="00432457">
        <w:rPr>
          <w:rFonts w:eastAsia="Times New Roman" w:cs="Arial"/>
          <w:color w:val="000000"/>
          <w:szCs w:val="20"/>
          <w:lang w:val="en-US"/>
        </w:rPr>
        <w:t>Val-</w:t>
      </w:r>
      <w:proofErr w:type="spellStart"/>
      <w:r w:rsidRPr="00432457">
        <w:rPr>
          <w:rFonts w:eastAsia="Times New Roman" w:cs="Arial"/>
          <w:color w:val="000000"/>
          <w:szCs w:val="20"/>
          <w:lang w:val="en-US"/>
        </w:rPr>
        <w:t>HeFT</w:t>
      </w:r>
      <w:proofErr w:type="spellEnd"/>
      <w:r w:rsidRPr="00432457">
        <w:rPr>
          <w:rFonts w:eastAsia="Times New Roman" w:cs="Arial"/>
          <w:color w:val="000000"/>
          <w:szCs w:val="20"/>
          <w:lang w:val="en-US"/>
        </w:rPr>
        <w:t xml:space="preserve"> </w:t>
      </w:r>
      <w:r w:rsidRPr="00432457">
        <w:rPr>
          <w:rFonts w:eastAsia="Times New Roman" w:cs="Arial"/>
          <w:color w:val="000000"/>
          <w:szCs w:val="20"/>
          <w:lang w:eastAsia="bg-BG"/>
        </w:rPr>
        <w:t xml:space="preserve">пациентите, лекувани с валсартан, показват в сравнение с плацебо значимо подобрение на класа по </w:t>
      </w:r>
      <w:r w:rsidRPr="00432457">
        <w:rPr>
          <w:rFonts w:eastAsia="Times New Roman" w:cs="Arial"/>
          <w:color w:val="000000"/>
          <w:szCs w:val="20"/>
          <w:lang w:val="en-US"/>
        </w:rPr>
        <w:t xml:space="preserve">NYHA, </w:t>
      </w:r>
      <w:r w:rsidRPr="00432457">
        <w:rPr>
          <w:rFonts w:eastAsia="Times New Roman" w:cs="Arial"/>
          <w:color w:val="000000"/>
          <w:szCs w:val="20"/>
          <w:lang w:eastAsia="bg-BG"/>
        </w:rPr>
        <w:t xml:space="preserve">признаците и симптомите на сърдечна недостатъчност, включително диспнея, умора, отоци и хрипове. Пациентите, приемащи валсартан, имат по-добро качество на живот в сравнение с приемащите плацебо, което се демонстрира чрез скалата на </w:t>
      </w:r>
      <w:r w:rsidRPr="00432457">
        <w:rPr>
          <w:rFonts w:eastAsia="Times New Roman" w:cs="Arial"/>
          <w:color w:val="000000"/>
          <w:szCs w:val="20"/>
          <w:lang w:val="en-US"/>
        </w:rPr>
        <w:t xml:space="preserve">Minnesota Living with Heart Failure Quality of Life </w:t>
      </w:r>
      <w:r w:rsidRPr="00432457">
        <w:rPr>
          <w:rFonts w:eastAsia="Times New Roman" w:cs="Arial"/>
          <w:color w:val="000000"/>
          <w:szCs w:val="20"/>
          <w:lang w:eastAsia="bg-BG"/>
        </w:rPr>
        <w:t xml:space="preserve">от изходната до крайната точка на проучването. При пациентите, лекувани с </w:t>
      </w:r>
      <w:r w:rsidRPr="00432457">
        <w:rPr>
          <w:rFonts w:eastAsia="Times New Roman" w:cs="Arial"/>
          <w:color w:val="000000"/>
          <w:szCs w:val="20"/>
          <w:lang w:eastAsia="bg-BG"/>
        </w:rPr>
        <w:lastRenderedPageBreak/>
        <w:t xml:space="preserve">валсартан, значимо се повишава фракцията на изтласкване и се понижава </w:t>
      </w:r>
      <w:r w:rsidRPr="00432457">
        <w:rPr>
          <w:rFonts w:eastAsia="Times New Roman" w:cs="Arial"/>
          <w:color w:val="000000"/>
          <w:szCs w:val="20"/>
          <w:lang w:val="en-US"/>
        </w:rPr>
        <w:t xml:space="preserve">LVIDD </w:t>
      </w:r>
      <w:r w:rsidRPr="00432457">
        <w:rPr>
          <w:rFonts w:eastAsia="Times New Roman" w:cs="Arial"/>
          <w:color w:val="000000"/>
          <w:szCs w:val="20"/>
          <w:lang w:eastAsia="bg-BG"/>
        </w:rPr>
        <w:t>от изходната до крайната точка по време на проучването в сравнение с плацебо.</w:t>
      </w:r>
    </w:p>
    <w:p w14:paraId="5C3DE967" w14:textId="77777777" w:rsidR="00432457" w:rsidRPr="00432457" w:rsidRDefault="00432457" w:rsidP="00432457">
      <w:pPr>
        <w:spacing w:line="240" w:lineRule="auto"/>
        <w:rPr>
          <w:rFonts w:eastAsia="Times New Roman" w:cs="Arial"/>
          <w:color w:val="000000"/>
          <w:szCs w:val="20"/>
          <w:u w:val="single"/>
          <w:lang w:eastAsia="bg-BG"/>
        </w:rPr>
      </w:pPr>
    </w:p>
    <w:p w14:paraId="51DD52B4" w14:textId="322F50DD"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u w:val="single"/>
          <w:lang w:eastAsia="bg-BG"/>
        </w:rPr>
        <w:t>Хипертония</w:t>
      </w:r>
    </w:p>
    <w:p w14:paraId="32BA9AAF"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Приложението на валсартан при пациенти с хипертония води до понижаване на артериалното налягане без повлияване на пулсовата честота.</w:t>
      </w:r>
    </w:p>
    <w:p w14:paraId="3BCCF681"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При повечето пациенти след еднократен перорален прием началото на антихипертензивното действие е в рамките 2 часа, а пикът на понижаването на артериалното налягане се достига в рамките на 4-6 часа. Антихипертензивният ефект продължава над 24 часа след приема. При многократен прием реален антихипертензивен ефект е налице в рамките на 2 седмици, а максималният ефект се постига в рамките на 4 седмици и се поддържа в хода на дълготрайна терапия. Значимо допълнително понижение на артериалното налягане се постига при комбинация с хидрохлоротиазид.</w:t>
      </w:r>
    </w:p>
    <w:p w14:paraId="41197EEA"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 xml:space="preserve">Внезапното преустановяване на лечението с валсартан не се свързва с </w:t>
      </w:r>
      <w:r w:rsidRPr="00432457">
        <w:rPr>
          <w:rFonts w:eastAsia="Times New Roman" w:cs="Arial"/>
          <w:color w:val="000000"/>
          <w:szCs w:val="20"/>
          <w:lang w:val="en-US"/>
        </w:rPr>
        <w:t>rebound</w:t>
      </w:r>
      <w:r w:rsidRPr="00432457">
        <w:rPr>
          <w:rFonts w:eastAsia="Times New Roman" w:cs="Arial"/>
          <w:color w:val="000000"/>
          <w:szCs w:val="20"/>
          <w:lang w:eastAsia="bg-BG"/>
        </w:rPr>
        <w:t>-хипертония или с други нежелани клинични събития.</w:t>
      </w:r>
    </w:p>
    <w:p w14:paraId="526260F0" w14:textId="77777777" w:rsidR="00432457" w:rsidRPr="00432457" w:rsidRDefault="00432457" w:rsidP="00432457">
      <w:pPr>
        <w:rPr>
          <w:rFonts w:eastAsia="Times New Roman" w:cs="Arial"/>
          <w:lang w:eastAsia="bg-BG"/>
        </w:rPr>
      </w:pPr>
      <w:r w:rsidRPr="00432457">
        <w:rPr>
          <w:rFonts w:eastAsia="Times New Roman" w:cs="Arial"/>
          <w:color w:val="000000"/>
          <w:szCs w:val="20"/>
          <w:lang w:eastAsia="bg-BG"/>
        </w:rPr>
        <w:t xml:space="preserve">При пациенти с хипертония и диабет тип 2 с микроалбуминурия е отчетено, че валсартан намалява отделянето на албумин в урината. Проучването </w:t>
      </w:r>
      <w:r w:rsidRPr="00432457">
        <w:rPr>
          <w:rFonts w:eastAsia="Times New Roman" w:cs="Arial"/>
          <w:color w:val="000000"/>
          <w:szCs w:val="20"/>
          <w:lang w:val="en-US"/>
        </w:rPr>
        <w:t xml:space="preserve">MARVAL (Micro Albuminuria Reduction with Valsartan) </w:t>
      </w:r>
      <w:r w:rsidRPr="00432457">
        <w:rPr>
          <w:rFonts w:eastAsia="Times New Roman" w:cs="Arial"/>
          <w:color w:val="000000"/>
          <w:szCs w:val="20"/>
          <w:lang w:eastAsia="bg-BG"/>
        </w:rPr>
        <w:t xml:space="preserve">оценява намаляването на отделянето на албумин в урината </w:t>
      </w:r>
      <w:r w:rsidRPr="00432457">
        <w:rPr>
          <w:rFonts w:eastAsia="Times New Roman" w:cs="Arial"/>
          <w:color w:val="000000"/>
          <w:lang w:val="en-US"/>
        </w:rPr>
        <w:t xml:space="preserve">(UAE) </w:t>
      </w:r>
      <w:r w:rsidRPr="00432457">
        <w:rPr>
          <w:rFonts w:eastAsia="Times New Roman" w:cs="Arial"/>
          <w:color w:val="000000"/>
          <w:lang w:eastAsia="bg-BG"/>
        </w:rPr>
        <w:t>с валсартан (80-160</w:t>
      </w:r>
      <w:r w:rsidRPr="00432457">
        <w:rPr>
          <w:rFonts w:eastAsia="Times New Roman" w:cs="Arial"/>
          <w:color w:val="000000"/>
          <w:lang w:val="en-US"/>
        </w:rPr>
        <w:t xml:space="preserve"> mg</w:t>
      </w:r>
      <w:r w:rsidRPr="00432457">
        <w:rPr>
          <w:rFonts w:eastAsia="Times New Roman" w:cs="Arial"/>
          <w:color w:val="000000"/>
          <w:lang w:eastAsia="bg-BG"/>
        </w:rPr>
        <w:t xml:space="preserve">/ден) в сравнение с амлодипин (5-10 </w:t>
      </w:r>
      <w:r w:rsidRPr="00432457">
        <w:rPr>
          <w:rFonts w:eastAsia="Times New Roman" w:cs="Arial"/>
          <w:color w:val="000000"/>
          <w:lang w:val="en-US"/>
        </w:rPr>
        <w:t>mg</w:t>
      </w:r>
      <w:r w:rsidRPr="00432457">
        <w:rPr>
          <w:rFonts w:eastAsia="Times New Roman" w:cs="Arial"/>
          <w:color w:val="000000"/>
          <w:lang w:eastAsia="bg-BG"/>
        </w:rPr>
        <w:t>/ден), при 332 пациенти с диабет тип 2 (средна възраст: 58</w:t>
      </w:r>
      <w:r w:rsidRPr="00432457">
        <w:rPr>
          <w:rFonts w:eastAsia="Times New Roman" w:cs="Arial"/>
          <w:lang w:eastAsia="bg-BG"/>
        </w:rPr>
        <w:t xml:space="preserve"> </w:t>
      </w:r>
      <w:r w:rsidRPr="00432457">
        <w:rPr>
          <w:rFonts w:eastAsia="Times New Roman" w:cs="Arial"/>
          <w:color w:val="000000"/>
          <w:lang w:eastAsia="bg-BG"/>
        </w:rPr>
        <w:t>години; 265 мъже) с микроалбуминурия (валсартан: 58 микрограма</w:t>
      </w:r>
      <w:r w:rsidRPr="00432457">
        <w:rPr>
          <w:rFonts w:eastAsia="Times New Roman" w:cs="Arial"/>
          <w:color w:val="000000"/>
          <w:lang w:val="en-US"/>
        </w:rPr>
        <w:t xml:space="preserve">/min; </w:t>
      </w:r>
      <w:r w:rsidRPr="00432457">
        <w:rPr>
          <w:rFonts w:eastAsia="Times New Roman" w:cs="Arial"/>
          <w:color w:val="000000"/>
          <w:lang w:eastAsia="bg-BG"/>
        </w:rPr>
        <w:t>амлодипин 55,4</w:t>
      </w:r>
      <w:r w:rsidRPr="00432457">
        <w:rPr>
          <w:rFonts w:eastAsia="Times New Roman" w:cs="Arial"/>
          <w:lang w:eastAsia="bg-BG"/>
        </w:rPr>
        <w:t xml:space="preserve"> </w:t>
      </w:r>
      <w:r w:rsidRPr="00432457">
        <w:rPr>
          <w:rFonts w:eastAsia="Times New Roman" w:cs="Arial"/>
          <w:color w:val="000000"/>
          <w:lang w:eastAsia="bg-BG"/>
        </w:rPr>
        <w:t>микрограма</w:t>
      </w:r>
      <w:r w:rsidRPr="00432457">
        <w:rPr>
          <w:rFonts w:eastAsia="Times New Roman" w:cs="Arial"/>
          <w:color w:val="000000"/>
          <w:lang w:val="en-US"/>
        </w:rPr>
        <w:t xml:space="preserve">/min), </w:t>
      </w:r>
      <w:r w:rsidRPr="00432457">
        <w:rPr>
          <w:rFonts w:eastAsia="Times New Roman" w:cs="Arial"/>
          <w:color w:val="000000"/>
          <w:lang w:eastAsia="bg-BG"/>
        </w:rPr>
        <w:t>с нормално или високо артериално налягане и със запазена бъбречна функция</w:t>
      </w:r>
      <w:r w:rsidRPr="00432457">
        <w:rPr>
          <w:rFonts w:eastAsia="Times New Roman" w:cs="Arial"/>
          <w:color w:val="000000"/>
          <w:lang w:val="en-US" w:eastAsia="bg-BG"/>
        </w:rPr>
        <w:t xml:space="preserve"> </w:t>
      </w:r>
      <w:r w:rsidRPr="00432457">
        <w:rPr>
          <w:rFonts w:eastAsia="Times New Roman" w:cs="Arial"/>
          <w:color w:val="000000"/>
          <w:lang w:eastAsia="bg-BG"/>
        </w:rPr>
        <w:t xml:space="preserve">(серумен креатинин &lt;120 микромола/1). След 24 седмици, </w:t>
      </w:r>
      <w:r w:rsidRPr="00432457">
        <w:rPr>
          <w:rFonts w:eastAsia="Times New Roman" w:cs="Arial"/>
          <w:color w:val="000000"/>
          <w:lang w:val="en-US"/>
        </w:rPr>
        <w:t xml:space="preserve">UAE </w:t>
      </w:r>
      <w:r w:rsidRPr="00432457">
        <w:rPr>
          <w:rFonts w:eastAsia="Times New Roman" w:cs="Arial"/>
          <w:color w:val="000000"/>
          <w:lang w:eastAsia="bg-BG"/>
        </w:rPr>
        <w:t>е намалена (р&lt;0,001) с 42% (-24,2 микрограма</w:t>
      </w:r>
      <w:r w:rsidRPr="00432457">
        <w:rPr>
          <w:rFonts w:eastAsia="Times New Roman" w:cs="Arial"/>
          <w:color w:val="000000"/>
          <w:lang w:val="en-US"/>
        </w:rPr>
        <w:t xml:space="preserve">/min; </w:t>
      </w:r>
      <w:r w:rsidRPr="00432457">
        <w:rPr>
          <w:rFonts w:eastAsia="Times New Roman" w:cs="Arial"/>
          <w:color w:val="000000"/>
          <w:lang w:eastAsia="bg-BG"/>
        </w:rPr>
        <w:t>95% ДИ: -40,4 до -19,1) с валсартан и приблизително 3% (-1,7 микрограма</w:t>
      </w:r>
      <w:r w:rsidRPr="00432457">
        <w:rPr>
          <w:rFonts w:eastAsia="Times New Roman" w:cs="Arial"/>
          <w:color w:val="000000"/>
          <w:lang w:val="en-US"/>
        </w:rPr>
        <w:t xml:space="preserve">/min; </w:t>
      </w:r>
      <w:r w:rsidRPr="00432457">
        <w:rPr>
          <w:rFonts w:eastAsia="Times New Roman" w:cs="Arial"/>
          <w:color w:val="000000"/>
          <w:lang w:eastAsia="bg-BG"/>
        </w:rPr>
        <w:t xml:space="preserve">95% ДИ: -5,6 до 14,9) с амлодипин, независимо от сходната степен на понижение в двете групи. Проучването с валсартан </w:t>
      </w:r>
      <w:r w:rsidRPr="00432457">
        <w:rPr>
          <w:rFonts w:eastAsia="Times New Roman" w:cs="Arial"/>
          <w:color w:val="000000"/>
          <w:lang w:val="en-US"/>
        </w:rPr>
        <w:t xml:space="preserve">Reduction of Proteinuria (DROP) </w:t>
      </w:r>
      <w:r w:rsidRPr="00432457">
        <w:rPr>
          <w:rFonts w:eastAsia="Times New Roman" w:cs="Arial"/>
          <w:color w:val="000000"/>
          <w:lang w:eastAsia="bg-BG"/>
        </w:rPr>
        <w:t xml:space="preserve">изследва допълнително ефикасността на валсартан при редуциране на </w:t>
      </w:r>
      <w:r w:rsidRPr="00432457">
        <w:rPr>
          <w:rFonts w:eastAsia="Times New Roman" w:cs="Arial"/>
          <w:color w:val="000000"/>
          <w:lang w:val="en-US"/>
        </w:rPr>
        <w:t xml:space="preserve">UAE </w:t>
      </w:r>
      <w:r w:rsidRPr="00432457">
        <w:rPr>
          <w:rFonts w:eastAsia="Times New Roman" w:cs="Arial"/>
          <w:color w:val="000000"/>
          <w:lang w:eastAsia="bg-BG"/>
        </w:rPr>
        <w:t xml:space="preserve">при 391 пациенти с хипертония (АН=150/88 </w:t>
      </w:r>
      <w:r w:rsidRPr="00432457">
        <w:rPr>
          <w:rFonts w:eastAsia="Times New Roman" w:cs="Arial"/>
          <w:color w:val="000000"/>
          <w:lang w:val="en-US"/>
        </w:rPr>
        <w:t xml:space="preserve">mmHg) </w:t>
      </w:r>
      <w:r w:rsidRPr="00432457">
        <w:rPr>
          <w:rFonts w:eastAsia="Times New Roman" w:cs="Arial"/>
          <w:color w:val="000000"/>
          <w:lang w:eastAsia="bg-BG"/>
        </w:rPr>
        <w:t>с диабет тип 2, албуминурия (средна стойност=102 микрограма</w:t>
      </w:r>
      <w:r w:rsidRPr="00432457">
        <w:rPr>
          <w:rFonts w:eastAsia="Times New Roman" w:cs="Arial"/>
          <w:color w:val="000000"/>
          <w:lang w:val="en-US"/>
        </w:rPr>
        <w:t xml:space="preserve">/min; </w:t>
      </w:r>
      <w:r w:rsidRPr="00432457">
        <w:rPr>
          <w:rFonts w:eastAsia="Times New Roman" w:cs="Arial"/>
          <w:color w:val="000000"/>
          <w:lang w:eastAsia="bg-BG"/>
        </w:rPr>
        <w:t>20- 700 μ</w:t>
      </w:r>
      <w:r w:rsidRPr="00432457">
        <w:rPr>
          <w:rFonts w:eastAsia="Times New Roman" w:cs="Arial"/>
          <w:color w:val="000000"/>
          <w:lang w:val="en-US"/>
        </w:rPr>
        <w:t xml:space="preserve">g/min) </w:t>
      </w:r>
      <w:r w:rsidRPr="00432457">
        <w:rPr>
          <w:rFonts w:eastAsia="Times New Roman" w:cs="Arial"/>
          <w:color w:val="000000"/>
          <w:lang w:eastAsia="bg-BG"/>
        </w:rPr>
        <w:t xml:space="preserve">и запазена бъбречна функция (среден серумен креатинин-80 микромола/1). Пациентите са рандомизирани с една от 3-те дози валсартан (160, 320 и 640 </w:t>
      </w:r>
      <w:r w:rsidRPr="00432457">
        <w:rPr>
          <w:rFonts w:eastAsia="Times New Roman" w:cs="Arial"/>
          <w:color w:val="000000"/>
          <w:lang w:val="en-US"/>
        </w:rPr>
        <w:t>mg</w:t>
      </w:r>
      <w:r w:rsidRPr="00432457">
        <w:rPr>
          <w:rFonts w:eastAsia="Times New Roman" w:cs="Arial"/>
          <w:color w:val="000000"/>
          <w:lang w:eastAsia="bg-BG"/>
        </w:rPr>
        <w:t xml:space="preserve">/ден) и лекувани в продължение на 30 седмици. Целта на проучването е да установи оптималната доза валсартан за редуциране на </w:t>
      </w:r>
      <w:r w:rsidRPr="00432457">
        <w:rPr>
          <w:rFonts w:eastAsia="Times New Roman" w:cs="Arial"/>
          <w:color w:val="000000"/>
          <w:lang w:val="en-US"/>
        </w:rPr>
        <w:t xml:space="preserve">UAE </w:t>
      </w:r>
      <w:r w:rsidRPr="00432457">
        <w:rPr>
          <w:rFonts w:eastAsia="Times New Roman" w:cs="Arial"/>
          <w:color w:val="000000"/>
          <w:lang w:eastAsia="bg-BG"/>
        </w:rPr>
        <w:t xml:space="preserve">при пациенти с хипертония и диабет тип 2. След 30 седмици процентната промяна в </w:t>
      </w:r>
      <w:r w:rsidRPr="00432457">
        <w:rPr>
          <w:rFonts w:eastAsia="Times New Roman" w:cs="Arial"/>
          <w:color w:val="000000"/>
          <w:lang w:val="en-US"/>
        </w:rPr>
        <w:t xml:space="preserve">UAE </w:t>
      </w:r>
      <w:r w:rsidRPr="00432457">
        <w:rPr>
          <w:rFonts w:eastAsia="Times New Roman" w:cs="Arial"/>
          <w:color w:val="000000"/>
          <w:lang w:eastAsia="bg-BG"/>
        </w:rPr>
        <w:t xml:space="preserve">е значително намалена с 36% от изходната стойност с валсартан 160 </w:t>
      </w:r>
      <w:r w:rsidRPr="00432457">
        <w:rPr>
          <w:rFonts w:eastAsia="Times New Roman" w:cs="Arial"/>
          <w:color w:val="000000"/>
          <w:lang w:val="en-US"/>
        </w:rPr>
        <w:t xml:space="preserve">mg </w:t>
      </w:r>
      <w:r w:rsidRPr="00432457">
        <w:rPr>
          <w:rFonts w:eastAsia="Times New Roman" w:cs="Arial"/>
          <w:color w:val="000000"/>
          <w:lang w:eastAsia="bg-BG"/>
        </w:rPr>
        <w:t xml:space="preserve">(95% ДИ: 22 до 47%) и с 44% с валсартан 320 </w:t>
      </w:r>
      <w:r w:rsidRPr="00432457">
        <w:rPr>
          <w:rFonts w:eastAsia="Times New Roman" w:cs="Arial"/>
          <w:color w:val="000000"/>
          <w:lang w:val="en-US"/>
        </w:rPr>
        <w:t xml:space="preserve">mg </w:t>
      </w:r>
      <w:r w:rsidRPr="00432457">
        <w:rPr>
          <w:rFonts w:eastAsia="Times New Roman" w:cs="Arial"/>
          <w:color w:val="000000"/>
          <w:lang w:eastAsia="bg-BG"/>
        </w:rPr>
        <w:t xml:space="preserve">(95% ДИ: 31 до 54%). Направено е заключение, че 160-320 </w:t>
      </w:r>
      <w:r w:rsidRPr="00432457">
        <w:rPr>
          <w:rFonts w:eastAsia="Times New Roman" w:cs="Arial"/>
          <w:color w:val="000000"/>
          <w:lang w:val="en-US"/>
        </w:rPr>
        <w:t xml:space="preserve">mg </w:t>
      </w:r>
      <w:r w:rsidRPr="00432457">
        <w:rPr>
          <w:rFonts w:eastAsia="Times New Roman" w:cs="Arial"/>
          <w:color w:val="000000"/>
          <w:lang w:eastAsia="bg-BG"/>
        </w:rPr>
        <w:t xml:space="preserve">валсартан води до клинично значими редукции на </w:t>
      </w:r>
      <w:r w:rsidRPr="00432457">
        <w:rPr>
          <w:rFonts w:eastAsia="Times New Roman" w:cs="Arial"/>
          <w:color w:val="000000"/>
          <w:lang w:val="en-US"/>
        </w:rPr>
        <w:t xml:space="preserve">UAE </w:t>
      </w:r>
      <w:r w:rsidRPr="00432457">
        <w:rPr>
          <w:rFonts w:eastAsia="Times New Roman" w:cs="Arial"/>
          <w:color w:val="000000"/>
          <w:lang w:eastAsia="bg-BG"/>
        </w:rPr>
        <w:t>при пациенти с хипертония и диабет тип 2.</w:t>
      </w:r>
    </w:p>
    <w:p w14:paraId="4E57F44F" w14:textId="77777777" w:rsidR="00432457" w:rsidRPr="00432457" w:rsidRDefault="00432457" w:rsidP="00432457">
      <w:pPr>
        <w:spacing w:line="240" w:lineRule="auto"/>
        <w:rPr>
          <w:rFonts w:eastAsia="Times New Roman" w:cs="Arial"/>
          <w:color w:val="000000"/>
          <w:u w:val="single"/>
          <w:lang w:eastAsia="bg-BG"/>
        </w:rPr>
      </w:pPr>
    </w:p>
    <w:p w14:paraId="232DAEDB" w14:textId="574A0969" w:rsidR="00432457" w:rsidRPr="00432457" w:rsidRDefault="00432457" w:rsidP="00432457">
      <w:pPr>
        <w:spacing w:line="240" w:lineRule="auto"/>
        <w:rPr>
          <w:rFonts w:eastAsia="Times New Roman" w:cs="Arial"/>
          <w:lang w:eastAsia="bg-BG"/>
        </w:rPr>
      </w:pPr>
      <w:r w:rsidRPr="00432457">
        <w:rPr>
          <w:rFonts w:eastAsia="Times New Roman" w:cs="Arial"/>
          <w:color w:val="000000"/>
          <w:u w:val="single"/>
          <w:lang w:eastAsia="bg-BG"/>
        </w:rPr>
        <w:t>Данни от клинични проучвания за двойна блокада на ренин-ангиотензин-алдостероновата система (РААС):</w:t>
      </w:r>
    </w:p>
    <w:p w14:paraId="2A99CEF8" w14:textId="77777777" w:rsidR="00432457" w:rsidRPr="00432457" w:rsidRDefault="00432457" w:rsidP="00432457">
      <w:pPr>
        <w:spacing w:line="240" w:lineRule="auto"/>
        <w:rPr>
          <w:rFonts w:eastAsia="Times New Roman" w:cs="Arial"/>
          <w:lang w:eastAsia="bg-BG"/>
        </w:rPr>
      </w:pPr>
      <w:r w:rsidRPr="00432457">
        <w:rPr>
          <w:rFonts w:eastAsia="Times New Roman" w:cs="Arial"/>
          <w:color w:val="000000"/>
          <w:lang w:eastAsia="bg-BG"/>
        </w:rPr>
        <w:t xml:space="preserve">Две големи рандомизирани контролирани проучвания - </w:t>
      </w:r>
      <w:r w:rsidRPr="00432457">
        <w:rPr>
          <w:rFonts w:eastAsia="Times New Roman" w:cs="Arial"/>
          <w:color w:val="000000"/>
          <w:lang w:val="en-US"/>
        </w:rPr>
        <w:t>ONTARGET (</w:t>
      </w:r>
      <w:proofErr w:type="spellStart"/>
      <w:r w:rsidRPr="00432457">
        <w:rPr>
          <w:rFonts w:eastAsia="Times New Roman" w:cs="Arial"/>
          <w:color w:val="000000"/>
          <w:lang w:val="en-US"/>
        </w:rPr>
        <w:t>ONgoing</w:t>
      </w:r>
      <w:proofErr w:type="spellEnd"/>
      <w:r w:rsidRPr="00432457">
        <w:rPr>
          <w:rFonts w:eastAsia="Times New Roman" w:cs="Arial"/>
          <w:color w:val="000000"/>
          <w:lang w:val="en-US"/>
        </w:rPr>
        <w:t xml:space="preserve"> </w:t>
      </w:r>
      <w:proofErr w:type="spellStart"/>
      <w:r w:rsidRPr="00432457">
        <w:rPr>
          <w:rFonts w:eastAsia="Times New Roman" w:cs="Arial"/>
          <w:color w:val="000000"/>
          <w:lang w:val="en-US"/>
        </w:rPr>
        <w:t>Telmisartan</w:t>
      </w:r>
      <w:proofErr w:type="spellEnd"/>
      <w:r w:rsidRPr="00432457">
        <w:rPr>
          <w:rFonts w:eastAsia="Times New Roman" w:cs="Arial"/>
          <w:color w:val="000000"/>
          <w:lang w:val="en-US"/>
        </w:rPr>
        <w:t xml:space="preserve"> Alone and in combination with Ramipril Global Endpoint Trial - </w:t>
      </w:r>
      <w:r w:rsidRPr="00432457">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432457">
        <w:rPr>
          <w:rFonts w:eastAsia="Times New Roman" w:cs="Arial"/>
          <w:color w:val="000000"/>
          <w:lang w:val="en-US"/>
        </w:rPr>
        <w:t xml:space="preserve">VA NEPHRON-D </w:t>
      </w:r>
      <w:r w:rsidRPr="00432457">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II-рецепторен блокер.</w:t>
      </w:r>
    </w:p>
    <w:p w14:paraId="042D4202" w14:textId="77777777" w:rsidR="00432457" w:rsidRPr="00432457" w:rsidRDefault="00432457" w:rsidP="00432457">
      <w:pPr>
        <w:spacing w:line="240" w:lineRule="auto"/>
        <w:rPr>
          <w:rFonts w:eastAsia="Times New Roman" w:cs="Arial"/>
          <w:color w:val="000000"/>
          <w:lang w:val="en-US"/>
        </w:rPr>
      </w:pPr>
    </w:p>
    <w:p w14:paraId="69A5B78A" w14:textId="1BF79574" w:rsidR="00432457" w:rsidRPr="00432457" w:rsidRDefault="00432457" w:rsidP="00432457">
      <w:pPr>
        <w:spacing w:line="240" w:lineRule="auto"/>
        <w:rPr>
          <w:rFonts w:eastAsia="Times New Roman" w:cs="Arial"/>
          <w:lang w:eastAsia="bg-BG"/>
        </w:rPr>
      </w:pPr>
      <w:r w:rsidRPr="00432457">
        <w:rPr>
          <w:rFonts w:eastAsia="Times New Roman" w:cs="Arial"/>
          <w:color w:val="000000"/>
          <w:lang w:val="en-US"/>
        </w:rPr>
        <w:t xml:space="preserve">ONTARGET </w:t>
      </w:r>
      <w:r w:rsidRPr="00432457">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w:t>
      </w:r>
      <w:r w:rsidRPr="00432457">
        <w:rPr>
          <w:rFonts w:eastAsia="Times New Roman" w:cs="Arial"/>
          <w:color w:val="000000"/>
          <w:lang w:eastAsia="bg-BG"/>
        </w:rPr>
        <w:lastRenderedPageBreak/>
        <w:t xml:space="preserve">ефекторни органи. </w:t>
      </w:r>
      <w:r w:rsidRPr="00432457">
        <w:rPr>
          <w:rFonts w:eastAsia="Times New Roman" w:cs="Arial"/>
          <w:color w:val="000000"/>
          <w:lang w:val="en-US"/>
        </w:rPr>
        <w:t xml:space="preserve">VA NEPHRON-D </w:t>
      </w:r>
      <w:r w:rsidRPr="00432457">
        <w:rPr>
          <w:rFonts w:eastAsia="Times New Roman" w:cs="Arial"/>
          <w:color w:val="000000"/>
          <w:lang w:eastAsia="bg-BG"/>
        </w:rPr>
        <w:t>е проучване при пациенти със захарен диабет тип 2 и диабетна нефропатия.</w:t>
      </w:r>
    </w:p>
    <w:p w14:paraId="157F12DC" w14:textId="77777777" w:rsidR="00432457" w:rsidRPr="00432457" w:rsidRDefault="00432457" w:rsidP="00432457">
      <w:pPr>
        <w:spacing w:line="240" w:lineRule="auto"/>
        <w:rPr>
          <w:rFonts w:eastAsia="Times New Roman" w:cs="Arial"/>
          <w:lang w:eastAsia="bg-BG"/>
        </w:rPr>
      </w:pPr>
      <w:r w:rsidRPr="00432457">
        <w:rPr>
          <w:rFonts w:eastAsia="Times New Roman" w:cs="Arial"/>
          <w:color w:val="000000"/>
          <w:lang w:eastAsia="bg-BG"/>
        </w:rPr>
        <w:t>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П-рецепторни блокери.</w:t>
      </w:r>
    </w:p>
    <w:p w14:paraId="470340B6" w14:textId="77777777" w:rsidR="00432457" w:rsidRPr="00432457" w:rsidRDefault="00432457" w:rsidP="00432457">
      <w:pPr>
        <w:spacing w:line="240" w:lineRule="auto"/>
        <w:rPr>
          <w:rFonts w:eastAsia="Times New Roman" w:cs="Arial"/>
          <w:lang w:eastAsia="bg-BG"/>
        </w:rPr>
      </w:pPr>
      <w:r w:rsidRPr="00432457">
        <w:rPr>
          <w:rFonts w:eastAsia="Times New Roman" w:cs="Arial"/>
          <w:color w:val="000000"/>
          <w:lang w:eastAsia="bg-BG"/>
        </w:rPr>
        <w:t>АСЕ инхибитори и ангиотензин II-рецепторни блокери следователно не трябва да се използват едновременно при пациенти с диабетна нефропатия.</w:t>
      </w:r>
    </w:p>
    <w:p w14:paraId="5679DBF1" w14:textId="77777777" w:rsidR="00432457" w:rsidRPr="00432457" w:rsidRDefault="00432457" w:rsidP="00432457">
      <w:pPr>
        <w:spacing w:line="240" w:lineRule="auto"/>
        <w:rPr>
          <w:rFonts w:eastAsia="Times New Roman" w:cs="Arial"/>
          <w:color w:val="000000"/>
          <w:lang w:val="en-US"/>
        </w:rPr>
      </w:pPr>
    </w:p>
    <w:p w14:paraId="62D66832" w14:textId="55C73645" w:rsidR="00432457" w:rsidRPr="00432457" w:rsidRDefault="00432457" w:rsidP="00432457">
      <w:pPr>
        <w:spacing w:line="240" w:lineRule="auto"/>
        <w:rPr>
          <w:rFonts w:eastAsia="Times New Roman" w:cs="Arial"/>
          <w:lang w:eastAsia="bg-BG"/>
        </w:rPr>
      </w:pPr>
      <w:r w:rsidRPr="00432457">
        <w:rPr>
          <w:rFonts w:eastAsia="Times New Roman" w:cs="Arial"/>
          <w:color w:val="000000"/>
          <w:lang w:val="en-US"/>
        </w:rPr>
        <w:t xml:space="preserve">ALTITUDE </w:t>
      </w:r>
      <w:r w:rsidRPr="00432457">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заболявалия като крайни точки) е проучване, предназначено да изследва ползата от добавянето на алискирен към стандартна терапия с АСЕ инхибитор или ангиотензин II-рецепторен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w:t>
      </w:r>
      <w:r w:rsidRPr="00432457">
        <w:rPr>
          <w:rFonts w:eastAsia="Times New Roman" w:cs="Arial"/>
          <w:color w:val="000000"/>
          <w:lang w:eastAsia="bg-BG"/>
        </w:rPr>
        <w:softHyphen/>
        <w:t>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1C7757C8" w14:textId="77777777" w:rsidR="00432457" w:rsidRPr="00432457" w:rsidRDefault="00432457" w:rsidP="00432457">
      <w:pPr>
        <w:spacing w:line="240" w:lineRule="auto"/>
        <w:rPr>
          <w:rFonts w:eastAsia="Times New Roman" w:cs="Arial"/>
          <w:i/>
          <w:iCs/>
          <w:color w:val="000000"/>
          <w:u w:val="single"/>
          <w:lang w:eastAsia="bg-BG"/>
        </w:rPr>
      </w:pPr>
    </w:p>
    <w:p w14:paraId="56683D73" w14:textId="1F445B82" w:rsidR="00432457" w:rsidRPr="00432457" w:rsidRDefault="00432457" w:rsidP="00432457">
      <w:pPr>
        <w:spacing w:line="240" w:lineRule="auto"/>
        <w:rPr>
          <w:rFonts w:eastAsia="Times New Roman" w:cs="Arial"/>
          <w:lang w:eastAsia="bg-BG"/>
        </w:rPr>
      </w:pPr>
      <w:r w:rsidRPr="00432457">
        <w:rPr>
          <w:rFonts w:eastAsia="Times New Roman" w:cs="Arial"/>
          <w:i/>
          <w:iCs/>
          <w:color w:val="000000"/>
          <w:u w:val="single"/>
          <w:lang w:eastAsia="bg-BG"/>
        </w:rPr>
        <w:t>Педиатрична популация</w:t>
      </w:r>
    </w:p>
    <w:p w14:paraId="2D05D527" w14:textId="77777777" w:rsidR="00432457" w:rsidRPr="00432457" w:rsidRDefault="00432457" w:rsidP="00432457">
      <w:pPr>
        <w:spacing w:line="240" w:lineRule="auto"/>
        <w:rPr>
          <w:rFonts w:eastAsia="Times New Roman" w:cs="Arial"/>
          <w:color w:val="000000"/>
          <w:u w:val="single"/>
          <w:lang w:eastAsia="bg-BG"/>
        </w:rPr>
      </w:pPr>
    </w:p>
    <w:p w14:paraId="780A4535" w14:textId="296F470F" w:rsidR="00432457" w:rsidRPr="00432457" w:rsidRDefault="00432457" w:rsidP="00432457">
      <w:pPr>
        <w:spacing w:line="240" w:lineRule="auto"/>
        <w:rPr>
          <w:rFonts w:eastAsia="Times New Roman" w:cs="Arial"/>
          <w:lang w:eastAsia="bg-BG"/>
        </w:rPr>
      </w:pPr>
      <w:r w:rsidRPr="00432457">
        <w:rPr>
          <w:rFonts w:eastAsia="Times New Roman" w:cs="Arial"/>
          <w:color w:val="000000"/>
          <w:u w:val="single"/>
          <w:lang w:eastAsia="bg-BG"/>
        </w:rPr>
        <w:t>Хипертония</w:t>
      </w:r>
    </w:p>
    <w:p w14:paraId="24538494" w14:textId="77777777" w:rsidR="00432457" w:rsidRPr="00432457" w:rsidRDefault="00432457" w:rsidP="00432457">
      <w:pPr>
        <w:spacing w:line="240" w:lineRule="auto"/>
        <w:rPr>
          <w:rFonts w:eastAsia="Times New Roman" w:cs="Arial"/>
          <w:color w:val="000000"/>
          <w:lang w:eastAsia="bg-BG"/>
        </w:rPr>
      </w:pPr>
    </w:p>
    <w:p w14:paraId="3D0DF9B1" w14:textId="586B3816" w:rsidR="00432457" w:rsidRPr="00432457" w:rsidRDefault="00432457" w:rsidP="00432457">
      <w:pPr>
        <w:spacing w:line="240" w:lineRule="auto"/>
        <w:rPr>
          <w:rFonts w:eastAsia="Times New Roman" w:cs="Arial"/>
          <w:lang w:eastAsia="bg-BG"/>
        </w:rPr>
      </w:pPr>
      <w:r w:rsidRPr="00432457">
        <w:rPr>
          <w:rFonts w:eastAsia="Times New Roman" w:cs="Arial"/>
          <w:color w:val="000000"/>
          <w:lang w:eastAsia="bg-BG"/>
        </w:rPr>
        <w:t>Антихипертензивният ефект на валсартан е оценен в хода на четири рандомизирани, двойно-слепи клинични проучвания при 561 педиатрични пациенти на възраст от 6 до под 18 години и 165 педиатрични пациенти на възраст от 1 до 6 години. Нарушения на бъбреците и пикочните пътища и затлъстяване са най- честите подлежащи медицински състояния, които допринасят за развитието на хипертония при децата. включени в проучванията.</w:t>
      </w:r>
    </w:p>
    <w:p w14:paraId="4AA5DF10" w14:textId="77777777" w:rsidR="00432457" w:rsidRPr="00432457" w:rsidRDefault="00432457" w:rsidP="00432457">
      <w:pPr>
        <w:spacing w:line="240" w:lineRule="auto"/>
        <w:rPr>
          <w:rFonts w:eastAsia="Times New Roman" w:cs="Arial"/>
          <w:i/>
          <w:iCs/>
          <w:color w:val="000000"/>
          <w:lang w:eastAsia="bg-BG"/>
        </w:rPr>
      </w:pPr>
    </w:p>
    <w:p w14:paraId="718A40AC" w14:textId="53CF16AD" w:rsidR="00432457" w:rsidRPr="00432457" w:rsidRDefault="00432457" w:rsidP="00432457">
      <w:pPr>
        <w:spacing w:line="240" w:lineRule="auto"/>
        <w:rPr>
          <w:rFonts w:eastAsia="Times New Roman" w:cs="Arial"/>
          <w:lang w:val="en-US" w:eastAsia="bg-BG"/>
        </w:rPr>
      </w:pPr>
      <w:r w:rsidRPr="00432457">
        <w:rPr>
          <w:rFonts w:eastAsia="Times New Roman" w:cs="Arial"/>
          <w:i/>
          <w:iCs/>
          <w:color w:val="000000"/>
          <w:lang w:eastAsia="bg-BG"/>
        </w:rPr>
        <w:t>Клиничен опит при деца над 6-годишна възраст</w:t>
      </w:r>
    </w:p>
    <w:p w14:paraId="7ABA3037" w14:textId="3311DA6A" w:rsidR="00432457" w:rsidRPr="00432457" w:rsidRDefault="00432457" w:rsidP="0091385D">
      <w:pPr>
        <w:rPr>
          <w:rFonts w:cs="Arial"/>
        </w:rPr>
      </w:pPr>
    </w:p>
    <w:p w14:paraId="533E3D68" w14:textId="77777777" w:rsidR="00432457" w:rsidRPr="00432457" w:rsidRDefault="00432457" w:rsidP="00432457">
      <w:pPr>
        <w:spacing w:line="240" w:lineRule="auto"/>
        <w:rPr>
          <w:rFonts w:eastAsia="Times New Roman" w:cs="Arial"/>
          <w:lang w:eastAsia="bg-BG"/>
        </w:rPr>
      </w:pPr>
      <w:r w:rsidRPr="00432457">
        <w:rPr>
          <w:rFonts w:eastAsia="Times New Roman" w:cs="Arial"/>
          <w:color w:val="000000"/>
          <w:lang w:eastAsia="bg-BG"/>
        </w:rPr>
        <w:t xml:space="preserve">В едно клинично проучване, включващо 261 хипертензивни пациенти на възраст от 6 до 16 години, пациентите с тегло &lt;35 </w:t>
      </w:r>
      <w:r w:rsidRPr="00432457">
        <w:rPr>
          <w:rFonts w:eastAsia="Times New Roman" w:cs="Arial"/>
          <w:color w:val="000000"/>
          <w:lang w:val="en-US"/>
        </w:rPr>
        <w:t xml:space="preserve">kg </w:t>
      </w:r>
      <w:r w:rsidRPr="00432457">
        <w:rPr>
          <w:rFonts w:eastAsia="Times New Roman" w:cs="Arial"/>
          <w:color w:val="000000"/>
          <w:lang w:eastAsia="bg-BG"/>
        </w:rPr>
        <w:t xml:space="preserve">получават 10,40 или 80 </w:t>
      </w:r>
      <w:r w:rsidRPr="00432457">
        <w:rPr>
          <w:rFonts w:eastAsia="Times New Roman" w:cs="Arial"/>
          <w:color w:val="000000"/>
          <w:lang w:val="en-US"/>
        </w:rPr>
        <w:t xml:space="preserve">mg </w:t>
      </w:r>
      <w:r w:rsidRPr="00432457">
        <w:rPr>
          <w:rFonts w:eastAsia="Times New Roman" w:cs="Arial"/>
          <w:color w:val="000000"/>
          <w:lang w:eastAsia="bg-BG"/>
        </w:rPr>
        <w:t xml:space="preserve">валсартан дневно под формата на таблетки (ниска, средна и висока доза), а пациентите с тегло &gt;35 </w:t>
      </w:r>
      <w:r w:rsidRPr="00432457">
        <w:rPr>
          <w:rFonts w:eastAsia="Times New Roman" w:cs="Arial"/>
          <w:color w:val="000000"/>
          <w:lang w:val="en-US"/>
        </w:rPr>
        <w:t xml:space="preserve">kg </w:t>
      </w:r>
      <w:r w:rsidRPr="00432457">
        <w:rPr>
          <w:rFonts w:eastAsia="Times New Roman" w:cs="Arial"/>
          <w:color w:val="000000"/>
          <w:lang w:eastAsia="bg-BG"/>
        </w:rPr>
        <w:t xml:space="preserve">получават 20,80 или 160 </w:t>
      </w:r>
      <w:r w:rsidRPr="00432457">
        <w:rPr>
          <w:rFonts w:eastAsia="Times New Roman" w:cs="Arial"/>
          <w:color w:val="000000"/>
          <w:lang w:val="en-US"/>
        </w:rPr>
        <w:t xml:space="preserve">mg </w:t>
      </w:r>
      <w:r w:rsidRPr="00432457">
        <w:rPr>
          <w:rFonts w:eastAsia="Times New Roman" w:cs="Arial"/>
          <w:color w:val="000000"/>
          <w:lang w:eastAsia="bg-BG"/>
        </w:rPr>
        <w:t xml:space="preserve">валсартан дневно под формата на таблетки (ниска, средна и висока доза). В края на втората седмица валсартан води до дозозависимо понижение както на систолното, така и на диастолното налягане. Трите дози валсартан (ниска, средна и висока) значимо понижават систолното налягане съответно с 8, 10 и 12 </w:t>
      </w:r>
      <w:r w:rsidRPr="00432457">
        <w:rPr>
          <w:rFonts w:eastAsia="Times New Roman" w:cs="Arial"/>
          <w:color w:val="000000"/>
          <w:lang w:val="en-US"/>
        </w:rPr>
        <w:t xml:space="preserve">mmHg </w:t>
      </w:r>
      <w:r w:rsidRPr="00432457">
        <w:rPr>
          <w:rFonts w:eastAsia="Times New Roman" w:cs="Arial"/>
          <w:color w:val="000000"/>
          <w:lang w:eastAsia="bg-BG"/>
        </w:rPr>
        <w:t xml:space="preserve">спрямо изходните стойности. Пациентите са рандомизирани да продължат да приемат същите дози валсартан или да преминат на плацебо. При пациентите, които продължават да приемат средна и висока доза валсартан систолното налягане е средно с 4 и 7 </w:t>
      </w:r>
      <w:bookmarkStart w:id="2" w:name="_GoBack"/>
      <w:r w:rsidRPr="004C42F9">
        <w:rPr>
          <w:rFonts w:eastAsia="Times New Roman" w:cs="Arial"/>
          <w:color w:val="000000"/>
          <w:lang w:val="en-US"/>
        </w:rPr>
        <w:t xml:space="preserve">mmHg </w:t>
      </w:r>
      <w:bookmarkEnd w:id="2"/>
      <w:r w:rsidRPr="00432457">
        <w:rPr>
          <w:rFonts w:eastAsia="Times New Roman" w:cs="Arial"/>
          <w:color w:val="000000"/>
          <w:lang w:eastAsia="bg-BG"/>
        </w:rPr>
        <w:t>по-ниско, отколкото при пациентите на лечение с плацебо. При пациентите, приемащи ниска доза валсартан систолното налягане е подобно на това при пациентите на лечение с плацебо. Дозозависимият антихипертензивен ефект на валсартан е налице при всички демографски подгрупи.</w:t>
      </w:r>
    </w:p>
    <w:p w14:paraId="08019601" w14:textId="77777777" w:rsidR="00432457" w:rsidRPr="00432457" w:rsidRDefault="00432457" w:rsidP="00432457">
      <w:pPr>
        <w:spacing w:line="240" w:lineRule="auto"/>
        <w:rPr>
          <w:rFonts w:eastAsia="Times New Roman" w:cs="Arial"/>
          <w:color w:val="000000"/>
          <w:lang w:eastAsia="bg-BG"/>
        </w:rPr>
      </w:pPr>
    </w:p>
    <w:p w14:paraId="15C691BB" w14:textId="3FD275E5" w:rsidR="00432457" w:rsidRPr="00432457" w:rsidRDefault="00432457" w:rsidP="00432457">
      <w:pPr>
        <w:spacing w:line="240" w:lineRule="auto"/>
        <w:rPr>
          <w:rFonts w:eastAsia="Times New Roman" w:cs="Arial"/>
          <w:lang w:eastAsia="bg-BG"/>
        </w:rPr>
      </w:pPr>
      <w:r w:rsidRPr="00432457">
        <w:rPr>
          <w:rFonts w:eastAsia="Times New Roman" w:cs="Arial"/>
          <w:color w:val="000000"/>
          <w:lang w:eastAsia="bg-BG"/>
        </w:rPr>
        <w:lastRenderedPageBreak/>
        <w:t xml:space="preserve">Във второ клинично проучване, включващо 300 педиатрични пациенти с хипертония на възраст от 6 до под 18 години определени пациенти са рандомизирани да приемат валсартан или еналаприл в продължение на 12 седмици. Децата с тегло между ≥ 18 </w:t>
      </w:r>
      <w:r w:rsidRPr="00432457">
        <w:rPr>
          <w:rFonts w:eastAsia="Times New Roman" w:cs="Arial"/>
          <w:color w:val="000000"/>
          <w:lang w:val="en-US"/>
        </w:rPr>
        <w:t xml:space="preserve">kg </w:t>
      </w:r>
      <w:r w:rsidRPr="00432457">
        <w:rPr>
          <w:rFonts w:eastAsia="Times New Roman" w:cs="Arial"/>
          <w:color w:val="000000"/>
          <w:lang w:eastAsia="bg-BG"/>
        </w:rPr>
        <w:t xml:space="preserve">и &lt;35 </w:t>
      </w:r>
      <w:r w:rsidRPr="00432457">
        <w:rPr>
          <w:rFonts w:eastAsia="Times New Roman" w:cs="Arial"/>
          <w:color w:val="000000"/>
          <w:lang w:val="en-US"/>
        </w:rPr>
        <w:t xml:space="preserve">kg </w:t>
      </w:r>
      <w:r w:rsidRPr="00432457">
        <w:rPr>
          <w:rFonts w:eastAsia="Times New Roman" w:cs="Arial"/>
          <w:color w:val="000000"/>
          <w:lang w:eastAsia="bg-BG"/>
        </w:rPr>
        <w:t xml:space="preserve">приемат 80 </w:t>
      </w:r>
      <w:r w:rsidRPr="00432457">
        <w:rPr>
          <w:rFonts w:eastAsia="Times New Roman" w:cs="Arial"/>
          <w:color w:val="000000"/>
          <w:lang w:val="en-US"/>
        </w:rPr>
        <w:t xml:space="preserve">mg </w:t>
      </w:r>
      <w:r w:rsidRPr="00432457">
        <w:rPr>
          <w:rFonts w:eastAsia="Times New Roman" w:cs="Arial"/>
          <w:color w:val="000000"/>
          <w:lang w:eastAsia="bg-BG"/>
        </w:rPr>
        <w:t xml:space="preserve">валсартан или 10 </w:t>
      </w:r>
      <w:r w:rsidRPr="00432457">
        <w:rPr>
          <w:rFonts w:eastAsia="Times New Roman" w:cs="Arial"/>
          <w:color w:val="000000"/>
          <w:lang w:val="en-US"/>
        </w:rPr>
        <w:t xml:space="preserve">mg </w:t>
      </w:r>
      <w:r w:rsidRPr="00432457">
        <w:rPr>
          <w:rFonts w:eastAsia="Times New Roman" w:cs="Arial"/>
          <w:color w:val="000000"/>
          <w:lang w:eastAsia="bg-BG"/>
        </w:rPr>
        <w:t xml:space="preserve">еналаприл; тези с тегло &gt;35 </w:t>
      </w:r>
      <w:r w:rsidRPr="00432457">
        <w:rPr>
          <w:rFonts w:eastAsia="Times New Roman" w:cs="Arial"/>
          <w:color w:val="000000"/>
          <w:lang w:val="en-US"/>
        </w:rPr>
        <w:t xml:space="preserve">kg </w:t>
      </w:r>
      <w:r w:rsidRPr="00432457">
        <w:rPr>
          <w:rFonts w:eastAsia="Times New Roman" w:cs="Arial"/>
          <w:color w:val="000000"/>
          <w:lang w:eastAsia="bg-BG"/>
        </w:rPr>
        <w:t xml:space="preserve">и &lt;80 </w:t>
      </w:r>
      <w:r w:rsidRPr="00432457">
        <w:rPr>
          <w:rFonts w:eastAsia="Times New Roman" w:cs="Arial"/>
          <w:color w:val="000000"/>
          <w:lang w:val="en-US"/>
        </w:rPr>
        <w:t xml:space="preserve">kg </w:t>
      </w:r>
      <w:r w:rsidRPr="00432457">
        <w:rPr>
          <w:rFonts w:eastAsia="Times New Roman" w:cs="Arial"/>
          <w:color w:val="000000"/>
          <w:lang w:eastAsia="bg-BG"/>
        </w:rPr>
        <w:t xml:space="preserve">приемат 160 </w:t>
      </w:r>
      <w:r w:rsidRPr="00432457">
        <w:rPr>
          <w:rFonts w:eastAsia="Times New Roman" w:cs="Arial"/>
          <w:color w:val="000000"/>
          <w:lang w:val="en-US"/>
        </w:rPr>
        <w:t xml:space="preserve">mg </w:t>
      </w:r>
      <w:r w:rsidRPr="00432457">
        <w:rPr>
          <w:rFonts w:eastAsia="Times New Roman" w:cs="Arial"/>
          <w:color w:val="000000"/>
          <w:lang w:eastAsia="bg-BG"/>
        </w:rPr>
        <w:t xml:space="preserve">валсартан или 20 </w:t>
      </w:r>
      <w:r w:rsidRPr="00432457">
        <w:rPr>
          <w:rFonts w:eastAsia="Times New Roman" w:cs="Arial"/>
          <w:color w:val="000000"/>
          <w:lang w:val="en-US"/>
        </w:rPr>
        <w:t xml:space="preserve">mg </w:t>
      </w:r>
      <w:r w:rsidRPr="00432457">
        <w:rPr>
          <w:rFonts w:eastAsia="Times New Roman" w:cs="Arial"/>
          <w:color w:val="000000"/>
          <w:lang w:eastAsia="bg-BG"/>
        </w:rPr>
        <w:t xml:space="preserve">еналаприл; а тези с тегло &gt;80 </w:t>
      </w:r>
      <w:r w:rsidRPr="00432457">
        <w:rPr>
          <w:rFonts w:eastAsia="Times New Roman" w:cs="Arial"/>
          <w:color w:val="000000"/>
          <w:lang w:val="en-US"/>
        </w:rPr>
        <w:t xml:space="preserve">kg </w:t>
      </w:r>
      <w:r w:rsidRPr="00432457">
        <w:rPr>
          <w:rFonts w:eastAsia="Times New Roman" w:cs="Arial"/>
          <w:color w:val="000000"/>
          <w:lang w:eastAsia="bg-BG"/>
        </w:rPr>
        <w:t xml:space="preserve">приемат 320 </w:t>
      </w:r>
      <w:r w:rsidRPr="00432457">
        <w:rPr>
          <w:rFonts w:eastAsia="Times New Roman" w:cs="Arial"/>
          <w:color w:val="000000"/>
          <w:lang w:val="en-US"/>
        </w:rPr>
        <w:t xml:space="preserve">mg </w:t>
      </w:r>
      <w:r w:rsidRPr="00432457">
        <w:rPr>
          <w:rFonts w:eastAsia="Times New Roman" w:cs="Arial"/>
          <w:color w:val="000000"/>
          <w:lang w:eastAsia="bg-BG"/>
        </w:rPr>
        <w:t xml:space="preserve">валсартан или 40 </w:t>
      </w:r>
      <w:r w:rsidRPr="00432457">
        <w:rPr>
          <w:rFonts w:eastAsia="Times New Roman" w:cs="Arial"/>
          <w:color w:val="000000"/>
          <w:lang w:val="en-US"/>
        </w:rPr>
        <w:t xml:space="preserve">mg </w:t>
      </w:r>
      <w:r w:rsidRPr="00432457">
        <w:rPr>
          <w:rFonts w:eastAsia="Times New Roman" w:cs="Arial"/>
          <w:color w:val="000000"/>
          <w:lang w:eastAsia="bg-BG"/>
        </w:rPr>
        <w:t xml:space="preserve">еналаприл. Понижението на систолното налягане е сравнимо между пациентите, приемащи валсартан (15 </w:t>
      </w:r>
      <w:r w:rsidRPr="00432457">
        <w:rPr>
          <w:rFonts w:eastAsia="Times New Roman" w:cs="Arial"/>
          <w:color w:val="000000"/>
          <w:lang w:val="en-US"/>
        </w:rPr>
        <w:t xml:space="preserve">mmHg) </w:t>
      </w:r>
      <w:r w:rsidRPr="00432457">
        <w:rPr>
          <w:rFonts w:eastAsia="Times New Roman" w:cs="Arial"/>
          <w:color w:val="000000"/>
          <w:lang w:eastAsia="bg-BG"/>
        </w:rPr>
        <w:t xml:space="preserve">и еналаприл (14 </w:t>
      </w:r>
      <w:r w:rsidRPr="00432457">
        <w:rPr>
          <w:rFonts w:eastAsia="Times New Roman" w:cs="Arial"/>
          <w:color w:val="000000"/>
          <w:lang w:val="en-US"/>
        </w:rPr>
        <w:t xml:space="preserve">mmHg) </w:t>
      </w:r>
      <w:r w:rsidRPr="00432457">
        <w:rPr>
          <w:rFonts w:eastAsia="Times New Roman" w:cs="Arial"/>
          <w:color w:val="000000"/>
          <w:lang w:eastAsia="bg-BG"/>
        </w:rPr>
        <w:t xml:space="preserve">(р-стойност за не по-малка ефикасност &lt;0,0001). Подобни резултати се наблюдават и за диастолното артериално налягане - понижение с 9,1 </w:t>
      </w:r>
      <w:r w:rsidRPr="00432457">
        <w:rPr>
          <w:rFonts w:eastAsia="Times New Roman" w:cs="Arial"/>
          <w:color w:val="000000"/>
          <w:lang w:val="en-US"/>
        </w:rPr>
        <w:t xml:space="preserve">mmHg </w:t>
      </w:r>
      <w:r w:rsidRPr="00432457">
        <w:rPr>
          <w:rFonts w:eastAsia="Times New Roman" w:cs="Arial"/>
          <w:color w:val="000000"/>
          <w:lang w:eastAsia="bg-BG"/>
        </w:rPr>
        <w:t xml:space="preserve">и с 8,5 </w:t>
      </w:r>
      <w:r w:rsidRPr="00432457">
        <w:rPr>
          <w:rFonts w:eastAsia="Times New Roman" w:cs="Arial"/>
          <w:color w:val="000000"/>
          <w:lang w:val="en-US"/>
        </w:rPr>
        <w:t xml:space="preserve">mmHg </w:t>
      </w:r>
      <w:r w:rsidRPr="00432457">
        <w:rPr>
          <w:rFonts w:eastAsia="Times New Roman" w:cs="Arial"/>
          <w:color w:val="000000"/>
          <w:lang w:eastAsia="bg-BG"/>
        </w:rPr>
        <w:t>съответно с валсартан и еналаприл.</w:t>
      </w:r>
    </w:p>
    <w:p w14:paraId="6EAB61C3" w14:textId="77777777" w:rsidR="00432457" w:rsidRPr="00432457" w:rsidRDefault="00432457" w:rsidP="00432457">
      <w:pPr>
        <w:spacing w:line="240" w:lineRule="auto"/>
        <w:rPr>
          <w:rFonts w:eastAsia="Times New Roman" w:cs="Arial"/>
          <w:color w:val="000000"/>
          <w:lang w:eastAsia="bg-BG"/>
        </w:rPr>
      </w:pPr>
    </w:p>
    <w:p w14:paraId="7DD16954" w14:textId="62E462B3" w:rsidR="00432457" w:rsidRPr="00432457" w:rsidRDefault="00432457" w:rsidP="00432457">
      <w:pPr>
        <w:spacing w:line="240" w:lineRule="auto"/>
        <w:rPr>
          <w:rFonts w:eastAsia="Times New Roman" w:cs="Arial"/>
          <w:lang w:eastAsia="bg-BG"/>
        </w:rPr>
      </w:pPr>
      <w:r w:rsidRPr="00432457">
        <w:rPr>
          <w:rFonts w:eastAsia="Times New Roman" w:cs="Arial"/>
          <w:color w:val="000000"/>
          <w:lang w:eastAsia="bg-BG"/>
        </w:rPr>
        <w:t xml:space="preserve">В трето, отворено клинично проучване, с участието на 150 хипертензивни пациенти в педиатрична възраст между 6 и 17 години, подходящите пациенти (систолноАН ≥95-ия персентил за съответните възраст, пол и ръст) са приемали валсартан в продължение на 18 месеца за оценка на безопасността и поносимостта. От всичките 150 пациенти, участвали в това проучване, 41 са приемали съпътстващо антихипертензивно лечение. Началните и поддържащите дози са се определяли според категорията тегло на пациентите. Пациентите с тегло &gt;18 до &lt;35 </w:t>
      </w:r>
      <w:r w:rsidRPr="00432457">
        <w:rPr>
          <w:rFonts w:eastAsia="Times New Roman" w:cs="Arial"/>
          <w:color w:val="000000"/>
          <w:lang w:val="en-US"/>
        </w:rPr>
        <w:t xml:space="preserve">kg, </w:t>
      </w:r>
      <w:r w:rsidRPr="00432457">
        <w:rPr>
          <w:rFonts w:eastAsia="Times New Roman" w:cs="Arial"/>
          <w:color w:val="000000"/>
          <w:lang w:eastAsia="bg-BG"/>
        </w:rPr>
        <w:t xml:space="preserve">≥35 до &lt;80 </w:t>
      </w:r>
      <w:r w:rsidRPr="00432457">
        <w:rPr>
          <w:rFonts w:eastAsia="Times New Roman" w:cs="Arial"/>
          <w:color w:val="000000"/>
          <w:lang w:val="en-US"/>
        </w:rPr>
        <w:t xml:space="preserve">kg, </w:t>
      </w:r>
      <w:r w:rsidRPr="00432457">
        <w:rPr>
          <w:rFonts w:eastAsia="Times New Roman" w:cs="Arial"/>
          <w:color w:val="000000"/>
          <w:lang w:eastAsia="bg-BG"/>
        </w:rPr>
        <w:t xml:space="preserve">и ≥80 до &lt;160 </w:t>
      </w:r>
      <w:r w:rsidRPr="00432457">
        <w:rPr>
          <w:rFonts w:eastAsia="Times New Roman" w:cs="Arial"/>
          <w:color w:val="000000"/>
          <w:lang w:val="en-US"/>
        </w:rPr>
        <w:t xml:space="preserve">kg </w:t>
      </w:r>
      <w:r w:rsidRPr="00432457">
        <w:rPr>
          <w:rFonts w:eastAsia="Times New Roman" w:cs="Arial"/>
          <w:color w:val="000000"/>
          <w:lang w:eastAsia="bg-BG"/>
        </w:rPr>
        <w:t xml:space="preserve">са приемали съответно 40 </w:t>
      </w:r>
      <w:r w:rsidRPr="00432457">
        <w:rPr>
          <w:rFonts w:eastAsia="Times New Roman" w:cs="Arial"/>
          <w:color w:val="000000"/>
          <w:lang w:val="en-US"/>
        </w:rPr>
        <w:t xml:space="preserve">mg, </w:t>
      </w:r>
      <w:r w:rsidRPr="00432457">
        <w:rPr>
          <w:rFonts w:eastAsia="Times New Roman" w:cs="Arial"/>
          <w:color w:val="000000"/>
          <w:lang w:eastAsia="bg-BG"/>
        </w:rPr>
        <w:t xml:space="preserve">80 </w:t>
      </w:r>
      <w:r w:rsidRPr="00432457">
        <w:rPr>
          <w:rFonts w:eastAsia="Times New Roman" w:cs="Arial"/>
          <w:color w:val="000000"/>
          <w:lang w:val="en-US"/>
        </w:rPr>
        <w:t xml:space="preserve">mg </w:t>
      </w:r>
      <w:r w:rsidRPr="00432457">
        <w:rPr>
          <w:rFonts w:eastAsia="Times New Roman" w:cs="Arial"/>
          <w:color w:val="000000"/>
          <w:lang w:eastAsia="bg-BG"/>
        </w:rPr>
        <w:t xml:space="preserve">и 160 </w:t>
      </w:r>
      <w:r w:rsidRPr="00432457">
        <w:rPr>
          <w:rFonts w:eastAsia="Times New Roman" w:cs="Arial"/>
          <w:color w:val="000000"/>
          <w:lang w:val="en-US"/>
        </w:rPr>
        <w:t xml:space="preserve">mg, </w:t>
      </w:r>
      <w:r w:rsidRPr="00432457">
        <w:rPr>
          <w:rFonts w:eastAsia="Times New Roman" w:cs="Arial"/>
          <w:color w:val="000000"/>
          <w:lang w:eastAsia="bg-BG"/>
        </w:rPr>
        <w:t xml:space="preserve">като дозите са тигрирани съответно до 80 </w:t>
      </w:r>
      <w:r w:rsidRPr="00432457">
        <w:rPr>
          <w:rFonts w:eastAsia="Times New Roman" w:cs="Arial"/>
          <w:color w:val="000000"/>
          <w:lang w:val="en-US"/>
        </w:rPr>
        <w:t xml:space="preserve">mg, </w:t>
      </w:r>
      <w:r w:rsidRPr="00432457">
        <w:rPr>
          <w:rFonts w:eastAsia="Times New Roman" w:cs="Arial"/>
          <w:color w:val="000000"/>
          <w:lang w:eastAsia="bg-BG"/>
        </w:rPr>
        <w:t xml:space="preserve">160 </w:t>
      </w:r>
      <w:r w:rsidRPr="00432457">
        <w:rPr>
          <w:rFonts w:eastAsia="Times New Roman" w:cs="Arial"/>
          <w:color w:val="000000"/>
          <w:lang w:val="en-US"/>
        </w:rPr>
        <w:t xml:space="preserve">mg </w:t>
      </w:r>
      <w:r w:rsidRPr="00432457">
        <w:rPr>
          <w:rFonts w:eastAsia="Times New Roman" w:cs="Arial"/>
          <w:color w:val="000000"/>
          <w:lang w:eastAsia="bg-BG"/>
        </w:rPr>
        <w:t xml:space="preserve">и 320 </w:t>
      </w:r>
      <w:r w:rsidRPr="00432457">
        <w:rPr>
          <w:rFonts w:eastAsia="Times New Roman" w:cs="Arial"/>
          <w:color w:val="000000"/>
          <w:lang w:val="en-US"/>
        </w:rPr>
        <w:t xml:space="preserve">mg </w:t>
      </w:r>
      <w:r w:rsidRPr="00432457">
        <w:rPr>
          <w:rFonts w:eastAsia="Times New Roman" w:cs="Arial"/>
          <w:color w:val="000000"/>
          <w:lang w:eastAsia="bg-BG"/>
        </w:rPr>
        <w:t xml:space="preserve">след една седмица. Половината от участващите пациенти (50,0%, </w:t>
      </w:r>
      <w:r w:rsidRPr="00432457">
        <w:rPr>
          <w:rFonts w:eastAsia="Times New Roman" w:cs="Arial"/>
          <w:color w:val="000000"/>
          <w:lang w:val="en-US"/>
        </w:rPr>
        <w:t>n</w:t>
      </w:r>
      <w:r w:rsidRPr="00432457">
        <w:rPr>
          <w:rFonts w:eastAsia="Times New Roman" w:cs="Arial"/>
          <w:color w:val="000000"/>
          <w:lang w:eastAsia="bg-BG"/>
        </w:rPr>
        <w:t xml:space="preserve">=75) са имали ХБЗ, от които 29,3% (44) са имали ХБЗ в стадий 2 </w:t>
      </w:r>
      <w:r w:rsidRPr="00432457">
        <w:rPr>
          <w:rFonts w:eastAsia="Times New Roman" w:cs="Arial"/>
          <w:color w:val="000000"/>
          <w:lang w:val="en-US"/>
        </w:rPr>
        <w:t xml:space="preserve">(GFR </w:t>
      </w:r>
      <w:r w:rsidRPr="00432457">
        <w:rPr>
          <w:rFonts w:eastAsia="Times New Roman" w:cs="Arial"/>
          <w:color w:val="000000"/>
          <w:lang w:eastAsia="bg-BG"/>
        </w:rPr>
        <w:t xml:space="preserve">60 - 89 </w:t>
      </w:r>
      <w:r w:rsidRPr="00432457">
        <w:rPr>
          <w:rFonts w:eastAsia="Times New Roman" w:cs="Arial"/>
          <w:color w:val="000000"/>
          <w:lang w:val="en-US"/>
        </w:rPr>
        <w:t>mL/min/l,73m</w:t>
      </w:r>
      <w:r w:rsidRPr="00432457">
        <w:rPr>
          <w:rFonts w:eastAsia="Times New Roman" w:cs="Arial"/>
          <w:color w:val="000000"/>
          <w:vertAlign w:val="superscript"/>
          <w:lang w:val="en-US"/>
        </w:rPr>
        <w:t>2</w:t>
      </w:r>
      <w:r w:rsidRPr="00432457">
        <w:rPr>
          <w:rFonts w:eastAsia="Times New Roman" w:cs="Arial"/>
          <w:color w:val="000000"/>
          <w:lang w:val="en-US"/>
        </w:rPr>
        <w:t xml:space="preserve">) </w:t>
      </w:r>
      <w:r w:rsidRPr="00432457">
        <w:rPr>
          <w:rFonts w:eastAsia="Times New Roman" w:cs="Arial"/>
          <w:color w:val="000000"/>
          <w:lang w:eastAsia="bg-BG"/>
        </w:rPr>
        <w:t xml:space="preserve">или стадий 3 </w:t>
      </w:r>
      <w:r w:rsidRPr="00432457">
        <w:rPr>
          <w:rFonts w:eastAsia="Times New Roman" w:cs="Arial"/>
          <w:color w:val="000000"/>
          <w:lang w:val="en-US"/>
        </w:rPr>
        <w:t xml:space="preserve">(GFR </w:t>
      </w:r>
      <w:r w:rsidRPr="00432457">
        <w:rPr>
          <w:rFonts w:eastAsia="Times New Roman" w:cs="Arial"/>
          <w:color w:val="000000"/>
          <w:lang w:eastAsia="bg-BG"/>
        </w:rPr>
        <w:t xml:space="preserve">30-59 </w:t>
      </w:r>
      <w:r w:rsidRPr="00432457">
        <w:rPr>
          <w:rFonts w:eastAsia="Times New Roman" w:cs="Arial"/>
          <w:color w:val="000000"/>
          <w:lang w:val="en-US"/>
        </w:rPr>
        <w:t>mL/min/l,73m</w:t>
      </w:r>
      <w:r w:rsidRPr="00432457">
        <w:rPr>
          <w:rFonts w:eastAsia="Times New Roman" w:cs="Arial"/>
          <w:color w:val="000000"/>
          <w:vertAlign w:val="superscript"/>
          <w:lang w:val="en-US"/>
        </w:rPr>
        <w:t>2</w:t>
      </w:r>
      <w:r w:rsidRPr="00432457">
        <w:rPr>
          <w:rFonts w:eastAsia="Times New Roman" w:cs="Arial"/>
          <w:color w:val="000000"/>
          <w:lang w:val="en-US"/>
        </w:rPr>
        <w:t xml:space="preserve">). </w:t>
      </w:r>
      <w:r w:rsidRPr="00432457">
        <w:rPr>
          <w:rFonts w:eastAsia="Times New Roman" w:cs="Arial"/>
          <w:color w:val="000000"/>
          <w:lang w:eastAsia="bg-BG"/>
        </w:rPr>
        <w:t xml:space="preserve">Средното понижение на систолното артериално налягане при всички пациенти е било 14,9 </w:t>
      </w:r>
      <w:r w:rsidRPr="00432457">
        <w:rPr>
          <w:rFonts w:eastAsia="Times New Roman" w:cs="Arial"/>
          <w:color w:val="000000"/>
          <w:lang w:val="en-US"/>
        </w:rPr>
        <w:t xml:space="preserve">mmHg </w:t>
      </w:r>
      <w:r w:rsidRPr="00432457">
        <w:rPr>
          <w:rFonts w:eastAsia="Times New Roman" w:cs="Arial"/>
          <w:color w:val="000000"/>
          <w:lang w:eastAsia="bg-BG"/>
        </w:rPr>
        <w:t xml:space="preserve">(изходна стойност: 133.5 </w:t>
      </w:r>
      <w:r w:rsidRPr="00432457">
        <w:rPr>
          <w:rFonts w:eastAsia="Times New Roman" w:cs="Arial"/>
          <w:color w:val="000000"/>
          <w:lang w:val="en-US"/>
        </w:rPr>
        <w:t xml:space="preserve">mmHg), </w:t>
      </w:r>
      <w:r w:rsidRPr="00432457">
        <w:rPr>
          <w:rFonts w:eastAsia="Times New Roman" w:cs="Arial"/>
          <w:color w:val="000000"/>
          <w:lang w:eastAsia="bg-BG"/>
        </w:rPr>
        <w:t xml:space="preserve">18,4 </w:t>
      </w:r>
      <w:r w:rsidRPr="00432457">
        <w:rPr>
          <w:rFonts w:eastAsia="Times New Roman" w:cs="Arial"/>
          <w:color w:val="000000"/>
          <w:u w:val="single"/>
          <w:lang w:val="en-US"/>
        </w:rPr>
        <w:t>mmH</w:t>
      </w:r>
      <w:r w:rsidRPr="00432457">
        <w:rPr>
          <w:rFonts w:eastAsia="Times New Roman" w:cs="Arial"/>
          <w:color w:val="000000"/>
          <w:lang w:val="en-US"/>
        </w:rPr>
        <w:t xml:space="preserve">g </w:t>
      </w:r>
      <w:r w:rsidRPr="00432457">
        <w:rPr>
          <w:rFonts w:eastAsia="Times New Roman" w:cs="Arial"/>
          <w:color w:val="000000"/>
          <w:lang w:eastAsia="bg-BG"/>
        </w:rPr>
        <w:t xml:space="preserve">при пациентите с ХБЗ (изходна стойност: 131.9 </w:t>
      </w:r>
      <w:r w:rsidRPr="00432457">
        <w:rPr>
          <w:rFonts w:eastAsia="Times New Roman" w:cs="Arial"/>
          <w:color w:val="000000"/>
          <w:lang w:val="en-US"/>
        </w:rPr>
        <w:t xml:space="preserve">mmHg) </w:t>
      </w:r>
      <w:r w:rsidRPr="00432457">
        <w:rPr>
          <w:rFonts w:eastAsia="Times New Roman" w:cs="Arial"/>
          <w:color w:val="000000"/>
          <w:lang w:eastAsia="bg-BG"/>
        </w:rPr>
        <w:t xml:space="preserve">и 11,5 </w:t>
      </w:r>
      <w:r w:rsidRPr="00432457">
        <w:rPr>
          <w:rFonts w:eastAsia="Times New Roman" w:cs="Arial"/>
          <w:color w:val="000000"/>
          <w:lang w:val="en-US"/>
        </w:rPr>
        <w:t xml:space="preserve">mmHg </w:t>
      </w:r>
      <w:r w:rsidRPr="00432457">
        <w:rPr>
          <w:rFonts w:eastAsia="Times New Roman" w:cs="Arial"/>
          <w:color w:val="000000"/>
          <w:lang w:eastAsia="bg-BG"/>
        </w:rPr>
        <w:t xml:space="preserve">при пациентите без ХБЗ (изходна стойност: 135,1 </w:t>
      </w:r>
      <w:r w:rsidRPr="00432457">
        <w:rPr>
          <w:rFonts w:eastAsia="Times New Roman" w:cs="Arial"/>
          <w:color w:val="000000"/>
          <w:lang w:val="en-US"/>
        </w:rPr>
        <w:t xml:space="preserve">mmHg). </w:t>
      </w:r>
      <w:r w:rsidRPr="00432457">
        <w:rPr>
          <w:rFonts w:eastAsia="Times New Roman" w:cs="Arial"/>
          <w:color w:val="000000"/>
          <w:lang w:eastAsia="bg-BG"/>
        </w:rPr>
        <w:t>Процентът пациенти, постигнали общ контрол на АН (систолно и диастолно АН &lt;95-ия персентил), е бил малко по-висок в групата на пациентите с ХБЗ (79,5%) отколкото в групата без ХБЗ (72,2%).</w:t>
      </w:r>
    </w:p>
    <w:p w14:paraId="3840EB4D" w14:textId="77777777" w:rsidR="00432457" w:rsidRPr="00432457" w:rsidRDefault="00432457" w:rsidP="00432457">
      <w:pPr>
        <w:spacing w:line="240" w:lineRule="auto"/>
        <w:rPr>
          <w:rFonts w:eastAsia="Times New Roman" w:cs="Arial"/>
          <w:i/>
          <w:iCs/>
          <w:color w:val="000000"/>
          <w:lang w:eastAsia="bg-BG"/>
        </w:rPr>
      </w:pPr>
    </w:p>
    <w:p w14:paraId="65C2B6C5" w14:textId="3FE4669A" w:rsidR="00432457" w:rsidRPr="00432457" w:rsidRDefault="00432457" w:rsidP="00432457">
      <w:pPr>
        <w:spacing w:line="240" w:lineRule="auto"/>
        <w:rPr>
          <w:rFonts w:eastAsia="Times New Roman" w:cs="Arial"/>
          <w:lang w:eastAsia="bg-BG"/>
        </w:rPr>
      </w:pPr>
      <w:r w:rsidRPr="00432457">
        <w:rPr>
          <w:rFonts w:eastAsia="Times New Roman" w:cs="Arial"/>
          <w:i/>
          <w:iCs/>
          <w:color w:val="000000"/>
          <w:lang w:eastAsia="bg-BG"/>
        </w:rPr>
        <w:t>Клиничен опит при деца под 6-годишна възраст</w:t>
      </w:r>
    </w:p>
    <w:p w14:paraId="79EA9C1F" w14:textId="77777777" w:rsidR="00432457" w:rsidRPr="00432457" w:rsidRDefault="00432457" w:rsidP="00432457">
      <w:pPr>
        <w:spacing w:line="240" w:lineRule="auto"/>
        <w:rPr>
          <w:rFonts w:eastAsia="Times New Roman" w:cs="Arial"/>
          <w:lang w:eastAsia="bg-BG"/>
        </w:rPr>
      </w:pPr>
      <w:r w:rsidRPr="00432457">
        <w:rPr>
          <w:rFonts w:eastAsia="Times New Roman" w:cs="Arial"/>
          <w:color w:val="000000"/>
          <w:lang w:eastAsia="bg-BG"/>
        </w:rPr>
        <w:t xml:space="preserve">Проведени са три клинични проучвания при 291 пациенти на възраст от 1 до 5 години. В проучванията не са включени деца под 1 година. В първото проучване на 90 пациенти не може да бъде демонстриран дозозависим отговор., но във второтопроу чване на 75 пациенти по-високите дози на валсартан са свързани с по-голямо понижение на артериалното налягане., Третото проучване е 6-седмично рандомизирано двойно-сляпо изследване на дозовия отговор на валсартан при 126 деца на възраст от 1 до 5 години с хипертония, със или без ХБЗ, рандомизирани на 0,25 </w:t>
      </w:r>
      <w:r w:rsidRPr="00432457">
        <w:rPr>
          <w:rFonts w:eastAsia="Times New Roman" w:cs="Arial"/>
          <w:color w:val="000000"/>
          <w:lang w:val="en-US"/>
        </w:rPr>
        <w:t xml:space="preserve">mg/kg </w:t>
      </w:r>
      <w:r w:rsidRPr="00432457">
        <w:rPr>
          <w:rFonts w:eastAsia="Times New Roman" w:cs="Arial"/>
          <w:color w:val="000000"/>
          <w:lang w:eastAsia="bg-BG"/>
        </w:rPr>
        <w:t xml:space="preserve">или 4 </w:t>
      </w:r>
      <w:r w:rsidRPr="00432457">
        <w:rPr>
          <w:rFonts w:eastAsia="Times New Roman" w:cs="Arial"/>
          <w:color w:val="000000"/>
          <w:lang w:val="en-US"/>
        </w:rPr>
        <w:t xml:space="preserve">mg/kg </w:t>
      </w:r>
      <w:r w:rsidRPr="00432457">
        <w:rPr>
          <w:rFonts w:eastAsia="Times New Roman" w:cs="Arial"/>
          <w:color w:val="000000"/>
          <w:lang w:eastAsia="bg-BG"/>
        </w:rPr>
        <w:t xml:space="preserve">телесно тегло. В крайната точка намаляването на средното систолно артериално налягане (ССАН) / средното диастолно артериално налягане (СДАН) с валсартан 4,0 </w:t>
      </w:r>
      <w:r w:rsidRPr="00432457">
        <w:rPr>
          <w:rFonts w:eastAsia="Times New Roman" w:cs="Arial"/>
          <w:color w:val="000000"/>
          <w:lang w:val="en-US"/>
        </w:rPr>
        <w:t xml:space="preserve">mg/kg </w:t>
      </w:r>
      <w:r w:rsidRPr="00432457">
        <w:rPr>
          <w:rFonts w:eastAsia="Times New Roman" w:cs="Arial"/>
          <w:color w:val="000000"/>
          <w:lang w:eastAsia="bg-BG"/>
        </w:rPr>
        <w:t xml:space="preserve">в сравнение с валсартан 0,25 </w:t>
      </w:r>
      <w:r w:rsidRPr="00432457">
        <w:rPr>
          <w:rFonts w:eastAsia="Times New Roman" w:cs="Arial"/>
          <w:color w:val="000000"/>
          <w:lang w:val="en-US"/>
        </w:rPr>
        <w:t xml:space="preserve">mg/kg </w:t>
      </w:r>
      <w:r w:rsidRPr="00432457">
        <w:rPr>
          <w:rFonts w:eastAsia="Times New Roman" w:cs="Arial"/>
          <w:color w:val="000000"/>
          <w:lang w:eastAsia="bg-BG"/>
        </w:rPr>
        <w:t xml:space="preserve">е съответно 8,5/6,8 </w:t>
      </w:r>
      <w:r w:rsidRPr="00432457">
        <w:rPr>
          <w:rFonts w:eastAsia="Times New Roman" w:cs="Arial"/>
          <w:color w:val="000000"/>
          <w:lang w:val="en-US"/>
        </w:rPr>
        <w:t xml:space="preserve">mmHg </w:t>
      </w:r>
      <w:r w:rsidRPr="00432457">
        <w:rPr>
          <w:rFonts w:eastAsia="Times New Roman" w:cs="Arial"/>
          <w:color w:val="000000"/>
          <w:lang w:eastAsia="bg-BG"/>
        </w:rPr>
        <w:t xml:space="preserve">и 4,1/0,3 </w:t>
      </w:r>
      <w:r w:rsidRPr="00432457">
        <w:rPr>
          <w:rFonts w:eastAsia="Times New Roman" w:cs="Arial"/>
          <w:color w:val="000000"/>
          <w:lang w:val="en-US"/>
        </w:rPr>
        <w:t xml:space="preserve">mmHg; (p=0,0157/p&lt;0,0001). </w:t>
      </w:r>
      <w:r w:rsidRPr="00432457">
        <w:rPr>
          <w:rFonts w:eastAsia="Times New Roman" w:cs="Arial"/>
          <w:color w:val="000000"/>
          <w:lang w:eastAsia="bg-BG"/>
        </w:rPr>
        <w:t xml:space="preserve">По същия начин подгрупата с ХБЗ също показва намаляване на ССАН/СДАН с валсартан 4,0 </w:t>
      </w:r>
      <w:r w:rsidRPr="00432457">
        <w:rPr>
          <w:rFonts w:eastAsia="Times New Roman" w:cs="Arial"/>
          <w:color w:val="000000"/>
          <w:lang w:val="en-US"/>
        </w:rPr>
        <w:t xml:space="preserve">mg/kg </w:t>
      </w:r>
      <w:r w:rsidRPr="00432457">
        <w:rPr>
          <w:rFonts w:eastAsia="Times New Roman" w:cs="Arial"/>
          <w:color w:val="000000"/>
          <w:lang w:eastAsia="bg-BG"/>
        </w:rPr>
        <w:t xml:space="preserve">в сравнение с 0,25 </w:t>
      </w:r>
      <w:r w:rsidRPr="00432457">
        <w:rPr>
          <w:rFonts w:eastAsia="Times New Roman" w:cs="Arial"/>
          <w:color w:val="000000"/>
          <w:lang w:val="en-US"/>
        </w:rPr>
        <w:t xml:space="preserve">mg/kg </w:t>
      </w:r>
      <w:r w:rsidRPr="00432457">
        <w:rPr>
          <w:rFonts w:eastAsia="Times New Roman" w:cs="Arial"/>
          <w:color w:val="000000"/>
          <w:lang w:eastAsia="bg-BG"/>
        </w:rPr>
        <w:t xml:space="preserve">(9,2/6,5 </w:t>
      </w:r>
      <w:r w:rsidRPr="00432457">
        <w:rPr>
          <w:rFonts w:eastAsia="Times New Roman" w:cs="Arial"/>
          <w:color w:val="000000"/>
          <w:lang w:val="en-US"/>
        </w:rPr>
        <w:t xml:space="preserve">mmHg </w:t>
      </w:r>
      <w:r w:rsidRPr="00432457">
        <w:rPr>
          <w:rFonts w:eastAsia="Times New Roman" w:cs="Arial"/>
          <w:color w:val="000000"/>
          <w:lang w:eastAsia="bg-BG"/>
        </w:rPr>
        <w:t xml:space="preserve">срещу 1,2/+1,3 </w:t>
      </w:r>
      <w:r w:rsidRPr="00432457">
        <w:rPr>
          <w:rFonts w:eastAsia="Times New Roman" w:cs="Arial"/>
          <w:color w:val="000000"/>
          <w:lang w:val="en-US"/>
        </w:rPr>
        <w:t>mmHg).</w:t>
      </w:r>
    </w:p>
    <w:p w14:paraId="7E31A2BE" w14:textId="77777777" w:rsidR="00432457" w:rsidRPr="00432457" w:rsidRDefault="00432457" w:rsidP="00432457">
      <w:pPr>
        <w:rPr>
          <w:rFonts w:eastAsia="Times New Roman" w:cs="Arial"/>
          <w:color w:val="000000"/>
          <w:lang w:eastAsia="bg-BG"/>
        </w:rPr>
      </w:pPr>
    </w:p>
    <w:p w14:paraId="4EF4D445" w14:textId="2D8FBC25" w:rsidR="00432457" w:rsidRPr="00432457" w:rsidRDefault="00432457" w:rsidP="00432457">
      <w:pPr>
        <w:rPr>
          <w:rFonts w:cs="Arial"/>
        </w:rPr>
      </w:pPr>
      <w:r w:rsidRPr="00432457">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с валсартан във всички подгрупи на педиатричната популация със сърдечна недостатъчност и сърдечна недостатъчност след пресен миокарден инфаркт. Вижте точка 4.2 за информация относно употреба при педиатрични пациенти.</w:t>
      </w:r>
    </w:p>
    <w:p w14:paraId="51CA73CD" w14:textId="77777777" w:rsidR="00432457" w:rsidRPr="0091385D" w:rsidRDefault="00432457" w:rsidP="0091385D"/>
    <w:p w14:paraId="5031193D" w14:textId="408B9A83" w:rsidR="0091385D" w:rsidRDefault="002C50EE" w:rsidP="007A2185">
      <w:pPr>
        <w:pStyle w:val="Heading2"/>
      </w:pPr>
      <w:r>
        <w:lastRenderedPageBreak/>
        <w:t>5.2. Фармакокинетични свойства</w:t>
      </w:r>
    </w:p>
    <w:p w14:paraId="46B35D05" w14:textId="6A0462F4" w:rsidR="007A2185" w:rsidRDefault="007A2185" w:rsidP="007A2185"/>
    <w:p w14:paraId="0B94BB03" w14:textId="2865BA25" w:rsidR="00432457" w:rsidRPr="004C42F9" w:rsidRDefault="004C42F9" w:rsidP="004C42F9">
      <w:pPr>
        <w:pStyle w:val="Heading3"/>
        <w:rPr>
          <w:rFonts w:eastAsia="Times New Roman"/>
          <w:sz w:val="28"/>
          <w:u w:val="single"/>
          <w:lang w:eastAsia="bg-BG"/>
        </w:rPr>
      </w:pPr>
      <w:r>
        <w:rPr>
          <w:rFonts w:eastAsia="Times New Roman"/>
          <w:u w:val="single"/>
          <w:lang w:eastAsia="bg-BG"/>
        </w:rPr>
        <w:t>Абсорбц</w:t>
      </w:r>
      <w:r w:rsidR="00432457" w:rsidRPr="004C42F9">
        <w:rPr>
          <w:rFonts w:eastAsia="Times New Roman"/>
          <w:u w:val="single"/>
          <w:lang w:eastAsia="bg-BG"/>
        </w:rPr>
        <w:t>ия</w:t>
      </w:r>
    </w:p>
    <w:p w14:paraId="63D71A5C"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 xml:space="preserve">След самостоятелно перорално приложение на валсартан пикова плазмена концентрация на валсартан се постига за 2-4 часа при таблетките. Средната абсолютна бионаличност е 23%. Храната намалява експозицията (измерена чрез </w:t>
      </w:r>
      <w:r w:rsidRPr="00432457">
        <w:rPr>
          <w:rFonts w:eastAsia="Times New Roman" w:cs="Arial"/>
          <w:color w:val="000000"/>
          <w:szCs w:val="20"/>
          <w:lang w:val="en-US"/>
        </w:rPr>
        <w:t xml:space="preserve">AUC) </w:t>
      </w:r>
      <w:r w:rsidRPr="00432457">
        <w:rPr>
          <w:rFonts w:eastAsia="Times New Roman" w:cs="Arial"/>
          <w:color w:val="000000"/>
          <w:szCs w:val="20"/>
          <w:lang w:eastAsia="bg-BG"/>
        </w:rPr>
        <w:t>на валсартан с около 40% и пиковата плазмена концентрация (С</w:t>
      </w:r>
      <w:r w:rsidRPr="00432457">
        <w:rPr>
          <w:rFonts w:eastAsia="Times New Roman" w:cs="Arial"/>
          <w:color w:val="000000"/>
          <w:szCs w:val="20"/>
          <w:lang w:val="en-US"/>
        </w:rPr>
        <w:t>m</w:t>
      </w:r>
      <w:r w:rsidRPr="00432457">
        <w:rPr>
          <w:rFonts w:eastAsia="Times New Roman" w:cs="Arial"/>
          <w:color w:val="000000"/>
          <w:szCs w:val="20"/>
          <w:lang w:eastAsia="bg-BG"/>
        </w:rPr>
        <w:t xml:space="preserve">ах) с около 50%, макар че, след около 8 часа след дозата плазмените концентрации на валсартан са подобни при групата след хранене и групата на гладно. Това намаление на </w:t>
      </w:r>
      <w:r w:rsidRPr="00432457">
        <w:rPr>
          <w:rFonts w:eastAsia="Times New Roman" w:cs="Arial"/>
          <w:color w:val="000000"/>
          <w:szCs w:val="20"/>
          <w:lang w:val="en-US"/>
        </w:rPr>
        <w:t xml:space="preserve">AUC </w:t>
      </w:r>
      <w:r w:rsidRPr="00432457">
        <w:rPr>
          <w:rFonts w:eastAsia="Times New Roman" w:cs="Arial"/>
          <w:color w:val="000000"/>
          <w:szCs w:val="20"/>
          <w:lang w:eastAsia="bg-BG"/>
        </w:rPr>
        <w:t>не е свързано с клинично значимо намаление на терапевтичния ефект, затова валсартан може да бъде приеман с или без храна.</w:t>
      </w:r>
    </w:p>
    <w:p w14:paraId="209F65B8" w14:textId="77777777" w:rsidR="00432457" w:rsidRPr="00432457" w:rsidRDefault="00432457" w:rsidP="00432457">
      <w:pPr>
        <w:spacing w:line="240" w:lineRule="auto"/>
        <w:rPr>
          <w:rFonts w:eastAsia="Times New Roman" w:cs="Arial"/>
          <w:i/>
          <w:iCs/>
          <w:color w:val="000000"/>
          <w:szCs w:val="20"/>
          <w:u w:val="single"/>
          <w:lang w:eastAsia="bg-BG"/>
        </w:rPr>
      </w:pPr>
    </w:p>
    <w:p w14:paraId="4E1B2512" w14:textId="442A2A23" w:rsidR="00432457" w:rsidRPr="004C42F9" w:rsidRDefault="00432457" w:rsidP="004C42F9">
      <w:pPr>
        <w:pStyle w:val="Heading3"/>
        <w:rPr>
          <w:rFonts w:eastAsia="Times New Roman"/>
          <w:sz w:val="28"/>
          <w:u w:val="single"/>
          <w:lang w:eastAsia="bg-BG"/>
        </w:rPr>
      </w:pPr>
      <w:r w:rsidRPr="004C42F9">
        <w:rPr>
          <w:rFonts w:eastAsia="Times New Roman"/>
          <w:u w:val="single"/>
          <w:lang w:eastAsia="bg-BG"/>
        </w:rPr>
        <w:t>Разпределение</w:t>
      </w:r>
    </w:p>
    <w:p w14:paraId="026A01BA"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Равновесното ниво на обема на разпределение при интравенозно приложение е около 17 литра, което показва, че валсартан не се разпределя екстензивно в тъканите. Валсартан се свързва във висока степен със серумния протеин (94-97%), основно серумния албумин.</w:t>
      </w:r>
    </w:p>
    <w:p w14:paraId="4E704594" w14:textId="77777777" w:rsidR="00432457" w:rsidRPr="00432457" w:rsidRDefault="00432457" w:rsidP="00432457">
      <w:pPr>
        <w:spacing w:line="240" w:lineRule="auto"/>
        <w:rPr>
          <w:rFonts w:eastAsia="Times New Roman" w:cs="Arial"/>
          <w:i/>
          <w:iCs/>
          <w:color w:val="000000"/>
          <w:szCs w:val="20"/>
          <w:u w:val="single"/>
          <w:lang w:eastAsia="bg-BG"/>
        </w:rPr>
      </w:pPr>
    </w:p>
    <w:p w14:paraId="37D0FC69" w14:textId="744D2423" w:rsidR="00432457" w:rsidRPr="004C42F9" w:rsidRDefault="00432457" w:rsidP="004C42F9">
      <w:pPr>
        <w:pStyle w:val="Heading3"/>
        <w:rPr>
          <w:rFonts w:eastAsia="Times New Roman"/>
          <w:sz w:val="28"/>
          <w:u w:val="single"/>
          <w:lang w:eastAsia="bg-BG"/>
        </w:rPr>
      </w:pPr>
      <w:r w:rsidRPr="004C42F9">
        <w:rPr>
          <w:rFonts w:eastAsia="Times New Roman"/>
          <w:u w:val="single"/>
          <w:lang w:eastAsia="bg-BG"/>
        </w:rPr>
        <w:t>Биотрансформация</w:t>
      </w:r>
    </w:p>
    <w:p w14:paraId="677018B1"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 xml:space="preserve">Валсартан не се трансформира в голяма степен, тъй като едва около 20% от дозата се открива като метаболити. Един хидрокси метаболит е установен в плазмата в ниски концентрации (по-малко от 10% от </w:t>
      </w:r>
      <w:r w:rsidRPr="00432457">
        <w:rPr>
          <w:rFonts w:eastAsia="Times New Roman" w:cs="Arial"/>
          <w:color w:val="000000"/>
          <w:szCs w:val="20"/>
          <w:lang w:val="en-US"/>
        </w:rPr>
        <w:t xml:space="preserve">AUC </w:t>
      </w:r>
      <w:r w:rsidRPr="00432457">
        <w:rPr>
          <w:rFonts w:eastAsia="Times New Roman" w:cs="Arial"/>
          <w:color w:val="000000"/>
          <w:szCs w:val="20"/>
          <w:lang w:eastAsia="bg-BG"/>
        </w:rPr>
        <w:t>на валсартан). Този метаболит е фармакологично неактивен.</w:t>
      </w:r>
    </w:p>
    <w:p w14:paraId="350AA448" w14:textId="77777777" w:rsidR="00432457" w:rsidRPr="00432457" w:rsidRDefault="00432457" w:rsidP="00432457">
      <w:pPr>
        <w:spacing w:line="240" w:lineRule="auto"/>
        <w:rPr>
          <w:rFonts w:eastAsia="Times New Roman" w:cs="Arial"/>
          <w:i/>
          <w:iCs/>
          <w:color w:val="000000"/>
          <w:szCs w:val="20"/>
          <w:u w:val="single"/>
          <w:lang w:eastAsia="bg-BG"/>
        </w:rPr>
      </w:pPr>
    </w:p>
    <w:p w14:paraId="52703942" w14:textId="1A687985" w:rsidR="00432457" w:rsidRPr="004C42F9" w:rsidRDefault="00432457" w:rsidP="004C42F9">
      <w:pPr>
        <w:pStyle w:val="Heading3"/>
        <w:rPr>
          <w:rFonts w:eastAsia="Times New Roman"/>
          <w:sz w:val="28"/>
          <w:u w:val="single"/>
          <w:lang w:eastAsia="bg-BG"/>
        </w:rPr>
      </w:pPr>
      <w:r w:rsidRPr="004C42F9">
        <w:rPr>
          <w:rFonts w:eastAsia="Times New Roman"/>
          <w:u w:val="single"/>
          <w:lang w:eastAsia="bg-BG"/>
        </w:rPr>
        <w:t>Елиминиране</w:t>
      </w:r>
    </w:p>
    <w:p w14:paraId="36517597"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 xml:space="preserve">Валсартан показва мулти-експоненциално спадаща кинетика </w:t>
      </w:r>
      <w:r w:rsidRPr="00432457">
        <w:rPr>
          <w:rFonts w:eastAsia="Times New Roman" w:cs="Arial"/>
          <w:color w:val="000000"/>
          <w:szCs w:val="20"/>
          <w:lang w:val="en-US"/>
        </w:rPr>
        <w:t>(t1/2</w:t>
      </w:r>
      <w:r w:rsidRPr="00432457">
        <w:rPr>
          <w:rFonts w:eastAsia="Times New Roman" w:cs="Arial"/>
          <w:color w:val="000000"/>
          <w:szCs w:val="20"/>
          <w:lang w:eastAsia="bg-BG"/>
        </w:rPr>
        <w:t>α</w:t>
      </w:r>
      <w:r w:rsidRPr="00432457">
        <w:rPr>
          <w:rFonts w:eastAsia="Times New Roman" w:cs="Arial"/>
          <w:color w:val="000000"/>
          <w:szCs w:val="20"/>
          <w:lang w:val="en-US"/>
        </w:rPr>
        <w:t xml:space="preserve"> &lt;l </w:t>
      </w:r>
      <w:r w:rsidRPr="00432457">
        <w:rPr>
          <w:rFonts w:eastAsia="Times New Roman" w:cs="Arial"/>
          <w:color w:val="000000"/>
          <w:szCs w:val="20"/>
          <w:lang w:eastAsia="bg-BG"/>
        </w:rPr>
        <w:t xml:space="preserve">час и </w:t>
      </w:r>
      <w:r w:rsidRPr="00432457">
        <w:rPr>
          <w:rFonts w:eastAsia="Times New Roman" w:cs="Arial"/>
          <w:color w:val="000000"/>
          <w:szCs w:val="20"/>
          <w:lang w:val="en-US"/>
        </w:rPr>
        <w:t>t1/2</w:t>
      </w:r>
      <w:r w:rsidRPr="00432457">
        <w:rPr>
          <w:rFonts w:eastAsia="Times New Roman" w:cs="Arial"/>
          <w:color w:val="000000"/>
          <w:szCs w:val="20"/>
          <w:lang w:eastAsia="bg-BG"/>
        </w:rPr>
        <w:t>β около 9 часа).</w:t>
      </w:r>
    </w:p>
    <w:p w14:paraId="6E18E8CF"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Валсартан се излъчва основно чрез жлъчна екскреция във фецеса (около 83% от дозата) и, чрез бъбреците, в урината (около 13% от дозата), главно като непроменено активно вещество. След интравенозно приложение, плазменият клирънс на валсартан е около 2</w:t>
      </w:r>
      <w:r w:rsidRPr="00432457">
        <w:rPr>
          <w:rFonts w:eastAsia="Times New Roman" w:cs="Arial"/>
          <w:color w:val="000000"/>
          <w:szCs w:val="20"/>
          <w:lang w:val="en-US"/>
        </w:rPr>
        <w:t xml:space="preserve"> l</w:t>
      </w:r>
      <w:r w:rsidRPr="00432457">
        <w:rPr>
          <w:rFonts w:eastAsia="Times New Roman" w:cs="Arial"/>
          <w:color w:val="000000"/>
          <w:szCs w:val="20"/>
          <w:lang w:eastAsia="bg-BG"/>
        </w:rPr>
        <w:t xml:space="preserve">/час, а бъбречният му клирънс е 0,62 </w:t>
      </w:r>
      <w:r w:rsidRPr="00432457">
        <w:rPr>
          <w:rFonts w:eastAsia="Times New Roman" w:cs="Arial"/>
          <w:color w:val="000000"/>
          <w:szCs w:val="20"/>
          <w:lang w:val="en-US"/>
        </w:rPr>
        <w:t>l</w:t>
      </w:r>
      <w:r w:rsidRPr="00432457">
        <w:rPr>
          <w:rFonts w:eastAsia="Times New Roman" w:cs="Arial"/>
          <w:color w:val="000000"/>
          <w:szCs w:val="20"/>
          <w:lang w:eastAsia="bg-BG"/>
        </w:rPr>
        <w:t>/час (около 30% от общия клирънс). Полуживотьт на валсартан е 6 часа.</w:t>
      </w:r>
    </w:p>
    <w:p w14:paraId="78C4366A" w14:textId="77777777" w:rsidR="00432457" w:rsidRPr="00432457" w:rsidRDefault="00432457" w:rsidP="00432457">
      <w:pPr>
        <w:spacing w:line="240" w:lineRule="auto"/>
        <w:rPr>
          <w:rFonts w:eastAsia="Times New Roman" w:cs="Arial"/>
          <w:color w:val="000000"/>
          <w:szCs w:val="20"/>
          <w:u w:val="single"/>
          <w:lang w:eastAsia="bg-BG"/>
        </w:rPr>
      </w:pPr>
    </w:p>
    <w:p w14:paraId="4CA84DED" w14:textId="7B72A8D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u w:val="single"/>
          <w:lang w:eastAsia="bg-BG"/>
        </w:rPr>
        <w:t>При пациенти със сърдечна недостатъчност</w:t>
      </w:r>
    </w:p>
    <w:p w14:paraId="6FC25955"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 xml:space="preserve">Средното време за достигане на пикови концентрации и времето на полуживот на валсартан при пациенти със сърдечна недостатъчност са подобни на тези, наблюдавани при здрави доброволци. </w:t>
      </w:r>
      <w:r w:rsidRPr="00432457">
        <w:rPr>
          <w:rFonts w:eastAsia="Times New Roman" w:cs="Arial"/>
          <w:color w:val="000000"/>
          <w:szCs w:val="20"/>
          <w:lang w:val="en-US"/>
        </w:rPr>
        <w:t xml:space="preserve">AUC </w:t>
      </w:r>
      <w:r w:rsidRPr="00432457">
        <w:rPr>
          <w:rFonts w:eastAsia="Times New Roman" w:cs="Arial"/>
          <w:color w:val="000000"/>
          <w:szCs w:val="20"/>
          <w:lang w:eastAsia="bg-BG"/>
        </w:rPr>
        <w:t>и С</w:t>
      </w:r>
      <w:r w:rsidRPr="00432457">
        <w:rPr>
          <w:rFonts w:eastAsia="Times New Roman" w:cs="Arial"/>
          <w:color w:val="000000"/>
          <w:szCs w:val="20"/>
          <w:lang w:val="en-US"/>
        </w:rPr>
        <w:t>m</w:t>
      </w:r>
      <w:r w:rsidRPr="00432457">
        <w:rPr>
          <w:rFonts w:eastAsia="Times New Roman" w:cs="Arial"/>
          <w:color w:val="000000"/>
          <w:szCs w:val="20"/>
          <w:lang w:eastAsia="bg-BG"/>
        </w:rPr>
        <w:t xml:space="preserve">ах стойностите на валсартан са почти пропорционални с повишаване на дозата в клиничния дозов интервал (40 до 160 </w:t>
      </w:r>
      <w:r w:rsidRPr="00432457">
        <w:rPr>
          <w:rFonts w:eastAsia="Times New Roman" w:cs="Arial"/>
          <w:color w:val="000000"/>
          <w:szCs w:val="20"/>
          <w:lang w:val="en-US"/>
        </w:rPr>
        <w:t xml:space="preserve">mg </w:t>
      </w:r>
      <w:r w:rsidRPr="00432457">
        <w:rPr>
          <w:rFonts w:eastAsia="Times New Roman" w:cs="Arial"/>
          <w:color w:val="000000"/>
          <w:szCs w:val="20"/>
          <w:lang w:eastAsia="bg-BG"/>
        </w:rPr>
        <w:t xml:space="preserve">два пъти дневно). Средният фактор на натрупване е около 1,7. Привидният клирънс на валсартан след перорално приложение е приблизително 4,5 </w:t>
      </w:r>
      <w:r w:rsidRPr="00432457">
        <w:rPr>
          <w:rFonts w:eastAsia="Times New Roman" w:cs="Arial"/>
          <w:color w:val="000000"/>
          <w:szCs w:val="20"/>
          <w:lang w:val="en-US"/>
        </w:rPr>
        <w:t>l</w:t>
      </w:r>
      <w:r w:rsidRPr="00432457">
        <w:rPr>
          <w:rFonts w:eastAsia="Times New Roman" w:cs="Arial"/>
          <w:color w:val="000000"/>
          <w:szCs w:val="20"/>
          <w:lang w:eastAsia="bg-BG"/>
        </w:rPr>
        <w:t>/час.</w:t>
      </w:r>
    </w:p>
    <w:p w14:paraId="0DEA02B9"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Възрастта не засяга привидния клирънс при пациенти със сърдечна недостатъчност.</w:t>
      </w:r>
    </w:p>
    <w:p w14:paraId="70C973F6" w14:textId="77777777" w:rsidR="00432457" w:rsidRPr="00432457" w:rsidRDefault="00432457" w:rsidP="00432457">
      <w:pPr>
        <w:spacing w:line="240" w:lineRule="auto"/>
        <w:rPr>
          <w:rFonts w:eastAsia="Times New Roman" w:cs="Arial"/>
          <w:i/>
          <w:iCs/>
          <w:color w:val="000000"/>
          <w:szCs w:val="20"/>
          <w:u w:val="single"/>
          <w:lang w:eastAsia="bg-BG"/>
        </w:rPr>
      </w:pPr>
    </w:p>
    <w:p w14:paraId="65773BF6" w14:textId="01DF5B97" w:rsidR="00432457" w:rsidRPr="00432457" w:rsidRDefault="00432457" w:rsidP="00432457">
      <w:pPr>
        <w:spacing w:line="240" w:lineRule="auto"/>
        <w:rPr>
          <w:rFonts w:eastAsia="Times New Roman" w:cs="Arial"/>
          <w:sz w:val="28"/>
          <w:szCs w:val="24"/>
          <w:lang w:eastAsia="bg-BG"/>
        </w:rPr>
      </w:pPr>
      <w:r w:rsidRPr="00432457">
        <w:rPr>
          <w:rFonts w:eastAsia="Times New Roman" w:cs="Arial"/>
          <w:i/>
          <w:iCs/>
          <w:color w:val="000000"/>
          <w:szCs w:val="20"/>
          <w:u w:val="single"/>
          <w:lang w:eastAsia="bg-BG"/>
        </w:rPr>
        <w:t>Специални групи пациенти</w:t>
      </w:r>
    </w:p>
    <w:p w14:paraId="0E9193CA" w14:textId="77777777" w:rsidR="00432457" w:rsidRPr="00432457" w:rsidRDefault="00432457" w:rsidP="00432457">
      <w:pPr>
        <w:spacing w:line="240" w:lineRule="auto"/>
        <w:rPr>
          <w:rFonts w:eastAsia="Times New Roman" w:cs="Arial"/>
          <w:color w:val="000000"/>
          <w:szCs w:val="20"/>
          <w:u w:val="single"/>
          <w:lang w:eastAsia="bg-BG"/>
        </w:rPr>
      </w:pPr>
    </w:p>
    <w:p w14:paraId="2A443485" w14:textId="2AC2CF25"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u w:val="single"/>
          <w:lang w:eastAsia="bg-BG"/>
        </w:rPr>
        <w:t>Старческа възраст</w:t>
      </w:r>
    </w:p>
    <w:p w14:paraId="159F983A"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При някои пациенти в старческа възраст е наблюдавана малко по-висока системна експозиция на валсартан в сравнение с млади пациенти, но не е доказано това да има клинично значение.</w:t>
      </w:r>
    </w:p>
    <w:p w14:paraId="3C7D3764" w14:textId="77777777" w:rsidR="00432457" w:rsidRPr="00432457" w:rsidRDefault="00432457" w:rsidP="00432457">
      <w:pPr>
        <w:spacing w:line="240" w:lineRule="auto"/>
        <w:rPr>
          <w:rFonts w:eastAsia="Times New Roman" w:cs="Arial"/>
          <w:color w:val="000000"/>
          <w:szCs w:val="20"/>
          <w:u w:val="single"/>
          <w:lang w:eastAsia="bg-BG"/>
        </w:rPr>
      </w:pPr>
    </w:p>
    <w:p w14:paraId="269FAE9B" w14:textId="34A86D7E"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u w:val="single"/>
          <w:lang w:eastAsia="bg-BG"/>
        </w:rPr>
        <w:t>Бъбречно увреждане</w:t>
      </w:r>
    </w:p>
    <w:p w14:paraId="56FA395D"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lastRenderedPageBreak/>
        <w:t xml:space="preserve">Както се и очаква за вещество, чийто бъбречен клирънс е отговорен само за 30% от общия плазмен клирънс, не е наблюдавана връзка между бъбречната функция и общото разпределение на валсартан. Ето защо, коригиране на дозата не се налага при пациенти с бъбречни увреждания (креатиннинов клирънс &gt;10 </w:t>
      </w:r>
      <w:r w:rsidRPr="00432457">
        <w:rPr>
          <w:rFonts w:eastAsia="Times New Roman" w:cs="Arial"/>
          <w:color w:val="000000"/>
          <w:szCs w:val="20"/>
          <w:lang w:val="en-US"/>
        </w:rPr>
        <w:t xml:space="preserve">ml/min). </w:t>
      </w:r>
      <w:r w:rsidRPr="00432457">
        <w:rPr>
          <w:rFonts w:eastAsia="Times New Roman" w:cs="Arial"/>
          <w:color w:val="000000"/>
          <w:szCs w:val="20"/>
          <w:lang w:eastAsia="bg-BG"/>
        </w:rPr>
        <w:t xml:space="preserve">Няма провеждани проучвания за безопасната употреба при пациенти с креатиннинов клирънс &lt;10 </w:t>
      </w:r>
      <w:r w:rsidRPr="00432457">
        <w:rPr>
          <w:rFonts w:eastAsia="Times New Roman" w:cs="Arial"/>
          <w:color w:val="000000"/>
          <w:szCs w:val="20"/>
          <w:lang w:val="en-US"/>
        </w:rPr>
        <w:t xml:space="preserve">ml/min </w:t>
      </w:r>
      <w:r w:rsidRPr="00432457">
        <w:rPr>
          <w:rFonts w:eastAsia="Times New Roman" w:cs="Arial"/>
          <w:color w:val="000000"/>
          <w:szCs w:val="20"/>
          <w:lang w:eastAsia="bg-BG"/>
        </w:rPr>
        <w:t>и пациенти, подлагани на диализа, затова валсартан трябва да се прилага с повишено внимание при тези пациенти (вж. точки 4.2 и 4.4). Валсартан се свързва във висока степен с плазмените протеини и е малко вероятно той да се елиминира чрез диализа.</w:t>
      </w:r>
    </w:p>
    <w:p w14:paraId="22190383" w14:textId="77777777" w:rsidR="00432457" w:rsidRPr="00432457" w:rsidRDefault="00432457" w:rsidP="00432457">
      <w:pPr>
        <w:spacing w:line="240" w:lineRule="auto"/>
        <w:rPr>
          <w:rFonts w:eastAsia="Times New Roman" w:cs="Arial"/>
          <w:color w:val="000000"/>
          <w:szCs w:val="20"/>
          <w:u w:val="single"/>
          <w:lang w:eastAsia="bg-BG"/>
        </w:rPr>
      </w:pPr>
    </w:p>
    <w:p w14:paraId="58778272" w14:textId="63DFF724"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u w:val="single"/>
          <w:lang w:eastAsia="bg-BG"/>
        </w:rPr>
        <w:t>Чернодробно увреждане</w:t>
      </w:r>
    </w:p>
    <w:p w14:paraId="7BD42B33" w14:textId="4662E0C2" w:rsidR="00432457" w:rsidRPr="004C42F9" w:rsidRDefault="00432457" w:rsidP="00432457">
      <w:pPr>
        <w:spacing w:line="240" w:lineRule="auto"/>
        <w:rPr>
          <w:rFonts w:eastAsia="Times New Roman" w:cs="Arial"/>
          <w:sz w:val="28"/>
          <w:szCs w:val="24"/>
          <w:lang w:val="en-US" w:eastAsia="bg-BG"/>
        </w:rPr>
      </w:pPr>
      <w:r w:rsidRPr="00432457">
        <w:rPr>
          <w:rFonts w:eastAsia="Times New Roman" w:cs="Arial"/>
          <w:color w:val="000000"/>
          <w:szCs w:val="20"/>
          <w:lang w:eastAsia="bg-BG"/>
        </w:rPr>
        <w:t>Приблизително 70% от абсорбираната доза се елиминира в жлъчката, главно в непроменена форма Валсартан не преминава значима биотрансформация. При пациенти с леко до умерено чернодробно увреждане в сравнение със здрави индивиди се наблюдава удвояване на експозицията (</w:t>
      </w:r>
      <w:r w:rsidRPr="00432457">
        <w:rPr>
          <w:rFonts w:eastAsia="Times New Roman" w:cs="Arial"/>
          <w:color w:val="000000"/>
          <w:szCs w:val="20"/>
          <w:lang w:val="en-US"/>
        </w:rPr>
        <w:t>AUC</w:t>
      </w:r>
      <w:r w:rsidRPr="00432457">
        <w:rPr>
          <w:rFonts w:eastAsia="Times New Roman" w:cs="Arial"/>
          <w:color w:val="000000"/>
          <w:szCs w:val="20"/>
          <w:lang w:eastAsia="bg-BG"/>
        </w:rPr>
        <w:t>)</w:t>
      </w:r>
      <w:r w:rsidR="004C42F9">
        <w:rPr>
          <w:rFonts w:eastAsia="Times New Roman" w:cs="Arial"/>
          <w:color w:val="000000"/>
          <w:szCs w:val="20"/>
          <w:lang w:val="en-US" w:eastAsia="bg-BG"/>
        </w:rPr>
        <w:t>.</w:t>
      </w:r>
    </w:p>
    <w:p w14:paraId="45551830" w14:textId="0E0DE6FB" w:rsidR="007A2185" w:rsidRPr="004C42F9" w:rsidRDefault="00432457" w:rsidP="004C42F9">
      <w:pPr>
        <w:spacing w:line="240" w:lineRule="auto"/>
        <w:rPr>
          <w:rFonts w:eastAsia="Times New Roman" w:cs="Arial"/>
          <w:sz w:val="28"/>
          <w:szCs w:val="24"/>
          <w:lang w:eastAsia="bg-BG"/>
        </w:rPr>
      </w:pPr>
      <w:r w:rsidRPr="00432457">
        <w:rPr>
          <w:rFonts w:eastAsia="Times New Roman" w:cs="Arial"/>
          <w:color w:val="000000"/>
          <w:szCs w:val="20"/>
          <w:lang w:eastAsia="bg-BG"/>
        </w:rPr>
        <w:t>Въпреки това, не се наблюдава зависимост между плазмената концентрация на валсартан и степента на чернодробна дисфункция Сартег не е проучен при пациенти с тежка чернодробна дисфункция (вж. точки 4.2, 4.3 и 4.4).</w:t>
      </w:r>
    </w:p>
    <w:p w14:paraId="4EE1BB0B" w14:textId="1E0E17FE" w:rsidR="0091385D" w:rsidRPr="00432457" w:rsidRDefault="0091385D" w:rsidP="0091385D">
      <w:pPr>
        <w:rPr>
          <w:rFonts w:cs="Arial"/>
          <w:sz w:val="24"/>
        </w:rPr>
      </w:pPr>
    </w:p>
    <w:p w14:paraId="2065A254"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i/>
          <w:iCs/>
          <w:color w:val="000000"/>
          <w:szCs w:val="20"/>
          <w:u w:val="single"/>
          <w:lang w:eastAsia="bg-BG"/>
        </w:rPr>
        <w:t>Педиатрична популация</w:t>
      </w:r>
    </w:p>
    <w:p w14:paraId="76113BF7"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 xml:space="preserve">В едно проучване с 26 педиатрични пациенти с хипертония (на възраст от 1 до 16 години) при еднократно прилагане на валсартан под формата на суспензия (средно: 0,9 до 2 </w:t>
      </w:r>
      <w:r w:rsidRPr="00432457">
        <w:rPr>
          <w:rFonts w:eastAsia="Times New Roman" w:cs="Arial"/>
          <w:color w:val="000000"/>
          <w:szCs w:val="20"/>
          <w:lang w:val="en-US"/>
        </w:rPr>
        <w:t xml:space="preserve">mg/kg, </w:t>
      </w:r>
      <w:r w:rsidRPr="00432457">
        <w:rPr>
          <w:rFonts w:eastAsia="Times New Roman" w:cs="Arial"/>
          <w:color w:val="000000"/>
          <w:szCs w:val="20"/>
          <w:lang w:eastAsia="bg-BG"/>
        </w:rPr>
        <w:t xml:space="preserve">максимална доза 80 </w:t>
      </w:r>
      <w:r w:rsidRPr="00432457">
        <w:rPr>
          <w:rFonts w:eastAsia="Times New Roman" w:cs="Arial"/>
          <w:color w:val="000000"/>
          <w:szCs w:val="20"/>
          <w:lang w:val="en-US"/>
        </w:rPr>
        <w:t xml:space="preserve">mg) </w:t>
      </w:r>
      <w:r w:rsidRPr="00432457">
        <w:rPr>
          <w:rFonts w:eastAsia="Times New Roman" w:cs="Arial"/>
          <w:color w:val="000000"/>
          <w:szCs w:val="20"/>
          <w:lang w:eastAsia="bg-BG"/>
        </w:rPr>
        <w:t>клирьнсът (литри/час</w:t>
      </w:r>
      <w:r w:rsidRPr="00432457">
        <w:rPr>
          <w:rFonts w:eastAsia="Times New Roman" w:cs="Arial"/>
          <w:color w:val="000000"/>
          <w:szCs w:val="20"/>
          <w:lang w:val="en-US"/>
        </w:rPr>
        <w:t xml:space="preserve">/kg) </w:t>
      </w:r>
      <w:r w:rsidRPr="00432457">
        <w:rPr>
          <w:rFonts w:eastAsia="Times New Roman" w:cs="Arial"/>
          <w:color w:val="000000"/>
          <w:szCs w:val="20"/>
          <w:lang w:eastAsia="bg-BG"/>
        </w:rPr>
        <w:t>на валсартан е сравним между отделните възрасти от 1 до 16 години и подобен на този при възрастни пациенти, приемащи същите дози.</w:t>
      </w:r>
    </w:p>
    <w:p w14:paraId="5E27ECEC" w14:textId="77777777" w:rsidR="00432457" w:rsidRPr="00432457" w:rsidRDefault="00432457" w:rsidP="00432457">
      <w:pPr>
        <w:spacing w:line="240" w:lineRule="auto"/>
        <w:rPr>
          <w:rFonts w:eastAsia="Times New Roman" w:cs="Arial"/>
          <w:i/>
          <w:iCs/>
          <w:color w:val="000000"/>
          <w:szCs w:val="20"/>
          <w:lang w:eastAsia="bg-BG"/>
        </w:rPr>
      </w:pPr>
    </w:p>
    <w:p w14:paraId="0E366F90" w14:textId="3A656030" w:rsidR="00432457" w:rsidRPr="00432457" w:rsidRDefault="00432457" w:rsidP="00432457">
      <w:pPr>
        <w:spacing w:line="240" w:lineRule="auto"/>
        <w:rPr>
          <w:rFonts w:eastAsia="Times New Roman" w:cs="Arial"/>
          <w:sz w:val="28"/>
          <w:szCs w:val="24"/>
          <w:lang w:eastAsia="bg-BG"/>
        </w:rPr>
      </w:pPr>
      <w:r w:rsidRPr="00432457">
        <w:rPr>
          <w:rFonts w:eastAsia="Times New Roman" w:cs="Arial"/>
          <w:i/>
          <w:iCs/>
          <w:color w:val="000000"/>
          <w:szCs w:val="20"/>
          <w:lang w:eastAsia="bg-BG"/>
        </w:rPr>
        <w:t>Бъбречно увреждане</w:t>
      </w:r>
    </w:p>
    <w:p w14:paraId="1DBB1E14" w14:textId="5962B277" w:rsidR="00432457" w:rsidRPr="00432457" w:rsidRDefault="00432457" w:rsidP="00432457">
      <w:pPr>
        <w:rPr>
          <w:rFonts w:cs="Arial"/>
          <w:sz w:val="24"/>
        </w:rPr>
      </w:pPr>
      <w:r w:rsidRPr="00432457">
        <w:rPr>
          <w:rFonts w:eastAsia="Times New Roman" w:cs="Arial"/>
          <w:color w:val="000000"/>
          <w:szCs w:val="20"/>
          <w:lang w:eastAsia="bg-BG"/>
        </w:rPr>
        <w:t xml:space="preserve">Употребата при педиатрични пациенти с креатининов клирънс &lt;30 </w:t>
      </w:r>
      <w:r w:rsidRPr="00432457">
        <w:rPr>
          <w:rFonts w:eastAsia="Times New Roman" w:cs="Arial"/>
          <w:color w:val="000000"/>
          <w:szCs w:val="20"/>
          <w:lang w:val="en-US"/>
        </w:rPr>
        <w:t xml:space="preserve">ml/min </w:t>
      </w:r>
      <w:r w:rsidRPr="00432457">
        <w:rPr>
          <w:rFonts w:eastAsia="Times New Roman" w:cs="Arial"/>
          <w:color w:val="000000"/>
          <w:szCs w:val="20"/>
          <w:lang w:eastAsia="bg-BG"/>
        </w:rPr>
        <w:t xml:space="preserve">и педиатрични пациенти, под ложени на хемодиализа, не е проучена и поради тази причина не се препоръчва прилагането на валсартан при такива пациенти. Не се налага коригиране на дозата при педиатрични пациенти с креатининов клирънс &gt;30 </w:t>
      </w:r>
      <w:r w:rsidRPr="00432457">
        <w:rPr>
          <w:rFonts w:eastAsia="Times New Roman" w:cs="Arial"/>
          <w:color w:val="000000"/>
          <w:szCs w:val="20"/>
          <w:lang w:val="en-US"/>
        </w:rPr>
        <w:t xml:space="preserve">ml/min. </w:t>
      </w:r>
      <w:r w:rsidRPr="00432457">
        <w:rPr>
          <w:rFonts w:eastAsia="Times New Roman" w:cs="Arial"/>
          <w:color w:val="000000"/>
          <w:szCs w:val="20"/>
          <w:lang w:eastAsia="bg-BG"/>
        </w:rPr>
        <w:t>Бъбречната функция и нивата на серумния калий трябва да бъдат внимателно проследявани (вж. точки 4.2 и 4.4).</w:t>
      </w:r>
    </w:p>
    <w:p w14:paraId="2439B89C" w14:textId="77777777" w:rsidR="00432457" w:rsidRPr="0091385D" w:rsidRDefault="00432457" w:rsidP="0091385D"/>
    <w:p w14:paraId="648E39DA" w14:textId="44D16CBD" w:rsidR="00CF77F7" w:rsidRDefault="002C50EE" w:rsidP="004A448E">
      <w:pPr>
        <w:pStyle w:val="Heading2"/>
      </w:pPr>
      <w:r>
        <w:t>5.3. Предклинични данни за безопасност</w:t>
      </w:r>
    </w:p>
    <w:p w14:paraId="20E967BE" w14:textId="751DCF54" w:rsidR="0091385D" w:rsidRDefault="0091385D" w:rsidP="0091385D"/>
    <w:p w14:paraId="1405B90E"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Неклиничните данни, събрани въз основа на обичайните проучвания за фармакологична безопасност, токсичност след многократно приложение, генотоксичност, карциногенен потенциал не разкриват особен риск за човека.</w:t>
      </w:r>
    </w:p>
    <w:p w14:paraId="3A98FB91"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 xml:space="preserve">При плъхове, токсични за майките дози (600 </w:t>
      </w:r>
      <w:r w:rsidRPr="00432457">
        <w:rPr>
          <w:rFonts w:eastAsia="Times New Roman" w:cs="Arial"/>
          <w:color w:val="000000"/>
          <w:szCs w:val="20"/>
          <w:lang w:val="en-US"/>
        </w:rPr>
        <w:t xml:space="preserve">mg/kg </w:t>
      </w:r>
      <w:r w:rsidRPr="00432457">
        <w:rPr>
          <w:rFonts w:eastAsia="Times New Roman" w:cs="Arial"/>
          <w:color w:val="000000"/>
          <w:szCs w:val="20"/>
          <w:lang w:eastAsia="bg-BG"/>
        </w:rPr>
        <w:t xml:space="preserve">дневно) по време на последните дни на бременността и кърменето доведоха до по-ниска преживяемост, по-малко наддаване на тегло и забавено развитие (незараснала ушна мида и отворен слухов канал) в потомството (вж. т. 4.6). Такива дози при плъхове (600 </w:t>
      </w:r>
      <w:r w:rsidRPr="00432457">
        <w:rPr>
          <w:rFonts w:eastAsia="Times New Roman" w:cs="Arial"/>
          <w:color w:val="000000"/>
          <w:szCs w:val="20"/>
          <w:lang w:val="en-US"/>
        </w:rPr>
        <w:t xml:space="preserve">mg/kg </w:t>
      </w:r>
      <w:r w:rsidRPr="00432457">
        <w:rPr>
          <w:rFonts w:eastAsia="Times New Roman" w:cs="Arial"/>
          <w:color w:val="000000"/>
          <w:szCs w:val="20"/>
          <w:lang w:eastAsia="bg-BG"/>
        </w:rPr>
        <w:t xml:space="preserve">дневно) са приблизително 18 пъти по-високи от максималната препоръчвана доза при хора на основа на </w:t>
      </w:r>
      <w:r w:rsidRPr="00432457">
        <w:rPr>
          <w:rFonts w:eastAsia="Times New Roman" w:cs="Arial"/>
          <w:color w:val="000000"/>
          <w:szCs w:val="20"/>
          <w:lang w:val="en-US"/>
        </w:rPr>
        <w:t>mg/m</w:t>
      </w:r>
      <w:r w:rsidRPr="00432457">
        <w:rPr>
          <w:rFonts w:eastAsia="Times New Roman" w:cs="Arial"/>
          <w:color w:val="000000"/>
          <w:szCs w:val="20"/>
          <w:vertAlign w:val="superscript"/>
          <w:lang w:val="en-US"/>
        </w:rPr>
        <w:t>2</w:t>
      </w:r>
      <w:r w:rsidRPr="00432457">
        <w:rPr>
          <w:rFonts w:eastAsia="Times New Roman" w:cs="Arial"/>
          <w:color w:val="000000"/>
          <w:szCs w:val="20"/>
          <w:lang w:val="en-US"/>
        </w:rPr>
        <w:t xml:space="preserve"> </w:t>
      </w:r>
      <w:r w:rsidRPr="00432457">
        <w:rPr>
          <w:rFonts w:eastAsia="Times New Roman" w:cs="Arial"/>
          <w:color w:val="000000"/>
          <w:szCs w:val="20"/>
          <w:lang w:eastAsia="bg-BG"/>
        </w:rPr>
        <w:t xml:space="preserve">(при изчисленията се приема перорална доза от 320 </w:t>
      </w:r>
      <w:r w:rsidRPr="00432457">
        <w:rPr>
          <w:rFonts w:eastAsia="Times New Roman" w:cs="Arial"/>
          <w:color w:val="000000"/>
          <w:szCs w:val="20"/>
          <w:lang w:val="en-US"/>
        </w:rPr>
        <w:t xml:space="preserve">mg </w:t>
      </w:r>
      <w:r w:rsidRPr="00432457">
        <w:rPr>
          <w:rFonts w:eastAsia="Times New Roman" w:cs="Arial"/>
          <w:color w:val="000000"/>
          <w:szCs w:val="20"/>
          <w:lang w:eastAsia="bg-BG"/>
        </w:rPr>
        <w:t xml:space="preserve">дневно при пациент с тегло 60 </w:t>
      </w:r>
      <w:r w:rsidRPr="00432457">
        <w:rPr>
          <w:rFonts w:eastAsia="Times New Roman" w:cs="Arial"/>
          <w:color w:val="000000"/>
          <w:szCs w:val="20"/>
          <w:lang w:val="en-US"/>
        </w:rPr>
        <w:t>kg).</w:t>
      </w:r>
    </w:p>
    <w:p w14:paraId="19F7CD55"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 xml:space="preserve">В предклиничните проучвания за безопасност, високи дози на валсартан (200 до 600 </w:t>
      </w:r>
      <w:r w:rsidRPr="00432457">
        <w:rPr>
          <w:rFonts w:eastAsia="Times New Roman" w:cs="Arial"/>
          <w:color w:val="000000"/>
          <w:szCs w:val="20"/>
          <w:lang w:val="en-US"/>
        </w:rPr>
        <w:t xml:space="preserve">mg/kg </w:t>
      </w:r>
      <w:r w:rsidRPr="00432457">
        <w:rPr>
          <w:rFonts w:eastAsia="Times New Roman" w:cs="Arial"/>
          <w:color w:val="000000"/>
          <w:szCs w:val="20"/>
          <w:lang w:eastAsia="bg-BG"/>
        </w:rPr>
        <w:t>телесно тегло) са предизвикали понижение в параметрите на червените кръвни клетки у плъхове (еритроцити, хемоглобин, хематокрит) и промени в бъбречната хемодинамика (малко увеличение на плазмената урея, хиперплазия на бъбречните каналчета и базофилия при мъжките индивиди).</w:t>
      </w:r>
    </w:p>
    <w:p w14:paraId="528CFFAF"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lastRenderedPageBreak/>
        <w:t>Подобни дози при маймуни мармозет са довели до подобни изменения, въпреки че те са били по- тежки, особено в бъбреците, където промените са се развили до нефропатия, което е довело до увеличаване на уреята и креатинина.</w:t>
      </w:r>
    </w:p>
    <w:p w14:paraId="0639B332"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И при двата вида също се наблюдава хипертрофия на бъбречните юкстагломерулни клетки. Всички промени са били приети като резултат от фармакологичното действие на валсартан, което предизвиква продължителна хипотензия, особено при маймуните мармозет. Хипертрофията на бъбречните юкстагломерулни клетки не изглежда да е от значение при хора, приемащи терапевтични дози валсартан.</w:t>
      </w:r>
    </w:p>
    <w:p w14:paraId="3120BC41" w14:textId="77777777" w:rsidR="00432457" w:rsidRPr="00432457" w:rsidRDefault="00432457" w:rsidP="00432457">
      <w:pPr>
        <w:spacing w:line="240" w:lineRule="auto"/>
        <w:rPr>
          <w:rFonts w:eastAsia="Times New Roman" w:cs="Arial"/>
          <w:i/>
          <w:iCs/>
          <w:color w:val="000000"/>
          <w:szCs w:val="20"/>
          <w:u w:val="single"/>
          <w:lang w:eastAsia="bg-BG"/>
        </w:rPr>
      </w:pPr>
    </w:p>
    <w:p w14:paraId="6E9C37BD" w14:textId="1C2E23D1" w:rsidR="00432457" w:rsidRPr="00432457" w:rsidRDefault="00432457" w:rsidP="00432457">
      <w:pPr>
        <w:spacing w:line="240" w:lineRule="auto"/>
        <w:rPr>
          <w:rFonts w:eastAsia="Times New Roman" w:cs="Arial"/>
          <w:sz w:val="28"/>
          <w:szCs w:val="24"/>
          <w:lang w:eastAsia="bg-BG"/>
        </w:rPr>
      </w:pPr>
      <w:r w:rsidRPr="00432457">
        <w:rPr>
          <w:rFonts w:eastAsia="Times New Roman" w:cs="Arial"/>
          <w:i/>
          <w:iCs/>
          <w:color w:val="000000"/>
          <w:szCs w:val="20"/>
          <w:u w:val="single"/>
          <w:lang w:eastAsia="bg-BG"/>
        </w:rPr>
        <w:t>Педиатрична популация</w:t>
      </w:r>
    </w:p>
    <w:p w14:paraId="7A133ECC"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 xml:space="preserve">Ежедневното перорално приложение на валсартан при новородени/млади плъхове (от 7-ми до 70-ти постнатален ден) в дози 1 </w:t>
      </w:r>
      <w:r w:rsidRPr="00432457">
        <w:rPr>
          <w:rFonts w:eastAsia="Times New Roman" w:cs="Arial"/>
          <w:color w:val="000000"/>
          <w:szCs w:val="20"/>
          <w:lang w:val="en-US"/>
        </w:rPr>
        <w:t>mg/kg</w:t>
      </w:r>
      <w:r w:rsidRPr="00432457">
        <w:rPr>
          <w:rFonts w:eastAsia="Times New Roman" w:cs="Arial"/>
          <w:color w:val="000000"/>
          <w:szCs w:val="20"/>
          <w:lang w:eastAsia="bg-BG"/>
        </w:rPr>
        <w:t xml:space="preserve">/ден (около 10-35% от максималната препоръчвана педиатрична доза от 4 </w:t>
      </w:r>
      <w:r w:rsidRPr="00432457">
        <w:rPr>
          <w:rFonts w:eastAsia="Times New Roman" w:cs="Arial"/>
          <w:color w:val="000000"/>
          <w:szCs w:val="20"/>
          <w:lang w:val="en-US"/>
        </w:rPr>
        <w:t>mg/kg</w:t>
      </w:r>
      <w:r w:rsidRPr="00432457">
        <w:rPr>
          <w:rFonts w:eastAsia="Times New Roman" w:cs="Arial"/>
          <w:color w:val="000000"/>
          <w:szCs w:val="20"/>
          <w:lang w:eastAsia="bg-BG"/>
        </w:rPr>
        <w:t>/ден на база системна експозиция) предизвиква трайно, необратимо бъбречно увреждане.</w:t>
      </w:r>
    </w:p>
    <w:p w14:paraId="4F5D231A" w14:textId="77777777" w:rsidR="00432457" w:rsidRPr="00432457" w:rsidRDefault="00432457" w:rsidP="00432457">
      <w:pPr>
        <w:spacing w:line="240" w:lineRule="auto"/>
        <w:rPr>
          <w:rFonts w:eastAsia="Times New Roman" w:cs="Arial"/>
          <w:sz w:val="28"/>
          <w:szCs w:val="24"/>
          <w:lang w:eastAsia="bg-BG"/>
        </w:rPr>
      </w:pPr>
      <w:r w:rsidRPr="00432457">
        <w:rPr>
          <w:rFonts w:eastAsia="Times New Roman" w:cs="Arial"/>
          <w:color w:val="000000"/>
          <w:szCs w:val="20"/>
          <w:lang w:eastAsia="bg-BG"/>
        </w:rPr>
        <w:t>Споменатите последици представляват очакван агравиран фармакологичен ефект на инхибигорите на ангиотензин конвертиращия ензим и ангиотензин II рецепторните блокери, като подобни ефекти се наблюдават, ако плъховете са били подложени на лечение през първите 13 дни от живота им. Този период съвпада с 36-та гестационна седмица при хора, като понякога може да бъде удължен до 44 седмици след зачеването. Плъховете в ювенилното проучване на валсартан са третирани с валсартан до 70-ти ден и ефекти върху развитието на бъбреците (4-6 постнатални седмици) не могат да се изключат.</w:t>
      </w:r>
    </w:p>
    <w:p w14:paraId="13A7B62A" w14:textId="43187430" w:rsidR="007A2185" w:rsidRPr="00432457" w:rsidRDefault="00432457" w:rsidP="00432457">
      <w:pPr>
        <w:rPr>
          <w:rFonts w:cs="Arial"/>
          <w:sz w:val="24"/>
        </w:rPr>
      </w:pPr>
      <w:r w:rsidRPr="00432457">
        <w:rPr>
          <w:rFonts w:eastAsia="Times New Roman" w:cs="Arial"/>
          <w:color w:val="000000"/>
          <w:szCs w:val="20"/>
          <w:lang w:eastAsia="bg-BG"/>
        </w:rPr>
        <w:t>Функционалното развитие на бъбрека е процес, който при хората продължава и през първата година от живота. Следователно, при деца на възраст &lt;1 година не може да се изключи клинична значимост, докато при тези над 1 година предклиничните данни не показват някакви поводи за притеснение относно безопасността.</w:t>
      </w:r>
    </w:p>
    <w:p w14:paraId="12FFA9B2" w14:textId="77777777" w:rsidR="007A2185" w:rsidRPr="0091385D" w:rsidRDefault="007A2185" w:rsidP="0091385D"/>
    <w:p w14:paraId="6A7820AB" w14:textId="353DB6D2" w:rsidR="008A6AF2" w:rsidRDefault="002C50EE" w:rsidP="00395555">
      <w:pPr>
        <w:pStyle w:val="Heading1"/>
      </w:pPr>
      <w:r>
        <w:t>7. ПРИТЕЖАТЕЛ НА РАЗРЕШЕНИЕТО ЗА УПОТРЕБА</w:t>
      </w:r>
    </w:p>
    <w:p w14:paraId="1B9B651E" w14:textId="24042B6C" w:rsidR="0091385D" w:rsidRDefault="0091385D" w:rsidP="0091385D"/>
    <w:p w14:paraId="3BFE04CD" w14:textId="77777777" w:rsidR="004C42F9" w:rsidRPr="004C42F9" w:rsidRDefault="004C42F9" w:rsidP="004C42F9">
      <w:pPr>
        <w:spacing w:line="240" w:lineRule="auto"/>
        <w:rPr>
          <w:rFonts w:eastAsia="Times New Roman" w:cs="Arial"/>
          <w:sz w:val="28"/>
          <w:szCs w:val="24"/>
          <w:lang w:val="en-US" w:eastAsia="bg-BG"/>
        </w:rPr>
      </w:pPr>
      <w:r w:rsidRPr="004C42F9">
        <w:rPr>
          <w:rFonts w:eastAsia="Times New Roman" w:cs="Arial"/>
          <w:color w:val="000000"/>
          <w:szCs w:val="20"/>
          <w:lang w:val="en-US"/>
        </w:rPr>
        <w:t>Egis Pharmaceuticals PLC</w:t>
      </w:r>
    </w:p>
    <w:p w14:paraId="1B0AF681" w14:textId="77777777" w:rsidR="004C42F9" w:rsidRPr="004C42F9" w:rsidRDefault="004C42F9" w:rsidP="004C42F9">
      <w:pPr>
        <w:spacing w:line="240" w:lineRule="auto"/>
        <w:rPr>
          <w:rFonts w:eastAsia="Times New Roman" w:cs="Arial"/>
          <w:sz w:val="28"/>
          <w:szCs w:val="24"/>
          <w:lang w:val="en-US" w:eastAsia="bg-BG"/>
        </w:rPr>
      </w:pPr>
      <w:r w:rsidRPr="004C42F9">
        <w:rPr>
          <w:rFonts w:eastAsia="Times New Roman" w:cs="Arial"/>
          <w:color w:val="000000"/>
          <w:szCs w:val="20"/>
          <w:lang w:eastAsia="bg-BG"/>
        </w:rPr>
        <w:t xml:space="preserve">1106 </w:t>
      </w:r>
      <w:r w:rsidRPr="004C42F9">
        <w:rPr>
          <w:rFonts w:eastAsia="Times New Roman" w:cs="Arial"/>
          <w:color w:val="000000"/>
          <w:szCs w:val="20"/>
          <w:lang w:val="en-US"/>
        </w:rPr>
        <w:t xml:space="preserve">Budapest, </w:t>
      </w:r>
      <w:r w:rsidRPr="004C42F9">
        <w:rPr>
          <w:rFonts w:eastAsia="Times New Roman" w:cs="Arial"/>
          <w:color w:val="000000"/>
          <w:szCs w:val="20"/>
          <w:lang w:eastAsia="bg-BG"/>
        </w:rPr>
        <w:t>Keresztúri út</w:t>
      </w:r>
      <w:r w:rsidRPr="004C42F9">
        <w:rPr>
          <w:rFonts w:eastAsia="Times New Roman" w:cs="Arial"/>
          <w:color w:val="000000"/>
          <w:szCs w:val="20"/>
          <w:lang w:val="en-US"/>
        </w:rPr>
        <w:t xml:space="preserve"> 30-38.</w:t>
      </w:r>
    </w:p>
    <w:p w14:paraId="4F02909F" w14:textId="0E9F7807" w:rsidR="007A2185" w:rsidRPr="004C42F9" w:rsidRDefault="004C42F9" w:rsidP="004C42F9">
      <w:pPr>
        <w:rPr>
          <w:rFonts w:cs="Arial"/>
          <w:sz w:val="24"/>
        </w:rPr>
      </w:pPr>
      <w:r w:rsidRPr="004C42F9">
        <w:rPr>
          <w:rFonts w:eastAsia="Times New Roman" w:cs="Arial"/>
          <w:color w:val="000000"/>
          <w:szCs w:val="20"/>
          <w:lang w:eastAsia="bg-BG"/>
        </w:rPr>
        <w:t>Унгария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3072FB0E" w:rsidR="0091385D" w:rsidRDefault="0091385D" w:rsidP="0091385D"/>
    <w:p w14:paraId="3FAF7045" w14:textId="77777777" w:rsidR="004C42F9" w:rsidRPr="004C42F9" w:rsidRDefault="004C42F9" w:rsidP="004C42F9">
      <w:pPr>
        <w:spacing w:line="240" w:lineRule="auto"/>
        <w:rPr>
          <w:rFonts w:eastAsia="Times New Roman" w:cs="Arial"/>
          <w:sz w:val="28"/>
          <w:szCs w:val="24"/>
          <w:lang w:eastAsia="bg-BG"/>
        </w:rPr>
      </w:pPr>
      <w:r w:rsidRPr="004C42F9">
        <w:rPr>
          <w:rFonts w:eastAsia="Times New Roman" w:cs="Arial"/>
          <w:color w:val="000000"/>
          <w:szCs w:val="20"/>
          <w:lang w:eastAsia="bg-BG"/>
        </w:rPr>
        <w:t xml:space="preserve">Сартег 40 </w:t>
      </w:r>
      <w:r w:rsidRPr="004C42F9">
        <w:rPr>
          <w:rFonts w:eastAsia="Times New Roman" w:cs="Arial"/>
          <w:color w:val="000000"/>
          <w:szCs w:val="20"/>
          <w:lang w:val="en-US"/>
        </w:rPr>
        <w:t xml:space="preserve">mg </w:t>
      </w:r>
      <w:r w:rsidRPr="004C42F9">
        <w:rPr>
          <w:rFonts w:eastAsia="Times New Roman" w:cs="Arial"/>
          <w:color w:val="000000"/>
          <w:szCs w:val="20"/>
          <w:lang w:eastAsia="bg-BG"/>
        </w:rPr>
        <w:t>филмирани таблетки: Рег.№: 20080154</w:t>
      </w:r>
    </w:p>
    <w:p w14:paraId="4872DD15" w14:textId="77777777" w:rsidR="004C42F9" w:rsidRPr="004C42F9" w:rsidRDefault="004C42F9" w:rsidP="004C42F9">
      <w:pPr>
        <w:spacing w:line="240" w:lineRule="auto"/>
        <w:rPr>
          <w:rFonts w:eastAsia="Times New Roman" w:cs="Arial"/>
          <w:sz w:val="28"/>
          <w:szCs w:val="24"/>
          <w:lang w:eastAsia="bg-BG"/>
        </w:rPr>
      </w:pPr>
      <w:r w:rsidRPr="004C42F9">
        <w:rPr>
          <w:rFonts w:eastAsia="Times New Roman" w:cs="Arial"/>
          <w:color w:val="000000"/>
          <w:szCs w:val="20"/>
          <w:lang w:eastAsia="bg-BG"/>
        </w:rPr>
        <w:t xml:space="preserve">Сартег 80 </w:t>
      </w:r>
      <w:r w:rsidRPr="004C42F9">
        <w:rPr>
          <w:rFonts w:eastAsia="Times New Roman" w:cs="Arial"/>
          <w:color w:val="000000"/>
          <w:szCs w:val="20"/>
          <w:lang w:val="en-US"/>
        </w:rPr>
        <w:t xml:space="preserve">mg </w:t>
      </w:r>
      <w:r w:rsidRPr="004C42F9">
        <w:rPr>
          <w:rFonts w:eastAsia="Times New Roman" w:cs="Arial"/>
          <w:color w:val="000000"/>
          <w:szCs w:val="20"/>
          <w:lang w:eastAsia="bg-BG"/>
        </w:rPr>
        <w:t xml:space="preserve">филмирани таблетки: Рег.№: </w:t>
      </w:r>
      <w:r w:rsidRPr="004C42F9">
        <w:rPr>
          <w:rFonts w:eastAsia="Times New Roman" w:cs="Arial"/>
          <w:iCs/>
          <w:color w:val="000000"/>
          <w:szCs w:val="20"/>
          <w:lang w:eastAsia="bg-BG"/>
        </w:rPr>
        <w:t>20080155</w:t>
      </w:r>
    </w:p>
    <w:p w14:paraId="46161304" w14:textId="79985C8C" w:rsidR="007A2185" w:rsidRPr="004C42F9" w:rsidRDefault="004C42F9" w:rsidP="004C42F9">
      <w:pPr>
        <w:rPr>
          <w:rFonts w:cs="Arial"/>
          <w:sz w:val="24"/>
        </w:rPr>
      </w:pPr>
      <w:r w:rsidRPr="004C42F9">
        <w:rPr>
          <w:rFonts w:eastAsia="Times New Roman" w:cs="Arial"/>
          <w:color w:val="000000"/>
          <w:szCs w:val="20"/>
          <w:lang w:eastAsia="bg-BG"/>
        </w:rPr>
        <w:t xml:space="preserve">Сартег 160 </w:t>
      </w:r>
      <w:r w:rsidRPr="004C42F9">
        <w:rPr>
          <w:rFonts w:eastAsia="Times New Roman" w:cs="Arial"/>
          <w:color w:val="000000"/>
          <w:szCs w:val="20"/>
          <w:lang w:val="en-US"/>
        </w:rPr>
        <w:t xml:space="preserve">mg </w:t>
      </w:r>
      <w:r w:rsidRPr="004C42F9">
        <w:rPr>
          <w:rFonts w:eastAsia="Times New Roman" w:cs="Arial"/>
          <w:color w:val="000000"/>
          <w:szCs w:val="20"/>
          <w:lang w:eastAsia="bg-BG"/>
        </w:rPr>
        <w:t>филмирани таблетки: Рег.№: 20080156</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555A1AAB" w14:textId="77777777" w:rsidR="004C42F9" w:rsidRPr="004C42F9" w:rsidRDefault="004C42F9" w:rsidP="004C42F9">
      <w:pPr>
        <w:spacing w:line="240" w:lineRule="auto"/>
        <w:rPr>
          <w:rFonts w:eastAsia="Times New Roman" w:cs="Arial"/>
          <w:sz w:val="28"/>
          <w:szCs w:val="24"/>
          <w:lang w:eastAsia="bg-BG"/>
        </w:rPr>
      </w:pPr>
      <w:r w:rsidRPr="004C42F9">
        <w:rPr>
          <w:rFonts w:eastAsia="Times New Roman" w:cs="Arial"/>
          <w:color w:val="000000"/>
          <w:szCs w:val="20"/>
          <w:lang w:eastAsia="bg-BG"/>
        </w:rPr>
        <w:t>Дата на първото разрешение: 11.08.2008 г.</w:t>
      </w:r>
    </w:p>
    <w:p w14:paraId="6C57D8B6" w14:textId="7CBDED01" w:rsidR="007A2185" w:rsidRPr="004C42F9" w:rsidRDefault="004C42F9" w:rsidP="004C42F9">
      <w:pPr>
        <w:rPr>
          <w:rFonts w:cs="Arial"/>
          <w:sz w:val="24"/>
        </w:rPr>
      </w:pPr>
      <w:r w:rsidRPr="004C42F9">
        <w:rPr>
          <w:rFonts w:eastAsia="Times New Roman" w:cs="Arial"/>
          <w:color w:val="000000"/>
          <w:szCs w:val="20"/>
          <w:lang w:eastAsia="bg-BG"/>
        </w:rPr>
        <w:t>Дата на последното подновяване: 23.12.2014 г.</w:t>
      </w:r>
    </w:p>
    <w:p w14:paraId="0A56E09D" w14:textId="77777777" w:rsidR="0091385D" w:rsidRPr="0091385D" w:rsidRDefault="0091385D" w:rsidP="0091385D"/>
    <w:p w14:paraId="0E9D0119" w14:textId="1FEC128A" w:rsidR="002C50EE" w:rsidRDefault="002C50EE" w:rsidP="002C50EE">
      <w:pPr>
        <w:pStyle w:val="Heading1"/>
      </w:pPr>
      <w:r>
        <w:lastRenderedPageBreak/>
        <w:t>10. ДАТА НА АКТУАЛИЗИРАНЕ НА ТЕКСТА</w:t>
      </w:r>
    </w:p>
    <w:p w14:paraId="3E8FFCC4" w14:textId="0121B4E2" w:rsidR="0091385D" w:rsidRDefault="0091385D" w:rsidP="0091385D"/>
    <w:p w14:paraId="0524F1D6" w14:textId="4A5E5C35" w:rsidR="007A2185" w:rsidRPr="004C42F9" w:rsidRDefault="004C42F9" w:rsidP="0091385D">
      <w:pPr>
        <w:rPr>
          <w:rFonts w:cs="Arial"/>
          <w:sz w:val="24"/>
        </w:rPr>
      </w:pPr>
      <w:r w:rsidRPr="004C42F9">
        <w:rPr>
          <w:rFonts w:cs="Arial"/>
          <w:szCs w:val="20"/>
        </w:rPr>
        <w:t>Февруари, 2021 г.</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42E17"/>
    <w:multiLevelType w:val="hybridMultilevel"/>
    <w:tmpl w:val="EEE8ED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B146A"/>
    <w:multiLevelType w:val="hybridMultilevel"/>
    <w:tmpl w:val="D74E7F6C"/>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B9617D"/>
    <w:multiLevelType w:val="hybridMultilevel"/>
    <w:tmpl w:val="83EC86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904C4"/>
    <w:multiLevelType w:val="hybridMultilevel"/>
    <w:tmpl w:val="0C00DE34"/>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B75F1"/>
    <w:multiLevelType w:val="hybridMultilevel"/>
    <w:tmpl w:val="EDAEE7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3"/>
  </w:num>
  <w:num w:numId="4">
    <w:abstractNumId w:val="3"/>
  </w:num>
  <w:num w:numId="5">
    <w:abstractNumId w:val="1"/>
  </w:num>
  <w:num w:numId="6">
    <w:abstractNumId w:val="18"/>
  </w:num>
  <w:num w:numId="7">
    <w:abstractNumId w:val="11"/>
  </w:num>
  <w:num w:numId="8">
    <w:abstractNumId w:val="17"/>
  </w:num>
  <w:num w:numId="9">
    <w:abstractNumId w:val="2"/>
  </w:num>
  <w:num w:numId="10">
    <w:abstractNumId w:val="4"/>
  </w:num>
  <w:num w:numId="11">
    <w:abstractNumId w:val="33"/>
  </w:num>
  <w:num w:numId="12">
    <w:abstractNumId w:val="16"/>
  </w:num>
  <w:num w:numId="13">
    <w:abstractNumId w:val="21"/>
  </w:num>
  <w:num w:numId="14">
    <w:abstractNumId w:val="12"/>
  </w:num>
  <w:num w:numId="15">
    <w:abstractNumId w:val="32"/>
  </w:num>
  <w:num w:numId="16">
    <w:abstractNumId w:val="10"/>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5"/>
  </w:num>
  <w:num w:numId="28">
    <w:abstractNumId w:val="7"/>
  </w:num>
  <w:num w:numId="29">
    <w:abstractNumId w:val="22"/>
  </w:num>
  <w:num w:numId="30">
    <w:abstractNumId w:val="39"/>
  </w:num>
  <w:num w:numId="31">
    <w:abstractNumId w:val="5"/>
  </w:num>
  <w:num w:numId="32">
    <w:abstractNumId w:val="38"/>
  </w:num>
  <w:num w:numId="33">
    <w:abstractNumId w:val="31"/>
  </w:num>
  <w:num w:numId="34">
    <w:abstractNumId w:val="37"/>
  </w:num>
  <w:num w:numId="35">
    <w:abstractNumId w:val="15"/>
  </w:num>
  <w:num w:numId="36">
    <w:abstractNumId w:val="29"/>
  </w:num>
  <w:num w:numId="37">
    <w:abstractNumId w:val="36"/>
  </w:num>
  <w:num w:numId="38">
    <w:abstractNumId w:val="14"/>
  </w:num>
  <w:num w:numId="39">
    <w:abstractNumId w:val="3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1D81"/>
    <w:rsid w:val="003E3126"/>
    <w:rsid w:val="00426E5F"/>
    <w:rsid w:val="00432457"/>
    <w:rsid w:val="004A448E"/>
    <w:rsid w:val="004C42F9"/>
    <w:rsid w:val="004D4D6B"/>
    <w:rsid w:val="004F1CE7"/>
    <w:rsid w:val="004F498A"/>
    <w:rsid w:val="00517A5B"/>
    <w:rsid w:val="00593A00"/>
    <w:rsid w:val="005A66D9"/>
    <w:rsid w:val="005B0F27"/>
    <w:rsid w:val="00605BCA"/>
    <w:rsid w:val="006158A1"/>
    <w:rsid w:val="00617B1F"/>
    <w:rsid w:val="00672487"/>
    <w:rsid w:val="00672600"/>
    <w:rsid w:val="00681D4A"/>
    <w:rsid w:val="00682341"/>
    <w:rsid w:val="00685882"/>
    <w:rsid w:val="0075649D"/>
    <w:rsid w:val="007A2185"/>
    <w:rsid w:val="007C605B"/>
    <w:rsid w:val="008134C8"/>
    <w:rsid w:val="00814073"/>
    <w:rsid w:val="00826F0D"/>
    <w:rsid w:val="00893B92"/>
    <w:rsid w:val="008A6AF2"/>
    <w:rsid w:val="008C70A2"/>
    <w:rsid w:val="008F1AF3"/>
    <w:rsid w:val="0091385D"/>
    <w:rsid w:val="009773E4"/>
    <w:rsid w:val="009B171C"/>
    <w:rsid w:val="009F1313"/>
    <w:rsid w:val="00A20351"/>
    <w:rsid w:val="00A65A81"/>
    <w:rsid w:val="00A73575"/>
    <w:rsid w:val="00AA23EC"/>
    <w:rsid w:val="00AC63CE"/>
    <w:rsid w:val="00AE2107"/>
    <w:rsid w:val="00B275A8"/>
    <w:rsid w:val="00BB3B9C"/>
    <w:rsid w:val="00BF2600"/>
    <w:rsid w:val="00C0049F"/>
    <w:rsid w:val="00C07B84"/>
    <w:rsid w:val="00C33464"/>
    <w:rsid w:val="00C40420"/>
    <w:rsid w:val="00C809A7"/>
    <w:rsid w:val="00C83063"/>
    <w:rsid w:val="00C87E90"/>
    <w:rsid w:val="00CA1B57"/>
    <w:rsid w:val="00CF77F7"/>
    <w:rsid w:val="00D86297"/>
    <w:rsid w:val="00DD466D"/>
    <w:rsid w:val="00E84CF5"/>
    <w:rsid w:val="00EB6364"/>
    <w:rsid w:val="00EC41ED"/>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8718</Words>
  <Characters>49695</Characters>
  <Application>Microsoft Office Word</Application>
  <DocSecurity>0</DocSecurity>
  <Lines>414</Lines>
  <Paragraphs>116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2023-01-23T00:33:00Z</dcterms:created>
  <dcterms:modified xsi:type="dcterms:W3CDTF">2023-01-23T00:33:00Z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