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EA6529" w:rsidRDefault="002C50EE" w:rsidP="002C50EE">
      <w:pPr>
        <w:pStyle w:val="Heading1"/>
        <w:jc w:val="center"/>
      </w:pPr>
      <w:bookmarkStart w:id="0" w:name="_Hlk63124480"/>
      <w:r w:rsidRPr="00EA6529">
        <w:t>КРАТКА ХАРАКТЕРИСТИКА НА ПРОДУКТА</w:t>
      </w:r>
    </w:p>
    <w:p w14:paraId="3320F4BE" w14:textId="4AB8F764" w:rsidR="00C40420" w:rsidRPr="00EA6529" w:rsidRDefault="00DD466D" w:rsidP="004A448E">
      <w:pPr>
        <w:pStyle w:val="Heading1"/>
      </w:pPr>
      <w:r w:rsidRPr="00EA6529">
        <w:t>1.ИМЕ НА ЛЕКАРСТВЕНИЯ ПРОДУКТ</w:t>
      </w:r>
    </w:p>
    <w:p w14:paraId="34F7A70C" w14:textId="1BD04A88" w:rsidR="00283473" w:rsidRPr="00EA6529" w:rsidRDefault="00283473" w:rsidP="00283473"/>
    <w:p w14:paraId="2C90B637" w14:textId="77777777" w:rsidR="00283473" w:rsidRPr="00EA6529" w:rsidRDefault="00283473" w:rsidP="00283473">
      <w:pPr>
        <w:spacing w:line="240" w:lineRule="auto"/>
        <w:rPr>
          <w:rFonts w:eastAsia="Times New Roman" w:cs="Arial"/>
          <w:lang w:eastAsia="bg-BG"/>
        </w:rPr>
      </w:pPr>
      <w:proofErr w:type="spellStart"/>
      <w:r w:rsidRPr="00EA6529">
        <w:rPr>
          <w:rFonts w:eastAsia="Times New Roman" w:cs="Arial"/>
          <w:color w:val="000000"/>
          <w:lang w:eastAsia="bg-BG"/>
        </w:rPr>
        <w:t>Сеизпат</w:t>
      </w:r>
      <w:proofErr w:type="spellEnd"/>
      <w:r w:rsidRPr="00EA6529">
        <w:rPr>
          <w:rFonts w:eastAsia="Times New Roman" w:cs="Arial"/>
          <w:color w:val="000000"/>
          <w:lang w:eastAsia="bg-BG"/>
        </w:rPr>
        <w:t xml:space="preserve"> 50 </w:t>
      </w:r>
      <w:proofErr w:type="spellStart"/>
      <w:r w:rsidRPr="00EA6529">
        <w:rPr>
          <w:rFonts w:eastAsia="Times New Roman" w:cs="Arial"/>
          <w:color w:val="000000"/>
        </w:rPr>
        <w:t>mg</w:t>
      </w:r>
      <w:proofErr w:type="spellEnd"/>
      <w:r w:rsidRPr="00EA6529">
        <w:rPr>
          <w:rFonts w:eastAsia="Times New Roman" w:cs="Arial"/>
          <w:color w:val="000000"/>
        </w:rPr>
        <w:t xml:space="preserve"> </w:t>
      </w:r>
      <w:r w:rsidRPr="00EA6529">
        <w:rPr>
          <w:rFonts w:eastAsia="Times New Roman" w:cs="Arial"/>
          <w:color w:val="000000"/>
          <w:lang w:eastAsia="bg-BG"/>
        </w:rPr>
        <w:t>филмирани таблетки</w:t>
      </w:r>
    </w:p>
    <w:p w14:paraId="46AB2EED" w14:textId="77777777" w:rsidR="00283473" w:rsidRPr="00EA6529" w:rsidRDefault="00283473" w:rsidP="00283473">
      <w:pPr>
        <w:spacing w:line="240" w:lineRule="auto"/>
        <w:rPr>
          <w:rFonts w:eastAsia="Times New Roman" w:cs="Arial"/>
          <w:lang w:eastAsia="bg-BG"/>
        </w:rPr>
      </w:pPr>
      <w:proofErr w:type="spellStart"/>
      <w:r w:rsidRPr="00EA6529">
        <w:rPr>
          <w:rFonts w:eastAsia="Times New Roman" w:cs="Arial"/>
          <w:color w:val="000000"/>
        </w:rPr>
        <w:t>Seizpat</w:t>
      </w:r>
      <w:proofErr w:type="spellEnd"/>
      <w:r w:rsidRPr="00EA6529">
        <w:rPr>
          <w:rFonts w:eastAsia="Times New Roman" w:cs="Arial"/>
          <w:color w:val="000000"/>
        </w:rPr>
        <w:t xml:space="preserve"> </w:t>
      </w:r>
      <w:r w:rsidRPr="00EA6529">
        <w:rPr>
          <w:rFonts w:eastAsia="Times New Roman" w:cs="Arial"/>
          <w:color w:val="000000"/>
          <w:lang w:eastAsia="bg-BG"/>
        </w:rPr>
        <w:t xml:space="preserve">50 </w:t>
      </w:r>
      <w:proofErr w:type="spellStart"/>
      <w:r w:rsidRPr="00EA6529">
        <w:rPr>
          <w:rFonts w:eastAsia="Times New Roman" w:cs="Arial"/>
          <w:color w:val="000000"/>
        </w:rPr>
        <w:t>mg</w:t>
      </w:r>
      <w:proofErr w:type="spellEnd"/>
      <w:r w:rsidRPr="00EA6529">
        <w:rPr>
          <w:rFonts w:eastAsia="Times New Roman" w:cs="Arial"/>
          <w:color w:val="000000"/>
        </w:rPr>
        <w:t xml:space="preserve"> </w:t>
      </w:r>
      <w:proofErr w:type="spellStart"/>
      <w:r w:rsidRPr="00EA6529">
        <w:rPr>
          <w:rFonts w:eastAsia="Times New Roman" w:cs="Arial"/>
          <w:color w:val="000000"/>
        </w:rPr>
        <w:t>film-coated</w:t>
      </w:r>
      <w:proofErr w:type="spellEnd"/>
      <w:r w:rsidRPr="00EA6529">
        <w:rPr>
          <w:rFonts w:eastAsia="Times New Roman" w:cs="Arial"/>
          <w:color w:val="000000"/>
        </w:rPr>
        <w:t xml:space="preserve"> </w:t>
      </w:r>
      <w:proofErr w:type="spellStart"/>
      <w:r w:rsidRPr="00EA6529">
        <w:rPr>
          <w:rFonts w:eastAsia="Times New Roman" w:cs="Arial"/>
          <w:color w:val="000000"/>
        </w:rPr>
        <w:t>tablets</w:t>
      </w:r>
      <w:proofErr w:type="spellEnd"/>
    </w:p>
    <w:p w14:paraId="40EDBB6A" w14:textId="77777777" w:rsidR="00283473" w:rsidRPr="00EA6529" w:rsidRDefault="00283473" w:rsidP="00283473">
      <w:pPr>
        <w:spacing w:line="240" w:lineRule="auto"/>
        <w:rPr>
          <w:rFonts w:eastAsia="Times New Roman" w:cs="Arial"/>
          <w:color w:val="000000"/>
          <w:lang w:eastAsia="bg-BG"/>
        </w:rPr>
      </w:pPr>
    </w:p>
    <w:p w14:paraId="303416DC" w14:textId="675EF519" w:rsidR="00283473" w:rsidRPr="00EA6529" w:rsidRDefault="00283473" w:rsidP="00283473">
      <w:pPr>
        <w:spacing w:line="240" w:lineRule="auto"/>
        <w:rPr>
          <w:rFonts w:eastAsia="Times New Roman" w:cs="Arial"/>
          <w:lang w:eastAsia="bg-BG"/>
        </w:rPr>
      </w:pPr>
      <w:proofErr w:type="spellStart"/>
      <w:r w:rsidRPr="00EA6529">
        <w:rPr>
          <w:rFonts w:eastAsia="Times New Roman" w:cs="Arial"/>
          <w:color w:val="000000"/>
          <w:lang w:eastAsia="bg-BG"/>
        </w:rPr>
        <w:t>Сеизпат</w:t>
      </w:r>
      <w:proofErr w:type="spellEnd"/>
      <w:r w:rsidRPr="00EA6529">
        <w:rPr>
          <w:rFonts w:eastAsia="Times New Roman" w:cs="Arial"/>
          <w:color w:val="000000"/>
          <w:lang w:eastAsia="bg-BG"/>
        </w:rPr>
        <w:t xml:space="preserve"> </w:t>
      </w:r>
      <w:r w:rsidRPr="00EA6529">
        <w:rPr>
          <w:rFonts w:eastAsia="Times New Roman" w:cs="Arial"/>
          <w:color w:val="000000"/>
        </w:rPr>
        <w:t xml:space="preserve">100 </w:t>
      </w:r>
      <w:proofErr w:type="spellStart"/>
      <w:r w:rsidRPr="00EA6529">
        <w:rPr>
          <w:rFonts w:eastAsia="Times New Roman" w:cs="Arial"/>
          <w:color w:val="000000"/>
        </w:rPr>
        <w:t>mg</w:t>
      </w:r>
      <w:proofErr w:type="spellEnd"/>
      <w:r w:rsidRPr="00EA6529">
        <w:rPr>
          <w:rFonts w:eastAsia="Times New Roman" w:cs="Arial"/>
          <w:color w:val="000000"/>
        </w:rPr>
        <w:t xml:space="preserve"> </w:t>
      </w:r>
      <w:r w:rsidRPr="00EA6529">
        <w:rPr>
          <w:rFonts w:eastAsia="Times New Roman" w:cs="Arial"/>
          <w:color w:val="000000"/>
          <w:lang w:eastAsia="bg-BG"/>
        </w:rPr>
        <w:t>филмирани таблетки</w:t>
      </w:r>
    </w:p>
    <w:p w14:paraId="595DCAD0" w14:textId="77777777" w:rsidR="00283473" w:rsidRPr="00EA6529" w:rsidRDefault="00283473" w:rsidP="00283473">
      <w:pPr>
        <w:spacing w:line="240" w:lineRule="auto"/>
        <w:rPr>
          <w:rFonts w:eastAsia="Times New Roman" w:cs="Arial"/>
          <w:lang w:eastAsia="bg-BG"/>
        </w:rPr>
      </w:pPr>
      <w:proofErr w:type="spellStart"/>
      <w:r w:rsidRPr="00EA6529">
        <w:rPr>
          <w:rFonts w:eastAsia="Times New Roman" w:cs="Arial"/>
          <w:color w:val="000000"/>
        </w:rPr>
        <w:t>Seizpat</w:t>
      </w:r>
      <w:proofErr w:type="spellEnd"/>
      <w:r w:rsidRPr="00EA6529">
        <w:rPr>
          <w:rFonts w:eastAsia="Times New Roman" w:cs="Arial"/>
          <w:color w:val="000000"/>
        </w:rPr>
        <w:t xml:space="preserve"> </w:t>
      </w:r>
      <w:r w:rsidRPr="00EA6529">
        <w:rPr>
          <w:rFonts w:eastAsia="Times New Roman" w:cs="Arial"/>
          <w:color w:val="000000"/>
          <w:lang w:eastAsia="bg-BG"/>
        </w:rPr>
        <w:t xml:space="preserve">100 </w:t>
      </w:r>
      <w:proofErr w:type="spellStart"/>
      <w:r w:rsidRPr="00EA6529">
        <w:rPr>
          <w:rFonts w:eastAsia="Times New Roman" w:cs="Arial"/>
          <w:color w:val="000000"/>
        </w:rPr>
        <w:t>mg</w:t>
      </w:r>
      <w:proofErr w:type="spellEnd"/>
      <w:r w:rsidRPr="00EA6529">
        <w:rPr>
          <w:rFonts w:eastAsia="Times New Roman" w:cs="Arial"/>
          <w:color w:val="000000"/>
        </w:rPr>
        <w:t xml:space="preserve"> </w:t>
      </w:r>
      <w:proofErr w:type="spellStart"/>
      <w:r w:rsidRPr="00EA6529">
        <w:rPr>
          <w:rFonts w:eastAsia="Times New Roman" w:cs="Arial"/>
          <w:color w:val="000000"/>
        </w:rPr>
        <w:t>film-coated</w:t>
      </w:r>
      <w:proofErr w:type="spellEnd"/>
      <w:r w:rsidRPr="00EA6529">
        <w:rPr>
          <w:rFonts w:eastAsia="Times New Roman" w:cs="Arial"/>
          <w:color w:val="000000"/>
        </w:rPr>
        <w:t xml:space="preserve"> </w:t>
      </w:r>
      <w:proofErr w:type="spellStart"/>
      <w:r w:rsidRPr="00EA6529">
        <w:rPr>
          <w:rFonts w:eastAsia="Times New Roman" w:cs="Arial"/>
          <w:color w:val="000000"/>
        </w:rPr>
        <w:t>tablets</w:t>
      </w:r>
      <w:proofErr w:type="spellEnd"/>
    </w:p>
    <w:p w14:paraId="3B0C884C" w14:textId="77777777" w:rsidR="00283473" w:rsidRPr="00EA6529" w:rsidRDefault="00283473" w:rsidP="00283473">
      <w:pPr>
        <w:spacing w:line="240" w:lineRule="auto"/>
        <w:rPr>
          <w:rFonts w:eastAsia="Times New Roman" w:cs="Arial"/>
          <w:color w:val="000000"/>
          <w:lang w:eastAsia="bg-BG"/>
        </w:rPr>
      </w:pPr>
    </w:p>
    <w:p w14:paraId="7E3A860B" w14:textId="7B3BAA98" w:rsidR="00283473" w:rsidRPr="00EA6529" w:rsidRDefault="00283473" w:rsidP="00283473">
      <w:pPr>
        <w:spacing w:line="240" w:lineRule="auto"/>
        <w:rPr>
          <w:rFonts w:eastAsia="Times New Roman" w:cs="Arial"/>
          <w:lang w:eastAsia="bg-BG"/>
        </w:rPr>
      </w:pPr>
      <w:proofErr w:type="spellStart"/>
      <w:r w:rsidRPr="00EA6529">
        <w:rPr>
          <w:rFonts w:eastAsia="Times New Roman" w:cs="Arial"/>
          <w:color w:val="000000"/>
          <w:lang w:eastAsia="bg-BG"/>
        </w:rPr>
        <w:t>Сеизпат</w:t>
      </w:r>
      <w:proofErr w:type="spellEnd"/>
      <w:r w:rsidRPr="00EA6529">
        <w:rPr>
          <w:rFonts w:eastAsia="Times New Roman" w:cs="Arial"/>
          <w:color w:val="000000"/>
          <w:lang w:eastAsia="bg-BG"/>
        </w:rPr>
        <w:t xml:space="preserve"> </w:t>
      </w:r>
      <w:r w:rsidRPr="00EA6529">
        <w:rPr>
          <w:rFonts w:eastAsia="Times New Roman" w:cs="Arial"/>
          <w:color w:val="000000"/>
        </w:rPr>
        <w:t xml:space="preserve">200 </w:t>
      </w:r>
      <w:proofErr w:type="spellStart"/>
      <w:r w:rsidRPr="00EA6529">
        <w:rPr>
          <w:rFonts w:eastAsia="Times New Roman" w:cs="Arial"/>
          <w:color w:val="000000"/>
        </w:rPr>
        <w:t>mg</w:t>
      </w:r>
      <w:proofErr w:type="spellEnd"/>
      <w:r w:rsidRPr="00EA6529">
        <w:rPr>
          <w:rFonts w:eastAsia="Times New Roman" w:cs="Arial"/>
          <w:color w:val="000000"/>
        </w:rPr>
        <w:t xml:space="preserve"> </w:t>
      </w:r>
      <w:r w:rsidRPr="00EA6529">
        <w:rPr>
          <w:rFonts w:eastAsia="Times New Roman" w:cs="Arial"/>
          <w:color w:val="000000"/>
          <w:lang w:eastAsia="bg-BG"/>
        </w:rPr>
        <w:t>филмирани таблетки</w:t>
      </w:r>
    </w:p>
    <w:p w14:paraId="20C80EB6" w14:textId="26355733" w:rsidR="00283473" w:rsidRPr="00EA6529" w:rsidRDefault="00283473" w:rsidP="00283473">
      <w:pPr>
        <w:rPr>
          <w:rFonts w:cs="Arial"/>
        </w:rPr>
      </w:pPr>
      <w:proofErr w:type="spellStart"/>
      <w:r w:rsidRPr="00EA6529">
        <w:rPr>
          <w:rFonts w:eastAsia="Times New Roman" w:cs="Arial"/>
          <w:color w:val="000000"/>
        </w:rPr>
        <w:t>Seizpat</w:t>
      </w:r>
      <w:proofErr w:type="spellEnd"/>
      <w:r w:rsidRPr="00EA6529">
        <w:rPr>
          <w:rFonts w:eastAsia="Times New Roman" w:cs="Arial"/>
          <w:color w:val="000000"/>
        </w:rPr>
        <w:t xml:space="preserve"> 200 </w:t>
      </w:r>
      <w:proofErr w:type="spellStart"/>
      <w:r w:rsidRPr="00EA6529">
        <w:rPr>
          <w:rFonts w:eastAsia="Times New Roman" w:cs="Arial"/>
          <w:color w:val="000000"/>
        </w:rPr>
        <w:t>mg</w:t>
      </w:r>
      <w:proofErr w:type="spellEnd"/>
      <w:r w:rsidRPr="00EA6529">
        <w:rPr>
          <w:rFonts w:eastAsia="Times New Roman" w:cs="Arial"/>
          <w:color w:val="000000"/>
        </w:rPr>
        <w:t xml:space="preserve"> </w:t>
      </w:r>
      <w:proofErr w:type="spellStart"/>
      <w:r w:rsidRPr="00EA6529">
        <w:rPr>
          <w:rFonts w:eastAsia="Times New Roman" w:cs="Arial"/>
          <w:color w:val="000000"/>
        </w:rPr>
        <w:t>film-coated</w:t>
      </w:r>
      <w:proofErr w:type="spellEnd"/>
      <w:r w:rsidRPr="00EA6529">
        <w:rPr>
          <w:rFonts w:eastAsia="Times New Roman" w:cs="Arial"/>
          <w:color w:val="000000"/>
        </w:rPr>
        <w:t xml:space="preserve"> </w:t>
      </w:r>
      <w:proofErr w:type="spellStart"/>
      <w:r w:rsidRPr="00EA6529">
        <w:rPr>
          <w:rFonts w:eastAsia="Times New Roman" w:cs="Arial"/>
          <w:color w:val="000000"/>
        </w:rPr>
        <w:t>tablets</w:t>
      </w:r>
      <w:proofErr w:type="spellEnd"/>
    </w:p>
    <w:p w14:paraId="6920A680" w14:textId="023DB07B" w:rsidR="00C40420" w:rsidRPr="00EA6529" w:rsidRDefault="00DD466D" w:rsidP="004A448E">
      <w:pPr>
        <w:pStyle w:val="Heading1"/>
      </w:pPr>
      <w:r w:rsidRPr="00EA6529">
        <w:t>2. КАЧЕСТВЕН И КОЛИЧЕСТВЕН СЪСТАВ</w:t>
      </w:r>
    </w:p>
    <w:p w14:paraId="13A820C6" w14:textId="33FE075A" w:rsidR="00283473" w:rsidRPr="00EA6529" w:rsidRDefault="00283473" w:rsidP="00283473"/>
    <w:p w14:paraId="1610426E" w14:textId="77777777"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u w:val="single"/>
          <w:lang w:eastAsia="bg-BG"/>
        </w:rPr>
        <w:t>Сеизпат</w:t>
      </w:r>
      <w:proofErr w:type="spellEnd"/>
      <w:r w:rsidRPr="00EA6529">
        <w:rPr>
          <w:rFonts w:eastAsia="Times New Roman" w:cs="Arial"/>
          <w:color w:val="000000"/>
          <w:szCs w:val="20"/>
          <w:u w:val="single"/>
          <w:lang w:eastAsia="bg-BG"/>
        </w:rPr>
        <w:t xml:space="preserve"> 50 </w:t>
      </w:r>
      <w:proofErr w:type="spellStart"/>
      <w:r w:rsidRPr="00EA6529">
        <w:rPr>
          <w:rFonts w:eastAsia="Times New Roman" w:cs="Arial"/>
          <w:color w:val="000000"/>
          <w:szCs w:val="20"/>
          <w:u w:val="single"/>
        </w:rPr>
        <w:t>mg</w:t>
      </w:r>
      <w:proofErr w:type="spellEnd"/>
      <w:r w:rsidRPr="00EA6529">
        <w:rPr>
          <w:rFonts w:eastAsia="Times New Roman" w:cs="Arial"/>
          <w:color w:val="000000"/>
          <w:szCs w:val="20"/>
          <w:u w:val="single"/>
        </w:rPr>
        <w:t xml:space="preserve"> </w:t>
      </w:r>
      <w:r w:rsidRPr="00EA6529">
        <w:rPr>
          <w:rFonts w:eastAsia="Times New Roman" w:cs="Arial"/>
          <w:color w:val="000000"/>
          <w:szCs w:val="20"/>
          <w:u w:val="single"/>
          <w:lang w:eastAsia="bg-BG"/>
        </w:rPr>
        <w:t>филмирани таблетки</w:t>
      </w:r>
    </w:p>
    <w:p w14:paraId="08D1282B"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Всяка филмирана таблетка съдържа 50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w:t>
      </w:r>
      <w:proofErr w:type="spellStart"/>
      <w:r w:rsidRPr="00EA6529">
        <w:rPr>
          <w:rFonts w:eastAsia="Times New Roman" w:cs="Arial"/>
          <w:color w:val="000000"/>
          <w:szCs w:val="20"/>
        </w:rPr>
        <w:t>lacosamide</w:t>
      </w:r>
      <w:proofErr w:type="spellEnd"/>
      <w:r w:rsidRPr="00EA6529">
        <w:rPr>
          <w:rFonts w:eastAsia="Times New Roman" w:cs="Arial"/>
          <w:color w:val="000000"/>
          <w:szCs w:val="20"/>
        </w:rPr>
        <w:t>),</w:t>
      </w:r>
    </w:p>
    <w:p w14:paraId="4E29B7EB" w14:textId="77777777" w:rsidR="00283473" w:rsidRPr="00EA6529" w:rsidRDefault="00283473" w:rsidP="00283473">
      <w:pPr>
        <w:spacing w:line="240" w:lineRule="auto"/>
        <w:rPr>
          <w:rFonts w:eastAsia="Times New Roman" w:cs="Arial"/>
          <w:color w:val="000000"/>
          <w:szCs w:val="20"/>
          <w:u w:val="single"/>
          <w:lang w:eastAsia="bg-BG"/>
        </w:rPr>
      </w:pPr>
    </w:p>
    <w:p w14:paraId="5AFEA18E" w14:textId="0300BB9A"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u w:val="single"/>
          <w:lang w:eastAsia="bg-BG"/>
        </w:rPr>
        <w:t>Сеизпат</w:t>
      </w:r>
      <w:proofErr w:type="spellEnd"/>
      <w:r w:rsidRPr="00EA6529">
        <w:rPr>
          <w:rFonts w:eastAsia="Times New Roman" w:cs="Arial"/>
          <w:color w:val="000000"/>
          <w:szCs w:val="20"/>
          <w:u w:val="single"/>
          <w:lang w:eastAsia="bg-BG"/>
        </w:rPr>
        <w:t xml:space="preserve"> 100 </w:t>
      </w:r>
      <w:proofErr w:type="spellStart"/>
      <w:r w:rsidRPr="00EA6529">
        <w:rPr>
          <w:rFonts w:eastAsia="Times New Roman" w:cs="Arial"/>
          <w:color w:val="000000"/>
          <w:szCs w:val="20"/>
          <w:u w:val="single"/>
        </w:rPr>
        <w:t>mg</w:t>
      </w:r>
      <w:proofErr w:type="spellEnd"/>
      <w:r w:rsidRPr="00EA6529">
        <w:rPr>
          <w:rFonts w:eastAsia="Times New Roman" w:cs="Arial"/>
          <w:color w:val="000000"/>
          <w:szCs w:val="20"/>
          <w:u w:val="single"/>
        </w:rPr>
        <w:t xml:space="preserve"> </w:t>
      </w:r>
      <w:r w:rsidRPr="00EA6529">
        <w:rPr>
          <w:rFonts w:eastAsia="Times New Roman" w:cs="Arial"/>
          <w:color w:val="000000"/>
          <w:szCs w:val="20"/>
          <w:u w:val="single"/>
          <w:lang w:eastAsia="bg-BG"/>
        </w:rPr>
        <w:t>филмирани таблетки</w:t>
      </w:r>
    </w:p>
    <w:p w14:paraId="7588BDAB"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Всяка филмирана таблетка съдържа 100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w:t>
      </w:r>
      <w:proofErr w:type="spellStart"/>
      <w:r w:rsidRPr="00EA6529">
        <w:rPr>
          <w:rFonts w:eastAsia="Times New Roman" w:cs="Arial"/>
          <w:color w:val="000000"/>
          <w:szCs w:val="20"/>
        </w:rPr>
        <w:t>lacosamide</w:t>
      </w:r>
      <w:proofErr w:type="spellEnd"/>
      <w:r w:rsidRPr="00EA6529">
        <w:rPr>
          <w:rFonts w:eastAsia="Times New Roman" w:cs="Arial"/>
          <w:color w:val="000000"/>
          <w:szCs w:val="20"/>
        </w:rPr>
        <w:t>).</w:t>
      </w:r>
    </w:p>
    <w:p w14:paraId="5456E07C" w14:textId="77777777" w:rsidR="00283473" w:rsidRPr="00EA6529" w:rsidRDefault="00283473" w:rsidP="00283473">
      <w:pPr>
        <w:spacing w:line="240" w:lineRule="auto"/>
        <w:rPr>
          <w:rFonts w:eastAsia="Times New Roman" w:cs="Arial"/>
          <w:color w:val="000000"/>
          <w:szCs w:val="20"/>
          <w:u w:val="single"/>
          <w:lang w:eastAsia="bg-BG"/>
        </w:rPr>
      </w:pPr>
    </w:p>
    <w:p w14:paraId="19E13758" w14:textId="31819C53"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u w:val="single"/>
          <w:lang w:eastAsia="bg-BG"/>
        </w:rPr>
        <w:t>Сеизпат</w:t>
      </w:r>
      <w:proofErr w:type="spellEnd"/>
      <w:r w:rsidRPr="00EA6529">
        <w:rPr>
          <w:rFonts w:eastAsia="Times New Roman" w:cs="Arial"/>
          <w:color w:val="000000"/>
          <w:szCs w:val="20"/>
          <w:u w:val="single"/>
          <w:lang w:eastAsia="bg-BG"/>
        </w:rPr>
        <w:t xml:space="preserve"> 200 </w:t>
      </w:r>
      <w:proofErr w:type="spellStart"/>
      <w:r w:rsidRPr="00EA6529">
        <w:rPr>
          <w:rFonts w:eastAsia="Times New Roman" w:cs="Arial"/>
          <w:color w:val="000000"/>
          <w:szCs w:val="20"/>
          <w:u w:val="single"/>
        </w:rPr>
        <w:t>mg</w:t>
      </w:r>
      <w:proofErr w:type="spellEnd"/>
      <w:r w:rsidRPr="00EA6529">
        <w:rPr>
          <w:rFonts w:eastAsia="Times New Roman" w:cs="Arial"/>
          <w:color w:val="000000"/>
          <w:szCs w:val="20"/>
          <w:u w:val="single"/>
        </w:rPr>
        <w:t xml:space="preserve"> </w:t>
      </w:r>
      <w:r w:rsidRPr="00EA6529">
        <w:rPr>
          <w:rFonts w:eastAsia="Times New Roman" w:cs="Arial"/>
          <w:color w:val="000000"/>
          <w:szCs w:val="20"/>
          <w:u w:val="single"/>
          <w:lang w:eastAsia="bg-BG"/>
        </w:rPr>
        <w:t>Филмирани таблетки</w:t>
      </w:r>
    </w:p>
    <w:p w14:paraId="7014E5EF"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Всяка филмирана таблетка съдържа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w:t>
      </w:r>
      <w:proofErr w:type="spellStart"/>
      <w:r w:rsidRPr="00EA6529">
        <w:rPr>
          <w:rFonts w:eastAsia="Times New Roman" w:cs="Arial"/>
          <w:color w:val="000000"/>
          <w:szCs w:val="20"/>
        </w:rPr>
        <w:t>lacosamide</w:t>
      </w:r>
      <w:proofErr w:type="spellEnd"/>
      <w:r w:rsidRPr="00EA6529">
        <w:rPr>
          <w:rFonts w:eastAsia="Times New Roman" w:cs="Arial"/>
          <w:color w:val="000000"/>
          <w:szCs w:val="20"/>
        </w:rPr>
        <w:t>).</w:t>
      </w:r>
    </w:p>
    <w:p w14:paraId="1F4980AF" w14:textId="77777777" w:rsidR="00283473" w:rsidRPr="00EA6529" w:rsidRDefault="00283473" w:rsidP="00283473">
      <w:pPr>
        <w:rPr>
          <w:rFonts w:eastAsia="Times New Roman" w:cs="Arial"/>
          <w:color w:val="000000"/>
          <w:szCs w:val="20"/>
          <w:lang w:eastAsia="bg-BG"/>
        </w:rPr>
      </w:pPr>
    </w:p>
    <w:p w14:paraId="336CD3C0" w14:textId="23EEE810" w:rsidR="00283473" w:rsidRPr="00EA6529" w:rsidRDefault="00283473" w:rsidP="00283473">
      <w:pPr>
        <w:rPr>
          <w:rFonts w:cs="Arial"/>
          <w:sz w:val="24"/>
        </w:rPr>
      </w:pPr>
      <w:r w:rsidRPr="00EA6529">
        <w:rPr>
          <w:rFonts w:eastAsia="Times New Roman" w:cs="Arial"/>
          <w:color w:val="000000"/>
          <w:szCs w:val="20"/>
          <w:lang w:eastAsia="bg-BG"/>
        </w:rPr>
        <w:t>За пълния списък на помощните вещества вижте точка 6.1.</w:t>
      </w:r>
    </w:p>
    <w:p w14:paraId="614984C4" w14:textId="69A30541" w:rsidR="008A6AF2" w:rsidRPr="00EA6529" w:rsidRDefault="00DD466D" w:rsidP="002C50EE">
      <w:pPr>
        <w:pStyle w:val="Heading1"/>
      </w:pPr>
      <w:r w:rsidRPr="00EA6529">
        <w:t>3. ЛЕКАРСТВЕНА ФОРМА</w:t>
      </w:r>
    </w:p>
    <w:p w14:paraId="2E0D8141" w14:textId="57247101" w:rsidR="00283473" w:rsidRPr="00EA6529" w:rsidRDefault="00283473" w:rsidP="00283473"/>
    <w:p w14:paraId="354503CB"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Филмирани таблетки.</w:t>
      </w:r>
    </w:p>
    <w:p w14:paraId="4FEBEEFF" w14:textId="77777777" w:rsidR="00283473" w:rsidRPr="00EA6529" w:rsidRDefault="00283473" w:rsidP="00283473">
      <w:pPr>
        <w:spacing w:line="240" w:lineRule="auto"/>
        <w:rPr>
          <w:rFonts w:eastAsia="Times New Roman" w:cs="Arial"/>
          <w:color w:val="000000"/>
          <w:szCs w:val="20"/>
          <w:u w:val="single"/>
          <w:lang w:eastAsia="bg-BG"/>
        </w:rPr>
      </w:pPr>
    </w:p>
    <w:p w14:paraId="33AF5A30" w14:textId="5411F4DF"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u w:val="single"/>
          <w:lang w:eastAsia="bg-BG"/>
        </w:rPr>
        <w:t>Сеизпат</w:t>
      </w:r>
      <w:proofErr w:type="spellEnd"/>
      <w:r w:rsidRPr="00EA6529">
        <w:rPr>
          <w:rFonts w:eastAsia="Times New Roman" w:cs="Arial"/>
          <w:color w:val="000000"/>
          <w:szCs w:val="20"/>
          <w:u w:val="single"/>
          <w:lang w:eastAsia="bg-BG"/>
        </w:rPr>
        <w:t xml:space="preserve"> 50 </w:t>
      </w:r>
      <w:proofErr w:type="spellStart"/>
      <w:r w:rsidRPr="00EA6529">
        <w:rPr>
          <w:rFonts w:eastAsia="Times New Roman" w:cs="Arial"/>
          <w:color w:val="000000"/>
          <w:szCs w:val="20"/>
          <w:u w:val="single"/>
        </w:rPr>
        <w:t>mg</w:t>
      </w:r>
      <w:proofErr w:type="spellEnd"/>
      <w:r w:rsidRPr="00EA6529">
        <w:rPr>
          <w:rFonts w:eastAsia="Times New Roman" w:cs="Arial"/>
          <w:color w:val="000000"/>
          <w:szCs w:val="20"/>
          <w:u w:val="single"/>
        </w:rPr>
        <w:t xml:space="preserve"> </w:t>
      </w:r>
      <w:r w:rsidRPr="00EA6529">
        <w:rPr>
          <w:rFonts w:eastAsia="Times New Roman" w:cs="Arial"/>
          <w:color w:val="000000"/>
          <w:szCs w:val="20"/>
          <w:u w:val="single"/>
          <w:lang w:eastAsia="bg-BG"/>
        </w:rPr>
        <w:t>филмирани таблетки</w:t>
      </w:r>
    </w:p>
    <w:p w14:paraId="6923BC4D"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Розови на цвят, елипсовидни филмирани таблетки, с вдлъбнато релефно означение “173” от едната страна и равни от другата страна.</w:t>
      </w:r>
    </w:p>
    <w:p w14:paraId="1AFBC026"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Средният размер на таблетките е 10,4 х 4,9 </w:t>
      </w:r>
      <w:r w:rsidRPr="00EA6529">
        <w:rPr>
          <w:rFonts w:eastAsia="Times New Roman" w:cs="Arial"/>
          <w:color w:val="000000"/>
          <w:szCs w:val="20"/>
        </w:rPr>
        <w:t>mm.</w:t>
      </w:r>
    </w:p>
    <w:p w14:paraId="102B3D13" w14:textId="77777777" w:rsidR="00283473" w:rsidRPr="00EA6529" w:rsidRDefault="00283473" w:rsidP="00283473">
      <w:pPr>
        <w:spacing w:line="240" w:lineRule="auto"/>
        <w:rPr>
          <w:rFonts w:eastAsia="Times New Roman" w:cs="Arial"/>
          <w:color w:val="000000"/>
          <w:szCs w:val="20"/>
          <w:u w:val="single"/>
          <w:lang w:eastAsia="bg-BG"/>
        </w:rPr>
      </w:pPr>
    </w:p>
    <w:p w14:paraId="4707340B" w14:textId="293C7A44"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u w:val="single"/>
          <w:lang w:eastAsia="bg-BG"/>
        </w:rPr>
        <w:t>Сеизпат</w:t>
      </w:r>
      <w:proofErr w:type="spellEnd"/>
      <w:r w:rsidRPr="00EA6529">
        <w:rPr>
          <w:rFonts w:eastAsia="Times New Roman" w:cs="Arial"/>
          <w:color w:val="000000"/>
          <w:szCs w:val="20"/>
          <w:u w:val="single"/>
          <w:lang w:eastAsia="bg-BG"/>
        </w:rPr>
        <w:t xml:space="preserve"> 100 </w:t>
      </w:r>
      <w:proofErr w:type="spellStart"/>
      <w:r w:rsidRPr="00EA6529">
        <w:rPr>
          <w:rFonts w:eastAsia="Times New Roman" w:cs="Arial"/>
          <w:color w:val="000000"/>
          <w:szCs w:val="20"/>
          <w:u w:val="single"/>
        </w:rPr>
        <w:t>mg</w:t>
      </w:r>
      <w:proofErr w:type="spellEnd"/>
      <w:r w:rsidRPr="00EA6529">
        <w:rPr>
          <w:rFonts w:eastAsia="Times New Roman" w:cs="Arial"/>
          <w:color w:val="000000"/>
          <w:szCs w:val="20"/>
          <w:u w:val="single"/>
        </w:rPr>
        <w:t xml:space="preserve"> </w:t>
      </w:r>
      <w:r w:rsidRPr="00EA6529">
        <w:rPr>
          <w:rFonts w:eastAsia="Times New Roman" w:cs="Arial"/>
          <w:color w:val="000000"/>
          <w:szCs w:val="20"/>
          <w:u w:val="single"/>
          <w:lang w:eastAsia="bg-BG"/>
        </w:rPr>
        <w:t>Филмирани таблетки</w:t>
      </w:r>
    </w:p>
    <w:p w14:paraId="7A645359"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Тъмно жълти на цвят, елипсовидни филмирани таблетки, с вдлъбнато релефно означение “174” от едната страна и равни от другата страна.</w:t>
      </w:r>
    </w:p>
    <w:p w14:paraId="75DE76DD"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Средният размер на таблетките е 13,0 х 6,0 </w:t>
      </w:r>
      <w:r w:rsidRPr="00EA6529">
        <w:rPr>
          <w:rFonts w:eastAsia="Times New Roman" w:cs="Arial"/>
          <w:color w:val="000000"/>
          <w:szCs w:val="20"/>
        </w:rPr>
        <w:t>mm.</w:t>
      </w:r>
    </w:p>
    <w:p w14:paraId="62621AEE" w14:textId="77777777" w:rsidR="00283473" w:rsidRPr="00EA6529" w:rsidRDefault="00283473" w:rsidP="00283473">
      <w:pPr>
        <w:spacing w:line="240" w:lineRule="auto"/>
        <w:rPr>
          <w:rFonts w:eastAsia="Times New Roman" w:cs="Arial"/>
          <w:color w:val="000000"/>
          <w:szCs w:val="20"/>
          <w:u w:val="single"/>
          <w:lang w:eastAsia="bg-BG"/>
        </w:rPr>
      </w:pPr>
    </w:p>
    <w:p w14:paraId="7282EE19" w14:textId="65D2C87C"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u w:val="single"/>
          <w:lang w:eastAsia="bg-BG"/>
        </w:rPr>
        <w:t>Сеизпат</w:t>
      </w:r>
      <w:proofErr w:type="spellEnd"/>
      <w:r w:rsidRPr="00EA6529">
        <w:rPr>
          <w:rFonts w:eastAsia="Times New Roman" w:cs="Arial"/>
          <w:color w:val="000000"/>
          <w:szCs w:val="20"/>
          <w:u w:val="single"/>
          <w:lang w:eastAsia="bg-BG"/>
        </w:rPr>
        <w:t xml:space="preserve"> 200 </w:t>
      </w:r>
      <w:proofErr w:type="spellStart"/>
      <w:r w:rsidRPr="00EA6529">
        <w:rPr>
          <w:rFonts w:eastAsia="Times New Roman" w:cs="Arial"/>
          <w:color w:val="000000"/>
          <w:szCs w:val="20"/>
          <w:u w:val="single"/>
        </w:rPr>
        <w:t>mg</w:t>
      </w:r>
      <w:proofErr w:type="spellEnd"/>
      <w:r w:rsidRPr="00EA6529">
        <w:rPr>
          <w:rFonts w:eastAsia="Times New Roman" w:cs="Arial"/>
          <w:color w:val="000000"/>
          <w:szCs w:val="20"/>
          <w:u w:val="single"/>
        </w:rPr>
        <w:t xml:space="preserve"> </w:t>
      </w:r>
      <w:r w:rsidRPr="00EA6529">
        <w:rPr>
          <w:rFonts w:eastAsia="Times New Roman" w:cs="Arial"/>
          <w:color w:val="000000"/>
          <w:szCs w:val="20"/>
          <w:u w:val="single"/>
          <w:lang w:eastAsia="bg-BG"/>
        </w:rPr>
        <w:t>филмирани таблетки</w:t>
      </w:r>
    </w:p>
    <w:p w14:paraId="23F531FD"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Сини на цвят, елипсовидни филмирани таблетки, с вдлъбнато релефно означение “176” от едната страна и равни от другата страна.</w:t>
      </w:r>
    </w:p>
    <w:p w14:paraId="2C101DC3" w14:textId="108B88F6" w:rsidR="00283473" w:rsidRPr="00EA6529" w:rsidRDefault="00283473" w:rsidP="00283473">
      <w:pPr>
        <w:rPr>
          <w:rFonts w:cs="Arial"/>
          <w:sz w:val="24"/>
        </w:rPr>
      </w:pPr>
      <w:r w:rsidRPr="00EA6529">
        <w:rPr>
          <w:rFonts w:eastAsia="Times New Roman" w:cs="Arial"/>
          <w:color w:val="000000"/>
          <w:szCs w:val="20"/>
          <w:lang w:eastAsia="bg-BG"/>
        </w:rPr>
        <w:t xml:space="preserve">Средният размер на таблетките е 16,6 х 7,8 </w:t>
      </w:r>
      <w:r w:rsidRPr="00EA6529">
        <w:rPr>
          <w:rFonts w:eastAsia="Times New Roman" w:cs="Arial"/>
          <w:color w:val="000000"/>
          <w:szCs w:val="20"/>
        </w:rPr>
        <w:t>mm.</w:t>
      </w:r>
    </w:p>
    <w:p w14:paraId="490FC2C4" w14:textId="32682B15" w:rsidR="002C50EE" w:rsidRPr="00EA6529" w:rsidRDefault="002C50EE" w:rsidP="002C50EE">
      <w:pPr>
        <w:pStyle w:val="Heading1"/>
      </w:pPr>
      <w:r w:rsidRPr="00EA6529">
        <w:lastRenderedPageBreak/>
        <w:t>4. КЛИНИЧНИ ДАННИ</w:t>
      </w:r>
    </w:p>
    <w:p w14:paraId="0C8E6903" w14:textId="71D5F61A" w:rsidR="008134C8" w:rsidRPr="00EA6529" w:rsidRDefault="002C50EE" w:rsidP="004A448E">
      <w:pPr>
        <w:pStyle w:val="Heading2"/>
      </w:pPr>
      <w:r w:rsidRPr="00EA6529">
        <w:t>4.1. Терапевтични показания</w:t>
      </w:r>
    </w:p>
    <w:p w14:paraId="384F3CC1" w14:textId="52DA94F3" w:rsidR="00283473" w:rsidRPr="00EA6529" w:rsidRDefault="00283473" w:rsidP="00283473"/>
    <w:p w14:paraId="471C70BA" w14:textId="77777777"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Сеизпат</w:t>
      </w:r>
      <w:proofErr w:type="spellEnd"/>
      <w:r w:rsidRPr="00EA6529">
        <w:rPr>
          <w:rFonts w:eastAsia="Times New Roman" w:cs="Arial"/>
          <w:color w:val="000000"/>
          <w:szCs w:val="20"/>
          <w:lang w:eastAsia="bg-BG"/>
        </w:rPr>
        <w:t xml:space="preserve"> е показан за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и допълваща терапия при лечението на парциални пристъпи с или без вторична генерализация при възрастни, юноши и деца, навършили 4-годишна възраст, с епилепсия.</w:t>
      </w:r>
      <w:bookmarkStart w:id="1" w:name="bookmark0"/>
      <w:bookmarkEnd w:id="1"/>
    </w:p>
    <w:p w14:paraId="291D7B05" w14:textId="77777777" w:rsidR="00283473" w:rsidRPr="00EA6529" w:rsidRDefault="00283473" w:rsidP="00283473">
      <w:pPr>
        <w:spacing w:line="240" w:lineRule="auto"/>
        <w:rPr>
          <w:rFonts w:eastAsia="Times New Roman" w:cs="Arial"/>
          <w:sz w:val="28"/>
          <w:szCs w:val="24"/>
          <w:lang w:eastAsia="bg-BG"/>
        </w:rPr>
      </w:pPr>
    </w:p>
    <w:p w14:paraId="26910A24" w14:textId="4B3D1260" w:rsidR="00283473" w:rsidRPr="00EA6529" w:rsidRDefault="00283473" w:rsidP="00283473">
      <w:pPr>
        <w:rPr>
          <w:rFonts w:eastAsia="Times New Roman" w:cs="Arial"/>
          <w:color w:val="000000"/>
          <w:szCs w:val="20"/>
          <w:lang w:eastAsia="bg-BG"/>
        </w:rPr>
      </w:pPr>
      <w:proofErr w:type="spellStart"/>
      <w:r w:rsidRPr="00EA6529">
        <w:rPr>
          <w:rFonts w:eastAsia="Times New Roman" w:cs="Arial"/>
          <w:color w:val="000000"/>
          <w:szCs w:val="20"/>
          <w:lang w:eastAsia="bg-BG"/>
        </w:rPr>
        <w:t>Сеизпат</w:t>
      </w:r>
      <w:proofErr w:type="spellEnd"/>
      <w:r w:rsidRPr="00EA6529">
        <w:rPr>
          <w:rFonts w:eastAsia="Times New Roman" w:cs="Arial"/>
          <w:color w:val="000000"/>
          <w:szCs w:val="20"/>
          <w:lang w:eastAsia="bg-BG"/>
        </w:rPr>
        <w:t xml:space="preserve"> е показан за допълваща терапия</w:t>
      </w:r>
    </w:p>
    <w:p w14:paraId="04E72590"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w:t>
      </w:r>
      <w:r w:rsidRPr="00EA6529">
        <w:rPr>
          <w:rFonts w:eastAsia="Times New Roman" w:cs="Arial"/>
          <w:color w:val="000000"/>
          <w:szCs w:val="20"/>
          <w:lang w:eastAsia="bg-BG"/>
        </w:rPr>
        <w:tab/>
        <w:t>при лечението на парциални пристъпи със или без вторична генерализация при възрастни, юноши и деца, навършили 4-годишна възраст, с епилепсия.</w:t>
      </w:r>
    </w:p>
    <w:p w14:paraId="00F6C78B" w14:textId="27383798" w:rsidR="00283473" w:rsidRPr="00EA6529" w:rsidRDefault="00283473" w:rsidP="00283473">
      <w:pPr>
        <w:rPr>
          <w:rFonts w:eastAsia="Times New Roman" w:cs="Arial"/>
          <w:color w:val="000000"/>
          <w:szCs w:val="20"/>
          <w:lang w:eastAsia="bg-BG"/>
        </w:rPr>
      </w:pPr>
      <w:r w:rsidRPr="00EA6529">
        <w:rPr>
          <w:rFonts w:eastAsia="Times New Roman" w:cs="Arial"/>
          <w:color w:val="000000"/>
          <w:szCs w:val="20"/>
          <w:lang w:eastAsia="bg-BG"/>
        </w:rPr>
        <w:t>•</w:t>
      </w:r>
      <w:r w:rsidRPr="00EA6529">
        <w:rPr>
          <w:rFonts w:eastAsia="Times New Roman" w:cs="Arial"/>
          <w:color w:val="000000"/>
          <w:szCs w:val="20"/>
          <w:lang w:eastAsia="bg-BG"/>
        </w:rPr>
        <w:tab/>
        <w:t>при лечението на първично генерализирани тонично-</w:t>
      </w:r>
      <w:proofErr w:type="spellStart"/>
      <w:r w:rsidRPr="00EA6529">
        <w:rPr>
          <w:rFonts w:eastAsia="Times New Roman" w:cs="Arial"/>
          <w:color w:val="000000"/>
          <w:szCs w:val="20"/>
          <w:lang w:eastAsia="bg-BG"/>
        </w:rPr>
        <w:t>клонични</w:t>
      </w:r>
      <w:proofErr w:type="spellEnd"/>
      <w:r w:rsidRPr="00EA6529">
        <w:rPr>
          <w:rFonts w:eastAsia="Times New Roman" w:cs="Arial"/>
          <w:color w:val="000000"/>
          <w:szCs w:val="20"/>
          <w:lang w:eastAsia="bg-BG"/>
        </w:rPr>
        <w:t xml:space="preserve"> пристъпи при възрастни, юноши и деца, навършили 4-годишна възраст, с генерализирана идиопатична епилепсия.</w:t>
      </w:r>
    </w:p>
    <w:p w14:paraId="32B978B1" w14:textId="77777777" w:rsidR="00283473" w:rsidRPr="00EA6529" w:rsidRDefault="00283473" w:rsidP="00283473"/>
    <w:p w14:paraId="30BE2C7B" w14:textId="0673170E" w:rsidR="008134C8" w:rsidRPr="00EA6529" w:rsidRDefault="002C50EE" w:rsidP="004A448E">
      <w:pPr>
        <w:pStyle w:val="Heading2"/>
      </w:pPr>
      <w:r w:rsidRPr="00EA6529">
        <w:t>4.2. Дозировка и начин на приложение</w:t>
      </w:r>
    </w:p>
    <w:p w14:paraId="08482CF6" w14:textId="53F187AC" w:rsidR="00283473" w:rsidRPr="00EA6529" w:rsidRDefault="00283473" w:rsidP="00283473"/>
    <w:p w14:paraId="3F005F7D" w14:textId="77777777" w:rsidR="00283473" w:rsidRPr="00EA6529" w:rsidRDefault="00283473" w:rsidP="00283473">
      <w:pPr>
        <w:pStyle w:val="Heading3"/>
        <w:rPr>
          <w:rFonts w:eastAsia="Times New Roman"/>
          <w:sz w:val="28"/>
          <w:u w:val="single"/>
          <w:lang w:eastAsia="bg-BG"/>
        </w:rPr>
      </w:pPr>
      <w:r w:rsidRPr="00EA6529">
        <w:rPr>
          <w:rFonts w:eastAsia="Times New Roman"/>
          <w:u w:val="single"/>
          <w:lang w:eastAsia="bg-BG"/>
        </w:rPr>
        <w:t>Дозировка</w:t>
      </w:r>
    </w:p>
    <w:p w14:paraId="1652AEDA" w14:textId="77777777" w:rsidR="00283473" w:rsidRPr="00EA6529" w:rsidRDefault="00283473" w:rsidP="00283473">
      <w:pPr>
        <w:spacing w:line="240" w:lineRule="auto"/>
        <w:rPr>
          <w:rFonts w:eastAsia="Times New Roman" w:cs="Arial"/>
          <w:color w:val="000000"/>
          <w:szCs w:val="20"/>
          <w:lang w:eastAsia="bg-BG"/>
        </w:rPr>
      </w:pPr>
    </w:p>
    <w:p w14:paraId="0C5C12B5" w14:textId="3E63D0EB"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трябва да се приема два пъти дневно (обикновено веднъж сутрин и веднъж вечер).</w:t>
      </w:r>
    </w:p>
    <w:p w14:paraId="43466A7E" w14:textId="77777777"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може да се приема със или без храна.</w:t>
      </w:r>
    </w:p>
    <w:p w14:paraId="7F703B36"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Ако бъде пропусната доза, пациентът трябва да е инструктиран веднага да приеме пропуснатата доза и след това да приеме следващата доза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в обичайното време по график. Ако пациентът забележи, че е пропуснал дозата в рамките на 6 часа преди следващата, той/тя трябва да е инструктиран да изчака приема на следващата доза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в обичайното време по график. Пациентите не трябва да приемат двойна доза.</w:t>
      </w:r>
    </w:p>
    <w:p w14:paraId="1C85BEAC" w14:textId="77777777" w:rsidR="00283473" w:rsidRPr="00EA6529" w:rsidRDefault="00283473" w:rsidP="00283473">
      <w:pPr>
        <w:spacing w:line="240" w:lineRule="auto"/>
        <w:rPr>
          <w:rFonts w:eastAsia="Times New Roman" w:cs="Arial"/>
          <w:i/>
          <w:iCs/>
          <w:color w:val="000000"/>
          <w:szCs w:val="20"/>
          <w:u w:val="single"/>
          <w:lang w:eastAsia="bg-BG"/>
        </w:rPr>
      </w:pPr>
    </w:p>
    <w:p w14:paraId="0F9C85D9" w14:textId="7D0AA5C0"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u w:val="single"/>
          <w:lang w:eastAsia="bg-BG"/>
        </w:rPr>
        <w:t xml:space="preserve">Юноши и деца с тегло 50 </w:t>
      </w:r>
      <w:proofErr w:type="spellStart"/>
      <w:r w:rsidRPr="00EA6529">
        <w:rPr>
          <w:rFonts w:eastAsia="Times New Roman" w:cs="Arial"/>
          <w:i/>
          <w:iCs/>
          <w:color w:val="000000"/>
          <w:szCs w:val="20"/>
          <w:u w:val="single"/>
        </w:rPr>
        <w:t>kg</w:t>
      </w:r>
      <w:proofErr w:type="spellEnd"/>
      <w:r w:rsidRPr="00EA6529">
        <w:rPr>
          <w:rFonts w:eastAsia="Times New Roman" w:cs="Arial"/>
          <w:i/>
          <w:iCs/>
          <w:color w:val="000000"/>
          <w:szCs w:val="20"/>
          <w:u w:val="single"/>
        </w:rPr>
        <w:t xml:space="preserve"> </w:t>
      </w:r>
      <w:r w:rsidRPr="00EA6529">
        <w:rPr>
          <w:rFonts w:eastAsia="Times New Roman" w:cs="Arial"/>
          <w:i/>
          <w:iCs/>
          <w:color w:val="000000"/>
          <w:szCs w:val="20"/>
          <w:u w:val="single"/>
          <w:lang w:eastAsia="bg-BG"/>
        </w:rPr>
        <w:t>или повече и възрастни</w:t>
      </w:r>
    </w:p>
    <w:p w14:paraId="1549B0EF" w14:textId="77777777" w:rsidR="00283473" w:rsidRPr="00EA6529" w:rsidRDefault="00283473" w:rsidP="00283473">
      <w:pPr>
        <w:rPr>
          <w:rFonts w:eastAsia="Times New Roman" w:cs="Arial"/>
          <w:color w:val="000000"/>
          <w:szCs w:val="20"/>
          <w:lang w:eastAsia="bg-BG"/>
        </w:rPr>
      </w:pPr>
    </w:p>
    <w:p w14:paraId="73EEB510" w14:textId="73C01EFE" w:rsidR="00283473" w:rsidRPr="00EA6529" w:rsidRDefault="00283473" w:rsidP="00283473">
      <w:pPr>
        <w:rPr>
          <w:rFonts w:eastAsia="Times New Roman" w:cs="Arial"/>
          <w:color w:val="000000"/>
          <w:szCs w:val="20"/>
          <w:lang w:eastAsia="bg-BG"/>
        </w:rPr>
      </w:pPr>
      <w:r w:rsidRPr="00EA6529">
        <w:rPr>
          <w:rFonts w:eastAsia="Times New Roman" w:cs="Arial"/>
          <w:color w:val="000000"/>
          <w:szCs w:val="20"/>
          <w:lang w:eastAsia="bg-BG"/>
        </w:rPr>
        <w:t xml:space="preserve">Следващата таблица обобщава препоръчителната дозировка при юноши и деца с тегло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или повече и при възрастни. Повече подробности са предоставени в таблицата по-долу.</w:t>
      </w:r>
    </w:p>
    <w:tbl>
      <w:tblPr>
        <w:tblStyle w:val="TableGrid"/>
        <w:tblW w:w="0" w:type="auto"/>
        <w:tblLook w:val="04A0" w:firstRow="1" w:lastRow="0" w:firstColumn="1" w:lastColumn="0" w:noHBand="0" w:noVBand="1"/>
      </w:tblPr>
      <w:tblGrid>
        <w:gridCol w:w="3125"/>
        <w:gridCol w:w="3115"/>
        <w:gridCol w:w="3110"/>
      </w:tblGrid>
      <w:tr w:rsidR="00283473" w:rsidRPr="00EA6529" w14:paraId="74B3B06E" w14:textId="77777777" w:rsidTr="00283473">
        <w:tc>
          <w:tcPr>
            <w:tcW w:w="3166" w:type="dxa"/>
          </w:tcPr>
          <w:p w14:paraId="03366C17" w14:textId="77777777" w:rsidR="00283473" w:rsidRPr="00EA6529" w:rsidRDefault="00283473" w:rsidP="00283473">
            <w:pPr>
              <w:rPr>
                <w:rFonts w:cs="Arial"/>
              </w:rPr>
            </w:pPr>
          </w:p>
        </w:tc>
        <w:tc>
          <w:tcPr>
            <w:tcW w:w="3167" w:type="dxa"/>
          </w:tcPr>
          <w:p w14:paraId="59DD6A86" w14:textId="7CD3F3B2" w:rsidR="00283473" w:rsidRPr="00EA6529" w:rsidRDefault="00283473" w:rsidP="00283473">
            <w:pPr>
              <w:rPr>
                <w:rFonts w:cs="Arial"/>
              </w:rPr>
            </w:pPr>
            <w:proofErr w:type="spellStart"/>
            <w:r w:rsidRPr="00EA6529">
              <w:rPr>
                <w:szCs w:val="20"/>
              </w:rPr>
              <w:t>Монотерапия</w:t>
            </w:r>
            <w:proofErr w:type="spellEnd"/>
          </w:p>
        </w:tc>
        <w:tc>
          <w:tcPr>
            <w:tcW w:w="3167" w:type="dxa"/>
          </w:tcPr>
          <w:p w14:paraId="1E4C6B0E" w14:textId="6A38F43D" w:rsidR="00283473" w:rsidRPr="00EA6529" w:rsidRDefault="00283473" w:rsidP="00283473">
            <w:pPr>
              <w:rPr>
                <w:rFonts w:cs="Arial"/>
              </w:rPr>
            </w:pPr>
            <w:r w:rsidRPr="00EA6529">
              <w:rPr>
                <w:szCs w:val="20"/>
              </w:rPr>
              <w:t>Допълваща терапия</w:t>
            </w:r>
          </w:p>
        </w:tc>
      </w:tr>
      <w:tr w:rsidR="00283473" w:rsidRPr="00EA6529" w14:paraId="0827684A" w14:textId="77777777" w:rsidTr="00283473">
        <w:tc>
          <w:tcPr>
            <w:tcW w:w="3166" w:type="dxa"/>
            <w:vMerge w:val="restart"/>
          </w:tcPr>
          <w:p w14:paraId="25FEBCAD" w14:textId="77777777" w:rsidR="00283473" w:rsidRPr="00EA6529" w:rsidRDefault="00283473" w:rsidP="00283473">
            <w:r w:rsidRPr="00EA6529">
              <w:rPr>
                <w:szCs w:val="20"/>
              </w:rPr>
              <w:t>Начална доза</w:t>
            </w:r>
          </w:p>
          <w:p w14:paraId="2C845C94" w14:textId="3898FDA2" w:rsidR="00283473" w:rsidRPr="00EA6529" w:rsidRDefault="00283473" w:rsidP="00283473">
            <w:pPr>
              <w:rPr>
                <w:rFonts w:cs="Arial"/>
              </w:rPr>
            </w:pPr>
            <w:r w:rsidRPr="00EA6529">
              <w:rPr>
                <w:szCs w:val="20"/>
              </w:rPr>
              <w:t>Единична натоварваща доза (ако е приложимо)</w:t>
            </w:r>
          </w:p>
        </w:tc>
        <w:tc>
          <w:tcPr>
            <w:tcW w:w="3167" w:type="dxa"/>
          </w:tcPr>
          <w:p w14:paraId="6CE073E7" w14:textId="6046FFF3" w:rsidR="00283473" w:rsidRPr="00EA6529" w:rsidRDefault="00283473" w:rsidP="00283473">
            <w:pPr>
              <w:rPr>
                <w:rFonts w:cs="Arial"/>
              </w:rPr>
            </w:pPr>
            <w:r w:rsidRPr="00EA6529">
              <w:rPr>
                <w:szCs w:val="20"/>
              </w:rPr>
              <w:t xml:space="preserve">100 </w:t>
            </w:r>
            <w:proofErr w:type="spellStart"/>
            <w:r w:rsidRPr="00EA6529">
              <w:rPr>
                <w:szCs w:val="20"/>
              </w:rPr>
              <w:t>mg</w:t>
            </w:r>
            <w:proofErr w:type="spellEnd"/>
            <w:r w:rsidRPr="00EA6529">
              <w:rPr>
                <w:szCs w:val="20"/>
              </w:rPr>
              <w:t xml:space="preserve">/ден или 200 </w:t>
            </w:r>
            <w:proofErr w:type="spellStart"/>
            <w:r w:rsidRPr="00EA6529">
              <w:rPr>
                <w:szCs w:val="20"/>
              </w:rPr>
              <w:t>mg</w:t>
            </w:r>
            <w:proofErr w:type="spellEnd"/>
            <w:r w:rsidRPr="00EA6529">
              <w:rPr>
                <w:szCs w:val="20"/>
              </w:rPr>
              <w:t>/ден</w:t>
            </w:r>
          </w:p>
        </w:tc>
        <w:tc>
          <w:tcPr>
            <w:tcW w:w="3167" w:type="dxa"/>
          </w:tcPr>
          <w:p w14:paraId="79CB5276" w14:textId="1ED5EDCA" w:rsidR="00283473" w:rsidRPr="00EA6529" w:rsidRDefault="00283473" w:rsidP="00283473">
            <w:pPr>
              <w:rPr>
                <w:rFonts w:cs="Arial"/>
              </w:rPr>
            </w:pPr>
            <w:r w:rsidRPr="00EA6529">
              <w:rPr>
                <w:szCs w:val="20"/>
              </w:rPr>
              <w:t xml:space="preserve">100 </w:t>
            </w:r>
            <w:proofErr w:type="spellStart"/>
            <w:r w:rsidRPr="00EA6529">
              <w:rPr>
                <w:szCs w:val="20"/>
              </w:rPr>
              <w:t>mg</w:t>
            </w:r>
            <w:proofErr w:type="spellEnd"/>
            <w:r w:rsidRPr="00EA6529">
              <w:rPr>
                <w:szCs w:val="20"/>
              </w:rPr>
              <w:t>/ден</w:t>
            </w:r>
          </w:p>
        </w:tc>
      </w:tr>
      <w:tr w:rsidR="00283473" w:rsidRPr="00EA6529" w14:paraId="3C1A01AF" w14:textId="77777777" w:rsidTr="00283473">
        <w:tc>
          <w:tcPr>
            <w:tcW w:w="3166" w:type="dxa"/>
            <w:vMerge/>
          </w:tcPr>
          <w:p w14:paraId="6AD89641" w14:textId="77777777" w:rsidR="00283473" w:rsidRPr="00EA6529" w:rsidRDefault="00283473" w:rsidP="00283473">
            <w:pPr>
              <w:rPr>
                <w:rFonts w:cs="Arial"/>
              </w:rPr>
            </w:pPr>
          </w:p>
        </w:tc>
        <w:tc>
          <w:tcPr>
            <w:tcW w:w="3167" w:type="dxa"/>
          </w:tcPr>
          <w:p w14:paraId="12091E5F" w14:textId="10101010" w:rsidR="00283473" w:rsidRPr="00EA6529" w:rsidRDefault="00283473" w:rsidP="00283473">
            <w:pPr>
              <w:rPr>
                <w:rFonts w:cs="Arial"/>
              </w:rPr>
            </w:pPr>
            <w:r w:rsidRPr="00EA6529">
              <w:rPr>
                <w:szCs w:val="20"/>
              </w:rPr>
              <w:t xml:space="preserve">200 </w:t>
            </w:r>
            <w:proofErr w:type="spellStart"/>
            <w:r w:rsidRPr="00EA6529">
              <w:rPr>
                <w:szCs w:val="20"/>
              </w:rPr>
              <w:t>mg</w:t>
            </w:r>
            <w:proofErr w:type="spellEnd"/>
          </w:p>
        </w:tc>
        <w:tc>
          <w:tcPr>
            <w:tcW w:w="3167" w:type="dxa"/>
          </w:tcPr>
          <w:p w14:paraId="02DEE594" w14:textId="5344F9B2" w:rsidR="00283473" w:rsidRPr="00EA6529" w:rsidRDefault="00283473" w:rsidP="00283473">
            <w:pPr>
              <w:rPr>
                <w:rFonts w:cs="Arial"/>
              </w:rPr>
            </w:pPr>
            <w:r w:rsidRPr="00EA6529">
              <w:rPr>
                <w:szCs w:val="20"/>
              </w:rPr>
              <w:t xml:space="preserve">200 </w:t>
            </w:r>
            <w:proofErr w:type="spellStart"/>
            <w:r w:rsidRPr="00EA6529">
              <w:rPr>
                <w:szCs w:val="20"/>
              </w:rPr>
              <w:t>mg</w:t>
            </w:r>
            <w:proofErr w:type="spellEnd"/>
          </w:p>
        </w:tc>
      </w:tr>
      <w:tr w:rsidR="00283473" w:rsidRPr="00EA6529" w14:paraId="6B4B3533" w14:textId="77777777" w:rsidTr="00283473">
        <w:tc>
          <w:tcPr>
            <w:tcW w:w="3166" w:type="dxa"/>
          </w:tcPr>
          <w:p w14:paraId="4CBF62C7" w14:textId="182C113C" w:rsidR="00283473" w:rsidRPr="00EA6529" w:rsidRDefault="00283473" w:rsidP="00283473">
            <w:pPr>
              <w:rPr>
                <w:rFonts w:cs="Arial"/>
              </w:rPr>
            </w:pPr>
            <w:r w:rsidRPr="00EA6529">
              <w:rPr>
                <w:szCs w:val="20"/>
              </w:rPr>
              <w:t>Титриране (нарастващи стъпки)</w:t>
            </w:r>
          </w:p>
        </w:tc>
        <w:tc>
          <w:tcPr>
            <w:tcW w:w="3167" w:type="dxa"/>
          </w:tcPr>
          <w:p w14:paraId="653D52B8" w14:textId="6D9DF007" w:rsidR="00283473" w:rsidRPr="00EA6529" w:rsidRDefault="00283473" w:rsidP="00283473">
            <w:pPr>
              <w:rPr>
                <w:rFonts w:cs="Arial"/>
              </w:rPr>
            </w:pPr>
            <w:r w:rsidRPr="00EA6529">
              <w:rPr>
                <w:szCs w:val="20"/>
              </w:rPr>
              <w:t xml:space="preserve">50 </w:t>
            </w:r>
            <w:proofErr w:type="spellStart"/>
            <w:r w:rsidRPr="00EA6529">
              <w:rPr>
                <w:szCs w:val="20"/>
              </w:rPr>
              <w:t>mg</w:t>
            </w:r>
            <w:proofErr w:type="spellEnd"/>
            <w:r w:rsidRPr="00EA6529">
              <w:rPr>
                <w:szCs w:val="20"/>
              </w:rPr>
              <w:t xml:space="preserve"> два пъти дневно (100 </w:t>
            </w:r>
            <w:proofErr w:type="spellStart"/>
            <w:r w:rsidRPr="00EA6529">
              <w:rPr>
                <w:szCs w:val="20"/>
              </w:rPr>
              <w:t>mg</w:t>
            </w:r>
            <w:proofErr w:type="spellEnd"/>
            <w:r w:rsidRPr="00EA6529">
              <w:rPr>
                <w:szCs w:val="20"/>
              </w:rPr>
              <w:t>/ден) на седмични интервали</w:t>
            </w:r>
          </w:p>
        </w:tc>
        <w:tc>
          <w:tcPr>
            <w:tcW w:w="3167" w:type="dxa"/>
          </w:tcPr>
          <w:p w14:paraId="7C9B424B" w14:textId="5F0E3673" w:rsidR="00283473" w:rsidRPr="00EA6529" w:rsidRDefault="00283473" w:rsidP="00283473">
            <w:pPr>
              <w:rPr>
                <w:rFonts w:cs="Arial"/>
              </w:rPr>
            </w:pPr>
            <w:r w:rsidRPr="00EA6529">
              <w:rPr>
                <w:szCs w:val="20"/>
              </w:rPr>
              <w:t xml:space="preserve">50 </w:t>
            </w:r>
            <w:proofErr w:type="spellStart"/>
            <w:r w:rsidRPr="00EA6529">
              <w:rPr>
                <w:szCs w:val="20"/>
              </w:rPr>
              <w:t>mg</w:t>
            </w:r>
            <w:proofErr w:type="spellEnd"/>
            <w:r w:rsidRPr="00EA6529">
              <w:rPr>
                <w:szCs w:val="20"/>
              </w:rPr>
              <w:t xml:space="preserve"> два пъти дневно (100 </w:t>
            </w:r>
            <w:proofErr w:type="spellStart"/>
            <w:r w:rsidRPr="00EA6529">
              <w:rPr>
                <w:szCs w:val="20"/>
              </w:rPr>
              <w:t>mg</w:t>
            </w:r>
            <w:proofErr w:type="spellEnd"/>
            <w:r w:rsidRPr="00EA6529">
              <w:rPr>
                <w:szCs w:val="20"/>
              </w:rPr>
              <w:t>/ден) на седмични интервали</w:t>
            </w:r>
          </w:p>
        </w:tc>
      </w:tr>
      <w:tr w:rsidR="00283473" w:rsidRPr="00EA6529" w14:paraId="16A5559C" w14:textId="77777777" w:rsidTr="00283473">
        <w:tc>
          <w:tcPr>
            <w:tcW w:w="3166" w:type="dxa"/>
          </w:tcPr>
          <w:p w14:paraId="3F44CC67" w14:textId="3F4BC7FF" w:rsidR="00283473" w:rsidRPr="00EA6529" w:rsidRDefault="00283473" w:rsidP="00283473">
            <w:pPr>
              <w:rPr>
                <w:rFonts w:cs="Arial"/>
              </w:rPr>
            </w:pPr>
            <w:r w:rsidRPr="00EA6529">
              <w:rPr>
                <w:szCs w:val="20"/>
              </w:rPr>
              <w:t>Максимална препоръчителна доза</w:t>
            </w:r>
          </w:p>
        </w:tc>
        <w:tc>
          <w:tcPr>
            <w:tcW w:w="3167" w:type="dxa"/>
          </w:tcPr>
          <w:p w14:paraId="4D627464" w14:textId="594462E4" w:rsidR="00283473" w:rsidRPr="00EA6529" w:rsidRDefault="00283473" w:rsidP="00283473">
            <w:pPr>
              <w:rPr>
                <w:rFonts w:cs="Arial"/>
              </w:rPr>
            </w:pPr>
            <w:r w:rsidRPr="00EA6529">
              <w:rPr>
                <w:szCs w:val="20"/>
              </w:rPr>
              <w:t xml:space="preserve">до 600 </w:t>
            </w:r>
            <w:proofErr w:type="spellStart"/>
            <w:r w:rsidRPr="00EA6529">
              <w:rPr>
                <w:szCs w:val="20"/>
              </w:rPr>
              <w:t>mg</w:t>
            </w:r>
            <w:proofErr w:type="spellEnd"/>
            <w:r w:rsidRPr="00EA6529">
              <w:rPr>
                <w:szCs w:val="20"/>
              </w:rPr>
              <w:t>/ден</w:t>
            </w:r>
          </w:p>
        </w:tc>
        <w:tc>
          <w:tcPr>
            <w:tcW w:w="3167" w:type="dxa"/>
          </w:tcPr>
          <w:p w14:paraId="55180C86" w14:textId="2F92BC31" w:rsidR="00283473" w:rsidRPr="00EA6529" w:rsidRDefault="00283473" w:rsidP="00283473">
            <w:pPr>
              <w:rPr>
                <w:rFonts w:cs="Arial"/>
              </w:rPr>
            </w:pPr>
            <w:r w:rsidRPr="00EA6529">
              <w:rPr>
                <w:szCs w:val="20"/>
              </w:rPr>
              <w:t xml:space="preserve">до 400 </w:t>
            </w:r>
            <w:proofErr w:type="spellStart"/>
            <w:r w:rsidRPr="00EA6529">
              <w:rPr>
                <w:szCs w:val="20"/>
              </w:rPr>
              <w:t>mg</w:t>
            </w:r>
            <w:proofErr w:type="spellEnd"/>
            <w:r w:rsidRPr="00EA6529">
              <w:rPr>
                <w:szCs w:val="20"/>
              </w:rPr>
              <w:t>/ден</w:t>
            </w:r>
          </w:p>
        </w:tc>
      </w:tr>
    </w:tbl>
    <w:p w14:paraId="2C71FBCC" w14:textId="2E645CD5" w:rsidR="00283473" w:rsidRPr="00EA6529" w:rsidRDefault="00283473" w:rsidP="00283473">
      <w:pPr>
        <w:rPr>
          <w:rFonts w:cs="Arial"/>
          <w:sz w:val="24"/>
        </w:rPr>
      </w:pPr>
    </w:p>
    <w:p w14:paraId="7DA18EC8" w14:textId="77777777"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i/>
          <w:iCs/>
          <w:color w:val="000000"/>
          <w:szCs w:val="20"/>
          <w:lang w:eastAsia="bg-BG"/>
        </w:rPr>
        <w:t>Монотерапия</w:t>
      </w:r>
      <w:proofErr w:type="spellEnd"/>
      <w:r w:rsidRPr="00EA6529">
        <w:rPr>
          <w:rFonts w:eastAsia="Times New Roman" w:cs="Arial"/>
          <w:i/>
          <w:iCs/>
          <w:color w:val="000000"/>
          <w:szCs w:val="20"/>
          <w:lang w:eastAsia="bg-BG"/>
        </w:rPr>
        <w:t xml:space="preserve"> (при лечението на парциални пристъпи)</w:t>
      </w:r>
    </w:p>
    <w:p w14:paraId="4292BB2C"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Препоръчителната начална доза е 50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два пъти дневно, която след една седмица трябва да се увеличи до първоначална терапевтична доза 100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два пъти дневно.</w:t>
      </w:r>
    </w:p>
    <w:p w14:paraId="37849172" w14:textId="16547ED7"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lastRenderedPageBreak/>
        <w:t>Лакозамид</w:t>
      </w:r>
      <w:proofErr w:type="spellEnd"/>
      <w:r w:rsidRPr="00EA6529">
        <w:rPr>
          <w:rFonts w:eastAsia="Times New Roman" w:cs="Arial"/>
          <w:color w:val="000000"/>
          <w:szCs w:val="20"/>
          <w:lang w:eastAsia="bg-BG"/>
        </w:rPr>
        <w:t xml:space="preserve"> може да се започне също с доза 100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два пъти дневно по преценка на лекаря за необходимостта от намаляване на пристъпите спрямо потенциалните нежелани реакции.</w:t>
      </w:r>
    </w:p>
    <w:p w14:paraId="727CEDDD" w14:textId="77777777" w:rsidR="00283473" w:rsidRPr="00EA6529" w:rsidRDefault="00283473" w:rsidP="00283473">
      <w:pPr>
        <w:spacing w:line="240" w:lineRule="auto"/>
        <w:rPr>
          <w:rFonts w:eastAsia="Times New Roman" w:cs="Arial"/>
          <w:color w:val="000000"/>
          <w:szCs w:val="20"/>
          <w:lang w:eastAsia="bg-BG"/>
        </w:rPr>
      </w:pPr>
    </w:p>
    <w:p w14:paraId="73CC8373" w14:textId="12236240"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зависимост от отговора и поносимостта, поддържащата доза може да бъде допълнително увеличавана на седмични интервали с 50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два пъти на ден (100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до максимално препоръчителна дневна доза 300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два пъти на ден (600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/ден).</w:t>
      </w:r>
    </w:p>
    <w:p w14:paraId="4515EB93" w14:textId="77777777" w:rsidR="00283473" w:rsidRPr="00EA6529" w:rsidRDefault="00283473" w:rsidP="00283473">
      <w:pPr>
        <w:spacing w:line="240" w:lineRule="auto"/>
        <w:rPr>
          <w:rFonts w:eastAsia="Times New Roman" w:cs="Arial"/>
          <w:color w:val="000000"/>
          <w:szCs w:val="20"/>
          <w:lang w:eastAsia="bg-BG"/>
        </w:rPr>
      </w:pPr>
    </w:p>
    <w:p w14:paraId="07DBC619" w14:textId="3DBE35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При пациенти, достигнали доза по-голяма от 400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/ден и които се нуждаят от допълнителен антиепилептичен лекарствен продукт, трябва да се спазва дозировката по-долу, която се препоръчва за допълваща терапия.</w:t>
      </w:r>
    </w:p>
    <w:p w14:paraId="65388391" w14:textId="77777777" w:rsidR="00283473" w:rsidRPr="00EA6529" w:rsidRDefault="00283473" w:rsidP="00283473">
      <w:pPr>
        <w:spacing w:line="240" w:lineRule="auto"/>
        <w:rPr>
          <w:rFonts w:eastAsia="Times New Roman" w:cs="Arial"/>
          <w:i/>
          <w:iCs/>
          <w:color w:val="000000"/>
          <w:szCs w:val="20"/>
          <w:lang w:eastAsia="bg-BG"/>
        </w:rPr>
      </w:pPr>
    </w:p>
    <w:p w14:paraId="154B4F2D" w14:textId="74FB3BF8"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lang w:eastAsia="bg-BG"/>
        </w:rPr>
        <w:t>Допълваща терапия (при лечението на парциални пристъпи или лечението на първично генерализирани тонично-</w:t>
      </w:r>
      <w:proofErr w:type="spellStart"/>
      <w:r w:rsidRPr="00EA6529">
        <w:rPr>
          <w:rFonts w:eastAsia="Times New Roman" w:cs="Arial"/>
          <w:i/>
          <w:iCs/>
          <w:color w:val="000000"/>
          <w:szCs w:val="20"/>
          <w:lang w:eastAsia="bg-BG"/>
        </w:rPr>
        <w:t>клонични</w:t>
      </w:r>
      <w:proofErr w:type="spellEnd"/>
      <w:r w:rsidRPr="00EA6529">
        <w:rPr>
          <w:rFonts w:eastAsia="Times New Roman" w:cs="Arial"/>
          <w:i/>
          <w:iCs/>
          <w:color w:val="000000"/>
          <w:szCs w:val="20"/>
          <w:lang w:eastAsia="bg-BG"/>
        </w:rPr>
        <w:t xml:space="preserve"> пристъпи)</w:t>
      </w:r>
    </w:p>
    <w:p w14:paraId="5B4A1CB0" w14:textId="6438F0F7" w:rsidR="00283473" w:rsidRPr="00EA6529" w:rsidRDefault="00283473" w:rsidP="00283473">
      <w:pPr>
        <w:rPr>
          <w:rFonts w:eastAsia="Times New Roman" w:cs="Arial"/>
          <w:color w:val="000000"/>
          <w:szCs w:val="20"/>
          <w:lang w:eastAsia="bg-BG"/>
        </w:rPr>
      </w:pPr>
      <w:r w:rsidRPr="00EA6529">
        <w:rPr>
          <w:rFonts w:eastAsia="Times New Roman" w:cs="Arial"/>
          <w:color w:val="000000"/>
          <w:szCs w:val="20"/>
          <w:lang w:eastAsia="bg-BG"/>
        </w:rPr>
        <w:t xml:space="preserve">Препоръчителната начална доза е 50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два пъти дневно, която след една седмица трябва да  бъде повишена до начална терапевтична доза 100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два пъти дневно.</w:t>
      </w:r>
    </w:p>
    <w:p w14:paraId="778112A9" w14:textId="2DB5E2EB" w:rsidR="00283473" w:rsidRPr="00EA6529" w:rsidRDefault="00283473" w:rsidP="00283473">
      <w:pPr>
        <w:rPr>
          <w:rFonts w:eastAsia="Times New Roman" w:cs="Arial"/>
          <w:color w:val="000000"/>
          <w:szCs w:val="20"/>
          <w:lang w:eastAsia="bg-BG"/>
        </w:rPr>
      </w:pPr>
    </w:p>
    <w:p w14:paraId="53614997"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зависимост от индивидуалния отговор на пациента, </w:t>
      </w:r>
      <w:proofErr w:type="spellStart"/>
      <w:r w:rsidRPr="00EA6529">
        <w:rPr>
          <w:rFonts w:eastAsia="Times New Roman" w:cs="Arial"/>
          <w:color w:val="000000"/>
          <w:szCs w:val="20"/>
          <w:lang w:eastAsia="bg-BG"/>
        </w:rPr>
        <w:t>подържащата</w:t>
      </w:r>
      <w:proofErr w:type="spellEnd"/>
      <w:r w:rsidRPr="00EA6529">
        <w:rPr>
          <w:rFonts w:eastAsia="Times New Roman" w:cs="Arial"/>
          <w:color w:val="000000"/>
          <w:szCs w:val="20"/>
          <w:lang w:eastAsia="bg-BG"/>
        </w:rPr>
        <w:t xml:space="preserve"> доза може да бъде допълнително повишавана на седмични периоди с 50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два пъти дневно (100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до максимална препоръчителна дневна доза 400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два пъти дневно).</w:t>
      </w:r>
    </w:p>
    <w:p w14:paraId="2CD16C5E" w14:textId="77777777" w:rsidR="00283473" w:rsidRPr="00EA6529" w:rsidRDefault="00283473" w:rsidP="00283473">
      <w:pPr>
        <w:spacing w:line="240" w:lineRule="auto"/>
        <w:rPr>
          <w:rFonts w:eastAsia="Times New Roman" w:cs="Arial"/>
          <w:i/>
          <w:iCs/>
          <w:color w:val="000000"/>
          <w:szCs w:val="20"/>
          <w:lang w:eastAsia="bg-BG"/>
        </w:rPr>
      </w:pPr>
    </w:p>
    <w:p w14:paraId="565118DF" w14:textId="742AE649"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lang w:eastAsia="bg-BG"/>
        </w:rPr>
        <w:t xml:space="preserve">Започване на лечение с </w:t>
      </w:r>
      <w:proofErr w:type="spellStart"/>
      <w:r w:rsidRPr="00EA6529">
        <w:rPr>
          <w:rFonts w:eastAsia="Times New Roman" w:cs="Arial"/>
          <w:i/>
          <w:iCs/>
          <w:color w:val="000000"/>
          <w:szCs w:val="20"/>
          <w:lang w:eastAsia="bg-BG"/>
        </w:rPr>
        <w:t>лакозамид</w:t>
      </w:r>
      <w:proofErr w:type="spellEnd"/>
      <w:r w:rsidRPr="00EA6529">
        <w:rPr>
          <w:rFonts w:eastAsia="Times New Roman" w:cs="Arial"/>
          <w:i/>
          <w:iCs/>
          <w:color w:val="000000"/>
          <w:szCs w:val="20"/>
          <w:lang w:eastAsia="bg-BG"/>
        </w:rPr>
        <w:t xml:space="preserve"> с натоварваща доза (начална </w:t>
      </w:r>
      <w:proofErr w:type="spellStart"/>
      <w:r w:rsidRPr="00EA6529">
        <w:rPr>
          <w:rFonts w:eastAsia="Times New Roman" w:cs="Arial"/>
          <w:i/>
          <w:iCs/>
          <w:color w:val="000000"/>
          <w:szCs w:val="20"/>
          <w:lang w:eastAsia="bg-BG"/>
        </w:rPr>
        <w:t>монотерапия</w:t>
      </w:r>
      <w:proofErr w:type="spellEnd"/>
      <w:r w:rsidRPr="00EA6529">
        <w:rPr>
          <w:rFonts w:eastAsia="Times New Roman" w:cs="Arial"/>
          <w:i/>
          <w:iCs/>
          <w:color w:val="000000"/>
          <w:szCs w:val="20"/>
          <w:lang w:eastAsia="bg-BG"/>
        </w:rPr>
        <w:t xml:space="preserve"> или преминаване към </w:t>
      </w:r>
      <w:proofErr w:type="spellStart"/>
      <w:r w:rsidRPr="00EA6529">
        <w:rPr>
          <w:rFonts w:eastAsia="Times New Roman" w:cs="Arial"/>
          <w:i/>
          <w:iCs/>
          <w:color w:val="000000"/>
          <w:szCs w:val="20"/>
          <w:lang w:eastAsia="bg-BG"/>
        </w:rPr>
        <w:t>монотерапия</w:t>
      </w:r>
      <w:proofErr w:type="spellEnd"/>
      <w:r w:rsidRPr="00EA6529">
        <w:rPr>
          <w:rFonts w:eastAsia="Times New Roman" w:cs="Arial"/>
          <w:i/>
          <w:iCs/>
          <w:color w:val="000000"/>
          <w:szCs w:val="20"/>
          <w:lang w:eastAsia="bg-BG"/>
        </w:rPr>
        <w:t xml:space="preserve"> в лечението на парциални пристъпи или допълваща терапия в лечението на парциални пристъпи, или допълваща терапия в лечението на първично генерализирани тонично- </w:t>
      </w:r>
      <w:proofErr w:type="spellStart"/>
      <w:r w:rsidRPr="00EA6529">
        <w:rPr>
          <w:rFonts w:eastAsia="Times New Roman" w:cs="Arial"/>
          <w:i/>
          <w:iCs/>
          <w:color w:val="000000"/>
          <w:szCs w:val="20"/>
          <w:lang w:eastAsia="bg-BG"/>
        </w:rPr>
        <w:t>клонични</w:t>
      </w:r>
      <w:proofErr w:type="spellEnd"/>
      <w:r w:rsidRPr="00EA6529">
        <w:rPr>
          <w:rFonts w:eastAsia="Times New Roman" w:cs="Arial"/>
          <w:i/>
          <w:iCs/>
          <w:color w:val="000000"/>
          <w:szCs w:val="20"/>
          <w:lang w:eastAsia="bg-BG"/>
        </w:rPr>
        <w:t xml:space="preserve"> пристъпи)</w:t>
      </w:r>
    </w:p>
    <w:p w14:paraId="0033F5E3"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Лечение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може да се започне също с единична натоварваща доза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последвана приблизително 12 часа по-късно от 100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два пъти на ден (200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като поддържаща схема на лечение. Последващи корекции на дозата трябва да се правят съгласно индивидуалния отговор и индивидуалната поносимост, както е описано по-горе. С натоварваща доза може да се започне при пациенти в ситуации, когато лекарят прецени, че бързото достигане на стационарна плазмена концентрация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терапевтичен ефект е основателно. Тя трябва да се прилага под лекарско наблюдение, като се вземе под внимание възможността за повишена честота на сериозна сърдечна аритмия и нежеланите реакции от страна на централната нервна система (вж. точка 4.8). Прилагането на натоварваща доза не е проучено при остри състояния като статус </w:t>
      </w:r>
      <w:proofErr w:type="spellStart"/>
      <w:r w:rsidRPr="00EA6529">
        <w:rPr>
          <w:rFonts w:eastAsia="Times New Roman" w:cs="Arial"/>
          <w:color w:val="000000"/>
          <w:szCs w:val="20"/>
          <w:lang w:eastAsia="bg-BG"/>
        </w:rPr>
        <w:t>епилептикус</w:t>
      </w:r>
      <w:proofErr w:type="spellEnd"/>
      <w:r w:rsidRPr="00EA6529">
        <w:rPr>
          <w:rFonts w:eastAsia="Times New Roman" w:cs="Arial"/>
          <w:color w:val="000000"/>
          <w:szCs w:val="20"/>
          <w:lang w:eastAsia="bg-BG"/>
        </w:rPr>
        <w:t>.</w:t>
      </w:r>
    </w:p>
    <w:p w14:paraId="508909A8" w14:textId="77777777" w:rsidR="00283473" w:rsidRPr="00EA6529" w:rsidRDefault="00283473" w:rsidP="00283473">
      <w:pPr>
        <w:spacing w:line="240" w:lineRule="auto"/>
        <w:rPr>
          <w:rFonts w:eastAsia="Times New Roman" w:cs="Arial"/>
          <w:i/>
          <w:iCs/>
          <w:color w:val="000000"/>
          <w:szCs w:val="20"/>
          <w:lang w:eastAsia="bg-BG"/>
        </w:rPr>
      </w:pPr>
    </w:p>
    <w:p w14:paraId="646CB4E4" w14:textId="793710B6"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lang w:eastAsia="bg-BG"/>
        </w:rPr>
        <w:t>Спиране на лечението</w:t>
      </w:r>
    </w:p>
    <w:p w14:paraId="39648E35"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Според съвременната клинична практика, при необходимост от спиране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това се препоръчва да става постепенно (напр. понижаване на дневната доза с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седмично).</w:t>
      </w:r>
    </w:p>
    <w:p w14:paraId="61B06763"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При пациенти, които развият сериозна сърдечна аритмия, трябва да се направи оценка на клиничната полза/риск и при необходимост трябва да се прекрати приема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w:t>
      </w:r>
    </w:p>
    <w:p w14:paraId="3BA9757A" w14:textId="77777777" w:rsidR="00283473" w:rsidRPr="00EA6529" w:rsidRDefault="00283473" w:rsidP="00283473">
      <w:pPr>
        <w:spacing w:line="240" w:lineRule="auto"/>
        <w:rPr>
          <w:rFonts w:eastAsia="Times New Roman" w:cs="Arial"/>
          <w:color w:val="000000"/>
          <w:szCs w:val="20"/>
          <w:u w:val="single"/>
          <w:lang w:eastAsia="bg-BG"/>
        </w:rPr>
      </w:pPr>
    </w:p>
    <w:p w14:paraId="477B1C87" w14:textId="34444F78" w:rsidR="00283473" w:rsidRPr="00EA6529" w:rsidRDefault="00283473" w:rsidP="00EA6529">
      <w:pPr>
        <w:pStyle w:val="Heading3"/>
        <w:rPr>
          <w:rFonts w:eastAsia="Times New Roman"/>
          <w:sz w:val="28"/>
          <w:lang w:eastAsia="bg-BG"/>
        </w:rPr>
      </w:pPr>
      <w:r w:rsidRPr="00EA6529">
        <w:rPr>
          <w:rFonts w:eastAsia="Times New Roman"/>
          <w:lang w:eastAsia="bg-BG"/>
        </w:rPr>
        <w:t>Специални популации</w:t>
      </w:r>
    </w:p>
    <w:p w14:paraId="51E4F8B0" w14:textId="77777777" w:rsidR="00283473" w:rsidRPr="00EA6529" w:rsidRDefault="00283473" w:rsidP="00283473">
      <w:pPr>
        <w:spacing w:line="240" w:lineRule="auto"/>
        <w:rPr>
          <w:rFonts w:eastAsia="Times New Roman" w:cs="Arial"/>
          <w:i/>
          <w:iCs/>
          <w:color w:val="000000"/>
          <w:szCs w:val="20"/>
          <w:lang w:eastAsia="bg-BG"/>
        </w:rPr>
      </w:pPr>
    </w:p>
    <w:p w14:paraId="59023F88" w14:textId="6F0C9CB7"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lang w:eastAsia="bg-BG"/>
        </w:rPr>
        <w:t>Старческа възраст (възраст над 65 години)</w:t>
      </w:r>
    </w:p>
    <w:p w14:paraId="35CF1F39" w14:textId="76E2A86F" w:rsidR="00283473" w:rsidRPr="00EA6529" w:rsidRDefault="00283473" w:rsidP="00283473">
      <w:pPr>
        <w:rPr>
          <w:rFonts w:eastAsia="Times New Roman" w:cs="Arial"/>
          <w:color w:val="000000"/>
          <w:szCs w:val="20"/>
          <w:lang w:eastAsia="bg-BG"/>
        </w:rPr>
      </w:pPr>
      <w:r w:rsidRPr="00EA6529">
        <w:rPr>
          <w:rFonts w:eastAsia="Times New Roman" w:cs="Arial"/>
          <w:color w:val="000000"/>
          <w:szCs w:val="20"/>
          <w:lang w:eastAsia="bg-BG"/>
        </w:rPr>
        <w:t xml:space="preserve">Не е необходимо понижаване на дозата при пациенти в старческа възраст. Свързаното с възрастта понижение на бъбречния клирънс с повишение на нивата на </w:t>
      </w:r>
      <w:r w:rsidRPr="00EA6529">
        <w:rPr>
          <w:rFonts w:eastAsia="Times New Roman" w:cs="Arial"/>
          <w:color w:val="000000"/>
          <w:szCs w:val="20"/>
        </w:rPr>
        <w:t xml:space="preserve">AUC </w:t>
      </w:r>
      <w:r w:rsidRPr="00EA6529">
        <w:rPr>
          <w:rFonts w:eastAsia="Times New Roman" w:cs="Arial"/>
          <w:color w:val="000000"/>
          <w:szCs w:val="20"/>
          <w:lang w:eastAsia="bg-BG"/>
        </w:rPr>
        <w:t xml:space="preserve">трябва да се </w:t>
      </w:r>
      <w:r w:rsidRPr="00EA6529">
        <w:rPr>
          <w:rFonts w:eastAsia="Times New Roman" w:cs="Arial"/>
          <w:color w:val="000000"/>
          <w:szCs w:val="20"/>
          <w:lang w:eastAsia="bg-BG"/>
        </w:rPr>
        <w:lastRenderedPageBreak/>
        <w:t xml:space="preserve">има предвид при пациенти в старческа възраст (вж. следващия параграф „бъбречно увреждане’’ и точка 5.2). Съществуват ограничени клинични данни за пациенти в старческа възраст с епилепсия, специално на дози по-големи от 400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/ден (вж. точки 4.4, 4.8 и 5.1).</w:t>
      </w:r>
    </w:p>
    <w:p w14:paraId="7064A401" w14:textId="5FF4B9F7" w:rsidR="00283473" w:rsidRPr="00EA6529" w:rsidRDefault="00283473" w:rsidP="00283473">
      <w:pPr>
        <w:rPr>
          <w:rFonts w:eastAsia="Times New Roman" w:cs="Arial"/>
          <w:color w:val="000000"/>
          <w:szCs w:val="20"/>
          <w:lang w:eastAsia="bg-BG"/>
        </w:rPr>
      </w:pPr>
    </w:p>
    <w:p w14:paraId="66245EE1"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lang w:eastAsia="bg-BG"/>
        </w:rPr>
        <w:t>Бъбречно увреждане</w:t>
      </w:r>
    </w:p>
    <w:p w14:paraId="1C58D5DA"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Не е необходимо адаптиране на дозата при възрастни и педиатрични пациенти с леко до умерено бъбречно увреждане </w:t>
      </w:r>
      <w:r w:rsidRPr="00EA6529">
        <w:rPr>
          <w:rFonts w:eastAsia="Times New Roman" w:cs="Arial"/>
          <w:smallCaps/>
          <w:color w:val="000000"/>
          <w:szCs w:val="20"/>
        </w:rPr>
        <w:t>(</w:t>
      </w:r>
      <w:proofErr w:type="spellStart"/>
      <w:r w:rsidRPr="00EA6529">
        <w:rPr>
          <w:rFonts w:eastAsia="Times New Roman" w:cs="Arial"/>
          <w:smallCaps/>
          <w:color w:val="000000"/>
          <w:szCs w:val="20"/>
        </w:rPr>
        <w:t>CLcr</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&gt;30 </w:t>
      </w:r>
      <w:r w:rsidRPr="00EA6529">
        <w:rPr>
          <w:rFonts w:eastAsia="Times New Roman" w:cs="Arial"/>
          <w:color w:val="000000"/>
          <w:szCs w:val="20"/>
        </w:rPr>
        <w:t>ml/</w:t>
      </w:r>
      <w:proofErr w:type="spellStart"/>
      <w:r w:rsidRPr="00EA6529">
        <w:rPr>
          <w:rFonts w:eastAsia="Times New Roman" w:cs="Arial"/>
          <w:color w:val="000000"/>
          <w:szCs w:val="20"/>
        </w:rPr>
        <w:t>min</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При педиатрични пациенти с тегло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или повече и при възрастни пациенти с леко до умерено бъбречно увреждане, може да се обмисли прилагане на натоварваща доза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дневно, но бъдещо титриране на дозата (&gt;200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дневно) трябва да се извършва с повишено внимание.</w:t>
      </w:r>
    </w:p>
    <w:p w14:paraId="26BF0369" w14:textId="77777777" w:rsidR="00283473" w:rsidRPr="00EA6529" w:rsidRDefault="00283473" w:rsidP="00283473">
      <w:pPr>
        <w:rPr>
          <w:rFonts w:eastAsia="Times New Roman" w:cs="Arial"/>
          <w:color w:val="000000"/>
          <w:szCs w:val="20"/>
          <w:lang w:eastAsia="bg-BG"/>
        </w:rPr>
      </w:pPr>
    </w:p>
    <w:p w14:paraId="4A8F1F75" w14:textId="79900FE7" w:rsidR="00283473" w:rsidRPr="00EA6529" w:rsidRDefault="00283473" w:rsidP="00283473">
      <w:pPr>
        <w:rPr>
          <w:rFonts w:eastAsia="Times New Roman" w:cs="Arial"/>
          <w:color w:val="000000"/>
          <w:sz w:val="28"/>
          <w:szCs w:val="20"/>
          <w:lang w:eastAsia="bg-BG"/>
        </w:rPr>
      </w:pPr>
      <w:r w:rsidRPr="00EA6529">
        <w:rPr>
          <w:rFonts w:eastAsia="Times New Roman" w:cs="Arial"/>
          <w:color w:val="000000"/>
          <w:szCs w:val="20"/>
          <w:lang w:eastAsia="bg-BG"/>
        </w:rPr>
        <w:t xml:space="preserve">При педиатрични пациенти с тегло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или повече и при възрастни пациенти с тежко бъбречно увреждане </w:t>
      </w:r>
      <w:r w:rsidRPr="00EA6529">
        <w:rPr>
          <w:rFonts w:eastAsia="Times New Roman" w:cs="Arial"/>
          <w:smallCaps/>
          <w:color w:val="000000"/>
          <w:szCs w:val="20"/>
        </w:rPr>
        <w:t>(</w:t>
      </w:r>
      <w:proofErr w:type="spellStart"/>
      <w:r w:rsidRPr="00EA6529">
        <w:rPr>
          <w:rFonts w:eastAsia="Times New Roman" w:cs="Arial"/>
          <w:smallCaps/>
          <w:color w:val="000000"/>
          <w:szCs w:val="20"/>
        </w:rPr>
        <w:t>CLcr</w:t>
      </w:r>
      <w:proofErr w:type="spellEnd"/>
      <w:r w:rsidRPr="00EA6529">
        <w:rPr>
          <w:rFonts w:eastAsia="Times New Roman" w:cs="Arial"/>
          <w:smallCaps/>
          <w:color w:val="000000"/>
          <w:szCs w:val="20"/>
        </w:rPr>
        <w:t xml:space="preserve"> </w:t>
      </w:r>
      <w:r w:rsidRPr="00EA6529">
        <w:rPr>
          <w:rFonts w:eastAsia="Times New Roman" w:cs="Arial"/>
          <w:color w:val="000000"/>
          <w:szCs w:val="20"/>
          <w:lang w:eastAsia="bg-BG"/>
        </w:rPr>
        <w:t xml:space="preserve">≤30 </w:t>
      </w:r>
      <w:r w:rsidRPr="00EA6529">
        <w:rPr>
          <w:rFonts w:eastAsia="Times New Roman" w:cs="Arial"/>
          <w:color w:val="000000"/>
          <w:szCs w:val="20"/>
        </w:rPr>
        <w:t>ml/</w:t>
      </w:r>
      <w:proofErr w:type="spellStart"/>
      <w:r w:rsidRPr="00EA6529">
        <w:rPr>
          <w:rFonts w:eastAsia="Times New Roman" w:cs="Arial"/>
          <w:color w:val="000000"/>
          <w:szCs w:val="20"/>
        </w:rPr>
        <w:t>min</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или при пациенти с терминална бъбречна недостатъчност е препоръчителна максимална доза 250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дневно. Титриране на дозата трябва да се извършва с повишено внимание при тези пациенти. Ако е необходима натоварваща доза, през първата седмица трябва да се използва начална доза 100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последвана от доза 50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два пъти дневно. При педиатрични пациенти с тегло по-малко от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с тежко бъбречно увреждане </w:t>
      </w:r>
      <w:r w:rsidRPr="00EA6529">
        <w:rPr>
          <w:rFonts w:eastAsia="Times New Roman" w:cs="Arial"/>
          <w:smallCaps/>
          <w:color w:val="000000"/>
          <w:szCs w:val="20"/>
        </w:rPr>
        <w:t>(</w:t>
      </w:r>
      <w:proofErr w:type="spellStart"/>
      <w:r w:rsidRPr="00EA6529">
        <w:rPr>
          <w:rFonts w:eastAsia="Times New Roman" w:cs="Arial"/>
          <w:smallCaps/>
          <w:color w:val="000000"/>
          <w:szCs w:val="20"/>
        </w:rPr>
        <w:t>CLcr</w:t>
      </w:r>
      <w:proofErr w:type="spellEnd"/>
      <w:r w:rsidRPr="00EA6529">
        <w:rPr>
          <w:rFonts w:eastAsia="Times New Roman" w:cs="Arial"/>
          <w:smallCaps/>
          <w:color w:val="000000"/>
          <w:szCs w:val="20"/>
        </w:rPr>
        <w:t xml:space="preserve"> </w:t>
      </w:r>
      <w:r w:rsidRPr="00EA6529">
        <w:rPr>
          <w:rFonts w:eastAsia="Times New Roman" w:cs="Arial"/>
          <w:color w:val="000000"/>
          <w:szCs w:val="20"/>
          <w:lang w:eastAsia="bg-BG"/>
        </w:rPr>
        <w:t xml:space="preserve">≤30 </w:t>
      </w:r>
      <w:r w:rsidRPr="00EA6529">
        <w:rPr>
          <w:rFonts w:eastAsia="Times New Roman" w:cs="Arial"/>
          <w:color w:val="000000"/>
          <w:szCs w:val="20"/>
        </w:rPr>
        <w:t>ml/</w:t>
      </w:r>
      <w:proofErr w:type="spellStart"/>
      <w:r w:rsidRPr="00EA6529">
        <w:rPr>
          <w:rFonts w:eastAsia="Times New Roman" w:cs="Arial"/>
          <w:color w:val="000000"/>
          <w:szCs w:val="20"/>
        </w:rPr>
        <w:t>min</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и при тези с терминална бъбречна недостатъчност се препоръчва намаляване на максималната доза с 25%. При пациенти, които се нуждаят от хемодиализа, се препоръчва добавяне на до 50% от определената дневна доза, непосредствено след приключване на хемодиализата. Лечение на пациенти с терминална бъбречна недостатъчност трябва да се извършва с повишено внимание поради малкия клиничен опит и кумулиране на метаболита (с неизвестна фармакологична активност).</w:t>
      </w:r>
    </w:p>
    <w:p w14:paraId="0864F121" w14:textId="4DC9BED3" w:rsidR="00283473" w:rsidRPr="00EA6529" w:rsidRDefault="00283473" w:rsidP="00283473">
      <w:pPr>
        <w:rPr>
          <w:rFonts w:cs="Arial"/>
          <w:sz w:val="24"/>
        </w:rPr>
      </w:pPr>
    </w:p>
    <w:p w14:paraId="0378EE32"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lang w:eastAsia="bg-BG"/>
        </w:rPr>
        <w:t>Чернодробно увреждане</w:t>
      </w:r>
    </w:p>
    <w:p w14:paraId="5156956E"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Препоръчва се максимална доза 300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дневно при педиатрични пациенти с тегло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или повече и при възрастни пациенти с леко до умерено чернодробно увреждане.</w:t>
      </w:r>
    </w:p>
    <w:p w14:paraId="50F1DA5F" w14:textId="77777777" w:rsidR="00283473" w:rsidRPr="00EA6529" w:rsidRDefault="00283473" w:rsidP="00283473">
      <w:pPr>
        <w:spacing w:line="240" w:lineRule="auto"/>
        <w:rPr>
          <w:rFonts w:eastAsia="Times New Roman" w:cs="Arial"/>
          <w:color w:val="000000"/>
          <w:szCs w:val="20"/>
          <w:lang w:eastAsia="bg-BG"/>
        </w:rPr>
      </w:pPr>
    </w:p>
    <w:p w14:paraId="01AF8FAE" w14:textId="09099DA8"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Титрирането на дозата при тези пациенти трябва да се извършва с повишено внимание, като се има предвид и възможността от съпътстващо бъбречно увреждане. При юноши и възрастни с тегло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или повече може да се обмисли прилагане на натоварваща доза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но бъдещо титриране на дозата (&gt;200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дневно) трябва да се извършва с повишено внимание. Въз основа на данни за възрастни, при педиатрични пациенти с тегло по-малко от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с леко до умерено тежко чернодробно увреждане трябва да се приложи намаляване на максималната доза с 25%. Фармакокинетиката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не е проучвана при пациенти с тежко чернодробно увреждане (вж. точка 5.2).</w:t>
      </w:r>
    </w:p>
    <w:p w14:paraId="3B985008" w14:textId="77777777" w:rsidR="00283473" w:rsidRPr="00EA6529" w:rsidRDefault="00283473" w:rsidP="00283473">
      <w:pPr>
        <w:spacing w:line="240" w:lineRule="auto"/>
        <w:rPr>
          <w:rFonts w:eastAsia="Times New Roman" w:cs="Arial"/>
          <w:color w:val="000000"/>
          <w:szCs w:val="20"/>
          <w:lang w:eastAsia="bg-BG"/>
        </w:rPr>
      </w:pPr>
    </w:p>
    <w:p w14:paraId="4727BD35" w14:textId="69534C05"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трябва да се прилага при възрастни и педиатрични пациенти с тежко чернодробно увреждане, само когато се прецени, че очакваните терапевтични ползи надвишават възможните рискове. Може да се наложи коригиране на дозата, като внимателно се </w:t>
      </w:r>
      <w:r w:rsidRPr="00EA6529">
        <w:rPr>
          <w:rFonts w:eastAsia="Times New Roman" w:cs="Arial"/>
          <w:i/>
          <w:iCs/>
          <w:color w:val="000000"/>
          <w:szCs w:val="20"/>
          <w:lang w:eastAsia="bg-BG"/>
        </w:rPr>
        <w:t>наблюдава</w:t>
      </w:r>
      <w:r w:rsidRPr="00EA6529">
        <w:rPr>
          <w:rFonts w:eastAsia="Times New Roman" w:cs="Arial"/>
          <w:color w:val="000000"/>
          <w:szCs w:val="20"/>
          <w:lang w:eastAsia="bg-BG"/>
        </w:rPr>
        <w:t xml:space="preserve"> активността на заболяването и възможните нежелани реакции на пациента.</w:t>
      </w:r>
    </w:p>
    <w:p w14:paraId="711D4F4A" w14:textId="77777777" w:rsidR="00283473" w:rsidRPr="00EA6529" w:rsidRDefault="00283473" w:rsidP="00283473">
      <w:pPr>
        <w:spacing w:line="240" w:lineRule="auto"/>
        <w:rPr>
          <w:rFonts w:eastAsia="Times New Roman" w:cs="Arial"/>
          <w:color w:val="000000"/>
          <w:szCs w:val="20"/>
          <w:u w:val="single"/>
          <w:lang w:eastAsia="bg-BG"/>
        </w:rPr>
      </w:pPr>
    </w:p>
    <w:p w14:paraId="5A928088" w14:textId="5D43122E"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u w:val="single"/>
          <w:lang w:eastAsia="bg-BG"/>
        </w:rPr>
        <w:t>Педиатрична популация</w:t>
      </w:r>
    </w:p>
    <w:p w14:paraId="4159CFED"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Лекарят трябва да предпише най-подходящата форма и дозировка според теглото и дозата.</w:t>
      </w:r>
    </w:p>
    <w:p w14:paraId="6B56D6BD" w14:textId="77777777" w:rsidR="00283473" w:rsidRPr="00EA6529" w:rsidRDefault="00283473" w:rsidP="00283473">
      <w:pPr>
        <w:spacing w:line="240" w:lineRule="auto"/>
        <w:rPr>
          <w:rFonts w:eastAsia="Times New Roman" w:cs="Arial"/>
          <w:i/>
          <w:iCs/>
          <w:color w:val="000000"/>
          <w:szCs w:val="20"/>
          <w:u w:val="single"/>
          <w:lang w:eastAsia="bg-BG"/>
        </w:rPr>
      </w:pPr>
    </w:p>
    <w:p w14:paraId="2D8A8DDE" w14:textId="0C77CF42"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u w:val="single"/>
          <w:lang w:eastAsia="bg-BG"/>
        </w:rPr>
        <w:lastRenderedPageBreak/>
        <w:t xml:space="preserve">Юноши и деца с тегло </w:t>
      </w:r>
      <w:r w:rsidRPr="00EA6529">
        <w:rPr>
          <w:rFonts w:eastAsia="Times New Roman" w:cs="Arial"/>
          <w:i/>
          <w:iCs/>
          <w:color w:val="000000"/>
          <w:szCs w:val="20"/>
          <w:u w:val="single"/>
        </w:rPr>
        <w:t xml:space="preserve">50 </w:t>
      </w:r>
      <w:proofErr w:type="spellStart"/>
      <w:r w:rsidRPr="00EA6529">
        <w:rPr>
          <w:rFonts w:eastAsia="Times New Roman" w:cs="Arial"/>
          <w:i/>
          <w:iCs/>
          <w:color w:val="000000"/>
          <w:szCs w:val="20"/>
          <w:u w:val="single"/>
        </w:rPr>
        <w:t>kg</w:t>
      </w:r>
      <w:proofErr w:type="spellEnd"/>
      <w:r w:rsidRPr="00EA6529">
        <w:rPr>
          <w:rFonts w:eastAsia="Times New Roman" w:cs="Arial"/>
          <w:i/>
          <w:iCs/>
          <w:color w:val="000000"/>
          <w:szCs w:val="20"/>
          <w:u w:val="single"/>
        </w:rPr>
        <w:t xml:space="preserve"> </w:t>
      </w:r>
      <w:r w:rsidRPr="00EA6529">
        <w:rPr>
          <w:rFonts w:eastAsia="Times New Roman" w:cs="Arial"/>
          <w:i/>
          <w:iCs/>
          <w:color w:val="000000"/>
          <w:szCs w:val="20"/>
          <w:u w:val="single"/>
          <w:lang w:eastAsia="bg-BG"/>
        </w:rPr>
        <w:t>или повече</w:t>
      </w:r>
    </w:p>
    <w:p w14:paraId="37713E2A"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Дозировката при юноши и деца с тегло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или повече е същата, като при възрастни (вж. по- горе).</w:t>
      </w:r>
    </w:p>
    <w:p w14:paraId="2618FC2C" w14:textId="77777777" w:rsidR="00283473" w:rsidRPr="00EA6529" w:rsidRDefault="00283473" w:rsidP="00283473">
      <w:pPr>
        <w:spacing w:line="240" w:lineRule="auto"/>
        <w:rPr>
          <w:rFonts w:eastAsia="Times New Roman" w:cs="Arial"/>
          <w:i/>
          <w:iCs/>
          <w:color w:val="000000"/>
          <w:szCs w:val="20"/>
          <w:u w:val="single"/>
          <w:lang w:eastAsia="bg-BG"/>
        </w:rPr>
      </w:pPr>
    </w:p>
    <w:p w14:paraId="0E6A93CC" w14:textId="7D79009A"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u w:val="single"/>
          <w:lang w:eastAsia="bg-BG"/>
        </w:rPr>
        <w:t>Деца (навършили 4-годишна възраст) и юноши с тегло по-малко от 50 кг</w:t>
      </w:r>
    </w:p>
    <w:p w14:paraId="33E825D9"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Дозата се определя въз основа на телесното тегло. Поради това се препоръчва започване на лечението със сироп и преминаване към таблетки по желание.</w:t>
      </w:r>
    </w:p>
    <w:p w14:paraId="72D8F16F" w14:textId="77777777" w:rsidR="00283473" w:rsidRPr="00EA6529" w:rsidRDefault="00283473" w:rsidP="00283473">
      <w:pPr>
        <w:spacing w:line="240" w:lineRule="auto"/>
        <w:rPr>
          <w:rFonts w:eastAsia="Times New Roman" w:cs="Arial"/>
          <w:sz w:val="28"/>
          <w:szCs w:val="24"/>
          <w:lang w:eastAsia="bg-BG"/>
        </w:rPr>
      </w:pPr>
    </w:p>
    <w:p w14:paraId="1502B482" w14:textId="6C00B97D" w:rsidR="00283473" w:rsidRPr="00EA6529" w:rsidRDefault="00283473" w:rsidP="00283473">
      <w:pPr>
        <w:spacing w:line="240" w:lineRule="auto"/>
        <w:rPr>
          <w:rFonts w:eastAsia="Times New Roman" w:cs="Arial"/>
          <w:sz w:val="28"/>
          <w:szCs w:val="24"/>
          <w:lang w:eastAsia="bg-BG"/>
        </w:rPr>
      </w:pPr>
      <w:proofErr w:type="spellStart"/>
      <w:r w:rsidRPr="00EA6529">
        <w:rPr>
          <w:rFonts w:eastAsia="Times New Roman" w:cs="Arial"/>
          <w:i/>
          <w:iCs/>
          <w:color w:val="000000"/>
          <w:szCs w:val="20"/>
          <w:lang w:eastAsia="bg-BG"/>
        </w:rPr>
        <w:t>Монотерапия</w:t>
      </w:r>
      <w:proofErr w:type="spellEnd"/>
      <w:r w:rsidRPr="00EA6529">
        <w:rPr>
          <w:rFonts w:eastAsia="Times New Roman" w:cs="Arial"/>
          <w:i/>
          <w:iCs/>
          <w:color w:val="000000"/>
          <w:szCs w:val="20"/>
          <w:lang w:eastAsia="bg-BG"/>
        </w:rPr>
        <w:t xml:space="preserve"> (при лечението на парциални пристъпи)</w:t>
      </w:r>
    </w:p>
    <w:p w14:paraId="23D3AC08"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Препоръчителната начална доза е 2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и може да бъде увеличена до начална терапевтична доза 4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/ден след една седмица.</w:t>
      </w:r>
    </w:p>
    <w:p w14:paraId="0A7B695B"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зависимост от отговора и поносимостта поддържащата доза може да бъде допълнително увеличавана с 2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всяка седмица. Дозата трябва да се увеличава постепенно до достигане на оптимален отговор. При деца с тегло по-малко от 40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се препоръчва максимална доза до 12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При деца с тегло от 40 до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се препоръчва максимална доза 10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/ден.</w:t>
      </w:r>
    </w:p>
    <w:p w14:paraId="7EFCADC1" w14:textId="77777777" w:rsidR="00283473" w:rsidRPr="00EA6529" w:rsidRDefault="00283473" w:rsidP="00283473">
      <w:pPr>
        <w:rPr>
          <w:rFonts w:eastAsia="Times New Roman" w:cs="Arial"/>
          <w:color w:val="000000"/>
          <w:szCs w:val="20"/>
          <w:lang w:eastAsia="bg-BG"/>
        </w:rPr>
      </w:pPr>
    </w:p>
    <w:p w14:paraId="4FAA8802" w14:textId="3EA2BC8D" w:rsidR="00283473" w:rsidRPr="00EA6529" w:rsidRDefault="00283473" w:rsidP="00283473">
      <w:pPr>
        <w:rPr>
          <w:rFonts w:eastAsia="Times New Roman" w:cs="Arial"/>
          <w:color w:val="000000"/>
          <w:szCs w:val="20"/>
        </w:rPr>
      </w:pPr>
      <w:r w:rsidRPr="00EA6529">
        <w:rPr>
          <w:rFonts w:eastAsia="Times New Roman" w:cs="Arial"/>
          <w:color w:val="000000"/>
          <w:szCs w:val="20"/>
          <w:lang w:eastAsia="bg-BG"/>
        </w:rPr>
        <w:t xml:space="preserve">Следващата таблица обобщава препоръчителната дозировка за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при деца и юноши с тегло по-малко от 50 </w:t>
      </w:r>
      <w:proofErr w:type="spellStart"/>
      <w:r w:rsidRPr="00EA6529">
        <w:rPr>
          <w:rFonts w:eastAsia="Times New Roman" w:cs="Arial"/>
          <w:color w:val="000000"/>
          <w:szCs w:val="20"/>
        </w:rPr>
        <w:t>kg</w:t>
      </w:r>
      <w:proofErr w:type="spellEnd"/>
      <w:r w:rsidRPr="00EA6529">
        <w:rPr>
          <w:rFonts w:eastAsia="Times New Roman" w:cs="Arial"/>
          <w:color w:val="000000"/>
          <w:szCs w:val="20"/>
        </w:rPr>
        <w:t>.</w:t>
      </w:r>
    </w:p>
    <w:tbl>
      <w:tblPr>
        <w:tblStyle w:val="TableGrid"/>
        <w:tblW w:w="0" w:type="auto"/>
        <w:tblLook w:val="04A0" w:firstRow="1" w:lastRow="0" w:firstColumn="1" w:lastColumn="0" w:noHBand="0" w:noVBand="1"/>
      </w:tblPr>
      <w:tblGrid>
        <w:gridCol w:w="4681"/>
        <w:gridCol w:w="4669"/>
      </w:tblGrid>
      <w:tr w:rsidR="00283473" w:rsidRPr="00EA6529" w14:paraId="3B21C213" w14:textId="77777777" w:rsidTr="00E25679">
        <w:tc>
          <w:tcPr>
            <w:tcW w:w="4681" w:type="dxa"/>
          </w:tcPr>
          <w:p w14:paraId="0E1ADFA1" w14:textId="609739FF" w:rsidR="00283473" w:rsidRPr="00EA6529" w:rsidRDefault="00283473" w:rsidP="00283473">
            <w:pPr>
              <w:rPr>
                <w:rFonts w:cs="Arial"/>
              </w:rPr>
            </w:pPr>
            <w:r w:rsidRPr="00EA6529">
              <w:rPr>
                <w:szCs w:val="20"/>
              </w:rPr>
              <w:t>Начална доза</w:t>
            </w:r>
          </w:p>
        </w:tc>
        <w:tc>
          <w:tcPr>
            <w:tcW w:w="4669" w:type="dxa"/>
          </w:tcPr>
          <w:p w14:paraId="3801E101" w14:textId="2498E120" w:rsidR="00283473" w:rsidRPr="00EA6529" w:rsidRDefault="00283473" w:rsidP="00283473">
            <w:pPr>
              <w:rPr>
                <w:rFonts w:cs="Arial"/>
              </w:rPr>
            </w:pPr>
            <w:r w:rsidRPr="00EA6529">
              <w:rPr>
                <w:szCs w:val="20"/>
              </w:rPr>
              <w:t xml:space="preserve">2 </w:t>
            </w:r>
            <w:proofErr w:type="spellStart"/>
            <w:r w:rsidRPr="00EA6529">
              <w:rPr>
                <w:szCs w:val="20"/>
              </w:rPr>
              <w:t>mg</w:t>
            </w:r>
            <w:proofErr w:type="spellEnd"/>
            <w:r w:rsidRPr="00EA6529">
              <w:rPr>
                <w:szCs w:val="20"/>
              </w:rPr>
              <w:t>/</w:t>
            </w:r>
            <w:proofErr w:type="spellStart"/>
            <w:r w:rsidRPr="00EA6529">
              <w:rPr>
                <w:szCs w:val="20"/>
              </w:rPr>
              <w:t>kg</w:t>
            </w:r>
            <w:proofErr w:type="spellEnd"/>
            <w:r w:rsidRPr="00EA6529">
              <w:rPr>
                <w:szCs w:val="20"/>
              </w:rPr>
              <w:t>/ден</w:t>
            </w:r>
          </w:p>
        </w:tc>
      </w:tr>
      <w:tr w:rsidR="00283473" w:rsidRPr="00EA6529" w14:paraId="11E2EACC" w14:textId="77777777" w:rsidTr="00E25679">
        <w:tc>
          <w:tcPr>
            <w:tcW w:w="4681" w:type="dxa"/>
          </w:tcPr>
          <w:p w14:paraId="191F1D29" w14:textId="18015B46" w:rsidR="00283473" w:rsidRPr="00EA6529" w:rsidRDefault="00283473" w:rsidP="00283473">
            <w:pPr>
              <w:rPr>
                <w:rFonts w:cs="Arial"/>
              </w:rPr>
            </w:pPr>
            <w:r w:rsidRPr="00EA6529">
              <w:rPr>
                <w:szCs w:val="20"/>
              </w:rPr>
              <w:t>Единична натоварваща доза</w:t>
            </w:r>
          </w:p>
        </w:tc>
        <w:tc>
          <w:tcPr>
            <w:tcW w:w="4669" w:type="dxa"/>
          </w:tcPr>
          <w:p w14:paraId="59AE6198" w14:textId="07174D52" w:rsidR="00283473" w:rsidRPr="00EA6529" w:rsidRDefault="00283473" w:rsidP="00283473">
            <w:pPr>
              <w:rPr>
                <w:rFonts w:cs="Arial"/>
              </w:rPr>
            </w:pPr>
            <w:r w:rsidRPr="00EA6529">
              <w:rPr>
                <w:szCs w:val="20"/>
              </w:rPr>
              <w:t>Не се препоръчва</w:t>
            </w:r>
          </w:p>
        </w:tc>
      </w:tr>
      <w:tr w:rsidR="00283473" w:rsidRPr="00EA6529" w14:paraId="58218C5D" w14:textId="77777777" w:rsidTr="00E25679">
        <w:tc>
          <w:tcPr>
            <w:tcW w:w="4681" w:type="dxa"/>
          </w:tcPr>
          <w:p w14:paraId="49566123" w14:textId="23FE01CE" w:rsidR="00283473" w:rsidRPr="00EA6529" w:rsidRDefault="00283473" w:rsidP="00283473">
            <w:pPr>
              <w:rPr>
                <w:rFonts w:cs="Arial"/>
              </w:rPr>
            </w:pPr>
            <w:r w:rsidRPr="00EA6529">
              <w:rPr>
                <w:szCs w:val="20"/>
              </w:rPr>
              <w:t>Титриране (нарастващи стъпки)</w:t>
            </w:r>
          </w:p>
        </w:tc>
        <w:tc>
          <w:tcPr>
            <w:tcW w:w="4669" w:type="dxa"/>
          </w:tcPr>
          <w:p w14:paraId="11D94B11" w14:textId="62980C75" w:rsidR="00283473" w:rsidRPr="00EA6529" w:rsidRDefault="00283473" w:rsidP="00283473">
            <w:pPr>
              <w:rPr>
                <w:rFonts w:cs="Arial"/>
              </w:rPr>
            </w:pPr>
            <w:r w:rsidRPr="00EA6529">
              <w:rPr>
                <w:szCs w:val="20"/>
              </w:rPr>
              <w:t xml:space="preserve">2 </w:t>
            </w:r>
            <w:proofErr w:type="spellStart"/>
            <w:r w:rsidRPr="00EA6529">
              <w:rPr>
                <w:szCs w:val="20"/>
              </w:rPr>
              <w:t>mg</w:t>
            </w:r>
            <w:proofErr w:type="spellEnd"/>
            <w:r w:rsidRPr="00EA6529">
              <w:rPr>
                <w:szCs w:val="20"/>
              </w:rPr>
              <w:t>/</w:t>
            </w:r>
            <w:proofErr w:type="spellStart"/>
            <w:r w:rsidRPr="00EA6529">
              <w:rPr>
                <w:szCs w:val="20"/>
              </w:rPr>
              <w:t>kg</w:t>
            </w:r>
            <w:proofErr w:type="spellEnd"/>
            <w:r w:rsidRPr="00EA6529">
              <w:rPr>
                <w:szCs w:val="20"/>
              </w:rPr>
              <w:t>/ден всяка седмица</w:t>
            </w:r>
          </w:p>
        </w:tc>
      </w:tr>
      <w:tr w:rsidR="00283473" w:rsidRPr="00EA6529" w14:paraId="4CF981F8" w14:textId="77777777" w:rsidTr="00E25679">
        <w:tc>
          <w:tcPr>
            <w:tcW w:w="4681" w:type="dxa"/>
          </w:tcPr>
          <w:p w14:paraId="1A12A6AD" w14:textId="7E22CF6C" w:rsidR="00283473" w:rsidRPr="00EA6529" w:rsidRDefault="00283473" w:rsidP="00283473">
            <w:pPr>
              <w:rPr>
                <w:rFonts w:cs="Arial"/>
              </w:rPr>
            </w:pPr>
            <w:r w:rsidRPr="00EA6529">
              <w:rPr>
                <w:szCs w:val="20"/>
              </w:rPr>
              <w:t xml:space="preserve">Максимална препоръчителна доза при пациенти &lt;40 </w:t>
            </w:r>
            <w:proofErr w:type="spellStart"/>
            <w:r w:rsidRPr="00EA6529">
              <w:rPr>
                <w:szCs w:val="20"/>
              </w:rPr>
              <w:t>kg</w:t>
            </w:r>
            <w:proofErr w:type="spellEnd"/>
          </w:p>
        </w:tc>
        <w:tc>
          <w:tcPr>
            <w:tcW w:w="4669" w:type="dxa"/>
          </w:tcPr>
          <w:p w14:paraId="5890FAFC" w14:textId="187C6A28" w:rsidR="00283473" w:rsidRPr="00EA6529" w:rsidRDefault="00283473" w:rsidP="00283473">
            <w:pPr>
              <w:rPr>
                <w:rFonts w:cs="Arial"/>
              </w:rPr>
            </w:pPr>
            <w:r w:rsidRPr="00EA6529">
              <w:rPr>
                <w:szCs w:val="20"/>
              </w:rPr>
              <w:t xml:space="preserve">до 12 </w:t>
            </w:r>
            <w:proofErr w:type="spellStart"/>
            <w:r w:rsidRPr="00EA6529">
              <w:rPr>
                <w:szCs w:val="20"/>
              </w:rPr>
              <w:t>mg</w:t>
            </w:r>
            <w:proofErr w:type="spellEnd"/>
            <w:r w:rsidRPr="00EA6529">
              <w:rPr>
                <w:szCs w:val="20"/>
              </w:rPr>
              <w:t>/</w:t>
            </w:r>
            <w:proofErr w:type="spellStart"/>
            <w:r w:rsidRPr="00EA6529">
              <w:rPr>
                <w:szCs w:val="20"/>
              </w:rPr>
              <w:t>kg</w:t>
            </w:r>
            <w:proofErr w:type="spellEnd"/>
            <w:r w:rsidRPr="00EA6529">
              <w:rPr>
                <w:szCs w:val="20"/>
              </w:rPr>
              <w:t>/ден</w:t>
            </w:r>
          </w:p>
        </w:tc>
      </w:tr>
      <w:tr w:rsidR="00E25679" w:rsidRPr="00EA6529" w14:paraId="5A9872D2" w14:textId="77777777" w:rsidTr="005237CD">
        <w:trPr>
          <w:trHeight w:val="550"/>
        </w:trPr>
        <w:tc>
          <w:tcPr>
            <w:tcW w:w="4681" w:type="dxa"/>
          </w:tcPr>
          <w:p w14:paraId="339B607F" w14:textId="77777777" w:rsidR="00E25679" w:rsidRPr="00EA6529" w:rsidRDefault="00E25679" w:rsidP="00283473">
            <w:pPr>
              <w:rPr>
                <w:rFonts w:cs="Arial"/>
              </w:rPr>
            </w:pPr>
            <w:r w:rsidRPr="00EA6529">
              <w:rPr>
                <w:szCs w:val="20"/>
              </w:rPr>
              <w:t>Максимална препоръчителна доза при</w:t>
            </w:r>
          </w:p>
          <w:p w14:paraId="1AFBDA91" w14:textId="6AD1BD54" w:rsidR="00E25679" w:rsidRPr="00EA6529" w:rsidRDefault="00E25679" w:rsidP="00283473">
            <w:pPr>
              <w:rPr>
                <w:rFonts w:cs="Arial"/>
              </w:rPr>
            </w:pPr>
            <w:r w:rsidRPr="00EA6529">
              <w:rPr>
                <w:szCs w:val="20"/>
              </w:rPr>
              <w:t xml:space="preserve">пациенти ≥40 </w:t>
            </w:r>
            <w:proofErr w:type="spellStart"/>
            <w:r w:rsidRPr="00EA6529">
              <w:rPr>
                <w:szCs w:val="20"/>
              </w:rPr>
              <w:t>kg</w:t>
            </w:r>
            <w:proofErr w:type="spellEnd"/>
            <w:r w:rsidRPr="00EA6529">
              <w:rPr>
                <w:szCs w:val="20"/>
              </w:rPr>
              <w:t xml:space="preserve"> до &lt;50 </w:t>
            </w:r>
            <w:proofErr w:type="spellStart"/>
            <w:r w:rsidRPr="00EA6529">
              <w:rPr>
                <w:szCs w:val="20"/>
              </w:rPr>
              <w:t>kg</w:t>
            </w:r>
            <w:proofErr w:type="spellEnd"/>
          </w:p>
        </w:tc>
        <w:tc>
          <w:tcPr>
            <w:tcW w:w="4669" w:type="dxa"/>
          </w:tcPr>
          <w:p w14:paraId="4AFCAD7D" w14:textId="6414E14A" w:rsidR="00E25679" w:rsidRPr="00EA6529" w:rsidRDefault="00E25679" w:rsidP="00283473">
            <w:pPr>
              <w:rPr>
                <w:rFonts w:cs="Arial"/>
              </w:rPr>
            </w:pPr>
            <w:r w:rsidRPr="00EA6529">
              <w:rPr>
                <w:szCs w:val="20"/>
              </w:rPr>
              <w:t xml:space="preserve">до 10 </w:t>
            </w:r>
            <w:proofErr w:type="spellStart"/>
            <w:r w:rsidRPr="00EA6529">
              <w:rPr>
                <w:szCs w:val="20"/>
              </w:rPr>
              <w:t>mg</w:t>
            </w:r>
            <w:proofErr w:type="spellEnd"/>
            <w:r w:rsidRPr="00EA6529">
              <w:rPr>
                <w:szCs w:val="20"/>
              </w:rPr>
              <w:t>/</w:t>
            </w:r>
            <w:proofErr w:type="spellStart"/>
            <w:r w:rsidRPr="00EA6529">
              <w:rPr>
                <w:szCs w:val="20"/>
              </w:rPr>
              <w:t>kg</w:t>
            </w:r>
            <w:proofErr w:type="spellEnd"/>
            <w:r w:rsidRPr="00EA6529">
              <w:rPr>
                <w:szCs w:val="20"/>
              </w:rPr>
              <w:t>/ден</w:t>
            </w:r>
          </w:p>
        </w:tc>
      </w:tr>
    </w:tbl>
    <w:p w14:paraId="04283562" w14:textId="60D0C349" w:rsidR="00283473" w:rsidRPr="00EA6529" w:rsidRDefault="00283473" w:rsidP="00283473">
      <w:pPr>
        <w:rPr>
          <w:rFonts w:cs="Arial"/>
          <w:sz w:val="24"/>
        </w:rPr>
      </w:pPr>
    </w:p>
    <w:p w14:paraId="723C9012"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lang w:eastAsia="bg-BG"/>
        </w:rPr>
        <w:t>Допълваща терапия (при лечението на парциални пристъпи или при лечението на първично генерализирани тонично-</w:t>
      </w:r>
      <w:proofErr w:type="spellStart"/>
      <w:r w:rsidRPr="00EA6529">
        <w:rPr>
          <w:rFonts w:eastAsia="Times New Roman" w:cs="Arial"/>
          <w:i/>
          <w:iCs/>
          <w:color w:val="000000"/>
          <w:szCs w:val="20"/>
          <w:lang w:eastAsia="bg-BG"/>
        </w:rPr>
        <w:t>клонични</w:t>
      </w:r>
      <w:proofErr w:type="spellEnd"/>
      <w:r w:rsidRPr="00EA6529">
        <w:rPr>
          <w:rFonts w:eastAsia="Times New Roman" w:cs="Arial"/>
          <w:i/>
          <w:iCs/>
          <w:color w:val="000000"/>
          <w:szCs w:val="20"/>
          <w:lang w:eastAsia="bg-BG"/>
        </w:rPr>
        <w:t xml:space="preserve"> пристъпи)</w:t>
      </w:r>
    </w:p>
    <w:p w14:paraId="186FF2DC"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Препоръчителната начална доза е 2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която трябва да се увеличи до начална терапевтична доза 4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/ден след една седмица,</w:t>
      </w:r>
    </w:p>
    <w:p w14:paraId="19C4A031"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зависимост от отговора и поносимостта поддържащата доза може да бъде допълнително увеличавана до 2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всяка седмица. Дозата трябва да се адаптира постепенно до достигане на оптималния отговор. При деца с тегло по-малко от 20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поради увеличен клирънс в сравнение с възрастните се препоръчва максимална доза 12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При деца с тегло от 20 до </w:t>
      </w:r>
      <w:r w:rsidRPr="00EA6529">
        <w:rPr>
          <w:rFonts w:eastAsia="Times New Roman" w:cs="Arial"/>
          <w:color w:val="000000"/>
          <w:szCs w:val="20"/>
        </w:rPr>
        <w:t xml:space="preserve">30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се препоръчва максимална доза 10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и при деца с тегло от 30 до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се препоръчва максимална доза </w:t>
      </w:r>
      <w:r w:rsidRPr="00EA6529">
        <w:rPr>
          <w:rFonts w:eastAsia="Times New Roman" w:cs="Arial"/>
          <w:i/>
          <w:iCs/>
          <w:color w:val="000000"/>
          <w:szCs w:val="20"/>
          <w:lang w:eastAsia="bg-BG"/>
        </w:rPr>
        <w:t>8</w:t>
      </w:r>
      <w:r w:rsidRPr="00EA6529">
        <w:rPr>
          <w:rFonts w:eastAsia="Times New Roman" w:cs="Arial"/>
          <w:color w:val="000000"/>
          <w:szCs w:val="20"/>
          <w:lang w:eastAsia="bg-BG"/>
        </w:rPr>
        <w:t xml:space="preserve">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въпреки че в отворени проучвания (вж. точки 4.8 и 5.2) при малък брой от тези деца е използвана доза до 12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/ден.</w:t>
      </w:r>
    </w:p>
    <w:p w14:paraId="31BAF3CB" w14:textId="77777777" w:rsidR="00283473" w:rsidRPr="00EA6529" w:rsidRDefault="00283473" w:rsidP="00283473">
      <w:pPr>
        <w:rPr>
          <w:rFonts w:eastAsia="Times New Roman" w:cs="Arial"/>
          <w:color w:val="000000"/>
          <w:szCs w:val="20"/>
          <w:lang w:eastAsia="bg-BG"/>
        </w:rPr>
      </w:pPr>
    </w:p>
    <w:p w14:paraId="43E0C493" w14:textId="0B12959A" w:rsidR="00283473" w:rsidRPr="00EA6529" w:rsidRDefault="00283473" w:rsidP="00283473">
      <w:pPr>
        <w:rPr>
          <w:rFonts w:eastAsia="Times New Roman" w:cs="Arial"/>
          <w:color w:val="000000"/>
          <w:szCs w:val="20"/>
        </w:rPr>
      </w:pPr>
      <w:r w:rsidRPr="00EA6529">
        <w:rPr>
          <w:rFonts w:eastAsia="Times New Roman" w:cs="Arial"/>
          <w:color w:val="000000"/>
          <w:szCs w:val="20"/>
          <w:lang w:eastAsia="bg-BG"/>
        </w:rPr>
        <w:t xml:space="preserve">Следващата таблица обобщава препоръчителната дозировка за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при деца и юноши с тегло по-малко от 50 </w:t>
      </w:r>
      <w:proofErr w:type="spellStart"/>
      <w:r w:rsidRPr="00EA6529">
        <w:rPr>
          <w:rFonts w:eastAsia="Times New Roman" w:cs="Arial"/>
          <w:color w:val="000000"/>
          <w:szCs w:val="20"/>
        </w:rPr>
        <w:t>kg</w:t>
      </w:r>
      <w:proofErr w:type="spellEnd"/>
      <w:r w:rsidRPr="00EA6529">
        <w:rPr>
          <w:rFonts w:eastAsia="Times New Roman" w:cs="Arial"/>
          <w:color w:val="000000"/>
          <w:szCs w:val="20"/>
        </w:rPr>
        <w:t>.</w:t>
      </w:r>
    </w:p>
    <w:p w14:paraId="6301ED70" w14:textId="5BFEE03D" w:rsidR="00283473" w:rsidRPr="00EA6529" w:rsidRDefault="00283473" w:rsidP="00283473">
      <w:pPr>
        <w:rPr>
          <w:rFonts w:eastAsia="Times New Roman" w:cs="Arial"/>
          <w:color w:val="000000"/>
          <w:szCs w:val="20"/>
        </w:rPr>
      </w:pPr>
    </w:p>
    <w:tbl>
      <w:tblPr>
        <w:tblStyle w:val="TableGrid"/>
        <w:tblW w:w="0" w:type="auto"/>
        <w:tblLook w:val="04A0" w:firstRow="1" w:lastRow="0" w:firstColumn="1" w:lastColumn="0" w:noHBand="0" w:noVBand="1"/>
      </w:tblPr>
      <w:tblGrid>
        <w:gridCol w:w="4681"/>
        <w:gridCol w:w="4669"/>
      </w:tblGrid>
      <w:tr w:rsidR="00283473" w:rsidRPr="00EA6529" w14:paraId="6AD5F8CC" w14:textId="77777777" w:rsidTr="00283473">
        <w:tc>
          <w:tcPr>
            <w:tcW w:w="4750" w:type="dxa"/>
          </w:tcPr>
          <w:p w14:paraId="5BE72E3F" w14:textId="32D59346" w:rsidR="00283473" w:rsidRPr="00EA6529" w:rsidRDefault="00283473" w:rsidP="00283473">
            <w:pPr>
              <w:rPr>
                <w:rFonts w:cs="Arial"/>
              </w:rPr>
            </w:pPr>
            <w:r w:rsidRPr="00EA6529">
              <w:rPr>
                <w:szCs w:val="20"/>
              </w:rPr>
              <w:t>Начална доза</w:t>
            </w:r>
          </w:p>
        </w:tc>
        <w:tc>
          <w:tcPr>
            <w:tcW w:w="4750" w:type="dxa"/>
          </w:tcPr>
          <w:p w14:paraId="4EE60EE3" w14:textId="467FB8B9" w:rsidR="00283473" w:rsidRPr="00EA6529" w:rsidRDefault="00283473" w:rsidP="00283473">
            <w:pPr>
              <w:rPr>
                <w:rFonts w:cs="Arial"/>
              </w:rPr>
            </w:pPr>
            <w:r w:rsidRPr="00EA6529">
              <w:rPr>
                <w:szCs w:val="20"/>
              </w:rPr>
              <w:t xml:space="preserve">2 </w:t>
            </w:r>
            <w:proofErr w:type="spellStart"/>
            <w:r w:rsidRPr="00EA6529">
              <w:rPr>
                <w:szCs w:val="20"/>
              </w:rPr>
              <w:t>mg</w:t>
            </w:r>
            <w:proofErr w:type="spellEnd"/>
            <w:r w:rsidRPr="00EA6529">
              <w:rPr>
                <w:szCs w:val="20"/>
              </w:rPr>
              <w:t>/</w:t>
            </w:r>
            <w:proofErr w:type="spellStart"/>
            <w:r w:rsidRPr="00EA6529">
              <w:rPr>
                <w:szCs w:val="20"/>
              </w:rPr>
              <w:t>kg</w:t>
            </w:r>
            <w:proofErr w:type="spellEnd"/>
            <w:r w:rsidRPr="00EA6529">
              <w:rPr>
                <w:szCs w:val="20"/>
              </w:rPr>
              <w:t>/ден</w:t>
            </w:r>
          </w:p>
        </w:tc>
      </w:tr>
      <w:tr w:rsidR="00283473" w:rsidRPr="00EA6529" w14:paraId="5D6A7D08" w14:textId="77777777" w:rsidTr="00283473">
        <w:tc>
          <w:tcPr>
            <w:tcW w:w="4750" w:type="dxa"/>
          </w:tcPr>
          <w:p w14:paraId="2DB69E40" w14:textId="2CDE784F" w:rsidR="00283473" w:rsidRPr="00EA6529" w:rsidRDefault="00283473" w:rsidP="00283473">
            <w:pPr>
              <w:rPr>
                <w:rFonts w:cs="Arial"/>
              </w:rPr>
            </w:pPr>
            <w:r w:rsidRPr="00EA6529">
              <w:rPr>
                <w:szCs w:val="20"/>
              </w:rPr>
              <w:t>Единична натоварваща доза</w:t>
            </w:r>
          </w:p>
        </w:tc>
        <w:tc>
          <w:tcPr>
            <w:tcW w:w="4750" w:type="dxa"/>
          </w:tcPr>
          <w:p w14:paraId="51E1C5B4" w14:textId="6DBA4623" w:rsidR="00283473" w:rsidRPr="00EA6529" w:rsidRDefault="00283473" w:rsidP="00283473">
            <w:pPr>
              <w:rPr>
                <w:rFonts w:cs="Arial"/>
              </w:rPr>
            </w:pPr>
            <w:r w:rsidRPr="00EA6529">
              <w:rPr>
                <w:szCs w:val="20"/>
              </w:rPr>
              <w:t>Не се препоръчва</w:t>
            </w:r>
          </w:p>
        </w:tc>
      </w:tr>
      <w:tr w:rsidR="00283473" w:rsidRPr="00EA6529" w14:paraId="6BDBFBDE" w14:textId="77777777" w:rsidTr="00283473">
        <w:tc>
          <w:tcPr>
            <w:tcW w:w="4750" w:type="dxa"/>
          </w:tcPr>
          <w:p w14:paraId="594B724C" w14:textId="1E21ABF2" w:rsidR="00283473" w:rsidRPr="00EA6529" w:rsidRDefault="00283473" w:rsidP="00283473">
            <w:pPr>
              <w:rPr>
                <w:rFonts w:cs="Arial"/>
              </w:rPr>
            </w:pPr>
            <w:r w:rsidRPr="00EA6529">
              <w:rPr>
                <w:szCs w:val="20"/>
              </w:rPr>
              <w:t>Титриране (нарастващи стъпки)</w:t>
            </w:r>
          </w:p>
        </w:tc>
        <w:tc>
          <w:tcPr>
            <w:tcW w:w="4750" w:type="dxa"/>
          </w:tcPr>
          <w:p w14:paraId="3E6CB802" w14:textId="0CCE26E1" w:rsidR="00283473" w:rsidRPr="00EA6529" w:rsidRDefault="00283473" w:rsidP="00283473">
            <w:pPr>
              <w:rPr>
                <w:rFonts w:cs="Arial"/>
              </w:rPr>
            </w:pPr>
            <w:r w:rsidRPr="00EA6529">
              <w:rPr>
                <w:szCs w:val="20"/>
              </w:rPr>
              <w:t xml:space="preserve">2 </w:t>
            </w:r>
            <w:proofErr w:type="spellStart"/>
            <w:r w:rsidRPr="00EA6529">
              <w:rPr>
                <w:szCs w:val="20"/>
              </w:rPr>
              <w:t>mg</w:t>
            </w:r>
            <w:proofErr w:type="spellEnd"/>
            <w:r w:rsidRPr="00EA6529">
              <w:rPr>
                <w:szCs w:val="20"/>
              </w:rPr>
              <w:t>/</w:t>
            </w:r>
            <w:proofErr w:type="spellStart"/>
            <w:r w:rsidRPr="00EA6529">
              <w:rPr>
                <w:szCs w:val="20"/>
              </w:rPr>
              <w:t>kg</w:t>
            </w:r>
            <w:proofErr w:type="spellEnd"/>
            <w:r w:rsidRPr="00EA6529">
              <w:rPr>
                <w:szCs w:val="20"/>
              </w:rPr>
              <w:t>/ден всяка седмица</w:t>
            </w:r>
          </w:p>
        </w:tc>
      </w:tr>
      <w:tr w:rsidR="00283473" w:rsidRPr="00EA6529" w14:paraId="7727F4F2" w14:textId="77777777" w:rsidTr="00283473">
        <w:tc>
          <w:tcPr>
            <w:tcW w:w="4750" w:type="dxa"/>
          </w:tcPr>
          <w:p w14:paraId="715A5700" w14:textId="5BB62F8C" w:rsidR="00283473" w:rsidRPr="00EA6529" w:rsidRDefault="00283473" w:rsidP="00283473">
            <w:pPr>
              <w:rPr>
                <w:rFonts w:cs="Arial"/>
              </w:rPr>
            </w:pPr>
            <w:r w:rsidRPr="00EA6529">
              <w:rPr>
                <w:szCs w:val="20"/>
              </w:rPr>
              <w:t xml:space="preserve">Максимална препоръчителна доза при пациенти &lt;20 </w:t>
            </w:r>
            <w:proofErr w:type="spellStart"/>
            <w:r w:rsidRPr="00EA6529">
              <w:rPr>
                <w:szCs w:val="20"/>
              </w:rPr>
              <w:t>kg</w:t>
            </w:r>
            <w:proofErr w:type="spellEnd"/>
          </w:p>
        </w:tc>
        <w:tc>
          <w:tcPr>
            <w:tcW w:w="4750" w:type="dxa"/>
          </w:tcPr>
          <w:p w14:paraId="31C895CF" w14:textId="774AF555" w:rsidR="00283473" w:rsidRPr="00EA6529" w:rsidRDefault="00283473" w:rsidP="00283473">
            <w:pPr>
              <w:rPr>
                <w:rFonts w:cs="Arial"/>
              </w:rPr>
            </w:pPr>
            <w:r w:rsidRPr="00EA6529">
              <w:rPr>
                <w:szCs w:val="20"/>
              </w:rPr>
              <w:t xml:space="preserve">до 12 </w:t>
            </w:r>
            <w:proofErr w:type="spellStart"/>
            <w:r w:rsidRPr="00EA6529">
              <w:rPr>
                <w:szCs w:val="20"/>
              </w:rPr>
              <w:t>mg</w:t>
            </w:r>
            <w:proofErr w:type="spellEnd"/>
            <w:r w:rsidRPr="00EA6529">
              <w:rPr>
                <w:szCs w:val="20"/>
              </w:rPr>
              <w:t>/</w:t>
            </w:r>
            <w:proofErr w:type="spellStart"/>
            <w:r w:rsidRPr="00EA6529">
              <w:rPr>
                <w:szCs w:val="20"/>
              </w:rPr>
              <w:t>kg</w:t>
            </w:r>
            <w:proofErr w:type="spellEnd"/>
            <w:r w:rsidRPr="00EA6529">
              <w:rPr>
                <w:szCs w:val="20"/>
              </w:rPr>
              <w:t>/ден</w:t>
            </w:r>
          </w:p>
        </w:tc>
      </w:tr>
      <w:tr w:rsidR="00283473" w:rsidRPr="00EA6529" w14:paraId="02226D88" w14:textId="77777777" w:rsidTr="00283473">
        <w:tc>
          <w:tcPr>
            <w:tcW w:w="4750" w:type="dxa"/>
          </w:tcPr>
          <w:p w14:paraId="52ECE472" w14:textId="11B2B82A" w:rsidR="00283473" w:rsidRPr="00EA6529" w:rsidRDefault="00283473" w:rsidP="00283473">
            <w:pPr>
              <w:rPr>
                <w:rFonts w:cs="Arial"/>
              </w:rPr>
            </w:pPr>
            <w:r w:rsidRPr="00EA6529">
              <w:rPr>
                <w:szCs w:val="20"/>
              </w:rPr>
              <w:lastRenderedPageBreak/>
              <w:t xml:space="preserve">Максимална препоръчителна доза при пациенти ≥20 </w:t>
            </w:r>
            <w:proofErr w:type="spellStart"/>
            <w:r w:rsidRPr="00EA6529">
              <w:rPr>
                <w:szCs w:val="20"/>
              </w:rPr>
              <w:t>kg</w:t>
            </w:r>
            <w:proofErr w:type="spellEnd"/>
            <w:r w:rsidRPr="00EA6529">
              <w:rPr>
                <w:szCs w:val="20"/>
              </w:rPr>
              <w:t xml:space="preserve"> до &lt;30 </w:t>
            </w:r>
            <w:proofErr w:type="spellStart"/>
            <w:r w:rsidRPr="00EA6529">
              <w:rPr>
                <w:szCs w:val="20"/>
              </w:rPr>
              <w:t>kg</w:t>
            </w:r>
            <w:proofErr w:type="spellEnd"/>
          </w:p>
        </w:tc>
        <w:tc>
          <w:tcPr>
            <w:tcW w:w="4750" w:type="dxa"/>
          </w:tcPr>
          <w:p w14:paraId="6504BF0E" w14:textId="104FE785" w:rsidR="00283473" w:rsidRPr="00EA6529" w:rsidRDefault="00283473" w:rsidP="00283473">
            <w:pPr>
              <w:rPr>
                <w:rFonts w:cs="Arial"/>
              </w:rPr>
            </w:pPr>
            <w:r w:rsidRPr="00EA6529">
              <w:rPr>
                <w:szCs w:val="20"/>
              </w:rPr>
              <w:t xml:space="preserve">до 10 </w:t>
            </w:r>
            <w:proofErr w:type="spellStart"/>
            <w:r w:rsidRPr="00EA6529">
              <w:rPr>
                <w:szCs w:val="20"/>
              </w:rPr>
              <w:t>mg</w:t>
            </w:r>
            <w:proofErr w:type="spellEnd"/>
            <w:r w:rsidRPr="00EA6529">
              <w:rPr>
                <w:szCs w:val="20"/>
              </w:rPr>
              <w:t>/</w:t>
            </w:r>
            <w:proofErr w:type="spellStart"/>
            <w:r w:rsidRPr="00EA6529">
              <w:rPr>
                <w:szCs w:val="20"/>
              </w:rPr>
              <w:t>kg</w:t>
            </w:r>
            <w:proofErr w:type="spellEnd"/>
            <w:r w:rsidRPr="00EA6529">
              <w:rPr>
                <w:szCs w:val="20"/>
              </w:rPr>
              <w:t>/ден</w:t>
            </w:r>
          </w:p>
        </w:tc>
      </w:tr>
      <w:tr w:rsidR="00283473" w:rsidRPr="00EA6529" w14:paraId="3137D82E" w14:textId="77777777" w:rsidTr="00283473">
        <w:tc>
          <w:tcPr>
            <w:tcW w:w="4750" w:type="dxa"/>
          </w:tcPr>
          <w:p w14:paraId="7DD0AE07" w14:textId="64719EFF" w:rsidR="00283473" w:rsidRPr="00EA6529" w:rsidRDefault="00283473" w:rsidP="00283473">
            <w:pPr>
              <w:rPr>
                <w:rFonts w:cs="Arial"/>
              </w:rPr>
            </w:pPr>
            <w:r w:rsidRPr="00EA6529">
              <w:rPr>
                <w:szCs w:val="20"/>
              </w:rPr>
              <w:t xml:space="preserve">Максимална препоръчителна доза при пациенти ≥30 </w:t>
            </w:r>
            <w:proofErr w:type="spellStart"/>
            <w:r w:rsidRPr="00EA6529">
              <w:rPr>
                <w:szCs w:val="20"/>
              </w:rPr>
              <w:t>kg</w:t>
            </w:r>
            <w:proofErr w:type="spellEnd"/>
            <w:r w:rsidRPr="00EA6529">
              <w:rPr>
                <w:szCs w:val="20"/>
              </w:rPr>
              <w:t xml:space="preserve"> до &lt;50 </w:t>
            </w:r>
            <w:proofErr w:type="spellStart"/>
            <w:r w:rsidRPr="00EA6529">
              <w:rPr>
                <w:szCs w:val="20"/>
              </w:rPr>
              <w:t>kg</w:t>
            </w:r>
            <w:proofErr w:type="spellEnd"/>
          </w:p>
        </w:tc>
        <w:tc>
          <w:tcPr>
            <w:tcW w:w="4750" w:type="dxa"/>
          </w:tcPr>
          <w:p w14:paraId="49B14884" w14:textId="75ED99FD" w:rsidR="00283473" w:rsidRPr="00EA6529" w:rsidRDefault="00283473" w:rsidP="00283473">
            <w:pPr>
              <w:rPr>
                <w:rFonts w:cs="Arial"/>
              </w:rPr>
            </w:pPr>
            <w:r w:rsidRPr="00EA6529">
              <w:rPr>
                <w:szCs w:val="20"/>
              </w:rPr>
              <w:t xml:space="preserve">до 8 </w:t>
            </w:r>
            <w:proofErr w:type="spellStart"/>
            <w:r w:rsidRPr="00EA6529">
              <w:rPr>
                <w:szCs w:val="20"/>
              </w:rPr>
              <w:t>mg</w:t>
            </w:r>
            <w:proofErr w:type="spellEnd"/>
            <w:r w:rsidRPr="00EA6529">
              <w:rPr>
                <w:szCs w:val="20"/>
              </w:rPr>
              <w:t>/</w:t>
            </w:r>
            <w:proofErr w:type="spellStart"/>
            <w:r w:rsidRPr="00EA6529">
              <w:rPr>
                <w:szCs w:val="20"/>
              </w:rPr>
              <w:t>kg</w:t>
            </w:r>
            <w:proofErr w:type="spellEnd"/>
            <w:r w:rsidRPr="00EA6529">
              <w:rPr>
                <w:szCs w:val="20"/>
              </w:rPr>
              <w:t>/ден</w:t>
            </w:r>
          </w:p>
        </w:tc>
      </w:tr>
    </w:tbl>
    <w:p w14:paraId="5BED7C58" w14:textId="37397AB1" w:rsidR="00283473" w:rsidRPr="00EA6529" w:rsidRDefault="00283473" w:rsidP="00283473">
      <w:pPr>
        <w:rPr>
          <w:rFonts w:cs="Arial"/>
          <w:sz w:val="28"/>
        </w:rPr>
      </w:pPr>
    </w:p>
    <w:p w14:paraId="52C58619"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lang w:eastAsia="bg-BG"/>
        </w:rPr>
        <w:t>Натоварваща доза</w:t>
      </w:r>
    </w:p>
    <w:p w14:paraId="7EB65288" w14:textId="77777777"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Прилагането на натоварваща доза не е проучвано при деца. Използването на натоварваща доза не се препоръчва при юноши и деца с тегло по-малко от 50 </w:t>
      </w:r>
      <w:proofErr w:type="spellStart"/>
      <w:r w:rsidRPr="00EA6529">
        <w:rPr>
          <w:rFonts w:eastAsia="Times New Roman" w:cs="Arial"/>
          <w:color w:val="000000"/>
          <w:szCs w:val="20"/>
        </w:rPr>
        <w:t>kg</w:t>
      </w:r>
      <w:proofErr w:type="spellEnd"/>
      <w:r w:rsidRPr="00EA6529">
        <w:rPr>
          <w:rFonts w:eastAsia="Times New Roman" w:cs="Arial"/>
          <w:color w:val="000000"/>
          <w:szCs w:val="20"/>
        </w:rPr>
        <w:t>.</w:t>
      </w:r>
    </w:p>
    <w:p w14:paraId="1A0CE49B" w14:textId="77777777" w:rsidR="00283473" w:rsidRPr="00EA6529" w:rsidRDefault="00283473" w:rsidP="00283473">
      <w:pPr>
        <w:spacing w:line="240" w:lineRule="auto"/>
        <w:rPr>
          <w:rFonts w:eastAsia="Times New Roman" w:cs="Arial"/>
          <w:i/>
          <w:iCs/>
          <w:color w:val="000000"/>
          <w:szCs w:val="20"/>
          <w:u w:val="single"/>
          <w:lang w:eastAsia="bg-BG"/>
        </w:rPr>
      </w:pPr>
    </w:p>
    <w:p w14:paraId="3389295D" w14:textId="01CFC032" w:rsidR="00283473" w:rsidRPr="00EA6529" w:rsidRDefault="00283473" w:rsidP="00283473">
      <w:pPr>
        <w:spacing w:line="240" w:lineRule="auto"/>
        <w:rPr>
          <w:rFonts w:eastAsia="Times New Roman" w:cs="Arial"/>
          <w:sz w:val="28"/>
          <w:szCs w:val="24"/>
          <w:lang w:eastAsia="bg-BG"/>
        </w:rPr>
      </w:pPr>
      <w:r w:rsidRPr="00EA6529">
        <w:rPr>
          <w:rFonts w:eastAsia="Times New Roman" w:cs="Arial"/>
          <w:i/>
          <w:iCs/>
          <w:color w:val="000000"/>
          <w:szCs w:val="20"/>
          <w:u w:val="single"/>
          <w:lang w:eastAsia="bg-BG"/>
        </w:rPr>
        <w:t>Деца на възраст под 4 години</w:t>
      </w:r>
    </w:p>
    <w:p w14:paraId="61E478AA" w14:textId="77777777" w:rsidR="00283473" w:rsidRPr="00EA6529" w:rsidRDefault="00283473" w:rsidP="00283473">
      <w:pPr>
        <w:spacing w:line="240" w:lineRule="auto"/>
        <w:rPr>
          <w:rFonts w:eastAsia="Times New Roman" w:cs="Arial"/>
          <w:color w:val="000000"/>
          <w:szCs w:val="20"/>
          <w:lang w:eastAsia="bg-BG"/>
        </w:rPr>
      </w:pPr>
    </w:p>
    <w:p w14:paraId="3004954D" w14:textId="7BAAC8C0" w:rsidR="00283473" w:rsidRPr="00EA6529" w:rsidRDefault="00283473" w:rsidP="00283473">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Безопасността и ефикасността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деца на възраст под 4 години все още не са установени. Липсват данни.</w:t>
      </w:r>
    </w:p>
    <w:p w14:paraId="3DC2EB8F" w14:textId="77777777" w:rsidR="00283473" w:rsidRPr="00EA6529" w:rsidRDefault="00283473" w:rsidP="00283473">
      <w:pPr>
        <w:spacing w:line="240" w:lineRule="auto"/>
        <w:rPr>
          <w:rFonts w:eastAsia="Times New Roman" w:cs="Arial"/>
          <w:color w:val="000000"/>
          <w:szCs w:val="20"/>
          <w:u w:val="single"/>
          <w:lang w:eastAsia="bg-BG"/>
        </w:rPr>
      </w:pPr>
    </w:p>
    <w:p w14:paraId="3AE06D82" w14:textId="14F608F9" w:rsidR="00283473" w:rsidRPr="00EA6529" w:rsidRDefault="00283473" w:rsidP="00283473">
      <w:pPr>
        <w:pStyle w:val="Heading3"/>
        <w:rPr>
          <w:rFonts w:eastAsia="Times New Roman"/>
          <w:sz w:val="28"/>
          <w:u w:val="single"/>
          <w:lang w:eastAsia="bg-BG"/>
        </w:rPr>
      </w:pPr>
      <w:r w:rsidRPr="00EA6529">
        <w:rPr>
          <w:rFonts w:eastAsia="Times New Roman"/>
          <w:u w:val="single"/>
          <w:lang w:eastAsia="bg-BG"/>
        </w:rPr>
        <w:t>Начин на приложение</w:t>
      </w:r>
    </w:p>
    <w:p w14:paraId="47002D13" w14:textId="77777777" w:rsidR="00283473" w:rsidRPr="00EA6529" w:rsidRDefault="00283473" w:rsidP="00283473">
      <w:pPr>
        <w:rPr>
          <w:rFonts w:eastAsia="Times New Roman" w:cs="Arial"/>
          <w:color w:val="000000"/>
          <w:szCs w:val="20"/>
          <w:lang w:eastAsia="bg-BG"/>
        </w:rPr>
      </w:pPr>
    </w:p>
    <w:p w14:paraId="3324B4D7" w14:textId="6CCDFE40" w:rsidR="00283473" w:rsidRPr="00EA6529" w:rsidRDefault="00283473" w:rsidP="00283473">
      <w:pPr>
        <w:rPr>
          <w:rFonts w:eastAsia="Times New Roman" w:cs="Arial"/>
          <w:color w:val="000000"/>
          <w:szCs w:val="20"/>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филмирани таблетки са за перорално приложение.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може да се приема със или без храна.</w:t>
      </w:r>
    </w:p>
    <w:p w14:paraId="359FE0FA" w14:textId="77777777" w:rsidR="00283473" w:rsidRPr="00EA6529" w:rsidRDefault="00283473" w:rsidP="00283473">
      <w:pPr>
        <w:rPr>
          <w:rFonts w:cs="Arial"/>
          <w:sz w:val="28"/>
        </w:rPr>
      </w:pPr>
    </w:p>
    <w:p w14:paraId="28C984E8" w14:textId="7DBD8C20" w:rsidR="008134C8" w:rsidRPr="00EA6529" w:rsidRDefault="002C50EE" w:rsidP="004A448E">
      <w:pPr>
        <w:pStyle w:val="Heading2"/>
      </w:pPr>
      <w:r w:rsidRPr="00EA6529">
        <w:t>4.3. Противопоказания</w:t>
      </w:r>
    </w:p>
    <w:p w14:paraId="6BB5958B" w14:textId="3036E152" w:rsidR="006E22F0" w:rsidRPr="00EA6529" w:rsidRDefault="006E22F0" w:rsidP="006E22F0"/>
    <w:p w14:paraId="48C1A3CA" w14:textId="77777777"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446EC8F3" w14:textId="47B554F3" w:rsidR="006E22F0" w:rsidRPr="00EA6529" w:rsidRDefault="006E22F0" w:rsidP="006E22F0">
      <w:pPr>
        <w:rPr>
          <w:rFonts w:cs="Arial"/>
          <w:sz w:val="24"/>
        </w:rPr>
      </w:pPr>
      <w:r w:rsidRPr="00EA6529">
        <w:rPr>
          <w:rFonts w:eastAsia="Times New Roman" w:cs="Arial"/>
          <w:color w:val="000000"/>
          <w:szCs w:val="20"/>
          <w:lang w:eastAsia="bg-BG"/>
        </w:rPr>
        <w:t xml:space="preserve">Данни за втора или трета степен на </w:t>
      </w:r>
      <w:proofErr w:type="spellStart"/>
      <w:r w:rsidRPr="00EA6529">
        <w:rPr>
          <w:rFonts w:eastAsia="Times New Roman" w:cs="Arial"/>
          <w:color w:val="000000"/>
          <w:szCs w:val="20"/>
          <w:lang w:eastAsia="bg-BG"/>
        </w:rPr>
        <w:t>атриовентрикуларен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 xml:space="preserve">(AV) </w:t>
      </w:r>
      <w:r w:rsidRPr="00EA6529">
        <w:rPr>
          <w:rFonts w:eastAsia="Times New Roman" w:cs="Arial"/>
          <w:color w:val="000000"/>
          <w:szCs w:val="20"/>
          <w:lang w:eastAsia="bg-BG"/>
        </w:rPr>
        <w:t>блок.</w:t>
      </w:r>
    </w:p>
    <w:p w14:paraId="212F509C" w14:textId="30823284" w:rsidR="004F498A" w:rsidRPr="00EA6529" w:rsidRDefault="002C50EE" w:rsidP="004A448E">
      <w:pPr>
        <w:pStyle w:val="Heading2"/>
      </w:pPr>
      <w:r w:rsidRPr="00EA6529">
        <w:t>4.4. Специални предупреждения и предпазни мерки при употреба</w:t>
      </w:r>
    </w:p>
    <w:p w14:paraId="0DD8C102" w14:textId="4F710F0A" w:rsidR="006E22F0" w:rsidRPr="00EA6529" w:rsidRDefault="006E22F0" w:rsidP="006E22F0"/>
    <w:p w14:paraId="1C712B4D" w14:textId="77777777"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u w:val="single"/>
          <w:lang w:eastAsia="bg-BG"/>
        </w:rPr>
        <w:t xml:space="preserve">Суицидна </w:t>
      </w:r>
      <w:proofErr w:type="spellStart"/>
      <w:r w:rsidRPr="00EA6529">
        <w:rPr>
          <w:rFonts w:eastAsia="Times New Roman" w:cs="Arial"/>
          <w:color w:val="000000"/>
          <w:szCs w:val="20"/>
          <w:u w:val="single"/>
          <w:lang w:eastAsia="bg-BG"/>
        </w:rPr>
        <w:t>идеация</w:t>
      </w:r>
      <w:proofErr w:type="spellEnd"/>
      <w:r w:rsidRPr="00EA6529">
        <w:rPr>
          <w:rFonts w:eastAsia="Times New Roman" w:cs="Arial"/>
          <w:color w:val="000000"/>
          <w:szCs w:val="20"/>
          <w:u w:val="single"/>
          <w:lang w:eastAsia="bg-BG"/>
        </w:rPr>
        <w:t xml:space="preserve"> и поведение</w:t>
      </w:r>
    </w:p>
    <w:p w14:paraId="45940D61" w14:textId="77777777" w:rsidR="006E22F0" w:rsidRPr="00EA6529" w:rsidRDefault="006E22F0" w:rsidP="006E22F0">
      <w:pPr>
        <w:spacing w:line="240" w:lineRule="auto"/>
        <w:rPr>
          <w:rFonts w:eastAsia="Times New Roman" w:cs="Arial"/>
          <w:color w:val="000000"/>
          <w:szCs w:val="20"/>
          <w:lang w:eastAsia="bg-BG"/>
        </w:rPr>
      </w:pPr>
    </w:p>
    <w:p w14:paraId="3C96E4B1" w14:textId="38559078"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Суицидна </w:t>
      </w:r>
      <w:proofErr w:type="spellStart"/>
      <w:r w:rsidRPr="00EA6529">
        <w:rPr>
          <w:rFonts w:eastAsia="Times New Roman" w:cs="Arial"/>
          <w:color w:val="000000"/>
          <w:szCs w:val="20"/>
          <w:lang w:eastAsia="bg-BG"/>
        </w:rPr>
        <w:t>идеация</w:t>
      </w:r>
      <w:proofErr w:type="spellEnd"/>
      <w:r w:rsidRPr="00EA6529">
        <w:rPr>
          <w:rFonts w:eastAsia="Times New Roman" w:cs="Arial"/>
          <w:color w:val="000000"/>
          <w:szCs w:val="20"/>
          <w:lang w:eastAsia="bg-BG"/>
        </w:rPr>
        <w:t xml:space="preserve"> и поведение са съобщавани при пациенти, лекувани с антиепилептичен лекарствен продукт по различни показания. Мета анализ на рандомизирани, плацебо- контролирани проучвания на антиепилептични лекарствени продукти също показва малък, но повишен риск от суицидна </w:t>
      </w:r>
      <w:proofErr w:type="spellStart"/>
      <w:r w:rsidRPr="00EA6529">
        <w:rPr>
          <w:rFonts w:eastAsia="Times New Roman" w:cs="Arial"/>
          <w:color w:val="000000"/>
          <w:szCs w:val="20"/>
          <w:lang w:eastAsia="bg-BG"/>
        </w:rPr>
        <w:t>идеация</w:t>
      </w:r>
      <w:proofErr w:type="spellEnd"/>
      <w:r w:rsidRPr="00EA6529">
        <w:rPr>
          <w:rFonts w:eastAsia="Times New Roman" w:cs="Arial"/>
          <w:color w:val="000000"/>
          <w:szCs w:val="20"/>
          <w:lang w:eastAsia="bg-BG"/>
        </w:rPr>
        <w:t xml:space="preserve"> и поведение. Механизмът на този риск не е ясен и наличните данни не изключват възможността за повишен риск при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Затова пациентите трябва да бъдат проследявани за признаци на суицидна </w:t>
      </w:r>
      <w:proofErr w:type="spellStart"/>
      <w:r w:rsidRPr="00EA6529">
        <w:rPr>
          <w:rFonts w:eastAsia="Times New Roman" w:cs="Arial"/>
          <w:color w:val="000000"/>
          <w:szCs w:val="20"/>
          <w:lang w:eastAsia="bg-BG"/>
        </w:rPr>
        <w:t>идеация</w:t>
      </w:r>
      <w:proofErr w:type="spellEnd"/>
      <w:r w:rsidRPr="00EA6529">
        <w:rPr>
          <w:rFonts w:eastAsia="Times New Roman" w:cs="Arial"/>
          <w:color w:val="000000"/>
          <w:szCs w:val="20"/>
          <w:lang w:eastAsia="bg-BG"/>
        </w:rPr>
        <w:t xml:space="preserve"> и поведение и трябва да се предприеме </w:t>
      </w:r>
      <w:proofErr w:type="spellStart"/>
      <w:r w:rsidRPr="00EA6529">
        <w:rPr>
          <w:rFonts w:eastAsia="Times New Roman" w:cs="Arial"/>
          <w:color w:val="000000"/>
          <w:szCs w:val="20"/>
          <w:lang w:eastAsia="bg-BG"/>
        </w:rPr>
        <w:t>сътветното</w:t>
      </w:r>
      <w:proofErr w:type="spellEnd"/>
      <w:r w:rsidRPr="00EA6529">
        <w:rPr>
          <w:rFonts w:eastAsia="Times New Roman" w:cs="Arial"/>
          <w:color w:val="000000"/>
          <w:szCs w:val="20"/>
          <w:lang w:eastAsia="bg-BG"/>
        </w:rPr>
        <w:t xml:space="preserve"> лечение. На пациентите (и хората, които се грижат за тях) трябва да бъдат посъветвани да потърсят лекарски съвет, в случай че се появят признаци на суицидна </w:t>
      </w:r>
      <w:proofErr w:type="spellStart"/>
      <w:r w:rsidRPr="00EA6529">
        <w:rPr>
          <w:rFonts w:eastAsia="Times New Roman" w:cs="Arial"/>
          <w:color w:val="000000"/>
          <w:szCs w:val="20"/>
          <w:lang w:eastAsia="bg-BG"/>
        </w:rPr>
        <w:t>идеация</w:t>
      </w:r>
      <w:proofErr w:type="spellEnd"/>
      <w:r w:rsidRPr="00EA6529">
        <w:rPr>
          <w:rFonts w:eastAsia="Times New Roman" w:cs="Arial"/>
          <w:color w:val="000000"/>
          <w:szCs w:val="20"/>
          <w:lang w:eastAsia="bg-BG"/>
        </w:rPr>
        <w:t xml:space="preserve"> и поведение (вж. точка 4.8),</w:t>
      </w:r>
    </w:p>
    <w:p w14:paraId="294F1D20" w14:textId="77777777" w:rsidR="006E22F0" w:rsidRPr="00EA6529" w:rsidRDefault="006E22F0" w:rsidP="006E22F0">
      <w:pPr>
        <w:spacing w:line="240" w:lineRule="auto"/>
        <w:rPr>
          <w:rFonts w:eastAsia="Times New Roman" w:cs="Arial"/>
          <w:color w:val="000000"/>
          <w:szCs w:val="20"/>
          <w:u w:val="single"/>
          <w:lang w:eastAsia="bg-BG"/>
        </w:rPr>
      </w:pPr>
    </w:p>
    <w:p w14:paraId="03D02B3A" w14:textId="5BD22E82"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u w:val="single"/>
          <w:lang w:eastAsia="bg-BG"/>
        </w:rPr>
        <w:t>Сърдечен ритъм и проводимост</w:t>
      </w:r>
    </w:p>
    <w:p w14:paraId="71746764" w14:textId="77777777" w:rsidR="006E22F0" w:rsidRPr="00EA6529" w:rsidRDefault="006E22F0" w:rsidP="006E22F0">
      <w:pPr>
        <w:spacing w:line="240" w:lineRule="auto"/>
        <w:rPr>
          <w:rFonts w:eastAsia="Times New Roman" w:cs="Arial"/>
          <w:color w:val="000000"/>
          <w:szCs w:val="20"/>
          <w:lang w:eastAsia="bg-BG"/>
        </w:rPr>
      </w:pPr>
    </w:p>
    <w:p w14:paraId="64170A23" w14:textId="0D181F46"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По време на клиничните проучвания е наблюдавано свързано с дозата удължаване на </w:t>
      </w:r>
      <w:r w:rsidRPr="00EA6529">
        <w:rPr>
          <w:rFonts w:eastAsia="Times New Roman" w:cs="Arial"/>
          <w:color w:val="000000"/>
          <w:szCs w:val="20"/>
        </w:rPr>
        <w:t>PR</w:t>
      </w:r>
      <w:r w:rsidRPr="00EA6529">
        <w:rPr>
          <w:rFonts w:eastAsia="Times New Roman" w:cs="Arial"/>
          <w:color w:val="000000"/>
          <w:szCs w:val="20"/>
          <w:lang w:eastAsia="bg-BG"/>
        </w:rPr>
        <w:t xml:space="preserve">- интервала при прилагане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трябва да се прилага с повишено внимание при пациенти с подлежащи </w:t>
      </w:r>
      <w:proofErr w:type="spellStart"/>
      <w:r w:rsidRPr="00EA6529">
        <w:rPr>
          <w:rFonts w:eastAsia="Times New Roman" w:cs="Arial"/>
          <w:color w:val="000000"/>
          <w:szCs w:val="20"/>
          <w:lang w:eastAsia="bg-BG"/>
        </w:rPr>
        <w:t>проаритмични</w:t>
      </w:r>
      <w:proofErr w:type="spellEnd"/>
      <w:r w:rsidRPr="00EA6529">
        <w:rPr>
          <w:rFonts w:eastAsia="Times New Roman" w:cs="Arial"/>
          <w:color w:val="000000"/>
          <w:szCs w:val="20"/>
          <w:lang w:eastAsia="bg-BG"/>
        </w:rPr>
        <w:t xml:space="preserve"> състояния, като пациенти с известни проблеми на сърдечната проводимост или тежко сърдечно заболяване (напр. исхемия/инфаркт на миокарда, сърдечна недостатъчност, структурно сърдечно заболяване или сърдечни натриеви </w:t>
      </w:r>
      <w:proofErr w:type="spellStart"/>
      <w:r w:rsidRPr="00EA6529">
        <w:rPr>
          <w:rFonts w:eastAsia="Times New Roman" w:cs="Arial"/>
          <w:color w:val="000000"/>
          <w:szCs w:val="20"/>
          <w:lang w:eastAsia="bg-BG"/>
        </w:rPr>
        <w:t>каналопатии</w:t>
      </w:r>
      <w:proofErr w:type="spellEnd"/>
      <w:r w:rsidRPr="00EA6529">
        <w:rPr>
          <w:rFonts w:eastAsia="Times New Roman" w:cs="Arial"/>
          <w:color w:val="000000"/>
          <w:szCs w:val="20"/>
          <w:lang w:eastAsia="bg-BG"/>
        </w:rPr>
        <w:t xml:space="preserve">) или пациенти, лекувани с лекарствени продукти, засягащи сърдечната проводимост, включително </w:t>
      </w:r>
      <w:proofErr w:type="spellStart"/>
      <w:r w:rsidRPr="00EA6529">
        <w:rPr>
          <w:rFonts w:eastAsia="Times New Roman" w:cs="Arial"/>
          <w:color w:val="000000"/>
          <w:szCs w:val="20"/>
          <w:lang w:eastAsia="bg-BG"/>
        </w:rPr>
        <w:t>антиаритмични</w:t>
      </w:r>
      <w:proofErr w:type="spellEnd"/>
      <w:r w:rsidRPr="00EA6529">
        <w:rPr>
          <w:rFonts w:eastAsia="Times New Roman" w:cs="Arial"/>
          <w:color w:val="000000"/>
          <w:szCs w:val="20"/>
          <w:lang w:eastAsia="bg-BG"/>
        </w:rPr>
        <w:t xml:space="preserve"> средства и </w:t>
      </w:r>
      <w:r w:rsidRPr="00EA6529">
        <w:rPr>
          <w:rFonts w:eastAsia="Times New Roman" w:cs="Arial"/>
          <w:color w:val="000000"/>
          <w:szCs w:val="20"/>
          <w:lang w:eastAsia="bg-BG"/>
        </w:rPr>
        <w:lastRenderedPageBreak/>
        <w:t>антиепилептични лекарствени продукти, блокиращи натриевите канали (</w:t>
      </w:r>
      <w:proofErr w:type="spellStart"/>
      <w:r w:rsidRPr="00EA6529">
        <w:rPr>
          <w:rFonts w:eastAsia="Times New Roman" w:cs="Arial"/>
          <w:color w:val="000000"/>
          <w:szCs w:val="20"/>
          <w:lang w:eastAsia="bg-BG"/>
        </w:rPr>
        <w:t>вж.точка</w:t>
      </w:r>
      <w:proofErr w:type="spellEnd"/>
      <w:r w:rsidRPr="00EA6529">
        <w:rPr>
          <w:rFonts w:eastAsia="Times New Roman" w:cs="Arial"/>
          <w:color w:val="000000"/>
          <w:szCs w:val="20"/>
          <w:lang w:eastAsia="bg-BG"/>
        </w:rPr>
        <w:t xml:space="preserve"> 4.5), както и при пациенти в старческа възраст. При тези пациенти трябва да се обмисли извършване на ЕКГ преди увеличение на дозата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над 400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и след като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се </w:t>
      </w:r>
      <w:proofErr w:type="spellStart"/>
      <w:r w:rsidRPr="00EA6529">
        <w:rPr>
          <w:rFonts w:eastAsia="Times New Roman" w:cs="Arial"/>
          <w:color w:val="000000"/>
          <w:szCs w:val="20"/>
          <w:lang w:eastAsia="bg-BG"/>
        </w:rPr>
        <w:t>титрира</w:t>
      </w:r>
      <w:proofErr w:type="spellEnd"/>
      <w:r w:rsidRPr="00EA6529">
        <w:rPr>
          <w:rFonts w:eastAsia="Times New Roman" w:cs="Arial"/>
          <w:color w:val="000000"/>
          <w:szCs w:val="20"/>
          <w:lang w:eastAsia="bg-BG"/>
        </w:rPr>
        <w:t xml:space="preserve"> до стационарно състояние.</w:t>
      </w:r>
    </w:p>
    <w:p w14:paraId="070879E0" w14:textId="77777777" w:rsidR="006E22F0" w:rsidRPr="00EA6529" w:rsidRDefault="006E22F0" w:rsidP="006E22F0">
      <w:pPr>
        <w:spacing w:line="240" w:lineRule="auto"/>
        <w:rPr>
          <w:rFonts w:eastAsia="Times New Roman" w:cs="Arial"/>
          <w:color w:val="000000"/>
          <w:szCs w:val="20"/>
          <w:lang w:eastAsia="bg-BG"/>
        </w:rPr>
      </w:pPr>
    </w:p>
    <w:p w14:paraId="62ECD826" w14:textId="5B1D1DAE"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плацебо-контролирани проучвания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пациенти с епилепсия не се съобщава за </w:t>
      </w:r>
      <w:proofErr w:type="spellStart"/>
      <w:r w:rsidRPr="00EA6529">
        <w:rPr>
          <w:rFonts w:eastAsia="Times New Roman" w:cs="Arial"/>
          <w:color w:val="000000"/>
          <w:szCs w:val="20"/>
          <w:lang w:eastAsia="bg-BG"/>
        </w:rPr>
        <w:t>предсърдно</w:t>
      </w:r>
      <w:proofErr w:type="spellEnd"/>
      <w:r w:rsidRPr="00EA6529">
        <w:rPr>
          <w:rFonts w:eastAsia="Times New Roman" w:cs="Arial"/>
          <w:color w:val="000000"/>
          <w:szCs w:val="20"/>
          <w:lang w:eastAsia="bg-BG"/>
        </w:rPr>
        <w:t xml:space="preserve"> мъждене или трептене, но се съобщава в отворени проучвания за епилепсия и при </w:t>
      </w:r>
      <w:proofErr w:type="spellStart"/>
      <w:r w:rsidRPr="00EA6529">
        <w:rPr>
          <w:rFonts w:eastAsia="Times New Roman" w:cs="Arial"/>
          <w:color w:val="000000"/>
          <w:szCs w:val="20"/>
          <w:lang w:eastAsia="bg-BG"/>
        </w:rPr>
        <w:t>постмаркетинговия</w:t>
      </w:r>
      <w:proofErr w:type="spellEnd"/>
      <w:r w:rsidRPr="00EA6529">
        <w:rPr>
          <w:rFonts w:eastAsia="Times New Roman" w:cs="Arial"/>
          <w:color w:val="000000"/>
          <w:szCs w:val="20"/>
          <w:lang w:eastAsia="bg-BG"/>
        </w:rPr>
        <w:t xml:space="preserve"> опит.</w:t>
      </w:r>
    </w:p>
    <w:p w14:paraId="675AEE81" w14:textId="77777777" w:rsidR="006E22F0" w:rsidRPr="00EA6529" w:rsidRDefault="006E22F0" w:rsidP="006E22F0">
      <w:pPr>
        <w:spacing w:line="240" w:lineRule="auto"/>
        <w:rPr>
          <w:rFonts w:eastAsia="Times New Roman" w:cs="Arial"/>
          <w:color w:val="000000"/>
          <w:szCs w:val="20"/>
          <w:lang w:eastAsia="bg-BG"/>
        </w:rPr>
      </w:pPr>
    </w:p>
    <w:p w14:paraId="332D182D" w14:textId="6B383BCC"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w:t>
      </w:r>
      <w:proofErr w:type="spellStart"/>
      <w:r w:rsidRPr="00EA6529">
        <w:rPr>
          <w:rFonts w:eastAsia="Times New Roman" w:cs="Arial"/>
          <w:color w:val="000000"/>
          <w:szCs w:val="20"/>
          <w:lang w:eastAsia="bg-BG"/>
        </w:rPr>
        <w:t>постмаркетинговия</w:t>
      </w:r>
      <w:proofErr w:type="spellEnd"/>
      <w:r w:rsidRPr="00EA6529">
        <w:rPr>
          <w:rFonts w:eastAsia="Times New Roman" w:cs="Arial"/>
          <w:color w:val="000000"/>
          <w:szCs w:val="20"/>
          <w:lang w:eastAsia="bg-BG"/>
        </w:rPr>
        <w:t xml:space="preserve"> опит има съобщения за </w:t>
      </w:r>
      <w:r w:rsidRPr="00EA6529">
        <w:rPr>
          <w:rFonts w:eastAsia="Times New Roman" w:cs="Arial"/>
          <w:color w:val="000000"/>
          <w:szCs w:val="20"/>
        </w:rPr>
        <w:t xml:space="preserve">AV </w:t>
      </w:r>
      <w:r w:rsidRPr="00EA6529">
        <w:rPr>
          <w:rFonts w:eastAsia="Times New Roman" w:cs="Arial"/>
          <w:color w:val="000000"/>
          <w:szCs w:val="20"/>
          <w:lang w:eastAsia="bg-BG"/>
        </w:rPr>
        <w:t xml:space="preserve">блок (включително </w:t>
      </w:r>
      <w:r w:rsidRPr="00EA6529">
        <w:rPr>
          <w:rFonts w:eastAsia="Times New Roman" w:cs="Arial"/>
          <w:color w:val="000000"/>
          <w:szCs w:val="20"/>
        </w:rPr>
        <w:t xml:space="preserve">AV </w:t>
      </w:r>
      <w:r w:rsidRPr="00EA6529">
        <w:rPr>
          <w:rFonts w:eastAsia="Times New Roman" w:cs="Arial"/>
          <w:color w:val="000000"/>
          <w:szCs w:val="20"/>
          <w:lang w:eastAsia="bg-BG"/>
        </w:rPr>
        <w:t xml:space="preserve">блок втора степен или по-висока). При пациенти с </w:t>
      </w:r>
      <w:proofErr w:type="spellStart"/>
      <w:r w:rsidRPr="00EA6529">
        <w:rPr>
          <w:rFonts w:eastAsia="Times New Roman" w:cs="Arial"/>
          <w:color w:val="000000"/>
          <w:szCs w:val="20"/>
          <w:lang w:eastAsia="bg-BG"/>
        </w:rPr>
        <w:t>проаритмични</w:t>
      </w:r>
      <w:proofErr w:type="spellEnd"/>
      <w:r w:rsidRPr="00EA6529">
        <w:rPr>
          <w:rFonts w:eastAsia="Times New Roman" w:cs="Arial"/>
          <w:color w:val="000000"/>
          <w:szCs w:val="20"/>
          <w:lang w:eastAsia="bg-BG"/>
        </w:rPr>
        <w:t xml:space="preserve"> състояния е съобщена </w:t>
      </w:r>
      <w:proofErr w:type="spellStart"/>
      <w:r w:rsidRPr="00EA6529">
        <w:rPr>
          <w:rFonts w:eastAsia="Times New Roman" w:cs="Arial"/>
          <w:color w:val="000000"/>
          <w:szCs w:val="20"/>
          <w:lang w:eastAsia="bg-BG"/>
        </w:rPr>
        <w:t>вентрикуларна</w:t>
      </w:r>
      <w:proofErr w:type="spellEnd"/>
      <w:r w:rsidRPr="00EA6529">
        <w:rPr>
          <w:rFonts w:eastAsia="Times New Roman" w:cs="Arial"/>
          <w:color w:val="000000"/>
          <w:szCs w:val="20"/>
          <w:lang w:eastAsia="bg-BG"/>
        </w:rPr>
        <w:t xml:space="preserve"> </w:t>
      </w:r>
      <w:proofErr w:type="spellStart"/>
      <w:r w:rsidRPr="00EA6529">
        <w:rPr>
          <w:rFonts w:eastAsia="Times New Roman" w:cs="Arial"/>
          <w:color w:val="000000"/>
          <w:szCs w:val="20"/>
          <w:lang w:eastAsia="bg-BG"/>
        </w:rPr>
        <w:t>тахиаритмия</w:t>
      </w:r>
      <w:proofErr w:type="spellEnd"/>
      <w:r w:rsidRPr="00EA6529">
        <w:rPr>
          <w:rFonts w:eastAsia="Times New Roman" w:cs="Arial"/>
          <w:color w:val="000000"/>
          <w:szCs w:val="20"/>
          <w:lang w:eastAsia="bg-BG"/>
        </w:rPr>
        <w:t>.</w:t>
      </w:r>
    </w:p>
    <w:p w14:paraId="3F5ADE01" w14:textId="49734D24" w:rsidR="006E22F0" w:rsidRPr="00EA6529" w:rsidRDefault="006E22F0" w:rsidP="006E22F0">
      <w:pPr>
        <w:rPr>
          <w:rFonts w:eastAsia="Times New Roman" w:cs="Arial"/>
          <w:color w:val="000000"/>
          <w:szCs w:val="20"/>
          <w:lang w:eastAsia="bg-BG"/>
        </w:rPr>
      </w:pPr>
      <w:r w:rsidRPr="00EA6529">
        <w:rPr>
          <w:rFonts w:eastAsia="Times New Roman" w:cs="Arial"/>
          <w:color w:val="000000"/>
          <w:szCs w:val="20"/>
          <w:lang w:eastAsia="bg-BG"/>
        </w:rPr>
        <w:t xml:space="preserve">В редки случаи тези събития са довели до </w:t>
      </w:r>
      <w:proofErr w:type="spellStart"/>
      <w:r w:rsidRPr="00EA6529">
        <w:rPr>
          <w:rFonts w:eastAsia="Times New Roman" w:cs="Arial"/>
          <w:color w:val="000000"/>
          <w:szCs w:val="20"/>
          <w:lang w:eastAsia="bg-BG"/>
        </w:rPr>
        <w:t>асистолия</w:t>
      </w:r>
      <w:proofErr w:type="spellEnd"/>
      <w:r w:rsidRPr="00EA6529">
        <w:rPr>
          <w:rFonts w:eastAsia="Times New Roman" w:cs="Arial"/>
          <w:color w:val="000000"/>
          <w:szCs w:val="20"/>
          <w:lang w:eastAsia="bg-BG"/>
        </w:rPr>
        <w:t xml:space="preserve">, сърдечен арест и смърт при пациенти с подлежащи </w:t>
      </w:r>
      <w:proofErr w:type="spellStart"/>
      <w:r w:rsidRPr="00EA6529">
        <w:rPr>
          <w:rFonts w:eastAsia="Times New Roman" w:cs="Arial"/>
          <w:color w:val="000000"/>
          <w:szCs w:val="20"/>
          <w:lang w:eastAsia="bg-BG"/>
        </w:rPr>
        <w:t>проаритмични</w:t>
      </w:r>
      <w:proofErr w:type="spellEnd"/>
      <w:r w:rsidRPr="00EA6529">
        <w:rPr>
          <w:rFonts w:eastAsia="Times New Roman" w:cs="Arial"/>
          <w:color w:val="000000"/>
          <w:szCs w:val="20"/>
          <w:lang w:eastAsia="bg-BG"/>
        </w:rPr>
        <w:t xml:space="preserve"> състояния.</w:t>
      </w:r>
    </w:p>
    <w:p w14:paraId="67633285" w14:textId="63960D5A" w:rsidR="006E22F0" w:rsidRPr="00EA6529" w:rsidRDefault="006E22F0" w:rsidP="006E22F0">
      <w:pPr>
        <w:rPr>
          <w:rFonts w:eastAsia="Times New Roman" w:cs="Arial"/>
          <w:color w:val="000000"/>
          <w:szCs w:val="20"/>
          <w:lang w:eastAsia="bg-BG"/>
        </w:rPr>
      </w:pPr>
    </w:p>
    <w:p w14:paraId="205B318A" w14:textId="77777777"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Пациентите трябва да са запознати със симптомите на сърдечна аритмия (напр. бавен, бърз или неравномерен пулс, </w:t>
      </w:r>
      <w:proofErr w:type="spellStart"/>
      <w:r w:rsidRPr="00EA6529">
        <w:rPr>
          <w:rFonts w:eastAsia="Times New Roman" w:cs="Arial"/>
          <w:color w:val="000000"/>
          <w:szCs w:val="20"/>
          <w:lang w:eastAsia="bg-BG"/>
        </w:rPr>
        <w:t>палпитации</w:t>
      </w:r>
      <w:proofErr w:type="spellEnd"/>
      <w:r w:rsidRPr="00EA6529">
        <w:rPr>
          <w:rFonts w:eastAsia="Times New Roman" w:cs="Arial"/>
          <w:color w:val="000000"/>
          <w:szCs w:val="20"/>
          <w:lang w:eastAsia="bg-BG"/>
        </w:rPr>
        <w:t>, задух, чувство на замаяност и припадък). Пациентите трябва да се посъветват да търсят незабавно медицинска помощ, ако тези симптоми се появят.</w:t>
      </w:r>
    </w:p>
    <w:p w14:paraId="74A7F6E0" w14:textId="77777777" w:rsidR="006E22F0" w:rsidRPr="00EA6529" w:rsidRDefault="006E22F0" w:rsidP="006E22F0">
      <w:pPr>
        <w:spacing w:line="240" w:lineRule="auto"/>
        <w:rPr>
          <w:rFonts w:ascii="Times New Roman" w:eastAsia="Times New Roman" w:hAnsi="Times New Roman" w:cs="Times New Roman"/>
          <w:color w:val="000000"/>
          <w:sz w:val="20"/>
          <w:szCs w:val="20"/>
          <w:u w:val="single"/>
          <w:lang w:eastAsia="bg-BG"/>
        </w:rPr>
      </w:pPr>
    </w:p>
    <w:p w14:paraId="658833DA" w14:textId="60BE03E3"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u w:val="single"/>
          <w:lang w:eastAsia="bg-BG"/>
        </w:rPr>
        <w:t>Замаяност</w:t>
      </w:r>
    </w:p>
    <w:p w14:paraId="04C76CE6" w14:textId="77777777" w:rsidR="006E22F0" w:rsidRPr="00EA6529" w:rsidRDefault="006E22F0" w:rsidP="006E22F0">
      <w:pPr>
        <w:spacing w:line="240" w:lineRule="auto"/>
        <w:rPr>
          <w:rFonts w:eastAsia="Times New Roman" w:cs="Arial"/>
          <w:color w:val="000000"/>
          <w:szCs w:val="20"/>
          <w:lang w:eastAsia="bg-BG"/>
        </w:rPr>
      </w:pPr>
    </w:p>
    <w:p w14:paraId="353A1F4B" w14:textId="6AB6E04A"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Лечението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се свързва със замаяност, която може да повиши случаите на случайно нараняване или падане. Затова на пациентите трябва да се обърне внимание да бъдат особено внимателни, докато разберат потенциалните ефекти на лекарството (вж. точка 4.8).</w:t>
      </w:r>
    </w:p>
    <w:p w14:paraId="0B5E0A05" w14:textId="77777777" w:rsidR="006E22F0" w:rsidRPr="00EA6529" w:rsidRDefault="006E22F0" w:rsidP="006E22F0">
      <w:pPr>
        <w:spacing w:line="240" w:lineRule="auto"/>
        <w:rPr>
          <w:rFonts w:eastAsia="Times New Roman" w:cs="Arial"/>
          <w:color w:val="000000"/>
          <w:szCs w:val="20"/>
          <w:u w:val="single"/>
          <w:lang w:eastAsia="bg-BG"/>
        </w:rPr>
      </w:pPr>
    </w:p>
    <w:p w14:paraId="11CF45B5" w14:textId="71A96A40"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u w:val="single"/>
          <w:lang w:eastAsia="bg-BG"/>
        </w:rPr>
        <w:t xml:space="preserve">Потенциал за възобновяване или влошаване на </w:t>
      </w:r>
      <w:proofErr w:type="spellStart"/>
      <w:r w:rsidRPr="00EA6529">
        <w:rPr>
          <w:rFonts w:eastAsia="Times New Roman" w:cs="Arial"/>
          <w:color w:val="000000"/>
          <w:szCs w:val="20"/>
          <w:u w:val="single"/>
          <w:lang w:eastAsia="bg-BG"/>
        </w:rPr>
        <w:t>миоклонични</w:t>
      </w:r>
      <w:proofErr w:type="spellEnd"/>
      <w:r w:rsidRPr="00EA6529">
        <w:rPr>
          <w:rFonts w:eastAsia="Times New Roman" w:cs="Arial"/>
          <w:color w:val="000000"/>
          <w:szCs w:val="20"/>
          <w:u w:val="single"/>
          <w:lang w:eastAsia="bg-BG"/>
        </w:rPr>
        <w:t xml:space="preserve"> пристъпи</w:t>
      </w:r>
    </w:p>
    <w:p w14:paraId="4066D759" w14:textId="77777777" w:rsidR="006E22F0" w:rsidRPr="00EA6529" w:rsidRDefault="006E22F0" w:rsidP="006E22F0">
      <w:pPr>
        <w:rPr>
          <w:rFonts w:eastAsia="Times New Roman" w:cs="Arial"/>
          <w:color w:val="000000"/>
          <w:szCs w:val="20"/>
          <w:lang w:eastAsia="bg-BG"/>
        </w:rPr>
      </w:pPr>
    </w:p>
    <w:p w14:paraId="0E8B2B43" w14:textId="34FAA9EB" w:rsidR="006E22F0" w:rsidRPr="00EA6529" w:rsidRDefault="006E22F0" w:rsidP="006E22F0">
      <w:pPr>
        <w:rPr>
          <w:rFonts w:eastAsia="Times New Roman" w:cs="Arial"/>
          <w:color w:val="000000"/>
          <w:szCs w:val="20"/>
          <w:lang w:eastAsia="bg-BG"/>
        </w:rPr>
      </w:pPr>
      <w:r w:rsidRPr="00EA6529">
        <w:rPr>
          <w:rFonts w:eastAsia="Times New Roman" w:cs="Arial"/>
          <w:color w:val="000000"/>
          <w:szCs w:val="20"/>
          <w:lang w:eastAsia="bg-BG"/>
        </w:rPr>
        <w:t xml:space="preserve">Съобщено е възобновяване или влошаване на </w:t>
      </w:r>
      <w:proofErr w:type="spellStart"/>
      <w:r w:rsidRPr="00EA6529">
        <w:rPr>
          <w:rFonts w:eastAsia="Times New Roman" w:cs="Arial"/>
          <w:color w:val="000000"/>
          <w:szCs w:val="20"/>
          <w:lang w:eastAsia="bg-BG"/>
        </w:rPr>
        <w:t>миоклонични</w:t>
      </w:r>
      <w:proofErr w:type="spellEnd"/>
      <w:r w:rsidRPr="00EA6529">
        <w:rPr>
          <w:rFonts w:eastAsia="Times New Roman" w:cs="Arial"/>
          <w:color w:val="000000"/>
          <w:szCs w:val="20"/>
          <w:lang w:eastAsia="bg-BG"/>
        </w:rPr>
        <w:t xml:space="preserve"> пристъпи както при възрастни, така и при педиатрични пациенти с ПГТКП, по-специално по време на титриране. При пациенти с повече от един тип пристъпи, наблюдаваните ползи от контролирането на пристъп от един тип, трябва да се съпостави с всички наблюдавани признаци на влошаване по отношение на пристъп от друг тип.</w:t>
      </w:r>
    </w:p>
    <w:p w14:paraId="0F5568F3" w14:textId="5AA7FE2E" w:rsidR="006E22F0" w:rsidRPr="00EA6529" w:rsidRDefault="006E22F0" w:rsidP="006E22F0">
      <w:pPr>
        <w:rPr>
          <w:rFonts w:eastAsia="Times New Roman" w:cs="Arial"/>
          <w:color w:val="000000"/>
          <w:szCs w:val="20"/>
          <w:lang w:eastAsia="bg-BG"/>
        </w:rPr>
      </w:pPr>
    </w:p>
    <w:p w14:paraId="7C31692B" w14:textId="77777777"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u w:val="single"/>
          <w:lang w:eastAsia="bg-BG"/>
        </w:rPr>
        <w:t>Потенциал за електро-клинично влошаване при специфични синдроми на педиатрична епилепсия</w:t>
      </w:r>
    </w:p>
    <w:p w14:paraId="03625FF2" w14:textId="77777777" w:rsidR="006E22F0" w:rsidRPr="00EA6529" w:rsidRDefault="006E22F0" w:rsidP="006E22F0">
      <w:pPr>
        <w:rPr>
          <w:rFonts w:eastAsia="Times New Roman" w:cs="Arial"/>
          <w:color w:val="000000"/>
          <w:szCs w:val="20"/>
          <w:lang w:eastAsia="bg-BG"/>
        </w:rPr>
      </w:pPr>
    </w:p>
    <w:p w14:paraId="79CF049F" w14:textId="6C284664" w:rsidR="006E22F0" w:rsidRPr="00EA6529" w:rsidRDefault="006E22F0" w:rsidP="006E22F0">
      <w:pPr>
        <w:rPr>
          <w:rFonts w:eastAsia="Times New Roman" w:cs="Arial"/>
          <w:color w:val="000000"/>
          <w:sz w:val="28"/>
          <w:szCs w:val="20"/>
          <w:lang w:eastAsia="bg-BG"/>
        </w:rPr>
      </w:pPr>
      <w:r w:rsidRPr="00EA6529">
        <w:rPr>
          <w:rFonts w:eastAsia="Times New Roman" w:cs="Arial"/>
          <w:color w:val="000000"/>
          <w:szCs w:val="20"/>
          <w:lang w:eastAsia="bg-BG"/>
        </w:rPr>
        <w:t xml:space="preserve">Безопасността и ефикасността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педиатрични пациенти със синдроми на епилепсия, при които е възможно едновременно съществуване на </w:t>
      </w:r>
      <w:proofErr w:type="spellStart"/>
      <w:r w:rsidRPr="00EA6529">
        <w:rPr>
          <w:rFonts w:eastAsia="Times New Roman" w:cs="Arial"/>
          <w:color w:val="000000"/>
          <w:szCs w:val="20"/>
          <w:lang w:eastAsia="bg-BG"/>
        </w:rPr>
        <w:t>фокални</w:t>
      </w:r>
      <w:proofErr w:type="spellEnd"/>
      <w:r w:rsidRPr="00EA6529">
        <w:rPr>
          <w:rFonts w:eastAsia="Times New Roman" w:cs="Arial"/>
          <w:color w:val="000000"/>
          <w:szCs w:val="20"/>
          <w:lang w:eastAsia="bg-BG"/>
        </w:rPr>
        <w:t xml:space="preserve"> и генерализирани пристъпи, не е установена.</w:t>
      </w:r>
    </w:p>
    <w:p w14:paraId="17E6D222" w14:textId="77777777" w:rsidR="006E22F0" w:rsidRPr="00EA6529" w:rsidRDefault="006E22F0" w:rsidP="006E22F0"/>
    <w:p w14:paraId="619DED1E" w14:textId="1796E946" w:rsidR="004F498A" w:rsidRPr="00EA6529" w:rsidRDefault="002C50EE" w:rsidP="004A448E">
      <w:pPr>
        <w:pStyle w:val="Heading2"/>
      </w:pPr>
      <w:r w:rsidRPr="00EA6529">
        <w:t>4.5. Взаимодействие с други лекарствени продукти и други форми на</w:t>
      </w:r>
      <w:r w:rsidR="004F1CE7" w:rsidRPr="00EA6529">
        <w:t xml:space="preserve"> взаимодействие</w:t>
      </w:r>
      <w:r w:rsidRPr="00EA6529">
        <w:t xml:space="preserve"> </w:t>
      </w:r>
    </w:p>
    <w:p w14:paraId="137FDD1A" w14:textId="2B51EA8A" w:rsidR="006E22F0" w:rsidRPr="00EA6529" w:rsidRDefault="006E22F0" w:rsidP="006E22F0"/>
    <w:p w14:paraId="6B81C233" w14:textId="77777777" w:rsidR="006E22F0" w:rsidRPr="00EA6529" w:rsidRDefault="006E22F0" w:rsidP="006E22F0">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трябва да се използва с повишено внимание при пациенти, лекувани с лекарствени продукти, свързани с удължаване на </w:t>
      </w:r>
      <w:r w:rsidRPr="00EA6529">
        <w:rPr>
          <w:rFonts w:eastAsia="Times New Roman" w:cs="Arial"/>
          <w:color w:val="000000"/>
          <w:szCs w:val="20"/>
        </w:rPr>
        <w:t>PR</w:t>
      </w:r>
      <w:r w:rsidRPr="00EA6529">
        <w:rPr>
          <w:rFonts w:eastAsia="Times New Roman" w:cs="Arial"/>
          <w:color w:val="000000"/>
          <w:szCs w:val="20"/>
          <w:lang w:eastAsia="bg-BG"/>
        </w:rPr>
        <w:t xml:space="preserve">-интервала (включително антиепилептични лекарствени продукти, блокиращи натриевите канали) и при пациенти, лекувани с </w:t>
      </w:r>
      <w:proofErr w:type="spellStart"/>
      <w:r w:rsidRPr="00EA6529">
        <w:rPr>
          <w:rFonts w:eastAsia="Times New Roman" w:cs="Arial"/>
          <w:color w:val="000000"/>
          <w:szCs w:val="20"/>
          <w:lang w:eastAsia="bg-BG"/>
        </w:rPr>
        <w:t>антиаритмични</w:t>
      </w:r>
      <w:proofErr w:type="spellEnd"/>
      <w:r w:rsidRPr="00EA6529">
        <w:rPr>
          <w:rFonts w:eastAsia="Times New Roman" w:cs="Arial"/>
          <w:color w:val="000000"/>
          <w:szCs w:val="20"/>
          <w:lang w:eastAsia="bg-BG"/>
        </w:rPr>
        <w:t xml:space="preserve"> средства. Въпреки това анализът по подгрупи в клинични </w:t>
      </w:r>
      <w:r w:rsidRPr="00EA6529">
        <w:rPr>
          <w:rFonts w:eastAsia="Times New Roman" w:cs="Arial"/>
          <w:color w:val="000000"/>
          <w:szCs w:val="20"/>
          <w:lang w:eastAsia="bg-BG"/>
        </w:rPr>
        <w:lastRenderedPageBreak/>
        <w:t xml:space="preserve">проучвания не установява повишено удължаване на </w:t>
      </w:r>
      <w:r w:rsidRPr="00EA6529">
        <w:rPr>
          <w:rFonts w:eastAsia="Times New Roman" w:cs="Arial"/>
          <w:color w:val="000000"/>
          <w:szCs w:val="20"/>
        </w:rPr>
        <w:t>PR</w:t>
      </w:r>
      <w:r w:rsidRPr="00EA6529">
        <w:rPr>
          <w:rFonts w:eastAsia="Times New Roman" w:cs="Arial"/>
          <w:color w:val="000000"/>
          <w:szCs w:val="20"/>
          <w:lang w:eastAsia="bg-BG"/>
        </w:rPr>
        <w:t xml:space="preserve">-интервала при съвместна употреба на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или </w:t>
      </w:r>
      <w:proofErr w:type="spellStart"/>
      <w:r w:rsidRPr="00EA6529">
        <w:rPr>
          <w:rFonts w:eastAsia="Times New Roman" w:cs="Arial"/>
          <w:color w:val="000000"/>
          <w:szCs w:val="20"/>
          <w:lang w:eastAsia="bg-BG"/>
        </w:rPr>
        <w:t>ламотригин</w:t>
      </w:r>
      <w:proofErr w:type="spellEnd"/>
      <w:r w:rsidRPr="00EA6529">
        <w:rPr>
          <w:rFonts w:eastAsia="Times New Roman" w:cs="Arial"/>
          <w:color w:val="000000"/>
          <w:szCs w:val="20"/>
          <w:lang w:eastAsia="bg-BG"/>
        </w:rPr>
        <w:t>.</w:t>
      </w:r>
    </w:p>
    <w:p w14:paraId="01E0A855" w14:textId="77777777" w:rsidR="006E22F0" w:rsidRPr="00EA6529" w:rsidRDefault="006E22F0" w:rsidP="006E22F0">
      <w:pPr>
        <w:spacing w:line="240" w:lineRule="auto"/>
        <w:rPr>
          <w:rFonts w:eastAsia="Times New Roman" w:cs="Arial"/>
          <w:i/>
          <w:iCs/>
          <w:color w:val="000000"/>
          <w:szCs w:val="20"/>
          <w:u w:val="single"/>
        </w:rPr>
      </w:pPr>
    </w:p>
    <w:p w14:paraId="6C0416C9" w14:textId="6814D29C" w:rsidR="006E22F0" w:rsidRPr="00EA6529" w:rsidRDefault="006E22F0" w:rsidP="006E22F0">
      <w:pPr>
        <w:spacing w:line="240" w:lineRule="auto"/>
        <w:rPr>
          <w:rFonts w:eastAsia="Times New Roman" w:cs="Arial"/>
          <w:sz w:val="28"/>
          <w:szCs w:val="24"/>
          <w:lang w:eastAsia="bg-BG"/>
        </w:rPr>
      </w:pPr>
      <w:proofErr w:type="spellStart"/>
      <w:r w:rsidRPr="00EA6529">
        <w:rPr>
          <w:rFonts w:eastAsia="Times New Roman" w:cs="Arial"/>
          <w:i/>
          <w:iCs/>
          <w:color w:val="000000"/>
          <w:szCs w:val="20"/>
          <w:u w:val="single"/>
        </w:rPr>
        <w:t>In</w:t>
      </w:r>
      <w:proofErr w:type="spellEnd"/>
      <w:r w:rsidRPr="00EA6529">
        <w:rPr>
          <w:rFonts w:eastAsia="Times New Roman" w:cs="Arial"/>
          <w:i/>
          <w:iCs/>
          <w:color w:val="000000"/>
          <w:szCs w:val="20"/>
          <w:u w:val="single"/>
        </w:rPr>
        <w:t xml:space="preserve"> </w:t>
      </w:r>
      <w:proofErr w:type="spellStart"/>
      <w:r w:rsidRPr="00EA6529">
        <w:rPr>
          <w:rFonts w:eastAsia="Times New Roman" w:cs="Arial"/>
          <w:i/>
          <w:iCs/>
          <w:color w:val="000000"/>
          <w:szCs w:val="20"/>
          <w:u w:val="single"/>
        </w:rPr>
        <w:t>vitro</w:t>
      </w:r>
      <w:proofErr w:type="spellEnd"/>
      <w:r w:rsidRPr="00EA6529">
        <w:rPr>
          <w:rFonts w:eastAsia="Times New Roman" w:cs="Arial"/>
          <w:color w:val="000000"/>
          <w:szCs w:val="20"/>
          <w:u w:val="single"/>
        </w:rPr>
        <w:t xml:space="preserve"> </w:t>
      </w:r>
      <w:r w:rsidRPr="00EA6529">
        <w:rPr>
          <w:rFonts w:eastAsia="Times New Roman" w:cs="Arial"/>
          <w:color w:val="000000"/>
          <w:szCs w:val="20"/>
          <w:u w:val="single"/>
          <w:lang w:eastAsia="bg-BG"/>
        </w:rPr>
        <w:t>данни</w:t>
      </w:r>
    </w:p>
    <w:p w14:paraId="73EB0B63" w14:textId="77777777"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Най-общо, данните предполагат, че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има нисък потенциал за взаимодействие с други лекарствени продукти. </w:t>
      </w:r>
      <w:proofErr w:type="spellStart"/>
      <w:r w:rsidRPr="00EA6529">
        <w:rPr>
          <w:rFonts w:eastAsia="Times New Roman" w:cs="Arial"/>
          <w:i/>
          <w:iCs/>
          <w:color w:val="000000"/>
          <w:szCs w:val="20"/>
        </w:rPr>
        <w:t>In</w:t>
      </w:r>
      <w:proofErr w:type="spellEnd"/>
      <w:r w:rsidRPr="00EA6529">
        <w:rPr>
          <w:rFonts w:eastAsia="Times New Roman" w:cs="Arial"/>
          <w:i/>
          <w:iCs/>
          <w:color w:val="000000"/>
          <w:szCs w:val="20"/>
        </w:rPr>
        <w:t xml:space="preserve"> </w:t>
      </w:r>
      <w:proofErr w:type="spellStart"/>
      <w:r w:rsidRPr="00EA6529">
        <w:rPr>
          <w:rFonts w:eastAsia="Times New Roman" w:cs="Arial"/>
          <w:i/>
          <w:iCs/>
          <w:color w:val="000000"/>
          <w:szCs w:val="20"/>
        </w:rPr>
        <w:t>vitro</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проучванията показват, че ензимите </w:t>
      </w:r>
      <w:r w:rsidRPr="00EA6529">
        <w:rPr>
          <w:rFonts w:eastAsia="Times New Roman" w:cs="Arial"/>
          <w:color w:val="000000"/>
          <w:szCs w:val="20"/>
        </w:rPr>
        <w:t>CYP1</w:t>
      </w:r>
      <w:r w:rsidRPr="00EA6529">
        <w:rPr>
          <w:rFonts w:eastAsia="Times New Roman" w:cs="Arial"/>
          <w:color w:val="000000"/>
          <w:szCs w:val="20"/>
          <w:lang w:eastAsia="bg-BG"/>
        </w:rPr>
        <w:t xml:space="preserve">А2, </w:t>
      </w:r>
      <w:r w:rsidRPr="00EA6529">
        <w:rPr>
          <w:rFonts w:eastAsia="Times New Roman" w:cs="Arial"/>
          <w:color w:val="000000"/>
          <w:szCs w:val="20"/>
        </w:rPr>
        <w:t xml:space="preserve">CYP2B6 </w:t>
      </w:r>
      <w:r w:rsidRPr="00EA6529">
        <w:rPr>
          <w:rFonts w:eastAsia="Times New Roman" w:cs="Arial"/>
          <w:color w:val="000000"/>
          <w:szCs w:val="20"/>
          <w:lang w:eastAsia="bg-BG"/>
        </w:rPr>
        <w:t xml:space="preserve">и </w:t>
      </w:r>
      <w:r w:rsidRPr="00EA6529">
        <w:rPr>
          <w:rFonts w:eastAsia="Times New Roman" w:cs="Arial"/>
          <w:color w:val="000000"/>
          <w:szCs w:val="20"/>
        </w:rPr>
        <w:t xml:space="preserve">CYP2C9 </w:t>
      </w:r>
      <w:r w:rsidRPr="00EA6529">
        <w:rPr>
          <w:rFonts w:eastAsia="Times New Roman" w:cs="Arial"/>
          <w:color w:val="000000"/>
          <w:szCs w:val="20"/>
          <w:lang w:eastAsia="bg-BG"/>
        </w:rPr>
        <w:t xml:space="preserve">не се индуцират, </w:t>
      </w:r>
      <w:r w:rsidRPr="00EA6529">
        <w:rPr>
          <w:rFonts w:eastAsia="Times New Roman" w:cs="Arial"/>
          <w:color w:val="000000"/>
          <w:szCs w:val="20"/>
        </w:rPr>
        <w:t xml:space="preserve">a CYP1A1, CYP1A2, CYP2A6, CYP2B6, CYP2C8, CYP2C9, CYP2D6 </w:t>
      </w:r>
      <w:r w:rsidRPr="00EA6529">
        <w:rPr>
          <w:rFonts w:eastAsia="Times New Roman" w:cs="Arial"/>
          <w:color w:val="000000"/>
          <w:szCs w:val="20"/>
          <w:lang w:eastAsia="bg-BG"/>
        </w:rPr>
        <w:t xml:space="preserve">и </w:t>
      </w:r>
      <w:r w:rsidRPr="00EA6529">
        <w:rPr>
          <w:rFonts w:eastAsia="Times New Roman" w:cs="Arial"/>
          <w:color w:val="000000"/>
          <w:szCs w:val="20"/>
        </w:rPr>
        <w:t xml:space="preserve">CYP2E1 </w:t>
      </w:r>
      <w:r w:rsidRPr="00EA6529">
        <w:rPr>
          <w:rFonts w:eastAsia="Times New Roman" w:cs="Arial"/>
          <w:color w:val="000000"/>
          <w:szCs w:val="20"/>
          <w:lang w:eastAsia="bg-BG"/>
        </w:rPr>
        <w:t xml:space="preserve">не се инхибират от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плазмени концентрации, наблюдавани по време на клиничните проучвания. </w:t>
      </w:r>
      <w:proofErr w:type="spellStart"/>
      <w:r w:rsidRPr="00EA6529">
        <w:rPr>
          <w:rFonts w:eastAsia="Times New Roman" w:cs="Arial"/>
          <w:i/>
          <w:iCs/>
          <w:color w:val="000000"/>
          <w:szCs w:val="20"/>
        </w:rPr>
        <w:t>In</w:t>
      </w:r>
      <w:proofErr w:type="spellEnd"/>
      <w:r w:rsidRPr="00EA6529">
        <w:rPr>
          <w:rFonts w:eastAsia="Times New Roman" w:cs="Arial"/>
          <w:i/>
          <w:iCs/>
          <w:color w:val="000000"/>
          <w:szCs w:val="20"/>
        </w:rPr>
        <w:t xml:space="preserve"> </w:t>
      </w:r>
      <w:proofErr w:type="spellStart"/>
      <w:r w:rsidRPr="00EA6529">
        <w:rPr>
          <w:rFonts w:eastAsia="Times New Roman" w:cs="Arial"/>
          <w:i/>
          <w:iCs/>
          <w:color w:val="000000"/>
          <w:szCs w:val="20"/>
        </w:rPr>
        <w:t>vitro</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проучванията показват, че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не се транспортира чрез Р-</w:t>
      </w:r>
      <w:proofErr w:type="spellStart"/>
      <w:r w:rsidRPr="00EA6529">
        <w:rPr>
          <w:rFonts w:eastAsia="Times New Roman" w:cs="Arial"/>
          <w:color w:val="000000"/>
          <w:szCs w:val="20"/>
          <w:lang w:eastAsia="bg-BG"/>
        </w:rPr>
        <w:t>гликопротеин</w:t>
      </w:r>
      <w:proofErr w:type="spellEnd"/>
      <w:r w:rsidRPr="00EA6529">
        <w:rPr>
          <w:rFonts w:eastAsia="Times New Roman" w:cs="Arial"/>
          <w:color w:val="000000"/>
          <w:szCs w:val="20"/>
          <w:lang w:eastAsia="bg-BG"/>
        </w:rPr>
        <w:t xml:space="preserve"> в червата. </w:t>
      </w:r>
      <w:proofErr w:type="spellStart"/>
      <w:r w:rsidRPr="00EA6529">
        <w:rPr>
          <w:rFonts w:eastAsia="Times New Roman" w:cs="Arial"/>
          <w:i/>
          <w:iCs/>
          <w:color w:val="000000"/>
          <w:szCs w:val="20"/>
        </w:rPr>
        <w:t>In</w:t>
      </w:r>
      <w:proofErr w:type="spellEnd"/>
      <w:r w:rsidRPr="00EA6529">
        <w:rPr>
          <w:rFonts w:eastAsia="Times New Roman" w:cs="Arial"/>
          <w:i/>
          <w:iCs/>
          <w:color w:val="000000"/>
          <w:szCs w:val="20"/>
        </w:rPr>
        <w:t xml:space="preserve"> </w:t>
      </w:r>
      <w:proofErr w:type="spellStart"/>
      <w:r w:rsidRPr="00EA6529">
        <w:rPr>
          <w:rFonts w:eastAsia="Times New Roman" w:cs="Arial"/>
          <w:i/>
          <w:iCs/>
          <w:color w:val="000000"/>
          <w:szCs w:val="20"/>
        </w:rPr>
        <w:t>vitro</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данните показват, че </w:t>
      </w:r>
      <w:r w:rsidRPr="00EA6529">
        <w:rPr>
          <w:rFonts w:eastAsia="Times New Roman" w:cs="Arial"/>
          <w:color w:val="000000"/>
          <w:szCs w:val="20"/>
        </w:rPr>
        <w:t xml:space="preserve">CYP2C9, CYP2C19 </w:t>
      </w:r>
      <w:r w:rsidRPr="00EA6529">
        <w:rPr>
          <w:rFonts w:eastAsia="Times New Roman" w:cs="Arial"/>
          <w:color w:val="000000"/>
          <w:szCs w:val="20"/>
          <w:lang w:eastAsia="bg-BG"/>
        </w:rPr>
        <w:t xml:space="preserve">и </w:t>
      </w:r>
      <w:r w:rsidRPr="00EA6529">
        <w:rPr>
          <w:rFonts w:eastAsia="Times New Roman" w:cs="Arial"/>
          <w:color w:val="000000"/>
          <w:szCs w:val="20"/>
        </w:rPr>
        <w:t xml:space="preserve">CYP3A4 </w:t>
      </w:r>
      <w:r w:rsidRPr="00EA6529">
        <w:rPr>
          <w:rFonts w:eastAsia="Times New Roman" w:cs="Arial"/>
          <w:color w:val="000000"/>
          <w:szCs w:val="20"/>
          <w:lang w:eastAsia="bg-BG"/>
        </w:rPr>
        <w:t>могат да катализират образуването на О-</w:t>
      </w:r>
      <w:proofErr w:type="spellStart"/>
      <w:r w:rsidRPr="00EA6529">
        <w:rPr>
          <w:rFonts w:eastAsia="Times New Roman" w:cs="Arial"/>
          <w:color w:val="000000"/>
          <w:szCs w:val="20"/>
          <w:lang w:eastAsia="bg-BG"/>
        </w:rPr>
        <w:t>дезметил</w:t>
      </w:r>
      <w:proofErr w:type="spellEnd"/>
      <w:r w:rsidRPr="00EA6529">
        <w:rPr>
          <w:rFonts w:eastAsia="Times New Roman" w:cs="Arial"/>
          <w:color w:val="000000"/>
          <w:szCs w:val="20"/>
          <w:lang w:eastAsia="bg-BG"/>
        </w:rPr>
        <w:t xml:space="preserve"> метаболита.</w:t>
      </w:r>
    </w:p>
    <w:p w14:paraId="65280677" w14:textId="77777777" w:rsidR="006E22F0" w:rsidRPr="00EA6529" w:rsidRDefault="006E22F0" w:rsidP="006E22F0">
      <w:pPr>
        <w:spacing w:line="240" w:lineRule="auto"/>
        <w:rPr>
          <w:rFonts w:eastAsia="Times New Roman" w:cs="Arial"/>
          <w:i/>
          <w:iCs/>
          <w:color w:val="000000"/>
          <w:szCs w:val="20"/>
          <w:u w:val="single"/>
        </w:rPr>
      </w:pPr>
    </w:p>
    <w:p w14:paraId="1B20C43C" w14:textId="22A66972" w:rsidR="006E22F0" w:rsidRPr="00EA6529" w:rsidRDefault="006E22F0" w:rsidP="006E22F0">
      <w:pPr>
        <w:spacing w:line="240" w:lineRule="auto"/>
        <w:rPr>
          <w:rFonts w:eastAsia="Times New Roman" w:cs="Arial"/>
          <w:sz w:val="28"/>
          <w:szCs w:val="24"/>
          <w:lang w:eastAsia="bg-BG"/>
        </w:rPr>
      </w:pPr>
      <w:proofErr w:type="spellStart"/>
      <w:r w:rsidRPr="00EA6529">
        <w:rPr>
          <w:rFonts w:eastAsia="Times New Roman" w:cs="Arial"/>
          <w:i/>
          <w:iCs/>
          <w:color w:val="000000"/>
          <w:szCs w:val="20"/>
          <w:u w:val="single"/>
        </w:rPr>
        <w:t>In</w:t>
      </w:r>
      <w:proofErr w:type="spellEnd"/>
      <w:r w:rsidRPr="00EA6529">
        <w:rPr>
          <w:rFonts w:eastAsia="Times New Roman" w:cs="Arial"/>
          <w:i/>
          <w:iCs/>
          <w:color w:val="000000"/>
          <w:szCs w:val="20"/>
          <w:u w:val="single"/>
        </w:rPr>
        <w:t xml:space="preserve"> </w:t>
      </w:r>
      <w:proofErr w:type="spellStart"/>
      <w:r w:rsidRPr="00EA6529">
        <w:rPr>
          <w:rFonts w:eastAsia="Times New Roman" w:cs="Arial"/>
          <w:i/>
          <w:iCs/>
          <w:color w:val="000000"/>
          <w:szCs w:val="20"/>
          <w:u w:val="single"/>
        </w:rPr>
        <w:t>vivo</w:t>
      </w:r>
      <w:proofErr w:type="spellEnd"/>
      <w:r w:rsidRPr="00EA6529">
        <w:rPr>
          <w:rFonts w:eastAsia="Times New Roman" w:cs="Arial"/>
          <w:color w:val="000000"/>
          <w:szCs w:val="20"/>
          <w:u w:val="single"/>
        </w:rPr>
        <w:t xml:space="preserve"> </w:t>
      </w:r>
      <w:r w:rsidRPr="00EA6529">
        <w:rPr>
          <w:rFonts w:eastAsia="Times New Roman" w:cs="Arial"/>
          <w:color w:val="000000"/>
          <w:szCs w:val="20"/>
          <w:u w:val="single"/>
          <w:lang w:eastAsia="bg-BG"/>
        </w:rPr>
        <w:t>данни</w:t>
      </w:r>
    </w:p>
    <w:p w14:paraId="53150198" w14:textId="77777777" w:rsidR="006E22F0" w:rsidRPr="00EA6529" w:rsidRDefault="006E22F0" w:rsidP="006E22F0">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не инхибира или индуцира до значима клинична степен ензима </w:t>
      </w:r>
      <w:r w:rsidRPr="00EA6529">
        <w:rPr>
          <w:rFonts w:eastAsia="Times New Roman" w:cs="Arial"/>
          <w:color w:val="000000"/>
          <w:szCs w:val="20"/>
        </w:rPr>
        <w:t xml:space="preserve">CYP2C19 </w:t>
      </w:r>
      <w:r w:rsidRPr="00EA6529">
        <w:rPr>
          <w:rFonts w:eastAsia="Times New Roman" w:cs="Arial"/>
          <w:color w:val="000000"/>
          <w:szCs w:val="20"/>
          <w:lang w:eastAsia="bg-BG"/>
        </w:rPr>
        <w:t xml:space="preserve">и </w:t>
      </w:r>
      <w:r w:rsidRPr="00EA6529">
        <w:rPr>
          <w:rFonts w:eastAsia="Times New Roman" w:cs="Arial"/>
          <w:color w:val="000000"/>
          <w:szCs w:val="20"/>
        </w:rPr>
        <w:t xml:space="preserve">CYP3A4.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не повлиява </w:t>
      </w:r>
      <w:r w:rsidRPr="00EA6529">
        <w:rPr>
          <w:rFonts w:eastAsia="Times New Roman" w:cs="Arial"/>
          <w:color w:val="000000"/>
          <w:szCs w:val="20"/>
        </w:rPr>
        <w:t xml:space="preserve">AUC </w:t>
      </w:r>
      <w:r w:rsidRPr="00EA6529">
        <w:rPr>
          <w:rFonts w:eastAsia="Times New Roman" w:cs="Arial"/>
          <w:color w:val="000000"/>
          <w:szCs w:val="20"/>
          <w:lang w:eastAsia="bg-BG"/>
        </w:rPr>
        <w:t>на мидазолам (</w:t>
      </w:r>
      <w:proofErr w:type="spellStart"/>
      <w:r w:rsidRPr="00EA6529">
        <w:rPr>
          <w:rFonts w:eastAsia="Times New Roman" w:cs="Arial"/>
          <w:color w:val="000000"/>
          <w:szCs w:val="20"/>
          <w:lang w:eastAsia="bg-BG"/>
        </w:rPr>
        <w:t>метаболизиращ</w:t>
      </w:r>
      <w:proofErr w:type="spellEnd"/>
      <w:r w:rsidRPr="00EA6529">
        <w:rPr>
          <w:rFonts w:eastAsia="Times New Roman" w:cs="Arial"/>
          <w:color w:val="000000"/>
          <w:szCs w:val="20"/>
          <w:lang w:eastAsia="bg-BG"/>
        </w:rPr>
        <w:t xml:space="preserve"> се от СУРЗА4, като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прилаган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два пъти на ден), но </w:t>
      </w:r>
      <w:proofErr w:type="spellStart"/>
      <w:r w:rsidRPr="00EA6529">
        <w:rPr>
          <w:rFonts w:eastAsia="Times New Roman" w:cs="Arial"/>
          <w:color w:val="000000"/>
          <w:szCs w:val="20"/>
          <w:lang w:eastAsia="bg-BG"/>
        </w:rPr>
        <w:t>С</w:t>
      </w:r>
      <w:r w:rsidRPr="00EA6529">
        <w:rPr>
          <w:rFonts w:eastAsia="Times New Roman" w:cs="Arial"/>
          <w:color w:val="000000"/>
          <w:szCs w:val="20"/>
          <w:vertAlign w:val="subscript"/>
        </w:rPr>
        <w:t>max</w:t>
      </w:r>
      <w:proofErr w:type="spellEnd"/>
      <w:r w:rsidRPr="00EA6529">
        <w:rPr>
          <w:rFonts w:eastAsia="Times New Roman" w:cs="Arial"/>
          <w:color w:val="000000"/>
          <w:szCs w:val="20"/>
          <w:lang w:eastAsia="bg-BG"/>
        </w:rPr>
        <w:t xml:space="preserve"> на мидазолам е леко увеличена (30%).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не повлиява фармакокинетиката на </w:t>
      </w:r>
      <w:proofErr w:type="spellStart"/>
      <w:r w:rsidRPr="00EA6529">
        <w:rPr>
          <w:rFonts w:eastAsia="Times New Roman" w:cs="Arial"/>
          <w:color w:val="000000"/>
          <w:szCs w:val="20"/>
          <w:lang w:eastAsia="bg-BG"/>
        </w:rPr>
        <w:t>омепразол</w:t>
      </w:r>
      <w:proofErr w:type="spellEnd"/>
      <w:r w:rsidRPr="00EA6529">
        <w:rPr>
          <w:rFonts w:eastAsia="Times New Roman" w:cs="Arial"/>
          <w:color w:val="000000"/>
          <w:szCs w:val="20"/>
          <w:lang w:eastAsia="bg-BG"/>
        </w:rPr>
        <w:t xml:space="preserve"> (</w:t>
      </w:r>
      <w:proofErr w:type="spellStart"/>
      <w:r w:rsidRPr="00EA6529">
        <w:rPr>
          <w:rFonts w:eastAsia="Times New Roman" w:cs="Arial"/>
          <w:color w:val="000000"/>
          <w:szCs w:val="20"/>
          <w:lang w:eastAsia="bg-BG"/>
        </w:rPr>
        <w:t>метаболизиращ</w:t>
      </w:r>
      <w:proofErr w:type="spellEnd"/>
      <w:r w:rsidRPr="00EA6529">
        <w:rPr>
          <w:rFonts w:eastAsia="Times New Roman" w:cs="Arial"/>
          <w:color w:val="000000"/>
          <w:szCs w:val="20"/>
          <w:lang w:eastAsia="bg-BG"/>
        </w:rPr>
        <w:t xml:space="preserve"> се от </w:t>
      </w:r>
      <w:r w:rsidRPr="00EA6529">
        <w:rPr>
          <w:rFonts w:eastAsia="Times New Roman" w:cs="Arial"/>
          <w:color w:val="000000"/>
          <w:szCs w:val="20"/>
        </w:rPr>
        <w:t xml:space="preserve">CYP2C19 </w:t>
      </w:r>
      <w:r w:rsidRPr="00EA6529">
        <w:rPr>
          <w:rFonts w:eastAsia="Times New Roman" w:cs="Arial"/>
          <w:color w:val="000000"/>
          <w:szCs w:val="20"/>
          <w:lang w:eastAsia="bg-BG"/>
        </w:rPr>
        <w:t xml:space="preserve">и </w:t>
      </w:r>
      <w:r w:rsidRPr="00EA6529">
        <w:rPr>
          <w:rFonts w:eastAsia="Times New Roman" w:cs="Arial"/>
          <w:color w:val="000000"/>
          <w:szCs w:val="20"/>
        </w:rPr>
        <w:t xml:space="preserve">CYP3A4, </w:t>
      </w:r>
      <w:r w:rsidRPr="00EA6529">
        <w:rPr>
          <w:rFonts w:eastAsia="Times New Roman" w:cs="Arial"/>
          <w:color w:val="000000"/>
          <w:szCs w:val="20"/>
          <w:lang w:eastAsia="bg-BG"/>
        </w:rPr>
        <w:t xml:space="preserve">като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прилаган 300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два пъти на ден).</w:t>
      </w:r>
    </w:p>
    <w:p w14:paraId="7B95CD52" w14:textId="77777777" w:rsidR="006E22F0" w:rsidRPr="00EA6529" w:rsidRDefault="006E22F0" w:rsidP="006E22F0">
      <w:pPr>
        <w:spacing w:line="240" w:lineRule="auto"/>
        <w:rPr>
          <w:rFonts w:eastAsia="Times New Roman" w:cs="Arial"/>
          <w:color w:val="000000"/>
          <w:szCs w:val="20"/>
          <w:lang w:eastAsia="bg-BG"/>
        </w:rPr>
      </w:pPr>
    </w:p>
    <w:p w14:paraId="67EB0F37" w14:textId="4B8D0215"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Инхибиторът на </w:t>
      </w:r>
      <w:r w:rsidRPr="00EA6529">
        <w:rPr>
          <w:rFonts w:eastAsia="Times New Roman" w:cs="Arial"/>
          <w:color w:val="000000"/>
          <w:szCs w:val="20"/>
        </w:rPr>
        <w:t xml:space="preserve">CYP2C19, </w:t>
      </w:r>
      <w:proofErr w:type="spellStart"/>
      <w:r w:rsidRPr="00EA6529">
        <w:rPr>
          <w:rFonts w:eastAsia="Times New Roman" w:cs="Arial"/>
          <w:color w:val="000000"/>
          <w:szCs w:val="20"/>
          <w:lang w:eastAsia="bg-BG"/>
        </w:rPr>
        <w:t>омепразол</w:t>
      </w:r>
      <w:proofErr w:type="spellEnd"/>
      <w:r w:rsidRPr="00EA6529">
        <w:rPr>
          <w:rFonts w:eastAsia="Times New Roman" w:cs="Arial"/>
          <w:color w:val="000000"/>
          <w:szCs w:val="20"/>
          <w:lang w:eastAsia="bg-BG"/>
        </w:rPr>
        <w:t xml:space="preserve"> (40</w:t>
      </w:r>
      <w:r w:rsidRPr="00EA6529">
        <w:rPr>
          <w:rFonts w:eastAsia="Times New Roman" w:cs="Arial"/>
          <w:color w:val="000000"/>
          <w:szCs w:val="20"/>
        </w:rPr>
        <w:t xml:space="preserve">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дневно), не води до повишение на клинично значима промяна в експозицията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Ето защо умерените инхибитори на </w:t>
      </w:r>
      <w:r w:rsidRPr="00EA6529">
        <w:rPr>
          <w:rFonts w:eastAsia="Times New Roman" w:cs="Arial"/>
          <w:color w:val="000000"/>
          <w:szCs w:val="20"/>
        </w:rPr>
        <w:t xml:space="preserve">CYP2C19 </w:t>
      </w:r>
      <w:r w:rsidRPr="00EA6529">
        <w:rPr>
          <w:rFonts w:eastAsia="Times New Roman" w:cs="Arial"/>
          <w:color w:val="000000"/>
          <w:szCs w:val="20"/>
          <w:lang w:eastAsia="bg-BG"/>
        </w:rPr>
        <w:t xml:space="preserve">е малко вероятно да повлияят до клинично значима степен системната експозиция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w:t>
      </w:r>
    </w:p>
    <w:p w14:paraId="47BC6131" w14:textId="77777777" w:rsidR="006E22F0" w:rsidRPr="00EA6529" w:rsidRDefault="006E22F0" w:rsidP="006E22F0">
      <w:pPr>
        <w:rPr>
          <w:rFonts w:eastAsia="Times New Roman" w:cs="Arial"/>
          <w:color w:val="000000"/>
          <w:szCs w:val="20"/>
          <w:lang w:eastAsia="bg-BG"/>
        </w:rPr>
      </w:pPr>
    </w:p>
    <w:p w14:paraId="009F7D8A" w14:textId="20177B2E" w:rsidR="006E22F0" w:rsidRPr="00EA6529" w:rsidRDefault="006E22F0" w:rsidP="006E22F0">
      <w:pPr>
        <w:rPr>
          <w:rFonts w:eastAsia="Times New Roman" w:cs="Arial"/>
          <w:color w:val="000000"/>
          <w:szCs w:val="20"/>
          <w:lang w:eastAsia="bg-BG"/>
        </w:rPr>
      </w:pPr>
      <w:r w:rsidRPr="00EA6529">
        <w:rPr>
          <w:rFonts w:eastAsia="Times New Roman" w:cs="Arial"/>
          <w:color w:val="000000"/>
          <w:szCs w:val="20"/>
          <w:lang w:eastAsia="bg-BG"/>
        </w:rPr>
        <w:t xml:space="preserve">Препоръчва се повишено внимание при съпътстващо лечение с мощни инхибитори на </w:t>
      </w:r>
      <w:r w:rsidRPr="00EA6529">
        <w:rPr>
          <w:rFonts w:eastAsia="Times New Roman" w:cs="Arial"/>
          <w:color w:val="000000"/>
          <w:szCs w:val="20"/>
        </w:rPr>
        <w:t xml:space="preserve">CYP2C9 </w:t>
      </w:r>
      <w:r w:rsidRPr="00EA6529">
        <w:rPr>
          <w:rFonts w:eastAsia="Times New Roman" w:cs="Arial"/>
          <w:color w:val="000000"/>
          <w:szCs w:val="20"/>
          <w:lang w:eastAsia="bg-BG"/>
        </w:rPr>
        <w:t xml:space="preserve">(напр. </w:t>
      </w:r>
      <w:proofErr w:type="spellStart"/>
      <w:r w:rsidRPr="00EA6529">
        <w:rPr>
          <w:rFonts w:eastAsia="Times New Roman" w:cs="Arial"/>
          <w:color w:val="000000"/>
          <w:szCs w:val="20"/>
          <w:lang w:eastAsia="bg-BG"/>
        </w:rPr>
        <w:t>флуконазол</w:t>
      </w:r>
      <w:proofErr w:type="spellEnd"/>
      <w:r w:rsidRPr="00EA6529">
        <w:rPr>
          <w:rFonts w:eastAsia="Times New Roman" w:cs="Arial"/>
          <w:color w:val="000000"/>
          <w:szCs w:val="20"/>
          <w:lang w:eastAsia="bg-BG"/>
        </w:rPr>
        <w:t xml:space="preserve">) и </w:t>
      </w:r>
      <w:r w:rsidRPr="00EA6529">
        <w:rPr>
          <w:rFonts w:eastAsia="Times New Roman" w:cs="Arial"/>
          <w:color w:val="000000"/>
          <w:szCs w:val="20"/>
        </w:rPr>
        <w:t xml:space="preserve">CYP3A4 </w:t>
      </w:r>
      <w:r w:rsidRPr="00EA6529">
        <w:rPr>
          <w:rFonts w:eastAsia="Times New Roman" w:cs="Arial"/>
          <w:color w:val="000000"/>
          <w:szCs w:val="20"/>
          <w:lang w:eastAsia="bg-BG"/>
        </w:rPr>
        <w:t xml:space="preserve">(напр. </w:t>
      </w:r>
      <w:proofErr w:type="spellStart"/>
      <w:r w:rsidRPr="00EA6529">
        <w:rPr>
          <w:rFonts w:eastAsia="Times New Roman" w:cs="Arial"/>
          <w:color w:val="000000"/>
          <w:szCs w:val="20"/>
          <w:lang w:eastAsia="bg-BG"/>
        </w:rPr>
        <w:t>итраконазол</w:t>
      </w:r>
      <w:proofErr w:type="spellEnd"/>
      <w:r w:rsidRPr="00EA6529">
        <w:rPr>
          <w:rFonts w:eastAsia="Times New Roman" w:cs="Arial"/>
          <w:color w:val="000000"/>
          <w:szCs w:val="20"/>
          <w:lang w:eastAsia="bg-BG"/>
        </w:rPr>
        <w:t xml:space="preserve">, </w:t>
      </w:r>
      <w:proofErr w:type="spellStart"/>
      <w:r w:rsidRPr="00EA6529">
        <w:rPr>
          <w:rFonts w:eastAsia="Times New Roman" w:cs="Arial"/>
          <w:color w:val="000000"/>
          <w:szCs w:val="20"/>
          <w:lang w:eastAsia="bg-BG"/>
        </w:rPr>
        <w:t>кетоконазол</w:t>
      </w:r>
      <w:proofErr w:type="spellEnd"/>
      <w:r w:rsidRPr="00EA6529">
        <w:rPr>
          <w:rFonts w:eastAsia="Times New Roman" w:cs="Arial"/>
          <w:color w:val="000000"/>
          <w:szCs w:val="20"/>
          <w:lang w:eastAsia="bg-BG"/>
        </w:rPr>
        <w:t xml:space="preserve">, ритонавир, </w:t>
      </w:r>
      <w:proofErr w:type="spellStart"/>
      <w:r w:rsidRPr="00EA6529">
        <w:rPr>
          <w:rFonts w:eastAsia="Times New Roman" w:cs="Arial"/>
          <w:color w:val="000000"/>
          <w:szCs w:val="20"/>
          <w:lang w:eastAsia="bg-BG"/>
        </w:rPr>
        <w:t>кларитромицин</w:t>
      </w:r>
      <w:proofErr w:type="spellEnd"/>
      <w:r w:rsidRPr="00EA6529">
        <w:rPr>
          <w:rFonts w:eastAsia="Times New Roman" w:cs="Arial"/>
          <w:color w:val="000000"/>
          <w:szCs w:val="20"/>
          <w:lang w:eastAsia="bg-BG"/>
        </w:rPr>
        <w:t xml:space="preserve">), което може да доведе до повишаване на системната експозиция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Такива взаимодействия не са установени </w:t>
      </w:r>
      <w:proofErr w:type="spellStart"/>
      <w:r w:rsidRPr="00EA6529">
        <w:rPr>
          <w:rFonts w:eastAsia="Times New Roman" w:cs="Arial"/>
          <w:i/>
          <w:iCs/>
          <w:color w:val="000000"/>
          <w:szCs w:val="20"/>
        </w:rPr>
        <w:t>in</w:t>
      </w:r>
      <w:proofErr w:type="spellEnd"/>
      <w:r w:rsidRPr="00EA6529">
        <w:rPr>
          <w:rFonts w:eastAsia="Times New Roman" w:cs="Arial"/>
          <w:i/>
          <w:iCs/>
          <w:color w:val="000000"/>
          <w:szCs w:val="20"/>
        </w:rPr>
        <w:t xml:space="preserve"> </w:t>
      </w:r>
      <w:proofErr w:type="spellStart"/>
      <w:r w:rsidRPr="00EA6529">
        <w:rPr>
          <w:rFonts w:eastAsia="Times New Roman" w:cs="Arial"/>
          <w:i/>
          <w:iCs/>
          <w:color w:val="000000"/>
          <w:szCs w:val="20"/>
        </w:rPr>
        <w:t>vivo</w:t>
      </w:r>
      <w:proofErr w:type="spellEnd"/>
      <w:r w:rsidRPr="00EA6529">
        <w:rPr>
          <w:rFonts w:eastAsia="Times New Roman" w:cs="Arial"/>
          <w:i/>
          <w:iCs/>
          <w:color w:val="000000"/>
          <w:szCs w:val="20"/>
        </w:rPr>
        <w:t xml:space="preserve">, </w:t>
      </w:r>
      <w:r w:rsidRPr="00EA6529">
        <w:rPr>
          <w:rFonts w:eastAsia="Times New Roman" w:cs="Arial"/>
          <w:i/>
          <w:iCs/>
          <w:color w:val="000000"/>
          <w:szCs w:val="20"/>
          <w:lang w:eastAsia="bg-BG"/>
        </w:rPr>
        <w:t>но</w:t>
      </w:r>
      <w:r w:rsidRPr="00EA6529">
        <w:rPr>
          <w:rFonts w:eastAsia="Times New Roman" w:cs="Arial"/>
          <w:color w:val="000000"/>
          <w:szCs w:val="20"/>
          <w:lang w:eastAsia="bg-BG"/>
        </w:rPr>
        <w:t xml:space="preserve"> са възможни въз основата на </w:t>
      </w:r>
      <w:proofErr w:type="spellStart"/>
      <w:r w:rsidRPr="00EA6529">
        <w:rPr>
          <w:rFonts w:eastAsia="Times New Roman" w:cs="Arial"/>
          <w:i/>
          <w:iCs/>
          <w:color w:val="000000"/>
          <w:szCs w:val="20"/>
        </w:rPr>
        <w:t>in</w:t>
      </w:r>
      <w:proofErr w:type="spellEnd"/>
      <w:r w:rsidRPr="00EA6529">
        <w:rPr>
          <w:rFonts w:eastAsia="Times New Roman" w:cs="Arial"/>
          <w:i/>
          <w:iCs/>
          <w:color w:val="000000"/>
          <w:szCs w:val="20"/>
        </w:rPr>
        <w:t xml:space="preserve"> </w:t>
      </w:r>
      <w:proofErr w:type="spellStart"/>
      <w:r w:rsidRPr="00EA6529">
        <w:rPr>
          <w:rFonts w:eastAsia="Times New Roman" w:cs="Arial"/>
          <w:i/>
          <w:iCs/>
          <w:color w:val="000000"/>
          <w:szCs w:val="20"/>
        </w:rPr>
        <w:t>vitro</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данни.</w:t>
      </w:r>
    </w:p>
    <w:p w14:paraId="3FDD4D7B" w14:textId="27F2433F" w:rsidR="006E22F0" w:rsidRPr="00EA6529" w:rsidRDefault="006E22F0" w:rsidP="006E22F0">
      <w:pPr>
        <w:rPr>
          <w:rFonts w:eastAsia="Times New Roman" w:cs="Arial"/>
          <w:color w:val="000000"/>
          <w:szCs w:val="20"/>
          <w:lang w:eastAsia="bg-BG"/>
        </w:rPr>
      </w:pPr>
    </w:p>
    <w:p w14:paraId="1B19EBBC" w14:textId="77777777" w:rsidR="006E22F0" w:rsidRPr="00EA6529" w:rsidRDefault="006E22F0" w:rsidP="006E22F0">
      <w:pPr>
        <w:rPr>
          <w:rFonts w:cs="Arial"/>
          <w:sz w:val="24"/>
        </w:rPr>
      </w:pPr>
      <w:r w:rsidRPr="00EA6529">
        <w:rPr>
          <w:rFonts w:cs="Arial"/>
          <w:szCs w:val="20"/>
        </w:rPr>
        <w:t xml:space="preserve">Мощните ензимни индуктори като </w:t>
      </w:r>
      <w:proofErr w:type="spellStart"/>
      <w:r w:rsidRPr="00EA6529">
        <w:rPr>
          <w:rFonts w:cs="Arial"/>
          <w:szCs w:val="20"/>
        </w:rPr>
        <w:t>рифампицин</w:t>
      </w:r>
      <w:proofErr w:type="spellEnd"/>
      <w:r w:rsidRPr="00EA6529">
        <w:rPr>
          <w:rFonts w:cs="Arial"/>
          <w:szCs w:val="20"/>
        </w:rPr>
        <w:t xml:space="preserve"> или жълт кантарион </w:t>
      </w:r>
      <w:r w:rsidRPr="00EA6529">
        <w:rPr>
          <w:rFonts w:cs="Arial"/>
          <w:i/>
          <w:iCs/>
          <w:szCs w:val="20"/>
        </w:rPr>
        <w:t>(</w:t>
      </w:r>
      <w:proofErr w:type="spellStart"/>
      <w:r w:rsidRPr="00EA6529">
        <w:rPr>
          <w:rFonts w:cs="Arial"/>
          <w:i/>
          <w:iCs/>
          <w:szCs w:val="20"/>
        </w:rPr>
        <w:t>Hypericum</w:t>
      </w:r>
      <w:proofErr w:type="spellEnd"/>
      <w:r w:rsidRPr="00EA6529">
        <w:rPr>
          <w:rFonts w:cs="Arial"/>
          <w:i/>
          <w:iCs/>
          <w:szCs w:val="20"/>
        </w:rPr>
        <w:t xml:space="preserve"> </w:t>
      </w:r>
      <w:proofErr w:type="spellStart"/>
      <w:r w:rsidRPr="00EA6529">
        <w:rPr>
          <w:rFonts w:cs="Arial"/>
          <w:i/>
          <w:iCs/>
          <w:szCs w:val="20"/>
        </w:rPr>
        <w:t>perforatum</w:t>
      </w:r>
      <w:proofErr w:type="spellEnd"/>
      <w:r w:rsidRPr="00EA6529">
        <w:rPr>
          <w:rFonts w:cs="Arial"/>
          <w:i/>
          <w:iCs/>
          <w:szCs w:val="20"/>
        </w:rPr>
        <w:t xml:space="preserve">) </w:t>
      </w:r>
      <w:r w:rsidRPr="00EA6529">
        <w:rPr>
          <w:rFonts w:cs="Arial"/>
          <w:szCs w:val="20"/>
        </w:rPr>
        <w:t xml:space="preserve">могат умерено да намалят системната експозиция на </w:t>
      </w:r>
      <w:proofErr w:type="spellStart"/>
      <w:r w:rsidRPr="00EA6529">
        <w:rPr>
          <w:rFonts w:cs="Arial"/>
          <w:szCs w:val="20"/>
        </w:rPr>
        <w:t>лакозамид</w:t>
      </w:r>
      <w:proofErr w:type="spellEnd"/>
      <w:r w:rsidRPr="00EA6529">
        <w:rPr>
          <w:rFonts w:cs="Arial"/>
          <w:szCs w:val="20"/>
        </w:rPr>
        <w:t>. Започването или спирането на лечение с тези ензимни индуктори трябва да се извършва с внимание.</w:t>
      </w:r>
    </w:p>
    <w:p w14:paraId="616B23E1" w14:textId="77777777" w:rsidR="006E22F0" w:rsidRPr="00EA6529" w:rsidRDefault="006E22F0" w:rsidP="006E22F0">
      <w:pPr>
        <w:rPr>
          <w:rFonts w:cs="Arial"/>
          <w:szCs w:val="20"/>
          <w:u w:val="single"/>
        </w:rPr>
      </w:pPr>
    </w:p>
    <w:p w14:paraId="4C754A03" w14:textId="3E370FEF" w:rsidR="006E22F0" w:rsidRPr="00EA6529" w:rsidRDefault="006E22F0" w:rsidP="006E22F0">
      <w:pPr>
        <w:rPr>
          <w:rFonts w:cs="Arial"/>
          <w:sz w:val="24"/>
        </w:rPr>
      </w:pPr>
      <w:r w:rsidRPr="00EA6529">
        <w:rPr>
          <w:rFonts w:cs="Arial"/>
          <w:szCs w:val="20"/>
          <w:u w:val="single"/>
        </w:rPr>
        <w:t>Антиепилептични лекарствени продукти</w:t>
      </w:r>
    </w:p>
    <w:p w14:paraId="140AA061" w14:textId="664C69B2" w:rsidR="006E22F0" w:rsidRPr="00EA6529" w:rsidRDefault="006E22F0" w:rsidP="006E22F0">
      <w:pPr>
        <w:rPr>
          <w:rFonts w:cs="Arial"/>
          <w:szCs w:val="20"/>
        </w:rPr>
      </w:pPr>
      <w:r w:rsidRPr="00EA6529">
        <w:rPr>
          <w:rFonts w:cs="Arial"/>
          <w:szCs w:val="20"/>
        </w:rPr>
        <w:t xml:space="preserve">По време на проучвания за лекарствени взаимодействия </w:t>
      </w:r>
      <w:proofErr w:type="spellStart"/>
      <w:r w:rsidRPr="00EA6529">
        <w:rPr>
          <w:rFonts w:cs="Arial"/>
          <w:szCs w:val="20"/>
        </w:rPr>
        <w:t>лакозамид</w:t>
      </w:r>
      <w:proofErr w:type="spellEnd"/>
      <w:r w:rsidRPr="00EA6529">
        <w:rPr>
          <w:rFonts w:cs="Arial"/>
          <w:szCs w:val="20"/>
        </w:rPr>
        <w:t xml:space="preserve"> не повлиява значително плазмените концентрации на </w:t>
      </w:r>
      <w:proofErr w:type="spellStart"/>
      <w:r w:rsidRPr="00EA6529">
        <w:rPr>
          <w:rFonts w:cs="Arial"/>
          <w:szCs w:val="20"/>
        </w:rPr>
        <w:t>карбамазепин</w:t>
      </w:r>
      <w:proofErr w:type="spellEnd"/>
      <w:r w:rsidRPr="00EA6529">
        <w:rPr>
          <w:rFonts w:cs="Arial"/>
          <w:szCs w:val="20"/>
        </w:rPr>
        <w:t xml:space="preserve"> и </w:t>
      </w:r>
      <w:proofErr w:type="spellStart"/>
      <w:r w:rsidRPr="00EA6529">
        <w:rPr>
          <w:rFonts w:cs="Arial"/>
          <w:szCs w:val="20"/>
        </w:rPr>
        <w:t>валпроева</w:t>
      </w:r>
      <w:proofErr w:type="spellEnd"/>
      <w:r w:rsidRPr="00EA6529">
        <w:rPr>
          <w:rFonts w:cs="Arial"/>
          <w:szCs w:val="20"/>
        </w:rPr>
        <w:t xml:space="preserve"> киселина. Плазмените концентрации на </w:t>
      </w:r>
      <w:proofErr w:type="spellStart"/>
      <w:r w:rsidRPr="00EA6529">
        <w:rPr>
          <w:rFonts w:cs="Arial"/>
          <w:szCs w:val="20"/>
        </w:rPr>
        <w:t>лакозамид</w:t>
      </w:r>
      <w:proofErr w:type="spellEnd"/>
      <w:r w:rsidRPr="00EA6529">
        <w:rPr>
          <w:rFonts w:cs="Arial"/>
          <w:szCs w:val="20"/>
        </w:rPr>
        <w:t xml:space="preserve"> не се повлияват от </w:t>
      </w:r>
      <w:proofErr w:type="spellStart"/>
      <w:r w:rsidRPr="00EA6529">
        <w:rPr>
          <w:rFonts w:cs="Arial"/>
          <w:szCs w:val="20"/>
        </w:rPr>
        <w:t>карбамазепин</w:t>
      </w:r>
      <w:proofErr w:type="spellEnd"/>
      <w:r w:rsidRPr="00EA6529">
        <w:rPr>
          <w:rFonts w:cs="Arial"/>
          <w:szCs w:val="20"/>
        </w:rPr>
        <w:t xml:space="preserve"> и </w:t>
      </w:r>
      <w:proofErr w:type="spellStart"/>
      <w:r w:rsidRPr="00EA6529">
        <w:rPr>
          <w:rFonts w:cs="Arial"/>
          <w:szCs w:val="20"/>
        </w:rPr>
        <w:t>валпроева</w:t>
      </w:r>
      <w:proofErr w:type="spellEnd"/>
      <w:r w:rsidRPr="00EA6529">
        <w:rPr>
          <w:rFonts w:cs="Arial"/>
          <w:szCs w:val="20"/>
        </w:rPr>
        <w:t xml:space="preserve"> киселина. </w:t>
      </w:r>
      <w:proofErr w:type="spellStart"/>
      <w:r w:rsidRPr="00EA6529">
        <w:rPr>
          <w:rFonts w:cs="Arial"/>
          <w:szCs w:val="20"/>
        </w:rPr>
        <w:t>Популационни</w:t>
      </w:r>
      <w:proofErr w:type="spellEnd"/>
      <w:r w:rsidRPr="00EA6529">
        <w:rPr>
          <w:rFonts w:cs="Arial"/>
          <w:szCs w:val="20"/>
        </w:rPr>
        <w:t xml:space="preserve"> </w:t>
      </w:r>
      <w:proofErr w:type="spellStart"/>
      <w:r w:rsidRPr="00EA6529">
        <w:rPr>
          <w:rFonts w:cs="Arial"/>
          <w:szCs w:val="20"/>
        </w:rPr>
        <w:t>фармакокинетични</w:t>
      </w:r>
      <w:proofErr w:type="spellEnd"/>
      <w:r w:rsidRPr="00EA6529">
        <w:rPr>
          <w:rFonts w:cs="Arial"/>
          <w:szCs w:val="20"/>
        </w:rPr>
        <w:t xml:space="preserve"> анализи в различни възрастови групи установяват, че едновременното лечение с други антиепилептични лекарствени продукти, известни като ензимни индуктори (</w:t>
      </w:r>
      <w:proofErr w:type="spellStart"/>
      <w:r w:rsidRPr="00EA6529">
        <w:rPr>
          <w:rFonts w:cs="Arial"/>
          <w:szCs w:val="20"/>
        </w:rPr>
        <w:t>карбамазепин</w:t>
      </w:r>
      <w:proofErr w:type="spellEnd"/>
      <w:r w:rsidRPr="00EA6529">
        <w:rPr>
          <w:rFonts w:cs="Arial"/>
          <w:szCs w:val="20"/>
        </w:rPr>
        <w:t xml:space="preserve">, </w:t>
      </w:r>
      <w:proofErr w:type="spellStart"/>
      <w:r w:rsidRPr="00EA6529">
        <w:rPr>
          <w:rFonts w:cs="Arial"/>
          <w:szCs w:val="20"/>
        </w:rPr>
        <w:t>фенитоин</w:t>
      </w:r>
      <w:proofErr w:type="spellEnd"/>
      <w:r w:rsidRPr="00EA6529">
        <w:rPr>
          <w:rFonts w:cs="Arial"/>
          <w:szCs w:val="20"/>
        </w:rPr>
        <w:t xml:space="preserve">, </w:t>
      </w:r>
      <w:proofErr w:type="spellStart"/>
      <w:r w:rsidRPr="00EA6529">
        <w:rPr>
          <w:rFonts w:cs="Arial"/>
          <w:szCs w:val="20"/>
        </w:rPr>
        <w:t>фенобарбитал</w:t>
      </w:r>
      <w:proofErr w:type="spellEnd"/>
      <w:r w:rsidRPr="00EA6529">
        <w:rPr>
          <w:rFonts w:cs="Arial"/>
          <w:szCs w:val="20"/>
        </w:rPr>
        <w:t xml:space="preserve"> в различни дози) понижава с 25%  общата системна експозиция на </w:t>
      </w:r>
      <w:proofErr w:type="spellStart"/>
      <w:r w:rsidRPr="00EA6529">
        <w:rPr>
          <w:rFonts w:cs="Arial"/>
          <w:szCs w:val="20"/>
        </w:rPr>
        <w:t>лакозамид</w:t>
      </w:r>
      <w:proofErr w:type="spellEnd"/>
      <w:r w:rsidRPr="00EA6529">
        <w:rPr>
          <w:rFonts w:cs="Arial"/>
          <w:szCs w:val="20"/>
        </w:rPr>
        <w:t xml:space="preserve"> при възрастни и 17% при педиатрични пациенти.</w:t>
      </w:r>
    </w:p>
    <w:p w14:paraId="1C7FAE47" w14:textId="694DA0BF" w:rsidR="006E22F0" w:rsidRPr="00EA6529" w:rsidRDefault="006E22F0" w:rsidP="006E22F0">
      <w:pPr>
        <w:rPr>
          <w:rFonts w:cs="Arial"/>
          <w:szCs w:val="20"/>
        </w:rPr>
      </w:pPr>
    </w:p>
    <w:p w14:paraId="3F4632DD" w14:textId="77777777"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u w:val="single"/>
          <w:lang w:eastAsia="bg-BG"/>
        </w:rPr>
        <w:t>Перорални контрацептиви</w:t>
      </w:r>
    </w:p>
    <w:p w14:paraId="031A1FA8" w14:textId="77777777"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По време на проучвания за лекарствени взаимодействия не са наблюдавани клинично значими взаимодействия между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пероралните контрацептиви </w:t>
      </w:r>
      <w:proofErr w:type="spellStart"/>
      <w:r w:rsidRPr="00EA6529">
        <w:rPr>
          <w:rFonts w:eastAsia="Times New Roman" w:cs="Arial"/>
          <w:color w:val="000000"/>
          <w:szCs w:val="20"/>
          <w:lang w:eastAsia="bg-BG"/>
        </w:rPr>
        <w:lastRenderedPageBreak/>
        <w:t>етинилестрадиол</w:t>
      </w:r>
      <w:proofErr w:type="spellEnd"/>
      <w:r w:rsidRPr="00EA6529">
        <w:rPr>
          <w:rFonts w:eastAsia="Times New Roman" w:cs="Arial"/>
          <w:color w:val="000000"/>
          <w:szCs w:val="20"/>
          <w:lang w:eastAsia="bg-BG"/>
        </w:rPr>
        <w:t xml:space="preserve"> и </w:t>
      </w:r>
      <w:proofErr w:type="spellStart"/>
      <w:r w:rsidRPr="00EA6529">
        <w:rPr>
          <w:rFonts w:eastAsia="Times New Roman" w:cs="Arial"/>
          <w:color w:val="000000"/>
          <w:szCs w:val="20"/>
          <w:lang w:eastAsia="bg-BG"/>
        </w:rPr>
        <w:t>левоноргестрел</w:t>
      </w:r>
      <w:proofErr w:type="spellEnd"/>
      <w:r w:rsidRPr="00EA6529">
        <w:rPr>
          <w:rFonts w:eastAsia="Times New Roman" w:cs="Arial"/>
          <w:color w:val="000000"/>
          <w:szCs w:val="20"/>
          <w:lang w:eastAsia="bg-BG"/>
        </w:rPr>
        <w:t xml:space="preserve">. Концентрациите на </w:t>
      </w:r>
      <w:proofErr w:type="spellStart"/>
      <w:r w:rsidRPr="00EA6529">
        <w:rPr>
          <w:rFonts w:eastAsia="Times New Roman" w:cs="Arial"/>
          <w:color w:val="000000"/>
          <w:szCs w:val="20"/>
          <w:lang w:eastAsia="bg-BG"/>
        </w:rPr>
        <w:t>прогестерон</w:t>
      </w:r>
      <w:proofErr w:type="spellEnd"/>
      <w:r w:rsidRPr="00EA6529">
        <w:rPr>
          <w:rFonts w:eastAsia="Times New Roman" w:cs="Arial"/>
          <w:color w:val="000000"/>
          <w:szCs w:val="20"/>
          <w:lang w:eastAsia="bg-BG"/>
        </w:rPr>
        <w:t xml:space="preserve"> не са повлияни при съвместното приложение на лекарствените продукти.</w:t>
      </w:r>
    </w:p>
    <w:p w14:paraId="28127642" w14:textId="77777777" w:rsidR="006E22F0" w:rsidRPr="00EA6529" w:rsidRDefault="006E22F0" w:rsidP="006E22F0">
      <w:pPr>
        <w:spacing w:line="240" w:lineRule="auto"/>
        <w:rPr>
          <w:rFonts w:eastAsia="Times New Roman" w:cs="Arial"/>
          <w:color w:val="000000"/>
          <w:szCs w:val="20"/>
          <w:u w:val="single"/>
          <w:lang w:eastAsia="bg-BG"/>
        </w:rPr>
      </w:pPr>
    </w:p>
    <w:p w14:paraId="1C3D1B91" w14:textId="631E9A4D"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u w:val="single"/>
          <w:lang w:eastAsia="bg-BG"/>
        </w:rPr>
        <w:t>Други</w:t>
      </w:r>
    </w:p>
    <w:p w14:paraId="6F57519B" w14:textId="77777777"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Проучвания върху лекарствените взаимодействия показват, че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не оказва влияние върху фармакокинетиката на </w:t>
      </w:r>
      <w:proofErr w:type="spellStart"/>
      <w:r w:rsidRPr="00EA6529">
        <w:rPr>
          <w:rFonts w:eastAsia="Times New Roman" w:cs="Arial"/>
          <w:color w:val="000000"/>
          <w:szCs w:val="20"/>
          <w:lang w:eastAsia="bg-BG"/>
        </w:rPr>
        <w:t>дигоксин</w:t>
      </w:r>
      <w:proofErr w:type="spellEnd"/>
      <w:r w:rsidRPr="00EA6529">
        <w:rPr>
          <w:rFonts w:eastAsia="Times New Roman" w:cs="Arial"/>
          <w:color w:val="000000"/>
          <w:szCs w:val="20"/>
          <w:lang w:eastAsia="bg-BG"/>
        </w:rPr>
        <w:t xml:space="preserve">. Няма клинично значими взаимодействия между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метформин.</w:t>
      </w:r>
    </w:p>
    <w:p w14:paraId="70DD97D7" w14:textId="77777777" w:rsidR="006E22F0" w:rsidRPr="00EA6529" w:rsidRDefault="006E22F0" w:rsidP="006E22F0">
      <w:pPr>
        <w:spacing w:line="240" w:lineRule="auto"/>
        <w:rPr>
          <w:rFonts w:eastAsia="Times New Roman" w:cs="Arial"/>
          <w:color w:val="000000"/>
          <w:szCs w:val="20"/>
          <w:lang w:eastAsia="bg-BG"/>
        </w:rPr>
      </w:pPr>
    </w:p>
    <w:p w14:paraId="03E2A68A" w14:textId="674F863C"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Едновременното приложение на </w:t>
      </w:r>
      <w:proofErr w:type="spellStart"/>
      <w:r w:rsidRPr="00EA6529">
        <w:rPr>
          <w:rFonts w:eastAsia="Times New Roman" w:cs="Arial"/>
          <w:color w:val="000000"/>
          <w:szCs w:val="20"/>
          <w:lang w:eastAsia="bg-BG"/>
        </w:rPr>
        <w:t>варфарин</w:t>
      </w:r>
      <w:proofErr w:type="spellEnd"/>
      <w:r w:rsidRPr="00EA6529">
        <w:rPr>
          <w:rFonts w:eastAsia="Times New Roman" w:cs="Arial"/>
          <w:color w:val="000000"/>
          <w:szCs w:val="20"/>
          <w:lang w:eastAsia="bg-BG"/>
        </w:rPr>
        <w:t xml:space="preserve">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не води до клинично значима промяна във фармакокинетиката и </w:t>
      </w:r>
      <w:proofErr w:type="spellStart"/>
      <w:r w:rsidRPr="00EA6529">
        <w:rPr>
          <w:rFonts w:eastAsia="Times New Roman" w:cs="Arial"/>
          <w:color w:val="000000"/>
          <w:szCs w:val="20"/>
          <w:lang w:eastAsia="bg-BG"/>
        </w:rPr>
        <w:t>фармакодинамиката</w:t>
      </w:r>
      <w:proofErr w:type="spellEnd"/>
      <w:r w:rsidRPr="00EA6529">
        <w:rPr>
          <w:rFonts w:eastAsia="Times New Roman" w:cs="Arial"/>
          <w:color w:val="000000"/>
          <w:szCs w:val="20"/>
          <w:lang w:eastAsia="bg-BG"/>
        </w:rPr>
        <w:t xml:space="preserve"> на </w:t>
      </w:r>
      <w:proofErr w:type="spellStart"/>
      <w:r w:rsidRPr="00EA6529">
        <w:rPr>
          <w:rFonts w:eastAsia="Times New Roman" w:cs="Arial"/>
          <w:color w:val="000000"/>
          <w:szCs w:val="20"/>
          <w:lang w:eastAsia="bg-BG"/>
        </w:rPr>
        <w:t>варфарин</w:t>
      </w:r>
      <w:proofErr w:type="spellEnd"/>
      <w:r w:rsidRPr="00EA6529">
        <w:rPr>
          <w:rFonts w:eastAsia="Times New Roman" w:cs="Arial"/>
          <w:color w:val="000000"/>
          <w:szCs w:val="20"/>
          <w:lang w:eastAsia="bg-BG"/>
        </w:rPr>
        <w:t>.</w:t>
      </w:r>
    </w:p>
    <w:p w14:paraId="6CC5E3FB" w14:textId="77777777" w:rsidR="006E22F0" w:rsidRPr="00EA6529" w:rsidRDefault="006E22F0" w:rsidP="006E22F0">
      <w:pPr>
        <w:spacing w:line="240" w:lineRule="auto"/>
        <w:rPr>
          <w:rFonts w:eastAsia="Times New Roman" w:cs="Arial"/>
          <w:color w:val="000000"/>
          <w:szCs w:val="20"/>
          <w:lang w:eastAsia="bg-BG"/>
        </w:rPr>
      </w:pPr>
    </w:p>
    <w:p w14:paraId="291BC018" w14:textId="05B430EF"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Въпреки че няма </w:t>
      </w:r>
      <w:proofErr w:type="spellStart"/>
      <w:r w:rsidRPr="00EA6529">
        <w:rPr>
          <w:rFonts w:eastAsia="Times New Roman" w:cs="Arial"/>
          <w:color w:val="000000"/>
          <w:szCs w:val="20"/>
          <w:lang w:eastAsia="bg-BG"/>
        </w:rPr>
        <w:t>фармакокинетични</w:t>
      </w:r>
      <w:proofErr w:type="spellEnd"/>
      <w:r w:rsidRPr="00EA6529">
        <w:rPr>
          <w:rFonts w:eastAsia="Times New Roman" w:cs="Arial"/>
          <w:color w:val="000000"/>
          <w:szCs w:val="20"/>
          <w:lang w:eastAsia="bg-BG"/>
        </w:rPr>
        <w:t xml:space="preserve"> данни за взаимодействие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 алкохол, не може да се изключи </w:t>
      </w:r>
      <w:proofErr w:type="spellStart"/>
      <w:r w:rsidRPr="00EA6529">
        <w:rPr>
          <w:rFonts w:eastAsia="Times New Roman" w:cs="Arial"/>
          <w:color w:val="000000"/>
          <w:szCs w:val="20"/>
          <w:lang w:eastAsia="bg-BG"/>
        </w:rPr>
        <w:t>фармакодинамичен</w:t>
      </w:r>
      <w:proofErr w:type="spellEnd"/>
      <w:r w:rsidRPr="00EA6529">
        <w:rPr>
          <w:rFonts w:eastAsia="Times New Roman" w:cs="Arial"/>
          <w:color w:val="000000"/>
          <w:szCs w:val="20"/>
          <w:lang w:eastAsia="bg-BG"/>
        </w:rPr>
        <w:t xml:space="preserve"> ефект.</w:t>
      </w:r>
    </w:p>
    <w:p w14:paraId="0FDF545D" w14:textId="77777777" w:rsidR="006E22F0" w:rsidRPr="00EA6529" w:rsidRDefault="006E22F0" w:rsidP="006E22F0">
      <w:pPr>
        <w:rPr>
          <w:rFonts w:eastAsia="Times New Roman" w:cs="Arial"/>
          <w:color w:val="000000"/>
          <w:szCs w:val="20"/>
          <w:lang w:eastAsia="bg-BG"/>
        </w:rPr>
      </w:pPr>
    </w:p>
    <w:p w14:paraId="621CC01D" w14:textId="7EC813CD" w:rsidR="006E22F0" w:rsidRPr="00EA6529" w:rsidRDefault="006E22F0" w:rsidP="006E22F0">
      <w:pPr>
        <w:rPr>
          <w:rFonts w:eastAsia="Times New Roman" w:cs="Arial"/>
          <w:color w:val="000000"/>
          <w:szCs w:val="20"/>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има нисък потенциал на свързване с плазмените протеини, по-малко от 15%. Поради това не се очакват клинично значими взаимодействия с други лекарствени продукти по механизма на конкурентно свързване с плазмените протеини.</w:t>
      </w:r>
    </w:p>
    <w:p w14:paraId="5CACA4C5" w14:textId="77777777" w:rsidR="006E22F0" w:rsidRPr="00EA6529" w:rsidRDefault="006E22F0" w:rsidP="006E22F0">
      <w:pPr>
        <w:rPr>
          <w:rFonts w:cs="Arial"/>
          <w:sz w:val="24"/>
        </w:rPr>
      </w:pPr>
    </w:p>
    <w:p w14:paraId="394A7584" w14:textId="24CF712C" w:rsidR="004F498A" w:rsidRPr="00EA6529" w:rsidRDefault="002C50EE" w:rsidP="004A448E">
      <w:pPr>
        <w:pStyle w:val="Heading2"/>
      </w:pPr>
      <w:r w:rsidRPr="00EA6529">
        <w:t>4.6. Фертилитет, бременност и кърмене</w:t>
      </w:r>
    </w:p>
    <w:p w14:paraId="45357D8D" w14:textId="301E5886" w:rsidR="006E22F0" w:rsidRPr="00EA6529" w:rsidRDefault="006E22F0" w:rsidP="006E22F0"/>
    <w:p w14:paraId="5885FC76" w14:textId="77777777" w:rsidR="006E22F0" w:rsidRPr="00EA6529" w:rsidRDefault="006E22F0" w:rsidP="006E22F0">
      <w:pPr>
        <w:pStyle w:val="Heading3"/>
        <w:rPr>
          <w:rFonts w:eastAsia="Times New Roman"/>
          <w:sz w:val="28"/>
          <w:u w:val="single"/>
          <w:lang w:eastAsia="bg-BG"/>
        </w:rPr>
      </w:pPr>
      <w:r w:rsidRPr="00EA6529">
        <w:rPr>
          <w:rFonts w:eastAsia="Times New Roman"/>
          <w:u w:val="single"/>
          <w:lang w:eastAsia="bg-BG"/>
        </w:rPr>
        <w:t>Бременност</w:t>
      </w:r>
    </w:p>
    <w:p w14:paraId="5BA4D73A" w14:textId="77777777" w:rsidR="006E22F0" w:rsidRPr="00EA6529" w:rsidRDefault="006E22F0" w:rsidP="006E22F0">
      <w:pPr>
        <w:spacing w:line="240" w:lineRule="auto"/>
        <w:rPr>
          <w:rFonts w:eastAsia="Times New Roman" w:cs="Arial"/>
          <w:i/>
          <w:iCs/>
          <w:color w:val="000000"/>
          <w:szCs w:val="20"/>
          <w:lang w:eastAsia="bg-BG"/>
        </w:rPr>
      </w:pPr>
    </w:p>
    <w:p w14:paraId="27332E7C" w14:textId="49FF2114" w:rsidR="006E22F0" w:rsidRPr="00EA6529" w:rsidRDefault="006E22F0" w:rsidP="006E22F0">
      <w:pPr>
        <w:spacing w:line="240" w:lineRule="auto"/>
        <w:rPr>
          <w:rFonts w:eastAsia="Times New Roman" w:cs="Arial"/>
          <w:sz w:val="28"/>
          <w:szCs w:val="24"/>
          <w:lang w:eastAsia="bg-BG"/>
        </w:rPr>
      </w:pPr>
      <w:r w:rsidRPr="00EA6529">
        <w:rPr>
          <w:rFonts w:eastAsia="Times New Roman" w:cs="Arial"/>
          <w:i/>
          <w:iCs/>
          <w:color w:val="000000"/>
          <w:szCs w:val="20"/>
          <w:lang w:eastAsia="bg-BG"/>
        </w:rPr>
        <w:t>Риск, свързан с епилепсията и антиепилептичните лекарствени продукти като цяло</w:t>
      </w:r>
    </w:p>
    <w:p w14:paraId="718B08EF" w14:textId="77777777"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При всички антиепилептични лекарствени продукти е установена два до три пъти по-висока честота на малформациите в поколението на жените, лекувани за епилепсия, в сравнение с честота от около 3% за общата популация. Сред лекуваната популация повишена честота на малформации е установена в случаите на лечение с повече от един лекарствен продукт (</w:t>
      </w:r>
      <w:proofErr w:type="spellStart"/>
      <w:r w:rsidRPr="00EA6529">
        <w:rPr>
          <w:rFonts w:eastAsia="Times New Roman" w:cs="Arial"/>
          <w:color w:val="000000"/>
          <w:szCs w:val="20"/>
          <w:lang w:eastAsia="bg-BG"/>
        </w:rPr>
        <w:t>политерапия</w:t>
      </w:r>
      <w:proofErr w:type="spellEnd"/>
      <w:r w:rsidRPr="00EA6529">
        <w:rPr>
          <w:rFonts w:eastAsia="Times New Roman" w:cs="Arial"/>
          <w:color w:val="000000"/>
          <w:szCs w:val="20"/>
          <w:lang w:eastAsia="bg-BG"/>
        </w:rPr>
        <w:t>), но не е установено доколко това се дължи на самото лечение и/или на заболяването.</w:t>
      </w:r>
    </w:p>
    <w:p w14:paraId="394F97A6" w14:textId="77777777" w:rsidR="006E22F0" w:rsidRPr="00EA6529" w:rsidRDefault="006E22F0" w:rsidP="006E22F0">
      <w:pPr>
        <w:spacing w:line="240" w:lineRule="auto"/>
        <w:rPr>
          <w:rFonts w:eastAsia="Times New Roman" w:cs="Arial"/>
          <w:color w:val="000000"/>
          <w:szCs w:val="20"/>
          <w:lang w:eastAsia="bg-BG"/>
        </w:rPr>
      </w:pPr>
    </w:p>
    <w:p w14:paraId="7DE2BA5F" w14:textId="5DE1C501"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Въпреки това, ефективното антиепилептично лечение не трябва да бъде преустановявано, тъй като влошаването на заболяването е вредно както за майката, така и за плода.</w:t>
      </w:r>
    </w:p>
    <w:p w14:paraId="78F4854C" w14:textId="77777777" w:rsidR="006E22F0" w:rsidRPr="00EA6529" w:rsidRDefault="006E22F0" w:rsidP="006E22F0">
      <w:pPr>
        <w:spacing w:line="240" w:lineRule="auto"/>
        <w:rPr>
          <w:rFonts w:eastAsia="Times New Roman" w:cs="Arial"/>
          <w:i/>
          <w:iCs/>
          <w:color w:val="000000"/>
          <w:szCs w:val="20"/>
          <w:lang w:eastAsia="bg-BG"/>
        </w:rPr>
      </w:pPr>
    </w:p>
    <w:p w14:paraId="7E14D0F5" w14:textId="3D797E71" w:rsidR="006E22F0" w:rsidRPr="00EA6529" w:rsidRDefault="006E22F0" w:rsidP="006E22F0">
      <w:pPr>
        <w:spacing w:line="240" w:lineRule="auto"/>
        <w:rPr>
          <w:rFonts w:eastAsia="Times New Roman" w:cs="Arial"/>
          <w:sz w:val="28"/>
          <w:szCs w:val="24"/>
          <w:lang w:eastAsia="bg-BG"/>
        </w:rPr>
      </w:pPr>
      <w:r w:rsidRPr="00EA6529">
        <w:rPr>
          <w:rFonts w:eastAsia="Times New Roman" w:cs="Arial"/>
          <w:i/>
          <w:iCs/>
          <w:color w:val="000000"/>
          <w:szCs w:val="20"/>
          <w:lang w:eastAsia="bg-BG"/>
        </w:rPr>
        <w:t xml:space="preserve">Риск, свързан с </w:t>
      </w:r>
      <w:proofErr w:type="spellStart"/>
      <w:r w:rsidRPr="00EA6529">
        <w:rPr>
          <w:rFonts w:eastAsia="Times New Roman" w:cs="Arial"/>
          <w:i/>
          <w:iCs/>
          <w:color w:val="000000"/>
          <w:szCs w:val="20"/>
          <w:lang w:eastAsia="bg-BG"/>
        </w:rPr>
        <w:t>лакозамид</w:t>
      </w:r>
      <w:proofErr w:type="spellEnd"/>
    </w:p>
    <w:p w14:paraId="7FA15058" w14:textId="77777777"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Няма достатъчно данни относно употребата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бременни жени. Проучванията при животни не са показали каквито и да е тератогенни ефекти при плъхове или зайци, но е наблюдавана </w:t>
      </w:r>
      <w:proofErr w:type="spellStart"/>
      <w:r w:rsidRPr="00EA6529">
        <w:rPr>
          <w:rFonts w:eastAsia="Times New Roman" w:cs="Arial"/>
          <w:color w:val="000000"/>
          <w:szCs w:val="20"/>
          <w:lang w:eastAsia="bg-BG"/>
        </w:rPr>
        <w:t>ембриотоксичност</w:t>
      </w:r>
      <w:proofErr w:type="spellEnd"/>
      <w:r w:rsidRPr="00EA6529">
        <w:rPr>
          <w:rFonts w:eastAsia="Times New Roman" w:cs="Arial"/>
          <w:color w:val="000000"/>
          <w:szCs w:val="20"/>
          <w:lang w:eastAsia="bg-BG"/>
        </w:rPr>
        <w:t xml:space="preserve"> при плъхове и зайци, при токсични за майката дози (вж. точка 5.3). Потенциалният риск при хора не е установен.</w:t>
      </w:r>
    </w:p>
    <w:p w14:paraId="483E2009" w14:textId="77777777" w:rsidR="006E22F0" w:rsidRPr="00EA6529" w:rsidRDefault="006E22F0" w:rsidP="006E22F0">
      <w:pPr>
        <w:spacing w:line="240" w:lineRule="auto"/>
        <w:rPr>
          <w:rFonts w:eastAsia="Times New Roman" w:cs="Arial"/>
          <w:color w:val="000000"/>
          <w:szCs w:val="20"/>
          <w:lang w:eastAsia="bg-BG"/>
        </w:rPr>
      </w:pPr>
    </w:p>
    <w:p w14:paraId="6A943E38" w14:textId="57AAA30D" w:rsidR="006E22F0" w:rsidRPr="00EA6529" w:rsidRDefault="006E22F0" w:rsidP="006E22F0">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не трябва да се прилага по време на бременност, освен в случаите на абсолютна необходимост (ако ползата за майката категорично превишава потенциалния риск за плода). В случай на решение на жената да забременее употребата на този лекарствен продукт трябва да бъде внимателно преоценена.</w:t>
      </w:r>
    </w:p>
    <w:p w14:paraId="001BD764" w14:textId="77777777" w:rsidR="006E22F0" w:rsidRPr="00EA6529" w:rsidRDefault="006E22F0" w:rsidP="006E22F0">
      <w:pPr>
        <w:spacing w:line="240" w:lineRule="auto"/>
        <w:rPr>
          <w:rFonts w:eastAsia="Times New Roman" w:cs="Arial"/>
          <w:color w:val="000000"/>
          <w:szCs w:val="20"/>
          <w:u w:val="single"/>
          <w:lang w:eastAsia="bg-BG"/>
        </w:rPr>
      </w:pPr>
    </w:p>
    <w:p w14:paraId="5423ED18" w14:textId="125FCBD8" w:rsidR="006E22F0" w:rsidRPr="00EA6529" w:rsidRDefault="006E22F0" w:rsidP="006E22F0">
      <w:pPr>
        <w:pStyle w:val="Heading3"/>
        <w:rPr>
          <w:rFonts w:eastAsia="Times New Roman"/>
          <w:sz w:val="28"/>
          <w:u w:val="single"/>
          <w:lang w:eastAsia="bg-BG"/>
        </w:rPr>
      </w:pPr>
      <w:r w:rsidRPr="00EA6529">
        <w:rPr>
          <w:rFonts w:eastAsia="Times New Roman"/>
          <w:u w:val="single"/>
          <w:lang w:eastAsia="bg-BG"/>
        </w:rPr>
        <w:t>Кърмене</w:t>
      </w:r>
    </w:p>
    <w:p w14:paraId="1F23D77C" w14:textId="77777777" w:rsidR="006E22F0" w:rsidRPr="00EA6529" w:rsidRDefault="006E22F0" w:rsidP="006E22F0">
      <w:pPr>
        <w:rPr>
          <w:rFonts w:eastAsia="Times New Roman" w:cs="Arial"/>
          <w:color w:val="000000"/>
          <w:szCs w:val="20"/>
          <w:lang w:eastAsia="bg-BG"/>
        </w:rPr>
      </w:pPr>
    </w:p>
    <w:p w14:paraId="1736DF67" w14:textId="5C989D7D" w:rsidR="006E22F0" w:rsidRPr="00EA6529" w:rsidRDefault="006E22F0" w:rsidP="006E22F0">
      <w:pPr>
        <w:rPr>
          <w:rFonts w:eastAsia="Times New Roman" w:cs="Arial"/>
          <w:color w:val="000000"/>
          <w:szCs w:val="20"/>
          <w:lang w:eastAsia="bg-BG"/>
        </w:rPr>
      </w:pPr>
      <w:r w:rsidRPr="00EA6529">
        <w:rPr>
          <w:rFonts w:eastAsia="Times New Roman" w:cs="Arial"/>
          <w:color w:val="000000"/>
          <w:szCs w:val="20"/>
          <w:lang w:eastAsia="bg-BG"/>
        </w:rPr>
        <w:t xml:space="preserve">Не е известно дали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се отделя в човешката кърма. Не може да се изключи риск за новородените/кърмачетата. Проучванията при животни показват отделянето на </w:t>
      </w:r>
      <w:proofErr w:type="spellStart"/>
      <w:r w:rsidRPr="00EA6529">
        <w:rPr>
          <w:rFonts w:eastAsia="Times New Roman" w:cs="Arial"/>
          <w:color w:val="000000"/>
          <w:szCs w:val="20"/>
          <w:lang w:eastAsia="bg-BG"/>
        </w:rPr>
        <w:lastRenderedPageBreak/>
        <w:t>лакозамид</w:t>
      </w:r>
      <w:proofErr w:type="spellEnd"/>
      <w:r w:rsidRPr="00EA6529">
        <w:rPr>
          <w:rFonts w:eastAsia="Times New Roman" w:cs="Arial"/>
          <w:color w:val="000000"/>
          <w:szCs w:val="20"/>
          <w:lang w:eastAsia="bg-BG"/>
        </w:rPr>
        <w:t xml:space="preserve"> в</w:t>
      </w:r>
      <w:r w:rsidRPr="00EA6529">
        <w:rPr>
          <w:rFonts w:eastAsia="Times New Roman" w:cs="Arial"/>
          <w:smallCaps/>
          <w:color w:val="000000"/>
          <w:szCs w:val="20"/>
          <w:lang w:eastAsia="bg-BG"/>
        </w:rPr>
        <w:t xml:space="preserve"> </w:t>
      </w:r>
      <w:r w:rsidRPr="00EA6529">
        <w:rPr>
          <w:rFonts w:eastAsia="Times New Roman" w:cs="Arial"/>
          <w:color w:val="000000"/>
          <w:szCs w:val="20"/>
          <w:lang w:eastAsia="bg-BG"/>
        </w:rPr>
        <w:t xml:space="preserve">кърмата. От съображения за сигурност по време на лечението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кърменето трябва да  бъде преустановено.</w:t>
      </w:r>
    </w:p>
    <w:p w14:paraId="65DEBD45" w14:textId="2D0FE7C5" w:rsidR="006E22F0" w:rsidRPr="00EA6529" w:rsidRDefault="006E22F0" w:rsidP="006E22F0">
      <w:pPr>
        <w:rPr>
          <w:rFonts w:eastAsia="Times New Roman" w:cs="Arial"/>
          <w:color w:val="000000"/>
          <w:szCs w:val="20"/>
          <w:lang w:eastAsia="bg-BG"/>
        </w:rPr>
      </w:pPr>
    </w:p>
    <w:p w14:paraId="3BE63445" w14:textId="77777777" w:rsidR="006E22F0" w:rsidRPr="00EA6529" w:rsidRDefault="006E22F0" w:rsidP="006E22F0">
      <w:pPr>
        <w:pStyle w:val="Heading3"/>
        <w:rPr>
          <w:rFonts w:eastAsia="Times New Roman"/>
          <w:sz w:val="28"/>
          <w:u w:val="single"/>
          <w:lang w:eastAsia="bg-BG"/>
        </w:rPr>
      </w:pPr>
      <w:r w:rsidRPr="00EA6529">
        <w:rPr>
          <w:rFonts w:eastAsia="Times New Roman"/>
          <w:u w:val="single"/>
          <w:lang w:eastAsia="bg-BG"/>
        </w:rPr>
        <w:t>Фертилитет</w:t>
      </w:r>
    </w:p>
    <w:p w14:paraId="49008BDE" w14:textId="77777777" w:rsidR="006E22F0" w:rsidRPr="00EA6529" w:rsidRDefault="006E22F0" w:rsidP="006E22F0">
      <w:pPr>
        <w:rPr>
          <w:rFonts w:eastAsia="Times New Roman" w:cs="Arial"/>
          <w:color w:val="000000"/>
          <w:szCs w:val="20"/>
          <w:lang w:eastAsia="bg-BG"/>
        </w:rPr>
      </w:pPr>
    </w:p>
    <w:p w14:paraId="563B3307" w14:textId="3502A4E8" w:rsidR="006E22F0" w:rsidRPr="00EA6529" w:rsidRDefault="006E22F0" w:rsidP="006E22F0">
      <w:pPr>
        <w:rPr>
          <w:rFonts w:eastAsia="Times New Roman" w:cs="Arial"/>
          <w:color w:val="000000"/>
          <w:szCs w:val="20"/>
          <w:lang w:eastAsia="bg-BG"/>
        </w:rPr>
      </w:pPr>
      <w:r w:rsidRPr="00EA6529">
        <w:rPr>
          <w:rFonts w:eastAsia="Times New Roman" w:cs="Arial"/>
          <w:color w:val="000000"/>
          <w:szCs w:val="20"/>
          <w:lang w:eastAsia="bg-BG"/>
        </w:rPr>
        <w:t xml:space="preserve">Не са наблюдавани нежелани реакции по отношение на мъжкия или женски </w:t>
      </w:r>
      <w:proofErr w:type="spellStart"/>
      <w:r w:rsidRPr="00EA6529">
        <w:rPr>
          <w:rFonts w:eastAsia="Times New Roman" w:cs="Arial"/>
          <w:color w:val="000000"/>
          <w:szCs w:val="20"/>
          <w:lang w:eastAsia="bg-BG"/>
        </w:rPr>
        <w:t>фертилитет</w:t>
      </w:r>
      <w:proofErr w:type="spellEnd"/>
      <w:r w:rsidRPr="00EA6529">
        <w:rPr>
          <w:rFonts w:eastAsia="Times New Roman" w:cs="Arial"/>
          <w:color w:val="000000"/>
          <w:szCs w:val="20"/>
          <w:lang w:eastAsia="bg-BG"/>
        </w:rPr>
        <w:t xml:space="preserve"> или възпроизвеждане при плъхове в дози, водещи до плазмена експозиция </w:t>
      </w:r>
      <w:r w:rsidRPr="00EA6529">
        <w:rPr>
          <w:rFonts w:eastAsia="Times New Roman" w:cs="Arial"/>
          <w:color w:val="000000"/>
          <w:szCs w:val="20"/>
        </w:rPr>
        <w:t xml:space="preserve">(AUC) </w:t>
      </w:r>
      <w:r w:rsidRPr="00EA6529">
        <w:rPr>
          <w:rFonts w:eastAsia="Times New Roman" w:cs="Arial"/>
          <w:color w:val="000000"/>
          <w:szCs w:val="20"/>
          <w:lang w:eastAsia="bg-BG"/>
        </w:rPr>
        <w:t xml:space="preserve">до приблизително 2 пъти плазмена </w:t>
      </w:r>
      <w:r w:rsidRPr="00EA6529">
        <w:rPr>
          <w:rFonts w:eastAsia="Times New Roman" w:cs="Arial"/>
          <w:color w:val="000000"/>
          <w:szCs w:val="20"/>
        </w:rPr>
        <w:t xml:space="preserve">AUC </w:t>
      </w:r>
      <w:r w:rsidRPr="00EA6529">
        <w:rPr>
          <w:rFonts w:eastAsia="Times New Roman" w:cs="Arial"/>
          <w:color w:val="000000"/>
          <w:szCs w:val="20"/>
          <w:lang w:eastAsia="bg-BG"/>
        </w:rPr>
        <w:t>при максималната препоръчителна доза за хора (МПДХ).</w:t>
      </w:r>
    </w:p>
    <w:p w14:paraId="417D2947" w14:textId="77777777" w:rsidR="006E22F0" w:rsidRPr="00EA6529" w:rsidRDefault="006E22F0" w:rsidP="006E22F0">
      <w:pPr>
        <w:rPr>
          <w:rFonts w:cs="Arial"/>
          <w:sz w:val="24"/>
        </w:rPr>
      </w:pPr>
    </w:p>
    <w:p w14:paraId="064DF1DE" w14:textId="22158ABF" w:rsidR="00CF77F7" w:rsidRPr="00EA6529" w:rsidRDefault="002C50EE" w:rsidP="004A448E">
      <w:pPr>
        <w:pStyle w:val="Heading2"/>
      </w:pPr>
      <w:r w:rsidRPr="00EA6529">
        <w:t>4.7. Ефекти върху способността за шофиране и работа с машини</w:t>
      </w:r>
    </w:p>
    <w:p w14:paraId="2F788845" w14:textId="3E109276" w:rsidR="006E22F0" w:rsidRPr="00EA6529" w:rsidRDefault="006E22F0" w:rsidP="006E22F0"/>
    <w:p w14:paraId="15063811" w14:textId="77777777" w:rsidR="006E22F0" w:rsidRPr="00EA6529" w:rsidRDefault="006E22F0" w:rsidP="006E22F0">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повлиява в малка до умерена степен способността за шофиране и работа с машини. Лечението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се свързва с поява на замаяност или замъглено зрение.</w:t>
      </w:r>
    </w:p>
    <w:p w14:paraId="03E692AE" w14:textId="77777777" w:rsidR="006E22F0" w:rsidRPr="00EA6529" w:rsidRDefault="006E22F0" w:rsidP="006E22F0">
      <w:pPr>
        <w:rPr>
          <w:rFonts w:eastAsia="Times New Roman" w:cs="Arial"/>
          <w:color w:val="000000"/>
          <w:szCs w:val="20"/>
          <w:lang w:eastAsia="bg-BG"/>
        </w:rPr>
      </w:pPr>
    </w:p>
    <w:p w14:paraId="1CCF9914" w14:textId="3F95C167" w:rsidR="006E22F0" w:rsidRPr="00EA6529" w:rsidRDefault="006E22F0" w:rsidP="006E22F0">
      <w:pPr>
        <w:rPr>
          <w:rFonts w:eastAsia="Times New Roman" w:cs="Arial"/>
          <w:color w:val="000000"/>
          <w:szCs w:val="20"/>
          <w:lang w:eastAsia="bg-BG"/>
        </w:rPr>
      </w:pPr>
      <w:r w:rsidRPr="00EA6529">
        <w:rPr>
          <w:rFonts w:eastAsia="Times New Roman" w:cs="Arial"/>
          <w:color w:val="000000"/>
          <w:szCs w:val="20"/>
          <w:lang w:eastAsia="bg-BG"/>
        </w:rPr>
        <w:t xml:space="preserve">Поради това, пациентите трябва да бъдат съветвани да не шофират или работят с други потенциално опасни машини, докато не опознаят напълно ефектите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върху способността им за извършването на подобни дейности.</w:t>
      </w:r>
    </w:p>
    <w:p w14:paraId="6F295BFD" w14:textId="77777777" w:rsidR="006E22F0" w:rsidRPr="00EA6529" w:rsidRDefault="006E22F0" w:rsidP="006E22F0"/>
    <w:p w14:paraId="37A3FD9F" w14:textId="35369A34" w:rsidR="00CF77F7" w:rsidRPr="00EA6529" w:rsidRDefault="002C50EE" w:rsidP="004A448E">
      <w:pPr>
        <w:pStyle w:val="Heading2"/>
      </w:pPr>
      <w:r w:rsidRPr="00EA6529">
        <w:t>4.8. Нежелани лекарствени реакции</w:t>
      </w:r>
    </w:p>
    <w:p w14:paraId="0AC686C6" w14:textId="7D2D1126" w:rsidR="006E22F0" w:rsidRPr="00EA6529" w:rsidRDefault="006E22F0" w:rsidP="006E22F0"/>
    <w:p w14:paraId="747A70B4" w14:textId="77777777" w:rsidR="006E22F0" w:rsidRPr="00EA6529" w:rsidRDefault="006E22F0" w:rsidP="00471B55">
      <w:pPr>
        <w:pStyle w:val="Heading3"/>
        <w:rPr>
          <w:rFonts w:eastAsia="Times New Roman"/>
          <w:sz w:val="28"/>
          <w:lang w:eastAsia="bg-BG"/>
        </w:rPr>
      </w:pPr>
      <w:r w:rsidRPr="00EA6529">
        <w:rPr>
          <w:rFonts w:eastAsia="Times New Roman"/>
          <w:lang w:eastAsia="bg-BG"/>
        </w:rPr>
        <w:t>Обобщение на профила на безопасност</w:t>
      </w:r>
    </w:p>
    <w:p w14:paraId="150E7582" w14:textId="77777777" w:rsidR="006E22F0" w:rsidRPr="00EA6529" w:rsidRDefault="006E22F0" w:rsidP="006E22F0">
      <w:pPr>
        <w:spacing w:line="240" w:lineRule="auto"/>
        <w:rPr>
          <w:rFonts w:eastAsia="Times New Roman" w:cs="Arial"/>
          <w:color w:val="000000"/>
          <w:szCs w:val="20"/>
          <w:lang w:eastAsia="bg-BG"/>
        </w:rPr>
      </w:pPr>
    </w:p>
    <w:p w14:paraId="18428C99" w14:textId="5FBA9C63"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На базата на анализ на данните от сборни плацебо контролирани клинични проучвания с допълваща терапия при 1 308 пациенти с парциални пристъпи, общо 61,9% от пациентите, рандомизирани да приемат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35,2% от рандомизираните да приемат плацебо съобщават поне за една нежелана реакция. Най-често съобщаваните нежелани лекарствени реакции </w:t>
      </w:r>
      <w:r w:rsidRPr="00EA6529">
        <w:rPr>
          <w:rFonts w:eastAsia="Times New Roman" w:cs="Arial"/>
          <w:i/>
          <w:iCs/>
          <w:color w:val="000000"/>
          <w:szCs w:val="20"/>
          <w:lang w:eastAsia="bg-BG"/>
        </w:rPr>
        <w:t>(&gt;10%) при</w:t>
      </w:r>
      <w:r w:rsidRPr="00EA6529">
        <w:rPr>
          <w:rFonts w:eastAsia="Times New Roman" w:cs="Arial"/>
          <w:color w:val="000000"/>
          <w:szCs w:val="20"/>
          <w:lang w:eastAsia="bg-BG"/>
        </w:rPr>
        <w:t xml:space="preserve"> лечението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са замаяност, главоболие, гадене и </w:t>
      </w:r>
      <w:proofErr w:type="spellStart"/>
      <w:r w:rsidRPr="00EA6529">
        <w:rPr>
          <w:rFonts w:eastAsia="Times New Roman" w:cs="Arial"/>
          <w:color w:val="000000"/>
          <w:szCs w:val="20"/>
          <w:lang w:eastAsia="bg-BG"/>
        </w:rPr>
        <w:t>диплопия</w:t>
      </w:r>
      <w:proofErr w:type="spellEnd"/>
      <w:r w:rsidRPr="00EA6529">
        <w:rPr>
          <w:rFonts w:eastAsia="Times New Roman" w:cs="Arial"/>
          <w:color w:val="000000"/>
          <w:szCs w:val="20"/>
          <w:lang w:eastAsia="bg-BG"/>
        </w:rPr>
        <w:t xml:space="preserve">. Тези реакции обикновено са леки до умерени по тежест. Някои от тях са </w:t>
      </w:r>
      <w:proofErr w:type="spellStart"/>
      <w:r w:rsidRPr="00EA6529">
        <w:rPr>
          <w:rFonts w:eastAsia="Times New Roman" w:cs="Arial"/>
          <w:color w:val="000000"/>
          <w:szCs w:val="20"/>
          <w:lang w:eastAsia="bg-BG"/>
        </w:rPr>
        <w:t>дозо</w:t>
      </w:r>
      <w:proofErr w:type="spellEnd"/>
      <w:r w:rsidRPr="00EA6529">
        <w:rPr>
          <w:rFonts w:eastAsia="Times New Roman" w:cs="Arial"/>
          <w:color w:val="000000"/>
          <w:szCs w:val="20"/>
          <w:lang w:eastAsia="bg-BG"/>
        </w:rPr>
        <w:t>-зависими и може да бъдат облекчени чрез намаляване на дозата. Честотата и тежестта на нежеланите лекарствени реакции от страна на централната нервна система (ЦНС) и стомашно-чревния тракт (СЧТ) обикновено намаляват с времето.</w:t>
      </w:r>
    </w:p>
    <w:p w14:paraId="3CEB981D" w14:textId="77777777" w:rsidR="006E22F0" w:rsidRPr="00EA6529" w:rsidRDefault="006E22F0" w:rsidP="006E22F0">
      <w:pPr>
        <w:spacing w:line="240" w:lineRule="auto"/>
        <w:rPr>
          <w:rFonts w:eastAsia="Times New Roman" w:cs="Arial"/>
          <w:color w:val="000000"/>
          <w:szCs w:val="20"/>
          <w:lang w:eastAsia="bg-BG"/>
        </w:rPr>
      </w:pPr>
    </w:p>
    <w:p w14:paraId="4C188FF0" w14:textId="66BEB326"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Във всички тези контролирани проучвания честотата на преустановяване на лечението поради нежелани лекарствени реакции е 12,2% при пациентите, рандомизирани за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1,6% при пациентите, рандомизирани за плацебо. Най-честата нежелана лекарствена реакция, водеща до преустановяване лечението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е появата на замаяност.</w:t>
      </w:r>
    </w:p>
    <w:p w14:paraId="2A3DB372" w14:textId="77777777" w:rsidR="006E22F0" w:rsidRPr="00EA6529" w:rsidRDefault="006E22F0" w:rsidP="006E22F0">
      <w:pPr>
        <w:spacing w:line="240" w:lineRule="auto"/>
        <w:rPr>
          <w:rFonts w:eastAsia="Times New Roman" w:cs="Arial"/>
          <w:color w:val="000000"/>
          <w:szCs w:val="20"/>
          <w:lang w:eastAsia="bg-BG"/>
        </w:rPr>
      </w:pPr>
    </w:p>
    <w:p w14:paraId="6556D987" w14:textId="35376C2C"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Честотата на нежеланите реакции от страна на ЦНС, като замаяност, може да бъде по-висока след натоварваща доза.</w:t>
      </w:r>
    </w:p>
    <w:p w14:paraId="27A4D458" w14:textId="77777777" w:rsidR="006E22F0" w:rsidRPr="00EA6529" w:rsidRDefault="006E22F0" w:rsidP="006E22F0">
      <w:pPr>
        <w:spacing w:line="240" w:lineRule="auto"/>
        <w:rPr>
          <w:rFonts w:eastAsia="Times New Roman" w:cs="Arial"/>
          <w:color w:val="000000"/>
          <w:szCs w:val="20"/>
          <w:lang w:eastAsia="bg-BG"/>
        </w:rPr>
      </w:pPr>
    </w:p>
    <w:p w14:paraId="4FE40D19" w14:textId="1C19DFA1"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Въз основа на анализа на данни от </w:t>
      </w:r>
      <w:proofErr w:type="spellStart"/>
      <w:r w:rsidRPr="00EA6529">
        <w:rPr>
          <w:rFonts w:eastAsia="Times New Roman" w:cs="Arial"/>
          <w:color w:val="000000"/>
          <w:szCs w:val="20"/>
          <w:lang w:eastAsia="bg-BG"/>
        </w:rPr>
        <w:t>неинфериорно</w:t>
      </w:r>
      <w:proofErr w:type="spellEnd"/>
      <w:r w:rsidRPr="00EA6529">
        <w:rPr>
          <w:rFonts w:eastAsia="Times New Roman" w:cs="Arial"/>
          <w:color w:val="000000"/>
          <w:szCs w:val="20"/>
          <w:lang w:eastAsia="bg-BG"/>
        </w:rPr>
        <w:t xml:space="preserve"> клинично проучване за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сравняващо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с контролирано освобождаване </w:t>
      </w:r>
      <w:r w:rsidRPr="00EA6529">
        <w:rPr>
          <w:rFonts w:eastAsia="Times New Roman" w:cs="Arial"/>
          <w:color w:val="000000"/>
          <w:szCs w:val="20"/>
        </w:rPr>
        <w:t>(</w:t>
      </w:r>
      <w:proofErr w:type="spellStart"/>
      <w:r w:rsidRPr="00EA6529">
        <w:rPr>
          <w:rFonts w:eastAsia="Times New Roman" w:cs="Arial"/>
          <w:color w:val="000000"/>
          <w:szCs w:val="20"/>
        </w:rPr>
        <w:t>controlled</w:t>
      </w:r>
      <w:proofErr w:type="spellEnd"/>
      <w:r w:rsidRPr="00EA6529">
        <w:rPr>
          <w:rFonts w:eastAsia="Times New Roman" w:cs="Arial"/>
          <w:color w:val="000000"/>
          <w:szCs w:val="20"/>
        </w:rPr>
        <w:t xml:space="preserve"> </w:t>
      </w:r>
      <w:proofErr w:type="spellStart"/>
      <w:r w:rsidRPr="00EA6529">
        <w:rPr>
          <w:rFonts w:eastAsia="Times New Roman" w:cs="Arial"/>
          <w:color w:val="000000"/>
          <w:szCs w:val="20"/>
        </w:rPr>
        <w:t>release</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 </w:t>
      </w:r>
      <w:r w:rsidRPr="00EA6529">
        <w:rPr>
          <w:rFonts w:eastAsia="Times New Roman" w:cs="Arial"/>
          <w:color w:val="000000"/>
          <w:szCs w:val="20"/>
        </w:rPr>
        <w:t xml:space="preserve">CR), </w:t>
      </w:r>
      <w:r w:rsidRPr="00EA6529">
        <w:rPr>
          <w:rFonts w:eastAsia="Times New Roman" w:cs="Arial"/>
          <w:color w:val="000000"/>
          <w:szCs w:val="20"/>
          <w:lang w:eastAsia="bg-BG"/>
        </w:rPr>
        <w:t xml:space="preserve">най-често съобщаваните нежелани лекарствени реакции (≥10%) при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са били главоболие и световъртеж. Процентът на отпадане от лечение поради нежелани реакции е 10,6% при пациентите, лекувани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15,6% при пациентите, лекувани с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CR.</w:t>
      </w:r>
    </w:p>
    <w:p w14:paraId="4A9E35A2" w14:textId="77777777" w:rsidR="006E22F0" w:rsidRPr="00EA6529" w:rsidRDefault="006E22F0" w:rsidP="006E22F0">
      <w:pPr>
        <w:spacing w:line="240" w:lineRule="auto"/>
        <w:rPr>
          <w:rFonts w:eastAsia="Times New Roman" w:cs="Arial"/>
          <w:color w:val="000000"/>
          <w:szCs w:val="20"/>
          <w:lang w:eastAsia="bg-BG"/>
        </w:rPr>
      </w:pPr>
    </w:p>
    <w:p w14:paraId="7AD757FD" w14:textId="7972F7ED" w:rsidR="006E22F0" w:rsidRPr="00EA6529" w:rsidRDefault="006E22F0" w:rsidP="006E22F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Профилът на безопасност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съобщен в проучване, проведено върху пациенти на 4- годишна възраст или по-големи с генерализирана идиопатична епилепсия с първично генерализирани тонично-</w:t>
      </w:r>
      <w:proofErr w:type="spellStart"/>
      <w:r w:rsidRPr="00EA6529">
        <w:rPr>
          <w:rFonts w:eastAsia="Times New Roman" w:cs="Arial"/>
          <w:color w:val="000000"/>
          <w:szCs w:val="20"/>
          <w:lang w:eastAsia="bg-BG"/>
        </w:rPr>
        <w:t>клонични</w:t>
      </w:r>
      <w:proofErr w:type="spellEnd"/>
      <w:r w:rsidRPr="00EA6529">
        <w:rPr>
          <w:rFonts w:eastAsia="Times New Roman" w:cs="Arial"/>
          <w:color w:val="000000"/>
          <w:szCs w:val="20"/>
          <w:lang w:eastAsia="bg-BG"/>
        </w:rPr>
        <w:t xml:space="preserve"> пристъпи (ПГТКП), съвпада с профила на безопасност, съобщен от сборни плацебо-контролирани клинични проучвания върху парциални пристъпи. Допълнителни нежелани реакции, съобщени при пациенти с ПГТКП са </w:t>
      </w:r>
      <w:proofErr w:type="spellStart"/>
      <w:r w:rsidRPr="00EA6529">
        <w:rPr>
          <w:rFonts w:eastAsia="Times New Roman" w:cs="Arial"/>
          <w:color w:val="000000"/>
          <w:szCs w:val="20"/>
          <w:lang w:eastAsia="bg-BG"/>
        </w:rPr>
        <w:t>миоклонична</w:t>
      </w:r>
      <w:proofErr w:type="spellEnd"/>
      <w:r w:rsidRPr="00EA6529">
        <w:rPr>
          <w:rFonts w:eastAsia="Times New Roman" w:cs="Arial"/>
          <w:color w:val="000000"/>
          <w:szCs w:val="20"/>
          <w:lang w:eastAsia="bg-BG"/>
        </w:rPr>
        <w:t xml:space="preserve"> епилепсия (2,5% при групата, лекувана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0% при плацебо групата) и </w:t>
      </w:r>
      <w:proofErr w:type="spellStart"/>
      <w:r w:rsidRPr="00EA6529">
        <w:rPr>
          <w:rFonts w:eastAsia="Times New Roman" w:cs="Arial"/>
          <w:color w:val="000000"/>
          <w:szCs w:val="20"/>
          <w:lang w:eastAsia="bg-BG"/>
        </w:rPr>
        <w:t>атаксия</w:t>
      </w:r>
      <w:proofErr w:type="spellEnd"/>
      <w:r w:rsidRPr="00EA6529">
        <w:rPr>
          <w:rFonts w:eastAsia="Times New Roman" w:cs="Arial"/>
          <w:color w:val="000000"/>
          <w:szCs w:val="20"/>
          <w:lang w:eastAsia="bg-BG"/>
        </w:rPr>
        <w:t xml:space="preserve"> (3,3% при групата, лекувана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0% при плацебо групата). Най-честите нежелани лекарствени реакции са замаяност и сънливост. Най-честите нежелани реакции, водещи до преустановяване на лечението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са замаяност и суицидна </w:t>
      </w:r>
      <w:proofErr w:type="spellStart"/>
      <w:r w:rsidRPr="00EA6529">
        <w:rPr>
          <w:rFonts w:eastAsia="Times New Roman" w:cs="Arial"/>
          <w:color w:val="000000"/>
          <w:szCs w:val="20"/>
          <w:lang w:eastAsia="bg-BG"/>
        </w:rPr>
        <w:t>идеация</w:t>
      </w:r>
      <w:proofErr w:type="spellEnd"/>
      <w:r w:rsidRPr="00EA6529">
        <w:rPr>
          <w:rFonts w:eastAsia="Times New Roman" w:cs="Arial"/>
          <w:color w:val="000000"/>
          <w:szCs w:val="20"/>
          <w:lang w:eastAsia="bg-BG"/>
        </w:rPr>
        <w:t xml:space="preserve">. Честотата на преустановяване на лечението поради нежелани реакции е 9,1% в групата, лекувана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и 4,1 % в плацебо.</w:t>
      </w:r>
    </w:p>
    <w:p w14:paraId="44F7D9FD" w14:textId="4D6BF2F8" w:rsidR="006E22F0" w:rsidRPr="00EA6529" w:rsidRDefault="006E22F0" w:rsidP="006E22F0">
      <w:pPr>
        <w:rPr>
          <w:rFonts w:eastAsia="Times New Roman" w:cs="Arial"/>
          <w:color w:val="000000"/>
          <w:szCs w:val="20"/>
          <w:lang w:eastAsia="bg-BG"/>
        </w:rPr>
      </w:pPr>
      <w:r w:rsidRPr="00EA6529">
        <w:rPr>
          <w:rFonts w:eastAsia="Times New Roman" w:cs="Arial"/>
          <w:color w:val="000000"/>
          <w:szCs w:val="20"/>
          <w:lang w:eastAsia="bg-BG"/>
        </w:rPr>
        <w:t>групата.</w:t>
      </w:r>
    </w:p>
    <w:p w14:paraId="4154E28B" w14:textId="7083CF27" w:rsidR="006E22F0" w:rsidRPr="00EA6529" w:rsidRDefault="006E22F0" w:rsidP="006E22F0">
      <w:pPr>
        <w:rPr>
          <w:rFonts w:eastAsia="Times New Roman" w:cs="Arial"/>
          <w:color w:val="000000"/>
          <w:szCs w:val="20"/>
          <w:lang w:eastAsia="bg-BG"/>
        </w:rPr>
      </w:pPr>
    </w:p>
    <w:p w14:paraId="75E529EE" w14:textId="77777777" w:rsidR="006E22F0" w:rsidRPr="00EA6529" w:rsidRDefault="006E22F0" w:rsidP="00471B55">
      <w:pPr>
        <w:pStyle w:val="Heading3"/>
        <w:rPr>
          <w:rFonts w:eastAsia="Times New Roman"/>
          <w:sz w:val="28"/>
          <w:lang w:eastAsia="bg-BG"/>
        </w:rPr>
      </w:pPr>
      <w:r w:rsidRPr="00EA6529">
        <w:rPr>
          <w:rFonts w:eastAsia="Times New Roman"/>
          <w:lang w:eastAsia="bg-BG"/>
        </w:rPr>
        <w:t>Табличен списък на нежеланите лекарствени реакции</w:t>
      </w:r>
    </w:p>
    <w:p w14:paraId="4EFC7A2A" w14:textId="77777777" w:rsidR="006E22F0" w:rsidRPr="00EA6529" w:rsidRDefault="006E22F0" w:rsidP="006E22F0">
      <w:pPr>
        <w:rPr>
          <w:rFonts w:eastAsia="Times New Roman" w:cs="Arial"/>
          <w:color w:val="000000"/>
          <w:szCs w:val="20"/>
          <w:lang w:eastAsia="bg-BG"/>
        </w:rPr>
      </w:pPr>
    </w:p>
    <w:p w14:paraId="0BAEF126" w14:textId="4C7691DF" w:rsidR="006E22F0" w:rsidRPr="00EA6529" w:rsidRDefault="006E22F0" w:rsidP="006E22F0">
      <w:pPr>
        <w:rPr>
          <w:rFonts w:eastAsia="Times New Roman" w:cs="Arial"/>
          <w:color w:val="000000"/>
          <w:szCs w:val="20"/>
          <w:lang w:eastAsia="bg-BG"/>
        </w:rPr>
      </w:pPr>
      <w:r w:rsidRPr="00EA6529">
        <w:rPr>
          <w:rFonts w:eastAsia="Times New Roman" w:cs="Arial"/>
          <w:color w:val="000000"/>
          <w:szCs w:val="20"/>
          <w:lang w:eastAsia="bg-BG"/>
        </w:rPr>
        <w:t xml:space="preserve">На таблицата по-долу е представена честотата на нежеланите реакции, наблюдавани по време на клинични проучвания и </w:t>
      </w:r>
      <w:proofErr w:type="spellStart"/>
      <w:r w:rsidRPr="00EA6529">
        <w:rPr>
          <w:rFonts w:eastAsia="Times New Roman" w:cs="Arial"/>
          <w:color w:val="000000"/>
          <w:szCs w:val="20"/>
          <w:lang w:eastAsia="bg-BG"/>
        </w:rPr>
        <w:t>постмаркетинговия</w:t>
      </w:r>
      <w:proofErr w:type="spellEnd"/>
      <w:r w:rsidRPr="00EA6529">
        <w:rPr>
          <w:rFonts w:eastAsia="Times New Roman" w:cs="Arial"/>
          <w:color w:val="000000"/>
          <w:szCs w:val="20"/>
          <w:lang w:eastAsia="bg-BG"/>
        </w:rPr>
        <w:t xml:space="preserve"> опит. Тази честота е определена както следва: много чести (≥1/10), чести (≥1/100 до &lt;1/10), нечести (≥1/1 000 до &lt;1/100), с неизвестна честота (от наличните данни не може да бъде направена оценка). При всяко групиране в зависимост от честотата нежеланите лекарствени реакции са представени в низходящ ред по отношение на тяхната сериозност.</w:t>
      </w:r>
    </w:p>
    <w:tbl>
      <w:tblPr>
        <w:tblStyle w:val="TableGrid"/>
        <w:tblW w:w="0" w:type="auto"/>
        <w:tblLook w:val="04A0" w:firstRow="1" w:lastRow="0" w:firstColumn="1" w:lastColumn="0" w:noHBand="0" w:noVBand="1"/>
      </w:tblPr>
      <w:tblGrid>
        <w:gridCol w:w="1894"/>
        <w:gridCol w:w="1247"/>
        <w:gridCol w:w="1884"/>
        <w:gridCol w:w="2416"/>
        <w:gridCol w:w="1909"/>
      </w:tblGrid>
      <w:tr w:rsidR="006E22F0" w:rsidRPr="00EA6529" w14:paraId="2A7620B0" w14:textId="77777777" w:rsidTr="00471B55">
        <w:tc>
          <w:tcPr>
            <w:tcW w:w="1894" w:type="dxa"/>
          </w:tcPr>
          <w:p w14:paraId="132E2FFD" w14:textId="7C71019D" w:rsidR="006E22F0" w:rsidRPr="00EA6529" w:rsidRDefault="006E22F0" w:rsidP="006E22F0">
            <w:pPr>
              <w:rPr>
                <w:rFonts w:eastAsia="Times New Roman" w:cs="Arial"/>
                <w:color w:val="000000"/>
                <w:szCs w:val="20"/>
                <w:lang w:eastAsia="bg-BG"/>
              </w:rPr>
            </w:pPr>
            <w:proofErr w:type="spellStart"/>
            <w:r w:rsidRPr="00EA6529">
              <w:rPr>
                <w:b/>
                <w:bCs/>
                <w:szCs w:val="20"/>
              </w:rPr>
              <w:t>Системо</w:t>
            </w:r>
            <w:proofErr w:type="spellEnd"/>
            <w:r w:rsidRPr="00EA6529">
              <w:rPr>
                <w:b/>
                <w:bCs/>
                <w:szCs w:val="20"/>
              </w:rPr>
              <w:t>- органна класификация</w:t>
            </w:r>
          </w:p>
        </w:tc>
        <w:tc>
          <w:tcPr>
            <w:tcW w:w="1247" w:type="dxa"/>
          </w:tcPr>
          <w:p w14:paraId="6DF3AB97" w14:textId="1657E98F" w:rsidR="006E22F0" w:rsidRPr="00EA6529" w:rsidRDefault="006E22F0" w:rsidP="006E22F0">
            <w:pPr>
              <w:rPr>
                <w:rFonts w:eastAsia="Times New Roman" w:cs="Arial"/>
                <w:color w:val="000000"/>
                <w:szCs w:val="20"/>
                <w:lang w:eastAsia="bg-BG"/>
              </w:rPr>
            </w:pPr>
            <w:r w:rsidRPr="00EA6529">
              <w:rPr>
                <w:b/>
                <w:bCs/>
                <w:szCs w:val="20"/>
              </w:rPr>
              <w:t>Много чести</w:t>
            </w:r>
          </w:p>
        </w:tc>
        <w:tc>
          <w:tcPr>
            <w:tcW w:w="1884" w:type="dxa"/>
          </w:tcPr>
          <w:p w14:paraId="380A9FEA" w14:textId="45A7E0CD" w:rsidR="006E22F0" w:rsidRPr="00EA6529" w:rsidRDefault="006E22F0" w:rsidP="006E22F0">
            <w:pPr>
              <w:rPr>
                <w:rFonts w:eastAsia="Times New Roman" w:cs="Arial"/>
                <w:color w:val="000000"/>
                <w:szCs w:val="20"/>
                <w:lang w:eastAsia="bg-BG"/>
              </w:rPr>
            </w:pPr>
            <w:r w:rsidRPr="00EA6529">
              <w:rPr>
                <w:b/>
                <w:bCs/>
                <w:szCs w:val="20"/>
              </w:rPr>
              <w:t>Чести</w:t>
            </w:r>
          </w:p>
        </w:tc>
        <w:tc>
          <w:tcPr>
            <w:tcW w:w="2416" w:type="dxa"/>
          </w:tcPr>
          <w:p w14:paraId="0AA5A8C1" w14:textId="5467E7BF" w:rsidR="006E22F0" w:rsidRPr="00EA6529" w:rsidRDefault="006E22F0" w:rsidP="006E22F0">
            <w:pPr>
              <w:rPr>
                <w:rFonts w:eastAsia="Times New Roman" w:cs="Arial"/>
                <w:color w:val="000000"/>
                <w:szCs w:val="20"/>
                <w:lang w:eastAsia="bg-BG"/>
              </w:rPr>
            </w:pPr>
            <w:r w:rsidRPr="00EA6529">
              <w:rPr>
                <w:b/>
                <w:bCs/>
                <w:szCs w:val="20"/>
              </w:rPr>
              <w:t>Нечести</w:t>
            </w:r>
          </w:p>
        </w:tc>
        <w:tc>
          <w:tcPr>
            <w:tcW w:w="1909" w:type="dxa"/>
          </w:tcPr>
          <w:p w14:paraId="1047B84D" w14:textId="31326AF8" w:rsidR="006E22F0" w:rsidRPr="00EA6529" w:rsidRDefault="006E22F0" w:rsidP="006E22F0">
            <w:pPr>
              <w:rPr>
                <w:rFonts w:eastAsia="Times New Roman" w:cs="Arial"/>
                <w:color w:val="000000"/>
                <w:szCs w:val="20"/>
                <w:lang w:eastAsia="bg-BG"/>
              </w:rPr>
            </w:pPr>
            <w:r w:rsidRPr="00EA6529">
              <w:rPr>
                <w:b/>
                <w:bCs/>
                <w:szCs w:val="20"/>
              </w:rPr>
              <w:t>С неизвестна честота</w:t>
            </w:r>
          </w:p>
        </w:tc>
      </w:tr>
      <w:tr w:rsidR="006E22F0" w:rsidRPr="00EA6529" w14:paraId="29B30784" w14:textId="77777777" w:rsidTr="00471B55">
        <w:tc>
          <w:tcPr>
            <w:tcW w:w="1894" w:type="dxa"/>
          </w:tcPr>
          <w:p w14:paraId="10D0DB0E" w14:textId="763E8B1A" w:rsidR="006E22F0" w:rsidRPr="00EA6529" w:rsidRDefault="006E22F0" w:rsidP="006E22F0">
            <w:pPr>
              <w:rPr>
                <w:rFonts w:eastAsia="Times New Roman" w:cs="Arial"/>
                <w:color w:val="000000"/>
                <w:szCs w:val="20"/>
                <w:lang w:eastAsia="bg-BG"/>
              </w:rPr>
            </w:pPr>
            <w:r w:rsidRPr="00EA6529">
              <w:rPr>
                <w:b/>
                <w:bCs/>
                <w:szCs w:val="20"/>
              </w:rPr>
              <w:t>Нарушения на кръвта и лимфната система</w:t>
            </w:r>
          </w:p>
        </w:tc>
        <w:tc>
          <w:tcPr>
            <w:tcW w:w="1247" w:type="dxa"/>
          </w:tcPr>
          <w:p w14:paraId="377056C4" w14:textId="77777777" w:rsidR="006E22F0" w:rsidRPr="00EA6529" w:rsidRDefault="006E22F0" w:rsidP="006E22F0">
            <w:pPr>
              <w:rPr>
                <w:rFonts w:eastAsia="Times New Roman" w:cs="Arial"/>
                <w:color w:val="000000"/>
                <w:szCs w:val="20"/>
                <w:lang w:eastAsia="bg-BG"/>
              </w:rPr>
            </w:pPr>
          </w:p>
        </w:tc>
        <w:tc>
          <w:tcPr>
            <w:tcW w:w="1884" w:type="dxa"/>
          </w:tcPr>
          <w:p w14:paraId="6BBD7D42" w14:textId="77777777" w:rsidR="006E22F0" w:rsidRPr="00EA6529" w:rsidRDefault="006E22F0" w:rsidP="006E22F0">
            <w:pPr>
              <w:rPr>
                <w:rFonts w:eastAsia="Times New Roman" w:cs="Arial"/>
                <w:color w:val="000000"/>
                <w:szCs w:val="20"/>
                <w:lang w:eastAsia="bg-BG"/>
              </w:rPr>
            </w:pPr>
          </w:p>
        </w:tc>
        <w:tc>
          <w:tcPr>
            <w:tcW w:w="2416" w:type="dxa"/>
          </w:tcPr>
          <w:p w14:paraId="5F7B47EF" w14:textId="77777777" w:rsidR="006E22F0" w:rsidRPr="00EA6529" w:rsidRDefault="006E22F0" w:rsidP="006E22F0">
            <w:pPr>
              <w:rPr>
                <w:rFonts w:eastAsia="Times New Roman" w:cs="Arial"/>
                <w:color w:val="000000"/>
                <w:szCs w:val="20"/>
                <w:lang w:eastAsia="bg-BG"/>
              </w:rPr>
            </w:pPr>
          </w:p>
        </w:tc>
        <w:tc>
          <w:tcPr>
            <w:tcW w:w="1909" w:type="dxa"/>
          </w:tcPr>
          <w:p w14:paraId="17837883" w14:textId="586B4A92" w:rsidR="006E22F0" w:rsidRPr="00EA6529" w:rsidRDefault="006E22F0" w:rsidP="006E22F0">
            <w:pPr>
              <w:rPr>
                <w:rFonts w:eastAsia="Times New Roman" w:cs="Arial"/>
                <w:color w:val="000000"/>
                <w:szCs w:val="20"/>
                <w:lang w:eastAsia="bg-BG"/>
              </w:rPr>
            </w:pPr>
            <w:proofErr w:type="spellStart"/>
            <w:r w:rsidRPr="00EA6529">
              <w:rPr>
                <w:szCs w:val="20"/>
              </w:rPr>
              <w:t>Агранулоцитоза</w:t>
            </w:r>
            <w:proofErr w:type="spellEnd"/>
            <w:r w:rsidRPr="00EA6529">
              <w:rPr>
                <w:szCs w:val="20"/>
                <w:vertAlign w:val="superscript"/>
              </w:rPr>
              <w:t>(1)</w:t>
            </w:r>
          </w:p>
        </w:tc>
      </w:tr>
      <w:tr w:rsidR="006E22F0" w:rsidRPr="00EA6529" w14:paraId="7AA25F51" w14:textId="77777777" w:rsidTr="00471B55">
        <w:tc>
          <w:tcPr>
            <w:tcW w:w="1894" w:type="dxa"/>
          </w:tcPr>
          <w:p w14:paraId="54342932" w14:textId="2718B30F" w:rsidR="006E22F0" w:rsidRPr="00EA6529" w:rsidRDefault="006E22F0" w:rsidP="006E22F0">
            <w:pPr>
              <w:rPr>
                <w:rFonts w:eastAsia="Times New Roman" w:cs="Arial"/>
                <w:color w:val="000000"/>
                <w:szCs w:val="20"/>
                <w:lang w:eastAsia="bg-BG"/>
              </w:rPr>
            </w:pPr>
            <w:r w:rsidRPr="00EA6529">
              <w:rPr>
                <w:b/>
                <w:bCs/>
                <w:szCs w:val="20"/>
              </w:rPr>
              <w:t>Нарушения на имунната система</w:t>
            </w:r>
          </w:p>
        </w:tc>
        <w:tc>
          <w:tcPr>
            <w:tcW w:w="1247" w:type="dxa"/>
          </w:tcPr>
          <w:p w14:paraId="701D3F9F" w14:textId="77777777" w:rsidR="006E22F0" w:rsidRPr="00EA6529" w:rsidRDefault="006E22F0" w:rsidP="006E22F0">
            <w:pPr>
              <w:rPr>
                <w:rFonts w:eastAsia="Times New Roman" w:cs="Arial"/>
                <w:color w:val="000000"/>
                <w:szCs w:val="20"/>
                <w:lang w:eastAsia="bg-BG"/>
              </w:rPr>
            </w:pPr>
          </w:p>
        </w:tc>
        <w:tc>
          <w:tcPr>
            <w:tcW w:w="1884" w:type="dxa"/>
          </w:tcPr>
          <w:p w14:paraId="2D1EBC83" w14:textId="77777777" w:rsidR="006E22F0" w:rsidRPr="00EA6529" w:rsidRDefault="006E22F0" w:rsidP="006E22F0">
            <w:pPr>
              <w:rPr>
                <w:rFonts w:eastAsia="Times New Roman" w:cs="Arial"/>
                <w:color w:val="000000"/>
                <w:szCs w:val="20"/>
                <w:lang w:eastAsia="bg-BG"/>
              </w:rPr>
            </w:pPr>
          </w:p>
        </w:tc>
        <w:tc>
          <w:tcPr>
            <w:tcW w:w="2416" w:type="dxa"/>
          </w:tcPr>
          <w:p w14:paraId="0F32A9E9" w14:textId="799A0F20" w:rsidR="006E22F0" w:rsidRPr="00EA6529" w:rsidRDefault="006E22F0" w:rsidP="006E22F0">
            <w:pPr>
              <w:rPr>
                <w:rFonts w:eastAsia="Times New Roman" w:cs="Arial"/>
                <w:color w:val="000000"/>
                <w:szCs w:val="20"/>
                <w:lang w:eastAsia="bg-BG"/>
              </w:rPr>
            </w:pPr>
            <w:r w:rsidRPr="00EA6529">
              <w:rPr>
                <w:szCs w:val="20"/>
              </w:rPr>
              <w:t>Лекарствена свръхчувствителност</w:t>
            </w:r>
            <w:r w:rsidRPr="00EA6529">
              <w:rPr>
                <w:szCs w:val="20"/>
                <w:vertAlign w:val="superscript"/>
              </w:rPr>
              <w:t>(1)</w:t>
            </w:r>
          </w:p>
        </w:tc>
        <w:tc>
          <w:tcPr>
            <w:tcW w:w="1909" w:type="dxa"/>
          </w:tcPr>
          <w:p w14:paraId="25AD0B97" w14:textId="2643462C" w:rsidR="006E22F0" w:rsidRPr="00EA6529" w:rsidRDefault="006E22F0" w:rsidP="006E22F0">
            <w:pPr>
              <w:rPr>
                <w:rFonts w:eastAsia="Times New Roman" w:cs="Arial"/>
                <w:color w:val="000000"/>
                <w:szCs w:val="20"/>
                <w:lang w:eastAsia="bg-BG"/>
              </w:rPr>
            </w:pPr>
            <w:r w:rsidRPr="00EA6529">
              <w:rPr>
                <w:szCs w:val="20"/>
              </w:rPr>
              <w:t xml:space="preserve">Лекарствена реакция с </w:t>
            </w:r>
            <w:proofErr w:type="spellStart"/>
            <w:r w:rsidRPr="00EA6529">
              <w:rPr>
                <w:szCs w:val="20"/>
              </w:rPr>
              <w:t>еозинофилия</w:t>
            </w:r>
            <w:proofErr w:type="spellEnd"/>
            <w:r w:rsidRPr="00EA6529">
              <w:rPr>
                <w:szCs w:val="20"/>
              </w:rPr>
              <w:t xml:space="preserve"> и системни симптоми (DRESS)</w:t>
            </w:r>
            <w:r w:rsidRPr="00EA6529">
              <w:rPr>
                <w:szCs w:val="20"/>
                <w:vertAlign w:val="superscript"/>
              </w:rPr>
              <w:t>(1,2)</w:t>
            </w:r>
          </w:p>
        </w:tc>
      </w:tr>
      <w:tr w:rsidR="006E22F0" w:rsidRPr="00EA6529" w14:paraId="0AC50300" w14:textId="77777777" w:rsidTr="00471B55">
        <w:tc>
          <w:tcPr>
            <w:tcW w:w="1894" w:type="dxa"/>
          </w:tcPr>
          <w:p w14:paraId="422FA0DC" w14:textId="7DE7D016" w:rsidR="006E22F0" w:rsidRPr="00EA6529" w:rsidRDefault="006E22F0" w:rsidP="006E22F0">
            <w:pPr>
              <w:rPr>
                <w:rFonts w:eastAsia="Times New Roman" w:cs="Arial"/>
                <w:color w:val="000000"/>
                <w:szCs w:val="20"/>
                <w:lang w:eastAsia="bg-BG"/>
              </w:rPr>
            </w:pPr>
            <w:r w:rsidRPr="00EA6529">
              <w:rPr>
                <w:b/>
                <w:bCs/>
                <w:szCs w:val="20"/>
              </w:rPr>
              <w:t>Психични нарушения</w:t>
            </w:r>
          </w:p>
        </w:tc>
        <w:tc>
          <w:tcPr>
            <w:tcW w:w="1247" w:type="dxa"/>
          </w:tcPr>
          <w:p w14:paraId="383AEA45" w14:textId="77777777" w:rsidR="006E22F0" w:rsidRPr="00EA6529" w:rsidRDefault="006E22F0" w:rsidP="006E22F0">
            <w:pPr>
              <w:rPr>
                <w:rFonts w:eastAsia="Times New Roman" w:cs="Arial"/>
                <w:color w:val="000000"/>
                <w:szCs w:val="20"/>
                <w:lang w:eastAsia="bg-BG"/>
              </w:rPr>
            </w:pPr>
          </w:p>
        </w:tc>
        <w:tc>
          <w:tcPr>
            <w:tcW w:w="1884" w:type="dxa"/>
          </w:tcPr>
          <w:p w14:paraId="473A2472" w14:textId="4126CE7C" w:rsidR="006E22F0" w:rsidRPr="00EA6529" w:rsidRDefault="006E22F0" w:rsidP="006E22F0">
            <w:pPr>
              <w:rPr>
                <w:rFonts w:eastAsia="Times New Roman" w:cs="Arial"/>
                <w:color w:val="000000"/>
                <w:szCs w:val="20"/>
                <w:lang w:eastAsia="bg-BG"/>
              </w:rPr>
            </w:pPr>
            <w:r w:rsidRPr="00EA6529">
              <w:rPr>
                <w:szCs w:val="20"/>
              </w:rPr>
              <w:t>Депресия Състояние на обърканост Безсъние</w:t>
            </w:r>
            <w:r w:rsidRPr="00EA6529">
              <w:rPr>
                <w:szCs w:val="20"/>
                <w:vertAlign w:val="superscript"/>
              </w:rPr>
              <w:t>0</w:t>
            </w:r>
            <w:r w:rsidRPr="00EA6529">
              <w:rPr>
                <w:szCs w:val="20"/>
              </w:rPr>
              <w:t>»</w:t>
            </w:r>
          </w:p>
        </w:tc>
        <w:tc>
          <w:tcPr>
            <w:tcW w:w="2416" w:type="dxa"/>
          </w:tcPr>
          <w:p w14:paraId="58DD588E" w14:textId="77777777" w:rsidR="006F2D70" w:rsidRPr="00EA6529" w:rsidRDefault="006E22F0" w:rsidP="006E22F0">
            <w:pPr>
              <w:rPr>
                <w:szCs w:val="20"/>
              </w:rPr>
            </w:pPr>
            <w:r w:rsidRPr="00EA6529">
              <w:rPr>
                <w:szCs w:val="20"/>
              </w:rPr>
              <w:t xml:space="preserve">Агресия </w:t>
            </w:r>
          </w:p>
          <w:p w14:paraId="6144DB16" w14:textId="77777777" w:rsidR="006F2D70" w:rsidRPr="00EA6529" w:rsidRDefault="006E22F0" w:rsidP="006E22F0">
            <w:pPr>
              <w:rPr>
                <w:szCs w:val="20"/>
              </w:rPr>
            </w:pPr>
            <w:r w:rsidRPr="00EA6529">
              <w:rPr>
                <w:szCs w:val="20"/>
              </w:rPr>
              <w:t>Възбуда</w:t>
            </w:r>
            <w:r w:rsidRPr="00EA6529">
              <w:rPr>
                <w:szCs w:val="20"/>
                <w:vertAlign w:val="superscript"/>
              </w:rPr>
              <w:t>(1)</w:t>
            </w:r>
            <w:r w:rsidRPr="00EA6529">
              <w:rPr>
                <w:szCs w:val="20"/>
              </w:rPr>
              <w:t xml:space="preserve"> </w:t>
            </w:r>
          </w:p>
          <w:p w14:paraId="6E6DB843" w14:textId="3E9B2770" w:rsidR="006F2D70" w:rsidRPr="00EA6529" w:rsidRDefault="006E22F0" w:rsidP="006E22F0">
            <w:pPr>
              <w:rPr>
                <w:szCs w:val="20"/>
              </w:rPr>
            </w:pPr>
            <w:r w:rsidRPr="00EA6529">
              <w:rPr>
                <w:szCs w:val="20"/>
              </w:rPr>
              <w:t>Еуфорично настроение</w:t>
            </w:r>
            <w:r w:rsidRPr="00EA6529">
              <w:rPr>
                <w:szCs w:val="20"/>
                <w:vertAlign w:val="superscript"/>
              </w:rPr>
              <w:t>(1)</w:t>
            </w:r>
            <w:r w:rsidRPr="00EA6529">
              <w:rPr>
                <w:szCs w:val="20"/>
              </w:rPr>
              <w:t xml:space="preserve"> Психотично разстройство</w:t>
            </w:r>
            <w:r w:rsidRPr="00EA6529">
              <w:rPr>
                <w:szCs w:val="20"/>
                <w:vertAlign w:val="superscript"/>
              </w:rPr>
              <w:t>(1)</w:t>
            </w:r>
            <w:r w:rsidRPr="00EA6529">
              <w:rPr>
                <w:szCs w:val="20"/>
              </w:rPr>
              <w:t xml:space="preserve"> </w:t>
            </w:r>
          </w:p>
          <w:p w14:paraId="1C94F8EA" w14:textId="66949D91" w:rsidR="006E22F0" w:rsidRPr="00EA6529" w:rsidRDefault="006E22F0" w:rsidP="006E22F0">
            <w:pPr>
              <w:rPr>
                <w:rFonts w:eastAsia="Times New Roman" w:cs="Arial"/>
                <w:color w:val="000000"/>
                <w:szCs w:val="20"/>
                <w:lang w:eastAsia="bg-BG"/>
              </w:rPr>
            </w:pPr>
            <w:r w:rsidRPr="00EA6529">
              <w:rPr>
                <w:szCs w:val="20"/>
              </w:rPr>
              <w:t>Опит за самоубийство</w:t>
            </w:r>
            <w:r w:rsidRPr="00EA6529">
              <w:rPr>
                <w:szCs w:val="20"/>
                <w:vertAlign w:val="superscript"/>
              </w:rPr>
              <w:t>(1)</w:t>
            </w:r>
            <w:r w:rsidRPr="00EA6529">
              <w:rPr>
                <w:szCs w:val="20"/>
              </w:rPr>
              <w:t xml:space="preserve"> Суицидна </w:t>
            </w:r>
            <w:proofErr w:type="spellStart"/>
            <w:r w:rsidRPr="00EA6529">
              <w:rPr>
                <w:szCs w:val="20"/>
              </w:rPr>
              <w:t>идеация</w:t>
            </w:r>
            <w:proofErr w:type="spellEnd"/>
            <w:r w:rsidRPr="00EA6529">
              <w:rPr>
                <w:szCs w:val="20"/>
              </w:rPr>
              <w:t xml:space="preserve"> Халюцинация</w:t>
            </w:r>
            <w:r w:rsidRPr="00EA6529">
              <w:rPr>
                <w:szCs w:val="20"/>
                <w:vertAlign w:val="superscript"/>
              </w:rPr>
              <w:t>(1)</w:t>
            </w:r>
          </w:p>
        </w:tc>
        <w:tc>
          <w:tcPr>
            <w:tcW w:w="1909" w:type="dxa"/>
          </w:tcPr>
          <w:p w14:paraId="1A1DF822" w14:textId="77777777" w:rsidR="006E22F0" w:rsidRPr="00EA6529" w:rsidRDefault="006E22F0" w:rsidP="006E22F0">
            <w:pPr>
              <w:rPr>
                <w:rFonts w:eastAsia="Times New Roman" w:cs="Arial"/>
                <w:color w:val="000000"/>
                <w:szCs w:val="20"/>
                <w:lang w:eastAsia="bg-BG"/>
              </w:rPr>
            </w:pPr>
          </w:p>
        </w:tc>
      </w:tr>
      <w:tr w:rsidR="006E22F0" w:rsidRPr="00EA6529" w14:paraId="0108A814" w14:textId="77777777" w:rsidTr="00471B55">
        <w:tc>
          <w:tcPr>
            <w:tcW w:w="1894" w:type="dxa"/>
          </w:tcPr>
          <w:p w14:paraId="4310D7E3" w14:textId="1CE0A825" w:rsidR="006E22F0" w:rsidRPr="00EA6529" w:rsidRDefault="006E22F0" w:rsidP="006E22F0">
            <w:pPr>
              <w:rPr>
                <w:rFonts w:eastAsia="Times New Roman" w:cs="Arial"/>
                <w:color w:val="000000"/>
                <w:szCs w:val="20"/>
                <w:lang w:eastAsia="bg-BG"/>
              </w:rPr>
            </w:pPr>
            <w:r w:rsidRPr="00EA6529">
              <w:rPr>
                <w:b/>
                <w:bCs/>
                <w:szCs w:val="20"/>
              </w:rPr>
              <w:t xml:space="preserve">Нарушения </w:t>
            </w:r>
            <w:proofErr w:type="spellStart"/>
            <w:r w:rsidRPr="00EA6529">
              <w:rPr>
                <w:b/>
                <w:bCs/>
                <w:szCs w:val="20"/>
              </w:rPr>
              <w:t>иа</w:t>
            </w:r>
            <w:proofErr w:type="spellEnd"/>
            <w:r w:rsidRPr="00EA6529">
              <w:rPr>
                <w:b/>
                <w:bCs/>
                <w:szCs w:val="20"/>
              </w:rPr>
              <w:t xml:space="preserve"> нервната система</w:t>
            </w:r>
          </w:p>
        </w:tc>
        <w:tc>
          <w:tcPr>
            <w:tcW w:w="1247" w:type="dxa"/>
          </w:tcPr>
          <w:p w14:paraId="783704D7" w14:textId="719F4378" w:rsidR="006E22F0" w:rsidRPr="00EA6529" w:rsidRDefault="006E22F0" w:rsidP="006E22F0">
            <w:pPr>
              <w:rPr>
                <w:rFonts w:eastAsia="Times New Roman" w:cs="Arial"/>
                <w:color w:val="000000"/>
                <w:szCs w:val="20"/>
                <w:lang w:eastAsia="bg-BG"/>
              </w:rPr>
            </w:pPr>
            <w:r w:rsidRPr="00EA6529">
              <w:rPr>
                <w:szCs w:val="20"/>
              </w:rPr>
              <w:t xml:space="preserve">Замаяност </w:t>
            </w:r>
            <w:r w:rsidRPr="00EA6529">
              <w:rPr>
                <w:szCs w:val="20"/>
              </w:rPr>
              <w:lastRenderedPageBreak/>
              <w:t>Главоболи е</w:t>
            </w:r>
          </w:p>
        </w:tc>
        <w:tc>
          <w:tcPr>
            <w:tcW w:w="1884" w:type="dxa"/>
          </w:tcPr>
          <w:p w14:paraId="71C1A317" w14:textId="05EC3CFF" w:rsidR="006E22F0" w:rsidRPr="00EA6529" w:rsidRDefault="006E22F0" w:rsidP="006E22F0">
            <w:pPr>
              <w:rPr>
                <w:rFonts w:eastAsia="Times New Roman" w:cs="Arial"/>
                <w:color w:val="000000"/>
                <w:szCs w:val="20"/>
                <w:lang w:eastAsia="bg-BG"/>
              </w:rPr>
            </w:pPr>
            <w:proofErr w:type="spellStart"/>
            <w:r w:rsidRPr="00EA6529">
              <w:rPr>
                <w:szCs w:val="20"/>
              </w:rPr>
              <w:lastRenderedPageBreak/>
              <w:t>Миоклонични</w:t>
            </w:r>
            <w:proofErr w:type="spellEnd"/>
            <w:r w:rsidRPr="00EA6529">
              <w:rPr>
                <w:szCs w:val="20"/>
              </w:rPr>
              <w:t xml:space="preserve"> пристъпи</w:t>
            </w:r>
            <w:r w:rsidRPr="00EA6529">
              <w:rPr>
                <w:szCs w:val="20"/>
                <w:vertAlign w:val="superscript"/>
              </w:rPr>
              <w:t>(3)</w:t>
            </w:r>
            <w:r w:rsidRPr="00EA6529">
              <w:rPr>
                <w:szCs w:val="20"/>
              </w:rPr>
              <w:t xml:space="preserve"> </w:t>
            </w:r>
            <w:proofErr w:type="spellStart"/>
            <w:r w:rsidRPr="00EA6529">
              <w:rPr>
                <w:szCs w:val="20"/>
              </w:rPr>
              <w:t>Атаксия</w:t>
            </w:r>
            <w:proofErr w:type="spellEnd"/>
            <w:r w:rsidRPr="00EA6529">
              <w:rPr>
                <w:szCs w:val="20"/>
              </w:rPr>
              <w:t xml:space="preserve"> </w:t>
            </w:r>
            <w:r w:rsidRPr="00EA6529">
              <w:rPr>
                <w:szCs w:val="20"/>
              </w:rPr>
              <w:lastRenderedPageBreak/>
              <w:t xml:space="preserve">Нарушение на равновесието Нарушение на координацията Увреждане на паметта Когнитивни нарушения </w:t>
            </w:r>
            <w:proofErr w:type="spellStart"/>
            <w:r w:rsidRPr="00EA6529">
              <w:rPr>
                <w:szCs w:val="20"/>
              </w:rPr>
              <w:t>Сомнолентност</w:t>
            </w:r>
            <w:proofErr w:type="spellEnd"/>
            <w:r w:rsidRPr="00EA6529">
              <w:rPr>
                <w:szCs w:val="20"/>
              </w:rPr>
              <w:t xml:space="preserve"> Тремор </w:t>
            </w:r>
            <w:proofErr w:type="spellStart"/>
            <w:r w:rsidRPr="00EA6529">
              <w:rPr>
                <w:szCs w:val="20"/>
              </w:rPr>
              <w:t>Нистагъм</w:t>
            </w:r>
            <w:proofErr w:type="spellEnd"/>
            <w:r w:rsidRPr="00EA6529">
              <w:rPr>
                <w:szCs w:val="20"/>
              </w:rPr>
              <w:t xml:space="preserve"> </w:t>
            </w:r>
            <w:proofErr w:type="spellStart"/>
            <w:r w:rsidRPr="00EA6529">
              <w:rPr>
                <w:szCs w:val="20"/>
              </w:rPr>
              <w:t>Хипоестезия</w:t>
            </w:r>
            <w:proofErr w:type="spellEnd"/>
            <w:r w:rsidRPr="00EA6529">
              <w:rPr>
                <w:szCs w:val="20"/>
              </w:rPr>
              <w:t xml:space="preserve"> </w:t>
            </w:r>
            <w:proofErr w:type="spellStart"/>
            <w:r w:rsidRPr="00EA6529">
              <w:rPr>
                <w:szCs w:val="20"/>
              </w:rPr>
              <w:t>Дизартрия</w:t>
            </w:r>
            <w:proofErr w:type="spellEnd"/>
            <w:r w:rsidRPr="00EA6529">
              <w:rPr>
                <w:szCs w:val="20"/>
              </w:rPr>
              <w:t xml:space="preserve"> Нарушения на вниманието </w:t>
            </w:r>
            <w:proofErr w:type="spellStart"/>
            <w:r w:rsidRPr="00EA6529">
              <w:rPr>
                <w:szCs w:val="20"/>
              </w:rPr>
              <w:t>Парестезия</w:t>
            </w:r>
            <w:proofErr w:type="spellEnd"/>
          </w:p>
        </w:tc>
        <w:tc>
          <w:tcPr>
            <w:tcW w:w="2416" w:type="dxa"/>
          </w:tcPr>
          <w:p w14:paraId="53B87606" w14:textId="77777777" w:rsidR="006F2D70" w:rsidRPr="00EA6529" w:rsidRDefault="006E22F0" w:rsidP="006E22F0">
            <w:pPr>
              <w:rPr>
                <w:szCs w:val="20"/>
              </w:rPr>
            </w:pPr>
            <w:proofErr w:type="spellStart"/>
            <w:r w:rsidRPr="00EA6529">
              <w:rPr>
                <w:szCs w:val="20"/>
              </w:rPr>
              <w:lastRenderedPageBreak/>
              <w:t>Синкоп</w:t>
            </w:r>
            <w:proofErr w:type="spellEnd"/>
            <w:r w:rsidRPr="00EA6529">
              <w:rPr>
                <w:szCs w:val="20"/>
                <w:vertAlign w:val="superscript"/>
              </w:rPr>
              <w:t>(2)</w:t>
            </w:r>
            <w:r w:rsidRPr="00EA6529">
              <w:rPr>
                <w:szCs w:val="20"/>
              </w:rPr>
              <w:t xml:space="preserve"> </w:t>
            </w:r>
          </w:p>
          <w:p w14:paraId="2C9A9448" w14:textId="0A3FFC23" w:rsidR="006E22F0" w:rsidRPr="00EA6529" w:rsidRDefault="006E22F0" w:rsidP="006E22F0">
            <w:pPr>
              <w:rPr>
                <w:rFonts w:eastAsia="Times New Roman" w:cs="Arial"/>
                <w:color w:val="000000"/>
                <w:szCs w:val="20"/>
                <w:lang w:eastAsia="bg-BG"/>
              </w:rPr>
            </w:pPr>
            <w:r w:rsidRPr="00EA6529">
              <w:rPr>
                <w:szCs w:val="20"/>
              </w:rPr>
              <w:lastRenderedPageBreak/>
              <w:t>Нарушение на координацията Дискинезия</w:t>
            </w:r>
          </w:p>
        </w:tc>
        <w:tc>
          <w:tcPr>
            <w:tcW w:w="1909" w:type="dxa"/>
          </w:tcPr>
          <w:p w14:paraId="4137496D" w14:textId="5DABCCDC" w:rsidR="006E22F0" w:rsidRPr="00EA6529" w:rsidRDefault="006E22F0" w:rsidP="006E22F0">
            <w:pPr>
              <w:rPr>
                <w:rFonts w:eastAsia="Times New Roman" w:cs="Arial"/>
                <w:color w:val="000000"/>
                <w:szCs w:val="20"/>
                <w:lang w:eastAsia="bg-BG"/>
              </w:rPr>
            </w:pPr>
            <w:r w:rsidRPr="00EA6529">
              <w:rPr>
                <w:szCs w:val="20"/>
              </w:rPr>
              <w:lastRenderedPageBreak/>
              <w:t>Конвулсии</w:t>
            </w:r>
            <w:r w:rsidRPr="00EA6529">
              <w:rPr>
                <w:szCs w:val="20"/>
                <w:vertAlign w:val="superscript"/>
              </w:rPr>
              <w:t>(3)</w:t>
            </w:r>
          </w:p>
        </w:tc>
      </w:tr>
      <w:tr w:rsidR="006E22F0" w:rsidRPr="00EA6529" w14:paraId="7AB3C842" w14:textId="77777777" w:rsidTr="00471B55">
        <w:tc>
          <w:tcPr>
            <w:tcW w:w="1894" w:type="dxa"/>
          </w:tcPr>
          <w:p w14:paraId="4424B3B3" w14:textId="22DF0E95" w:rsidR="006E22F0" w:rsidRPr="00EA6529" w:rsidRDefault="006E22F0" w:rsidP="006E22F0">
            <w:pPr>
              <w:rPr>
                <w:rFonts w:eastAsia="Times New Roman" w:cs="Arial"/>
                <w:color w:val="000000"/>
                <w:szCs w:val="20"/>
                <w:lang w:eastAsia="bg-BG"/>
              </w:rPr>
            </w:pPr>
            <w:r w:rsidRPr="00EA6529">
              <w:rPr>
                <w:b/>
                <w:bCs/>
                <w:szCs w:val="20"/>
              </w:rPr>
              <w:t>Нарушения на очите</w:t>
            </w:r>
          </w:p>
        </w:tc>
        <w:tc>
          <w:tcPr>
            <w:tcW w:w="1247" w:type="dxa"/>
          </w:tcPr>
          <w:p w14:paraId="4F0EA8DA" w14:textId="623F2ADD" w:rsidR="006E22F0" w:rsidRPr="00EA6529" w:rsidRDefault="006E22F0" w:rsidP="006E22F0">
            <w:pPr>
              <w:rPr>
                <w:rFonts w:eastAsia="Times New Roman" w:cs="Arial"/>
                <w:color w:val="000000"/>
                <w:szCs w:val="20"/>
                <w:lang w:eastAsia="bg-BG"/>
              </w:rPr>
            </w:pPr>
            <w:proofErr w:type="spellStart"/>
            <w:r w:rsidRPr="00EA6529">
              <w:rPr>
                <w:szCs w:val="20"/>
              </w:rPr>
              <w:t>Диплопия</w:t>
            </w:r>
            <w:proofErr w:type="spellEnd"/>
          </w:p>
        </w:tc>
        <w:tc>
          <w:tcPr>
            <w:tcW w:w="1884" w:type="dxa"/>
          </w:tcPr>
          <w:p w14:paraId="00709BCD" w14:textId="2C5C5E17" w:rsidR="006E22F0" w:rsidRPr="00EA6529" w:rsidRDefault="006E22F0" w:rsidP="006E22F0">
            <w:pPr>
              <w:rPr>
                <w:rFonts w:eastAsia="Times New Roman" w:cs="Arial"/>
                <w:color w:val="000000"/>
                <w:szCs w:val="20"/>
                <w:lang w:eastAsia="bg-BG"/>
              </w:rPr>
            </w:pPr>
            <w:r w:rsidRPr="00EA6529">
              <w:rPr>
                <w:szCs w:val="20"/>
              </w:rPr>
              <w:t>Замъглено зрение</w:t>
            </w:r>
          </w:p>
        </w:tc>
        <w:tc>
          <w:tcPr>
            <w:tcW w:w="2416" w:type="dxa"/>
          </w:tcPr>
          <w:p w14:paraId="7B15AA76" w14:textId="77777777" w:rsidR="006E22F0" w:rsidRPr="00EA6529" w:rsidRDefault="006E22F0" w:rsidP="006E22F0">
            <w:pPr>
              <w:rPr>
                <w:rFonts w:eastAsia="Times New Roman" w:cs="Arial"/>
                <w:color w:val="000000"/>
                <w:szCs w:val="20"/>
                <w:lang w:eastAsia="bg-BG"/>
              </w:rPr>
            </w:pPr>
          </w:p>
        </w:tc>
        <w:tc>
          <w:tcPr>
            <w:tcW w:w="1909" w:type="dxa"/>
            <w:textDirection w:val="tbRl"/>
          </w:tcPr>
          <w:p w14:paraId="09396A68" w14:textId="77777777" w:rsidR="006E22F0" w:rsidRPr="00EA6529" w:rsidRDefault="006E22F0" w:rsidP="006E22F0">
            <w:pPr>
              <w:rPr>
                <w:rFonts w:eastAsia="Times New Roman" w:cs="Arial"/>
                <w:color w:val="000000"/>
                <w:szCs w:val="20"/>
                <w:lang w:eastAsia="bg-BG"/>
              </w:rPr>
            </w:pPr>
          </w:p>
        </w:tc>
      </w:tr>
      <w:tr w:rsidR="00471B55" w:rsidRPr="00EA6529" w14:paraId="3FD52A40" w14:textId="77777777" w:rsidTr="00BE409F">
        <w:tc>
          <w:tcPr>
            <w:tcW w:w="1894" w:type="dxa"/>
            <w:vAlign w:val="bottom"/>
          </w:tcPr>
          <w:p w14:paraId="5E1679D2" w14:textId="08548BB5" w:rsidR="00471B55" w:rsidRPr="00EA6529" w:rsidRDefault="00471B55" w:rsidP="006E22F0">
            <w:pPr>
              <w:rPr>
                <w:rFonts w:eastAsia="Times New Roman" w:cs="Arial"/>
                <w:color w:val="000000"/>
                <w:lang w:eastAsia="bg-BG"/>
              </w:rPr>
            </w:pPr>
            <w:r w:rsidRPr="00EA6529">
              <w:rPr>
                <w:b/>
                <w:bCs/>
              </w:rPr>
              <w:t>Нарушения на ухото и лабиринта</w:t>
            </w:r>
          </w:p>
        </w:tc>
        <w:tc>
          <w:tcPr>
            <w:tcW w:w="1247" w:type="dxa"/>
          </w:tcPr>
          <w:p w14:paraId="1F4C5238" w14:textId="2E804DA9" w:rsidR="00471B55" w:rsidRPr="00EA6529" w:rsidRDefault="00471B55" w:rsidP="006E22F0">
            <w:pPr>
              <w:rPr>
                <w:rFonts w:eastAsia="Times New Roman" w:cs="Arial"/>
                <w:color w:val="000000"/>
                <w:lang w:eastAsia="bg-BG"/>
              </w:rPr>
            </w:pPr>
          </w:p>
        </w:tc>
        <w:tc>
          <w:tcPr>
            <w:tcW w:w="1884" w:type="dxa"/>
            <w:vAlign w:val="center"/>
          </w:tcPr>
          <w:p w14:paraId="4DFAFB85" w14:textId="4F8870DE" w:rsidR="00471B55" w:rsidRPr="00EA6529" w:rsidRDefault="00471B55" w:rsidP="006E22F0">
            <w:pPr>
              <w:rPr>
                <w:rFonts w:eastAsia="Times New Roman" w:cs="Arial"/>
                <w:color w:val="000000"/>
                <w:lang w:eastAsia="bg-BG"/>
              </w:rPr>
            </w:pPr>
            <w:proofErr w:type="spellStart"/>
            <w:r w:rsidRPr="00EA6529">
              <w:t>Вертиго</w:t>
            </w:r>
            <w:proofErr w:type="spellEnd"/>
            <w:r w:rsidRPr="00EA6529">
              <w:t xml:space="preserve"> </w:t>
            </w:r>
            <w:proofErr w:type="spellStart"/>
            <w:r w:rsidRPr="00EA6529">
              <w:t>Тинитус</w:t>
            </w:r>
            <w:proofErr w:type="spellEnd"/>
          </w:p>
        </w:tc>
        <w:tc>
          <w:tcPr>
            <w:tcW w:w="2416" w:type="dxa"/>
          </w:tcPr>
          <w:p w14:paraId="308FFA9A" w14:textId="405ED262" w:rsidR="00471B55" w:rsidRPr="00EA6529" w:rsidRDefault="00471B55" w:rsidP="006E22F0">
            <w:pPr>
              <w:rPr>
                <w:rFonts w:eastAsia="Times New Roman" w:cs="Arial"/>
                <w:color w:val="000000"/>
                <w:lang w:eastAsia="bg-BG"/>
              </w:rPr>
            </w:pPr>
          </w:p>
        </w:tc>
        <w:tc>
          <w:tcPr>
            <w:tcW w:w="1909" w:type="dxa"/>
          </w:tcPr>
          <w:p w14:paraId="1E8DC542" w14:textId="10B9DC5C" w:rsidR="00471B55" w:rsidRPr="00EA6529" w:rsidRDefault="00471B55" w:rsidP="006E22F0">
            <w:pPr>
              <w:rPr>
                <w:rFonts w:eastAsia="Times New Roman" w:cs="Arial"/>
                <w:color w:val="000000"/>
                <w:lang w:eastAsia="bg-BG"/>
              </w:rPr>
            </w:pPr>
          </w:p>
        </w:tc>
      </w:tr>
      <w:tr w:rsidR="00471B55" w:rsidRPr="00EA6529" w14:paraId="1A048F7C" w14:textId="77777777" w:rsidTr="00BE409F">
        <w:tc>
          <w:tcPr>
            <w:tcW w:w="1894" w:type="dxa"/>
          </w:tcPr>
          <w:p w14:paraId="6FC2B8B5" w14:textId="61E03695" w:rsidR="00471B55" w:rsidRPr="00EA6529" w:rsidRDefault="00471B55" w:rsidP="006E22F0">
            <w:pPr>
              <w:rPr>
                <w:rFonts w:eastAsia="Times New Roman" w:cs="Arial"/>
                <w:color w:val="000000"/>
                <w:lang w:eastAsia="bg-BG"/>
              </w:rPr>
            </w:pPr>
            <w:r w:rsidRPr="00EA6529">
              <w:rPr>
                <w:b/>
                <w:bCs/>
              </w:rPr>
              <w:t>Сърдечни нарушения</w:t>
            </w:r>
          </w:p>
        </w:tc>
        <w:tc>
          <w:tcPr>
            <w:tcW w:w="1247" w:type="dxa"/>
          </w:tcPr>
          <w:p w14:paraId="1C34E155" w14:textId="77777777" w:rsidR="00471B55" w:rsidRPr="00EA6529" w:rsidRDefault="00471B55" w:rsidP="006E22F0">
            <w:pPr>
              <w:rPr>
                <w:rFonts w:eastAsia="Times New Roman" w:cs="Arial"/>
                <w:color w:val="000000"/>
                <w:lang w:eastAsia="bg-BG"/>
              </w:rPr>
            </w:pPr>
          </w:p>
        </w:tc>
        <w:tc>
          <w:tcPr>
            <w:tcW w:w="1884" w:type="dxa"/>
          </w:tcPr>
          <w:p w14:paraId="33B52ACF" w14:textId="719AECEF" w:rsidR="00471B55" w:rsidRPr="00EA6529" w:rsidRDefault="00471B55" w:rsidP="006E22F0">
            <w:pPr>
              <w:rPr>
                <w:rFonts w:eastAsia="Times New Roman" w:cs="Arial"/>
                <w:color w:val="000000"/>
                <w:lang w:eastAsia="bg-BG"/>
              </w:rPr>
            </w:pPr>
          </w:p>
        </w:tc>
        <w:tc>
          <w:tcPr>
            <w:tcW w:w="2416" w:type="dxa"/>
            <w:vAlign w:val="bottom"/>
          </w:tcPr>
          <w:p w14:paraId="48381221" w14:textId="5F8081DC" w:rsidR="00471B55" w:rsidRPr="00EA6529" w:rsidRDefault="00471B55" w:rsidP="006E22F0">
            <w:pPr>
              <w:rPr>
                <w:rFonts w:eastAsia="Times New Roman" w:cs="Arial"/>
                <w:color w:val="000000"/>
                <w:lang w:eastAsia="bg-BG"/>
              </w:rPr>
            </w:pPr>
            <w:proofErr w:type="spellStart"/>
            <w:r w:rsidRPr="00EA6529">
              <w:t>Атриовентрикуларен</w:t>
            </w:r>
            <w:proofErr w:type="spellEnd"/>
            <w:r w:rsidRPr="00EA6529">
              <w:t xml:space="preserve"> блок</w:t>
            </w:r>
            <w:r w:rsidRPr="00EA6529">
              <w:rPr>
                <w:vertAlign w:val="superscript"/>
              </w:rPr>
              <w:t xml:space="preserve">(1,2) </w:t>
            </w:r>
            <w:r w:rsidRPr="00EA6529">
              <w:t>Брадикардия</w:t>
            </w:r>
            <w:r w:rsidRPr="00EA6529">
              <w:rPr>
                <w:vertAlign w:val="superscript"/>
              </w:rPr>
              <w:t xml:space="preserve">(1,2) </w:t>
            </w:r>
            <w:proofErr w:type="spellStart"/>
            <w:r w:rsidRPr="00EA6529">
              <w:t>Предсърдно</w:t>
            </w:r>
            <w:proofErr w:type="spellEnd"/>
            <w:r w:rsidRPr="00EA6529">
              <w:t xml:space="preserve"> мъждене</w:t>
            </w:r>
            <w:r w:rsidRPr="00EA6529">
              <w:rPr>
                <w:vertAlign w:val="superscript"/>
              </w:rPr>
              <w:t>(1,2)</w:t>
            </w:r>
            <w:r w:rsidRPr="00EA6529">
              <w:t xml:space="preserve"> </w:t>
            </w:r>
            <w:proofErr w:type="spellStart"/>
            <w:r w:rsidRPr="00EA6529">
              <w:t>Предсърдно</w:t>
            </w:r>
            <w:proofErr w:type="spellEnd"/>
            <w:r w:rsidRPr="00EA6529">
              <w:t xml:space="preserve"> трептене</w:t>
            </w:r>
            <w:r w:rsidRPr="00EA6529">
              <w:rPr>
                <w:vertAlign w:val="superscript"/>
              </w:rPr>
              <w:t>,(1,2)</w:t>
            </w:r>
          </w:p>
        </w:tc>
        <w:tc>
          <w:tcPr>
            <w:tcW w:w="1909" w:type="dxa"/>
          </w:tcPr>
          <w:p w14:paraId="2A1C480B" w14:textId="6002CAA2" w:rsidR="00471B55" w:rsidRPr="00EA6529" w:rsidRDefault="00471B55" w:rsidP="006E22F0">
            <w:pPr>
              <w:rPr>
                <w:rFonts w:eastAsia="Times New Roman" w:cs="Arial"/>
                <w:color w:val="000000"/>
                <w:lang w:eastAsia="bg-BG"/>
              </w:rPr>
            </w:pPr>
            <w:proofErr w:type="spellStart"/>
            <w:r w:rsidRPr="00EA6529">
              <w:t>Вентрикуларна</w:t>
            </w:r>
            <w:proofErr w:type="spellEnd"/>
            <w:r w:rsidRPr="00EA6529">
              <w:t xml:space="preserve"> </w:t>
            </w:r>
            <w:proofErr w:type="spellStart"/>
            <w:r w:rsidRPr="00EA6529">
              <w:t>тахиаритмия</w:t>
            </w:r>
            <w:proofErr w:type="spellEnd"/>
            <w:r w:rsidRPr="00EA6529">
              <w:rPr>
                <w:vertAlign w:val="superscript"/>
              </w:rPr>
              <w:t>(1)</w:t>
            </w:r>
          </w:p>
        </w:tc>
      </w:tr>
      <w:tr w:rsidR="00471B55" w:rsidRPr="00EA6529" w14:paraId="777B59F1" w14:textId="77777777" w:rsidTr="00BE409F">
        <w:tc>
          <w:tcPr>
            <w:tcW w:w="1894" w:type="dxa"/>
          </w:tcPr>
          <w:p w14:paraId="3C015872" w14:textId="23C49A4F" w:rsidR="00471B55" w:rsidRPr="00EA6529" w:rsidRDefault="00471B55" w:rsidP="006E22F0">
            <w:pPr>
              <w:rPr>
                <w:rFonts w:eastAsia="Times New Roman" w:cs="Arial"/>
                <w:color w:val="000000"/>
                <w:lang w:eastAsia="bg-BG"/>
              </w:rPr>
            </w:pPr>
            <w:r w:rsidRPr="00EA6529">
              <w:rPr>
                <w:b/>
                <w:bCs/>
              </w:rPr>
              <w:t>Стомашно- чревни нарушения</w:t>
            </w:r>
          </w:p>
        </w:tc>
        <w:tc>
          <w:tcPr>
            <w:tcW w:w="1247" w:type="dxa"/>
          </w:tcPr>
          <w:p w14:paraId="1AAAE36F" w14:textId="486088D6" w:rsidR="00471B55" w:rsidRPr="00EA6529" w:rsidRDefault="00471B55" w:rsidP="006E22F0">
            <w:pPr>
              <w:rPr>
                <w:rFonts w:eastAsia="Times New Roman" w:cs="Arial"/>
                <w:color w:val="000000"/>
                <w:lang w:eastAsia="bg-BG"/>
              </w:rPr>
            </w:pPr>
            <w:r w:rsidRPr="00EA6529">
              <w:t>Гадене</w:t>
            </w:r>
          </w:p>
        </w:tc>
        <w:tc>
          <w:tcPr>
            <w:tcW w:w="1884" w:type="dxa"/>
            <w:vAlign w:val="bottom"/>
          </w:tcPr>
          <w:p w14:paraId="3A6E662A" w14:textId="77777777" w:rsidR="00471B55" w:rsidRPr="00EA6529" w:rsidRDefault="00471B55" w:rsidP="006E22F0">
            <w:r w:rsidRPr="00EA6529">
              <w:t xml:space="preserve">Повръщане Запек </w:t>
            </w:r>
            <w:proofErr w:type="spellStart"/>
            <w:r w:rsidRPr="00EA6529">
              <w:t>Флатуленция</w:t>
            </w:r>
            <w:proofErr w:type="spellEnd"/>
            <w:r w:rsidRPr="00EA6529">
              <w:t xml:space="preserve"> Диспепсия Сухота в устата </w:t>
            </w:r>
          </w:p>
          <w:p w14:paraId="28E3E0E2" w14:textId="38522CBB" w:rsidR="00471B55" w:rsidRPr="00EA6529" w:rsidRDefault="00471B55" w:rsidP="006E22F0">
            <w:pPr>
              <w:rPr>
                <w:rFonts w:eastAsia="Times New Roman" w:cs="Arial"/>
                <w:color w:val="000000"/>
                <w:lang w:eastAsia="bg-BG"/>
              </w:rPr>
            </w:pPr>
            <w:r w:rsidRPr="00EA6529">
              <w:t>Диария</w:t>
            </w:r>
          </w:p>
        </w:tc>
        <w:tc>
          <w:tcPr>
            <w:tcW w:w="2416" w:type="dxa"/>
          </w:tcPr>
          <w:p w14:paraId="4937037C" w14:textId="438AC2BF" w:rsidR="00471B55" w:rsidRPr="00EA6529" w:rsidRDefault="00471B55" w:rsidP="006E22F0">
            <w:pPr>
              <w:rPr>
                <w:rFonts w:eastAsia="Times New Roman" w:cs="Arial"/>
                <w:color w:val="000000"/>
                <w:lang w:eastAsia="bg-BG"/>
              </w:rPr>
            </w:pPr>
          </w:p>
        </w:tc>
        <w:tc>
          <w:tcPr>
            <w:tcW w:w="1909" w:type="dxa"/>
          </w:tcPr>
          <w:p w14:paraId="5E8D8D87" w14:textId="58F821DA" w:rsidR="00471B55" w:rsidRPr="00EA6529" w:rsidRDefault="00471B55" w:rsidP="006E22F0">
            <w:pPr>
              <w:rPr>
                <w:rFonts w:eastAsia="Times New Roman" w:cs="Arial"/>
                <w:color w:val="000000"/>
                <w:lang w:eastAsia="bg-BG"/>
              </w:rPr>
            </w:pPr>
            <w:r w:rsidRPr="00EA6529">
              <w:t>—</w:t>
            </w:r>
          </w:p>
        </w:tc>
      </w:tr>
      <w:tr w:rsidR="00471B55" w:rsidRPr="00EA6529" w14:paraId="033CF38E" w14:textId="77777777" w:rsidTr="00BE409F">
        <w:tc>
          <w:tcPr>
            <w:tcW w:w="1894" w:type="dxa"/>
          </w:tcPr>
          <w:p w14:paraId="523673F3" w14:textId="69056819" w:rsidR="00471B55" w:rsidRPr="00EA6529" w:rsidRDefault="00471B55" w:rsidP="006E22F0">
            <w:pPr>
              <w:rPr>
                <w:rFonts w:eastAsia="Times New Roman" w:cs="Arial"/>
                <w:color w:val="000000"/>
                <w:lang w:eastAsia="bg-BG"/>
              </w:rPr>
            </w:pPr>
            <w:proofErr w:type="spellStart"/>
            <w:r w:rsidRPr="00EA6529">
              <w:rPr>
                <w:b/>
                <w:bCs/>
              </w:rPr>
              <w:t>Хепато</w:t>
            </w:r>
            <w:proofErr w:type="spellEnd"/>
            <w:r w:rsidRPr="00EA6529">
              <w:rPr>
                <w:b/>
                <w:bCs/>
              </w:rPr>
              <w:t xml:space="preserve">- </w:t>
            </w:r>
            <w:proofErr w:type="spellStart"/>
            <w:r w:rsidRPr="00EA6529">
              <w:rPr>
                <w:b/>
                <w:bCs/>
              </w:rPr>
              <w:t>билиарни</w:t>
            </w:r>
            <w:proofErr w:type="spellEnd"/>
            <w:r w:rsidRPr="00EA6529">
              <w:rPr>
                <w:b/>
                <w:bCs/>
              </w:rPr>
              <w:t xml:space="preserve"> нарушения</w:t>
            </w:r>
          </w:p>
        </w:tc>
        <w:tc>
          <w:tcPr>
            <w:tcW w:w="1247" w:type="dxa"/>
          </w:tcPr>
          <w:p w14:paraId="0E0B25CB" w14:textId="0F778890" w:rsidR="00471B55" w:rsidRPr="00EA6529" w:rsidRDefault="00471B55" w:rsidP="006E22F0">
            <w:pPr>
              <w:rPr>
                <w:rFonts w:eastAsia="Times New Roman" w:cs="Arial"/>
                <w:color w:val="000000"/>
                <w:lang w:eastAsia="bg-BG"/>
              </w:rPr>
            </w:pPr>
          </w:p>
        </w:tc>
        <w:tc>
          <w:tcPr>
            <w:tcW w:w="1884" w:type="dxa"/>
          </w:tcPr>
          <w:p w14:paraId="5CB5A187" w14:textId="77BEAAFD" w:rsidR="00471B55" w:rsidRPr="00EA6529" w:rsidRDefault="00471B55" w:rsidP="006E22F0">
            <w:pPr>
              <w:rPr>
                <w:rFonts w:eastAsia="Times New Roman" w:cs="Arial"/>
                <w:color w:val="000000"/>
                <w:lang w:eastAsia="bg-BG"/>
              </w:rPr>
            </w:pPr>
          </w:p>
        </w:tc>
        <w:tc>
          <w:tcPr>
            <w:tcW w:w="2416" w:type="dxa"/>
            <w:vAlign w:val="bottom"/>
          </w:tcPr>
          <w:p w14:paraId="68B2B254" w14:textId="77777777" w:rsidR="00471B55" w:rsidRPr="00EA6529" w:rsidRDefault="00471B55" w:rsidP="006E22F0">
            <w:proofErr w:type="spellStart"/>
            <w:r w:rsidRPr="00EA6529">
              <w:t>Абнормни</w:t>
            </w:r>
            <w:proofErr w:type="spellEnd"/>
            <w:r w:rsidRPr="00EA6529">
              <w:t xml:space="preserve"> резултати при чернодробни функционални тестове</w:t>
            </w:r>
            <w:r w:rsidRPr="00EA6529">
              <w:rPr>
                <w:vertAlign w:val="superscript"/>
              </w:rPr>
              <w:t>(2)</w:t>
            </w:r>
          </w:p>
          <w:p w14:paraId="3F02AE81" w14:textId="2A703BA0" w:rsidR="00471B55" w:rsidRPr="00EA6529" w:rsidRDefault="00471B55" w:rsidP="006E22F0">
            <w:pPr>
              <w:rPr>
                <w:rFonts w:eastAsia="Times New Roman" w:cs="Arial"/>
                <w:color w:val="000000"/>
                <w:lang w:eastAsia="bg-BG"/>
              </w:rPr>
            </w:pPr>
            <w:r w:rsidRPr="00EA6529">
              <w:t>Повишени чернодробни ензими (&gt; 2х ГГН)</w:t>
            </w:r>
            <w:r w:rsidRPr="00EA6529">
              <w:rPr>
                <w:vertAlign w:val="superscript"/>
              </w:rPr>
              <w:t>(1)</w:t>
            </w:r>
          </w:p>
        </w:tc>
        <w:tc>
          <w:tcPr>
            <w:tcW w:w="1909" w:type="dxa"/>
          </w:tcPr>
          <w:p w14:paraId="64ED6B5E" w14:textId="2EAC2D50" w:rsidR="00471B55" w:rsidRPr="00EA6529" w:rsidRDefault="00471B55" w:rsidP="006E22F0">
            <w:pPr>
              <w:rPr>
                <w:rFonts w:eastAsia="Times New Roman" w:cs="Arial"/>
                <w:color w:val="000000"/>
                <w:lang w:eastAsia="bg-BG"/>
              </w:rPr>
            </w:pPr>
          </w:p>
        </w:tc>
      </w:tr>
      <w:tr w:rsidR="00471B55" w:rsidRPr="00EA6529" w14:paraId="1E7448A7" w14:textId="77777777" w:rsidTr="00BE409F">
        <w:tc>
          <w:tcPr>
            <w:tcW w:w="1894" w:type="dxa"/>
          </w:tcPr>
          <w:p w14:paraId="54585278" w14:textId="7450F167" w:rsidR="00471B55" w:rsidRPr="00EA6529" w:rsidRDefault="00471B55" w:rsidP="006E22F0">
            <w:pPr>
              <w:rPr>
                <w:rFonts w:eastAsia="Times New Roman" w:cs="Arial"/>
                <w:color w:val="000000"/>
                <w:lang w:eastAsia="bg-BG"/>
              </w:rPr>
            </w:pPr>
            <w:r w:rsidRPr="00EA6529">
              <w:rPr>
                <w:b/>
                <w:bCs/>
              </w:rPr>
              <w:t>Нарушения на кожата и подкожната тъкан</w:t>
            </w:r>
          </w:p>
        </w:tc>
        <w:tc>
          <w:tcPr>
            <w:tcW w:w="1247" w:type="dxa"/>
          </w:tcPr>
          <w:p w14:paraId="5B60B52A" w14:textId="77777777" w:rsidR="00471B55" w:rsidRPr="00EA6529" w:rsidRDefault="00471B55" w:rsidP="006E22F0">
            <w:pPr>
              <w:rPr>
                <w:rFonts w:eastAsia="Times New Roman" w:cs="Arial"/>
                <w:color w:val="000000"/>
                <w:lang w:eastAsia="bg-BG"/>
              </w:rPr>
            </w:pPr>
          </w:p>
        </w:tc>
        <w:tc>
          <w:tcPr>
            <w:tcW w:w="1884" w:type="dxa"/>
          </w:tcPr>
          <w:p w14:paraId="2812E87F" w14:textId="6049F7D3" w:rsidR="00471B55" w:rsidRPr="00EA6529" w:rsidRDefault="00471B55" w:rsidP="006E22F0">
            <w:pPr>
              <w:rPr>
                <w:rFonts w:eastAsia="Times New Roman" w:cs="Arial"/>
                <w:color w:val="000000"/>
                <w:lang w:eastAsia="bg-BG"/>
              </w:rPr>
            </w:pPr>
            <w:r w:rsidRPr="00EA6529">
              <w:t>Сърбеж Обрив</w:t>
            </w:r>
            <w:r w:rsidRPr="00EA6529">
              <w:rPr>
                <w:vertAlign w:val="superscript"/>
              </w:rPr>
              <w:t>(1)</w:t>
            </w:r>
          </w:p>
        </w:tc>
        <w:tc>
          <w:tcPr>
            <w:tcW w:w="2416" w:type="dxa"/>
          </w:tcPr>
          <w:p w14:paraId="1376AF96" w14:textId="77777777" w:rsidR="00471B55" w:rsidRPr="00EA6529" w:rsidRDefault="00471B55" w:rsidP="006E22F0">
            <w:r w:rsidRPr="00EA6529">
              <w:t>Ангиоедем</w:t>
            </w:r>
            <w:r w:rsidRPr="00EA6529">
              <w:rPr>
                <w:vertAlign w:val="superscript"/>
              </w:rPr>
              <w:t>(1)</w:t>
            </w:r>
          </w:p>
          <w:p w14:paraId="786E1A9D" w14:textId="4B3ABF9E" w:rsidR="00471B55" w:rsidRPr="00EA6529" w:rsidRDefault="00471B55" w:rsidP="006E22F0">
            <w:pPr>
              <w:rPr>
                <w:rFonts w:eastAsia="Times New Roman" w:cs="Arial"/>
                <w:color w:val="000000"/>
                <w:lang w:eastAsia="bg-BG"/>
              </w:rPr>
            </w:pPr>
            <w:r w:rsidRPr="00EA6529">
              <w:t>Уртикария</w:t>
            </w:r>
            <w:r w:rsidRPr="00EA6529">
              <w:rPr>
                <w:vertAlign w:val="superscript"/>
              </w:rPr>
              <w:t>(1)</w:t>
            </w:r>
          </w:p>
        </w:tc>
        <w:tc>
          <w:tcPr>
            <w:tcW w:w="1909" w:type="dxa"/>
            <w:vAlign w:val="bottom"/>
          </w:tcPr>
          <w:p w14:paraId="32FFE801" w14:textId="27D5FE18" w:rsidR="00471B55" w:rsidRPr="00EA6529" w:rsidRDefault="00471B55" w:rsidP="006E22F0">
            <w:pPr>
              <w:rPr>
                <w:rFonts w:eastAsia="Times New Roman" w:cs="Arial"/>
                <w:color w:val="000000"/>
                <w:lang w:eastAsia="bg-BG"/>
              </w:rPr>
            </w:pPr>
            <w:r w:rsidRPr="00EA6529">
              <w:t>Синдром на Стивънс- Джонсън</w:t>
            </w:r>
            <w:r w:rsidRPr="00EA6529">
              <w:rPr>
                <w:vertAlign w:val="superscript"/>
              </w:rPr>
              <w:t xml:space="preserve">(1) </w:t>
            </w:r>
            <w:r w:rsidRPr="00EA6529">
              <w:t xml:space="preserve">Токсична епидермална </w:t>
            </w:r>
            <w:proofErr w:type="spellStart"/>
            <w:r w:rsidRPr="00EA6529">
              <w:t>некролиза</w:t>
            </w:r>
            <w:proofErr w:type="spellEnd"/>
            <w:r w:rsidRPr="00EA6529">
              <w:rPr>
                <w:vertAlign w:val="superscript"/>
              </w:rPr>
              <w:t>(1)</w:t>
            </w:r>
          </w:p>
        </w:tc>
      </w:tr>
      <w:tr w:rsidR="00471B55" w:rsidRPr="00EA6529" w14:paraId="78A52686" w14:textId="77777777" w:rsidTr="00BE409F">
        <w:tc>
          <w:tcPr>
            <w:tcW w:w="1894" w:type="dxa"/>
            <w:vAlign w:val="center"/>
          </w:tcPr>
          <w:p w14:paraId="6E1403C9" w14:textId="261F1CCC" w:rsidR="00471B55" w:rsidRPr="00EA6529" w:rsidRDefault="00471B55" w:rsidP="006E22F0">
            <w:pPr>
              <w:rPr>
                <w:rFonts w:eastAsia="Times New Roman" w:cs="Arial"/>
                <w:color w:val="000000"/>
                <w:lang w:eastAsia="bg-BG"/>
              </w:rPr>
            </w:pPr>
            <w:r w:rsidRPr="00EA6529">
              <w:rPr>
                <w:b/>
                <w:bCs/>
                <w:szCs w:val="20"/>
              </w:rPr>
              <w:lastRenderedPageBreak/>
              <w:t>Нарушения на мускулно- скелетната система и съединителната тъкан</w:t>
            </w:r>
          </w:p>
        </w:tc>
        <w:tc>
          <w:tcPr>
            <w:tcW w:w="1247" w:type="dxa"/>
          </w:tcPr>
          <w:p w14:paraId="10E21D0D" w14:textId="77777777" w:rsidR="00471B55" w:rsidRPr="00EA6529" w:rsidRDefault="00471B55" w:rsidP="006E22F0">
            <w:pPr>
              <w:rPr>
                <w:rFonts w:eastAsia="Times New Roman" w:cs="Arial"/>
                <w:color w:val="000000"/>
                <w:lang w:eastAsia="bg-BG"/>
              </w:rPr>
            </w:pPr>
          </w:p>
        </w:tc>
        <w:tc>
          <w:tcPr>
            <w:tcW w:w="1884" w:type="dxa"/>
          </w:tcPr>
          <w:p w14:paraId="4D8125E8" w14:textId="31D60649" w:rsidR="00471B55" w:rsidRPr="00EA6529" w:rsidRDefault="00471B55" w:rsidP="006E22F0">
            <w:pPr>
              <w:rPr>
                <w:rFonts w:eastAsia="Times New Roman" w:cs="Arial"/>
                <w:color w:val="000000"/>
                <w:lang w:eastAsia="bg-BG"/>
              </w:rPr>
            </w:pPr>
            <w:r w:rsidRPr="00EA6529">
              <w:rPr>
                <w:szCs w:val="20"/>
              </w:rPr>
              <w:t>Мускулни спазми</w:t>
            </w:r>
          </w:p>
        </w:tc>
        <w:tc>
          <w:tcPr>
            <w:tcW w:w="2416" w:type="dxa"/>
          </w:tcPr>
          <w:p w14:paraId="6E98193C" w14:textId="7ABBDDAE" w:rsidR="00471B55" w:rsidRPr="00EA6529" w:rsidRDefault="00471B55" w:rsidP="006E22F0">
            <w:pPr>
              <w:rPr>
                <w:rFonts w:eastAsia="Times New Roman" w:cs="Arial"/>
                <w:color w:val="000000"/>
                <w:lang w:eastAsia="bg-BG"/>
              </w:rPr>
            </w:pPr>
          </w:p>
        </w:tc>
        <w:tc>
          <w:tcPr>
            <w:tcW w:w="1909" w:type="dxa"/>
          </w:tcPr>
          <w:p w14:paraId="5C0CF879" w14:textId="14346123" w:rsidR="00471B55" w:rsidRPr="00EA6529" w:rsidRDefault="00471B55" w:rsidP="006E22F0">
            <w:pPr>
              <w:rPr>
                <w:rFonts w:eastAsia="Times New Roman" w:cs="Arial"/>
                <w:color w:val="000000"/>
                <w:lang w:eastAsia="bg-BG"/>
              </w:rPr>
            </w:pPr>
          </w:p>
        </w:tc>
      </w:tr>
      <w:tr w:rsidR="00471B55" w:rsidRPr="00EA6529" w14:paraId="2293ADFD" w14:textId="77777777" w:rsidTr="00BE409F">
        <w:tc>
          <w:tcPr>
            <w:tcW w:w="1894" w:type="dxa"/>
          </w:tcPr>
          <w:p w14:paraId="72C3EA72" w14:textId="039B2CF5" w:rsidR="00471B55" w:rsidRPr="00EA6529" w:rsidRDefault="00471B55" w:rsidP="006F2D70">
            <w:pPr>
              <w:rPr>
                <w:rFonts w:eastAsia="Times New Roman" w:cs="Arial"/>
                <w:color w:val="000000"/>
                <w:szCs w:val="20"/>
                <w:lang w:eastAsia="bg-BG"/>
              </w:rPr>
            </w:pPr>
            <w:r w:rsidRPr="00EA6529">
              <w:rPr>
                <w:b/>
                <w:bCs/>
                <w:szCs w:val="20"/>
              </w:rPr>
              <w:t>Общи нарушения и ефекти на мястото на приложение</w:t>
            </w:r>
          </w:p>
        </w:tc>
        <w:tc>
          <w:tcPr>
            <w:tcW w:w="1247" w:type="dxa"/>
          </w:tcPr>
          <w:p w14:paraId="61061CB6" w14:textId="77777777" w:rsidR="00471B55" w:rsidRPr="00EA6529" w:rsidRDefault="00471B55" w:rsidP="006F2D70">
            <w:pPr>
              <w:rPr>
                <w:rFonts w:eastAsia="Times New Roman" w:cs="Arial"/>
                <w:color w:val="000000"/>
                <w:szCs w:val="20"/>
                <w:lang w:eastAsia="bg-BG"/>
              </w:rPr>
            </w:pPr>
          </w:p>
        </w:tc>
        <w:tc>
          <w:tcPr>
            <w:tcW w:w="1884" w:type="dxa"/>
            <w:vAlign w:val="center"/>
          </w:tcPr>
          <w:p w14:paraId="0AB007E5" w14:textId="77777777" w:rsidR="00471B55" w:rsidRPr="00EA6529" w:rsidRDefault="00471B55" w:rsidP="006F2D70">
            <w:r w:rsidRPr="00EA6529">
              <w:rPr>
                <w:szCs w:val="20"/>
              </w:rPr>
              <w:t xml:space="preserve">Нарушение на походката </w:t>
            </w:r>
            <w:proofErr w:type="spellStart"/>
            <w:r w:rsidRPr="00EA6529">
              <w:rPr>
                <w:szCs w:val="20"/>
              </w:rPr>
              <w:t>Астения</w:t>
            </w:r>
            <w:proofErr w:type="spellEnd"/>
          </w:p>
          <w:p w14:paraId="1E2B80FC" w14:textId="77777777" w:rsidR="00471B55" w:rsidRPr="00EA6529" w:rsidRDefault="00471B55" w:rsidP="006F2D70">
            <w:r w:rsidRPr="00EA6529">
              <w:rPr>
                <w:szCs w:val="20"/>
              </w:rPr>
              <w:t>Умора</w:t>
            </w:r>
          </w:p>
          <w:p w14:paraId="05FFFE25" w14:textId="77777777" w:rsidR="00471B55" w:rsidRPr="00EA6529" w:rsidRDefault="00471B55" w:rsidP="006F2D70">
            <w:proofErr w:type="spellStart"/>
            <w:r w:rsidRPr="00EA6529">
              <w:rPr>
                <w:szCs w:val="20"/>
              </w:rPr>
              <w:t>Раздразнителнос</w:t>
            </w:r>
            <w:proofErr w:type="spellEnd"/>
            <w:r w:rsidRPr="00EA6529">
              <w:rPr>
                <w:szCs w:val="20"/>
              </w:rPr>
              <w:t xml:space="preserve"> т</w:t>
            </w:r>
          </w:p>
          <w:p w14:paraId="4288515A" w14:textId="48C58691" w:rsidR="00471B55" w:rsidRPr="00EA6529" w:rsidRDefault="00471B55" w:rsidP="006F2D70">
            <w:pPr>
              <w:rPr>
                <w:rFonts w:eastAsia="Times New Roman" w:cs="Arial"/>
                <w:color w:val="000000"/>
                <w:szCs w:val="20"/>
                <w:lang w:eastAsia="bg-BG"/>
              </w:rPr>
            </w:pPr>
            <w:r w:rsidRPr="00EA6529">
              <w:rPr>
                <w:szCs w:val="20"/>
              </w:rPr>
              <w:t>Чувство за опиянение</w:t>
            </w:r>
          </w:p>
        </w:tc>
        <w:tc>
          <w:tcPr>
            <w:tcW w:w="2416" w:type="dxa"/>
          </w:tcPr>
          <w:p w14:paraId="02A5BE5E" w14:textId="77777777" w:rsidR="00471B55" w:rsidRPr="00EA6529" w:rsidRDefault="00471B55" w:rsidP="006F2D70">
            <w:pPr>
              <w:rPr>
                <w:rFonts w:eastAsia="Times New Roman" w:cs="Arial"/>
                <w:color w:val="000000"/>
                <w:szCs w:val="20"/>
                <w:lang w:eastAsia="bg-BG"/>
              </w:rPr>
            </w:pPr>
          </w:p>
        </w:tc>
        <w:tc>
          <w:tcPr>
            <w:tcW w:w="1909" w:type="dxa"/>
          </w:tcPr>
          <w:p w14:paraId="2B84D95E" w14:textId="77777777" w:rsidR="00471B55" w:rsidRPr="00EA6529" w:rsidRDefault="00471B55" w:rsidP="006F2D70">
            <w:pPr>
              <w:rPr>
                <w:rFonts w:eastAsia="Times New Roman" w:cs="Arial"/>
                <w:color w:val="000000"/>
                <w:szCs w:val="20"/>
                <w:lang w:eastAsia="bg-BG"/>
              </w:rPr>
            </w:pPr>
          </w:p>
        </w:tc>
      </w:tr>
      <w:tr w:rsidR="007005BE" w:rsidRPr="00EA6529" w14:paraId="488281AF" w14:textId="77777777" w:rsidTr="00BE409F">
        <w:tc>
          <w:tcPr>
            <w:tcW w:w="1894" w:type="dxa"/>
            <w:vAlign w:val="bottom"/>
          </w:tcPr>
          <w:p w14:paraId="16868E4A" w14:textId="369C764D" w:rsidR="007005BE" w:rsidRPr="00EA6529" w:rsidRDefault="007005BE" w:rsidP="006F2D70">
            <w:pPr>
              <w:rPr>
                <w:rFonts w:eastAsia="Times New Roman" w:cs="Arial"/>
                <w:color w:val="000000"/>
                <w:szCs w:val="20"/>
                <w:lang w:eastAsia="bg-BG"/>
              </w:rPr>
            </w:pPr>
            <w:r w:rsidRPr="00EA6529">
              <w:rPr>
                <w:b/>
                <w:bCs/>
                <w:szCs w:val="20"/>
              </w:rPr>
              <w:t>Наранявания, отравяния и усложнения, възникнали в резултат на интервенции</w:t>
            </w:r>
          </w:p>
        </w:tc>
        <w:tc>
          <w:tcPr>
            <w:tcW w:w="1247" w:type="dxa"/>
          </w:tcPr>
          <w:p w14:paraId="430D7C62" w14:textId="2B733DC4" w:rsidR="007005BE" w:rsidRPr="00EA6529" w:rsidRDefault="007005BE" w:rsidP="006F2D70">
            <w:pPr>
              <w:rPr>
                <w:rFonts w:eastAsia="Times New Roman" w:cs="Arial"/>
                <w:color w:val="000000"/>
                <w:szCs w:val="20"/>
                <w:lang w:eastAsia="bg-BG"/>
              </w:rPr>
            </w:pPr>
          </w:p>
        </w:tc>
        <w:tc>
          <w:tcPr>
            <w:tcW w:w="1884" w:type="dxa"/>
          </w:tcPr>
          <w:p w14:paraId="77698AB9" w14:textId="723F7316" w:rsidR="007005BE" w:rsidRPr="00EA6529" w:rsidRDefault="007005BE" w:rsidP="006F2D70">
            <w:pPr>
              <w:rPr>
                <w:rFonts w:eastAsia="Times New Roman" w:cs="Arial"/>
                <w:color w:val="000000"/>
                <w:szCs w:val="20"/>
                <w:lang w:eastAsia="bg-BG"/>
              </w:rPr>
            </w:pPr>
            <w:r w:rsidRPr="00EA6529">
              <w:rPr>
                <w:szCs w:val="20"/>
              </w:rPr>
              <w:t>Падане Нараняване на кожата Контузия</w:t>
            </w:r>
          </w:p>
        </w:tc>
        <w:tc>
          <w:tcPr>
            <w:tcW w:w="2416" w:type="dxa"/>
          </w:tcPr>
          <w:p w14:paraId="26FBD438" w14:textId="072F19CB" w:rsidR="007005BE" w:rsidRPr="00EA6529" w:rsidRDefault="007005BE" w:rsidP="006F2D70">
            <w:pPr>
              <w:rPr>
                <w:rFonts w:eastAsia="Times New Roman" w:cs="Arial"/>
                <w:color w:val="000000"/>
                <w:szCs w:val="20"/>
                <w:lang w:eastAsia="bg-BG"/>
              </w:rPr>
            </w:pPr>
          </w:p>
        </w:tc>
        <w:tc>
          <w:tcPr>
            <w:tcW w:w="1909" w:type="dxa"/>
          </w:tcPr>
          <w:p w14:paraId="2609294F" w14:textId="34FD2B88" w:rsidR="007005BE" w:rsidRPr="00EA6529" w:rsidRDefault="007005BE" w:rsidP="006F2D70">
            <w:pPr>
              <w:rPr>
                <w:rFonts w:eastAsia="Times New Roman" w:cs="Arial"/>
                <w:color w:val="000000"/>
                <w:szCs w:val="20"/>
                <w:lang w:eastAsia="bg-BG"/>
              </w:rPr>
            </w:pPr>
          </w:p>
        </w:tc>
      </w:tr>
      <w:tr w:rsidR="007005BE" w:rsidRPr="00EA6529" w14:paraId="1A4AD9CB" w14:textId="77777777" w:rsidTr="00BE409F">
        <w:tc>
          <w:tcPr>
            <w:tcW w:w="1894" w:type="dxa"/>
            <w:vAlign w:val="bottom"/>
          </w:tcPr>
          <w:p w14:paraId="51B5E313" w14:textId="6F7BCF61" w:rsidR="007005BE" w:rsidRPr="00EA6529" w:rsidRDefault="007005BE" w:rsidP="006F2D70">
            <w:pPr>
              <w:rPr>
                <w:rFonts w:eastAsia="Times New Roman" w:cs="Arial"/>
                <w:color w:val="000000"/>
                <w:szCs w:val="20"/>
                <w:lang w:eastAsia="bg-BG"/>
              </w:rPr>
            </w:pPr>
          </w:p>
        </w:tc>
        <w:tc>
          <w:tcPr>
            <w:tcW w:w="1247" w:type="dxa"/>
          </w:tcPr>
          <w:p w14:paraId="49D53B33" w14:textId="4229C944" w:rsidR="007005BE" w:rsidRPr="00EA6529" w:rsidRDefault="007005BE" w:rsidP="006F2D70">
            <w:pPr>
              <w:rPr>
                <w:rFonts w:eastAsia="Times New Roman" w:cs="Arial"/>
                <w:color w:val="000000"/>
                <w:szCs w:val="20"/>
                <w:lang w:eastAsia="bg-BG"/>
              </w:rPr>
            </w:pPr>
          </w:p>
        </w:tc>
        <w:tc>
          <w:tcPr>
            <w:tcW w:w="1884" w:type="dxa"/>
          </w:tcPr>
          <w:p w14:paraId="144CF191" w14:textId="7BCFA74F" w:rsidR="007005BE" w:rsidRPr="00EA6529" w:rsidRDefault="007005BE" w:rsidP="006F2D70">
            <w:pPr>
              <w:rPr>
                <w:rFonts w:eastAsia="Times New Roman" w:cs="Arial"/>
                <w:color w:val="000000"/>
                <w:szCs w:val="20"/>
                <w:lang w:eastAsia="bg-BG"/>
              </w:rPr>
            </w:pPr>
          </w:p>
        </w:tc>
        <w:tc>
          <w:tcPr>
            <w:tcW w:w="2416" w:type="dxa"/>
          </w:tcPr>
          <w:p w14:paraId="66DBF993" w14:textId="478DB3D2" w:rsidR="007005BE" w:rsidRPr="00EA6529" w:rsidRDefault="007005BE" w:rsidP="006F2D70">
            <w:pPr>
              <w:rPr>
                <w:rFonts w:eastAsia="Times New Roman" w:cs="Arial"/>
                <w:color w:val="000000"/>
                <w:szCs w:val="20"/>
                <w:lang w:eastAsia="bg-BG"/>
              </w:rPr>
            </w:pPr>
          </w:p>
        </w:tc>
        <w:tc>
          <w:tcPr>
            <w:tcW w:w="1909" w:type="dxa"/>
          </w:tcPr>
          <w:p w14:paraId="20027B8F" w14:textId="22384B6B" w:rsidR="007005BE" w:rsidRPr="00EA6529" w:rsidRDefault="007005BE" w:rsidP="006F2D70">
            <w:pPr>
              <w:rPr>
                <w:rFonts w:eastAsia="Times New Roman" w:cs="Arial"/>
                <w:color w:val="000000"/>
                <w:szCs w:val="20"/>
                <w:lang w:eastAsia="bg-BG"/>
              </w:rPr>
            </w:pPr>
          </w:p>
        </w:tc>
      </w:tr>
      <w:tr w:rsidR="007005BE" w:rsidRPr="00EA6529" w14:paraId="443CC633" w14:textId="77777777" w:rsidTr="00BE409F">
        <w:tc>
          <w:tcPr>
            <w:tcW w:w="1894" w:type="dxa"/>
            <w:vAlign w:val="bottom"/>
          </w:tcPr>
          <w:p w14:paraId="4492071B" w14:textId="6633F5D4" w:rsidR="007005BE" w:rsidRPr="00EA6529" w:rsidRDefault="007005BE" w:rsidP="006F2D70">
            <w:pPr>
              <w:rPr>
                <w:rFonts w:eastAsia="Times New Roman" w:cs="Arial"/>
                <w:color w:val="000000"/>
                <w:szCs w:val="20"/>
                <w:lang w:eastAsia="bg-BG"/>
              </w:rPr>
            </w:pPr>
          </w:p>
        </w:tc>
        <w:tc>
          <w:tcPr>
            <w:tcW w:w="1247" w:type="dxa"/>
          </w:tcPr>
          <w:p w14:paraId="31275FCA" w14:textId="77777777" w:rsidR="007005BE" w:rsidRPr="00EA6529" w:rsidRDefault="007005BE" w:rsidP="006F2D70">
            <w:pPr>
              <w:rPr>
                <w:rFonts w:eastAsia="Times New Roman" w:cs="Arial"/>
                <w:color w:val="000000"/>
                <w:szCs w:val="20"/>
                <w:lang w:eastAsia="bg-BG"/>
              </w:rPr>
            </w:pPr>
          </w:p>
        </w:tc>
        <w:tc>
          <w:tcPr>
            <w:tcW w:w="1884" w:type="dxa"/>
          </w:tcPr>
          <w:p w14:paraId="4E929F13" w14:textId="634B98DB" w:rsidR="007005BE" w:rsidRPr="00EA6529" w:rsidRDefault="007005BE" w:rsidP="006F2D70">
            <w:pPr>
              <w:rPr>
                <w:rFonts w:eastAsia="Times New Roman" w:cs="Arial"/>
                <w:color w:val="000000"/>
                <w:szCs w:val="20"/>
                <w:lang w:eastAsia="bg-BG"/>
              </w:rPr>
            </w:pPr>
          </w:p>
        </w:tc>
        <w:tc>
          <w:tcPr>
            <w:tcW w:w="2416" w:type="dxa"/>
          </w:tcPr>
          <w:p w14:paraId="69ED7BCF" w14:textId="77777777" w:rsidR="007005BE" w:rsidRPr="00EA6529" w:rsidRDefault="007005BE" w:rsidP="006F2D70">
            <w:pPr>
              <w:rPr>
                <w:rFonts w:eastAsia="Times New Roman" w:cs="Arial"/>
                <w:color w:val="000000"/>
                <w:szCs w:val="20"/>
                <w:lang w:eastAsia="bg-BG"/>
              </w:rPr>
            </w:pPr>
          </w:p>
        </w:tc>
        <w:tc>
          <w:tcPr>
            <w:tcW w:w="1909" w:type="dxa"/>
          </w:tcPr>
          <w:p w14:paraId="56B3A138" w14:textId="77777777" w:rsidR="007005BE" w:rsidRPr="00EA6529" w:rsidRDefault="007005BE" w:rsidP="006F2D70">
            <w:pPr>
              <w:rPr>
                <w:rFonts w:eastAsia="Times New Roman" w:cs="Arial"/>
                <w:color w:val="000000"/>
                <w:szCs w:val="20"/>
                <w:lang w:eastAsia="bg-BG"/>
              </w:rPr>
            </w:pPr>
          </w:p>
        </w:tc>
      </w:tr>
    </w:tbl>
    <w:p w14:paraId="1CC12D40" w14:textId="77777777" w:rsidR="006F2D70" w:rsidRPr="00EA6529" w:rsidRDefault="006F2D70" w:rsidP="006F2D70">
      <w:pPr>
        <w:spacing w:line="240" w:lineRule="auto"/>
        <w:rPr>
          <w:rFonts w:eastAsia="Times New Roman" w:cs="Arial"/>
          <w:sz w:val="24"/>
          <w:szCs w:val="24"/>
          <w:lang w:eastAsia="bg-BG"/>
        </w:rPr>
      </w:pPr>
      <w:r w:rsidRPr="00EA6529">
        <w:rPr>
          <w:rFonts w:ascii="Times New Roman" w:eastAsia="Times New Roman" w:hAnsi="Times New Roman" w:cs="Times New Roman"/>
          <w:color w:val="000000"/>
          <w:sz w:val="20"/>
          <w:szCs w:val="20"/>
          <w:vertAlign w:val="superscript"/>
          <w:lang w:eastAsia="bg-BG"/>
        </w:rPr>
        <w:t>(</w:t>
      </w:r>
      <w:r w:rsidRPr="00EA6529">
        <w:rPr>
          <w:rFonts w:eastAsia="Times New Roman" w:cs="Arial"/>
          <w:color w:val="000000"/>
          <w:sz w:val="20"/>
          <w:szCs w:val="20"/>
          <w:vertAlign w:val="superscript"/>
          <w:lang w:eastAsia="bg-BG"/>
        </w:rPr>
        <w:t>1)</w:t>
      </w:r>
      <w:r w:rsidRPr="00EA6529">
        <w:rPr>
          <w:rFonts w:eastAsia="Times New Roman" w:cs="Arial"/>
          <w:color w:val="000000"/>
          <w:sz w:val="20"/>
          <w:szCs w:val="20"/>
          <w:lang w:eastAsia="bg-BG"/>
        </w:rPr>
        <w:t xml:space="preserve"> Нежелани реакции съобщавани при </w:t>
      </w:r>
      <w:proofErr w:type="spellStart"/>
      <w:r w:rsidRPr="00EA6529">
        <w:rPr>
          <w:rFonts w:eastAsia="Times New Roman" w:cs="Arial"/>
          <w:color w:val="000000"/>
          <w:sz w:val="20"/>
          <w:szCs w:val="20"/>
          <w:lang w:eastAsia="bg-BG"/>
        </w:rPr>
        <w:t>постмаркетинговия</w:t>
      </w:r>
      <w:proofErr w:type="spellEnd"/>
      <w:r w:rsidRPr="00EA6529">
        <w:rPr>
          <w:rFonts w:eastAsia="Times New Roman" w:cs="Arial"/>
          <w:color w:val="000000"/>
          <w:sz w:val="20"/>
          <w:szCs w:val="20"/>
          <w:lang w:eastAsia="bg-BG"/>
        </w:rPr>
        <w:t xml:space="preserve"> опит.</w:t>
      </w:r>
    </w:p>
    <w:p w14:paraId="39F1BCAD" w14:textId="77777777" w:rsidR="006F2D70" w:rsidRPr="00EA6529" w:rsidRDefault="006F2D70" w:rsidP="006F2D70">
      <w:pPr>
        <w:spacing w:line="240" w:lineRule="auto"/>
        <w:rPr>
          <w:rFonts w:eastAsia="Times New Roman" w:cs="Arial"/>
          <w:sz w:val="24"/>
          <w:szCs w:val="24"/>
          <w:lang w:eastAsia="bg-BG"/>
        </w:rPr>
      </w:pPr>
      <w:r w:rsidRPr="00EA6529">
        <w:rPr>
          <w:rFonts w:eastAsia="Times New Roman" w:cs="Arial"/>
          <w:color w:val="000000"/>
          <w:sz w:val="20"/>
          <w:szCs w:val="20"/>
          <w:vertAlign w:val="superscript"/>
          <w:lang w:eastAsia="bg-BG"/>
        </w:rPr>
        <w:t>(2)</w:t>
      </w:r>
      <w:r w:rsidRPr="00EA6529">
        <w:rPr>
          <w:rFonts w:eastAsia="Times New Roman" w:cs="Arial"/>
          <w:color w:val="000000"/>
          <w:sz w:val="20"/>
          <w:szCs w:val="20"/>
          <w:lang w:eastAsia="bg-BG"/>
        </w:rPr>
        <w:t xml:space="preserve"> Вижте Описание на избрани нежелани реакции.</w:t>
      </w:r>
    </w:p>
    <w:p w14:paraId="09E01D2E" w14:textId="77777777" w:rsidR="006F2D70" w:rsidRPr="00EA6529" w:rsidRDefault="006F2D70" w:rsidP="006F2D70">
      <w:pPr>
        <w:spacing w:line="240" w:lineRule="auto"/>
        <w:rPr>
          <w:rFonts w:eastAsia="Times New Roman" w:cs="Arial"/>
          <w:sz w:val="24"/>
          <w:szCs w:val="24"/>
          <w:lang w:eastAsia="bg-BG"/>
        </w:rPr>
      </w:pPr>
      <w:r w:rsidRPr="00EA6529">
        <w:rPr>
          <w:rFonts w:eastAsia="Times New Roman" w:cs="Arial"/>
          <w:color w:val="000000"/>
          <w:sz w:val="20"/>
          <w:szCs w:val="20"/>
          <w:vertAlign w:val="superscript"/>
          <w:lang w:eastAsia="bg-BG"/>
        </w:rPr>
        <w:t>(3)</w:t>
      </w:r>
      <w:r w:rsidRPr="00EA6529">
        <w:rPr>
          <w:rFonts w:eastAsia="Times New Roman" w:cs="Arial"/>
          <w:color w:val="000000"/>
          <w:sz w:val="20"/>
          <w:szCs w:val="20"/>
          <w:lang w:eastAsia="bg-BG"/>
        </w:rPr>
        <w:t xml:space="preserve"> Съобщени в проучвания на ПГТКП.</w:t>
      </w:r>
    </w:p>
    <w:p w14:paraId="18E15E7D" w14:textId="77777777" w:rsidR="006F2D70" w:rsidRPr="00EA6529" w:rsidRDefault="006F2D70" w:rsidP="006F2D70">
      <w:pPr>
        <w:spacing w:line="240" w:lineRule="auto"/>
        <w:rPr>
          <w:rFonts w:ascii="Times New Roman" w:eastAsia="Times New Roman" w:hAnsi="Times New Roman" w:cs="Times New Roman"/>
          <w:color w:val="000000"/>
          <w:sz w:val="20"/>
          <w:szCs w:val="20"/>
          <w:u w:val="single"/>
          <w:lang w:eastAsia="bg-BG"/>
        </w:rPr>
      </w:pPr>
    </w:p>
    <w:p w14:paraId="75CC2980" w14:textId="1D1A66AB" w:rsidR="006F2D70" w:rsidRPr="00EA6529" w:rsidRDefault="006F2D70" w:rsidP="00471B55">
      <w:pPr>
        <w:pStyle w:val="Heading3"/>
        <w:rPr>
          <w:rFonts w:eastAsia="Times New Roman"/>
          <w:sz w:val="28"/>
          <w:lang w:eastAsia="bg-BG"/>
        </w:rPr>
      </w:pPr>
      <w:r w:rsidRPr="00EA6529">
        <w:rPr>
          <w:rFonts w:eastAsia="Times New Roman"/>
          <w:lang w:eastAsia="bg-BG"/>
        </w:rPr>
        <w:t>Описание на избрани нежелани реакции</w:t>
      </w:r>
    </w:p>
    <w:p w14:paraId="3194F88B" w14:textId="77777777" w:rsidR="006F2D70" w:rsidRPr="00EA6529" w:rsidRDefault="006F2D70" w:rsidP="006F2D70">
      <w:pPr>
        <w:spacing w:line="240" w:lineRule="auto"/>
        <w:rPr>
          <w:rFonts w:eastAsia="Times New Roman" w:cs="Arial"/>
          <w:color w:val="000000"/>
          <w:szCs w:val="20"/>
          <w:lang w:eastAsia="bg-BG"/>
        </w:rPr>
      </w:pPr>
    </w:p>
    <w:p w14:paraId="346111C1" w14:textId="18F2B1A0"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Употребата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свързана с </w:t>
      </w:r>
      <w:proofErr w:type="spellStart"/>
      <w:r w:rsidRPr="00EA6529">
        <w:rPr>
          <w:rFonts w:eastAsia="Times New Roman" w:cs="Arial"/>
          <w:color w:val="000000"/>
          <w:szCs w:val="20"/>
          <w:lang w:eastAsia="bg-BG"/>
        </w:rPr>
        <w:t>дозозависимо</w:t>
      </w:r>
      <w:proofErr w:type="spellEnd"/>
      <w:r w:rsidRPr="00EA6529">
        <w:rPr>
          <w:rFonts w:eastAsia="Times New Roman" w:cs="Arial"/>
          <w:color w:val="000000"/>
          <w:szCs w:val="20"/>
          <w:lang w:eastAsia="bg-BG"/>
        </w:rPr>
        <w:t xml:space="preserve"> удължаване на </w:t>
      </w:r>
      <w:r w:rsidRPr="00EA6529">
        <w:rPr>
          <w:rFonts w:eastAsia="Times New Roman" w:cs="Arial"/>
          <w:color w:val="000000"/>
          <w:szCs w:val="20"/>
        </w:rPr>
        <w:t>PR-</w:t>
      </w:r>
      <w:r w:rsidRPr="00EA6529">
        <w:rPr>
          <w:rFonts w:eastAsia="Times New Roman" w:cs="Arial"/>
          <w:color w:val="000000"/>
          <w:szCs w:val="20"/>
          <w:lang w:eastAsia="bg-BG"/>
        </w:rPr>
        <w:t xml:space="preserve">интервала. Възможна е появата на свързаните с удължаването на </w:t>
      </w:r>
      <w:r w:rsidRPr="00EA6529">
        <w:rPr>
          <w:rFonts w:eastAsia="Times New Roman" w:cs="Arial"/>
          <w:color w:val="000000"/>
          <w:szCs w:val="20"/>
        </w:rPr>
        <w:t>PR</w:t>
      </w:r>
      <w:r w:rsidRPr="00EA6529">
        <w:rPr>
          <w:rFonts w:eastAsia="Times New Roman" w:cs="Arial"/>
          <w:color w:val="000000"/>
          <w:szCs w:val="20"/>
          <w:lang w:eastAsia="bg-BG"/>
        </w:rPr>
        <w:t xml:space="preserve">-интервала нежелани ефекти (напр. </w:t>
      </w:r>
      <w:proofErr w:type="spellStart"/>
      <w:r w:rsidRPr="00EA6529">
        <w:rPr>
          <w:rFonts w:eastAsia="Times New Roman" w:cs="Arial"/>
          <w:color w:val="000000"/>
          <w:szCs w:val="20"/>
          <w:lang w:eastAsia="bg-BG"/>
        </w:rPr>
        <w:t>атриовентрикуларен</w:t>
      </w:r>
      <w:proofErr w:type="spellEnd"/>
      <w:r w:rsidRPr="00EA6529">
        <w:rPr>
          <w:rFonts w:eastAsia="Times New Roman" w:cs="Arial"/>
          <w:color w:val="000000"/>
          <w:szCs w:val="20"/>
          <w:lang w:eastAsia="bg-BG"/>
        </w:rPr>
        <w:t xml:space="preserve"> блок, </w:t>
      </w:r>
      <w:proofErr w:type="spellStart"/>
      <w:r w:rsidRPr="00EA6529">
        <w:rPr>
          <w:rFonts w:eastAsia="Times New Roman" w:cs="Arial"/>
          <w:color w:val="000000"/>
          <w:szCs w:val="20"/>
          <w:lang w:eastAsia="bg-BG"/>
        </w:rPr>
        <w:t>синкоп</w:t>
      </w:r>
      <w:proofErr w:type="spellEnd"/>
      <w:r w:rsidRPr="00EA6529">
        <w:rPr>
          <w:rFonts w:eastAsia="Times New Roman" w:cs="Arial"/>
          <w:color w:val="000000"/>
          <w:szCs w:val="20"/>
          <w:lang w:eastAsia="bg-BG"/>
        </w:rPr>
        <w:t>, брадикардия).</w:t>
      </w:r>
    </w:p>
    <w:p w14:paraId="6326A1CB" w14:textId="77777777" w:rsidR="006F2D70" w:rsidRPr="00EA6529" w:rsidRDefault="006F2D70" w:rsidP="006F2D70">
      <w:pPr>
        <w:spacing w:line="240" w:lineRule="auto"/>
        <w:rPr>
          <w:rFonts w:eastAsia="Times New Roman" w:cs="Arial"/>
          <w:color w:val="000000"/>
          <w:szCs w:val="20"/>
          <w:lang w:eastAsia="bg-BG"/>
        </w:rPr>
      </w:pPr>
    </w:p>
    <w:p w14:paraId="0AF2F581" w14:textId="3B0FAB2D"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допълващи клинични проучвания при пациентите с епилепсия честотата на поява на </w:t>
      </w:r>
      <w:r w:rsidRPr="00EA6529">
        <w:rPr>
          <w:rFonts w:eastAsia="Times New Roman" w:cs="Arial"/>
          <w:color w:val="000000"/>
          <w:szCs w:val="20"/>
        </w:rPr>
        <w:t>AV</w:t>
      </w:r>
      <w:r w:rsidRPr="00EA6529">
        <w:rPr>
          <w:rFonts w:eastAsia="Times New Roman" w:cs="Arial"/>
          <w:color w:val="000000"/>
          <w:szCs w:val="20"/>
          <w:lang w:eastAsia="bg-BG"/>
        </w:rPr>
        <w:t xml:space="preserve">-блок от първа степен е нечеста и съответно 0,7%, 0%, 0,5% и 0% при прилагането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400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600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или плацебо. При тези проучвания не е наблюдаван втора или по-висока степен на </w:t>
      </w:r>
      <w:r w:rsidRPr="00EA6529">
        <w:rPr>
          <w:rFonts w:eastAsia="Times New Roman" w:cs="Arial"/>
          <w:color w:val="000000"/>
          <w:szCs w:val="20"/>
        </w:rPr>
        <w:t>AV</w:t>
      </w:r>
      <w:r w:rsidRPr="00EA6529">
        <w:rPr>
          <w:rFonts w:eastAsia="Times New Roman" w:cs="Arial"/>
          <w:color w:val="000000"/>
          <w:szCs w:val="20"/>
          <w:lang w:eastAsia="bg-BG"/>
        </w:rPr>
        <w:t xml:space="preserve">-блок. Въпреки това, случаи с втора и трета степен </w:t>
      </w:r>
      <w:r w:rsidRPr="00EA6529">
        <w:rPr>
          <w:rFonts w:eastAsia="Times New Roman" w:cs="Arial"/>
          <w:color w:val="000000"/>
          <w:szCs w:val="20"/>
        </w:rPr>
        <w:t>AV</w:t>
      </w:r>
      <w:r w:rsidRPr="00EA6529">
        <w:rPr>
          <w:rFonts w:eastAsia="Times New Roman" w:cs="Arial"/>
          <w:color w:val="000000"/>
          <w:szCs w:val="20"/>
          <w:lang w:eastAsia="bg-BG"/>
        </w:rPr>
        <w:t xml:space="preserve">-блок, свързани с лечението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са съобщавани по време на </w:t>
      </w:r>
      <w:proofErr w:type="spellStart"/>
      <w:r w:rsidRPr="00EA6529">
        <w:rPr>
          <w:rFonts w:eastAsia="Times New Roman" w:cs="Arial"/>
          <w:color w:val="000000"/>
          <w:szCs w:val="20"/>
          <w:lang w:eastAsia="bg-BG"/>
        </w:rPr>
        <w:t>постмаркетинговия</w:t>
      </w:r>
      <w:proofErr w:type="spellEnd"/>
      <w:r w:rsidRPr="00EA6529">
        <w:rPr>
          <w:rFonts w:eastAsia="Times New Roman" w:cs="Arial"/>
          <w:color w:val="000000"/>
          <w:szCs w:val="20"/>
          <w:lang w:eastAsia="bg-BG"/>
        </w:rPr>
        <w:t xml:space="preserve"> опит.</w:t>
      </w:r>
    </w:p>
    <w:p w14:paraId="65C049D7" w14:textId="77777777" w:rsidR="006F2D70" w:rsidRPr="00EA6529" w:rsidRDefault="006F2D70" w:rsidP="006F2D70">
      <w:pPr>
        <w:spacing w:line="240" w:lineRule="auto"/>
        <w:rPr>
          <w:rFonts w:eastAsia="Times New Roman" w:cs="Arial"/>
          <w:color w:val="000000"/>
          <w:szCs w:val="20"/>
          <w:lang w:eastAsia="bg-BG"/>
        </w:rPr>
      </w:pPr>
    </w:p>
    <w:p w14:paraId="25C107EB" w14:textId="5C19D2FE"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клинично проучване за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сравняващо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 xml:space="preserve">CR, </w:t>
      </w:r>
      <w:r w:rsidRPr="00EA6529">
        <w:rPr>
          <w:rFonts w:eastAsia="Times New Roman" w:cs="Arial"/>
          <w:color w:val="000000"/>
          <w:szCs w:val="20"/>
          <w:lang w:eastAsia="bg-BG"/>
        </w:rPr>
        <w:t xml:space="preserve">степента на удължаване на </w:t>
      </w:r>
      <w:r w:rsidRPr="00EA6529">
        <w:rPr>
          <w:rFonts w:eastAsia="Times New Roman" w:cs="Arial"/>
          <w:color w:val="000000"/>
          <w:szCs w:val="20"/>
        </w:rPr>
        <w:t>PR</w:t>
      </w:r>
      <w:r w:rsidRPr="00EA6529">
        <w:rPr>
          <w:rFonts w:eastAsia="Times New Roman" w:cs="Arial"/>
          <w:color w:val="000000"/>
          <w:szCs w:val="20"/>
          <w:lang w:eastAsia="bg-BG"/>
        </w:rPr>
        <w:t xml:space="preserve">-интервала е сравнима между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w:t>
      </w:r>
    </w:p>
    <w:p w14:paraId="7E9DD4EF" w14:textId="77777777" w:rsidR="006F2D70" w:rsidRPr="00EA6529" w:rsidRDefault="006F2D70" w:rsidP="006F2D70">
      <w:pPr>
        <w:spacing w:line="240" w:lineRule="auto"/>
        <w:rPr>
          <w:rFonts w:eastAsia="Times New Roman" w:cs="Arial"/>
          <w:color w:val="000000"/>
          <w:szCs w:val="20"/>
          <w:lang w:eastAsia="bg-BG"/>
        </w:rPr>
      </w:pPr>
    </w:p>
    <w:p w14:paraId="795982BB" w14:textId="1CDDA8B4"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Честотата на поява на </w:t>
      </w:r>
      <w:proofErr w:type="spellStart"/>
      <w:r w:rsidRPr="00EA6529">
        <w:rPr>
          <w:rFonts w:eastAsia="Times New Roman" w:cs="Arial"/>
          <w:color w:val="000000"/>
          <w:szCs w:val="20"/>
          <w:lang w:eastAsia="bg-BG"/>
        </w:rPr>
        <w:t>синкоп</w:t>
      </w:r>
      <w:proofErr w:type="spellEnd"/>
      <w:r w:rsidRPr="00EA6529">
        <w:rPr>
          <w:rFonts w:eastAsia="Times New Roman" w:cs="Arial"/>
          <w:color w:val="000000"/>
          <w:szCs w:val="20"/>
          <w:lang w:eastAsia="bg-BG"/>
        </w:rPr>
        <w:t>, която се съобщава от сборни клинични проучвания за допълваща терапия е нечеста, при което няма разлика между групата на пациентите с епилепсия (</w:t>
      </w:r>
      <w:r w:rsidRPr="00EA6529">
        <w:rPr>
          <w:rFonts w:eastAsia="Times New Roman" w:cs="Arial"/>
          <w:color w:val="000000"/>
          <w:szCs w:val="20"/>
        </w:rPr>
        <w:t>n</w:t>
      </w:r>
      <w:r w:rsidRPr="00EA6529">
        <w:rPr>
          <w:rFonts w:eastAsia="Times New Roman" w:cs="Arial"/>
          <w:color w:val="000000"/>
          <w:szCs w:val="20"/>
          <w:lang w:eastAsia="bg-BG"/>
        </w:rPr>
        <w:t xml:space="preserve">=944), лекувани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(0,1 %) и пациентите (п-364) от групата на плацебо (0,3%).</w:t>
      </w:r>
    </w:p>
    <w:p w14:paraId="538A7E88" w14:textId="77777777" w:rsidR="006F2D70" w:rsidRPr="00EA6529" w:rsidRDefault="006F2D70" w:rsidP="006F2D70">
      <w:pPr>
        <w:spacing w:line="240" w:lineRule="auto"/>
        <w:rPr>
          <w:rFonts w:eastAsia="Times New Roman" w:cs="Arial"/>
          <w:color w:val="000000"/>
          <w:szCs w:val="20"/>
          <w:lang w:eastAsia="bg-BG"/>
        </w:rPr>
      </w:pPr>
    </w:p>
    <w:p w14:paraId="79F94142" w14:textId="07FEC2F9"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lastRenderedPageBreak/>
        <w:t xml:space="preserve">В клинично проучване за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сравняващо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 xml:space="preserve">CR, </w:t>
      </w:r>
      <w:proofErr w:type="spellStart"/>
      <w:r w:rsidRPr="00EA6529">
        <w:rPr>
          <w:rFonts w:eastAsia="Times New Roman" w:cs="Arial"/>
          <w:color w:val="000000"/>
          <w:szCs w:val="20"/>
          <w:lang w:eastAsia="bg-BG"/>
        </w:rPr>
        <w:t>синкоп</w:t>
      </w:r>
      <w:proofErr w:type="spellEnd"/>
      <w:r w:rsidRPr="00EA6529">
        <w:rPr>
          <w:rFonts w:eastAsia="Times New Roman" w:cs="Arial"/>
          <w:color w:val="000000"/>
          <w:szCs w:val="20"/>
          <w:lang w:eastAsia="bg-BG"/>
        </w:rPr>
        <w:t xml:space="preserve"> се съобщава при 7/444 (1,6%) пациенти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1/442 (0,2%) пациенти на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CR.</w:t>
      </w:r>
    </w:p>
    <w:p w14:paraId="3F0F2FA7" w14:textId="77777777" w:rsidR="006F2D70" w:rsidRPr="00EA6529" w:rsidRDefault="006F2D70" w:rsidP="006F2D70">
      <w:pPr>
        <w:spacing w:line="240" w:lineRule="auto"/>
        <w:rPr>
          <w:rFonts w:eastAsia="Times New Roman" w:cs="Arial"/>
          <w:color w:val="000000"/>
          <w:szCs w:val="20"/>
          <w:lang w:eastAsia="bg-BG"/>
        </w:rPr>
      </w:pPr>
    </w:p>
    <w:p w14:paraId="6A496E98" w14:textId="03250A77" w:rsidR="006F2D70" w:rsidRPr="00EA6529" w:rsidRDefault="006F2D70" w:rsidP="006F2D70">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Предсърдно</w:t>
      </w:r>
      <w:proofErr w:type="spellEnd"/>
      <w:r w:rsidRPr="00EA6529">
        <w:rPr>
          <w:rFonts w:eastAsia="Times New Roman" w:cs="Arial"/>
          <w:color w:val="000000"/>
          <w:szCs w:val="20"/>
          <w:lang w:eastAsia="bg-BG"/>
        </w:rPr>
        <w:t xml:space="preserve"> мъждене или трептене не са съобщавани в краткосрочни клинични проучвания, но са съобщени в отворени проучвания за епилепсия и при </w:t>
      </w:r>
      <w:proofErr w:type="spellStart"/>
      <w:r w:rsidRPr="00EA6529">
        <w:rPr>
          <w:rFonts w:eastAsia="Times New Roman" w:cs="Arial"/>
          <w:color w:val="000000"/>
          <w:szCs w:val="20"/>
          <w:lang w:eastAsia="bg-BG"/>
        </w:rPr>
        <w:t>постмаркетинговия</w:t>
      </w:r>
      <w:proofErr w:type="spellEnd"/>
      <w:r w:rsidRPr="00EA6529">
        <w:rPr>
          <w:rFonts w:eastAsia="Times New Roman" w:cs="Arial"/>
          <w:color w:val="000000"/>
          <w:szCs w:val="20"/>
          <w:lang w:eastAsia="bg-BG"/>
        </w:rPr>
        <w:t xml:space="preserve"> опит.</w:t>
      </w:r>
    </w:p>
    <w:p w14:paraId="5F7719C6" w14:textId="77777777" w:rsidR="006F2D70" w:rsidRPr="00EA6529" w:rsidRDefault="006F2D70" w:rsidP="006F2D70">
      <w:pPr>
        <w:spacing w:line="240" w:lineRule="auto"/>
        <w:rPr>
          <w:rFonts w:eastAsia="Times New Roman" w:cs="Arial"/>
          <w:color w:val="000000"/>
          <w:szCs w:val="20"/>
          <w:u w:val="single"/>
          <w:lang w:eastAsia="bg-BG"/>
        </w:rPr>
      </w:pPr>
    </w:p>
    <w:p w14:paraId="1E24B388" w14:textId="44A3EAE5"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u w:val="single"/>
          <w:lang w:eastAsia="bg-BG"/>
        </w:rPr>
        <w:t>Отклонения в лабораторните показатели</w:t>
      </w:r>
    </w:p>
    <w:p w14:paraId="52ED8241" w14:textId="77777777" w:rsidR="006F2D70" w:rsidRPr="00EA6529" w:rsidRDefault="006F2D70" w:rsidP="006F2D70">
      <w:pPr>
        <w:spacing w:line="240" w:lineRule="auto"/>
        <w:rPr>
          <w:rFonts w:eastAsia="Times New Roman" w:cs="Arial"/>
          <w:color w:val="000000"/>
          <w:szCs w:val="20"/>
          <w:lang w:eastAsia="bg-BG"/>
        </w:rPr>
      </w:pPr>
    </w:p>
    <w:p w14:paraId="01083AFB" w14:textId="77249ED0" w:rsidR="006F2D70" w:rsidRPr="00EA6529" w:rsidRDefault="006F2D70" w:rsidP="006F2D70">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Абнормни</w:t>
      </w:r>
      <w:proofErr w:type="spellEnd"/>
      <w:r w:rsidRPr="00EA6529">
        <w:rPr>
          <w:rFonts w:eastAsia="Times New Roman" w:cs="Arial"/>
          <w:color w:val="000000"/>
          <w:szCs w:val="20"/>
          <w:lang w:eastAsia="bg-BG"/>
        </w:rPr>
        <w:t xml:space="preserve"> резултати при чернодробни функционални тестове са били наблюдавани в плацебо- контролирани проучвания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възрастни пациенти с парциални пристъпи, които са приемали едновременно от 1 до 3 антиепилептични лекарствени продукти. Повишавания на </w:t>
      </w:r>
      <w:r w:rsidRPr="00EA6529">
        <w:rPr>
          <w:rFonts w:eastAsia="Times New Roman" w:cs="Arial"/>
          <w:color w:val="000000"/>
          <w:szCs w:val="20"/>
        </w:rPr>
        <w:t xml:space="preserve">ALT </w:t>
      </w:r>
      <w:r w:rsidRPr="00EA6529">
        <w:rPr>
          <w:rFonts w:eastAsia="Times New Roman" w:cs="Arial"/>
          <w:color w:val="000000"/>
          <w:szCs w:val="20"/>
          <w:lang w:eastAsia="bg-BG"/>
        </w:rPr>
        <w:t xml:space="preserve">до &gt;3х ГГН са настъпили при 0,7% (7/935) от пациентите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0% (0/356) от пациентите на плацебо.</w:t>
      </w:r>
    </w:p>
    <w:p w14:paraId="41461466" w14:textId="77777777" w:rsidR="006F2D70" w:rsidRPr="00EA6529" w:rsidRDefault="006F2D70" w:rsidP="006F2D70">
      <w:pPr>
        <w:spacing w:line="240" w:lineRule="auto"/>
        <w:rPr>
          <w:rFonts w:eastAsia="Times New Roman" w:cs="Arial"/>
          <w:color w:val="000000"/>
          <w:szCs w:val="20"/>
          <w:u w:val="single"/>
          <w:lang w:eastAsia="bg-BG"/>
        </w:rPr>
      </w:pPr>
    </w:p>
    <w:p w14:paraId="33CB691B" w14:textId="7CAAD8A4"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u w:val="single"/>
          <w:lang w:eastAsia="bg-BG"/>
        </w:rPr>
        <w:t>Мултиорганни реакции на свръхчувствителност</w:t>
      </w:r>
    </w:p>
    <w:p w14:paraId="0865C614" w14:textId="77777777" w:rsidR="006F2D70" w:rsidRPr="00EA6529" w:rsidRDefault="006F2D70" w:rsidP="006F2D70">
      <w:pPr>
        <w:rPr>
          <w:rFonts w:eastAsia="Times New Roman" w:cs="Arial"/>
          <w:color w:val="000000"/>
          <w:szCs w:val="20"/>
          <w:lang w:eastAsia="bg-BG"/>
        </w:rPr>
      </w:pPr>
    </w:p>
    <w:p w14:paraId="2B555117" w14:textId="77777777" w:rsidR="006F2D70" w:rsidRPr="00EA6529" w:rsidRDefault="006F2D70" w:rsidP="006F2D70">
      <w:pPr>
        <w:rPr>
          <w:rFonts w:eastAsia="Times New Roman" w:cs="Arial"/>
          <w:color w:val="000000"/>
          <w:szCs w:val="20"/>
          <w:lang w:eastAsia="bg-BG"/>
        </w:rPr>
      </w:pPr>
      <w:r w:rsidRPr="00EA6529">
        <w:rPr>
          <w:rFonts w:eastAsia="Times New Roman" w:cs="Arial"/>
          <w:color w:val="000000"/>
          <w:szCs w:val="20"/>
          <w:lang w:eastAsia="bg-BG"/>
        </w:rPr>
        <w:t xml:space="preserve">Мултиорганни реакции на свръхчувствителност (познати също и като лекарствена реакция с </w:t>
      </w:r>
      <w:proofErr w:type="spellStart"/>
      <w:r w:rsidRPr="00EA6529">
        <w:rPr>
          <w:rFonts w:eastAsia="Times New Roman" w:cs="Arial"/>
          <w:color w:val="000000"/>
          <w:szCs w:val="20"/>
          <w:lang w:eastAsia="bg-BG"/>
        </w:rPr>
        <w:t>еозинофилия</w:t>
      </w:r>
      <w:proofErr w:type="spellEnd"/>
      <w:r w:rsidRPr="00EA6529">
        <w:rPr>
          <w:rFonts w:eastAsia="Times New Roman" w:cs="Arial"/>
          <w:color w:val="000000"/>
          <w:szCs w:val="20"/>
          <w:lang w:eastAsia="bg-BG"/>
        </w:rPr>
        <w:t xml:space="preserve"> и системни симптоми, </w:t>
      </w:r>
      <w:r w:rsidRPr="00EA6529">
        <w:rPr>
          <w:rFonts w:eastAsia="Times New Roman" w:cs="Arial"/>
          <w:color w:val="000000"/>
          <w:szCs w:val="20"/>
        </w:rPr>
        <w:t xml:space="preserve">DRESS) </w:t>
      </w:r>
      <w:r w:rsidRPr="00EA6529">
        <w:rPr>
          <w:rFonts w:eastAsia="Times New Roman" w:cs="Arial"/>
          <w:color w:val="000000"/>
          <w:szCs w:val="20"/>
          <w:lang w:eastAsia="bg-BG"/>
        </w:rPr>
        <w:t xml:space="preserve">са съобщени при пациенти, лекувани с някои антиепилептични лекарствени продукти. Тези реакции се проявяват различно, но обикновено са съпроводени с треска и обрив и могат да бъдат свързани с включването на различни системи от органи. Ако се подозира реакция на мултиорганна свръхчувствителност, приемът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трябва да се прекрати.</w:t>
      </w:r>
    </w:p>
    <w:p w14:paraId="4C9E8A02" w14:textId="77777777" w:rsidR="006F2D70" w:rsidRPr="00EA6529" w:rsidRDefault="006F2D70" w:rsidP="006F2D70">
      <w:pPr>
        <w:rPr>
          <w:rFonts w:eastAsia="Times New Roman" w:cs="Arial"/>
          <w:color w:val="000000"/>
          <w:szCs w:val="20"/>
          <w:lang w:eastAsia="bg-BG"/>
        </w:rPr>
      </w:pPr>
    </w:p>
    <w:p w14:paraId="1DC92F72" w14:textId="77777777"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Профилът на безопасност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в плацебо-контролирани (вж. подробности за проучването в точка 5.1) и в открити проучвания (п=408) на допълваща терапия при деца на възраст от 4 години с парциални пристъпи е в съответствие с профила за безопасност, наблюдаван при възрастни, въпреки че честотата на някои нежелани реакции (</w:t>
      </w:r>
      <w:proofErr w:type="spellStart"/>
      <w:r w:rsidRPr="00EA6529">
        <w:rPr>
          <w:rFonts w:eastAsia="Times New Roman" w:cs="Arial"/>
          <w:color w:val="000000"/>
          <w:szCs w:val="20"/>
          <w:lang w:eastAsia="bg-BG"/>
        </w:rPr>
        <w:t>сомнолентност</w:t>
      </w:r>
      <w:proofErr w:type="spellEnd"/>
      <w:r w:rsidRPr="00EA6529">
        <w:rPr>
          <w:rFonts w:eastAsia="Times New Roman" w:cs="Arial"/>
          <w:color w:val="000000"/>
          <w:szCs w:val="20"/>
          <w:lang w:eastAsia="bg-BG"/>
        </w:rPr>
        <w:t>, повръщане и конвулсии) е била повишена и са съобщени допълнителни нежелани реакции (</w:t>
      </w:r>
      <w:proofErr w:type="spellStart"/>
      <w:r w:rsidRPr="00EA6529">
        <w:rPr>
          <w:rFonts w:eastAsia="Times New Roman" w:cs="Arial"/>
          <w:color w:val="000000"/>
          <w:szCs w:val="20"/>
          <w:lang w:eastAsia="bg-BG"/>
        </w:rPr>
        <w:t>назофарингит</w:t>
      </w:r>
      <w:proofErr w:type="spellEnd"/>
      <w:r w:rsidRPr="00EA6529">
        <w:rPr>
          <w:rFonts w:eastAsia="Times New Roman" w:cs="Arial"/>
          <w:color w:val="000000"/>
          <w:szCs w:val="20"/>
          <w:lang w:eastAsia="bg-BG"/>
        </w:rPr>
        <w:t xml:space="preserve">, </w:t>
      </w:r>
      <w:proofErr w:type="spellStart"/>
      <w:r w:rsidRPr="00EA6529">
        <w:rPr>
          <w:rFonts w:eastAsia="Times New Roman" w:cs="Arial"/>
          <w:color w:val="000000"/>
          <w:szCs w:val="20"/>
          <w:lang w:eastAsia="bg-BG"/>
        </w:rPr>
        <w:t>пирексия</w:t>
      </w:r>
      <w:proofErr w:type="spellEnd"/>
      <w:r w:rsidRPr="00EA6529">
        <w:rPr>
          <w:rFonts w:eastAsia="Times New Roman" w:cs="Arial"/>
          <w:color w:val="000000"/>
          <w:szCs w:val="20"/>
          <w:lang w:eastAsia="bg-BG"/>
        </w:rPr>
        <w:t xml:space="preserve">, фарингит, намален апетит, летаргия и </w:t>
      </w:r>
      <w:proofErr w:type="spellStart"/>
      <w:r w:rsidRPr="00EA6529">
        <w:rPr>
          <w:rFonts w:eastAsia="Times New Roman" w:cs="Arial"/>
          <w:color w:val="000000"/>
          <w:szCs w:val="20"/>
          <w:lang w:eastAsia="bg-BG"/>
        </w:rPr>
        <w:t>абнормно</w:t>
      </w:r>
      <w:proofErr w:type="spellEnd"/>
      <w:r w:rsidRPr="00EA6529">
        <w:rPr>
          <w:rFonts w:eastAsia="Times New Roman" w:cs="Arial"/>
          <w:color w:val="000000"/>
          <w:szCs w:val="20"/>
          <w:lang w:eastAsia="bg-BG"/>
        </w:rPr>
        <w:t xml:space="preserve"> поведение) при педиатрични пациенти: </w:t>
      </w:r>
      <w:proofErr w:type="spellStart"/>
      <w:r w:rsidRPr="00EA6529">
        <w:rPr>
          <w:rFonts w:eastAsia="Times New Roman" w:cs="Arial"/>
          <w:color w:val="000000"/>
          <w:szCs w:val="20"/>
          <w:lang w:eastAsia="bg-BG"/>
        </w:rPr>
        <w:t>назофарингит</w:t>
      </w:r>
      <w:proofErr w:type="spellEnd"/>
      <w:r w:rsidRPr="00EA6529">
        <w:rPr>
          <w:rFonts w:eastAsia="Times New Roman" w:cs="Arial"/>
          <w:color w:val="000000"/>
          <w:szCs w:val="20"/>
          <w:lang w:eastAsia="bg-BG"/>
        </w:rPr>
        <w:t xml:space="preserve"> (15,7%), повръщане (14,7%), </w:t>
      </w:r>
      <w:proofErr w:type="spellStart"/>
      <w:r w:rsidRPr="00EA6529">
        <w:rPr>
          <w:rFonts w:eastAsia="Times New Roman" w:cs="Arial"/>
          <w:color w:val="000000"/>
          <w:szCs w:val="20"/>
          <w:lang w:eastAsia="bg-BG"/>
        </w:rPr>
        <w:t>сомнолентност</w:t>
      </w:r>
      <w:proofErr w:type="spellEnd"/>
      <w:r w:rsidRPr="00EA6529">
        <w:rPr>
          <w:rFonts w:eastAsia="Times New Roman" w:cs="Arial"/>
          <w:color w:val="000000"/>
          <w:szCs w:val="20"/>
          <w:lang w:eastAsia="bg-BG"/>
        </w:rPr>
        <w:t xml:space="preserve"> (14,0%), замайване (13,5%), </w:t>
      </w:r>
      <w:proofErr w:type="spellStart"/>
      <w:r w:rsidRPr="00EA6529">
        <w:rPr>
          <w:rFonts w:eastAsia="Times New Roman" w:cs="Arial"/>
          <w:color w:val="000000"/>
          <w:szCs w:val="20"/>
          <w:lang w:eastAsia="bg-BG"/>
        </w:rPr>
        <w:t>пирексия</w:t>
      </w:r>
      <w:proofErr w:type="spellEnd"/>
      <w:r w:rsidRPr="00EA6529">
        <w:rPr>
          <w:rFonts w:eastAsia="Times New Roman" w:cs="Arial"/>
          <w:color w:val="000000"/>
          <w:szCs w:val="20"/>
          <w:lang w:eastAsia="bg-BG"/>
        </w:rPr>
        <w:t xml:space="preserve"> (13,0%), конвулсии (7,8%), намален апетит (5,9%), фарингит (4,7%), летаргия (2,7%) и </w:t>
      </w:r>
      <w:proofErr w:type="spellStart"/>
      <w:r w:rsidRPr="00EA6529">
        <w:rPr>
          <w:rFonts w:eastAsia="Times New Roman" w:cs="Arial"/>
          <w:color w:val="000000"/>
          <w:szCs w:val="20"/>
          <w:lang w:eastAsia="bg-BG"/>
        </w:rPr>
        <w:t>абнормно</w:t>
      </w:r>
      <w:proofErr w:type="spellEnd"/>
      <w:r w:rsidRPr="00EA6529">
        <w:rPr>
          <w:rFonts w:eastAsia="Times New Roman" w:cs="Arial"/>
          <w:color w:val="000000"/>
          <w:szCs w:val="20"/>
          <w:lang w:eastAsia="bg-BG"/>
        </w:rPr>
        <w:t xml:space="preserve"> поведение (1,7%). Общо 67,8% от пациентите, рандомизирани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58,1% от пациентите, рандомизирани на плацебо, съобщават поне 1 нежелана реакция. Поведенческите, когнитивни и емоционални функции, са били измерени чрез въпросниците </w:t>
      </w:r>
      <w:proofErr w:type="spellStart"/>
      <w:r w:rsidRPr="00EA6529">
        <w:rPr>
          <w:rFonts w:eastAsia="Times New Roman" w:cs="Arial"/>
          <w:color w:val="000000"/>
          <w:szCs w:val="20"/>
        </w:rPr>
        <w:t>Achenbach</w:t>
      </w:r>
      <w:proofErr w:type="spellEnd"/>
      <w:r w:rsidRPr="00EA6529">
        <w:rPr>
          <w:rFonts w:eastAsia="Times New Roman" w:cs="Arial"/>
          <w:color w:val="000000"/>
          <w:szCs w:val="20"/>
        </w:rPr>
        <w:t xml:space="preserve"> CBCL </w:t>
      </w:r>
      <w:r w:rsidRPr="00EA6529">
        <w:rPr>
          <w:rFonts w:eastAsia="Times New Roman" w:cs="Arial"/>
          <w:color w:val="000000"/>
          <w:szCs w:val="20"/>
          <w:lang w:eastAsia="bg-BG"/>
        </w:rPr>
        <w:t xml:space="preserve">и </w:t>
      </w:r>
      <w:r w:rsidRPr="00EA6529">
        <w:rPr>
          <w:rFonts w:eastAsia="Times New Roman" w:cs="Arial"/>
          <w:color w:val="000000"/>
          <w:szCs w:val="20"/>
        </w:rPr>
        <w:t xml:space="preserve">BRIEF, </w:t>
      </w:r>
      <w:r w:rsidRPr="00EA6529">
        <w:rPr>
          <w:rFonts w:eastAsia="Times New Roman" w:cs="Arial"/>
          <w:color w:val="000000"/>
          <w:szCs w:val="20"/>
          <w:lang w:eastAsia="bg-BG"/>
        </w:rPr>
        <w:t>прилагани на изходно ниво и по време на проучванията, и са били основно стабилни в хода на проучванията.</w:t>
      </w:r>
    </w:p>
    <w:p w14:paraId="7BC0CD66" w14:textId="77777777" w:rsidR="006F2D70" w:rsidRPr="00EA6529" w:rsidRDefault="006F2D70" w:rsidP="006F2D70">
      <w:pPr>
        <w:spacing w:line="240" w:lineRule="auto"/>
        <w:rPr>
          <w:rFonts w:eastAsia="Times New Roman" w:cs="Arial"/>
          <w:color w:val="000000"/>
          <w:szCs w:val="20"/>
          <w:u w:val="single"/>
          <w:lang w:eastAsia="bg-BG"/>
        </w:rPr>
      </w:pPr>
    </w:p>
    <w:p w14:paraId="4A2DE794" w14:textId="0C4986B0"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u w:val="single"/>
          <w:lang w:eastAsia="bg-BG"/>
        </w:rPr>
        <w:t>Старческа популация</w:t>
      </w:r>
    </w:p>
    <w:p w14:paraId="1B0FD9C2" w14:textId="77777777" w:rsidR="006F2D70" w:rsidRPr="00EA6529" w:rsidRDefault="006F2D70" w:rsidP="006F2D70">
      <w:pPr>
        <w:spacing w:line="240" w:lineRule="auto"/>
        <w:rPr>
          <w:rFonts w:eastAsia="Times New Roman" w:cs="Arial"/>
          <w:color w:val="000000"/>
          <w:szCs w:val="20"/>
          <w:lang w:eastAsia="bg-BG"/>
        </w:rPr>
      </w:pPr>
    </w:p>
    <w:p w14:paraId="5E19F753" w14:textId="2E94BC7D"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проучването за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сравняващо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 xml:space="preserve">CR, </w:t>
      </w:r>
      <w:r w:rsidRPr="00EA6529">
        <w:rPr>
          <w:rFonts w:eastAsia="Times New Roman" w:cs="Arial"/>
          <w:color w:val="000000"/>
          <w:szCs w:val="20"/>
          <w:lang w:eastAsia="bg-BG"/>
        </w:rPr>
        <w:t xml:space="preserve">видът на нежеланите реакции свързани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пациенти в старческа възраст (≥65 години) е сходен с този, наблюдаван при пациенти на възраст под 65 години. Въпреки това, по-висока честота (разлика </w:t>
      </w:r>
    </w:p>
    <w:p w14:paraId="7BC6E6E8" w14:textId="26085A9D" w:rsidR="006E22F0" w:rsidRPr="00EA6529" w:rsidRDefault="006F2D70" w:rsidP="006F2D70">
      <w:pPr>
        <w:rPr>
          <w:rFonts w:eastAsia="Times New Roman" w:cs="Arial"/>
          <w:color w:val="000000"/>
          <w:sz w:val="24"/>
          <w:szCs w:val="20"/>
          <w:lang w:eastAsia="bg-BG"/>
        </w:rPr>
      </w:pPr>
      <w:r w:rsidRPr="00EA6529">
        <w:rPr>
          <w:rFonts w:eastAsia="Times New Roman" w:cs="Arial"/>
          <w:color w:val="000000"/>
          <w:szCs w:val="20"/>
          <w:lang w:eastAsia="bg-BG"/>
        </w:rPr>
        <w:t xml:space="preserve">≥5%) на падане, диария и тремор са съобщени при пациенти в старческа възраст спрямо по- млади възрастни пациенти. Най-честата свързана със сърцето нежелана реакция в старческа възраст спрямо по-млада популация е </w:t>
      </w:r>
      <w:r w:rsidRPr="00EA6529">
        <w:rPr>
          <w:rFonts w:eastAsia="Times New Roman" w:cs="Arial"/>
          <w:color w:val="000000"/>
          <w:szCs w:val="20"/>
        </w:rPr>
        <w:t xml:space="preserve">AV </w:t>
      </w:r>
      <w:r w:rsidRPr="00EA6529">
        <w:rPr>
          <w:rFonts w:eastAsia="Times New Roman" w:cs="Arial"/>
          <w:color w:val="000000"/>
          <w:szCs w:val="20"/>
          <w:lang w:eastAsia="bg-BG"/>
        </w:rPr>
        <w:t xml:space="preserve">блок първа степен. Тя се съобщава при 4,8% (3/62) при пациентите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в старческа възраст спрямо 1,6% (6/382) </w:t>
      </w:r>
      <w:r w:rsidRPr="00EA6529">
        <w:rPr>
          <w:rFonts w:eastAsia="Times New Roman" w:cs="Arial"/>
          <w:color w:val="000000"/>
          <w:szCs w:val="20"/>
          <w:lang w:eastAsia="bg-BG"/>
        </w:rPr>
        <w:lastRenderedPageBreak/>
        <w:t xml:space="preserve">при по-млади възрастни пациенти. Прекъсване на лечението поради нежелани реакции, наблюдавани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21,0% (13/62) при пациенти в старческа възраст спрямо 9,2% (35/382) при по-младите възрастни пациенти. Тези разлики между пациенти в старческа възраст и по-млади възрастни пациенти са сходни с тези, наблюдавани при активната група за сравнение.</w:t>
      </w:r>
      <w:r w:rsidRPr="00EA6529">
        <w:rPr>
          <w:rFonts w:eastAsia="Times New Roman" w:cs="Arial"/>
          <w:color w:val="000000"/>
          <w:sz w:val="24"/>
          <w:szCs w:val="20"/>
          <w:lang w:eastAsia="bg-BG"/>
        </w:rPr>
        <w:t xml:space="preserve"> </w:t>
      </w:r>
    </w:p>
    <w:p w14:paraId="640BA9E4" w14:textId="36E7A979" w:rsidR="006F2D70" w:rsidRPr="00EA6529" w:rsidRDefault="006F2D70" w:rsidP="006F2D70">
      <w:pPr>
        <w:rPr>
          <w:rFonts w:eastAsia="Times New Roman" w:cs="Arial"/>
          <w:color w:val="000000"/>
          <w:sz w:val="24"/>
          <w:szCs w:val="20"/>
          <w:lang w:eastAsia="bg-BG"/>
        </w:rPr>
      </w:pPr>
    </w:p>
    <w:p w14:paraId="4837A9D6" w14:textId="77777777" w:rsidR="006F2D70" w:rsidRPr="00EA6529" w:rsidRDefault="006F2D70" w:rsidP="0075388D">
      <w:pPr>
        <w:pStyle w:val="Heading3"/>
        <w:rPr>
          <w:rFonts w:eastAsia="Times New Roman"/>
          <w:lang w:eastAsia="bg-BG"/>
        </w:rPr>
      </w:pPr>
      <w:r w:rsidRPr="00EA6529">
        <w:rPr>
          <w:rFonts w:eastAsia="Times New Roman"/>
          <w:lang w:eastAsia="bg-BG"/>
        </w:rPr>
        <w:t>Съобщаване на подозирани нежелани реакции</w:t>
      </w:r>
    </w:p>
    <w:p w14:paraId="3E7A0955" w14:textId="77777777" w:rsidR="006F2D70" w:rsidRPr="00EA6529" w:rsidRDefault="006F2D70" w:rsidP="006F2D70">
      <w:pPr>
        <w:spacing w:line="240" w:lineRule="auto"/>
        <w:rPr>
          <w:rFonts w:eastAsia="Times New Roman" w:cs="Arial"/>
          <w:color w:val="000000"/>
          <w:lang w:eastAsia="bg-BG"/>
        </w:rPr>
      </w:pPr>
    </w:p>
    <w:p w14:paraId="1A7B5993" w14:textId="7AE857B7" w:rsidR="006F2D70" w:rsidRPr="00EA6529" w:rsidRDefault="006F2D70" w:rsidP="006F2D70">
      <w:pPr>
        <w:spacing w:line="240" w:lineRule="auto"/>
        <w:rPr>
          <w:rFonts w:eastAsia="Times New Roman" w:cs="Arial"/>
          <w:lang w:eastAsia="bg-BG"/>
        </w:rPr>
      </w:pPr>
      <w:r w:rsidRPr="00EA652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BF1C1BE" w14:textId="77777777" w:rsidR="006F2D70" w:rsidRPr="00EA6529" w:rsidRDefault="006F2D70" w:rsidP="006F2D70">
      <w:pPr>
        <w:spacing w:line="240" w:lineRule="auto"/>
        <w:rPr>
          <w:rFonts w:eastAsia="Times New Roman" w:cs="Arial"/>
          <w:color w:val="000000"/>
          <w:lang w:eastAsia="bg-BG"/>
        </w:rPr>
      </w:pPr>
    </w:p>
    <w:p w14:paraId="058ACFE5" w14:textId="77777777" w:rsidR="006F2D70" w:rsidRPr="00EA6529" w:rsidRDefault="006F2D70" w:rsidP="006F2D70">
      <w:pPr>
        <w:spacing w:line="240" w:lineRule="auto"/>
        <w:rPr>
          <w:rFonts w:eastAsia="Times New Roman" w:cs="Arial"/>
          <w:color w:val="000000"/>
          <w:lang w:eastAsia="bg-BG"/>
        </w:rPr>
      </w:pPr>
      <w:r w:rsidRPr="00EA6529">
        <w:rPr>
          <w:rFonts w:eastAsia="Times New Roman" w:cs="Arial"/>
          <w:color w:val="000000"/>
          <w:lang w:eastAsia="bg-BG"/>
        </w:rPr>
        <w:t>Изпълнителна агенция по лекарствата</w:t>
      </w:r>
    </w:p>
    <w:p w14:paraId="378E436B" w14:textId="77777777" w:rsidR="006F2D70" w:rsidRPr="00EA6529" w:rsidRDefault="006F2D70" w:rsidP="006F2D70">
      <w:pPr>
        <w:spacing w:line="240" w:lineRule="auto"/>
        <w:rPr>
          <w:rFonts w:eastAsia="Times New Roman" w:cs="Arial"/>
          <w:color w:val="000000"/>
          <w:lang w:eastAsia="bg-BG"/>
        </w:rPr>
      </w:pPr>
      <w:r w:rsidRPr="00EA6529">
        <w:rPr>
          <w:rFonts w:eastAsia="Times New Roman" w:cs="Arial"/>
          <w:color w:val="000000"/>
          <w:lang w:eastAsia="bg-BG"/>
        </w:rPr>
        <w:t xml:space="preserve">ул. Дамян Груев № 8 </w:t>
      </w:r>
    </w:p>
    <w:p w14:paraId="09282649" w14:textId="1614D078" w:rsidR="006F2D70" w:rsidRPr="00EA6529" w:rsidRDefault="006F2D70" w:rsidP="006F2D70">
      <w:pPr>
        <w:spacing w:line="240" w:lineRule="auto"/>
        <w:rPr>
          <w:rFonts w:eastAsia="Times New Roman" w:cs="Arial"/>
          <w:lang w:eastAsia="bg-BG"/>
        </w:rPr>
      </w:pPr>
      <w:r w:rsidRPr="00EA6529">
        <w:rPr>
          <w:rFonts w:eastAsia="Times New Roman" w:cs="Arial"/>
          <w:color w:val="000000"/>
          <w:lang w:eastAsia="bg-BG"/>
        </w:rPr>
        <w:t>1303, гр. София</w:t>
      </w:r>
    </w:p>
    <w:p w14:paraId="645175BD" w14:textId="77777777" w:rsidR="006F2D70" w:rsidRPr="00EA6529" w:rsidRDefault="006F2D70" w:rsidP="006F2D70">
      <w:pPr>
        <w:spacing w:line="240" w:lineRule="auto"/>
        <w:rPr>
          <w:rFonts w:eastAsia="Times New Roman" w:cs="Arial"/>
          <w:lang w:eastAsia="bg-BG"/>
        </w:rPr>
      </w:pPr>
      <w:r w:rsidRPr="00EA6529">
        <w:rPr>
          <w:rFonts w:eastAsia="Times New Roman" w:cs="Arial"/>
          <w:color w:val="000000"/>
          <w:lang w:eastAsia="bg-BG"/>
        </w:rPr>
        <w:t>Р. България</w:t>
      </w:r>
    </w:p>
    <w:p w14:paraId="241ECED8" w14:textId="77777777" w:rsidR="006F2D70" w:rsidRPr="00EA6529" w:rsidRDefault="006F2D70" w:rsidP="006F2D70">
      <w:pPr>
        <w:spacing w:line="240" w:lineRule="auto"/>
        <w:rPr>
          <w:rFonts w:eastAsia="Times New Roman" w:cs="Arial"/>
          <w:lang w:eastAsia="bg-BG"/>
        </w:rPr>
      </w:pPr>
      <w:r w:rsidRPr="00EA6529">
        <w:rPr>
          <w:rFonts w:eastAsia="Times New Roman" w:cs="Arial"/>
          <w:color w:val="000000"/>
          <w:lang w:eastAsia="bg-BG"/>
        </w:rPr>
        <w:t>Тел:+359 2 8903 417</w:t>
      </w:r>
    </w:p>
    <w:p w14:paraId="705D5DDF" w14:textId="4CF1FF9F" w:rsidR="006F2D70" w:rsidRPr="00EA6529" w:rsidRDefault="006F2D70" w:rsidP="006F2D70">
      <w:pPr>
        <w:rPr>
          <w:rFonts w:eastAsia="Times New Roman" w:cs="Arial"/>
          <w:color w:val="000000"/>
          <w:lang w:eastAsia="bg-BG"/>
        </w:rPr>
      </w:pPr>
      <w:r w:rsidRPr="00EA6529">
        <w:rPr>
          <w:rFonts w:eastAsia="Times New Roman" w:cs="Arial"/>
          <w:color w:val="000000"/>
          <w:lang w:eastAsia="bg-BG"/>
        </w:rPr>
        <w:t xml:space="preserve">уебсайт: </w:t>
      </w:r>
      <w:hyperlink r:id="rId5" w:history="1">
        <w:r w:rsidRPr="00EA6529">
          <w:rPr>
            <w:rFonts w:eastAsia="Times New Roman" w:cs="Arial"/>
            <w:color w:val="000000"/>
          </w:rPr>
          <w:t>http://www.bda.bg</w:t>
        </w:r>
      </w:hyperlink>
    </w:p>
    <w:p w14:paraId="3B5D4E66" w14:textId="77777777" w:rsidR="006E22F0" w:rsidRPr="00EA6529" w:rsidRDefault="006E22F0" w:rsidP="006E22F0">
      <w:pPr>
        <w:rPr>
          <w:rFonts w:cs="Arial"/>
          <w:sz w:val="24"/>
        </w:rPr>
      </w:pPr>
    </w:p>
    <w:p w14:paraId="0A023CE0" w14:textId="67BD1FB5" w:rsidR="00CF77F7" w:rsidRPr="00EA6529" w:rsidRDefault="002C50EE" w:rsidP="004A448E">
      <w:pPr>
        <w:pStyle w:val="Heading2"/>
      </w:pPr>
      <w:r w:rsidRPr="00EA6529">
        <w:t>4.9. Предозиране</w:t>
      </w:r>
    </w:p>
    <w:p w14:paraId="5D7659AA" w14:textId="205AB2B7" w:rsidR="006F2D70" w:rsidRPr="00EA6529" w:rsidRDefault="006F2D70" w:rsidP="006F2D70"/>
    <w:p w14:paraId="51626E23" w14:textId="77777777" w:rsidR="006F2D70" w:rsidRPr="00EA6529" w:rsidRDefault="006F2D70" w:rsidP="0075388D">
      <w:pPr>
        <w:pStyle w:val="Heading3"/>
        <w:rPr>
          <w:rFonts w:eastAsia="Times New Roman"/>
          <w:sz w:val="28"/>
          <w:lang w:eastAsia="bg-BG"/>
        </w:rPr>
      </w:pPr>
      <w:r w:rsidRPr="00EA6529">
        <w:rPr>
          <w:rFonts w:eastAsia="Times New Roman"/>
          <w:lang w:eastAsia="bg-BG"/>
        </w:rPr>
        <w:t>Симптоми</w:t>
      </w:r>
    </w:p>
    <w:p w14:paraId="7163D08E" w14:textId="77777777" w:rsidR="006F2D70" w:rsidRPr="00EA6529" w:rsidRDefault="006F2D70" w:rsidP="006F2D70">
      <w:pPr>
        <w:spacing w:line="240" w:lineRule="auto"/>
        <w:rPr>
          <w:rFonts w:eastAsia="Times New Roman" w:cs="Arial"/>
          <w:color w:val="000000"/>
          <w:szCs w:val="20"/>
          <w:lang w:eastAsia="bg-BG"/>
        </w:rPr>
      </w:pPr>
    </w:p>
    <w:p w14:paraId="48280CC1" w14:textId="3E0F70B6"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Симптомите, наблюдавани след случайно или преднамерено предозиране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са свързани главно с ЦНС и стомашно-чревна система.</w:t>
      </w:r>
    </w:p>
    <w:p w14:paraId="437E325D" w14:textId="77777777"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w:t>
      </w:r>
      <w:r w:rsidRPr="00EA6529">
        <w:rPr>
          <w:rFonts w:eastAsia="Times New Roman" w:cs="Arial"/>
          <w:color w:val="000000"/>
          <w:szCs w:val="20"/>
          <w:lang w:eastAsia="bg-BG"/>
        </w:rPr>
        <w:tab/>
        <w:t xml:space="preserve">Видовете нежелани реакции, наблюдавани при пациенти, приели дози над 400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до 800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не са били клинично различни от тези при пациенти, приемали препоръчителните дози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w:t>
      </w:r>
    </w:p>
    <w:p w14:paraId="5B5EE2FD" w14:textId="77777777"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w:t>
      </w:r>
      <w:r w:rsidRPr="00EA6529">
        <w:rPr>
          <w:rFonts w:eastAsia="Times New Roman" w:cs="Arial"/>
          <w:color w:val="000000"/>
          <w:szCs w:val="20"/>
          <w:lang w:eastAsia="bg-BG"/>
        </w:rPr>
        <w:tab/>
        <w:t xml:space="preserve">Реакции, съобщени след прием на над 800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са замаяност, гадене, повръщане, припадъци (генерализирани тонично-</w:t>
      </w:r>
      <w:proofErr w:type="spellStart"/>
      <w:r w:rsidRPr="00EA6529">
        <w:rPr>
          <w:rFonts w:eastAsia="Times New Roman" w:cs="Arial"/>
          <w:color w:val="000000"/>
          <w:szCs w:val="20"/>
          <w:lang w:eastAsia="bg-BG"/>
        </w:rPr>
        <w:t>клонични</w:t>
      </w:r>
      <w:proofErr w:type="spellEnd"/>
      <w:r w:rsidRPr="00EA6529">
        <w:rPr>
          <w:rFonts w:eastAsia="Times New Roman" w:cs="Arial"/>
          <w:color w:val="000000"/>
          <w:szCs w:val="20"/>
          <w:lang w:eastAsia="bg-BG"/>
        </w:rPr>
        <w:t xml:space="preserve"> припадъци, статус </w:t>
      </w:r>
      <w:proofErr w:type="spellStart"/>
      <w:r w:rsidRPr="00EA6529">
        <w:rPr>
          <w:rFonts w:eastAsia="Times New Roman" w:cs="Arial"/>
          <w:color w:val="000000"/>
          <w:szCs w:val="20"/>
          <w:lang w:eastAsia="bg-BG"/>
        </w:rPr>
        <w:t>епилептикус</w:t>
      </w:r>
      <w:proofErr w:type="spellEnd"/>
      <w:r w:rsidRPr="00EA6529">
        <w:rPr>
          <w:rFonts w:eastAsia="Times New Roman" w:cs="Arial"/>
          <w:color w:val="000000"/>
          <w:szCs w:val="20"/>
          <w:lang w:eastAsia="bg-BG"/>
        </w:rPr>
        <w:t xml:space="preserve">). Нарушения на сърдечната проводимост, шок и кома също са били наблюдавани. Смъртни случаи са съобщавани при пациенти след остро еднократно предозиране с няколко грама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w:t>
      </w:r>
    </w:p>
    <w:p w14:paraId="70B90482" w14:textId="77777777" w:rsidR="006F2D70" w:rsidRPr="00EA6529" w:rsidRDefault="006F2D70" w:rsidP="006F2D70">
      <w:pPr>
        <w:spacing w:line="240" w:lineRule="auto"/>
        <w:rPr>
          <w:rFonts w:eastAsia="Times New Roman" w:cs="Arial"/>
          <w:color w:val="000000"/>
          <w:szCs w:val="20"/>
          <w:u w:val="single"/>
          <w:lang w:eastAsia="bg-BG"/>
        </w:rPr>
      </w:pPr>
    </w:p>
    <w:p w14:paraId="6236EF81" w14:textId="1D44BAA5" w:rsidR="006F2D70" w:rsidRPr="00EA6529" w:rsidRDefault="006F2D70" w:rsidP="0075388D">
      <w:pPr>
        <w:pStyle w:val="Heading3"/>
        <w:rPr>
          <w:rFonts w:eastAsia="Times New Roman"/>
          <w:sz w:val="28"/>
          <w:lang w:eastAsia="bg-BG"/>
        </w:rPr>
      </w:pPr>
      <w:r w:rsidRPr="00EA6529">
        <w:rPr>
          <w:rFonts w:eastAsia="Times New Roman"/>
          <w:lang w:eastAsia="bg-BG"/>
        </w:rPr>
        <w:t>Мерки при предозиране</w:t>
      </w:r>
    </w:p>
    <w:p w14:paraId="5E303799" w14:textId="77777777" w:rsidR="006F2D70" w:rsidRPr="00EA6529" w:rsidRDefault="006F2D70" w:rsidP="006F2D70">
      <w:pPr>
        <w:rPr>
          <w:rFonts w:eastAsia="Times New Roman" w:cs="Arial"/>
          <w:color w:val="000000"/>
          <w:szCs w:val="20"/>
          <w:lang w:eastAsia="bg-BG"/>
        </w:rPr>
      </w:pPr>
    </w:p>
    <w:p w14:paraId="5286D5CB" w14:textId="04EEF4C1" w:rsidR="006F2D70" w:rsidRPr="00EA6529" w:rsidRDefault="006F2D70" w:rsidP="006F2D70">
      <w:pPr>
        <w:rPr>
          <w:rFonts w:cs="Arial"/>
          <w:sz w:val="24"/>
        </w:rPr>
      </w:pPr>
      <w:r w:rsidRPr="00EA6529">
        <w:rPr>
          <w:rFonts w:eastAsia="Times New Roman" w:cs="Arial"/>
          <w:color w:val="000000"/>
          <w:szCs w:val="20"/>
          <w:lang w:eastAsia="bg-BG"/>
        </w:rPr>
        <w:t xml:space="preserve">Няма специфичен антидот в случай на предозиране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Лечението при предозиране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включва предприемането на общоприетите поддържащи мерки, като при необходимост може да включва хемодиализа (вж. точка 5.2).</w:t>
      </w:r>
    </w:p>
    <w:p w14:paraId="02081B24" w14:textId="1F46E296" w:rsidR="00395555" w:rsidRPr="00EA6529" w:rsidRDefault="002C50EE" w:rsidP="008A6AF2">
      <w:pPr>
        <w:pStyle w:val="Heading1"/>
      </w:pPr>
      <w:r w:rsidRPr="00EA6529">
        <w:t>5. ФАРМАКОЛОГИЧНИ СВОЙСТВА</w:t>
      </w:r>
    </w:p>
    <w:p w14:paraId="32B6DE66" w14:textId="77AC04A8" w:rsidR="00CF77F7" w:rsidRPr="00EA6529" w:rsidRDefault="002C50EE" w:rsidP="004A448E">
      <w:pPr>
        <w:pStyle w:val="Heading2"/>
      </w:pPr>
      <w:r w:rsidRPr="00EA6529">
        <w:t xml:space="preserve">5.1. </w:t>
      </w:r>
      <w:proofErr w:type="spellStart"/>
      <w:r w:rsidRPr="00EA6529">
        <w:t>Фармакодинамични</w:t>
      </w:r>
      <w:proofErr w:type="spellEnd"/>
      <w:r w:rsidRPr="00EA6529">
        <w:t xml:space="preserve"> свойства</w:t>
      </w:r>
    </w:p>
    <w:p w14:paraId="1D3B897C" w14:textId="1016159E" w:rsidR="006F2D70" w:rsidRPr="00EA6529" w:rsidRDefault="006F2D70" w:rsidP="006F2D70"/>
    <w:p w14:paraId="0E736F00" w14:textId="77777777"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Фармакотерапевтична група: антиепилептици, други антиепилептици, АТС код: </w:t>
      </w:r>
      <w:r w:rsidRPr="00EA6529">
        <w:rPr>
          <w:rFonts w:eastAsia="Times New Roman" w:cs="Arial"/>
          <w:color w:val="000000"/>
          <w:szCs w:val="20"/>
        </w:rPr>
        <w:t xml:space="preserve">N03 </w:t>
      </w:r>
      <w:r w:rsidRPr="00EA6529">
        <w:rPr>
          <w:rFonts w:eastAsia="Times New Roman" w:cs="Arial"/>
          <w:color w:val="000000"/>
          <w:szCs w:val="20"/>
          <w:lang w:eastAsia="bg-BG"/>
        </w:rPr>
        <w:t>АХ18</w:t>
      </w:r>
    </w:p>
    <w:p w14:paraId="4D939F72" w14:textId="77777777" w:rsidR="006F2D70" w:rsidRPr="00EA6529" w:rsidRDefault="006F2D70" w:rsidP="006F2D70">
      <w:pPr>
        <w:spacing w:line="240" w:lineRule="auto"/>
        <w:rPr>
          <w:rFonts w:eastAsia="Times New Roman" w:cs="Arial"/>
          <w:color w:val="000000"/>
          <w:szCs w:val="20"/>
          <w:u w:val="single"/>
          <w:lang w:eastAsia="bg-BG"/>
        </w:rPr>
      </w:pPr>
    </w:p>
    <w:p w14:paraId="7D75FD7B" w14:textId="516FEAE8" w:rsidR="006F2D70" w:rsidRPr="00EA6529" w:rsidRDefault="006F2D70" w:rsidP="00662598">
      <w:pPr>
        <w:pStyle w:val="Heading3"/>
        <w:rPr>
          <w:rFonts w:eastAsia="Times New Roman"/>
          <w:sz w:val="28"/>
          <w:lang w:eastAsia="bg-BG"/>
        </w:rPr>
      </w:pPr>
      <w:r w:rsidRPr="00EA6529">
        <w:rPr>
          <w:rFonts w:eastAsia="Times New Roman"/>
          <w:lang w:eastAsia="bg-BG"/>
        </w:rPr>
        <w:lastRenderedPageBreak/>
        <w:t>Механизъм на действие</w:t>
      </w:r>
    </w:p>
    <w:p w14:paraId="6D9B6F32" w14:textId="77777777" w:rsidR="006F2D70" w:rsidRPr="00EA6529" w:rsidRDefault="006F2D70" w:rsidP="006F2D70">
      <w:pPr>
        <w:spacing w:line="240" w:lineRule="auto"/>
        <w:rPr>
          <w:rFonts w:eastAsia="Times New Roman" w:cs="Arial"/>
          <w:color w:val="000000"/>
          <w:szCs w:val="20"/>
          <w:lang w:eastAsia="bg-BG"/>
        </w:rPr>
      </w:pPr>
    </w:p>
    <w:p w14:paraId="328A5783" w14:textId="3358B819"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Активното вещество,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R</w:t>
      </w:r>
      <w:r w:rsidRPr="00EA6529">
        <w:rPr>
          <w:rFonts w:eastAsia="Times New Roman" w:cs="Arial"/>
          <w:color w:val="000000"/>
          <w:szCs w:val="20"/>
          <w:lang w:eastAsia="bg-BG"/>
        </w:rPr>
        <w:t>-2-ацетамидо-</w:t>
      </w:r>
      <w:r w:rsidRPr="00EA6529">
        <w:rPr>
          <w:rFonts w:eastAsia="Times New Roman" w:cs="Arial"/>
          <w:color w:val="000000"/>
          <w:szCs w:val="20"/>
        </w:rPr>
        <w:t>N</w:t>
      </w:r>
      <w:r w:rsidRPr="00EA6529">
        <w:rPr>
          <w:rFonts w:eastAsia="Times New Roman" w:cs="Arial"/>
          <w:color w:val="000000"/>
          <w:szCs w:val="20"/>
          <w:lang w:eastAsia="bg-BG"/>
        </w:rPr>
        <w:t xml:space="preserve">-бензил-3-метоксипропионамид) представлява </w:t>
      </w:r>
      <w:proofErr w:type="spellStart"/>
      <w:r w:rsidRPr="00EA6529">
        <w:rPr>
          <w:rFonts w:eastAsia="Times New Roman" w:cs="Arial"/>
          <w:color w:val="000000"/>
          <w:szCs w:val="20"/>
          <w:lang w:eastAsia="bg-BG"/>
        </w:rPr>
        <w:t>функционализирана</w:t>
      </w:r>
      <w:proofErr w:type="spellEnd"/>
      <w:r w:rsidRPr="00EA6529">
        <w:rPr>
          <w:rFonts w:eastAsia="Times New Roman" w:cs="Arial"/>
          <w:color w:val="000000"/>
          <w:szCs w:val="20"/>
          <w:lang w:eastAsia="bg-BG"/>
        </w:rPr>
        <w:t xml:space="preserve"> аминокиселина.</w:t>
      </w:r>
    </w:p>
    <w:p w14:paraId="1AFEEEC3" w14:textId="77777777" w:rsidR="006F2D70" w:rsidRPr="00EA6529" w:rsidRDefault="006F2D70" w:rsidP="006F2D70">
      <w:pPr>
        <w:spacing w:line="240" w:lineRule="auto"/>
        <w:rPr>
          <w:rFonts w:eastAsia="Times New Roman" w:cs="Arial"/>
          <w:color w:val="000000"/>
          <w:szCs w:val="20"/>
          <w:lang w:eastAsia="bg-BG"/>
        </w:rPr>
      </w:pPr>
    </w:p>
    <w:p w14:paraId="004C11F0" w14:textId="7F05C261"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Точният механизъм на антиепилептичния ефект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хора все още не е напълно изяснен. </w:t>
      </w:r>
      <w:proofErr w:type="spellStart"/>
      <w:r w:rsidRPr="00EA6529">
        <w:rPr>
          <w:rFonts w:eastAsia="Times New Roman" w:cs="Arial"/>
          <w:i/>
          <w:iCs/>
          <w:color w:val="000000"/>
          <w:szCs w:val="20"/>
        </w:rPr>
        <w:t>In</w:t>
      </w:r>
      <w:proofErr w:type="spellEnd"/>
      <w:r w:rsidRPr="00EA6529">
        <w:rPr>
          <w:rFonts w:eastAsia="Times New Roman" w:cs="Arial"/>
          <w:i/>
          <w:iCs/>
          <w:color w:val="000000"/>
          <w:szCs w:val="20"/>
        </w:rPr>
        <w:t xml:space="preserve"> </w:t>
      </w:r>
      <w:proofErr w:type="spellStart"/>
      <w:r w:rsidRPr="00EA6529">
        <w:rPr>
          <w:rFonts w:eastAsia="Times New Roman" w:cs="Arial"/>
          <w:i/>
          <w:iCs/>
          <w:color w:val="000000"/>
          <w:szCs w:val="20"/>
        </w:rPr>
        <w:t>vitro</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електрофизиологични проучвания показват, че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селективно повишава бавното </w:t>
      </w:r>
      <w:proofErr w:type="spellStart"/>
      <w:r w:rsidRPr="00EA6529">
        <w:rPr>
          <w:rFonts w:eastAsia="Times New Roman" w:cs="Arial"/>
          <w:color w:val="000000"/>
          <w:szCs w:val="20"/>
          <w:lang w:eastAsia="bg-BG"/>
        </w:rPr>
        <w:t>инактивиране</w:t>
      </w:r>
      <w:proofErr w:type="spellEnd"/>
      <w:r w:rsidRPr="00EA6529">
        <w:rPr>
          <w:rFonts w:eastAsia="Times New Roman" w:cs="Arial"/>
          <w:color w:val="000000"/>
          <w:szCs w:val="20"/>
          <w:lang w:eastAsia="bg-BG"/>
        </w:rPr>
        <w:t xml:space="preserve"> на волтаж-зависимите натриеви канали, което води до стабилизиране на </w:t>
      </w:r>
      <w:proofErr w:type="spellStart"/>
      <w:r w:rsidRPr="00EA6529">
        <w:rPr>
          <w:rFonts w:eastAsia="Times New Roman" w:cs="Arial"/>
          <w:color w:val="000000"/>
          <w:szCs w:val="20"/>
          <w:lang w:eastAsia="bg-BG"/>
        </w:rPr>
        <w:t>свръхвъзбудимите</w:t>
      </w:r>
      <w:proofErr w:type="spellEnd"/>
      <w:r w:rsidRPr="00EA6529">
        <w:rPr>
          <w:rFonts w:eastAsia="Times New Roman" w:cs="Arial"/>
          <w:color w:val="000000"/>
          <w:szCs w:val="20"/>
          <w:lang w:eastAsia="bg-BG"/>
        </w:rPr>
        <w:t xml:space="preserve"> невронни мембрани.</w:t>
      </w:r>
    </w:p>
    <w:p w14:paraId="300063A5" w14:textId="77777777" w:rsidR="006F2D70" w:rsidRPr="00EA6529" w:rsidRDefault="006F2D70" w:rsidP="006F2D70">
      <w:pPr>
        <w:spacing w:line="240" w:lineRule="auto"/>
        <w:rPr>
          <w:rFonts w:eastAsia="Times New Roman" w:cs="Arial"/>
          <w:color w:val="000000"/>
          <w:szCs w:val="20"/>
          <w:u w:val="single"/>
          <w:lang w:eastAsia="bg-BG"/>
        </w:rPr>
      </w:pPr>
    </w:p>
    <w:p w14:paraId="0158D365" w14:textId="411A7B7E" w:rsidR="006F2D70" w:rsidRPr="00EA6529" w:rsidRDefault="006F2D70" w:rsidP="00662598">
      <w:pPr>
        <w:pStyle w:val="Heading3"/>
        <w:rPr>
          <w:rFonts w:eastAsia="Times New Roman"/>
          <w:sz w:val="28"/>
          <w:lang w:eastAsia="bg-BG"/>
        </w:rPr>
      </w:pPr>
      <w:proofErr w:type="spellStart"/>
      <w:r w:rsidRPr="00EA6529">
        <w:rPr>
          <w:rFonts w:eastAsia="Times New Roman"/>
          <w:lang w:eastAsia="bg-BG"/>
        </w:rPr>
        <w:t>Фармакодинамични</w:t>
      </w:r>
      <w:proofErr w:type="spellEnd"/>
      <w:r w:rsidRPr="00EA6529">
        <w:rPr>
          <w:rFonts w:eastAsia="Times New Roman"/>
          <w:lang w:eastAsia="bg-BG"/>
        </w:rPr>
        <w:t xml:space="preserve"> ефекти</w:t>
      </w:r>
    </w:p>
    <w:p w14:paraId="7B843349" w14:textId="77777777" w:rsidR="006F2D70" w:rsidRPr="00EA6529" w:rsidRDefault="006F2D70" w:rsidP="006F2D70">
      <w:pPr>
        <w:spacing w:line="240" w:lineRule="auto"/>
        <w:rPr>
          <w:rFonts w:eastAsia="Times New Roman" w:cs="Arial"/>
          <w:color w:val="000000"/>
          <w:szCs w:val="20"/>
          <w:lang w:eastAsia="bg-BG"/>
        </w:rPr>
      </w:pPr>
    </w:p>
    <w:p w14:paraId="47B28DCD" w14:textId="2299A60E" w:rsidR="006F2D70" w:rsidRPr="00EA6529" w:rsidRDefault="006F2D70" w:rsidP="006F2D70">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предотвратява появата на пристъпи в обширен диапазон от животински модели на парциални и първично генерализирани пристъпи и забавя развитието на огнището </w:t>
      </w:r>
      <w:r w:rsidRPr="00EA6529">
        <w:rPr>
          <w:rFonts w:eastAsia="Times New Roman" w:cs="Arial"/>
          <w:i/>
          <w:iCs/>
          <w:color w:val="000000"/>
          <w:szCs w:val="20"/>
          <w:lang w:eastAsia="bg-BG"/>
        </w:rPr>
        <w:t xml:space="preserve">на </w:t>
      </w:r>
      <w:r w:rsidRPr="00EA6529">
        <w:rPr>
          <w:rFonts w:eastAsia="Times New Roman" w:cs="Arial"/>
          <w:color w:val="000000"/>
          <w:szCs w:val="20"/>
          <w:lang w:eastAsia="bg-BG"/>
        </w:rPr>
        <w:t>свръхвъзбудимост.</w:t>
      </w:r>
    </w:p>
    <w:p w14:paraId="27F6DDF5" w14:textId="77777777"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По време на неклинични експериментални проучвания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в комбинация с </w:t>
      </w:r>
      <w:proofErr w:type="spellStart"/>
      <w:r w:rsidRPr="00EA6529">
        <w:rPr>
          <w:rFonts w:eastAsia="Times New Roman" w:cs="Arial"/>
          <w:color w:val="000000"/>
          <w:szCs w:val="20"/>
          <w:lang w:eastAsia="bg-BG"/>
        </w:rPr>
        <w:t>леветирацетам</w:t>
      </w:r>
      <w:proofErr w:type="spellEnd"/>
      <w:r w:rsidRPr="00EA6529">
        <w:rPr>
          <w:rFonts w:eastAsia="Times New Roman" w:cs="Arial"/>
          <w:color w:val="000000"/>
          <w:szCs w:val="20"/>
          <w:lang w:eastAsia="bg-BG"/>
        </w:rPr>
        <w:t xml:space="preserve">,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proofErr w:type="spellStart"/>
      <w:r w:rsidRPr="00EA6529">
        <w:rPr>
          <w:rFonts w:eastAsia="Times New Roman" w:cs="Arial"/>
          <w:color w:val="000000"/>
          <w:szCs w:val="20"/>
          <w:lang w:eastAsia="bg-BG"/>
        </w:rPr>
        <w:t>фенитоин</w:t>
      </w:r>
      <w:proofErr w:type="spellEnd"/>
      <w:r w:rsidRPr="00EA6529">
        <w:rPr>
          <w:rFonts w:eastAsia="Times New Roman" w:cs="Arial"/>
          <w:color w:val="000000"/>
          <w:szCs w:val="20"/>
          <w:lang w:eastAsia="bg-BG"/>
        </w:rPr>
        <w:t xml:space="preserve">, валпроат, </w:t>
      </w:r>
      <w:proofErr w:type="spellStart"/>
      <w:r w:rsidRPr="00EA6529">
        <w:rPr>
          <w:rFonts w:eastAsia="Times New Roman" w:cs="Arial"/>
          <w:color w:val="000000"/>
          <w:szCs w:val="20"/>
          <w:lang w:eastAsia="bg-BG"/>
        </w:rPr>
        <w:t>ламотригин</w:t>
      </w:r>
      <w:proofErr w:type="spellEnd"/>
      <w:r w:rsidRPr="00EA6529">
        <w:rPr>
          <w:rFonts w:eastAsia="Times New Roman" w:cs="Arial"/>
          <w:color w:val="000000"/>
          <w:szCs w:val="20"/>
          <w:lang w:eastAsia="bg-BG"/>
        </w:rPr>
        <w:t xml:space="preserve">, </w:t>
      </w:r>
      <w:proofErr w:type="spellStart"/>
      <w:r w:rsidRPr="00EA6529">
        <w:rPr>
          <w:rFonts w:eastAsia="Times New Roman" w:cs="Arial"/>
          <w:color w:val="000000"/>
          <w:szCs w:val="20"/>
          <w:lang w:eastAsia="bg-BG"/>
        </w:rPr>
        <w:t>топирамат</w:t>
      </w:r>
      <w:proofErr w:type="spellEnd"/>
      <w:r w:rsidRPr="00EA6529">
        <w:rPr>
          <w:rFonts w:eastAsia="Times New Roman" w:cs="Arial"/>
          <w:color w:val="000000"/>
          <w:szCs w:val="20"/>
          <w:lang w:eastAsia="bg-BG"/>
        </w:rPr>
        <w:t xml:space="preserve"> или </w:t>
      </w:r>
      <w:proofErr w:type="spellStart"/>
      <w:r w:rsidRPr="00EA6529">
        <w:rPr>
          <w:rFonts w:eastAsia="Times New Roman" w:cs="Arial"/>
          <w:color w:val="000000"/>
          <w:szCs w:val="20"/>
          <w:lang w:eastAsia="bg-BG"/>
        </w:rPr>
        <w:t>габапентин</w:t>
      </w:r>
      <w:proofErr w:type="spellEnd"/>
      <w:r w:rsidRPr="00EA6529">
        <w:rPr>
          <w:rFonts w:eastAsia="Times New Roman" w:cs="Arial"/>
          <w:color w:val="000000"/>
          <w:szCs w:val="20"/>
          <w:lang w:eastAsia="bg-BG"/>
        </w:rPr>
        <w:t xml:space="preserve"> показва </w:t>
      </w:r>
      <w:proofErr w:type="spellStart"/>
      <w:r w:rsidRPr="00EA6529">
        <w:rPr>
          <w:rFonts w:eastAsia="Times New Roman" w:cs="Arial"/>
          <w:color w:val="000000"/>
          <w:szCs w:val="20"/>
          <w:lang w:eastAsia="bg-BG"/>
        </w:rPr>
        <w:t>синергични</w:t>
      </w:r>
      <w:proofErr w:type="spellEnd"/>
      <w:r w:rsidRPr="00EA6529">
        <w:rPr>
          <w:rFonts w:eastAsia="Times New Roman" w:cs="Arial"/>
          <w:color w:val="000000"/>
          <w:szCs w:val="20"/>
          <w:lang w:eastAsia="bg-BG"/>
        </w:rPr>
        <w:t xml:space="preserve"> или адитивни ефекти на </w:t>
      </w:r>
      <w:proofErr w:type="spellStart"/>
      <w:r w:rsidRPr="00EA6529">
        <w:rPr>
          <w:rFonts w:eastAsia="Times New Roman" w:cs="Arial"/>
          <w:color w:val="000000"/>
          <w:szCs w:val="20"/>
          <w:lang w:eastAsia="bg-BG"/>
        </w:rPr>
        <w:t>антиконвулсант</w:t>
      </w:r>
      <w:proofErr w:type="spellEnd"/>
      <w:r w:rsidRPr="00EA6529">
        <w:rPr>
          <w:rFonts w:eastAsia="Times New Roman" w:cs="Arial"/>
          <w:color w:val="000000"/>
          <w:szCs w:val="20"/>
          <w:lang w:eastAsia="bg-BG"/>
        </w:rPr>
        <w:t>.</w:t>
      </w:r>
    </w:p>
    <w:p w14:paraId="616CB34F" w14:textId="77777777" w:rsidR="006F2D70" w:rsidRPr="00EA6529" w:rsidRDefault="006F2D70" w:rsidP="006F2D70">
      <w:pPr>
        <w:spacing w:line="240" w:lineRule="auto"/>
        <w:rPr>
          <w:rFonts w:eastAsia="Times New Roman" w:cs="Arial"/>
          <w:color w:val="000000"/>
          <w:szCs w:val="20"/>
          <w:u w:val="single"/>
          <w:lang w:eastAsia="bg-BG"/>
        </w:rPr>
      </w:pPr>
    </w:p>
    <w:p w14:paraId="44ADCF0E" w14:textId="19FB86BD" w:rsidR="006F2D70" w:rsidRPr="00EA6529" w:rsidRDefault="006F2D70" w:rsidP="00662598">
      <w:pPr>
        <w:pStyle w:val="Heading3"/>
        <w:rPr>
          <w:rFonts w:eastAsia="Times New Roman"/>
          <w:sz w:val="28"/>
          <w:lang w:eastAsia="bg-BG"/>
        </w:rPr>
      </w:pPr>
      <w:r w:rsidRPr="00EA6529">
        <w:rPr>
          <w:rFonts w:eastAsia="Times New Roman"/>
          <w:lang w:eastAsia="bg-BG"/>
        </w:rPr>
        <w:t>Клинична ефикасност и безопасност (парциални пристъпи)</w:t>
      </w:r>
    </w:p>
    <w:p w14:paraId="6D42468E" w14:textId="77777777" w:rsidR="006F2D70" w:rsidRPr="00EA6529" w:rsidRDefault="006F2D70" w:rsidP="006F2D70">
      <w:pPr>
        <w:spacing w:line="240" w:lineRule="auto"/>
        <w:rPr>
          <w:rFonts w:eastAsia="Times New Roman" w:cs="Arial"/>
          <w:color w:val="000000"/>
          <w:szCs w:val="20"/>
          <w:u w:val="single"/>
          <w:lang w:eastAsia="bg-BG"/>
        </w:rPr>
      </w:pPr>
    </w:p>
    <w:p w14:paraId="5AED17C3" w14:textId="2227D5D0"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u w:val="single"/>
          <w:lang w:eastAsia="bg-BG"/>
        </w:rPr>
        <w:t>Популация на възрастни</w:t>
      </w:r>
    </w:p>
    <w:p w14:paraId="205E37DC" w14:textId="77777777" w:rsidR="006F2D70" w:rsidRPr="00EA6529" w:rsidRDefault="006F2D70" w:rsidP="006F2D70">
      <w:pPr>
        <w:spacing w:line="240" w:lineRule="auto"/>
        <w:rPr>
          <w:rFonts w:eastAsia="Times New Roman" w:cs="Arial"/>
          <w:i/>
          <w:iCs/>
          <w:color w:val="000000"/>
          <w:szCs w:val="20"/>
          <w:lang w:eastAsia="bg-BG"/>
        </w:rPr>
      </w:pPr>
    </w:p>
    <w:p w14:paraId="54B57F36" w14:textId="19B06D4F" w:rsidR="006F2D70" w:rsidRPr="00EA6529" w:rsidRDefault="006F2D70" w:rsidP="006F2D70">
      <w:pPr>
        <w:spacing w:line="240" w:lineRule="auto"/>
        <w:rPr>
          <w:rFonts w:eastAsia="Times New Roman" w:cs="Arial"/>
          <w:sz w:val="28"/>
          <w:szCs w:val="24"/>
          <w:lang w:eastAsia="bg-BG"/>
        </w:rPr>
      </w:pPr>
      <w:proofErr w:type="spellStart"/>
      <w:r w:rsidRPr="00EA6529">
        <w:rPr>
          <w:rFonts w:eastAsia="Times New Roman" w:cs="Arial"/>
          <w:i/>
          <w:iCs/>
          <w:color w:val="000000"/>
          <w:szCs w:val="20"/>
          <w:lang w:eastAsia="bg-BG"/>
        </w:rPr>
        <w:t>Монотерапия</w:t>
      </w:r>
      <w:proofErr w:type="spellEnd"/>
    </w:p>
    <w:p w14:paraId="1A67CD37" w14:textId="77777777" w:rsidR="006F2D70" w:rsidRPr="00EA6529" w:rsidRDefault="006F2D70" w:rsidP="006F2D70">
      <w:pPr>
        <w:rPr>
          <w:rFonts w:eastAsia="Times New Roman" w:cs="Arial"/>
          <w:sz w:val="28"/>
          <w:szCs w:val="24"/>
          <w:lang w:eastAsia="bg-BG"/>
        </w:rPr>
      </w:pPr>
      <w:r w:rsidRPr="00EA6529">
        <w:rPr>
          <w:rFonts w:eastAsia="Times New Roman" w:cs="Arial"/>
          <w:color w:val="000000"/>
          <w:szCs w:val="20"/>
          <w:lang w:eastAsia="bg-BG"/>
        </w:rPr>
        <w:t xml:space="preserve">Ефикасността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като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е установена в двойно-сляпо, паралелно-групово сравнение за </w:t>
      </w:r>
      <w:proofErr w:type="spellStart"/>
      <w:r w:rsidRPr="00EA6529">
        <w:rPr>
          <w:rFonts w:eastAsia="Times New Roman" w:cs="Arial"/>
          <w:color w:val="000000"/>
          <w:szCs w:val="20"/>
          <w:lang w:eastAsia="bg-BG"/>
        </w:rPr>
        <w:t>неинфериорност</w:t>
      </w:r>
      <w:proofErr w:type="spellEnd"/>
      <w:r w:rsidRPr="00EA6529">
        <w:rPr>
          <w:rFonts w:eastAsia="Times New Roman" w:cs="Arial"/>
          <w:color w:val="000000"/>
          <w:szCs w:val="20"/>
          <w:lang w:eastAsia="bg-BG"/>
        </w:rPr>
        <w:t xml:space="preserve"> с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 xml:space="preserve">CR </w:t>
      </w:r>
      <w:r w:rsidRPr="00EA6529">
        <w:rPr>
          <w:rFonts w:eastAsia="Times New Roman" w:cs="Arial"/>
          <w:color w:val="000000"/>
          <w:szCs w:val="20"/>
          <w:lang w:eastAsia="bg-BG"/>
        </w:rPr>
        <w:t xml:space="preserve">при 886 пациенти на възраст 16 или повече години с новопоявила се или наскоро диагностицирана епилепсия. Пациентите е трябвало да бъдат с непредизвикани парциални пристъпи, със или без вторична генерализация. Пациентите са рандомизирани на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 xml:space="preserve">CR </w:t>
      </w:r>
      <w:r w:rsidRPr="00EA6529">
        <w:rPr>
          <w:rFonts w:eastAsia="Times New Roman" w:cs="Arial"/>
          <w:color w:val="000000"/>
          <w:szCs w:val="20"/>
          <w:lang w:eastAsia="bg-BG"/>
        </w:rPr>
        <w:t xml:space="preserve">или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под формата на таблетки, в съотношение 1:1. Дозата е била определена от зависимостта доза-отговор и варира между 400-1200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за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 xml:space="preserve">CR </w:t>
      </w:r>
      <w:r w:rsidRPr="00EA6529">
        <w:rPr>
          <w:rFonts w:eastAsia="Times New Roman" w:cs="Arial"/>
          <w:color w:val="000000"/>
          <w:szCs w:val="20"/>
          <w:lang w:eastAsia="bg-BG"/>
        </w:rPr>
        <w:t xml:space="preserve">и от 200 до 600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за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Продължителността на лечението е до 121 седмици, в зависимост от отговора.</w:t>
      </w:r>
    </w:p>
    <w:p w14:paraId="7F8CF197" w14:textId="77777777" w:rsidR="006F2D70" w:rsidRPr="00EA6529" w:rsidRDefault="006F2D70" w:rsidP="006F2D70">
      <w:pPr>
        <w:spacing w:line="240" w:lineRule="auto"/>
        <w:rPr>
          <w:rFonts w:eastAsia="Times New Roman" w:cs="Arial"/>
          <w:color w:val="000000"/>
          <w:szCs w:val="20"/>
          <w:lang w:eastAsia="bg-BG"/>
        </w:rPr>
      </w:pPr>
    </w:p>
    <w:p w14:paraId="1B386CA2" w14:textId="19AB4E1E"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Честотата на липса на пристъпи за 6 месеца се оценява на 89,8% от пациентите приемащи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на 91,1% от пациентите приемащи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 xml:space="preserve">CR, </w:t>
      </w:r>
      <w:r w:rsidRPr="00EA6529">
        <w:rPr>
          <w:rFonts w:eastAsia="Times New Roman" w:cs="Arial"/>
          <w:color w:val="000000"/>
          <w:szCs w:val="20"/>
          <w:lang w:eastAsia="bg-BG"/>
        </w:rPr>
        <w:t xml:space="preserve">като се използва методът за анализ на преживяемостта по </w:t>
      </w:r>
      <w:proofErr w:type="spellStart"/>
      <w:r w:rsidRPr="00EA6529">
        <w:rPr>
          <w:rFonts w:eastAsia="Times New Roman" w:cs="Arial"/>
          <w:color w:val="000000"/>
          <w:szCs w:val="20"/>
        </w:rPr>
        <w:t>Kaplan-Meier</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Коригираната абсолютна разлика между леченията е -1,3% </w:t>
      </w:r>
      <w:r w:rsidRPr="00EA6529">
        <w:rPr>
          <w:rFonts w:eastAsia="Times New Roman" w:cs="Arial"/>
          <w:i/>
          <w:iCs/>
          <w:color w:val="000000"/>
          <w:szCs w:val="20"/>
          <w:lang w:eastAsia="bg-BG"/>
        </w:rPr>
        <w:t>(95%</w:t>
      </w:r>
      <w:r w:rsidRPr="00EA6529">
        <w:rPr>
          <w:rFonts w:eastAsia="Times New Roman" w:cs="Arial"/>
          <w:color w:val="000000"/>
          <w:szCs w:val="20"/>
          <w:lang w:eastAsia="bg-BG"/>
        </w:rPr>
        <w:t xml:space="preserve"> </w:t>
      </w:r>
      <w:r w:rsidRPr="00EA6529">
        <w:rPr>
          <w:rFonts w:eastAsia="Times New Roman" w:cs="Arial"/>
          <w:color w:val="000000"/>
          <w:szCs w:val="20"/>
        </w:rPr>
        <w:t xml:space="preserve">CI: </w:t>
      </w:r>
      <w:r w:rsidRPr="00EA6529">
        <w:rPr>
          <w:rFonts w:eastAsia="Times New Roman" w:cs="Arial"/>
          <w:color w:val="000000"/>
          <w:szCs w:val="20"/>
          <w:lang w:eastAsia="bg-BG"/>
        </w:rPr>
        <w:t xml:space="preserve">-5,5, 2,8). Оценените резултати по </w:t>
      </w:r>
      <w:proofErr w:type="spellStart"/>
      <w:r w:rsidRPr="00EA6529">
        <w:rPr>
          <w:rFonts w:eastAsia="Times New Roman" w:cs="Arial"/>
          <w:color w:val="000000"/>
          <w:szCs w:val="20"/>
        </w:rPr>
        <w:t>Kaplan-Meier</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за липса на пристъпи за периодите 12 месеца са 77,8% при пациентите, лекувани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82,7% при пациентите, лекувани с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CR.</w:t>
      </w:r>
    </w:p>
    <w:p w14:paraId="541B2BA9" w14:textId="77777777" w:rsidR="006F2D70" w:rsidRPr="00EA6529" w:rsidRDefault="006F2D70" w:rsidP="006F2D70">
      <w:pPr>
        <w:spacing w:line="240" w:lineRule="auto"/>
        <w:rPr>
          <w:rFonts w:eastAsia="Times New Roman" w:cs="Arial"/>
          <w:color w:val="000000"/>
          <w:szCs w:val="20"/>
          <w:lang w:eastAsia="bg-BG"/>
        </w:rPr>
      </w:pPr>
    </w:p>
    <w:p w14:paraId="5EAC386C" w14:textId="5BE0A4B2"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Честотата на липсата на пристъпи за 6 месеца при пациенти в старческа възраст на 65 и повече години (62 пациенти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57 пациенти на </w:t>
      </w:r>
      <w:proofErr w:type="spellStart"/>
      <w:r w:rsidRPr="00EA6529">
        <w:rPr>
          <w:rFonts w:eastAsia="Times New Roman" w:cs="Arial"/>
          <w:color w:val="000000"/>
          <w:szCs w:val="20"/>
          <w:lang w:eastAsia="bg-BG"/>
        </w:rPr>
        <w:t>карбамазепин</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 xml:space="preserve">CR) </w:t>
      </w:r>
      <w:r w:rsidRPr="00EA6529">
        <w:rPr>
          <w:rFonts w:eastAsia="Times New Roman" w:cs="Arial"/>
          <w:color w:val="000000"/>
          <w:szCs w:val="20"/>
          <w:lang w:eastAsia="bg-BG"/>
        </w:rPr>
        <w:t xml:space="preserve">е била сравнима между двете групи на лечение. Честотите също са били сравними с тези, наблюдавани в общата популация. В старческата популация, поддържащата доза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била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/ден при 55 пациенти (88,7%), 400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при 6 пациенти (9,7%), като дозата е повишена до над 400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r w:rsidRPr="00EA6529">
        <w:rPr>
          <w:rFonts w:eastAsia="Times New Roman" w:cs="Arial"/>
          <w:color w:val="000000"/>
          <w:szCs w:val="20"/>
          <w:lang w:eastAsia="bg-BG"/>
        </w:rPr>
        <w:t>ден при 1 пациент (1,6%).</w:t>
      </w:r>
    </w:p>
    <w:p w14:paraId="51E9521F" w14:textId="77777777" w:rsidR="006F2D70" w:rsidRPr="00EA6529" w:rsidRDefault="006F2D70" w:rsidP="006F2D70">
      <w:pPr>
        <w:spacing w:line="240" w:lineRule="auto"/>
        <w:rPr>
          <w:rFonts w:eastAsia="Times New Roman" w:cs="Arial"/>
          <w:i/>
          <w:iCs/>
          <w:color w:val="000000"/>
          <w:szCs w:val="20"/>
          <w:lang w:eastAsia="bg-BG"/>
        </w:rPr>
      </w:pPr>
    </w:p>
    <w:p w14:paraId="0FFD8292" w14:textId="3166DAEC" w:rsidR="006F2D70" w:rsidRPr="00EA6529" w:rsidRDefault="006F2D70" w:rsidP="006F2D70">
      <w:pPr>
        <w:spacing w:line="240" w:lineRule="auto"/>
        <w:rPr>
          <w:rFonts w:eastAsia="Times New Roman" w:cs="Arial"/>
          <w:sz w:val="28"/>
          <w:szCs w:val="24"/>
          <w:lang w:eastAsia="bg-BG"/>
        </w:rPr>
      </w:pPr>
      <w:r w:rsidRPr="00EA6529">
        <w:rPr>
          <w:rFonts w:eastAsia="Times New Roman" w:cs="Arial"/>
          <w:i/>
          <w:iCs/>
          <w:color w:val="000000"/>
          <w:szCs w:val="20"/>
          <w:lang w:eastAsia="bg-BG"/>
        </w:rPr>
        <w:t xml:space="preserve">Преминаване към </w:t>
      </w:r>
      <w:proofErr w:type="spellStart"/>
      <w:r w:rsidRPr="00EA6529">
        <w:rPr>
          <w:rFonts w:eastAsia="Times New Roman" w:cs="Arial"/>
          <w:i/>
          <w:iCs/>
          <w:color w:val="000000"/>
          <w:szCs w:val="20"/>
          <w:lang w:eastAsia="bg-BG"/>
        </w:rPr>
        <w:t>монотерапия</w:t>
      </w:r>
      <w:proofErr w:type="spellEnd"/>
    </w:p>
    <w:p w14:paraId="3A481163" w14:textId="7F00468D" w:rsidR="006F2D70" w:rsidRPr="00EA6529" w:rsidRDefault="006F2D70" w:rsidP="006F2D70">
      <w:pPr>
        <w:rPr>
          <w:rFonts w:eastAsia="Times New Roman" w:cs="Arial"/>
          <w:color w:val="000000"/>
          <w:szCs w:val="20"/>
          <w:lang w:eastAsia="bg-BG"/>
        </w:rPr>
      </w:pPr>
      <w:r w:rsidRPr="00EA6529">
        <w:rPr>
          <w:rFonts w:eastAsia="Times New Roman" w:cs="Arial"/>
          <w:color w:val="000000"/>
          <w:szCs w:val="20"/>
          <w:lang w:eastAsia="bg-BG"/>
        </w:rPr>
        <w:lastRenderedPageBreak/>
        <w:t xml:space="preserve">Ефикасността и безопасността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преминаване към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са били оценени в исторически-контролирано, </w:t>
      </w:r>
      <w:proofErr w:type="spellStart"/>
      <w:r w:rsidRPr="00EA6529">
        <w:rPr>
          <w:rFonts w:eastAsia="Times New Roman" w:cs="Arial"/>
          <w:color w:val="000000"/>
          <w:szCs w:val="20"/>
          <w:lang w:eastAsia="bg-BG"/>
        </w:rPr>
        <w:t>многоцентрово</w:t>
      </w:r>
      <w:proofErr w:type="spellEnd"/>
      <w:r w:rsidRPr="00EA6529">
        <w:rPr>
          <w:rFonts w:eastAsia="Times New Roman" w:cs="Arial"/>
          <w:color w:val="000000"/>
          <w:szCs w:val="20"/>
          <w:lang w:eastAsia="bg-BG"/>
        </w:rPr>
        <w:t xml:space="preserve">, двойно-сляпо, рандомизирано изпитване. В това проучване, 425 пациенти на възраст от 16 до 70 години с неконтролирани парциални пристъпи, приемащи постоянни дози от 1 или 2 разрешени за употреба антиепилептични лекарствени продукти са били рандомизирани да преминат на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(или 400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или 300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в съотношение 3:1). При лекуваните пациенти, преминали през титриране и започнали да спират антиепилептиците (съответно 284 и 99), е поддържана </w:t>
      </w:r>
      <w:proofErr w:type="spellStart"/>
      <w:r w:rsidRPr="00EA6529">
        <w:rPr>
          <w:rFonts w:eastAsia="Times New Roman" w:cs="Arial"/>
          <w:color w:val="000000"/>
          <w:szCs w:val="20"/>
          <w:lang w:eastAsia="bg-BG"/>
        </w:rPr>
        <w:t>монотерапия</w:t>
      </w:r>
      <w:proofErr w:type="spellEnd"/>
      <w:r w:rsidRPr="00EA6529">
        <w:rPr>
          <w:rFonts w:eastAsia="Times New Roman" w:cs="Arial"/>
          <w:color w:val="000000"/>
          <w:szCs w:val="20"/>
          <w:lang w:eastAsia="bg-BG"/>
        </w:rPr>
        <w:t xml:space="preserve"> при 71,5% и 70,7% от пациентите, съответно за 57-105 дни (медиана 71 дни), в целевия период на наблюдение от 70 дни.</w:t>
      </w:r>
    </w:p>
    <w:p w14:paraId="489F8084" w14:textId="2A121402" w:rsidR="006F2D70" w:rsidRPr="00EA6529" w:rsidRDefault="006F2D70" w:rsidP="006F2D70">
      <w:pPr>
        <w:rPr>
          <w:rFonts w:eastAsia="Times New Roman" w:cs="Arial"/>
          <w:color w:val="000000"/>
          <w:szCs w:val="20"/>
          <w:lang w:eastAsia="bg-BG"/>
        </w:rPr>
      </w:pPr>
    </w:p>
    <w:p w14:paraId="4F0692BA" w14:textId="77777777" w:rsidR="006F2D70" w:rsidRPr="00EA6529" w:rsidRDefault="006F2D70" w:rsidP="006F2D70">
      <w:pPr>
        <w:spacing w:line="240" w:lineRule="auto"/>
        <w:rPr>
          <w:rFonts w:eastAsia="Times New Roman" w:cs="Arial"/>
          <w:sz w:val="28"/>
          <w:szCs w:val="24"/>
          <w:lang w:eastAsia="bg-BG"/>
        </w:rPr>
      </w:pPr>
      <w:r w:rsidRPr="00EA6529">
        <w:rPr>
          <w:rFonts w:eastAsia="Times New Roman" w:cs="Arial"/>
          <w:i/>
          <w:iCs/>
          <w:color w:val="000000"/>
          <w:szCs w:val="20"/>
          <w:lang w:eastAsia="bg-BG"/>
        </w:rPr>
        <w:t>Допълващо лечение</w:t>
      </w:r>
    </w:p>
    <w:p w14:paraId="4A37C2BC" w14:textId="77777777"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Ефикасността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като допълващо лечение с препоръчваните дози (200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400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е оценена в 3 </w:t>
      </w:r>
      <w:proofErr w:type="spellStart"/>
      <w:r w:rsidRPr="00EA6529">
        <w:rPr>
          <w:rFonts w:eastAsia="Times New Roman" w:cs="Arial"/>
          <w:color w:val="000000"/>
          <w:szCs w:val="20"/>
          <w:lang w:eastAsia="bg-BG"/>
        </w:rPr>
        <w:t>многоцентрови</w:t>
      </w:r>
      <w:proofErr w:type="spellEnd"/>
      <w:r w:rsidRPr="00EA6529">
        <w:rPr>
          <w:rFonts w:eastAsia="Times New Roman" w:cs="Arial"/>
          <w:color w:val="000000"/>
          <w:szCs w:val="20"/>
          <w:lang w:eastAsia="bg-BG"/>
        </w:rPr>
        <w:t xml:space="preserve">, рандомизирани, плацебо-контролирани клинични проучвания с 12-седмична продължителност.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600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показва също и ефективност в контролирани проучвания за допълващо лечение, въпреки че ефикасността е близка до тази при 400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и пациентите са имали по-малка поносимост към тази доза поради нежеланите лекарствени реакции от страна на ЦНС и стомашно-чревния тракт. Затова доза 600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дневно не се препоръчва. Максималната препоръчителна доза е 400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дневно. Тези проучвания, включващи 1 308 пациенти със средна продължителност на парциалните пристъпи от порядъка на 23 години, са проведени за оценка на ефикасността и безопасността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едновременното му приложение с 1 до 3 антиепилептични лекарствени продукти при пациенти с неконтролирани парциални пристъпи с или без вторично генерализиране. Общото съотношение на пациентите с 50% намаление на честотата на пристъпите е 23%, 34% и 40% за плацебо,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200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и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400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/ден, съответно.</w:t>
      </w:r>
    </w:p>
    <w:p w14:paraId="37CA42D4" w14:textId="77777777" w:rsidR="006F2D70" w:rsidRPr="00EA6529" w:rsidRDefault="006F2D70" w:rsidP="006F2D70">
      <w:pPr>
        <w:rPr>
          <w:rFonts w:eastAsia="Times New Roman" w:cs="Arial"/>
          <w:color w:val="000000"/>
          <w:szCs w:val="20"/>
          <w:lang w:eastAsia="bg-BG"/>
        </w:rPr>
      </w:pPr>
    </w:p>
    <w:p w14:paraId="12965238" w14:textId="3EBEC64D" w:rsidR="006F2D70" w:rsidRPr="00EA6529" w:rsidRDefault="006F2D70" w:rsidP="006F2D70">
      <w:pPr>
        <w:rPr>
          <w:rFonts w:eastAsia="Times New Roman" w:cs="Arial"/>
          <w:color w:val="000000"/>
          <w:sz w:val="28"/>
          <w:szCs w:val="20"/>
          <w:lang w:eastAsia="bg-BG"/>
        </w:rPr>
      </w:pPr>
      <w:r w:rsidRPr="00EA6529">
        <w:rPr>
          <w:rFonts w:eastAsia="Times New Roman" w:cs="Arial"/>
          <w:color w:val="000000"/>
          <w:szCs w:val="20"/>
          <w:lang w:eastAsia="bg-BG"/>
        </w:rPr>
        <w:t xml:space="preserve">Фармакокинетиката и безопасността на единична натоварваща доза от интравенозно приложен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са определени в </w:t>
      </w:r>
      <w:proofErr w:type="spellStart"/>
      <w:r w:rsidRPr="00EA6529">
        <w:rPr>
          <w:rFonts w:eastAsia="Times New Roman" w:cs="Arial"/>
          <w:color w:val="000000"/>
          <w:szCs w:val="20"/>
          <w:lang w:eastAsia="bg-BG"/>
        </w:rPr>
        <w:t>многоцентрово</w:t>
      </w:r>
      <w:proofErr w:type="spellEnd"/>
      <w:r w:rsidRPr="00EA6529">
        <w:rPr>
          <w:rFonts w:eastAsia="Times New Roman" w:cs="Arial"/>
          <w:color w:val="000000"/>
          <w:szCs w:val="20"/>
          <w:lang w:eastAsia="bg-BG"/>
        </w:rPr>
        <w:t xml:space="preserve">, отворено проучване, планирано да оцени безопасността и поносимостта на бързото започване на лечение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чрез единична натоварваща интравенозна доза (включваща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последвана от два пъти дневно перорално приложение (еквивалентно на интравенозната доза) като съпътстваща терапия при възрастни пациенти на възраст от 16 до 60 години с припадъци с парциално начало.</w:t>
      </w:r>
    </w:p>
    <w:p w14:paraId="43338E07" w14:textId="733A2D47" w:rsidR="006F2D70" w:rsidRPr="00EA6529" w:rsidRDefault="006F2D70" w:rsidP="006F2D70"/>
    <w:p w14:paraId="2B34FC96" w14:textId="77777777"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u w:val="single"/>
          <w:lang w:eastAsia="bg-BG"/>
        </w:rPr>
        <w:t>Педиатрична популация</w:t>
      </w:r>
    </w:p>
    <w:p w14:paraId="7407D2F8" w14:textId="77777777" w:rsidR="006F2D70" w:rsidRPr="00EA6529" w:rsidRDefault="006F2D70" w:rsidP="006F2D70">
      <w:pPr>
        <w:spacing w:line="240" w:lineRule="auto"/>
        <w:rPr>
          <w:rFonts w:eastAsia="Times New Roman" w:cs="Arial"/>
          <w:color w:val="000000"/>
          <w:szCs w:val="20"/>
          <w:lang w:eastAsia="bg-BG"/>
        </w:rPr>
      </w:pPr>
    </w:p>
    <w:p w14:paraId="2ACAD0AC" w14:textId="5C278AE1"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Припадъците с парциално начало имат подобно клинично изразяване при деца, навършили 4- годишна възраст и при възрастни. Ефикасността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деца, навършили 4-годишна възраст е екстраполирана от данни за юноши и възрастни с припадъци с парциално начало, за които се очаква подобен отговор, приемайки, че адаптирането на педиатричната доза е установено (вж. точка 4.2) и безопасността е демонстрирана (вж. точка 4.8).</w:t>
      </w:r>
    </w:p>
    <w:p w14:paraId="7C202056" w14:textId="77777777" w:rsidR="006F2D70" w:rsidRPr="00EA6529" w:rsidRDefault="006F2D70" w:rsidP="006F2D70">
      <w:pPr>
        <w:spacing w:line="240" w:lineRule="auto"/>
        <w:rPr>
          <w:rFonts w:eastAsia="Times New Roman" w:cs="Arial"/>
          <w:color w:val="000000"/>
          <w:szCs w:val="20"/>
          <w:lang w:eastAsia="bg-BG"/>
        </w:rPr>
      </w:pPr>
    </w:p>
    <w:p w14:paraId="41B42994" w14:textId="6B35703F" w:rsidR="006F2D70" w:rsidRPr="00EA6529" w:rsidRDefault="006F2D70" w:rsidP="006F2D70">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Ефикасността, подкрепена от горепосочения принцип на екстраполация, се потвърждава от двойносляпо, рандомизирано, плацебо-контролирано проучване. Проучването включва 8- седмичен базов период, последван от 6-седмичен период на титриране. Пригодните пациенти със стабилна схема на прилагане от 1 до ≤3 антиепилептични лекарствени продукти, които все още са имали поне 2 парциални пристъпа през периода от 4 седмици </w:t>
      </w:r>
      <w:r w:rsidRPr="00EA6529">
        <w:rPr>
          <w:rFonts w:eastAsia="Times New Roman" w:cs="Arial"/>
          <w:color w:val="000000"/>
          <w:szCs w:val="20"/>
          <w:lang w:eastAsia="bg-BG"/>
        </w:rPr>
        <w:lastRenderedPageBreak/>
        <w:t>преди скрининга с фаза, свободна от пристъпи, не по-дълга от 21 дни през 8-седмичния период преди навлизане в базовия период, са рандомизирани да получават или плацебо (</w:t>
      </w:r>
      <w:r w:rsidRPr="00EA6529">
        <w:rPr>
          <w:rFonts w:eastAsia="Times New Roman" w:cs="Arial"/>
          <w:color w:val="000000"/>
          <w:szCs w:val="20"/>
        </w:rPr>
        <w:t>n</w:t>
      </w:r>
      <w:r w:rsidRPr="00EA6529">
        <w:rPr>
          <w:rFonts w:eastAsia="Times New Roman" w:cs="Arial"/>
          <w:color w:val="000000"/>
          <w:szCs w:val="20"/>
          <w:lang w:eastAsia="bg-BG"/>
        </w:rPr>
        <w:t xml:space="preserve">=172), или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n</w:t>
      </w:r>
      <w:r w:rsidRPr="00EA6529">
        <w:rPr>
          <w:rFonts w:eastAsia="Times New Roman" w:cs="Arial"/>
          <w:color w:val="000000"/>
          <w:szCs w:val="20"/>
          <w:lang w:eastAsia="bg-BG"/>
        </w:rPr>
        <w:t>=171).</w:t>
      </w:r>
    </w:p>
    <w:p w14:paraId="57E83FF8" w14:textId="77777777" w:rsidR="006F2D70" w:rsidRPr="00EA6529" w:rsidRDefault="006F2D70" w:rsidP="006F2D70">
      <w:pPr>
        <w:rPr>
          <w:rFonts w:eastAsia="Times New Roman" w:cs="Arial"/>
          <w:color w:val="000000"/>
          <w:szCs w:val="20"/>
          <w:lang w:eastAsia="bg-BG"/>
        </w:rPr>
      </w:pPr>
    </w:p>
    <w:p w14:paraId="19E7E6AB" w14:textId="2BE56EE6" w:rsidR="006F2D70" w:rsidRPr="00EA6529" w:rsidRDefault="006F2D70" w:rsidP="006F2D70">
      <w:pPr>
        <w:rPr>
          <w:rFonts w:ascii="Times New Roman" w:eastAsia="Times New Roman" w:hAnsi="Times New Roman" w:cs="Times New Roman"/>
          <w:color w:val="000000"/>
          <w:sz w:val="20"/>
          <w:szCs w:val="20"/>
          <w:lang w:eastAsia="bg-BG"/>
        </w:rPr>
      </w:pPr>
      <w:r w:rsidRPr="00EA6529">
        <w:rPr>
          <w:rFonts w:eastAsia="Times New Roman" w:cs="Arial"/>
          <w:color w:val="000000"/>
          <w:szCs w:val="20"/>
          <w:lang w:eastAsia="bg-BG"/>
        </w:rPr>
        <w:t xml:space="preserve">Прилагането е започнало в доза от 2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при участници с тегло под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или 100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при участници с тегло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или повече, в 2 разделени дози. По време на периода на титриране, дозите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са били коригирани с увеличение от 1 или 2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при участници с тегло под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или 50 или 100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на ден при участници с тегло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или повече на седмични интервали, за да се постигне </w:t>
      </w:r>
      <w:proofErr w:type="spellStart"/>
      <w:r w:rsidRPr="00EA6529">
        <w:rPr>
          <w:rFonts w:eastAsia="Times New Roman" w:cs="Arial"/>
          <w:color w:val="000000"/>
          <w:szCs w:val="20"/>
          <w:lang w:eastAsia="bg-BG"/>
        </w:rPr>
        <w:t>дозовият</w:t>
      </w:r>
      <w:proofErr w:type="spellEnd"/>
      <w:r w:rsidRPr="00EA6529">
        <w:rPr>
          <w:rFonts w:eastAsia="Times New Roman" w:cs="Arial"/>
          <w:color w:val="000000"/>
          <w:szCs w:val="20"/>
          <w:lang w:eastAsia="bg-BG"/>
        </w:rPr>
        <w:t xml:space="preserve"> диапазон на целевия период на поддържане. Участниците трябва да са постигнали минималната целева доза за категорията си на телесно тегло за последните 3 дни от периода на титруване, за да бъдат допуснати за влизане в 10-седмичния период на поддържащо лечение. Участниците трябва да останат на стабилна доза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през целия период на поддържащо лечение или да са били изтеглени и включени в заслепения период на намаляване на дозата.</w:t>
      </w:r>
    </w:p>
    <w:p w14:paraId="1BDC28D3" w14:textId="356397AF" w:rsidR="00EA698B" w:rsidRPr="00EA6529" w:rsidRDefault="00EA698B" w:rsidP="006F2D70">
      <w:pPr>
        <w:rPr>
          <w:rFonts w:ascii="Times New Roman" w:eastAsia="Times New Roman" w:hAnsi="Times New Roman" w:cs="Times New Roman"/>
          <w:color w:val="000000"/>
          <w:sz w:val="20"/>
          <w:szCs w:val="20"/>
          <w:lang w:eastAsia="bg-BG"/>
        </w:rPr>
      </w:pPr>
    </w:p>
    <w:p w14:paraId="1A949C90" w14:textId="77777777"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Между групата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групата на плацебо е наблюдавано статистически значимо (р = 0,0003) и клинично значимо намаление на честотата на пристъпите с парциално начало за 28 дни от базовото ниво до периода на поддържащо лечение. Процентното намаление спрямо плацебо въз основа на анализ на </w:t>
      </w:r>
      <w:proofErr w:type="spellStart"/>
      <w:r w:rsidRPr="00EA6529">
        <w:rPr>
          <w:rFonts w:eastAsia="Times New Roman" w:cs="Arial"/>
          <w:color w:val="000000"/>
          <w:szCs w:val="20"/>
          <w:lang w:eastAsia="bg-BG"/>
        </w:rPr>
        <w:t>ковариацията</w:t>
      </w:r>
      <w:proofErr w:type="spellEnd"/>
      <w:r w:rsidRPr="00EA6529">
        <w:rPr>
          <w:rFonts w:eastAsia="Times New Roman" w:cs="Arial"/>
          <w:color w:val="000000"/>
          <w:szCs w:val="20"/>
          <w:lang w:eastAsia="bg-BG"/>
        </w:rPr>
        <w:t xml:space="preserve"> е било 31,72% (95% ДИ: 16,342, 44,277).</w:t>
      </w:r>
    </w:p>
    <w:p w14:paraId="40913ED7" w14:textId="77777777" w:rsidR="00EA698B" w:rsidRPr="00EA6529" w:rsidRDefault="00EA698B" w:rsidP="00EA698B">
      <w:pPr>
        <w:rPr>
          <w:rFonts w:eastAsia="Times New Roman" w:cs="Arial"/>
          <w:color w:val="000000"/>
          <w:szCs w:val="20"/>
          <w:lang w:eastAsia="bg-BG"/>
        </w:rPr>
      </w:pPr>
    </w:p>
    <w:p w14:paraId="7F13B1F7" w14:textId="16CF99EB" w:rsidR="00EA698B" w:rsidRPr="00EA6529" w:rsidRDefault="00EA698B" w:rsidP="006F2D70">
      <w:pPr>
        <w:rPr>
          <w:rFonts w:eastAsia="Times New Roman" w:cs="Arial"/>
          <w:color w:val="000000"/>
          <w:szCs w:val="20"/>
          <w:lang w:eastAsia="bg-BG"/>
        </w:rPr>
      </w:pPr>
      <w:r w:rsidRPr="00EA6529">
        <w:rPr>
          <w:rFonts w:eastAsia="Times New Roman" w:cs="Arial"/>
          <w:color w:val="000000"/>
          <w:szCs w:val="20"/>
          <w:lang w:eastAsia="bg-BG"/>
        </w:rPr>
        <w:t xml:space="preserve">Като цяло процентът на участниците с най-малко 50% намаление на честотата на пристъпите с парциално начало за 28 дни от базовото ниво до периода на поддържащо лечение е бил 52,9% в групата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в сравнение с 33,3% в групата на плацебо. Качеството на живот, оценено по индекса за качество на живот при деца </w:t>
      </w:r>
      <w:r w:rsidRPr="00EA6529">
        <w:rPr>
          <w:rFonts w:eastAsia="Times New Roman" w:cs="Arial"/>
          <w:color w:val="000000"/>
          <w:szCs w:val="20"/>
        </w:rPr>
        <w:t>(</w:t>
      </w:r>
      <w:proofErr w:type="spellStart"/>
      <w:r w:rsidRPr="00EA6529">
        <w:rPr>
          <w:rFonts w:eastAsia="Times New Roman" w:cs="Arial"/>
          <w:color w:val="000000"/>
          <w:szCs w:val="20"/>
        </w:rPr>
        <w:t>Pediatric</w:t>
      </w:r>
      <w:proofErr w:type="spellEnd"/>
      <w:r w:rsidRPr="00EA6529">
        <w:rPr>
          <w:rFonts w:eastAsia="Times New Roman" w:cs="Arial"/>
          <w:color w:val="000000"/>
          <w:szCs w:val="20"/>
        </w:rPr>
        <w:t xml:space="preserve"> Quality </w:t>
      </w:r>
      <w:proofErr w:type="spellStart"/>
      <w:r w:rsidRPr="00EA6529">
        <w:rPr>
          <w:rFonts w:eastAsia="Times New Roman" w:cs="Arial"/>
          <w:color w:val="000000"/>
          <w:szCs w:val="20"/>
        </w:rPr>
        <w:t>of</w:t>
      </w:r>
      <w:proofErr w:type="spellEnd"/>
      <w:r w:rsidRPr="00EA6529">
        <w:rPr>
          <w:rFonts w:eastAsia="Times New Roman" w:cs="Arial"/>
          <w:color w:val="000000"/>
          <w:szCs w:val="20"/>
        </w:rPr>
        <w:t xml:space="preserve"> Life </w:t>
      </w:r>
      <w:proofErr w:type="spellStart"/>
      <w:r w:rsidRPr="00EA6529">
        <w:rPr>
          <w:rFonts w:eastAsia="Times New Roman" w:cs="Arial"/>
          <w:color w:val="000000"/>
          <w:szCs w:val="20"/>
        </w:rPr>
        <w:t>Inventory</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показва, че пациентите от групата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тези на плацебо имат подобно и стабилно качество на живот, свързано със здравето, през целия период на лечение.</w:t>
      </w:r>
    </w:p>
    <w:p w14:paraId="35508CA9" w14:textId="6E310EE3" w:rsidR="00EA698B" w:rsidRPr="00EA6529" w:rsidRDefault="00EA698B" w:rsidP="006F2D70">
      <w:pPr>
        <w:rPr>
          <w:rFonts w:eastAsia="Times New Roman" w:cs="Arial"/>
          <w:color w:val="000000"/>
          <w:szCs w:val="20"/>
          <w:lang w:eastAsia="bg-BG"/>
        </w:rPr>
      </w:pPr>
    </w:p>
    <w:p w14:paraId="760903BE" w14:textId="77777777"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u w:val="single"/>
          <w:lang w:eastAsia="bg-BG"/>
        </w:rPr>
        <w:t>Клинична ефикасност и безопасност (първично генерализирани тонично-</w:t>
      </w:r>
      <w:proofErr w:type="spellStart"/>
      <w:r w:rsidRPr="00EA6529">
        <w:rPr>
          <w:rFonts w:eastAsia="Times New Roman" w:cs="Arial"/>
          <w:color w:val="000000"/>
          <w:szCs w:val="20"/>
          <w:u w:val="single"/>
          <w:lang w:eastAsia="bg-BG"/>
        </w:rPr>
        <w:t>клонични</w:t>
      </w:r>
      <w:proofErr w:type="spellEnd"/>
      <w:r w:rsidRPr="00EA6529">
        <w:rPr>
          <w:rFonts w:eastAsia="Times New Roman" w:cs="Arial"/>
          <w:color w:val="000000"/>
          <w:szCs w:val="20"/>
          <w:u w:val="single"/>
          <w:lang w:eastAsia="bg-BG"/>
        </w:rPr>
        <w:t xml:space="preserve"> пристъпи)</w:t>
      </w:r>
    </w:p>
    <w:p w14:paraId="648A1DCD" w14:textId="77777777" w:rsidR="00EA698B" w:rsidRPr="00EA6529" w:rsidRDefault="00EA698B" w:rsidP="00EA698B">
      <w:pPr>
        <w:spacing w:line="240" w:lineRule="auto"/>
        <w:rPr>
          <w:rFonts w:eastAsia="Times New Roman" w:cs="Arial"/>
          <w:color w:val="000000"/>
          <w:szCs w:val="20"/>
          <w:lang w:eastAsia="bg-BG"/>
        </w:rPr>
      </w:pPr>
    </w:p>
    <w:p w14:paraId="2B437CFA" w14:textId="77777777"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Ефикасността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като допълваща терапия при пациенти на 4-годишна възраст или по- големи, с генерализирана идиопатична епилепсия, с прояви на първично генерализирани тонично-</w:t>
      </w:r>
      <w:proofErr w:type="spellStart"/>
      <w:r w:rsidRPr="00EA6529">
        <w:rPr>
          <w:rFonts w:eastAsia="Times New Roman" w:cs="Arial"/>
          <w:color w:val="000000"/>
          <w:szCs w:val="20"/>
          <w:lang w:eastAsia="bg-BG"/>
        </w:rPr>
        <w:t>клонични</w:t>
      </w:r>
      <w:proofErr w:type="spellEnd"/>
      <w:r w:rsidRPr="00EA6529">
        <w:rPr>
          <w:rFonts w:eastAsia="Times New Roman" w:cs="Arial"/>
          <w:color w:val="000000"/>
          <w:szCs w:val="20"/>
          <w:lang w:eastAsia="bg-BG"/>
        </w:rPr>
        <w:t xml:space="preserve"> пристъпи (ПГТКП) е установена в 24-седмично двойно-сляпо, рандомизирано, плацебо-контролирано, паралелно-групово, </w:t>
      </w:r>
      <w:proofErr w:type="spellStart"/>
      <w:r w:rsidRPr="00EA6529">
        <w:rPr>
          <w:rFonts w:eastAsia="Times New Roman" w:cs="Arial"/>
          <w:color w:val="000000"/>
          <w:szCs w:val="20"/>
          <w:lang w:eastAsia="bg-BG"/>
        </w:rPr>
        <w:t>многоцентрово</w:t>
      </w:r>
      <w:proofErr w:type="spellEnd"/>
      <w:r w:rsidRPr="00EA6529">
        <w:rPr>
          <w:rFonts w:eastAsia="Times New Roman" w:cs="Arial"/>
          <w:color w:val="000000"/>
          <w:szCs w:val="20"/>
          <w:lang w:eastAsia="bg-BG"/>
        </w:rPr>
        <w:t xml:space="preserve"> проучване. Проучването се е състояло от 12-седмичен период на историческо изходно ниво, 4-седмичен период на </w:t>
      </w:r>
      <w:proofErr w:type="spellStart"/>
      <w:r w:rsidRPr="00EA6529">
        <w:rPr>
          <w:rFonts w:eastAsia="Times New Roman" w:cs="Arial"/>
          <w:color w:val="000000"/>
          <w:szCs w:val="20"/>
          <w:lang w:eastAsia="bg-BG"/>
        </w:rPr>
        <w:t>проспективно</w:t>
      </w:r>
      <w:proofErr w:type="spellEnd"/>
      <w:r w:rsidRPr="00EA6529">
        <w:rPr>
          <w:rFonts w:eastAsia="Times New Roman" w:cs="Arial"/>
          <w:color w:val="000000"/>
          <w:szCs w:val="20"/>
          <w:lang w:eastAsia="bg-BG"/>
        </w:rPr>
        <w:t xml:space="preserve"> изходно ниво и 24-седмичен период на лечение (който е включвал титриране в продължение на 6-седмичен </w:t>
      </w:r>
      <w:proofErr w:type="spellStart"/>
      <w:r w:rsidRPr="00EA6529">
        <w:rPr>
          <w:rFonts w:eastAsia="Times New Roman" w:cs="Arial"/>
          <w:color w:val="000000"/>
          <w:szCs w:val="20"/>
          <w:lang w:eastAsia="bg-BG"/>
        </w:rPr>
        <w:t>пердиод</w:t>
      </w:r>
      <w:proofErr w:type="spellEnd"/>
      <w:r w:rsidRPr="00EA6529">
        <w:rPr>
          <w:rFonts w:eastAsia="Times New Roman" w:cs="Arial"/>
          <w:color w:val="000000"/>
          <w:szCs w:val="20"/>
          <w:lang w:eastAsia="bg-BG"/>
        </w:rPr>
        <w:t xml:space="preserve"> и 18-седмичен </w:t>
      </w:r>
      <w:proofErr w:type="spellStart"/>
      <w:r w:rsidRPr="00EA6529">
        <w:rPr>
          <w:rFonts w:eastAsia="Times New Roman" w:cs="Arial"/>
          <w:color w:val="000000"/>
          <w:szCs w:val="20"/>
          <w:lang w:eastAsia="bg-BG"/>
        </w:rPr>
        <w:t>поддръжащ</w:t>
      </w:r>
      <w:proofErr w:type="spellEnd"/>
      <w:r w:rsidRPr="00EA6529">
        <w:rPr>
          <w:rFonts w:eastAsia="Times New Roman" w:cs="Arial"/>
          <w:color w:val="000000"/>
          <w:szCs w:val="20"/>
          <w:lang w:eastAsia="bg-BG"/>
        </w:rPr>
        <w:t xml:space="preserve"> период). Отговарящите на условията пациенти, с назначена установена доза от 1 до 3 антиепилептични лекарства, получаващи поне 3 документирани ПГТКП по време на 16-седмичния изходен период на титриране, са рандомизирани в съотношение 1 към 1 да получават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или плацебо (пациенти в набора за пълен анализ: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п=118, плацебо </w:t>
      </w:r>
      <w:r w:rsidRPr="00EA6529">
        <w:rPr>
          <w:rFonts w:eastAsia="Times New Roman" w:cs="Arial"/>
          <w:color w:val="000000"/>
          <w:szCs w:val="20"/>
        </w:rPr>
        <w:t>n</w:t>
      </w:r>
      <w:r w:rsidRPr="00EA6529">
        <w:rPr>
          <w:rFonts w:eastAsia="Times New Roman" w:cs="Arial"/>
          <w:color w:val="000000"/>
          <w:szCs w:val="20"/>
          <w:lang w:eastAsia="bg-BG"/>
        </w:rPr>
        <w:t xml:space="preserve">=121: от тях 8 пациенти в групата на ≥4 до &lt; 12-годишна възраст и 16 пациенти в групата на ≥12 до &lt; 18-годишна възраст са лекувани с </w:t>
      </w:r>
      <w:r w:rsidRPr="00EA6529">
        <w:rPr>
          <w:rFonts w:eastAsia="Times New Roman" w:cs="Arial"/>
          <w:color w:val="000000"/>
          <w:szCs w:val="20"/>
        </w:rPr>
        <w:t xml:space="preserve">LCM, </w:t>
      </w:r>
      <w:r w:rsidRPr="00EA6529">
        <w:rPr>
          <w:rFonts w:eastAsia="Times New Roman" w:cs="Arial"/>
          <w:color w:val="000000"/>
          <w:szCs w:val="20"/>
          <w:lang w:eastAsia="bg-BG"/>
        </w:rPr>
        <w:t>а 9 и 16 пациенти - съответно с плацебо).</w:t>
      </w:r>
    </w:p>
    <w:p w14:paraId="41419C3C" w14:textId="77777777" w:rsidR="00EA698B" w:rsidRPr="00EA6529" w:rsidRDefault="00EA698B" w:rsidP="00EA698B">
      <w:pPr>
        <w:spacing w:line="240" w:lineRule="auto"/>
        <w:rPr>
          <w:rFonts w:eastAsia="Times New Roman" w:cs="Arial"/>
          <w:sz w:val="28"/>
          <w:szCs w:val="24"/>
          <w:lang w:eastAsia="bg-BG"/>
        </w:rPr>
      </w:pPr>
    </w:p>
    <w:p w14:paraId="6B151AB4" w14:textId="4CAB1E74" w:rsidR="00EA698B" w:rsidRPr="00EA6529" w:rsidRDefault="00EA698B" w:rsidP="00EA698B">
      <w:pPr>
        <w:spacing w:line="240" w:lineRule="auto"/>
        <w:rPr>
          <w:rFonts w:eastAsia="Times New Roman" w:cs="Arial"/>
          <w:color w:val="000000"/>
          <w:szCs w:val="20"/>
          <w:lang w:eastAsia="bg-BG"/>
        </w:rPr>
      </w:pPr>
      <w:r w:rsidRPr="00EA6529">
        <w:rPr>
          <w:rFonts w:eastAsia="Times New Roman" w:cs="Arial"/>
          <w:color w:val="000000"/>
          <w:szCs w:val="20"/>
          <w:lang w:eastAsia="bg-BG"/>
        </w:rPr>
        <w:lastRenderedPageBreak/>
        <w:t xml:space="preserve">Пациентите са </w:t>
      </w:r>
      <w:proofErr w:type="spellStart"/>
      <w:r w:rsidRPr="00EA6529">
        <w:rPr>
          <w:rFonts w:eastAsia="Times New Roman" w:cs="Arial"/>
          <w:color w:val="000000"/>
          <w:szCs w:val="20"/>
          <w:lang w:eastAsia="bg-BG"/>
        </w:rPr>
        <w:t>титрирани</w:t>
      </w:r>
      <w:proofErr w:type="spellEnd"/>
      <w:r w:rsidRPr="00EA6529">
        <w:rPr>
          <w:rFonts w:eastAsia="Times New Roman" w:cs="Arial"/>
          <w:color w:val="000000"/>
          <w:szCs w:val="20"/>
          <w:lang w:eastAsia="bg-BG"/>
        </w:rPr>
        <w:t xml:space="preserve"> до целевата доза за поддържащия периода от 12</w:t>
      </w:r>
      <w:r w:rsidRPr="00EA6529">
        <w:rPr>
          <w:rFonts w:eastAsia="Times New Roman" w:cs="Arial"/>
          <w:color w:val="000000"/>
          <w:szCs w:val="20"/>
        </w:rPr>
        <w:t xml:space="preserve">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rPr>
        <w:t>/</w:t>
      </w:r>
      <w:r w:rsidRPr="00EA6529">
        <w:rPr>
          <w:rFonts w:eastAsia="Times New Roman" w:cs="Arial"/>
          <w:color w:val="000000"/>
          <w:szCs w:val="20"/>
          <w:lang w:eastAsia="bg-BG"/>
        </w:rPr>
        <w:t xml:space="preserve">ден при пациенти с тегло под 30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8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при пациенти с тегло от 30 до по-малко от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или 400 </w:t>
      </w:r>
      <w:proofErr w:type="spellStart"/>
      <w:r w:rsidRPr="00EA6529">
        <w:rPr>
          <w:rFonts w:eastAsia="Times New Roman" w:cs="Arial"/>
          <w:color w:val="000000"/>
          <w:szCs w:val="20"/>
        </w:rPr>
        <w:t>mg</w:t>
      </w:r>
      <w:proofErr w:type="spellEnd"/>
      <w:r w:rsidRPr="00EA6529">
        <w:rPr>
          <w:rFonts w:eastAsia="Times New Roman" w:cs="Arial"/>
          <w:color w:val="000000"/>
          <w:szCs w:val="20"/>
          <w:lang w:eastAsia="bg-BG"/>
        </w:rPr>
        <w:t xml:space="preserve">/ден при пациенти с тегло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или повече.</w:t>
      </w:r>
    </w:p>
    <w:tbl>
      <w:tblPr>
        <w:tblStyle w:val="TableGrid"/>
        <w:tblW w:w="0" w:type="auto"/>
        <w:tblLook w:val="04A0" w:firstRow="1" w:lastRow="0" w:firstColumn="1" w:lastColumn="0" w:noHBand="0" w:noVBand="1"/>
      </w:tblPr>
      <w:tblGrid>
        <w:gridCol w:w="3124"/>
        <w:gridCol w:w="3110"/>
        <w:gridCol w:w="3116"/>
      </w:tblGrid>
      <w:tr w:rsidR="00EA698B" w:rsidRPr="00EA6529" w14:paraId="3892097B" w14:textId="77777777" w:rsidTr="00EA698B">
        <w:tc>
          <w:tcPr>
            <w:tcW w:w="3166" w:type="dxa"/>
          </w:tcPr>
          <w:p w14:paraId="0FCCBC6E" w14:textId="7E69E635" w:rsidR="00EA698B" w:rsidRPr="00EA6529" w:rsidRDefault="00EA698B" w:rsidP="00EA698B">
            <w:pPr>
              <w:spacing w:line="240" w:lineRule="auto"/>
              <w:rPr>
                <w:rFonts w:eastAsia="Times New Roman" w:cs="Arial"/>
                <w:color w:val="000000"/>
                <w:lang w:eastAsia="bg-BG"/>
              </w:rPr>
            </w:pPr>
            <w:r w:rsidRPr="00EA6529">
              <w:t>Променлива за ефикасност Параметър</w:t>
            </w:r>
          </w:p>
        </w:tc>
        <w:tc>
          <w:tcPr>
            <w:tcW w:w="3167" w:type="dxa"/>
          </w:tcPr>
          <w:p w14:paraId="3C6592F7" w14:textId="3FB18719" w:rsidR="00EA698B" w:rsidRPr="00EA6529" w:rsidRDefault="00EA698B" w:rsidP="00EA698B">
            <w:pPr>
              <w:spacing w:line="240" w:lineRule="auto"/>
              <w:rPr>
                <w:rFonts w:eastAsia="Times New Roman" w:cs="Arial"/>
                <w:color w:val="000000"/>
                <w:lang w:eastAsia="bg-BG"/>
              </w:rPr>
            </w:pPr>
            <w:r w:rsidRPr="00EA6529">
              <w:t>Плацебо N=121</w:t>
            </w:r>
          </w:p>
        </w:tc>
        <w:tc>
          <w:tcPr>
            <w:tcW w:w="3167" w:type="dxa"/>
          </w:tcPr>
          <w:p w14:paraId="1FC3E0C1" w14:textId="1898B010" w:rsidR="00EA698B" w:rsidRPr="00EA6529" w:rsidRDefault="00EA698B" w:rsidP="00EA698B">
            <w:pPr>
              <w:spacing w:line="240" w:lineRule="auto"/>
              <w:rPr>
                <w:rFonts w:eastAsia="Times New Roman" w:cs="Arial"/>
                <w:color w:val="000000"/>
                <w:lang w:eastAsia="bg-BG"/>
              </w:rPr>
            </w:pPr>
            <w:proofErr w:type="spellStart"/>
            <w:r w:rsidRPr="00EA6529">
              <w:t>Лакозамид</w:t>
            </w:r>
            <w:proofErr w:type="spellEnd"/>
            <w:r w:rsidRPr="00EA6529">
              <w:t xml:space="preserve"> N=118</w:t>
            </w:r>
          </w:p>
        </w:tc>
      </w:tr>
      <w:tr w:rsidR="00EA698B" w:rsidRPr="00EA6529" w14:paraId="5EAAC6AE" w14:textId="77777777" w:rsidTr="00EA698B">
        <w:tc>
          <w:tcPr>
            <w:tcW w:w="3166" w:type="dxa"/>
          </w:tcPr>
          <w:p w14:paraId="55828475" w14:textId="2BED6FF8" w:rsidR="00EA698B" w:rsidRPr="00EA6529" w:rsidRDefault="00EA698B" w:rsidP="00EA698B">
            <w:pPr>
              <w:spacing w:line="240" w:lineRule="auto"/>
              <w:rPr>
                <w:rFonts w:eastAsia="Times New Roman" w:cs="Arial"/>
                <w:color w:val="000000"/>
                <w:szCs w:val="20"/>
                <w:lang w:eastAsia="bg-BG"/>
              </w:rPr>
            </w:pPr>
            <w:r w:rsidRPr="00EA6529">
              <w:rPr>
                <w:szCs w:val="20"/>
              </w:rPr>
              <w:t>Време до втория ПГТКП</w:t>
            </w:r>
          </w:p>
        </w:tc>
        <w:tc>
          <w:tcPr>
            <w:tcW w:w="3167" w:type="dxa"/>
          </w:tcPr>
          <w:p w14:paraId="0B204F01" w14:textId="77777777" w:rsidR="00EA698B" w:rsidRPr="00EA6529" w:rsidRDefault="00EA698B" w:rsidP="00EA698B">
            <w:pPr>
              <w:spacing w:line="240" w:lineRule="auto"/>
              <w:rPr>
                <w:rFonts w:eastAsia="Times New Roman" w:cs="Arial"/>
                <w:color w:val="000000"/>
                <w:szCs w:val="20"/>
                <w:lang w:eastAsia="bg-BG"/>
              </w:rPr>
            </w:pPr>
          </w:p>
        </w:tc>
        <w:tc>
          <w:tcPr>
            <w:tcW w:w="3167" w:type="dxa"/>
          </w:tcPr>
          <w:p w14:paraId="71838C50" w14:textId="77777777" w:rsidR="00EA698B" w:rsidRPr="00EA6529" w:rsidRDefault="00EA698B" w:rsidP="00EA698B">
            <w:pPr>
              <w:spacing w:line="240" w:lineRule="auto"/>
              <w:rPr>
                <w:rFonts w:eastAsia="Times New Roman" w:cs="Arial"/>
                <w:color w:val="000000"/>
                <w:szCs w:val="20"/>
                <w:lang w:eastAsia="bg-BG"/>
              </w:rPr>
            </w:pPr>
          </w:p>
        </w:tc>
      </w:tr>
      <w:tr w:rsidR="00EA698B" w:rsidRPr="00EA6529" w14:paraId="6935B7E7" w14:textId="77777777" w:rsidTr="00EA698B">
        <w:tc>
          <w:tcPr>
            <w:tcW w:w="3166" w:type="dxa"/>
          </w:tcPr>
          <w:p w14:paraId="5894F786" w14:textId="309EE9AD" w:rsidR="00EA698B" w:rsidRPr="00EA6529" w:rsidRDefault="00EA698B" w:rsidP="00EA698B">
            <w:pPr>
              <w:spacing w:line="240" w:lineRule="auto"/>
              <w:rPr>
                <w:rFonts w:eastAsia="Times New Roman" w:cs="Arial"/>
                <w:color w:val="000000"/>
                <w:szCs w:val="20"/>
                <w:lang w:eastAsia="bg-BG"/>
              </w:rPr>
            </w:pPr>
            <w:r w:rsidRPr="00EA6529">
              <w:rPr>
                <w:szCs w:val="20"/>
              </w:rPr>
              <w:t>Медиана (дни)</w:t>
            </w:r>
          </w:p>
        </w:tc>
        <w:tc>
          <w:tcPr>
            <w:tcW w:w="3167" w:type="dxa"/>
          </w:tcPr>
          <w:p w14:paraId="65E8A240" w14:textId="5B774D44" w:rsidR="00EA698B" w:rsidRPr="00EA6529" w:rsidRDefault="00EA698B" w:rsidP="00EA698B">
            <w:pPr>
              <w:spacing w:line="240" w:lineRule="auto"/>
              <w:jc w:val="center"/>
              <w:rPr>
                <w:rFonts w:eastAsia="Times New Roman" w:cs="Arial"/>
                <w:color w:val="000000"/>
                <w:szCs w:val="20"/>
                <w:lang w:eastAsia="bg-BG"/>
              </w:rPr>
            </w:pPr>
            <w:r w:rsidRPr="00EA6529">
              <w:rPr>
                <w:szCs w:val="20"/>
              </w:rPr>
              <w:t>77,0</w:t>
            </w:r>
          </w:p>
        </w:tc>
        <w:tc>
          <w:tcPr>
            <w:tcW w:w="3167" w:type="dxa"/>
          </w:tcPr>
          <w:p w14:paraId="28A55189" w14:textId="0ADC051F" w:rsidR="00EA698B" w:rsidRPr="00EA6529" w:rsidRDefault="00EA698B" w:rsidP="00EA698B">
            <w:pPr>
              <w:spacing w:line="240" w:lineRule="auto"/>
              <w:rPr>
                <w:rFonts w:eastAsia="Times New Roman" w:cs="Arial"/>
                <w:color w:val="000000"/>
                <w:szCs w:val="20"/>
                <w:lang w:eastAsia="bg-BG"/>
              </w:rPr>
            </w:pPr>
            <w:r w:rsidRPr="00EA6529">
              <w:rPr>
                <w:szCs w:val="20"/>
              </w:rPr>
              <w:t>-</w:t>
            </w:r>
          </w:p>
        </w:tc>
      </w:tr>
      <w:tr w:rsidR="00EA698B" w:rsidRPr="00EA6529" w14:paraId="1483D741" w14:textId="77777777" w:rsidTr="00EA698B">
        <w:tc>
          <w:tcPr>
            <w:tcW w:w="3166" w:type="dxa"/>
          </w:tcPr>
          <w:p w14:paraId="4CDD0F87" w14:textId="35BD1A74" w:rsidR="00EA698B" w:rsidRPr="00EA6529" w:rsidRDefault="00EA698B" w:rsidP="00EA698B">
            <w:pPr>
              <w:spacing w:line="240" w:lineRule="auto"/>
              <w:rPr>
                <w:rFonts w:eastAsia="Times New Roman" w:cs="Arial"/>
                <w:color w:val="000000"/>
                <w:szCs w:val="20"/>
                <w:lang w:eastAsia="bg-BG"/>
              </w:rPr>
            </w:pPr>
            <w:r w:rsidRPr="00EA6529">
              <w:rPr>
                <w:szCs w:val="20"/>
              </w:rPr>
              <w:t>95% CI</w:t>
            </w:r>
          </w:p>
        </w:tc>
        <w:tc>
          <w:tcPr>
            <w:tcW w:w="3167" w:type="dxa"/>
          </w:tcPr>
          <w:p w14:paraId="57A99C7C" w14:textId="32ACA3B7" w:rsidR="00EA698B" w:rsidRPr="00EA6529" w:rsidRDefault="00EA698B" w:rsidP="00EA698B">
            <w:pPr>
              <w:spacing w:line="240" w:lineRule="auto"/>
              <w:jc w:val="center"/>
              <w:rPr>
                <w:rFonts w:eastAsia="Times New Roman" w:cs="Arial"/>
                <w:color w:val="000000"/>
                <w:szCs w:val="20"/>
                <w:lang w:eastAsia="bg-BG"/>
              </w:rPr>
            </w:pPr>
            <w:r w:rsidRPr="00EA6529">
              <w:rPr>
                <w:szCs w:val="20"/>
              </w:rPr>
              <w:t>49,0, 128,0</w:t>
            </w:r>
          </w:p>
        </w:tc>
        <w:tc>
          <w:tcPr>
            <w:tcW w:w="3167" w:type="dxa"/>
          </w:tcPr>
          <w:p w14:paraId="20E53736" w14:textId="24117993" w:rsidR="00EA698B" w:rsidRPr="00EA6529" w:rsidRDefault="00EA698B" w:rsidP="00EA698B">
            <w:pPr>
              <w:spacing w:line="240" w:lineRule="auto"/>
              <w:rPr>
                <w:rFonts w:eastAsia="Times New Roman" w:cs="Arial"/>
                <w:color w:val="000000"/>
                <w:szCs w:val="20"/>
                <w:lang w:eastAsia="bg-BG"/>
              </w:rPr>
            </w:pPr>
            <w:r w:rsidRPr="00EA6529">
              <w:rPr>
                <w:szCs w:val="20"/>
              </w:rPr>
              <w:t>-</w:t>
            </w:r>
          </w:p>
        </w:tc>
      </w:tr>
      <w:tr w:rsidR="00EA698B" w:rsidRPr="00EA6529" w14:paraId="617D57CA" w14:textId="77777777" w:rsidTr="001A53DC">
        <w:tc>
          <w:tcPr>
            <w:tcW w:w="3166" w:type="dxa"/>
          </w:tcPr>
          <w:p w14:paraId="20E59AC7" w14:textId="3D946DCB" w:rsidR="00EA698B" w:rsidRPr="00EA6529" w:rsidRDefault="00EA698B" w:rsidP="00EA698B">
            <w:pPr>
              <w:spacing w:line="240" w:lineRule="auto"/>
              <w:rPr>
                <w:rFonts w:eastAsia="Times New Roman" w:cs="Arial"/>
                <w:color w:val="000000"/>
                <w:szCs w:val="20"/>
                <w:lang w:eastAsia="bg-BG"/>
              </w:rPr>
            </w:pPr>
            <w:proofErr w:type="spellStart"/>
            <w:r w:rsidRPr="00EA6529">
              <w:rPr>
                <w:szCs w:val="20"/>
              </w:rPr>
              <w:t>Лакозамид</w:t>
            </w:r>
            <w:proofErr w:type="spellEnd"/>
            <w:r w:rsidRPr="00EA6529">
              <w:rPr>
                <w:szCs w:val="20"/>
              </w:rPr>
              <w:t xml:space="preserve"> - Плацебо</w:t>
            </w:r>
          </w:p>
        </w:tc>
        <w:tc>
          <w:tcPr>
            <w:tcW w:w="6334" w:type="dxa"/>
            <w:gridSpan w:val="2"/>
          </w:tcPr>
          <w:p w14:paraId="088E9882" w14:textId="77777777" w:rsidR="00EA698B" w:rsidRPr="00EA6529" w:rsidRDefault="00EA698B" w:rsidP="00EA698B">
            <w:pPr>
              <w:spacing w:line="240" w:lineRule="auto"/>
              <w:rPr>
                <w:rFonts w:eastAsia="Times New Roman" w:cs="Arial"/>
                <w:color w:val="000000"/>
                <w:szCs w:val="20"/>
                <w:lang w:eastAsia="bg-BG"/>
              </w:rPr>
            </w:pPr>
          </w:p>
        </w:tc>
      </w:tr>
      <w:tr w:rsidR="00EA698B" w:rsidRPr="00EA6529" w14:paraId="15802939" w14:textId="77777777" w:rsidTr="00FB1C27">
        <w:tc>
          <w:tcPr>
            <w:tcW w:w="3166" w:type="dxa"/>
          </w:tcPr>
          <w:p w14:paraId="209DD2CD" w14:textId="0244E1A9" w:rsidR="00EA698B" w:rsidRPr="00EA6529" w:rsidRDefault="00EA698B" w:rsidP="00EA698B">
            <w:pPr>
              <w:spacing w:line="240" w:lineRule="auto"/>
              <w:rPr>
                <w:rFonts w:eastAsia="Times New Roman" w:cs="Arial"/>
                <w:color w:val="000000"/>
                <w:szCs w:val="20"/>
                <w:lang w:eastAsia="bg-BG"/>
              </w:rPr>
            </w:pPr>
            <w:r w:rsidRPr="00EA6529">
              <w:rPr>
                <w:szCs w:val="20"/>
              </w:rPr>
              <w:t>Съотношение на риска</w:t>
            </w:r>
          </w:p>
        </w:tc>
        <w:tc>
          <w:tcPr>
            <w:tcW w:w="6334" w:type="dxa"/>
            <w:gridSpan w:val="2"/>
          </w:tcPr>
          <w:p w14:paraId="3BE684C4" w14:textId="2791CCDD" w:rsidR="00EA698B" w:rsidRPr="00EA6529" w:rsidRDefault="00EA698B" w:rsidP="00EA698B">
            <w:pPr>
              <w:spacing w:line="240" w:lineRule="auto"/>
              <w:jc w:val="center"/>
              <w:rPr>
                <w:rFonts w:eastAsia="Times New Roman" w:cs="Arial"/>
                <w:color w:val="000000"/>
                <w:szCs w:val="20"/>
                <w:lang w:eastAsia="bg-BG"/>
              </w:rPr>
            </w:pPr>
            <w:r w:rsidRPr="00EA6529">
              <w:rPr>
                <w:szCs w:val="20"/>
              </w:rPr>
              <w:t>0,540</w:t>
            </w:r>
          </w:p>
        </w:tc>
      </w:tr>
      <w:tr w:rsidR="00EA698B" w:rsidRPr="00EA6529" w14:paraId="1CF3599A" w14:textId="77777777" w:rsidTr="00D83342">
        <w:tc>
          <w:tcPr>
            <w:tcW w:w="3166" w:type="dxa"/>
          </w:tcPr>
          <w:p w14:paraId="70BA3743" w14:textId="1F6D042B" w:rsidR="00EA698B" w:rsidRPr="00EA6529" w:rsidRDefault="00EA698B" w:rsidP="00EA698B">
            <w:pPr>
              <w:spacing w:line="240" w:lineRule="auto"/>
              <w:rPr>
                <w:rFonts w:eastAsia="Times New Roman" w:cs="Arial"/>
                <w:color w:val="000000"/>
                <w:szCs w:val="20"/>
                <w:lang w:eastAsia="bg-BG"/>
              </w:rPr>
            </w:pPr>
            <w:r w:rsidRPr="00EA6529">
              <w:rPr>
                <w:szCs w:val="20"/>
              </w:rPr>
              <w:t>95% CI</w:t>
            </w:r>
          </w:p>
        </w:tc>
        <w:tc>
          <w:tcPr>
            <w:tcW w:w="6334" w:type="dxa"/>
            <w:gridSpan w:val="2"/>
          </w:tcPr>
          <w:p w14:paraId="60BBBA9F" w14:textId="3445B3D9" w:rsidR="00EA698B" w:rsidRPr="00EA6529" w:rsidRDefault="00EA698B" w:rsidP="00EA698B">
            <w:pPr>
              <w:spacing w:line="240" w:lineRule="auto"/>
              <w:jc w:val="center"/>
              <w:rPr>
                <w:rFonts w:eastAsia="Times New Roman" w:cs="Arial"/>
                <w:color w:val="000000"/>
                <w:szCs w:val="20"/>
                <w:lang w:eastAsia="bg-BG"/>
              </w:rPr>
            </w:pPr>
            <w:r w:rsidRPr="00EA6529">
              <w:rPr>
                <w:szCs w:val="20"/>
              </w:rPr>
              <w:t>0,377, 0,774</w:t>
            </w:r>
          </w:p>
        </w:tc>
      </w:tr>
      <w:tr w:rsidR="00EA698B" w:rsidRPr="00EA6529" w14:paraId="4DC61E77" w14:textId="77777777" w:rsidTr="002E3C39">
        <w:tc>
          <w:tcPr>
            <w:tcW w:w="3166" w:type="dxa"/>
          </w:tcPr>
          <w:p w14:paraId="3EC13BBE" w14:textId="71115795" w:rsidR="00EA698B" w:rsidRPr="00EA6529" w:rsidRDefault="00EA698B" w:rsidP="00EA698B">
            <w:pPr>
              <w:spacing w:line="240" w:lineRule="auto"/>
              <w:rPr>
                <w:rFonts w:eastAsia="Times New Roman" w:cs="Arial"/>
                <w:color w:val="000000"/>
                <w:szCs w:val="20"/>
                <w:lang w:eastAsia="bg-BG"/>
              </w:rPr>
            </w:pPr>
            <w:r w:rsidRPr="00EA6529">
              <w:rPr>
                <w:szCs w:val="20"/>
              </w:rPr>
              <w:t>р-стойност</w:t>
            </w:r>
          </w:p>
        </w:tc>
        <w:tc>
          <w:tcPr>
            <w:tcW w:w="6334" w:type="dxa"/>
            <w:gridSpan w:val="2"/>
          </w:tcPr>
          <w:p w14:paraId="0CFC7FF9" w14:textId="4159E178" w:rsidR="00EA698B" w:rsidRPr="00EA6529" w:rsidRDefault="00EA698B" w:rsidP="00EA698B">
            <w:pPr>
              <w:spacing w:line="240" w:lineRule="auto"/>
              <w:jc w:val="center"/>
              <w:rPr>
                <w:rFonts w:eastAsia="Times New Roman" w:cs="Arial"/>
                <w:color w:val="000000"/>
                <w:szCs w:val="20"/>
                <w:lang w:eastAsia="bg-BG"/>
              </w:rPr>
            </w:pPr>
            <w:r w:rsidRPr="00EA6529">
              <w:rPr>
                <w:szCs w:val="20"/>
              </w:rPr>
              <w:t>&lt;0,001</w:t>
            </w:r>
          </w:p>
        </w:tc>
      </w:tr>
      <w:tr w:rsidR="00EA698B" w:rsidRPr="00EA6529" w14:paraId="29253020" w14:textId="77777777" w:rsidTr="00EA698B">
        <w:tc>
          <w:tcPr>
            <w:tcW w:w="3166" w:type="dxa"/>
          </w:tcPr>
          <w:p w14:paraId="448B9F1C" w14:textId="69AD020B" w:rsidR="00EA698B" w:rsidRPr="00EA6529" w:rsidRDefault="00EA698B" w:rsidP="00EA698B">
            <w:pPr>
              <w:spacing w:line="240" w:lineRule="auto"/>
              <w:rPr>
                <w:rFonts w:eastAsia="Times New Roman" w:cs="Arial"/>
                <w:color w:val="000000"/>
                <w:szCs w:val="20"/>
                <w:lang w:eastAsia="bg-BG"/>
              </w:rPr>
            </w:pPr>
            <w:r w:rsidRPr="00EA6529">
              <w:rPr>
                <w:szCs w:val="20"/>
              </w:rPr>
              <w:t>Отсъствие на пристъпи</w:t>
            </w:r>
          </w:p>
        </w:tc>
        <w:tc>
          <w:tcPr>
            <w:tcW w:w="3167" w:type="dxa"/>
          </w:tcPr>
          <w:p w14:paraId="3B63D3E2" w14:textId="77777777" w:rsidR="00EA698B" w:rsidRPr="00EA6529" w:rsidRDefault="00EA698B" w:rsidP="00EA698B">
            <w:pPr>
              <w:spacing w:line="240" w:lineRule="auto"/>
              <w:rPr>
                <w:rFonts w:eastAsia="Times New Roman" w:cs="Arial"/>
                <w:color w:val="000000"/>
                <w:szCs w:val="20"/>
                <w:lang w:eastAsia="bg-BG"/>
              </w:rPr>
            </w:pPr>
          </w:p>
        </w:tc>
        <w:tc>
          <w:tcPr>
            <w:tcW w:w="3167" w:type="dxa"/>
          </w:tcPr>
          <w:p w14:paraId="7FC44F5A" w14:textId="77777777" w:rsidR="00EA698B" w:rsidRPr="00EA6529" w:rsidRDefault="00EA698B" w:rsidP="00EA698B">
            <w:pPr>
              <w:spacing w:line="240" w:lineRule="auto"/>
              <w:rPr>
                <w:rFonts w:eastAsia="Times New Roman" w:cs="Arial"/>
                <w:color w:val="000000"/>
                <w:szCs w:val="20"/>
                <w:lang w:eastAsia="bg-BG"/>
              </w:rPr>
            </w:pPr>
          </w:p>
        </w:tc>
      </w:tr>
      <w:tr w:rsidR="00EA698B" w:rsidRPr="00EA6529" w14:paraId="483119FC" w14:textId="77777777" w:rsidTr="00EA698B">
        <w:tc>
          <w:tcPr>
            <w:tcW w:w="3166" w:type="dxa"/>
          </w:tcPr>
          <w:p w14:paraId="12B3FBFE" w14:textId="23B20140" w:rsidR="00EA698B" w:rsidRPr="00EA6529" w:rsidRDefault="00EA698B" w:rsidP="00EA698B">
            <w:pPr>
              <w:spacing w:line="240" w:lineRule="auto"/>
              <w:rPr>
                <w:rFonts w:eastAsia="Times New Roman" w:cs="Arial"/>
                <w:color w:val="000000"/>
                <w:szCs w:val="20"/>
                <w:lang w:eastAsia="bg-BG"/>
              </w:rPr>
            </w:pPr>
            <w:r w:rsidRPr="00EA6529">
              <w:rPr>
                <w:szCs w:val="20"/>
              </w:rPr>
              <w:t xml:space="preserve">Оценка по метода на </w:t>
            </w:r>
            <w:proofErr w:type="spellStart"/>
            <w:r w:rsidRPr="00EA6529">
              <w:rPr>
                <w:szCs w:val="20"/>
              </w:rPr>
              <w:t>Kaplan</w:t>
            </w:r>
            <w:proofErr w:type="spellEnd"/>
            <w:r w:rsidRPr="00EA6529">
              <w:rPr>
                <w:szCs w:val="20"/>
              </w:rPr>
              <w:t xml:space="preserve">- </w:t>
            </w:r>
            <w:proofErr w:type="spellStart"/>
            <w:r w:rsidRPr="00EA6529">
              <w:rPr>
                <w:szCs w:val="20"/>
              </w:rPr>
              <w:t>Meier</w:t>
            </w:r>
            <w:proofErr w:type="spellEnd"/>
            <w:r w:rsidRPr="00EA6529">
              <w:rPr>
                <w:szCs w:val="20"/>
              </w:rPr>
              <w:t xml:space="preserve"> (%)</w:t>
            </w:r>
          </w:p>
        </w:tc>
        <w:tc>
          <w:tcPr>
            <w:tcW w:w="3167" w:type="dxa"/>
          </w:tcPr>
          <w:p w14:paraId="1DD6F3E0" w14:textId="7EE6CBC3" w:rsidR="00EA698B" w:rsidRPr="00EA6529" w:rsidRDefault="00EA698B" w:rsidP="00EA698B">
            <w:pPr>
              <w:spacing w:line="240" w:lineRule="auto"/>
              <w:jc w:val="center"/>
              <w:rPr>
                <w:rFonts w:eastAsia="Times New Roman" w:cs="Arial"/>
                <w:color w:val="000000"/>
                <w:szCs w:val="20"/>
                <w:lang w:eastAsia="bg-BG"/>
              </w:rPr>
            </w:pPr>
            <w:r w:rsidRPr="00EA6529">
              <w:rPr>
                <w:szCs w:val="20"/>
              </w:rPr>
              <w:t>17,2</w:t>
            </w:r>
          </w:p>
        </w:tc>
        <w:tc>
          <w:tcPr>
            <w:tcW w:w="3167" w:type="dxa"/>
          </w:tcPr>
          <w:p w14:paraId="5A569F7B" w14:textId="7723FE09" w:rsidR="00EA698B" w:rsidRPr="00EA6529" w:rsidRDefault="00EA698B" w:rsidP="00EA698B">
            <w:pPr>
              <w:spacing w:line="240" w:lineRule="auto"/>
              <w:jc w:val="center"/>
              <w:rPr>
                <w:rFonts w:eastAsia="Times New Roman" w:cs="Arial"/>
                <w:color w:val="000000"/>
                <w:szCs w:val="20"/>
                <w:lang w:eastAsia="bg-BG"/>
              </w:rPr>
            </w:pPr>
            <w:r w:rsidRPr="00EA6529">
              <w:rPr>
                <w:szCs w:val="20"/>
              </w:rPr>
              <w:t>31,3</w:t>
            </w:r>
          </w:p>
        </w:tc>
      </w:tr>
      <w:tr w:rsidR="00EA698B" w:rsidRPr="00EA6529" w14:paraId="0F03FF51" w14:textId="77777777" w:rsidTr="00EA698B">
        <w:tc>
          <w:tcPr>
            <w:tcW w:w="3166" w:type="dxa"/>
          </w:tcPr>
          <w:p w14:paraId="1EBEAC65" w14:textId="3AD58566" w:rsidR="00EA698B" w:rsidRPr="00EA6529" w:rsidRDefault="00EA698B" w:rsidP="00EA698B">
            <w:pPr>
              <w:spacing w:line="240" w:lineRule="auto"/>
              <w:rPr>
                <w:rFonts w:eastAsia="Times New Roman" w:cs="Arial"/>
                <w:color w:val="000000"/>
                <w:szCs w:val="20"/>
                <w:lang w:eastAsia="bg-BG"/>
              </w:rPr>
            </w:pPr>
            <w:r w:rsidRPr="00EA6529">
              <w:rPr>
                <w:szCs w:val="20"/>
              </w:rPr>
              <w:t>95% CI</w:t>
            </w:r>
          </w:p>
        </w:tc>
        <w:tc>
          <w:tcPr>
            <w:tcW w:w="3167" w:type="dxa"/>
          </w:tcPr>
          <w:p w14:paraId="13E85BFC" w14:textId="2C6B63B6" w:rsidR="00EA698B" w:rsidRPr="00EA6529" w:rsidRDefault="00EA698B" w:rsidP="00EA698B">
            <w:pPr>
              <w:spacing w:line="240" w:lineRule="auto"/>
              <w:jc w:val="center"/>
              <w:rPr>
                <w:rFonts w:eastAsia="Times New Roman" w:cs="Arial"/>
                <w:color w:val="000000"/>
                <w:szCs w:val="20"/>
                <w:lang w:eastAsia="bg-BG"/>
              </w:rPr>
            </w:pPr>
            <w:r w:rsidRPr="00EA6529">
              <w:rPr>
                <w:szCs w:val="20"/>
              </w:rPr>
              <w:t>10,4, 24,0</w:t>
            </w:r>
          </w:p>
        </w:tc>
        <w:tc>
          <w:tcPr>
            <w:tcW w:w="3167" w:type="dxa"/>
          </w:tcPr>
          <w:p w14:paraId="541D9C5A" w14:textId="2EDD05CD" w:rsidR="00EA698B" w:rsidRPr="00EA6529" w:rsidRDefault="00EA698B" w:rsidP="00EA698B">
            <w:pPr>
              <w:spacing w:line="240" w:lineRule="auto"/>
              <w:jc w:val="center"/>
              <w:rPr>
                <w:rFonts w:eastAsia="Times New Roman" w:cs="Arial"/>
                <w:color w:val="000000"/>
                <w:szCs w:val="20"/>
                <w:lang w:eastAsia="bg-BG"/>
              </w:rPr>
            </w:pPr>
            <w:r w:rsidRPr="00EA6529">
              <w:rPr>
                <w:szCs w:val="20"/>
              </w:rPr>
              <w:t>22,8, 39,9</w:t>
            </w:r>
          </w:p>
        </w:tc>
      </w:tr>
      <w:tr w:rsidR="00EA698B" w:rsidRPr="00EA6529" w14:paraId="503B52AE" w14:textId="77777777" w:rsidTr="00675AFE">
        <w:tc>
          <w:tcPr>
            <w:tcW w:w="3166" w:type="dxa"/>
          </w:tcPr>
          <w:p w14:paraId="27667901" w14:textId="4F5E7F54" w:rsidR="00EA698B" w:rsidRPr="00EA6529" w:rsidRDefault="00EA698B" w:rsidP="00EA698B">
            <w:pPr>
              <w:spacing w:line="240" w:lineRule="auto"/>
              <w:rPr>
                <w:rFonts w:eastAsia="Times New Roman" w:cs="Arial"/>
                <w:color w:val="000000"/>
                <w:szCs w:val="20"/>
                <w:lang w:eastAsia="bg-BG"/>
              </w:rPr>
            </w:pPr>
            <w:proofErr w:type="spellStart"/>
            <w:r w:rsidRPr="00EA6529">
              <w:rPr>
                <w:szCs w:val="20"/>
              </w:rPr>
              <w:t>Лакозамид</w:t>
            </w:r>
            <w:proofErr w:type="spellEnd"/>
            <w:r w:rsidRPr="00EA6529">
              <w:rPr>
                <w:szCs w:val="20"/>
              </w:rPr>
              <w:t xml:space="preserve"> - Плацебо</w:t>
            </w:r>
          </w:p>
        </w:tc>
        <w:tc>
          <w:tcPr>
            <w:tcW w:w="6334" w:type="dxa"/>
            <w:gridSpan w:val="2"/>
          </w:tcPr>
          <w:p w14:paraId="3855D78F" w14:textId="7747A9C1" w:rsidR="00EA698B" w:rsidRPr="00EA6529" w:rsidRDefault="00EA698B" w:rsidP="00EA698B">
            <w:pPr>
              <w:spacing w:line="240" w:lineRule="auto"/>
              <w:jc w:val="center"/>
              <w:rPr>
                <w:rFonts w:eastAsia="Times New Roman" w:cs="Arial"/>
                <w:color w:val="000000"/>
                <w:szCs w:val="20"/>
                <w:lang w:eastAsia="bg-BG"/>
              </w:rPr>
            </w:pPr>
            <w:r w:rsidRPr="00EA6529">
              <w:rPr>
                <w:szCs w:val="20"/>
              </w:rPr>
              <w:t>14,1</w:t>
            </w:r>
          </w:p>
        </w:tc>
      </w:tr>
      <w:tr w:rsidR="00EA698B" w:rsidRPr="00EA6529" w14:paraId="22BA5B48" w14:textId="77777777" w:rsidTr="00392B75">
        <w:tc>
          <w:tcPr>
            <w:tcW w:w="3166" w:type="dxa"/>
          </w:tcPr>
          <w:p w14:paraId="0EDFACDD" w14:textId="13485511" w:rsidR="00EA698B" w:rsidRPr="00EA6529" w:rsidRDefault="00EA698B" w:rsidP="00EA698B">
            <w:pPr>
              <w:spacing w:line="240" w:lineRule="auto"/>
              <w:rPr>
                <w:rFonts w:eastAsia="Times New Roman" w:cs="Arial"/>
                <w:color w:val="000000"/>
                <w:szCs w:val="20"/>
                <w:lang w:eastAsia="bg-BG"/>
              </w:rPr>
            </w:pPr>
            <w:r w:rsidRPr="00EA6529">
              <w:rPr>
                <w:szCs w:val="20"/>
              </w:rPr>
              <w:t>95% CI</w:t>
            </w:r>
          </w:p>
        </w:tc>
        <w:tc>
          <w:tcPr>
            <w:tcW w:w="6334" w:type="dxa"/>
            <w:gridSpan w:val="2"/>
          </w:tcPr>
          <w:p w14:paraId="6BEA9DF3" w14:textId="58F41BB4" w:rsidR="00EA698B" w:rsidRPr="00EA6529" w:rsidRDefault="00EA698B" w:rsidP="00EA698B">
            <w:pPr>
              <w:spacing w:line="240" w:lineRule="auto"/>
              <w:jc w:val="center"/>
              <w:rPr>
                <w:rFonts w:eastAsia="Times New Roman" w:cs="Arial"/>
                <w:color w:val="000000"/>
                <w:szCs w:val="20"/>
                <w:lang w:eastAsia="bg-BG"/>
              </w:rPr>
            </w:pPr>
            <w:r w:rsidRPr="00EA6529">
              <w:rPr>
                <w:szCs w:val="20"/>
              </w:rPr>
              <w:t>3,2, 25,1</w:t>
            </w:r>
          </w:p>
        </w:tc>
      </w:tr>
      <w:tr w:rsidR="00EA698B" w:rsidRPr="00EA6529" w14:paraId="56F356EE" w14:textId="77777777" w:rsidTr="00AB0BAA">
        <w:tc>
          <w:tcPr>
            <w:tcW w:w="3166" w:type="dxa"/>
          </w:tcPr>
          <w:p w14:paraId="624C9120" w14:textId="27D7C0E1" w:rsidR="00EA698B" w:rsidRPr="00EA6529" w:rsidRDefault="00EA698B" w:rsidP="00EA698B">
            <w:pPr>
              <w:spacing w:line="240" w:lineRule="auto"/>
              <w:rPr>
                <w:rFonts w:eastAsia="Times New Roman" w:cs="Arial"/>
                <w:color w:val="000000"/>
                <w:szCs w:val="20"/>
                <w:lang w:eastAsia="bg-BG"/>
              </w:rPr>
            </w:pPr>
            <w:r w:rsidRPr="00EA6529">
              <w:rPr>
                <w:szCs w:val="20"/>
              </w:rPr>
              <w:t>р-стойност</w:t>
            </w:r>
          </w:p>
        </w:tc>
        <w:tc>
          <w:tcPr>
            <w:tcW w:w="6334" w:type="dxa"/>
            <w:gridSpan w:val="2"/>
          </w:tcPr>
          <w:p w14:paraId="77216382" w14:textId="1B0F2E37" w:rsidR="00EA698B" w:rsidRPr="00EA6529" w:rsidRDefault="00EA698B" w:rsidP="00EA698B">
            <w:pPr>
              <w:spacing w:line="240" w:lineRule="auto"/>
              <w:jc w:val="center"/>
              <w:rPr>
                <w:rFonts w:eastAsia="Times New Roman" w:cs="Arial"/>
                <w:color w:val="000000"/>
                <w:szCs w:val="20"/>
                <w:lang w:eastAsia="bg-BG"/>
              </w:rPr>
            </w:pPr>
            <w:r w:rsidRPr="00EA6529">
              <w:rPr>
                <w:szCs w:val="20"/>
              </w:rPr>
              <w:t>0,011</w:t>
            </w:r>
          </w:p>
        </w:tc>
      </w:tr>
    </w:tbl>
    <w:p w14:paraId="770A0848" w14:textId="77777777"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Забележка: За групата, лекувана с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медианата на времето до появата на втори ПГТКГ не може да бъде изчислено по методите на </w:t>
      </w:r>
      <w:proofErr w:type="spellStart"/>
      <w:r w:rsidRPr="00EA6529">
        <w:rPr>
          <w:rFonts w:eastAsia="Times New Roman" w:cs="Arial"/>
          <w:color w:val="000000"/>
          <w:szCs w:val="20"/>
        </w:rPr>
        <w:t>Kaplan-Meier</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тъй като &gt;50% от пациентите не са получили втори ПГТКП до ден 166.</w:t>
      </w:r>
    </w:p>
    <w:p w14:paraId="71874412" w14:textId="77777777" w:rsidR="00EA698B" w:rsidRPr="00EA6529" w:rsidRDefault="00EA698B" w:rsidP="00EA698B">
      <w:pPr>
        <w:spacing w:line="240" w:lineRule="auto"/>
        <w:rPr>
          <w:rFonts w:eastAsia="Times New Roman" w:cs="Arial"/>
          <w:color w:val="000000"/>
          <w:szCs w:val="20"/>
          <w:lang w:eastAsia="bg-BG"/>
        </w:rPr>
      </w:pPr>
    </w:p>
    <w:p w14:paraId="5BBC389B" w14:textId="4EB78572" w:rsidR="00EA698B" w:rsidRPr="00EA6529" w:rsidRDefault="00EA698B" w:rsidP="00EA698B">
      <w:pPr>
        <w:spacing w:line="240" w:lineRule="auto"/>
        <w:rPr>
          <w:rFonts w:eastAsia="Times New Roman" w:cs="Arial"/>
          <w:color w:val="000000"/>
          <w:sz w:val="24"/>
          <w:szCs w:val="20"/>
          <w:lang w:eastAsia="bg-BG"/>
        </w:rPr>
      </w:pPr>
      <w:r w:rsidRPr="00EA6529">
        <w:rPr>
          <w:rFonts w:eastAsia="Times New Roman" w:cs="Arial"/>
          <w:color w:val="000000"/>
          <w:szCs w:val="20"/>
          <w:lang w:eastAsia="bg-BG"/>
        </w:rPr>
        <w:t>Находките в педиатричната подгрупа съответстват на резултатите от цялостната популация за първичните, вторичните и други крайни точки за ефикасността.</w:t>
      </w:r>
    </w:p>
    <w:p w14:paraId="3FA281EA" w14:textId="77777777" w:rsidR="00EA698B" w:rsidRPr="00EA6529" w:rsidRDefault="00EA698B" w:rsidP="00EA698B">
      <w:pPr>
        <w:spacing w:line="240" w:lineRule="auto"/>
        <w:rPr>
          <w:rFonts w:ascii="Times New Roman" w:eastAsia="Times New Roman" w:hAnsi="Times New Roman" w:cs="Times New Roman"/>
          <w:sz w:val="24"/>
          <w:szCs w:val="24"/>
          <w:lang w:eastAsia="bg-BG"/>
        </w:rPr>
      </w:pPr>
    </w:p>
    <w:p w14:paraId="35F84B81" w14:textId="55E246F7" w:rsidR="00CF77F7" w:rsidRPr="00EA6529" w:rsidRDefault="002C50EE" w:rsidP="004A448E">
      <w:pPr>
        <w:pStyle w:val="Heading2"/>
      </w:pPr>
      <w:r w:rsidRPr="00EA6529">
        <w:t>5.2. Фармакокинетични свойства</w:t>
      </w:r>
    </w:p>
    <w:p w14:paraId="64C95A41" w14:textId="1B98585E" w:rsidR="00EA698B" w:rsidRPr="00EA6529" w:rsidRDefault="00EA698B" w:rsidP="00EA698B"/>
    <w:p w14:paraId="1A05252E" w14:textId="77777777" w:rsidR="00EA698B" w:rsidRPr="00EA6529" w:rsidRDefault="00EA698B" w:rsidP="006B71BB">
      <w:pPr>
        <w:pStyle w:val="Heading3"/>
        <w:rPr>
          <w:rFonts w:eastAsia="Times New Roman"/>
          <w:sz w:val="28"/>
          <w:lang w:eastAsia="bg-BG"/>
        </w:rPr>
      </w:pPr>
      <w:r w:rsidRPr="00EA6529">
        <w:rPr>
          <w:rFonts w:eastAsia="Times New Roman"/>
          <w:lang w:eastAsia="bg-BG"/>
        </w:rPr>
        <w:t>Абсорбция</w:t>
      </w:r>
    </w:p>
    <w:p w14:paraId="7C4F8B20" w14:textId="77777777" w:rsidR="00EA698B" w:rsidRPr="00EA6529" w:rsidRDefault="00EA698B" w:rsidP="00EA698B">
      <w:pPr>
        <w:spacing w:line="240" w:lineRule="auto"/>
        <w:rPr>
          <w:rFonts w:eastAsia="Times New Roman" w:cs="Arial"/>
          <w:color w:val="000000"/>
          <w:szCs w:val="20"/>
          <w:lang w:eastAsia="bg-BG"/>
        </w:rPr>
      </w:pPr>
    </w:p>
    <w:p w14:paraId="5270079D" w14:textId="505231DB"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След перорално приложение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се абсорбира бързо и напълно. Пероралната бионаличност на съдържащия се в таблетките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почти 100%. При перорално приложение плазмената концентрация на непроменен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се повишава бързо и достига </w:t>
      </w:r>
      <w:proofErr w:type="spellStart"/>
      <w:r w:rsidRPr="00EA6529">
        <w:rPr>
          <w:rFonts w:eastAsia="Times New Roman" w:cs="Arial"/>
          <w:i/>
          <w:iCs/>
          <w:color w:val="000000"/>
          <w:szCs w:val="20"/>
          <w:lang w:eastAsia="bg-BG"/>
        </w:rPr>
        <w:t>С</w:t>
      </w:r>
      <w:r w:rsidRPr="00EA6529">
        <w:rPr>
          <w:rFonts w:eastAsia="Times New Roman" w:cs="Arial"/>
          <w:i/>
          <w:iCs/>
          <w:color w:val="000000"/>
          <w:szCs w:val="20"/>
          <w:vertAlign w:val="subscript"/>
        </w:rPr>
        <w:t>max</w:t>
      </w:r>
      <w:proofErr w:type="spellEnd"/>
      <w:r w:rsidRPr="00EA6529">
        <w:rPr>
          <w:rFonts w:eastAsia="Times New Roman" w:cs="Arial"/>
          <w:color w:val="000000"/>
          <w:szCs w:val="20"/>
          <w:lang w:eastAsia="bg-BG"/>
        </w:rPr>
        <w:t xml:space="preserve"> около 0,5 до 4 часа след приема на дозата. Храната не повлиява скоростта и степента на абсорбция.</w:t>
      </w:r>
    </w:p>
    <w:p w14:paraId="1EFACBA1" w14:textId="77777777" w:rsidR="00EA698B" w:rsidRPr="00EA6529" w:rsidRDefault="00EA698B" w:rsidP="00EA698B">
      <w:pPr>
        <w:spacing w:line="240" w:lineRule="auto"/>
        <w:rPr>
          <w:rFonts w:eastAsia="Times New Roman" w:cs="Arial"/>
          <w:color w:val="000000"/>
          <w:szCs w:val="20"/>
          <w:u w:val="single"/>
          <w:lang w:eastAsia="bg-BG"/>
        </w:rPr>
      </w:pPr>
    </w:p>
    <w:p w14:paraId="2EE0EAD4" w14:textId="12995266" w:rsidR="00EA698B" w:rsidRPr="00EA6529" w:rsidRDefault="00EA698B" w:rsidP="006B71BB">
      <w:pPr>
        <w:pStyle w:val="Heading3"/>
        <w:rPr>
          <w:rFonts w:eastAsia="Times New Roman"/>
          <w:sz w:val="28"/>
          <w:lang w:eastAsia="bg-BG"/>
        </w:rPr>
      </w:pPr>
      <w:r w:rsidRPr="00EA6529">
        <w:rPr>
          <w:rFonts w:eastAsia="Times New Roman"/>
          <w:lang w:eastAsia="bg-BG"/>
        </w:rPr>
        <w:t>Разпределение</w:t>
      </w:r>
    </w:p>
    <w:p w14:paraId="5F78F638" w14:textId="77777777" w:rsidR="00EA698B" w:rsidRPr="00EA6529" w:rsidRDefault="00EA698B" w:rsidP="00EA698B">
      <w:pPr>
        <w:spacing w:line="240" w:lineRule="auto"/>
        <w:rPr>
          <w:rFonts w:eastAsia="Times New Roman" w:cs="Arial"/>
          <w:color w:val="000000"/>
          <w:szCs w:val="20"/>
          <w:lang w:eastAsia="bg-BG"/>
        </w:rPr>
      </w:pPr>
    </w:p>
    <w:p w14:paraId="059D83DC" w14:textId="16629849"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Обемът на разпределение е около 0,6 </w:t>
      </w:r>
      <w:r w:rsidRPr="00EA6529">
        <w:rPr>
          <w:rFonts w:eastAsia="Times New Roman" w:cs="Arial"/>
          <w:color w:val="000000"/>
          <w:szCs w:val="20"/>
        </w:rPr>
        <w:t>l/</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се свързва с плазмените протеини в по малко от 15%.</w:t>
      </w:r>
    </w:p>
    <w:p w14:paraId="68AA50D2" w14:textId="77777777" w:rsidR="00EA698B" w:rsidRPr="00EA6529" w:rsidRDefault="00EA698B" w:rsidP="00EA698B">
      <w:pPr>
        <w:spacing w:line="240" w:lineRule="auto"/>
        <w:rPr>
          <w:rFonts w:eastAsia="Times New Roman" w:cs="Arial"/>
          <w:color w:val="000000"/>
          <w:szCs w:val="20"/>
          <w:u w:val="single"/>
          <w:lang w:eastAsia="bg-BG"/>
        </w:rPr>
      </w:pPr>
    </w:p>
    <w:p w14:paraId="06D85549" w14:textId="3E8AAA0B" w:rsidR="00EA698B" w:rsidRPr="00EA6529" w:rsidRDefault="00EA698B" w:rsidP="006B71BB">
      <w:pPr>
        <w:pStyle w:val="Heading3"/>
        <w:rPr>
          <w:rFonts w:eastAsia="Times New Roman"/>
          <w:sz w:val="28"/>
          <w:lang w:eastAsia="bg-BG"/>
        </w:rPr>
      </w:pPr>
      <w:r w:rsidRPr="00EA6529">
        <w:rPr>
          <w:rFonts w:eastAsia="Times New Roman"/>
          <w:lang w:eastAsia="bg-BG"/>
        </w:rPr>
        <w:t>Биотрансформация</w:t>
      </w:r>
    </w:p>
    <w:p w14:paraId="29C9F608" w14:textId="77777777" w:rsidR="00EA698B" w:rsidRPr="00EA6529" w:rsidRDefault="00EA698B" w:rsidP="00EA698B">
      <w:pPr>
        <w:spacing w:line="240" w:lineRule="auto"/>
        <w:rPr>
          <w:rFonts w:eastAsia="Times New Roman" w:cs="Arial"/>
          <w:color w:val="000000"/>
          <w:szCs w:val="20"/>
          <w:lang w:eastAsia="bg-BG"/>
        </w:rPr>
      </w:pPr>
    </w:p>
    <w:p w14:paraId="344C7423" w14:textId="68EB668C"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95% от дозата се </w:t>
      </w:r>
      <w:proofErr w:type="spellStart"/>
      <w:r w:rsidRPr="00EA6529">
        <w:rPr>
          <w:rFonts w:eastAsia="Times New Roman" w:cs="Arial"/>
          <w:color w:val="000000"/>
          <w:szCs w:val="20"/>
          <w:lang w:eastAsia="bg-BG"/>
        </w:rPr>
        <w:t>екскретира</w:t>
      </w:r>
      <w:proofErr w:type="spellEnd"/>
      <w:r w:rsidRPr="00EA6529">
        <w:rPr>
          <w:rFonts w:eastAsia="Times New Roman" w:cs="Arial"/>
          <w:color w:val="000000"/>
          <w:szCs w:val="20"/>
          <w:lang w:eastAsia="bg-BG"/>
        </w:rPr>
        <w:t xml:space="preserve"> с урината като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 метаболити. Метаболизмът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не е напълно изяснен.</w:t>
      </w:r>
    </w:p>
    <w:p w14:paraId="77396A34" w14:textId="77777777" w:rsidR="00EA698B" w:rsidRPr="00EA6529" w:rsidRDefault="00EA698B" w:rsidP="00EA698B">
      <w:pPr>
        <w:spacing w:line="240" w:lineRule="auto"/>
        <w:rPr>
          <w:rFonts w:eastAsia="Times New Roman" w:cs="Arial"/>
          <w:color w:val="000000"/>
          <w:szCs w:val="20"/>
          <w:lang w:eastAsia="bg-BG"/>
        </w:rPr>
      </w:pPr>
    </w:p>
    <w:p w14:paraId="74103967" w14:textId="43F05D55"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Основните вещества, отделени с урината, са непроменен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(около 40% от дозата) и неговия О-</w:t>
      </w:r>
      <w:proofErr w:type="spellStart"/>
      <w:r w:rsidRPr="00EA6529">
        <w:rPr>
          <w:rFonts w:eastAsia="Times New Roman" w:cs="Arial"/>
          <w:color w:val="000000"/>
          <w:szCs w:val="20"/>
          <w:lang w:eastAsia="bg-BG"/>
        </w:rPr>
        <w:t>дезметил</w:t>
      </w:r>
      <w:proofErr w:type="spellEnd"/>
      <w:r w:rsidRPr="00EA6529">
        <w:rPr>
          <w:rFonts w:eastAsia="Times New Roman" w:cs="Arial"/>
          <w:color w:val="000000"/>
          <w:szCs w:val="20"/>
          <w:lang w:eastAsia="bg-BG"/>
        </w:rPr>
        <w:t xml:space="preserve"> метаболит, по малко от 30%.</w:t>
      </w:r>
    </w:p>
    <w:p w14:paraId="1E557530" w14:textId="77777777" w:rsidR="00EA698B" w:rsidRPr="00EA6529" w:rsidRDefault="00EA698B" w:rsidP="00EA698B">
      <w:pPr>
        <w:spacing w:line="240" w:lineRule="auto"/>
        <w:rPr>
          <w:rFonts w:eastAsia="Times New Roman" w:cs="Arial"/>
          <w:color w:val="000000"/>
          <w:szCs w:val="20"/>
          <w:lang w:eastAsia="bg-BG"/>
        </w:rPr>
      </w:pPr>
    </w:p>
    <w:p w14:paraId="2D772AB1" w14:textId="70AC5568"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lastRenderedPageBreak/>
        <w:t xml:space="preserve">Полярната фракция, за която се предполага, че е съставена от </w:t>
      </w:r>
      <w:proofErr w:type="spellStart"/>
      <w:r w:rsidRPr="00EA6529">
        <w:rPr>
          <w:rFonts w:eastAsia="Times New Roman" w:cs="Arial"/>
          <w:color w:val="000000"/>
          <w:szCs w:val="20"/>
          <w:lang w:eastAsia="bg-BG"/>
        </w:rPr>
        <w:t>серинови</w:t>
      </w:r>
      <w:proofErr w:type="spellEnd"/>
      <w:r w:rsidRPr="00EA6529">
        <w:rPr>
          <w:rFonts w:eastAsia="Times New Roman" w:cs="Arial"/>
          <w:color w:val="000000"/>
          <w:szCs w:val="20"/>
          <w:lang w:eastAsia="bg-BG"/>
        </w:rPr>
        <w:t xml:space="preserve"> производни, е около 20% в урината, но е установена само в малки количества (0-2%) в плазмата на някои индивиди. В урината са открити и малки количества (0,5-2%) от други метаболити.</w:t>
      </w:r>
    </w:p>
    <w:p w14:paraId="6E17A7FB" w14:textId="77777777" w:rsidR="00EA698B" w:rsidRPr="00EA6529" w:rsidRDefault="00EA698B" w:rsidP="00EA698B">
      <w:pPr>
        <w:rPr>
          <w:rFonts w:eastAsia="Times New Roman" w:cs="Arial"/>
          <w:i/>
          <w:iCs/>
          <w:color w:val="000000"/>
          <w:szCs w:val="20"/>
        </w:rPr>
      </w:pPr>
    </w:p>
    <w:p w14:paraId="3E82BF14" w14:textId="258BC8CF" w:rsidR="00EA698B" w:rsidRPr="00EA6529" w:rsidRDefault="00EA698B" w:rsidP="00EA698B">
      <w:pPr>
        <w:rPr>
          <w:rFonts w:eastAsia="Times New Roman" w:cs="Arial"/>
          <w:color w:val="000000"/>
          <w:szCs w:val="20"/>
          <w:lang w:eastAsia="bg-BG"/>
        </w:rPr>
      </w:pPr>
      <w:proofErr w:type="spellStart"/>
      <w:r w:rsidRPr="00EA6529">
        <w:rPr>
          <w:rFonts w:eastAsia="Times New Roman" w:cs="Arial"/>
          <w:i/>
          <w:iCs/>
          <w:color w:val="000000"/>
          <w:szCs w:val="20"/>
        </w:rPr>
        <w:t>In</w:t>
      </w:r>
      <w:proofErr w:type="spellEnd"/>
      <w:r w:rsidRPr="00EA6529">
        <w:rPr>
          <w:rFonts w:eastAsia="Times New Roman" w:cs="Arial"/>
          <w:i/>
          <w:iCs/>
          <w:color w:val="000000"/>
          <w:szCs w:val="20"/>
        </w:rPr>
        <w:t xml:space="preserve"> </w:t>
      </w:r>
      <w:proofErr w:type="spellStart"/>
      <w:r w:rsidRPr="00EA6529">
        <w:rPr>
          <w:rFonts w:eastAsia="Times New Roman" w:cs="Arial"/>
          <w:i/>
          <w:iCs/>
          <w:color w:val="000000"/>
          <w:szCs w:val="20"/>
        </w:rPr>
        <w:t>vitro</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данните показват, че </w:t>
      </w:r>
      <w:r w:rsidRPr="00EA6529">
        <w:rPr>
          <w:rFonts w:eastAsia="Times New Roman" w:cs="Arial"/>
          <w:color w:val="000000"/>
          <w:szCs w:val="20"/>
        </w:rPr>
        <w:t xml:space="preserve">CYP2C9, CYP2C19 </w:t>
      </w:r>
      <w:r w:rsidRPr="00EA6529">
        <w:rPr>
          <w:rFonts w:eastAsia="Times New Roman" w:cs="Arial"/>
          <w:color w:val="000000"/>
          <w:szCs w:val="20"/>
          <w:lang w:eastAsia="bg-BG"/>
        </w:rPr>
        <w:t xml:space="preserve">и </w:t>
      </w:r>
      <w:r w:rsidRPr="00EA6529">
        <w:rPr>
          <w:rFonts w:eastAsia="Times New Roman" w:cs="Arial"/>
          <w:color w:val="000000"/>
          <w:szCs w:val="20"/>
        </w:rPr>
        <w:t xml:space="preserve">CYP3A4 </w:t>
      </w:r>
      <w:r w:rsidRPr="00EA6529">
        <w:rPr>
          <w:rFonts w:eastAsia="Times New Roman" w:cs="Arial"/>
          <w:color w:val="000000"/>
          <w:szCs w:val="20"/>
          <w:lang w:eastAsia="bg-BG"/>
        </w:rPr>
        <w:t>могат да катализират образуването на О-</w:t>
      </w:r>
      <w:proofErr w:type="spellStart"/>
      <w:r w:rsidRPr="00EA6529">
        <w:rPr>
          <w:rFonts w:eastAsia="Times New Roman" w:cs="Arial"/>
          <w:color w:val="000000"/>
          <w:szCs w:val="20"/>
          <w:lang w:eastAsia="bg-BG"/>
        </w:rPr>
        <w:t>дезметил</w:t>
      </w:r>
      <w:proofErr w:type="spellEnd"/>
      <w:r w:rsidRPr="00EA6529">
        <w:rPr>
          <w:rFonts w:eastAsia="Times New Roman" w:cs="Arial"/>
          <w:color w:val="000000"/>
          <w:szCs w:val="20"/>
          <w:lang w:eastAsia="bg-BG"/>
        </w:rPr>
        <w:t xml:space="preserve"> метаболита, но основният участващ </w:t>
      </w:r>
      <w:proofErr w:type="spellStart"/>
      <w:r w:rsidRPr="00EA6529">
        <w:rPr>
          <w:rFonts w:eastAsia="Times New Roman" w:cs="Arial"/>
          <w:color w:val="000000"/>
          <w:szCs w:val="20"/>
          <w:lang w:eastAsia="bg-BG"/>
        </w:rPr>
        <w:t>изоензим</w:t>
      </w:r>
      <w:proofErr w:type="spellEnd"/>
      <w:r w:rsidRPr="00EA6529">
        <w:rPr>
          <w:rFonts w:eastAsia="Times New Roman" w:cs="Arial"/>
          <w:color w:val="000000"/>
          <w:szCs w:val="20"/>
          <w:lang w:eastAsia="bg-BG"/>
        </w:rPr>
        <w:t xml:space="preserve"> не е потвърден </w:t>
      </w:r>
      <w:proofErr w:type="spellStart"/>
      <w:r w:rsidRPr="00EA6529">
        <w:rPr>
          <w:rFonts w:eastAsia="Times New Roman" w:cs="Arial"/>
          <w:i/>
          <w:iCs/>
          <w:color w:val="000000"/>
          <w:szCs w:val="20"/>
        </w:rPr>
        <w:t>in</w:t>
      </w:r>
      <w:proofErr w:type="spellEnd"/>
      <w:r w:rsidRPr="00EA6529">
        <w:rPr>
          <w:rFonts w:eastAsia="Times New Roman" w:cs="Arial"/>
          <w:i/>
          <w:iCs/>
          <w:color w:val="000000"/>
          <w:szCs w:val="20"/>
        </w:rPr>
        <w:t xml:space="preserve"> </w:t>
      </w:r>
      <w:proofErr w:type="spellStart"/>
      <w:r w:rsidRPr="00EA6529">
        <w:rPr>
          <w:rFonts w:eastAsia="Times New Roman" w:cs="Arial"/>
          <w:i/>
          <w:iCs/>
          <w:color w:val="000000"/>
          <w:szCs w:val="20"/>
        </w:rPr>
        <w:t>vivo</w:t>
      </w:r>
      <w:proofErr w:type="spellEnd"/>
      <w:r w:rsidRPr="00EA6529">
        <w:rPr>
          <w:rFonts w:eastAsia="Times New Roman" w:cs="Arial"/>
          <w:i/>
          <w:iCs/>
          <w:color w:val="000000"/>
          <w:szCs w:val="20"/>
        </w:rPr>
        <w:t>.</w:t>
      </w:r>
      <w:r w:rsidRPr="00EA6529">
        <w:rPr>
          <w:rFonts w:eastAsia="Times New Roman" w:cs="Arial"/>
          <w:color w:val="000000"/>
          <w:szCs w:val="20"/>
        </w:rPr>
        <w:t xml:space="preserve"> </w:t>
      </w:r>
      <w:r w:rsidRPr="00EA6529">
        <w:rPr>
          <w:rFonts w:eastAsia="Times New Roman" w:cs="Arial"/>
          <w:color w:val="000000"/>
          <w:szCs w:val="20"/>
          <w:lang w:eastAsia="bg-BG"/>
        </w:rPr>
        <w:t xml:space="preserve">Не са наблюдавани клинично значими различия в експозицията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сравняване на фармакокинетиката при индивидите с екстензивен метаболизъм (ЕМ с функционален </w:t>
      </w:r>
      <w:r w:rsidRPr="00EA6529">
        <w:rPr>
          <w:rFonts w:eastAsia="Times New Roman" w:cs="Arial"/>
          <w:color w:val="000000"/>
          <w:szCs w:val="20"/>
        </w:rPr>
        <w:t xml:space="preserve">CYP2C19) </w:t>
      </w:r>
      <w:r w:rsidRPr="00EA6529">
        <w:rPr>
          <w:rFonts w:eastAsia="Times New Roman" w:cs="Arial"/>
          <w:color w:val="000000"/>
          <w:szCs w:val="20"/>
          <w:lang w:eastAsia="bg-BG"/>
        </w:rPr>
        <w:t xml:space="preserve">и тази при индивидите с бавен метаболизъм (БМ, липса на функционален </w:t>
      </w:r>
      <w:r w:rsidRPr="00EA6529">
        <w:rPr>
          <w:rFonts w:eastAsia="Times New Roman" w:cs="Arial"/>
          <w:color w:val="000000"/>
          <w:szCs w:val="20"/>
        </w:rPr>
        <w:t>CYP2C1</w:t>
      </w:r>
      <w:r w:rsidRPr="00EA6529">
        <w:rPr>
          <w:rFonts w:eastAsia="Times New Roman" w:cs="Arial"/>
          <w:color w:val="000000"/>
          <w:szCs w:val="20"/>
          <w:lang w:eastAsia="bg-BG"/>
        </w:rPr>
        <w:t xml:space="preserve">9). Освен това, проучване за взаимодействие с </w:t>
      </w:r>
      <w:proofErr w:type="spellStart"/>
      <w:r w:rsidRPr="00EA6529">
        <w:rPr>
          <w:rFonts w:eastAsia="Times New Roman" w:cs="Arial"/>
          <w:color w:val="000000"/>
          <w:szCs w:val="20"/>
          <w:lang w:eastAsia="bg-BG"/>
        </w:rPr>
        <w:t>омепразол</w:t>
      </w:r>
      <w:proofErr w:type="spellEnd"/>
      <w:r w:rsidRPr="00EA6529">
        <w:rPr>
          <w:rFonts w:eastAsia="Times New Roman" w:cs="Arial"/>
          <w:color w:val="000000"/>
          <w:szCs w:val="20"/>
          <w:lang w:eastAsia="bg-BG"/>
        </w:rPr>
        <w:t xml:space="preserve"> </w:t>
      </w:r>
      <w:r w:rsidRPr="00EA6529">
        <w:rPr>
          <w:rFonts w:eastAsia="Times New Roman" w:cs="Arial"/>
          <w:color w:val="000000"/>
          <w:szCs w:val="20"/>
        </w:rPr>
        <w:t xml:space="preserve">(CYP2C19 </w:t>
      </w:r>
      <w:r w:rsidRPr="00EA6529">
        <w:rPr>
          <w:rFonts w:eastAsia="Times New Roman" w:cs="Arial"/>
          <w:color w:val="000000"/>
          <w:szCs w:val="20"/>
          <w:lang w:eastAsia="bg-BG"/>
        </w:rPr>
        <w:t xml:space="preserve">инхибитор) не разкрива клинично значими промени в плазмените концентрации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което показва, че значението на този път е незначително. Плазмената концентрация на О-</w:t>
      </w:r>
      <w:proofErr w:type="spellStart"/>
      <w:r w:rsidRPr="00EA6529">
        <w:rPr>
          <w:rFonts w:eastAsia="Times New Roman" w:cs="Arial"/>
          <w:color w:val="000000"/>
          <w:szCs w:val="20"/>
          <w:lang w:eastAsia="bg-BG"/>
        </w:rPr>
        <w:t>дезметил</w:t>
      </w:r>
      <w:proofErr w:type="spellEnd"/>
      <w:r w:rsidRPr="00EA6529">
        <w:rPr>
          <w:rFonts w:eastAsia="Times New Roman" w:cs="Arial"/>
          <w:color w:val="000000"/>
          <w:szCs w:val="20"/>
          <w:lang w:eastAsia="bg-BG"/>
        </w:rPr>
        <w:t>-</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около 15% от концентрацията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в плазмата. Този основен метаболит няма позната фармакологична активност.</w:t>
      </w:r>
    </w:p>
    <w:p w14:paraId="7EA37A26" w14:textId="6091F28C" w:rsidR="00EA698B" w:rsidRPr="00EA6529" w:rsidRDefault="00EA698B" w:rsidP="00EA698B">
      <w:pPr>
        <w:rPr>
          <w:rFonts w:eastAsia="Times New Roman" w:cs="Arial"/>
          <w:color w:val="000000"/>
          <w:szCs w:val="20"/>
          <w:lang w:eastAsia="bg-BG"/>
        </w:rPr>
      </w:pPr>
    </w:p>
    <w:p w14:paraId="3AE7EA40" w14:textId="77777777" w:rsidR="00EA698B" w:rsidRPr="00EA6529" w:rsidRDefault="00EA698B" w:rsidP="006B71BB">
      <w:pPr>
        <w:pStyle w:val="Heading3"/>
        <w:rPr>
          <w:rFonts w:eastAsia="Times New Roman"/>
          <w:sz w:val="28"/>
          <w:lang w:eastAsia="bg-BG"/>
        </w:rPr>
      </w:pPr>
      <w:r w:rsidRPr="00EA6529">
        <w:rPr>
          <w:rFonts w:eastAsia="Times New Roman"/>
          <w:lang w:eastAsia="bg-BG"/>
        </w:rPr>
        <w:t>Елиминиране</w:t>
      </w:r>
    </w:p>
    <w:p w14:paraId="7DDE8C77" w14:textId="77777777" w:rsidR="00EA698B" w:rsidRPr="00EA6529" w:rsidRDefault="00EA698B" w:rsidP="00EA698B">
      <w:pPr>
        <w:spacing w:line="240" w:lineRule="auto"/>
        <w:rPr>
          <w:rFonts w:eastAsia="Times New Roman" w:cs="Arial"/>
          <w:color w:val="000000"/>
          <w:szCs w:val="20"/>
          <w:lang w:eastAsia="bg-BG"/>
        </w:rPr>
      </w:pPr>
    </w:p>
    <w:p w14:paraId="6E125D5B" w14:textId="19F59840" w:rsidR="00EA698B" w:rsidRPr="00EA6529" w:rsidRDefault="00EA698B" w:rsidP="00EA698B">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се елиминира от системното кръвообращение, предимно чрез бъбречна екскреция и биотрансформация. След перорално и интравенозно приложение на радиоактивно белязан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около 95% от радиоактивността се установява в урината и по-малко от 0,5% в изпражненията. Елиминационният полуживот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около 13 часа. Фармакокинетиката е пропорционална на дозата и постоянна във времето, с малка </w:t>
      </w:r>
      <w:proofErr w:type="spellStart"/>
      <w:r w:rsidRPr="00EA6529">
        <w:rPr>
          <w:rFonts w:eastAsia="Times New Roman" w:cs="Arial"/>
          <w:color w:val="000000"/>
          <w:szCs w:val="20"/>
          <w:lang w:eastAsia="bg-BG"/>
        </w:rPr>
        <w:t>интра</w:t>
      </w:r>
      <w:proofErr w:type="spellEnd"/>
      <w:r w:rsidRPr="00EA6529">
        <w:rPr>
          <w:rFonts w:eastAsia="Times New Roman" w:cs="Arial"/>
          <w:color w:val="000000"/>
          <w:szCs w:val="20"/>
          <w:lang w:eastAsia="bg-BG"/>
        </w:rPr>
        <w:t>- и интериндивидуална променливост. След приемане на дозата два пъти дневно, стационарни плазмени концентрации се достигат след 3-дневен период. Плазмената концентрация нараства при акумулационен фактор от около 2.</w:t>
      </w:r>
    </w:p>
    <w:p w14:paraId="1A9448B4" w14:textId="77777777" w:rsidR="00EA698B" w:rsidRPr="00EA6529" w:rsidRDefault="00EA698B" w:rsidP="00EA698B">
      <w:pPr>
        <w:spacing w:line="240" w:lineRule="auto"/>
        <w:rPr>
          <w:rFonts w:eastAsia="Times New Roman" w:cs="Arial"/>
          <w:color w:val="000000"/>
          <w:szCs w:val="20"/>
          <w:lang w:eastAsia="bg-BG"/>
        </w:rPr>
      </w:pPr>
    </w:p>
    <w:p w14:paraId="51947088" w14:textId="5DBF9A6E"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Концентрацията в стационарно състояние на единична натоварваща доза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е</w:t>
      </w:r>
    </w:p>
    <w:p w14:paraId="5A12D0AE" w14:textId="24B58D0A" w:rsidR="00EA698B" w:rsidRPr="00EA6529" w:rsidRDefault="00EA698B" w:rsidP="00EA698B">
      <w:pPr>
        <w:rPr>
          <w:rFonts w:eastAsia="Times New Roman" w:cs="Arial"/>
          <w:color w:val="000000"/>
          <w:szCs w:val="20"/>
          <w:lang w:eastAsia="bg-BG"/>
        </w:rPr>
      </w:pPr>
      <w:r w:rsidRPr="00EA6529">
        <w:rPr>
          <w:rFonts w:eastAsia="Times New Roman" w:cs="Arial"/>
          <w:color w:val="000000"/>
          <w:szCs w:val="20"/>
          <w:lang w:eastAsia="bg-BG"/>
        </w:rPr>
        <w:t xml:space="preserve">приблизително еднаква на тази при перорално приложение на 100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два пъти дневно.</w:t>
      </w:r>
    </w:p>
    <w:p w14:paraId="63F0807D" w14:textId="1C7E1CAB" w:rsidR="00EA698B" w:rsidRPr="00EA6529" w:rsidRDefault="00EA698B" w:rsidP="00EA698B">
      <w:pPr>
        <w:rPr>
          <w:rFonts w:eastAsia="Times New Roman" w:cs="Arial"/>
          <w:color w:val="000000"/>
          <w:szCs w:val="20"/>
          <w:lang w:eastAsia="bg-BG"/>
        </w:rPr>
      </w:pPr>
    </w:p>
    <w:p w14:paraId="6CC55B1D" w14:textId="77777777" w:rsidR="00EA698B" w:rsidRPr="00EA6529" w:rsidRDefault="00EA698B" w:rsidP="006B71BB">
      <w:pPr>
        <w:pStyle w:val="Heading3"/>
        <w:rPr>
          <w:rFonts w:eastAsia="Times New Roman"/>
          <w:sz w:val="28"/>
          <w:lang w:eastAsia="bg-BG"/>
        </w:rPr>
      </w:pPr>
      <w:r w:rsidRPr="00EA6529">
        <w:rPr>
          <w:rFonts w:eastAsia="Times New Roman"/>
          <w:lang w:eastAsia="bg-BG"/>
        </w:rPr>
        <w:t>Фармакокинетика при специални групи пациенти</w:t>
      </w:r>
    </w:p>
    <w:p w14:paraId="35F7B499" w14:textId="77777777" w:rsidR="00EA698B" w:rsidRPr="00EA6529" w:rsidRDefault="00EA698B" w:rsidP="00EA698B">
      <w:pPr>
        <w:spacing w:line="240" w:lineRule="auto"/>
        <w:rPr>
          <w:rFonts w:ascii="Times New Roman" w:eastAsia="Times New Roman" w:hAnsi="Times New Roman" w:cs="Times New Roman"/>
          <w:i/>
          <w:iCs/>
          <w:color w:val="000000"/>
          <w:sz w:val="20"/>
          <w:szCs w:val="20"/>
          <w:lang w:eastAsia="bg-BG"/>
        </w:rPr>
      </w:pPr>
    </w:p>
    <w:p w14:paraId="6A45535B" w14:textId="480D014D" w:rsidR="00EA698B" w:rsidRPr="00EA6529" w:rsidRDefault="00EA698B" w:rsidP="00EA698B">
      <w:pPr>
        <w:spacing w:line="240" w:lineRule="auto"/>
        <w:rPr>
          <w:rFonts w:eastAsia="Times New Roman" w:cs="Arial"/>
          <w:sz w:val="28"/>
          <w:szCs w:val="24"/>
          <w:lang w:eastAsia="bg-BG"/>
        </w:rPr>
      </w:pPr>
      <w:r w:rsidRPr="00EA6529">
        <w:rPr>
          <w:rFonts w:eastAsia="Times New Roman" w:cs="Arial"/>
          <w:i/>
          <w:iCs/>
          <w:color w:val="000000"/>
          <w:szCs w:val="20"/>
          <w:lang w:eastAsia="bg-BG"/>
        </w:rPr>
        <w:t>Пол</w:t>
      </w:r>
    </w:p>
    <w:p w14:paraId="009BB296" w14:textId="77777777"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Клинични проучвания показват, че полът няма клинично значимо влияние върху плазмените концентрации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w:t>
      </w:r>
    </w:p>
    <w:p w14:paraId="530F1402" w14:textId="77777777" w:rsidR="00EA698B" w:rsidRPr="00EA6529" w:rsidRDefault="00EA698B" w:rsidP="00EA698B">
      <w:pPr>
        <w:spacing w:line="240" w:lineRule="auto"/>
        <w:rPr>
          <w:rFonts w:eastAsia="Times New Roman" w:cs="Arial"/>
          <w:i/>
          <w:iCs/>
          <w:color w:val="000000"/>
          <w:szCs w:val="20"/>
          <w:lang w:eastAsia="bg-BG"/>
        </w:rPr>
      </w:pPr>
    </w:p>
    <w:p w14:paraId="701EE6E0" w14:textId="7AD83250" w:rsidR="00EA698B" w:rsidRPr="00EA6529" w:rsidRDefault="00EA698B" w:rsidP="00EA698B">
      <w:pPr>
        <w:spacing w:line="240" w:lineRule="auto"/>
        <w:rPr>
          <w:rFonts w:eastAsia="Times New Roman" w:cs="Arial"/>
          <w:sz w:val="28"/>
          <w:szCs w:val="24"/>
          <w:lang w:eastAsia="bg-BG"/>
        </w:rPr>
      </w:pPr>
      <w:r w:rsidRPr="00EA6529">
        <w:rPr>
          <w:rFonts w:eastAsia="Times New Roman" w:cs="Arial"/>
          <w:i/>
          <w:iCs/>
          <w:color w:val="000000"/>
          <w:szCs w:val="20"/>
          <w:lang w:eastAsia="bg-BG"/>
        </w:rPr>
        <w:t>Бъбречно увреждане</w:t>
      </w:r>
    </w:p>
    <w:p w14:paraId="6C8C1D07" w14:textId="77777777"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rPr>
        <w:t xml:space="preserve">AUC </w:t>
      </w:r>
      <w:r w:rsidRPr="00EA6529">
        <w:rPr>
          <w:rFonts w:eastAsia="Times New Roman" w:cs="Arial"/>
          <w:color w:val="000000"/>
          <w:szCs w:val="20"/>
          <w:lang w:eastAsia="bg-BG"/>
        </w:rPr>
        <w:t xml:space="preserve">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повишена с около 30% при пациентите с леко и умерено бъбречно увреждане и с около 60% при пациенти с тежко бъбречно увреждане и при пациенти с терминална бъбречна недостатъчност, изискващи хемодиализа, в сравнение със здравите индивиди, като </w:t>
      </w:r>
      <w:proofErr w:type="spellStart"/>
      <w:r w:rsidRPr="00EA6529">
        <w:rPr>
          <w:rFonts w:eastAsia="Times New Roman" w:cs="Arial"/>
          <w:color w:val="000000"/>
          <w:szCs w:val="20"/>
          <w:lang w:eastAsia="bg-BG"/>
        </w:rPr>
        <w:t>С</w:t>
      </w:r>
      <w:r w:rsidRPr="00EA6529">
        <w:rPr>
          <w:rFonts w:eastAsia="Times New Roman" w:cs="Arial"/>
          <w:color w:val="000000"/>
          <w:szCs w:val="20"/>
          <w:vertAlign w:val="subscript"/>
        </w:rPr>
        <w:t>max</w:t>
      </w:r>
      <w:proofErr w:type="spellEnd"/>
      <w:r w:rsidRPr="00EA6529">
        <w:rPr>
          <w:rFonts w:eastAsia="Times New Roman" w:cs="Arial"/>
          <w:color w:val="000000"/>
          <w:szCs w:val="20"/>
          <w:lang w:eastAsia="bg-BG"/>
        </w:rPr>
        <w:t xml:space="preserve"> остава непроменена.</w:t>
      </w:r>
    </w:p>
    <w:p w14:paraId="27C9071B" w14:textId="77777777" w:rsidR="00EA698B" w:rsidRPr="00EA6529" w:rsidRDefault="00EA698B" w:rsidP="00EA698B">
      <w:pPr>
        <w:spacing w:line="240" w:lineRule="auto"/>
        <w:rPr>
          <w:rFonts w:eastAsia="Times New Roman" w:cs="Arial"/>
          <w:color w:val="000000"/>
          <w:szCs w:val="20"/>
          <w:lang w:eastAsia="bg-BG"/>
        </w:rPr>
      </w:pPr>
    </w:p>
    <w:p w14:paraId="56429273" w14:textId="047F6EC4" w:rsidR="00EA698B" w:rsidRPr="00EA6529" w:rsidRDefault="00EA698B" w:rsidP="00EA698B">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се отделя ефективно от плазмата чрез хемодиализа. След 4-часова хемодиализа </w:t>
      </w:r>
      <w:r w:rsidRPr="00EA6529">
        <w:rPr>
          <w:rFonts w:eastAsia="Times New Roman" w:cs="Arial"/>
          <w:color w:val="000000"/>
          <w:szCs w:val="20"/>
        </w:rPr>
        <w:t xml:space="preserve">AUC </w:t>
      </w:r>
      <w:r w:rsidRPr="00EA6529">
        <w:rPr>
          <w:rFonts w:eastAsia="Times New Roman" w:cs="Arial"/>
          <w:color w:val="000000"/>
          <w:szCs w:val="20"/>
          <w:lang w:eastAsia="bg-BG"/>
        </w:rPr>
        <w:t xml:space="preserve">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намалява с около 50%. Ето защо се препоръчва допълнителното прилагане на доза след хемодиализа (вж. точка 4.2). Количеството на О-</w:t>
      </w:r>
      <w:proofErr w:type="spellStart"/>
      <w:r w:rsidRPr="00EA6529">
        <w:rPr>
          <w:rFonts w:eastAsia="Times New Roman" w:cs="Arial"/>
          <w:color w:val="000000"/>
          <w:szCs w:val="20"/>
          <w:lang w:eastAsia="bg-BG"/>
        </w:rPr>
        <w:t>дезметил</w:t>
      </w:r>
      <w:proofErr w:type="spellEnd"/>
      <w:r w:rsidRPr="00EA6529">
        <w:rPr>
          <w:rFonts w:eastAsia="Times New Roman" w:cs="Arial"/>
          <w:color w:val="000000"/>
          <w:szCs w:val="20"/>
          <w:lang w:eastAsia="bg-BG"/>
        </w:rPr>
        <w:t xml:space="preserve"> метаболита е повишено няколко пъти при пациенти с умерено до тежко бъбречно увреждане. При </w:t>
      </w:r>
      <w:proofErr w:type="spellStart"/>
      <w:r w:rsidRPr="00EA6529">
        <w:rPr>
          <w:rFonts w:eastAsia="Times New Roman" w:cs="Arial"/>
          <w:color w:val="000000"/>
          <w:szCs w:val="20"/>
          <w:lang w:eastAsia="bg-BG"/>
        </w:rPr>
        <w:t>неизвършване</w:t>
      </w:r>
      <w:proofErr w:type="spellEnd"/>
      <w:r w:rsidRPr="00EA6529">
        <w:rPr>
          <w:rFonts w:eastAsia="Times New Roman" w:cs="Arial"/>
          <w:color w:val="000000"/>
          <w:szCs w:val="20"/>
          <w:lang w:eastAsia="bg-BG"/>
        </w:rPr>
        <w:t xml:space="preserve"> на хемодиализа при пациенти с терминална бъбречна недостатъчност, нивата се повишават и продължително растат по време на 24-часовата проба. Не е известно дали повишеното количество на метаболита при пациенти </w:t>
      </w:r>
      <w:r w:rsidRPr="00EA6529">
        <w:rPr>
          <w:rFonts w:eastAsia="Times New Roman" w:cs="Arial"/>
          <w:color w:val="000000"/>
          <w:szCs w:val="20"/>
          <w:lang w:eastAsia="bg-BG"/>
        </w:rPr>
        <w:lastRenderedPageBreak/>
        <w:t>с терминална бъбречна недостатъчност е възможно да повишат нежеланите реакции, но не е установена фармакологична активност на метаболита.</w:t>
      </w:r>
    </w:p>
    <w:p w14:paraId="522023C9" w14:textId="77777777" w:rsidR="00EA698B" w:rsidRPr="00EA6529" w:rsidRDefault="00EA698B" w:rsidP="00EA698B">
      <w:pPr>
        <w:spacing w:line="240" w:lineRule="auto"/>
        <w:rPr>
          <w:rFonts w:eastAsia="Times New Roman" w:cs="Arial"/>
          <w:i/>
          <w:iCs/>
          <w:color w:val="000000"/>
          <w:szCs w:val="20"/>
          <w:lang w:eastAsia="bg-BG"/>
        </w:rPr>
      </w:pPr>
    </w:p>
    <w:p w14:paraId="52F917D3" w14:textId="66226F99" w:rsidR="00EA698B" w:rsidRPr="00EA6529" w:rsidRDefault="00EA698B" w:rsidP="00EA698B">
      <w:pPr>
        <w:spacing w:line="240" w:lineRule="auto"/>
        <w:rPr>
          <w:rFonts w:eastAsia="Times New Roman" w:cs="Arial"/>
          <w:sz w:val="28"/>
          <w:szCs w:val="24"/>
          <w:lang w:eastAsia="bg-BG"/>
        </w:rPr>
      </w:pPr>
      <w:r w:rsidRPr="00EA6529">
        <w:rPr>
          <w:rFonts w:eastAsia="Times New Roman" w:cs="Arial"/>
          <w:i/>
          <w:iCs/>
          <w:color w:val="000000"/>
          <w:szCs w:val="20"/>
          <w:lang w:eastAsia="bg-BG"/>
        </w:rPr>
        <w:t>Чернодробно увреждане</w:t>
      </w:r>
    </w:p>
    <w:p w14:paraId="2D1E9D1F" w14:textId="33D2664C" w:rsidR="00EA698B" w:rsidRPr="00EA6529" w:rsidRDefault="00EA698B" w:rsidP="00EA698B">
      <w:pPr>
        <w:rPr>
          <w:rFonts w:eastAsia="Times New Roman" w:cs="Arial"/>
          <w:color w:val="000000"/>
          <w:szCs w:val="20"/>
          <w:lang w:eastAsia="bg-BG"/>
        </w:rPr>
      </w:pPr>
      <w:r w:rsidRPr="00EA6529">
        <w:rPr>
          <w:rFonts w:eastAsia="Times New Roman" w:cs="Arial"/>
          <w:color w:val="000000"/>
          <w:szCs w:val="20"/>
          <w:lang w:eastAsia="bg-BG"/>
        </w:rPr>
        <w:t xml:space="preserve">При пациентите с умерено чернодробно увреждане </w:t>
      </w:r>
      <w:r w:rsidRPr="00EA6529">
        <w:rPr>
          <w:rFonts w:eastAsia="Times New Roman" w:cs="Arial"/>
          <w:i/>
          <w:iCs/>
          <w:color w:val="000000"/>
          <w:szCs w:val="20"/>
        </w:rPr>
        <w:t>(</w:t>
      </w:r>
      <w:proofErr w:type="spellStart"/>
      <w:r w:rsidRPr="00EA6529">
        <w:rPr>
          <w:rFonts w:eastAsia="Times New Roman" w:cs="Arial"/>
          <w:i/>
          <w:iCs/>
          <w:color w:val="000000"/>
          <w:szCs w:val="20"/>
        </w:rPr>
        <w:t>Child-Pugh</w:t>
      </w:r>
      <w:proofErr w:type="spellEnd"/>
      <w:r w:rsidRPr="00EA6529">
        <w:rPr>
          <w:rFonts w:eastAsia="Times New Roman" w:cs="Arial"/>
          <w:i/>
          <w:iCs/>
          <w:color w:val="000000"/>
          <w:szCs w:val="20"/>
        </w:rPr>
        <w:t xml:space="preserve"> </w:t>
      </w:r>
      <w:r w:rsidRPr="00EA6529">
        <w:rPr>
          <w:rFonts w:eastAsia="Times New Roman" w:cs="Arial"/>
          <w:i/>
          <w:iCs/>
          <w:color w:val="000000"/>
          <w:szCs w:val="20"/>
          <w:lang w:eastAsia="bg-BG"/>
        </w:rPr>
        <w:t>В)</w:t>
      </w:r>
      <w:r w:rsidRPr="00EA6529">
        <w:rPr>
          <w:rFonts w:eastAsia="Times New Roman" w:cs="Arial"/>
          <w:color w:val="000000"/>
          <w:szCs w:val="20"/>
          <w:lang w:eastAsia="bg-BG"/>
        </w:rPr>
        <w:t xml:space="preserve"> са наблюдавани по-високи плазмени концентрации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(приблизително 50% по-висока </w:t>
      </w:r>
      <w:proofErr w:type="spellStart"/>
      <w:r w:rsidRPr="00EA6529">
        <w:rPr>
          <w:rFonts w:eastAsia="Times New Roman" w:cs="Arial"/>
          <w:color w:val="000000"/>
          <w:szCs w:val="20"/>
        </w:rPr>
        <w:t>AUCnorm</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По-високата експозиция се дължи частично на понижената бъбречна функция на проучваните пациенти. Понижението на небъбречния клирънс при участващите в проучването пациенти води до 20% повишение на </w:t>
      </w:r>
      <w:r w:rsidRPr="00EA6529">
        <w:rPr>
          <w:rFonts w:eastAsia="Times New Roman" w:cs="Arial"/>
          <w:color w:val="000000"/>
          <w:szCs w:val="20"/>
        </w:rPr>
        <w:t xml:space="preserve">AUC </w:t>
      </w:r>
      <w:r w:rsidRPr="00EA6529">
        <w:rPr>
          <w:rFonts w:eastAsia="Times New Roman" w:cs="Arial"/>
          <w:color w:val="000000"/>
          <w:szCs w:val="20"/>
          <w:lang w:eastAsia="bg-BG"/>
        </w:rPr>
        <w:t xml:space="preserve">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Фармакокинетиката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не е проучвана при пациенти с тежко чернодробно увреждане (вж. точка 4.2).</w:t>
      </w:r>
    </w:p>
    <w:p w14:paraId="29AB302D" w14:textId="2763FB87" w:rsidR="00EA698B" w:rsidRPr="00EA6529" w:rsidRDefault="00EA698B" w:rsidP="00EA698B">
      <w:pPr>
        <w:rPr>
          <w:rFonts w:eastAsia="Times New Roman" w:cs="Arial"/>
          <w:color w:val="000000"/>
          <w:szCs w:val="20"/>
          <w:lang w:eastAsia="bg-BG"/>
        </w:rPr>
      </w:pPr>
    </w:p>
    <w:p w14:paraId="3581402D" w14:textId="77777777" w:rsidR="00EA698B" w:rsidRPr="00EA6529" w:rsidRDefault="00EA698B" w:rsidP="00EA698B">
      <w:pPr>
        <w:spacing w:line="240" w:lineRule="auto"/>
        <w:rPr>
          <w:rFonts w:eastAsia="Times New Roman" w:cs="Arial"/>
          <w:sz w:val="28"/>
          <w:szCs w:val="24"/>
          <w:lang w:eastAsia="bg-BG"/>
        </w:rPr>
      </w:pPr>
      <w:r w:rsidRPr="00EA6529">
        <w:rPr>
          <w:rFonts w:eastAsia="Times New Roman" w:cs="Arial"/>
          <w:i/>
          <w:iCs/>
          <w:color w:val="000000"/>
          <w:szCs w:val="20"/>
          <w:lang w:eastAsia="bg-BG"/>
        </w:rPr>
        <w:t>Старческа възраст (възраст над 65 години)</w:t>
      </w:r>
    </w:p>
    <w:p w14:paraId="3A87C874" w14:textId="77777777"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проучване при мъже </w:t>
      </w:r>
      <w:r w:rsidRPr="00EA6529">
        <w:rPr>
          <w:rFonts w:eastAsia="Times New Roman" w:cs="Arial"/>
          <w:i/>
          <w:iCs/>
          <w:color w:val="000000"/>
          <w:szCs w:val="20"/>
          <w:lang w:eastAsia="bg-BG"/>
        </w:rPr>
        <w:t>и жени в</w:t>
      </w:r>
      <w:r w:rsidRPr="00EA6529">
        <w:rPr>
          <w:rFonts w:eastAsia="Times New Roman" w:cs="Arial"/>
          <w:color w:val="000000"/>
          <w:szCs w:val="20"/>
          <w:lang w:eastAsia="bg-BG"/>
        </w:rPr>
        <w:t xml:space="preserve"> старческа възраст, включващи 4 пациенти на възраст над 75 години, </w:t>
      </w:r>
      <w:r w:rsidRPr="00EA6529">
        <w:rPr>
          <w:rFonts w:eastAsia="Times New Roman" w:cs="Arial"/>
          <w:color w:val="000000"/>
          <w:szCs w:val="20"/>
        </w:rPr>
        <w:t xml:space="preserve">AUC </w:t>
      </w:r>
      <w:r w:rsidRPr="00EA6529">
        <w:rPr>
          <w:rFonts w:eastAsia="Times New Roman" w:cs="Arial"/>
          <w:color w:val="000000"/>
          <w:szCs w:val="20"/>
          <w:lang w:eastAsia="bg-BG"/>
        </w:rPr>
        <w:t xml:space="preserve">е повишена с около 30 и 50%, съответно, в сравнение с млади хора. Това е свързано основно с по-ниското телесно тегло. Обичайната нормализирана разлика в теглото е 26 и 23%, съответно. Наблюдава се също и увеличена вариабилност в експозицията. В това проучване бъбречният клирънс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само леко понижен при пациенти в старческа възраст.</w:t>
      </w:r>
    </w:p>
    <w:p w14:paraId="585DB911" w14:textId="77777777" w:rsidR="00EA698B" w:rsidRPr="00EA6529" w:rsidRDefault="00EA698B" w:rsidP="00EA698B">
      <w:pPr>
        <w:spacing w:line="240" w:lineRule="auto"/>
        <w:rPr>
          <w:rFonts w:eastAsia="Times New Roman" w:cs="Arial"/>
          <w:color w:val="000000"/>
          <w:szCs w:val="20"/>
          <w:lang w:eastAsia="bg-BG"/>
        </w:rPr>
      </w:pPr>
    </w:p>
    <w:p w14:paraId="0621D646" w14:textId="47EFDF7E"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Обикновено не се налага редуциране на дозата, освен ако това не показано поради понижена бъбречна функция (вж. точка 4.2).</w:t>
      </w:r>
    </w:p>
    <w:p w14:paraId="5B25DD85" w14:textId="77777777" w:rsidR="00EA698B" w:rsidRPr="00EA6529" w:rsidRDefault="00EA698B" w:rsidP="00EA698B">
      <w:pPr>
        <w:spacing w:line="240" w:lineRule="auto"/>
        <w:rPr>
          <w:rFonts w:eastAsia="Times New Roman" w:cs="Arial"/>
          <w:sz w:val="28"/>
          <w:szCs w:val="24"/>
          <w:lang w:eastAsia="bg-BG"/>
        </w:rPr>
      </w:pPr>
      <w:r w:rsidRPr="00EA6529">
        <w:rPr>
          <w:rFonts w:eastAsia="Times New Roman" w:cs="Arial"/>
          <w:i/>
          <w:iCs/>
          <w:color w:val="000000"/>
          <w:szCs w:val="20"/>
          <w:lang w:eastAsia="bg-BG"/>
        </w:rPr>
        <w:t>Педиатрична популация</w:t>
      </w:r>
    </w:p>
    <w:p w14:paraId="54F1833C" w14:textId="77777777" w:rsidR="00EA698B" w:rsidRPr="00EA6529" w:rsidRDefault="00EA698B" w:rsidP="00EA698B">
      <w:pPr>
        <w:spacing w:line="240" w:lineRule="auto"/>
        <w:rPr>
          <w:rFonts w:eastAsia="Times New Roman" w:cs="Arial"/>
          <w:color w:val="000000"/>
          <w:szCs w:val="20"/>
          <w:lang w:eastAsia="bg-BG"/>
        </w:rPr>
      </w:pPr>
    </w:p>
    <w:p w14:paraId="56B029F5" w14:textId="1E91A848"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Педиатричният </w:t>
      </w:r>
      <w:proofErr w:type="spellStart"/>
      <w:r w:rsidRPr="00EA6529">
        <w:rPr>
          <w:rFonts w:eastAsia="Times New Roman" w:cs="Arial"/>
          <w:color w:val="000000"/>
          <w:szCs w:val="20"/>
          <w:lang w:eastAsia="bg-BG"/>
        </w:rPr>
        <w:t>фармакокинетичен</w:t>
      </w:r>
      <w:proofErr w:type="spellEnd"/>
      <w:r w:rsidRPr="00EA6529">
        <w:rPr>
          <w:rFonts w:eastAsia="Times New Roman" w:cs="Arial"/>
          <w:color w:val="000000"/>
          <w:szCs w:val="20"/>
          <w:lang w:eastAsia="bg-BG"/>
        </w:rPr>
        <w:t xml:space="preserve"> профил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е определен в </w:t>
      </w:r>
      <w:proofErr w:type="spellStart"/>
      <w:r w:rsidRPr="00EA6529">
        <w:rPr>
          <w:rFonts w:eastAsia="Times New Roman" w:cs="Arial"/>
          <w:color w:val="000000"/>
          <w:szCs w:val="20"/>
          <w:lang w:eastAsia="bg-BG"/>
        </w:rPr>
        <w:t>популационен</w:t>
      </w:r>
      <w:proofErr w:type="spellEnd"/>
      <w:r w:rsidRPr="00EA6529">
        <w:rPr>
          <w:rFonts w:eastAsia="Times New Roman" w:cs="Arial"/>
          <w:color w:val="000000"/>
          <w:szCs w:val="20"/>
          <w:lang w:eastAsia="bg-BG"/>
        </w:rPr>
        <w:t xml:space="preserve"> </w:t>
      </w:r>
      <w:proofErr w:type="spellStart"/>
      <w:r w:rsidRPr="00EA6529">
        <w:rPr>
          <w:rFonts w:eastAsia="Times New Roman" w:cs="Arial"/>
          <w:color w:val="000000"/>
          <w:szCs w:val="20"/>
          <w:lang w:eastAsia="bg-BG"/>
        </w:rPr>
        <w:t>фармакокинетичен</w:t>
      </w:r>
      <w:proofErr w:type="spellEnd"/>
      <w:r w:rsidRPr="00EA6529">
        <w:rPr>
          <w:rFonts w:eastAsia="Times New Roman" w:cs="Arial"/>
          <w:color w:val="000000"/>
          <w:szCs w:val="20"/>
          <w:lang w:eastAsia="bg-BG"/>
        </w:rPr>
        <w:t xml:space="preserve"> анализ с използване на редки данни за плазмена концентрация, получени в едно плацебо-контролирано рандомизирано проучване и три отворени проучвания при 414 деца с епилепсия на възраст от 6 месеца до 17 години. Прилаганите дози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варират от 2 до 17,8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lang w:eastAsia="bg-BG"/>
        </w:rPr>
        <w:t xml:space="preserve">/ден при прием два пъти дневно, с максимум 600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r w:rsidRPr="00EA6529">
        <w:rPr>
          <w:rFonts w:eastAsia="Times New Roman" w:cs="Arial"/>
          <w:color w:val="000000"/>
          <w:szCs w:val="20"/>
          <w:lang w:eastAsia="bg-BG"/>
        </w:rPr>
        <w:t xml:space="preserve">ден за деца с тегло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или повече.</w:t>
      </w:r>
    </w:p>
    <w:p w14:paraId="3F467266" w14:textId="77777777" w:rsidR="00EA698B" w:rsidRPr="00EA6529" w:rsidRDefault="00EA698B" w:rsidP="00EA698B">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Типичният плазмен клирънс е оценен на 1,04 </w:t>
      </w:r>
      <w:r w:rsidRPr="00EA6529">
        <w:rPr>
          <w:rFonts w:eastAsia="Times New Roman" w:cs="Arial"/>
          <w:color w:val="000000"/>
          <w:szCs w:val="20"/>
        </w:rPr>
        <w:t xml:space="preserve">1/h, </w:t>
      </w:r>
      <w:r w:rsidRPr="00EA6529">
        <w:rPr>
          <w:rFonts w:eastAsia="Times New Roman" w:cs="Arial"/>
          <w:color w:val="000000"/>
          <w:szCs w:val="20"/>
          <w:lang w:eastAsia="bg-BG"/>
        </w:rPr>
        <w:t xml:space="preserve">1,32 </w:t>
      </w:r>
      <w:r w:rsidRPr="00EA6529">
        <w:rPr>
          <w:rFonts w:eastAsia="Times New Roman" w:cs="Arial"/>
          <w:color w:val="000000"/>
          <w:szCs w:val="20"/>
        </w:rPr>
        <w:t xml:space="preserve">1/h </w:t>
      </w:r>
      <w:r w:rsidRPr="00EA6529">
        <w:rPr>
          <w:rFonts w:eastAsia="Times New Roman" w:cs="Arial"/>
          <w:color w:val="000000"/>
          <w:szCs w:val="20"/>
          <w:lang w:eastAsia="bg-BG"/>
        </w:rPr>
        <w:t xml:space="preserve">и 1,86 </w:t>
      </w:r>
      <w:r w:rsidRPr="00EA6529">
        <w:rPr>
          <w:rFonts w:eastAsia="Times New Roman" w:cs="Arial"/>
          <w:color w:val="000000"/>
          <w:szCs w:val="20"/>
        </w:rPr>
        <w:t xml:space="preserve">1/h </w:t>
      </w:r>
      <w:r w:rsidRPr="00EA6529">
        <w:rPr>
          <w:rFonts w:eastAsia="Times New Roman" w:cs="Arial"/>
          <w:color w:val="000000"/>
          <w:szCs w:val="20"/>
          <w:lang w:eastAsia="bg-BG"/>
        </w:rPr>
        <w:t xml:space="preserve">за деца с тегло 20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30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и 50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съответно. За сравнение плазменият клирънс е оценен на 1,92 </w:t>
      </w:r>
      <w:r w:rsidRPr="00EA6529">
        <w:rPr>
          <w:rFonts w:eastAsia="Times New Roman" w:cs="Arial"/>
          <w:color w:val="000000"/>
          <w:szCs w:val="20"/>
        </w:rPr>
        <w:t xml:space="preserve">1/h </w:t>
      </w:r>
      <w:r w:rsidRPr="00EA6529">
        <w:rPr>
          <w:rFonts w:eastAsia="Times New Roman" w:cs="Arial"/>
          <w:color w:val="000000"/>
          <w:szCs w:val="20"/>
          <w:lang w:eastAsia="bg-BG"/>
        </w:rPr>
        <w:t xml:space="preserve">при възрастни (70 </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телесно тегло).</w:t>
      </w:r>
      <w:r w:rsidRPr="00EA6529">
        <w:rPr>
          <w:rFonts w:eastAsia="Times New Roman" w:cs="Arial"/>
          <w:color w:val="000000"/>
          <w:szCs w:val="20"/>
          <w:lang w:eastAsia="bg-BG"/>
        </w:rPr>
        <w:tab/>
      </w:r>
    </w:p>
    <w:p w14:paraId="6C2FD691" w14:textId="77777777" w:rsidR="00EA698B" w:rsidRPr="00EA6529" w:rsidRDefault="00EA698B" w:rsidP="00EA698B">
      <w:pPr>
        <w:spacing w:line="240" w:lineRule="auto"/>
        <w:rPr>
          <w:rFonts w:eastAsia="Times New Roman" w:cs="Arial"/>
          <w:color w:val="000000"/>
          <w:szCs w:val="20"/>
          <w:lang w:eastAsia="bg-BG"/>
        </w:rPr>
      </w:pPr>
    </w:p>
    <w:p w14:paraId="0C9F7718" w14:textId="50446DA9" w:rsidR="00EA698B" w:rsidRPr="00EA6529" w:rsidRDefault="00EA698B" w:rsidP="00EA698B">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Популационен</w:t>
      </w:r>
      <w:proofErr w:type="spellEnd"/>
      <w:r w:rsidRPr="00EA6529">
        <w:rPr>
          <w:rFonts w:eastAsia="Times New Roman" w:cs="Arial"/>
          <w:color w:val="000000"/>
          <w:szCs w:val="20"/>
          <w:lang w:eastAsia="bg-BG"/>
        </w:rPr>
        <w:t xml:space="preserve"> </w:t>
      </w:r>
      <w:proofErr w:type="spellStart"/>
      <w:r w:rsidRPr="00EA6529">
        <w:rPr>
          <w:rFonts w:eastAsia="Times New Roman" w:cs="Arial"/>
          <w:color w:val="000000"/>
          <w:szCs w:val="20"/>
          <w:lang w:eastAsia="bg-BG"/>
        </w:rPr>
        <w:t>фармакокинетичен</w:t>
      </w:r>
      <w:proofErr w:type="spellEnd"/>
      <w:r w:rsidRPr="00EA6529">
        <w:rPr>
          <w:rFonts w:eastAsia="Times New Roman" w:cs="Arial"/>
          <w:color w:val="000000"/>
          <w:szCs w:val="20"/>
          <w:lang w:eastAsia="bg-BG"/>
        </w:rPr>
        <w:t xml:space="preserve"> анализ, използващ редки </w:t>
      </w:r>
      <w:proofErr w:type="spellStart"/>
      <w:r w:rsidRPr="00EA6529">
        <w:rPr>
          <w:rFonts w:eastAsia="Times New Roman" w:cs="Arial"/>
          <w:color w:val="000000"/>
          <w:szCs w:val="20"/>
          <w:lang w:eastAsia="bg-BG"/>
        </w:rPr>
        <w:t>фармакокинетични</w:t>
      </w:r>
      <w:proofErr w:type="spellEnd"/>
      <w:r w:rsidRPr="00EA6529">
        <w:rPr>
          <w:rFonts w:eastAsia="Times New Roman" w:cs="Arial"/>
          <w:color w:val="000000"/>
          <w:szCs w:val="20"/>
          <w:lang w:eastAsia="bg-BG"/>
        </w:rPr>
        <w:t xml:space="preserve"> проби от проучване на ПГТКП, показва подобна експозиция при пациенти с ПГТКП  и при пациенти с</w:t>
      </w:r>
    </w:p>
    <w:p w14:paraId="6C056D99" w14:textId="1BF7507C" w:rsidR="00215621" w:rsidRPr="00EA6529" w:rsidRDefault="00EA698B" w:rsidP="00EA698B">
      <w:pPr>
        <w:rPr>
          <w:rFonts w:eastAsia="Times New Roman" w:cs="Arial"/>
          <w:color w:val="000000"/>
          <w:szCs w:val="20"/>
          <w:lang w:eastAsia="bg-BG"/>
        </w:rPr>
      </w:pPr>
      <w:r w:rsidRPr="00EA6529">
        <w:rPr>
          <w:rFonts w:eastAsia="Times New Roman" w:cs="Arial"/>
          <w:color w:val="000000"/>
          <w:szCs w:val="20"/>
          <w:lang w:eastAsia="bg-BG"/>
        </w:rPr>
        <w:t>парциални пристъпи.</w:t>
      </w:r>
    </w:p>
    <w:p w14:paraId="79D76B40" w14:textId="77777777" w:rsidR="00215621" w:rsidRPr="00EA6529" w:rsidRDefault="00215621" w:rsidP="00EA698B">
      <w:pPr>
        <w:rPr>
          <w:rFonts w:eastAsia="Times New Roman" w:cs="Arial"/>
          <w:color w:val="000000"/>
          <w:szCs w:val="20"/>
          <w:lang w:eastAsia="bg-BG"/>
        </w:rPr>
      </w:pPr>
    </w:p>
    <w:p w14:paraId="648E39DA" w14:textId="583A7E05" w:rsidR="00CF77F7" w:rsidRPr="00EA6529" w:rsidRDefault="002C50EE" w:rsidP="004A448E">
      <w:pPr>
        <w:pStyle w:val="Heading2"/>
      </w:pPr>
      <w:r w:rsidRPr="00EA6529">
        <w:t>5.3. Предклинични данни за безопасност</w:t>
      </w:r>
    </w:p>
    <w:p w14:paraId="570164C0" w14:textId="6B82F8E8" w:rsidR="00215621" w:rsidRPr="00EA6529" w:rsidRDefault="00215621" w:rsidP="00215621"/>
    <w:p w14:paraId="5146B44F" w14:textId="77777777" w:rsidR="00215621" w:rsidRPr="00EA6529" w:rsidRDefault="00215621" w:rsidP="00215621">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При проучванията за токсичност получените плазмени концентрации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са подобни или само несъществено по-високи от получените при пациенти, поради което границите за експозицията при хора са ниски или несъществуващи.</w:t>
      </w:r>
    </w:p>
    <w:p w14:paraId="6326D95B" w14:textId="77777777" w:rsidR="00215621" w:rsidRPr="00EA6529" w:rsidRDefault="00215621" w:rsidP="00215621">
      <w:pPr>
        <w:spacing w:line="240" w:lineRule="auto"/>
        <w:rPr>
          <w:rFonts w:eastAsia="Times New Roman" w:cs="Arial"/>
          <w:color w:val="000000"/>
          <w:szCs w:val="20"/>
          <w:lang w:eastAsia="bg-BG"/>
        </w:rPr>
      </w:pPr>
    </w:p>
    <w:p w14:paraId="20801D02" w14:textId="1B994CDF" w:rsidR="00215621" w:rsidRPr="00EA6529" w:rsidRDefault="00215621" w:rsidP="00215621">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Проучванията на лекарствена безопасност за интравенозното приложение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при анестезирани кучета, показват временно повишение в </w:t>
      </w:r>
      <w:r w:rsidRPr="00EA6529">
        <w:rPr>
          <w:rFonts w:eastAsia="Times New Roman" w:cs="Arial"/>
          <w:color w:val="000000"/>
          <w:szCs w:val="20"/>
        </w:rPr>
        <w:t>PR</w:t>
      </w:r>
      <w:r w:rsidRPr="00EA6529">
        <w:rPr>
          <w:rFonts w:eastAsia="Times New Roman" w:cs="Arial"/>
          <w:color w:val="000000"/>
          <w:szCs w:val="20"/>
          <w:lang w:eastAsia="bg-BG"/>
        </w:rPr>
        <w:t xml:space="preserve">-интервала и продължителността на </w:t>
      </w:r>
      <w:r w:rsidRPr="00EA6529">
        <w:rPr>
          <w:rFonts w:eastAsia="Times New Roman" w:cs="Arial"/>
          <w:color w:val="000000"/>
          <w:szCs w:val="20"/>
        </w:rPr>
        <w:t>QRS</w:t>
      </w:r>
      <w:r w:rsidRPr="00EA6529">
        <w:rPr>
          <w:rFonts w:eastAsia="Times New Roman" w:cs="Arial"/>
          <w:color w:val="000000"/>
          <w:szCs w:val="20"/>
          <w:lang w:eastAsia="bg-BG"/>
        </w:rPr>
        <w:t xml:space="preserve">-комплекса и понижение на кръвното налягане, вероятно поради </w:t>
      </w:r>
      <w:proofErr w:type="spellStart"/>
      <w:r w:rsidRPr="00EA6529">
        <w:rPr>
          <w:rFonts w:eastAsia="Times New Roman" w:cs="Arial"/>
          <w:color w:val="000000"/>
          <w:szCs w:val="20"/>
          <w:lang w:eastAsia="bg-BG"/>
        </w:rPr>
        <w:t>кардиодепресивното</w:t>
      </w:r>
      <w:proofErr w:type="spellEnd"/>
      <w:r w:rsidRPr="00EA6529">
        <w:rPr>
          <w:rFonts w:eastAsia="Times New Roman" w:cs="Arial"/>
          <w:color w:val="000000"/>
          <w:szCs w:val="20"/>
          <w:lang w:eastAsia="bg-BG"/>
        </w:rPr>
        <w:t xml:space="preserve"> действие. Тези временни промени започват при една и съща концентрация и след максимално препоръчително клинично дозиране. При анестезирани </w:t>
      </w:r>
      <w:r w:rsidRPr="00EA6529">
        <w:rPr>
          <w:rFonts w:eastAsia="Times New Roman" w:cs="Arial"/>
          <w:color w:val="000000"/>
          <w:szCs w:val="20"/>
          <w:lang w:eastAsia="bg-BG"/>
        </w:rPr>
        <w:lastRenderedPageBreak/>
        <w:t xml:space="preserve">кучета и маймуни от род </w:t>
      </w:r>
      <w:proofErr w:type="spellStart"/>
      <w:r w:rsidRPr="00EA6529">
        <w:rPr>
          <w:rFonts w:eastAsia="Times New Roman" w:cs="Arial"/>
          <w:i/>
          <w:iCs/>
          <w:color w:val="000000"/>
          <w:szCs w:val="20"/>
        </w:rPr>
        <w:t>Cynomolgus</w:t>
      </w:r>
      <w:proofErr w:type="spellEnd"/>
      <w:r w:rsidRPr="00EA6529">
        <w:rPr>
          <w:rFonts w:eastAsia="Times New Roman" w:cs="Arial"/>
          <w:i/>
          <w:iCs/>
          <w:color w:val="000000"/>
          <w:szCs w:val="20"/>
        </w:rPr>
        <w:t xml:space="preserve">, </w:t>
      </w:r>
      <w:r w:rsidRPr="00EA6529">
        <w:rPr>
          <w:rFonts w:eastAsia="Times New Roman" w:cs="Arial"/>
          <w:color w:val="000000"/>
          <w:szCs w:val="20"/>
          <w:lang w:eastAsia="bg-BG"/>
        </w:rPr>
        <w:t xml:space="preserve">при интравенозно приложение на 15-60 </w:t>
      </w:r>
      <w:proofErr w:type="spellStart"/>
      <w:r w:rsidRPr="00EA6529">
        <w:rPr>
          <w:rFonts w:eastAsia="Times New Roman" w:cs="Arial"/>
          <w:color w:val="000000"/>
          <w:szCs w:val="20"/>
        </w:rPr>
        <w:t>mg</w:t>
      </w:r>
      <w:proofErr w:type="spellEnd"/>
      <w:r w:rsidRPr="00EA6529">
        <w:rPr>
          <w:rFonts w:eastAsia="Times New Roman" w:cs="Arial"/>
          <w:color w:val="000000"/>
          <w:szCs w:val="20"/>
        </w:rPr>
        <w:t>/</w:t>
      </w:r>
      <w:proofErr w:type="spellStart"/>
      <w:r w:rsidRPr="00EA6529">
        <w:rPr>
          <w:rFonts w:eastAsia="Times New Roman" w:cs="Arial"/>
          <w:color w:val="000000"/>
          <w:szCs w:val="20"/>
        </w:rPr>
        <w:t>kg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са наблюдавани забавяне на </w:t>
      </w:r>
      <w:proofErr w:type="spellStart"/>
      <w:r w:rsidRPr="00EA6529">
        <w:rPr>
          <w:rFonts w:eastAsia="Times New Roman" w:cs="Arial"/>
          <w:color w:val="000000"/>
          <w:szCs w:val="20"/>
          <w:lang w:eastAsia="bg-BG"/>
        </w:rPr>
        <w:t>предсърдната</w:t>
      </w:r>
      <w:proofErr w:type="spellEnd"/>
      <w:r w:rsidRPr="00EA6529">
        <w:rPr>
          <w:rFonts w:eastAsia="Times New Roman" w:cs="Arial"/>
          <w:color w:val="000000"/>
          <w:szCs w:val="20"/>
          <w:lang w:eastAsia="bg-BG"/>
        </w:rPr>
        <w:t xml:space="preserve"> и камерната проводимост, </w:t>
      </w:r>
      <w:proofErr w:type="spellStart"/>
      <w:r w:rsidRPr="00EA6529">
        <w:rPr>
          <w:rFonts w:eastAsia="Times New Roman" w:cs="Arial"/>
          <w:color w:val="000000"/>
          <w:szCs w:val="20"/>
          <w:lang w:eastAsia="bg-BG"/>
        </w:rPr>
        <w:t>атриовентрикуларен</w:t>
      </w:r>
      <w:proofErr w:type="spellEnd"/>
      <w:r w:rsidRPr="00EA6529">
        <w:rPr>
          <w:rFonts w:eastAsia="Times New Roman" w:cs="Arial"/>
          <w:color w:val="000000"/>
          <w:szCs w:val="20"/>
          <w:lang w:eastAsia="bg-BG"/>
        </w:rPr>
        <w:t xml:space="preserve"> блок и </w:t>
      </w:r>
      <w:proofErr w:type="spellStart"/>
      <w:r w:rsidRPr="00EA6529">
        <w:rPr>
          <w:rFonts w:eastAsia="Times New Roman" w:cs="Arial"/>
          <w:color w:val="000000"/>
          <w:szCs w:val="20"/>
          <w:lang w:eastAsia="bg-BG"/>
        </w:rPr>
        <w:t>атриовентрикуларна</w:t>
      </w:r>
      <w:proofErr w:type="spellEnd"/>
      <w:r w:rsidRPr="00EA6529">
        <w:rPr>
          <w:rFonts w:eastAsia="Times New Roman" w:cs="Arial"/>
          <w:color w:val="000000"/>
          <w:szCs w:val="20"/>
          <w:lang w:eastAsia="bg-BG"/>
        </w:rPr>
        <w:t xml:space="preserve"> дисоциация.</w:t>
      </w:r>
    </w:p>
    <w:p w14:paraId="5480ACF8" w14:textId="77777777" w:rsidR="00215621" w:rsidRPr="00EA6529" w:rsidRDefault="00215621" w:rsidP="00215621">
      <w:pPr>
        <w:rPr>
          <w:rFonts w:eastAsia="Times New Roman" w:cs="Arial"/>
          <w:color w:val="000000"/>
          <w:szCs w:val="20"/>
          <w:lang w:eastAsia="bg-BG"/>
        </w:rPr>
      </w:pPr>
    </w:p>
    <w:p w14:paraId="1A93D059" w14:textId="1BB4142F" w:rsidR="00215621" w:rsidRPr="00EA6529" w:rsidRDefault="00215621" w:rsidP="00215621">
      <w:pPr>
        <w:rPr>
          <w:rFonts w:eastAsia="Times New Roman" w:cs="Arial"/>
          <w:color w:val="000000"/>
          <w:szCs w:val="20"/>
          <w:lang w:eastAsia="bg-BG"/>
        </w:rPr>
      </w:pPr>
      <w:r w:rsidRPr="00EA6529">
        <w:rPr>
          <w:rFonts w:eastAsia="Times New Roman" w:cs="Arial"/>
          <w:color w:val="000000"/>
          <w:szCs w:val="20"/>
          <w:lang w:eastAsia="bg-BG"/>
        </w:rPr>
        <w:t xml:space="preserve">При проучвания на токсичността при многократно приложение при плъхове се наблюдават обратими леки чернодробни промени, започващи при нива около 3 пъти над клиничната експозиция. Тези промени включват повишено тегло на органите, хипертрофия на </w:t>
      </w:r>
      <w:proofErr w:type="spellStart"/>
      <w:r w:rsidRPr="00EA6529">
        <w:rPr>
          <w:rFonts w:eastAsia="Times New Roman" w:cs="Arial"/>
          <w:color w:val="000000"/>
          <w:szCs w:val="20"/>
          <w:lang w:eastAsia="bg-BG"/>
        </w:rPr>
        <w:t>хепатоцитите</w:t>
      </w:r>
      <w:proofErr w:type="spellEnd"/>
      <w:r w:rsidRPr="00EA6529">
        <w:rPr>
          <w:rFonts w:eastAsia="Times New Roman" w:cs="Arial"/>
          <w:color w:val="000000"/>
          <w:szCs w:val="20"/>
          <w:lang w:eastAsia="bg-BG"/>
        </w:rPr>
        <w:t xml:space="preserve">, повишение на серумните концентрации на чернодробните ензими и повишение на общия холестерол и </w:t>
      </w:r>
      <w:proofErr w:type="spellStart"/>
      <w:r w:rsidRPr="00EA6529">
        <w:rPr>
          <w:rFonts w:eastAsia="Times New Roman" w:cs="Arial"/>
          <w:color w:val="000000"/>
          <w:szCs w:val="20"/>
          <w:lang w:eastAsia="bg-BG"/>
        </w:rPr>
        <w:t>триглицеридите</w:t>
      </w:r>
      <w:proofErr w:type="spellEnd"/>
      <w:r w:rsidRPr="00EA6529">
        <w:rPr>
          <w:rFonts w:eastAsia="Times New Roman" w:cs="Arial"/>
          <w:color w:val="000000"/>
          <w:szCs w:val="20"/>
          <w:lang w:eastAsia="bg-BG"/>
        </w:rPr>
        <w:t xml:space="preserve">. Освен хипертрофията на </w:t>
      </w:r>
      <w:proofErr w:type="spellStart"/>
      <w:r w:rsidRPr="00EA6529">
        <w:rPr>
          <w:rFonts w:eastAsia="Times New Roman" w:cs="Arial"/>
          <w:color w:val="000000"/>
          <w:szCs w:val="20"/>
          <w:lang w:eastAsia="bg-BG"/>
        </w:rPr>
        <w:t>хепатоцитите</w:t>
      </w:r>
      <w:proofErr w:type="spellEnd"/>
      <w:r w:rsidRPr="00EA6529">
        <w:rPr>
          <w:rFonts w:eastAsia="Times New Roman" w:cs="Arial"/>
          <w:color w:val="000000"/>
          <w:szCs w:val="20"/>
          <w:lang w:eastAsia="bg-BG"/>
        </w:rPr>
        <w:t xml:space="preserve"> не са наблюдавани други </w:t>
      </w:r>
      <w:proofErr w:type="spellStart"/>
      <w:r w:rsidRPr="00EA6529">
        <w:rPr>
          <w:rFonts w:eastAsia="Times New Roman" w:cs="Arial"/>
          <w:color w:val="000000"/>
          <w:szCs w:val="20"/>
          <w:lang w:eastAsia="bg-BG"/>
        </w:rPr>
        <w:t>хистопатологични</w:t>
      </w:r>
      <w:proofErr w:type="spellEnd"/>
      <w:r w:rsidRPr="00EA6529">
        <w:rPr>
          <w:rFonts w:eastAsia="Times New Roman" w:cs="Arial"/>
          <w:color w:val="000000"/>
          <w:szCs w:val="20"/>
          <w:lang w:eastAsia="bg-BG"/>
        </w:rPr>
        <w:t xml:space="preserve"> промени.</w:t>
      </w:r>
    </w:p>
    <w:p w14:paraId="66770E16" w14:textId="006458FC" w:rsidR="00215621" w:rsidRPr="00EA6529" w:rsidRDefault="00215621" w:rsidP="00215621">
      <w:pPr>
        <w:rPr>
          <w:rFonts w:eastAsia="Times New Roman" w:cs="Arial"/>
          <w:color w:val="000000"/>
          <w:szCs w:val="20"/>
          <w:lang w:eastAsia="bg-BG"/>
        </w:rPr>
      </w:pPr>
    </w:p>
    <w:p w14:paraId="61441F9F" w14:textId="77777777" w:rsidR="00215621" w:rsidRPr="00EA6529" w:rsidRDefault="00215621" w:rsidP="00215621">
      <w:pPr>
        <w:spacing w:line="240" w:lineRule="auto"/>
        <w:rPr>
          <w:rFonts w:eastAsia="Times New Roman" w:cs="Arial"/>
          <w:sz w:val="28"/>
          <w:szCs w:val="24"/>
          <w:lang w:eastAsia="bg-BG"/>
        </w:rPr>
      </w:pPr>
      <w:r w:rsidRPr="00EA6529">
        <w:rPr>
          <w:rFonts w:eastAsia="Times New Roman" w:cs="Arial"/>
          <w:color w:val="000000"/>
          <w:szCs w:val="20"/>
          <w:lang w:eastAsia="bg-BG"/>
        </w:rPr>
        <w:t xml:space="preserve">В проучванията върху </w:t>
      </w:r>
      <w:proofErr w:type="spellStart"/>
      <w:r w:rsidRPr="00EA6529">
        <w:rPr>
          <w:rFonts w:eastAsia="Times New Roman" w:cs="Arial"/>
          <w:color w:val="000000"/>
          <w:szCs w:val="20"/>
          <w:lang w:eastAsia="bg-BG"/>
        </w:rPr>
        <w:t>репродуктивността</w:t>
      </w:r>
      <w:proofErr w:type="spellEnd"/>
      <w:r w:rsidRPr="00EA6529">
        <w:rPr>
          <w:rFonts w:eastAsia="Times New Roman" w:cs="Arial"/>
          <w:color w:val="000000"/>
          <w:szCs w:val="20"/>
          <w:lang w:eastAsia="bg-BG"/>
        </w:rPr>
        <w:t xml:space="preserve"> и развитието на токсичност при гризачи и плъхове, не са наблюдавани тератогенни ефекти, а само увеличаване на броя на мъртвородените и починалите наскоро след раждането потомци, както и слабо понижение в броя на потомството и теглото на новородените при прилагането на токсични за майката дози при плъхове, което съответства на нива на системна експозиция, подобни на очакваната експозиция при клинично приложение. Тъй като по-високи нива на експозиция при животни не са изследвани поради токсичност за майката, наличните данни са недостатъчни за пълна оценка на </w:t>
      </w:r>
      <w:proofErr w:type="spellStart"/>
      <w:r w:rsidRPr="00EA6529">
        <w:rPr>
          <w:rFonts w:eastAsia="Times New Roman" w:cs="Arial"/>
          <w:color w:val="000000"/>
          <w:szCs w:val="20"/>
          <w:lang w:eastAsia="bg-BG"/>
        </w:rPr>
        <w:t>ембриотоксичния</w:t>
      </w:r>
      <w:proofErr w:type="spellEnd"/>
      <w:r w:rsidRPr="00EA6529">
        <w:rPr>
          <w:rFonts w:eastAsia="Times New Roman" w:cs="Arial"/>
          <w:color w:val="000000"/>
          <w:szCs w:val="20"/>
          <w:lang w:eastAsia="bg-BG"/>
        </w:rPr>
        <w:t xml:space="preserve"> и тератогенен потенциал на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w:t>
      </w:r>
    </w:p>
    <w:p w14:paraId="1FAA3A4E" w14:textId="77777777" w:rsidR="00215621" w:rsidRPr="00EA6529" w:rsidRDefault="00215621" w:rsidP="00215621">
      <w:pPr>
        <w:rPr>
          <w:rFonts w:eastAsia="Times New Roman" w:cs="Arial"/>
          <w:color w:val="000000"/>
          <w:szCs w:val="20"/>
          <w:lang w:eastAsia="bg-BG"/>
        </w:rPr>
      </w:pPr>
    </w:p>
    <w:p w14:paraId="24B659BF" w14:textId="382FDFD2" w:rsidR="00215621" w:rsidRPr="00EA6529" w:rsidRDefault="00215621" w:rsidP="00215621">
      <w:pPr>
        <w:rPr>
          <w:rFonts w:cs="Arial"/>
          <w:sz w:val="28"/>
        </w:rPr>
      </w:pPr>
      <w:r w:rsidRPr="00EA6529">
        <w:rPr>
          <w:rFonts w:eastAsia="Times New Roman" w:cs="Arial"/>
          <w:color w:val="000000"/>
          <w:szCs w:val="20"/>
          <w:lang w:eastAsia="bg-BG"/>
        </w:rPr>
        <w:t xml:space="preserve">Проучванията при плъхове показват, че </w:t>
      </w:r>
      <w:proofErr w:type="spellStart"/>
      <w:r w:rsidRPr="00EA6529">
        <w:rPr>
          <w:rFonts w:eastAsia="Times New Roman" w:cs="Arial"/>
          <w:color w:val="000000"/>
          <w:szCs w:val="20"/>
          <w:lang w:eastAsia="bg-BG"/>
        </w:rPr>
        <w:t>лакозамид</w:t>
      </w:r>
      <w:proofErr w:type="spellEnd"/>
      <w:r w:rsidRPr="00EA6529">
        <w:rPr>
          <w:rFonts w:eastAsia="Times New Roman" w:cs="Arial"/>
          <w:color w:val="000000"/>
          <w:szCs w:val="20"/>
          <w:lang w:eastAsia="bg-BG"/>
        </w:rPr>
        <w:t xml:space="preserve"> и/или неговите метаболити преминават бързо </w:t>
      </w:r>
      <w:proofErr w:type="spellStart"/>
      <w:r w:rsidRPr="00EA6529">
        <w:rPr>
          <w:rFonts w:eastAsia="Times New Roman" w:cs="Arial"/>
          <w:color w:val="000000"/>
          <w:szCs w:val="20"/>
          <w:lang w:eastAsia="bg-BG"/>
        </w:rPr>
        <w:t>плацентарната</w:t>
      </w:r>
      <w:proofErr w:type="spellEnd"/>
      <w:r w:rsidRPr="00EA6529">
        <w:rPr>
          <w:rFonts w:eastAsia="Times New Roman" w:cs="Arial"/>
          <w:color w:val="000000"/>
          <w:szCs w:val="20"/>
          <w:lang w:eastAsia="bg-BG"/>
        </w:rPr>
        <w:t xml:space="preserve"> бариера. При млади плъхове и кучета видовете токсичност не се различават качествено от тези, наблюдавани при възрастни животни. При млади плъхове се наблюдава намалено телесно тегло при нива на системна експозиция, които са подобни на очакваната клинична експозиция. При млади кучета преходни и свързани с дозата клинични признаци на ЦНС започват да се наблюдават при нива на системна експозиция под очакваната клинична експозиция.</w:t>
      </w:r>
    </w:p>
    <w:p w14:paraId="0AC3FE16" w14:textId="77777777" w:rsidR="00215621" w:rsidRPr="00EA6529" w:rsidRDefault="00215621" w:rsidP="00215621"/>
    <w:p w14:paraId="6A7820AB" w14:textId="42FD700D" w:rsidR="008A6AF2" w:rsidRPr="00EA6529" w:rsidRDefault="002C50EE" w:rsidP="00395555">
      <w:pPr>
        <w:pStyle w:val="Heading1"/>
      </w:pPr>
      <w:r w:rsidRPr="00EA6529">
        <w:t>7. ПРИТЕЖАТЕЛ НА РАЗРЕШЕНИЕТО ЗА УПОТРЕБА</w:t>
      </w:r>
    </w:p>
    <w:p w14:paraId="0FC0712D" w14:textId="64C285A4" w:rsidR="00215621" w:rsidRPr="00EA6529" w:rsidRDefault="00215621" w:rsidP="00215621"/>
    <w:p w14:paraId="6819A2DE" w14:textId="77777777" w:rsidR="00215621" w:rsidRPr="00EA6529" w:rsidRDefault="00215621" w:rsidP="00215621">
      <w:pPr>
        <w:spacing w:line="240" w:lineRule="auto"/>
        <w:rPr>
          <w:rFonts w:eastAsia="Times New Roman" w:cs="Arial"/>
          <w:sz w:val="28"/>
          <w:szCs w:val="24"/>
          <w:lang w:eastAsia="bg-BG"/>
        </w:rPr>
      </w:pPr>
      <w:proofErr w:type="spellStart"/>
      <w:r w:rsidRPr="00EA6529">
        <w:rPr>
          <w:rFonts w:eastAsia="Times New Roman" w:cs="Arial"/>
          <w:color w:val="000000"/>
          <w:szCs w:val="20"/>
        </w:rPr>
        <w:t>Mylan</w:t>
      </w:r>
      <w:proofErr w:type="spellEnd"/>
      <w:r w:rsidRPr="00EA6529">
        <w:rPr>
          <w:rFonts w:eastAsia="Times New Roman" w:cs="Arial"/>
          <w:color w:val="000000"/>
          <w:szCs w:val="20"/>
        </w:rPr>
        <w:t xml:space="preserve"> </w:t>
      </w:r>
      <w:proofErr w:type="spellStart"/>
      <w:r w:rsidRPr="00EA6529">
        <w:rPr>
          <w:rFonts w:eastAsia="Times New Roman" w:cs="Arial"/>
          <w:color w:val="000000"/>
          <w:szCs w:val="20"/>
        </w:rPr>
        <w:t>Ireland</w:t>
      </w:r>
      <w:proofErr w:type="spellEnd"/>
      <w:r w:rsidRPr="00EA6529">
        <w:rPr>
          <w:rFonts w:eastAsia="Times New Roman" w:cs="Arial"/>
          <w:color w:val="000000"/>
          <w:szCs w:val="20"/>
        </w:rPr>
        <w:t xml:space="preserve"> Limited,</w:t>
      </w:r>
    </w:p>
    <w:p w14:paraId="3A8A1197" w14:textId="77777777" w:rsidR="00215621" w:rsidRPr="00EA6529" w:rsidRDefault="00215621" w:rsidP="00215621">
      <w:pPr>
        <w:spacing w:line="240" w:lineRule="auto"/>
        <w:rPr>
          <w:rFonts w:eastAsia="Times New Roman" w:cs="Arial"/>
          <w:sz w:val="28"/>
          <w:szCs w:val="24"/>
          <w:lang w:eastAsia="bg-BG"/>
        </w:rPr>
      </w:pPr>
      <w:proofErr w:type="spellStart"/>
      <w:r w:rsidRPr="00EA6529">
        <w:rPr>
          <w:rFonts w:eastAsia="Times New Roman" w:cs="Arial"/>
          <w:color w:val="000000"/>
          <w:szCs w:val="20"/>
        </w:rPr>
        <w:t>Unit</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35/36 </w:t>
      </w:r>
      <w:proofErr w:type="spellStart"/>
      <w:r w:rsidRPr="00EA6529">
        <w:rPr>
          <w:rFonts w:eastAsia="Times New Roman" w:cs="Arial"/>
          <w:color w:val="000000"/>
          <w:szCs w:val="20"/>
        </w:rPr>
        <w:t>Grange</w:t>
      </w:r>
      <w:proofErr w:type="spellEnd"/>
      <w:r w:rsidRPr="00EA6529">
        <w:rPr>
          <w:rFonts w:eastAsia="Times New Roman" w:cs="Arial"/>
          <w:color w:val="000000"/>
          <w:szCs w:val="20"/>
        </w:rPr>
        <w:t xml:space="preserve"> </w:t>
      </w:r>
      <w:proofErr w:type="spellStart"/>
      <w:r w:rsidRPr="00EA6529">
        <w:rPr>
          <w:rFonts w:eastAsia="Times New Roman" w:cs="Arial"/>
          <w:color w:val="000000"/>
          <w:szCs w:val="20"/>
        </w:rPr>
        <w:t>Parade</w:t>
      </w:r>
      <w:proofErr w:type="spellEnd"/>
      <w:r w:rsidRPr="00EA6529">
        <w:rPr>
          <w:rFonts w:eastAsia="Times New Roman" w:cs="Arial"/>
          <w:color w:val="000000"/>
          <w:szCs w:val="20"/>
        </w:rPr>
        <w:t xml:space="preserve">, </w:t>
      </w:r>
      <w:proofErr w:type="spellStart"/>
      <w:r w:rsidRPr="00EA6529">
        <w:rPr>
          <w:rFonts w:eastAsia="Times New Roman" w:cs="Arial"/>
          <w:color w:val="000000"/>
          <w:szCs w:val="20"/>
        </w:rPr>
        <w:t>Baldoyle</w:t>
      </w:r>
      <w:proofErr w:type="spellEnd"/>
      <w:r w:rsidRPr="00EA6529">
        <w:rPr>
          <w:rFonts w:eastAsia="Times New Roman" w:cs="Arial"/>
          <w:color w:val="000000"/>
          <w:szCs w:val="20"/>
        </w:rPr>
        <w:t xml:space="preserve"> </w:t>
      </w:r>
      <w:proofErr w:type="spellStart"/>
      <w:r w:rsidRPr="00EA6529">
        <w:rPr>
          <w:rFonts w:eastAsia="Times New Roman" w:cs="Arial"/>
          <w:color w:val="000000"/>
          <w:szCs w:val="20"/>
        </w:rPr>
        <w:t>Industrial</w:t>
      </w:r>
      <w:proofErr w:type="spellEnd"/>
      <w:r w:rsidRPr="00EA6529">
        <w:rPr>
          <w:rFonts w:eastAsia="Times New Roman" w:cs="Arial"/>
          <w:color w:val="000000"/>
          <w:szCs w:val="20"/>
        </w:rPr>
        <w:t xml:space="preserve"> </w:t>
      </w:r>
      <w:proofErr w:type="spellStart"/>
      <w:r w:rsidRPr="00EA6529">
        <w:rPr>
          <w:rFonts w:eastAsia="Times New Roman" w:cs="Arial"/>
          <w:color w:val="000000"/>
          <w:szCs w:val="20"/>
        </w:rPr>
        <w:t>state</w:t>
      </w:r>
      <w:proofErr w:type="spellEnd"/>
      <w:r w:rsidRPr="00EA6529">
        <w:rPr>
          <w:rFonts w:eastAsia="Times New Roman" w:cs="Arial"/>
          <w:color w:val="000000"/>
          <w:szCs w:val="20"/>
        </w:rPr>
        <w:t>,</w:t>
      </w:r>
    </w:p>
    <w:p w14:paraId="158DCA8F" w14:textId="5DD199C2" w:rsidR="00215621" w:rsidRPr="00EA6529" w:rsidRDefault="00215621" w:rsidP="00215621">
      <w:pPr>
        <w:rPr>
          <w:rFonts w:cs="Arial"/>
          <w:sz w:val="24"/>
        </w:rPr>
      </w:pPr>
      <w:proofErr w:type="spellStart"/>
      <w:r w:rsidRPr="00EA6529">
        <w:rPr>
          <w:rFonts w:eastAsia="Times New Roman" w:cs="Arial"/>
          <w:color w:val="000000"/>
          <w:szCs w:val="20"/>
        </w:rPr>
        <w:t>Dublin</w:t>
      </w:r>
      <w:proofErr w:type="spellEnd"/>
      <w:r w:rsidRPr="00EA6529">
        <w:rPr>
          <w:rFonts w:eastAsia="Times New Roman" w:cs="Arial"/>
          <w:color w:val="000000"/>
          <w:szCs w:val="20"/>
        </w:rPr>
        <w:t xml:space="preserve"> 13, </w:t>
      </w:r>
      <w:r w:rsidRPr="00EA6529">
        <w:rPr>
          <w:rFonts w:eastAsia="Times New Roman" w:cs="Arial"/>
          <w:color w:val="000000"/>
          <w:szCs w:val="20"/>
          <w:lang w:eastAsia="bg-BG"/>
        </w:rPr>
        <w:t>Ирландия</w:t>
      </w:r>
    </w:p>
    <w:p w14:paraId="7BA1BA64" w14:textId="4D048164" w:rsidR="00CF77F7" w:rsidRPr="00EA6529" w:rsidRDefault="002C50EE" w:rsidP="004A448E">
      <w:pPr>
        <w:pStyle w:val="Heading1"/>
      </w:pPr>
      <w:r w:rsidRPr="00EA6529">
        <w:t>8. НОМЕР НА РАЗРЕШЕНИЕТО ЗА УПОТРЕБА</w:t>
      </w:r>
    </w:p>
    <w:p w14:paraId="40E4B1F8" w14:textId="208C4C5D" w:rsidR="00215621" w:rsidRPr="00EA6529" w:rsidRDefault="00215621" w:rsidP="00215621"/>
    <w:p w14:paraId="37DB50ED" w14:textId="77777777" w:rsidR="00215621" w:rsidRPr="00EA6529" w:rsidRDefault="00215621" w:rsidP="00215621">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Сеизпат</w:t>
      </w:r>
      <w:proofErr w:type="spellEnd"/>
      <w:r w:rsidRPr="00EA6529">
        <w:rPr>
          <w:rFonts w:eastAsia="Times New Roman" w:cs="Arial"/>
          <w:color w:val="000000"/>
          <w:szCs w:val="20"/>
          <w:lang w:eastAsia="bg-BG"/>
        </w:rPr>
        <w:t xml:space="preserve"> 50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филмирани таблетки, </w:t>
      </w:r>
      <w:proofErr w:type="spellStart"/>
      <w:r w:rsidRPr="00EA6529">
        <w:rPr>
          <w:rFonts w:eastAsia="Times New Roman" w:cs="Arial"/>
          <w:color w:val="000000"/>
          <w:szCs w:val="20"/>
        </w:rPr>
        <w:t>Per</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20180007</w:t>
      </w:r>
    </w:p>
    <w:p w14:paraId="73BC6445" w14:textId="77777777" w:rsidR="00215621" w:rsidRPr="00EA6529" w:rsidRDefault="00215621" w:rsidP="00215621">
      <w:pPr>
        <w:spacing w:line="240" w:lineRule="auto"/>
        <w:rPr>
          <w:rFonts w:eastAsia="Times New Roman" w:cs="Arial"/>
          <w:sz w:val="28"/>
          <w:szCs w:val="24"/>
          <w:lang w:eastAsia="bg-BG"/>
        </w:rPr>
      </w:pPr>
      <w:proofErr w:type="spellStart"/>
      <w:r w:rsidRPr="00EA6529">
        <w:rPr>
          <w:rFonts w:eastAsia="Times New Roman" w:cs="Arial"/>
          <w:color w:val="000000"/>
          <w:szCs w:val="20"/>
          <w:lang w:eastAsia="bg-BG"/>
        </w:rPr>
        <w:t>Сеизпат</w:t>
      </w:r>
      <w:proofErr w:type="spellEnd"/>
      <w:r w:rsidRPr="00EA6529">
        <w:rPr>
          <w:rFonts w:eastAsia="Times New Roman" w:cs="Arial"/>
          <w:color w:val="000000"/>
          <w:szCs w:val="20"/>
          <w:lang w:eastAsia="bg-BG"/>
        </w:rPr>
        <w:t xml:space="preserve"> 100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филмирани таблетки, </w:t>
      </w:r>
      <w:proofErr w:type="spellStart"/>
      <w:r w:rsidRPr="00EA6529">
        <w:rPr>
          <w:rFonts w:eastAsia="Times New Roman" w:cs="Arial"/>
          <w:color w:val="000000"/>
          <w:szCs w:val="20"/>
        </w:rPr>
        <w:t>Per</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20180008</w:t>
      </w:r>
    </w:p>
    <w:p w14:paraId="415A5A63" w14:textId="1D5F928B" w:rsidR="00215621" w:rsidRPr="00EA6529" w:rsidRDefault="00215621" w:rsidP="00215621">
      <w:pPr>
        <w:rPr>
          <w:rFonts w:cs="Arial"/>
          <w:sz w:val="24"/>
        </w:rPr>
      </w:pPr>
      <w:proofErr w:type="spellStart"/>
      <w:r w:rsidRPr="00EA6529">
        <w:rPr>
          <w:rFonts w:eastAsia="Times New Roman" w:cs="Arial"/>
          <w:color w:val="000000"/>
          <w:szCs w:val="20"/>
          <w:lang w:eastAsia="bg-BG"/>
        </w:rPr>
        <w:t>Сеизпат</w:t>
      </w:r>
      <w:proofErr w:type="spellEnd"/>
      <w:r w:rsidRPr="00EA6529">
        <w:rPr>
          <w:rFonts w:eastAsia="Times New Roman" w:cs="Arial"/>
          <w:color w:val="000000"/>
          <w:szCs w:val="20"/>
          <w:lang w:eastAsia="bg-BG"/>
        </w:rPr>
        <w:t xml:space="preserve"> 200 </w:t>
      </w:r>
      <w:proofErr w:type="spellStart"/>
      <w:r w:rsidRPr="00EA6529">
        <w:rPr>
          <w:rFonts w:eastAsia="Times New Roman" w:cs="Arial"/>
          <w:color w:val="000000"/>
          <w:szCs w:val="20"/>
        </w:rPr>
        <w:t>mg</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xml:space="preserve">филмирани таблетки, </w:t>
      </w:r>
      <w:proofErr w:type="spellStart"/>
      <w:r w:rsidRPr="00EA6529">
        <w:rPr>
          <w:rFonts w:eastAsia="Times New Roman" w:cs="Arial"/>
          <w:color w:val="000000"/>
          <w:szCs w:val="20"/>
        </w:rPr>
        <w:t>Per</w:t>
      </w:r>
      <w:proofErr w:type="spellEnd"/>
      <w:r w:rsidRPr="00EA6529">
        <w:rPr>
          <w:rFonts w:eastAsia="Times New Roman" w:cs="Arial"/>
          <w:color w:val="000000"/>
          <w:szCs w:val="20"/>
        </w:rPr>
        <w:t xml:space="preserve">. </w:t>
      </w:r>
      <w:r w:rsidRPr="00EA6529">
        <w:rPr>
          <w:rFonts w:eastAsia="Times New Roman" w:cs="Arial"/>
          <w:color w:val="000000"/>
          <w:szCs w:val="20"/>
          <w:lang w:eastAsia="bg-BG"/>
        </w:rPr>
        <w:t>№: 20180009</w:t>
      </w:r>
    </w:p>
    <w:p w14:paraId="2CCB5832" w14:textId="7685B27D" w:rsidR="007C605B" w:rsidRPr="00EA6529" w:rsidRDefault="002C50EE" w:rsidP="007C605B">
      <w:pPr>
        <w:pStyle w:val="Heading1"/>
      </w:pPr>
      <w:r w:rsidRPr="00EA6529">
        <w:t>9. ДАТА НА ПЪРВО РАЗРЕШАВАНЕ/ПОДНОВЯВАНЕ НА РАЗРЕШЕНИЕТО ЗА УПОТРЕБА</w:t>
      </w:r>
    </w:p>
    <w:p w14:paraId="021D5701" w14:textId="3A9F82ED" w:rsidR="00215621" w:rsidRPr="00EA6529" w:rsidRDefault="00215621" w:rsidP="00215621"/>
    <w:p w14:paraId="146E9578" w14:textId="73D7BD5A" w:rsidR="00215621" w:rsidRPr="00EA6529" w:rsidRDefault="00215621" w:rsidP="00215621">
      <w:pPr>
        <w:rPr>
          <w:rFonts w:cs="Arial"/>
          <w:sz w:val="24"/>
        </w:rPr>
      </w:pPr>
      <w:r w:rsidRPr="00EA6529">
        <w:rPr>
          <w:rFonts w:cs="Arial"/>
          <w:szCs w:val="20"/>
        </w:rPr>
        <w:t>Дата на първо разрешаване; 05 януари 2018 г.</w:t>
      </w:r>
    </w:p>
    <w:p w14:paraId="0E9D0119" w14:textId="238031C5" w:rsidR="002C50EE" w:rsidRPr="00EA6529" w:rsidRDefault="002C50EE" w:rsidP="002C50EE">
      <w:pPr>
        <w:pStyle w:val="Heading1"/>
      </w:pPr>
      <w:r w:rsidRPr="00EA6529">
        <w:lastRenderedPageBreak/>
        <w:t>10. ДАТА НА АКТУАЛИЗИРАНЕ НА ТЕКСТА</w:t>
      </w:r>
    </w:p>
    <w:p w14:paraId="08020D77" w14:textId="51CB38DD" w:rsidR="00215621" w:rsidRPr="00EA6529" w:rsidRDefault="00215621" w:rsidP="00215621"/>
    <w:p w14:paraId="7C515DAF" w14:textId="5B2F400E" w:rsidR="00215621" w:rsidRPr="00EA6529" w:rsidRDefault="00215621" w:rsidP="00215621">
      <w:pPr>
        <w:rPr>
          <w:rFonts w:cs="Arial"/>
          <w:sz w:val="24"/>
        </w:rPr>
      </w:pPr>
      <w:r w:rsidRPr="00EA6529">
        <w:rPr>
          <w:rFonts w:cs="Arial"/>
          <w:szCs w:val="20"/>
        </w:rPr>
        <w:t>12/2021</w:t>
      </w:r>
    </w:p>
    <w:bookmarkEnd w:id="0"/>
    <w:p w14:paraId="43FB38A2" w14:textId="5500C507" w:rsidR="007C605B" w:rsidRPr="00EA6529" w:rsidRDefault="007C605B" w:rsidP="00CF77F7"/>
    <w:sectPr w:rsidR="007C605B" w:rsidRPr="00EA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430931192">
    <w:abstractNumId w:val="26"/>
  </w:num>
  <w:num w:numId="2" w16cid:durableId="2124154487">
    <w:abstractNumId w:val="0"/>
  </w:num>
  <w:num w:numId="3" w16cid:durableId="1179545270">
    <w:abstractNumId w:val="12"/>
  </w:num>
  <w:num w:numId="4" w16cid:durableId="706688135">
    <w:abstractNumId w:val="3"/>
  </w:num>
  <w:num w:numId="5" w16cid:durableId="1224608040">
    <w:abstractNumId w:val="1"/>
  </w:num>
  <w:num w:numId="6" w16cid:durableId="154107844">
    <w:abstractNumId w:val="15"/>
  </w:num>
  <w:num w:numId="7" w16cid:durableId="746265783">
    <w:abstractNumId w:val="10"/>
  </w:num>
  <w:num w:numId="8" w16cid:durableId="743572601">
    <w:abstractNumId w:val="14"/>
  </w:num>
  <w:num w:numId="9" w16cid:durableId="1869296935">
    <w:abstractNumId w:val="2"/>
  </w:num>
  <w:num w:numId="10" w16cid:durableId="527451526">
    <w:abstractNumId w:val="4"/>
  </w:num>
  <w:num w:numId="11" w16cid:durableId="1992319647">
    <w:abstractNumId w:val="29"/>
  </w:num>
  <w:num w:numId="12" w16cid:durableId="2026326724">
    <w:abstractNumId w:val="13"/>
  </w:num>
  <w:num w:numId="13" w16cid:durableId="240649371">
    <w:abstractNumId w:val="18"/>
  </w:num>
  <w:num w:numId="14" w16cid:durableId="891690977">
    <w:abstractNumId w:val="11"/>
  </w:num>
  <w:num w:numId="15" w16cid:durableId="2102406426">
    <w:abstractNumId w:val="28"/>
  </w:num>
  <w:num w:numId="16" w16cid:durableId="1039353190">
    <w:abstractNumId w:val="9"/>
  </w:num>
  <w:num w:numId="17" w16cid:durableId="751244694">
    <w:abstractNumId w:val="23"/>
  </w:num>
  <w:num w:numId="18" w16cid:durableId="1069770063">
    <w:abstractNumId w:val="7"/>
  </w:num>
  <w:num w:numId="19" w16cid:durableId="195198010">
    <w:abstractNumId w:val="25"/>
  </w:num>
  <w:num w:numId="20" w16cid:durableId="1606157018">
    <w:abstractNumId w:val="22"/>
  </w:num>
  <w:num w:numId="21" w16cid:durableId="189152760">
    <w:abstractNumId w:val="16"/>
  </w:num>
  <w:num w:numId="22" w16cid:durableId="328481506">
    <w:abstractNumId w:val="24"/>
  </w:num>
  <w:num w:numId="23" w16cid:durableId="1654797740">
    <w:abstractNumId w:val="17"/>
  </w:num>
  <w:num w:numId="24" w16cid:durableId="1760329165">
    <w:abstractNumId w:val="8"/>
  </w:num>
  <w:num w:numId="25" w16cid:durableId="131673913">
    <w:abstractNumId w:val="21"/>
  </w:num>
  <w:num w:numId="26" w16cid:durableId="1833255634">
    <w:abstractNumId w:val="20"/>
  </w:num>
  <w:num w:numId="27" w16cid:durableId="1365863288">
    <w:abstractNumId w:val="30"/>
  </w:num>
  <w:num w:numId="28" w16cid:durableId="1479414998">
    <w:abstractNumId w:val="6"/>
  </w:num>
  <w:num w:numId="29" w16cid:durableId="150415833">
    <w:abstractNumId w:val="19"/>
  </w:num>
  <w:num w:numId="30" w16cid:durableId="606695174">
    <w:abstractNumId w:val="33"/>
  </w:num>
  <w:num w:numId="31" w16cid:durableId="262616614">
    <w:abstractNumId w:val="5"/>
  </w:num>
  <w:num w:numId="32" w16cid:durableId="1486706016">
    <w:abstractNumId w:val="32"/>
  </w:num>
  <w:num w:numId="33" w16cid:durableId="1238902436">
    <w:abstractNumId w:val="27"/>
  </w:num>
  <w:num w:numId="34" w16cid:durableId="71948051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185A46"/>
    <w:rsid w:val="001915B6"/>
    <w:rsid w:val="001D1B23"/>
    <w:rsid w:val="00215621"/>
    <w:rsid w:val="00283473"/>
    <w:rsid w:val="002B3C38"/>
    <w:rsid w:val="002B4DBB"/>
    <w:rsid w:val="002C50EE"/>
    <w:rsid w:val="00340A0A"/>
    <w:rsid w:val="003765DC"/>
    <w:rsid w:val="00395555"/>
    <w:rsid w:val="003E3126"/>
    <w:rsid w:val="00426E5F"/>
    <w:rsid w:val="00471B55"/>
    <w:rsid w:val="004A448E"/>
    <w:rsid w:val="004D4D6B"/>
    <w:rsid w:val="004F1CE7"/>
    <w:rsid w:val="004F498A"/>
    <w:rsid w:val="00517A5B"/>
    <w:rsid w:val="00593A00"/>
    <w:rsid w:val="005A66D9"/>
    <w:rsid w:val="00605BCA"/>
    <w:rsid w:val="006158A1"/>
    <w:rsid w:val="00617B1F"/>
    <w:rsid w:val="00662598"/>
    <w:rsid w:val="00672487"/>
    <w:rsid w:val="00672600"/>
    <w:rsid w:val="00681D4A"/>
    <w:rsid w:val="00685882"/>
    <w:rsid w:val="006B71BB"/>
    <w:rsid w:val="006E22F0"/>
    <w:rsid w:val="006F2D70"/>
    <w:rsid w:val="007005BE"/>
    <w:rsid w:val="0075388D"/>
    <w:rsid w:val="0075649D"/>
    <w:rsid w:val="007C605B"/>
    <w:rsid w:val="008134C8"/>
    <w:rsid w:val="00814073"/>
    <w:rsid w:val="00826F0D"/>
    <w:rsid w:val="00893B92"/>
    <w:rsid w:val="008A6AF2"/>
    <w:rsid w:val="008C70A2"/>
    <w:rsid w:val="009773E4"/>
    <w:rsid w:val="009B171C"/>
    <w:rsid w:val="009F1313"/>
    <w:rsid w:val="00A20351"/>
    <w:rsid w:val="00A65A81"/>
    <w:rsid w:val="00A6663D"/>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25679"/>
    <w:rsid w:val="00EA6529"/>
    <w:rsid w:val="00EA698B"/>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7745</Words>
  <Characters>44150</Characters>
  <Application>Microsoft Office Word</Application>
  <DocSecurity>0</DocSecurity>
  <Lines>367</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9</cp:revision>
  <dcterms:created xsi:type="dcterms:W3CDTF">2022-05-04T10:56:00Z</dcterms:created>
  <dcterms:modified xsi:type="dcterms:W3CDTF">2022-05-07T08:03:00Z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