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4454268C" w14:textId="77777777" w:rsidR="00255F96" w:rsidRPr="00255F96" w:rsidRDefault="00255F96" w:rsidP="00255F96">
      <w:pPr>
        <w:spacing w:line="240" w:lineRule="auto"/>
        <w:rPr>
          <w:rFonts w:eastAsia="Times New Roman" w:cs="Arial"/>
          <w:lang w:val="en-US" w:eastAsia="bg-BG"/>
        </w:rPr>
      </w:pPr>
      <w:r w:rsidRPr="00255F96">
        <w:rPr>
          <w:rFonts w:eastAsia="Times New Roman" w:cs="Arial"/>
          <w:color w:val="000000"/>
          <w:lang w:eastAsia="bg-BG"/>
        </w:rPr>
        <w:t xml:space="preserve">Сердолект 4 </w:t>
      </w:r>
      <w:r w:rsidRPr="00255F96">
        <w:rPr>
          <w:rFonts w:eastAsia="Times New Roman" w:cs="Arial"/>
          <w:color w:val="000000"/>
          <w:lang w:val="en-US"/>
        </w:rPr>
        <w:t xml:space="preserve">mg </w:t>
      </w:r>
      <w:r w:rsidRPr="00255F96">
        <w:rPr>
          <w:rFonts w:eastAsia="Times New Roman" w:cs="Arial"/>
          <w:color w:val="000000"/>
          <w:lang w:eastAsia="bg-BG"/>
        </w:rPr>
        <w:t>филмирани таблетки</w:t>
      </w:r>
    </w:p>
    <w:p w14:paraId="6B579C1A" w14:textId="77777777" w:rsidR="00255F96" w:rsidRPr="00255F96" w:rsidRDefault="00255F96" w:rsidP="00255F96">
      <w:pPr>
        <w:spacing w:line="240" w:lineRule="auto"/>
        <w:rPr>
          <w:rFonts w:eastAsia="Times New Roman" w:cs="Arial"/>
          <w:lang w:val="en-US" w:eastAsia="bg-BG"/>
        </w:rPr>
      </w:pPr>
      <w:r w:rsidRPr="00255F96">
        <w:rPr>
          <w:rFonts w:eastAsia="Times New Roman" w:cs="Arial"/>
          <w:color w:val="000000"/>
          <w:lang w:eastAsia="bg-BG"/>
        </w:rPr>
        <w:t xml:space="preserve">Сердолект 12 </w:t>
      </w:r>
      <w:r w:rsidRPr="00255F96">
        <w:rPr>
          <w:rFonts w:eastAsia="Times New Roman" w:cs="Arial"/>
          <w:color w:val="000000"/>
          <w:lang w:val="en-US"/>
        </w:rPr>
        <w:t xml:space="preserve">mg </w:t>
      </w:r>
      <w:r w:rsidRPr="00255F96">
        <w:rPr>
          <w:rFonts w:eastAsia="Times New Roman" w:cs="Arial"/>
          <w:color w:val="000000"/>
          <w:lang w:eastAsia="bg-BG"/>
        </w:rPr>
        <w:t>филмирани таблетки</w:t>
      </w:r>
    </w:p>
    <w:p w14:paraId="1B0C8A15" w14:textId="77777777" w:rsidR="00255F96" w:rsidRPr="00255F96" w:rsidRDefault="00255F96" w:rsidP="00255F96">
      <w:pPr>
        <w:spacing w:line="240" w:lineRule="auto"/>
        <w:rPr>
          <w:rFonts w:eastAsia="Times New Roman" w:cs="Arial"/>
          <w:lang w:val="en-US" w:eastAsia="bg-BG"/>
        </w:rPr>
      </w:pPr>
      <w:r w:rsidRPr="00255F96">
        <w:rPr>
          <w:rFonts w:eastAsia="Times New Roman" w:cs="Arial"/>
          <w:color w:val="000000"/>
          <w:lang w:eastAsia="bg-BG"/>
        </w:rPr>
        <w:t xml:space="preserve">Сердолект 16 </w:t>
      </w:r>
      <w:r w:rsidRPr="00255F96">
        <w:rPr>
          <w:rFonts w:eastAsia="Times New Roman" w:cs="Arial"/>
          <w:color w:val="000000"/>
          <w:lang w:val="en-US"/>
        </w:rPr>
        <w:t xml:space="preserve">mg </w:t>
      </w:r>
      <w:r w:rsidRPr="00255F96">
        <w:rPr>
          <w:rFonts w:eastAsia="Times New Roman" w:cs="Arial"/>
          <w:color w:val="000000"/>
          <w:lang w:eastAsia="bg-BG"/>
        </w:rPr>
        <w:t>филмирани таблетки</w:t>
      </w:r>
    </w:p>
    <w:p w14:paraId="44B1FCDF" w14:textId="77777777" w:rsidR="00255F96" w:rsidRPr="00255F96" w:rsidRDefault="00255F96" w:rsidP="00255F96">
      <w:pPr>
        <w:spacing w:line="240" w:lineRule="auto"/>
        <w:rPr>
          <w:rFonts w:eastAsia="Times New Roman" w:cs="Arial"/>
          <w:color w:val="000000"/>
          <w:lang w:val="en-US"/>
        </w:rPr>
      </w:pPr>
    </w:p>
    <w:p w14:paraId="4B1A0C30" w14:textId="4514A95C" w:rsidR="00255F96" w:rsidRPr="00255F96" w:rsidRDefault="00255F96" w:rsidP="00255F96">
      <w:pPr>
        <w:spacing w:line="240" w:lineRule="auto"/>
        <w:rPr>
          <w:rFonts w:eastAsia="Times New Roman" w:cs="Arial"/>
          <w:lang w:val="en-US" w:eastAsia="bg-BG"/>
        </w:rPr>
      </w:pPr>
      <w:proofErr w:type="spellStart"/>
      <w:r w:rsidRPr="00255F96">
        <w:rPr>
          <w:rFonts w:eastAsia="Times New Roman" w:cs="Arial"/>
          <w:color w:val="000000"/>
          <w:lang w:val="en-US"/>
        </w:rPr>
        <w:t>Serdolect</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4 </w:t>
      </w:r>
      <w:r w:rsidRPr="00255F96">
        <w:rPr>
          <w:rFonts w:eastAsia="Times New Roman" w:cs="Arial"/>
          <w:color w:val="000000"/>
          <w:lang w:val="en-US"/>
        </w:rPr>
        <w:t>mg film-coated tablets</w:t>
      </w:r>
    </w:p>
    <w:p w14:paraId="41526EFF" w14:textId="77777777" w:rsidR="00255F96" w:rsidRPr="00255F96" w:rsidRDefault="00255F96" w:rsidP="00255F96">
      <w:pPr>
        <w:spacing w:line="240" w:lineRule="auto"/>
        <w:rPr>
          <w:rFonts w:eastAsia="Times New Roman" w:cs="Arial"/>
          <w:lang w:val="en-US" w:eastAsia="bg-BG"/>
        </w:rPr>
      </w:pPr>
      <w:proofErr w:type="spellStart"/>
      <w:r w:rsidRPr="00255F96">
        <w:rPr>
          <w:rFonts w:eastAsia="Times New Roman" w:cs="Arial"/>
          <w:color w:val="000000"/>
          <w:lang w:val="en-US"/>
        </w:rPr>
        <w:t>Serdolect</w:t>
      </w:r>
      <w:proofErr w:type="spellEnd"/>
      <w:r w:rsidRPr="00255F96">
        <w:rPr>
          <w:rFonts w:eastAsia="Times New Roman" w:cs="Arial"/>
          <w:color w:val="000000"/>
          <w:lang w:val="en-US"/>
        </w:rPr>
        <w:t xml:space="preserve"> 12 mg film-coated tablets</w:t>
      </w:r>
    </w:p>
    <w:p w14:paraId="5015A1FD" w14:textId="1278F326" w:rsidR="00A73575" w:rsidRPr="00255F96" w:rsidRDefault="00255F96" w:rsidP="00255F96">
      <w:pPr>
        <w:rPr>
          <w:rFonts w:cs="Arial"/>
        </w:rPr>
      </w:pPr>
      <w:proofErr w:type="spellStart"/>
      <w:r w:rsidRPr="00255F96">
        <w:rPr>
          <w:rFonts w:eastAsia="Times New Roman" w:cs="Arial"/>
          <w:color w:val="000000"/>
          <w:lang w:val="en-US"/>
        </w:rPr>
        <w:t>Serdolect</w:t>
      </w:r>
      <w:proofErr w:type="spellEnd"/>
      <w:r w:rsidRPr="00255F96">
        <w:rPr>
          <w:rFonts w:eastAsia="Times New Roman" w:cs="Arial"/>
          <w:color w:val="000000"/>
          <w:lang w:val="en-US"/>
        </w:rPr>
        <w:t xml:space="preserve"> 16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1C663C81" w14:textId="110927E6"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4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сертиндол </w:t>
      </w:r>
      <w:r w:rsidRPr="00255F96">
        <w:rPr>
          <w:rFonts w:eastAsia="Times New Roman" w:cs="Arial"/>
          <w:color w:val="000000"/>
          <w:lang w:val="en-US"/>
        </w:rPr>
        <w:t>(</w:t>
      </w:r>
      <w:proofErr w:type="spellStart"/>
      <w:r w:rsidRPr="00255F96">
        <w:rPr>
          <w:rFonts w:eastAsia="Times New Roman" w:cs="Arial"/>
          <w:color w:val="000000"/>
          <w:lang w:val="en-US"/>
        </w:rPr>
        <w:t>sertindole</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4 </w:t>
      </w:r>
      <w:r w:rsidRPr="00255F96">
        <w:rPr>
          <w:rFonts w:eastAsia="Times New Roman" w:cs="Arial"/>
          <w:color w:val="000000"/>
          <w:lang w:val="en-US"/>
        </w:rPr>
        <w:t>mg</w:t>
      </w:r>
    </w:p>
    <w:p w14:paraId="192BF409" w14:textId="20905A55"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12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сертиндол </w:t>
      </w:r>
      <w:r w:rsidRPr="00255F96">
        <w:rPr>
          <w:rFonts w:eastAsia="Times New Roman" w:cs="Arial"/>
          <w:color w:val="000000"/>
          <w:lang w:val="en-US"/>
        </w:rPr>
        <w:t>(</w:t>
      </w:r>
      <w:proofErr w:type="spellStart"/>
      <w:r w:rsidRPr="00255F96">
        <w:rPr>
          <w:rFonts w:eastAsia="Times New Roman" w:cs="Arial"/>
          <w:color w:val="000000"/>
          <w:lang w:val="en-US"/>
        </w:rPr>
        <w:t>sertindole</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12 </w:t>
      </w:r>
      <w:r w:rsidRPr="00255F96">
        <w:rPr>
          <w:rFonts w:eastAsia="Times New Roman" w:cs="Arial"/>
          <w:color w:val="000000"/>
          <w:lang w:val="en-US"/>
        </w:rPr>
        <w:t>mg</w:t>
      </w:r>
    </w:p>
    <w:p w14:paraId="463DC893" w14:textId="5CE62580"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16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сертиндол </w:t>
      </w:r>
      <w:r w:rsidRPr="00255F96">
        <w:rPr>
          <w:rFonts w:eastAsia="Times New Roman" w:cs="Arial"/>
          <w:color w:val="000000"/>
          <w:lang w:val="en-US"/>
        </w:rPr>
        <w:t>(</w:t>
      </w:r>
      <w:proofErr w:type="spellStart"/>
      <w:r w:rsidRPr="00255F96">
        <w:rPr>
          <w:rFonts w:eastAsia="Times New Roman" w:cs="Arial"/>
          <w:color w:val="000000"/>
          <w:lang w:val="en-US"/>
        </w:rPr>
        <w:t>sertindole</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16 </w:t>
      </w:r>
      <w:r w:rsidRPr="00255F96">
        <w:rPr>
          <w:rFonts w:eastAsia="Times New Roman" w:cs="Arial"/>
          <w:color w:val="000000"/>
          <w:lang w:val="en-US"/>
        </w:rPr>
        <w:t>mg</w:t>
      </w:r>
    </w:p>
    <w:p w14:paraId="54AC091E" w14:textId="77777777" w:rsidR="00255F96" w:rsidRPr="00255F96" w:rsidRDefault="00255F96" w:rsidP="00255F96">
      <w:pPr>
        <w:spacing w:line="240" w:lineRule="auto"/>
        <w:rPr>
          <w:rFonts w:eastAsia="Times New Roman" w:cs="Arial"/>
          <w:color w:val="000000"/>
          <w:lang w:eastAsia="bg-BG"/>
        </w:rPr>
      </w:pPr>
    </w:p>
    <w:p w14:paraId="4B4477EF" w14:textId="7EC48840"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Помощни вещества с известно действие: лактоза монохидрат</w:t>
      </w:r>
    </w:p>
    <w:p w14:paraId="1CB9DF12"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4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57,74 </w:t>
      </w:r>
      <w:r w:rsidRPr="00255F96">
        <w:rPr>
          <w:rFonts w:eastAsia="Times New Roman" w:cs="Arial"/>
          <w:color w:val="000000"/>
          <w:lang w:val="en-US"/>
        </w:rPr>
        <w:t xml:space="preserve">mg </w:t>
      </w:r>
      <w:r w:rsidRPr="00255F96">
        <w:rPr>
          <w:rFonts w:eastAsia="Times New Roman" w:cs="Arial"/>
          <w:color w:val="000000"/>
          <w:lang w:eastAsia="bg-BG"/>
        </w:rPr>
        <w:t>лактоза.</w:t>
      </w:r>
    </w:p>
    <w:p w14:paraId="21AF87D0"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12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80,29 </w:t>
      </w:r>
      <w:r w:rsidRPr="00255F96">
        <w:rPr>
          <w:rFonts w:eastAsia="Times New Roman" w:cs="Arial"/>
          <w:color w:val="000000"/>
          <w:lang w:val="en-US"/>
        </w:rPr>
        <w:t xml:space="preserve">mg </w:t>
      </w:r>
      <w:r w:rsidRPr="00255F96">
        <w:rPr>
          <w:rFonts w:eastAsia="Times New Roman" w:cs="Arial"/>
          <w:color w:val="000000"/>
          <w:lang w:eastAsia="bg-BG"/>
        </w:rPr>
        <w:t>лактоза.</w:t>
      </w:r>
    </w:p>
    <w:p w14:paraId="65F9FAF8"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Всяка таблетка от 16 </w:t>
      </w:r>
      <w:r w:rsidRPr="00255F96">
        <w:rPr>
          <w:rFonts w:eastAsia="Times New Roman" w:cs="Arial"/>
          <w:color w:val="000000"/>
          <w:lang w:val="en-US"/>
        </w:rPr>
        <w:t xml:space="preserve">mg </w:t>
      </w:r>
      <w:r w:rsidRPr="00255F96">
        <w:rPr>
          <w:rFonts w:eastAsia="Times New Roman" w:cs="Arial"/>
          <w:color w:val="000000"/>
          <w:lang w:eastAsia="bg-BG"/>
        </w:rPr>
        <w:t xml:space="preserve">съдържа 90,32 </w:t>
      </w:r>
      <w:r w:rsidRPr="00255F96">
        <w:rPr>
          <w:rFonts w:eastAsia="Times New Roman" w:cs="Arial"/>
          <w:color w:val="000000"/>
          <w:lang w:val="en-US"/>
        </w:rPr>
        <w:t xml:space="preserve">mg </w:t>
      </w:r>
      <w:r w:rsidRPr="00255F96">
        <w:rPr>
          <w:rFonts w:eastAsia="Times New Roman" w:cs="Arial"/>
          <w:color w:val="000000"/>
          <w:lang w:eastAsia="bg-BG"/>
        </w:rPr>
        <w:t>лактоза,</w:t>
      </w:r>
    </w:p>
    <w:p w14:paraId="5A836B9F" w14:textId="77777777" w:rsidR="00255F96" w:rsidRPr="00255F96" w:rsidRDefault="00255F96" w:rsidP="00255F96">
      <w:pPr>
        <w:rPr>
          <w:rFonts w:eastAsia="Times New Roman" w:cs="Arial"/>
          <w:color w:val="000000"/>
          <w:lang w:eastAsia="bg-BG"/>
        </w:rPr>
      </w:pPr>
    </w:p>
    <w:p w14:paraId="03110A50" w14:textId="12762C05" w:rsidR="0091385D" w:rsidRPr="00255F96" w:rsidRDefault="00255F96" w:rsidP="00255F96">
      <w:pPr>
        <w:rPr>
          <w:rFonts w:cs="Arial"/>
        </w:rPr>
      </w:pPr>
      <w:r w:rsidRPr="00255F96">
        <w:rPr>
          <w:rFonts w:eastAsia="Times New Roman" w:cs="Arial"/>
          <w:color w:val="000000"/>
          <w:lang w:eastAsia="bg-BG"/>
        </w:rPr>
        <w:t>За пълния списък на помощните вещества, вж.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0C9F0180"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Филмирана таблетка</w:t>
      </w:r>
    </w:p>
    <w:p w14:paraId="7E478EC3" w14:textId="77777777" w:rsidR="00255F96" w:rsidRPr="00255F96" w:rsidRDefault="00255F96" w:rsidP="00255F96">
      <w:pPr>
        <w:spacing w:line="240" w:lineRule="auto"/>
        <w:rPr>
          <w:rFonts w:eastAsia="Times New Roman" w:cs="Arial"/>
          <w:color w:val="000000"/>
          <w:lang w:eastAsia="bg-BG"/>
        </w:rPr>
      </w:pPr>
    </w:p>
    <w:p w14:paraId="4B094053" w14:textId="5EC67371"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Описание на таблетките:</w:t>
      </w:r>
    </w:p>
    <w:p w14:paraId="5CFF4F31" w14:textId="77777777" w:rsidR="00255F96" w:rsidRPr="00255F96" w:rsidRDefault="00255F96" w:rsidP="00255F96">
      <w:pPr>
        <w:spacing w:line="240" w:lineRule="auto"/>
        <w:rPr>
          <w:rFonts w:eastAsia="Times New Roman" w:cs="Arial"/>
          <w:color w:val="000000"/>
        </w:rPr>
      </w:pPr>
    </w:p>
    <w:p w14:paraId="3CF58C2A" w14:textId="4D7357E2" w:rsidR="00255F96" w:rsidRPr="00255F96" w:rsidRDefault="00255F96" w:rsidP="00255F96">
      <w:pPr>
        <w:spacing w:line="240" w:lineRule="auto"/>
        <w:rPr>
          <w:rFonts w:eastAsia="Times New Roman" w:cs="Arial"/>
          <w:color w:val="000000"/>
          <w:lang w:val="en-US"/>
        </w:rPr>
      </w:pPr>
      <w:r w:rsidRPr="00255F96">
        <w:rPr>
          <w:rFonts w:eastAsia="Times New Roman" w:cs="Arial"/>
          <w:color w:val="000000"/>
        </w:rPr>
        <w:t xml:space="preserve">4 </w:t>
      </w:r>
      <w:r w:rsidRPr="00255F96">
        <w:rPr>
          <w:rFonts w:eastAsia="Times New Roman" w:cs="Arial"/>
          <w:color w:val="000000"/>
          <w:lang w:val="en-US"/>
        </w:rPr>
        <w:t xml:space="preserve">mg: </w:t>
      </w:r>
      <w:r w:rsidRPr="00255F96">
        <w:rPr>
          <w:rFonts w:eastAsia="Times New Roman" w:cs="Arial"/>
          <w:color w:val="000000"/>
          <w:lang w:eastAsia="bg-BG"/>
        </w:rPr>
        <w:t xml:space="preserve">Овални, жълти, двойноизпъкнали филмирани таблетки с обозначение </w:t>
      </w:r>
      <w:r w:rsidRPr="00255F96">
        <w:rPr>
          <w:rFonts w:eastAsia="Times New Roman" w:cs="Arial"/>
          <w:color w:val="000000"/>
          <w:lang w:val="en-US"/>
        </w:rPr>
        <w:t xml:space="preserve">“S4” </w:t>
      </w:r>
      <w:r w:rsidRPr="00255F96">
        <w:rPr>
          <w:rFonts w:eastAsia="Times New Roman" w:cs="Arial"/>
          <w:color w:val="000000"/>
          <w:lang w:eastAsia="bg-BG"/>
        </w:rPr>
        <w:t>от едната страна</w:t>
      </w:r>
    </w:p>
    <w:p w14:paraId="330F0332"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12 </w:t>
      </w:r>
      <w:r w:rsidRPr="00255F96">
        <w:rPr>
          <w:rFonts w:eastAsia="Times New Roman" w:cs="Arial"/>
          <w:color w:val="000000"/>
          <w:lang w:val="en-US"/>
        </w:rPr>
        <w:t xml:space="preserve">mg: </w:t>
      </w:r>
      <w:r w:rsidRPr="00255F96">
        <w:rPr>
          <w:rFonts w:eastAsia="Times New Roman" w:cs="Arial"/>
          <w:color w:val="000000"/>
          <w:lang w:eastAsia="bg-BG"/>
        </w:rPr>
        <w:t xml:space="preserve">Овални, бежови, двойноизпъкнали филмирани таблетки с обозначе-ние </w:t>
      </w:r>
      <w:r w:rsidRPr="00255F96">
        <w:rPr>
          <w:rFonts w:eastAsia="Times New Roman" w:cs="Arial"/>
          <w:color w:val="000000"/>
          <w:lang w:val="en-US"/>
        </w:rPr>
        <w:t>“S</w:t>
      </w:r>
      <w:r w:rsidRPr="00255F96">
        <w:rPr>
          <w:rFonts w:eastAsia="Times New Roman" w:cs="Arial"/>
          <w:color w:val="000000"/>
          <w:lang w:eastAsia="bg-BG"/>
        </w:rPr>
        <w:t>12” от едната Страна</w:t>
      </w:r>
    </w:p>
    <w:p w14:paraId="4129ADBB" w14:textId="61FA6A22" w:rsidR="0091385D" w:rsidRPr="00255F96" w:rsidRDefault="00255F96" w:rsidP="00255F96">
      <w:pPr>
        <w:rPr>
          <w:rFonts w:cs="Arial"/>
        </w:rPr>
      </w:pPr>
      <w:r w:rsidRPr="00255F96">
        <w:rPr>
          <w:rFonts w:eastAsia="Times New Roman" w:cs="Arial"/>
          <w:color w:val="000000"/>
          <w:lang w:eastAsia="bg-BG"/>
        </w:rPr>
        <w:t xml:space="preserve">16 </w:t>
      </w:r>
      <w:r w:rsidRPr="00255F96">
        <w:rPr>
          <w:rFonts w:eastAsia="Times New Roman" w:cs="Arial"/>
          <w:color w:val="000000"/>
          <w:lang w:val="en-US"/>
        </w:rPr>
        <w:t xml:space="preserve">mg: </w:t>
      </w:r>
      <w:r w:rsidRPr="00255F96">
        <w:rPr>
          <w:rFonts w:eastAsia="Times New Roman" w:cs="Arial"/>
          <w:color w:val="000000"/>
          <w:lang w:eastAsia="bg-BG"/>
        </w:rPr>
        <w:t xml:space="preserve">Овални, тъмно розови, двойноизпъкнали филмирани таблетки с обозначение </w:t>
      </w:r>
      <w:r w:rsidRPr="00255F96">
        <w:rPr>
          <w:rFonts w:eastAsia="Times New Roman" w:cs="Arial"/>
          <w:color w:val="000000"/>
          <w:lang w:val="en-US"/>
        </w:rPr>
        <w:t>“S</w:t>
      </w:r>
      <w:r w:rsidRPr="00255F96">
        <w:rPr>
          <w:rFonts w:eastAsia="Times New Roman" w:cs="Arial"/>
          <w:color w:val="000000"/>
          <w:lang w:eastAsia="bg-BG"/>
        </w:rPr>
        <w:t>16” от едната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28EF1751"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lastRenderedPageBreak/>
        <w:t>Сертиндол е показан за лечение на шизофрения.</w:t>
      </w:r>
    </w:p>
    <w:p w14:paraId="650CB33D" w14:textId="77777777" w:rsidR="00255F96" w:rsidRPr="00255F96" w:rsidRDefault="00255F96" w:rsidP="00255F96">
      <w:pPr>
        <w:spacing w:line="240" w:lineRule="auto"/>
        <w:rPr>
          <w:rFonts w:eastAsia="Times New Roman" w:cs="Arial"/>
          <w:color w:val="000000"/>
          <w:lang w:eastAsia="bg-BG"/>
        </w:rPr>
      </w:pPr>
    </w:p>
    <w:p w14:paraId="775E3FAF" w14:textId="1C96ECF2"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Поради съображения за сърдечно-съдова безопасност, сертиндол трябва да бъде използван само при пациенти, които са показали непоносимост към поне един друг антипсихотик.</w:t>
      </w:r>
    </w:p>
    <w:p w14:paraId="72D97CD5" w14:textId="77777777" w:rsidR="00255F96" w:rsidRPr="00255F96" w:rsidRDefault="00255F96" w:rsidP="00255F96">
      <w:pPr>
        <w:spacing w:line="240" w:lineRule="auto"/>
        <w:rPr>
          <w:rFonts w:eastAsia="Times New Roman" w:cs="Arial"/>
          <w:color w:val="000000"/>
          <w:lang w:eastAsia="bg-BG"/>
        </w:rPr>
      </w:pPr>
    </w:p>
    <w:p w14:paraId="04B2E99C" w14:textId="0B5AD546" w:rsidR="0091385D" w:rsidRPr="00091BFD" w:rsidRDefault="00255F96" w:rsidP="00091BFD">
      <w:pPr>
        <w:spacing w:line="240" w:lineRule="auto"/>
        <w:rPr>
          <w:rFonts w:eastAsia="Times New Roman" w:cs="Arial"/>
          <w:sz w:val="24"/>
          <w:szCs w:val="24"/>
          <w:lang w:eastAsia="bg-BG"/>
        </w:rPr>
      </w:pPr>
      <w:r w:rsidRPr="00255F96">
        <w:rPr>
          <w:rFonts w:eastAsia="Times New Roman" w:cs="Arial"/>
          <w:color w:val="000000"/>
          <w:lang w:eastAsia="bg-BG"/>
        </w:rPr>
        <w:t>Сертиндол не трябва да се прилага при спешни състояния за бързо овладяване на симптомите при</w:t>
      </w:r>
      <w:r w:rsidR="00091BFD">
        <w:rPr>
          <w:rFonts w:eastAsia="Times New Roman" w:cs="Arial"/>
          <w:sz w:val="24"/>
          <w:szCs w:val="24"/>
          <w:lang w:eastAsia="bg-BG"/>
        </w:rPr>
        <w:t xml:space="preserve"> </w:t>
      </w:r>
      <w:bookmarkStart w:id="1" w:name="_GoBack"/>
      <w:bookmarkEnd w:id="1"/>
      <w:r w:rsidRPr="00255F96">
        <w:rPr>
          <w:rFonts w:eastAsia="Times New Roman" w:cs="Arial"/>
          <w:color w:val="000000"/>
          <w:lang w:eastAsia="bg-BG"/>
        </w:rPr>
        <w:t>психотично възбудени пациенти.</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C47570F"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Сертиндол се прилага перорално еднократно дневно без оглед приема на храна. При пациенти, които изискват седиране могат да се прилагат едновременно и бензодиазепини.</w:t>
      </w:r>
    </w:p>
    <w:p w14:paraId="65F21569" w14:textId="77777777" w:rsidR="00255F96" w:rsidRPr="00255F96" w:rsidRDefault="00255F96" w:rsidP="00255F96">
      <w:pPr>
        <w:spacing w:line="240" w:lineRule="auto"/>
        <w:rPr>
          <w:rFonts w:eastAsia="Times New Roman" w:cs="Arial"/>
          <w:b/>
          <w:bCs/>
          <w:color w:val="000000"/>
          <w:lang w:eastAsia="bg-BG"/>
        </w:rPr>
      </w:pPr>
    </w:p>
    <w:tbl>
      <w:tblPr>
        <w:tblStyle w:val="TableGrid"/>
        <w:tblW w:w="0" w:type="auto"/>
        <w:tblLook w:val="04A0" w:firstRow="1" w:lastRow="0" w:firstColumn="1" w:lastColumn="0" w:noHBand="0" w:noVBand="1"/>
      </w:tblPr>
      <w:tblGrid>
        <w:gridCol w:w="9350"/>
      </w:tblGrid>
      <w:tr w:rsidR="00255F96" w14:paraId="36C8B5C0" w14:textId="77777777" w:rsidTr="00255F96">
        <w:tc>
          <w:tcPr>
            <w:tcW w:w="9500" w:type="dxa"/>
          </w:tcPr>
          <w:p w14:paraId="4CF164C9"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 xml:space="preserve">Забележка; </w:t>
            </w:r>
            <w:r w:rsidRPr="00255F96">
              <w:rPr>
                <w:rFonts w:eastAsia="Times New Roman" w:cs="Arial"/>
                <w:color w:val="000000"/>
                <w:lang w:eastAsia="bg-BG"/>
              </w:rPr>
              <w:t>ЕКГ мониториране се изисква преди и по време на лечението със сертиндол: вж. точка 4.4.</w:t>
            </w:r>
          </w:p>
          <w:p w14:paraId="63B44B49"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Клинични проучвания са показали, че сертиндол удължава </w:t>
            </w:r>
            <w:r w:rsidRPr="00255F96">
              <w:rPr>
                <w:rFonts w:eastAsia="Times New Roman" w:cs="Arial"/>
                <w:color w:val="000000"/>
                <w:lang w:val="en-US"/>
              </w:rPr>
              <w:t xml:space="preserve">QT </w:t>
            </w:r>
            <w:r w:rsidRPr="00255F96">
              <w:rPr>
                <w:rFonts w:eastAsia="Times New Roman" w:cs="Arial"/>
                <w:color w:val="000000"/>
                <w:lang w:eastAsia="bg-BG"/>
              </w:rPr>
              <w:t>интервала в цо-голяма степен, отколкото някои други антипсихотици. Следователно сертиндол трябва да бъде използван само при пациенти, които са показали непоносимост към поне един друг антипсихотик.</w:t>
            </w:r>
          </w:p>
          <w:p w14:paraId="3472E505" w14:textId="08D007A5"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Лекарите, които предписват медикамента трябва да се придържат стриктно към изискваните мерки за безопасност: вж. точка 4.3. и 4.4.</w:t>
            </w:r>
          </w:p>
        </w:tc>
      </w:tr>
    </w:tbl>
    <w:p w14:paraId="29799A35" w14:textId="2FC1E78F" w:rsidR="00255F96" w:rsidRPr="00255F96" w:rsidRDefault="00255F96" w:rsidP="00255F96">
      <w:pPr>
        <w:spacing w:line="240" w:lineRule="auto"/>
        <w:rPr>
          <w:rFonts w:eastAsia="Times New Roman" w:cs="Arial"/>
          <w:color w:val="000000"/>
          <w:u w:val="single"/>
          <w:lang w:eastAsia="bg-BG"/>
        </w:rPr>
      </w:pPr>
    </w:p>
    <w:p w14:paraId="5F3D2960" w14:textId="570C9AEB"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Титриране</w:t>
      </w:r>
    </w:p>
    <w:p w14:paraId="48693964"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Всички пациенти трябва да започнат лечението със сертиндол 4 </w:t>
      </w:r>
      <w:r w:rsidRPr="00255F96">
        <w:rPr>
          <w:rFonts w:eastAsia="Times New Roman" w:cs="Arial"/>
          <w:color w:val="000000"/>
          <w:lang w:val="en-US"/>
        </w:rPr>
        <w:t xml:space="preserve">mg </w:t>
      </w:r>
      <w:r w:rsidRPr="00255F96">
        <w:rPr>
          <w:rFonts w:eastAsia="Times New Roman" w:cs="Arial"/>
          <w:color w:val="000000"/>
          <w:lang w:eastAsia="bg-BG"/>
        </w:rPr>
        <w:t xml:space="preserve">дневно. Дозата следва да се увеличава с по 4 </w:t>
      </w:r>
      <w:r w:rsidRPr="00255F96">
        <w:rPr>
          <w:rFonts w:eastAsia="Times New Roman" w:cs="Arial"/>
          <w:color w:val="000000"/>
          <w:lang w:val="en-US"/>
        </w:rPr>
        <w:t xml:space="preserve">mg </w:t>
      </w:r>
      <w:r w:rsidRPr="00255F96">
        <w:rPr>
          <w:rFonts w:eastAsia="Times New Roman" w:cs="Arial"/>
          <w:color w:val="000000"/>
          <w:lang w:eastAsia="bg-BG"/>
        </w:rPr>
        <w:t xml:space="preserve">през интервал от 4-5 дни до достигане на оптимална дневна поддържаща доза в границите 12-20 </w:t>
      </w:r>
      <w:r w:rsidRPr="00255F96">
        <w:rPr>
          <w:rFonts w:eastAsia="Times New Roman" w:cs="Arial"/>
          <w:color w:val="000000"/>
          <w:lang w:val="en-US"/>
        </w:rPr>
        <w:t xml:space="preserve">mg. </w:t>
      </w:r>
      <w:r w:rsidRPr="00255F96">
        <w:rPr>
          <w:rFonts w:eastAsia="Times New Roman" w:cs="Arial"/>
          <w:color w:val="000000"/>
          <w:lang w:eastAsia="bg-BG"/>
        </w:rPr>
        <w:t>Поради α</w:t>
      </w:r>
      <w:r w:rsidRPr="00255F96">
        <w:rPr>
          <w:rFonts w:eastAsia="Times New Roman" w:cs="Arial"/>
          <w:color w:val="000000"/>
          <w:vertAlign w:val="subscript"/>
          <w:lang w:eastAsia="bg-BG"/>
        </w:rPr>
        <w:t>1</w:t>
      </w:r>
      <w:r w:rsidRPr="00255F96">
        <w:rPr>
          <w:rFonts w:eastAsia="Times New Roman" w:cs="Arial"/>
          <w:color w:val="000000"/>
          <w:lang w:eastAsia="bg-BG"/>
        </w:rPr>
        <w:t xml:space="preserve">-блокиращото действие на сертиндол, по време на началното титриране могат да се появят симптоми на ортостатична хцпотензия. Начална доза от 8 </w:t>
      </w:r>
      <w:r w:rsidRPr="00255F96">
        <w:rPr>
          <w:rFonts w:eastAsia="Times New Roman" w:cs="Arial"/>
          <w:color w:val="000000"/>
          <w:lang w:val="en-US"/>
        </w:rPr>
        <w:t xml:space="preserve">mg </w:t>
      </w:r>
      <w:r w:rsidRPr="00255F96">
        <w:rPr>
          <w:rFonts w:eastAsia="Times New Roman" w:cs="Arial"/>
          <w:color w:val="000000"/>
          <w:lang w:eastAsia="bg-BG"/>
        </w:rPr>
        <w:t>или бързо покачване на дозата е свързано със значимо по-висок риск от ортостатична хипотензия.</w:t>
      </w:r>
    </w:p>
    <w:p w14:paraId="6EC6ADF6" w14:textId="77777777" w:rsidR="00255F96" w:rsidRPr="00255F96" w:rsidRDefault="00255F96" w:rsidP="00255F96">
      <w:pPr>
        <w:spacing w:line="240" w:lineRule="auto"/>
        <w:rPr>
          <w:rFonts w:eastAsia="Times New Roman" w:cs="Arial"/>
          <w:color w:val="000000"/>
          <w:u w:val="single"/>
          <w:lang w:eastAsia="bg-BG"/>
        </w:rPr>
      </w:pPr>
    </w:p>
    <w:p w14:paraId="07CB924A" w14:textId="267EEFEA"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Поддържаща терапия</w:t>
      </w:r>
    </w:p>
    <w:p w14:paraId="27B7D602"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В зависимост от индивидуалния отговор на пациента дозата може да бъде увеличена до 20 </w:t>
      </w:r>
      <w:r w:rsidRPr="00255F96">
        <w:rPr>
          <w:rFonts w:eastAsia="Times New Roman" w:cs="Arial"/>
          <w:color w:val="000000"/>
          <w:lang w:val="en-US"/>
        </w:rPr>
        <w:t xml:space="preserve">mg </w:t>
      </w:r>
      <w:r w:rsidRPr="00255F96">
        <w:rPr>
          <w:rFonts w:eastAsia="Times New Roman" w:cs="Arial"/>
          <w:color w:val="000000"/>
          <w:lang w:eastAsia="bg-BG"/>
        </w:rPr>
        <w:t xml:space="preserve">дневно. Само в изключителни случаи може да се прецени използването на максимална доза от 24 </w:t>
      </w:r>
      <w:r w:rsidRPr="00255F96">
        <w:rPr>
          <w:rFonts w:eastAsia="Times New Roman" w:cs="Arial"/>
          <w:color w:val="000000"/>
          <w:lang w:val="en-US"/>
        </w:rPr>
        <w:t xml:space="preserve">mg </w:t>
      </w:r>
      <w:r w:rsidRPr="00255F96">
        <w:rPr>
          <w:rFonts w:eastAsia="Times New Roman" w:cs="Arial"/>
          <w:color w:val="000000"/>
          <w:lang w:eastAsia="bg-BG"/>
        </w:rPr>
        <w:t xml:space="preserve">дневно, тъй като клиничните проучвания не са показали последователно по-висока ефективност при дози над 20 </w:t>
      </w:r>
      <w:r w:rsidRPr="00255F96">
        <w:rPr>
          <w:rFonts w:eastAsia="Times New Roman" w:cs="Arial"/>
          <w:color w:val="000000"/>
          <w:lang w:val="en-US"/>
        </w:rPr>
        <w:t xml:space="preserve">mg </w:t>
      </w:r>
      <w:r w:rsidRPr="00255F96">
        <w:rPr>
          <w:rFonts w:eastAsia="Times New Roman" w:cs="Arial"/>
          <w:color w:val="000000"/>
          <w:lang w:eastAsia="bg-BG"/>
        </w:rPr>
        <w:t xml:space="preserve">и удължаването на </w:t>
      </w:r>
      <w:r w:rsidRPr="00255F96">
        <w:rPr>
          <w:rFonts w:eastAsia="Times New Roman" w:cs="Arial"/>
          <w:color w:val="000000"/>
          <w:lang w:val="en-US"/>
        </w:rPr>
        <w:t xml:space="preserve">QT </w:t>
      </w:r>
      <w:r w:rsidRPr="00255F96">
        <w:rPr>
          <w:rFonts w:eastAsia="Times New Roman" w:cs="Arial"/>
          <w:color w:val="000000"/>
          <w:lang w:eastAsia="bg-BG"/>
        </w:rPr>
        <w:t>интервала може да бъде повишено в горния край на дозовия интервал.</w:t>
      </w:r>
    </w:p>
    <w:p w14:paraId="060EE4B2" w14:textId="77777777" w:rsidR="00255F96" w:rsidRPr="00255F96" w:rsidRDefault="00255F96" w:rsidP="00255F96">
      <w:pPr>
        <w:spacing w:line="240" w:lineRule="auto"/>
        <w:rPr>
          <w:rFonts w:eastAsia="Times New Roman" w:cs="Arial"/>
          <w:color w:val="000000"/>
          <w:lang w:eastAsia="bg-BG"/>
        </w:rPr>
      </w:pPr>
    </w:p>
    <w:p w14:paraId="5299DC3F" w14:textId="59E37511"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Кръвното налягане на пациентите следва да бъде мониторирано в периода на титриране и в началната фаза на поддържаща терапия.</w:t>
      </w:r>
    </w:p>
    <w:p w14:paraId="5B109708" w14:textId="77777777" w:rsidR="00255F96" w:rsidRPr="00255F96" w:rsidRDefault="00255F96" w:rsidP="00255F96">
      <w:pPr>
        <w:spacing w:line="240" w:lineRule="auto"/>
        <w:rPr>
          <w:rFonts w:eastAsia="Times New Roman" w:cs="Arial"/>
          <w:b/>
          <w:bCs/>
          <w:color w:val="000000"/>
          <w:lang w:eastAsia="bg-BG"/>
        </w:rPr>
      </w:pPr>
      <w:bookmarkStart w:id="2" w:name="bookmark0"/>
    </w:p>
    <w:p w14:paraId="73A34EB3" w14:textId="1AAF8867"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Пациенти в старческа възраст</w:t>
      </w:r>
      <w:bookmarkEnd w:id="2"/>
    </w:p>
    <w:p w14:paraId="5B0F25DB"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Данните от фармакокинетично проучване не показват разлика между млади индивиди и такива в напреднала възраст. Съществуват обаче само ограничени данни от клинични проучвания при пациенти над 65 години. Лечението трябва да се започва само след обстоен сърдечно-съдов преглед. При п</w:t>
      </w:r>
      <w:r w:rsidRPr="00255F96">
        <w:rPr>
          <w:rFonts w:eastAsia="Times New Roman" w:cs="Arial"/>
          <w:color w:val="000000"/>
          <w:lang w:val="en-US"/>
        </w:rPr>
        <w:t>o</w:t>
      </w:r>
      <w:r w:rsidRPr="00255F96">
        <w:rPr>
          <w:rFonts w:eastAsia="Times New Roman" w:cs="Arial"/>
          <w:color w:val="000000"/>
          <w:lang w:eastAsia="bg-BG"/>
        </w:rPr>
        <w:t>-възрастни пациенти са подходящи по-бавно титриране на дозата и по-ниски поддържащи дози (вж. точка 4,4.).</w:t>
      </w:r>
    </w:p>
    <w:p w14:paraId="764D9DE6" w14:textId="77777777" w:rsidR="00255F96" w:rsidRPr="00255F96" w:rsidRDefault="00255F96" w:rsidP="00255F96">
      <w:pPr>
        <w:spacing w:line="240" w:lineRule="auto"/>
        <w:rPr>
          <w:rFonts w:eastAsia="Times New Roman" w:cs="Arial"/>
          <w:b/>
          <w:bCs/>
          <w:color w:val="000000"/>
          <w:lang w:eastAsia="bg-BG"/>
        </w:rPr>
      </w:pPr>
      <w:bookmarkStart w:id="3" w:name="bookmark2"/>
    </w:p>
    <w:p w14:paraId="6F2C3413" w14:textId="3BDF0849"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Деца и юноши под 18 години</w:t>
      </w:r>
      <w:bookmarkEnd w:id="3"/>
    </w:p>
    <w:p w14:paraId="0DD69DDD"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lastRenderedPageBreak/>
        <w:t>Не се препоръчва употребата на Сердолект при деца и юноши поради липсата на данни за безопасността и ефикасността.</w:t>
      </w:r>
    </w:p>
    <w:p w14:paraId="1C928402" w14:textId="77777777" w:rsidR="00255F96" w:rsidRPr="00255F96" w:rsidRDefault="00255F96" w:rsidP="00255F96">
      <w:pPr>
        <w:spacing w:line="240" w:lineRule="auto"/>
        <w:rPr>
          <w:rFonts w:eastAsia="Times New Roman" w:cs="Arial"/>
          <w:b/>
          <w:bCs/>
          <w:color w:val="000000"/>
          <w:lang w:eastAsia="bg-BG"/>
        </w:rPr>
      </w:pPr>
      <w:bookmarkStart w:id="4" w:name="bookmark4"/>
    </w:p>
    <w:p w14:paraId="7D72DC8E" w14:textId="4E7FEC21"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Намалена бъбречна функция</w:t>
      </w:r>
      <w:bookmarkEnd w:id="4"/>
    </w:p>
    <w:p w14:paraId="3A843969"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Сертиндол може да се дава в обичайни дози на пациенти с нарушена бъбречна функция (вж. точка 4.3). Фармакокинетиката на сертиндол не се засяга при хемодиализа.</w:t>
      </w:r>
    </w:p>
    <w:p w14:paraId="1C74F8F7" w14:textId="77777777" w:rsidR="00255F96" w:rsidRPr="00255F96" w:rsidRDefault="00255F96" w:rsidP="00255F96">
      <w:pPr>
        <w:spacing w:line="240" w:lineRule="auto"/>
        <w:rPr>
          <w:rFonts w:eastAsia="Times New Roman" w:cs="Arial"/>
          <w:b/>
          <w:bCs/>
          <w:color w:val="000000"/>
          <w:lang w:eastAsia="bg-BG"/>
        </w:rPr>
      </w:pPr>
      <w:bookmarkStart w:id="5" w:name="bookmark6"/>
    </w:p>
    <w:p w14:paraId="7D9B3480" w14:textId="20DB69C2"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Намалена чернодробна функция</w:t>
      </w:r>
      <w:bookmarkEnd w:id="5"/>
    </w:p>
    <w:p w14:paraId="463A1E04"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Пациенти с лека/умерена чернодробна недостатъчност изискват по-бавно титриране на дозата и по- ниски поддържащи дози. </w:t>
      </w:r>
      <w:bookmarkStart w:id="6" w:name="bookmark8"/>
      <w:bookmarkEnd w:id="6"/>
    </w:p>
    <w:p w14:paraId="64155143" w14:textId="77777777" w:rsidR="00255F96" w:rsidRPr="00255F96" w:rsidRDefault="00255F96" w:rsidP="00255F96">
      <w:pPr>
        <w:spacing w:line="240" w:lineRule="auto"/>
        <w:rPr>
          <w:rFonts w:eastAsia="Times New Roman" w:cs="Arial"/>
          <w:b/>
          <w:bCs/>
          <w:color w:val="000000"/>
          <w:lang w:eastAsia="bg-BG"/>
        </w:rPr>
      </w:pPr>
    </w:p>
    <w:p w14:paraId="3E9E61AF" w14:textId="34B6CE4E"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Ре-титриране на дозата на сертиндол при пациенти преустановили приема му</w:t>
      </w:r>
    </w:p>
    <w:p w14:paraId="1C44D29C" w14:textId="77777777" w:rsidR="00255F96" w:rsidRPr="00255F96" w:rsidRDefault="00255F96" w:rsidP="00255F96">
      <w:pPr>
        <w:rPr>
          <w:rFonts w:eastAsia="Times New Roman" w:cs="Arial"/>
          <w:sz w:val="24"/>
          <w:szCs w:val="24"/>
          <w:lang w:eastAsia="bg-BG"/>
        </w:rPr>
      </w:pPr>
      <w:r w:rsidRPr="00255F96">
        <w:rPr>
          <w:rFonts w:eastAsia="Times New Roman" w:cs="Arial"/>
          <w:color w:val="000000"/>
          <w:lang w:eastAsia="bg-BG"/>
        </w:rPr>
        <w:t>Когато пациентите подновяват приема на сертиндол в случай, че той е бил прекратен за по-малко от</w:t>
      </w:r>
      <w:r>
        <w:rPr>
          <w:rFonts w:eastAsia="Times New Roman" w:cs="Arial"/>
          <w:color w:val="000000"/>
          <w:lang w:eastAsia="bg-BG"/>
        </w:rPr>
        <w:t xml:space="preserve"> </w:t>
      </w:r>
      <w:r w:rsidRPr="00255F96">
        <w:rPr>
          <w:rFonts w:eastAsia="Times New Roman" w:cs="Arial"/>
          <w:color w:val="000000"/>
          <w:lang w:eastAsia="bg-BG"/>
        </w:rPr>
        <w:t>седмица, ре-титриране на дозата не се налага и лечението може да продължи с поддържащата доза. Във всички останали случаи трябва да се спазва препоръчваната схема на титриране, Преди започване на ре-титриране да се направи ЕКГ.</w:t>
      </w:r>
    </w:p>
    <w:p w14:paraId="4A683E61" w14:textId="77777777" w:rsidR="00255F96" w:rsidRPr="00255F96" w:rsidRDefault="00255F96" w:rsidP="00255F96">
      <w:pPr>
        <w:spacing w:line="240" w:lineRule="auto"/>
        <w:rPr>
          <w:rFonts w:eastAsia="Times New Roman" w:cs="Arial"/>
          <w:b/>
          <w:bCs/>
          <w:color w:val="000000"/>
          <w:lang w:eastAsia="bg-BG"/>
        </w:rPr>
      </w:pPr>
    </w:p>
    <w:p w14:paraId="17507A40" w14:textId="7EEFA3B4" w:rsidR="00255F96" w:rsidRPr="00255F96" w:rsidRDefault="00255F96" w:rsidP="00255F96">
      <w:pPr>
        <w:spacing w:line="240" w:lineRule="auto"/>
        <w:rPr>
          <w:rFonts w:eastAsia="Times New Roman" w:cs="Arial"/>
          <w:sz w:val="24"/>
          <w:szCs w:val="24"/>
          <w:lang w:eastAsia="bg-BG"/>
        </w:rPr>
      </w:pPr>
      <w:r w:rsidRPr="00255F96">
        <w:rPr>
          <w:rFonts w:eastAsia="Times New Roman" w:cs="Arial"/>
          <w:b/>
          <w:bCs/>
          <w:color w:val="000000"/>
          <w:lang w:eastAsia="bg-BG"/>
        </w:rPr>
        <w:t>Преминаване от лечение с други невролептици към такова със сертиндол</w:t>
      </w:r>
    </w:p>
    <w:p w14:paraId="475300EC" w14:textId="056E98FC" w:rsidR="0091385D" w:rsidRPr="00255F96" w:rsidRDefault="00255F96" w:rsidP="00255F96">
      <w:pPr>
        <w:rPr>
          <w:rFonts w:cs="Arial"/>
        </w:rPr>
      </w:pPr>
      <w:r w:rsidRPr="00255F96">
        <w:rPr>
          <w:rFonts w:eastAsia="Times New Roman" w:cs="Arial"/>
          <w:color w:val="000000"/>
          <w:lang w:eastAsia="bg-BG"/>
        </w:rPr>
        <w:t>Лечението със сертиндол трябва да започне съгласно препоръчваната схема на титриране като едновременно с това се прекрати употребата на други перорални антипсихотици. При пациенти на депо-терапия, началният прием на сертиндол замества следващата депо-инжекция.</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F24C81B"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Свръхчувствителност към сертиндол или някое от помощните вещества.</w:t>
      </w:r>
    </w:p>
    <w:p w14:paraId="411DC086"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Сертиндол е противопоказан при пациенти с некоригирана хипокалиемия и такива с некоригирана хипомагнезиемия.</w:t>
      </w:r>
    </w:p>
    <w:p w14:paraId="11678067" w14:textId="77777777" w:rsidR="00255F96" w:rsidRPr="00255F96" w:rsidRDefault="00255F96" w:rsidP="00255F96">
      <w:pPr>
        <w:spacing w:line="240" w:lineRule="auto"/>
        <w:rPr>
          <w:rFonts w:eastAsia="Times New Roman" w:cs="Arial"/>
          <w:color w:val="000000"/>
          <w:lang w:eastAsia="bg-BG"/>
        </w:rPr>
      </w:pPr>
    </w:p>
    <w:p w14:paraId="2D6FB351" w14:textId="22577D1D"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Сертиндол е противопоказан при пациенти с анамнестични данни за клинично значимо сърдечно</w:t>
      </w:r>
      <w:r w:rsidRPr="00255F96">
        <w:rPr>
          <w:rFonts w:eastAsia="Times New Roman" w:cs="Arial"/>
          <w:color w:val="000000"/>
          <w:lang w:eastAsia="bg-BG"/>
        </w:rPr>
        <w:softHyphen/>
        <w:t>съдово заболяване, застойна сърдечна недостатъчност, сърдечна хипертрофия, аритмия, или брадикардия (&lt; 50 удара в минута).</w:t>
      </w:r>
    </w:p>
    <w:p w14:paraId="4F3EEB3C" w14:textId="77777777" w:rsidR="00255F96" w:rsidRPr="00255F96" w:rsidRDefault="00255F96" w:rsidP="00255F96">
      <w:pPr>
        <w:spacing w:line="240" w:lineRule="auto"/>
        <w:rPr>
          <w:rFonts w:eastAsia="Times New Roman" w:cs="Arial"/>
          <w:color w:val="000000"/>
          <w:lang w:eastAsia="bg-BG"/>
        </w:rPr>
      </w:pPr>
    </w:p>
    <w:p w14:paraId="313EEDB6" w14:textId="0B657B7C"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Нещо повече, сертиндол не трябва да се прилага при пациенти със синдром на вроден удължен </w:t>
      </w:r>
      <w:r w:rsidRPr="00255F96">
        <w:rPr>
          <w:rFonts w:eastAsia="Times New Roman" w:cs="Arial"/>
          <w:color w:val="000000"/>
          <w:lang w:val="en-US"/>
        </w:rPr>
        <w:t xml:space="preserve">QT- </w:t>
      </w:r>
      <w:r w:rsidRPr="00255F96">
        <w:rPr>
          <w:rFonts w:eastAsia="Times New Roman" w:cs="Arial"/>
          <w:color w:val="000000"/>
          <w:lang w:eastAsia="bg-BG"/>
        </w:rPr>
        <w:t xml:space="preserve">интервал или с фамилна анамнеза за такова заболяване, или при пациенти, за които е известно, че са с удължен </w:t>
      </w:r>
      <w:r w:rsidRPr="00255F96">
        <w:rPr>
          <w:rFonts w:eastAsia="Times New Roman" w:cs="Arial"/>
          <w:color w:val="000000"/>
          <w:lang w:val="en-US"/>
        </w:rPr>
        <w:t>QT</w:t>
      </w:r>
      <w:r w:rsidRPr="00255F96">
        <w:rPr>
          <w:rFonts w:eastAsia="Times New Roman" w:cs="Arial"/>
          <w:color w:val="000000"/>
          <w:lang w:eastAsia="bg-BG"/>
        </w:rPr>
        <w:t xml:space="preserve">-интервал </w:t>
      </w:r>
      <w:r w:rsidRPr="00255F96">
        <w:rPr>
          <w:rFonts w:eastAsia="Times New Roman" w:cs="Arial"/>
          <w:color w:val="000000"/>
          <w:lang w:val="en-US"/>
        </w:rPr>
        <w:t>(</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над 450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при мъже и над 470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при жени).</w:t>
      </w:r>
    </w:p>
    <w:p w14:paraId="377E829C" w14:textId="77777777" w:rsidR="00255F96" w:rsidRPr="00255F96" w:rsidRDefault="00255F96" w:rsidP="00255F96">
      <w:pPr>
        <w:spacing w:line="240" w:lineRule="auto"/>
        <w:rPr>
          <w:rFonts w:eastAsia="Times New Roman" w:cs="Arial"/>
          <w:color w:val="000000"/>
          <w:lang w:eastAsia="bg-BG"/>
        </w:rPr>
      </w:pPr>
    </w:p>
    <w:p w14:paraId="56323D4D" w14:textId="4AB5B21B"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Сертиндол е противопоказан при пациенти, получаващи лекарства, за които е известно, че водят до удължаване на </w:t>
      </w:r>
      <w:r w:rsidRPr="00255F96">
        <w:rPr>
          <w:rFonts w:eastAsia="Times New Roman" w:cs="Arial"/>
          <w:color w:val="000000"/>
          <w:lang w:val="en-US"/>
        </w:rPr>
        <w:t>QT</w:t>
      </w:r>
      <w:r w:rsidRPr="00255F96">
        <w:rPr>
          <w:rFonts w:eastAsia="Times New Roman" w:cs="Arial"/>
          <w:color w:val="000000"/>
          <w:lang w:eastAsia="bg-BG"/>
        </w:rPr>
        <w:t>-интервала. Съответните класове медикаменти включват:</w:t>
      </w:r>
    </w:p>
    <w:p w14:paraId="4C399148" w14:textId="660C9B71" w:rsidR="00255F96" w:rsidRPr="00255F96" w:rsidRDefault="00255F96" w:rsidP="00255F96">
      <w:pPr>
        <w:pStyle w:val="ListParagraph"/>
        <w:numPr>
          <w:ilvl w:val="0"/>
          <w:numId w:val="36"/>
        </w:numPr>
        <w:spacing w:line="240" w:lineRule="auto"/>
        <w:rPr>
          <w:rFonts w:eastAsia="Times New Roman" w:cs="Arial"/>
          <w:sz w:val="24"/>
          <w:szCs w:val="24"/>
          <w:lang w:eastAsia="bg-BG"/>
        </w:rPr>
      </w:pPr>
      <w:r>
        <w:rPr>
          <w:rFonts w:eastAsia="Times New Roman" w:cs="Arial"/>
          <w:color w:val="000000"/>
          <w:lang w:eastAsia="bg-BG"/>
        </w:rPr>
        <w:t xml:space="preserve">клас </w:t>
      </w:r>
      <w:r w:rsidRPr="00255F96">
        <w:rPr>
          <w:rFonts w:eastAsia="Times New Roman" w:cs="Arial"/>
          <w:color w:val="000000"/>
          <w:lang w:eastAsia="bg-BG"/>
        </w:rPr>
        <w:t>I</w:t>
      </w:r>
      <w:r w:rsidRPr="00255F96">
        <w:rPr>
          <w:rFonts w:eastAsia="Times New Roman" w:cs="Arial"/>
          <w:color w:val="000000"/>
          <w:lang w:eastAsia="bg-BG"/>
        </w:rPr>
        <w:t>а и III антиаритмици (напр. хинидин, амиодарон, соталол, дофетилид)</w:t>
      </w:r>
    </w:p>
    <w:p w14:paraId="500EA543" w14:textId="77777777" w:rsidR="00255F96" w:rsidRPr="00255F96" w:rsidRDefault="00255F96" w:rsidP="00255F96">
      <w:pPr>
        <w:pStyle w:val="ListParagraph"/>
        <w:numPr>
          <w:ilvl w:val="0"/>
          <w:numId w:val="36"/>
        </w:numPr>
        <w:spacing w:line="240" w:lineRule="auto"/>
        <w:rPr>
          <w:rFonts w:eastAsia="Times New Roman" w:cs="Arial"/>
          <w:sz w:val="24"/>
          <w:szCs w:val="24"/>
          <w:lang w:eastAsia="bg-BG"/>
        </w:rPr>
      </w:pPr>
      <w:r w:rsidRPr="00255F96">
        <w:rPr>
          <w:rFonts w:eastAsia="Times New Roman" w:cs="Arial"/>
          <w:color w:val="000000"/>
          <w:lang w:eastAsia="bg-BG"/>
        </w:rPr>
        <w:t>някои антипсихотици (напр. тиоридазин)</w:t>
      </w:r>
    </w:p>
    <w:p w14:paraId="5A1D6B90" w14:textId="77777777" w:rsidR="00255F96" w:rsidRPr="00255F96" w:rsidRDefault="00255F96" w:rsidP="00255F96">
      <w:pPr>
        <w:pStyle w:val="ListParagraph"/>
        <w:numPr>
          <w:ilvl w:val="0"/>
          <w:numId w:val="36"/>
        </w:numPr>
        <w:spacing w:line="240" w:lineRule="auto"/>
        <w:rPr>
          <w:rFonts w:eastAsia="Times New Roman" w:cs="Arial"/>
          <w:sz w:val="24"/>
          <w:szCs w:val="24"/>
          <w:lang w:eastAsia="bg-BG"/>
        </w:rPr>
      </w:pPr>
      <w:r w:rsidRPr="00255F96">
        <w:rPr>
          <w:rFonts w:eastAsia="Times New Roman" w:cs="Arial"/>
          <w:color w:val="000000"/>
          <w:lang w:eastAsia="bg-BG"/>
        </w:rPr>
        <w:t>някои макролиди (напр. еритромицин)</w:t>
      </w:r>
    </w:p>
    <w:p w14:paraId="45F4A6B3" w14:textId="77777777" w:rsidR="00255F96" w:rsidRPr="00255F96" w:rsidRDefault="00255F96" w:rsidP="00255F96">
      <w:pPr>
        <w:pStyle w:val="ListParagraph"/>
        <w:numPr>
          <w:ilvl w:val="0"/>
          <w:numId w:val="36"/>
        </w:numPr>
        <w:spacing w:line="240" w:lineRule="auto"/>
        <w:rPr>
          <w:rFonts w:eastAsia="Times New Roman" w:cs="Arial"/>
          <w:sz w:val="24"/>
          <w:szCs w:val="24"/>
          <w:lang w:eastAsia="bg-BG"/>
        </w:rPr>
      </w:pPr>
      <w:r w:rsidRPr="00255F96">
        <w:rPr>
          <w:rFonts w:eastAsia="Times New Roman" w:cs="Arial"/>
          <w:color w:val="000000"/>
          <w:lang w:eastAsia="bg-BG"/>
        </w:rPr>
        <w:t>някои антихистамини (напр. терфенадин, астемизол)</w:t>
      </w:r>
    </w:p>
    <w:p w14:paraId="5E5FC478" w14:textId="66E6F93E" w:rsidR="00255F96" w:rsidRPr="00255F96" w:rsidRDefault="00255F96" w:rsidP="00255F96">
      <w:pPr>
        <w:pStyle w:val="ListParagraph"/>
        <w:numPr>
          <w:ilvl w:val="0"/>
          <w:numId w:val="36"/>
        </w:numPr>
        <w:spacing w:line="240" w:lineRule="auto"/>
        <w:rPr>
          <w:rFonts w:eastAsia="Times New Roman" w:cs="Arial"/>
          <w:sz w:val="24"/>
          <w:szCs w:val="24"/>
          <w:lang w:eastAsia="bg-BG"/>
        </w:rPr>
      </w:pPr>
      <w:r w:rsidRPr="00255F96">
        <w:rPr>
          <w:rFonts w:eastAsia="Times New Roman" w:cs="Arial"/>
          <w:color w:val="000000"/>
          <w:lang w:eastAsia="bg-BG"/>
        </w:rPr>
        <w:t>някои хинолони (напр. гатифлоксацин, моксифлокрацин)</w:t>
      </w:r>
    </w:p>
    <w:p w14:paraId="30E0FD04" w14:textId="77777777" w:rsidR="00255F96" w:rsidRPr="00255F96" w:rsidRDefault="00255F96" w:rsidP="00255F96">
      <w:pPr>
        <w:spacing w:line="240" w:lineRule="auto"/>
        <w:rPr>
          <w:rFonts w:eastAsia="Times New Roman" w:cs="Arial"/>
          <w:color w:val="000000"/>
          <w:lang w:eastAsia="bg-BG"/>
        </w:rPr>
      </w:pPr>
    </w:p>
    <w:p w14:paraId="1B011101" w14:textId="3BD33690"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Горепосоченият списък не е напълно изчерпателен и затова други лекарствени средства удължаващи значимо </w:t>
      </w:r>
      <w:r w:rsidRPr="00255F96">
        <w:rPr>
          <w:rFonts w:eastAsia="Times New Roman" w:cs="Arial"/>
          <w:color w:val="000000"/>
          <w:lang w:val="en-US"/>
        </w:rPr>
        <w:t>QT</w:t>
      </w:r>
      <w:r w:rsidRPr="00255F96">
        <w:rPr>
          <w:rFonts w:eastAsia="Times New Roman" w:cs="Arial"/>
          <w:color w:val="000000"/>
          <w:lang w:eastAsia="bg-BG"/>
        </w:rPr>
        <w:t>-интервала (напр. цизаприд, литий) са също противопоказани.</w:t>
      </w:r>
    </w:p>
    <w:p w14:paraId="2D095495" w14:textId="77777777" w:rsidR="00255F96" w:rsidRPr="00255F96" w:rsidRDefault="00255F96" w:rsidP="00255F96">
      <w:pPr>
        <w:spacing w:line="240" w:lineRule="auto"/>
        <w:rPr>
          <w:rFonts w:eastAsia="Times New Roman" w:cs="Arial"/>
          <w:color w:val="000000"/>
          <w:lang w:eastAsia="bg-BG"/>
        </w:rPr>
      </w:pPr>
    </w:p>
    <w:p w14:paraId="12F60BF0" w14:textId="42575FF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Едновременната употреба на сертиндол с лекарства, за които е известно, че мощно инхибират чернодробните ензими от цитохромната система Р4503А е противопоказана (Вж. точка 4.5). Съответните класове включват:</w:t>
      </w:r>
    </w:p>
    <w:p w14:paraId="6D5989DF" w14:textId="77777777" w:rsidR="00255F96" w:rsidRPr="00255F96" w:rsidRDefault="00255F96" w:rsidP="00255F96">
      <w:pPr>
        <w:pStyle w:val="ListParagraph"/>
        <w:numPr>
          <w:ilvl w:val="0"/>
          <w:numId w:val="35"/>
        </w:numPr>
        <w:spacing w:line="240" w:lineRule="auto"/>
        <w:rPr>
          <w:rFonts w:eastAsia="Times New Roman" w:cs="Arial"/>
          <w:sz w:val="24"/>
          <w:szCs w:val="24"/>
          <w:lang w:eastAsia="bg-BG"/>
        </w:rPr>
      </w:pPr>
      <w:r w:rsidRPr="00255F96">
        <w:rPr>
          <w:rFonts w:eastAsia="Times New Roman" w:cs="Arial"/>
          <w:color w:val="000000"/>
          <w:lang w:eastAsia="bg-BG"/>
        </w:rPr>
        <w:t>антимикотични лекарства за системна употреба от групата на “азолите” (напр, кетоконазол, итраконазол)</w:t>
      </w:r>
    </w:p>
    <w:p w14:paraId="3AC87CC3" w14:textId="77777777" w:rsidR="00255F96" w:rsidRPr="00255F96" w:rsidRDefault="00255F96" w:rsidP="00255F96">
      <w:pPr>
        <w:pStyle w:val="ListParagraph"/>
        <w:numPr>
          <w:ilvl w:val="0"/>
          <w:numId w:val="35"/>
        </w:numPr>
        <w:spacing w:line="240" w:lineRule="auto"/>
        <w:rPr>
          <w:rFonts w:eastAsia="Times New Roman" w:cs="Arial"/>
          <w:sz w:val="24"/>
          <w:szCs w:val="24"/>
          <w:lang w:eastAsia="bg-BG"/>
        </w:rPr>
      </w:pPr>
      <w:r w:rsidRPr="00255F96">
        <w:rPr>
          <w:rFonts w:eastAsia="Times New Roman" w:cs="Arial"/>
          <w:color w:val="000000"/>
          <w:lang w:eastAsia="bg-BG"/>
        </w:rPr>
        <w:t>макролиди (напр. еритромицин, кларитромицин)</w:t>
      </w:r>
    </w:p>
    <w:p w14:paraId="0AF838F3" w14:textId="77777777" w:rsidR="00255F96" w:rsidRPr="00255F96" w:rsidRDefault="00255F96" w:rsidP="00255F96">
      <w:pPr>
        <w:pStyle w:val="ListParagraph"/>
        <w:numPr>
          <w:ilvl w:val="0"/>
          <w:numId w:val="35"/>
        </w:numPr>
        <w:spacing w:line="240" w:lineRule="auto"/>
        <w:rPr>
          <w:rFonts w:eastAsia="Times New Roman" w:cs="Arial"/>
          <w:sz w:val="24"/>
          <w:szCs w:val="24"/>
          <w:lang w:eastAsia="bg-BG"/>
        </w:rPr>
      </w:pPr>
      <w:r w:rsidRPr="00255F96">
        <w:rPr>
          <w:rFonts w:eastAsia="Times New Roman" w:cs="Arial"/>
          <w:color w:val="000000"/>
          <w:lang w:val="en-US"/>
        </w:rPr>
        <w:t xml:space="preserve">HIV </w:t>
      </w:r>
      <w:r w:rsidRPr="00255F96">
        <w:rPr>
          <w:rFonts w:eastAsia="Times New Roman" w:cs="Arial"/>
          <w:color w:val="000000"/>
          <w:lang w:eastAsia="bg-BG"/>
        </w:rPr>
        <w:t>протеазни инхибитори (напр. индинавир)</w:t>
      </w:r>
    </w:p>
    <w:p w14:paraId="49099A51" w14:textId="2D50AC8C" w:rsidR="00255F96" w:rsidRPr="00255F96" w:rsidRDefault="00255F96" w:rsidP="00255F96">
      <w:pPr>
        <w:pStyle w:val="ListParagraph"/>
        <w:numPr>
          <w:ilvl w:val="0"/>
          <w:numId w:val="35"/>
        </w:numPr>
        <w:spacing w:line="240" w:lineRule="auto"/>
        <w:rPr>
          <w:rFonts w:eastAsia="Times New Roman" w:cs="Arial"/>
          <w:sz w:val="24"/>
          <w:szCs w:val="24"/>
          <w:lang w:eastAsia="bg-BG"/>
        </w:rPr>
      </w:pPr>
      <w:r w:rsidRPr="00255F96">
        <w:rPr>
          <w:rFonts w:eastAsia="Times New Roman" w:cs="Arial"/>
          <w:color w:val="000000"/>
          <w:lang w:eastAsia="bg-BG"/>
        </w:rPr>
        <w:t>Някои калциеви антагонисти (напр. дилтиазепам, верапамил)</w:t>
      </w:r>
    </w:p>
    <w:p w14:paraId="1968FB01" w14:textId="77777777" w:rsidR="00255F96" w:rsidRPr="00255F96" w:rsidRDefault="00255F96" w:rsidP="00255F96">
      <w:pPr>
        <w:spacing w:line="240" w:lineRule="auto"/>
        <w:rPr>
          <w:rFonts w:eastAsia="Times New Roman" w:cs="Arial"/>
          <w:color w:val="000000"/>
          <w:lang w:eastAsia="bg-BG"/>
        </w:rPr>
      </w:pPr>
    </w:p>
    <w:p w14:paraId="1071F3B1" w14:textId="59FEA76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Горепосоченият списък не е напълно изчерпателен и затова други лекарствени средства мощно инхибиращи </w:t>
      </w:r>
      <w:r w:rsidRPr="00255F96">
        <w:rPr>
          <w:rFonts w:eastAsia="Times New Roman" w:cs="Arial"/>
          <w:color w:val="000000"/>
          <w:lang w:val="en-US"/>
        </w:rPr>
        <w:t xml:space="preserve">CYP3A </w:t>
      </w:r>
      <w:r w:rsidRPr="00255F96">
        <w:rPr>
          <w:rFonts w:eastAsia="Times New Roman" w:cs="Arial"/>
          <w:color w:val="000000"/>
          <w:lang w:eastAsia="bg-BG"/>
        </w:rPr>
        <w:t>(напр. симетидин) ензимите са също противопоказани.</w:t>
      </w:r>
    </w:p>
    <w:p w14:paraId="119048DB" w14:textId="77777777" w:rsidR="00255F96" w:rsidRPr="00255F96" w:rsidRDefault="00255F96" w:rsidP="00255F96">
      <w:pPr>
        <w:rPr>
          <w:rFonts w:eastAsia="Times New Roman" w:cs="Arial"/>
          <w:color w:val="000000"/>
          <w:lang w:eastAsia="bg-BG"/>
        </w:rPr>
      </w:pPr>
    </w:p>
    <w:p w14:paraId="2309EAB0" w14:textId="0CB423A8" w:rsidR="0091385D" w:rsidRPr="00255F96" w:rsidRDefault="00255F96" w:rsidP="00255F96">
      <w:pPr>
        <w:rPr>
          <w:rFonts w:cs="Arial"/>
        </w:rPr>
      </w:pPr>
      <w:r w:rsidRPr="00255F96">
        <w:rPr>
          <w:rFonts w:eastAsia="Times New Roman" w:cs="Arial"/>
          <w:color w:val="000000"/>
          <w:lang w:eastAsia="bg-BG"/>
        </w:rPr>
        <w:t>Сертиндол е противопоказан при пациенти с тежка чернодробна недостатъчност</w:t>
      </w:r>
      <w:r>
        <w:rPr>
          <w:rFonts w:eastAsia="Times New Roman" w:cs="Arial"/>
          <w:color w:val="000000"/>
          <w:lang w:eastAsia="bg-BG"/>
        </w:rPr>
        <w:t>.</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6D989E2"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Сърдечно-съдови</w:t>
      </w:r>
    </w:p>
    <w:p w14:paraId="120702AB" w14:textId="77777777" w:rsidR="00255F96" w:rsidRPr="00255F96" w:rsidRDefault="00255F96" w:rsidP="00255F96">
      <w:pPr>
        <w:rPr>
          <w:rFonts w:eastAsia="Times New Roman" w:cs="Arial"/>
          <w:sz w:val="24"/>
          <w:szCs w:val="24"/>
          <w:lang w:eastAsia="bg-BG"/>
        </w:rPr>
      </w:pPr>
      <w:r w:rsidRPr="00255F96">
        <w:rPr>
          <w:rFonts w:eastAsia="Times New Roman" w:cs="Arial"/>
          <w:color w:val="000000"/>
          <w:lang w:eastAsia="bg-BG"/>
        </w:rPr>
        <w:t xml:space="preserve">Клиничните проучвания показват, че сертиндол удължава </w:t>
      </w:r>
      <w:r w:rsidRPr="00255F96">
        <w:rPr>
          <w:rFonts w:eastAsia="Times New Roman" w:cs="Arial"/>
          <w:color w:val="000000"/>
          <w:lang w:val="en-US"/>
        </w:rPr>
        <w:t>QT</w:t>
      </w:r>
      <w:r w:rsidRPr="00255F96">
        <w:rPr>
          <w:rFonts w:eastAsia="Times New Roman" w:cs="Arial"/>
          <w:color w:val="000000"/>
          <w:lang w:eastAsia="bg-BG"/>
        </w:rPr>
        <w:t xml:space="preserve">-интервала в по-голяма степен от някои други антипсихотици. Средното </w:t>
      </w:r>
      <w:r w:rsidRPr="00255F96">
        <w:rPr>
          <w:rFonts w:eastAsia="Times New Roman" w:cs="Arial"/>
          <w:color w:val="000000"/>
          <w:lang w:val="en-US"/>
        </w:rPr>
        <w:t>QT</w:t>
      </w:r>
      <w:r w:rsidRPr="00255F96">
        <w:rPr>
          <w:rFonts w:eastAsia="Times New Roman" w:cs="Arial"/>
          <w:color w:val="000000"/>
          <w:lang w:eastAsia="bg-BG"/>
        </w:rPr>
        <w:t xml:space="preserve">-удължаване е по-голямо в горния край на препоръчвания дозов интервал (20 и 24 </w:t>
      </w:r>
      <w:r w:rsidRPr="00255F96">
        <w:rPr>
          <w:rFonts w:eastAsia="Times New Roman" w:cs="Arial"/>
          <w:color w:val="000000"/>
          <w:lang w:val="en-US"/>
        </w:rPr>
        <w:t xml:space="preserve">mg). </w:t>
      </w:r>
      <w:r w:rsidRPr="00255F96">
        <w:rPr>
          <w:rFonts w:eastAsia="Times New Roman" w:cs="Arial"/>
          <w:color w:val="000000"/>
          <w:lang w:eastAsia="bg-BG"/>
        </w:rPr>
        <w:t xml:space="preserve">Удължаването на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интервала при някои лекарства е свързана със способността да предизвикват аритмия тип - </w:t>
      </w:r>
      <w:r w:rsidRPr="00255F96">
        <w:rPr>
          <w:rFonts w:eastAsia="Times New Roman" w:cs="Arial"/>
          <w:color w:val="000000"/>
          <w:lang w:val="en-US"/>
        </w:rPr>
        <w:t>Torsade de Pointe (</w:t>
      </w:r>
      <w:proofErr w:type="spellStart"/>
      <w:r w:rsidRPr="00255F96">
        <w:rPr>
          <w:rFonts w:eastAsia="Times New Roman" w:cs="Arial"/>
          <w:color w:val="000000"/>
          <w:lang w:val="en-US"/>
        </w:rPr>
        <w:t>TdP</w:t>
      </w:r>
      <w:proofErr w:type="spellEnd"/>
      <w:r w:rsidRPr="00255F96">
        <w:rPr>
          <w:rFonts w:eastAsia="Times New Roman" w:cs="Arial"/>
          <w:color w:val="000000"/>
          <w:lang w:val="en-US"/>
        </w:rPr>
        <w:t xml:space="preserve">) </w:t>
      </w:r>
      <w:r w:rsidRPr="00255F96">
        <w:rPr>
          <w:rFonts w:eastAsia="Times New Roman" w:cs="Arial"/>
          <w:color w:val="000000"/>
          <w:lang w:eastAsia="bg-BG"/>
        </w:rPr>
        <w:t>(потенциално фатална полиморфна вентрикуларна тахикардия) и внезапна смърт. Клиничните и неклинични данни обаче, не дават основание да се потвърди дали сертиндол е по-аритмогенен от останалите антипсихотици. Поради това сертиндол следва да се прилага само, ако пациентите не понасят лечението с поне един друг антипсихотик.</w:t>
      </w:r>
    </w:p>
    <w:p w14:paraId="34E756E5" w14:textId="77777777" w:rsidR="00255F96" w:rsidRPr="00255F96" w:rsidRDefault="00255F96" w:rsidP="00255F96">
      <w:pPr>
        <w:spacing w:line="240" w:lineRule="auto"/>
        <w:rPr>
          <w:rFonts w:eastAsia="Times New Roman" w:cs="Arial"/>
          <w:color w:val="000000"/>
          <w:lang w:eastAsia="bg-BG"/>
        </w:rPr>
      </w:pPr>
    </w:p>
    <w:tbl>
      <w:tblPr>
        <w:tblStyle w:val="TableGrid"/>
        <w:tblW w:w="0" w:type="auto"/>
        <w:tblInd w:w="720" w:type="dxa"/>
        <w:tblLook w:val="04A0" w:firstRow="1" w:lastRow="0" w:firstColumn="1" w:lastColumn="0" w:noHBand="0" w:noVBand="1"/>
      </w:tblPr>
      <w:tblGrid>
        <w:gridCol w:w="8630"/>
      </w:tblGrid>
      <w:tr w:rsidR="00255F96" w14:paraId="68B5CA4F" w14:textId="77777777" w:rsidTr="00255F96">
        <w:tc>
          <w:tcPr>
            <w:tcW w:w="9500" w:type="dxa"/>
          </w:tcPr>
          <w:p w14:paraId="211F2EA3"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Лекарите, които предписват лекарствения продукт трябва да се придържат стриктно към изискваните мерки за безопасност.</w:t>
            </w:r>
          </w:p>
          <w:p w14:paraId="444CF94F" w14:textId="77777777" w:rsidR="00255F96" w:rsidRPr="00255F96" w:rsidRDefault="00255F96" w:rsidP="00255F96">
            <w:pPr>
              <w:spacing w:line="240" w:lineRule="auto"/>
              <w:rPr>
                <w:rFonts w:eastAsia="Times New Roman" w:cs="Arial"/>
                <w:color w:val="000000"/>
                <w:u w:val="single"/>
                <w:lang w:eastAsia="bg-BG"/>
              </w:rPr>
            </w:pPr>
          </w:p>
          <w:p w14:paraId="58051A39"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ЕКГ мониториране</w:t>
            </w:r>
          </w:p>
          <w:p w14:paraId="56CBE455"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ЕКГ мониториране е задължително преди и по време на лечение със сертиндол.</w:t>
            </w:r>
          </w:p>
          <w:p w14:paraId="670372BC"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Сертиндол е противопоказан, ако се наблюдава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интервал по-голям от 450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при мъже и 470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при жени преди започване на терапията,</w:t>
            </w:r>
          </w:p>
          <w:p w14:paraId="0A5578AE"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 xml:space="preserve">ЕКГ следва да се направи преди започване на терапията, след достигане на стабилни плазмени нива след приблизително 3 седмици или цри достигане на доза от 16 </w:t>
            </w:r>
            <w:r w:rsidRPr="00255F96">
              <w:rPr>
                <w:rFonts w:eastAsia="Times New Roman" w:cs="Arial"/>
                <w:color w:val="000000"/>
                <w:lang w:val="en-US"/>
              </w:rPr>
              <w:t xml:space="preserve">mg </w:t>
            </w:r>
            <w:r w:rsidRPr="00255F96">
              <w:rPr>
                <w:rFonts w:eastAsia="Times New Roman" w:cs="Arial"/>
                <w:color w:val="000000"/>
                <w:lang w:eastAsia="bg-BG"/>
              </w:rPr>
              <w:t>и отново след 3 месеца лечение.</w:t>
            </w:r>
          </w:p>
          <w:p w14:paraId="0C0371A6"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По време на поддържащата терапия се изисква ЕКГ да се прави на всеки 3 месеца.</w:t>
            </w:r>
          </w:p>
          <w:p w14:paraId="7B2B96E3"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По време на поддържащо лечение, ЕКГ следва да се прави преди и след всяко покачване на дозата.</w:t>
            </w:r>
          </w:p>
          <w:p w14:paraId="52487B66"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Препоръчва се да се направи ЕКГ и при добавяне или увеличаване на дозата на съпътстващо лечение, което би могло да увеличи концентрацията на сертиндол (вж. точка 4.5.).</w:t>
            </w:r>
          </w:p>
          <w:p w14:paraId="41B2D87D"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lastRenderedPageBreak/>
              <w:t xml:space="preserve">Ако се установи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интервал по-голям от 500 </w:t>
            </w:r>
            <w:proofErr w:type="spellStart"/>
            <w:r w:rsidRPr="00255F96">
              <w:rPr>
                <w:rFonts w:eastAsia="Times New Roman" w:cs="Arial"/>
                <w:color w:val="000000"/>
                <w:lang w:val="en-US"/>
              </w:rPr>
              <w:t>msec</w:t>
            </w:r>
            <w:proofErr w:type="spellEnd"/>
            <w:r w:rsidRPr="00255F96">
              <w:rPr>
                <w:rFonts w:eastAsia="Times New Roman" w:cs="Arial"/>
                <w:color w:val="000000"/>
                <w:lang w:val="en-US"/>
              </w:rPr>
              <w:t xml:space="preserve"> </w:t>
            </w:r>
            <w:r w:rsidRPr="00255F96">
              <w:rPr>
                <w:rFonts w:eastAsia="Times New Roman" w:cs="Arial"/>
                <w:color w:val="000000"/>
                <w:lang w:eastAsia="bg-BG"/>
              </w:rPr>
              <w:t>по време на лечение със сертиндол, се препоръчва лечението със сертиндол да бъде прекратено</w:t>
            </w:r>
          </w:p>
          <w:p w14:paraId="0528047D" w14:textId="77777777" w:rsidR="00255F96" w:rsidRPr="00255F96" w:rsidRDefault="00255F96" w:rsidP="00255F96">
            <w:pPr>
              <w:pStyle w:val="ListParagraph"/>
              <w:numPr>
                <w:ilvl w:val="0"/>
                <w:numId w:val="37"/>
              </w:numPr>
              <w:spacing w:line="240" w:lineRule="auto"/>
              <w:rPr>
                <w:rFonts w:eastAsia="Times New Roman" w:cs="Arial"/>
                <w:sz w:val="24"/>
                <w:szCs w:val="24"/>
                <w:lang w:eastAsia="bg-BG"/>
              </w:rPr>
            </w:pPr>
            <w:r w:rsidRPr="00255F96">
              <w:rPr>
                <w:rFonts w:eastAsia="Times New Roman" w:cs="Arial"/>
                <w:color w:val="000000"/>
                <w:lang w:eastAsia="bg-BG"/>
              </w:rPr>
              <w:t>При пациенти, при които се наблюдават симптоми като палпитации, конвулсии или синкоп, които биха могли да бъдат индикация за появата на аритмии, лекуващият лекар следва да направи спешна оценка на терапията, включително и ЕКГ.</w:t>
            </w:r>
          </w:p>
          <w:p w14:paraId="67093EA9" w14:textId="6B40D10D" w:rsidR="00255F96" w:rsidRDefault="00255F96" w:rsidP="00255F96">
            <w:pPr>
              <w:pStyle w:val="ListParagraph"/>
              <w:spacing w:line="240" w:lineRule="auto"/>
              <w:ind w:left="0"/>
              <w:rPr>
                <w:rFonts w:eastAsia="Times New Roman" w:cs="Arial"/>
                <w:color w:val="000000"/>
                <w:lang w:eastAsia="bg-BG"/>
              </w:rPr>
            </w:pPr>
            <w:r w:rsidRPr="00255F96">
              <w:rPr>
                <w:rFonts w:eastAsia="Times New Roman" w:cs="Arial"/>
                <w:color w:val="000000"/>
                <w:lang w:eastAsia="bg-BG"/>
              </w:rPr>
              <w:t xml:space="preserve">Най-добре е ЕКГ мониторирането да се провежда сутрин и за предпочитане е за изчисление на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да се използват формулите на </w:t>
            </w:r>
            <w:proofErr w:type="spellStart"/>
            <w:r w:rsidRPr="00255F96">
              <w:rPr>
                <w:rFonts w:eastAsia="Times New Roman" w:cs="Arial"/>
                <w:color w:val="000000"/>
                <w:lang w:val="en-US"/>
              </w:rPr>
              <w:t>Bazett</w:t>
            </w:r>
            <w:proofErr w:type="spellEnd"/>
            <w:r w:rsidRPr="00255F96">
              <w:rPr>
                <w:rFonts w:eastAsia="Times New Roman" w:cs="Arial"/>
                <w:color w:val="000000"/>
                <w:lang w:val="en-US"/>
              </w:rPr>
              <w:t xml:space="preserve"> </w:t>
            </w:r>
            <w:r w:rsidRPr="00255F96">
              <w:rPr>
                <w:rFonts w:eastAsia="Times New Roman" w:cs="Arial"/>
                <w:color w:val="000000"/>
                <w:lang w:eastAsia="bg-BG"/>
              </w:rPr>
              <w:t xml:space="preserve">или </w:t>
            </w:r>
            <w:proofErr w:type="spellStart"/>
            <w:r w:rsidRPr="00255F96">
              <w:rPr>
                <w:rFonts w:eastAsia="Times New Roman" w:cs="Arial"/>
                <w:color w:val="000000"/>
                <w:lang w:val="en-US"/>
              </w:rPr>
              <w:t>Fridericia</w:t>
            </w:r>
            <w:proofErr w:type="spellEnd"/>
            <w:r w:rsidRPr="00255F96">
              <w:rPr>
                <w:rFonts w:eastAsia="Times New Roman" w:cs="Arial"/>
                <w:color w:val="000000"/>
                <w:lang w:val="en-US"/>
              </w:rPr>
              <w:t>.</w:t>
            </w:r>
          </w:p>
        </w:tc>
      </w:tr>
    </w:tbl>
    <w:p w14:paraId="04B7AF4A" w14:textId="33D971C7" w:rsidR="00255F96" w:rsidRPr="00255F96" w:rsidRDefault="00255F96" w:rsidP="00255F96">
      <w:pPr>
        <w:spacing w:line="240" w:lineRule="auto"/>
        <w:rPr>
          <w:rFonts w:eastAsia="Times New Roman" w:cs="Arial"/>
          <w:color w:val="000000"/>
          <w:lang w:eastAsia="bg-BG"/>
        </w:rPr>
      </w:pPr>
    </w:p>
    <w:p w14:paraId="537B6C0D" w14:textId="0DBF7351"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Рискът от удължаване на </w:t>
      </w:r>
      <w:r w:rsidRPr="00255F96">
        <w:rPr>
          <w:rFonts w:eastAsia="Times New Roman" w:cs="Arial"/>
          <w:color w:val="000000"/>
          <w:lang w:val="en-US"/>
        </w:rPr>
        <w:t>QT</w:t>
      </w:r>
      <w:r w:rsidRPr="00255F96">
        <w:rPr>
          <w:rFonts w:eastAsia="Times New Roman" w:cs="Arial"/>
          <w:color w:val="000000"/>
          <w:lang w:eastAsia="bg-BG"/>
        </w:rPr>
        <w:t xml:space="preserve">-интервала се засилва при пациенти, които приемат едновременно медикаменти удължаващи </w:t>
      </w:r>
      <w:proofErr w:type="spellStart"/>
      <w:r w:rsidRPr="00255F96">
        <w:rPr>
          <w:rFonts w:eastAsia="Times New Roman" w:cs="Arial"/>
          <w:color w:val="000000"/>
          <w:lang w:val="en-US"/>
        </w:rPr>
        <w:t>QTc</w:t>
      </w:r>
      <w:proofErr w:type="spellEnd"/>
      <w:r w:rsidRPr="00255F96">
        <w:rPr>
          <w:rFonts w:eastAsia="Times New Roman" w:cs="Arial"/>
          <w:color w:val="000000"/>
          <w:lang w:val="en-US"/>
        </w:rPr>
        <w:t xml:space="preserve"> </w:t>
      </w:r>
      <w:r w:rsidRPr="00255F96">
        <w:rPr>
          <w:rFonts w:eastAsia="Times New Roman" w:cs="Arial"/>
          <w:color w:val="000000"/>
          <w:lang w:eastAsia="bg-BG"/>
        </w:rPr>
        <w:t>интервала или потискащи метаболизма на сертиндол (вж. точка 4.3),</w:t>
      </w:r>
    </w:p>
    <w:p w14:paraId="68A14420" w14:textId="77777777" w:rsidR="00255F96" w:rsidRPr="00255F96" w:rsidRDefault="00255F96" w:rsidP="00255F96">
      <w:pPr>
        <w:spacing w:line="240" w:lineRule="auto"/>
        <w:rPr>
          <w:rFonts w:eastAsia="Times New Roman" w:cs="Arial"/>
          <w:color w:val="000000"/>
          <w:lang w:eastAsia="bg-BG"/>
        </w:rPr>
      </w:pPr>
    </w:p>
    <w:p w14:paraId="40ED021E" w14:textId="505504AD"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Изходните серумни концентрации на калий и магнезий трябва да бъдат изследвани преди началото на терапия със сертиндол при пациенти с риск от значим електролитен дисбаланс, Ниските серумни нива на калий и магнезий трябва да бъдат коригирани преди започване на лечението. Мониториране на серумния калий е препоръчително при пациенти с повръщане, диария, лечение с калий-задържащи диуретици или при други електролитни нарушения.</w:t>
      </w:r>
    </w:p>
    <w:p w14:paraId="1AA1E82F" w14:textId="77777777" w:rsidR="00255F96" w:rsidRPr="00255F96" w:rsidRDefault="00255F96" w:rsidP="00255F96">
      <w:pPr>
        <w:spacing w:line="240" w:lineRule="auto"/>
        <w:rPr>
          <w:rFonts w:eastAsia="Times New Roman" w:cs="Arial"/>
          <w:color w:val="000000"/>
          <w:lang w:eastAsia="bg-BG"/>
        </w:rPr>
      </w:pPr>
    </w:p>
    <w:p w14:paraId="5F77191B" w14:textId="2041E2AE"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Поради α</w:t>
      </w:r>
      <w:r w:rsidRPr="00255F96">
        <w:rPr>
          <w:rFonts w:eastAsia="Times New Roman" w:cs="Arial"/>
          <w:color w:val="000000"/>
          <w:vertAlign w:val="subscript"/>
          <w:lang w:eastAsia="bg-BG"/>
        </w:rPr>
        <w:t>1</w:t>
      </w:r>
      <w:r w:rsidRPr="00255F96">
        <w:rPr>
          <w:rFonts w:eastAsia="Times New Roman" w:cs="Arial"/>
          <w:color w:val="000000"/>
          <w:lang w:eastAsia="bg-BG"/>
        </w:rPr>
        <w:t>-блокиращото действие на сертиндол в началния период на титриране на дозата може да се наблюдават симптоми на ортостатична хипотензия.</w:t>
      </w:r>
    </w:p>
    <w:p w14:paraId="2CF833F8" w14:textId="77777777" w:rsidR="00255F96" w:rsidRPr="00255F96" w:rsidRDefault="00255F96" w:rsidP="00255F96">
      <w:pPr>
        <w:spacing w:line="240" w:lineRule="auto"/>
        <w:rPr>
          <w:rFonts w:eastAsia="Times New Roman" w:cs="Arial"/>
          <w:color w:val="000000"/>
          <w:lang w:eastAsia="bg-BG"/>
        </w:rPr>
      </w:pPr>
    </w:p>
    <w:p w14:paraId="770B0356" w14:textId="375AAEFF"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Антипсихотичните лекарства могат да инхибират ефекта на допаминовите агонисти. Сертиндол трябва да се използва с повишено внимание при пациенти с Паркинсонова болест.</w:t>
      </w:r>
    </w:p>
    <w:p w14:paraId="01E1C9AC" w14:textId="77777777" w:rsidR="00255F96" w:rsidRPr="00255F96" w:rsidRDefault="00255F96" w:rsidP="00255F96">
      <w:pPr>
        <w:rPr>
          <w:rFonts w:eastAsia="Times New Roman" w:cs="Arial"/>
          <w:color w:val="000000"/>
          <w:lang w:eastAsia="bg-BG"/>
        </w:rPr>
      </w:pPr>
    </w:p>
    <w:p w14:paraId="084D0D3D" w14:textId="77777777" w:rsidR="00255F96" w:rsidRPr="003F7E63" w:rsidRDefault="00255F96" w:rsidP="00255F96">
      <w:pPr>
        <w:rPr>
          <w:rFonts w:eastAsia="Times New Roman" w:cs="Arial"/>
          <w:sz w:val="24"/>
          <w:szCs w:val="24"/>
          <w:lang w:eastAsia="bg-BG"/>
        </w:rPr>
      </w:pPr>
      <w:r w:rsidRPr="00255F96">
        <w:rPr>
          <w:rFonts w:eastAsia="Times New Roman" w:cs="Arial"/>
          <w:color w:val="000000"/>
          <w:lang w:eastAsia="bg-BG"/>
        </w:rPr>
        <w:t xml:space="preserve">Някой СИСТ (селективни инхибитори на серотониновия транспорт) като например флуоксетин и пароксетин (мощни </w:t>
      </w:r>
      <w:r w:rsidRPr="00255F96">
        <w:rPr>
          <w:rFonts w:eastAsia="Times New Roman" w:cs="Arial"/>
          <w:color w:val="000000"/>
          <w:lang w:val="en-US"/>
        </w:rPr>
        <w:t xml:space="preserve">CYP2D6 </w:t>
      </w:r>
      <w:r w:rsidRPr="00255F96">
        <w:rPr>
          <w:rFonts w:eastAsia="Times New Roman" w:cs="Arial"/>
          <w:color w:val="000000"/>
          <w:lang w:eastAsia="bg-BG"/>
        </w:rPr>
        <w:t>инхибитори), могат да увеличат плазмените нива на сертиндол 2 до 3 пъти. Поради това Сертиндол следва да бъде прилаган едновременно с тези лекарства само при изключително повишено внимание и единствено, ако потенциалната полза надхвърля риска. Може да</w:t>
      </w:r>
      <w:r>
        <w:rPr>
          <w:rFonts w:eastAsia="Times New Roman" w:cs="Arial"/>
          <w:color w:val="000000"/>
          <w:lang w:eastAsia="bg-BG"/>
        </w:rPr>
        <w:t xml:space="preserve"> </w:t>
      </w:r>
      <w:r w:rsidRPr="003F7E63">
        <w:rPr>
          <w:rFonts w:eastAsia="Times New Roman" w:cs="Arial"/>
          <w:color w:val="000000"/>
          <w:lang w:eastAsia="bg-BG"/>
        </w:rPr>
        <w:t>се наложи по-ниска поддържаща доза сертиндол и внимателно ЕКГ проследяване преди и след всяка промяна в дозата на тези лекарствени средства (вж. точка 4.5).</w:t>
      </w:r>
    </w:p>
    <w:p w14:paraId="7AAEA2E0" w14:textId="77777777" w:rsidR="003F7E63" w:rsidRPr="003F7E63" w:rsidRDefault="003F7E63" w:rsidP="00255F96">
      <w:pPr>
        <w:spacing w:line="240" w:lineRule="auto"/>
        <w:rPr>
          <w:rFonts w:eastAsia="Times New Roman" w:cs="Arial"/>
          <w:color w:val="000000"/>
          <w:lang w:eastAsia="bg-BG"/>
        </w:rPr>
      </w:pPr>
    </w:p>
    <w:p w14:paraId="0F0189D2" w14:textId="73400938"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 xml:space="preserve">Сертиндол трябва да се използва с повишено внимание при пациенти, за които е известно, че са със забавен метаболизъм чрез </w:t>
      </w:r>
      <w:r w:rsidRPr="00255F96">
        <w:rPr>
          <w:rFonts w:eastAsia="Times New Roman" w:cs="Arial"/>
          <w:color w:val="000000"/>
          <w:lang w:val="en-US"/>
        </w:rPr>
        <w:t xml:space="preserve">CYP2D6 </w:t>
      </w:r>
      <w:r w:rsidRPr="00255F96">
        <w:rPr>
          <w:rFonts w:eastAsia="Times New Roman" w:cs="Arial"/>
          <w:color w:val="000000"/>
          <w:lang w:eastAsia="bg-BG"/>
        </w:rPr>
        <w:t>(вж. точка 4.5).</w:t>
      </w:r>
    </w:p>
    <w:p w14:paraId="0122F759" w14:textId="77777777" w:rsidR="003F7E63" w:rsidRPr="003F7E63" w:rsidRDefault="003F7E63" w:rsidP="00255F96">
      <w:pPr>
        <w:spacing w:line="240" w:lineRule="auto"/>
        <w:rPr>
          <w:rFonts w:eastAsia="Times New Roman" w:cs="Arial"/>
          <w:color w:val="000000"/>
          <w:lang w:eastAsia="bg-BG"/>
        </w:rPr>
      </w:pPr>
    </w:p>
    <w:p w14:paraId="4910FAA8" w14:textId="18AB5D32"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В много редки случаи по време на лечение със сертиндол са били докладвани хипергликемия или изостряне на вече съществуващ диабет. При пациенти, страдащи от диабет и пациенти с рискови фактори за развитие на захарен диабет е препоръчително адекватно клинично мониториране</w:t>
      </w:r>
    </w:p>
    <w:p w14:paraId="434CC576" w14:textId="77777777" w:rsidR="003F7E63" w:rsidRPr="003F7E63" w:rsidRDefault="003F7E63" w:rsidP="00255F96">
      <w:pPr>
        <w:spacing w:line="240" w:lineRule="auto"/>
        <w:rPr>
          <w:rFonts w:eastAsia="Times New Roman" w:cs="Arial"/>
          <w:color w:val="000000"/>
          <w:u w:val="single"/>
          <w:lang w:eastAsia="bg-BG"/>
        </w:rPr>
      </w:pPr>
    </w:p>
    <w:p w14:paraId="2B6CCFCE" w14:textId="74FA599D"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Повишена смъртност при възрастни хора с деменция</w:t>
      </w:r>
    </w:p>
    <w:p w14:paraId="086CE456"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Данните от две големи наблюдавани проучвания показват, че възрастни хора с деменция, които са лекувани с антипсихотици са с малко повишен риск от смърт в сравнение с тези, които не се лекувани с антипсихотици. Няма достатъчно данни, за да се получи точна прогноза за степента на риска и причината за повишения риск не е известен.</w:t>
      </w:r>
    </w:p>
    <w:p w14:paraId="4D983873" w14:textId="77777777" w:rsidR="003F7E63" w:rsidRPr="003F7E63" w:rsidRDefault="003F7E63" w:rsidP="00255F96">
      <w:pPr>
        <w:spacing w:line="240" w:lineRule="auto"/>
        <w:rPr>
          <w:rFonts w:eastAsia="Times New Roman" w:cs="Arial"/>
          <w:color w:val="000000"/>
          <w:lang w:eastAsia="bg-BG"/>
        </w:rPr>
      </w:pPr>
    </w:p>
    <w:p w14:paraId="54806A31" w14:textId="3577BCF1"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lastRenderedPageBreak/>
        <w:t>Сертиндол не е разрешен за лечение на поведенчески нарушения свързани с деменция.</w:t>
      </w:r>
    </w:p>
    <w:p w14:paraId="054DB292" w14:textId="77777777" w:rsidR="003F7E63" w:rsidRPr="003F7E63" w:rsidRDefault="003F7E63" w:rsidP="00255F96">
      <w:pPr>
        <w:spacing w:line="240" w:lineRule="auto"/>
        <w:rPr>
          <w:rFonts w:eastAsia="Times New Roman" w:cs="Arial"/>
          <w:color w:val="000000"/>
          <w:u w:val="single"/>
          <w:lang w:eastAsia="bg-BG"/>
        </w:rPr>
      </w:pPr>
    </w:p>
    <w:p w14:paraId="5D76C76B" w14:textId="63BA8358"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Риск от мозъчно-съдови нежелани събития</w:t>
      </w:r>
    </w:p>
    <w:p w14:paraId="30CD4A1C"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Приблизително 3 кратно повишен риск от мозъчно-съдови нежелани лекарствени реакции е бил наблюдаван при рандомизирани плацебо-контролирани проучвания при популация пациенти, страдащи от деменция и лекувани с някои атипични антипсихотици. Механизмът на това нарастване на риска е неизяснен. Подобен увеличен риск не би могъл да бъде изключен при при други антипсихотици и други популации от пациенти. Сертиндол трябва да се използва с повишено внимание при пациенти с рисков фактор от удар. Поради увеличеният риск от значими сърдечно</w:t>
      </w:r>
      <w:r w:rsidRPr="00255F96">
        <w:rPr>
          <w:rFonts w:eastAsia="Times New Roman" w:cs="Arial"/>
          <w:color w:val="000000"/>
          <w:lang w:eastAsia="bg-BG"/>
        </w:rPr>
        <w:softHyphen/>
        <w:t>съдови заболявания при пациентите в старческа възраст, сертиндол трябва да се ползва при пациенти над 65 години само с особено внимание. Лечението трябва да се започва само след обстоен сърдечно</w:t>
      </w:r>
      <w:r w:rsidRPr="00255F96">
        <w:rPr>
          <w:rFonts w:eastAsia="Times New Roman" w:cs="Arial"/>
          <w:color w:val="000000"/>
          <w:lang w:eastAsia="bg-BG"/>
        </w:rPr>
        <w:softHyphen/>
        <w:t>съдов преглед.</w:t>
      </w:r>
    </w:p>
    <w:p w14:paraId="4EA0DFC6" w14:textId="77777777" w:rsidR="00255F96" w:rsidRPr="00255F96" w:rsidRDefault="00255F96" w:rsidP="00255F96">
      <w:pPr>
        <w:spacing w:line="240" w:lineRule="auto"/>
        <w:rPr>
          <w:rFonts w:eastAsia="Times New Roman" w:cs="Arial"/>
          <w:sz w:val="24"/>
          <w:szCs w:val="24"/>
          <w:lang w:eastAsia="bg-BG"/>
        </w:rPr>
      </w:pPr>
    </w:p>
    <w:p w14:paraId="0CB59356"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Венозен тромбоемболизъм</w:t>
      </w:r>
    </w:p>
    <w:p w14:paraId="2CE20D01"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Случаи на венозен тромбоемболизъм (ВТЕ) са съобщени при приемане на антипсихотични лекарства. След като при пациенти, лекувани с антипсихотици, често са налице рискови фактори за ВТЕ, всички възможни рискови фактори за ВТЕ трябва да бъдат идентифицирани преди и по време на лечението със сертиндол и предпиети превентивни профилактични мерки.</w:t>
      </w:r>
    </w:p>
    <w:p w14:paraId="6C21AA7C" w14:textId="77777777" w:rsidR="003F7E63" w:rsidRPr="003F7E63" w:rsidRDefault="003F7E63" w:rsidP="00255F96">
      <w:pPr>
        <w:spacing w:line="240" w:lineRule="auto"/>
        <w:rPr>
          <w:rFonts w:eastAsia="Times New Roman" w:cs="Arial"/>
          <w:color w:val="000000"/>
          <w:u w:val="single"/>
          <w:lang w:eastAsia="bg-BG"/>
        </w:rPr>
      </w:pPr>
    </w:p>
    <w:p w14:paraId="7719B321" w14:textId="10C83839"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Намалена чернодробна функция</w:t>
      </w:r>
    </w:p>
    <w:p w14:paraId="2FF9FC0A"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Пациенти с лека/умерена чернодробна дисфункция трябва да бъдат внимателно проследявани. Препоръчва се по-бавно титриране и по-ниска поддържаща доза.</w:t>
      </w:r>
    </w:p>
    <w:p w14:paraId="3CAF4339" w14:textId="77777777" w:rsidR="003F7E63" w:rsidRPr="003F7E63" w:rsidRDefault="003F7E63" w:rsidP="00255F96">
      <w:pPr>
        <w:spacing w:line="240" w:lineRule="auto"/>
        <w:rPr>
          <w:rFonts w:eastAsia="Times New Roman" w:cs="Arial"/>
          <w:color w:val="000000"/>
          <w:u w:val="single"/>
          <w:lang w:eastAsia="bg-BG"/>
        </w:rPr>
      </w:pPr>
    </w:p>
    <w:p w14:paraId="2446D9A3" w14:textId="629657B2"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Късни дискинезии</w:t>
      </w:r>
    </w:p>
    <w:p w14:paraId="4D17F910" w14:textId="7777777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lang w:eastAsia="bg-BG"/>
        </w:rPr>
        <w:t>Счита се, че късните дискинезии се дължат на хиперсензитивност на допаминовите рецептори в базалните ганглии като резултат от хронична рецепторна блокада, предизвикана от антипсихотици. По време на клинични проучвания се установява ниска честота (сравнима с тази при плацебо) на екстрапирамидни симптоми при лечение със сертиндол. Независимо от това, дългосрочното лечение с антипсихотици (особено във високи дози) се свързва с риск от късни дискинезии. Ако се появят признаци на късна дискинезия, да се прецени необходимостта от редуциране на дозата или прекратяване на лечението.</w:t>
      </w:r>
    </w:p>
    <w:p w14:paraId="23173AF6" w14:textId="77777777" w:rsidR="003F7E63" w:rsidRPr="003F7E63" w:rsidRDefault="003F7E63" w:rsidP="00255F96">
      <w:pPr>
        <w:spacing w:line="240" w:lineRule="auto"/>
        <w:rPr>
          <w:rFonts w:eastAsia="Times New Roman" w:cs="Arial"/>
          <w:color w:val="000000"/>
          <w:u w:val="single"/>
          <w:lang w:eastAsia="bg-BG"/>
        </w:rPr>
      </w:pPr>
    </w:p>
    <w:p w14:paraId="2BBAB328" w14:textId="2AB2A957" w:rsidR="00255F96" w:rsidRPr="00255F96" w:rsidRDefault="00255F96" w:rsidP="00255F96">
      <w:pPr>
        <w:spacing w:line="240" w:lineRule="auto"/>
        <w:rPr>
          <w:rFonts w:eastAsia="Times New Roman" w:cs="Arial"/>
          <w:sz w:val="24"/>
          <w:szCs w:val="24"/>
          <w:lang w:eastAsia="bg-BG"/>
        </w:rPr>
      </w:pPr>
      <w:r w:rsidRPr="00255F96">
        <w:rPr>
          <w:rFonts w:eastAsia="Times New Roman" w:cs="Arial"/>
          <w:color w:val="000000"/>
          <w:u w:val="single"/>
          <w:lang w:eastAsia="bg-BG"/>
        </w:rPr>
        <w:t>Гърчове</w:t>
      </w:r>
    </w:p>
    <w:p w14:paraId="0B3BEE35" w14:textId="4B4D8614" w:rsidR="0091385D" w:rsidRPr="003F7E63" w:rsidRDefault="00255F96" w:rsidP="00255F96">
      <w:pPr>
        <w:rPr>
          <w:rFonts w:cs="Arial"/>
        </w:rPr>
      </w:pPr>
      <w:r w:rsidRPr="003F7E63">
        <w:rPr>
          <w:rFonts w:eastAsia="Times New Roman" w:cs="Arial"/>
          <w:color w:val="000000"/>
          <w:lang w:eastAsia="bg-BG"/>
        </w:rPr>
        <w:t>Сертиндол трябва да се използва с повишено внимание при пациенти с анамнестични данни за</w:t>
      </w:r>
      <w:r w:rsidR="003F7E63" w:rsidRPr="003F7E63">
        <w:rPr>
          <w:rFonts w:eastAsia="Times New Roman" w:cs="Arial"/>
          <w:color w:val="000000"/>
          <w:lang w:eastAsia="bg-BG"/>
        </w:rPr>
        <w:t xml:space="preserve"> гърчове.</w:t>
      </w:r>
    </w:p>
    <w:p w14:paraId="24E3E82F" w14:textId="37A3FBC1" w:rsidR="0091385D" w:rsidRDefault="0091385D" w:rsidP="0091385D"/>
    <w:p w14:paraId="14B7FC8E"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eastAsia="bg-BG"/>
        </w:rPr>
        <w:t>Невролептичен малигнен синдром</w:t>
      </w:r>
    </w:p>
    <w:p w14:paraId="71608569"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Потенциално опасен комплекс от симптоми известен като невролептичен малигнен синдром (НМС) се свързва с използването на антипсихотични средства. Лечението на НМС изисква незабавно прекратяване приема на антипсихотични средства.</w:t>
      </w:r>
    </w:p>
    <w:p w14:paraId="1530556A" w14:textId="77777777" w:rsidR="003F7E63" w:rsidRPr="003F7E63" w:rsidRDefault="003F7E63" w:rsidP="003F7E63">
      <w:pPr>
        <w:spacing w:line="240" w:lineRule="auto"/>
        <w:rPr>
          <w:rFonts w:eastAsia="Times New Roman" w:cs="Arial"/>
          <w:color w:val="000000"/>
          <w:u w:val="single"/>
          <w:lang w:eastAsia="bg-BG"/>
        </w:rPr>
      </w:pPr>
    </w:p>
    <w:p w14:paraId="1EEB0555" w14:textId="0384B56A"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eastAsia="bg-BG"/>
        </w:rPr>
        <w:t>Симптоми на отнемане</w:t>
      </w:r>
    </w:p>
    <w:p w14:paraId="39384ED8"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При рязко прекратяване на лечението с антипсихотични средства са описани остри симптоми на отнемане, включващи гадене, повръщане, изпотяване и безсъние. Съобщава се и за възможна поява отново на психотични симптоми, както и на разстройства на неволевите движения (напр. акатизия, дистония и дискинезия). Поради това се препоръчва постепенно преустановяване на приема.</w:t>
      </w:r>
    </w:p>
    <w:p w14:paraId="6F3E3507" w14:textId="77777777" w:rsidR="003F7E63" w:rsidRPr="003F7E63" w:rsidRDefault="003F7E63" w:rsidP="003F7E63">
      <w:pPr>
        <w:spacing w:line="240" w:lineRule="auto"/>
        <w:rPr>
          <w:rFonts w:eastAsia="Times New Roman" w:cs="Arial"/>
          <w:color w:val="000000"/>
          <w:u w:val="single"/>
          <w:lang w:eastAsia="bg-BG"/>
        </w:rPr>
      </w:pPr>
    </w:p>
    <w:p w14:paraId="40357A74" w14:textId="7A4975EE"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eastAsia="bg-BG"/>
        </w:rPr>
        <w:t>Помощни вещества</w:t>
      </w:r>
    </w:p>
    <w:p w14:paraId="5EA780A4"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Таблетките съдържат монохидратна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28FDF16F" w14:textId="011FAEB7" w:rsidR="003F7E63" w:rsidRPr="003F7E63" w:rsidRDefault="003F7E63" w:rsidP="003F7E63">
      <w:pPr>
        <w:rPr>
          <w:rFonts w:cs="Arial"/>
        </w:rPr>
      </w:pPr>
      <w:r w:rsidRPr="003F7E63">
        <w:rPr>
          <w:rFonts w:eastAsia="Times New Roman" w:cs="Arial"/>
          <w:color w:val="000000"/>
          <w:lang w:eastAsia="bg-BG"/>
        </w:rPr>
        <w:t xml:space="preserve">Таблетките съдържат натрий. Това лекарство съдържа по-малко от 1 </w:t>
      </w:r>
      <w:proofErr w:type="spellStart"/>
      <w:r w:rsidRPr="003F7E63">
        <w:rPr>
          <w:rFonts w:eastAsia="Times New Roman" w:cs="Arial"/>
          <w:color w:val="000000"/>
          <w:lang w:val="en-US"/>
        </w:rPr>
        <w:t>mmol</w:t>
      </w:r>
      <w:proofErr w:type="spellEnd"/>
      <w:r w:rsidRPr="003F7E63">
        <w:rPr>
          <w:rFonts w:eastAsia="Times New Roman" w:cs="Arial"/>
          <w:color w:val="000000"/>
          <w:lang w:val="en-US"/>
        </w:rPr>
        <w:t xml:space="preserve"> </w:t>
      </w:r>
      <w:r w:rsidRPr="003F7E63">
        <w:rPr>
          <w:rFonts w:eastAsia="Times New Roman" w:cs="Arial"/>
          <w:color w:val="000000"/>
          <w:lang w:eastAsia="bg-BG"/>
        </w:rPr>
        <w:t xml:space="preserve">натрий (23 </w:t>
      </w:r>
      <w:r w:rsidRPr="003F7E63">
        <w:rPr>
          <w:rFonts w:eastAsia="Times New Roman" w:cs="Arial"/>
          <w:color w:val="000000"/>
          <w:lang w:val="en-US"/>
        </w:rPr>
        <w:t xml:space="preserve">mg) </w:t>
      </w:r>
      <w:r w:rsidRPr="003F7E63">
        <w:rPr>
          <w:rFonts w:eastAsia="Times New Roman" w:cs="Arial"/>
          <w:color w:val="000000"/>
          <w:lang w:eastAsia="bg-BG"/>
        </w:rPr>
        <w:t>на таблетка, т.е. може да се каже, ч</w:t>
      </w:r>
      <w:r>
        <w:rPr>
          <w:rFonts w:eastAsia="Times New Roman" w:cs="Arial"/>
          <w:color w:val="000000"/>
          <w:lang w:eastAsia="bg-BG"/>
        </w:rPr>
        <w:t>е практически не съдържа натрий.</w:t>
      </w:r>
    </w:p>
    <w:p w14:paraId="4A309397" w14:textId="77777777" w:rsidR="003F7E63" w:rsidRPr="0091385D" w:rsidRDefault="003F7E63"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1F28971D"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 xml:space="preserve">Удължаване на </w:t>
      </w:r>
      <w:r w:rsidRPr="003F7E63">
        <w:rPr>
          <w:rFonts w:eastAsia="Times New Roman" w:cs="Arial"/>
          <w:color w:val="000000"/>
          <w:lang w:val="en-US"/>
        </w:rPr>
        <w:t>QT</w:t>
      </w:r>
      <w:r w:rsidRPr="003F7E63">
        <w:rPr>
          <w:rFonts w:eastAsia="Times New Roman" w:cs="Arial"/>
          <w:color w:val="000000"/>
          <w:lang w:eastAsia="bg-BG"/>
        </w:rPr>
        <w:t xml:space="preserve">-интервала, свързано с приема на сертиндол може да се засили при едновременна употреба на медикаменти, за които е известно, че водят до значително удължаване на </w:t>
      </w:r>
      <w:r w:rsidRPr="003F7E63">
        <w:rPr>
          <w:rFonts w:eastAsia="Times New Roman" w:cs="Arial"/>
          <w:color w:val="000000"/>
          <w:lang w:val="en-US"/>
        </w:rPr>
        <w:t>QT</w:t>
      </w:r>
      <w:r w:rsidRPr="003F7E63">
        <w:rPr>
          <w:rFonts w:eastAsia="Times New Roman" w:cs="Arial"/>
          <w:color w:val="000000"/>
          <w:lang w:eastAsia="bg-BG"/>
        </w:rPr>
        <w:t xml:space="preserve">-интервала. Поради това едновременната употреба на такива лекарства е противопоказана (вж. точка 4.3). Такъв вид взаимодействие може да възникне например между хинидин и сертиндол. В допълнение към ефектите по отношение удължаване на </w:t>
      </w:r>
      <w:r w:rsidRPr="003F7E63">
        <w:rPr>
          <w:rFonts w:eastAsia="Times New Roman" w:cs="Arial"/>
          <w:color w:val="000000"/>
          <w:lang w:val="en-US"/>
        </w:rPr>
        <w:t>QT</w:t>
      </w:r>
      <w:r w:rsidRPr="003F7E63">
        <w:rPr>
          <w:rFonts w:eastAsia="Times New Roman" w:cs="Arial"/>
          <w:color w:val="000000"/>
          <w:lang w:eastAsia="bg-BG"/>
        </w:rPr>
        <w:t xml:space="preserve">-интервала (вж, точка 4.3), хинидин изразено инхибира и </w:t>
      </w:r>
      <w:r w:rsidRPr="003F7E63">
        <w:rPr>
          <w:rFonts w:eastAsia="Times New Roman" w:cs="Arial"/>
          <w:color w:val="000000"/>
          <w:lang w:val="en-US"/>
        </w:rPr>
        <w:t>CYP2D6.</w:t>
      </w:r>
    </w:p>
    <w:p w14:paraId="36227961" w14:textId="77777777" w:rsidR="003F7E63" w:rsidRPr="003F7E63" w:rsidRDefault="003F7E63" w:rsidP="003F7E63">
      <w:pPr>
        <w:spacing w:line="240" w:lineRule="auto"/>
        <w:rPr>
          <w:rFonts w:eastAsia="Times New Roman" w:cs="Arial"/>
          <w:color w:val="000000"/>
          <w:lang w:eastAsia="bg-BG"/>
        </w:rPr>
      </w:pPr>
    </w:p>
    <w:p w14:paraId="7339F7B8" w14:textId="25D6A270"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 xml:space="preserve">Сертиндол се метаболизира значително от </w:t>
      </w:r>
      <w:r w:rsidRPr="003F7E63">
        <w:rPr>
          <w:rFonts w:eastAsia="Times New Roman" w:cs="Arial"/>
          <w:color w:val="000000"/>
          <w:lang w:val="en-US"/>
        </w:rPr>
        <w:t xml:space="preserve">CYP2D6 </w:t>
      </w:r>
      <w:r w:rsidRPr="003F7E63">
        <w:rPr>
          <w:rFonts w:eastAsia="Times New Roman" w:cs="Arial"/>
          <w:color w:val="000000"/>
          <w:lang w:eastAsia="bg-BG"/>
        </w:rPr>
        <w:t xml:space="preserve">и </w:t>
      </w:r>
      <w:r w:rsidRPr="003F7E63">
        <w:rPr>
          <w:rFonts w:eastAsia="Times New Roman" w:cs="Arial"/>
          <w:color w:val="000000"/>
          <w:lang w:val="en-US"/>
        </w:rPr>
        <w:t xml:space="preserve">CYP3A </w:t>
      </w:r>
      <w:r w:rsidRPr="003F7E63">
        <w:rPr>
          <w:rFonts w:eastAsia="Times New Roman" w:cs="Arial"/>
          <w:color w:val="000000"/>
          <w:lang w:eastAsia="bg-BG"/>
        </w:rPr>
        <w:t xml:space="preserve">изоензими на системата цитохром Р450, </w:t>
      </w:r>
      <w:r w:rsidRPr="003F7E63">
        <w:rPr>
          <w:rFonts w:eastAsia="Times New Roman" w:cs="Arial"/>
          <w:color w:val="000000"/>
          <w:lang w:val="en-US"/>
        </w:rPr>
        <w:t xml:space="preserve">CYP2D6 </w:t>
      </w:r>
      <w:r w:rsidRPr="003F7E63">
        <w:rPr>
          <w:rFonts w:eastAsia="Times New Roman" w:cs="Arial"/>
          <w:color w:val="000000"/>
          <w:lang w:eastAsia="bg-BG"/>
        </w:rPr>
        <w:t>се характеризира с полиморфизъм, а двата изоензима могат да бъдат инхибирани от редица психотропни и други лекарства. (вж. точка 4,4)</w:t>
      </w:r>
    </w:p>
    <w:p w14:paraId="22BC1DF9" w14:textId="77777777" w:rsidR="003F7E63" w:rsidRPr="003F7E63" w:rsidRDefault="003F7E63" w:rsidP="003F7E63">
      <w:pPr>
        <w:spacing w:line="240" w:lineRule="auto"/>
        <w:rPr>
          <w:rFonts w:eastAsia="Times New Roman" w:cs="Arial"/>
          <w:color w:val="000000"/>
          <w:u w:val="single"/>
          <w:lang w:val="en-US"/>
        </w:rPr>
      </w:pPr>
    </w:p>
    <w:p w14:paraId="11E132ED" w14:textId="216E6241"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val="en-US"/>
        </w:rPr>
        <w:t>CYP2D6</w:t>
      </w:r>
    </w:p>
    <w:p w14:paraId="076B62ED"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Плазмената концентрация на сертиндол се увеличава 2-3 пъти при пациенти, които приемат едновременно флуоксетин или пароксетин (мощни инхибитори н</w:t>
      </w:r>
      <w:r w:rsidRPr="003F7E63">
        <w:rPr>
          <w:rFonts w:eastAsia="Times New Roman" w:cs="Arial"/>
          <w:color w:val="000000"/>
          <w:lang w:val="en-US"/>
        </w:rPr>
        <w:t xml:space="preserve">a CYP2D6), </w:t>
      </w:r>
      <w:r w:rsidRPr="003F7E63">
        <w:rPr>
          <w:rFonts w:eastAsia="Times New Roman" w:cs="Arial"/>
          <w:color w:val="000000"/>
          <w:lang w:eastAsia="bg-BG"/>
        </w:rPr>
        <w:t>поради това сертиндол следва да бъде използван едновременно с тези лекарства само при изключително повишено внимание, Може да се наложи по-ниска поддържаща доза сертиндол и внимателно ЕКГ проследяване преди и след всяка промяна в дозата на тези лекарствени средства (вж. точка 4.4).</w:t>
      </w:r>
    </w:p>
    <w:p w14:paraId="5387F27C" w14:textId="77777777" w:rsidR="003F7E63" w:rsidRPr="003F7E63" w:rsidRDefault="003F7E63" w:rsidP="003F7E63">
      <w:pPr>
        <w:spacing w:line="240" w:lineRule="auto"/>
        <w:rPr>
          <w:rFonts w:eastAsia="Times New Roman" w:cs="Arial"/>
          <w:color w:val="000000"/>
          <w:u w:val="single"/>
          <w:lang w:val="en-US"/>
        </w:rPr>
      </w:pPr>
    </w:p>
    <w:p w14:paraId="3DBED3BF" w14:textId="1E70415B"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u w:val="single"/>
          <w:lang w:val="en-US"/>
        </w:rPr>
        <w:t>CYP3A</w:t>
      </w:r>
    </w:p>
    <w:p w14:paraId="5CCE2253"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 xml:space="preserve">Минимални увеличения </w:t>
      </w:r>
      <w:r w:rsidRPr="003F7E63">
        <w:rPr>
          <w:rFonts w:eastAsia="Times New Roman" w:cs="Arial"/>
          <w:i/>
          <w:iCs/>
          <w:color w:val="000000"/>
          <w:lang w:eastAsia="bg-BG"/>
        </w:rPr>
        <w:t>(&lt; 25%)</w:t>
      </w:r>
      <w:r w:rsidRPr="003F7E63">
        <w:rPr>
          <w:rFonts w:eastAsia="Times New Roman" w:cs="Arial"/>
          <w:color w:val="000000"/>
          <w:lang w:eastAsia="bg-BG"/>
        </w:rPr>
        <w:t xml:space="preserve"> на плазмените концентрации на сертиндол са регистрирани при макролидите (напр. еритромицин, </w:t>
      </w:r>
      <w:r w:rsidRPr="003F7E63">
        <w:rPr>
          <w:rFonts w:eastAsia="Times New Roman" w:cs="Arial"/>
          <w:color w:val="000000"/>
          <w:lang w:val="en-US"/>
        </w:rPr>
        <w:t xml:space="preserve">CYP3A </w:t>
      </w:r>
      <w:r w:rsidRPr="003F7E63">
        <w:rPr>
          <w:rFonts w:eastAsia="Times New Roman" w:cs="Arial"/>
          <w:color w:val="000000"/>
          <w:lang w:eastAsia="bg-BG"/>
        </w:rPr>
        <w:t xml:space="preserve">инхибитор) и калциевите антагонисти (дилтиазем, верапамил). Независимо от това последиците биха били много по-големи при индивиди със слаб метаболизъм чрез </w:t>
      </w:r>
      <w:r w:rsidRPr="003F7E63">
        <w:rPr>
          <w:rFonts w:eastAsia="Times New Roman" w:cs="Arial"/>
          <w:color w:val="000000"/>
          <w:lang w:val="en-US"/>
        </w:rPr>
        <w:t xml:space="preserve">CYP2D6 </w:t>
      </w:r>
      <w:r w:rsidRPr="003F7E63">
        <w:rPr>
          <w:rFonts w:eastAsia="Times New Roman" w:cs="Arial"/>
          <w:color w:val="000000"/>
          <w:lang w:eastAsia="bg-BG"/>
        </w:rPr>
        <w:t xml:space="preserve">(поради това, че елиминирането на сертиндол и от двата изоензима </w:t>
      </w:r>
      <w:r w:rsidRPr="003F7E63">
        <w:rPr>
          <w:rFonts w:eastAsia="Times New Roman" w:cs="Arial"/>
          <w:color w:val="000000"/>
          <w:lang w:val="en-US"/>
        </w:rPr>
        <w:t xml:space="preserve">CYP2D6 </w:t>
      </w:r>
      <w:r w:rsidRPr="003F7E63">
        <w:rPr>
          <w:rFonts w:eastAsia="Times New Roman" w:cs="Arial"/>
          <w:color w:val="000000"/>
          <w:lang w:eastAsia="bg-BG"/>
        </w:rPr>
        <w:t xml:space="preserve">и </w:t>
      </w:r>
      <w:r w:rsidRPr="003F7E63">
        <w:rPr>
          <w:rFonts w:eastAsia="Times New Roman" w:cs="Arial"/>
          <w:color w:val="000000"/>
          <w:lang w:val="en-US"/>
        </w:rPr>
        <w:t xml:space="preserve">CYP3A, </w:t>
      </w:r>
      <w:r w:rsidRPr="003F7E63">
        <w:rPr>
          <w:rFonts w:eastAsia="Times New Roman" w:cs="Arial"/>
          <w:color w:val="000000"/>
          <w:lang w:eastAsia="bg-BG"/>
        </w:rPr>
        <w:t xml:space="preserve">ще бъде засегнато). Поради това, че е невъзможно рутинно да бъдат идентифицирани пациентите със слаб метаболизъм чрез </w:t>
      </w:r>
      <w:r w:rsidRPr="003F7E63">
        <w:rPr>
          <w:rFonts w:eastAsia="Times New Roman" w:cs="Arial"/>
          <w:color w:val="000000"/>
          <w:lang w:val="en-US"/>
        </w:rPr>
        <w:t xml:space="preserve">CYP2D6, </w:t>
      </w:r>
      <w:r w:rsidRPr="003F7E63">
        <w:rPr>
          <w:rFonts w:eastAsia="Times New Roman" w:cs="Arial"/>
          <w:color w:val="000000"/>
          <w:lang w:eastAsia="bg-BG"/>
        </w:rPr>
        <w:t xml:space="preserve">едновременната употреба на </w:t>
      </w:r>
      <w:r w:rsidRPr="003F7E63">
        <w:rPr>
          <w:rFonts w:eastAsia="Times New Roman" w:cs="Arial"/>
          <w:color w:val="000000"/>
          <w:lang w:val="en-US"/>
        </w:rPr>
        <w:t xml:space="preserve">CYP3A </w:t>
      </w:r>
      <w:r w:rsidRPr="003F7E63">
        <w:rPr>
          <w:rFonts w:eastAsia="Times New Roman" w:cs="Arial"/>
          <w:color w:val="000000"/>
          <w:lang w:eastAsia="bg-BG"/>
        </w:rPr>
        <w:t>инхибитори и сертиндол е противопоказана, тъй като това може да доведе до значителна увеличаване на нивата на сертиндол. (вж. точка 4,3).</w:t>
      </w:r>
    </w:p>
    <w:p w14:paraId="41039E76" w14:textId="77777777" w:rsidR="003F7E63" w:rsidRPr="003F7E63" w:rsidRDefault="003F7E63" w:rsidP="003F7E63">
      <w:pPr>
        <w:rPr>
          <w:rFonts w:eastAsia="Times New Roman" w:cs="Arial"/>
          <w:color w:val="000000"/>
          <w:lang w:eastAsia="bg-BG"/>
        </w:rPr>
      </w:pPr>
    </w:p>
    <w:p w14:paraId="172AE819" w14:textId="48335F8C" w:rsidR="0091385D" w:rsidRPr="003F7E63" w:rsidRDefault="003F7E63" w:rsidP="003F7E63">
      <w:pPr>
        <w:rPr>
          <w:rFonts w:cs="Arial"/>
        </w:rPr>
      </w:pPr>
      <w:r w:rsidRPr="003F7E63">
        <w:rPr>
          <w:rFonts w:eastAsia="Times New Roman" w:cs="Arial"/>
          <w:color w:val="000000"/>
          <w:lang w:eastAsia="bg-BG"/>
        </w:rPr>
        <w:t xml:space="preserve">Метаболизмът на сертиндол може да се повиши значимо от средства, за които се знае, че индуцират </w:t>
      </w:r>
      <w:r w:rsidRPr="003F7E63">
        <w:rPr>
          <w:rFonts w:eastAsia="Times New Roman" w:cs="Arial"/>
          <w:color w:val="000000"/>
          <w:lang w:val="en-US"/>
        </w:rPr>
        <w:t xml:space="preserve">CYP </w:t>
      </w:r>
      <w:r w:rsidRPr="003F7E63">
        <w:rPr>
          <w:rFonts w:eastAsia="Times New Roman" w:cs="Arial"/>
          <w:color w:val="000000"/>
          <w:lang w:eastAsia="bg-BG"/>
        </w:rPr>
        <w:t>изоензимите - предимно рифампицин, карбамазепин, фенитоин и фенобарбитад, което може да понижи плазмените концентрации на сертиндол 2-3 пъти. Понижената антипсихотична ефективност</w:t>
      </w:r>
      <w:r>
        <w:rPr>
          <w:rFonts w:eastAsia="Times New Roman" w:cs="Arial"/>
          <w:color w:val="000000"/>
          <w:lang w:eastAsia="bg-BG"/>
        </w:rPr>
        <w:t xml:space="preserve"> </w:t>
      </w:r>
      <w:r w:rsidRPr="003F7E63">
        <w:t xml:space="preserve">при пациенти получаващи такива лекарства или други индуциращи средства може да наложи дозата на сертиндол да бъде повишена </w:t>
      </w:r>
      <w:r w:rsidRPr="003F7E63">
        <w:t>до горната препоръчвана граница.</w:t>
      </w:r>
    </w:p>
    <w:p w14:paraId="5B2761C5" w14:textId="77777777" w:rsidR="0091385D" w:rsidRPr="0091385D" w:rsidRDefault="0091385D" w:rsidP="0091385D"/>
    <w:p w14:paraId="394A7584" w14:textId="10DEA5B3" w:rsidR="004F498A" w:rsidRDefault="002C50EE" w:rsidP="004A448E">
      <w:pPr>
        <w:pStyle w:val="Heading2"/>
      </w:pPr>
      <w:r>
        <w:lastRenderedPageBreak/>
        <w:t>4.6. Фертилитет, бременност и кърмене</w:t>
      </w:r>
    </w:p>
    <w:p w14:paraId="4887836B" w14:textId="11C96CFA" w:rsidR="0091385D" w:rsidRDefault="0091385D" w:rsidP="0091385D"/>
    <w:p w14:paraId="019FF5F8" w14:textId="77777777" w:rsidR="003F7E63" w:rsidRPr="003F7E63" w:rsidRDefault="003F7E63" w:rsidP="003F7E63">
      <w:pPr>
        <w:pStyle w:val="Heading3"/>
        <w:rPr>
          <w:rFonts w:eastAsia="Times New Roman"/>
          <w:u w:val="single"/>
          <w:lang w:eastAsia="bg-BG"/>
        </w:rPr>
      </w:pPr>
      <w:r w:rsidRPr="003F7E63">
        <w:rPr>
          <w:rFonts w:eastAsia="Times New Roman"/>
          <w:u w:val="single"/>
          <w:lang w:eastAsia="bg-BG"/>
        </w:rPr>
        <w:t>Фертилитет</w:t>
      </w:r>
    </w:p>
    <w:p w14:paraId="70ABC95D"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Оралното приложение на сертиндол е показал увреди мъжкия фертилитет при мишки и плъхове при системни експозиции, подобни на или по-малко, отколкото, че очаква при хора при максималната препоръчвана клинична доза.</w:t>
      </w:r>
    </w:p>
    <w:p w14:paraId="0958DD51"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 xml:space="preserve">Обезценката на плодовитост възрастен мъж, който е бил обратим, е вероятно да се дължи на </w:t>
      </w:r>
      <w:r w:rsidRPr="003F7E63">
        <w:rPr>
          <w:rFonts w:eastAsia="Times New Roman" w:cs="Arial"/>
          <w:color w:val="000000"/>
          <w:lang w:val="en-US"/>
        </w:rPr>
        <w:t xml:space="preserve">al </w:t>
      </w:r>
      <w:r w:rsidRPr="003F7E63">
        <w:rPr>
          <w:rFonts w:eastAsia="Times New Roman" w:cs="Arial"/>
          <w:color w:val="000000"/>
          <w:lang w:eastAsia="bg-BG"/>
        </w:rPr>
        <w:t>- адренорецепторен антагонизъм. Потомци на сертиндол, третирани женски плъхове показва също намалява чифтосването и фертилитета (вж. точка 5.3).</w:t>
      </w:r>
    </w:p>
    <w:p w14:paraId="312F1410"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При хората, са докладвани нежелани събития като хиперпролактинемия, галакторея, еректилна дисфункция, еякулация разстройство и липса на еякулация. Тези събития могат да имат отрицателно въздействие върху женската и / или мъжката сексуална функция и оплодителната способност.</w:t>
      </w:r>
    </w:p>
    <w:p w14:paraId="76218705"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Ако клинично значимо хиперпролактинемия, галакторея или сексуални дисфункции се появят, трябва да се обмисли намаляване на дозата (ако е възможно) или прекъсване на лечението.</w:t>
      </w:r>
    </w:p>
    <w:p w14:paraId="76B3E0F7" w14:textId="77777777" w:rsidR="003F7E63" w:rsidRPr="003F7E63" w:rsidRDefault="003F7E63" w:rsidP="003F7E63">
      <w:pPr>
        <w:spacing w:line="240" w:lineRule="auto"/>
        <w:rPr>
          <w:rFonts w:eastAsia="Times New Roman" w:cs="Arial"/>
          <w:color w:val="000000"/>
          <w:lang w:eastAsia="bg-BG"/>
        </w:rPr>
      </w:pPr>
    </w:p>
    <w:p w14:paraId="7F45C984" w14:textId="73FAC712"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Ефектите са обратими след прекратяване на лечението.</w:t>
      </w:r>
    </w:p>
    <w:p w14:paraId="08A216FD" w14:textId="77777777" w:rsidR="003F7E63" w:rsidRPr="003F7E63" w:rsidRDefault="003F7E63" w:rsidP="003F7E63">
      <w:pPr>
        <w:spacing w:line="240" w:lineRule="auto"/>
        <w:rPr>
          <w:rFonts w:eastAsia="Times New Roman" w:cs="Arial"/>
          <w:color w:val="000000"/>
          <w:u w:val="single"/>
          <w:lang w:eastAsia="bg-BG"/>
        </w:rPr>
      </w:pPr>
    </w:p>
    <w:p w14:paraId="3350D327" w14:textId="6DCA656E" w:rsidR="003F7E63" w:rsidRPr="003F7E63" w:rsidRDefault="003F7E63" w:rsidP="003F7E63">
      <w:pPr>
        <w:pStyle w:val="Heading3"/>
        <w:rPr>
          <w:rFonts w:eastAsia="Times New Roman"/>
          <w:u w:val="single"/>
          <w:lang w:eastAsia="bg-BG"/>
        </w:rPr>
      </w:pPr>
      <w:r w:rsidRPr="003F7E63">
        <w:rPr>
          <w:rFonts w:eastAsia="Times New Roman"/>
          <w:u w:val="single"/>
          <w:lang w:eastAsia="bg-BG"/>
        </w:rPr>
        <w:t>Бременност</w:t>
      </w:r>
    </w:p>
    <w:p w14:paraId="3EC13EEF" w14:textId="77777777" w:rsidR="003F7E63" w:rsidRPr="003F7E63" w:rsidRDefault="003F7E63" w:rsidP="003F7E63">
      <w:pPr>
        <w:spacing w:line="240" w:lineRule="auto"/>
        <w:rPr>
          <w:rFonts w:eastAsia="Times New Roman" w:cs="Arial"/>
          <w:sz w:val="24"/>
          <w:szCs w:val="24"/>
          <w:lang w:eastAsia="bg-BG"/>
        </w:rPr>
      </w:pPr>
      <w:r w:rsidRPr="003F7E63">
        <w:rPr>
          <w:rFonts w:eastAsia="Times New Roman" w:cs="Arial"/>
          <w:color w:val="000000"/>
          <w:lang w:eastAsia="bg-BG"/>
        </w:rPr>
        <w:t>Безопасността на сертиндол по време на бременност не е установена.</w:t>
      </w:r>
    </w:p>
    <w:p w14:paraId="5B707515" w14:textId="77777777" w:rsidR="003F7E63" w:rsidRPr="003F7E63" w:rsidRDefault="003F7E63" w:rsidP="003F7E63">
      <w:pPr>
        <w:spacing w:line="240" w:lineRule="auto"/>
        <w:rPr>
          <w:rFonts w:eastAsia="Times New Roman" w:cs="Arial"/>
          <w:color w:val="000000"/>
          <w:lang w:eastAsia="bg-BG"/>
        </w:rPr>
      </w:pPr>
    </w:p>
    <w:p w14:paraId="16982068" w14:textId="4D589C49"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Сертиндол не е показал тератогенност при проучвания върху репродукцията у животни. Пери/постнатално проучване при плъхове е показало понижена фертилност в поколението при дози, които са в рамките на терапевтичните при хора (вж. точка 5.3).</w:t>
      </w:r>
    </w:p>
    <w:p w14:paraId="651FF77E" w14:textId="77777777"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Следователно, сертиндол не трябва да се използва по време на бременност.</w:t>
      </w:r>
    </w:p>
    <w:p w14:paraId="707A5EF7" w14:textId="77777777" w:rsidR="003F7E63" w:rsidRPr="003F7E63" w:rsidRDefault="003F7E63" w:rsidP="003F7E63">
      <w:pPr>
        <w:spacing w:line="240" w:lineRule="auto"/>
        <w:rPr>
          <w:rFonts w:eastAsia="Times New Roman" w:cs="Arial"/>
          <w:color w:val="000000"/>
          <w:lang w:eastAsia="bg-BG"/>
        </w:rPr>
      </w:pPr>
    </w:p>
    <w:p w14:paraId="16668214" w14:textId="04489B4C"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Новородени, изложени на антипсихотици (включително Сердолект) по време на третия триместър на бременността, са изложени на риск от нежелани реакции, включително екстрапирамидни и / или симптоми на отнемане, които могат да варират по тежест и продължителнст след раждането. Има доклади на възбуда, хипертония, хипотония, тремор, сънливост, респираторен дистрес или хранително разстройство. Следователно новородените трябва да се наблюдават внимателно.</w:t>
      </w:r>
    </w:p>
    <w:p w14:paraId="2F95A69C" w14:textId="77777777" w:rsidR="003F7E63" w:rsidRPr="003F7E63" w:rsidRDefault="003F7E63" w:rsidP="003F7E63">
      <w:pPr>
        <w:spacing w:line="240" w:lineRule="auto"/>
        <w:rPr>
          <w:rFonts w:eastAsia="Times New Roman" w:cs="Arial"/>
          <w:color w:val="000000"/>
          <w:u w:val="single"/>
          <w:lang w:eastAsia="bg-BG"/>
        </w:rPr>
      </w:pPr>
    </w:p>
    <w:p w14:paraId="759902EB" w14:textId="219A17F4" w:rsidR="003F7E63" w:rsidRPr="003F7E63" w:rsidRDefault="003F7E63" w:rsidP="003F7E63">
      <w:pPr>
        <w:pStyle w:val="Heading3"/>
        <w:rPr>
          <w:rFonts w:eastAsia="Times New Roman" w:cs="Arial"/>
          <w:sz w:val="22"/>
          <w:szCs w:val="22"/>
          <w:u w:val="single"/>
          <w:lang w:eastAsia="bg-BG"/>
        </w:rPr>
      </w:pPr>
      <w:r w:rsidRPr="003F7E63">
        <w:rPr>
          <w:rFonts w:eastAsia="Times New Roman" w:cs="Arial"/>
          <w:sz w:val="22"/>
          <w:szCs w:val="22"/>
          <w:u w:val="single"/>
          <w:lang w:eastAsia="bg-BG"/>
        </w:rPr>
        <w:t>Кърмене</w:t>
      </w:r>
    </w:p>
    <w:p w14:paraId="0A11E06B" w14:textId="77777777"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Проучвания при кърмачки не са провеждани, но се очаква сертиндол да се екскретира с млякото.</w:t>
      </w:r>
    </w:p>
    <w:p w14:paraId="09AAFE80" w14:textId="77777777" w:rsidR="003F7E63" w:rsidRPr="003F7E63" w:rsidRDefault="003F7E63" w:rsidP="003F7E63">
      <w:pPr>
        <w:rPr>
          <w:rFonts w:eastAsia="Times New Roman" w:cs="Arial"/>
          <w:color w:val="000000"/>
          <w:lang w:eastAsia="bg-BG"/>
        </w:rPr>
      </w:pPr>
    </w:p>
    <w:p w14:paraId="776662C5" w14:textId="1B2586A4" w:rsidR="0091385D" w:rsidRPr="003F7E63" w:rsidRDefault="003F7E63" w:rsidP="003F7E63">
      <w:pPr>
        <w:rPr>
          <w:rFonts w:cs="Arial"/>
        </w:rPr>
      </w:pPr>
      <w:r w:rsidRPr="003F7E63">
        <w:rPr>
          <w:rFonts w:eastAsia="Times New Roman" w:cs="Arial"/>
          <w:color w:val="000000"/>
          <w:lang w:eastAsia="bg-BG"/>
        </w:rPr>
        <w:t>Ако се прецени, че лечение със сертиндол е необходимо, трябва да се има предвид прекратяване на кърменето.</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43863B8B" w:rsidR="0091385D" w:rsidRPr="003F7E63" w:rsidRDefault="003F7E63" w:rsidP="0091385D">
      <w:pPr>
        <w:rPr>
          <w:rFonts w:cs="Arial"/>
        </w:rPr>
      </w:pPr>
      <w:r w:rsidRPr="003F7E63">
        <w:rPr>
          <w:rFonts w:cs="Arial"/>
        </w:rPr>
        <w:t>Сертиндол няма седиращ ефект, но пациентите трябва да бъдат съветвани да не шофират или управляват машини, докато не се установи индивидуалната им реакция към медикамента.</w:t>
      </w:r>
    </w:p>
    <w:p w14:paraId="35801A15" w14:textId="77777777" w:rsidR="0091385D" w:rsidRPr="0091385D" w:rsidRDefault="0091385D" w:rsidP="0091385D"/>
    <w:p w14:paraId="37A3FD9F" w14:textId="0E7561E3" w:rsidR="00CF77F7" w:rsidRDefault="002C50EE" w:rsidP="004A448E">
      <w:pPr>
        <w:pStyle w:val="Heading2"/>
      </w:pPr>
      <w:r>
        <w:lastRenderedPageBreak/>
        <w:t>4.8. Нежелани лекарствени реакции</w:t>
      </w:r>
    </w:p>
    <w:p w14:paraId="4838F52A" w14:textId="4C2232D6" w:rsidR="0091385D" w:rsidRDefault="0091385D" w:rsidP="0091385D"/>
    <w:p w14:paraId="70712ED0" w14:textId="77777777" w:rsidR="003F7E63" w:rsidRPr="003F7E63" w:rsidRDefault="003F7E63" w:rsidP="003F7E63">
      <w:pPr>
        <w:spacing w:line="240" w:lineRule="auto"/>
        <w:rPr>
          <w:rFonts w:eastAsia="Times New Roman" w:cs="Arial"/>
          <w:lang w:eastAsia="bg-BG"/>
        </w:rPr>
      </w:pPr>
      <w:r w:rsidRPr="003F7E63">
        <w:rPr>
          <w:rFonts w:eastAsia="Times New Roman" w:cs="Arial"/>
          <w:b/>
          <w:bCs/>
          <w:color w:val="000000"/>
          <w:lang w:eastAsia="bg-BG"/>
        </w:rPr>
        <w:t>Нежелани лекарствени реакции</w:t>
      </w:r>
    </w:p>
    <w:p w14:paraId="7E76037B" w14:textId="77777777" w:rsidR="003F7E63" w:rsidRPr="003F7E63" w:rsidRDefault="003F7E63" w:rsidP="003F7E63">
      <w:pPr>
        <w:rPr>
          <w:rFonts w:eastAsia="Times New Roman" w:cs="Arial"/>
          <w:lang w:eastAsia="bg-BG"/>
        </w:rPr>
      </w:pPr>
      <w:r w:rsidRPr="003F7E63">
        <w:rPr>
          <w:rFonts w:eastAsia="Times New Roman" w:cs="Arial"/>
          <w:color w:val="000000"/>
          <w:lang w:eastAsia="bg-BG"/>
        </w:rPr>
        <w:t>По време на клинични проучвания са наблюдавани следните нежелани реакции с честота по-голяма от 1%, които се свързват с употребата на сертиндол и показват значима разлика спрямо плацебо</w:t>
      </w:r>
      <w:r w:rsidRPr="003F7E63">
        <w:rPr>
          <w:rFonts w:eastAsia="Times New Roman" w:cs="Arial"/>
          <w:i/>
          <w:iCs/>
          <w:smallCaps/>
          <w:color w:val="000000"/>
          <w:lang w:eastAsia="bg-BG"/>
        </w:rPr>
        <w:t xml:space="preserve"> </w:t>
      </w:r>
      <w:r w:rsidRPr="003F7E63">
        <w:rPr>
          <w:rFonts w:eastAsia="Times New Roman" w:cs="Arial"/>
          <w:color w:val="000000"/>
          <w:lang w:eastAsia="bg-BG"/>
        </w:rPr>
        <w:t xml:space="preserve">(посочени в низходящ ред по отношение на честотата): ринит/назална конгестия, абнормна еякулация (намален еякулаторен обем), замаяност, сухота в устата, ортостатична хипотензия, увеличаване на теглото, периферни отоци, диспнея, парестезии и удължаване на </w:t>
      </w:r>
      <w:r w:rsidRPr="003F7E63">
        <w:rPr>
          <w:rFonts w:eastAsia="Times New Roman" w:cs="Arial"/>
          <w:color w:val="000000"/>
          <w:lang w:val="en-US"/>
        </w:rPr>
        <w:t>QT</w:t>
      </w:r>
      <w:r w:rsidRPr="003F7E63">
        <w:rPr>
          <w:rFonts w:eastAsia="Times New Roman" w:cs="Arial"/>
          <w:color w:val="000000"/>
          <w:lang w:eastAsia="bg-BG"/>
        </w:rPr>
        <w:t>-интервала (Вж. точка 4.4).</w:t>
      </w:r>
    </w:p>
    <w:p w14:paraId="722F579A" w14:textId="77777777" w:rsidR="003F7E63" w:rsidRPr="003F7E63" w:rsidRDefault="003F7E63" w:rsidP="003F7E63">
      <w:pPr>
        <w:spacing w:line="240" w:lineRule="auto"/>
        <w:rPr>
          <w:rFonts w:eastAsia="Times New Roman" w:cs="Arial"/>
          <w:color w:val="000000"/>
          <w:u w:val="single"/>
          <w:lang w:eastAsia="bg-BG"/>
        </w:rPr>
      </w:pPr>
    </w:p>
    <w:p w14:paraId="10707388" w14:textId="5928180C" w:rsidR="003F7E63" w:rsidRPr="003F7E63" w:rsidRDefault="003F7E63" w:rsidP="003F7E63">
      <w:pPr>
        <w:spacing w:line="240" w:lineRule="auto"/>
        <w:rPr>
          <w:rFonts w:eastAsia="Times New Roman" w:cs="Arial"/>
          <w:lang w:eastAsia="bg-BG"/>
        </w:rPr>
      </w:pPr>
      <w:r w:rsidRPr="003F7E63">
        <w:rPr>
          <w:rFonts w:eastAsia="Times New Roman" w:cs="Arial"/>
          <w:color w:val="000000"/>
          <w:u w:val="single"/>
          <w:lang w:eastAsia="bg-BG"/>
        </w:rPr>
        <w:t>Екстрапирамидни симптоми (ЕПС)</w:t>
      </w:r>
    </w:p>
    <w:p w14:paraId="450CE6F9" w14:textId="77777777"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Честотата на съобщаваните ЕПС-нежелани реакции при пациенти приемащи сертиндол е подобна на тази при пациенти на плацебо. В допълнение на това, при плацебо-контролирани проучвания, разликата между пациентите лекувани със сертиндол и тези с плацебо, които се нуждаят от коректори, е била незначителна.</w:t>
      </w:r>
    </w:p>
    <w:p w14:paraId="5469C3B0" w14:textId="77777777" w:rsidR="003F7E63" w:rsidRPr="003F7E63" w:rsidRDefault="003F7E63" w:rsidP="003F7E63">
      <w:pPr>
        <w:spacing w:line="240" w:lineRule="auto"/>
        <w:rPr>
          <w:rFonts w:eastAsia="Times New Roman" w:cs="Arial"/>
          <w:color w:val="000000"/>
          <w:lang w:eastAsia="bg-BG"/>
        </w:rPr>
      </w:pPr>
    </w:p>
    <w:p w14:paraId="1B05ABA3" w14:textId="1D40A795"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Някои от нежеланите реакции се появяват в началото на лечението и изчезват при продължителна терапия, напр. ортостатичната хипотензия.</w:t>
      </w:r>
    </w:p>
    <w:p w14:paraId="250986A5" w14:textId="77777777" w:rsidR="003F7E63" w:rsidRPr="003F7E63" w:rsidRDefault="003F7E63" w:rsidP="003F7E63">
      <w:pPr>
        <w:spacing w:line="240" w:lineRule="auto"/>
        <w:rPr>
          <w:rFonts w:eastAsia="Times New Roman" w:cs="Arial"/>
          <w:color w:val="000000"/>
          <w:lang w:eastAsia="bg-BG"/>
        </w:rPr>
      </w:pPr>
    </w:p>
    <w:p w14:paraId="43964323" w14:textId="7885187E"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Таблицата по-долу показва нежеланите реакции групирани по системо-органна класификация и честота:</w:t>
      </w:r>
    </w:p>
    <w:p w14:paraId="219E2C3F" w14:textId="77777777" w:rsidR="003F7E63" w:rsidRPr="003F7E63" w:rsidRDefault="003F7E63" w:rsidP="003F7E63">
      <w:pPr>
        <w:spacing w:line="240" w:lineRule="auto"/>
        <w:rPr>
          <w:rFonts w:eastAsia="Times New Roman" w:cs="Arial"/>
          <w:color w:val="000000"/>
          <w:lang w:eastAsia="bg-BG"/>
        </w:rPr>
      </w:pPr>
    </w:p>
    <w:p w14:paraId="769A7505" w14:textId="797F3EEE"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Много чести (≥1/10);</w:t>
      </w:r>
    </w:p>
    <w:p w14:paraId="1E8842D2" w14:textId="77777777" w:rsidR="003F7E63" w:rsidRPr="003F7E63" w:rsidRDefault="003F7E63" w:rsidP="003F7E63">
      <w:pPr>
        <w:spacing w:line="240" w:lineRule="auto"/>
        <w:rPr>
          <w:rFonts w:eastAsia="Times New Roman" w:cs="Arial"/>
          <w:lang w:eastAsia="bg-BG"/>
        </w:rPr>
      </w:pPr>
      <w:r w:rsidRPr="003F7E63">
        <w:rPr>
          <w:rFonts w:eastAsia="Times New Roman" w:cs="Arial"/>
          <w:color w:val="000000"/>
          <w:lang w:eastAsia="bg-BG"/>
        </w:rPr>
        <w:t>Чести (≥1/100 до &lt;1/10); Нечести (≥ 1/1 000 до &lt;1/100);</w:t>
      </w:r>
    </w:p>
    <w:p w14:paraId="570508C4" w14:textId="6C782B75" w:rsidR="0091385D" w:rsidRPr="003F7E63" w:rsidRDefault="003F7E63" w:rsidP="003F7E63">
      <w:pPr>
        <w:rPr>
          <w:rFonts w:cs="Arial"/>
        </w:rPr>
      </w:pPr>
      <w:r w:rsidRPr="003F7E63">
        <w:rPr>
          <w:rFonts w:eastAsia="Times New Roman" w:cs="Arial"/>
          <w:color w:val="000000"/>
          <w:lang w:eastAsia="bg-BG"/>
        </w:rPr>
        <w:t>Редки (≥1/10 000 до &lt;1/1 000); Много редки (≤; 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3133"/>
        <w:gridCol w:w="3082"/>
        <w:gridCol w:w="3135"/>
      </w:tblGrid>
      <w:tr w:rsidR="003F7E63" w14:paraId="487A9B04" w14:textId="77777777" w:rsidTr="003F7E63">
        <w:tc>
          <w:tcPr>
            <w:tcW w:w="3166" w:type="dxa"/>
          </w:tcPr>
          <w:p w14:paraId="0DA8F7EB" w14:textId="230B31BE" w:rsidR="003F7E63" w:rsidRPr="00091BFD" w:rsidRDefault="003F7E63" w:rsidP="003F7E63">
            <w:pPr>
              <w:rPr>
                <w:rFonts w:cs="Arial"/>
              </w:rPr>
            </w:pPr>
            <w:r w:rsidRPr="00091BFD">
              <w:rPr>
                <w:rFonts w:cs="Arial"/>
                <w:b/>
                <w:bCs/>
              </w:rPr>
              <w:t>Системо-органни класове</w:t>
            </w:r>
          </w:p>
        </w:tc>
        <w:tc>
          <w:tcPr>
            <w:tcW w:w="3167" w:type="dxa"/>
          </w:tcPr>
          <w:p w14:paraId="263BA087" w14:textId="7F801BAA" w:rsidR="003F7E63" w:rsidRPr="00091BFD" w:rsidRDefault="003F7E63" w:rsidP="003F7E63">
            <w:pPr>
              <w:rPr>
                <w:rFonts w:cs="Arial"/>
              </w:rPr>
            </w:pPr>
            <w:r w:rsidRPr="00091BFD">
              <w:rPr>
                <w:rFonts w:cs="Arial"/>
                <w:b/>
                <w:bCs/>
              </w:rPr>
              <w:t>Честота</w:t>
            </w:r>
          </w:p>
        </w:tc>
        <w:tc>
          <w:tcPr>
            <w:tcW w:w="3167" w:type="dxa"/>
          </w:tcPr>
          <w:p w14:paraId="588A30AF" w14:textId="70B23A32" w:rsidR="003F7E63" w:rsidRPr="00091BFD" w:rsidRDefault="003F7E63" w:rsidP="003F7E63">
            <w:pPr>
              <w:rPr>
                <w:rFonts w:cs="Arial"/>
              </w:rPr>
            </w:pPr>
            <w:r w:rsidRPr="00091BFD">
              <w:rPr>
                <w:rFonts w:cs="Arial"/>
                <w:b/>
                <w:bCs/>
              </w:rPr>
              <w:t>Нежелана лекарствена реакция</w:t>
            </w:r>
          </w:p>
        </w:tc>
      </w:tr>
      <w:tr w:rsidR="003F7E63" w14:paraId="51623F8B" w14:textId="77777777" w:rsidTr="003F7E63">
        <w:tc>
          <w:tcPr>
            <w:tcW w:w="3166" w:type="dxa"/>
          </w:tcPr>
          <w:p w14:paraId="2299C272" w14:textId="006F90AC" w:rsidR="003F7E63" w:rsidRPr="00091BFD" w:rsidRDefault="003F7E63" w:rsidP="003F7E63">
            <w:pPr>
              <w:rPr>
                <w:rFonts w:cs="Arial"/>
              </w:rPr>
            </w:pPr>
            <w:r w:rsidRPr="00091BFD">
              <w:rPr>
                <w:rFonts w:cs="Arial"/>
              </w:rPr>
              <w:t>Нарушения на ендокринната система</w:t>
            </w:r>
          </w:p>
        </w:tc>
        <w:tc>
          <w:tcPr>
            <w:tcW w:w="3167" w:type="dxa"/>
          </w:tcPr>
          <w:p w14:paraId="7FC548A8" w14:textId="530DB761" w:rsidR="003F7E63" w:rsidRPr="00091BFD" w:rsidRDefault="003F7E63" w:rsidP="003F7E63">
            <w:pPr>
              <w:rPr>
                <w:rFonts w:cs="Arial"/>
              </w:rPr>
            </w:pPr>
            <w:r w:rsidRPr="00091BFD">
              <w:rPr>
                <w:rFonts w:cs="Arial"/>
              </w:rPr>
              <w:t>Нечести</w:t>
            </w:r>
          </w:p>
        </w:tc>
        <w:tc>
          <w:tcPr>
            <w:tcW w:w="3167" w:type="dxa"/>
          </w:tcPr>
          <w:p w14:paraId="4E814C8B" w14:textId="5040D41D" w:rsidR="003F7E63" w:rsidRPr="00091BFD" w:rsidRDefault="003F7E63" w:rsidP="003F7E63">
            <w:pPr>
              <w:rPr>
                <w:rFonts w:cs="Arial"/>
              </w:rPr>
            </w:pPr>
            <w:r w:rsidRPr="00091BFD">
              <w:rPr>
                <w:rFonts w:cs="Arial"/>
              </w:rPr>
              <w:t>Хиперпролактинемия*</w:t>
            </w:r>
          </w:p>
        </w:tc>
      </w:tr>
      <w:tr w:rsidR="003F7E63" w14:paraId="68C273C5" w14:textId="77777777" w:rsidTr="003F7E63">
        <w:tc>
          <w:tcPr>
            <w:tcW w:w="3166" w:type="dxa"/>
            <w:vMerge w:val="restart"/>
          </w:tcPr>
          <w:p w14:paraId="412CA98A" w14:textId="4337A25E" w:rsidR="003F7E63" w:rsidRPr="00091BFD" w:rsidRDefault="003F7E63" w:rsidP="003F7E63">
            <w:pPr>
              <w:rPr>
                <w:rFonts w:cs="Arial"/>
              </w:rPr>
            </w:pPr>
            <w:r w:rsidRPr="00091BFD">
              <w:rPr>
                <w:rFonts w:cs="Arial"/>
              </w:rPr>
              <w:t>Нарушения на метаболизма и храненето</w:t>
            </w:r>
          </w:p>
        </w:tc>
        <w:tc>
          <w:tcPr>
            <w:tcW w:w="3167" w:type="dxa"/>
          </w:tcPr>
          <w:p w14:paraId="6970D824" w14:textId="2A181BD9" w:rsidR="003F7E63" w:rsidRPr="00091BFD" w:rsidRDefault="003F7E63" w:rsidP="003F7E63">
            <w:pPr>
              <w:rPr>
                <w:rFonts w:cs="Arial"/>
              </w:rPr>
            </w:pPr>
            <w:r w:rsidRPr="00091BFD">
              <w:rPr>
                <w:rFonts w:cs="Arial"/>
              </w:rPr>
              <w:t>Чести</w:t>
            </w:r>
          </w:p>
        </w:tc>
        <w:tc>
          <w:tcPr>
            <w:tcW w:w="3167" w:type="dxa"/>
          </w:tcPr>
          <w:p w14:paraId="2920C215" w14:textId="79F10A6A" w:rsidR="003F7E63" w:rsidRPr="00091BFD" w:rsidRDefault="003F7E63" w:rsidP="003F7E63">
            <w:pPr>
              <w:rPr>
                <w:rFonts w:cs="Arial"/>
              </w:rPr>
            </w:pPr>
            <w:r w:rsidRPr="00091BFD">
              <w:rPr>
                <w:rFonts w:cs="Arial"/>
              </w:rPr>
              <w:t>Увеличено тегло**</w:t>
            </w:r>
          </w:p>
        </w:tc>
      </w:tr>
      <w:tr w:rsidR="003F7E63" w14:paraId="1938D1A0" w14:textId="77777777" w:rsidTr="003F7E63">
        <w:tc>
          <w:tcPr>
            <w:tcW w:w="3166" w:type="dxa"/>
            <w:vMerge/>
          </w:tcPr>
          <w:p w14:paraId="06E04C19" w14:textId="77777777" w:rsidR="003F7E63" w:rsidRPr="00091BFD" w:rsidRDefault="003F7E63" w:rsidP="003F7E63">
            <w:pPr>
              <w:rPr>
                <w:rFonts w:cs="Arial"/>
              </w:rPr>
            </w:pPr>
          </w:p>
        </w:tc>
        <w:tc>
          <w:tcPr>
            <w:tcW w:w="3167" w:type="dxa"/>
          </w:tcPr>
          <w:p w14:paraId="65D41466" w14:textId="2F297E01" w:rsidR="003F7E63" w:rsidRPr="00091BFD" w:rsidRDefault="003F7E63" w:rsidP="003F7E63">
            <w:pPr>
              <w:rPr>
                <w:rFonts w:cs="Arial"/>
              </w:rPr>
            </w:pPr>
            <w:r w:rsidRPr="00091BFD">
              <w:rPr>
                <w:rFonts w:cs="Arial"/>
              </w:rPr>
              <w:t>Нечести</w:t>
            </w:r>
          </w:p>
        </w:tc>
        <w:tc>
          <w:tcPr>
            <w:tcW w:w="3167" w:type="dxa"/>
          </w:tcPr>
          <w:p w14:paraId="141F8B89" w14:textId="65D3C766" w:rsidR="003F7E63" w:rsidRPr="00091BFD" w:rsidRDefault="003F7E63" w:rsidP="003F7E63">
            <w:pPr>
              <w:rPr>
                <w:rFonts w:cs="Arial"/>
              </w:rPr>
            </w:pPr>
            <w:r w:rsidRPr="00091BFD">
              <w:rPr>
                <w:rFonts w:cs="Arial"/>
              </w:rPr>
              <w:t>Хипергдикемия</w:t>
            </w:r>
          </w:p>
        </w:tc>
      </w:tr>
      <w:tr w:rsidR="003F7E63" w14:paraId="6DFA3041" w14:textId="77777777" w:rsidTr="003F7E63">
        <w:tc>
          <w:tcPr>
            <w:tcW w:w="3166" w:type="dxa"/>
            <w:vMerge w:val="restart"/>
          </w:tcPr>
          <w:p w14:paraId="33CEAC36" w14:textId="485CBDD9" w:rsidR="003F7E63" w:rsidRPr="00091BFD" w:rsidRDefault="003F7E63" w:rsidP="003F7E63">
            <w:pPr>
              <w:rPr>
                <w:rFonts w:cs="Arial"/>
              </w:rPr>
            </w:pPr>
            <w:r w:rsidRPr="00091BFD">
              <w:rPr>
                <w:rFonts w:cs="Arial"/>
              </w:rPr>
              <w:t>Нарушения на нервна система</w:t>
            </w:r>
          </w:p>
        </w:tc>
        <w:tc>
          <w:tcPr>
            <w:tcW w:w="3167" w:type="dxa"/>
          </w:tcPr>
          <w:p w14:paraId="1AB1593A" w14:textId="0895887F" w:rsidR="003F7E63" w:rsidRPr="00091BFD" w:rsidRDefault="003F7E63" w:rsidP="003F7E63">
            <w:pPr>
              <w:rPr>
                <w:rFonts w:cs="Arial"/>
              </w:rPr>
            </w:pPr>
            <w:r w:rsidRPr="00091BFD">
              <w:rPr>
                <w:rFonts w:cs="Arial"/>
              </w:rPr>
              <w:t>Чести</w:t>
            </w:r>
          </w:p>
        </w:tc>
        <w:tc>
          <w:tcPr>
            <w:tcW w:w="3167" w:type="dxa"/>
          </w:tcPr>
          <w:p w14:paraId="20B8D619" w14:textId="6BA22DF3" w:rsidR="003F7E63" w:rsidRPr="00091BFD" w:rsidRDefault="003F7E63" w:rsidP="003F7E63">
            <w:pPr>
              <w:rPr>
                <w:rFonts w:cs="Arial"/>
              </w:rPr>
            </w:pPr>
            <w:r w:rsidRPr="00091BFD">
              <w:rPr>
                <w:rFonts w:cs="Arial"/>
              </w:rPr>
              <w:t>Замаяност, парестезии</w:t>
            </w:r>
          </w:p>
        </w:tc>
      </w:tr>
      <w:tr w:rsidR="003F7E63" w14:paraId="1688F2C1" w14:textId="77777777" w:rsidTr="003F7E63">
        <w:tc>
          <w:tcPr>
            <w:tcW w:w="3166" w:type="dxa"/>
            <w:vMerge/>
          </w:tcPr>
          <w:p w14:paraId="321A3024" w14:textId="77777777" w:rsidR="003F7E63" w:rsidRPr="00091BFD" w:rsidRDefault="003F7E63" w:rsidP="003F7E63">
            <w:pPr>
              <w:rPr>
                <w:rFonts w:cs="Arial"/>
              </w:rPr>
            </w:pPr>
          </w:p>
        </w:tc>
        <w:tc>
          <w:tcPr>
            <w:tcW w:w="3167" w:type="dxa"/>
          </w:tcPr>
          <w:p w14:paraId="31B598BD" w14:textId="47C9BDDC" w:rsidR="003F7E63" w:rsidRPr="00091BFD" w:rsidRDefault="003F7E63" w:rsidP="003F7E63">
            <w:pPr>
              <w:rPr>
                <w:rFonts w:cs="Arial"/>
              </w:rPr>
            </w:pPr>
            <w:r w:rsidRPr="00091BFD">
              <w:rPr>
                <w:rFonts w:cs="Arial"/>
              </w:rPr>
              <w:t>Нечести</w:t>
            </w:r>
          </w:p>
        </w:tc>
        <w:tc>
          <w:tcPr>
            <w:tcW w:w="3167" w:type="dxa"/>
          </w:tcPr>
          <w:p w14:paraId="1EB16553" w14:textId="2185810F" w:rsidR="003F7E63" w:rsidRPr="00091BFD" w:rsidRDefault="003F7E63" w:rsidP="003F7E63">
            <w:pPr>
              <w:rPr>
                <w:rFonts w:cs="Arial"/>
              </w:rPr>
            </w:pPr>
            <w:r w:rsidRPr="00091BFD">
              <w:rPr>
                <w:rFonts w:cs="Arial"/>
              </w:rPr>
              <w:t>Синкоп, конвулсии, двигателни нарушения (по-специално късни дискинезии, вж. точка 4.4)</w:t>
            </w:r>
          </w:p>
        </w:tc>
      </w:tr>
      <w:tr w:rsidR="003F7E63" w14:paraId="78C8DF9F" w14:textId="77777777" w:rsidTr="003F7E63">
        <w:tc>
          <w:tcPr>
            <w:tcW w:w="3166" w:type="dxa"/>
            <w:vMerge/>
          </w:tcPr>
          <w:p w14:paraId="1ED5822C" w14:textId="77777777" w:rsidR="003F7E63" w:rsidRPr="00091BFD" w:rsidRDefault="003F7E63" w:rsidP="003F7E63">
            <w:pPr>
              <w:rPr>
                <w:rFonts w:cs="Arial"/>
              </w:rPr>
            </w:pPr>
          </w:p>
        </w:tc>
        <w:tc>
          <w:tcPr>
            <w:tcW w:w="3167" w:type="dxa"/>
          </w:tcPr>
          <w:p w14:paraId="7FEFA454" w14:textId="19B4D1A7" w:rsidR="003F7E63" w:rsidRPr="00091BFD" w:rsidRDefault="003F7E63" w:rsidP="003F7E63">
            <w:pPr>
              <w:rPr>
                <w:rFonts w:cs="Arial"/>
              </w:rPr>
            </w:pPr>
            <w:r w:rsidRPr="00091BFD">
              <w:rPr>
                <w:rFonts w:cs="Arial"/>
              </w:rPr>
              <w:t>Редки</w:t>
            </w:r>
          </w:p>
        </w:tc>
        <w:tc>
          <w:tcPr>
            <w:tcW w:w="3167" w:type="dxa"/>
          </w:tcPr>
          <w:p w14:paraId="27801C42" w14:textId="48DBA5CB" w:rsidR="003F7E63" w:rsidRPr="00091BFD" w:rsidRDefault="003F7E63" w:rsidP="003F7E63">
            <w:pPr>
              <w:rPr>
                <w:rFonts w:cs="Arial"/>
              </w:rPr>
            </w:pPr>
            <w:r w:rsidRPr="00091BFD">
              <w:rPr>
                <w:rFonts w:cs="Arial"/>
              </w:rPr>
              <w:t>Случаи докладвани като невролептичен малигнен синдром (НМС), са били получавани във връзка със сертиндол (вж. точка 4.4)</w:t>
            </w:r>
          </w:p>
        </w:tc>
      </w:tr>
      <w:tr w:rsidR="003F7E63" w14:paraId="2428B314" w14:textId="77777777" w:rsidTr="003F7E63">
        <w:tc>
          <w:tcPr>
            <w:tcW w:w="3166" w:type="dxa"/>
            <w:vMerge w:val="restart"/>
          </w:tcPr>
          <w:p w14:paraId="4D37DA2F" w14:textId="716A3EB8" w:rsidR="003F7E63" w:rsidRPr="00091BFD" w:rsidRDefault="003F7E63" w:rsidP="003F7E63">
            <w:pPr>
              <w:rPr>
                <w:rFonts w:cs="Arial"/>
              </w:rPr>
            </w:pPr>
            <w:r w:rsidRPr="00091BFD">
              <w:rPr>
                <w:rFonts w:cs="Arial"/>
              </w:rPr>
              <w:t>Сърдечни нарушения</w:t>
            </w:r>
          </w:p>
        </w:tc>
        <w:tc>
          <w:tcPr>
            <w:tcW w:w="3167" w:type="dxa"/>
          </w:tcPr>
          <w:p w14:paraId="72BA2DFD" w14:textId="3EE4C75E" w:rsidR="003F7E63" w:rsidRPr="00091BFD" w:rsidRDefault="003F7E63" w:rsidP="003F7E63">
            <w:pPr>
              <w:rPr>
                <w:rFonts w:cs="Arial"/>
              </w:rPr>
            </w:pPr>
            <w:r w:rsidRPr="00091BFD">
              <w:rPr>
                <w:rFonts w:cs="Arial"/>
              </w:rPr>
              <w:t>Чести</w:t>
            </w:r>
          </w:p>
        </w:tc>
        <w:tc>
          <w:tcPr>
            <w:tcW w:w="3167" w:type="dxa"/>
          </w:tcPr>
          <w:p w14:paraId="69C1246F" w14:textId="77777777" w:rsidR="003F7E63" w:rsidRPr="00091BFD" w:rsidRDefault="003F7E63" w:rsidP="003F7E63">
            <w:pPr>
              <w:rPr>
                <w:rFonts w:cs="Arial"/>
              </w:rPr>
            </w:pPr>
            <w:r w:rsidRPr="00091BFD">
              <w:rPr>
                <w:rFonts w:cs="Arial"/>
              </w:rPr>
              <w:t>Периферни отоци</w:t>
            </w:r>
          </w:p>
          <w:p w14:paraId="319F9483" w14:textId="77777777" w:rsidR="003F7E63" w:rsidRPr="00091BFD" w:rsidRDefault="003F7E63" w:rsidP="003F7E63">
            <w:pPr>
              <w:rPr>
                <w:rFonts w:cs="Arial"/>
              </w:rPr>
            </w:pPr>
            <w:r w:rsidRPr="00091BFD">
              <w:rPr>
                <w:rFonts w:cs="Arial"/>
              </w:rPr>
              <w:t xml:space="preserve">Удължаване на </w:t>
            </w:r>
            <w:r w:rsidRPr="00091BFD">
              <w:rPr>
                <w:rFonts w:cs="Arial"/>
                <w:lang w:val="en-US"/>
              </w:rPr>
              <w:t xml:space="preserve">QT </w:t>
            </w:r>
            <w:r w:rsidRPr="00091BFD">
              <w:rPr>
                <w:rFonts w:cs="Arial"/>
              </w:rPr>
              <w:t>интервала (вж. точка</w:t>
            </w:r>
          </w:p>
          <w:p w14:paraId="6B8338D8" w14:textId="5211256E" w:rsidR="003F7E63" w:rsidRPr="00091BFD" w:rsidRDefault="003F7E63" w:rsidP="003F7E63">
            <w:pPr>
              <w:rPr>
                <w:rFonts w:cs="Arial"/>
              </w:rPr>
            </w:pPr>
            <w:r w:rsidRPr="00091BFD">
              <w:rPr>
                <w:rFonts w:cs="Arial"/>
              </w:rPr>
              <w:t>4.4)**</w:t>
            </w:r>
          </w:p>
        </w:tc>
      </w:tr>
      <w:tr w:rsidR="003F7E63" w14:paraId="17B4939D" w14:textId="77777777" w:rsidTr="003F7E63">
        <w:tc>
          <w:tcPr>
            <w:tcW w:w="3166" w:type="dxa"/>
            <w:vMerge/>
          </w:tcPr>
          <w:p w14:paraId="486ABC70" w14:textId="77777777" w:rsidR="003F7E63" w:rsidRPr="00091BFD" w:rsidRDefault="003F7E63" w:rsidP="003F7E63">
            <w:pPr>
              <w:rPr>
                <w:rFonts w:cs="Arial"/>
              </w:rPr>
            </w:pPr>
          </w:p>
        </w:tc>
        <w:tc>
          <w:tcPr>
            <w:tcW w:w="3167" w:type="dxa"/>
          </w:tcPr>
          <w:p w14:paraId="41CBFB0A" w14:textId="76D5BD81" w:rsidR="003F7E63" w:rsidRPr="00091BFD" w:rsidRDefault="003F7E63" w:rsidP="003F7E63">
            <w:pPr>
              <w:rPr>
                <w:rFonts w:cs="Arial"/>
              </w:rPr>
            </w:pPr>
            <w:r w:rsidRPr="00091BFD">
              <w:rPr>
                <w:rFonts w:cs="Arial"/>
              </w:rPr>
              <w:t>Нечести</w:t>
            </w:r>
          </w:p>
        </w:tc>
        <w:tc>
          <w:tcPr>
            <w:tcW w:w="3167" w:type="dxa"/>
          </w:tcPr>
          <w:p w14:paraId="496A8D1E" w14:textId="00D4082F" w:rsidR="003F7E63" w:rsidRPr="00091BFD" w:rsidRDefault="003F7E63" w:rsidP="003F7E63">
            <w:pPr>
              <w:rPr>
                <w:rFonts w:cs="Arial"/>
              </w:rPr>
            </w:pPr>
            <w:r w:rsidRPr="00091BFD">
              <w:rPr>
                <w:rFonts w:cs="Arial"/>
                <w:lang w:val="en-US"/>
              </w:rPr>
              <w:t xml:space="preserve">Torsade de Pointes </w:t>
            </w:r>
            <w:r w:rsidRPr="00091BFD">
              <w:rPr>
                <w:rFonts w:cs="Arial"/>
              </w:rPr>
              <w:t>(вж, точка 4.4)</w:t>
            </w:r>
          </w:p>
        </w:tc>
      </w:tr>
      <w:tr w:rsidR="003F7E63" w14:paraId="15375D4D" w14:textId="77777777" w:rsidTr="003F7E63">
        <w:tc>
          <w:tcPr>
            <w:tcW w:w="3166" w:type="dxa"/>
            <w:vMerge w:val="restart"/>
          </w:tcPr>
          <w:p w14:paraId="058FAE1A" w14:textId="13F50079" w:rsidR="003F7E63" w:rsidRPr="00091BFD" w:rsidRDefault="003F7E63" w:rsidP="003F7E63">
            <w:pPr>
              <w:rPr>
                <w:rFonts w:cs="Arial"/>
              </w:rPr>
            </w:pPr>
            <w:r w:rsidRPr="00091BFD">
              <w:rPr>
                <w:rFonts w:cs="Arial"/>
              </w:rPr>
              <w:lastRenderedPageBreak/>
              <w:t>Съдови нарушения</w:t>
            </w:r>
          </w:p>
        </w:tc>
        <w:tc>
          <w:tcPr>
            <w:tcW w:w="3167" w:type="dxa"/>
          </w:tcPr>
          <w:p w14:paraId="7416DA88" w14:textId="614AB289" w:rsidR="003F7E63" w:rsidRPr="00091BFD" w:rsidRDefault="003F7E63" w:rsidP="003F7E63">
            <w:pPr>
              <w:rPr>
                <w:rFonts w:cs="Arial"/>
              </w:rPr>
            </w:pPr>
            <w:r w:rsidRPr="00091BFD">
              <w:rPr>
                <w:rFonts w:cs="Arial"/>
              </w:rPr>
              <w:t>Чести</w:t>
            </w:r>
          </w:p>
        </w:tc>
        <w:tc>
          <w:tcPr>
            <w:tcW w:w="3167" w:type="dxa"/>
          </w:tcPr>
          <w:p w14:paraId="2BCA915D" w14:textId="09B02C35" w:rsidR="003F7E63" w:rsidRPr="00091BFD" w:rsidRDefault="003F7E63" w:rsidP="003F7E63">
            <w:pPr>
              <w:rPr>
                <w:rFonts w:cs="Arial"/>
              </w:rPr>
            </w:pPr>
            <w:r w:rsidRPr="00091BFD">
              <w:rPr>
                <w:rFonts w:cs="Arial"/>
              </w:rPr>
              <w:t>Ортостатична хипотензия (вж, точка 4.4)</w:t>
            </w:r>
          </w:p>
        </w:tc>
      </w:tr>
      <w:tr w:rsidR="003F7E63" w14:paraId="26FA2CC1" w14:textId="77777777" w:rsidTr="003F7E63">
        <w:tc>
          <w:tcPr>
            <w:tcW w:w="3166" w:type="dxa"/>
            <w:vMerge/>
          </w:tcPr>
          <w:p w14:paraId="08031583" w14:textId="77777777" w:rsidR="003F7E63" w:rsidRPr="00091BFD" w:rsidRDefault="003F7E63" w:rsidP="003F7E63">
            <w:pPr>
              <w:rPr>
                <w:rFonts w:cs="Arial"/>
              </w:rPr>
            </w:pPr>
          </w:p>
        </w:tc>
        <w:tc>
          <w:tcPr>
            <w:tcW w:w="3167" w:type="dxa"/>
          </w:tcPr>
          <w:p w14:paraId="795D0174" w14:textId="469CA48D" w:rsidR="003F7E63" w:rsidRPr="00091BFD" w:rsidRDefault="003F7E63" w:rsidP="003F7E63">
            <w:pPr>
              <w:rPr>
                <w:rFonts w:cs="Arial"/>
              </w:rPr>
            </w:pPr>
            <w:r w:rsidRPr="00091BFD">
              <w:rPr>
                <w:rFonts w:cs="Arial"/>
              </w:rPr>
              <w:t>Неизвестна</w:t>
            </w:r>
          </w:p>
        </w:tc>
        <w:tc>
          <w:tcPr>
            <w:tcW w:w="3167" w:type="dxa"/>
          </w:tcPr>
          <w:p w14:paraId="000DA832" w14:textId="02619104" w:rsidR="003F7E63" w:rsidRPr="00091BFD" w:rsidRDefault="003F7E63" w:rsidP="003F7E63">
            <w:pPr>
              <w:rPr>
                <w:rFonts w:cs="Arial"/>
              </w:rPr>
            </w:pPr>
            <w:r w:rsidRPr="00091BFD">
              <w:rPr>
                <w:rFonts w:cs="Arial"/>
              </w:rPr>
              <w:t>Случаи на венозна тромбоемболия, включително случаи на белодробна емболия и случаи на дълбока венозна тромбоза са били докладвани при лечение с антипсихотични лекарства</w:t>
            </w:r>
          </w:p>
        </w:tc>
      </w:tr>
      <w:tr w:rsidR="003F7E63" w14:paraId="784CEE38" w14:textId="77777777" w:rsidTr="003F7E63">
        <w:tc>
          <w:tcPr>
            <w:tcW w:w="3166" w:type="dxa"/>
          </w:tcPr>
          <w:p w14:paraId="6693B07E" w14:textId="391FDD87" w:rsidR="003F7E63" w:rsidRPr="00091BFD" w:rsidRDefault="003F7E63" w:rsidP="003F7E63">
            <w:pPr>
              <w:rPr>
                <w:rFonts w:cs="Arial"/>
              </w:rPr>
            </w:pPr>
            <w:r w:rsidRPr="00091BFD">
              <w:rPr>
                <w:rFonts w:cs="Arial"/>
              </w:rPr>
              <w:t>Респираторни, гръдни и медиастинални нарушения</w:t>
            </w:r>
          </w:p>
        </w:tc>
        <w:tc>
          <w:tcPr>
            <w:tcW w:w="3167" w:type="dxa"/>
          </w:tcPr>
          <w:p w14:paraId="4AE6CB15" w14:textId="7404E71E" w:rsidR="003F7E63" w:rsidRPr="00091BFD" w:rsidRDefault="003F7E63" w:rsidP="003F7E63">
            <w:pPr>
              <w:rPr>
                <w:rFonts w:cs="Arial"/>
              </w:rPr>
            </w:pPr>
            <w:r w:rsidRPr="00091BFD">
              <w:rPr>
                <w:rFonts w:cs="Arial"/>
              </w:rPr>
              <w:t>Много чести</w:t>
            </w:r>
          </w:p>
        </w:tc>
        <w:tc>
          <w:tcPr>
            <w:tcW w:w="3167" w:type="dxa"/>
          </w:tcPr>
          <w:p w14:paraId="1309C165" w14:textId="7B237198" w:rsidR="003F7E63" w:rsidRPr="00091BFD" w:rsidRDefault="003F7E63" w:rsidP="003F7E63">
            <w:pPr>
              <w:rPr>
                <w:rFonts w:cs="Arial"/>
              </w:rPr>
            </w:pPr>
            <w:r w:rsidRPr="00091BFD">
              <w:rPr>
                <w:rFonts w:cs="Arial"/>
              </w:rPr>
              <w:t>Ринит/назална конгестия</w:t>
            </w:r>
          </w:p>
        </w:tc>
      </w:tr>
      <w:tr w:rsidR="003F7E63" w14:paraId="1A659B9A" w14:textId="77777777" w:rsidTr="003F7E63">
        <w:tc>
          <w:tcPr>
            <w:tcW w:w="3166" w:type="dxa"/>
          </w:tcPr>
          <w:p w14:paraId="3A5BD2D4" w14:textId="721C8BDE" w:rsidR="003F7E63" w:rsidRPr="00091BFD" w:rsidRDefault="003F7E63" w:rsidP="003F7E63">
            <w:pPr>
              <w:rPr>
                <w:rFonts w:cs="Arial"/>
              </w:rPr>
            </w:pPr>
          </w:p>
        </w:tc>
        <w:tc>
          <w:tcPr>
            <w:tcW w:w="3167" w:type="dxa"/>
          </w:tcPr>
          <w:p w14:paraId="6FB3EBD9" w14:textId="5F37C1F6" w:rsidR="003F7E63" w:rsidRPr="00091BFD" w:rsidRDefault="003F7E63" w:rsidP="003F7E63">
            <w:pPr>
              <w:rPr>
                <w:rFonts w:cs="Arial"/>
              </w:rPr>
            </w:pPr>
            <w:r w:rsidRPr="00091BFD">
              <w:rPr>
                <w:rFonts w:cs="Arial"/>
              </w:rPr>
              <w:t>Чести</w:t>
            </w:r>
          </w:p>
        </w:tc>
        <w:tc>
          <w:tcPr>
            <w:tcW w:w="3167" w:type="dxa"/>
          </w:tcPr>
          <w:p w14:paraId="646BE60E" w14:textId="7918EE47" w:rsidR="003F7E63" w:rsidRPr="00091BFD" w:rsidRDefault="003F7E63" w:rsidP="003F7E63">
            <w:pPr>
              <w:rPr>
                <w:rFonts w:cs="Arial"/>
              </w:rPr>
            </w:pPr>
            <w:r w:rsidRPr="00091BFD">
              <w:rPr>
                <w:rFonts w:cs="Arial"/>
              </w:rPr>
              <w:t>Диспнея</w:t>
            </w:r>
          </w:p>
        </w:tc>
      </w:tr>
      <w:tr w:rsidR="003F7E63" w14:paraId="07DD6A8D" w14:textId="77777777" w:rsidTr="003F7E63">
        <w:tc>
          <w:tcPr>
            <w:tcW w:w="3166" w:type="dxa"/>
          </w:tcPr>
          <w:p w14:paraId="470F27BB" w14:textId="4C7A19EC" w:rsidR="003F7E63" w:rsidRPr="00091BFD" w:rsidRDefault="003F7E63" w:rsidP="003F7E63">
            <w:pPr>
              <w:rPr>
                <w:rFonts w:cs="Arial"/>
              </w:rPr>
            </w:pPr>
            <w:r w:rsidRPr="00091BFD">
              <w:rPr>
                <w:rFonts w:cs="Arial"/>
              </w:rPr>
              <w:t>Стомашно-чревни нарушения</w:t>
            </w:r>
          </w:p>
        </w:tc>
        <w:tc>
          <w:tcPr>
            <w:tcW w:w="3167" w:type="dxa"/>
          </w:tcPr>
          <w:p w14:paraId="2B740109" w14:textId="03413D97" w:rsidR="003F7E63" w:rsidRPr="00091BFD" w:rsidRDefault="003F7E63" w:rsidP="003F7E63">
            <w:pPr>
              <w:rPr>
                <w:rFonts w:cs="Arial"/>
              </w:rPr>
            </w:pPr>
            <w:r w:rsidRPr="00091BFD">
              <w:rPr>
                <w:rFonts w:cs="Arial"/>
              </w:rPr>
              <w:t>Чести</w:t>
            </w:r>
          </w:p>
        </w:tc>
        <w:tc>
          <w:tcPr>
            <w:tcW w:w="3167" w:type="dxa"/>
          </w:tcPr>
          <w:p w14:paraId="1C58706B" w14:textId="78E48EF0" w:rsidR="003F7E63" w:rsidRPr="00091BFD" w:rsidRDefault="003F7E63" w:rsidP="003F7E63">
            <w:pPr>
              <w:rPr>
                <w:rFonts w:cs="Arial"/>
              </w:rPr>
            </w:pPr>
            <w:r w:rsidRPr="00091BFD">
              <w:rPr>
                <w:rFonts w:cs="Arial"/>
              </w:rPr>
              <w:t>Сухота в устата</w:t>
            </w:r>
          </w:p>
        </w:tc>
      </w:tr>
      <w:tr w:rsidR="003F7E63" w14:paraId="133D6181" w14:textId="77777777" w:rsidTr="003F7E63">
        <w:tc>
          <w:tcPr>
            <w:tcW w:w="3166" w:type="dxa"/>
          </w:tcPr>
          <w:p w14:paraId="544D671B" w14:textId="734C7929" w:rsidR="003F7E63" w:rsidRPr="00091BFD" w:rsidRDefault="003F7E63" w:rsidP="003F7E63">
            <w:pPr>
              <w:rPr>
                <w:rFonts w:cs="Arial"/>
              </w:rPr>
            </w:pPr>
            <w:r w:rsidRPr="00091BFD">
              <w:rPr>
                <w:rFonts w:cs="Arial"/>
              </w:rPr>
              <w:t>Бременност, пуерпериум и перинатални условия</w:t>
            </w:r>
          </w:p>
        </w:tc>
        <w:tc>
          <w:tcPr>
            <w:tcW w:w="3167" w:type="dxa"/>
          </w:tcPr>
          <w:p w14:paraId="38796661" w14:textId="57D100EB" w:rsidR="003F7E63" w:rsidRPr="00091BFD" w:rsidRDefault="003F7E63" w:rsidP="003F7E63">
            <w:pPr>
              <w:rPr>
                <w:rFonts w:cs="Arial"/>
              </w:rPr>
            </w:pPr>
            <w:r w:rsidRPr="00091BFD">
              <w:rPr>
                <w:rFonts w:cs="Arial"/>
              </w:rPr>
              <w:t>Неизвестна</w:t>
            </w:r>
          </w:p>
        </w:tc>
        <w:tc>
          <w:tcPr>
            <w:tcW w:w="3167" w:type="dxa"/>
          </w:tcPr>
          <w:p w14:paraId="24595C79" w14:textId="081D2E49" w:rsidR="003F7E63" w:rsidRPr="00091BFD" w:rsidRDefault="003F7E63" w:rsidP="003F7E63">
            <w:pPr>
              <w:rPr>
                <w:rFonts w:cs="Arial"/>
              </w:rPr>
            </w:pPr>
            <w:r w:rsidRPr="00091BFD">
              <w:rPr>
                <w:rFonts w:cs="Arial"/>
              </w:rPr>
              <w:t>Синдром на отнемане в неонатален период (виж 4.6)</w:t>
            </w:r>
          </w:p>
        </w:tc>
      </w:tr>
      <w:tr w:rsidR="00091BFD" w14:paraId="5CF2753F" w14:textId="77777777" w:rsidTr="003F7E63">
        <w:tc>
          <w:tcPr>
            <w:tcW w:w="3166" w:type="dxa"/>
            <w:vMerge w:val="restart"/>
          </w:tcPr>
          <w:p w14:paraId="34D259A5" w14:textId="7DF46E12" w:rsidR="00091BFD" w:rsidRPr="00091BFD" w:rsidRDefault="00091BFD" w:rsidP="00091BFD">
            <w:pPr>
              <w:rPr>
                <w:rFonts w:cs="Arial"/>
              </w:rPr>
            </w:pPr>
            <w:r w:rsidRPr="00091BFD">
              <w:rPr>
                <w:rFonts w:cs="Arial"/>
              </w:rPr>
              <w:t>Нарушение на възпроизводителната система и гърдата</w:t>
            </w:r>
          </w:p>
        </w:tc>
        <w:tc>
          <w:tcPr>
            <w:tcW w:w="3167" w:type="dxa"/>
          </w:tcPr>
          <w:p w14:paraId="04C5E93C" w14:textId="65273B74" w:rsidR="00091BFD" w:rsidRPr="00091BFD" w:rsidRDefault="00091BFD" w:rsidP="00091BFD">
            <w:pPr>
              <w:rPr>
                <w:rFonts w:cs="Arial"/>
              </w:rPr>
            </w:pPr>
            <w:r w:rsidRPr="00091BFD">
              <w:rPr>
                <w:rFonts w:cs="Arial"/>
              </w:rPr>
              <w:t>Много чести</w:t>
            </w:r>
          </w:p>
        </w:tc>
        <w:tc>
          <w:tcPr>
            <w:tcW w:w="3167" w:type="dxa"/>
          </w:tcPr>
          <w:p w14:paraId="3791518E" w14:textId="2D20BE76" w:rsidR="00091BFD" w:rsidRPr="00091BFD" w:rsidRDefault="00091BFD" w:rsidP="00091BFD">
            <w:pPr>
              <w:rPr>
                <w:rFonts w:cs="Arial"/>
              </w:rPr>
            </w:pPr>
            <w:r w:rsidRPr="00091BFD">
              <w:rPr>
                <w:rFonts w:cs="Arial"/>
              </w:rPr>
              <w:t>Липса на еякулация *</w:t>
            </w:r>
          </w:p>
        </w:tc>
      </w:tr>
      <w:tr w:rsidR="00091BFD" w14:paraId="22ADC4B5" w14:textId="77777777" w:rsidTr="003F7E63">
        <w:tc>
          <w:tcPr>
            <w:tcW w:w="3166" w:type="dxa"/>
            <w:vMerge/>
          </w:tcPr>
          <w:p w14:paraId="5C88E8B9" w14:textId="77777777" w:rsidR="00091BFD" w:rsidRPr="00091BFD" w:rsidRDefault="00091BFD" w:rsidP="00091BFD">
            <w:pPr>
              <w:rPr>
                <w:rFonts w:cs="Arial"/>
              </w:rPr>
            </w:pPr>
          </w:p>
        </w:tc>
        <w:tc>
          <w:tcPr>
            <w:tcW w:w="3167" w:type="dxa"/>
          </w:tcPr>
          <w:p w14:paraId="0B54DE32" w14:textId="5C378F3B" w:rsidR="00091BFD" w:rsidRPr="00091BFD" w:rsidRDefault="00091BFD" w:rsidP="00091BFD">
            <w:pPr>
              <w:rPr>
                <w:rFonts w:cs="Arial"/>
              </w:rPr>
            </w:pPr>
            <w:r w:rsidRPr="00091BFD">
              <w:rPr>
                <w:rFonts w:cs="Arial"/>
              </w:rPr>
              <w:t>Чести</w:t>
            </w:r>
          </w:p>
        </w:tc>
        <w:tc>
          <w:tcPr>
            <w:tcW w:w="3167" w:type="dxa"/>
          </w:tcPr>
          <w:p w14:paraId="5A7EA685" w14:textId="77777777" w:rsidR="00091BFD" w:rsidRPr="00091BFD" w:rsidRDefault="00091BFD" w:rsidP="00091BFD">
            <w:pPr>
              <w:rPr>
                <w:rFonts w:cs="Arial"/>
              </w:rPr>
            </w:pPr>
            <w:r w:rsidRPr="00091BFD">
              <w:rPr>
                <w:rFonts w:cs="Arial"/>
              </w:rPr>
              <w:t>Нарушена еякулация *</w:t>
            </w:r>
          </w:p>
          <w:p w14:paraId="51DCE799" w14:textId="47C71F39" w:rsidR="00091BFD" w:rsidRPr="00091BFD" w:rsidRDefault="00091BFD" w:rsidP="00091BFD">
            <w:pPr>
              <w:rPr>
                <w:rFonts w:cs="Arial"/>
              </w:rPr>
            </w:pPr>
            <w:r w:rsidRPr="00091BFD">
              <w:rPr>
                <w:rFonts w:cs="Arial"/>
              </w:rPr>
              <w:t>Еректилна дисфункция*</w:t>
            </w:r>
          </w:p>
        </w:tc>
      </w:tr>
      <w:tr w:rsidR="00091BFD" w14:paraId="47BC92C6" w14:textId="77777777" w:rsidTr="003F7E63">
        <w:tc>
          <w:tcPr>
            <w:tcW w:w="3166" w:type="dxa"/>
            <w:vMerge/>
          </w:tcPr>
          <w:p w14:paraId="7F600B59" w14:textId="77777777" w:rsidR="00091BFD" w:rsidRPr="00091BFD" w:rsidRDefault="00091BFD" w:rsidP="00091BFD">
            <w:pPr>
              <w:rPr>
                <w:rFonts w:cs="Arial"/>
              </w:rPr>
            </w:pPr>
          </w:p>
        </w:tc>
        <w:tc>
          <w:tcPr>
            <w:tcW w:w="3167" w:type="dxa"/>
          </w:tcPr>
          <w:p w14:paraId="22A04CFF" w14:textId="3D059E8E" w:rsidR="00091BFD" w:rsidRPr="00091BFD" w:rsidRDefault="00091BFD" w:rsidP="00091BFD">
            <w:pPr>
              <w:rPr>
                <w:rFonts w:cs="Arial"/>
              </w:rPr>
            </w:pPr>
            <w:r w:rsidRPr="00091BFD">
              <w:rPr>
                <w:rFonts w:cs="Arial"/>
              </w:rPr>
              <w:t>Нечести</w:t>
            </w:r>
          </w:p>
        </w:tc>
        <w:tc>
          <w:tcPr>
            <w:tcW w:w="3167" w:type="dxa"/>
          </w:tcPr>
          <w:p w14:paraId="7AB68942" w14:textId="1BA0870E" w:rsidR="00091BFD" w:rsidRPr="00091BFD" w:rsidRDefault="00091BFD" w:rsidP="00091BFD">
            <w:pPr>
              <w:rPr>
                <w:rFonts w:cs="Arial"/>
              </w:rPr>
            </w:pPr>
            <w:r w:rsidRPr="00091BFD">
              <w:rPr>
                <w:rFonts w:cs="Arial"/>
              </w:rPr>
              <w:t>Галакторея*</w:t>
            </w:r>
          </w:p>
        </w:tc>
      </w:tr>
      <w:tr w:rsidR="00091BFD" w14:paraId="685063EC" w14:textId="77777777" w:rsidTr="003F7E63">
        <w:tc>
          <w:tcPr>
            <w:tcW w:w="3166" w:type="dxa"/>
          </w:tcPr>
          <w:p w14:paraId="2857A20E" w14:textId="252F988F" w:rsidR="00091BFD" w:rsidRPr="00091BFD" w:rsidRDefault="00091BFD" w:rsidP="00091BFD">
            <w:pPr>
              <w:rPr>
                <w:rFonts w:cs="Arial"/>
              </w:rPr>
            </w:pPr>
            <w:r w:rsidRPr="00091BFD">
              <w:rPr>
                <w:rFonts w:cs="Arial"/>
              </w:rPr>
              <w:t>Изследвания</w:t>
            </w:r>
          </w:p>
        </w:tc>
        <w:tc>
          <w:tcPr>
            <w:tcW w:w="3167" w:type="dxa"/>
          </w:tcPr>
          <w:p w14:paraId="44F0AAAF" w14:textId="7869D2EA" w:rsidR="00091BFD" w:rsidRPr="00091BFD" w:rsidRDefault="00091BFD" w:rsidP="00091BFD">
            <w:pPr>
              <w:rPr>
                <w:rFonts w:cs="Arial"/>
              </w:rPr>
            </w:pPr>
            <w:r w:rsidRPr="00091BFD">
              <w:rPr>
                <w:rFonts w:cs="Arial"/>
              </w:rPr>
              <w:t>Чести</w:t>
            </w:r>
          </w:p>
        </w:tc>
        <w:tc>
          <w:tcPr>
            <w:tcW w:w="3167" w:type="dxa"/>
          </w:tcPr>
          <w:p w14:paraId="5FD0CCDF" w14:textId="0ECD4902" w:rsidR="00091BFD" w:rsidRPr="00091BFD" w:rsidRDefault="00091BFD" w:rsidP="00091BFD">
            <w:pPr>
              <w:rPr>
                <w:rFonts w:cs="Arial"/>
              </w:rPr>
            </w:pPr>
            <w:r w:rsidRPr="00091BFD">
              <w:rPr>
                <w:rFonts w:cs="Arial"/>
              </w:rPr>
              <w:t>единични еритроцити в урината, единични левкоцити в урината</w:t>
            </w:r>
          </w:p>
        </w:tc>
      </w:tr>
    </w:tbl>
    <w:p w14:paraId="62E8F3E0"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ДОБАВЕНА ПРИ ПРЕГЛЕД НА КЛИНИЧНИ ДАННИ</w:t>
      </w:r>
    </w:p>
    <w:p w14:paraId="1DE0D00A"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ПРЕКЛАСИФИЦИРАНИ, СЪОБРАЗЕНИ СЪС СИСТЕМО-ОРГАННИ КЛАСОВЕ</w:t>
      </w:r>
    </w:p>
    <w:p w14:paraId="44E8C376" w14:textId="77777777" w:rsidR="00091BFD" w:rsidRPr="00091BFD" w:rsidRDefault="00091BFD" w:rsidP="00091BFD">
      <w:pPr>
        <w:spacing w:line="240" w:lineRule="auto"/>
        <w:rPr>
          <w:rFonts w:eastAsia="Times New Roman" w:cs="Arial"/>
          <w:color w:val="000000"/>
          <w:u w:val="single"/>
          <w:lang w:eastAsia="bg-BG"/>
        </w:rPr>
      </w:pPr>
    </w:p>
    <w:p w14:paraId="5499C62E" w14:textId="0EC55F61" w:rsidR="00091BFD" w:rsidRPr="00091BFD" w:rsidRDefault="00091BFD" w:rsidP="00091BFD">
      <w:pPr>
        <w:spacing w:line="240" w:lineRule="auto"/>
        <w:rPr>
          <w:rFonts w:eastAsia="Times New Roman" w:cs="Arial"/>
          <w:lang w:eastAsia="bg-BG"/>
        </w:rPr>
      </w:pPr>
      <w:r w:rsidRPr="00091BFD">
        <w:rPr>
          <w:rFonts w:eastAsia="Times New Roman" w:cs="Arial"/>
          <w:color w:val="000000"/>
          <w:u w:val="single"/>
          <w:lang w:eastAsia="bg-BG"/>
        </w:rPr>
        <w:t>Съобщаване на подозирани нежелани реакции</w:t>
      </w:r>
    </w:p>
    <w:p w14:paraId="43E3C48F" w14:textId="2A54B58B" w:rsidR="0091385D" w:rsidRPr="00091BFD" w:rsidRDefault="00091BFD" w:rsidP="00091BFD">
      <w:pPr>
        <w:rPr>
          <w:rFonts w:cs="Arial"/>
        </w:rPr>
      </w:pPr>
      <w:r w:rsidRPr="00091BF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иска да съобщават всяка подозирана нежелана реакция чрез Изпълнителната агенция по лекарствата, ул. „Дамян Груев“ № 8,1303 София, тел. +359 2 8903417, уебсайт: </w:t>
      </w:r>
      <w:r w:rsidRPr="00091BFD">
        <w:rPr>
          <w:rFonts w:eastAsia="Times New Roman" w:cs="Arial"/>
          <w:lang w:eastAsia="bg-BG"/>
        </w:rPr>
        <w:fldChar w:fldCharType="begin"/>
      </w:r>
      <w:r w:rsidRPr="00091BFD">
        <w:rPr>
          <w:rFonts w:eastAsia="Times New Roman" w:cs="Arial"/>
          <w:lang w:eastAsia="bg-BG"/>
        </w:rPr>
        <w:instrText xml:space="preserve"> HYPERLINK "http://www.bda.bg" </w:instrText>
      </w:r>
      <w:r w:rsidRPr="00091BFD">
        <w:rPr>
          <w:rFonts w:eastAsia="Times New Roman" w:cs="Arial"/>
          <w:lang w:eastAsia="bg-BG"/>
        </w:rPr>
      </w:r>
      <w:r w:rsidRPr="00091BFD">
        <w:rPr>
          <w:rFonts w:eastAsia="Times New Roman" w:cs="Arial"/>
          <w:lang w:eastAsia="bg-BG"/>
        </w:rPr>
        <w:fldChar w:fldCharType="separate"/>
      </w:r>
      <w:r w:rsidRPr="00091BFD">
        <w:rPr>
          <w:rFonts w:eastAsia="Times New Roman" w:cs="Arial"/>
          <w:color w:val="000000"/>
          <w:u w:val="single"/>
          <w:lang w:val="en-US"/>
        </w:rPr>
        <w:t>www.bda.bg</w:t>
      </w:r>
      <w:r w:rsidRPr="00091BFD">
        <w:rPr>
          <w:rFonts w:eastAsia="Times New Roman" w:cs="Arial"/>
          <w:lang w:eastAsia="bg-BG"/>
        </w:rPr>
        <w:fldChar w:fldCharType="end"/>
      </w:r>
      <w:r w:rsidRPr="00091BFD">
        <w:rPr>
          <w:rFonts w:eastAsia="Times New Roman" w:cs="Arial"/>
          <w:color w:val="000000"/>
          <w:lang w:val="en-US"/>
        </w:rPr>
        <w:t>.</w:t>
      </w:r>
    </w:p>
    <w:p w14:paraId="30D11B47" w14:textId="77777777" w:rsidR="003F7E63" w:rsidRPr="0091385D" w:rsidRDefault="003F7E63"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4D0C6245"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Опитът със сертиндол при остро предозиране е ограничен, Има съобщения за случаи с фатален Изход. Независимо от това, пациенти приемали дози до 840 </w:t>
      </w:r>
      <w:r w:rsidRPr="00091BFD">
        <w:rPr>
          <w:rFonts w:eastAsia="Times New Roman" w:cs="Arial"/>
          <w:color w:val="000000"/>
          <w:lang w:val="en-US"/>
        </w:rPr>
        <w:t xml:space="preserve">mg </w:t>
      </w:r>
      <w:r w:rsidRPr="00091BFD">
        <w:rPr>
          <w:rFonts w:eastAsia="Times New Roman" w:cs="Arial"/>
          <w:color w:val="000000"/>
          <w:lang w:eastAsia="bg-BG"/>
        </w:rPr>
        <w:t xml:space="preserve">са се възстановили без усложнения. Съобщаваните признаци и симптоми на предозиране са сомнолентност, неясен говор, тахикардия, хипотензия и преходно удължаване на </w:t>
      </w:r>
      <w:proofErr w:type="spellStart"/>
      <w:r w:rsidRPr="00091BFD">
        <w:rPr>
          <w:rFonts w:eastAsia="Times New Roman" w:cs="Arial"/>
          <w:color w:val="000000"/>
          <w:lang w:val="en-US"/>
        </w:rPr>
        <w:t>QTc</w:t>
      </w:r>
      <w:proofErr w:type="spellEnd"/>
      <w:r w:rsidRPr="00091BFD">
        <w:rPr>
          <w:rFonts w:eastAsia="Times New Roman" w:cs="Arial"/>
          <w:color w:val="000000"/>
          <w:lang w:eastAsia="bg-BG"/>
        </w:rPr>
        <w:t xml:space="preserve">-интервала. Наблюдавани са случаи на </w:t>
      </w:r>
      <w:r w:rsidRPr="00091BFD">
        <w:rPr>
          <w:rFonts w:eastAsia="Times New Roman" w:cs="Arial"/>
          <w:color w:val="000000"/>
          <w:lang w:val="en-US"/>
        </w:rPr>
        <w:t xml:space="preserve">Torsade de Pointes </w:t>
      </w:r>
      <w:r w:rsidRPr="00091BFD">
        <w:rPr>
          <w:rFonts w:eastAsia="Times New Roman" w:cs="Arial"/>
          <w:color w:val="000000"/>
          <w:lang w:eastAsia="bg-BG"/>
        </w:rPr>
        <w:t xml:space="preserve">често в комбинация с други лекарства, за които е известно, че предизвикват </w:t>
      </w:r>
      <w:proofErr w:type="spellStart"/>
      <w:r w:rsidRPr="00091BFD">
        <w:rPr>
          <w:rFonts w:eastAsia="Times New Roman" w:cs="Arial"/>
          <w:color w:val="000000"/>
          <w:lang w:val="en-US"/>
        </w:rPr>
        <w:t>TdP</w:t>
      </w:r>
      <w:proofErr w:type="spellEnd"/>
      <w:r w:rsidRPr="00091BFD">
        <w:rPr>
          <w:rFonts w:eastAsia="Times New Roman" w:cs="Arial"/>
          <w:color w:val="000000"/>
          <w:lang w:val="en-US"/>
        </w:rPr>
        <w:t>.</w:t>
      </w:r>
    </w:p>
    <w:p w14:paraId="1D1B1BC6" w14:textId="77777777" w:rsidR="00091BFD" w:rsidRPr="00091BFD" w:rsidRDefault="00091BFD" w:rsidP="00091BFD">
      <w:pPr>
        <w:spacing w:line="240" w:lineRule="auto"/>
        <w:rPr>
          <w:rFonts w:eastAsia="Times New Roman" w:cs="Arial"/>
          <w:color w:val="000000"/>
          <w:u w:val="single"/>
          <w:lang w:eastAsia="bg-BG"/>
        </w:rPr>
      </w:pPr>
    </w:p>
    <w:p w14:paraId="6F22DA7D" w14:textId="67E37C0E" w:rsidR="00091BFD" w:rsidRPr="00091BFD" w:rsidRDefault="00091BFD" w:rsidP="00091BFD">
      <w:pPr>
        <w:pStyle w:val="Heading3"/>
        <w:rPr>
          <w:rFonts w:eastAsia="Times New Roman"/>
          <w:u w:val="single"/>
          <w:lang w:eastAsia="bg-BG"/>
        </w:rPr>
      </w:pPr>
      <w:r w:rsidRPr="00091BFD">
        <w:rPr>
          <w:rFonts w:eastAsia="Times New Roman"/>
          <w:u w:val="single"/>
          <w:lang w:eastAsia="bg-BG"/>
        </w:rPr>
        <w:lastRenderedPageBreak/>
        <w:t>Лечение</w:t>
      </w:r>
    </w:p>
    <w:p w14:paraId="2724DD0E"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В случай на остро предозиране да се осигури проходимост на дихателните пътища и поддържане на адекватен приток на кислород.</w:t>
      </w:r>
    </w:p>
    <w:p w14:paraId="15B8A6CB" w14:textId="77777777" w:rsidR="00091BFD" w:rsidRPr="00091BFD" w:rsidRDefault="00091BFD" w:rsidP="00091BFD">
      <w:pPr>
        <w:spacing w:line="240" w:lineRule="auto"/>
        <w:rPr>
          <w:rFonts w:eastAsia="Times New Roman" w:cs="Arial"/>
          <w:color w:val="000000"/>
          <w:lang w:eastAsia="bg-BG"/>
        </w:rPr>
      </w:pPr>
    </w:p>
    <w:p w14:paraId="4C412E70" w14:textId="4C37DA25"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Незабавно да започне продължително мониториране на ЕКГ и виталните признаци. В случай на удължен </w:t>
      </w:r>
      <w:proofErr w:type="spellStart"/>
      <w:r w:rsidRPr="00091BFD">
        <w:rPr>
          <w:rFonts w:eastAsia="Times New Roman" w:cs="Arial"/>
          <w:color w:val="000000"/>
          <w:lang w:val="en-US"/>
        </w:rPr>
        <w:t>QTc</w:t>
      </w:r>
      <w:proofErr w:type="spellEnd"/>
      <w:r w:rsidRPr="00091BFD">
        <w:rPr>
          <w:rFonts w:eastAsia="Times New Roman" w:cs="Arial"/>
          <w:color w:val="000000"/>
          <w:lang w:eastAsia="bg-BG"/>
        </w:rPr>
        <w:t xml:space="preserve">-интервал се препоръчва проследяването да продължи до нормализиране на </w:t>
      </w:r>
      <w:proofErr w:type="spellStart"/>
      <w:r w:rsidRPr="00091BFD">
        <w:rPr>
          <w:rFonts w:eastAsia="Times New Roman" w:cs="Arial"/>
          <w:color w:val="000000"/>
          <w:lang w:val="en-US"/>
        </w:rPr>
        <w:t>QTc</w:t>
      </w:r>
      <w:proofErr w:type="spellEnd"/>
      <w:r w:rsidRPr="00091BFD">
        <w:rPr>
          <w:rFonts w:eastAsia="Times New Roman" w:cs="Arial"/>
          <w:color w:val="000000"/>
          <w:lang w:eastAsia="bg-BG"/>
        </w:rPr>
        <w:t>- интервала. Да се има предвид, че полу-животът на сертиндол е 2 до 4 дни.</w:t>
      </w:r>
    </w:p>
    <w:p w14:paraId="23BE07A4" w14:textId="77777777" w:rsidR="00091BFD" w:rsidRPr="00091BFD" w:rsidRDefault="00091BFD" w:rsidP="00091BFD">
      <w:pPr>
        <w:spacing w:line="240" w:lineRule="auto"/>
        <w:rPr>
          <w:rFonts w:eastAsia="Times New Roman" w:cs="Arial"/>
          <w:color w:val="000000"/>
          <w:lang w:eastAsia="bg-BG"/>
        </w:rPr>
      </w:pPr>
    </w:p>
    <w:p w14:paraId="7B9F5C0B" w14:textId="78F32ACE"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Да се осигури венозен път и да се прецени необходимостта от приема на активен въглен и лаксативни средства. Да се има предвид възможността от включване и на други медикаменти.</w:t>
      </w:r>
    </w:p>
    <w:p w14:paraId="49F3EDDC" w14:textId="77777777" w:rsidR="00091BFD" w:rsidRPr="00091BFD" w:rsidRDefault="00091BFD" w:rsidP="00091BFD">
      <w:pPr>
        <w:rPr>
          <w:rFonts w:eastAsia="Times New Roman" w:cs="Arial"/>
          <w:color w:val="000000"/>
          <w:lang w:eastAsia="bg-BG"/>
        </w:rPr>
      </w:pPr>
    </w:p>
    <w:p w14:paraId="0F0079CB" w14:textId="340549FB" w:rsidR="0091385D" w:rsidRPr="00091BFD" w:rsidRDefault="00091BFD" w:rsidP="00091BFD">
      <w:pPr>
        <w:rPr>
          <w:rFonts w:cs="Arial"/>
        </w:rPr>
      </w:pPr>
      <w:r w:rsidRPr="00091BFD">
        <w:rPr>
          <w:rFonts w:eastAsia="Times New Roman" w:cs="Arial"/>
          <w:color w:val="000000"/>
          <w:lang w:eastAsia="bg-BG"/>
        </w:rPr>
        <w:t xml:space="preserve">Няма специфичен антидот на сертиндол и той не може да бъде диализиран, поради което трябва да се предприемат адекватни поддържащи мерки. Хицотензията и съдовият колапс трябва да бъдат Третирани адекватно, напр. с венозни вливания. В случай, че се използват симпатикомиметични средства за корекция на циркулаторните нарушения, адреналин и допамин следва да се употребяват с повишено внимание, тъй като β стимулацията, комбинирана с </w:t>
      </w:r>
      <w:r w:rsidRPr="00091BFD">
        <w:rPr>
          <w:rFonts w:eastAsia="Times New Roman" w:cs="Arial"/>
          <w:color w:val="000000"/>
          <w:lang w:val="en-US"/>
        </w:rPr>
        <w:t xml:space="preserve">oil </w:t>
      </w:r>
      <w:r w:rsidRPr="00091BFD">
        <w:rPr>
          <w:rFonts w:eastAsia="Times New Roman" w:cs="Arial"/>
          <w:color w:val="000000"/>
          <w:lang w:eastAsia="bg-BG"/>
        </w:rPr>
        <w:t>антагонизма, свързан със сертиндол може да задълбочи хипотензията.</w:t>
      </w:r>
    </w:p>
    <w:p w14:paraId="48FF1584" w14:textId="6AA48C5C" w:rsidR="0091385D" w:rsidRDefault="0091385D" w:rsidP="0091385D"/>
    <w:p w14:paraId="31F9078D"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Ако се прилага лечение с антиаритмични средства такива като хинидин, дизолирамиди прокаинамид, теоретически се увеличава риска от удължаване на </w:t>
      </w:r>
      <w:r w:rsidRPr="00091BFD">
        <w:rPr>
          <w:rFonts w:eastAsia="Times New Roman" w:cs="Arial"/>
          <w:color w:val="000000"/>
          <w:lang w:val="en-US"/>
        </w:rPr>
        <w:t>QT</w:t>
      </w:r>
      <w:r w:rsidRPr="00091BFD">
        <w:rPr>
          <w:rFonts w:eastAsia="Times New Roman" w:cs="Arial"/>
          <w:color w:val="000000"/>
          <w:lang w:eastAsia="bg-BG"/>
        </w:rPr>
        <w:t>-интервала, което се добавя и към сходния ефект на сертиндол.</w:t>
      </w:r>
    </w:p>
    <w:p w14:paraId="453E76C9" w14:textId="77777777" w:rsidR="00091BFD" w:rsidRPr="00091BFD" w:rsidRDefault="00091BFD" w:rsidP="00091BFD">
      <w:pPr>
        <w:rPr>
          <w:rFonts w:eastAsia="Times New Roman" w:cs="Arial"/>
          <w:color w:val="000000"/>
          <w:lang w:eastAsia="bg-BG"/>
        </w:rPr>
      </w:pPr>
    </w:p>
    <w:p w14:paraId="45A994D7" w14:textId="63EEB101" w:rsidR="00091BFD" w:rsidRDefault="00091BFD" w:rsidP="00091BFD">
      <w:pPr>
        <w:rPr>
          <w:rFonts w:eastAsia="Times New Roman" w:cs="Arial"/>
          <w:color w:val="000000"/>
          <w:lang w:eastAsia="bg-BG"/>
        </w:rPr>
      </w:pPr>
      <w:r w:rsidRPr="00091BFD">
        <w:rPr>
          <w:rFonts w:eastAsia="Times New Roman" w:cs="Arial"/>
          <w:color w:val="000000"/>
          <w:lang w:eastAsia="bg-BG"/>
        </w:rPr>
        <w:t>В случаи на тежка екстрапирамидна симптоматика да се прилагат антихолинергични средства. Да се осъществява пряк медицински контрол и проследяване до възстановяване на пациента.</w:t>
      </w:r>
    </w:p>
    <w:p w14:paraId="57097118" w14:textId="77777777" w:rsidR="00091BFD" w:rsidRPr="00091BFD" w:rsidRDefault="00091BFD" w:rsidP="00091BFD">
      <w:pPr>
        <w:rPr>
          <w:rFonts w:cs="Arial"/>
        </w:rPr>
      </w:pP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2CB7884"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u w:val="single"/>
          <w:lang w:eastAsia="bg-BG"/>
        </w:rPr>
        <w:t>Фармакотерапевтична група:</w:t>
      </w:r>
    </w:p>
    <w:p w14:paraId="12DB45DC"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Антипсихотик със селективно действие върху лимбичната система, АТС-код: </w:t>
      </w:r>
      <w:r w:rsidRPr="00091BFD">
        <w:rPr>
          <w:rFonts w:eastAsia="Times New Roman" w:cs="Arial"/>
          <w:color w:val="000000"/>
          <w:lang w:val="en-US"/>
        </w:rPr>
        <w:t xml:space="preserve">N </w:t>
      </w:r>
      <w:r w:rsidRPr="00091BFD">
        <w:rPr>
          <w:rFonts w:eastAsia="Times New Roman" w:cs="Arial"/>
          <w:color w:val="000000"/>
          <w:lang w:eastAsia="bg-BG"/>
        </w:rPr>
        <w:t>05А ЕОЗ</w:t>
      </w:r>
    </w:p>
    <w:p w14:paraId="35D3A5ED" w14:textId="77777777" w:rsidR="00091BFD" w:rsidRPr="00091BFD" w:rsidRDefault="00091BFD" w:rsidP="00091BFD">
      <w:pPr>
        <w:spacing w:line="240" w:lineRule="auto"/>
        <w:rPr>
          <w:rFonts w:eastAsia="Times New Roman" w:cs="Arial"/>
          <w:color w:val="000000"/>
          <w:u w:val="single"/>
          <w:lang w:eastAsia="bg-BG"/>
        </w:rPr>
      </w:pPr>
    </w:p>
    <w:p w14:paraId="0113BD9A" w14:textId="4ACD020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u w:val="single"/>
          <w:lang w:eastAsia="bg-BG"/>
        </w:rPr>
        <w:t>Механизъм на действие</w:t>
      </w:r>
    </w:p>
    <w:p w14:paraId="6D5D64A8"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Предполага се, че неврофармакологичният профил на сертиндол като антипсихотично средство се определя от неговия селективен инхибиращ ефект върху мезолимбичните допаминергични неврони и се дължи на балансирания инхибиращ ефект върху централните </w:t>
      </w:r>
      <w:r w:rsidRPr="00091BFD">
        <w:rPr>
          <w:rFonts w:eastAsia="Times New Roman" w:cs="Arial"/>
          <w:color w:val="000000"/>
          <w:lang w:val="en-US"/>
        </w:rPr>
        <w:t>D</w:t>
      </w:r>
      <w:r w:rsidRPr="00091BFD">
        <w:rPr>
          <w:rFonts w:eastAsia="Times New Roman" w:cs="Arial"/>
          <w:color w:val="000000"/>
          <w:vertAlign w:val="subscript"/>
          <w:lang w:val="en-US"/>
        </w:rPr>
        <w:t>2</w:t>
      </w:r>
      <w:r w:rsidRPr="00091BFD">
        <w:rPr>
          <w:rFonts w:eastAsia="Times New Roman" w:cs="Arial"/>
          <w:color w:val="000000"/>
          <w:lang w:val="en-US"/>
        </w:rPr>
        <w:t xml:space="preserve"> </w:t>
      </w:r>
      <w:r w:rsidRPr="00091BFD">
        <w:rPr>
          <w:rFonts w:eastAsia="Times New Roman" w:cs="Arial"/>
          <w:color w:val="000000"/>
          <w:lang w:eastAsia="bg-BG"/>
        </w:rPr>
        <w:t>и 5НТ</w:t>
      </w:r>
      <w:r w:rsidRPr="00091BFD">
        <w:rPr>
          <w:rFonts w:eastAsia="Times New Roman" w:cs="Arial"/>
          <w:color w:val="000000"/>
          <w:vertAlign w:val="subscript"/>
          <w:lang w:eastAsia="bg-BG"/>
        </w:rPr>
        <w:t>2</w:t>
      </w:r>
      <w:r w:rsidRPr="00091BFD">
        <w:rPr>
          <w:rFonts w:eastAsia="Times New Roman" w:cs="Arial"/>
          <w:color w:val="000000"/>
          <w:lang w:eastAsia="bg-BG"/>
        </w:rPr>
        <w:t xml:space="preserve"> рецептори и α</w:t>
      </w:r>
      <w:r w:rsidRPr="00091BFD">
        <w:rPr>
          <w:rFonts w:eastAsia="Times New Roman" w:cs="Arial"/>
          <w:color w:val="000000"/>
          <w:vertAlign w:val="subscript"/>
          <w:lang w:eastAsia="bg-BG"/>
        </w:rPr>
        <w:t>1</w:t>
      </w:r>
      <w:r w:rsidRPr="00091BFD">
        <w:rPr>
          <w:rFonts w:eastAsia="Times New Roman" w:cs="Arial"/>
          <w:color w:val="000000"/>
          <w:lang w:eastAsia="bg-BG"/>
        </w:rPr>
        <w:t>- адренергичните рецептори.</w:t>
      </w:r>
    </w:p>
    <w:p w14:paraId="77992FD5" w14:textId="77777777" w:rsidR="00091BFD" w:rsidRPr="00091BFD" w:rsidRDefault="00091BFD" w:rsidP="00091BFD">
      <w:pPr>
        <w:spacing w:line="240" w:lineRule="auto"/>
        <w:rPr>
          <w:rFonts w:eastAsia="Times New Roman" w:cs="Arial"/>
          <w:color w:val="000000"/>
          <w:lang w:eastAsia="bg-BG"/>
        </w:rPr>
      </w:pPr>
    </w:p>
    <w:p w14:paraId="32EB6536" w14:textId="450F50BD"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При фармакологични проучвания у животни, сертиндол е показал спонтанно инхибиране на активните допаминови неврони в мезолимбичната вентро-тегментална област в съотношение повече от 1:100 сравнено с допаминовите неврони в </w:t>
      </w:r>
      <w:proofErr w:type="spellStart"/>
      <w:r w:rsidRPr="00091BFD">
        <w:rPr>
          <w:rFonts w:eastAsia="Times New Roman" w:cs="Arial"/>
          <w:color w:val="000000"/>
          <w:lang w:val="en-US"/>
        </w:rPr>
        <w:t>substancia</w:t>
      </w:r>
      <w:proofErr w:type="spellEnd"/>
      <w:r w:rsidRPr="00091BFD">
        <w:rPr>
          <w:rFonts w:eastAsia="Times New Roman" w:cs="Arial"/>
          <w:color w:val="000000"/>
          <w:lang w:val="en-US"/>
        </w:rPr>
        <w:t xml:space="preserve"> </w:t>
      </w:r>
      <w:proofErr w:type="spellStart"/>
      <w:r w:rsidRPr="00091BFD">
        <w:rPr>
          <w:rFonts w:eastAsia="Times New Roman" w:cs="Arial"/>
          <w:color w:val="000000"/>
          <w:lang w:val="en-US"/>
        </w:rPr>
        <w:t>nigra</w:t>
      </w:r>
      <w:proofErr w:type="spellEnd"/>
      <w:r w:rsidRPr="00091BFD">
        <w:rPr>
          <w:rFonts w:eastAsia="Times New Roman" w:cs="Arial"/>
          <w:color w:val="000000"/>
          <w:lang w:val="en-US"/>
        </w:rPr>
        <w:t xml:space="preserve"> pars compacta (SNC). </w:t>
      </w:r>
      <w:r w:rsidRPr="00091BFD">
        <w:rPr>
          <w:rFonts w:eastAsia="Times New Roman" w:cs="Arial"/>
          <w:color w:val="000000"/>
          <w:lang w:eastAsia="bg-BG"/>
        </w:rPr>
        <w:t xml:space="preserve">Счита се, че инхибирането на </w:t>
      </w:r>
      <w:r w:rsidRPr="00091BFD">
        <w:rPr>
          <w:rFonts w:eastAsia="Times New Roman" w:cs="Arial"/>
          <w:color w:val="000000"/>
          <w:lang w:val="en-US"/>
        </w:rPr>
        <w:t xml:space="preserve">SNC </w:t>
      </w:r>
      <w:r w:rsidRPr="00091BFD">
        <w:rPr>
          <w:rFonts w:eastAsia="Times New Roman" w:cs="Arial"/>
          <w:color w:val="000000"/>
          <w:lang w:eastAsia="bg-BG"/>
        </w:rPr>
        <w:t>води до двигателни странични ефекти (ЕПС), характерни за много от невролептиците.</w:t>
      </w:r>
    </w:p>
    <w:p w14:paraId="2951E01C" w14:textId="77777777" w:rsidR="00091BFD" w:rsidRPr="00091BFD" w:rsidRDefault="00091BFD" w:rsidP="00091BFD">
      <w:pPr>
        <w:spacing w:line="240" w:lineRule="auto"/>
        <w:rPr>
          <w:rFonts w:eastAsia="Times New Roman" w:cs="Arial"/>
          <w:color w:val="000000"/>
          <w:lang w:eastAsia="bg-BG"/>
        </w:rPr>
      </w:pPr>
    </w:p>
    <w:p w14:paraId="0B96A874" w14:textId="195692FE"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lastRenderedPageBreak/>
        <w:t>Известно е, че антипсихотиците увеличават серумните пролактинови нива в резултат на допаминова блокада. Пациентите, приемащи сертиндол остават с нормални пролактинови нива както при краткосрочна, така и при дългосрочна терапия (една година). Въпреки че, от време на време са докладвани събития свързани с хиперпролактинемия и пролактин при пост-маркетингово използване на сертиндол.</w:t>
      </w:r>
    </w:p>
    <w:p w14:paraId="28252AA0" w14:textId="2DC929D5" w:rsidR="0091385D" w:rsidRPr="00091BFD" w:rsidRDefault="00091BFD" w:rsidP="00091BFD">
      <w:pPr>
        <w:rPr>
          <w:rFonts w:cs="Arial"/>
        </w:rPr>
      </w:pPr>
      <w:r w:rsidRPr="00091BFD">
        <w:rPr>
          <w:rFonts w:eastAsia="Times New Roman" w:cs="Arial"/>
          <w:color w:val="000000"/>
          <w:lang w:eastAsia="bg-BG"/>
        </w:rPr>
        <w:t xml:space="preserve">Сертиндол няма ефект върху мускариновите и хистаминовите </w:t>
      </w:r>
      <w:r w:rsidRPr="00091BFD">
        <w:rPr>
          <w:rFonts w:eastAsia="Times New Roman" w:cs="Arial"/>
          <w:color w:val="000000"/>
          <w:lang w:val="en-US"/>
        </w:rPr>
        <w:t xml:space="preserve">H1 </w:t>
      </w:r>
      <w:r w:rsidRPr="00091BFD">
        <w:rPr>
          <w:rFonts w:eastAsia="Times New Roman" w:cs="Arial"/>
          <w:color w:val="000000"/>
          <w:lang w:eastAsia="bg-BG"/>
        </w:rPr>
        <w:t>рецептори. Това се потвърждава и от факта, че липсват антихолинергични и седативни ефекти, които се свързват с тези рецептори.</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48BA3FC" w14:textId="70264F41" w:rsidR="0091385D" w:rsidRDefault="00091BFD" w:rsidP="00091BFD">
      <w:r>
        <w:t>Елиминирането на сертиндол се осъществява по чернодробен път като полу-животът е приблизително 3 дни. Клирънсът на сертиндол намалява при многократно дозиране до около 1</w:t>
      </w:r>
      <w:r>
        <w:rPr>
          <w:lang w:val="en-US"/>
        </w:rPr>
        <w:t>4</w:t>
      </w:r>
      <w:r>
        <w:t xml:space="preserve"> </w:t>
      </w:r>
      <w:r>
        <w:rPr>
          <w:lang w:val="en-US"/>
        </w:rPr>
        <w:t xml:space="preserve">L/h </w:t>
      </w:r>
      <w:r>
        <w:t xml:space="preserve">(при жени клирънсът е с около 20% по-нисък отколкото при мъже, въпреки че коригираните клирънси при пренебрегване на мастната тъкан са сравними). Поради това, при многократно дозиране кумулирането е по-голямо от предвиденото на базата на еднократно дозиране, което се дължи на нарастване на системната бионаличност. В стабилно състояние клирънсът не зависи от дозата, а концентрациите са пропорционални на дозата. Съществува умерена вариабилност между отделните индивиди по отношение на фармакокинетиката на сертиндол, което се дължи на полиморфизъм на цитохром Р450 </w:t>
      </w:r>
      <w:r>
        <w:rPr>
          <w:lang w:val="en-US"/>
        </w:rPr>
        <w:t xml:space="preserve">2D6 (CYP2D6). </w:t>
      </w:r>
      <w:r>
        <w:t>Пациенти, които са с дефицит на този чернодробен ензим имат клирънс на сертиндол 1/2 до 1/3 от този на индивиди с екстензивен метаболизъм на С</w:t>
      </w:r>
      <w:r>
        <w:rPr>
          <w:lang w:val="en-US"/>
        </w:rPr>
        <w:t xml:space="preserve">YP2D6. </w:t>
      </w:r>
      <w:r>
        <w:t>Поради това пациентите със слаб метаболизъм (до 10% от популацията) ще имат плазмени концентрации 2-3 пъти по-високи от нормалните. Концентрациите на сертиндол не могат да бъдат предиктор за терапевтичния ефект при отделния пациент; поради това индивидуализиране на дозата</w:t>
      </w:r>
      <w:r>
        <w:rPr>
          <w:vertAlign w:val="superscript"/>
        </w:rPr>
        <w:t xml:space="preserve"> </w:t>
      </w:r>
      <w:r>
        <w:t>се постига най-добре чрез оценка на терапевтичния ефект и поносимостта.</w:t>
      </w:r>
    </w:p>
    <w:p w14:paraId="4EE1BB0B" w14:textId="1776DB22" w:rsidR="0091385D" w:rsidRDefault="0091385D" w:rsidP="0091385D"/>
    <w:p w14:paraId="16887647" w14:textId="77777777" w:rsidR="00091BFD" w:rsidRPr="00091BFD" w:rsidRDefault="00091BFD" w:rsidP="00091BFD">
      <w:pPr>
        <w:pStyle w:val="Heading3"/>
        <w:rPr>
          <w:rFonts w:eastAsia="Times New Roman"/>
          <w:u w:val="single"/>
          <w:lang w:eastAsia="bg-BG"/>
        </w:rPr>
      </w:pPr>
      <w:r w:rsidRPr="00091BFD">
        <w:rPr>
          <w:rFonts w:eastAsia="Times New Roman"/>
          <w:u w:val="single"/>
          <w:lang w:eastAsia="bg-BG"/>
        </w:rPr>
        <w:t>Абсорбция</w:t>
      </w:r>
    </w:p>
    <w:p w14:paraId="0C2E460E"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Сертиндол се абсорбира добре с Т</w:t>
      </w:r>
      <w:r w:rsidRPr="00091BFD">
        <w:rPr>
          <w:rFonts w:eastAsia="Times New Roman" w:cs="Arial"/>
          <w:color w:val="000000"/>
          <w:lang w:val="en-US"/>
        </w:rPr>
        <w:t xml:space="preserve">max </w:t>
      </w:r>
      <w:r w:rsidRPr="00091BFD">
        <w:rPr>
          <w:rFonts w:eastAsia="Times New Roman" w:cs="Arial"/>
          <w:color w:val="000000"/>
          <w:lang w:eastAsia="bg-BG"/>
        </w:rPr>
        <w:t>на сертиндол след перорален прием приблизително 10 часа. Различните дози са биоеквивалентни. Храната и алуминиево-магнезиевите антиацидни средства не оказват клинично значим ефект върху абсорбцията на сертиндол.</w:t>
      </w:r>
    </w:p>
    <w:p w14:paraId="45528F88" w14:textId="77777777" w:rsidR="00091BFD" w:rsidRPr="00091BFD" w:rsidRDefault="00091BFD" w:rsidP="00091BFD">
      <w:pPr>
        <w:spacing w:line="240" w:lineRule="auto"/>
        <w:rPr>
          <w:rFonts w:eastAsia="Times New Roman" w:cs="Arial"/>
          <w:color w:val="000000"/>
          <w:u w:val="single"/>
          <w:lang w:eastAsia="bg-BG"/>
        </w:rPr>
      </w:pPr>
    </w:p>
    <w:p w14:paraId="66424CC4" w14:textId="796225D7" w:rsidR="00091BFD" w:rsidRPr="00091BFD" w:rsidRDefault="00091BFD" w:rsidP="00091BFD">
      <w:pPr>
        <w:pStyle w:val="Heading3"/>
        <w:rPr>
          <w:rFonts w:eastAsia="Times New Roman"/>
          <w:u w:val="single"/>
          <w:lang w:eastAsia="bg-BG"/>
        </w:rPr>
      </w:pPr>
      <w:r w:rsidRPr="00091BFD">
        <w:rPr>
          <w:rFonts w:eastAsia="Times New Roman"/>
          <w:u w:val="single"/>
          <w:lang w:eastAsia="bg-BG"/>
        </w:rPr>
        <w:t>Разпределение</w:t>
      </w:r>
    </w:p>
    <w:p w14:paraId="1887F890"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Обемът на разпределение </w:t>
      </w:r>
      <w:r w:rsidRPr="00091BFD">
        <w:rPr>
          <w:rFonts w:eastAsia="Times New Roman" w:cs="Arial"/>
          <w:color w:val="000000"/>
          <w:lang w:val="en-US"/>
        </w:rPr>
        <w:t>(V</w:t>
      </w:r>
      <w:r w:rsidRPr="00091BFD">
        <w:rPr>
          <w:rFonts w:eastAsia="Times New Roman" w:cs="Arial"/>
          <w:color w:val="000000"/>
          <w:lang w:eastAsia="bg-BG"/>
        </w:rPr>
        <w:t>β</w:t>
      </w:r>
      <w:r w:rsidRPr="00091BFD">
        <w:rPr>
          <w:rFonts w:eastAsia="Times New Roman" w:cs="Arial"/>
          <w:color w:val="000000"/>
          <w:lang w:val="en-US"/>
        </w:rPr>
        <w:t xml:space="preserve">/F) </w:t>
      </w:r>
      <w:r w:rsidRPr="00091BFD">
        <w:rPr>
          <w:rFonts w:eastAsia="Times New Roman" w:cs="Arial"/>
          <w:color w:val="000000"/>
          <w:lang w:eastAsia="bg-BG"/>
        </w:rPr>
        <w:t xml:space="preserve">на сертиндол след многократно дозиране е приблизително 20 </w:t>
      </w:r>
      <w:r w:rsidRPr="00091BFD">
        <w:rPr>
          <w:rFonts w:eastAsia="Times New Roman" w:cs="Arial"/>
          <w:color w:val="000000"/>
          <w:lang w:val="en-US"/>
        </w:rPr>
        <w:t xml:space="preserve">L/kg. </w:t>
      </w:r>
      <w:r w:rsidRPr="00091BFD">
        <w:rPr>
          <w:rFonts w:eastAsia="Times New Roman" w:cs="Arial"/>
          <w:color w:val="000000"/>
          <w:lang w:eastAsia="bg-BG"/>
        </w:rPr>
        <w:t>Сертиндол се свързва 99,5% с плазмените протеини, предимно с албумина и α</w:t>
      </w:r>
      <w:r w:rsidRPr="00091BFD">
        <w:rPr>
          <w:rFonts w:eastAsia="Times New Roman" w:cs="Arial"/>
          <w:color w:val="000000"/>
          <w:vertAlign w:val="subscript"/>
          <w:lang w:eastAsia="bg-BG"/>
        </w:rPr>
        <w:t>1</w:t>
      </w:r>
      <w:r w:rsidRPr="00091BFD">
        <w:rPr>
          <w:rFonts w:eastAsia="Times New Roman" w:cs="Arial"/>
          <w:color w:val="000000"/>
          <w:lang w:eastAsia="bg-BG"/>
        </w:rPr>
        <w:t xml:space="preserve">-гликопротеина. При пациенти, лекувани с препоръчваните дози, 90% от измерените концентрации са под 140 </w:t>
      </w:r>
      <w:r w:rsidRPr="00091BFD">
        <w:rPr>
          <w:rFonts w:eastAsia="Times New Roman" w:cs="Arial"/>
          <w:color w:val="000000"/>
          <w:lang w:val="en-US"/>
        </w:rPr>
        <w:t xml:space="preserve">ng/ml </w:t>
      </w:r>
      <w:r w:rsidRPr="00091BFD">
        <w:rPr>
          <w:rFonts w:eastAsia="Times New Roman" w:cs="Arial"/>
          <w:color w:val="000000"/>
          <w:lang w:eastAsia="bg-BG"/>
        </w:rPr>
        <w:t xml:space="preserve">(~320 </w:t>
      </w:r>
      <w:proofErr w:type="spellStart"/>
      <w:r w:rsidRPr="00091BFD">
        <w:rPr>
          <w:rFonts w:eastAsia="Times New Roman" w:cs="Arial"/>
          <w:color w:val="000000"/>
          <w:lang w:val="en-US"/>
        </w:rPr>
        <w:t>nmol</w:t>
      </w:r>
      <w:proofErr w:type="spellEnd"/>
      <w:r w:rsidRPr="00091BFD">
        <w:rPr>
          <w:rFonts w:eastAsia="Times New Roman" w:cs="Arial"/>
          <w:color w:val="000000"/>
          <w:lang w:val="en-US"/>
        </w:rPr>
        <w:t xml:space="preserve">/L). </w:t>
      </w:r>
      <w:r w:rsidRPr="00091BFD">
        <w:rPr>
          <w:rFonts w:eastAsia="Times New Roman" w:cs="Arial"/>
          <w:color w:val="000000"/>
          <w:lang w:eastAsia="bg-BG"/>
        </w:rPr>
        <w:t>Сертиндол прониква в червените кръвни клетки в съотношение кръв/плазма 1:0, Сертиндол лесно преминава кръвно-мозъчната и плацентарната бариери.</w:t>
      </w:r>
    </w:p>
    <w:p w14:paraId="79106461" w14:textId="77777777" w:rsidR="00091BFD" w:rsidRPr="00091BFD" w:rsidRDefault="00091BFD" w:rsidP="00091BFD">
      <w:pPr>
        <w:spacing w:line="240" w:lineRule="auto"/>
        <w:rPr>
          <w:rFonts w:eastAsia="Times New Roman" w:cs="Arial"/>
          <w:color w:val="000000"/>
          <w:u w:val="single"/>
          <w:lang w:eastAsia="bg-BG"/>
        </w:rPr>
      </w:pPr>
    </w:p>
    <w:p w14:paraId="33575B5E" w14:textId="0B5939F0" w:rsidR="00091BFD" w:rsidRPr="00091BFD" w:rsidRDefault="00091BFD" w:rsidP="00091BFD">
      <w:pPr>
        <w:pStyle w:val="Heading3"/>
        <w:rPr>
          <w:rFonts w:eastAsia="Times New Roman"/>
          <w:u w:val="single"/>
          <w:lang w:eastAsia="bg-BG"/>
        </w:rPr>
      </w:pPr>
      <w:r w:rsidRPr="00091BFD">
        <w:rPr>
          <w:rFonts w:eastAsia="Times New Roman"/>
          <w:u w:val="single"/>
          <w:lang w:eastAsia="bg-BG"/>
        </w:rPr>
        <w:t>Метаболизъм</w:t>
      </w:r>
    </w:p>
    <w:p w14:paraId="395901B0"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Два метаболита се откриват в човешката плазма: дехидросертиндол (окисление на имидазоловия пръстен) и норсертиндол </w:t>
      </w:r>
      <w:r w:rsidRPr="00091BFD">
        <w:rPr>
          <w:rFonts w:eastAsia="Times New Roman" w:cs="Arial"/>
          <w:color w:val="000000"/>
          <w:lang w:val="en-US"/>
        </w:rPr>
        <w:t>(N</w:t>
      </w:r>
      <w:r w:rsidRPr="00091BFD">
        <w:rPr>
          <w:rFonts w:eastAsia="Times New Roman" w:cs="Arial"/>
          <w:color w:val="000000"/>
          <w:lang w:eastAsia="bg-BG"/>
        </w:rPr>
        <w:t xml:space="preserve">-деалкилиране). Концентрациите на дехидросертиндола и норсертиндола са приблизително 80% и 40% съответно от основното съединение в стабилно състояние. Действието на сертиндол се дължи </w:t>
      </w:r>
      <w:r w:rsidRPr="00091BFD">
        <w:rPr>
          <w:rFonts w:eastAsia="Times New Roman" w:cs="Arial"/>
          <w:color w:val="000000"/>
          <w:lang w:eastAsia="bg-BG"/>
        </w:rPr>
        <w:lastRenderedPageBreak/>
        <w:t>предимно на основното съединение и метаболитите нямат значими фармакологични ефекти при хора.</w:t>
      </w:r>
    </w:p>
    <w:p w14:paraId="4F7A3A89" w14:textId="77777777" w:rsidR="00091BFD" w:rsidRPr="00091BFD" w:rsidRDefault="00091BFD" w:rsidP="00091BFD">
      <w:pPr>
        <w:spacing w:line="240" w:lineRule="auto"/>
        <w:rPr>
          <w:rFonts w:eastAsia="Times New Roman" w:cs="Arial"/>
          <w:color w:val="000000"/>
          <w:u w:val="single"/>
          <w:lang w:eastAsia="bg-BG"/>
        </w:rPr>
      </w:pPr>
    </w:p>
    <w:p w14:paraId="26A27CEE" w14:textId="04E7E649" w:rsidR="00091BFD" w:rsidRPr="00091BFD" w:rsidRDefault="00091BFD" w:rsidP="00091BFD">
      <w:pPr>
        <w:pStyle w:val="Heading3"/>
        <w:rPr>
          <w:rFonts w:eastAsia="Times New Roman"/>
          <w:u w:val="single"/>
          <w:lang w:eastAsia="bg-BG"/>
        </w:rPr>
      </w:pPr>
      <w:r w:rsidRPr="00091BFD">
        <w:rPr>
          <w:rFonts w:eastAsia="Times New Roman"/>
          <w:u w:val="single"/>
          <w:lang w:eastAsia="bg-BG"/>
        </w:rPr>
        <w:t>Екскреция</w:t>
      </w:r>
    </w:p>
    <w:p w14:paraId="45C15EE0" w14:textId="429F6E95" w:rsidR="00091BFD" w:rsidRPr="00091BFD" w:rsidRDefault="00091BFD" w:rsidP="00091BFD">
      <w:pPr>
        <w:rPr>
          <w:rFonts w:cs="Arial"/>
        </w:rPr>
      </w:pPr>
      <w:r w:rsidRPr="00091BFD">
        <w:rPr>
          <w:rFonts w:eastAsia="Times New Roman" w:cs="Arial"/>
          <w:color w:val="000000"/>
          <w:lang w:eastAsia="bg-BG"/>
        </w:rPr>
        <w:t>Сертиндол и неговите метаболити се елиминират много бавно като 50-60% от пероралната доза, белязана с радиоактивен изотоп се елиминира до 14 дни след приема. Приблизително 4% от дозата се екскретират с урината като основно съединение и метаболити, от които по-малко от 1% е като основно съединение. Основният път на екскретиране е чрез фекадиите и се отнася за остатъка от основното съединение и метаболитите му.</w:t>
      </w:r>
    </w:p>
    <w:p w14:paraId="184E85FC" w14:textId="77777777" w:rsidR="00091BFD" w:rsidRPr="0091385D" w:rsidRDefault="00091BF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41AE170B" w14:textId="77777777"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Удължаване на </w:t>
      </w:r>
      <w:r w:rsidRPr="00091BFD">
        <w:rPr>
          <w:rFonts w:eastAsia="Times New Roman" w:cs="Arial"/>
          <w:color w:val="000000"/>
          <w:lang w:val="en-US"/>
        </w:rPr>
        <w:t>QT</w:t>
      </w:r>
      <w:r w:rsidRPr="00091BFD">
        <w:rPr>
          <w:rFonts w:eastAsia="Times New Roman" w:cs="Arial"/>
          <w:color w:val="000000"/>
          <w:lang w:eastAsia="bg-BG"/>
        </w:rPr>
        <w:t>-интервала на ЕКГ, най-вероятно дължащо се на инхибиране на закъснялото освобождаване на калиевите канали (</w:t>
      </w:r>
      <w:proofErr w:type="spellStart"/>
      <w:r w:rsidRPr="00091BFD">
        <w:rPr>
          <w:rFonts w:eastAsia="Times New Roman" w:cs="Arial"/>
          <w:color w:val="000000"/>
          <w:lang w:val="en-US"/>
        </w:rPr>
        <w:t>I</w:t>
      </w:r>
      <w:r w:rsidRPr="00091BFD">
        <w:rPr>
          <w:rFonts w:eastAsia="Times New Roman" w:cs="Arial"/>
          <w:color w:val="000000"/>
          <w:vertAlign w:val="subscript"/>
          <w:lang w:val="en-US"/>
        </w:rPr>
        <w:t>Kr</w:t>
      </w:r>
      <w:proofErr w:type="spellEnd"/>
      <w:r w:rsidRPr="00091BFD">
        <w:rPr>
          <w:rFonts w:eastAsia="Times New Roman" w:cs="Arial"/>
          <w:color w:val="000000"/>
          <w:lang w:eastAsia="bg-BG"/>
        </w:rPr>
        <w:t xml:space="preserve">, </w:t>
      </w:r>
      <w:r w:rsidRPr="00091BFD">
        <w:rPr>
          <w:rFonts w:eastAsia="Times New Roman" w:cs="Arial"/>
          <w:color w:val="000000"/>
          <w:lang w:val="en-US"/>
        </w:rPr>
        <w:t xml:space="preserve">HERG) </w:t>
      </w:r>
      <w:r w:rsidRPr="00091BFD">
        <w:rPr>
          <w:rFonts w:eastAsia="Times New Roman" w:cs="Arial"/>
          <w:color w:val="000000"/>
          <w:lang w:eastAsia="bg-BG"/>
        </w:rPr>
        <w:t xml:space="preserve">се наблюдава при животински модели. Сертиндол обаче, показва липса на ранни следполаризационни промени във влакната на Пуркиние при зайци и кучета. Ранните след-поларизационни промени се считат като основен тригер фактор за настъпването на </w:t>
      </w:r>
      <w:r w:rsidRPr="00091BFD">
        <w:rPr>
          <w:rFonts w:eastAsia="Times New Roman" w:cs="Arial"/>
          <w:color w:val="000000"/>
          <w:lang w:val="en-US"/>
        </w:rPr>
        <w:t xml:space="preserve">Torsade de Pointes. </w:t>
      </w:r>
      <w:r w:rsidRPr="00091BFD">
        <w:rPr>
          <w:rFonts w:eastAsia="Times New Roman" w:cs="Arial"/>
          <w:color w:val="000000"/>
          <w:lang w:eastAsia="bg-BG"/>
        </w:rPr>
        <w:t xml:space="preserve">Сертиндол не е предизвикал вентрикуларни аритмии тип </w:t>
      </w:r>
      <w:r w:rsidRPr="00091BFD">
        <w:rPr>
          <w:rFonts w:eastAsia="Times New Roman" w:cs="Arial"/>
          <w:color w:val="000000"/>
          <w:lang w:val="en-US"/>
        </w:rPr>
        <w:t xml:space="preserve">Torsade de Pointes </w:t>
      </w:r>
      <w:r w:rsidRPr="00091BFD">
        <w:rPr>
          <w:rFonts w:eastAsia="Times New Roman" w:cs="Arial"/>
          <w:color w:val="000000"/>
          <w:lang w:eastAsia="bg-BG"/>
        </w:rPr>
        <w:t xml:space="preserve">в заешки сърца с отстранен атрио-вентрикуларен възел, независимо от експериментално предизвиканата хипокалиемия (1.5 </w:t>
      </w:r>
      <w:proofErr w:type="spellStart"/>
      <w:r w:rsidRPr="00091BFD">
        <w:rPr>
          <w:rFonts w:eastAsia="Times New Roman" w:cs="Arial"/>
          <w:color w:val="000000"/>
          <w:lang w:val="en-US"/>
        </w:rPr>
        <w:t>mmol</w:t>
      </w:r>
      <w:proofErr w:type="spellEnd"/>
      <w:r w:rsidRPr="00091BFD">
        <w:rPr>
          <w:rFonts w:eastAsia="Times New Roman" w:cs="Arial"/>
          <w:color w:val="000000"/>
          <w:lang w:val="en-US"/>
        </w:rPr>
        <w:t xml:space="preserve">) </w:t>
      </w:r>
      <w:r w:rsidRPr="00091BFD">
        <w:rPr>
          <w:rFonts w:eastAsia="Times New Roman" w:cs="Arial"/>
          <w:color w:val="000000"/>
          <w:lang w:eastAsia="bg-BG"/>
        </w:rPr>
        <w:t xml:space="preserve">и брадикардия. Екстраполираното на находките при животни спрямо хора по отношение на удължаването на </w:t>
      </w:r>
      <w:r w:rsidRPr="00091BFD">
        <w:rPr>
          <w:rFonts w:eastAsia="Times New Roman" w:cs="Arial"/>
          <w:color w:val="000000"/>
          <w:lang w:val="en-US"/>
        </w:rPr>
        <w:t>QT</w:t>
      </w:r>
      <w:r w:rsidRPr="00091BFD">
        <w:rPr>
          <w:rFonts w:eastAsia="Times New Roman" w:cs="Arial"/>
          <w:color w:val="000000"/>
          <w:lang w:eastAsia="bg-BG"/>
        </w:rPr>
        <w:t>-интервала и аритмиите, обаче, трябва да се прави с повишено внимание поради значимите междувидрви разлики, които съществуват.</w:t>
      </w:r>
    </w:p>
    <w:p w14:paraId="30810BA4" w14:textId="77777777" w:rsidR="00091BFD" w:rsidRPr="00091BFD" w:rsidRDefault="00091BFD" w:rsidP="00091BFD">
      <w:pPr>
        <w:spacing w:line="240" w:lineRule="auto"/>
        <w:rPr>
          <w:rFonts w:eastAsia="Times New Roman" w:cs="Arial"/>
          <w:color w:val="000000"/>
          <w:lang w:eastAsia="bg-BG"/>
        </w:rPr>
      </w:pPr>
    </w:p>
    <w:p w14:paraId="4EB6C6D4" w14:textId="132FEC18"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Острата токсичност на сертиндол е ниска. При проучвания за хронична токсичност с плъхове и кучета (3-5 пъти клинично излагане) са наблюдавани няколко ефекта. Тези ефекти са в съответствие с фармакологичните свойства на медикамента.</w:t>
      </w:r>
    </w:p>
    <w:p w14:paraId="1625ED1B" w14:textId="77777777" w:rsidR="00091BFD" w:rsidRPr="00091BFD" w:rsidRDefault="00091BFD" w:rsidP="00091BFD">
      <w:pPr>
        <w:rPr>
          <w:rFonts w:eastAsia="Times New Roman" w:cs="Arial"/>
          <w:color w:val="000000"/>
          <w:lang w:eastAsia="bg-BG"/>
        </w:rPr>
      </w:pPr>
    </w:p>
    <w:p w14:paraId="586E3595" w14:textId="77777777" w:rsidR="00091BFD" w:rsidRPr="00091BFD" w:rsidRDefault="00091BFD" w:rsidP="00091BFD">
      <w:pPr>
        <w:rPr>
          <w:rFonts w:eastAsia="Times New Roman" w:cs="Arial"/>
          <w:sz w:val="24"/>
          <w:szCs w:val="24"/>
          <w:lang w:eastAsia="bg-BG"/>
        </w:rPr>
      </w:pPr>
      <w:r w:rsidRPr="00091BFD">
        <w:rPr>
          <w:rFonts w:eastAsia="Times New Roman" w:cs="Arial"/>
          <w:color w:val="000000"/>
          <w:lang w:eastAsia="bg-BG"/>
        </w:rPr>
        <w:t xml:space="preserve">Проучвания върху репродукцията у животни не са дали доказателства за тератогенност. Пери/постнатално проучване с плъхове е показало намаляване на фертилността на поколението при доза в терапевтични граници за хора (0,2 </w:t>
      </w:r>
      <w:r w:rsidRPr="00091BFD">
        <w:rPr>
          <w:rFonts w:eastAsia="Times New Roman" w:cs="Arial"/>
          <w:color w:val="000000"/>
          <w:lang w:val="en-US"/>
        </w:rPr>
        <w:t>mg</w:t>
      </w:r>
      <w:r w:rsidRPr="00091BFD">
        <w:rPr>
          <w:rFonts w:eastAsia="Times New Roman" w:cs="Arial"/>
          <w:color w:val="000000"/>
          <w:lang w:eastAsia="bg-BG"/>
        </w:rPr>
        <w:t>/кг/ден), а при по-високи дози се установява намаляване на преживяемостта на новородените в ранния лактационен период, намалено покачване на теглото и забавено развитие на новородените при дози, токсични за майката, При пери/постнатално проучване при плъхове, повишена смъртност на новородените, намаляване на растежа на малките и забавено развитие на поколението са наблюдавани при дози, които са били свързани с ефекти на бременността, и близо до или по-малко от максимално препоръчваната</w:t>
      </w:r>
      <w:r w:rsidRPr="00091BFD">
        <w:rPr>
          <w:rFonts w:cs="Arial"/>
        </w:rPr>
        <w:t xml:space="preserve"> </w:t>
      </w:r>
      <w:r w:rsidRPr="00091BFD">
        <w:rPr>
          <w:rFonts w:eastAsia="Times New Roman" w:cs="Arial"/>
          <w:color w:val="000000"/>
          <w:lang w:eastAsia="bg-BG"/>
        </w:rPr>
        <w:t xml:space="preserve">клинична доза на базата на </w:t>
      </w:r>
      <w:r w:rsidRPr="00091BFD">
        <w:rPr>
          <w:rFonts w:eastAsia="Times New Roman" w:cs="Arial"/>
          <w:color w:val="000000"/>
          <w:lang w:val="en-US"/>
        </w:rPr>
        <w:t xml:space="preserve">mg/m2. </w:t>
      </w:r>
      <w:r w:rsidRPr="00091BFD">
        <w:rPr>
          <w:rFonts w:eastAsia="Times New Roman" w:cs="Arial"/>
          <w:color w:val="000000"/>
          <w:lang w:eastAsia="bg-BG"/>
        </w:rPr>
        <w:t>Намалено е чифтосването и плодовитостта при поколението от женски плъхове третирани със сертиндол.</w:t>
      </w:r>
    </w:p>
    <w:p w14:paraId="03CF0E27" w14:textId="77777777" w:rsidR="00091BFD" w:rsidRPr="00091BFD" w:rsidRDefault="00091BFD" w:rsidP="00091BFD">
      <w:pPr>
        <w:spacing w:line="240" w:lineRule="auto"/>
        <w:rPr>
          <w:rFonts w:eastAsia="Times New Roman" w:cs="Arial"/>
          <w:color w:val="000000"/>
          <w:lang w:eastAsia="bg-BG"/>
        </w:rPr>
      </w:pPr>
    </w:p>
    <w:p w14:paraId="170A71D1" w14:textId="226E7D71" w:rsidR="00091BFD" w:rsidRPr="00091BFD" w:rsidRDefault="00091BFD" w:rsidP="00091BFD">
      <w:pPr>
        <w:spacing w:line="240" w:lineRule="auto"/>
        <w:rPr>
          <w:rFonts w:eastAsia="Times New Roman" w:cs="Arial"/>
          <w:sz w:val="24"/>
          <w:szCs w:val="24"/>
          <w:lang w:eastAsia="bg-BG"/>
        </w:rPr>
      </w:pPr>
      <w:r w:rsidRPr="00091BFD">
        <w:rPr>
          <w:rFonts w:eastAsia="Times New Roman" w:cs="Arial"/>
          <w:color w:val="000000"/>
          <w:lang w:eastAsia="bg-BG"/>
        </w:rPr>
        <w:t xml:space="preserve">Чифтосването и фертилността са били засегнати при мъжки плъхове при дози по-високи от 0,14 </w:t>
      </w:r>
      <w:r w:rsidRPr="00091BFD">
        <w:rPr>
          <w:rFonts w:eastAsia="Times New Roman" w:cs="Arial"/>
          <w:color w:val="000000"/>
          <w:lang w:val="en-US"/>
        </w:rPr>
        <w:t>mg</w:t>
      </w:r>
      <w:r w:rsidRPr="00091BFD">
        <w:rPr>
          <w:rFonts w:eastAsia="Times New Roman" w:cs="Arial"/>
          <w:color w:val="000000"/>
          <w:lang w:eastAsia="bg-BG"/>
        </w:rPr>
        <w:t>/кг/ден. Засягането на фертилността, което е било обратимо, се обяснява с фармакологичния профил на сертиндол.</w:t>
      </w:r>
    </w:p>
    <w:p w14:paraId="20E967BE" w14:textId="7340CAA7" w:rsidR="0091385D" w:rsidRPr="00091BFD" w:rsidRDefault="00091BFD" w:rsidP="00091BFD">
      <w:pPr>
        <w:rPr>
          <w:rFonts w:eastAsia="Times New Roman" w:cs="Arial"/>
          <w:color w:val="000000"/>
          <w:lang w:eastAsia="bg-BG"/>
        </w:rPr>
      </w:pPr>
      <w:r w:rsidRPr="00091BFD">
        <w:rPr>
          <w:rFonts w:eastAsia="Times New Roman" w:cs="Arial"/>
          <w:color w:val="000000"/>
          <w:lang w:eastAsia="bg-BG"/>
        </w:rPr>
        <w:t xml:space="preserve">Сертиндол не е показал </w:t>
      </w:r>
      <w:r w:rsidRPr="00091BFD">
        <w:rPr>
          <w:rFonts w:eastAsia="Times New Roman" w:cs="Arial"/>
          <w:i/>
          <w:iCs/>
          <w:color w:val="000000"/>
          <w:lang w:val="en-US"/>
        </w:rPr>
        <w:t>in vitro</w:t>
      </w:r>
      <w:r w:rsidRPr="00091BFD">
        <w:rPr>
          <w:rFonts w:eastAsia="Times New Roman" w:cs="Arial"/>
          <w:color w:val="000000"/>
          <w:lang w:val="en-US"/>
        </w:rPr>
        <w:t xml:space="preserve"> </w:t>
      </w:r>
      <w:r w:rsidRPr="00091BFD">
        <w:rPr>
          <w:rFonts w:eastAsia="Times New Roman" w:cs="Arial"/>
          <w:color w:val="000000"/>
          <w:lang w:eastAsia="bg-BG"/>
        </w:rPr>
        <w:t xml:space="preserve">и </w:t>
      </w:r>
      <w:r w:rsidRPr="00091BFD">
        <w:rPr>
          <w:rFonts w:eastAsia="Times New Roman" w:cs="Arial"/>
          <w:i/>
          <w:iCs/>
          <w:color w:val="000000"/>
          <w:lang w:val="en-US"/>
        </w:rPr>
        <w:t>in vivo</w:t>
      </w:r>
      <w:r w:rsidRPr="00091BFD">
        <w:rPr>
          <w:rFonts w:eastAsia="Times New Roman" w:cs="Arial"/>
          <w:color w:val="000000"/>
          <w:lang w:val="en-US"/>
        </w:rPr>
        <w:t xml:space="preserve"> </w:t>
      </w:r>
      <w:r w:rsidRPr="00091BFD">
        <w:rPr>
          <w:rFonts w:eastAsia="Times New Roman" w:cs="Arial"/>
          <w:color w:val="000000"/>
          <w:lang w:eastAsia="bg-BG"/>
        </w:rPr>
        <w:t>токсичност при генотоксични проучвания. Проучвания за канцерогенност при плъхове и мишки не са доказали развитието на тумори, които да се свързват с клиничната употреба на сертиндол.</w:t>
      </w:r>
    </w:p>
    <w:p w14:paraId="4E5D7AE7" w14:textId="77777777" w:rsidR="00091BFD" w:rsidRPr="00091BFD" w:rsidRDefault="00091BFD" w:rsidP="00091BFD">
      <w:pPr>
        <w:rPr>
          <w:rFonts w:cs="Arial"/>
        </w:rPr>
      </w:pPr>
    </w:p>
    <w:p w14:paraId="6A7820AB" w14:textId="353DB6D2" w:rsidR="008A6AF2" w:rsidRDefault="002C50EE" w:rsidP="00395555">
      <w:pPr>
        <w:pStyle w:val="Heading1"/>
      </w:pPr>
      <w:r>
        <w:lastRenderedPageBreak/>
        <w:t>7. ПРИТЕЖАТЕЛ НА РАЗРЕШЕНИЕТО ЗА УПОТРЕБА</w:t>
      </w:r>
    </w:p>
    <w:p w14:paraId="1B9B651E" w14:textId="3382E6AC" w:rsidR="0091385D" w:rsidRDefault="0091385D" w:rsidP="0091385D"/>
    <w:p w14:paraId="639C0E37" w14:textId="77777777" w:rsidR="00091BFD" w:rsidRPr="00091BFD" w:rsidRDefault="00091BFD" w:rsidP="00091BFD">
      <w:pPr>
        <w:spacing w:line="240" w:lineRule="auto"/>
        <w:rPr>
          <w:rFonts w:eastAsia="Times New Roman" w:cs="Arial"/>
          <w:lang w:val="en-US" w:eastAsia="bg-BG"/>
        </w:rPr>
      </w:pPr>
      <w:proofErr w:type="spellStart"/>
      <w:r w:rsidRPr="00091BFD">
        <w:rPr>
          <w:rFonts w:eastAsia="Times New Roman" w:cs="Arial"/>
          <w:color w:val="000000"/>
          <w:lang w:val="en-US"/>
        </w:rPr>
        <w:t>Lundbeck</w:t>
      </w:r>
      <w:proofErr w:type="spellEnd"/>
      <w:r w:rsidRPr="00091BFD">
        <w:rPr>
          <w:rFonts w:eastAsia="Times New Roman" w:cs="Arial"/>
          <w:color w:val="000000"/>
          <w:lang w:val="en-US"/>
        </w:rPr>
        <w:t xml:space="preserve"> Export A/S</w:t>
      </w:r>
    </w:p>
    <w:p w14:paraId="74DA33BC" w14:textId="77777777" w:rsidR="00091BFD" w:rsidRPr="00091BFD" w:rsidRDefault="00091BFD" w:rsidP="00091BFD">
      <w:pPr>
        <w:spacing w:line="240" w:lineRule="auto"/>
        <w:rPr>
          <w:rFonts w:eastAsia="Times New Roman" w:cs="Arial"/>
          <w:lang w:val="en-US" w:eastAsia="bg-BG"/>
        </w:rPr>
      </w:pPr>
      <w:proofErr w:type="spellStart"/>
      <w:r w:rsidRPr="00091BFD">
        <w:rPr>
          <w:rFonts w:eastAsia="Times New Roman" w:cs="Arial"/>
          <w:color w:val="000000"/>
          <w:lang w:val="en-US"/>
        </w:rPr>
        <w:t>Ottiliavej</w:t>
      </w:r>
      <w:proofErr w:type="spellEnd"/>
      <w:r w:rsidRPr="00091BFD">
        <w:rPr>
          <w:rFonts w:eastAsia="Times New Roman" w:cs="Arial"/>
          <w:color w:val="000000"/>
          <w:lang w:val="en-US"/>
        </w:rPr>
        <w:t xml:space="preserve"> 9</w:t>
      </w:r>
    </w:p>
    <w:p w14:paraId="71FFB8BE" w14:textId="77777777" w:rsidR="00091BFD" w:rsidRPr="00091BFD" w:rsidRDefault="00091BFD" w:rsidP="00091BFD">
      <w:pPr>
        <w:spacing w:line="240" w:lineRule="auto"/>
        <w:rPr>
          <w:rFonts w:eastAsia="Times New Roman" w:cs="Arial"/>
          <w:lang w:val="en-US" w:eastAsia="bg-BG"/>
        </w:rPr>
      </w:pPr>
      <w:r w:rsidRPr="00091BFD">
        <w:rPr>
          <w:rFonts w:eastAsia="Times New Roman" w:cs="Arial"/>
          <w:color w:val="000000"/>
          <w:lang w:val="en-US"/>
        </w:rPr>
        <w:t xml:space="preserve">2500 </w:t>
      </w:r>
      <w:proofErr w:type="spellStart"/>
      <w:r w:rsidRPr="00091BFD">
        <w:rPr>
          <w:rFonts w:eastAsia="Times New Roman" w:cs="Arial"/>
          <w:color w:val="000000"/>
          <w:lang w:val="en-US"/>
        </w:rPr>
        <w:t>Valby</w:t>
      </w:r>
      <w:proofErr w:type="spellEnd"/>
    </w:p>
    <w:p w14:paraId="3FD825DB" w14:textId="7A5F3E31" w:rsidR="0091385D" w:rsidRPr="00091BFD" w:rsidRDefault="00091BFD" w:rsidP="00091BFD">
      <w:pPr>
        <w:rPr>
          <w:rFonts w:cs="Arial"/>
        </w:rPr>
      </w:pPr>
      <w:r w:rsidRPr="00091BFD">
        <w:rPr>
          <w:rFonts w:eastAsia="Times New Roman" w:cs="Arial"/>
          <w:color w:val="000000"/>
          <w:lang w:eastAsia="bg-BG"/>
        </w:rPr>
        <w:t>Дания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0283221E"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Сердолект филмирани таблетки 4 </w:t>
      </w:r>
      <w:r w:rsidRPr="00091BFD">
        <w:rPr>
          <w:rFonts w:eastAsia="Times New Roman" w:cs="Arial"/>
          <w:color w:val="000000"/>
          <w:lang w:val="en-US"/>
        </w:rPr>
        <w:t xml:space="preserve">mg: </w:t>
      </w:r>
      <w:r w:rsidRPr="00091BFD">
        <w:rPr>
          <w:rFonts w:eastAsia="Times New Roman" w:cs="Arial"/>
          <w:color w:val="000000"/>
          <w:lang w:eastAsia="bg-BG"/>
        </w:rPr>
        <w:t>9800286</w:t>
      </w:r>
    </w:p>
    <w:p w14:paraId="7BC08268"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 xml:space="preserve">Сердолект филмирани таблетки 12 </w:t>
      </w:r>
      <w:r w:rsidRPr="00091BFD">
        <w:rPr>
          <w:rFonts w:eastAsia="Times New Roman" w:cs="Arial"/>
          <w:color w:val="000000"/>
          <w:lang w:val="en-US"/>
        </w:rPr>
        <w:t xml:space="preserve">mg: </w:t>
      </w:r>
      <w:r w:rsidRPr="00091BFD">
        <w:rPr>
          <w:rFonts w:eastAsia="Times New Roman" w:cs="Arial"/>
          <w:color w:val="000000"/>
          <w:lang w:eastAsia="bg-BG"/>
        </w:rPr>
        <w:t>9800285</w:t>
      </w:r>
    </w:p>
    <w:p w14:paraId="6E892CE5" w14:textId="2357C1C0" w:rsidR="0091385D" w:rsidRPr="00091BFD" w:rsidRDefault="00091BFD" w:rsidP="00091BFD">
      <w:pPr>
        <w:rPr>
          <w:rFonts w:cs="Arial"/>
        </w:rPr>
      </w:pPr>
      <w:r w:rsidRPr="00091BFD">
        <w:rPr>
          <w:rFonts w:eastAsia="Times New Roman" w:cs="Arial"/>
          <w:color w:val="000000"/>
          <w:lang w:eastAsia="bg-BG"/>
        </w:rPr>
        <w:t xml:space="preserve">Сердолект филмирани таблетки 16 </w:t>
      </w:r>
      <w:r w:rsidRPr="00091BFD">
        <w:rPr>
          <w:rFonts w:eastAsia="Times New Roman" w:cs="Arial"/>
          <w:color w:val="000000"/>
          <w:lang w:val="en-US"/>
        </w:rPr>
        <w:t xml:space="preserve">mg: </w:t>
      </w:r>
      <w:r w:rsidRPr="00091BFD">
        <w:rPr>
          <w:rFonts w:eastAsia="Times New Roman" w:cs="Arial"/>
          <w:color w:val="000000"/>
          <w:lang w:eastAsia="bg-BG"/>
        </w:rPr>
        <w:t>9800284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1ACDED68" w14:textId="77777777" w:rsidR="00091BFD" w:rsidRPr="00091BFD" w:rsidRDefault="00091BFD" w:rsidP="00091BFD">
      <w:pPr>
        <w:spacing w:line="240" w:lineRule="auto"/>
        <w:rPr>
          <w:rFonts w:eastAsia="Times New Roman" w:cs="Arial"/>
          <w:lang w:eastAsia="bg-BG"/>
        </w:rPr>
      </w:pPr>
      <w:r w:rsidRPr="00091BFD">
        <w:rPr>
          <w:rFonts w:eastAsia="Times New Roman" w:cs="Arial"/>
          <w:color w:val="000000"/>
          <w:lang w:eastAsia="bg-BG"/>
        </w:rPr>
        <w:t>Дата на първо разрешаване: 03.09.1998</w:t>
      </w:r>
    </w:p>
    <w:p w14:paraId="497007FA" w14:textId="69196447" w:rsidR="0091385D" w:rsidRPr="00091BFD" w:rsidRDefault="00091BFD" w:rsidP="00091BFD">
      <w:pPr>
        <w:rPr>
          <w:rFonts w:cs="Arial"/>
        </w:rPr>
      </w:pPr>
      <w:r w:rsidRPr="00091BFD">
        <w:rPr>
          <w:rFonts w:eastAsia="Times New Roman" w:cs="Arial"/>
          <w:color w:val="000000"/>
          <w:lang w:eastAsia="bg-BG"/>
        </w:rPr>
        <w:t>Дата на последно подновяване: 10.03.2009</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F5CE159" w:rsidR="0091385D" w:rsidRPr="00091BFD" w:rsidRDefault="00091BFD" w:rsidP="0091385D">
      <w:pPr>
        <w:rPr>
          <w:rFonts w:cs="Arial"/>
        </w:rPr>
      </w:pPr>
      <w:r w:rsidRPr="00091BFD">
        <w:rPr>
          <w:rFonts w:cs="Arial"/>
        </w:rPr>
        <w:t>07/2020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B003B"/>
    <w:multiLevelType w:val="hybridMultilevel"/>
    <w:tmpl w:val="0D1C2C6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F6E453E"/>
    <w:multiLevelType w:val="hybridMultilevel"/>
    <w:tmpl w:val="7EF4E7B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92CDF"/>
    <w:multiLevelType w:val="hybridMultilevel"/>
    <w:tmpl w:val="5202768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1"/>
  </w:num>
  <w:num w:numId="12">
    <w:abstractNumId w:val="13"/>
  </w:num>
  <w:num w:numId="13">
    <w:abstractNumId w:val="18"/>
  </w:num>
  <w:num w:numId="14">
    <w:abstractNumId w:val="11"/>
  </w:num>
  <w:num w:numId="15">
    <w:abstractNumId w:val="30"/>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3"/>
  </w:num>
  <w:num w:numId="28">
    <w:abstractNumId w:val="6"/>
  </w:num>
  <w:num w:numId="29">
    <w:abstractNumId w:val="19"/>
  </w:num>
  <w:num w:numId="30">
    <w:abstractNumId w:val="36"/>
  </w:num>
  <w:num w:numId="31">
    <w:abstractNumId w:val="5"/>
  </w:num>
  <w:num w:numId="32">
    <w:abstractNumId w:val="35"/>
  </w:num>
  <w:num w:numId="33">
    <w:abstractNumId w:val="27"/>
  </w:num>
  <w:num w:numId="34">
    <w:abstractNumId w:val="34"/>
  </w:num>
  <w:num w:numId="35">
    <w:abstractNumId w:val="32"/>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91BFD"/>
    <w:rsid w:val="00185A46"/>
    <w:rsid w:val="001915B6"/>
    <w:rsid w:val="001D1B23"/>
    <w:rsid w:val="00255F96"/>
    <w:rsid w:val="002B3C38"/>
    <w:rsid w:val="002B4DBB"/>
    <w:rsid w:val="002C50EE"/>
    <w:rsid w:val="00305952"/>
    <w:rsid w:val="00340A0A"/>
    <w:rsid w:val="003765DC"/>
    <w:rsid w:val="00395555"/>
    <w:rsid w:val="003E3126"/>
    <w:rsid w:val="003F7E63"/>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15F29"/>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4665</Words>
  <Characters>26592</Characters>
  <Application>Microsoft Office Word</Application>
  <DocSecurity>0</DocSecurity>
  <Lines>221</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2022-11-01T01:19:00Z</dcterms:created>
  <dcterms:modified xsi:type="dcterms:W3CDTF">2022-11-01T01:19:00Z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