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28012C85" w:rsidR="0091385D" w:rsidRDefault="0091385D" w:rsidP="0091385D"/>
    <w:p w14:paraId="3EECB87B" w14:textId="77777777" w:rsidR="00946443" w:rsidRPr="00946443" w:rsidRDefault="00946443" w:rsidP="0091385D">
      <w:pPr>
        <w:rPr>
          <w:rFonts w:cs="Arial"/>
          <w:szCs w:val="20"/>
        </w:rPr>
      </w:pPr>
      <w:r w:rsidRPr="00946443">
        <w:rPr>
          <w:rFonts w:cs="Arial"/>
          <w:szCs w:val="20"/>
        </w:rPr>
        <w:t xml:space="preserve">Сермион 30 </w:t>
      </w:r>
      <w:r w:rsidRPr="00946443">
        <w:rPr>
          <w:rFonts w:cs="Arial"/>
          <w:szCs w:val="20"/>
          <w:lang w:val="en-US"/>
        </w:rPr>
        <w:t xml:space="preserve">mg </w:t>
      </w:r>
      <w:r w:rsidRPr="00946443">
        <w:rPr>
          <w:rFonts w:cs="Arial"/>
          <w:szCs w:val="20"/>
        </w:rPr>
        <w:t xml:space="preserve">филмирани таблетки </w:t>
      </w:r>
    </w:p>
    <w:p w14:paraId="5015A1FD" w14:textId="07A7797F" w:rsidR="00A73575" w:rsidRPr="00946443" w:rsidRDefault="00946443" w:rsidP="0091385D">
      <w:pPr>
        <w:rPr>
          <w:rFonts w:cs="Arial"/>
          <w:sz w:val="24"/>
        </w:rPr>
      </w:pPr>
      <w:proofErr w:type="spellStart"/>
      <w:r w:rsidRPr="00946443">
        <w:rPr>
          <w:rFonts w:cs="Arial"/>
          <w:szCs w:val="20"/>
          <w:lang w:val="en-US"/>
        </w:rPr>
        <w:t>Sermion</w:t>
      </w:r>
      <w:proofErr w:type="spellEnd"/>
      <w:r w:rsidRPr="00946443">
        <w:rPr>
          <w:rFonts w:cs="Arial"/>
          <w:szCs w:val="20"/>
          <w:lang w:val="en-US"/>
        </w:rPr>
        <w:t xml:space="preserve"> </w:t>
      </w:r>
      <w:r w:rsidRPr="00946443">
        <w:rPr>
          <w:rFonts w:cs="Arial"/>
          <w:szCs w:val="20"/>
        </w:rPr>
        <w:t xml:space="preserve">30 </w:t>
      </w:r>
      <w:r w:rsidRPr="00946443">
        <w:rPr>
          <w:rFonts w:cs="Arial"/>
          <w:szCs w:val="20"/>
          <w:lang w:val="en-US"/>
        </w:rPr>
        <w:t>mg film-coated tablets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288788EF" w:rsidR="0091385D" w:rsidRDefault="0091385D" w:rsidP="0091385D"/>
    <w:p w14:paraId="39AB8A02" w14:textId="7777777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 xml:space="preserve">Всяка таблетка съдържа 30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ницерголин </w:t>
      </w:r>
      <w:r w:rsidRPr="00946443">
        <w:rPr>
          <w:rFonts w:eastAsia="Times New Roman" w:cs="Arial"/>
          <w:color w:val="000000"/>
          <w:szCs w:val="20"/>
          <w:lang w:val="en-US"/>
        </w:rPr>
        <w:t>(</w:t>
      </w:r>
      <w:proofErr w:type="spellStart"/>
      <w:r w:rsidRPr="00946443">
        <w:rPr>
          <w:rFonts w:eastAsia="Times New Roman" w:cs="Arial"/>
          <w:color w:val="000000"/>
          <w:szCs w:val="20"/>
          <w:lang w:val="en-US"/>
        </w:rPr>
        <w:t>nicergoline</w:t>
      </w:r>
      <w:proofErr w:type="spellEnd"/>
      <w:r w:rsidRPr="00946443">
        <w:rPr>
          <w:rFonts w:eastAsia="Times New Roman" w:cs="Arial"/>
          <w:color w:val="000000"/>
          <w:szCs w:val="20"/>
          <w:lang w:val="en-US"/>
        </w:rPr>
        <w:t>).</w:t>
      </w:r>
    </w:p>
    <w:p w14:paraId="05253ECD" w14:textId="77777777" w:rsidR="00946443" w:rsidRPr="00946443" w:rsidRDefault="00946443" w:rsidP="00946443">
      <w:pPr>
        <w:rPr>
          <w:rFonts w:eastAsia="Times New Roman" w:cs="Arial"/>
          <w:color w:val="000000"/>
          <w:szCs w:val="20"/>
          <w:lang w:eastAsia="bg-BG"/>
        </w:rPr>
      </w:pPr>
    </w:p>
    <w:p w14:paraId="03110A50" w14:textId="44301F15" w:rsidR="0091385D" w:rsidRPr="00946443" w:rsidRDefault="00946443" w:rsidP="00946443">
      <w:pPr>
        <w:rPr>
          <w:rFonts w:cs="Arial"/>
          <w:sz w:val="24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За пълния списък на помощните вещества, вж.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277B91E7" w:rsidR="0091385D" w:rsidRDefault="0091385D" w:rsidP="0091385D"/>
    <w:p w14:paraId="0C0C9B75" w14:textId="7777777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Филмирани таблетки</w:t>
      </w:r>
    </w:p>
    <w:p w14:paraId="0473CC72" w14:textId="77777777" w:rsidR="00946443" w:rsidRPr="00946443" w:rsidRDefault="00946443" w:rsidP="00946443">
      <w:pPr>
        <w:rPr>
          <w:rFonts w:eastAsia="Times New Roman" w:cs="Arial"/>
          <w:color w:val="000000"/>
          <w:szCs w:val="20"/>
          <w:lang w:eastAsia="bg-BG"/>
        </w:rPr>
      </w:pPr>
    </w:p>
    <w:p w14:paraId="4129ADBB" w14:textId="5978A58C" w:rsidR="0091385D" w:rsidRPr="00946443" w:rsidRDefault="00946443" w:rsidP="00946443">
      <w:pPr>
        <w:rPr>
          <w:rFonts w:cs="Arial"/>
          <w:sz w:val="24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Жълти, кръгли, двойноизпъкнали филмирани таблетки. Чупещата се повърхност е бяла.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04B2E99C" w14:textId="32AF08DA" w:rsidR="0091385D" w:rsidRPr="00946443" w:rsidRDefault="00946443" w:rsidP="0091385D">
      <w:pPr>
        <w:rPr>
          <w:rFonts w:cs="Arial"/>
          <w:sz w:val="24"/>
        </w:rPr>
      </w:pPr>
      <w:r w:rsidRPr="00946443">
        <w:rPr>
          <w:rFonts w:cs="Arial"/>
          <w:szCs w:val="20"/>
        </w:rPr>
        <w:t xml:space="preserve">За лечение на състояния след инсулт, съдова деменция (мултиинфарктна деменция), дегенеративни състояния, свързани с деменция (сенилна и пре-сенилна деменция от типа Алцхаймер, деменция на Паркинсон), поради това, че има благоприятен ефект не само върху познавателните дейности, но и </w:t>
      </w:r>
      <w:r>
        <w:rPr>
          <w:rFonts w:cs="Arial"/>
          <w:szCs w:val="20"/>
        </w:rPr>
        <w:t xml:space="preserve">върху смущения в настроението и </w:t>
      </w:r>
      <w:r w:rsidRPr="00946443">
        <w:rPr>
          <w:rFonts w:cs="Arial"/>
          <w:szCs w:val="20"/>
        </w:rPr>
        <w:t>поведението. Повлиява благоприятно нивото на бдителност, концентрационните функции и емоционалното състояние.</w:t>
      </w:r>
    </w:p>
    <w:p w14:paraId="6DFA4B9D" w14:textId="77777777" w:rsidR="0091385D" w:rsidRPr="0091385D" w:rsidRDefault="0091385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3A681DFB" w:rsidR="0091385D" w:rsidRDefault="0091385D" w:rsidP="0091385D"/>
    <w:p w14:paraId="7724C5A1" w14:textId="77777777" w:rsidR="00946443" w:rsidRPr="00946443" w:rsidRDefault="00946443" w:rsidP="00946443">
      <w:pPr>
        <w:pStyle w:val="Heading3"/>
        <w:rPr>
          <w:rFonts w:eastAsia="Times New Roman"/>
          <w:sz w:val="28"/>
          <w:u w:val="single"/>
          <w:lang w:eastAsia="bg-BG"/>
        </w:rPr>
      </w:pPr>
      <w:r w:rsidRPr="00946443">
        <w:rPr>
          <w:rFonts w:eastAsia="Times New Roman"/>
          <w:u w:val="single"/>
          <w:lang w:eastAsia="bg-BG"/>
        </w:rPr>
        <w:t>Дозировка</w:t>
      </w:r>
    </w:p>
    <w:p w14:paraId="58BEACBF" w14:textId="7777777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 xml:space="preserve">Препоръчваната дневна доза е една филмирана таблетка веднъж или два пъти дневно (30- 60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mg).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Обичайната дневна доза при възрастни е 30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mg.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Временно дневната доза може да се увеличи до 60 </w:t>
      </w:r>
      <w:r w:rsidRPr="00946443">
        <w:rPr>
          <w:rFonts w:eastAsia="Times New Roman" w:cs="Arial"/>
          <w:color w:val="000000"/>
          <w:szCs w:val="20"/>
          <w:lang w:val="en-US"/>
        </w:rPr>
        <w:t>mg.</w:t>
      </w:r>
    </w:p>
    <w:p w14:paraId="362E7C64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5F5ED96" w14:textId="7BF30C5E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u w:val="single"/>
          <w:lang w:eastAsia="bg-BG"/>
        </w:rPr>
        <w:t>Пациенти в старческа възраст</w:t>
      </w:r>
    </w:p>
    <w:p w14:paraId="66A850EE" w14:textId="7777777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Не се налага адаптиране на дозата според резултатите от фармакокинетичните проучвания и проучванията за поносимост.</w:t>
      </w:r>
    </w:p>
    <w:p w14:paraId="584576FF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6235B890" w14:textId="563C0981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u w:val="single"/>
          <w:lang w:eastAsia="bg-BG"/>
        </w:rPr>
        <w:t>Педиатрична популация</w:t>
      </w:r>
    </w:p>
    <w:p w14:paraId="41F6610D" w14:textId="7777777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Безопасността и ефективността на ницерголин при деца не е установена. Няма налични данни.</w:t>
      </w:r>
    </w:p>
    <w:p w14:paraId="66C95E85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3F6096A" w14:textId="5C8B4B01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u w:val="single"/>
          <w:lang w:eastAsia="bg-BG"/>
        </w:rPr>
        <w:t>Пациенти с бъбречно увреждане</w:t>
      </w:r>
    </w:p>
    <w:p w14:paraId="30D3EB3F" w14:textId="7777777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 xml:space="preserve">Тъй като бъбречната екскреция е основният път на елиминиране (80%) на ницерголин и метаболитите му, се препоръчва да се намали дозировката при пациенти с увредена бъбречна функция (серумен креатинин ≥ 2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mg/ml) </w:t>
      </w:r>
      <w:r w:rsidRPr="00946443">
        <w:rPr>
          <w:rFonts w:eastAsia="Times New Roman" w:cs="Arial"/>
          <w:color w:val="000000"/>
          <w:szCs w:val="20"/>
          <w:lang w:eastAsia="bg-BG"/>
        </w:rPr>
        <w:t>(вж. точка 5.2).</w:t>
      </w:r>
    </w:p>
    <w:p w14:paraId="475300EC" w14:textId="4CF48B28" w:rsidR="0091385D" w:rsidRPr="00946443" w:rsidRDefault="00946443" w:rsidP="00946443">
      <w:pPr>
        <w:rPr>
          <w:rFonts w:cs="Arial"/>
          <w:sz w:val="24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Ефектът от лечението настъпва постепенно. Тъй като терапията обикновено продължава дълго време, на съответни интервали, но поне на всеки 6 месеца, лекарят трябва да прецени дали да продължи лечението.</w:t>
      </w:r>
    </w:p>
    <w:p w14:paraId="779094AD" w14:textId="47E44028" w:rsidR="00946443" w:rsidRPr="0091385D" w:rsidRDefault="00946443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48168570" w:rsidR="0091385D" w:rsidRDefault="0091385D" w:rsidP="0091385D"/>
    <w:p w14:paraId="43E50DA4" w14:textId="7777777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Свръхчувствителност към ницерголин или някое от помощните вещества, изброени в точка 6.1 или към ерго-алкалоиди.</w:t>
      </w:r>
    </w:p>
    <w:p w14:paraId="2309EAB0" w14:textId="4549322E" w:rsidR="0091385D" w:rsidRPr="00946443" w:rsidRDefault="00946443" w:rsidP="00946443">
      <w:pPr>
        <w:rPr>
          <w:rFonts w:cs="Arial"/>
          <w:sz w:val="24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В случай на наскоро преживян миокарден инфаркт, остър кръвоизлив, ортостатична хипотония, тежка брадикардия.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0A08B607" w:rsidR="0091385D" w:rsidRDefault="0091385D" w:rsidP="0091385D"/>
    <w:p w14:paraId="1C7D2694" w14:textId="7777777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Проучванията с единични или повтарящи се дози ницерголин са показали, че ницерголин може да понижи систоличното и в много по-малка степен диастоличното кръвно налягане при нормотензивни пациенти и пациенти с повишено кръвно налягане. Тези ефекти могат да варират, тъй като други проучвания не са показали промени в систоличното или диастолично кръвно налягане.</w:t>
      </w:r>
    </w:p>
    <w:p w14:paraId="2DA5DC27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83DCE91" w14:textId="3E2F0A2B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Симпатикомиметични агонисти (алфа и бета) трябва да се прилагат с внимание при пациенти, приемащи ницерголин (вж. точка 4.5).</w:t>
      </w:r>
    </w:p>
    <w:p w14:paraId="1747F281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62A3923" w14:textId="07565D5A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Лекарственият продукт трябва да се прилага внимателно при пациенти с хиперурикемия или анамнестични данни за подагра и/или на терапия с лекарства, които могат да имат ефект върху метаболизма и екскрецията на пикочната киселина (вж. точка 4.8).</w:t>
      </w:r>
    </w:p>
    <w:p w14:paraId="136AE816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CDED0D9" w14:textId="74559CBD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Фиброза (напр. белодробна, сърдечна, засягаща сърдечните клапи или ретроперитонеална) е била асоциирана с употребата на някои ерго-алкалоиди с агонистично действие върху серотониновия 5</w:t>
      </w:r>
      <w:r w:rsidRPr="00946443">
        <w:rPr>
          <w:rFonts w:eastAsia="Times New Roman" w:cs="Arial"/>
          <w:color w:val="000000"/>
          <w:szCs w:val="20"/>
          <w:lang w:val="en-US"/>
        </w:rPr>
        <w:t>HT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 2β рецептор.</w:t>
      </w:r>
    </w:p>
    <w:p w14:paraId="2BF86C0B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AFF0C91" w14:textId="623BD21C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При прием на някои ерго-алкалоиди и техни производни, се съобщава за симптоми на ерготизъм (включително гадене, повръщане, диария, абдоминална болка и периферна вазоконстрикция). Лекарите трябва да са наясно с признаците и симптомите на предозирането с ерго-производни преди да предпишат този клас лекарства.</w:t>
      </w:r>
    </w:p>
    <w:p w14:paraId="1AF2733E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591FA8E" w14:textId="035625BD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 xml:space="preserve">Сермион 30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таблетки съдържа по-малко от 1 </w:t>
      </w:r>
      <w:proofErr w:type="spellStart"/>
      <w:r w:rsidRPr="00946443">
        <w:rPr>
          <w:rFonts w:eastAsia="Times New Roman" w:cs="Arial"/>
          <w:color w:val="000000"/>
          <w:szCs w:val="20"/>
          <w:lang w:val="en-US"/>
        </w:rPr>
        <w:t>mmol</w:t>
      </w:r>
      <w:proofErr w:type="spellEnd"/>
      <w:r w:rsidRPr="00946443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натрий (23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mg) </w:t>
      </w:r>
      <w:r w:rsidRPr="00946443">
        <w:rPr>
          <w:rFonts w:eastAsia="Times New Roman" w:cs="Arial"/>
          <w:color w:val="000000"/>
          <w:szCs w:val="20"/>
          <w:lang w:eastAsia="bg-BG"/>
        </w:rPr>
        <w:t>на таблетка.</w:t>
      </w:r>
    </w:p>
    <w:p w14:paraId="0B3BEE35" w14:textId="5C45F85E" w:rsidR="0091385D" w:rsidRPr="00946443" w:rsidRDefault="00946443" w:rsidP="00946443">
      <w:pPr>
        <w:rPr>
          <w:rFonts w:cs="Arial"/>
          <w:sz w:val="24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Пациентите на диета с ниско съдържание на натрий могат да бъдат информирани, че този лекарствен продукт практически не съдържа натрий.</w:t>
      </w:r>
    </w:p>
    <w:p w14:paraId="24E3E82F" w14:textId="77777777" w:rsidR="0091385D" w:rsidRPr="0091385D" w:rsidRDefault="0091385D" w:rsidP="0091385D"/>
    <w:p w14:paraId="619DED1E" w14:textId="564F257F" w:rsidR="004F498A" w:rsidRDefault="002C50EE" w:rsidP="004A448E">
      <w:pPr>
        <w:pStyle w:val="Heading2"/>
      </w:pPr>
      <w:r>
        <w:lastRenderedPageBreak/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7C1F8ECE" w14:textId="7777777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Сермион трябва да се прилага внимателно с:</w:t>
      </w:r>
    </w:p>
    <w:p w14:paraId="1059D744" w14:textId="77777777" w:rsidR="00946443" w:rsidRPr="00946443" w:rsidRDefault="00946443" w:rsidP="00946443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61B67782" w14:textId="54AD1DB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i/>
          <w:iCs/>
          <w:color w:val="000000"/>
          <w:szCs w:val="20"/>
          <w:lang w:eastAsia="bg-BG"/>
        </w:rPr>
        <w:t>Антихипертензивни лекарства: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 ницерголин може да потенцира техните ефекти. Ницерголин може да потенцира сърдечните ефекти на бета-блокерите.</w:t>
      </w:r>
    </w:p>
    <w:p w14:paraId="5112AE14" w14:textId="77777777" w:rsidR="00946443" w:rsidRPr="00946443" w:rsidRDefault="00946443" w:rsidP="00946443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3013AE0A" w14:textId="4E37E32A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i/>
          <w:iCs/>
          <w:color w:val="000000"/>
          <w:szCs w:val="20"/>
          <w:lang w:eastAsia="bg-BG"/>
        </w:rPr>
        <w:t>Симпатикомиметици (алфа и бета):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 ницерголин може да антагонизира вазоконстрикторния ефект на симпатикомиметичните лекарства поради алфа-адренергичния блокиращ ефект (вж. точка 4.4).</w:t>
      </w:r>
    </w:p>
    <w:p w14:paraId="2A5D093B" w14:textId="77777777" w:rsidR="00946443" w:rsidRPr="00946443" w:rsidRDefault="00946443" w:rsidP="00946443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7E087A1D" w14:textId="659F4669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i/>
          <w:iCs/>
          <w:color w:val="000000"/>
          <w:szCs w:val="20"/>
          <w:lang w:eastAsia="bg-BG"/>
        </w:rPr>
        <w:t xml:space="preserve">Лекарства, метаболизирани чрез </w:t>
      </w:r>
      <w:r w:rsidRPr="00946443">
        <w:rPr>
          <w:rFonts w:eastAsia="Times New Roman" w:cs="Arial"/>
          <w:i/>
          <w:iCs/>
          <w:color w:val="000000"/>
          <w:szCs w:val="20"/>
          <w:lang w:val="en-US"/>
        </w:rPr>
        <w:t>CYP 2D6: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тъй като ницерголин се метаболизира чрез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CYP 2D6, </w:t>
      </w:r>
      <w:r w:rsidRPr="00946443">
        <w:rPr>
          <w:rFonts w:eastAsia="Times New Roman" w:cs="Arial"/>
          <w:color w:val="000000"/>
          <w:szCs w:val="20"/>
          <w:lang w:eastAsia="bg-BG"/>
        </w:rPr>
        <w:t>не може да се изключи взаимодействие с лекарства, които се метаболизират по този път.</w:t>
      </w:r>
    </w:p>
    <w:p w14:paraId="7B5777E3" w14:textId="77777777" w:rsidR="00946443" w:rsidRPr="00946443" w:rsidRDefault="00946443" w:rsidP="00946443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2641AB7D" w14:textId="07E1C53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i/>
          <w:iCs/>
          <w:color w:val="000000"/>
          <w:szCs w:val="20"/>
          <w:lang w:eastAsia="bg-BG"/>
        </w:rPr>
        <w:t>Антиагреганти и антикоагуланти (напр. ацетилсалицилова киселина):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 Усилва ефектите върху хемостазата, поради което периодът на кървене може да бъде удължен.</w:t>
      </w:r>
    </w:p>
    <w:p w14:paraId="405CA51D" w14:textId="7777777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</w:p>
    <w:p w14:paraId="172AE819" w14:textId="3D37270C" w:rsidR="0091385D" w:rsidRPr="00946443" w:rsidRDefault="00946443" w:rsidP="00946443">
      <w:pPr>
        <w:rPr>
          <w:rFonts w:cs="Arial"/>
          <w:sz w:val="24"/>
        </w:rPr>
      </w:pPr>
      <w:r w:rsidRPr="00946443">
        <w:rPr>
          <w:rFonts w:eastAsia="Times New Roman" w:cs="Arial"/>
          <w:i/>
          <w:iCs/>
          <w:color w:val="000000"/>
          <w:szCs w:val="20"/>
          <w:lang w:eastAsia="bg-BG"/>
        </w:rPr>
        <w:t>Лекарства, които повлияват метаболизма на пикочната киселина: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 ницерголин може да доведе до асимптоматично повишаване на серумните стойности на пикочната киселина).</w:t>
      </w:r>
    </w:p>
    <w:p w14:paraId="5B2761C5" w14:textId="77777777" w:rsidR="0091385D" w:rsidRPr="0091385D" w:rsidRDefault="0091385D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724CE273" w14:textId="21BB5323" w:rsidR="00946443" w:rsidRDefault="00946443" w:rsidP="009464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</w:pPr>
    </w:p>
    <w:p w14:paraId="7A212E0E" w14:textId="4EFD9BC0" w:rsidR="00946443" w:rsidRPr="00946443" w:rsidRDefault="00946443" w:rsidP="00946443">
      <w:pPr>
        <w:pStyle w:val="Heading3"/>
        <w:rPr>
          <w:rFonts w:eastAsia="Times New Roman"/>
          <w:sz w:val="28"/>
          <w:u w:val="single"/>
          <w:lang w:eastAsia="bg-BG"/>
        </w:rPr>
      </w:pPr>
      <w:r w:rsidRPr="00946443">
        <w:rPr>
          <w:rFonts w:eastAsia="Times New Roman"/>
          <w:u w:val="single"/>
          <w:lang w:eastAsia="bg-BG"/>
        </w:rPr>
        <w:t>Бременност</w:t>
      </w:r>
    </w:p>
    <w:p w14:paraId="0D7B5A26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5F0CFE3" w14:textId="0A983D7B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Ницерголин не предизвиква репродуктивна токсичност при бременни плъхове и зайци. Не са провеждани проучвания при бременни жени. Имайки предвид одобрените показания, прилагането на ницерголин при бременни и кърмещи жени е малко вероятно. Ницерголин трябва да се приема при бременност, само ако потенциалната полза за пациента оправдава потенциалните рискове за плода.</w:t>
      </w:r>
    </w:p>
    <w:p w14:paraId="0042AFE5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62641A98" w14:textId="76C8611E" w:rsidR="00946443" w:rsidRPr="00946443" w:rsidRDefault="00946443" w:rsidP="00946443">
      <w:pPr>
        <w:pStyle w:val="Heading3"/>
        <w:rPr>
          <w:rFonts w:eastAsia="Times New Roman"/>
          <w:sz w:val="28"/>
          <w:u w:val="single"/>
          <w:lang w:eastAsia="bg-BG"/>
        </w:rPr>
      </w:pPr>
      <w:r w:rsidRPr="00946443">
        <w:rPr>
          <w:rFonts w:eastAsia="Times New Roman"/>
          <w:u w:val="single"/>
          <w:lang w:eastAsia="bg-BG"/>
        </w:rPr>
        <w:t>Кърмене</w:t>
      </w:r>
    </w:p>
    <w:p w14:paraId="751F5B47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bookmarkStart w:id="1" w:name="_GoBack"/>
      <w:bookmarkEnd w:id="1"/>
    </w:p>
    <w:p w14:paraId="355D1EF9" w14:textId="19628F4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Не е известно дали ницерголин се екскретира в кърмата при човека и по тази причина Сермион не бива да се прилага при кърмачки.</w:t>
      </w:r>
    </w:p>
    <w:p w14:paraId="03FD159E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07A038F" w14:textId="3C5AD729" w:rsidR="00946443" w:rsidRPr="00946443" w:rsidRDefault="00946443" w:rsidP="00946443">
      <w:pPr>
        <w:pStyle w:val="Heading3"/>
        <w:rPr>
          <w:rFonts w:eastAsia="Times New Roman"/>
          <w:sz w:val="28"/>
          <w:u w:val="single"/>
          <w:lang w:eastAsia="bg-BG"/>
        </w:rPr>
      </w:pPr>
      <w:r w:rsidRPr="00946443">
        <w:rPr>
          <w:rFonts w:eastAsia="Times New Roman"/>
          <w:u w:val="single"/>
          <w:lang w:eastAsia="bg-BG"/>
        </w:rPr>
        <w:t>Фертилитет</w:t>
      </w:r>
    </w:p>
    <w:p w14:paraId="01B0CD80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3E75B44" w14:textId="1F32FA15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 xml:space="preserve">Ницерголин не повлиява фертилитета при проучване при мъжки плъхове. Ницерголин обаче понижава фертилитета при женски плъхове, на които са приложени 50 </w:t>
      </w:r>
      <w:r w:rsidRPr="00946443">
        <w:rPr>
          <w:rFonts w:eastAsia="Times New Roman" w:cs="Arial"/>
          <w:color w:val="000000"/>
          <w:szCs w:val="20"/>
          <w:lang w:val="en-US"/>
        </w:rPr>
        <w:t>mg/kg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/ден (8 пъти максималната препоръчителна доза при хора от 60 </w:t>
      </w:r>
      <w:r w:rsidRPr="00946443">
        <w:rPr>
          <w:rFonts w:eastAsia="Times New Roman" w:cs="Arial"/>
          <w:color w:val="000000"/>
          <w:szCs w:val="20"/>
          <w:lang w:val="en-US"/>
        </w:rPr>
        <w:t>mg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/ден на базата на </w:t>
      </w:r>
      <w:r w:rsidRPr="00946443">
        <w:rPr>
          <w:rFonts w:eastAsia="Times New Roman" w:cs="Arial"/>
          <w:color w:val="000000"/>
          <w:szCs w:val="20"/>
          <w:lang w:val="en-US"/>
        </w:rPr>
        <w:t>mg/m</w:t>
      </w:r>
      <w:r w:rsidRPr="00946443">
        <w:rPr>
          <w:rFonts w:eastAsia="Times New Roman" w:cs="Arial"/>
          <w:color w:val="000000"/>
          <w:szCs w:val="20"/>
          <w:vertAlign w:val="superscript"/>
          <w:lang w:val="en-US"/>
        </w:rPr>
        <w:t>2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) </w:t>
      </w:r>
      <w:r w:rsidRPr="00946443">
        <w:rPr>
          <w:rFonts w:eastAsia="Times New Roman" w:cs="Arial"/>
          <w:color w:val="000000"/>
          <w:szCs w:val="20"/>
          <w:lang w:eastAsia="bg-BG"/>
        </w:rPr>
        <w:t>(вж. точка 5.3).</w:t>
      </w:r>
    </w:p>
    <w:p w14:paraId="593E0BE3" w14:textId="77777777" w:rsidR="00946443" w:rsidRPr="00946443" w:rsidRDefault="00946443" w:rsidP="00946443">
      <w:pPr>
        <w:rPr>
          <w:rFonts w:eastAsia="Times New Roman" w:cs="Arial"/>
          <w:color w:val="000000"/>
          <w:szCs w:val="20"/>
          <w:lang w:eastAsia="bg-BG"/>
        </w:rPr>
      </w:pPr>
    </w:p>
    <w:p w14:paraId="776662C5" w14:textId="1341AAB1" w:rsidR="0091385D" w:rsidRPr="00946443" w:rsidRDefault="00946443" w:rsidP="00946443">
      <w:pPr>
        <w:rPr>
          <w:rFonts w:cs="Arial"/>
          <w:sz w:val="24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Клиничното значение при хора на находките при животни (при дози, превишаващи терапевтичните) не е известно.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lastRenderedPageBreak/>
        <w:t>4.7. Ефекти върху способността за шофиране и работа с машини</w:t>
      </w:r>
    </w:p>
    <w:p w14:paraId="1455464C" w14:textId="2676810A" w:rsidR="0091385D" w:rsidRPr="00946443" w:rsidRDefault="0091385D" w:rsidP="0091385D">
      <w:pPr>
        <w:rPr>
          <w:rFonts w:cs="Arial"/>
          <w:sz w:val="24"/>
        </w:rPr>
      </w:pPr>
    </w:p>
    <w:p w14:paraId="2B4135A6" w14:textId="2CA84EF3" w:rsidR="0091385D" w:rsidRPr="00946443" w:rsidRDefault="00946443" w:rsidP="0091385D">
      <w:pPr>
        <w:rPr>
          <w:rFonts w:cs="Arial"/>
          <w:sz w:val="24"/>
        </w:rPr>
      </w:pPr>
      <w:r w:rsidRPr="00946443">
        <w:rPr>
          <w:rFonts w:cs="Arial"/>
          <w:szCs w:val="20"/>
        </w:rPr>
        <w:t>Въпреки че клиничните ефекти на Сермион показват подобрение на будността и концентрацията, ефектите му върху способността за шофиране и работа с машини не са специално проучвани. Винаги трябва да се подхожда с внимание, като се има предвид подлежащото заболяване на тези пациенти. При шофиране или работа с машини трябва да се има предвид, че понякога е възможна появата на замаяност или сънливост (вж. точка 4.8).</w:t>
      </w:r>
    </w:p>
    <w:p w14:paraId="35801A15" w14:textId="77777777" w:rsidR="0091385D" w:rsidRPr="0091385D" w:rsidRDefault="0091385D" w:rsidP="0091385D"/>
    <w:p w14:paraId="37A3FD9F" w14:textId="0E7561E3" w:rsidR="00CF77F7" w:rsidRDefault="002C50EE" w:rsidP="004A448E">
      <w:pPr>
        <w:pStyle w:val="Heading2"/>
      </w:pPr>
      <w:r>
        <w:t>4.8. Нежелани лекарствени реакции</w:t>
      </w:r>
    </w:p>
    <w:p w14:paraId="4838F52A" w14:textId="4C2232D6" w:rsidR="0091385D" w:rsidRDefault="0091385D" w:rsidP="0091385D"/>
    <w:p w14:paraId="689C3408" w14:textId="7777777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В следната таблица е представен списък на нежеланите лекарствени реакции (НЛР) във всеки от стандартните системо-органни класове по намаляваща сериозност от медицинска гледна точка.</w:t>
      </w:r>
    </w:p>
    <w:p w14:paraId="7C83F530" w14:textId="77777777" w:rsidR="00946443" w:rsidRPr="00946443" w:rsidRDefault="00946443" w:rsidP="00946443">
      <w:pPr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570508C4" w14:textId="4905BF2D" w:rsidR="0091385D" w:rsidRPr="00946443" w:rsidRDefault="00946443" w:rsidP="00946443">
      <w:pPr>
        <w:jc w:val="center"/>
        <w:rPr>
          <w:rFonts w:cs="Arial"/>
          <w:sz w:val="24"/>
        </w:rPr>
      </w:pPr>
      <w:r w:rsidRPr="00946443">
        <w:rPr>
          <w:rFonts w:eastAsia="Times New Roman" w:cs="Arial"/>
          <w:b/>
          <w:bCs/>
          <w:color w:val="000000"/>
          <w:szCs w:val="20"/>
          <w:lang w:eastAsia="bg-BG"/>
        </w:rPr>
        <w:t>Таблица с нежеланите лекарствени реакции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98"/>
        <w:gridCol w:w="1323"/>
        <w:gridCol w:w="1640"/>
        <w:gridCol w:w="1191"/>
        <w:gridCol w:w="1198"/>
        <w:gridCol w:w="1459"/>
      </w:tblGrid>
      <w:tr w:rsidR="00946443" w14:paraId="65253B14" w14:textId="77777777" w:rsidTr="00946443">
        <w:tc>
          <w:tcPr>
            <w:tcW w:w="1567" w:type="dxa"/>
          </w:tcPr>
          <w:p w14:paraId="60AFF761" w14:textId="69EBB750" w:rsidR="00946443" w:rsidRPr="00946443" w:rsidRDefault="00946443" w:rsidP="00946443">
            <w:r w:rsidRPr="00946443">
              <w:rPr>
                <w:b/>
                <w:bCs/>
              </w:rPr>
              <w:t>Системо- органен клас</w:t>
            </w:r>
          </w:p>
        </w:tc>
        <w:tc>
          <w:tcPr>
            <w:tcW w:w="1198" w:type="dxa"/>
          </w:tcPr>
          <w:p w14:paraId="12E46B9B" w14:textId="77777777" w:rsidR="00946443" w:rsidRPr="00946443" w:rsidRDefault="00946443" w:rsidP="00946443">
            <w:r w:rsidRPr="00946443">
              <w:rPr>
                <w:b/>
                <w:bCs/>
              </w:rPr>
              <w:t>Много чести</w:t>
            </w:r>
          </w:p>
          <w:p w14:paraId="59B23E85" w14:textId="6000D03B" w:rsidR="00946443" w:rsidRPr="00946443" w:rsidRDefault="00946443" w:rsidP="00946443">
            <w:r w:rsidRPr="00946443">
              <w:rPr>
                <w:b/>
                <w:bCs/>
              </w:rPr>
              <w:t>≥1/10</w:t>
            </w:r>
          </w:p>
        </w:tc>
        <w:tc>
          <w:tcPr>
            <w:tcW w:w="1323" w:type="dxa"/>
          </w:tcPr>
          <w:p w14:paraId="1A4146BF" w14:textId="77777777" w:rsidR="00946443" w:rsidRPr="00946443" w:rsidRDefault="00946443" w:rsidP="00946443">
            <w:r w:rsidRPr="00946443">
              <w:rPr>
                <w:b/>
                <w:bCs/>
              </w:rPr>
              <w:t>Чести</w:t>
            </w:r>
          </w:p>
          <w:p w14:paraId="26155EF1" w14:textId="5543C2A9" w:rsidR="00946443" w:rsidRPr="00946443" w:rsidRDefault="00946443" w:rsidP="00946443">
            <w:r w:rsidRPr="00946443">
              <w:rPr>
                <w:b/>
                <w:bCs/>
              </w:rPr>
              <w:t>≥ 1/100 до &lt; 1/10</w:t>
            </w:r>
          </w:p>
        </w:tc>
        <w:tc>
          <w:tcPr>
            <w:tcW w:w="1640" w:type="dxa"/>
          </w:tcPr>
          <w:p w14:paraId="238FACDB" w14:textId="77777777" w:rsidR="00946443" w:rsidRPr="00946443" w:rsidRDefault="00946443" w:rsidP="00946443">
            <w:r w:rsidRPr="00946443">
              <w:rPr>
                <w:b/>
                <w:bCs/>
              </w:rPr>
              <w:t>Нечести</w:t>
            </w:r>
          </w:p>
          <w:p w14:paraId="1CE8093D" w14:textId="59E710C5" w:rsidR="00946443" w:rsidRPr="00946443" w:rsidRDefault="00946443" w:rsidP="00946443">
            <w:r w:rsidRPr="00946443">
              <w:rPr>
                <w:b/>
                <w:bCs/>
              </w:rPr>
              <w:t>≥ 1/1 000 до &lt; 1/100</w:t>
            </w:r>
          </w:p>
        </w:tc>
        <w:tc>
          <w:tcPr>
            <w:tcW w:w="1191" w:type="dxa"/>
          </w:tcPr>
          <w:p w14:paraId="107B2CC9" w14:textId="77777777" w:rsidR="00946443" w:rsidRPr="00946443" w:rsidRDefault="00946443" w:rsidP="00946443">
            <w:r w:rsidRPr="00946443">
              <w:rPr>
                <w:b/>
                <w:bCs/>
              </w:rPr>
              <w:t>Редки</w:t>
            </w:r>
          </w:p>
          <w:p w14:paraId="0CB719CB" w14:textId="6071DEFA" w:rsidR="00946443" w:rsidRPr="00946443" w:rsidRDefault="00946443" w:rsidP="00946443">
            <w:r w:rsidRPr="00946443">
              <w:rPr>
                <w:b/>
                <w:bCs/>
              </w:rPr>
              <w:t>≥ 1/10 000 до &lt; 1/1 000</w:t>
            </w:r>
          </w:p>
        </w:tc>
        <w:tc>
          <w:tcPr>
            <w:tcW w:w="1198" w:type="dxa"/>
          </w:tcPr>
          <w:p w14:paraId="67652FCD" w14:textId="0B84135C" w:rsidR="00946443" w:rsidRPr="00946443" w:rsidRDefault="00946443" w:rsidP="00946443">
            <w:r w:rsidRPr="00946443">
              <w:rPr>
                <w:b/>
                <w:bCs/>
              </w:rPr>
              <w:t>Много редки &lt;1/10 000</w:t>
            </w:r>
          </w:p>
        </w:tc>
        <w:tc>
          <w:tcPr>
            <w:tcW w:w="1459" w:type="dxa"/>
          </w:tcPr>
          <w:p w14:paraId="2FE7A803" w14:textId="64E77188" w:rsidR="00946443" w:rsidRPr="00946443" w:rsidRDefault="00946443" w:rsidP="00946443">
            <w:r w:rsidRPr="00946443">
              <w:rPr>
                <w:b/>
                <w:bCs/>
              </w:rPr>
              <w:t>с неизвестна честота (не може да бъде направена оценка от наличните данни)*</w:t>
            </w:r>
          </w:p>
        </w:tc>
      </w:tr>
      <w:tr w:rsidR="00946443" w14:paraId="0DBA5952" w14:textId="77777777" w:rsidTr="00946443">
        <w:tc>
          <w:tcPr>
            <w:tcW w:w="1567" w:type="dxa"/>
          </w:tcPr>
          <w:p w14:paraId="60584CC0" w14:textId="1DFB68B1" w:rsidR="00946443" w:rsidRPr="00946443" w:rsidRDefault="00946443" w:rsidP="00946443">
            <w:r w:rsidRPr="00946443">
              <w:t>Психични нарушения</w:t>
            </w:r>
          </w:p>
        </w:tc>
        <w:tc>
          <w:tcPr>
            <w:tcW w:w="1198" w:type="dxa"/>
          </w:tcPr>
          <w:p w14:paraId="36853D77" w14:textId="77777777" w:rsidR="00946443" w:rsidRPr="00946443" w:rsidRDefault="00946443" w:rsidP="00946443"/>
        </w:tc>
        <w:tc>
          <w:tcPr>
            <w:tcW w:w="1323" w:type="dxa"/>
          </w:tcPr>
          <w:p w14:paraId="3093BE4C" w14:textId="77777777" w:rsidR="00946443" w:rsidRPr="00946443" w:rsidRDefault="00946443" w:rsidP="00946443"/>
        </w:tc>
        <w:tc>
          <w:tcPr>
            <w:tcW w:w="1640" w:type="dxa"/>
          </w:tcPr>
          <w:p w14:paraId="2EF828B3" w14:textId="50EC128F" w:rsidR="00946443" w:rsidRPr="00946443" w:rsidRDefault="00946443" w:rsidP="00946443">
            <w:r w:rsidRPr="00946443">
              <w:t>Възбуда, объркване, безсъние</w:t>
            </w:r>
          </w:p>
        </w:tc>
        <w:tc>
          <w:tcPr>
            <w:tcW w:w="1191" w:type="dxa"/>
          </w:tcPr>
          <w:p w14:paraId="013E329F" w14:textId="77777777" w:rsidR="00946443" w:rsidRPr="00946443" w:rsidRDefault="00946443" w:rsidP="00946443"/>
        </w:tc>
        <w:tc>
          <w:tcPr>
            <w:tcW w:w="1198" w:type="dxa"/>
          </w:tcPr>
          <w:p w14:paraId="4A28BE33" w14:textId="77777777" w:rsidR="00946443" w:rsidRPr="00946443" w:rsidRDefault="00946443" w:rsidP="00946443"/>
        </w:tc>
        <w:tc>
          <w:tcPr>
            <w:tcW w:w="1459" w:type="dxa"/>
          </w:tcPr>
          <w:p w14:paraId="18158C76" w14:textId="77777777" w:rsidR="00946443" w:rsidRPr="00946443" w:rsidRDefault="00946443" w:rsidP="00946443"/>
        </w:tc>
      </w:tr>
      <w:tr w:rsidR="00946443" w14:paraId="4C0160FC" w14:textId="77777777" w:rsidTr="0065159E">
        <w:trPr>
          <w:trHeight w:val="1079"/>
        </w:trPr>
        <w:tc>
          <w:tcPr>
            <w:tcW w:w="1567" w:type="dxa"/>
          </w:tcPr>
          <w:p w14:paraId="79140A02" w14:textId="77777777" w:rsidR="00946443" w:rsidRPr="00946443" w:rsidRDefault="00946443" w:rsidP="00946443">
            <w:r w:rsidRPr="00946443">
              <w:t>Нарушения на</w:t>
            </w:r>
          </w:p>
          <w:p w14:paraId="41015915" w14:textId="10D0F30E" w:rsidR="00946443" w:rsidRPr="00946443" w:rsidRDefault="00946443" w:rsidP="00946443">
            <w:r w:rsidRPr="00946443">
              <w:rPr>
                <w:szCs w:val="20"/>
              </w:rPr>
              <w:t>нервната система</w:t>
            </w:r>
          </w:p>
        </w:tc>
        <w:tc>
          <w:tcPr>
            <w:tcW w:w="1198" w:type="dxa"/>
          </w:tcPr>
          <w:p w14:paraId="6BC3609B" w14:textId="77777777" w:rsidR="00946443" w:rsidRPr="00946443" w:rsidRDefault="00946443" w:rsidP="00946443"/>
        </w:tc>
        <w:tc>
          <w:tcPr>
            <w:tcW w:w="1323" w:type="dxa"/>
          </w:tcPr>
          <w:p w14:paraId="415DFC51" w14:textId="77777777" w:rsidR="00946443" w:rsidRPr="00946443" w:rsidRDefault="00946443" w:rsidP="00946443"/>
        </w:tc>
        <w:tc>
          <w:tcPr>
            <w:tcW w:w="1640" w:type="dxa"/>
          </w:tcPr>
          <w:p w14:paraId="52151F68" w14:textId="77777777" w:rsidR="00946443" w:rsidRPr="00946443" w:rsidRDefault="00946443" w:rsidP="00946443">
            <w:r w:rsidRPr="00946443">
              <w:t>Сънливост,</w:t>
            </w:r>
          </w:p>
          <w:p w14:paraId="4DA57961" w14:textId="0F62B0FA" w:rsidR="00946443" w:rsidRPr="00946443" w:rsidRDefault="00946443" w:rsidP="00946443">
            <w:r w:rsidRPr="00946443">
              <w:rPr>
                <w:szCs w:val="20"/>
              </w:rPr>
              <w:t>замаяност, главоболие</w:t>
            </w:r>
          </w:p>
        </w:tc>
        <w:tc>
          <w:tcPr>
            <w:tcW w:w="1191" w:type="dxa"/>
          </w:tcPr>
          <w:p w14:paraId="602E62CA" w14:textId="77777777" w:rsidR="00946443" w:rsidRPr="00946443" w:rsidRDefault="00946443" w:rsidP="00946443"/>
        </w:tc>
        <w:tc>
          <w:tcPr>
            <w:tcW w:w="1198" w:type="dxa"/>
          </w:tcPr>
          <w:p w14:paraId="6E90D671" w14:textId="77777777" w:rsidR="00946443" w:rsidRPr="00946443" w:rsidRDefault="00946443" w:rsidP="00946443"/>
        </w:tc>
        <w:tc>
          <w:tcPr>
            <w:tcW w:w="1459" w:type="dxa"/>
          </w:tcPr>
          <w:p w14:paraId="67E73A8C" w14:textId="77777777" w:rsidR="00946443" w:rsidRPr="00946443" w:rsidRDefault="00946443" w:rsidP="00946443">
            <w:r w:rsidRPr="00946443">
              <w:rPr>
                <w:rFonts w:cs="Arial"/>
              </w:rPr>
              <w:t>Усещане за</w:t>
            </w:r>
          </w:p>
          <w:p w14:paraId="457F9EF1" w14:textId="2CBDEB92" w:rsidR="00946443" w:rsidRPr="00946443" w:rsidRDefault="00946443" w:rsidP="00946443">
            <w:r w:rsidRPr="00946443">
              <w:rPr>
                <w:szCs w:val="20"/>
              </w:rPr>
              <w:t>горещина</w:t>
            </w:r>
            <w:r w:rsidRPr="00946443">
              <w:rPr>
                <w:szCs w:val="20"/>
                <w:vertAlign w:val="superscript"/>
              </w:rPr>
              <w:t>а</w:t>
            </w:r>
          </w:p>
        </w:tc>
      </w:tr>
      <w:tr w:rsidR="00946443" w14:paraId="3BEC3BC9" w14:textId="77777777" w:rsidTr="00946443">
        <w:tc>
          <w:tcPr>
            <w:tcW w:w="1567" w:type="dxa"/>
          </w:tcPr>
          <w:p w14:paraId="20D6455A" w14:textId="27EC4802" w:rsidR="00946443" w:rsidRPr="00946443" w:rsidRDefault="00946443" w:rsidP="00946443">
            <w:r w:rsidRPr="00946443">
              <w:rPr>
                <w:szCs w:val="20"/>
              </w:rPr>
              <w:t>Съдови нарушения</w:t>
            </w:r>
          </w:p>
        </w:tc>
        <w:tc>
          <w:tcPr>
            <w:tcW w:w="1198" w:type="dxa"/>
          </w:tcPr>
          <w:p w14:paraId="572F4BF6" w14:textId="77777777" w:rsidR="00946443" w:rsidRPr="00946443" w:rsidRDefault="00946443" w:rsidP="00946443"/>
        </w:tc>
        <w:tc>
          <w:tcPr>
            <w:tcW w:w="1323" w:type="dxa"/>
          </w:tcPr>
          <w:p w14:paraId="4C81F408" w14:textId="77777777" w:rsidR="00946443" w:rsidRPr="00946443" w:rsidRDefault="00946443" w:rsidP="00946443"/>
        </w:tc>
        <w:tc>
          <w:tcPr>
            <w:tcW w:w="1640" w:type="dxa"/>
          </w:tcPr>
          <w:p w14:paraId="307BC4AD" w14:textId="2E9342A7" w:rsidR="00946443" w:rsidRPr="00946443" w:rsidRDefault="00946443" w:rsidP="00946443">
            <w:r w:rsidRPr="00946443">
              <w:rPr>
                <w:szCs w:val="20"/>
              </w:rPr>
              <w:t>Хипотония, зачервяване</w:t>
            </w:r>
          </w:p>
        </w:tc>
        <w:tc>
          <w:tcPr>
            <w:tcW w:w="1191" w:type="dxa"/>
          </w:tcPr>
          <w:p w14:paraId="1734FEA9" w14:textId="77777777" w:rsidR="00946443" w:rsidRPr="00946443" w:rsidRDefault="00946443" w:rsidP="00946443"/>
        </w:tc>
        <w:tc>
          <w:tcPr>
            <w:tcW w:w="1198" w:type="dxa"/>
          </w:tcPr>
          <w:p w14:paraId="671A5CC1" w14:textId="77777777" w:rsidR="00946443" w:rsidRPr="00946443" w:rsidRDefault="00946443" w:rsidP="00946443"/>
        </w:tc>
        <w:tc>
          <w:tcPr>
            <w:tcW w:w="1459" w:type="dxa"/>
          </w:tcPr>
          <w:p w14:paraId="79653D43" w14:textId="77777777" w:rsidR="00946443" w:rsidRPr="00946443" w:rsidRDefault="00946443" w:rsidP="00946443"/>
        </w:tc>
      </w:tr>
      <w:tr w:rsidR="00946443" w14:paraId="6C61E186" w14:textId="77777777" w:rsidTr="00946443">
        <w:tc>
          <w:tcPr>
            <w:tcW w:w="1567" w:type="dxa"/>
          </w:tcPr>
          <w:p w14:paraId="70BE5F04" w14:textId="6270D6E9" w:rsidR="00946443" w:rsidRPr="00946443" w:rsidRDefault="00946443" w:rsidP="00946443">
            <w:r w:rsidRPr="00946443">
              <w:rPr>
                <w:szCs w:val="20"/>
              </w:rPr>
              <w:t>Стомашно- чревни нарушения</w:t>
            </w:r>
          </w:p>
        </w:tc>
        <w:tc>
          <w:tcPr>
            <w:tcW w:w="1198" w:type="dxa"/>
          </w:tcPr>
          <w:p w14:paraId="525003DA" w14:textId="77777777" w:rsidR="00946443" w:rsidRPr="00946443" w:rsidRDefault="00946443" w:rsidP="00946443"/>
        </w:tc>
        <w:tc>
          <w:tcPr>
            <w:tcW w:w="1323" w:type="dxa"/>
          </w:tcPr>
          <w:p w14:paraId="1DF1851C" w14:textId="77777777" w:rsidR="00946443" w:rsidRPr="00946443" w:rsidRDefault="00946443" w:rsidP="00946443">
            <w:r w:rsidRPr="00946443">
              <w:rPr>
                <w:szCs w:val="20"/>
              </w:rPr>
              <w:t>Абдомина лен дискомфо</w:t>
            </w:r>
          </w:p>
          <w:p w14:paraId="62B0B582" w14:textId="558C3C31" w:rsidR="00946443" w:rsidRPr="00946443" w:rsidRDefault="00946443" w:rsidP="00946443">
            <w:r w:rsidRPr="00946443">
              <w:rPr>
                <w:szCs w:val="20"/>
              </w:rPr>
              <w:t>рт</w:t>
            </w:r>
          </w:p>
        </w:tc>
        <w:tc>
          <w:tcPr>
            <w:tcW w:w="1640" w:type="dxa"/>
          </w:tcPr>
          <w:p w14:paraId="30302AF9" w14:textId="7FEE0667" w:rsidR="00946443" w:rsidRPr="00946443" w:rsidRDefault="00946443" w:rsidP="00946443">
            <w:r w:rsidRPr="00946443">
              <w:rPr>
                <w:szCs w:val="20"/>
              </w:rPr>
              <w:t>Диария, гадене, запек</w:t>
            </w:r>
          </w:p>
        </w:tc>
        <w:tc>
          <w:tcPr>
            <w:tcW w:w="1191" w:type="dxa"/>
          </w:tcPr>
          <w:p w14:paraId="42ED57C4" w14:textId="77777777" w:rsidR="00946443" w:rsidRPr="00946443" w:rsidRDefault="00946443" w:rsidP="00946443"/>
        </w:tc>
        <w:tc>
          <w:tcPr>
            <w:tcW w:w="1198" w:type="dxa"/>
          </w:tcPr>
          <w:p w14:paraId="264CD4B8" w14:textId="77777777" w:rsidR="00946443" w:rsidRPr="00946443" w:rsidRDefault="00946443" w:rsidP="00946443"/>
        </w:tc>
        <w:tc>
          <w:tcPr>
            <w:tcW w:w="1459" w:type="dxa"/>
          </w:tcPr>
          <w:p w14:paraId="6C895A80" w14:textId="77777777" w:rsidR="00946443" w:rsidRPr="00946443" w:rsidRDefault="00946443" w:rsidP="00946443"/>
        </w:tc>
      </w:tr>
      <w:tr w:rsidR="00946443" w14:paraId="27D935B0" w14:textId="77777777" w:rsidTr="00946443">
        <w:tc>
          <w:tcPr>
            <w:tcW w:w="1567" w:type="dxa"/>
          </w:tcPr>
          <w:p w14:paraId="0215C9CB" w14:textId="69789F1E" w:rsidR="00946443" w:rsidRPr="00946443" w:rsidRDefault="00946443" w:rsidP="00946443">
            <w:r w:rsidRPr="00946443">
              <w:rPr>
                <w:szCs w:val="20"/>
              </w:rPr>
              <w:t>Нарушения на кожата и подкожната тъкан</w:t>
            </w:r>
          </w:p>
        </w:tc>
        <w:tc>
          <w:tcPr>
            <w:tcW w:w="1198" w:type="dxa"/>
          </w:tcPr>
          <w:p w14:paraId="18EB2AD1" w14:textId="77777777" w:rsidR="00946443" w:rsidRPr="00946443" w:rsidRDefault="00946443" w:rsidP="00946443"/>
        </w:tc>
        <w:tc>
          <w:tcPr>
            <w:tcW w:w="1323" w:type="dxa"/>
          </w:tcPr>
          <w:p w14:paraId="10D66501" w14:textId="537D2BEC" w:rsidR="00946443" w:rsidRPr="00946443" w:rsidRDefault="00946443" w:rsidP="00946443">
            <w:r w:rsidRPr="00946443">
              <w:rPr>
                <w:szCs w:val="20"/>
              </w:rPr>
              <w:tab/>
            </w:r>
          </w:p>
        </w:tc>
        <w:tc>
          <w:tcPr>
            <w:tcW w:w="1640" w:type="dxa"/>
          </w:tcPr>
          <w:p w14:paraId="0BED9003" w14:textId="040AD767" w:rsidR="00946443" w:rsidRPr="00946443" w:rsidRDefault="00946443" w:rsidP="00946443">
            <w:r w:rsidRPr="00946443">
              <w:rPr>
                <w:szCs w:val="20"/>
              </w:rPr>
              <w:t>Пруритус</w:t>
            </w:r>
          </w:p>
        </w:tc>
        <w:tc>
          <w:tcPr>
            <w:tcW w:w="1191" w:type="dxa"/>
          </w:tcPr>
          <w:p w14:paraId="33BA82DB" w14:textId="77777777" w:rsidR="00946443" w:rsidRPr="00946443" w:rsidRDefault="00946443" w:rsidP="00946443"/>
        </w:tc>
        <w:tc>
          <w:tcPr>
            <w:tcW w:w="1198" w:type="dxa"/>
          </w:tcPr>
          <w:p w14:paraId="153AD524" w14:textId="77777777" w:rsidR="00946443" w:rsidRPr="00946443" w:rsidRDefault="00946443" w:rsidP="00946443"/>
        </w:tc>
        <w:tc>
          <w:tcPr>
            <w:tcW w:w="1459" w:type="dxa"/>
          </w:tcPr>
          <w:p w14:paraId="0D0F87CB" w14:textId="2EF635A7" w:rsidR="00946443" w:rsidRPr="00946443" w:rsidRDefault="00946443" w:rsidP="00946443">
            <w:r w:rsidRPr="00946443">
              <w:rPr>
                <w:szCs w:val="20"/>
              </w:rPr>
              <w:t>Обрив</w:t>
            </w:r>
            <w:r w:rsidRPr="00946443">
              <w:rPr>
                <w:szCs w:val="20"/>
                <w:vertAlign w:val="superscript"/>
              </w:rPr>
              <w:t>а</w:t>
            </w:r>
          </w:p>
        </w:tc>
      </w:tr>
      <w:tr w:rsidR="00946443" w14:paraId="643598B5" w14:textId="77777777" w:rsidTr="00946443">
        <w:tc>
          <w:tcPr>
            <w:tcW w:w="1567" w:type="dxa"/>
          </w:tcPr>
          <w:p w14:paraId="52ED6A97" w14:textId="36751A17" w:rsidR="00946443" w:rsidRPr="00946443" w:rsidRDefault="00946443" w:rsidP="00946443">
            <w:r w:rsidRPr="00946443">
              <w:rPr>
                <w:szCs w:val="20"/>
              </w:rPr>
              <w:t>Общи нарушения и ефекти на мястото на приложение</w:t>
            </w:r>
          </w:p>
        </w:tc>
        <w:tc>
          <w:tcPr>
            <w:tcW w:w="1198" w:type="dxa"/>
          </w:tcPr>
          <w:p w14:paraId="791F11E5" w14:textId="77777777" w:rsidR="00946443" w:rsidRPr="00946443" w:rsidRDefault="00946443" w:rsidP="00946443"/>
        </w:tc>
        <w:tc>
          <w:tcPr>
            <w:tcW w:w="1323" w:type="dxa"/>
          </w:tcPr>
          <w:p w14:paraId="37FE85BD" w14:textId="77777777" w:rsidR="00946443" w:rsidRPr="00946443" w:rsidRDefault="00946443" w:rsidP="00946443"/>
        </w:tc>
        <w:tc>
          <w:tcPr>
            <w:tcW w:w="1640" w:type="dxa"/>
          </w:tcPr>
          <w:p w14:paraId="3A5D6DC4" w14:textId="77777777" w:rsidR="00946443" w:rsidRPr="00946443" w:rsidRDefault="00946443" w:rsidP="00946443"/>
        </w:tc>
        <w:tc>
          <w:tcPr>
            <w:tcW w:w="1191" w:type="dxa"/>
          </w:tcPr>
          <w:p w14:paraId="2D48C455" w14:textId="77777777" w:rsidR="00946443" w:rsidRPr="00946443" w:rsidRDefault="00946443" w:rsidP="00946443"/>
        </w:tc>
        <w:tc>
          <w:tcPr>
            <w:tcW w:w="1198" w:type="dxa"/>
          </w:tcPr>
          <w:p w14:paraId="5BA0B955" w14:textId="77777777" w:rsidR="00946443" w:rsidRPr="00946443" w:rsidRDefault="00946443" w:rsidP="00946443"/>
        </w:tc>
        <w:tc>
          <w:tcPr>
            <w:tcW w:w="1459" w:type="dxa"/>
          </w:tcPr>
          <w:p w14:paraId="3FF2E485" w14:textId="4576B6B4" w:rsidR="00946443" w:rsidRPr="00946443" w:rsidRDefault="00946443" w:rsidP="00946443">
            <w:r w:rsidRPr="00946443">
              <w:rPr>
                <w:szCs w:val="20"/>
              </w:rPr>
              <w:t>Фиброза</w:t>
            </w:r>
            <w:r w:rsidRPr="00946443">
              <w:rPr>
                <w:szCs w:val="20"/>
                <w:vertAlign w:val="superscript"/>
              </w:rPr>
              <w:t>а</w:t>
            </w:r>
          </w:p>
        </w:tc>
      </w:tr>
      <w:tr w:rsidR="00946443" w14:paraId="3920B1CA" w14:textId="77777777" w:rsidTr="00946443">
        <w:tc>
          <w:tcPr>
            <w:tcW w:w="1567" w:type="dxa"/>
          </w:tcPr>
          <w:p w14:paraId="77304226" w14:textId="764BE2C4" w:rsidR="00946443" w:rsidRPr="00946443" w:rsidRDefault="00946443" w:rsidP="00946443">
            <w:r w:rsidRPr="00946443">
              <w:rPr>
                <w:szCs w:val="20"/>
              </w:rPr>
              <w:lastRenderedPageBreak/>
              <w:t>Изследвания</w:t>
            </w:r>
          </w:p>
        </w:tc>
        <w:tc>
          <w:tcPr>
            <w:tcW w:w="1198" w:type="dxa"/>
          </w:tcPr>
          <w:p w14:paraId="1166A950" w14:textId="77777777" w:rsidR="00946443" w:rsidRPr="00946443" w:rsidRDefault="00946443" w:rsidP="00946443"/>
        </w:tc>
        <w:tc>
          <w:tcPr>
            <w:tcW w:w="1323" w:type="dxa"/>
          </w:tcPr>
          <w:p w14:paraId="2A7A1F21" w14:textId="77777777" w:rsidR="00946443" w:rsidRPr="00946443" w:rsidRDefault="00946443" w:rsidP="00946443"/>
        </w:tc>
        <w:tc>
          <w:tcPr>
            <w:tcW w:w="1640" w:type="dxa"/>
          </w:tcPr>
          <w:p w14:paraId="2A091041" w14:textId="58476F10" w:rsidR="00946443" w:rsidRPr="00946443" w:rsidRDefault="00946443" w:rsidP="00946443">
            <w:r w:rsidRPr="00946443">
              <w:rPr>
                <w:szCs w:val="20"/>
              </w:rPr>
              <w:t>Повишена концентрация на пикочна киселина в кръвта</w:t>
            </w:r>
          </w:p>
        </w:tc>
        <w:tc>
          <w:tcPr>
            <w:tcW w:w="1191" w:type="dxa"/>
          </w:tcPr>
          <w:p w14:paraId="38C14A3B" w14:textId="77777777" w:rsidR="00946443" w:rsidRPr="00946443" w:rsidRDefault="00946443" w:rsidP="00946443"/>
        </w:tc>
        <w:tc>
          <w:tcPr>
            <w:tcW w:w="1198" w:type="dxa"/>
          </w:tcPr>
          <w:p w14:paraId="6A49913F" w14:textId="77777777" w:rsidR="00946443" w:rsidRPr="00946443" w:rsidRDefault="00946443" w:rsidP="00946443"/>
        </w:tc>
        <w:tc>
          <w:tcPr>
            <w:tcW w:w="1459" w:type="dxa"/>
          </w:tcPr>
          <w:p w14:paraId="23561998" w14:textId="77777777" w:rsidR="00946443" w:rsidRPr="00946443" w:rsidRDefault="00946443" w:rsidP="00946443"/>
        </w:tc>
      </w:tr>
    </w:tbl>
    <w:p w14:paraId="43E3C48F" w14:textId="48AEB94F" w:rsidR="0091385D" w:rsidRDefault="0091385D" w:rsidP="0091385D"/>
    <w:p w14:paraId="4C129714" w14:textId="77777777" w:rsidR="00946443" w:rsidRPr="00946443" w:rsidRDefault="00946443" w:rsidP="00946443">
      <w:pPr>
        <w:spacing w:line="240" w:lineRule="auto"/>
        <w:rPr>
          <w:rFonts w:eastAsia="Times New Roman" w:cs="Arial"/>
          <w:lang w:eastAsia="bg-BG"/>
        </w:rPr>
      </w:pPr>
      <w:r w:rsidRPr="00946443">
        <w:rPr>
          <w:rFonts w:eastAsia="Times New Roman" w:cs="Arial"/>
          <w:color w:val="000000"/>
          <w:vertAlign w:val="superscript"/>
          <w:lang w:eastAsia="bg-BG"/>
        </w:rPr>
        <w:t>а</w:t>
      </w:r>
      <w:r w:rsidRPr="00946443">
        <w:rPr>
          <w:rFonts w:eastAsia="Times New Roman" w:cs="Arial"/>
          <w:color w:val="000000"/>
          <w:lang w:eastAsia="bg-BG"/>
        </w:rPr>
        <w:t xml:space="preserve"> Оценката за честота на НЛР е основана на изпитвания в Интегрираното резюме на безопасността (появили се по време на лечение, по всякаква причина).</w:t>
      </w:r>
    </w:p>
    <w:p w14:paraId="003AAFB0" w14:textId="77777777" w:rsidR="00946443" w:rsidRPr="00946443" w:rsidRDefault="00946443" w:rsidP="00946443">
      <w:pPr>
        <w:spacing w:line="240" w:lineRule="auto"/>
        <w:rPr>
          <w:rFonts w:eastAsia="Times New Roman" w:cs="Arial"/>
          <w:lang w:eastAsia="bg-BG"/>
        </w:rPr>
      </w:pPr>
      <w:r w:rsidRPr="00946443">
        <w:rPr>
          <w:rFonts w:eastAsia="Times New Roman" w:cs="Arial"/>
          <w:color w:val="000000"/>
          <w:lang w:eastAsia="bg-BG"/>
        </w:rPr>
        <w:t>Съдържанието на интегрирания анализ на безопасността включва данни от 8 (осем) двойнослепи, контролирани проучвания при пациенти с лека до умерена деменция, при които на ницерголин са изложени 1 246 пациенти. Правилото на 3-те не е приложено, тъй като наборът от данни към Интегрираното резюме на безопасността на ницерголин има знаменател по-малък от 3 000 участници.</w:t>
      </w:r>
    </w:p>
    <w:p w14:paraId="02AE7A25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672A91C" w14:textId="27B26A8D" w:rsidR="00946443" w:rsidRPr="00946443" w:rsidRDefault="00946443" w:rsidP="00946443">
      <w:pPr>
        <w:spacing w:line="240" w:lineRule="auto"/>
        <w:rPr>
          <w:rFonts w:eastAsia="Times New Roman" w:cs="Arial"/>
          <w:lang w:eastAsia="bg-BG"/>
        </w:rPr>
      </w:pPr>
      <w:r w:rsidRPr="00946443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7207F246" w14:textId="57CE7D86" w:rsidR="00946443" w:rsidRPr="00946443" w:rsidRDefault="00946443" w:rsidP="00946443">
      <w:pPr>
        <w:rPr>
          <w:rFonts w:cs="Arial"/>
        </w:rPr>
      </w:pPr>
      <w:r w:rsidRPr="00946443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„Дамян Груев” № 8, 1303 София, тел.: +359 2 8903417, уебсайт: </w:t>
      </w:r>
      <w:r w:rsidRPr="00946443">
        <w:rPr>
          <w:rFonts w:eastAsia="Times New Roman" w:cs="Arial"/>
          <w:lang w:eastAsia="bg-BG"/>
        </w:rPr>
        <w:fldChar w:fldCharType="begin"/>
      </w:r>
      <w:r w:rsidRPr="00946443">
        <w:rPr>
          <w:rFonts w:eastAsia="Times New Roman" w:cs="Arial"/>
          <w:lang w:eastAsia="bg-BG"/>
        </w:rPr>
        <w:instrText xml:space="preserve"> HYPERLINK "http://www.bda.bg" </w:instrText>
      </w:r>
      <w:r w:rsidRPr="00946443">
        <w:rPr>
          <w:rFonts w:eastAsia="Times New Roman" w:cs="Arial"/>
          <w:lang w:eastAsia="bg-BG"/>
        </w:rPr>
      </w:r>
      <w:r w:rsidRPr="00946443">
        <w:rPr>
          <w:rFonts w:eastAsia="Times New Roman" w:cs="Arial"/>
          <w:lang w:eastAsia="bg-BG"/>
        </w:rPr>
        <w:fldChar w:fldCharType="separate"/>
      </w:r>
      <w:r w:rsidRPr="00946443">
        <w:rPr>
          <w:rFonts w:eastAsia="Times New Roman" w:cs="Arial"/>
          <w:color w:val="000000"/>
          <w:lang w:val="en-US"/>
        </w:rPr>
        <w:t>www.bda.bg</w:t>
      </w:r>
      <w:r w:rsidRPr="00946443">
        <w:rPr>
          <w:rFonts w:eastAsia="Times New Roman" w:cs="Arial"/>
          <w:lang w:eastAsia="bg-BG"/>
        </w:rPr>
        <w:fldChar w:fldCharType="end"/>
      </w:r>
      <w:r w:rsidRPr="00946443">
        <w:rPr>
          <w:rFonts w:eastAsia="Times New Roman" w:cs="Arial"/>
          <w:color w:val="000000"/>
          <w:lang w:val="en-US"/>
        </w:rPr>
        <w:t>.</w:t>
      </w:r>
    </w:p>
    <w:p w14:paraId="4F8FC218" w14:textId="77777777" w:rsidR="00946443" w:rsidRPr="0091385D" w:rsidRDefault="00946443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296E7EBA" w:rsidR="0091385D" w:rsidRDefault="0091385D" w:rsidP="0091385D"/>
    <w:p w14:paraId="0F0079CB" w14:textId="401EDE22" w:rsidR="0091385D" w:rsidRPr="00946443" w:rsidRDefault="00946443" w:rsidP="0091385D">
      <w:pPr>
        <w:rPr>
          <w:rFonts w:cs="Arial"/>
          <w:sz w:val="24"/>
        </w:rPr>
      </w:pPr>
      <w:r w:rsidRPr="00946443">
        <w:rPr>
          <w:rFonts w:cs="Arial"/>
          <w:szCs w:val="20"/>
        </w:rPr>
        <w:t>При употреба на ницерголин във високи дози може да настъпи преходно понижение на кръвното налягане. Обикновено не е необходимо специфично лечение, достатъчно е да се легне за няколко минути. В изключителни случаи на сериозен дефицит в кръвоснабдяването</w:t>
      </w:r>
      <w:r w:rsidRPr="00946443">
        <w:rPr>
          <w:rFonts w:cs="Arial"/>
          <w:szCs w:val="20"/>
        </w:rPr>
        <w:t xml:space="preserve"> </w:t>
      </w:r>
      <w:r w:rsidRPr="00946443">
        <w:rPr>
          <w:rFonts w:cs="Arial"/>
          <w:szCs w:val="20"/>
        </w:rPr>
        <w:t>на мозъка и сърцето, е препоръчително да се приложат симпатикомиметици и непрекъснато да се наблюдава кръвното налягане.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44345EC9" w:rsidR="0091385D" w:rsidRDefault="0091385D" w:rsidP="0091385D"/>
    <w:p w14:paraId="687661E4" w14:textId="7777777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Фармакотерапевтична група: Периферни вазодилататори, ерго-алкалоиди. АТС код: С04АЕ02</w:t>
      </w:r>
    </w:p>
    <w:p w14:paraId="5FE297F3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0966449" w14:textId="008DEDA6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u w:val="single"/>
          <w:lang w:eastAsia="bg-BG"/>
        </w:rPr>
        <w:t>Механизъм на действие</w:t>
      </w:r>
    </w:p>
    <w:p w14:paraId="4492130B" w14:textId="7777777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Ницерголин е ерго-алкалоид с алфа-1 адренергична блокерна активност, когато се прилага парентерално. След перорално приложение, продуктът претърпява бърз и екстензивен метаболизъм, от което произлизат редица метаболити, също отговорни за активностите, наблюдавани на няколко нива в ЦНС.</w:t>
      </w:r>
    </w:p>
    <w:p w14:paraId="091EEBC5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32F1749F" w14:textId="12EC2A49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u w:val="single"/>
          <w:lang w:eastAsia="bg-BG"/>
        </w:rPr>
        <w:t>Фармакодинамични ефекти</w:t>
      </w:r>
    </w:p>
    <w:p w14:paraId="7413D99D" w14:textId="7777777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i/>
          <w:iCs/>
          <w:color w:val="000000"/>
          <w:szCs w:val="20"/>
          <w:lang w:eastAsia="bg-BG"/>
        </w:rPr>
        <w:t>Приложен перорално, Сермион проявява множество неврофармакояогични действия: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 не само усилва мозъчното поемане и консумация на глюкоза, биосинтезата на протеини и нуклеинови киселини, но изглежда действа на различни нервотрансмитерни системи.</w:t>
      </w:r>
    </w:p>
    <w:p w14:paraId="26D88B4D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89064C8" w14:textId="2A981133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 xml:space="preserve">Сермион подобрява мозъчните холинергични функции при стари животни. Хроничното лечение със Сермион при стари плъхове е предотвратило свързаното с възрастта намаление на нивата на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Ach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(ацетилхолин) (в кората и стриатума) и освобождаване (в хипокампа) </w:t>
      </w:r>
      <w:r w:rsidRPr="00946443">
        <w:rPr>
          <w:rFonts w:eastAsia="Times New Roman" w:cs="Arial"/>
          <w:i/>
          <w:iCs/>
          <w:color w:val="000000"/>
          <w:szCs w:val="20"/>
          <w:lang w:val="en-US"/>
        </w:rPr>
        <w:t>in vivo.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Увеличена активност на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CAT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(холин-ацетилтрансфераза) и гъстота на мускаринови рецептори също са били наблюдавани след хронично перорално лечение със Сермион. Освен това, при опити </w:t>
      </w:r>
      <w:r w:rsidRPr="00946443">
        <w:rPr>
          <w:rFonts w:eastAsia="Times New Roman" w:cs="Arial"/>
          <w:i/>
          <w:iCs/>
          <w:color w:val="000000"/>
          <w:szCs w:val="20"/>
          <w:lang w:val="en-US"/>
        </w:rPr>
        <w:t>in vitro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946443">
        <w:rPr>
          <w:rFonts w:eastAsia="Times New Roman" w:cs="Arial"/>
          <w:i/>
          <w:iCs/>
          <w:color w:val="000000"/>
          <w:szCs w:val="20"/>
          <w:lang w:val="en-US"/>
        </w:rPr>
        <w:t>in vivo,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ницерголин значително понижава активността на </w:t>
      </w:r>
      <w:proofErr w:type="spellStart"/>
      <w:r w:rsidRPr="00946443">
        <w:rPr>
          <w:rFonts w:eastAsia="Times New Roman" w:cs="Arial"/>
          <w:color w:val="000000"/>
          <w:szCs w:val="20"/>
          <w:lang w:val="en-US"/>
        </w:rPr>
        <w:t>AchE</w:t>
      </w:r>
      <w:proofErr w:type="spellEnd"/>
      <w:r w:rsidRPr="00946443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946443">
        <w:rPr>
          <w:rFonts w:eastAsia="Times New Roman" w:cs="Arial"/>
          <w:color w:val="000000"/>
          <w:szCs w:val="20"/>
          <w:lang w:eastAsia="bg-BG"/>
        </w:rPr>
        <w:t>(ацетилхолин естераза). В тези опити неврохимичните ефекти са били съответни на стабилни подобрения в поведението, например в опита с лабиринта, където хроничното лечение със Сермион при стари животни е предизвикало отговор, подобен на този при по-млади животни.</w:t>
      </w:r>
    </w:p>
    <w:p w14:paraId="0E533EAC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677132B" w14:textId="02478F5B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Сермион е подобрил също когнитивния дефицит, причинен от различни фактори (хипоксия, електроконвулсивна терапия (ЕСТ), скополамин) при животни. Ниски дози Сермион, приложени перорално, увеличават търновъра на допамин при стари животни, особено в мезолимбичната област, вероятно чрез модулиране на допаминергичните рецептори. Сермион подобрява механизмите на клетъчната сигнална трансдукция при стари животни. Както еднократното, така и хроничното перорално лечение повишават базалния и агонист- чувствителния търновър на фосфоинозитид. Сермион повишава също активността и транслокацията към мембраната на Са-зависимите изоформи на протеин киназа С (РКС).Тези ензими участват в механизма на секреция на разтворим АРР (амилоид прекурсорен протеин), което води до увеличаване на освобождаването му и намаляване на абнормната продукция на бета-амилоид, както е било доказано на човешки невробластомни култури.</w:t>
      </w:r>
    </w:p>
    <w:p w14:paraId="0DFEBC63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127092C" w14:textId="5601614D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 xml:space="preserve">Чрез антиоксидантния си ефект, активирайки детоксикиращите ензими, Сермион предпазва нервните клетки от оксидативен стрес, причиняващ смърт и от апоптоза в </w:t>
      </w:r>
      <w:r w:rsidRPr="00946443">
        <w:rPr>
          <w:rFonts w:eastAsia="Times New Roman" w:cs="Arial"/>
          <w:i/>
          <w:iCs/>
          <w:color w:val="000000"/>
          <w:szCs w:val="20"/>
          <w:lang w:val="en-US"/>
        </w:rPr>
        <w:t>in vivo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946443">
        <w:rPr>
          <w:rFonts w:eastAsia="Times New Roman" w:cs="Arial"/>
          <w:i/>
          <w:iCs/>
          <w:color w:val="000000"/>
          <w:szCs w:val="20"/>
          <w:lang w:val="en-US"/>
        </w:rPr>
        <w:t xml:space="preserve">in vitro </w:t>
      </w:r>
      <w:r w:rsidRPr="00946443">
        <w:rPr>
          <w:rFonts w:eastAsia="Times New Roman" w:cs="Arial"/>
          <w:color w:val="000000"/>
          <w:szCs w:val="20"/>
          <w:lang w:eastAsia="bg-BG"/>
        </w:rPr>
        <w:t>експериментални модели.</w:t>
      </w:r>
    </w:p>
    <w:p w14:paraId="0197D1CD" w14:textId="7777777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 xml:space="preserve">Сермион намалява свързаното с възрастта понижение на </w:t>
      </w:r>
      <w:proofErr w:type="spellStart"/>
      <w:r w:rsidRPr="00946443">
        <w:rPr>
          <w:rFonts w:eastAsia="Times New Roman" w:cs="Arial"/>
          <w:color w:val="000000"/>
          <w:szCs w:val="20"/>
          <w:lang w:val="en-US"/>
        </w:rPr>
        <w:t>tnRNA</w:t>
      </w:r>
      <w:proofErr w:type="spellEnd"/>
      <w:r w:rsidRPr="00946443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експресията на невронната синтаза на азотен оксид </w:t>
      </w:r>
      <w:r w:rsidRPr="00946443">
        <w:rPr>
          <w:rFonts w:eastAsia="Times New Roman" w:cs="Arial"/>
          <w:color w:val="000000"/>
          <w:szCs w:val="20"/>
          <w:lang w:val="en-US"/>
        </w:rPr>
        <w:t>(</w:t>
      </w:r>
      <w:proofErr w:type="spellStart"/>
      <w:r w:rsidRPr="00946443">
        <w:rPr>
          <w:rFonts w:eastAsia="Times New Roman" w:cs="Arial"/>
          <w:color w:val="000000"/>
          <w:szCs w:val="20"/>
          <w:lang w:val="en-US"/>
        </w:rPr>
        <w:t>nNOS</w:t>
      </w:r>
      <w:proofErr w:type="spellEnd"/>
      <w:r w:rsidRPr="00946443">
        <w:rPr>
          <w:rFonts w:eastAsia="Times New Roman" w:cs="Arial"/>
          <w:color w:val="000000"/>
          <w:szCs w:val="20"/>
          <w:lang w:val="en-US"/>
        </w:rPr>
        <w:t xml:space="preserve">), </w:t>
      </w:r>
      <w:r w:rsidRPr="00946443">
        <w:rPr>
          <w:rFonts w:eastAsia="Times New Roman" w:cs="Arial"/>
          <w:color w:val="000000"/>
          <w:szCs w:val="20"/>
          <w:lang w:eastAsia="bg-BG"/>
        </w:rPr>
        <w:t>което може да допринесе за подобрението на когнитивната функция.</w:t>
      </w:r>
    </w:p>
    <w:p w14:paraId="5AD26F36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38585FD8" w14:textId="0A78E413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u w:val="single"/>
          <w:lang w:eastAsia="bg-BG"/>
        </w:rPr>
        <w:t>Клинична ефективност и безопасност</w:t>
      </w:r>
    </w:p>
    <w:p w14:paraId="24A5BEB6" w14:textId="77777777" w:rsidR="00946443" w:rsidRPr="00946443" w:rsidRDefault="00946443" w:rsidP="00946443">
      <w:pPr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Проведени са фармакодинамични проучвания при хора с използване на компютърни ЕЕГ</w:t>
      </w:r>
      <w:r w:rsidRPr="00946443">
        <w:rPr>
          <w:rFonts w:eastAsia="Times New Roman" w:cs="Arial"/>
          <w:color w:val="000000"/>
          <w:szCs w:val="20"/>
          <w:vertAlign w:val="superscript"/>
          <w:lang w:eastAsia="bg-BG"/>
        </w:rPr>
        <w:t xml:space="preserve">: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техники при млади и възрастни доброволци, както и при пациенти в напреднала възраст с когнитивни нарушения. Сермион е имал нормализиращ ефект върху ЕЕГ на пациентите в напреднала възраст и по-младите възрастни в условия на хипоксия, увеличавайки а и β активността и понижавайки δ и θ активността. Позитивни промени в събитийно свързания потенциал и предизвиканата реакция са били отбелязани при пациенти, засегнати от лека или средна по тежест деменция от различен произход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(SDAT-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сенилна деменция от типа Алцхаймер и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MID- </w:t>
      </w:r>
      <w:r w:rsidRPr="00946443">
        <w:rPr>
          <w:rFonts w:eastAsia="Times New Roman" w:cs="Arial"/>
          <w:color w:val="000000"/>
          <w:szCs w:val="20"/>
          <w:lang w:eastAsia="bg-BG"/>
        </w:rPr>
        <w:t>мултиинфарктна деменция), след хронично лечение със Сермион (2-6 месеца), тези промени са в съответствие с подобрението на клиничните симптоми.</w:t>
      </w:r>
    </w:p>
    <w:p w14:paraId="4F4A49C5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591FFAC" w14:textId="17D7DD1C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>На базата на гореизложеното е очевидно, че ницерголин действа чрез широкоспектърно модулираме на клетъчните и молекулните механизми, включени в патофизиологията на деменцията.</w:t>
      </w:r>
    </w:p>
    <w:p w14:paraId="56EF77A1" w14:textId="77777777" w:rsidR="00946443" w:rsidRPr="00946443" w:rsidRDefault="00946443" w:rsidP="00946443">
      <w:pPr>
        <w:rPr>
          <w:rFonts w:eastAsia="Times New Roman" w:cs="Arial"/>
          <w:color w:val="000000"/>
          <w:szCs w:val="20"/>
          <w:lang w:eastAsia="bg-BG"/>
        </w:rPr>
      </w:pPr>
    </w:p>
    <w:p w14:paraId="28252AA0" w14:textId="6FFCF928" w:rsidR="0091385D" w:rsidRPr="00946443" w:rsidRDefault="00946443" w:rsidP="00946443">
      <w:pPr>
        <w:rPr>
          <w:rFonts w:cs="Arial"/>
          <w:sz w:val="24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 xml:space="preserve">В двойнослепи, плацебо-контролирани клинични проучвания са били включени повече от 1 500 пациенти с деменция (тип Алцхаймер, съдова или смесен тип деменция), получаващи 60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ницерголин дневно или плацебо. След дългосрочно лечение с </w:t>
      </w:r>
      <w:r w:rsidRPr="00946443">
        <w:rPr>
          <w:rFonts w:eastAsia="Times New Roman" w:cs="Arial"/>
          <w:color w:val="000000"/>
          <w:szCs w:val="20"/>
          <w:lang w:eastAsia="bg-BG"/>
        </w:rPr>
        <w:lastRenderedPageBreak/>
        <w:t>ницерголин е било наблюдавано трайно подобрение на когнитивните и поведенческите нарушения, свързани с деменцията. Промяната е била забележима след 2 месеца от началото на лечението и се е запазила при едногодишно лечение.</w:t>
      </w:r>
    </w:p>
    <w:p w14:paraId="36152471" w14:textId="77777777" w:rsidR="0091385D" w:rsidRPr="0091385D" w:rsidRDefault="0091385D" w:rsidP="0091385D"/>
    <w:p w14:paraId="35F84B81" w14:textId="6423E5BB" w:rsidR="00CF77F7" w:rsidRDefault="002C50EE" w:rsidP="004A448E">
      <w:pPr>
        <w:pStyle w:val="Heading2"/>
      </w:pPr>
      <w:r>
        <w:t>5.2. Фармакокинетични свойства</w:t>
      </w:r>
    </w:p>
    <w:p w14:paraId="5031193D" w14:textId="06A21EFE" w:rsidR="0091385D" w:rsidRDefault="0091385D" w:rsidP="0091385D"/>
    <w:p w14:paraId="36133BFA" w14:textId="77777777" w:rsidR="00946443" w:rsidRPr="0079733F" w:rsidRDefault="00946443" w:rsidP="0079733F">
      <w:pPr>
        <w:pStyle w:val="Heading3"/>
        <w:rPr>
          <w:rFonts w:eastAsia="Times New Roman"/>
          <w:sz w:val="28"/>
          <w:u w:val="single"/>
          <w:lang w:eastAsia="bg-BG"/>
        </w:rPr>
      </w:pPr>
      <w:r w:rsidRPr="0079733F">
        <w:rPr>
          <w:rFonts w:eastAsia="Times New Roman"/>
          <w:u w:val="single"/>
          <w:lang w:eastAsia="bg-BG"/>
        </w:rPr>
        <w:t>Абсорбция</w:t>
      </w:r>
    </w:p>
    <w:p w14:paraId="1AF0B459" w14:textId="7777777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 xml:space="preserve">Ницерголин се абсорбира бързо и почти изцяло след перорално приложение. Пиковата серумна радиоактивност след приложение на ниски дози (4-5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mg) </w:t>
      </w:r>
      <w:r w:rsidRPr="00946443">
        <w:rPr>
          <w:rFonts w:eastAsia="Times New Roman" w:cs="Arial"/>
          <w:color w:val="000000"/>
          <w:szCs w:val="20"/>
          <w:lang w:eastAsia="bg-BG"/>
        </w:rPr>
        <w:t>радиоактивно Н</w:t>
      </w:r>
      <w:r w:rsidRPr="00946443">
        <w:rPr>
          <w:rFonts w:eastAsia="Times New Roman" w:cs="Arial"/>
          <w:color w:val="000000"/>
          <w:szCs w:val="20"/>
          <w:vertAlign w:val="superscript"/>
          <w:lang w:eastAsia="bg-BG"/>
        </w:rPr>
        <w:t>3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 маркиран ницерголин на здрави доброволци е настъпила след 1,5 часа. Терапевтичната перорална доза обаче (30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mg) </w:t>
      </w:r>
      <w:r w:rsidRPr="00946443">
        <w:rPr>
          <w:rFonts w:eastAsia="Times New Roman" w:cs="Arial"/>
          <w:color w:val="000000"/>
          <w:szCs w:val="20"/>
          <w:lang w:eastAsia="bg-BG"/>
        </w:rPr>
        <w:t>С</w:t>
      </w:r>
      <w:r w:rsidRPr="00946443">
        <w:rPr>
          <w:rFonts w:eastAsia="Times New Roman" w:cs="Arial"/>
          <w:color w:val="000000"/>
          <w:szCs w:val="20"/>
          <w:vertAlign w:val="superscript"/>
          <w:lang w:eastAsia="bg-BG"/>
        </w:rPr>
        <w:t>14</w:t>
      </w:r>
      <w:r w:rsidRPr="00946443">
        <w:rPr>
          <w:rFonts w:eastAsia="Times New Roman" w:cs="Arial"/>
          <w:color w:val="000000"/>
          <w:szCs w:val="20"/>
          <w:lang w:eastAsia="bg-BG"/>
        </w:rPr>
        <w:t>-маркиран ницерголин при здрави доброволци е показала пикова серумна радиоактивност 3 часа след приема на дозата.</w:t>
      </w:r>
    </w:p>
    <w:p w14:paraId="41C031C2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F437B99" w14:textId="7D625E14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 xml:space="preserve">След перорално приложение на ницерголин (15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mg)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на здрави доброволци, площта под кривата на серумната радиоактивност е била съответно 81% и 6%, изчислени за двата главни метаболита на ницерголин: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MDL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MMDL.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Пиковите плазмени нива на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MDL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след прилагане на таблетка от 30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като единична или многократна доза са били достигнати приблизително 3 до 5 часа след приема на дозата. Пиковите плазмени нива на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MMDL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след прилагане на таблетка от 30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946443">
        <w:rPr>
          <w:rFonts w:eastAsia="Times New Roman" w:cs="Arial"/>
          <w:color w:val="000000"/>
          <w:szCs w:val="20"/>
          <w:lang w:eastAsia="bg-BG"/>
        </w:rPr>
        <w:t>като единична доза са били достигнати приблизително 0,5 до 1 час след приема на дозата.</w:t>
      </w:r>
    </w:p>
    <w:p w14:paraId="43024608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AE95812" w14:textId="0541A923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 xml:space="preserve">Абсолютната бионаличност на ницерголин след перорално приложение е приблизително 5%, поради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first-pass </w:t>
      </w:r>
      <w:r w:rsidRPr="00946443">
        <w:rPr>
          <w:rFonts w:eastAsia="Times New Roman" w:cs="Arial"/>
          <w:color w:val="000000"/>
          <w:szCs w:val="20"/>
          <w:lang w:eastAsia="bg-BG"/>
        </w:rPr>
        <w:t>метаболизъм.</w:t>
      </w:r>
    </w:p>
    <w:p w14:paraId="0A9C7663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4E4B348" w14:textId="49458217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 xml:space="preserve">Фармакокинетиката на ницерголин при здрави доброволци след перорална доза от 30-60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е установена като линейна, въз основа на измерванията на главния метаболит </w:t>
      </w:r>
      <w:r w:rsidRPr="00946443">
        <w:rPr>
          <w:rFonts w:eastAsia="Times New Roman" w:cs="Arial"/>
          <w:color w:val="000000"/>
          <w:szCs w:val="20"/>
          <w:lang w:val="en-US"/>
        </w:rPr>
        <w:t>MDL.</w:t>
      </w:r>
    </w:p>
    <w:p w14:paraId="5CCA78BC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4BEBE07" w14:textId="0F62CFCC" w:rsidR="00946443" w:rsidRPr="00946443" w:rsidRDefault="00946443" w:rsidP="00946443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 xml:space="preserve">Не е установен съществен ефект на храната върху фармакокинетиката на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MDL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MMDL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при прилагане на ницерголин като единична перорална доза от 30 </w:t>
      </w:r>
      <w:r w:rsidRPr="00946443">
        <w:rPr>
          <w:rFonts w:eastAsia="Times New Roman" w:cs="Arial"/>
          <w:color w:val="000000"/>
          <w:szCs w:val="20"/>
          <w:lang w:val="en-US"/>
        </w:rPr>
        <w:t>mg.</w:t>
      </w:r>
    </w:p>
    <w:p w14:paraId="6F118D33" w14:textId="77777777" w:rsidR="00946443" w:rsidRPr="00946443" w:rsidRDefault="00946443" w:rsidP="00946443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148CE976" w14:textId="2F767920" w:rsidR="00946443" w:rsidRPr="0079733F" w:rsidRDefault="00946443" w:rsidP="0079733F">
      <w:pPr>
        <w:pStyle w:val="Heading3"/>
        <w:rPr>
          <w:rFonts w:eastAsia="Times New Roman"/>
          <w:sz w:val="28"/>
          <w:u w:val="single"/>
          <w:lang w:eastAsia="bg-BG"/>
        </w:rPr>
      </w:pPr>
      <w:r w:rsidRPr="0079733F">
        <w:rPr>
          <w:rFonts w:eastAsia="Times New Roman"/>
          <w:u w:val="single"/>
          <w:lang w:eastAsia="bg-BG"/>
        </w:rPr>
        <w:t>Разпределение</w:t>
      </w:r>
    </w:p>
    <w:p w14:paraId="148BA3FC" w14:textId="7CE52250" w:rsidR="0091385D" w:rsidRPr="00946443" w:rsidRDefault="00946443" w:rsidP="00946443">
      <w:pPr>
        <w:rPr>
          <w:rFonts w:cs="Arial"/>
          <w:sz w:val="24"/>
        </w:rPr>
      </w:pPr>
      <w:r w:rsidRPr="00946443">
        <w:rPr>
          <w:rFonts w:eastAsia="Times New Roman" w:cs="Arial"/>
          <w:color w:val="000000"/>
          <w:szCs w:val="20"/>
          <w:lang w:eastAsia="bg-BG"/>
        </w:rPr>
        <w:t xml:space="preserve">Разпределението на ницерголин в тъканите е бързо и екстензивно, както е отразено от кратката фаза на разпределение на серумната радиоактивност. Обемът на разпределение на ницерголин в централния компартимент (приблизително изчислен чрез разделяне на дозата на плазмената концентрация на ницерголин в първото време за взимане на проба след интравенозно приложение на номинална доза от 2 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946443">
        <w:rPr>
          <w:rFonts w:eastAsia="Times New Roman" w:cs="Arial"/>
          <w:color w:val="000000"/>
          <w:szCs w:val="20"/>
          <w:lang w:eastAsia="bg-BG"/>
        </w:rPr>
        <w:t>е сравнително висок (224),</w:t>
      </w:r>
      <w:r w:rsidRPr="00946443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което потенциално отразява разпределението на ницерголин в кръвните клетки и/или тъканите. Ницерголин се свързва във висока степен </w:t>
      </w:r>
      <w:r w:rsidRPr="00946443">
        <w:rPr>
          <w:rFonts w:eastAsia="Times New Roman" w:cs="Arial"/>
          <w:i/>
          <w:iCs/>
          <w:color w:val="000000"/>
          <w:szCs w:val="20"/>
          <w:lang w:eastAsia="bg-BG"/>
        </w:rPr>
        <w:t>с</w:t>
      </w:r>
      <w:r w:rsidRPr="00946443">
        <w:rPr>
          <w:rFonts w:eastAsia="Times New Roman" w:cs="Arial"/>
          <w:color w:val="000000"/>
          <w:szCs w:val="20"/>
          <w:lang w:eastAsia="bg-BG"/>
        </w:rPr>
        <w:t xml:space="preserve"> човешките плазмени протеини с четирикратно по-голям афинитет към а-киселия гликопротеин, отколкото към </w:t>
      </w:r>
      <w:r w:rsidRPr="0079733F">
        <w:rPr>
          <w:rFonts w:eastAsia="Times New Roman" w:cs="Arial"/>
          <w:color w:val="000000"/>
          <w:szCs w:val="20"/>
          <w:lang w:eastAsia="bg-BG"/>
        </w:rPr>
        <w:t>серум</w:t>
      </w:r>
      <w:r w:rsidRPr="0079733F">
        <w:rPr>
          <w:rFonts w:eastAsia="Times New Roman" w:cs="Arial"/>
          <w:iCs/>
          <w:color w:val="000000"/>
          <w:szCs w:val="20"/>
          <w:lang w:eastAsia="bg-BG"/>
        </w:rPr>
        <w:t>ния</w:t>
      </w:r>
      <w:r w:rsidRPr="00946443">
        <w:rPr>
          <w:rFonts w:eastAsia="Times New Roman" w:cs="Arial"/>
          <w:i/>
          <w:iCs/>
          <w:color w:val="000000"/>
          <w:szCs w:val="20"/>
          <w:lang w:eastAsia="bg-BG"/>
        </w:rPr>
        <w:t xml:space="preserve"> </w:t>
      </w:r>
      <w:r w:rsidRPr="0079733F">
        <w:rPr>
          <w:rFonts w:eastAsia="Times New Roman" w:cs="Arial"/>
          <w:iCs/>
          <w:color w:val="000000"/>
          <w:szCs w:val="20"/>
          <w:lang w:eastAsia="bg-BG"/>
        </w:rPr>
        <w:t>алоумин</w:t>
      </w:r>
      <w:r w:rsidRPr="00946443">
        <w:rPr>
          <w:rFonts w:eastAsia="Times New Roman" w:cs="Arial"/>
          <w:i/>
          <w:iCs/>
          <w:color w:val="000000"/>
          <w:szCs w:val="20"/>
          <w:lang w:eastAsia="bg-BG"/>
        </w:rPr>
        <w:t>.</w:t>
      </w:r>
    </w:p>
    <w:p w14:paraId="4EE1BB0B" w14:textId="120A64AF" w:rsidR="0091385D" w:rsidRDefault="0091385D" w:rsidP="0091385D"/>
    <w:p w14:paraId="366F8F82" w14:textId="77777777" w:rsidR="0079733F" w:rsidRPr="0079733F" w:rsidRDefault="0079733F" w:rsidP="0079733F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9733F">
        <w:rPr>
          <w:rFonts w:eastAsia="Times New Roman" w:cs="Arial"/>
          <w:color w:val="000000"/>
          <w:szCs w:val="20"/>
          <w:lang w:eastAsia="bg-BG"/>
        </w:rPr>
        <w:t>Процентното свързване е относително постоянно, когато концентрацията на ницерголин се повишава от 1 μ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g/ml </w:t>
      </w:r>
      <w:r w:rsidRPr="0079733F">
        <w:rPr>
          <w:rFonts w:eastAsia="Times New Roman" w:cs="Arial"/>
          <w:color w:val="000000"/>
          <w:szCs w:val="20"/>
          <w:lang w:eastAsia="bg-BG"/>
        </w:rPr>
        <w:t>до 500 μ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g/mL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И двата метаболита на ницерголин,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MDL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MMDL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имат ниски стойности на свързване от приблизително 14,7% и съответно 34,7% при концентрационен диапазон от 50 - 200 </w:t>
      </w:r>
      <w:r w:rsidRPr="0079733F">
        <w:rPr>
          <w:rFonts w:eastAsia="Times New Roman" w:cs="Arial"/>
          <w:color w:val="000000"/>
          <w:szCs w:val="20"/>
          <w:lang w:val="en-US"/>
        </w:rPr>
        <w:t>ng/ml.</w:t>
      </w:r>
    </w:p>
    <w:p w14:paraId="4A048480" w14:textId="77777777" w:rsidR="0079733F" w:rsidRPr="0079733F" w:rsidRDefault="0079733F" w:rsidP="0079733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0E13029" w14:textId="299EBEA5" w:rsidR="0079733F" w:rsidRPr="0079733F" w:rsidRDefault="0079733F" w:rsidP="0079733F">
      <w:pPr>
        <w:pStyle w:val="Heading3"/>
        <w:rPr>
          <w:rFonts w:eastAsia="Times New Roman"/>
          <w:sz w:val="28"/>
          <w:u w:val="single"/>
          <w:lang w:eastAsia="bg-BG"/>
        </w:rPr>
      </w:pPr>
      <w:r w:rsidRPr="0079733F">
        <w:rPr>
          <w:rFonts w:eastAsia="Times New Roman"/>
          <w:u w:val="single"/>
          <w:lang w:eastAsia="bg-BG"/>
        </w:rPr>
        <w:lastRenderedPageBreak/>
        <w:t>Метаболизъм и екскреция</w:t>
      </w:r>
    </w:p>
    <w:p w14:paraId="0A018F1B" w14:textId="77777777" w:rsidR="0079733F" w:rsidRPr="0079733F" w:rsidRDefault="0079733F" w:rsidP="0079733F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9733F">
        <w:rPr>
          <w:rFonts w:eastAsia="Times New Roman" w:cs="Arial"/>
          <w:color w:val="000000"/>
          <w:szCs w:val="20"/>
          <w:lang w:eastAsia="bg-BG"/>
        </w:rPr>
        <w:t xml:space="preserve">Уринната екскреция е основният път на елиминиране. В рамките на 120 часа след приема, средно 82% от общия радиомаркиран ницерголин се екскретира чрез бъбреците и 10% чрез фекалийте. Ницерголин се метаболизира екстензивно. Основният му метаболитен път е чрез хидролиза на естерната връзка, като се образува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MMDL,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а след това чрез деметилиране се образува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MDL,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Процесът на деметилиране става посредством каталитичното действие на изоензима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CYP2D6.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По тази причина фармакокинетиката на ницерголин и метаболитите му са засегнати при пациенти с генетичен дефицит на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CYP2D6.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Получените активни метаболити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(MMDL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MDL)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се конюгират с глюкуронова киселина. Главният метаболит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MDL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представлява 51 % от общата доза и 76% от радиоактивността, установена в урината след перорална доза от 15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mg.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Средната стойност на терминалния полу-живот на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MDL </w:t>
      </w:r>
      <w:r w:rsidRPr="0079733F">
        <w:rPr>
          <w:rFonts w:eastAsia="Times New Roman" w:cs="Arial"/>
          <w:color w:val="000000"/>
          <w:szCs w:val="20"/>
          <w:lang w:eastAsia="bg-BG"/>
        </w:rPr>
        <w:t>е от порядъка на приблизително 11-20 часа.</w:t>
      </w:r>
    </w:p>
    <w:p w14:paraId="271479F5" w14:textId="77777777" w:rsidR="0079733F" w:rsidRPr="0079733F" w:rsidRDefault="0079733F" w:rsidP="0079733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8DBBC2C" w14:textId="2A5C040F" w:rsidR="0079733F" w:rsidRPr="0079733F" w:rsidRDefault="0079733F" w:rsidP="0079733F">
      <w:pPr>
        <w:pStyle w:val="Heading3"/>
        <w:rPr>
          <w:rFonts w:eastAsia="Times New Roman"/>
          <w:sz w:val="28"/>
          <w:u w:val="single"/>
          <w:lang w:eastAsia="bg-BG"/>
        </w:rPr>
      </w:pPr>
      <w:r w:rsidRPr="0079733F">
        <w:rPr>
          <w:rFonts w:eastAsia="Times New Roman"/>
          <w:u w:val="single"/>
          <w:lang w:eastAsia="bg-BG"/>
        </w:rPr>
        <w:t>Специални популации</w:t>
      </w:r>
    </w:p>
    <w:p w14:paraId="20CEDB1F" w14:textId="77777777" w:rsidR="0079733F" w:rsidRPr="0079733F" w:rsidRDefault="0079733F" w:rsidP="0079733F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9733F">
        <w:rPr>
          <w:rFonts w:eastAsia="Times New Roman" w:cs="Arial"/>
          <w:color w:val="000000"/>
          <w:szCs w:val="20"/>
          <w:lang w:eastAsia="bg-BG"/>
        </w:rPr>
        <w:t xml:space="preserve">Ефектът на бъбречното увреждане върху фармакокинетиката на ницерголин е оценяван при пациенти с леко </w:t>
      </w:r>
      <w:r w:rsidRPr="0079733F">
        <w:rPr>
          <w:rFonts w:eastAsia="Times New Roman" w:cs="Arial"/>
          <w:color w:val="000000"/>
          <w:szCs w:val="20"/>
          <w:lang w:val="en-US"/>
        </w:rPr>
        <w:t>(</w:t>
      </w:r>
      <w:proofErr w:type="spellStart"/>
      <w:r w:rsidRPr="0079733F">
        <w:rPr>
          <w:rFonts w:eastAsia="Times New Roman" w:cs="Arial"/>
          <w:color w:val="000000"/>
          <w:szCs w:val="20"/>
          <w:lang w:val="en-US"/>
        </w:rPr>
        <w:t>Clcr</w:t>
      </w:r>
      <w:proofErr w:type="spellEnd"/>
      <w:r w:rsidRPr="0079733F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60-80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ml/min),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умерено </w:t>
      </w:r>
      <w:r w:rsidRPr="0079733F">
        <w:rPr>
          <w:rFonts w:eastAsia="Times New Roman" w:cs="Arial"/>
          <w:color w:val="000000"/>
          <w:szCs w:val="20"/>
          <w:lang w:val="en-US"/>
        </w:rPr>
        <w:t>(</w:t>
      </w:r>
      <w:proofErr w:type="spellStart"/>
      <w:r w:rsidRPr="0079733F">
        <w:rPr>
          <w:rFonts w:eastAsia="Times New Roman" w:cs="Arial"/>
          <w:color w:val="000000"/>
          <w:szCs w:val="20"/>
          <w:lang w:val="en-US"/>
        </w:rPr>
        <w:t>Clcr</w:t>
      </w:r>
      <w:proofErr w:type="spellEnd"/>
      <w:r w:rsidRPr="0079733F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30-50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ml/min)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и тежко </w:t>
      </w:r>
      <w:r w:rsidRPr="0079733F">
        <w:rPr>
          <w:rFonts w:eastAsia="Times New Roman" w:cs="Arial"/>
          <w:color w:val="000000"/>
          <w:szCs w:val="20"/>
          <w:lang w:val="en-US"/>
        </w:rPr>
        <w:t>(</w:t>
      </w:r>
      <w:proofErr w:type="spellStart"/>
      <w:r w:rsidRPr="0079733F">
        <w:rPr>
          <w:rFonts w:eastAsia="Times New Roman" w:cs="Arial"/>
          <w:color w:val="000000"/>
          <w:szCs w:val="20"/>
          <w:lang w:val="en-US"/>
        </w:rPr>
        <w:t>Clcr</w:t>
      </w:r>
      <w:proofErr w:type="spellEnd"/>
      <w:r w:rsidRPr="0079733F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10-25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ml/min) </w:t>
      </w:r>
      <w:r w:rsidRPr="0079733F">
        <w:rPr>
          <w:rFonts w:eastAsia="Times New Roman" w:cs="Arial"/>
          <w:color w:val="000000"/>
          <w:szCs w:val="20"/>
          <w:lang w:eastAsia="bg-BG"/>
        </w:rPr>
        <w:t>бъбречно увреждане. При пациентите с леко (</w:t>
      </w:r>
      <w:r w:rsidRPr="0079733F">
        <w:rPr>
          <w:rFonts w:eastAsia="Times New Roman" w:cs="Arial"/>
          <w:color w:val="000000"/>
          <w:szCs w:val="20"/>
          <w:lang w:val="en-US"/>
        </w:rPr>
        <w:t>n</w:t>
      </w:r>
      <w:r w:rsidRPr="0079733F">
        <w:rPr>
          <w:rFonts w:eastAsia="Times New Roman" w:cs="Arial"/>
          <w:color w:val="000000"/>
          <w:szCs w:val="20"/>
          <w:lang w:eastAsia="bg-BG"/>
        </w:rPr>
        <w:t>=5), умерено (</w:t>
      </w:r>
      <w:r w:rsidRPr="0079733F">
        <w:rPr>
          <w:rFonts w:eastAsia="Times New Roman" w:cs="Arial"/>
          <w:color w:val="000000"/>
          <w:szCs w:val="20"/>
          <w:lang w:val="en-US"/>
        </w:rPr>
        <w:t>n</w:t>
      </w:r>
      <w:r w:rsidRPr="0079733F">
        <w:rPr>
          <w:rFonts w:eastAsia="Times New Roman" w:cs="Arial"/>
          <w:color w:val="000000"/>
          <w:szCs w:val="20"/>
          <w:lang w:eastAsia="bg-BG"/>
        </w:rPr>
        <w:t>=5) и тежко (</w:t>
      </w:r>
      <w:r w:rsidRPr="0079733F">
        <w:rPr>
          <w:rFonts w:eastAsia="Times New Roman" w:cs="Arial"/>
          <w:color w:val="000000"/>
          <w:szCs w:val="20"/>
          <w:lang w:val="en-US"/>
        </w:rPr>
        <w:t>n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=4) бъбречно увреждане, значими разлики са наблюдавани в количеството на екскретирания с урината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MDL,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в рамките на 120 часа след перорална доза от 30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ницерголин (38,1%, 42,6%, и съответно 25,7% от дозата); при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MMDL,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съответните стойности са 1,7, 0,6, и съответно 0,2%. Пациентите с тежко бъбречно увреждане показват значимо понижаване на уринната екскреция на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MDL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в сравнение с другите две групи. В допълнение, пациентите с леко, умерено и тежко бъбречно увреждане показват средно понижаване в уринната екскреция на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MDL </w:t>
      </w:r>
      <w:r w:rsidRPr="0079733F">
        <w:rPr>
          <w:rFonts w:eastAsia="Times New Roman" w:cs="Arial"/>
          <w:color w:val="000000"/>
          <w:szCs w:val="20"/>
          <w:lang w:eastAsia="bg-BG"/>
        </w:rPr>
        <w:t xml:space="preserve">(0-72 часа) от 32%, 32% и 59%, в сравнение с пациентите с нормална бъбречна функцияпри друго проучване с таблетка от 30 </w:t>
      </w:r>
      <w:r w:rsidRPr="0079733F">
        <w:rPr>
          <w:rFonts w:eastAsia="Times New Roman" w:cs="Arial"/>
          <w:color w:val="000000"/>
          <w:szCs w:val="20"/>
          <w:lang w:val="en-US"/>
        </w:rPr>
        <w:t>mg.</w:t>
      </w:r>
    </w:p>
    <w:p w14:paraId="04294CA0" w14:textId="77777777" w:rsidR="0079733F" w:rsidRPr="0079733F" w:rsidRDefault="0079733F" w:rsidP="0079733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AB906E9" w14:textId="7E61ACA6" w:rsidR="0079733F" w:rsidRPr="0079733F" w:rsidRDefault="0079733F" w:rsidP="0079733F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9733F">
        <w:rPr>
          <w:rFonts w:eastAsia="Times New Roman" w:cs="Arial"/>
          <w:color w:val="000000"/>
          <w:szCs w:val="20"/>
          <w:lang w:eastAsia="bg-BG"/>
        </w:rPr>
        <w:t>Фармакокинетиката на ницерголин не е проучена при пациенти с чернодробно увреждане.</w:t>
      </w:r>
    </w:p>
    <w:p w14:paraId="5D1B60E9" w14:textId="77777777" w:rsidR="0079733F" w:rsidRPr="0079733F" w:rsidRDefault="0079733F" w:rsidP="0079733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74AD988" w14:textId="410AF9BB" w:rsidR="0079733F" w:rsidRPr="0079733F" w:rsidRDefault="0079733F" w:rsidP="0079733F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9733F">
        <w:rPr>
          <w:rFonts w:eastAsia="Times New Roman" w:cs="Arial"/>
          <w:color w:val="000000"/>
          <w:szCs w:val="20"/>
          <w:lang w:eastAsia="bg-BG"/>
        </w:rPr>
        <w:t>Фармакокинетиката на ницерголин не е проучена при деца.</w:t>
      </w:r>
    </w:p>
    <w:p w14:paraId="6A86662F" w14:textId="77777777" w:rsidR="0079733F" w:rsidRPr="0079733F" w:rsidRDefault="0079733F" w:rsidP="0079733F">
      <w:pPr>
        <w:rPr>
          <w:rFonts w:eastAsia="Times New Roman" w:cs="Arial"/>
          <w:color w:val="000000"/>
          <w:szCs w:val="20"/>
          <w:lang w:eastAsia="bg-BG"/>
        </w:rPr>
      </w:pPr>
    </w:p>
    <w:p w14:paraId="33C554D5" w14:textId="579782EB" w:rsidR="0079733F" w:rsidRPr="0079733F" w:rsidRDefault="0079733F" w:rsidP="0079733F">
      <w:pPr>
        <w:rPr>
          <w:rFonts w:cs="Arial"/>
          <w:sz w:val="24"/>
        </w:rPr>
      </w:pPr>
      <w:r w:rsidRPr="0079733F">
        <w:rPr>
          <w:rFonts w:eastAsia="Times New Roman" w:cs="Arial"/>
          <w:color w:val="000000"/>
          <w:szCs w:val="20"/>
          <w:lang w:eastAsia="bg-BG"/>
        </w:rPr>
        <w:t>Влиянието на възрастта (гериатрични пациенти) върху фармакокинетиката на ницерголин не е напълно проучена.</w:t>
      </w:r>
    </w:p>
    <w:p w14:paraId="1F0B6C38" w14:textId="77777777" w:rsidR="0079733F" w:rsidRPr="0091385D" w:rsidRDefault="0079733F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31455D09" w14:textId="4D0EFBF5" w:rsidR="0091385D" w:rsidRDefault="0091385D" w:rsidP="0091385D"/>
    <w:p w14:paraId="52E4D01A" w14:textId="1E37154A" w:rsidR="0091385D" w:rsidRPr="0079733F" w:rsidRDefault="0079733F" w:rsidP="0091385D">
      <w:pPr>
        <w:rPr>
          <w:sz w:val="24"/>
        </w:rPr>
      </w:pPr>
      <w:r w:rsidRPr="0079733F">
        <w:rPr>
          <w:szCs w:val="20"/>
        </w:rPr>
        <w:t xml:space="preserve">Не са провеждани проучвания за карциногенност. Неклиничните данни не показват особен риск при хора въз основа на данните от фармакологичните изпитвания за безопасност, токсичността при многократно приложение, генотоксичността и ембрио-феталното, пери- и постнаталното развитие. При проучване за фертилитета ницерголин не повлиява мъжкия фертилитет при дози до 50 </w:t>
      </w:r>
      <w:r w:rsidRPr="0079733F">
        <w:rPr>
          <w:szCs w:val="20"/>
          <w:lang w:val="en-US"/>
        </w:rPr>
        <w:t>mg/kg</w:t>
      </w:r>
      <w:r w:rsidRPr="0079733F">
        <w:rPr>
          <w:szCs w:val="20"/>
        </w:rPr>
        <w:t xml:space="preserve">/ден (8 пъти максималната препоръчителна доза при хора от 60 </w:t>
      </w:r>
      <w:r w:rsidRPr="0079733F">
        <w:rPr>
          <w:szCs w:val="20"/>
          <w:lang w:val="en-US"/>
        </w:rPr>
        <w:t>mg</w:t>
      </w:r>
      <w:r w:rsidRPr="0079733F">
        <w:rPr>
          <w:szCs w:val="20"/>
        </w:rPr>
        <w:t xml:space="preserve">/ден на базата на </w:t>
      </w:r>
      <w:r w:rsidRPr="0079733F">
        <w:rPr>
          <w:szCs w:val="20"/>
          <w:lang w:val="en-US"/>
        </w:rPr>
        <w:t>mg/m</w:t>
      </w:r>
      <w:r w:rsidRPr="0079733F">
        <w:rPr>
          <w:szCs w:val="20"/>
          <w:vertAlign w:val="superscript"/>
          <w:lang w:val="en-US"/>
        </w:rPr>
        <w:t>2</w:t>
      </w:r>
      <w:r w:rsidRPr="0079733F">
        <w:rPr>
          <w:szCs w:val="20"/>
          <w:lang w:val="en-US"/>
        </w:rPr>
        <w:t xml:space="preserve">). </w:t>
      </w:r>
      <w:r w:rsidRPr="0079733F">
        <w:rPr>
          <w:szCs w:val="20"/>
        </w:rPr>
        <w:t xml:space="preserve">При женски плъхове, на които са приложени 50 </w:t>
      </w:r>
      <w:r w:rsidRPr="0079733F">
        <w:rPr>
          <w:szCs w:val="20"/>
          <w:lang w:val="en-US"/>
        </w:rPr>
        <w:t>mg/kg</w:t>
      </w:r>
      <w:r w:rsidRPr="0079733F">
        <w:rPr>
          <w:szCs w:val="20"/>
        </w:rPr>
        <w:t>/ден, се наблюдава значително намаление на честотата на бременностите, а при цезарово сечение на гестационен ден 13 има значително по-малко жълти тела, имплантационни места и ембриони. Не се наблюдават обаче ефекти върху потомството на третирани женски, родили в това проучване.</w:t>
      </w:r>
    </w:p>
    <w:p w14:paraId="20E967BE" w14:textId="77777777" w:rsidR="0091385D" w:rsidRPr="0091385D" w:rsidRDefault="0091385D" w:rsidP="0091385D"/>
    <w:p w14:paraId="6A7820AB" w14:textId="353DB6D2" w:rsidR="008A6AF2" w:rsidRDefault="002C50EE" w:rsidP="00395555">
      <w:pPr>
        <w:pStyle w:val="Heading1"/>
      </w:pPr>
      <w:r>
        <w:lastRenderedPageBreak/>
        <w:t>7. ПРИТЕЖАТЕЛ НА РАЗРЕШЕНИЕТО ЗА УПОТРЕБА</w:t>
      </w:r>
    </w:p>
    <w:p w14:paraId="1B9B651E" w14:textId="3382E6AC" w:rsidR="0091385D" w:rsidRPr="0079733F" w:rsidRDefault="0091385D" w:rsidP="0091385D">
      <w:pPr>
        <w:rPr>
          <w:rFonts w:cs="Arial"/>
          <w:sz w:val="24"/>
        </w:rPr>
      </w:pPr>
    </w:p>
    <w:p w14:paraId="5B540767" w14:textId="77777777" w:rsidR="0079733F" w:rsidRPr="0079733F" w:rsidRDefault="0079733F" w:rsidP="0079733F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9733F">
        <w:rPr>
          <w:rFonts w:eastAsia="Times New Roman" w:cs="Arial"/>
          <w:color w:val="000000"/>
          <w:szCs w:val="20"/>
          <w:lang w:val="en-US"/>
        </w:rPr>
        <w:t>Upjohn EESV</w:t>
      </w:r>
    </w:p>
    <w:p w14:paraId="41ACD109" w14:textId="77777777" w:rsidR="0079733F" w:rsidRPr="0079733F" w:rsidRDefault="0079733F" w:rsidP="0079733F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proofErr w:type="spellStart"/>
      <w:r w:rsidRPr="0079733F">
        <w:rPr>
          <w:rFonts w:eastAsia="Times New Roman" w:cs="Arial"/>
          <w:color w:val="000000"/>
          <w:szCs w:val="20"/>
          <w:lang w:val="en-US"/>
        </w:rPr>
        <w:t>Rivium</w:t>
      </w:r>
      <w:proofErr w:type="spellEnd"/>
      <w:r w:rsidRPr="0079733F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9733F">
        <w:rPr>
          <w:rFonts w:eastAsia="Times New Roman" w:cs="Arial"/>
          <w:color w:val="000000"/>
          <w:szCs w:val="20"/>
          <w:lang w:val="en-US"/>
        </w:rPr>
        <w:t>Westlaan</w:t>
      </w:r>
      <w:proofErr w:type="spellEnd"/>
      <w:r w:rsidRPr="0079733F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79733F">
        <w:rPr>
          <w:rFonts w:eastAsia="Times New Roman" w:cs="Arial"/>
          <w:color w:val="000000"/>
          <w:szCs w:val="20"/>
          <w:lang w:eastAsia="bg-BG"/>
        </w:rPr>
        <w:t>142</w:t>
      </w:r>
    </w:p>
    <w:p w14:paraId="1DDC1F36" w14:textId="77777777" w:rsidR="0079733F" w:rsidRPr="0079733F" w:rsidRDefault="0079733F" w:rsidP="0079733F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9733F">
        <w:rPr>
          <w:rFonts w:eastAsia="Times New Roman" w:cs="Arial"/>
          <w:color w:val="000000"/>
          <w:szCs w:val="20"/>
          <w:lang w:eastAsia="bg-BG"/>
        </w:rPr>
        <w:t xml:space="preserve">2909 </w:t>
      </w:r>
      <w:r w:rsidRPr="0079733F">
        <w:rPr>
          <w:rFonts w:eastAsia="Times New Roman" w:cs="Arial"/>
          <w:color w:val="000000"/>
          <w:szCs w:val="20"/>
          <w:lang w:val="en-US"/>
        </w:rPr>
        <w:t xml:space="preserve">LD </w:t>
      </w:r>
      <w:r w:rsidRPr="0079733F">
        <w:rPr>
          <w:rFonts w:eastAsia="Times New Roman" w:cs="Arial"/>
          <w:color w:val="000000"/>
          <w:szCs w:val="20"/>
          <w:lang w:eastAsia="bg-BG"/>
        </w:rPr>
        <w:t>Capelle aan den IJssel</w:t>
      </w:r>
    </w:p>
    <w:p w14:paraId="3FD825DB" w14:textId="20A62566" w:rsidR="0091385D" w:rsidRPr="0079733F" w:rsidRDefault="0079733F" w:rsidP="0079733F">
      <w:pPr>
        <w:rPr>
          <w:rFonts w:cs="Arial"/>
          <w:sz w:val="24"/>
        </w:rPr>
      </w:pPr>
      <w:r w:rsidRPr="0079733F">
        <w:rPr>
          <w:rFonts w:eastAsia="Times New Roman" w:cs="Arial"/>
          <w:color w:val="000000"/>
          <w:szCs w:val="20"/>
          <w:lang w:eastAsia="bg-BG"/>
        </w:rPr>
        <w:t>Нидерландия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54CA436A" w:rsidR="0091385D" w:rsidRDefault="0091385D" w:rsidP="0091385D"/>
    <w:p w14:paraId="6E892CE5" w14:textId="0B573707" w:rsidR="0091385D" w:rsidRPr="0079733F" w:rsidRDefault="0079733F" w:rsidP="0091385D">
      <w:pPr>
        <w:rPr>
          <w:rFonts w:cs="Arial"/>
          <w:sz w:val="24"/>
        </w:rPr>
      </w:pPr>
      <w:r w:rsidRPr="0079733F">
        <w:rPr>
          <w:rFonts w:cs="Arial"/>
          <w:szCs w:val="20"/>
        </w:rPr>
        <w:t>Pe</w:t>
      </w:r>
      <w:r w:rsidRPr="0079733F">
        <w:rPr>
          <w:rFonts w:cs="Arial"/>
          <w:szCs w:val="20"/>
          <w:lang w:eastAsia="bg-BG"/>
        </w:rPr>
        <w:t>г</w:t>
      </w:r>
      <w:r w:rsidRPr="0079733F">
        <w:rPr>
          <w:rFonts w:cs="Arial"/>
          <w:szCs w:val="20"/>
        </w:rPr>
        <w:t>. № 20030547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0F79A9B4" w:rsidR="0091385D" w:rsidRDefault="0091385D" w:rsidP="0091385D"/>
    <w:p w14:paraId="6E8A8ACD" w14:textId="77777777" w:rsidR="0079733F" w:rsidRPr="0079733F" w:rsidRDefault="0079733F" w:rsidP="0079733F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9733F">
        <w:rPr>
          <w:rFonts w:eastAsia="Times New Roman" w:cs="Arial"/>
          <w:color w:val="000000"/>
          <w:szCs w:val="20"/>
          <w:lang w:eastAsia="bg-BG"/>
        </w:rPr>
        <w:t>Дата на първо разрешаване: 25/11/1991</w:t>
      </w:r>
    </w:p>
    <w:p w14:paraId="53FBC34C" w14:textId="77777777" w:rsidR="0079733F" w:rsidRPr="0079733F" w:rsidRDefault="0079733F" w:rsidP="0079733F">
      <w:pPr>
        <w:spacing w:line="240" w:lineRule="auto"/>
        <w:jc w:val="center"/>
        <w:rPr>
          <w:rFonts w:eastAsia="Times New Roman" w:cs="Arial"/>
          <w:sz w:val="28"/>
          <w:szCs w:val="24"/>
          <w:lang w:eastAsia="bg-BG"/>
        </w:rPr>
      </w:pPr>
      <w:r w:rsidRPr="0079733F">
        <w:rPr>
          <w:rFonts w:eastAsia="Times New Roman" w:cs="Arial"/>
          <w:color w:val="000000"/>
          <w:szCs w:val="20"/>
          <w:lang w:eastAsia="bg-BG"/>
        </w:rPr>
        <w:t>25/07/2003 (пререгистрация)</w:t>
      </w:r>
    </w:p>
    <w:p w14:paraId="497007FA" w14:textId="7C8018F1" w:rsidR="0091385D" w:rsidRPr="0079733F" w:rsidRDefault="0079733F" w:rsidP="0079733F">
      <w:pPr>
        <w:rPr>
          <w:rFonts w:cs="Arial"/>
          <w:sz w:val="24"/>
        </w:rPr>
      </w:pPr>
      <w:r w:rsidRPr="0079733F">
        <w:rPr>
          <w:rFonts w:eastAsia="Times New Roman" w:cs="Arial"/>
          <w:color w:val="000000"/>
          <w:szCs w:val="20"/>
          <w:lang w:eastAsia="bg-BG"/>
        </w:rPr>
        <w:t>Дата на последно подновяване: 29/01/2009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34E0D3BB" w:rsidR="0091385D" w:rsidRDefault="0091385D" w:rsidP="0091385D"/>
    <w:p w14:paraId="30276F52" w14:textId="73E67414" w:rsidR="0091385D" w:rsidRDefault="0091385D" w:rsidP="0091385D"/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29"/>
  </w:num>
  <w:num w:numId="12">
    <w:abstractNumId w:val="13"/>
  </w:num>
  <w:num w:numId="13">
    <w:abstractNumId w:val="18"/>
  </w:num>
  <w:num w:numId="14">
    <w:abstractNumId w:val="11"/>
  </w:num>
  <w:num w:numId="15">
    <w:abstractNumId w:val="28"/>
  </w:num>
  <w:num w:numId="16">
    <w:abstractNumId w:val="9"/>
  </w:num>
  <w:num w:numId="17">
    <w:abstractNumId w:val="23"/>
  </w:num>
  <w:num w:numId="18">
    <w:abstractNumId w:val="7"/>
  </w:num>
  <w:num w:numId="19">
    <w:abstractNumId w:val="25"/>
  </w:num>
  <w:num w:numId="20">
    <w:abstractNumId w:val="22"/>
  </w:num>
  <w:num w:numId="21">
    <w:abstractNumId w:val="16"/>
  </w:num>
  <w:num w:numId="22">
    <w:abstractNumId w:val="24"/>
  </w:num>
  <w:num w:numId="23">
    <w:abstractNumId w:val="17"/>
  </w:num>
  <w:num w:numId="24">
    <w:abstractNumId w:val="8"/>
  </w:num>
  <w:num w:numId="25">
    <w:abstractNumId w:val="21"/>
  </w:num>
  <w:num w:numId="26">
    <w:abstractNumId w:val="20"/>
  </w:num>
  <w:num w:numId="27">
    <w:abstractNumId w:val="30"/>
  </w:num>
  <w:num w:numId="28">
    <w:abstractNumId w:val="6"/>
  </w:num>
  <w:num w:numId="29">
    <w:abstractNumId w:val="19"/>
  </w:num>
  <w:num w:numId="30">
    <w:abstractNumId w:val="33"/>
  </w:num>
  <w:num w:numId="31">
    <w:abstractNumId w:val="5"/>
  </w:num>
  <w:num w:numId="32">
    <w:abstractNumId w:val="32"/>
  </w:num>
  <w:num w:numId="33">
    <w:abstractNumId w:val="2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9733F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46443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2713</Words>
  <Characters>15465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2022-11-01T12:50:00Z</dcterms:created>
  <dcterms:modified xsi:type="dcterms:W3CDTF">2022-11-01T12:50:00Z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