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09CEB67B" w:rsidR="002C50EE" w:rsidRPr="00C87C39" w:rsidRDefault="002C50EE" w:rsidP="002C50EE">
      <w:pPr>
        <w:pStyle w:val="Heading1"/>
        <w:jc w:val="center"/>
      </w:pPr>
      <w:bookmarkStart w:id="0" w:name="_Hlk63124480"/>
      <w:r w:rsidRPr="00C87C39">
        <w:t>КРАТКА ХАРАКТЕРИСТИКА НА ПРОДУКТА</w:t>
      </w:r>
    </w:p>
    <w:p w14:paraId="5A3B4435" w14:textId="77777777" w:rsidR="0091385D" w:rsidRPr="00C87C39" w:rsidRDefault="0091385D" w:rsidP="0091385D"/>
    <w:p w14:paraId="3320F4BE" w14:textId="2EB48694" w:rsidR="00C40420" w:rsidRPr="00C87C39" w:rsidRDefault="00DD466D" w:rsidP="004A448E">
      <w:pPr>
        <w:pStyle w:val="Heading1"/>
      </w:pPr>
      <w:r w:rsidRPr="00C87C39">
        <w:t>1.ИМЕ НА ЛЕКАРСТВЕНИЯ ПРОДУКТ</w:t>
      </w:r>
    </w:p>
    <w:p w14:paraId="5E9BA472" w14:textId="7B7F9CBA" w:rsidR="0091385D" w:rsidRPr="00C87C39" w:rsidRDefault="0091385D" w:rsidP="0091385D"/>
    <w:p w14:paraId="4806707F" w14:textId="77777777" w:rsidR="00DE2C5A" w:rsidRPr="00C87C39" w:rsidRDefault="00DE2C5A" w:rsidP="00DE2C5A">
      <w:pPr>
        <w:spacing w:line="240" w:lineRule="auto"/>
        <w:rPr>
          <w:rFonts w:eastAsia="Times New Roman" w:cs="Arial"/>
          <w:lang w:val="ru-RU" w:eastAsia="bg-BG"/>
        </w:rPr>
      </w:pPr>
      <w:r w:rsidRPr="00C87C39">
        <w:rPr>
          <w:rFonts w:eastAsia="Times New Roman" w:cs="Arial"/>
          <w:bCs/>
          <w:color w:val="000000"/>
          <w:lang w:eastAsia="bg-BG"/>
        </w:rPr>
        <w:t xml:space="preserve">Сертралин Акорд 50 </w:t>
      </w:r>
      <w:r w:rsidRPr="00C87C39">
        <w:rPr>
          <w:rFonts w:eastAsia="Times New Roman" w:cs="Arial"/>
          <w:bCs/>
          <w:color w:val="000000"/>
          <w:lang w:val="en-US"/>
        </w:rPr>
        <w:t>mg</w:t>
      </w:r>
      <w:r w:rsidRPr="00C87C39">
        <w:rPr>
          <w:rFonts w:eastAsia="Times New Roman" w:cs="Arial"/>
          <w:bCs/>
          <w:color w:val="000000"/>
          <w:lang w:val="ru-RU"/>
        </w:rPr>
        <w:t xml:space="preserve"> </w:t>
      </w:r>
      <w:r w:rsidRPr="00C87C39">
        <w:rPr>
          <w:rFonts w:eastAsia="Times New Roman" w:cs="Arial"/>
          <w:bCs/>
          <w:color w:val="000000"/>
          <w:lang w:eastAsia="bg-BG"/>
        </w:rPr>
        <w:t>филмирани таблетки</w:t>
      </w:r>
    </w:p>
    <w:p w14:paraId="3A1694F9" w14:textId="77777777" w:rsidR="00DE2C5A" w:rsidRPr="00C87C39" w:rsidRDefault="00DE2C5A" w:rsidP="00DE2C5A">
      <w:pPr>
        <w:spacing w:line="240" w:lineRule="auto"/>
        <w:rPr>
          <w:rFonts w:eastAsia="Times New Roman" w:cs="Arial"/>
          <w:lang w:val="ru-RU" w:eastAsia="bg-BG"/>
        </w:rPr>
      </w:pPr>
      <w:r w:rsidRPr="00C87C39">
        <w:rPr>
          <w:rFonts w:eastAsia="Times New Roman" w:cs="Arial"/>
          <w:bCs/>
          <w:color w:val="000000"/>
          <w:lang w:eastAsia="bg-BG"/>
        </w:rPr>
        <w:t xml:space="preserve">Сертралин Акорд 100 </w:t>
      </w:r>
      <w:r w:rsidRPr="00C87C39">
        <w:rPr>
          <w:rFonts w:eastAsia="Times New Roman" w:cs="Arial"/>
          <w:bCs/>
          <w:color w:val="000000"/>
          <w:lang w:val="en-US"/>
        </w:rPr>
        <w:t>mg</w:t>
      </w:r>
      <w:r w:rsidRPr="00C87C39">
        <w:rPr>
          <w:rFonts w:eastAsia="Times New Roman" w:cs="Arial"/>
          <w:bCs/>
          <w:color w:val="000000"/>
          <w:lang w:val="ru-RU"/>
        </w:rPr>
        <w:t xml:space="preserve"> </w:t>
      </w:r>
      <w:r w:rsidRPr="00C87C39">
        <w:rPr>
          <w:rFonts w:eastAsia="Times New Roman" w:cs="Arial"/>
          <w:bCs/>
          <w:color w:val="000000"/>
          <w:lang w:eastAsia="bg-BG"/>
        </w:rPr>
        <w:t>филмирани таблетки*</w:t>
      </w:r>
    </w:p>
    <w:p w14:paraId="56DEB88F" w14:textId="77777777" w:rsidR="00DE2C5A" w:rsidRPr="00C87C39" w:rsidRDefault="00DE2C5A" w:rsidP="00DE2C5A">
      <w:pPr>
        <w:spacing w:line="240" w:lineRule="auto"/>
        <w:rPr>
          <w:rFonts w:eastAsia="Times New Roman" w:cs="Arial"/>
          <w:bCs/>
          <w:color w:val="000000"/>
          <w:lang w:val="ru-RU"/>
        </w:rPr>
      </w:pPr>
    </w:p>
    <w:p w14:paraId="0F5DF053" w14:textId="27A3ED98" w:rsidR="00DE2C5A" w:rsidRPr="00C87C39" w:rsidRDefault="00DE2C5A" w:rsidP="00DE2C5A">
      <w:pPr>
        <w:spacing w:line="240" w:lineRule="auto"/>
        <w:rPr>
          <w:rFonts w:eastAsia="Times New Roman" w:cs="Arial"/>
          <w:lang w:val="en-US" w:eastAsia="bg-BG"/>
        </w:rPr>
      </w:pPr>
      <w:r w:rsidRPr="00C87C39">
        <w:rPr>
          <w:rFonts w:eastAsia="Times New Roman" w:cs="Arial"/>
          <w:bCs/>
          <w:color w:val="000000"/>
          <w:lang w:val="en-US"/>
        </w:rPr>
        <w:t xml:space="preserve">Sertraline Accord </w:t>
      </w:r>
      <w:r w:rsidRPr="00C87C39">
        <w:rPr>
          <w:rFonts w:eastAsia="Times New Roman" w:cs="Arial"/>
          <w:bCs/>
          <w:color w:val="000000"/>
          <w:lang w:eastAsia="bg-BG"/>
        </w:rPr>
        <w:t xml:space="preserve">50 </w:t>
      </w:r>
      <w:r w:rsidRPr="00C87C39">
        <w:rPr>
          <w:rFonts w:eastAsia="Times New Roman" w:cs="Arial"/>
          <w:bCs/>
          <w:color w:val="000000"/>
          <w:lang w:val="en-US"/>
        </w:rPr>
        <w:t>mg film-coated tablets</w:t>
      </w:r>
    </w:p>
    <w:p w14:paraId="69AC8148" w14:textId="21D947CB" w:rsidR="00EC41ED" w:rsidRPr="00C87C39" w:rsidRDefault="00DE2C5A" w:rsidP="00DE2C5A">
      <w:pPr>
        <w:rPr>
          <w:rFonts w:cs="Arial"/>
        </w:rPr>
      </w:pPr>
      <w:r w:rsidRPr="00C87C39">
        <w:rPr>
          <w:rFonts w:eastAsia="Times New Roman" w:cs="Arial"/>
          <w:bCs/>
          <w:color w:val="000000"/>
          <w:lang w:val="en-US"/>
        </w:rPr>
        <w:t>Sertraline Accord 100 mg film-coated tablets</w:t>
      </w:r>
    </w:p>
    <w:p w14:paraId="1E8447D1" w14:textId="77777777" w:rsidR="0091385D" w:rsidRPr="00C87C39" w:rsidRDefault="0091385D" w:rsidP="0091385D"/>
    <w:p w14:paraId="6920A680" w14:textId="53C3EFCC" w:rsidR="00C40420" w:rsidRPr="00C87C39" w:rsidRDefault="00DD466D" w:rsidP="004A448E">
      <w:pPr>
        <w:pStyle w:val="Heading1"/>
      </w:pPr>
      <w:r w:rsidRPr="00C87C39">
        <w:t>2. КАЧЕСТВЕН И КОЛИЧЕСТВЕН СЪСТАВ</w:t>
      </w:r>
    </w:p>
    <w:p w14:paraId="1ED33AE8" w14:textId="478BAC70" w:rsidR="0091385D" w:rsidRPr="00C87C39" w:rsidRDefault="0091385D" w:rsidP="0091385D"/>
    <w:p w14:paraId="5F393F48"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Всяка таблетка съдържа сертралинов хидрохлорид </w:t>
      </w:r>
      <w:r w:rsidRPr="00C87C39">
        <w:rPr>
          <w:rFonts w:eastAsia="Times New Roman" w:cs="Arial"/>
          <w:bCs/>
          <w:i/>
          <w:iCs/>
          <w:color w:val="000000"/>
        </w:rPr>
        <w:t>(</w:t>
      </w:r>
      <w:r w:rsidRPr="00C87C39">
        <w:rPr>
          <w:rFonts w:eastAsia="Times New Roman" w:cs="Arial"/>
          <w:bCs/>
          <w:i/>
          <w:iCs/>
          <w:color w:val="000000"/>
          <w:lang w:val="en-US"/>
        </w:rPr>
        <w:t>sertraline</w:t>
      </w:r>
      <w:r w:rsidRPr="00C87C39">
        <w:rPr>
          <w:rFonts w:eastAsia="Times New Roman" w:cs="Arial"/>
          <w:bCs/>
          <w:i/>
          <w:iCs/>
          <w:color w:val="000000"/>
        </w:rPr>
        <w:t xml:space="preserve"> </w:t>
      </w:r>
      <w:r w:rsidRPr="00C87C39">
        <w:rPr>
          <w:rFonts w:eastAsia="Times New Roman" w:cs="Arial"/>
          <w:bCs/>
          <w:i/>
          <w:iCs/>
          <w:color w:val="000000"/>
          <w:lang w:val="en-US"/>
        </w:rPr>
        <w:t>hydrochloride</w:t>
      </w:r>
      <w:r w:rsidRPr="00C87C39">
        <w:rPr>
          <w:rFonts w:eastAsia="Times New Roman" w:cs="Arial"/>
          <w:bCs/>
          <w:i/>
          <w:iCs/>
          <w:color w:val="000000"/>
        </w:rPr>
        <w:t>),</w:t>
      </w:r>
      <w:r w:rsidRPr="00C87C39">
        <w:rPr>
          <w:rFonts w:eastAsia="Times New Roman" w:cs="Arial"/>
          <w:bCs/>
          <w:color w:val="000000"/>
        </w:rPr>
        <w:t xml:space="preserve"> </w:t>
      </w:r>
      <w:r w:rsidRPr="00C87C39">
        <w:rPr>
          <w:rFonts w:eastAsia="Times New Roman" w:cs="Arial"/>
          <w:bCs/>
          <w:color w:val="000000"/>
          <w:lang w:eastAsia="bg-BG"/>
        </w:rPr>
        <w:t xml:space="preserve">еквивалентен на 50 </w:t>
      </w:r>
      <w:r w:rsidRPr="00C87C39">
        <w:rPr>
          <w:rFonts w:eastAsia="Times New Roman" w:cs="Arial"/>
          <w:bCs/>
          <w:color w:val="000000"/>
          <w:lang w:val="en-US"/>
        </w:rPr>
        <w:t>mg</w:t>
      </w:r>
      <w:r w:rsidRPr="00C87C39">
        <w:rPr>
          <w:rFonts w:eastAsia="Times New Roman" w:cs="Arial"/>
          <w:bCs/>
          <w:color w:val="000000"/>
        </w:rPr>
        <w:t xml:space="preserve"> </w:t>
      </w:r>
      <w:r w:rsidRPr="00C87C39">
        <w:rPr>
          <w:rFonts w:eastAsia="Times New Roman" w:cs="Arial"/>
          <w:bCs/>
          <w:color w:val="000000"/>
          <w:lang w:eastAsia="bg-BG"/>
        </w:rPr>
        <w:t xml:space="preserve">сертралин </w:t>
      </w:r>
      <w:r w:rsidRPr="00C87C39">
        <w:rPr>
          <w:rFonts w:eastAsia="Times New Roman" w:cs="Arial"/>
          <w:bCs/>
          <w:i/>
          <w:iCs/>
          <w:color w:val="000000"/>
        </w:rPr>
        <w:t>(</w:t>
      </w:r>
      <w:r w:rsidRPr="00C87C39">
        <w:rPr>
          <w:rFonts w:eastAsia="Times New Roman" w:cs="Arial"/>
          <w:bCs/>
          <w:i/>
          <w:iCs/>
          <w:color w:val="000000"/>
          <w:lang w:val="en-US"/>
        </w:rPr>
        <w:t>sertraline</w:t>
      </w:r>
      <w:r w:rsidRPr="00C87C39">
        <w:rPr>
          <w:rFonts w:eastAsia="Times New Roman" w:cs="Arial"/>
          <w:bCs/>
          <w:i/>
          <w:iCs/>
          <w:color w:val="000000"/>
        </w:rPr>
        <w:t>).</w:t>
      </w:r>
    </w:p>
    <w:p w14:paraId="323D899E"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Всяка таблетка съдържа сертралинов хидрохлорид </w:t>
      </w:r>
      <w:r w:rsidRPr="00C87C39">
        <w:rPr>
          <w:rFonts w:eastAsia="Times New Roman" w:cs="Arial"/>
          <w:bCs/>
          <w:i/>
          <w:iCs/>
          <w:color w:val="000000"/>
        </w:rPr>
        <w:t>(</w:t>
      </w:r>
      <w:r w:rsidRPr="00C87C39">
        <w:rPr>
          <w:rFonts w:eastAsia="Times New Roman" w:cs="Arial"/>
          <w:bCs/>
          <w:i/>
          <w:iCs/>
          <w:color w:val="000000"/>
          <w:lang w:val="en-US"/>
        </w:rPr>
        <w:t>sertraline</w:t>
      </w:r>
      <w:r w:rsidRPr="00C87C39">
        <w:rPr>
          <w:rFonts w:eastAsia="Times New Roman" w:cs="Arial"/>
          <w:bCs/>
          <w:i/>
          <w:iCs/>
          <w:color w:val="000000"/>
        </w:rPr>
        <w:t xml:space="preserve"> </w:t>
      </w:r>
      <w:r w:rsidRPr="00C87C39">
        <w:rPr>
          <w:rFonts w:eastAsia="Times New Roman" w:cs="Arial"/>
          <w:bCs/>
          <w:i/>
          <w:iCs/>
          <w:color w:val="000000"/>
          <w:lang w:val="en-US"/>
        </w:rPr>
        <w:t>hydrochloride</w:t>
      </w:r>
      <w:r w:rsidRPr="00C87C39">
        <w:rPr>
          <w:rFonts w:eastAsia="Times New Roman" w:cs="Arial"/>
          <w:bCs/>
          <w:i/>
          <w:iCs/>
          <w:color w:val="000000"/>
        </w:rPr>
        <w:t>),</w:t>
      </w:r>
      <w:r w:rsidRPr="00C87C39">
        <w:rPr>
          <w:rFonts w:eastAsia="Times New Roman" w:cs="Arial"/>
          <w:bCs/>
          <w:color w:val="000000"/>
        </w:rPr>
        <w:t xml:space="preserve"> </w:t>
      </w:r>
      <w:r w:rsidRPr="00C87C39">
        <w:rPr>
          <w:rFonts w:eastAsia="Times New Roman" w:cs="Arial"/>
          <w:bCs/>
          <w:color w:val="000000"/>
          <w:lang w:eastAsia="bg-BG"/>
        </w:rPr>
        <w:t xml:space="preserve">еквивалентен на 100 </w:t>
      </w:r>
      <w:r w:rsidRPr="00C87C39">
        <w:rPr>
          <w:rFonts w:eastAsia="Times New Roman" w:cs="Arial"/>
          <w:bCs/>
          <w:color w:val="000000"/>
          <w:lang w:val="en-US"/>
        </w:rPr>
        <w:t>mg</w:t>
      </w:r>
      <w:r w:rsidRPr="00C87C39">
        <w:rPr>
          <w:rFonts w:eastAsia="Times New Roman" w:cs="Arial"/>
          <w:bCs/>
          <w:color w:val="000000"/>
        </w:rPr>
        <w:t xml:space="preserve"> </w:t>
      </w:r>
      <w:r w:rsidRPr="00C87C39">
        <w:rPr>
          <w:rFonts w:eastAsia="Times New Roman" w:cs="Arial"/>
          <w:bCs/>
          <w:color w:val="000000"/>
          <w:lang w:eastAsia="bg-BG"/>
        </w:rPr>
        <w:t xml:space="preserve">сертралин </w:t>
      </w:r>
      <w:r w:rsidRPr="00C87C39">
        <w:rPr>
          <w:rFonts w:eastAsia="Times New Roman" w:cs="Arial"/>
          <w:bCs/>
          <w:i/>
          <w:iCs/>
          <w:color w:val="000000"/>
        </w:rPr>
        <w:t>(</w:t>
      </w:r>
      <w:r w:rsidRPr="00C87C39">
        <w:rPr>
          <w:rFonts w:eastAsia="Times New Roman" w:cs="Arial"/>
          <w:bCs/>
          <w:i/>
          <w:iCs/>
          <w:color w:val="000000"/>
          <w:lang w:val="en-US"/>
        </w:rPr>
        <w:t>sertraline</w:t>
      </w:r>
      <w:r w:rsidRPr="00C87C39">
        <w:rPr>
          <w:rFonts w:eastAsia="Times New Roman" w:cs="Arial"/>
          <w:bCs/>
          <w:i/>
          <w:iCs/>
          <w:color w:val="000000"/>
        </w:rPr>
        <w:t>).</w:t>
      </w:r>
    </w:p>
    <w:p w14:paraId="0E740DAE" w14:textId="77777777" w:rsidR="00DE2C5A" w:rsidRPr="00C87C39" w:rsidRDefault="00DE2C5A" w:rsidP="00DE2C5A">
      <w:pPr>
        <w:rPr>
          <w:rFonts w:eastAsia="Times New Roman" w:cs="Arial"/>
          <w:bCs/>
          <w:color w:val="000000"/>
          <w:lang w:eastAsia="bg-BG"/>
        </w:rPr>
      </w:pPr>
    </w:p>
    <w:p w14:paraId="54632B43" w14:textId="7BAF4842" w:rsidR="00EC41ED" w:rsidRPr="00C87C39" w:rsidRDefault="00DE2C5A" w:rsidP="00DE2C5A">
      <w:pPr>
        <w:rPr>
          <w:rFonts w:cs="Arial"/>
        </w:rPr>
      </w:pPr>
      <w:r w:rsidRPr="00C87C39">
        <w:rPr>
          <w:rFonts w:eastAsia="Times New Roman" w:cs="Arial"/>
          <w:bCs/>
          <w:color w:val="000000"/>
          <w:lang w:eastAsia="bg-BG"/>
        </w:rPr>
        <w:t>За пълния списък на помощните вещества вижте точка 6.1.</w:t>
      </w:r>
    </w:p>
    <w:p w14:paraId="3C47C299" w14:textId="77777777" w:rsidR="00A73575" w:rsidRPr="00C87C39" w:rsidRDefault="00A73575" w:rsidP="0091385D"/>
    <w:p w14:paraId="614984C4" w14:textId="3FC552C3" w:rsidR="008A6AF2" w:rsidRPr="00C87C39" w:rsidRDefault="00DD466D" w:rsidP="002C50EE">
      <w:pPr>
        <w:pStyle w:val="Heading1"/>
      </w:pPr>
      <w:r w:rsidRPr="00C87C39">
        <w:t>3. ЛЕКАРСТВЕНА ФОРМА</w:t>
      </w:r>
    </w:p>
    <w:p w14:paraId="1004E96C" w14:textId="67F9C61D" w:rsidR="0091385D" w:rsidRPr="00C87C39" w:rsidRDefault="0091385D" w:rsidP="0091385D"/>
    <w:p w14:paraId="7CEA836B"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Филмирана таблетка.</w:t>
      </w:r>
    </w:p>
    <w:p w14:paraId="79B920F2" w14:textId="77777777" w:rsidR="00DE2C5A" w:rsidRPr="00C87C39" w:rsidRDefault="00DE2C5A" w:rsidP="00DE2C5A">
      <w:pPr>
        <w:spacing w:line="240" w:lineRule="auto"/>
        <w:rPr>
          <w:rFonts w:ascii="Times New Roman" w:eastAsia="Times New Roman" w:hAnsi="Times New Roman" w:cs="Times New Roman"/>
          <w:bCs/>
          <w:color w:val="000000"/>
          <w:sz w:val="20"/>
          <w:szCs w:val="20"/>
          <w:lang w:eastAsia="bg-BG"/>
        </w:rPr>
      </w:pPr>
    </w:p>
    <w:p w14:paraId="4BC0A35F" w14:textId="76280E4A"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За 50 </w:t>
      </w:r>
      <w:r w:rsidRPr="00C87C39">
        <w:rPr>
          <w:rFonts w:eastAsia="Times New Roman" w:cs="Arial"/>
          <w:bCs/>
          <w:color w:val="000000"/>
          <w:lang w:val="en-US"/>
        </w:rPr>
        <w:t>mg</w:t>
      </w:r>
      <w:r w:rsidRPr="00C87C39">
        <w:rPr>
          <w:rFonts w:eastAsia="Times New Roman" w:cs="Arial"/>
          <w:bCs/>
          <w:color w:val="000000"/>
          <w:lang w:val="ru-RU"/>
        </w:rPr>
        <w:t>:</w:t>
      </w:r>
    </w:p>
    <w:p w14:paraId="384844F6"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Бели, двойноизпъкнали, с форма на капсула, филмирани таблетки, гравирани с „I” и „С” от двете страни на делителната черта от едната страна на таблетката и гладки, без надпис от другата страна. Таблетката може да бъде разделена на две равни дози.</w:t>
      </w:r>
    </w:p>
    <w:p w14:paraId="478A55DA"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Дължината на таблетката е приблизително 10,5 </w:t>
      </w:r>
      <w:r w:rsidRPr="00C87C39">
        <w:rPr>
          <w:rFonts w:eastAsia="Times New Roman" w:cs="Arial"/>
          <w:bCs/>
          <w:color w:val="000000"/>
          <w:lang w:val="en-US"/>
        </w:rPr>
        <w:t>mm</w:t>
      </w:r>
      <w:r w:rsidRPr="00C87C39">
        <w:rPr>
          <w:rFonts w:eastAsia="Times New Roman" w:cs="Arial"/>
          <w:bCs/>
          <w:color w:val="000000"/>
          <w:lang w:val="ru-RU"/>
        </w:rPr>
        <w:t xml:space="preserve">, </w:t>
      </w:r>
      <w:r w:rsidRPr="00C87C39">
        <w:rPr>
          <w:rFonts w:eastAsia="Times New Roman" w:cs="Arial"/>
          <w:bCs/>
          <w:color w:val="000000"/>
          <w:lang w:eastAsia="bg-BG"/>
        </w:rPr>
        <w:t xml:space="preserve">а ширината е приблизително 4,2 </w:t>
      </w:r>
      <w:r w:rsidRPr="00C87C39">
        <w:rPr>
          <w:rFonts w:eastAsia="Times New Roman" w:cs="Arial"/>
          <w:bCs/>
          <w:color w:val="000000"/>
          <w:lang w:val="en-US"/>
        </w:rPr>
        <w:t>mm</w:t>
      </w:r>
      <w:r w:rsidRPr="00C87C39">
        <w:rPr>
          <w:rFonts w:eastAsia="Times New Roman" w:cs="Arial"/>
          <w:bCs/>
          <w:color w:val="000000"/>
          <w:lang w:val="ru-RU"/>
        </w:rPr>
        <w:t>.</w:t>
      </w:r>
    </w:p>
    <w:p w14:paraId="786C849A" w14:textId="77777777" w:rsidR="00DE2C5A" w:rsidRPr="00C87C39" w:rsidRDefault="00DE2C5A" w:rsidP="00DE2C5A">
      <w:pPr>
        <w:spacing w:line="240" w:lineRule="auto"/>
        <w:rPr>
          <w:rFonts w:eastAsia="Times New Roman" w:cs="Arial"/>
          <w:bCs/>
          <w:color w:val="000000"/>
          <w:lang w:eastAsia="bg-BG"/>
        </w:rPr>
      </w:pPr>
    </w:p>
    <w:p w14:paraId="210C66C9" w14:textId="518863E1"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За 100 </w:t>
      </w:r>
      <w:r w:rsidRPr="00C87C39">
        <w:rPr>
          <w:rFonts w:eastAsia="Times New Roman" w:cs="Arial"/>
          <w:bCs/>
          <w:color w:val="000000"/>
          <w:lang w:val="en-US"/>
        </w:rPr>
        <w:t>mg</w:t>
      </w:r>
      <w:r w:rsidRPr="00C87C39">
        <w:rPr>
          <w:rFonts w:eastAsia="Times New Roman" w:cs="Arial"/>
          <w:bCs/>
          <w:color w:val="000000"/>
          <w:lang w:val="ru-RU"/>
        </w:rPr>
        <w:t>:</w:t>
      </w:r>
    </w:p>
    <w:p w14:paraId="73CFF7A5"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Бели, двойноизпъкнали, с форма на капсула, филмирани таблетки, гравирани с „</w:t>
      </w:r>
      <w:r w:rsidRPr="00C87C39">
        <w:rPr>
          <w:rFonts w:eastAsia="Times New Roman" w:cs="Arial"/>
          <w:bCs/>
          <w:color w:val="000000"/>
          <w:lang w:val="en-US"/>
        </w:rPr>
        <w:t>IJ</w:t>
      </w:r>
      <w:r w:rsidRPr="00C87C39">
        <w:rPr>
          <w:rFonts w:eastAsia="Times New Roman" w:cs="Arial"/>
          <w:bCs/>
          <w:color w:val="000000"/>
          <w:lang w:eastAsia="bg-BG"/>
        </w:rPr>
        <w:t>” от едната страна на таблетката и гладки, без надпис от другата страна.</w:t>
      </w:r>
    </w:p>
    <w:p w14:paraId="743244F0" w14:textId="0C5C71DA" w:rsidR="00EC41ED" w:rsidRPr="00C87C39" w:rsidRDefault="00DE2C5A" w:rsidP="00DE2C5A">
      <w:pPr>
        <w:rPr>
          <w:rFonts w:cs="Arial"/>
        </w:rPr>
      </w:pPr>
      <w:r w:rsidRPr="00C87C39">
        <w:rPr>
          <w:rFonts w:eastAsia="Times New Roman" w:cs="Arial"/>
          <w:bCs/>
          <w:color w:val="000000"/>
          <w:lang w:eastAsia="bg-BG"/>
        </w:rPr>
        <w:t xml:space="preserve">Дължината на таблетката е приблизително 13,3 </w:t>
      </w:r>
      <w:r w:rsidRPr="00C87C39">
        <w:rPr>
          <w:rFonts w:eastAsia="Times New Roman" w:cs="Arial"/>
          <w:bCs/>
          <w:color w:val="000000"/>
          <w:lang w:val="en-US"/>
        </w:rPr>
        <w:t>mm</w:t>
      </w:r>
      <w:r w:rsidRPr="00C87C39">
        <w:rPr>
          <w:rFonts w:eastAsia="Times New Roman" w:cs="Arial"/>
          <w:bCs/>
          <w:color w:val="000000"/>
          <w:lang w:val="ru-RU"/>
        </w:rPr>
        <w:t xml:space="preserve">, </w:t>
      </w:r>
      <w:r w:rsidRPr="00C87C39">
        <w:rPr>
          <w:rFonts w:eastAsia="Times New Roman" w:cs="Arial"/>
          <w:bCs/>
          <w:color w:val="000000"/>
          <w:lang w:eastAsia="bg-BG"/>
        </w:rPr>
        <w:t xml:space="preserve">а ширината е приблизително 5,2 </w:t>
      </w:r>
      <w:r w:rsidRPr="00C87C39">
        <w:rPr>
          <w:rFonts w:eastAsia="Times New Roman" w:cs="Arial"/>
          <w:bCs/>
          <w:color w:val="000000"/>
          <w:lang w:val="en-US"/>
        </w:rPr>
        <w:t>mm</w:t>
      </w:r>
      <w:r w:rsidRPr="00C87C39">
        <w:rPr>
          <w:rFonts w:eastAsia="Times New Roman" w:cs="Arial"/>
          <w:bCs/>
          <w:color w:val="000000"/>
          <w:lang w:val="ru-RU"/>
        </w:rPr>
        <w:t>.</w:t>
      </w:r>
    </w:p>
    <w:p w14:paraId="7D287A22" w14:textId="77777777" w:rsidR="00A73575" w:rsidRPr="00C87C39" w:rsidRDefault="00A73575" w:rsidP="0091385D"/>
    <w:p w14:paraId="490FC2C4" w14:textId="76FABE77" w:rsidR="002C50EE" w:rsidRPr="00C87C39" w:rsidRDefault="002C50EE" w:rsidP="002C50EE">
      <w:pPr>
        <w:pStyle w:val="Heading1"/>
      </w:pPr>
      <w:r w:rsidRPr="00C87C39">
        <w:t>4. КЛИНИЧНИ ДАННИ</w:t>
      </w:r>
    </w:p>
    <w:p w14:paraId="0C69CBC7" w14:textId="77777777" w:rsidR="0091385D" w:rsidRPr="00C87C39" w:rsidRDefault="0091385D" w:rsidP="0091385D"/>
    <w:p w14:paraId="0C8E6903" w14:textId="51BB3E2D" w:rsidR="008134C8" w:rsidRPr="00C87C39" w:rsidRDefault="002C50EE" w:rsidP="004A448E">
      <w:pPr>
        <w:pStyle w:val="Heading2"/>
      </w:pPr>
      <w:r w:rsidRPr="00C87C39">
        <w:t>4.1. Терапевтични показания</w:t>
      </w:r>
    </w:p>
    <w:p w14:paraId="5CAE1B26" w14:textId="65C1A157" w:rsidR="00DE2C5A" w:rsidRPr="00C87C39" w:rsidRDefault="00DE2C5A" w:rsidP="00DE2C5A">
      <w:pPr>
        <w:spacing w:line="240" w:lineRule="auto"/>
        <w:rPr>
          <w:rFonts w:ascii="Times New Roman" w:eastAsia="Times New Roman" w:hAnsi="Times New Roman" w:cs="Times New Roman"/>
          <w:bCs/>
          <w:color w:val="000000"/>
          <w:sz w:val="20"/>
          <w:szCs w:val="20"/>
          <w:lang w:eastAsia="bg-BG"/>
        </w:rPr>
      </w:pPr>
    </w:p>
    <w:p w14:paraId="10CB0139" w14:textId="2699285C"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Сертралин е показан за лечение на:</w:t>
      </w:r>
    </w:p>
    <w:p w14:paraId="3F973355" w14:textId="77777777" w:rsidR="00DE2C5A" w:rsidRPr="00C87C39" w:rsidRDefault="00DE2C5A" w:rsidP="00DE2C5A">
      <w:pPr>
        <w:spacing w:line="240" w:lineRule="auto"/>
        <w:rPr>
          <w:rFonts w:eastAsia="Times New Roman" w:cs="Arial"/>
          <w:bCs/>
          <w:color w:val="000000"/>
          <w:lang w:eastAsia="bg-BG"/>
        </w:rPr>
      </w:pPr>
    </w:p>
    <w:p w14:paraId="56FAA953" w14:textId="6386A5E5"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lastRenderedPageBreak/>
        <w:t>Големи депресивни епизоди. Профилактика на рецидив на големи депресивни епизоди.</w:t>
      </w:r>
    </w:p>
    <w:p w14:paraId="14D5A77A" w14:textId="77777777" w:rsidR="00DE2C5A" w:rsidRPr="00C87C39" w:rsidRDefault="00DE2C5A" w:rsidP="00DE2C5A">
      <w:pPr>
        <w:spacing w:line="240" w:lineRule="auto"/>
        <w:rPr>
          <w:rFonts w:eastAsia="Times New Roman" w:cs="Arial"/>
          <w:bCs/>
          <w:color w:val="000000"/>
          <w:lang w:eastAsia="bg-BG"/>
        </w:rPr>
      </w:pPr>
    </w:p>
    <w:p w14:paraId="693EBB55" w14:textId="7AF7F096"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Паническо разстройство, със или без агорафобия.</w:t>
      </w:r>
    </w:p>
    <w:p w14:paraId="0E30A35D" w14:textId="77777777" w:rsidR="00DE2C5A" w:rsidRPr="00C87C39" w:rsidRDefault="00DE2C5A" w:rsidP="00DE2C5A">
      <w:pPr>
        <w:spacing w:line="240" w:lineRule="auto"/>
        <w:rPr>
          <w:rFonts w:eastAsia="Times New Roman" w:cs="Arial"/>
          <w:bCs/>
          <w:color w:val="000000"/>
          <w:lang w:eastAsia="bg-BG"/>
        </w:rPr>
      </w:pPr>
    </w:p>
    <w:p w14:paraId="26A5AAA9" w14:textId="3ACAB939"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Обсесивно-компулсивно разстройство (ОКР) при възрастни и педиатрични пациенти на възраст 6-17 години.</w:t>
      </w:r>
    </w:p>
    <w:p w14:paraId="5D0242D4" w14:textId="77777777" w:rsidR="00DE2C5A" w:rsidRPr="00C87C39" w:rsidRDefault="00DE2C5A" w:rsidP="00DE2C5A">
      <w:pPr>
        <w:spacing w:line="240" w:lineRule="auto"/>
        <w:rPr>
          <w:rFonts w:eastAsia="Times New Roman" w:cs="Arial"/>
          <w:bCs/>
          <w:color w:val="000000"/>
          <w:lang w:eastAsia="bg-BG"/>
        </w:rPr>
      </w:pPr>
    </w:p>
    <w:p w14:paraId="3C90D5C2" w14:textId="187F0C29"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Социално тревожно разстройство.</w:t>
      </w:r>
    </w:p>
    <w:p w14:paraId="295F0CFD" w14:textId="77777777" w:rsidR="00DE2C5A" w:rsidRPr="00C87C39" w:rsidRDefault="00DE2C5A" w:rsidP="00DE2C5A">
      <w:pPr>
        <w:rPr>
          <w:rFonts w:eastAsia="Times New Roman" w:cs="Arial"/>
          <w:bCs/>
          <w:color w:val="000000"/>
          <w:lang w:eastAsia="bg-BG"/>
        </w:rPr>
      </w:pPr>
    </w:p>
    <w:p w14:paraId="6DFA4B9D" w14:textId="1E5476D2" w:rsidR="0091385D" w:rsidRPr="00C87C39" w:rsidRDefault="00DE2C5A" w:rsidP="00DE2C5A">
      <w:pPr>
        <w:rPr>
          <w:rFonts w:cs="Arial"/>
        </w:rPr>
      </w:pPr>
      <w:r w:rsidRPr="00C87C39">
        <w:rPr>
          <w:rFonts w:eastAsia="Times New Roman" w:cs="Arial"/>
          <w:bCs/>
          <w:color w:val="000000"/>
          <w:lang w:eastAsia="bg-BG"/>
        </w:rPr>
        <w:t>Посттравматично стресово разстройство (ПТСР).</w:t>
      </w:r>
    </w:p>
    <w:p w14:paraId="642F56D9" w14:textId="77777777" w:rsidR="00EC41ED" w:rsidRPr="00C87C39" w:rsidRDefault="00EC41ED" w:rsidP="0091385D"/>
    <w:p w14:paraId="30BE2C7B" w14:textId="3633C1E4" w:rsidR="008134C8" w:rsidRPr="00C87C39" w:rsidRDefault="002C50EE" w:rsidP="004A448E">
      <w:pPr>
        <w:pStyle w:val="Heading2"/>
      </w:pPr>
      <w:r w:rsidRPr="00C87C39">
        <w:t>4.2. Дозировка и начин на приложение</w:t>
      </w:r>
    </w:p>
    <w:p w14:paraId="7AA22B68" w14:textId="0723B40D" w:rsidR="0091385D" w:rsidRPr="00C87C39" w:rsidRDefault="0091385D" w:rsidP="0091385D"/>
    <w:p w14:paraId="13F1C983" w14:textId="77777777" w:rsidR="00DE2C5A" w:rsidRPr="00C87C39" w:rsidRDefault="00DE2C5A" w:rsidP="00DE2C5A">
      <w:pPr>
        <w:pStyle w:val="Heading3"/>
        <w:rPr>
          <w:rFonts w:eastAsia="Times New Roman"/>
          <w:u w:val="single"/>
          <w:lang w:eastAsia="bg-BG"/>
        </w:rPr>
      </w:pPr>
      <w:r w:rsidRPr="00C87C39">
        <w:rPr>
          <w:rFonts w:eastAsia="Times New Roman"/>
          <w:u w:val="single"/>
          <w:lang w:eastAsia="bg-BG"/>
        </w:rPr>
        <w:t>Дозировка</w:t>
      </w:r>
      <w:bookmarkStart w:id="1" w:name="bookmark0"/>
      <w:bookmarkEnd w:id="1"/>
    </w:p>
    <w:p w14:paraId="1EE91FF7" w14:textId="77777777" w:rsidR="00DE2C5A" w:rsidRPr="00C87C39" w:rsidRDefault="00DE2C5A" w:rsidP="00DE2C5A">
      <w:pPr>
        <w:rPr>
          <w:rFonts w:eastAsia="Times New Roman" w:cs="Arial"/>
          <w:bCs/>
          <w:i/>
          <w:iCs/>
          <w:color w:val="000000"/>
          <w:u w:val="single"/>
          <w:lang w:eastAsia="bg-BG"/>
        </w:rPr>
      </w:pPr>
    </w:p>
    <w:p w14:paraId="7FBF1BCE" w14:textId="731244DF" w:rsidR="00EC41ED" w:rsidRPr="00C87C39" w:rsidRDefault="00DE2C5A" w:rsidP="00DE2C5A">
      <w:pPr>
        <w:rPr>
          <w:rFonts w:cs="Arial"/>
        </w:rPr>
      </w:pPr>
      <w:r w:rsidRPr="00C87C39">
        <w:rPr>
          <w:rFonts w:eastAsia="Times New Roman" w:cs="Arial"/>
          <w:bCs/>
          <w:i/>
          <w:iCs/>
          <w:color w:val="000000"/>
          <w:u w:val="single"/>
          <w:lang w:eastAsia="bg-BG"/>
        </w:rPr>
        <w:t>Първоначално лечение</w:t>
      </w:r>
    </w:p>
    <w:p w14:paraId="132F3111" w14:textId="6EB45B97" w:rsidR="005B0F27" w:rsidRPr="00C87C39" w:rsidRDefault="005B0F27" w:rsidP="0091385D">
      <w:pPr>
        <w:rPr>
          <w:rFonts w:cs="Arial"/>
        </w:rPr>
      </w:pPr>
    </w:p>
    <w:p w14:paraId="7919F302" w14:textId="77777777" w:rsidR="00DE2C5A" w:rsidRPr="00C87C39" w:rsidRDefault="00DE2C5A" w:rsidP="00DE2C5A">
      <w:pPr>
        <w:rPr>
          <w:rFonts w:cs="Arial"/>
        </w:rPr>
      </w:pPr>
      <w:r w:rsidRPr="00C87C39">
        <w:rPr>
          <w:rFonts w:cs="Arial"/>
          <w:bCs/>
          <w:i/>
          <w:iCs/>
        </w:rPr>
        <w:t>Депресия и ОКР</w:t>
      </w:r>
    </w:p>
    <w:p w14:paraId="738C8EAE" w14:textId="77777777" w:rsidR="00DE2C5A" w:rsidRPr="00C87C39" w:rsidRDefault="00DE2C5A" w:rsidP="00DE2C5A">
      <w:pPr>
        <w:rPr>
          <w:rFonts w:cs="Arial"/>
        </w:rPr>
      </w:pPr>
      <w:r w:rsidRPr="00C87C39">
        <w:rPr>
          <w:rFonts w:cs="Arial"/>
          <w:bCs/>
        </w:rPr>
        <w:t xml:space="preserve">Сертралин трябва да се започва в доза от 50 </w:t>
      </w:r>
      <w:r w:rsidRPr="00C87C39">
        <w:rPr>
          <w:rFonts w:cs="Arial"/>
          <w:bCs/>
          <w:lang w:val="en-US"/>
        </w:rPr>
        <w:t>mg</w:t>
      </w:r>
      <w:r w:rsidRPr="00C87C39">
        <w:rPr>
          <w:rFonts w:cs="Arial"/>
          <w:bCs/>
        </w:rPr>
        <w:t>/ден.</w:t>
      </w:r>
    </w:p>
    <w:p w14:paraId="75B34174" w14:textId="77777777" w:rsidR="00DE2C5A" w:rsidRPr="00C87C39" w:rsidRDefault="00DE2C5A" w:rsidP="00DE2C5A">
      <w:pPr>
        <w:rPr>
          <w:rFonts w:cs="Arial"/>
          <w:bCs/>
          <w:i/>
          <w:iCs/>
        </w:rPr>
      </w:pPr>
    </w:p>
    <w:p w14:paraId="724AAC42" w14:textId="5A89DB69" w:rsidR="00DE2C5A" w:rsidRPr="00C87C39" w:rsidRDefault="00DE2C5A" w:rsidP="00DE2C5A">
      <w:pPr>
        <w:rPr>
          <w:rFonts w:cs="Arial"/>
        </w:rPr>
      </w:pPr>
      <w:r w:rsidRPr="00C87C39">
        <w:rPr>
          <w:rFonts w:cs="Arial"/>
          <w:bCs/>
          <w:i/>
          <w:iCs/>
        </w:rPr>
        <w:t>Паническо разстройство, ПТСР и социално тревожно разстройство</w:t>
      </w:r>
    </w:p>
    <w:p w14:paraId="35BF5457" w14:textId="77777777" w:rsidR="00DE2C5A" w:rsidRPr="00C87C39" w:rsidRDefault="00DE2C5A" w:rsidP="00DE2C5A">
      <w:pPr>
        <w:rPr>
          <w:rFonts w:cs="Arial"/>
        </w:rPr>
      </w:pPr>
      <w:r w:rsidRPr="00C87C39">
        <w:rPr>
          <w:rFonts w:cs="Arial"/>
          <w:bCs/>
        </w:rPr>
        <w:t xml:space="preserve">Терапията трябва да започне с 25 </w:t>
      </w:r>
      <w:r w:rsidRPr="00C87C39">
        <w:rPr>
          <w:rFonts w:cs="Arial"/>
          <w:bCs/>
          <w:lang w:val="en-US"/>
        </w:rPr>
        <w:t>mg</w:t>
      </w:r>
      <w:r w:rsidRPr="00C87C39">
        <w:rPr>
          <w:rFonts w:cs="Arial"/>
          <w:bCs/>
        </w:rPr>
        <w:t xml:space="preserve">/ден. След 1 седмица дозата трябва да се повиши на 50 </w:t>
      </w:r>
      <w:r w:rsidRPr="00C87C39">
        <w:rPr>
          <w:rFonts w:cs="Arial"/>
          <w:bCs/>
          <w:lang w:val="en-US"/>
        </w:rPr>
        <w:t>mg</w:t>
      </w:r>
      <w:r w:rsidRPr="00C87C39">
        <w:rPr>
          <w:rFonts w:cs="Arial"/>
          <w:bCs/>
          <w:lang w:val="ru-RU"/>
        </w:rPr>
        <w:t xml:space="preserve"> </w:t>
      </w:r>
      <w:r w:rsidRPr="00C87C39">
        <w:rPr>
          <w:rFonts w:cs="Arial"/>
          <w:bCs/>
        </w:rPr>
        <w:t>веднъж дневно. При тази схема на дозиране е наблюдавана по-ниска честота на характерните за началния период на лечение на паническо разстройство нежелани лекарствени реакции.</w:t>
      </w:r>
    </w:p>
    <w:p w14:paraId="7643583D" w14:textId="77777777" w:rsidR="00DE2C5A" w:rsidRPr="00C87C39" w:rsidRDefault="00DE2C5A" w:rsidP="00DE2C5A">
      <w:pPr>
        <w:rPr>
          <w:rFonts w:cs="Arial"/>
          <w:bCs/>
          <w:i/>
          <w:iCs/>
          <w:u w:val="single"/>
        </w:rPr>
      </w:pPr>
    </w:p>
    <w:p w14:paraId="08136AE5" w14:textId="297E8865" w:rsidR="00DE2C5A" w:rsidRPr="00C87C39" w:rsidRDefault="00DE2C5A" w:rsidP="00DE2C5A">
      <w:pPr>
        <w:rPr>
          <w:rFonts w:cs="Arial"/>
        </w:rPr>
      </w:pPr>
      <w:r w:rsidRPr="00C87C39">
        <w:rPr>
          <w:rFonts w:cs="Arial"/>
          <w:bCs/>
          <w:i/>
          <w:iCs/>
          <w:u w:val="single"/>
        </w:rPr>
        <w:t>Титриране</w:t>
      </w:r>
    </w:p>
    <w:p w14:paraId="76530DBC" w14:textId="77777777" w:rsidR="00DE2C5A" w:rsidRPr="00C87C39" w:rsidRDefault="00DE2C5A" w:rsidP="00DE2C5A">
      <w:pPr>
        <w:rPr>
          <w:rFonts w:cs="Arial"/>
          <w:bCs/>
          <w:i/>
          <w:iCs/>
        </w:rPr>
      </w:pPr>
    </w:p>
    <w:p w14:paraId="6BF88C22" w14:textId="109D1C4A" w:rsidR="00DE2C5A" w:rsidRPr="00C87C39" w:rsidRDefault="00DE2C5A" w:rsidP="00DE2C5A">
      <w:pPr>
        <w:rPr>
          <w:rFonts w:cs="Arial"/>
        </w:rPr>
      </w:pPr>
      <w:r w:rsidRPr="00C87C39">
        <w:rPr>
          <w:rFonts w:cs="Arial"/>
          <w:bCs/>
          <w:i/>
          <w:iCs/>
        </w:rPr>
        <w:t xml:space="preserve">Депресия, ОКР, паническо разстройство, социално тревожно разстройство и ПТСР </w:t>
      </w:r>
      <w:r w:rsidRPr="00C87C39">
        <w:rPr>
          <w:rFonts w:cs="Arial"/>
          <w:bCs/>
        </w:rPr>
        <w:t xml:space="preserve">Пациенти, които не се повлияват от доза 50 </w:t>
      </w:r>
      <w:r w:rsidRPr="00C87C39">
        <w:rPr>
          <w:rFonts w:cs="Arial"/>
          <w:bCs/>
          <w:lang w:val="en-US"/>
        </w:rPr>
        <w:t>mg</w:t>
      </w:r>
      <w:r w:rsidRPr="00C87C39">
        <w:rPr>
          <w:rFonts w:cs="Arial"/>
          <w:bCs/>
          <w:lang w:val="ru-RU"/>
        </w:rPr>
        <w:t xml:space="preserve">, </w:t>
      </w:r>
      <w:r w:rsidRPr="00C87C39">
        <w:rPr>
          <w:rFonts w:cs="Arial"/>
          <w:bCs/>
        </w:rPr>
        <w:t xml:space="preserve">могат да се повлияят от по-високи дози. Промени в дозата трябва да се правят на стъпки от 50 </w:t>
      </w:r>
      <w:r w:rsidRPr="00C87C39">
        <w:rPr>
          <w:rFonts w:cs="Arial"/>
          <w:bCs/>
          <w:lang w:val="en-US"/>
        </w:rPr>
        <w:t>mg</w:t>
      </w:r>
      <w:r w:rsidRPr="00C87C39">
        <w:rPr>
          <w:rFonts w:cs="Arial"/>
          <w:bCs/>
          <w:lang w:val="ru-RU"/>
        </w:rPr>
        <w:t xml:space="preserve"> </w:t>
      </w:r>
      <w:r w:rsidRPr="00C87C39">
        <w:rPr>
          <w:rFonts w:cs="Arial"/>
          <w:bCs/>
        </w:rPr>
        <w:t xml:space="preserve">през интервали от поне една седмица, като максималната доза е 200 </w:t>
      </w:r>
      <w:r w:rsidRPr="00C87C39">
        <w:rPr>
          <w:rFonts w:cs="Arial"/>
          <w:bCs/>
          <w:lang w:val="en-US"/>
        </w:rPr>
        <w:t>mg</w:t>
      </w:r>
      <w:r w:rsidRPr="00C87C39">
        <w:rPr>
          <w:rFonts w:cs="Arial"/>
          <w:bCs/>
        </w:rPr>
        <w:t>/ден. Промени в дозата не трябва да се правят по-често от веднъж седмично, като се има предвид, че времето на полуелиминиране на сертралин е 24 часа.</w:t>
      </w:r>
    </w:p>
    <w:p w14:paraId="0F6CC337" w14:textId="77777777" w:rsidR="00DE2C5A" w:rsidRPr="00C87C39" w:rsidRDefault="00DE2C5A" w:rsidP="00DE2C5A">
      <w:pPr>
        <w:rPr>
          <w:rFonts w:cs="Arial"/>
          <w:bCs/>
        </w:rPr>
      </w:pPr>
    </w:p>
    <w:p w14:paraId="3924F65A" w14:textId="4F0F0CD9" w:rsidR="00DE2C5A" w:rsidRPr="00C87C39" w:rsidRDefault="00DE2C5A" w:rsidP="00DE2C5A">
      <w:pPr>
        <w:rPr>
          <w:rFonts w:cs="Arial"/>
        </w:rPr>
      </w:pPr>
      <w:r w:rsidRPr="00C87C39">
        <w:rPr>
          <w:rFonts w:cs="Arial"/>
          <w:bCs/>
        </w:rPr>
        <w:t>Начало на терапевтичен ефект може се наблюдава в рамките на седем дни. За постигане на пълен терапевтичен ефект обаче обикновено е необходим по-дълъг период, особено при ОКР.</w:t>
      </w:r>
    </w:p>
    <w:p w14:paraId="5D47E08E" w14:textId="77777777" w:rsidR="00DE2C5A" w:rsidRPr="00C87C39" w:rsidRDefault="00DE2C5A" w:rsidP="00DE2C5A">
      <w:pPr>
        <w:rPr>
          <w:rFonts w:cs="Arial"/>
          <w:bCs/>
          <w:i/>
          <w:iCs/>
          <w:u w:val="single"/>
        </w:rPr>
      </w:pPr>
    </w:p>
    <w:p w14:paraId="5A0BBA3A" w14:textId="523884B4" w:rsidR="00DE2C5A" w:rsidRPr="00C87C39" w:rsidRDefault="00DE2C5A" w:rsidP="00DE2C5A">
      <w:pPr>
        <w:rPr>
          <w:rFonts w:cs="Arial"/>
        </w:rPr>
      </w:pPr>
      <w:r w:rsidRPr="00C87C39">
        <w:rPr>
          <w:rFonts w:cs="Arial"/>
          <w:bCs/>
          <w:i/>
          <w:iCs/>
          <w:u w:val="single"/>
        </w:rPr>
        <w:t>Поддържаща терапия</w:t>
      </w:r>
    </w:p>
    <w:p w14:paraId="7D4EF524" w14:textId="77777777" w:rsidR="00DE2C5A" w:rsidRPr="00C87C39" w:rsidRDefault="00DE2C5A" w:rsidP="00DE2C5A">
      <w:pPr>
        <w:rPr>
          <w:rFonts w:cs="Arial"/>
          <w:bCs/>
        </w:rPr>
      </w:pPr>
    </w:p>
    <w:p w14:paraId="0EF4339E" w14:textId="6B42D0BE" w:rsidR="00DE2C5A" w:rsidRPr="00C87C39" w:rsidRDefault="00DE2C5A" w:rsidP="00DE2C5A">
      <w:pPr>
        <w:rPr>
          <w:rFonts w:cs="Arial"/>
        </w:rPr>
      </w:pPr>
      <w:r w:rsidRPr="00C87C39">
        <w:rPr>
          <w:rFonts w:cs="Arial"/>
          <w:bCs/>
        </w:rPr>
        <w:t>При дългосрочна поддържаща терапия се прилага минималната ефективна доза, като последната се адаптира съобразно терапевтичния отговор.</w:t>
      </w:r>
    </w:p>
    <w:p w14:paraId="6C965D28" w14:textId="77777777" w:rsidR="00DE2C5A" w:rsidRPr="00C87C39" w:rsidRDefault="00DE2C5A" w:rsidP="00DE2C5A">
      <w:pPr>
        <w:rPr>
          <w:rFonts w:cs="Arial"/>
          <w:bCs/>
          <w:i/>
          <w:iCs/>
        </w:rPr>
      </w:pPr>
    </w:p>
    <w:p w14:paraId="496CE121" w14:textId="1B56D0D6" w:rsidR="00DE2C5A" w:rsidRPr="00C87C39" w:rsidRDefault="00DE2C5A" w:rsidP="00DE2C5A">
      <w:pPr>
        <w:rPr>
          <w:rFonts w:cs="Arial"/>
        </w:rPr>
      </w:pPr>
      <w:r w:rsidRPr="00C87C39">
        <w:rPr>
          <w:rFonts w:cs="Arial"/>
          <w:bCs/>
          <w:i/>
          <w:iCs/>
        </w:rPr>
        <w:t>Депресия</w:t>
      </w:r>
    </w:p>
    <w:p w14:paraId="710599AF" w14:textId="04F29689" w:rsidR="00DE2C5A" w:rsidRPr="00C87C39" w:rsidRDefault="00DE2C5A" w:rsidP="00DE2C5A">
      <w:pPr>
        <w:rPr>
          <w:rFonts w:cs="Arial"/>
          <w:bCs/>
        </w:rPr>
      </w:pPr>
      <w:r w:rsidRPr="00C87C39">
        <w:rPr>
          <w:rFonts w:cs="Arial"/>
          <w:bCs/>
        </w:rPr>
        <w:t xml:space="preserve">Дългосрочна терапия може също да бъде подходяща за профилактика на рецидив на големи депресивни епизоди (ГДЕ). В повечето случаи препоръчваната доза за </w:t>
      </w:r>
      <w:r w:rsidRPr="00C87C39">
        <w:rPr>
          <w:rFonts w:cs="Arial"/>
          <w:bCs/>
        </w:rPr>
        <w:lastRenderedPageBreak/>
        <w:t>профилактика на рецидив на големи депресивни епизоди е същата като използваната по време на настоящ епизод. Пациенти с депресия трябва да се лекуват в продължение на достатъчен период от време от поне 6 месеца, за да е сигурно, че симптомите са изчезнали.</w:t>
      </w:r>
    </w:p>
    <w:p w14:paraId="486E6B16" w14:textId="77777777" w:rsidR="00DE2C5A" w:rsidRPr="00C87C39" w:rsidRDefault="00DE2C5A" w:rsidP="00DE2C5A">
      <w:pPr>
        <w:rPr>
          <w:rFonts w:cs="Arial"/>
          <w:bCs/>
          <w:i/>
          <w:iCs/>
        </w:rPr>
      </w:pPr>
    </w:p>
    <w:p w14:paraId="7EE5C196" w14:textId="6985ADEE" w:rsidR="00DE2C5A" w:rsidRPr="00C87C39" w:rsidRDefault="00DE2C5A" w:rsidP="00DE2C5A">
      <w:pPr>
        <w:rPr>
          <w:rFonts w:cs="Arial"/>
        </w:rPr>
      </w:pPr>
      <w:r w:rsidRPr="00C87C39">
        <w:rPr>
          <w:rFonts w:cs="Arial"/>
          <w:bCs/>
          <w:i/>
          <w:iCs/>
        </w:rPr>
        <w:t>Паническо разстройство и ОКР</w:t>
      </w:r>
    </w:p>
    <w:p w14:paraId="4F4090CD" w14:textId="77777777" w:rsidR="00DE2C5A" w:rsidRPr="00C87C39" w:rsidRDefault="00DE2C5A" w:rsidP="00DE2C5A">
      <w:pPr>
        <w:rPr>
          <w:rFonts w:cs="Arial"/>
        </w:rPr>
      </w:pPr>
      <w:r w:rsidRPr="00C87C39">
        <w:rPr>
          <w:rFonts w:cs="Arial"/>
          <w:bCs/>
        </w:rPr>
        <w:t>Непрекъснатото лечение при паническо разстройство и ОКР трябва да се оценява периодично, тъй като профилактика на рецидивите не е доказана при тези разстройства.</w:t>
      </w:r>
    </w:p>
    <w:p w14:paraId="38C3FFC9" w14:textId="77777777" w:rsidR="00DE2C5A" w:rsidRPr="00C87C39" w:rsidRDefault="00DE2C5A" w:rsidP="00DE2C5A">
      <w:pPr>
        <w:rPr>
          <w:rFonts w:cs="Arial"/>
          <w:bCs/>
          <w:i/>
          <w:iCs/>
          <w:u w:val="single"/>
        </w:rPr>
      </w:pPr>
    </w:p>
    <w:p w14:paraId="7AFFE54E" w14:textId="62F6FFE6" w:rsidR="00DE2C5A" w:rsidRPr="00C87C39" w:rsidRDefault="00DE2C5A" w:rsidP="00DE2C5A">
      <w:pPr>
        <w:rPr>
          <w:rFonts w:cs="Arial"/>
        </w:rPr>
      </w:pPr>
      <w:r w:rsidRPr="00C87C39">
        <w:rPr>
          <w:rFonts w:cs="Arial"/>
          <w:bCs/>
          <w:i/>
          <w:iCs/>
          <w:u w:val="single"/>
        </w:rPr>
        <w:t>Педиатрична популация</w:t>
      </w:r>
    </w:p>
    <w:p w14:paraId="2544A2AA" w14:textId="77777777" w:rsidR="00DE2C5A" w:rsidRPr="00C87C39" w:rsidRDefault="00DE2C5A" w:rsidP="00DE2C5A">
      <w:pPr>
        <w:rPr>
          <w:rFonts w:cs="Arial"/>
          <w:bCs/>
          <w:i/>
          <w:iCs/>
        </w:rPr>
      </w:pPr>
    </w:p>
    <w:p w14:paraId="460CE390" w14:textId="591F6A7A" w:rsidR="00DE2C5A" w:rsidRPr="00C87C39" w:rsidRDefault="00DE2C5A" w:rsidP="00DE2C5A">
      <w:pPr>
        <w:rPr>
          <w:rFonts w:cs="Arial"/>
        </w:rPr>
      </w:pPr>
      <w:r w:rsidRPr="00C87C39">
        <w:rPr>
          <w:rFonts w:cs="Arial"/>
          <w:bCs/>
          <w:i/>
          <w:iCs/>
        </w:rPr>
        <w:t>Деца и юноши с обсесивно-компулсивно разстройство</w:t>
      </w:r>
    </w:p>
    <w:p w14:paraId="7782D976" w14:textId="77777777" w:rsidR="00DE2C5A" w:rsidRPr="00C87C39" w:rsidRDefault="00DE2C5A" w:rsidP="00DE2C5A">
      <w:pPr>
        <w:rPr>
          <w:rFonts w:cs="Arial"/>
        </w:rPr>
      </w:pPr>
      <w:r w:rsidRPr="00C87C39">
        <w:rPr>
          <w:rFonts w:cs="Arial"/>
          <w:bCs/>
        </w:rPr>
        <w:t xml:space="preserve">Възраст 13-17 години: първоначално 50 </w:t>
      </w:r>
      <w:r w:rsidRPr="00C87C39">
        <w:rPr>
          <w:rFonts w:cs="Arial"/>
          <w:bCs/>
          <w:lang w:val="en-US"/>
        </w:rPr>
        <w:t>mg</w:t>
      </w:r>
      <w:r w:rsidRPr="00C87C39">
        <w:rPr>
          <w:rFonts w:cs="Arial"/>
          <w:bCs/>
          <w:lang w:val="ru-RU"/>
        </w:rPr>
        <w:t xml:space="preserve"> </w:t>
      </w:r>
      <w:r w:rsidRPr="00C87C39">
        <w:rPr>
          <w:rFonts w:cs="Arial"/>
          <w:bCs/>
        </w:rPr>
        <w:t>веднъж дневно.</w:t>
      </w:r>
    </w:p>
    <w:p w14:paraId="71DD6F03" w14:textId="77777777" w:rsidR="00DE2C5A" w:rsidRPr="00C87C39" w:rsidRDefault="00DE2C5A" w:rsidP="00DE2C5A">
      <w:pPr>
        <w:rPr>
          <w:rFonts w:cs="Arial"/>
        </w:rPr>
      </w:pPr>
      <w:r w:rsidRPr="00C87C39">
        <w:rPr>
          <w:rFonts w:cs="Arial"/>
          <w:bCs/>
        </w:rPr>
        <w:t xml:space="preserve">Възраст 6-12 години: първоначално 25 </w:t>
      </w:r>
      <w:r w:rsidRPr="00C87C39">
        <w:rPr>
          <w:rFonts w:cs="Arial"/>
          <w:bCs/>
          <w:lang w:val="en-US"/>
        </w:rPr>
        <w:t>mg</w:t>
      </w:r>
      <w:r w:rsidRPr="00C87C39">
        <w:rPr>
          <w:rFonts w:cs="Arial"/>
          <w:bCs/>
          <w:lang w:val="ru-RU"/>
        </w:rPr>
        <w:t xml:space="preserve"> </w:t>
      </w:r>
      <w:r w:rsidRPr="00C87C39">
        <w:rPr>
          <w:rFonts w:cs="Arial"/>
          <w:bCs/>
        </w:rPr>
        <w:t xml:space="preserve">веднъж дневно. След една седмица дозата може да се повиши до 50 </w:t>
      </w:r>
      <w:r w:rsidRPr="00C87C39">
        <w:rPr>
          <w:rFonts w:cs="Arial"/>
          <w:bCs/>
          <w:lang w:val="en-US"/>
        </w:rPr>
        <w:t>mg</w:t>
      </w:r>
      <w:r w:rsidRPr="00C87C39">
        <w:rPr>
          <w:rFonts w:cs="Arial"/>
          <w:bCs/>
          <w:lang w:val="ru-RU"/>
        </w:rPr>
        <w:t xml:space="preserve"> </w:t>
      </w:r>
      <w:r w:rsidRPr="00C87C39">
        <w:rPr>
          <w:rFonts w:cs="Arial"/>
          <w:bCs/>
        </w:rPr>
        <w:t>веднъж дневно.</w:t>
      </w:r>
    </w:p>
    <w:p w14:paraId="1879FFCB" w14:textId="77777777" w:rsidR="00DE2C5A" w:rsidRPr="00C87C39" w:rsidRDefault="00DE2C5A" w:rsidP="00DE2C5A">
      <w:pPr>
        <w:rPr>
          <w:rFonts w:cs="Arial"/>
          <w:bCs/>
        </w:rPr>
      </w:pPr>
    </w:p>
    <w:p w14:paraId="56F8BCB3" w14:textId="28993459" w:rsidR="00DE2C5A" w:rsidRPr="00C87C39" w:rsidRDefault="00DE2C5A" w:rsidP="00DE2C5A">
      <w:pPr>
        <w:rPr>
          <w:rFonts w:cs="Arial"/>
        </w:rPr>
      </w:pPr>
      <w:r w:rsidRPr="00C87C39">
        <w:rPr>
          <w:rFonts w:cs="Arial"/>
          <w:bCs/>
        </w:rPr>
        <w:t xml:space="preserve">Последващите дози могат да се увеличат в случай на недостатъчно повлияване постепенно с по 50 </w:t>
      </w:r>
      <w:r w:rsidRPr="00C87C39">
        <w:rPr>
          <w:rFonts w:cs="Arial"/>
          <w:bCs/>
          <w:lang w:val="en-US"/>
        </w:rPr>
        <w:t>mg</w:t>
      </w:r>
      <w:r w:rsidRPr="00C87C39">
        <w:rPr>
          <w:rFonts w:cs="Arial"/>
          <w:bCs/>
          <w:lang w:val="ru-RU"/>
        </w:rPr>
        <w:t xml:space="preserve"> </w:t>
      </w:r>
      <w:r w:rsidRPr="00C87C39">
        <w:rPr>
          <w:rFonts w:cs="Arial"/>
          <w:bCs/>
        </w:rPr>
        <w:t xml:space="preserve">за период от няколко седмици, ако е необходимо. Максималната доза е 200 </w:t>
      </w:r>
      <w:r w:rsidRPr="00C87C39">
        <w:rPr>
          <w:rFonts w:cs="Arial"/>
          <w:bCs/>
          <w:lang w:val="en-US"/>
        </w:rPr>
        <w:t>mg</w:t>
      </w:r>
      <w:r w:rsidRPr="00C87C39">
        <w:rPr>
          <w:rFonts w:cs="Arial"/>
          <w:bCs/>
          <w:lang w:val="ru-RU"/>
        </w:rPr>
        <w:t xml:space="preserve"> </w:t>
      </w:r>
      <w:r w:rsidRPr="00C87C39">
        <w:rPr>
          <w:rFonts w:cs="Arial"/>
          <w:bCs/>
        </w:rPr>
        <w:t xml:space="preserve">дневно. Същевременно трябва да се има предвид по-ниското телесно тегло при децата в сравнение с възрастните при повишаване на дозата над 50 </w:t>
      </w:r>
      <w:r w:rsidRPr="00C87C39">
        <w:rPr>
          <w:rFonts w:cs="Arial"/>
          <w:bCs/>
          <w:lang w:val="en-US"/>
        </w:rPr>
        <w:t>mg</w:t>
      </w:r>
      <w:r w:rsidRPr="00C87C39">
        <w:rPr>
          <w:rFonts w:cs="Arial"/>
          <w:bCs/>
          <w:lang w:val="ru-RU"/>
        </w:rPr>
        <w:t xml:space="preserve">. </w:t>
      </w:r>
      <w:r w:rsidRPr="00C87C39">
        <w:rPr>
          <w:rFonts w:cs="Arial"/>
          <w:bCs/>
        </w:rPr>
        <w:t>Не трябва да се правят промени на дозата на интервали, по-малки от една седмица.</w:t>
      </w:r>
    </w:p>
    <w:p w14:paraId="1F6C0D8D" w14:textId="77777777" w:rsidR="00DE2C5A" w:rsidRPr="00C87C39" w:rsidRDefault="00DE2C5A" w:rsidP="00DE2C5A">
      <w:pPr>
        <w:rPr>
          <w:rFonts w:cs="Arial"/>
        </w:rPr>
      </w:pPr>
    </w:p>
    <w:p w14:paraId="0F508AA1" w14:textId="77777777" w:rsidR="00DE2C5A" w:rsidRPr="00C87C39" w:rsidRDefault="00DE2C5A" w:rsidP="00DE2C5A">
      <w:pPr>
        <w:rPr>
          <w:rFonts w:cs="Arial"/>
        </w:rPr>
      </w:pPr>
      <w:r w:rsidRPr="00C87C39">
        <w:rPr>
          <w:rFonts w:cs="Arial"/>
          <w:bCs/>
        </w:rPr>
        <w:t>Не е установена ефикасността при голямо депресивно разстройство в детска възраст.</w:t>
      </w:r>
    </w:p>
    <w:p w14:paraId="70027040" w14:textId="77777777" w:rsidR="00DE2C5A" w:rsidRPr="00C87C39" w:rsidRDefault="00DE2C5A" w:rsidP="00DE2C5A">
      <w:pPr>
        <w:rPr>
          <w:rFonts w:cs="Arial"/>
          <w:bCs/>
        </w:rPr>
      </w:pPr>
    </w:p>
    <w:p w14:paraId="182AA57F" w14:textId="55210D27" w:rsidR="00DE2C5A" w:rsidRPr="00C87C39" w:rsidRDefault="00DE2C5A" w:rsidP="00DE2C5A">
      <w:pPr>
        <w:rPr>
          <w:rFonts w:cs="Arial"/>
        </w:rPr>
      </w:pPr>
      <w:r w:rsidRPr="00C87C39">
        <w:rPr>
          <w:rFonts w:cs="Arial"/>
          <w:bCs/>
        </w:rPr>
        <w:t>Няма налични данни за деца на възраст под 6 години (вж. също точка 4.4).</w:t>
      </w:r>
    </w:p>
    <w:p w14:paraId="3CC248CF" w14:textId="78E2F812" w:rsidR="00DE2C5A" w:rsidRPr="00C87C39" w:rsidRDefault="00DE2C5A" w:rsidP="0091385D">
      <w:pPr>
        <w:rPr>
          <w:rFonts w:cs="Arial"/>
        </w:rPr>
      </w:pPr>
    </w:p>
    <w:p w14:paraId="4F6E47E7" w14:textId="77777777"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lang w:eastAsia="bg-BG"/>
        </w:rPr>
        <w:t>Пациенти в старческа възраст</w:t>
      </w:r>
    </w:p>
    <w:p w14:paraId="54C94348"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Дозата трябва да бъде определяна внимателно, тъй като лицата в старческа възраст могат да бъда изложени на по-голям риск от хипонатриемия (вж. точка 4.4).</w:t>
      </w:r>
    </w:p>
    <w:p w14:paraId="1F33BE8D" w14:textId="77777777" w:rsidR="00DE2C5A" w:rsidRPr="00C87C39" w:rsidRDefault="00DE2C5A" w:rsidP="00DE2C5A">
      <w:pPr>
        <w:spacing w:line="240" w:lineRule="auto"/>
        <w:rPr>
          <w:rFonts w:eastAsia="Times New Roman" w:cs="Arial"/>
          <w:bCs/>
          <w:i/>
          <w:iCs/>
          <w:color w:val="000000"/>
          <w:lang w:eastAsia="bg-BG"/>
        </w:rPr>
      </w:pPr>
    </w:p>
    <w:p w14:paraId="4826FD3E" w14:textId="5683F3FB"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lang w:eastAsia="bg-BG"/>
        </w:rPr>
        <w:t>Пациенти с чернодробно увреждане</w:t>
      </w:r>
    </w:p>
    <w:p w14:paraId="1ACE166E"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Употребата на сертралин при пациенти с чернодробно заболяване трябва да става много внимателно. Дозата трябва да е по-ниска или интервалът между приемите - по-дълъг в случай на нарушена чернодробна функция (вж. точка 4.4.). Сертралин не трябва да се използва в случаи на тежко чернодробно увреждане поради липсата на клинични данни (вж. точка 4.4).</w:t>
      </w:r>
    </w:p>
    <w:p w14:paraId="4F3244BD" w14:textId="77777777" w:rsidR="00DE2C5A" w:rsidRPr="00C87C39" w:rsidRDefault="00DE2C5A" w:rsidP="00DE2C5A">
      <w:pPr>
        <w:spacing w:line="240" w:lineRule="auto"/>
        <w:rPr>
          <w:rFonts w:eastAsia="Times New Roman" w:cs="Arial"/>
          <w:bCs/>
          <w:i/>
          <w:iCs/>
          <w:color w:val="000000"/>
          <w:lang w:eastAsia="bg-BG"/>
        </w:rPr>
      </w:pPr>
    </w:p>
    <w:p w14:paraId="6F3F4ACE" w14:textId="6AB22494"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lang w:eastAsia="bg-BG"/>
        </w:rPr>
        <w:t>Пациенти с бъбречно увреждане</w:t>
      </w:r>
    </w:p>
    <w:p w14:paraId="6A25C0A9"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Не е необходима адаптация на дозата при пациенти с бъбречно увреждане (вж. точка 4.4.).</w:t>
      </w:r>
    </w:p>
    <w:p w14:paraId="439FF621" w14:textId="77777777" w:rsidR="00DE2C5A" w:rsidRPr="00C87C39" w:rsidRDefault="00DE2C5A" w:rsidP="00DE2C5A">
      <w:pPr>
        <w:spacing w:line="240" w:lineRule="auto"/>
        <w:rPr>
          <w:rFonts w:eastAsia="Times New Roman" w:cs="Arial"/>
          <w:bCs/>
          <w:color w:val="000000"/>
          <w:u w:val="single"/>
          <w:lang w:eastAsia="bg-BG"/>
        </w:rPr>
      </w:pPr>
    </w:p>
    <w:p w14:paraId="455D0F1A" w14:textId="0AA3A93B" w:rsidR="00DE2C5A" w:rsidRPr="00C87C39" w:rsidRDefault="00DE2C5A" w:rsidP="00DE2C5A">
      <w:pPr>
        <w:pStyle w:val="Heading3"/>
        <w:rPr>
          <w:rFonts w:eastAsia="Times New Roman"/>
          <w:u w:val="single"/>
          <w:lang w:eastAsia="bg-BG"/>
        </w:rPr>
      </w:pPr>
      <w:r w:rsidRPr="00C87C39">
        <w:rPr>
          <w:rFonts w:eastAsia="Times New Roman"/>
          <w:u w:val="single"/>
          <w:lang w:eastAsia="bg-BG"/>
        </w:rPr>
        <w:t>Начин на приложение</w:t>
      </w:r>
    </w:p>
    <w:p w14:paraId="3AD4A3FB" w14:textId="77777777" w:rsidR="00DE2C5A" w:rsidRPr="00C87C39" w:rsidRDefault="00DE2C5A" w:rsidP="00DE2C5A">
      <w:pPr>
        <w:pStyle w:val="Heading3"/>
        <w:rPr>
          <w:rFonts w:eastAsia="Times New Roman"/>
          <w:u w:val="single"/>
          <w:lang w:eastAsia="bg-BG"/>
        </w:rPr>
      </w:pPr>
    </w:p>
    <w:p w14:paraId="1E192E04" w14:textId="67B8E275"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Сертралин трябва да се прилага веднъж дневно, сутрин или вечер.</w:t>
      </w:r>
    </w:p>
    <w:p w14:paraId="47071390"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Таблетката сертралин може да се приема със или без храна.</w:t>
      </w:r>
    </w:p>
    <w:p w14:paraId="537918CA" w14:textId="77777777" w:rsidR="00DE2C5A" w:rsidRPr="00C87C39" w:rsidRDefault="00DE2C5A" w:rsidP="00DE2C5A">
      <w:pPr>
        <w:spacing w:line="240" w:lineRule="auto"/>
        <w:rPr>
          <w:rFonts w:eastAsia="Times New Roman" w:cs="Arial"/>
          <w:bCs/>
          <w:i/>
          <w:iCs/>
          <w:color w:val="000000"/>
          <w:u w:val="single"/>
          <w:lang w:eastAsia="bg-BG"/>
        </w:rPr>
      </w:pPr>
    </w:p>
    <w:p w14:paraId="7586596B" w14:textId="21F1C757"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Симптоми на отнемане, наблюдавани при прекъсването на сертралин</w:t>
      </w:r>
    </w:p>
    <w:p w14:paraId="3653D156" w14:textId="3E216378" w:rsidR="00DE2C5A" w:rsidRPr="00C87C39" w:rsidRDefault="00DE2C5A" w:rsidP="00DE2C5A">
      <w:pPr>
        <w:rPr>
          <w:rFonts w:cs="Arial"/>
        </w:rPr>
      </w:pPr>
      <w:r w:rsidRPr="00C87C39">
        <w:rPr>
          <w:rFonts w:eastAsia="Times New Roman" w:cs="Arial"/>
          <w:bCs/>
          <w:color w:val="000000"/>
          <w:lang w:eastAsia="bg-BG"/>
        </w:rPr>
        <w:lastRenderedPageBreak/>
        <w:t>Внезапното прекъсване трябва да се избягва. При спиране на лечението със сертралин дозата трябва постепенно да се намали за период от поне една до две седмици, за да се намали рискът от реакции на отнемане (вж. точки 4.4 и 4.8). Ако след намаление на дозата или спиране на лечението възникнат симптоми, които пациентът не може да толерира, може да се обмисли възстановяване на предходната предписана доза. След това лекарят може да продължи намаляването на дозата, но по-постепенно.</w:t>
      </w:r>
    </w:p>
    <w:p w14:paraId="3C46484E" w14:textId="77777777" w:rsidR="00DE2C5A" w:rsidRPr="00C87C39" w:rsidRDefault="00DE2C5A" w:rsidP="0091385D"/>
    <w:p w14:paraId="28C984E8" w14:textId="0756AE28" w:rsidR="008134C8" w:rsidRPr="00C87C39" w:rsidRDefault="002C50EE" w:rsidP="004A448E">
      <w:pPr>
        <w:pStyle w:val="Heading2"/>
      </w:pPr>
      <w:r w:rsidRPr="00C87C39">
        <w:t>4.3. Противопоказания</w:t>
      </w:r>
    </w:p>
    <w:p w14:paraId="2363D607" w14:textId="619A99CE" w:rsidR="0091385D" w:rsidRPr="00C87C39" w:rsidRDefault="0091385D" w:rsidP="0091385D"/>
    <w:p w14:paraId="626A2F98"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Свръхчувствителност към активното вещество или някое от помощните вещества, изброени в точка 6.1.</w:t>
      </w:r>
    </w:p>
    <w:p w14:paraId="4F5B08B0" w14:textId="77777777" w:rsidR="00DE2C5A" w:rsidRPr="00C87C39" w:rsidRDefault="00DE2C5A" w:rsidP="00DE2C5A">
      <w:pPr>
        <w:spacing w:line="240" w:lineRule="auto"/>
        <w:rPr>
          <w:rFonts w:eastAsia="Times New Roman" w:cs="Arial"/>
          <w:bCs/>
          <w:color w:val="000000"/>
          <w:szCs w:val="20"/>
          <w:lang w:eastAsia="bg-BG"/>
        </w:rPr>
      </w:pPr>
    </w:p>
    <w:p w14:paraId="1EB0C0F3" w14:textId="2C7CEB49"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Едновременното лечение с моноаминооксцдазни инхибитори (МАО-инхибитори), е противопоказано поради риска от серотонинов синдром със симптоми като ажитация, тремор и хипертермия. Лечение със сертралин не трябва да се започва поне 14 дни след прекратяване на лечение с необратим МАО-инхибитор. Лечението със сертралин трябва да се прекрати поне 7 дни преди започване на лечение с необратим МАО-инхибитор (вж. точка 4.5).</w:t>
      </w:r>
    </w:p>
    <w:p w14:paraId="4FEF5AD8" w14:textId="77777777" w:rsidR="00DE2C5A" w:rsidRPr="00C87C39" w:rsidRDefault="00DE2C5A" w:rsidP="00DE2C5A">
      <w:pPr>
        <w:rPr>
          <w:rFonts w:eastAsia="Times New Roman" w:cs="Arial"/>
          <w:bCs/>
          <w:color w:val="000000"/>
          <w:szCs w:val="20"/>
          <w:lang w:eastAsia="bg-BG"/>
        </w:rPr>
      </w:pPr>
    </w:p>
    <w:p w14:paraId="030B6A4D" w14:textId="1D0124D9" w:rsidR="00EC41ED" w:rsidRPr="00C87C39" w:rsidRDefault="00DE2C5A" w:rsidP="00DE2C5A">
      <w:pPr>
        <w:rPr>
          <w:rFonts w:cs="Arial"/>
          <w:sz w:val="24"/>
        </w:rPr>
      </w:pPr>
      <w:r w:rsidRPr="00C87C39">
        <w:rPr>
          <w:rFonts w:eastAsia="Times New Roman" w:cs="Arial"/>
          <w:bCs/>
          <w:color w:val="000000"/>
          <w:szCs w:val="20"/>
          <w:lang w:eastAsia="bg-BG"/>
        </w:rPr>
        <w:t>Едновременната употреба с пимозид е противопоказана (вж. раздел 4.5).</w:t>
      </w:r>
    </w:p>
    <w:p w14:paraId="31B39DC6" w14:textId="77777777" w:rsidR="0091385D" w:rsidRPr="00C87C39" w:rsidRDefault="0091385D" w:rsidP="0091385D"/>
    <w:p w14:paraId="212F509C" w14:textId="52B87D4F" w:rsidR="004F498A" w:rsidRPr="00C87C39" w:rsidRDefault="002C50EE" w:rsidP="004A448E">
      <w:pPr>
        <w:pStyle w:val="Heading2"/>
      </w:pPr>
      <w:r w:rsidRPr="00C87C39">
        <w:t>4.4. Специални предупреждения и предпазни мерки при употреба</w:t>
      </w:r>
    </w:p>
    <w:p w14:paraId="0AAC2B60" w14:textId="1E0703C7" w:rsidR="0091385D" w:rsidRPr="00C87C39" w:rsidRDefault="0091385D" w:rsidP="0091385D"/>
    <w:p w14:paraId="31C26E09"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Серотонинов синдром (СС) или Невролептичен Малигнен Синдром (НМС)</w:t>
      </w:r>
    </w:p>
    <w:p w14:paraId="0B0415B5"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Развитието на потенциално животозастрашаващи синдроми, като серотонинов синдром (СС) или невролептичен малигнен синдром (НМС), са били съобщавани със селективни инхибитори на обратния захват на серотонина </w:t>
      </w:r>
      <w:r w:rsidRPr="00C87C39">
        <w:rPr>
          <w:rFonts w:eastAsia="Times New Roman" w:cs="Arial"/>
          <w:bCs/>
          <w:color w:val="000000"/>
          <w:szCs w:val="20"/>
          <w:lang w:val="ru-RU"/>
        </w:rPr>
        <w:t>(</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включително лечение със сертралин. Рискът от СС или НМС със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се повишава при едновременното приложение с други серотонинергични лекарства (вкл. други серотонинергични антидепрссанти, амфетамини, триптани), с лекарства, които влошават метаболизма на серотонина (включително </w:t>
      </w:r>
      <w:r w:rsidRPr="00C87C39">
        <w:rPr>
          <w:rFonts w:eastAsia="Times New Roman" w:cs="Arial"/>
          <w:bCs/>
          <w:color w:val="000000"/>
          <w:szCs w:val="20"/>
          <w:u w:val="single"/>
          <w:lang w:eastAsia="bg-BG"/>
        </w:rPr>
        <w:t xml:space="preserve">МАО- </w:t>
      </w:r>
      <w:r w:rsidRPr="00C87C39">
        <w:rPr>
          <w:rFonts w:eastAsia="Times New Roman" w:cs="Arial"/>
          <w:bCs/>
          <w:color w:val="000000"/>
          <w:szCs w:val="20"/>
          <w:lang w:eastAsia="bg-BG"/>
        </w:rPr>
        <w:t>инхибитори, напр. метиленово синьо), антипсихотици и други допаминови антагонисти и с наркотични лекарства. Пациентите трябва да бъдат проследявани за появата на признаци и симптоми на СС или НМС точка 4.3).</w:t>
      </w:r>
    </w:p>
    <w:p w14:paraId="36C16A57" w14:textId="77777777" w:rsidR="00DE2C5A" w:rsidRPr="00C87C39" w:rsidRDefault="00DE2C5A" w:rsidP="00DE2C5A">
      <w:pPr>
        <w:spacing w:line="240" w:lineRule="auto"/>
        <w:rPr>
          <w:rFonts w:eastAsia="Times New Roman" w:cs="Arial"/>
          <w:sz w:val="28"/>
          <w:szCs w:val="24"/>
          <w:lang w:eastAsia="bg-BG"/>
        </w:rPr>
      </w:pPr>
    </w:p>
    <w:p w14:paraId="0E28BBDE" w14:textId="293EC4A2" w:rsidR="007A2185" w:rsidRPr="00C87C39" w:rsidRDefault="00DE2C5A" w:rsidP="00DE2C5A">
      <w:pPr>
        <w:rPr>
          <w:rFonts w:eastAsia="Times New Roman" w:cs="Arial"/>
          <w:bCs/>
          <w:color w:val="000000"/>
          <w:szCs w:val="20"/>
          <w:u w:val="single"/>
          <w:lang w:eastAsia="bg-BG"/>
        </w:rPr>
      </w:pPr>
      <w:r w:rsidRPr="00C87C39">
        <w:rPr>
          <w:rFonts w:eastAsia="Times New Roman" w:cs="Arial"/>
          <w:bCs/>
          <w:color w:val="000000"/>
          <w:szCs w:val="20"/>
          <w:u w:val="single"/>
          <w:lang w:eastAsia="bg-BG"/>
        </w:rPr>
        <w:t>Преминаване от селективни инхибитори на обратния захват на серотонина (</w:t>
      </w:r>
      <w:r w:rsidRPr="00C87C39">
        <w:rPr>
          <w:rFonts w:eastAsia="Times New Roman" w:cs="Arial"/>
          <w:bCs/>
          <w:color w:val="000000"/>
          <w:szCs w:val="20"/>
          <w:u w:val="single"/>
          <w:lang w:val="en-US"/>
        </w:rPr>
        <w:t>SSRI</w:t>
      </w:r>
      <w:r w:rsidRPr="00C87C39">
        <w:rPr>
          <w:rFonts w:eastAsia="Times New Roman" w:cs="Arial"/>
          <w:bCs/>
          <w:color w:val="000000"/>
          <w:szCs w:val="20"/>
          <w:u w:val="single"/>
          <w:lang w:eastAsia="bg-BG"/>
        </w:rPr>
        <w:t>) антидепресанти или антиобсесивни лекарства</w:t>
      </w:r>
    </w:p>
    <w:p w14:paraId="3D50992B"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Контролираният опит относно оптималното време за преминаване от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антидепресанти или антиобсесивни лекарства към сертралин е ограничен. Промяната на терапията трябва да става особено внимателно и след строга преценка, особено когато към сертралин се преминава след приложение на лекарства с продължително действие като флуоксетин.</w:t>
      </w:r>
    </w:p>
    <w:p w14:paraId="694CD735" w14:textId="77777777" w:rsidR="00DE2C5A" w:rsidRPr="00C87C39" w:rsidRDefault="00DE2C5A" w:rsidP="00DE2C5A">
      <w:pPr>
        <w:spacing w:line="240" w:lineRule="auto"/>
        <w:rPr>
          <w:rFonts w:eastAsia="Times New Roman" w:cs="Arial"/>
          <w:bCs/>
          <w:color w:val="000000"/>
          <w:szCs w:val="20"/>
          <w:u w:val="single"/>
          <w:lang w:eastAsia="bg-BG"/>
        </w:rPr>
      </w:pPr>
    </w:p>
    <w:p w14:paraId="46DB208D" w14:textId="695126DD"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 xml:space="preserve">Други серотонинергични лекарства, като триптофан, фенфлурамин и 5-НТ агонисти </w:t>
      </w:r>
      <w:r w:rsidRPr="00C87C39">
        <w:rPr>
          <w:rFonts w:eastAsia="Times New Roman" w:cs="Arial"/>
          <w:bCs/>
          <w:color w:val="000000"/>
          <w:szCs w:val="20"/>
          <w:lang w:eastAsia="bg-BG"/>
        </w:rPr>
        <w:t xml:space="preserve">Едновременното приложение на сертралин с други лекарства, които засилват ефектите на серотонинергичната невротрансмисия, като амфетамини, триптофан, фенфлурамин, 5-НТ агонисти или растителния лекарствен продукт жълт кантарион </w:t>
      </w:r>
      <w:r w:rsidRPr="00C87C39">
        <w:rPr>
          <w:rFonts w:eastAsia="Times New Roman" w:cs="Arial"/>
          <w:bCs/>
          <w:i/>
          <w:iCs/>
          <w:color w:val="000000"/>
          <w:szCs w:val="20"/>
          <w:lang w:val="ru-RU"/>
        </w:rPr>
        <w:t>(</w:t>
      </w:r>
      <w:r w:rsidRPr="00C87C39">
        <w:rPr>
          <w:rFonts w:eastAsia="Times New Roman" w:cs="Arial"/>
          <w:bCs/>
          <w:i/>
          <w:iCs/>
          <w:color w:val="000000"/>
          <w:szCs w:val="20"/>
          <w:lang w:val="en-US"/>
        </w:rPr>
        <w:t>hypericum</w:t>
      </w:r>
      <w:r w:rsidRPr="00C87C39">
        <w:rPr>
          <w:rFonts w:eastAsia="Times New Roman" w:cs="Arial"/>
          <w:bCs/>
          <w:i/>
          <w:iCs/>
          <w:color w:val="000000"/>
          <w:szCs w:val="20"/>
          <w:lang w:val="ru-RU"/>
        </w:rPr>
        <w:t xml:space="preserve"> </w:t>
      </w:r>
      <w:proofErr w:type="spellStart"/>
      <w:r w:rsidRPr="00C87C39">
        <w:rPr>
          <w:rFonts w:eastAsia="Times New Roman" w:cs="Arial"/>
          <w:bCs/>
          <w:i/>
          <w:iCs/>
          <w:color w:val="000000"/>
          <w:szCs w:val="20"/>
          <w:lang w:val="en-US"/>
        </w:rPr>
        <w:t>perforatum</w:t>
      </w:r>
      <w:proofErr w:type="spellEnd"/>
      <w:r w:rsidRPr="00C87C39">
        <w:rPr>
          <w:rFonts w:eastAsia="Times New Roman" w:cs="Arial"/>
          <w:bCs/>
          <w:i/>
          <w:iCs/>
          <w:color w:val="000000"/>
          <w:szCs w:val="20"/>
          <w:lang w:val="ru-RU"/>
        </w:rPr>
        <w:t>),</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трябва да става внимателно и в случаите, в които е възможно, да се избягва поради възможност от възникване на фармакодинамични взаимодействия.</w:t>
      </w:r>
    </w:p>
    <w:p w14:paraId="4C580F56" w14:textId="77777777" w:rsidR="00DE2C5A" w:rsidRPr="00C87C39" w:rsidRDefault="00DE2C5A" w:rsidP="00DE2C5A">
      <w:pPr>
        <w:spacing w:line="240" w:lineRule="auto"/>
        <w:rPr>
          <w:rFonts w:eastAsia="Times New Roman" w:cs="Arial"/>
          <w:sz w:val="28"/>
          <w:szCs w:val="24"/>
          <w:lang w:eastAsia="bg-BG"/>
        </w:rPr>
      </w:pPr>
    </w:p>
    <w:p w14:paraId="19B0E9DA" w14:textId="5F7CA879"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 xml:space="preserve">Удължаване на </w:t>
      </w:r>
      <w:r w:rsidRPr="00C87C39">
        <w:rPr>
          <w:rFonts w:eastAsia="Times New Roman" w:cs="Arial"/>
          <w:bCs/>
          <w:color w:val="000000"/>
          <w:szCs w:val="20"/>
          <w:u w:val="single"/>
          <w:lang w:val="en-US"/>
        </w:rPr>
        <w:t>Q</w:t>
      </w:r>
      <w:r w:rsidRPr="00C87C39">
        <w:rPr>
          <w:rFonts w:eastAsia="Times New Roman" w:cs="Arial"/>
          <w:bCs/>
          <w:color w:val="000000"/>
          <w:szCs w:val="20"/>
          <w:u w:val="single"/>
          <w:lang w:eastAsia="bg-BG"/>
        </w:rPr>
        <w:t>Тс интервал</w:t>
      </w:r>
      <w:r w:rsidRPr="00C87C39">
        <w:rPr>
          <w:rFonts w:eastAsia="Times New Roman" w:cs="Arial"/>
          <w:bCs/>
          <w:color w:val="000000"/>
          <w:szCs w:val="20"/>
          <w:u w:val="single"/>
          <w:lang w:val="en-US"/>
        </w:rPr>
        <w:t>a/Torsade de Pointes (</w:t>
      </w:r>
      <w:proofErr w:type="spellStart"/>
      <w:r w:rsidRPr="00C87C39">
        <w:rPr>
          <w:rFonts w:eastAsia="Times New Roman" w:cs="Arial"/>
          <w:bCs/>
          <w:color w:val="000000"/>
          <w:szCs w:val="20"/>
          <w:u w:val="single"/>
          <w:lang w:val="en-US"/>
        </w:rPr>
        <w:t>TdP</w:t>
      </w:r>
      <w:proofErr w:type="spellEnd"/>
      <w:r w:rsidRPr="00C87C39">
        <w:rPr>
          <w:rFonts w:eastAsia="Times New Roman" w:cs="Arial"/>
          <w:bCs/>
          <w:color w:val="000000"/>
          <w:szCs w:val="20"/>
          <w:u w:val="single"/>
          <w:lang w:val="en-US"/>
        </w:rPr>
        <w:t>)</w:t>
      </w:r>
    </w:p>
    <w:p w14:paraId="33081F65"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При употреба на </w:t>
      </w:r>
      <w:proofErr w:type="spellStart"/>
      <w:r w:rsidRPr="00C87C39">
        <w:rPr>
          <w:rFonts w:eastAsia="Times New Roman" w:cs="Arial"/>
          <w:bCs/>
          <w:color w:val="000000"/>
          <w:szCs w:val="20"/>
          <w:lang w:eastAsia="bg-BG"/>
        </w:rPr>
        <w:t>сертралин</w:t>
      </w:r>
      <w:proofErr w:type="spellEnd"/>
      <w:r w:rsidRPr="00C87C39">
        <w:rPr>
          <w:rFonts w:eastAsia="Times New Roman" w:cs="Arial"/>
          <w:bCs/>
          <w:color w:val="000000"/>
          <w:szCs w:val="20"/>
          <w:lang w:eastAsia="bg-BG"/>
        </w:rPr>
        <w:t xml:space="preserve"> по време на пост-маркетинговия период има на удължаване на </w:t>
      </w:r>
      <w:r w:rsidRPr="00C87C39">
        <w:rPr>
          <w:rFonts w:eastAsia="Times New Roman" w:cs="Arial"/>
          <w:bCs/>
          <w:color w:val="000000"/>
          <w:szCs w:val="20"/>
          <w:lang w:val="en-US"/>
        </w:rPr>
        <w:t>QTc</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интервала и </w:t>
      </w:r>
      <w:r w:rsidRPr="00C87C39">
        <w:rPr>
          <w:rFonts w:eastAsia="Times New Roman" w:cs="Arial"/>
          <w:bCs/>
          <w:color w:val="000000"/>
          <w:szCs w:val="20"/>
          <w:lang w:val="en-US"/>
        </w:rPr>
        <w:t>Torsade</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de</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Pointes</w:t>
      </w:r>
      <w:r w:rsidRPr="00C87C39">
        <w:rPr>
          <w:rFonts w:eastAsia="Times New Roman" w:cs="Arial"/>
          <w:bCs/>
          <w:color w:val="000000"/>
          <w:szCs w:val="20"/>
          <w:lang w:val="ru-RU"/>
        </w:rPr>
        <w:t xml:space="preserve"> </w:t>
      </w:r>
      <w:r w:rsidRPr="00C87C39">
        <w:rPr>
          <w:rFonts w:eastAsia="Times New Roman" w:cs="Arial"/>
          <w:bCs/>
          <w:color w:val="000000"/>
          <w:szCs w:val="20"/>
          <w:u w:val="single"/>
          <w:lang w:val="ru-RU"/>
        </w:rPr>
        <w:t>(</w:t>
      </w:r>
      <w:proofErr w:type="spellStart"/>
      <w:r w:rsidRPr="00C87C39">
        <w:rPr>
          <w:rFonts w:eastAsia="Times New Roman" w:cs="Arial"/>
          <w:bCs/>
          <w:color w:val="000000"/>
          <w:szCs w:val="20"/>
          <w:u w:val="single"/>
          <w:lang w:val="en-US"/>
        </w:rPr>
        <w:t>TdP</w:t>
      </w:r>
      <w:proofErr w:type="spellEnd"/>
      <w:r w:rsidRPr="00C87C39">
        <w:rPr>
          <w:rFonts w:eastAsia="Times New Roman" w:cs="Arial"/>
          <w:bCs/>
          <w:color w:val="000000"/>
          <w:szCs w:val="20"/>
          <w:u w:val="single"/>
          <w:lang w:val="ru-RU"/>
        </w:rPr>
        <w:t>)</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По-голяма част </w:t>
      </w:r>
      <w:proofErr w:type="spellStart"/>
      <w:r w:rsidRPr="00C87C39">
        <w:rPr>
          <w:rFonts w:eastAsia="Times New Roman" w:cs="Arial"/>
          <w:bCs/>
          <w:color w:val="000000"/>
          <w:szCs w:val="20"/>
          <w:lang w:eastAsia="bg-BG"/>
        </w:rPr>
        <w:t>отсъобщенията</w:t>
      </w:r>
      <w:proofErr w:type="spellEnd"/>
      <w:r w:rsidRPr="00C87C39">
        <w:rPr>
          <w:rFonts w:eastAsia="Times New Roman" w:cs="Arial"/>
          <w:bCs/>
          <w:color w:val="000000"/>
          <w:szCs w:val="20"/>
          <w:lang w:eastAsia="bg-BG"/>
        </w:rPr>
        <w:t xml:space="preserve"> са настъпили при пациенти с други рискови фактори за удължаване на </w:t>
      </w:r>
      <w:r w:rsidRPr="00C87C39">
        <w:rPr>
          <w:rFonts w:eastAsia="Times New Roman" w:cs="Arial"/>
          <w:bCs/>
          <w:color w:val="000000"/>
          <w:szCs w:val="20"/>
          <w:lang w:val="en-US"/>
        </w:rPr>
        <w:t>QTc</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интервала</w:t>
      </w:r>
      <w:r w:rsidRPr="00C87C39">
        <w:rPr>
          <w:rFonts w:eastAsia="Times New Roman" w:cs="Arial"/>
          <w:bCs/>
          <w:color w:val="000000"/>
          <w:szCs w:val="20"/>
          <w:lang w:val="ru-RU"/>
        </w:rPr>
        <w:t>/</w:t>
      </w:r>
      <w:r w:rsidRPr="00C87C39">
        <w:rPr>
          <w:rFonts w:eastAsia="Times New Roman" w:cs="Arial"/>
          <w:bCs/>
          <w:color w:val="000000"/>
          <w:szCs w:val="20"/>
          <w:lang w:val="en-US"/>
        </w:rPr>
        <w:t>Torsade</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de</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Pointes</w:t>
      </w:r>
      <w:r w:rsidRPr="00C87C39">
        <w:rPr>
          <w:rFonts w:eastAsia="Times New Roman" w:cs="Arial"/>
          <w:bCs/>
          <w:color w:val="000000"/>
          <w:szCs w:val="20"/>
          <w:lang w:val="ru-RU"/>
        </w:rPr>
        <w:t xml:space="preserve"> </w:t>
      </w:r>
      <w:r w:rsidRPr="00C87C39">
        <w:rPr>
          <w:rFonts w:eastAsia="Times New Roman" w:cs="Arial"/>
          <w:bCs/>
          <w:color w:val="000000"/>
          <w:szCs w:val="20"/>
          <w:u w:val="single"/>
          <w:lang w:val="ru-RU"/>
        </w:rPr>
        <w:t>(</w:t>
      </w:r>
      <w:proofErr w:type="spellStart"/>
      <w:r w:rsidRPr="00C87C39">
        <w:rPr>
          <w:rFonts w:eastAsia="Times New Roman" w:cs="Arial"/>
          <w:bCs/>
          <w:color w:val="000000"/>
          <w:szCs w:val="20"/>
          <w:u w:val="single"/>
          <w:lang w:val="en-US"/>
        </w:rPr>
        <w:t>TdP</w:t>
      </w:r>
      <w:proofErr w:type="spellEnd"/>
      <w:r w:rsidRPr="00C87C39">
        <w:rPr>
          <w:rFonts w:eastAsia="Times New Roman" w:cs="Arial"/>
          <w:bCs/>
          <w:color w:val="000000"/>
          <w:szCs w:val="20"/>
          <w:u w:val="single"/>
          <w:lang w:val="ru-RU"/>
        </w:rPr>
        <w:t>)</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По тази причина, </w:t>
      </w:r>
      <w:proofErr w:type="spellStart"/>
      <w:r w:rsidRPr="00C87C39">
        <w:rPr>
          <w:rFonts w:eastAsia="Times New Roman" w:cs="Arial"/>
          <w:bCs/>
          <w:color w:val="000000"/>
          <w:szCs w:val="20"/>
          <w:lang w:eastAsia="bg-BG"/>
        </w:rPr>
        <w:t>сертралин</w:t>
      </w:r>
      <w:proofErr w:type="spellEnd"/>
      <w:r w:rsidRPr="00C87C39">
        <w:rPr>
          <w:rFonts w:eastAsia="Times New Roman" w:cs="Arial"/>
          <w:bCs/>
          <w:color w:val="000000"/>
          <w:szCs w:val="20"/>
          <w:lang w:eastAsia="bg-BG"/>
        </w:rPr>
        <w:t xml:space="preserve"> трябва да се прилага с внимание при пациенти с рискови фактори за удължаване на </w:t>
      </w:r>
      <w:r w:rsidRPr="00C87C39">
        <w:rPr>
          <w:rFonts w:eastAsia="Times New Roman" w:cs="Arial"/>
          <w:bCs/>
          <w:color w:val="000000"/>
          <w:szCs w:val="20"/>
          <w:lang w:val="en-US"/>
        </w:rPr>
        <w:t>QTc</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w:t>
      </w:r>
    </w:p>
    <w:p w14:paraId="7B508F83" w14:textId="77777777" w:rsidR="00DE2C5A" w:rsidRPr="00C87C39" w:rsidRDefault="00DE2C5A" w:rsidP="00DE2C5A">
      <w:pPr>
        <w:spacing w:line="240" w:lineRule="auto"/>
        <w:rPr>
          <w:rFonts w:eastAsia="Times New Roman" w:cs="Arial"/>
          <w:bCs/>
          <w:color w:val="000000"/>
          <w:szCs w:val="20"/>
          <w:u w:val="single"/>
          <w:lang w:eastAsia="bg-BG"/>
        </w:rPr>
      </w:pPr>
    </w:p>
    <w:p w14:paraId="59A93F4E" w14:textId="51BA836B"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Активиране на хипомания или мания</w:t>
      </w:r>
    </w:p>
    <w:p w14:paraId="4CEE7677"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Симптоми на мания/хипомания са съобщени при малък брой пациенти по време на терапия с налични на пазара антидепресанти и антиобсесивни лекарства, включително сертралин. Ето защо сертралин трябва да се използва внимателно при пациенти с анамнеза за мания/хипомания. Задължително е стриктно наблюдение от страна на лекаря. Лечението със сертралин трябва да се прекрати, ако пациентът премине в маниакална фаза.</w:t>
      </w:r>
    </w:p>
    <w:p w14:paraId="3834840C" w14:textId="77777777" w:rsidR="00DE2C5A" w:rsidRPr="00C87C39" w:rsidRDefault="00DE2C5A" w:rsidP="00DE2C5A">
      <w:pPr>
        <w:spacing w:line="240" w:lineRule="auto"/>
        <w:rPr>
          <w:rFonts w:eastAsia="Times New Roman" w:cs="Arial"/>
          <w:bCs/>
          <w:color w:val="000000"/>
          <w:szCs w:val="20"/>
          <w:u w:val="single"/>
          <w:lang w:eastAsia="bg-BG"/>
        </w:rPr>
      </w:pPr>
    </w:p>
    <w:p w14:paraId="734398FB" w14:textId="23881FB1"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Шизофрения</w:t>
      </w:r>
    </w:p>
    <w:p w14:paraId="0350C8A7"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Психотичните симптоми могат да се утежнят при пациенти с шизофрения.</w:t>
      </w:r>
    </w:p>
    <w:p w14:paraId="13BF0DFB" w14:textId="77777777" w:rsidR="00DE2C5A" w:rsidRPr="00C87C39" w:rsidRDefault="00DE2C5A" w:rsidP="00DE2C5A">
      <w:pPr>
        <w:spacing w:line="240" w:lineRule="auto"/>
        <w:rPr>
          <w:rFonts w:eastAsia="Times New Roman" w:cs="Arial"/>
          <w:bCs/>
          <w:color w:val="000000"/>
          <w:szCs w:val="20"/>
          <w:u w:val="single"/>
          <w:lang w:eastAsia="bg-BG"/>
        </w:rPr>
      </w:pPr>
    </w:p>
    <w:p w14:paraId="4D2E5EB2" w14:textId="605764B3"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Припадъци</w:t>
      </w:r>
    </w:p>
    <w:p w14:paraId="06F3BD12"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При лечение със сертралин могат да възникнат припадъци: приложението му трябва да се избягва при пациенти с нестабилна епилепсия, а пациенти с контролирана епилепсия трябва да бъдат под внимателно наблюдение. При всеки пациент с нововъзникнали припадъци терапията трябва да бъде прекъсната.</w:t>
      </w:r>
    </w:p>
    <w:p w14:paraId="0C1A19AB" w14:textId="77777777" w:rsidR="00DE2C5A" w:rsidRPr="00C87C39" w:rsidRDefault="00DE2C5A" w:rsidP="00DE2C5A">
      <w:pPr>
        <w:spacing w:line="240" w:lineRule="auto"/>
        <w:rPr>
          <w:rFonts w:eastAsia="Times New Roman" w:cs="Arial"/>
          <w:bCs/>
          <w:color w:val="000000"/>
          <w:szCs w:val="20"/>
          <w:u w:val="single"/>
          <w:lang w:eastAsia="bg-BG"/>
        </w:rPr>
      </w:pPr>
    </w:p>
    <w:p w14:paraId="4FA8FCF5" w14:textId="7790E124"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Самоубийство/суицидни мисли/суицидни опити или клинично влошаване</w:t>
      </w:r>
    </w:p>
    <w:p w14:paraId="20FD1D4B"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Депресията е свързана с повишен риск от суицидни мисли, самонараняване и самоубийство (суицидни събития). Този риск персистира до настъпването на значима ремисия. Тъй като може да не настъпи подобрение през първите няколко или повече седмици от лечението, пациентите трябва да бъдат стриктно наблюдавани до настъпването на това подобрение. Клиничният опит като цяло показва, че рискът от самоубийство може да нарасне в ранните стадии на възстановяване.</w:t>
      </w:r>
    </w:p>
    <w:p w14:paraId="5458CF68" w14:textId="77777777" w:rsidR="00DE2C5A" w:rsidRPr="00C87C39" w:rsidRDefault="00DE2C5A" w:rsidP="00DE2C5A">
      <w:pPr>
        <w:spacing w:line="240" w:lineRule="auto"/>
        <w:rPr>
          <w:rFonts w:eastAsia="Times New Roman" w:cs="Arial"/>
          <w:bCs/>
          <w:color w:val="000000"/>
          <w:szCs w:val="20"/>
          <w:lang w:eastAsia="bg-BG"/>
        </w:rPr>
      </w:pPr>
    </w:p>
    <w:p w14:paraId="29599B5E" w14:textId="33796D09"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Други психични заболявания, за които се предписва сертралин, също могат да бъдат свързани с повишен риск от суицидни събития. Освен това тези състояния могат да съпътстват голямо депресивно разстройство. Следователно предпазните мерки при лечението на голямо депресивно разстройство трябва да бъдат спазвани също и при лечението на други психични нарушения.</w:t>
      </w:r>
    </w:p>
    <w:p w14:paraId="673BAE0C" w14:textId="77777777" w:rsidR="00DE2C5A" w:rsidRPr="00C87C39" w:rsidRDefault="00DE2C5A" w:rsidP="00DE2C5A">
      <w:pPr>
        <w:rPr>
          <w:rFonts w:eastAsia="Times New Roman" w:cs="Arial"/>
          <w:bCs/>
          <w:color w:val="000000"/>
          <w:szCs w:val="20"/>
          <w:lang w:eastAsia="bg-BG"/>
        </w:rPr>
      </w:pPr>
    </w:p>
    <w:p w14:paraId="680A3DFC" w14:textId="6E199A27" w:rsidR="00DE2C5A" w:rsidRPr="00C87C39" w:rsidRDefault="00DE2C5A" w:rsidP="00DE2C5A">
      <w:pPr>
        <w:rPr>
          <w:rFonts w:cs="Arial"/>
          <w:sz w:val="24"/>
        </w:rPr>
      </w:pPr>
      <w:r w:rsidRPr="00C87C39">
        <w:rPr>
          <w:rFonts w:eastAsia="Times New Roman" w:cs="Arial"/>
          <w:bCs/>
          <w:color w:val="000000"/>
          <w:szCs w:val="20"/>
          <w:lang w:eastAsia="bg-BG"/>
        </w:rPr>
        <w:t>За пациентите с анамнеза за суицидни събития или за показващите значима степен на суицидни намерения преди началото на лечението е известно, че са изложени на по-висок риск от суицидни мисли или опити за самоубийство и трябва да бъдат внимателно проследявани по време на лечението. Метаанализ на плацебо контролирани клинични проучвания с антидепресанти при възрастни пациенти с психични нарушения е показал повишен риск от суицидно поведение при пациенти на възраст под 25</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години, лекувани с</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антидепресанти, в сравнение с лекуваните с плацебо.</w:t>
      </w:r>
    </w:p>
    <w:p w14:paraId="24E3E82F" w14:textId="43E8EDD0" w:rsidR="0091385D" w:rsidRPr="00C87C39" w:rsidRDefault="0091385D" w:rsidP="0091385D">
      <w:pPr>
        <w:rPr>
          <w:rFonts w:cs="Arial"/>
          <w:sz w:val="24"/>
        </w:rPr>
      </w:pPr>
    </w:p>
    <w:p w14:paraId="7AECFAC1"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Лекарствената терапия трябва да се съпровожда от стриктно наблюдение на пациентите и в частност на тези, изложени на висок риск, особено в началото на лечението и при последващи промени на дозата. Пациентите (и лицата, които се грижат за тях) трябва да </w:t>
      </w:r>
      <w:r w:rsidRPr="00C87C39">
        <w:rPr>
          <w:rFonts w:eastAsia="Times New Roman" w:cs="Arial"/>
          <w:bCs/>
          <w:color w:val="000000"/>
          <w:szCs w:val="20"/>
          <w:lang w:eastAsia="bg-BG"/>
        </w:rPr>
        <w:lastRenderedPageBreak/>
        <w:t>бъдат предупредени за нуждата да следят за всяко клинично влошаване, суицидно поведение или мисли и необичайни промени в поведението и незабавно да потърсят медицински съвет, ако тези симптоми се появят.</w:t>
      </w:r>
    </w:p>
    <w:p w14:paraId="0BDF1F09" w14:textId="77777777" w:rsidR="00DE2C5A" w:rsidRPr="00C87C39" w:rsidRDefault="00DE2C5A" w:rsidP="00DE2C5A">
      <w:pPr>
        <w:spacing w:line="240" w:lineRule="auto"/>
        <w:rPr>
          <w:rFonts w:eastAsia="Times New Roman" w:cs="Arial"/>
          <w:bCs/>
          <w:color w:val="000000"/>
          <w:szCs w:val="20"/>
          <w:u w:val="single"/>
          <w:lang w:eastAsia="bg-BG"/>
        </w:rPr>
      </w:pPr>
    </w:p>
    <w:p w14:paraId="705CB4CC" w14:textId="2C27BF35"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Педиатрична популация</w:t>
      </w:r>
    </w:p>
    <w:p w14:paraId="2F90EB86" w14:textId="054B1315"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Сертралин не трябва да се използва при лечението на деца и юноши на възраст под 18 години, освен при пациенти с обсесивно-компулсивно разстройство на възраст 6-17 години. Поведения, свързани със самоубийство (опит за самоубийство и суицидни мисли) и враждебност (предимно агресия, поведение на противопоставяне и гняв) са наблюдавани по- често в клиничните проучвания сред деца и юноши, лекувани с антидепресанти, в сравнение с лекуваните с плацебо. Ако въпреки това се вземе решение за лечение въз основа на клинична необходимост, пациентите трябва да бъдат внимателно проследявани за появата на суицидни симптоми. В допълнение, налични са само ограничени клинични данни за дългосрочната безопасност при деца и юноши, касаещи растежа, половото съзряване и когнитивното и поведенческо развитие. След пускането на пазара са съобщени няколко случая на забавен растеж и закъснял пубертет. Клиничната значимост и причинно- следствената връзка са все още неизяснени (вж. точка 5.3 за съответните предклинични данни за безопасност). Лекарите трябва да проследяват педиатричните пациенти на дългосрочно лечение за нарушения в растежа и развитието.</w:t>
      </w:r>
    </w:p>
    <w:p w14:paraId="358F9059" w14:textId="77777777" w:rsidR="00DE2C5A" w:rsidRPr="00C87C39" w:rsidRDefault="00DE2C5A" w:rsidP="00DE2C5A">
      <w:pPr>
        <w:spacing w:line="240" w:lineRule="auto"/>
        <w:rPr>
          <w:rFonts w:eastAsia="Times New Roman" w:cs="Arial"/>
          <w:bCs/>
          <w:color w:val="000000"/>
          <w:szCs w:val="20"/>
          <w:u w:val="single"/>
          <w:lang w:eastAsia="bg-BG"/>
        </w:rPr>
      </w:pPr>
    </w:p>
    <w:p w14:paraId="65A83F6E" w14:textId="6858E67F"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Абнормно кървене/Хеморагия</w:t>
      </w:r>
    </w:p>
    <w:p w14:paraId="0296514E"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При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има съобщения за абнормно кожно кървене, като екхимози и пурпура и други хеморагични събития, като стомашно-чревно или гинекологично кървене, включително летални кръвоизливи. Препоръчва се повишено внимание при пациенти, приемащи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особено едновременно с лекарства, за които е известно, че повлияват функцията на тромбоцитите (напр. антикоагуланти, атипични антипсихотици и фенотиазини, повечето трициклични антидепресанти, ацетилсалицилова киселина и нестероидни противовъзпалителни средства (НСПВС)), както и при пациенти с анамнеза за нарушения на кървенето (вж. точка 4.5).</w:t>
      </w:r>
    </w:p>
    <w:p w14:paraId="28ABD1B1" w14:textId="77777777" w:rsidR="00DE2C5A" w:rsidRPr="00C87C39" w:rsidRDefault="00DE2C5A" w:rsidP="00DE2C5A">
      <w:pPr>
        <w:spacing w:line="240" w:lineRule="auto"/>
        <w:rPr>
          <w:rFonts w:eastAsia="Times New Roman" w:cs="Arial"/>
          <w:bCs/>
          <w:color w:val="000000"/>
          <w:szCs w:val="20"/>
          <w:u w:val="single"/>
          <w:lang w:eastAsia="bg-BG"/>
        </w:rPr>
      </w:pPr>
    </w:p>
    <w:p w14:paraId="5BB9D7DB" w14:textId="52051963"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Хипонатриемия</w:t>
      </w:r>
    </w:p>
    <w:p w14:paraId="039AC116"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Хипонатриемия може да възникне в резултат от лечението със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или </w:t>
      </w:r>
      <w:r w:rsidRPr="00C87C39">
        <w:rPr>
          <w:rFonts w:eastAsia="Times New Roman" w:cs="Arial"/>
          <w:bCs/>
          <w:color w:val="000000"/>
          <w:szCs w:val="20"/>
          <w:lang w:val="en-US"/>
        </w:rPr>
        <w:t>SNRI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(инхибитори на обратния захват на серотонин и норадреналин), включително сертралин. В много случаи хипонатриемията изглежда е резултат на синдром на неадекватна секреция на антидиуретичен хормон </w:t>
      </w:r>
      <w:r w:rsidRPr="00C87C39">
        <w:rPr>
          <w:rFonts w:eastAsia="Times New Roman" w:cs="Arial"/>
          <w:bCs/>
          <w:color w:val="000000"/>
          <w:szCs w:val="20"/>
          <w:lang w:val="ru-RU"/>
        </w:rPr>
        <w:t>(</w:t>
      </w:r>
      <w:r w:rsidRPr="00C87C39">
        <w:rPr>
          <w:rFonts w:eastAsia="Times New Roman" w:cs="Arial"/>
          <w:bCs/>
          <w:color w:val="000000"/>
          <w:szCs w:val="20"/>
          <w:lang w:val="en-US"/>
        </w:rPr>
        <w:t>SIADH</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Съобщавани са случаи на нива на серумния натрий, по- ниски от 110 </w:t>
      </w:r>
      <w:r w:rsidRPr="00C87C39">
        <w:rPr>
          <w:rFonts w:eastAsia="Times New Roman" w:cs="Arial"/>
          <w:bCs/>
          <w:color w:val="000000"/>
          <w:szCs w:val="20"/>
          <w:lang w:val="en-US"/>
        </w:rPr>
        <w:t>mmol</w:t>
      </w:r>
      <w:r w:rsidRPr="00C87C39">
        <w:rPr>
          <w:rFonts w:eastAsia="Times New Roman" w:cs="Arial"/>
          <w:bCs/>
          <w:color w:val="000000"/>
          <w:szCs w:val="20"/>
          <w:lang w:val="ru-RU"/>
        </w:rPr>
        <w:t>/</w:t>
      </w:r>
      <w:r w:rsidRPr="00C87C39">
        <w:rPr>
          <w:rFonts w:eastAsia="Times New Roman" w:cs="Arial"/>
          <w:bCs/>
          <w:color w:val="000000"/>
          <w:szCs w:val="20"/>
          <w:lang w:val="en-US"/>
        </w:rPr>
        <w:t>l</w:t>
      </w:r>
      <w:r w:rsidRPr="00C87C39">
        <w:rPr>
          <w:rFonts w:eastAsia="Times New Roman" w:cs="Arial"/>
          <w:bCs/>
          <w:color w:val="000000"/>
          <w:szCs w:val="20"/>
          <w:lang w:val="ru-RU"/>
        </w:rPr>
        <w:t>.</w:t>
      </w:r>
    </w:p>
    <w:p w14:paraId="07FF4DD0" w14:textId="77777777" w:rsidR="00DE2C5A" w:rsidRPr="00C87C39" w:rsidRDefault="00DE2C5A" w:rsidP="00DE2C5A">
      <w:pPr>
        <w:spacing w:line="240" w:lineRule="auto"/>
        <w:rPr>
          <w:rFonts w:eastAsia="Times New Roman" w:cs="Arial"/>
          <w:bCs/>
          <w:color w:val="000000"/>
          <w:szCs w:val="20"/>
          <w:lang w:eastAsia="bg-BG"/>
        </w:rPr>
      </w:pPr>
    </w:p>
    <w:p w14:paraId="62EE08E9" w14:textId="62984E43"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Пациентите в старческа възраст могат да бъдат изложени на по-висок риск от развитие на хипонатриемия при лечение със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 </w:t>
      </w:r>
      <w:r w:rsidRPr="00C87C39">
        <w:rPr>
          <w:rFonts w:eastAsia="Times New Roman" w:cs="Arial"/>
          <w:bCs/>
          <w:color w:val="000000"/>
          <w:szCs w:val="20"/>
          <w:lang w:val="en-US"/>
        </w:rPr>
        <w:t>SNRI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Пациенти на лечение с диуретици или такива, които поради някаква причина са с намален обем течности, също могат да бъдат изложени на по-висок риск (вж. „Употреба при лица в старческа възраст”). Трябва да се обмисли спиране на сертралин при пациенти със симптоматична хипонатриемия и да се назначи съответна медицинска интервенция. Признаците и симптомите на хипонатриемия включват главоболие, затруднена концентрация, нарушение на паметта, обърканост, слабост и нестабилност, която може да доведе до падалия. Признаците и симптомите, свързани с по- тежки и/или остри случаи, включват халюцинации, синкоп, припадък, кома, спиране на дишането и смърт.</w:t>
      </w:r>
    </w:p>
    <w:p w14:paraId="7B32416E" w14:textId="77777777" w:rsidR="00DE2C5A" w:rsidRPr="00C87C39" w:rsidRDefault="00DE2C5A" w:rsidP="00DE2C5A">
      <w:pPr>
        <w:spacing w:line="240" w:lineRule="auto"/>
        <w:rPr>
          <w:rFonts w:eastAsia="Times New Roman" w:cs="Arial"/>
          <w:bCs/>
          <w:color w:val="000000"/>
          <w:szCs w:val="20"/>
          <w:lang w:eastAsia="bg-BG"/>
        </w:rPr>
      </w:pPr>
    </w:p>
    <w:p w14:paraId="60D8BB05" w14:textId="052BC507" w:rsidR="00DE2C5A" w:rsidRPr="00C87C39" w:rsidRDefault="00DE2C5A" w:rsidP="00DE2C5A">
      <w:pPr>
        <w:spacing w:line="240" w:lineRule="auto"/>
        <w:rPr>
          <w:rFonts w:eastAsia="Times New Roman" w:cs="Arial"/>
          <w:sz w:val="28"/>
          <w:szCs w:val="24"/>
          <w:u w:val="single"/>
          <w:lang w:eastAsia="bg-BG"/>
        </w:rPr>
      </w:pPr>
      <w:r w:rsidRPr="00C87C39">
        <w:rPr>
          <w:rFonts w:eastAsia="Times New Roman" w:cs="Arial"/>
          <w:bCs/>
          <w:color w:val="000000"/>
          <w:szCs w:val="20"/>
          <w:u w:val="single"/>
          <w:lang w:eastAsia="bg-BG"/>
        </w:rPr>
        <w:t xml:space="preserve">Симптоми на отнемане, наблюдавани при спиране на лечението със сертралин </w:t>
      </w:r>
    </w:p>
    <w:p w14:paraId="59F80B12" w14:textId="7468E94F" w:rsidR="00DE2C5A" w:rsidRPr="00C87C39" w:rsidRDefault="00DE2C5A" w:rsidP="00DE2C5A">
      <w:pPr>
        <w:rPr>
          <w:rFonts w:eastAsia="Times New Roman" w:cs="Arial"/>
          <w:bCs/>
          <w:color w:val="000000"/>
          <w:szCs w:val="20"/>
          <w:lang w:eastAsia="bg-BG"/>
        </w:rPr>
      </w:pPr>
      <w:r w:rsidRPr="00C87C39">
        <w:rPr>
          <w:rFonts w:eastAsia="Times New Roman" w:cs="Arial"/>
          <w:bCs/>
          <w:color w:val="000000"/>
          <w:szCs w:val="20"/>
          <w:lang w:eastAsia="bg-BG"/>
        </w:rPr>
        <w:t xml:space="preserve">Симптомите на отнемане при спиране на лечението са чести, особено ако то е внезапно (вж.  точка 4.8). В клинични проучвания честотата на съобщаваните реакции на отнемане </w:t>
      </w:r>
      <w:r w:rsidRPr="00C87C39">
        <w:rPr>
          <w:rFonts w:eastAsia="Times New Roman" w:cs="Arial"/>
          <w:bCs/>
          <w:color w:val="000000"/>
          <w:szCs w:val="20"/>
          <w:lang w:eastAsia="bg-BG"/>
        </w:rPr>
        <w:lastRenderedPageBreak/>
        <w:t>при пациентите, лекувани със сертралин, е била 23% при прекъсващите сертралин, спрямо 12% при тези, които са продължили да получават терапия със сертралин.</w:t>
      </w:r>
    </w:p>
    <w:p w14:paraId="2A69A0E7" w14:textId="77777777" w:rsidR="00DE2C5A" w:rsidRPr="00C87C39" w:rsidRDefault="00DE2C5A" w:rsidP="00DE2C5A">
      <w:pPr>
        <w:spacing w:line="240" w:lineRule="auto"/>
        <w:rPr>
          <w:rFonts w:ascii="Times New Roman" w:eastAsia="Times New Roman" w:hAnsi="Times New Roman" w:cs="Times New Roman"/>
          <w:bCs/>
          <w:color w:val="000000"/>
          <w:sz w:val="20"/>
          <w:szCs w:val="20"/>
          <w:lang w:eastAsia="bg-BG"/>
        </w:rPr>
      </w:pPr>
    </w:p>
    <w:p w14:paraId="3E27A9CF" w14:textId="16AA9D84"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Рискът от поява на симптоми на отнемане може да зависи от няколко фактора, включително продължителността и дозата на лечението и скоростта на намаляване на дозата. Замаяност, сетивни нарушения (включително парестезия), нарушения на съня (включително безсъние и интензивни сънища), възбуда или безпокойство, гадене и/или повръщане, тремор и главоболие са най-често съобщаваните. По принцип тези симптоми са леки до средно тежки, при някои пациенти обаче могат да бъдат тежки по интензивност. Те обикновено възникват през първите няколко дни от спиране на лечението, но има много редки съобщения за такива симптоми при пациенти, които неволно са пропуснали една доза. По принцип тези симптоми се самоограничават и обикновено отзвучават в рамките на 2 седмици, въпреки че при някои индивиди те могат да бъдат продължителни (2-3 месеца или повече). Следователно се препоръчва сертралин да бъде намаляван постепенно, когато се спира лечението, за период от няколко седмици или месеца според нуждите на пациента (вж. точка 4.2).</w:t>
      </w:r>
    </w:p>
    <w:p w14:paraId="6930F818" w14:textId="77777777" w:rsidR="00DE2C5A" w:rsidRPr="00C87C39" w:rsidRDefault="00DE2C5A" w:rsidP="00DE2C5A">
      <w:pPr>
        <w:spacing w:line="240" w:lineRule="auto"/>
        <w:rPr>
          <w:rFonts w:eastAsia="Times New Roman" w:cs="Arial"/>
          <w:bCs/>
          <w:color w:val="000000"/>
          <w:szCs w:val="20"/>
          <w:u w:val="single"/>
          <w:lang w:eastAsia="bg-BG"/>
        </w:rPr>
      </w:pPr>
    </w:p>
    <w:p w14:paraId="12AA32F5" w14:textId="5A1EC323"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Акатизия/психомоторна възбуда</w:t>
      </w:r>
    </w:p>
    <w:p w14:paraId="2671A2CB"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Употребата на сертралин се свързва с развитието на акатизия, характеризираща се със субективно неприятно или мъчително двигателно неспокойство и нужда от движение, често съпроводени от невъзможност за запазване на спокойно седнало или изправено положение. Това е най-вероятно да настъпи през първите няколко седмици от лечението. При пациентите, които развият тези симптоми, увеличаването на дозата може да доведе до влошаване.</w:t>
      </w:r>
    </w:p>
    <w:p w14:paraId="23DFC1E9" w14:textId="77777777" w:rsidR="00DE2C5A" w:rsidRPr="00C87C39" w:rsidRDefault="00DE2C5A" w:rsidP="00DE2C5A">
      <w:pPr>
        <w:spacing w:line="240" w:lineRule="auto"/>
        <w:rPr>
          <w:rFonts w:eastAsia="Times New Roman" w:cs="Arial"/>
          <w:bCs/>
          <w:color w:val="000000"/>
          <w:szCs w:val="20"/>
          <w:u w:val="single"/>
          <w:lang w:eastAsia="bg-BG"/>
        </w:rPr>
      </w:pPr>
    </w:p>
    <w:p w14:paraId="707F0BA7" w14:textId="3B180760"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Чернодробно увреждане</w:t>
      </w:r>
    </w:p>
    <w:p w14:paraId="54EEF190"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Сертралин се метаболизира екстензивно в черния дроб. Фармакокинетично проучване с многократни дози при индивиди с лека стабилна цироза е показало удължен елиминационен полуживот и приблизително три пъти по-високи </w:t>
      </w:r>
      <w:r w:rsidRPr="00C87C39">
        <w:rPr>
          <w:rFonts w:eastAsia="Times New Roman" w:cs="Arial"/>
          <w:bCs/>
          <w:color w:val="000000"/>
          <w:szCs w:val="20"/>
          <w:lang w:val="en-US"/>
        </w:rPr>
        <w:t>AUC</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и С</w:t>
      </w:r>
      <w:r w:rsidRPr="00C87C39">
        <w:rPr>
          <w:rFonts w:eastAsia="Times New Roman" w:cs="Arial"/>
          <w:bCs/>
          <w:color w:val="000000"/>
          <w:szCs w:val="20"/>
          <w:lang w:val="en-US"/>
        </w:rPr>
        <w:t>m</w:t>
      </w:r>
      <w:r w:rsidRPr="00C87C39">
        <w:rPr>
          <w:rFonts w:eastAsia="Times New Roman" w:cs="Arial"/>
          <w:bCs/>
          <w:color w:val="000000"/>
          <w:szCs w:val="20"/>
          <w:lang w:eastAsia="bg-BG"/>
        </w:rPr>
        <w:t>ах в сравнение със здрави индивиди. Между двете групи не е била установена статистически значима разлика в свързването с плазмените протеини. Приложението на сертралин при пациенти с чернодробно заболяване трябва да става внимателно. Ако сертралин се прилага на пациенти с чернодробно увреждане, трябва да се обмисли намаляване на дневната доза или увеличаване на интервала между приемите. Сертралин не трябва да се използва при пациенти с тежко чернодробно увреждане (вж. точка 4.2).</w:t>
      </w:r>
    </w:p>
    <w:p w14:paraId="1513FE86" w14:textId="77777777" w:rsidR="00DE2C5A" w:rsidRPr="00C87C39" w:rsidRDefault="00DE2C5A" w:rsidP="00DE2C5A">
      <w:pPr>
        <w:spacing w:line="240" w:lineRule="auto"/>
        <w:rPr>
          <w:rFonts w:eastAsia="Times New Roman" w:cs="Arial"/>
          <w:bCs/>
          <w:color w:val="000000"/>
          <w:szCs w:val="20"/>
          <w:u w:val="single"/>
          <w:lang w:eastAsia="bg-BG"/>
        </w:rPr>
      </w:pPr>
    </w:p>
    <w:p w14:paraId="6DB610BA" w14:textId="24F639CC"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Бъбречно увреждане</w:t>
      </w:r>
    </w:p>
    <w:p w14:paraId="7CACB397"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Сертралин се метаболизира екстензивно и екскрецията на непроменено лекарство в урината е незначим път на елиминация. В проучвания при пациенти с леко до умерено бъбречно увреждане (клирънс на креатинина 30 - 60 </w:t>
      </w:r>
      <w:r w:rsidRPr="00C87C39">
        <w:rPr>
          <w:rFonts w:eastAsia="Times New Roman" w:cs="Arial"/>
          <w:bCs/>
          <w:color w:val="000000"/>
          <w:szCs w:val="20"/>
          <w:lang w:val="en-US"/>
        </w:rPr>
        <w:t>ml</w:t>
      </w:r>
      <w:r w:rsidRPr="00C87C39">
        <w:rPr>
          <w:rFonts w:eastAsia="Times New Roman" w:cs="Arial"/>
          <w:bCs/>
          <w:color w:val="000000"/>
          <w:szCs w:val="20"/>
          <w:lang w:val="ru-RU"/>
        </w:rPr>
        <w:t>/</w:t>
      </w:r>
      <w:r w:rsidRPr="00C87C39">
        <w:rPr>
          <w:rFonts w:eastAsia="Times New Roman" w:cs="Arial"/>
          <w:bCs/>
          <w:color w:val="000000"/>
          <w:szCs w:val="20"/>
          <w:lang w:val="en-US"/>
        </w:rPr>
        <w:t>min</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или умерено до тежко бъбречно увреждане (клирънс на креатинина 10-29 </w:t>
      </w:r>
      <w:r w:rsidRPr="00C87C39">
        <w:rPr>
          <w:rFonts w:eastAsia="Times New Roman" w:cs="Arial"/>
          <w:bCs/>
          <w:color w:val="000000"/>
          <w:szCs w:val="20"/>
          <w:lang w:val="en-US"/>
        </w:rPr>
        <w:t>ml</w:t>
      </w:r>
      <w:r w:rsidRPr="00C87C39">
        <w:rPr>
          <w:rFonts w:eastAsia="Times New Roman" w:cs="Arial"/>
          <w:bCs/>
          <w:color w:val="000000"/>
          <w:szCs w:val="20"/>
          <w:lang w:val="ru-RU"/>
        </w:rPr>
        <w:t>/</w:t>
      </w:r>
      <w:r w:rsidRPr="00C87C39">
        <w:rPr>
          <w:rFonts w:eastAsia="Times New Roman" w:cs="Arial"/>
          <w:bCs/>
          <w:color w:val="000000"/>
          <w:szCs w:val="20"/>
          <w:lang w:val="en-US"/>
        </w:rPr>
        <w:t>min</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при които сертралин е прилаган многократно, не са установени сигнификантни разлики във фармакокинетичните параметри </w:t>
      </w:r>
      <w:r w:rsidRPr="00C87C39">
        <w:rPr>
          <w:rFonts w:eastAsia="Times New Roman" w:cs="Arial"/>
          <w:bCs/>
          <w:color w:val="000000"/>
          <w:szCs w:val="20"/>
          <w:lang w:val="ru-RU"/>
        </w:rPr>
        <w:t>(</w:t>
      </w:r>
      <w:r w:rsidRPr="00C87C39">
        <w:rPr>
          <w:rFonts w:eastAsia="Times New Roman" w:cs="Arial"/>
          <w:bCs/>
          <w:color w:val="000000"/>
          <w:szCs w:val="20"/>
          <w:lang w:val="en-US"/>
        </w:rPr>
        <w:t>AUC</w:t>
      </w:r>
      <w:r w:rsidRPr="00C87C39">
        <w:rPr>
          <w:rFonts w:eastAsia="Times New Roman" w:cs="Arial"/>
          <w:bCs/>
          <w:color w:val="000000"/>
          <w:szCs w:val="20"/>
          <w:lang w:val="ru-RU"/>
        </w:rPr>
        <w:t xml:space="preserve">0-24 </w:t>
      </w:r>
      <w:r w:rsidRPr="00C87C39">
        <w:rPr>
          <w:rFonts w:eastAsia="Times New Roman" w:cs="Arial"/>
          <w:bCs/>
          <w:color w:val="000000"/>
          <w:szCs w:val="20"/>
          <w:lang w:eastAsia="bg-BG"/>
        </w:rPr>
        <w:t>или С</w:t>
      </w:r>
      <w:r w:rsidRPr="00C87C39">
        <w:rPr>
          <w:rFonts w:eastAsia="Times New Roman" w:cs="Arial"/>
          <w:bCs/>
          <w:color w:val="000000"/>
          <w:szCs w:val="20"/>
          <w:lang w:val="en-US"/>
        </w:rPr>
        <w:t>m</w:t>
      </w:r>
      <w:r w:rsidRPr="00C87C39">
        <w:rPr>
          <w:rFonts w:eastAsia="Times New Roman" w:cs="Arial"/>
          <w:bCs/>
          <w:color w:val="000000"/>
          <w:szCs w:val="20"/>
          <w:lang w:eastAsia="bg-BG"/>
        </w:rPr>
        <w:t>ах) в сравнение с контролите. Дозата сертралин не трябва да се променя според степента на бъбречно увреждане.</w:t>
      </w:r>
    </w:p>
    <w:p w14:paraId="1497F748" w14:textId="77777777" w:rsidR="00DE2C5A" w:rsidRPr="00C87C39" w:rsidRDefault="00DE2C5A" w:rsidP="00DE2C5A">
      <w:pPr>
        <w:spacing w:line="240" w:lineRule="auto"/>
        <w:rPr>
          <w:rFonts w:eastAsia="Times New Roman" w:cs="Arial"/>
          <w:bCs/>
          <w:color w:val="000000"/>
          <w:szCs w:val="20"/>
          <w:u w:val="single"/>
          <w:lang w:eastAsia="bg-BG"/>
        </w:rPr>
      </w:pPr>
    </w:p>
    <w:p w14:paraId="0872AA29" w14:textId="33E28869"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Употреба при лица в старческа възраст</w:t>
      </w:r>
    </w:p>
    <w:p w14:paraId="31F69593"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Над 700 пациенти в старческа възраст (&gt;65 години) са участвали в клинични проучвания. Характерът и честотата на нежеланите реакции при лицата в напреднала възраст са били сходни с тези при по-млади пациенти.</w:t>
      </w:r>
    </w:p>
    <w:p w14:paraId="5BD50876"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val="en-US"/>
        </w:rPr>
        <w:lastRenderedPageBreak/>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или </w:t>
      </w:r>
      <w:r w:rsidRPr="00C87C39">
        <w:rPr>
          <w:rFonts w:eastAsia="Times New Roman" w:cs="Arial"/>
          <w:bCs/>
          <w:color w:val="000000"/>
          <w:szCs w:val="20"/>
          <w:lang w:val="en-US"/>
        </w:rPr>
        <w:t>SNRI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включително сертралин, се свързват обаче със случаи на клинично значима хипонатриемия при пациенти в старческа възраст, които е възможно да бъдат изложени на по-висок риск от това нежелано събитие (вж. „Хипонатриемия” в точка 4.4).</w:t>
      </w:r>
    </w:p>
    <w:p w14:paraId="1891FEA4" w14:textId="77777777" w:rsidR="00DE2C5A" w:rsidRPr="00C87C39" w:rsidRDefault="00DE2C5A" w:rsidP="00DE2C5A">
      <w:pPr>
        <w:spacing w:line="240" w:lineRule="auto"/>
        <w:rPr>
          <w:rFonts w:eastAsia="Times New Roman" w:cs="Arial"/>
          <w:bCs/>
          <w:color w:val="000000"/>
          <w:szCs w:val="20"/>
          <w:u w:val="single"/>
          <w:lang w:eastAsia="bg-BG"/>
        </w:rPr>
      </w:pPr>
    </w:p>
    <w:p w14:paraId="16B26B77" w14:textId="012F8F1D"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Диабет</w:t>
      </w:r>
    </w:p>
    <w:p w14:paraId="55D16A7A"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При пациенти с диабет, лечението със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може да промени гликемичния контрол вероятно поради подобрение на депресивните симптоми. Може да се наложи промяна в дозирането на инсулин и/или съпътстващи перорални хипогликемични продукти.</w:t>
      </w:r>
    </w:p>
    <w:p w14:paraId="2F62ED1F" w14:textId="77777777" w:rsidR="00DE2C5A" w:rsidRPr="00C87C39" w:rsidRDefault="00DE2C5A" w:rsidP="00DE2C5A">
      <w:pPr>
        <w:spacing w:line="240" w:lineRule="auto"/>
        <w:rPr>
          <w:rFonts w:eastAsia="Times New Roman" w:cs="Arial"/>
          <w:bCs/>
          <w:color w:val="000000"/>
          <w:szCs w:val="20"/>
          <w:u w:val="single"/>
          <w:lang w:eastAsia="bg-BG"/>
        </w:rPr>
      </w:pPr>
    </w:p>
    <w:p w14:paraId="5DEEB7A4" w14:textId="0C8041A4"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 xml:space="preserve">Електроконвулсивна терапия </w:t>
      </w:r>
      <w:r w:rsidRPr="00C87C39">
        <w:rPr>
          <w:rFonts w:eastAsia="Times New Roman" w:cs="Arial"/>
          <w:bCs/>
          <w:color w:val="000000"/>
          <w:szCs w:val="20"/>
          <w:u w:val="single"/>
          <w:lang w:val="ru-RU"/>
        </w:rPr>
        <w:t>(</w:t>
      </w:r>
      <w:r w:rsidRPr="00C87C39">
        <w:rPr>
          <w:rFonts w:eastAsia="Times New Roman" w:cs="Arial"/>
          <w:bCs/>
          <w:color w:val="000000"/>
          <w:szCs w:val="20"/>
          <w:u w:val="single"/>
          <w:lang w:val="en-US"/>
        </w:rPr>
        <w:t>EK</w:t>
      </w:r>
      <w:r w:rsidRPr="00C87C39">
        <w:rPr>
          <w:rFonts w:eastAsia="Times New Roman" w:cs="Arial"/>
          <w:bCs/>
          <w:color w:val="000000"/>
          <w:szCs w:val="20"/>
          <w:u w:val="single"/>
          <w:lang w:eastAsia="bg-BG"/>
        </w:rPr>
        <w:t>Т)</w:t>
      </w:r>
      <w:r w:rsidRPr="00C87C39">
        <w:rPr>
          <w:rFonts w:eastAsia="Times New Roman" w:cs="Arial"/>
          <w:bCs/>
          <w:color w:val="000000"/>
          <w:szCs w:val="20"/>
          <w:lang w:val="ru-RU"/>
        </w:rPr>
        <w:tab/>
      </w:r>
    </w:p>
    <w:p w14:paraId="77CB7F1F" w14:textId="2A07E8F1" w:rsidR="00DE2C5A" w:rsidRPr="00C87C39" w:rsidRDefault="00DE2C5A" w:rsidP="00DE2C5A">
      <w:pPr>
        <w:rPr>
          <w:rFonts w:cs="Arial"/>
          <w:sz w:val="28"/>
        </w:rPr>
      </w:pPr>
      <w:r w:rsidRPr="00C87C39">
        <w:rPr>
          <w:rFonts w:eastAsia="Times New Roman" w:cs="Arial"/>
          <w:bCs/>
          <w:color w:val="000000"/>
          <w:szCs w:val="20"/>
          <w:lang w:eastAsia="bg-BG"/>
        </w:rPr>
        <w:t>Не са провеждани клинични проучвания, които да установят рисковете или ползите от комбинираното приложение на ЕКТ и сертралин.</w:t>
      </w:r>
    </w:p>
    <w:p w14:paraId="36F8BEF4" w14:textId="314E907D" w:rsidR="00DE2C5A" w:rsidRPr="00C87C39" w:rsidRDefault="00DE2C5A" w:rsidP="0091385D">
      <w:pPr>
        <w:rPr>
          <w:rFonts w:cs="Arial"/>
          <w:sz w:val="24"/>
        </w:rPr>
      </w:pPr>
    </w:p>
    <w:p w14:paraId="5FA2A4EA"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Сок от грейпфрут</w:t>
      </w:r>
    </w:p>
    <w:p w14:paraId="7D9D903A"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Прилагането на сертралин със сок от грейпфрут не се препоръчва (вж. точка 4.5).</w:t>
      </w:r>
    </w:p>
    <w:p w14:paraId="03B9C4C7" w14:textId="77777777" w:rsidR="00DE2C5A" w:rsidRPr="00C87C39" w:rsidRDefault="00DE2C5A" w:rsidP="00DE2C5A">
      <w:pPr>
        <w:spacing w:line="240" w:lineRule="auto"/>
        <w:rPr>
          <w:rFonts w:eastAsia="Times New Roman" w:cs="Arial"/>
          <w:bCs/>
          <w:color w:val="000000"/>
          <w:szCs w:val="20"/>
          <w:u w:val="single"/>
          <w:lang w:eastAsia="bg-BG"/>
        </w:rPr>
      </w:pPr>
    </w:p>
    <w:p w14:paraId="20B2FE81" w14:textId="3BE9644D"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Взаимодействие с изследванията на урина</w:t>
      </w:r>
    </w:p>
    <w:p w14:paraId="0DDA510A"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Фалшиво-положителни резултати за бензодиазепини от имунологичните тестове на урина са докладвани при пациенти, приемащи сертралин. Това се дължи на липса на специфичност на скриниращите тестове. Фалшиво-положителни резултати могат да се очакват в няколко дни след прекратяване на лечението със сертралин. Тестове за потвърждение, например газова хроматография/мас спектрометрия ще отличат сертралина от бензодиазепините.</w:t>
      </w:r>
    </w:p>
    <w:p w14:paraId="191FFE46" w14:textId="77777777" w:rsidR="00DE2C5A" w:rsidRPr="00C87C39" w:rsidRDefault="00DE2C5A" w:rsidP="00DE2C5A">
      <w:pPr>
        <w:spacing w:line="240" w:lineRule="auto"/>
        <w:rPr>
          <w:rFonts w:eastAsia="Times New Roman" w:cs="Arial"/>
          <w:bCs/>
          <w:color w:val="000000"/>
          <w:szCs w:val="20"/>
          <w:u w:val="single"/>
          <w:lang w:eastAsia="bg-BG"/>
        </w:rPr>
      </w:pPr>
    </w:p>
    <w:p w14:paraId="0B63ACA0" w14:textId="26D5084D"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Закритоъгълна глаукома</w:t>
      </w:r>
    </w:p>
    <w:p w14:paraId="09E22E40"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Селективните инхибитори на обратното захващане на серотонина, включително сертралин, могат да окажат влияние върху размера на зеницата, което да доведе до мидриаза, Този мидриатичен ефект има потенциала да стеснява очния ъгъл, което води до повишено вътреочно налягане и закритоъгьлна глаукома, особено при предразположени пациенти. Сертралин трябва да бъде прилаган с внимание при пациенти със закритоъгьлна глаукома или анамнеза за глаукома.</w:t>
      </w:r>
    </w:p>
    <w:p w14:paraId="40999A59" w14:textId="77777777" w:rsidR="00DE2C5A" w:rsidRPr="00C87C39" w:rsidRDefault="00DE2C5A" w:rsidP="00DE2C5A">
      <w:pPr>
        <w:spacing w:line="240" w:lineRule="auto"/>
        <w:rPr>
          <w:rFonts w:eastAsia="Times New Roman" w:cs="Arial"/>
          <w:bCs/>
          <w:color w:val="000000"/>
          <w:szCs w:val="20"/>
          <w:u w:val="single"/>
          <w:lang w:eastAsia="bg-BG"/>
        </w:rPr>
      </w:pPr>
    </w:p>
    <w:p w14:paraId="45150299" w14:textId="7B6A85BD"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Сексуална дисфункция</w:t>
      </w:r>
    </w:p>
    <w:p w14:paraId="52118E02" w14:textId="77777777" w:rsidR="00DE2C5A" w:rsidRPr="00C87C39" w:rsidRDefault="00DE2C5A" w:rsidP="00DE2C5A">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Селективните инхибитори на обратното захващане на серотонина </w:t>
      </w:r>
      <w:r w:rsidRPr="00C87C39">
        <w:rPr>
          <w:rFonts w:eastAsia="Times New Roman" w:cs="Arial"/>
          <w:bCs/>
          <w:color w:val="000000"/>
          <w:szCs w:val="20"/>
          <w:lang w:val="ru-RU"/>
        </w:rPr>
        <w:t>(</w:t>
      </w:r>
      <w:r w:rsidRPr="00C87C39">
        <w:rPr>
          <w:rFonts w:eastAsia="Times New Roman" w:cs="Arial"/>
          <w:bCs/>
          <w:color w:val="000000"/>
          <w:szCs w:val="20"/>
          <w:lang w:val="en-US"/>
        </w:rPr>
        <w:t>SSRIs</w:t>
      </w:r>
      <w:r w:rsidRPr="00C87C39">
        <w:rPr>
          <w:rFonts w:eastAsia="Times New Roman" w:cs="Arial"/>
          <w:bCs/>
          <w:color w:val="000000"/>
          <w:szCs w:val="20"/>
          <w:lang w:val="ru-RU"/>
        </w:rPr>
        <w:t>)/</w:t>
      </w:r>
      <w:r w:rsidRPr="00C87C39">
        <w:rPr>
          <w:rFonts w:eastAsia="Times New Roman" w:cs="Arial"/>
          <w:bCs/>
          <w:color w:val="000000"/>
          <w:szCs w:val="20"/>
          <w:lang w:eastAsia="bg-BG"/>
        </w:rPr>
        <w:t xml:space="preserve">инхибиторите на обратното захващане на серотонина и норадреналина </w:t>
      </w:r>
      <w:r w:rsidRPr="00C87C39">
        <w:rPr>
          <w:rFonts w:eastAsia="Times New Roman" w:cs="Arial"/>
          <w:bCs/>
          <w:color w:val="000000"/>
          <w:szCs w:val="20"/>
          <w:lang w:val="ru-RU"/>
        </w:rPr>
        <w:t>(</w:t>
      </w:r>
      <w:r w:rsidRPr="00C87C39">
        <w:rPr>
          <w:rFonts w:eastAsia="Times New Roman" w:cs="Arial"/>
          <w:bCs/>
          <w:color w:val="000000"/>
          <w:szCs w:val="20"/>
          <w:lang w:val="en-US"/>
        </w:rPr>
        <w:t>SNRIs</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C87C39">
        <w:rPr>
          <w:rFonts w:eastAsia="Times New Roman" w:cs="Arial"/>
          <w:bCs/>
          <w:color w:val="000000"/>
          <w:szCs w:val="20"/>
          <w:lang w:val="en-US"/>
        </w:rPr>
        <w:t>SSRIs</w:t>
      </w:r>
      <w:r w:rsidRPr="00C87C39">
        <w:rPr>
          <w:rFonts w:eastAsia="Times New Roman" w:cs="Arial"/>
          <w:bCs/>
          <w:color w:val="000000"/>
          <w:szCs w:val="20"/>
          <w:lang w:val="ru-RU"/>
        </w:rPr>
        <w:t>/</w:t>
      </w:r>
      <w:r w:rsidRPr="00C87C39">
        <w:rPr>
          <w:rFonts w:eastAsia="Times New Roman" w:cs="Arial"/>
          <w:bCs/>
          <w:color w:val="000000"/>
          <w:szCs w:val="20"/>
          <w:lang w:val="en-US"/>
        </w:rPr>
        <w:t>SNRL</w:t>
      </w:r>
    </w:p>
    <w:p w14:paraId="5A64D647" w14:textId="77777777" w:rsidR="00DE2C5A" w:rsidRPr="00C87C39" w:rsidRDefault="00DE2C5A" w:rsidP="00DE2C5A">
      <w:pPr>
        <w:rPr>
          <w:rFonts w:eastAsia="Times New Roman" w:cs="Arial"/>
          <w:bCs/>
          <w:color w:val="000000"/>
          <w:szCs w:val="20"/>
          <w:lang w:val="ru-RU"/>
        </w:rPr>
      </w:pPr>
    </w:p>
    <w:p w14:paraId="2E09EBB2" w14:textId="5FC31761" w:rsidR="00DE2C5A" w:rsidRPr="00C87C39" w:rsidRDefault="00DE2C5A" w:rsidP="00DE2C5A">
      <w:pPr>
        <w:rPr>
          <w:rFonts w:cs="Arial"/>
          <w:sz w:val="24"/>
        </w:rPr>
      </w:pPr>
      <w:r w:rsidRPr="00C87C39">
        <w:rPr>
          <w:rFonts w:eastAsia="Times New Roman" w:cs="Arial"/>
          <w:bCs/>
          <w:color w:val="000000"/>
          <w:szCs w:val="20"/>
          <w:lang w:val="en-US"/>
        </w:rPr>
        <w:t>SSRI</w:t>
      </w:r>
      <w:r w:rsidRPr="00C87C39">
        <w:rPr>
          <w:rFonts w:eastAsia="Times New Roman" w:cs="Arial"/>
          <w:bCs/>
          <w:color w:val="000000"/>
          <w:szCs w:val="20"/>
          <w:lang w:val="ru-RU"/>
        </w:rPr>
        <w:t>/</w:t>
      </w:r>
      <w:r w:rsidRPr="00C87C39">
        <w:rPr>
          <w:rFonts w:eastAsia="Times New Roman" w:cs="Arial"/>
          <w:bCs/>
          <w:color w:val="000000"/>
          <w:szCs w:val="20"/>
          <w:lang w:val="en-US"/>
        </w:rPr>
        <w:t>SNRI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могат да повишат риска от послеродово кръвотечение (вж. точки 4.6 и 4.8).</w:t>
      </w:r>
    </w:p>
    <w:p w14:paraId="20415EB9" w14:textId="77777777" w:rsidR="00DE2C5A" w:rsidRPr="00C87C39" w:rsidRDefault="00DE2C5A" w:rsidP="0091385D"/>
    <w:p w14:paraId="619DED1E" w14:textId="564F257F" w:rsidR="004F498A" w:rsidRPr="00C87C39" w:rsidRDefault="002C50EE" w:rsidP="004A448E">
      <w:pPr>
        <w:pStyle w:val="Heading2"/>
      </w:pPr>
      <w:r w:rsidRPr="00C87C39">
        <w:t>4.5. Взаимодействие с други лекарствени продукти и други форми на</w:t>
      </w:r>
      <w:r w:rsidR="004F1CE7" w:rsidRPr="00C87C39">
        <w:rPr>
          <w:lang w:val="ru-RU"/>
        </w:rPr>
        <w:t xml:space="preserve"> </w:t>
      </w:r>
      <w:r w:rsidR="004F1CE7" w:rsidRPr="00C87C39">
        <w:t>взаимодействие</w:t>
      </w:r>
      <w:r w:rsidRPr="00C87C39">
        <w:t xml:space="preserve"> </w:t>
      </w:r>
    </w:p>
    <w:p w14:paraId="355E4B7C" w14:textId="7D829F6C" w:rsidR="0091385D" w:rsidRPr="00C87C39" w:rsidRDefault="0091385D" w:rsidP="0091385D"/>
    <w:p w14:paraId="41187B44"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u w:val="single"/>
          <w:lang w:eastAsia="bg-BG"/>
        </w:rPr>
        <w:t>Противопоказани</w:t>
      </w:r>
    </w:p>
    <w:p w14:paraId="4B816C02" w14:textId="77777777" w:rsidR="00DE2C5A" w:rsidRPr="00C87C39" w:rsidRDefault="00DE2C5A" w:rsidP="00DE2C5A">
      <w:pPr>
        <w:spacing w:line="240" w:lineRule="auto"/>
        <w:rPr>
          <w:rFonts w:eastAsia="Times New Roman" w:cs="Arial"/>
          <w:bCs/>
          <w:i/>
          <w:iCs/>
          <w:color w:val="000000"/>
          <w:u w:val="single"/>
          <w:lang w:eastAsia="bg-BG"/>
        </w:rPr>
      </w:pPr>
    </w:p>
    <w:p w14:paraId="633DA47C" w14:textId="0B656286"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Моноаминоксидазни инхибитори</w:t>
      </w:r>
    </w:p>
    <w:p w14:paraId="4CE58ADD" w14:textId="77777777" w:rsidR="00DE2C5A" w:rsidRPr="00C87C39" w:rsidRDefault="00DE2C5A" w:rsidP="00DE2C5A">
      <w:pPr>
        <w:spacing w:line="240" w:lineRule="auto"/>
        <w:rPr>
          <w:rFonts w:eastAsia="Times New Roman" w:cs="Arial"/>
          <w:bCs/>
          <w:i/>
          <w:iCs/>
          <w:color w:val="000000"/>
          <w:lang w:eastAsia="bg-BG"/>
        </w:rPr>
      </w:pPr>
    </w:p>
    <w:p w14:paraId="4EDC1F82" w14:textId="3F196932"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lang w:eastAsia="bg-BG"/>
        </w:rPr>
        <w:t>Необратими МАО-инхибитори ( напр. селегилин)</w:t>
      </w:r>
    </w:p>
    <w:p w14:paraId="6DB19EBB"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lastRenderedPageBreak/>
        <w:t xml:space="preserve">Сертралин не трябва да се прилага в комбинация с необратими </w:t>
      </w:r>
      <w:r w:rsidRPr="00C87C39">
        <w:rPr>
          <w:rFonts w:eastAsia="Times New Roman" w:cs="Arial"/>
          <w:bCs/>
          <w:color w:val="000000"/>
          <w:lang w:val="en-US"/>
        </w:rPr>
        <w:t>MAO</w:t>
      </w:r>
      <w:r w:rsidRPr="00C87C39">
        <w:rPr>
          <w:rFonts w:eastAsia="Times New Roman" w:cs="Arial"/>
          <w:bCs/>
          <w:color w:val="000000"/>
          <w:lang w:eastAsia="bg-BG"/>
        </w:rPr>
        <w:t>-инхибитори като селегилин. Сертралин не трябва да се започва поне 14 дни след преустановяване на лечението с необратим МАО-инхибитор. Приемът на сертралин трябва да се прекрати поне 7 дни преди започване на лечение с необратим МАО-инхибитор (вж. точка 4.3).</w:t>
      </w:r>
    </w:p>
    <w:p w14:paraId="1CEEF56F" w14:textId="77777777" w:rsidR="00DE2C5A" w:rsidRPr="00C87C39" w:rsidRDefault="00DE2C5A" w:rsidP="00DE2C5A">
      <w:pPr>
        <w:spacing w:line="240" w:lineRule="auto"/>
        <w:rPr>
          <w:rFonts w:eastAsia="Times New Roman" w:cs="Arial"/>
          <w:bCs/>
          <w:i/>
          <w:iCs/>
          <w:color w:val="000000"/>
          <w:lang w:eastAsia="bg-BG"/>
        </w:rPr>
      </w:pPr>
    </w:p>
    <w:p w14:paraId="52236A56" w14:textId="1D0D291D"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lang w:eastAsia="bg-BG"/>
        </w:rPr>
        <w:t>Обратим селективен МАО-А инхибитор (моклобемид)</w:t>
      </w:r>
    </w:p>
    <w:p w14:paraId="33B34F91"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Поради риска от серотонинов синдром не се препоръчва комбинацията между сертралин и обратим и селективен МАО-инхибитор като моклобемид. След лечение с обратим МАО- инхибитор може да се използва период на изтегляне, по-крагьк от 14 дни, преди започване на лечението със сертралин. Препоръчително е приемът на сертралин да се прекрати поне 7 дни преди започване на лечение с обратим МАО-инхибитор (вж. точка 4.3).</w:t>
      </w:r>
    </w:p>
    <w:p w14:paraId="3FD666C7" w14:textId="77777777" w:rsidR="00DE2C5A" w:rsidRPr="00C87C39" w:rsidRDefault="00DE2C5A" w:rsidP="00DE2C5A">
      <w:pPr>
        <w:spacing w:line="240" w:lineRule="auto"/>
        <w:rPr>
          <w:rFonts w:eastAsia="Times New Roman" w:cs="Arial"/>
          <w:bCs/>
          <w:i/>
          <w:iCs/>
          <w:color w:val="000000"/>
          <w:lang w:eastAsia="bg-BG"/>
        </w:rPr>
      </w:pPr>
    </w:p>
    <w:p w14:paraId="01003DDA" w14:textId="164A6A22"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lang w:eastAsia="bg-BG"/>
        </w:rPr>
        <w:t>Обратим неселективен МАО-инхибитор (линезолид)</w:t>
      </w:r>
    </w:p>
    <w:p w14:paraId="01519550"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Антибиотикът линезолид е слаб обратим и неселективен МАО-инхибитор и не трябва да се дава на пациенти, лекувани със сертралин (вж. точка 4.3).</w:t>
      </w:r>
    </w:p>
    <w:p w14:paraId="5350E9EB" w14:textId="77777777" w:rsidR="00DE2C5A" w:rsidRPr="00C87C39" w:rsidRDefault="00DE2C5A" w:rsidP="00DE2C5A">
      <w:pPr>
        <w:rPr>
          <w:rFonts w:eastAsia="Times New Roman" w:cs="Arial"/>
          <w:bCs/>
          <w:color w:val="000000"/>
          <w:lang w:eastAsia="bg-BG"/>
        </w:rPr>
      </w:pPr>
    </w:p>
    <w:p w14:paraId="5B2761C5" w14:textId="1F31C4A0" w:rsidR="0091385D" w:rsidRPr="00C87C39" w:rsidRDefault="00DE2C5A" w:rsidP="00DE2C5A">
      <w:pPr>
        <w:rPr>
          <w:rFonts w:cs="Arial"/>
        </w:rPr>
      </w:pPr>
      <w:r w:rsidRPr="00C87C39">
        <w:rPr>
          <w:rFonts w:eastAsia="Times New Roman" w:cs="Arial"/>
          <w:bCs/>
          <w:color w:val="000000"/>
          <w:lang w:eastAsia="bg-BG"/>
        </w:rPr>
        <w:t>Има съобщения за тежки нежелани реакции при пациенти, които скоро са прекратили приема  на МАО-инхибитор (напр. метиленово синьо) и са започнали да приемат сертралин, или които са прекратили лечение със сертралин и скоро са започнали да приемат МАО- инхибитор. Тези реакции включват тремор, миоклонус, изпотяване, гадене, повръщане, световъртеж и хипертермия с характеристики, наподобяващи злокачествен, невролептичен синдром, припадъци и смърт.</w:t>
      </w:r>
    </w:p>
    <w:p w14:paraId="0395BD2E" w14:textId="622AB443" w:rsidR="007A2185" w:rsidRPr="00C87C39" w:rsidRDefault="007A2185" w:rsidP="0091385D">
      <w:pPr>
        <w:rPr>
          <w:rFonts w:cs="Arial"/>
        </w:rPr>
      </w:pPr>
    </w:p>
    <w:p w14:paraId="165ECA04" w14:textId="77777777"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Пимозид</w:t>
      </w:r>
    </w:p>
    <w:p w14:paraId="4D78C7E1"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Повишени нива на пимозид от около 35% са установени в клинично проучване с приложение на еднократна ниска доза пимозид (2 </w:t>
      </w:r>
      <w:r w:rsidRPr="00C87C39">
        <w:rPr>
          <w:rFonts w:eastAsia="Times New Roman" w:cs="Arial"/>
          <w:bCs/>
          <w:color w:val="000000"/>
          <w:lang w:val="en-US"/>
        </w:rPr>
        <w:t>mg</w:t>
      </w:r>
      <w:r w:rsidRPr="00C87C39">
        <w:rPr>
          <w:rFonts w:eastAsia="Times New Roman" w:cs="Arial"/>
          <w:bCs/>
          <w:color w:val="000000"/>
          <w:lang w:val="ru-RU"/>
        </w:rPr>
        <w:t xml:space="preserve">). </w:t>
      </w:r>
      <w:r w:rsidRPr="00C87C39">
        <w:rPr>
          <w:rFonts w:eastAsia="Times New Roman" w:cs="Arial"/>
          <w:bCs/>
          <w:color w:val="000000"/>
          <w:lang w:eastAsia="bg-BG"/>
        </w:rPr>
        <w:t>Тези повишени нива не са били свързани с каквито и да е промени в ЕКГ. Докато не се изясни механизмът на това взаимодействие, поради тесния терапевтичен индекс на пимозид едновременното приложение на сертралин и пимозид е противопоказано (вж. точка 4.3).</w:t>
      </w:r>
    </w:p>
    <w:p w14:paraId="73BB6C86" w14:textId="77777777" w:rsidR="00DE2C5A" w:rsidRPr="00C87C39" w:rsidRDefault="00DE2C5A" w:rsidP="00DE2C5A">
      <w:pPr>
        <w:spacing w:line="240" w:lineRule="auto"/>
        <w:rPr>
          <w:rFonts w:eastAsia="Times New Roman" w:cs="Arial"/>
          <w:bCs/>
          <w:color w:val="000000"/>
          <w:u w:val="single"/>
          <w:lang w:eastAsia="bg-BG"/>
        </w:rPr>
      </w:pPr>
    </w:p>
    <w:p w14:paraId="2D98E712" w14:textId="7714CAF7" w:rsidR="00DE2C5A" w:rsidRPr="00C87C39" w:rsidRDefault="00DE2C5A" w:rsidP="00DE2C5A">
      <w:pPr>
        <w:spacing w:line="240" w:lineRule="auto"/>
        <w:rPr>
          <w:rFonts w:eastAsia="Times New Roman" w:cs="Arial"/>
          <w:lang w:eastAsia="bg-BG"/>
        </w:rPr>
      </w:pPr>
      <w:r w:rsidRPr="00C87C39">
        <w:rPr>
          <w:rFonts w:eastAsia="Times New Roman" w:cs="Arial"/>
          <w:bCs/>
          <w:color w:val="000000"/>
          <w:u w:val="single"/>
          <w:lang w:eastAsia="bg-BG"/>
        </w:rPr>
        <w:t>Не се препоръчва едновременно приложение със сертралин</w:t>
      </w:r>
    </w:p>
    <w:p w14:paraId="7BE0B88C" w14:textId="77777777" w:rsidR="00DE2C5A" w:rsidRPr="00C87C39" w:rsidRDefault="00DE2C5A" w:rsidP="00DE2C5A">
      <w:pPr>
        <w:spacing w:line="240" w:lineRule="auto"/>
        <w:rPr>
          <w:rFonts w:eastAsia="Times New Roman" w:cs="Arial"/>
          <w:bCs/>
          <w:i/>
          <w:iCs/>
          <w:color w:val="000000"/>
          <w:u w:val="single"/>
          <w:lang w:eastAsia="bg-BG"/>
        </w:rPr>
      </w:pPr>
    </w:p>
    <w:p w14:paraId="5DE55955" w14:textId="7527331C"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Лекарства, които потискат Ц</w:t>
      </w:r>
      <w:r w:rsidRPr="00C87C39">
        <w:rPr>
          <w:rFonts w:eastAsia="Times New Roman" w:cs="Arial"/>
          <w:bCs/>
          <w:i/>
          <w:iCs/>
          <w:color w:val="000000"/>
          <w:u w:val="single"/>
          <w:lang w:val="en-US"/>
        </w:rPr>
        <w:t>HC</w:t>
      </w:r>
      <w:r w:rsidRPr="00C87C39">
        <w:rPr>
          <w:rFonts w:eastAsia="Times New Roman" w:cs="Arial"/>
          <w:bCs/>
          <w:i/>
          <w:iCs/>
          <w:color w:val="000000"/>
          <w:u w:val="single"/>
          <w:lang w:val="ru-RU"/>
        </w:rPr>
        <w:t xml:space="preserve">, </w:t>
      </w:r>
      <w:r w:rsidRPr="00C87C39">
        <w:rPr>
          <w:rFonts w:eastAsia="Times New Roman" w:cs="Arial"/>
          <w:bCs/>
          <w:i/>
          <w:iCs/>
          <w:color w:val="000000"/>
          <w:u w:val="single"/>
          <w:lang w:eastAsia="bg-BG"/>
        </w:rPr>
        <w:t>и алкохол</w:t>
      </w:r>
    </w:p>
    <w:p w14:paraId="42A0E9C5"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Съпътстващото приложение на сертралин 200 </w:t>
      </w:r>
      <w:r w:rsidRPr="00C87C39">
        <w:rPr>
          <w:rFonts w:eastAsia="Times New Roman" w:cs="Arial"/>
          <w:bCs/>
          <w:color w:val="000000"/>
          <w:lang w:val="en-US"/>
        </w:rPr>
        <w:t>mg</w:t>
      </w:r>
      <w:r w:rsidRPr="00C87C39">
        <w:rPr>
          <w:rFonts w:eastAsia="Times New Roman" w:cs="Arial"/>
          <w:bCs/>
          <w:color w:val="000000"/>
          <w:lang w:val="ru-RU"/>
        </w:rPr>
        <w:t xml:space="preserve"> </w:t>
      </w:r>
      <w:r w:rsidRPr="00C87C39">
        <w:rPr>
          <w:rFonts w:eastAsia="Times New Roman" w:cs="Arial"/>
          <w:bCs/>
          <w:color w:val="000000"/>
          <w:lang w:eastAsia="bg-BG"/>
        </w:rPr>
        <w:t>дневно с алкохол, карбамазепин, халоперидол, фенитоин не потенцира техните ефекти върху когнитивните и психомоторните функции при здрави индивиди; независимо от това не се препоръчва едновременната употреба на сертралин и алкохол.</w:t>
      </w:r>
    </w:p>
    <w:p w14:paraId="18DD197B" w14:textId="77777777" w:rsidR="00DE2C5A" w:rsidRPr="00C87C39" w:rsidRDefault="00DE2C5A" w:rsidP="00DE2C5A">
      <w:pPr>
        <w:spacing w:line="240" w:lineRule="auto"/>
        <w:rPr>
          <w:rFonts w:eastAsia="Times New Roman" w:cs="Arial"/>
          <w:bCs/>
          <w:i/>
          <w:iCs/>
          <w:color w:val="000000"/>
          <w:u w:val="single"/>
          <w:lang w:eastAsia="bg-BG"/>
        </w:rPr>
      </w:pPr>
    </w:p>
    <w:p w14:paraId="323506E1" w14:textId="04826158"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 xml:space="preserve">Други серотонинергични лекарства </w:t>
      </w:r>
      <w:r w:rsidRPr="00C87C39">
        <w:rPr>
          <w:rFonts w:eastAsia="Times New Roman" w:cs="Arial"/>
          <w:bCs/>
          <w:color w:val="000000"/>
          <w:lang w:eastAsia="bg-BG"/>
        </w:rPr>
        <w:t>Вижте точка 4.4.</w:t>
      </w:r>
    </w:p>
    <w:p w14:paraId="2D933C70" w14:textId="77777777" w:rsidR="00DE2C5A" w:rsidRPr="00C87C39" w:rsidRDefault="00DE2C5A" w:rsidP="00DE2C5A">
      <w:pPr>
        <w:spacing w:line="240" w:lineRule="auto"/>
        <w:rPr>
          <w:rFonts w:eastAsia="Times New Roman" w:cs="Arial"/>
          <w:bCs/>
          <w:color w:val="000000"/>
          <w:lang w:eastAsia="bg-BG"/>
        </w:rPr>
      </w:pPr>
    </w:p>
    <w:p w14:paraId="3755B730" w14:textId="4D3962E1"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Необходимо е повишено внимание при прилагане с фентанил (използван при обща анестезия или за лечение на хронична болка), други серотонинергични лекарства (включително други серотонинергични антидепресанти, амфетамини, триптани) и с други наркотични лекарства.</w:t>
      </w:r>
    </w:p>
    <w:p w14:paraId="076F205E" w14:textId="77777777" w:rsidR="00DE2C5A" w:rsidRPr="00C87C39" w:rsidRDefault="00DE2C5A" w:rsidP="00DE2C5A">
      <w:pPr>
        <w:spacing w:line="240" w:lineRule="auto"/>
        <w:rPr>
          <w:rFonts w:eastAsia="Times New Roman" w:cs="Arial"/>
          <w:bCs/>
          <w:color w:val="000000"/>
          <w:u w:val="single"/>
          <w:lang w:eastAsia="bg-BG"/>
        </w:rPr>
      </w:pPr>
    </w:p>
    <w:p w14:paraId="6E6170EB" w14:textId="1AD20DFB" w:rsidR="00DE2C5A" w:rsidRPr="00C87C39" w:rsidRDefault="00DE2C5A" w:rsidP="00DE2C5A">
      <w:pPr>
        <w:spacing w:line="240" w:lineRule="auto"/>
        <w:rPr>
          <w:rFonts w:eastAsia="Times New Roman" w:cs="Arial"/>
          <w:lang w:eastAsia="bg-BG"/>
        </w:rPr>
      </w:pPr>
      <w:r w:rsidRPr="00C87C39">
        <w:rPr>
          <w:rFonts w:eastAsia="Times New Roman" w:cs="Arial"/>
          <w:bCs/>
          <w:color w:val="000000"/>
          <w:u w:val="single"/>
          <w:lang w:eastAsia="bg-BG"/>
        </w:rPr>
        <w:t>Специални предпазни мерки</w:t>
      </w:r>
    </w:p>
    <w:p w14:paraId="48FFDD1A" w14:textId="77777777" w:rsidR="00DE2C5A" w:rsidRPr="00C87C39" w:rsidRDefault="00DE2C5A" w:rsidP="00DE2C5A">
      <w:pPr>
        <w:spacing w:line="240" w:lineRule="auto"/>
        <w:rPr>
          <w:rFonts w:eastAsia="Times New Roman" w:cs="Arial"/>
          <w:bCs/>
          <w:i/>
          <w:iCs/>
          <w:color w:val="000000"/>
          <w:u w:val="single"/>
          <w:lang w:eastAsia="bg-BG"/>
        </w:rPr>
      </w:pPr>
    </w:p>
    <w:p w14:paraId="2B35E853" w14:textId="439512D2"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Лекарства, които удължават ОТ интервала</w:t>
      </w:r>
    </w:p>
    <w:p w14:paraId="4E1E82DB"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lastRenderedPageBreak/>
        <w:t xml:space="preserve">Рискът от удължаване на </w:t>
      </w:r>
      <w:r w:rsidRPr="00C87C39">
        <w:rPr>
          <w:rFonts w:eastAsia="Times New Roman" w:cs="Arial"/>
          <w:bCs/>
          <w:color w:val="000000"/>
          <w:lang w:val="en-US"/>
        </w:rPr>
        <w:t>QTc</w:t>
      </w:r>
      <w:r w:rsidRPr="00C87C39">
        <w:rPr>
          <w:rFonts w:eastAsia="Times New Roman" w:cs="Arial"/>
          <w:bCs/>
          <w:color w:val="000000"/>
          <w:lang w:val="ru-RU"/>
        </w:rPr>
        <w:t xml:space="preserve"> </w:t>
      </w:r>
      <w:r w:rsidRPr="00C87C39">
        <w:rPr>
          <w:rFonts w:eastAsia="Times New Roman" w:cs="Arial"/>
          <w:bCs/>
          <w:color w:val="000000"/>
          <w:lang w:eastAsia="bg-BG"/>
        </w:rPr>
        <w:t xml:space="preserve">интервала и/или камерни аритмии (например </w:t>
      </w:r>
      <w:r w:rsidRPr="00C87C39">
        <w:rPr>
          <w:rFonts w:eastAsia="Times New Roman" w:cs="Arial"/>
          <w:bCs/>
          <w:color w:val="000000"/>
          <w:lang w:val="en-US"/>
        </w:rPr>
        <w:t>Torsade</w:t>
      </w:r>
      <w:r w:rsidRPr="00C87C39">
        <w:rPr>
          <w:rFonts w:eastAsia="Times New Roman" w:cs="Arial"/>
          <w:bCs/>
          <w:color w:val="000000"/>
          <w:lang w:val="ru-RU"/>
        </w:rPr>
        <w:t xml:space="preserve"> </w:t>
      </w:r>
      <w:r w:rsidRPr="00C87C39">
        <w:rPr>
          <w:rFonts w:eastAsia="Times New Roman" w:cs="Arial"/>
          <w:bCs/>
          <w:color w:val="000000"/>
          <w:lang w:val="en-US"/>
        </w:rPr>
        <w:t>de</w:t>
      </w:r>
      <w:r w:rsidRPr="00C87C39">
        <w:rPr>
          <w:rFonts w:eastAsia="Times New Roman" w:cs="Arial"/>
          <w:bCs/>
          <w:color w:val="000000"/>
          <w:lang w:val="ru-RU"/>
        </w:rPr>
        <w:t xml:space="preserve"> </w:t>
      </w:r>
      <w:r w:rsidRPr="00C87C39">
        <w:rPr>
          <w:rFonts w:eastAsia="Times New Roman" w:cs="Arial"/>
          <w:bCs/>
          <w:color w:val="000000"/>
          <w:lang w:val="en-US"/>
        </w:rPr>
        <w:t>Pointes</w:t>
      </w:r>
      <w:r w:rsidRPr="00C87C39">
        <w:rPr>
          <w:rFonts w:eastAsia="Times New Roman" w:cs="Arial"/>
          <w:bCs/>
          <w:color w:val="000000"/>
          <w:lang w:val="ru-RU"/>
        </w:rPr>
        <w:t xml:space="preserve">) </w:t>
      </w:r>
      <w:r w:rsidRPr="00C87C39">
        <w:rPr>
          <w:rFonts w:eastAsia="Times New Roman" w:cs="Arial"/>
          <w:bCs/>
          <w:color w:val="000000"/>
          <w:lang w:eastAsia="bg-BG"/>
        </w:rPr>
        <w:t xml:space="preserve">може да бъде повишен при едновременно приложение с лекарства, които удължават </w:t>
      </w:r>
      <w:r w:rsidRPr="00C87C39">
        <w:rPr>
          <w:rFonts w:eastAsia="Times New Roman" w:cs="Arial"/>
          <w:bCs/>
          <w:color w:val="000000"/>
          <w:lang w:val="en-US"/>
        </w:rPr>
        <w:t>QTc</w:t>
      </w:r>
      <w:r w:rsidRPr="00C87C39">
        <w:rPr>
          <w:rFonts w:eastAsia="Times New Roman" w:cs="Arial"/>
          <w:bCs/>
          <w:color w:val="000000"/>
          <w:lang w:val="ru-RU"/>
        </w:rPr>
        <w:t xml:space="preserve"> </w:t>
      </w:r>
      <w:r w:rsidRPr="00C87C39">
        <w:rPr>
          <w:rFonts w:eastAsia="Times New Roman" w:cs="Arial"/>
          <w:bCs/>
          <w:color w:val="000000"/>
          <w:lang w:eastAsia="bg-BG"/>
        </w:rPr>
        <w:t>интервала (напр. някои антипсихотици и антибиотици) (вж. точка 4.4).</w:t>
      </w:r>
    </w:p>
    <w:p w14:paraId="1B27091B" w14:textId="77777777" w:rsidR="00DE2C5A" w:rsidRPr="00C87C39" w:rsidRDefault="00DE2C5A" w:rsidP="00DE2C5A">
      <w:pPr>
        <w:spacing w:line="240" w:lineRule="auto"/>
        <w:rPr>
          <w:rFonts w:eastAsia="Times New Roman" w:cs="Arial"/>
          <w:bCs/>
          <w:i/>
          <w:iCs/>
          <w:color w:val="000000"/>
          <w:u w:val="single"/>
          <w:lang w:eastAsia="bg-BG"/>
        </w:rPr>
      </w:pPr>
    </w:p>
    <w:p w14:paraId="038EE913" w14:textId="15633CFA"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Литий</w:t>
      </w:r>
    </w:p>
    <w:p w14:paraId="1C902564"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В плацебо-контролирано проучване при здрави доброволци едновременното приложение на сертралин с литий не променя значимо фармакокинетиката на литий, но води до нарастване на тремора спрямо плацебо, което показва възможно фармакодинамично взаимодействие. При едновременно приложение на сертралин с литий пациентите трябва да бъдат внимателно проследявани.</w:t>
      </w:r>
    </w:p>
    <w:p w14:paraId="3E0D0AC7" w14:textId="77777777" w:rsidR="00DE2C5A" w:rsidRPr="00C87C39" w:rsidRDefault="00DE2C5A" w:rsidP="00DE2C5A">
      <w:pPr>
        <w:spacing w:line="240" w:lineRule="auto"/>
        <w:rPr>
          <w:rFonts w:eastAsia="Times New Roman" w:cs="Arial"/>
          <w:bCs/>
          <w:i/>
          <w:iCs/>
          <w:color w:val="000000"/>
          <w:u w:val="single"/>
          <w:lang w:eastAsia="bg-BG"/>
        </w:rPr>
      </w:pPr>
    </w:p>
    <w:p w14:paraId="60F73C9A" w14:textId="00B515AC"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Фенитоин</w:t>
      </w:r>
    </w:p>
    <w:p w14:paraId="07DCC088"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Плацебо-контролирано проучване при здрави доброволци показва, че дългосрочното приложение на сертралин в доза 200 </w:t>
      </w:r>
      <w:r w:rsidRPr="00C87C39">
        <w:rPr>
          <w:rFonts w:eastAsia="Times New Roman" w:cs="Arial"/>
          <w:bCs/>
          <w:color w:val="000000"/>
          <w:lang w:val="en-US"/>
        </w:rPr>
        <w:t>mg</w:t>
      </w:r>
      <w:r w:rsidRPr="00C87C39">
        <w:rPr>
          <w:rFonts w:eastAsia="Times New Roman" w:cs="Arial"/>
          <w:bCs/>
          <w:color w:val="000000"/>
          <w:lang w:eastAsia="bg-BG"/>
        </w:rPr>
        <w:t xml:space="preserve">/ден не води до клинично значима инхибиция на метаболизма на фенитоин. Въпреки това, тъй при някои случаи нежеланите реакции са възникнали от висока експозиция на фенитоин при пациенти, приемащи сертралин, препоръчва се да бъдат мониторирани плазмените концентрации на фенитоин след започване на терапия със сертралин и съответно адаптиране на дозата на фенитоин. В допълнение, съпътстващото приложение на фенитоин може да причини намаляване на плазмените концентрации на сертралин. Не може да се изключи възможността други индуктори на </w:t>
      </w:r>
      <w:r w:rsidRPr="00C87C39">
        <w:rPr>
          <w:rFonts w:eastAsia="Times New Roman" w:cs="Arial"/>
          <w:bCs/>
          <w:color w:val="000000"/>
          <w:lang w:val="en-US"/>
        </w:rPr>
        <w:t>CYP</w:t>
      </w:r>
      <w:r w:rsidRPr="00C87C39">
        <w:rPr>
          <w:rFonts w:eastAsia="Times New Roman" w:cs="Arial"/>
          <w:bCs/>
          <w:color w:val="000000"/>
          <w:lang w:val="ru-RU"/>
        </w:rPr>
        <w:t>3</w:t>
      </w:r>
      <w:r w:rsidRPr="00C87C39">
        <w:rPr>
          <w:rFonts w:eastAsia="Times New Roman" w:cs="Arial"/>
          <w:bCs/>
          <w:color w:val="000000"/>
          <w:lang w:val="en-US"/>
        </w:rPr>
        <w:t>A</w:t>
      </w:r>
      <w:r w:rsidRPr="00C87C39">
        <w:rPr>
          <w:rFonts w:eastAsia="Times New Roman" w:cs="Arial"/>
          <w:bCs/>
          <w:color w:val="000000"/>
          <w:lang w:val="ru-RU"/>
        </w:rPr>
        <w:t xml:space="preserve">4, </w:t>
      </w:r>
      <w:r w:rsidRPr="00C87C39">
        <w:rPr>
          <w:rFonts w:eastAsia="Times New Roman" w:cs="Arial"/>
          <w:bCs/>
          <w:color w:val="000000"/>
          <w:lang w:eastAsia="bg-BG"/>
        </w:rPr>
        <w:t>напр. фенобарбитал, карбамазепин, жълт кантарион, рифампицин да доведат до намаляване на плазмените нива на сертралин.</w:t>
      </w:r>
    </w:p>
    <w:p w14:paraId="24739202" w14:textId="77777777" w:rsidR="00DE2C5A" w:rsidRPr="00C87C39" w:rsidRDefault="00DE2C5A" w:rsidP="00DE2C5A">
      <w:pPr>
        <w:spacing w:line="240" w:lineRule="auto"/>
        <w:rPr>
          <w:rFonts w:eastAsia="Times New Roman" w:cs="Arial"/>
          <w:bCs/>
          <w:i/>
          <w:iCs/>
          <w:color w:val="000000"/>
          <w:u w:val="single"/>
          <w:lang w:eastAsia="bg-BG"/>
        </w:rPr>
      </w:pPr>
    </w:p>
    <w:p w14:paraId="3AD2DA0D" w14:textId="242116C7"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Триптани</w:t>
      </w:r>
    </w:p>
    <w:p w14:paraId="1B524AA7" w14:textId="783F4830" w:rsidR="00DE2C5A" w:rsidRPr="00C87C39" w:rsidRDefault="00DE2C5A" w:rsidP="00DE2C5A">
      <w:pPr>
        <w:rPr>
          <w:rFonts w:eastAsia="Times New Roman" w:cs="Arial"/>
          <w:bCs/>
          <w:color w:val="000000"/>
          <w:lang w:eastAsia="bg-BG"/>
        </w:rPr>
      </w:pPr>
      <w:r w:rsidRPr="00C87C39">
        <w:rPr>
          <w:rFonts w:eastAsia="Times New Roman" w:cs="Arial"/>
          <w:bCs/>
          <w:color w:val="000000"/>
          <w:lang w:eastAsia="bg-BG"/>
        </w:rPr>
        <w:t>Има редки постмаркетингови съобщения за пациенти със слабост, хиперрефлексия, нарушена координация, обърканост, тревожност и възбуда след употреба на сертралин и суматриптан. Симптоми на серотонинергичен синдром могат да възникнат също и при други продукти от същия клас (триптани). Ако едновременното приложени на сертралин и  триптани е клинично обосновано, се препоръчва внимателно наблюдение на сертралин и  точка 4.4).</w:t>
      </w:r>
    </w:p>
    <w:p w14:paraId="2EC14EDA" w14:textId="48FACCF3" w:rsidR="00DE2C5A" w:rsidRPr="00C87C39" w:rsidRDefault="00DE2C5A" w:rsidP="00DE2C5A">
      <w:pPr>
        <w:rPr>
          <w:rFonts w:eastAsia="Times New Roman" w:cs="Arial"/>
          <w:bCs/>
          <w:color w:val="000000"/>
          <w:lang w:eastAsia="bg-BG"/>
        </w:rPr>
      </w:pPr>
    </w:p>
    <w:p w14:paraId="0F9D22AF" w14:textId="77777777"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Варфарин</w:t>
      </w:r>
    </w:p>
    <w:p w14:paraId="1A485271"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Едновременното приложение на сертралин 200 </w:t>
      </w:r>
      <w:r w:rsidRPr="00C87C39">
        <w:rPr>
          <w:rFonts w:eastAsia="Times New Roman" w:cs="Arial"/>
          <w:bCs/>
          <w:color w:val="000000"/>
          <w:lang w:val="en-US"/>
        </w:rPr>
        <w:t>mg</w:t>
      </w:r>
      <w:r w:rsidRPr="00C87C39">
        <w:rPr>
          <w:rFonts w:eastAsia="Times New Roman" w:cs="Arial"/>
          <w:bCs/>
          <w:color w:val="000000"/>
          <w:lang w:val="ru-RU"/>
        </w:rPr>
        <w:t xml:space="preserve"> </w:t>
      </w:r>
      <w:r w:rsidRPr="00C87C39">
        <w:rPr>
          <w:rFonts w:eastAsia="Times New Roman" w:cs="Arial"/>
          <w:bCs/>
          <w:color w:val="000000"/>
          <w:lang w:eastAsia="bg-BG"/>
        </w:rPr>
        <w:t xml:space="preserve">дневно с варфарин е довело до малко, но статистически значимо удължаване на протромбиновото време, което в редки случаи може да причини отклонение в стойността на </w:t>
      </w:r>
      <w:r w:rsidRPr="00C87C39">
        <w:rPr>
          <w:rFonts w:eastAsia="Times New Roman" w:cs="Arial"/>
          <w:bCs/>
          <w:color w:val="000000"/>
          <w:lang w:val="en-US"/>
        </w:rPr>
        <w:t>INR</w:t>
      </w:r>
      <w:r w:rsidRPr="00C87C39">
        <w:rPr>
          <w:rFonts w:eastAsia="Times New Roman" w:cs="Arial"/>
          <w:bCs/>
          <w:color w:val="000000"/>
          <w:lang w:val="ru-RU"/>
        </w:rPr>
        <w:t>.</w:t>
      </w:r>
    </w:p>
    <w:p w14:paraId="638F7BBC"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Поради това, протромбиновото време трябва да бъде внимателно проследявано в началото и след края на лечението със сертралин.</w:t>
      </w:r>
    </w:p>
    <w:p w14:paraId="69236D62" w14:textId="77777777" w:rsidR="00DE2C5A" w:rsidRPr="00C87C39" w:rsidRDefault="00DE2C5A" w:rsidP="00DE2C5A">
      <w:pPr>
        <w:spacing w:line="240" w:lineRule="auto"/>
        <w:rPr>
          <w:rFonts w:eastAsia="Times New Roman" w:cs="Arial"/>
          <w:bCs/>
          <w:i/>
          <w:iCs/>
          <w:color w:val="000000"/>
          <w:u w:val="single"/>
          <w:lang w:eastAsia="bg-BG"/>
        </w:rPr>
      </w:pPr>
    </w:p>
    <w:p w14:paraId="128ACE77" w14:textId="7270B6D8"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Други лекарствени взаимодействия, дигоксин, атенолол, ииметидин</w:t>
      </w:r>
    </w:p>
    <w:p w14:paraId="721F65AC"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Едновременното приложение с циметидин е довело до значително намаляване на клирънса на сертралин. Клиничната значимост на тези промени не е изяснена. Сертралин няма ефект върху бета-адренергичната блокираща активност на атенолол. Не са наблюдавани лекарствени взаимодействия при приложение на сертралин в доза 200 </w:t>
      </w:r>
      <w:r w:rsidRPr="00C87C39">
        <w:rPr>
          <w:rFonts w:eastAsia="Times New Roman" w:cs="Arial"/>
          <w:bCs/>
          <w:color w:val="000000"/>
          <w:lang w:val="en-US"/>
        </w:rPr>
        <w:t>mg</w:t>
      </w:r>
      <w:r w:rsidRPr="00C87C39">
        <w:rPr>
          <w:rFonts w:eastAsia="Times New Roman" w:cs="Arial"/>
          <w:bCs/>
          <w:color w:val="000000"/>
          <w:lang w:val="ru-RU"/>
        </w:rPr>
        <w:t xml:space="preserve"> </w:t>
      </w:r>
      <w:r w:rsidRPr="00C87C39">
        <w:rPr>
          <w:rFonts w:eastAsia="Times New Roman" w:cs="Arial"/>
          <w:bCs/>
          <w:color w:val="000000"/>
          <w:lang w:eastAsia="bg-BG"/>
        </w:rPr>
        <w:t>дневно с дигоксин.</w:t>
      </w:r>
    </w:p>
    <w:p w14:paraId="308ED43B" w14:textId="77777777" w:rsidR="00DE2C5A" w:rsidRPr="00C87C39" w:rsidRDefault="00DE2C5A" w:rsidP="00DE2C5A">
      <w:pPr>
        <w:spacing w:line="240" w:lineRule="auto"/>
        <w:rPr>
          <w:rFonts w:eastAsia="Times New Roman" w:cs="Arial"/>
          <w:bCs/>
          <w:i/>
          <w:iCs/>
          <w:color w:val="000000"/>
          <w:u w:val="single"/>
          <w:lang w:eastAsia="bg-BG"/>
        </w:rPr>
      </w:pPr>
    </w:p>
    <w:p w14:paraId="398C6B66" w14:textId="23BD4F10"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Лекарства, повлияващи функцията на тромбоиитите</w:t>
      </w:r>
    </w:p>
    <w:p w14:paraId="5B0101E4"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Рискът от кървене може да бъде повишен, когато лекарства, повлияващи функцията на тромбоцитите (напр. НСПВС, ацетилсалицилова киселина и тиклопидин), или други лекарства, които могат да повишат риска от кървене, се прилагат едновременно със </w:t>
      </w:r>
      <w:r w:rsidRPr="00C87C39">
        <w:rPr>
          <w:rFonts w:eastAsia="Times New Roman" w:cs="Arial"/>
          <w:bCs/>
          <w:color w:val="000000"/>
          <w:lang w:val="en-US"/>
        </w:rPr>
        <w:t>SSRI</w:t>
      </w:r>
      <w:r w:rsidRPr="00C87C39">
        <w:rPr>
          <w:rFonts w:eastAsia="Times New Roman" w:cs="Arial"/>
          <w:bCs/>
          <w:color w:val="000000"/>
          <w:lang w:val="ru-RU"/>
        </w:rPr>
        <w:t xml:space="preserve">, </w:t>
      </w:r>
      <w:r w:rsidRPr="00C87C39">
        <w:rPr>
          <w:rFonts w:eastAsia="Times New Roman" w:cs="Arial"/>
          <w:bCs/>
          <w:color w:val="000000"/>
          <w:lang w:eastAsia="bg-BG"/>
        </w:rPr>
        <w:t>включително сертралин (вж. точка 4.4).</w:t>
      </w:r>
    </w:p>
    <w:p w14:paraId="5C82DF4C" w14:textId="77777777" w:rsidR="00DE2C5A" w:rsidRPr="00C87C39" w:rsidRDefault="00DE2C5A" w:rsidP="00DE2C5A">
      <w:pPr>
        <w:spacing w:line="240" w:lineRule="auto"/>
        <w:rPr>
          <w:rFonts w:eastAsia="Times New Roman" w:cs="Arial"/>
          <w:bCs/>
          <w:i/>
          <w:iCs/>
          <w:color w:val="000000"/>
          <w:u w:val="single"/>
          <w:lang w:eastAsia="bg-BG"/>
        </w:rPr>
      </w:pPr>
    </w:p>
    <w:p w14:paraId="50B27FDD" w14:textId="054C55C3"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Нервномускулни блокери</w:t>
      </w:r>
    </w:p>
    <w:p w14:paraId="6AE01AAC"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Селективните инхибитори на обратното захващане на серотонина могат да намалят активността на плазмената холинестераза, което да доведе до удължаване на нервномускулно блокиращото действие на мивакурий или други нервномускулни блокери.</w:t>
      </w:r>
    </w:p>
    <w:p w14:paraId="0773ECB3" w14:textId="77777777" w:rsidR="00DE2C5A" w:rsidRPr="00C87C39" w:rsidRDefault="00DE2C5A" w:rsidP="00DE2C5A">
      <w:pPr>
        <w:spacing w:line="240" w:lineRule="auto"/>
        <w:rPr>
          <w:rFonts w:eastAsia="Times New Roman" w:cs="Arial"/>
          <w:bCs/>
          <w:i/>
          <w:iCs/>
          <w:color w:val="000000"/>
          <w:u w:val="single"/>
          <w:lang w:eastAsia="bg-BG"/>
        </w:rPr>
      </w:pPr>
    </w:p>
    <w:p w14:paraId="326C2D13" w14:textId="135D9042" w:rsidR="00DE2C5A" w:rsidRPr="00C87C39" w:rsidRDefault="00DE2C5A" w:rsidP="00DE2C5A">
      <w:pPr>
        <w:spacing w:line="240" w:lineRule="auto"/>
        <w:rPr>
          <w:rFonts w:eastAsia="Times New Roman" w:cs="Arial"/>
          <w:lang w:eastAsia="bg-BG"/>
        </w:rPr>
      </w:pPr>
      <w:r w:rsidRPr="00C87C39">
        <w:rPr>
          <w:rFonts w:eastAsia="Times New Roman" w:cs="Arial"/>
          <w:bCs/>
          <w:i/>
          <w:iCs/>
          <w:color w:val="000000"/>
          <w:u w:val="single"/>
          <w:lang w:eastAsia="bg-BG"/>
        </w:rPr>
        <w:t>Лекарства, метаболизирани от иитохром Р450</w:t>
      </w:r>
    </w:p>
    <w:p w14:paraId="7B09FDA7"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Сертралин може да действа като слаб до умерен инхибитор на </w:t>
      </w:r>
      <w:r w:rsidRPr="00C87C39">
        <w:rPr>
          <w:rFonts w:eastAsia="Times New Roman" w:cs="Arial"/>
          <w:bCs/>
          <w:color w:val="000000"/>
          <w:lang w:val="en-US"/>
        </w:rPr>
        <w:t>CYP</w:t>
      </w:r>
      <w:r w:rsidRPr="00C87C39">
        <w:rPr>
          <w:rFonts w:eastAsia="Times New Roman" w:cs="Arial"/>
          <w:bCs/>
          <w:color w:val="000000"/>
          <w:lang w:val="ru-RU"/>
        </w:rPr>
        <w:t xml:space="preserve"> 2</w:t>
      </w:r>
      <w:r w:rsidRPr="00C87C39">
        <w:rPr>
          <w:rFonts w:eastAsia="Times New Roman" w:cs="Arial"/>
          <w:bCs/>
          <w:color w:val="000000"/>
          <w:lang w:val="en-US"/>
        </w:rPr>
        <w:t>D</w:t>
      </w:r>
      <w:r w:rsidRPr="00C87C39">
        <w:rPr>
          <w:rFonts w:eastAsia="Times New Roman" w:cs="Arial"/>
          <w:bCs/>
          <w:color w:val="000000"/>
          <w:lang w:val="ru-RU"/>
        </w:rPr>
        <w:t xml:space="preserve">6. </w:t>
      </w:r>
      <w:r w:rsidRPr="00C87C39">
        <w:rPr>
          <w:rFonts w:eastAsia="Times New Roman" w:cs="Arial"/>
          <w:bCs/>
          <w:color w:val="000000"/>
          <w:lang w:eastAsia="bg-BG"/>
        </w:rPr>
        <w:t xml:space="preserve">Продължителното приложение на сертралин 50 </w:t>
      </w:r>
      <w:r w:rsidRPr="00C87C39">
        <w:rPr>
          <w:rFonts w:eastAsia="Times New Roman" w:cs="Arial"/>
          <w:bCs/>
          <w:color w:val="000000"/>
          <w:lang w:val="en-US"/>
        </w:rPr>
        <w:t>mg</w:t>
      </w:r>
      <w:r w:rsidRPr="00C87C39">
        <w:rPr>
          <w:rFonts w:eastAsia="Times New Roman" w:cs="Arial"/>
          <w:bCs/>
          <w:color w:val="000000"/>
          <w:lang w:val="ru-RU"/>
        </w:rPr>
        <w:t xml:space="preserve"> </w:t>
      </w:r>
      <w:r w:rsidRPr="00C87C39">
        <w:rPr>
          <w:rFonts w:eastAsia="Times New Roman" w:cs="Arial"/>
          <w:bCs/>
          <w:color w:val="000000"/>
          <w:lang w:eastAsia="bg-BG"/>
        </w:rPr>
        <w:t xml:space="preserve">дневно е довело до умерено повишаване (средно с 23 - 37%) на равновесните плазмени нива на дезипрамин (маркер за </w:t>
      </w:r>
      <w:r w:rsidRPr="00C87C39">
        <w:rPr>
          <w:rFonts w:eastAsia="Times New Roman" w:cs="Arial"/>
          <w:bCs/>
          <w:color w:val="000000"/>
          <w:lang w:val="en-US"/>
        </w:rPr>
        <w:t>CYP</w:t>
      </w:r>
      <w:r w:rsidRPr="00C87C39">
        <w:rPr>
          <w:rFonts w:eastAsia="Times New Roman" w:cs="Arial"/>
          <w:bCs/>
          <w:color w:val="000000"/>
          <w:lang w:val="ru-RU"/>
        </w:rPr>
        <w:t xml:space="preserve"> 2</w:t>
      </w:r>
      <w:r w:rsidRPr="00C87C39">
        <w:rPr>
          <w:rFonts w:eastAsia="Times New Roman" w:cs="Arial"/>
          <w:bCs/>
          <w:color w:val="000000"/>
          <w:lang w:val="en-US"/>
        </w:rPr>
        <w:t>D</w:t>
      </w:r>
      <w:r w:rsidRPr="00C87C39">
        <w:rPr>
          <w:rFonts w:eastAsia="Times New Roman" w:cs="Arial"/>
          <w:bCs/>
          <w:color w:val="000000"/>
          <w:lang w:val="ru-RU"/>
        </w:rPr>
        <w:t xml:space="preserve">6 </w:t>
      </w:r>
      <w:r w:rsidRPr="00C87C39">
        <w:rPr>
          <w:rFonts w:eastAsia="Times New Roman" w:cs="Arial"/>
          <w:bCs/>
          <w:color w:val="000000"/>
          <w:lang w:eastAsia="bg-BG"/>
        </w:rPr>
        <w:t>изоензимна активност).</w:t>
      </w:r>
    </w:p>
    <w:p w14:paraId="4954E202" w14:textId="77777777"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Клинично значими взаимодействия могат да възникнат с други субстрати на </w:t>
      </w:r>
      <w:r w:rsidRPr="00C87C39">
        <w:rPr>
          <w:rFonts w:eastAsia="Times New Roman" w:cs="Arial"/>
          <w:bCs/>
          <w:color w:val="000000"/>
          <w:lang w:val="en-US"/>
        </w:rPr>
        <w:t>CYP</w:t>
      </w:r>
      <w:r w:rsidRPr="00C87C39">
        <w:rPr>
          <w:rFonts w:eastAsia="Times New Roman" w:cs="Arial"/>
          <w:bCs/>
          <w:color w:val="000000"/>
          <w:lang w:val="ru-RU"/>
        </w:rPr>
        <w:t xml:space="preserve"> 2</w:t>
      </w:r>
      <w:r w:rsidRPr="00C87C39">
        <w:rPr>
          <w:rFonts w:eastAsia="Times New Roman" w:cs="Arial"/>
          <w:bCs/>
          <w:color w:val="000000"/>
          <w:lang w:val="en-US"/>
        </w:rPr>
        <w:t>D</w:t>
      </w:r>
      <w:r w:rsidRPr="00C87C39">
        <w:rPr>
          <w:rFonts w:eastAsia="Times New Roman" w:cs="Arial"/>
          <w:bCs/>
          <w:color w:val="000000"/>
          <w:lang w:val="ru-RU"/>
        </w:rPr>
        <w:t xml:space="preserve">6 </w:t>
      </w:r>
      <w:r w:rsidRPr="00C87C39">
        <w:rPr>
          <w:rFonts w:eastAsia="Times New Roman" w:cs="Arial"/>
          <w:bCs/>
          <w:color w:val="000000"/>
          <w:lang w:eastAsia="bg-BG"/>
        </w:rPr>
        <w:t>с тесен терапевтичен индекс като клас 1С антиаритмични лекарства като пропафенон и флекаинид, трициклични антидепресанти и типични антипсихотици, особено при по-високи дози сертралин.</w:t>
      </w:r>
    </w:p>
    <w:p w14:paraId="1A358C8C" w14:textId="77777777" w:rsidR="00DE2C5A" w:rsidRPr="00C87C39" w:rsidRDefault="00DE2C5A" w:rsidP="00DE2C5A">
      <w:pPr>
        <w:spacing w:line="240" w:lineRule="auto"/>
        <w:rPr>
          <w:rFonts w:eastAsia="Times New Roman" w:cs="Arial"/>
          <w:bCs/>
          <w:color w:val="000000"/>
          <w:lang w:eastAsia="bg-BG"/>
        </w:rPr>
      </w:pPr>
    </w:p>
    <w:p w14:paraId="586F47C2" w14:textId="133959C5"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Сертралин не действа като инхибитор на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 xml:space="preserve">ЗА4,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 xml:space="preserve">2С9,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 xml:space="preserve">2С19 и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 xml:space="preserve">1А2 в клинично значима степен. Това е потвърдено от </w:t>
      </w:r>
      <w:r w:rsidRPr="00C87C39">
        <w:rPr>
          <w:rFonts w:eastAsia="Times New Roman" w:cs="Arial"/>
          <w:bCs/>
          <w:i/>
          <w:iCs/>
          <w:color w:val="000000"/>
          <w:lang w:val="en-US"/>
        </w:rPr>
        <w:t>in</w:t>
      </w:r>
      <w:r w:rsidRPr="00C87C39">
        <w:rPr>
          <w:rFonts w:eastAsia="Times New Roman" w:cs="Arial"/>
          <w:bCs/>
          <w:i/>
          <w:iCs/>
          <w:color w:val="000000"/>
          <w:lang w:val="ru-RU"/>
        </w:rPr>
        <w:t>-</w:t>
      </w:r>
      <w:r w:rsidRPr="00C87C39">
        <w:rPr>
          <w:rFonts w:eastAsia="Times New Roman" w:cs="Arial"/>
          <w:bCs/>
          <w:i/>
          <w:iCs/>
          <w:color w:val="000000"/>
          <w:lang w:val="en-US"/>
        </w:rPr>
        <w:t>vivo</w:t>
      </w:r>
      <w:r w:rsidRPr="00C87C39">
        <w:rPr>
          <w:rFonts w:eastAsia="Times New Roman" w:cs="Arial"/>
          <w:bCs/>
          <w:color w:val="000000"/>
          <w:lang w:val="ru-RU"/>
        </w:rPr>
        <w:t xml:space="preserve"> </w:t>
      </w:r>
      <w:r w:rsidRPr="00C87C39">
        <w:rPr>
          <w:rFonts w:eastAsia="Times New Roman" w:cs="Arial"/>
          <w:bCs/>
          <w:color w:val="000000"/>
          <w:lang w:eastAsia="bg-BG"/>
        </w:rPr>
        <w:t xml:space="preserve">проучвания за взаимодействие с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 xml:space="preserve">ЗА4-субстрати (ендогенен кортизол, карбамазепин, терфенадин, алпразолам), с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 xml:space="preserve">2С19- субстрата диазепам и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 xml:space="preserve">2С9-субстратите толбутамид, глибенкламид и фенитоин. </w:t>
      </w:r>
      <w:r w:rsidRPr="00C87C39">
        <w:rPr>
          <w:rFonts w:eastAsia="Times New Roman" w:cs="Arial"/>
          <w:bCs/>
          <w:i/>
          <w:iCs/>
          <w:color w:val="000000"/>
          <w:lang w:val="en-US"/>
        </w:rPr>
        <w:t>In</w:t>
      </w:r>
      <w:r w:rsidRPr="00C87C39">
        <w:rPr>
          <w:rFonts w:eastAsia="Times New Roman" w:cs="Arial"/>
          <w:bCs/>
          <w:i/>
          <w:iCs/>
          <w:color w:val="000000"/>
          <w:lang w:val="ru-RU"/>
        </w:rPr>
        <w:t xml:space="preserve"> </w:t>
      </w:r>
      <w:r w:rsidRPr="00C87C39">
        <w:rPr>
          <w:rFonts w:eastAsia="Times New Roman" w:cs="Arial"/>
          <w:bCs/>
          <w:i/>
          <w:iCs/>
          <w:color w:val="000000"/>
          <w:lang w:val="en-US"/>
        </w:rPr>
        <w:t>vitro</w:t>
      </w:r>
      <w:r w:rsidRPr="00C87C39">
        <w:rPr>
          <w:rFonts w:eastAsia="Times New Roman" w:cs="Arial"/>
          <w:bCs/>
          <w:i/>
          <w:iCs/>
          <w:color w:val="000000"/>
          <w:lang w:val="ru-RU"/>
        </w:rPr>
        <w:t xml:space="preserve"> </w:t>
      </w:r>
      <w:r w:rsidRPr="00C87C39">
        <w:rPr>
          <w:rFonts w:eastAsia="Times New Roman" w:cs="Arial"/>
          <w:bCs/>
          <w:i/>
          <w:iCs/>
          <w:color w:val="000000"/>
          <w:lang w:eastAsia="bg-BG"/>
        </w:rPr>
        <w:t>проучвания</w:t>
      </w:r>
      <w:r w:rsidRPr="00C87C39">
        <w:rPr>
          <w:rFonts w:eastAsia="Times New Roman" w:cs="Arial"/>
          <w:bCs/>
          <w:color w:val="000000"/>
          <w:lang w:eastAsia="bg-BG"/>
        </w:rPr>
        <w:t xml:space="preserve"> показват, че сертралин има малък или никакъв потенциал да инхибира </w:t>
      </w:r>
      <w:r w:rsidRPr="00C87C39">
        <w:rPr>
          <w:rFonts w:eastAsia="Times New Roman" w:cs="Arial"/>
          <w:bCs/>
          <w:color w:val="000000"/>
          <w:lang w:val="en-US"/>
        </w:rPr>
        <w:t>CYP</w:t>
      </w:r>
      <w:r w:rsidRPr="00C87C39">
        <w:rPr>
          <w:rFonts w:eastAsia="Times New Roman" w:cs="Arial"/>
          <w:bCs/>
          <w:color w:val="000000"/>
          <w:lang w:val="ru-RU"/>
        </w:rPr>
        <w:t xml:space="preserve"> </w:t>
      </w:r>
      <w:r w:rsidRPr="00C87C39">
        <w:rPr>
          <w:rFonts w:eastAsia="Times New Roman" w:cs="Arial"/>
          <w:bCs/>
          <w:color w:val="000000"/>
          <w:lang w:eastAsia="bg-BG"/>
        </w:rPr>
        <w:t>1А2.</w:t>
      </w:r>
    </w:p>
    <w:p w14:paraId="6CE7C9E5" w14:textId="77777777" w:rsidR="00DE2C5A" w:rsidRPr="00C87C39" w:rsidRDefault="00DE2C5A" w:rsidP="00DE2C5A">
      <w:pPr>
        <w:spacing w:line="240" w:lineRule="auto"/>
        <w:rPr>
          <w:rFonts w:eastAsia="Times New Roman" w:cs="Arial"/>
          <w:bCs/>
          <w:color w:val="000000"/>
          <w:lang w:eastAsia="bg-BG"/>
        </w:rPr>
      </w:pPr>
    </w:p>
    <w:p w14:paraId="4020BFEF" w14:textId="592EA11D"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При кръстосано проучване при 8 здрави доброволци от японски произход е установено, че приемът на три чаши сок от грейпфрут дневно увеличават плазмените нива на сертралин с около 100%. По тази причина приемът на сок от грейпфрут трябва да се избягва по време на лечението със сертралин (вж. точка 4.4).</w:t>
      </w:r>
    </w:p>
    <w:p w14:paraId="0EBBE436" w14:textId="77777777" w:rsidR="00DE2C5A" w:rsidRPr="00C87C39" w:rsidRDefault="00DE2C5A" w:rsidP="00DE2C5A">
      <w:pPr>
        <w:spacing w:line="240" w:lineRule="auto"/>
        <w:rPr>
          <w:rFonts w:eastAsia="Times New Roman" w:cs="Arial"/>
          <w:bCs/>
          <w:color w:val="000000"/>
          <w:lang w:eastAsia="bg-BG"/>
        </w:rPr>
      </w:pPr>
    </w:p>
    <w:p w14:paraId="4370013A" w14:textId="175E10EC"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Въз основа на проучване за взаимодействията със сок от грейпфрут, не може да се изключи, че едновременното прилагане на сертралин и мощни </w:t>
      </w:r>
      <w:r w:rsidRPr="00C87C39">
        <w:rPr>
          <w:rFonts w:eastAsia="Times New Roman" w:cs="Arial"/>
          <w:bCs/>
          <w:color w:val="000000"/>
          <w:lang w:val="en-US"/>
        </w:rPr>
        <w:t>CYP</w:t>
      </w:r>
      <w:r w:rsidRPr="00C87C39">
        <w:rPr>
          <w:rFonts w:eastAsia="Times New Roman" w:cs="Arial"/>
          <w:bCs/>
          <w:color w:val="000000"/>
          <w:lang w:val="ru-RU"/>
        </w:rPr>
        <w:t>3</w:t>
      </w:r>
      <w:r w:rsidRPr="00C87C39">
        <w:rPr>
          <w:rFonts w:eastAsia="Times New Roman" w:cs="Arial"/>
          <w:bCs/>
          <w:color w:val="000000"/>
          <w:lang w:val="en-US"/>
        </w:rPr>
        <w:t>A</w:t>
      </w:r>
      <w:r w:rsidRPr="00C87C39">
        <w:rPr>
          <w:rFonts w:eastAsia="Times New Roman" w:cs="Arial"/>
          <w:bCs/>
          <w:color w:val="000000"/>
          <w:lang w:val="ru-RU"/>
        </w:rPr>
        <w:t xml:space="preserve">4 </w:t>
      </w:r>
      <w:r w:rsidRPr="00C87C39">
        <w:rPr>
          <w:rFonts w:eastAsia="Times New Roman" w:cs="Arial"/>
          <w:bCs/>
          <w:color w:val="000000"/>
          <w:lang w:eastAsia="bg-BG"/>
        </w:rPr>
        <w:t xml:space="preserve">инхибитори, като например протеазни инхибитори, кетоконазол, итраконазол, посаконазол, вориконазол, кларитромицин, телитромицин и нефазодон, може да доведе дори до по-голямо увеличаване на експозицията на сертралин. Това се отнася и до умерените </w:t>
      </w:r>
      <w:r w:rsidRPr="00C87C39">
        <w:rPr>
          <w:rFonts w:eastAsia="Times New Roman" w:cs="Arial"/>
          <w:bCs/>
          <w:color w:val="000000"/>
          <w:lang w:val="en-US"/>
        </w:rPr>
        <w:t>CYP</w:t>
      </w:r>
      <w:r w:rsidRPr="00C87C39">
        <w:rPr>
          <w:rFonts w:eastAsia="Times New Roman" w:cs="Arial"/>
          <w:bCs/>
          <w:color w:val="000000"/>
          <w:lang w:val="ru-RU"/>
        </w:rPr>
        <w:t>3</w:t>
      </w:r>
      <w:r w:rsidRPr="00C87C39">
        <w:rPr>
          <w:rFonts w:eastAsia="Times New Roman" w:cs="Arial"/>
          <w:bCs/>
          <w:color w:val="000000"/>
          <w:lang w:val="en-US"/>
        </w:rPr>
        <w:t>A</w:t>
      </w:r>
      <w:r w:rsidRPr="00C87C39">
        <w:rPr>
          <w:rFonts w:eastAsia="Times New Roman" w:cs="Arial"/>
          <w:bCs/>
          <w:color w:val="000000"/>
          <w:lang w:val="ru-RU"/>
        </w:rPr>
        <w:t xml:space="preserve">4 </w:t>
      </w:r>
      <w:r w:rsidRPr="00C87C39">
        <w:rPr>
          <w:rFonts w:eastAsia="Times New Roman" w:cs="Arial"/>
          <w:bCs/>
          <w:color w:val="000000"/>
          <w:lang w:eastAsia="bg-BG"/>
        </w:rPr>
        <w:t>инхибитори, напр. апрепитант, еритромицин, флуконазол, верапамил и дилтиазем. Приемът на мощни инхибитори трябва да се избягва по време на лечение със сертралин.</w:t>
      </w:r>
    </w:p>
    <w:p w14:paraId="7243353B" w14:textId="77777777" w:rsidR="00DE2C5A" w:rsidRPr="00C87C39" w:rsidRDefault="00DE2C5A" w:rsidP="00DE2C5A">
      <w:pPr>
        <w:spacing w:line="240" w:lineRule="auto"/>
        <w:rPr>
          <w:rFonts w:eastAsia="Times New Roman" w:cs="Arial"/>
          <w:bCs/>
          <w:color w:val="000000"/>
          <w:lang w:eastAsia="bg-BG"/>
        </w:rPr>
      </w:pPr>
    </w:p>
    <w:p w14:paraId="58955241" w14:textId="612FC168" w:rsidR="00DE2C5A" w:rsidRPr="00C87C39" w:rsidRDefault="00DE2C5A" w:rsidP="00DE2C5A">
      <w:pPr>
        <w:spacing w:line="240" w:lineRule="auto"/>
        <w:rPr>
          <w:rFonts w:eastAsia="Times New Roman" w:cs="Arial"/>
          <w:lang w:eastAsia="bg-BG"/>
        </w:rPr>
      </w:pPr>
      <w:r w:rsidRPr="00C87C39">
        <w:rPr>
          <w:rFonts w:eastAsia="Times New Roman" w:cs="Arial"/>
          <w:bCs/>
          <w:color w:val="000000"/>
          <w:lang w:eastAsia="bg-BG"/>
        </w:rPr>
        <w:t xml:space="preserve">Плазмените нива на сертралин се повишават с около 50% при бавните метаболизатори на </w:t>
      </w:r>
      <w:r w:rsidRPr="00C87C39">
        <w:rPr>
          <w:rFonts w:eastAsia="Times New Roman" w:cs="Arial"/>
          <w:bCs/>
          <w:color w:val="000000"/>
          <w:lang w:val="en-US"/>
        </w:rPr>
        <w:t>CYP</w:t>
      </w:r>
      <w:r w:rsidRPr="00C87C39">
        <w:rPr>
          <w:rFonts w:eastAsia="Times New Roman" w:cs="Arial"/>
          <w:bCs/>
          <w:color w:val="000000"/>
          <w:lang w:val="ru-RU"/>
        </w:rPr>
        <w:t>2</w:t>
      </w:r>
      <w:r w:rsidRPr="00C87C39">
        <w:rPr>
          <w:rFonts w:eastAsia="Times New Roman" w:cs="Arial"/>
          <w:bCs/>
          <w:color w:val="000000"/>
          <w:lang w:val="en-US"/>
        </w:rPr>
        <w:t>C</w:t>
      </w:r>
      <w:r w:rsidRPr="00C87C39">
        <w:rPr>
          <w:rFonts w:eastAsia="Times New Roman" w:cs="Arial"/>
          <w:bCs/>
          <w:color w:val="000000"/>
          <w:lang w:val="ru-RU"/>
        </w:rPr>
        <w:t xml:space="preserve">19 </w:t>
      </w:r>
      <w:r w:rsidRPr="00C87C39">
        <w:rPr>
          <w:rFonts w:eastAsia="Times New Roman" w:cs="Arial"/>
          <w:bCs/>
          <w:color w:val="000000"/>
          <w:lang w:eastAsia="bg-BG"/>
        </w:rPr>
        <w:t>в сравнение с бързите метаболизатори (вж. точка 5.2). Не може да бъде изключено</w:t>
      </w:r>
      <w:r w:rsidRPr="00C87C39">
        <w:rPr>
          <w:rFonts w:eastAsia="Times New Roman" w:cs="Arial"/>
          <w:lang w:eastAsia="bg-BG"/>
        </w:rPr>
        <w:t xml:space="preserve"> </w:t>
      </w:r>
      <w:r w:rsidRPr="00C87C39">
        <w:rPr>
          <w:rFonts w:eastAsia="Times New Roman" w:cs="Arial"/>
          <w:bCs/>
          <w:color w:val="000000"/>
          <w:lang w:eastAsia="bg-BG"/>
        </w:rPr>
        <w:t xml:space="preserve">взаимодействие със силни инхибитори на </w:t>
      </w:r>
      <w:r w:rsidRPr="00C87C39">
        <w:rPr>
          <w:rFonts w:eastAsia="Times New Roman" w:cs="Arial"/>
          <w:bCs/>
          <w:color w:val="000000"/>
          <w:lang w:val="en-US"/>
        </w:rPr>
        <w:t>CYP</w:t>
      </w:r>
      <w:r w:rsidRPr="00C87C39">
        <w:rPr>
          <w:rFonts w:eastAsia="Times New Roman" w:cs="Arial"/>
          <w:bCs/>
          <w:color w:val="000000"/>
          <w:lang w:val="ru-RU"/>
        </w:rPr>
        <w:t>2</w:t>
      </w:r>
      <w:r w:rsidRPr="00C87C39">
        <w:rPr>
          <w:rFonts w:eastAsia="Times New Roman" w:cs="Arial"/>
          <w:bCs/>
          <w:color w:val="000000"/>
          <w:lang w:val="en-US"/>
        </w:rPr>
        <w:t>C</w:t>
      </w:r>
      <w:r w:rsidRPr="00C87C39">
        <w:rPr>
          <w:rFonts w:eastAsia="Times New Roman" w:cs="Arial"/>
          <w:bCs/>
          <w:color w:val="000000"/>
          <w:lang w:val="ru-RU"/>
        </w:rPr>
        <w:t xml:space="preserve">19, </w:t>
      </w:r>
      <w:r w:rsidRPr="00C87C39">
        <w:rPr>
          <w:rFonts w:eastAsia="Times New Roman" w:cs="Arial"/>
          <w:bCs/>
          <w:color w:val="000000"/>
          <w:lang w:eastAsia="bg-BG"/>
        </w:rPr>
        <w:t>например омепразол, лансопразол,</w:t>
      </w:r>
      <w:r w:rsidRPr="00C87C39">
        <w:rPr>
          <w:rFonts w:eastAsia="Times New Roman" w:cs="Arial"/>
          <w:bCs/>
          <w:i/>
          <w:iCs/>
          <w:color w:val="000000"/>
          <w:lang w:eastAsia="bg-BG"/>
        </w:rPr>
        <w:t xml:space="preserve"> </w:t>
      </w:r>
      <w:r w:rsidRPr="00C87C39">
        <w:rPr>
          <w:rFonts w:eastAsia="Times New Roman" w:cs="Arial"/>
          <w:bCs/>
          <w:color w:val="000000"/>
          <w:lang w:eastAsia="bg-BG"/>
        </w:rPr>
        <w:t>пантопразол, рабепразол, флуоксетин, флувоксамин.</w:t>
      </w:r>
    </w:p>
    <w:p w14:paraId="001ED563" w14:textId="77777777" w:rsidR="00DE2C5A" w:rsidRPr="00C87C39" w:rsidRDefault="00DE2C5A" w:rsidP="0091385D"/>
    <w:p w14:paraId="394A7584" w14:textId="10DEA5B3" w:rsidR="004F498A" w:rsidRPr="00C87C39" w:rsidRDefault="002C50EE" w:rsidP="004A448E">
      <w:pPr>
        <w:pStyle w:val="Heading2"/>
      </w:pPr>
      <w:r w:rsidRPr="00C87C39">
        <w:t>4.6. Фертилитет, бременност и кърмене</w:t>
      </w:r>
    </w:p>
    <w:p w14:paraId="4887836B" w14:textId="0528FAED" w:rsidR="0091385D" w:rsidRPr="00C87C39" w:rsidRDefault="0091385D" w:rsidP="0091385D"/>
    <w:p w14:paraId="0D8A9CA5" w14:textId="77777777" w:rsidR="009D1FBE" w:rsidRPr="00C87C39" w:rsidRDefault="009D1FBE" w:rsidP="009D1FBE">
      <w:pPr>
        <w:pStyle w:val="Heading3"/>
        <w:rPr>
          <w:rFonts w:eastAsia="Times New Roman"/>
          <w:u w:val="single"/>
          <w:lang w:eastAsia="bg-BG"/>
        </w:rPr>
      </w:pPr>
      <w:r w:rsidRPr="00C87C39">
        <w:rPr>
          <w:rFonts w:eastAsia="Times New Roman"/>
          <w:u w:val="single"/>
          <w:lang w:eastAsia="bg-BG"/>
        </w:rPr>
        <w:t>Бременност</w:t>
      </w:r>
    </w:p>
    <w:p w14:paraId="19A81932" w14:textId="77777777"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Не са провеждани адекватно контролирани проучвания при бременни жени. Въпреки това, значително количество данни не са доказали възникване на вродени малформации, причинени от сертралин. Проучванията при животни са разкрили ефекти върху репродуктивността, вероятно в резултат на майчина токсичност, причинена от фармакодинамично действие на съставката и/или от директно фармакодинамично действие на съставката върху плода (вж. точка 5.3).</w:t>
      </w:r>
    </w:p>
    <w:p w14:paraId="025A5866" w14:textId="77777777" w:rsidR="009D1FBE" w:rsidRPr="00C87C39" w:rsidRDefault="009D1FBE" w:rsidP="009D1FBE">
      <w:pPr>
        <w:spacing w:line="240" w:lineRule="auto"/>
        <w:rPr>
          <w:rFonts w:eastAsia="Times New Roman" w:cs="Arial"/>
          <w:bCs/>
          <w:color w:val="000000"/>
          <w:szCs w:val="20"/>
          <w:lang w:eastAsia="bg-BG"/>
        </w:rPr>
      </w:pPr>
    </w:p>
    <w:p w14:paraId="60DB4FEE" w14:textId="64E00CDD"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Има съобщения, че употребата на сертралин по време на бременност предизвиква симптоми, съответстващи на реакции на отнемане при някои новородени, чиито майки са били на терапия със сертралин. Този феномен е бил наблюдаван също и с други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Сертралин не се препоръчва по време на бременност, освен ако клиничното състояние на жената е такова, че се очаква ползата от лечението да надхвърли потенциалния риск.</w:t>
      </w:r>
    </w:p>
    <w:p w14:paraId="5069CDC5" w14:textId="77777777" w:rsidR="009D1FBE" w:rsidRPr="00C87C39" w:rsidRDefault="009D1FBE" w:rsidP="009D1FBE">
      <w:pPr>
        <w:spacing w:line="240" w:lineRule="auto"/>
        <w:rPr>
          <w:rFonts w:eastAsia="Times New Roman" w:cs="Arial"/>
          <w:bCs/>
          <w:color w:val="000000"/>
          <w:szCs w:val="20"/>
          <w:lang w:eastAsia="bg-BG"/>
        </w:rPr>
      </w:pPr>
    </w:p>
    <w:p w14:paraId="58964336" w14:textId="5EFDF9EC"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Новородените трябва да се наблюдават, ако майката е продължила да приема сертралин през по-късните етапи от бременността, особено през третото тримесечие. Ако майката е приемала сертралин през по-късните етапи от бременността, следните симптоми могат да се проявят при новороденото: респираторен дистрес, цианоза, апнея, припадъци, нестабилност на телесната температура, затруднено хранене, повръщане, хипогликемеия, повишен мускулен тонус, хипотония, хиперрефлексия, тремор, повишена възбудимост, раздразнителност, летаргия, постоянен плач, сънливост и трудност при заспиване. Тези симптоми могат да се дължат или на серотонинергични ефекти, или на симптоми на отнемане. В повечето случаи усложненията настъпват веднага или скоро (&lt;24 часа) след раждането.</w:t>
      </w:r>
    </w:p>
    <w:p w14:paraId="752E4926" w14:textId="77777777" w:rsidR="009D1FBE" w:rsidRPr="00C87C39" w:rsidRDefault="009D1FBE" w:rsidP="009D1FBE">
      <w:pPr>
        <w:spacing w:line="240" w:lineRule="auto"/>
        <w:rPr>
          <w:rFonts w:eastAsia="Times New Roman" w:cs="Arial"/>
          <w:bCs/>
          <w:color w:val="000000"/>
          <w:szCs w:val="20"/>
          <w:lang w:eastAsia="bg-BG"/>
        </w:rPr>
      </w:pPr>
    </w:p>
    <w:p w14:paraId="179D6216" w14:textId="0607D2CA"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Епидемиологични данни дават основоние да се предполага, че употребата на </w:t>
      </w:r>
      <w:r w:rsidRPr="00C87C39">
        <w:rPr>
          <w:rFonts w:eastAsia="Times New Roman" w:cs="Arial"/>
          <w:bCs/>
          <w:color w:val="000000"/>
          <w:szCs w:val="20"/>
          <w:lang w:val="en-US"/>
        </w:rPr>
        <w:t>SSRIs</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по време на бременност, особено в края на бременността, може да повиши риска от персистираща белодробна хипертония при новороденото </w:t>
      </w:r>
      <w:r w:rsidRPr="00C87C39">
        <w:rPr>
          <w:rFonts w:eastAsia="Times New Roman" w:cs="Arial"/>
          <w:bCs/>
          <w:color w:val="000000"/>
          <w:szCs w:val="20"/>
          <w:lang w:val="ru-RU"/>
        </w:rPr>
        <w:t>(</w:t>
      </w:r>
      <w:r w:rsidRPr="00C87C39">
        <w:rPr>
          <w:rFonts w:eastAsia="Times New Roman" w:cs="Arial"/>
          <w:bCs/>
          <w:color w:val="000000"/>
          <w:szCs w:val="20"/>
          <w:lang w:val="en-US"/>
        </w:rPr>
        <w:t>PPHN</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Наблюдаваният риск е приблизително 5 случая на 1000 бременности. В общата популация настъпват 1 до 2 случая на </w:t>
      </w:r>
      <w:r w:rsidRPr="00C87C39">
        <w:rPr>
          <w:rFonts w:eastAsia="Times New Roman" w:cs="Arial"/>
          <w:bCs/>
          <w:color w:val="000000"/>
          <w:szCs w:val="20"/>
          <w:lang w:val="en-US"/>
        </w:rPr>
        <w:t>PPHN</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на 1000 бременности.</w:t>
      </w:r>
    </w:p>
    <w:p w14:paraId="5BC23693" w14:textId="77777777" w:rsidR="009D1FBE" w:rsidRPr="00C87C39" w:rsidRDefault="009D1FBE" w:rsidP="009D1FBE">
      <w:pPr>
        <w:spacing w:line="240" w:lineRule="auto"/>
        <w:rPr>
          <w:rFonts w:ascii="Times New Roman" w:eastAsia="Times New Roman" w:hAnsi="Times New Roman" w:cs="Times New Roman"/>
          <w:bCs/>
          <w:color w:val="000000"/>
          <w:sz w:val="20"/>
          <w:szCs w:val="20"/>
          <w:u w:val="single"/>
          <w:lang w:eastAsia="bg-BG"/>
        </w:rPr>
      </w:pPr>
    </w:p>
    <w:p w14:paraId="0BC895F3" w14:textId="0BB938BC" w:rsidR="009D1FBE" w:rsidRPr="00C87C39" w:rsidRDefault="009D1FBE" w:rsidP="009D1FBE">
      <w:pPr>
        <w:pStyle w:val="Heading3"/>
        <w:rPr>
          <w:rFonts w:eastAsia="Times New Roman"/>
          <w:u w:val="single"/>
          <w:lang w:eastAsia="bg-BG"/>
        </w:rPr>
      </w:pPr>
      <w:r w:rsidRPr="00C87C39">
        <w:rPr>
          <w:rFonts w:eastAsia="Times New Roman"/>
          <w:u w:val="single"/>
          <w:lang w:eastAsia="bg-BG"/>
        </w:rPr>
        <w:t>Кърмене</w:t>
      </w:r>
    </w:p>
    <w:p w14:paraId="292D4858" w14:textId="77777777"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Публикуваните данни за нивата на сертралин в кърмата сочат, че малки количества сертралин и неговия метаболит </w:t>
      </w:r>
      <w:r w:rsidRPr="00C87C39">
        <w:rPr>
          <w:rFonts w:eastAsia="Times New Roman" w:cs="Arial"/>
          <w:bCs/>
          <w:color w:val="000000"/>
          <w:szCs w:val="20"/>
          <w:lang w:val="en-US"/>
        </w:rPr>
        <w:t>N</w:t>
      </w:r>
      <w:r w:rsidRPr="00C87C39">
        <w:rPr>
          <w:rFonts w:eastAsia="Times New Roman" w:cs="Arial"/>
          <w:bCs/>
          <w:color w:val="000000"/>
          <w:szCs w:val="20"/>
          <w:lang w:eastAsia="bg-BG"/>
        </w:rPr>
        <w:t>-десметилсертралин се екскретират в кърмата. Като цяло пренебрежими или недоловими нива на сертралин са били открити в серума на кърмачета, с едно изключение на новородено със серумни нива около 50% от нивото на майката (но без забележим ефект върху здравето на това кърмаче). Досега не са докладвани нежелани реакции върху здравето на деца, кърмени от майки, приемащи сертралин, но риск не може да се изключи. Приложението при кърмачки не се препоръчва, освен в случаите, когато според преценката на лекаря ползата от лечението надхвърля риска.</w:t>
      </w:r>
    </w:p>
    <w:p w14:paraId="5AD2E715" w14:textId="77777777" w:rsidR="009D1FBE" w:rsidRPr="00C87C39" w:rsidRDefault="009D1FBE" w:rsidP="009D1FBE">
      <w:pPr>
        <w:spacing w:line="240" w:lineRule="auto"/>
        <w:rPr>
          <w:rFonts w:ascii="Times New Roman" w:eastAsia="Times New Roman" w:hAnsi="Times New Roman" w:cs="Times New Roman"/>
          <w:bCs/>
          <w:color w:val="000000"/>
          <w:sz w:val="20"/>
          <w:szCs w:val="20"/>
          <w:u w:val="single"/>
          <w:lang w:eastAsia="bg-BG"/>
        </w:rPr>
      </w:pPr>
    </w:p>
    <w:p w14:paraId="493D333B" w14:textId="44B47AAC" w:rsidR="009D1FBE" w:rsidRPr="00C87C39" w:rsidRDefault="009D1FBE" w:rsidP="009D1FBE">
      <w:pPr>
        <w:pStyle w:val="Heading3"/>
        <w:rPr>
          <w:rFonts w:eastAsia="Times New Roman"/>
          <w:u w:val="single"/>
          <w:lang w:eastAsia="bg-BG"/>
        </w:rPr>
      </w:pPr>
      <w:r w:rsidRPr="00C87C39">
        <w:rPr>
          <w:rFonts w:eastAsia="Times New Roman"/>
          <w:u w:val="single"/>
          <w:lang w:eastAsia="bg-BG"/>
        </w:rPr>
        <w:t>Фертилитет</w:t>
      </w:r>
    </w:p>
    <w:p w14:paraId="4BE3416A" w14:textId="77777777"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Данните при животни не показват влияние на сертралин върху показателите на фертилитета (вж. точка 5.3). Съобщаваните случаи при хора с някои </w:t>
      </w:r>
      <w:r w:rsidRPr="00C87C39">
        <w:rPr>
          <w:rFonts w:eastAsia="Times New Roman" w:cs="Arial"/>
          <w:bCs/>
          <w:color w:val="000000"/>
          <w:szCs w:val="20"/>
          <w:lang w:val="en-US"/>
        </w:rPr>
        <w:t>SSRI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показват, че ефектът върху качеството на спермата е обратим. До момента не е наблюдаван ефект върху фертилитета при хора.</w:t>
      </w:r>
    </w:p>
    <w:p w14:paraId="11A43DB5" w14:textId="77777777" w:rsidR="009D1FBE" w:rsidRPr="00C87C39" w:rsidRDefault="009D1FBE" w:rsidP="009D1FBE">
      <w:pPr>
        <w:rPr>
          <w:rFonts w:eastAsia="Times New Roman" w:cs="Arial"/>
          <w:bCs/>
          <w:color w:val="000000"/>
          <w:szCs w:val="20"/>
          <w:lang w:eastAsia="bg-BG"/>
        </w:rPr>
      </w:pPr>
    </w:p>
    <w:p w14:paraId="102F0D07" w14:textId="138FE080" w:rsidR="007A2185" w:rsidRPr="00C87C39" w:rsidRDefault="009D1FBE" w:rsidP="009D1FBE">
      <w:pPr>
        <w:rPr>
          <w:rFonts w:cs="Arial"/>
          <w:sz w:val="24"/>
        </w:rPr>
      </w:pPr>
      <w:r w:rsidRPr="00C87C39">
        <w:rPr>
          <w:rFonts w:eastAsia="Times New Roman" w:cs="Arial"/>
          <w:bCs/>
          <w:color w:val="000000"/>
          <w:szCs w:val="20"/>
          <w:lang w:eastAsia="bg-BG"/>
        </w:rPr>
        <w:t xml:space="preserve">Обсервационните данни показват повишен риск (по-малко от 2 пъти) от послеродово  кръвотечение след експозиция на </w:t>
      </w:r>
      <w:r w:rsidRPr="00C87C39">
        <w:rPr>
          <w:rFonts w:eastAsia="Times New Roman" w:cs="Arial"/>
          <w:bCs/>
          <w:color w:val="000000"/>
          <w:szCs w:val="20"/>
          <w:lang w:val="en-US"/>
        </w:rPr>
        <w:t>SSRI</w:t>
      </w:r>
      <w:r w:rsidRPr="00C87C39">
        <w:rPr>
          <w:rFonts w:eastAsia="Times New Roman" w:cs="Arial"/>
          <w:bCs/>
          <w:color w:val="000000"/>
          <w:szCs w:val="20"/>
          <w:lang w:val="ru-RU"/>
        </w:rPr>
        <w:t>/</w:t>
      </w:r>
      <w:r w:rsidRPr="00C87C39">
        <w:rPr>
          <w:rFonts w:eastAsia="Times New Roman" w:cs="Arial"/>
          <w:bCs/>
          <w:color w:val="000000"/>
          <w:szCs w:val="20"/>
          <w:lang w:val="en-US"/>
        </w:rPr>
        <w:t>SNRI</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в рамките на последния месец преди раждането (вж. точки 4.4 и 4.8).</w:t>
      </w:r>
    </w:p>
    <w:p w14:paraId="3E8789C3" w14:textId="77777777" w:rsidR="0091385D" w:rsidRPr="00C87C39" w:rsidRDefault="0091385D" w:rsidP="0091385D"/>
    <w:p w14:paraId="064DF1DE" w14:textId="70BCC16C" w:rsidR="00CF77F7" w:rsidRPr="00C87C39" w:rsidRDefault="002C50EE" w:rsidP="004A448E">
      <w:pPr>
        <w:pStyle w:val="Heading2"/>
      </w:pPr>
      <w:r w:rsidRPr="00C87C39">
        <w:t>4.7. Ефекти върху способността за шофиране и работа с машини</w:t>
      </w:r>
    </w:p>
    <w:p w14:paraId="1455464C" w14:textId="78136F1E" w:rsidR="0091385D" w:rsidRPr="00C87C39" w:rsidRDefault="0091385D" w:rsidP="0091385D"/>
    <w:p w14:paraId="1C9ABB96" w14:textId="7F896444" w:rsidR="007A2185" w:rsidRPr="00C87C39" w:rsidRDefault="009D1FBE" w:rsidP="0091385D">
      <w:pPr>
        <w:rPr>
          <w:rFonts w:cs="Arial"/>
          <w:sz w:val="24"/>
        </w:rPr>
      </w:pPr>
      <w:r w:rsidRPr="00C87C39">
        <w:rPr>
          <w:rFonts w:cs="Arial"/>
          <w:bCs/>
          <w:szCs w:val="20"/>
        </w:rPr>
        <w:t xml:space="preserve">Клинични фармакологични проучвания са показали, че сертралин няма ефект върху психомоторните функции. В същото време обаче, тъй като психотропните лекарствата </w:t>
      </w:r>
      <w:r w:rsidRPr="00C87C39">
        <w:rPr>
          <w:rFonts w:cs="Arial"/>
          <w:bCs/>
          <w:szCs w:val="20"/>
        </w:rPr>
        <w:lastRenderedPageBreak/>
        <w:t>могат да нарушат психическите или физическите способности, необходими за осъществяване на потенциално опасни задачи като управление на МПС или работа с машини, се препоръчва пациентите да бъдат съответно предупредени.</w:t>
      </w:r>
    </w:p>
    <w:p w14:paraId="35801A15" w14:textId="77777777" w:rsidR="0091385D" w:rsidRPr="00C87C39" w:rsidRDefault="0091385D" w:rsidP="0091385D"/>
    <w:p w14:paraId="4838F52A" w14:textId="058F0B9C" w:rsidR="0091385D" w:rsidRPr="00C87C39" w:rsidRDefault="002C50EE" w:rsidP="007A2185">
      <w:pPr>
        <w:pStyle w:val="Heading2"/>
      </w:pPr>
      <w:r w:rsidRPr="00C87C39">
        <w:t>4.8. Нежелани лекарствени реакции</w:t>
      </w:r>
    </w:p>
    <w:p w14:paraId="76E0B7A2" w14:textId="5BBD2581" w:rsidR="005B0F27" w:rsidRPr="00C87C39" w:rsidRDefault="005B0F27" w:rsidP="0091385D"/>
    <w:p w14:paraId="11EF9FAA" w14:textId="77777777"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Гаденето е най-честата нежелана реакция. При лечението на социално тревожно разстройство сексуални нарушения (липса на еякулация) при мъжете са възникнали при 14% при сертралин спрямо 0% при плацебо. Тези нежелани ефекти са дозозависими и често са с преходен характер при продължаване на лечението.</w:t>
      </w:r>
    </w:p>
    <w:p w14:paraId="101E0E9E" w14:textId="77777777" w:rsidR="009D1FBE" w:rsidRPr="00C87C39" w:rsidRDefault="009D1FBE" w:rsidP="009D1FBE">
      <w:pPr>
        <w:spacing w:line="240" w:lineRule="auto"/>
        <w:rPr>
          <w:rFonts w:eastAsia="Times New Roman" w:cs="Arial"/>
          <w:bCs/>
          <w:color w:val="000000"/>
          <w:szCs w:val="20"/>
          <w:lang w:eastAsia="bg-BG"/>
        </w:rPr>
      </w:pPr>
    </w:p>
    <w:p w14:paraId="30CD0836" w14:textId="7AD9C9C2" w:rsidR="009D1FBE" w:rsidRPr="00C87C39" w:rsidRDefault="009D1FBE" w:rsidP="009D1FBE">
      <w:pPr>
        <w:spacing w:line="240" w:lineRule="auto"/>
        <w:rPr>
          <w:rFonts w:eastAsia="Times New Roman" w:cs="Arial"/>
          <w:sz w:val="28"/>
          <w:szCs w:val="24"/>
          <w:lang w:eastAsia="bg-BG"/>
        </w:rPr>
      </w:pPr>
      <w:r w:rsidRPr="00C87C39">
        <w:rPr>
          <w:rFonts w:eastAsia="Times New Roman" w:cs="Arial"/>
          <w:bCs/>
          <w:color w:val="000000"/>
          <w:szCs w:val="20"/>
          <w:lang w:eastAsia="bg-BG"/>
        </w:rPr>
        <w:t>Профилът на нежеланите реакции, често наблюдавани в двойно-слепи, плацебо контролирани проучвания при пациенти с ОКР, паническо разстройство, ПТСР и социално тревожно разстройство, е сходен с този, наблюдаван в клиничните проучвания при пациенти с депресия.</w:t>
      </w:r>
    </w:p>
    <w:p w14:paraId="56B50DA8" w14:textId="77777777" w:rsidR="009D1FBE" w:rsidRPr="00C87C39" w:rsidRDefault="009D1FBE" w:rsidP="009D1FBE">
      <w:pPr>
        <w:rPr>
          <w:rFonts w:ascii="Times New Roman" w:eastAsia="Times New Roman" w:hAnsi="Times New Roman" w:cs="Times New Roman"/>
          <w:bCs/>
          <w:i/>
          <w:iCs/>
          <w:color w:val="000000"/>
          <w:sz w:val="20"/>
          <w:szCs w:val="20"/>
          <w:lang w:eastAsia="bg-BG"/>
        </w:rPr>
      </w:pPr>
    </w:p>
    <w:p w14:paraId="0254AACC" w14:textId="34E1D4FF" w:rsidR="007A2185" w:rsidRPr="00C87C39" w:rsidRDefault="009D1FBE" w:rsidP="009D1FBE">
      <w:pPr>
        <w:rPr>
          <w:rFonts w:cs="Arial"/>
          <w:sz w:val="24"/>
        </w:rPr>
      </w:pPr>
      <w:r w:rsidRPr="00C87C39">
        <w:rPr>
          <w:rFonts w:eastAsia="Times New Roman" w:cs="Arial"/>
          <w:bCs/>
          <w:i/>
          <w:iCs/>
          <w:color w:val="000000"/>
          <w:szCs w:val="20"/>
          <w:lang w:eastAsia="bg-BG"/>
        </w:rPr>
        <w:t>Таблица 1</w:t>
      </w:r>
      <w:r w:rsidRPr="00C87C39">
        <w:rPr>
          <w:rFonts w:eastAsia="Times New Roman" w:cs="Arial"/>
          <w:bCs/>
          <w:color w:val="000000"/>
          <w:szCs w:val="20"/>
          <w:lang w:eastAsia="bg-BG"/>
        </w:rPr>
        <w:t xml:space="preserve"> показва нежеланите реакции, наблюдавани в постмаркетинговия период (с неизвестна честота) и от плацебо контролирани клинични проучвания (включващи общо 2 542 пациенти на сертралин и 2 145 на плацебо) при депресия, ОКР, паническо разстройство, ПТСР и социално тревожно разстройство. Някои нежелани реакции, изброени в Таблица 1, могат да намалеят по интензитет и честота при продължаване на лечението и по принцип не водят до прекъсване на терапията.</w:t>
      </w:r>
    </w:p>
    <w:p w14:paraId="443BC107" w14:textId="6C236FAE" w:rsidR="005B0F27" w:rsidRPr="00C87C39" w:rsidRDefault="005B0F27" w:rsidP="0091385D"/>
    <w:tbl>
      <w:tblPr>
        <w:tblStyle w:val="TableGrid"/>
        <w:tblW w:w="0" w:type="auto"/>
        <w:tblLook w:val="04A0" w:firstRow="1" w:lastRow="0" w:firstColumn="1" w:lastColumn="0" w:noHBand="0" w:noVBand="1"/>
      </w:tblPr>
      <w:tblGrid>
        <w:gridCol w:w="1549"/>
        <w:gridCol w:w="1252"/>
        <w:gridCol w:w="1759"/>
        <w:gridCol w:w="1755"/>
        <w:gridCol w:w="1717"/>
        <w:gridCol w:w="1318"/>
      </w:tblGrid>
      <w:tr w:rsidR="009D1FBE" w:rsidRPr="00C87C39" w14:paraId="086087BE" w14:textId="77777777" w:rsidTr="009D1FBE">
        <w:tc>
          <w:tcPr>
            <w:tcW w:w="9350" w:type="dxa"/>
            <w:gridSpan w:val="6"/>
          </w:tcPr>
          <w:p w14:paraId="1AD3A236" w14:textId="77777777" w:rsidR="009D1FBE" w:rsidRPr="00C87C39" w:rsidRDefault="009D1FBE" w:rsidP="009D1FBE">
            <w:pPr>
              <w:spacing w:line="240" w:lineRule="auto"/>
              <w:jc w:val="center"/>
              <w:rPr>
                <w:rFonts w:eastAsia="Times New Roman" w:cs="Arial"/>
                <w:sz w:val="28"/>
                <w:szCs w:val="24"/>
                <w:lang w:eastAsia="bg-BG"/>
              </w:rPr>
            </w:pPr>
            <w:r w:rsidRPr="00C87C39">
              <w:rPr>
                <w:rFonts w:eastAsia="Times New Roman" w:cs="Arial"/>
                <w:bCs/>
                <w:color w:val="000000"/>
                <w:szCs w:val="20"/>
                <w:lang w:eastAsia="bg-BG"/>
              </w:rPr>
              <w:t>Таблица 1: Нежелани реакции</w:t>
            </w:r>
          </w:p>
          <w:p w14:paraId="4402BA4C" w14:textId="77777777" w:rsidR="009D1FBE" w:rsidRPr="00C87C39" w:rsidRDefault="009D1FBE" w:rsidP="009D1FBE">
            <w:pPr>
              <w:spacing w:line="240" w:lineRule="auto"/>
              <w:jc w:val="center"/>
              <w:rPr>
                <w:rFonts w:eastAsia="Times New Roman" w:cs="Arial"/>
                <w:sz w:val="28"/>
                <w:szCs w:val="24"/>
                <w:lang w:eastAsia="bg-BG"/>
              </w:rPr>
            </w:pPr>
            <w:r w:rsidRPr="00C87C39">
              <w:rPr>
                <w:rFonts w:eastAsia="Times New Roman" w:cs="Arial"/>
                <w:bCs/>
                <w:color w:val="000000"/>
                <w:szCs w:val="20"/>
                <w:lang w:eastAsia="bg-BG"/>
              </w:rPr>
              <w:t>Честота на нежеланите реакции, наблюдавани при плацебо-контролирани клинични проучвания при депресия, ОКР, паническо разстройство, ПТСР и социално тревожно разстройство.</w:t>
            </w:r>
          </w:p>
          <w:p w14:paraId="3644CC5B" w14:textId="37B1D6CB" w:rsidR="009D1FBE" w:rsidRPr="00C87C39" w:rsidRDefault="009D1FBE" w:rsidP="009D1FBE">
            <w:pPr>
              <w:jc w:val="center"/>
            </w:pPr>
            <w:r w:rsidRPr="00C87C39">
              <w:rPr>
                <w:rFonts w:eastAsia="Times New Roman" w:cs="Arial"/>
                <w:bCs/>
                <w:color w:val="000000"/>
                <w:szCs w:val="20"/>
                <w:lang w:eastAsia="bg-BG"/>
              </w:rPr>
              <w:t>Обобщен анализ и постмаркетингов опит.</w:t>
            </w:r>
          </w:p>
        </w:tc>
      </w:tr>
      <w:tr w:rsidR="009D1FBE" w:rsidRPr="00C87C39" w14:paraId="7D0602E1" w14:textId="77777777" w:rsidTr="009D1FBE">
        <w:tc>
          <w:tcPr>
            <w:tcW w:w="1536" w:type="dxa"/>
          </w:tcPr>
          <w:p w14:paraId="7A443ED7" w14:textId="417F2F2B" w:rsidR="009D1FBE" w:rsidRPr="00C87C39" w:rsidRDefault="009D1FBE" w:rsidP="009D1FBE">
            <w:r w:rsidRPr="00C87C39">
              <w:rPr>
                <w:bCs/>
              </w:rPr>
              <w:t>Системо- органен клас</w:t>
            </w:r>
          </w:p>
        </w:tc>
        <w:tc>
          <w:tcPr>
            <w:tcW w:w="1250" w:type="dxa"/>
          </w:tcPr>
          <w:p w14:paraId="272BAE80" w14:textId="47416AF9" w:rsidR="009D1FBE" w:rsidRPr="00C87C39" w:rsidRDefault="009D1FBE" w:rsidP="009D1FBE">
            <w:r w:rsidRPr="00C87C39">
              <w:rPr>
                <w:bCs/>
              </w:rPr>
              <w:t>Много чести (≥ 1/10)</w:t>
            </w:r>
          </w:p>
        </w:tc>
        <w:tc>
          <w:tcPr>
            <w:tcW w:w="1748" w:type="dxa"/>
          </w:tcPr>
          <w:p w14:paraId="51D229A8" w14:textId="33B1B0F1" w:rsidR="009D1FBE" w:rsidRPr="00C87C39" w:rsidRDefault="009D1FBE" w:rsidP="009D1FBE">
            <w:r w:rsidRPr="00C87C39">
              <w:rPr>
                <w:bCs/>
              </w:rPr>
              <w:t>Чести (≥ 1/100 до &lt;1/10)</w:t>
            </w:r>
          </w:p>
        </w:tc>
        <w:tc>
          <w:tcPr>
            <w:tcW w:w="1733" w:type="dxa"/>
          </w:tcPr>
          <w:p w14:paraId="42DDE943" w14:textId="77777777" w:rsidR="009D1FBE" w:rsidRPr="00C87C39" w:rsidRDefault="009D1FBE" w:rsidP="009D1FBE">
            <w:r w:rsidRPr="00C87C39">
              <w:rPr>
                <w:bCs/>
              </w:rPr>
              <w:t>Нечести</w:t>
            </w:r>
          </w:p>
          <w:p w14:paraId="564A95C4" w14:textId="77777777" w:rsidR="009D1FBE" w:rsidRPr="00C87C39" w:rsidRDefault="009D1FBE" w:rsidP="009D1FBE">
            <w:r w:rsidRPr="00C87C39">
              <w:rPr>
                <w:bCs/>
              </w:rPr>
              <w:t>(≥ 1/1000 до</w:t>
            </w:r>
          </w:p>
          <w:p w14:paraId="069504FA" w14:textId="066065A9" w:rsidR="009D1FBE" w:rsidRPr="00C87C39" w:rsidRDefault="009D1FBE" w:rsidP="009D1FBE">
            <w:r w:rsidRPr="00C87C39">
              <w:rPr>
                <w:bCs/>
              </w:rPr>
              <w:t>&lt;1/100)</w:t>
            </w:r>
          </w:p>
        </w:tc>
        <w:tc>
          <w:tcPr>
            <w:tcW w:w="1742" w:type="dxa"/>
          </w:tcPr>
          <w:p w14:paraId="1DEC905D" w14:textId="3B28B59F" w:rsidR="009D1FBE" w:rsidRPr="00C87C39" w:rsidRDefault="009D1FBE" w:rsidP="009D1FBE">
            <w:r w:rsidRPr="00C87C39">
              <w:rPr>
                <w:bCs/>
              </w:rPr>
              <w:t>Редки (≥ 1/10000 до &lt;1/1000)</w:t>
            </w:r>
          </w:p>
        </w:tc>
        <w:tc>
          <w:tcPr>
            <w:tcW w:w="1341" w:type="dxa"/>
          </w:tcPr>
          <w:p w14:paraId="176AF357" w14:textId="23CC7B91" w:rsidR="009D1FBE" w:rsidRPr="00C87C39" w:rsidRDefault="009D1FBE" w:rsidP="009D1FBE">
            <w:r w:rsidRPr="00C87C39">
              <w:rPr>
                <w:bCs/>
              </w:rPr>
              <w:t>С неизвестна честота (от наличните данни не може да направена оценка)</w:t>
            </w:r>
          </w:p>
        </w:tc>
      </w:tr>
      <w:tr w:rsidR="009D1FBE" w:rsidRPr="00C87C39" w14:paraId="5D3B3363" w14:textId="77777777" w:rsidTr="009D1FBE">
        <w:tc>
          <w:tcPr>
            <w:tcW w:w="1536" w:type="dxa"/>
          </w:tcPr>
          <w:p w14:paraId="6AA96D5E" w14:textId="76AD253E" w:rsidR="009D1FBE" w:rsidRPr="00C87C39" w:rsidRDefault="009D1FBE" w:rsidP="009D1FBE">
            <w:r w:rsidRPr="00C87C39">
              <w:rPr>
                <w:bCs/>
              </w:rPr>
              <w:t>Инфекции и инфестацик</w:t>
            </w:r>
          </w:p>
        </w:tc>
        <w:tc>
          <w:tcPr>
            <w:tcW w:w="1250" w:type="dxa"/>
          </w:tcPr>
          <w:p w14:paraId="00D5A444" w14:textId="77777777" w:rsidR="009D1FBE" w:rsidRPr="00C87C39" w:rsidRDefault="009D1FBE" w:rsidP="009D1FBE"/>
        </w:tc>
        <w:tc>
          <w:tcPr>
            <w:tcW w:w="1748" w:type="dxa"/>
          </w:tcPr>
          <w:p w14:paraId="1F0B7482" w14:textId="6B7AA4DF" w:rsidR="009D1FBE" w:rsidRPr="00C87C39" w:rsidRDefault="009D1FBE" w:rsidP="009D1FBE">
            <w:r w:rsidRPr="00C87C39">
              <w:rPr>
                <w:bCs/>
              </w:rPr>
              <w:t>Инфекция на горните дихателни пътища,фарингит, ринит</w:t>
            </w:r>
          </w:p>
        </w:tc>
        <w:tc>
          <w:tcPr>
            <w:tcW w:w="1733" w:type="dxa"/>
          </w:tcPr>
          <w:p w14:paraId="158174B9" w14:textId="5B13E7D6" w:rsidR="009D1FBE" w:rsidRPr="00C87C39" w:rsidRDefault="009D1FBE" w:rsidP="009D1FBE">
            <w:r w:rsidRPr="00C87C39">
              <w:rPr>
                <w:bCs/>
              </w:rPr>
              <w:t>Гастроентерит, възпаление на средното ухо</w:t>
            </w:r>
          </w:p>
        </w:tc>
        <w:tc>
          <w:tcPr>
            <w:tcW w:w="1742" w:type="dxa"/>
          </w:tcPr>
          <w:p w14:paraId="2267A5DA" w14:textId="25B1DB14" w:rsidR="009D1FBE" w:rsidRPr="00C87C39" w:rsidRDefault="009D1FBE" w:rsidP="009D1FBE">
            <w:r w:rsidRPr="00C87C39">
              <w:rPr>
                <w:bCs/>
              </w:rPr>
              <w:t>Дивертикулит§</w:t>
            </w:r>
          </w:p>
        </w:tc>
        <w:tc>
          <w:tcPr>
            <w:tcW w:w="1341" w:type="dxa"/>
          </w:tcPr>
          <w:p w14:paraId="7D5266B5" w14:textId="77777777" w:rsidR="009D1FBE" w:rsidRPr="00C87C39" w:rsidRDefault="009D1FBE" w:rsidP="009D1FBE"/>
        </w:tc>
      </w:tr>
      <w:tr w:rsidR="009D1FBE" w:rsidRPr="00C87C39" w14:paraId="39F46682" w14:textId="77777777" w:rsidTr="009D1FBE">
        <w:tc>
          <w:tcPr>
            <w:tcW w:w="1536" w:type="dxa"/>
          </w:tcPr>
          <w:p w14:paraId="432F4856" w14:textId="332E5C0B" w:rsidR="009D1FBE" w:rsidRPr="00C87C39" w:rsidRDefault="009D1FBE" w:rsidP="009D1FBE">
            <w:r w:rsidRPr="00C87C39">
              <w:rPr>
                <w:bCs/>
              </w:rPr>
              <w:t>Неоплазми - доброкачествен и, злокачествени и неопределе</w:t>
            </w:r>
            <w:r w:rsidRPr="00C87C39">
              <w:rPr>
                <w:bCs/>
              </w:rPr>
              <w:lastRenderedPageBreak/>
              <w:t>ни (вкл.кисти и полипи)</w:t>
            </w:r>
          </w:p>
        </w:tc>
        <w:tc>
          <w:tcPr>
            <w:tcW w:w="1250" w:type="dxa"/>
          </w:tcPr>
          <w:p w14:paraId="07F6F040" w14:textId="77777777" w:rsidR="009D1FBE" w:rsidRPr="00C87C39" w:rsidRDefault="009D1FBE" w:rsidP="009D1FBE"/>
        </w:tc>
        <w:tc>
          <w:tcPr>
            <w:tcW w:w="1748" w:type="dxa"/>
          </w:tcPr>
          <w:p w14:paraId="276B7508" w14:textId="77777777" w:rsidR="009D1FBE" w:rsidRPr="00C87C39" w:rsidRDefault="009D1FBE" w:rsidP="009D1FBE"/>
        </w:tc>
        <w:tc>
          <w:tcPr>
            <w:tcW w:w="1733" w:type="dxa"/>
          </w:tcPr>
          <w:p w14:paraId="60758D12" w14:textId="148DDA4E" w:rsidR="009D1FBE" w:rsidRPr="00C87C39" w:rsidRDefault="009D1FBE" w:rsidP="009D1FBE">
            <w:r w:rsidRPr="00C87C39">
              <w:rPr>
                <w:bCs/>
              </w:rPr>
              <w:t>Неоплазми</w:t>
            </w:r>
          </w:p>
        </w:tc>
        <w:tc>
          <w:tcPr>
            <w:tcW w:w="1742" w:type="dxa"/>
          </w:tcPr>
          <w:p w14:paraId="18B1CB3A" w14:textId="77777777" w:rsidR="009D1FBE" w:rsidRPr="00C87C39" w:rsidRDefault="009D1FBE" w:rsidP="009D1FBE"/>
        </w:tc>
        <w:tc>
          <w:tcPr>
            <w:tcW w:w="1341" w:type="dxa"/>
          </w:tcPr>
          <w:p w14:paraId="77CE21D2" w14:textId="77777777" w:rsidR="009D1FBE" w:rsidRPr="00C87C39" w:rsidRDefault="009D1FBE" w:rsidP="009D1FBE"/>
        </w:tc>
      </w:tr>
      <w:tr w:rsidR="009D1FBE" w:rsidRPr="00C87C39" w14:paraId="5C570903" w14:textId="77777777" w:rsidTr="009D1FBE">
        <w:tc>
          <w:tcPr>
            <w:tcW w:w="1536" w:type="dxa"/>
          </w:tcPr>
          <w:p w14:paraId="700D4E62" w14:textId="20FCA0AE" w:rsidR="009D1FBE" w:rsidRPr="00C87C39" w:rsidRDefault="009D1FBE" w:rsidP="009D1FBE">
            <w:r w:rsidRPr="00C87C39">
              <w:rPr>
                <w:bCs/>
              </w:rPr>
              <w:t>Нарушения на кръвта и лимфната система</w:t>
            </w:r>
          </w:p>
        </w:tc>
        <w:tc>
          <w:tcPr>
            <w:tcW w:w="1250" w:type="dxa"/>
          </w:tcPr>
          <w:p w14:paraId="4984F88B" w14:textId="77777777" w:rsidR="009D1FBE" w:rsidRPr="00C87C39" w:rsidRDefault="009D1FBE" w:rsidP="009D1FBE"/>
        </w:tc>
        <w:tc>
          <w:tcPr>
            <w:tcW w:w="1748" w:type="dxa"/>
          </w:tcPr>
          <w:p w14:paraId="0D3FB88D" w14:textId="77777777" w:rsidR="009D1FBE" w:rsidRPr="00C87C39" w:rsidRDefault="009D1FBE" w:rsidP="009D1FBE"/>
        </w:tc>
        <w:tc>
          <w:tcPr>
            <w:tcW w:w="1733" w:type="dxa"/>
          </w:tcPr>
          <w:p w14:paraId="6097BAB5" w14:textId="77777777" w:rsidR="009D1FBE" w:rsidRPr="00C87C39" w:rsidRDefault="009D1FBE" w:rsidP="009D1FBE"/>
        </w:tc>
        <w:tc>
          <w:tcPr>
            <w:tcW w:w="1742" w:type="dxa"/>
          </w:tcPr>
          <w:p w14:paraId="37E2A884" w14:textId="16ACEB7C" w:rsidR="009D1FBE" w:rsidRPr="00C87C39" w:rsidRDefault="009D1FBE" w:rsidP="009D1FBE">
            <w:r w:rsidRPr="00C87C39">
              <w:rPr>
                <w:bCs/>
              </w:rPr>
              <w:t>Лимфаденопатия, тромбоцитопения* §, левкопения</w:t>
            </w:r>
          </w:p>
        </w:tc>
        <w:tc>
          <w:tcPr>
            <w:tcW w:w="1341" w:type="dxa"/>
          </w:tcPr>
          <w:p w14:paraId="02D2B756" w14:textId="77777777" w:rsidR="009D1FBE" w:rsidRPr="00C87C39" w:rsidRDefault="009D1FBE" w:rsidP="009D1FBE"/>
          <w:p w14:paraId="0D67A5F9" w14:textId="77777777" w:rsidR="009D1FBE" w:rsidRPr="00C87C39" w:rsidRDefault="009D1FBE" w:rsidP="009D1FBE"/>
        </w:tc>
      </w:tr>
      <w:tr w:rsidR="009D1FBE" w:rsidRPr="00C87C39" w14:paraId="1596CD26" w14:textId="77777777" w:rsidTr="009D1FBE">
        <w:tc>
          <w:tcPr>
            <w:tcW w:w="1536" w:type="dxa"/>
          </w:tcPr>
          <w:p w14:paraId="1201A3D7" w14:textId="68D01610" w:rsidR="009D1FBE" w:rsidRPr="00C87C39" w:rsidRDefault="009D1FBE" w:rsidP="009D1FBE">
            <w:r w:rsidRPr="00C87C39">
              <w:rPr>
                <w:bCs/>
              </w:rPr>
              <w:t>Нарушения на имунната система</w:t>
            </w:r>
          </w:p>
        </w:tc>
        <w:tc>
          <w:tcPr>
            <w:tcW w:w="1250" w:type="dxa"/>
          </w:tcPr>
          <w:p w14:paraId="63F72A39" w14:textId="77777777" w:rsidR="009D1FBE" w:rsidRPr="00C87C39" w:rsidRDefault="009D1FBE" w:rsidP="009D1FBE"/>
        </w:tc>
        <w:tc>
          <w:tcPr>
            <w:tcW w:w="1748" w:type="dxa"/>
          </w:tcPr>
          <w:p w14:paraId="1C1BB29D" w14:textId="77777777" w:rsidR="009D1FBE" w:rsidRPr="00C87C39" w:rsidRDefault="009D1FBE" w:rsidP="009D1FBE"/>
        </w:tc>
        <w:tc>
          <w:tcPr>
            <w:tcW w:w="1733" w:type="dxa"/>
          </w:tcPr>
          <w:p w14:paraId="6D9FE5B5" w14:textId="11EB4A05" w:rsidR="009D1FBE" w:rsidRPr="00C87C39" w:rsidRDefault="009D1FBE" w:rsidP="009D1FBE">
            <w:r w:rsidRPr="00C87C39">
              <w:rPr>
                <w:bCs/>
              </w:rPr>
              <w:t>Свръхчувстви</w:t>
            </w:r>
            <w:r w:rsidRPr="00C87C39">
              <w:rPr>
                <w:bCs/>
              </w:rPr>
              <w:softHyphen/>
              <w:t>телност*, сезонна алергия*</w:t>
            </w:r>
          </w:p>
        </w:tc>
        <w:tc>
          <w:tcPr>
            <w:tcW w:w="1742" w:type="dxa"/>
          </w:tcPr>
          <w:p w14:paraId="0A836302" w14:textId="77777777" w:rsidR="009D1FBE" w:rsidRPr="00C87C39" w:rsidRDefault="009D1FBE" w:rsidP="009D1FBE">
            <w:r w:rsidRPr="00C87C39">
              <w:rPr>
                <w:bCs/>
              </w:rPr>
              <w:t>Анафилактоидна</w:t>
            </w:r>
          </w:p>
          <w:p w14:paraId="2A3C4532" w14:textId="6D79F840" w:rsidR="009D1FBE" w:rsidRPr="00C87C39" w:rsidRDefault="009D1FBE" w:rsidP="009D1FBE">
            <w:r w:rsidRPr="00C87C39">
              <w:rPr>
                <w:bCs/>
              </w:rPr>
              <w:t>реакция</w:t>
            </w:r>
          </w:p>
        </w:tc>
        <w:tc>
          <w:tcPr>
            <w:tcW w:w="1341" w:type="dxa"/>
          </w:tcPr>
          <w:p w14:paraId="65374D21" w14:textId="7B3595C0" w:rsidR="009D1FBE" w:rsidRPr="00C87C39" w:rsidRDefault="009D1FBE" w:rsidP="009D1FBE">
            <w:r w:rsidRPr="00C87C39">
              <w:rPr>
                <w:i/>
                <w:iCs/>
              </w:rPr>
              <w:t>Алергия</w:t>
            </w:r>
          </w:p>
        </w:tc>
      </w:tr>
      <w:tr w:rsidR="009D1FBE" w:rsidRPr="00C87C39" w14:paraId="0FD7B944" w14:textId="77777777" w:rsidTr="009D1FBE">
        <w:tc>
          <w:tcPr>
            <w:tcW w:w="1536" w:type="dxa"/>
          </w:tcPr>
          <w:p w14:paraId="5548DC55" w14:textId="28A6C4F5" w:rsidR="009D1FBE" w:rsidRPr="00C87C39" w:rsidRDefault="009D1FBE" w:rsidP="009D1FBE">
            <w:r w:rsidRPr="00C87C39">
              <w:rPr>
                <w:bCs/>
                <w:szCs w:val="20"/>
              </w:rPr>
              <w:t>Нарушения на ендокринната система</w:t>
            </w:r>
          </w:p>
        </w:tc>
        <w:tc>
          <w:tcPr>
            <w:tcW w:w="1250" w:type="dxa"/>
          </w:tcPr>
          <w:p w14:paraId="67398530" w14:textId="77777777" w:rsidR="009D1FBE" w:rsidRPr="00C87C39" w:rsidRDefault="009D1FBE" w:rsidP="009D1FBE"/>
        </w:tc>
        <w:tc>
          <w:tcPr>
            <w:tcW w:w="1748" w:type="dxa"/>
          </w:tcPr>
          <w:p w14:paraId="24B77A40" w14:textId="77777777" w:rsidR="009D1FBE" w:rsidRPr="00C87C39" w:rsidRDefault="009D1FBE" w:rsidP="009D1FBE"/>
        </w:tc>
        <w:tc>
          <w:tcPr>
            <w:tcW w:w="1733" w:type="dxa"/>
          </w:tcPr>
          <w:p w14:paraId="2DD9ADBC" w14:textId="20DEBC4E" w:rsidR="009D1FBE" w:rsidRPr="00C87C39" w:rsidRDefault="009D1FBE" w:rsidP="009D1FBE">
            <w:r w:rsidRPr="00C87C39">
              <w:rPr>
                <w:bCs/>
                <w:szCs w:val="20"/>
              </w:rPr>
              <w:t>Хипотиреоидизъм *</w:t>
            </w:r>
          </w:p>
        </w:tc>
        <w:tc>
          <w:tcPr>
            <w:tcW w:w="1742" w:type="dxa"/>
          </w:tcPr>
          <w:p w14:paraId="12EADFE3" w14:textId="1BEAB2E3" w:rsidR="009D1FBE" w:rsidRPr="00C87C39" w:rsidRDefault="009D1FBE" w:rsidP="009D1FBE">
            <w:r w:rsidRPr="00C87C39">
              <w:rPr>
                <w:bCs/>
                <w:szCs w:val="20"/>
              </w:rPr>
              <w:t>Хиперпролактин- емия*§, неадекватна секреция на антидиуретичен хормон* §</w:t>
            </w:r>
          </w:p>
        </w:tc>
        <w:tc>
          <w:tcPr>
            <w:tcW w:w="1341" w:type="dxa"/>
          </w:tcPr>
          <w:p w14:paraId="579BD218" w14:textId="77777777" w:rsidR="009D1FBE" w:rsidRPr="00C87C39" w:rsidRDefault="009D1FBE" w:rsidP="009D1FBE"/>
        </w:tc>
      </w:tr>
      <w:tr w:rsidR="009D1FBE" w:rsidRPr="00C87C39" w14:paraId="01A6CD57" w14:textId="77777777" w:rsidTr="009D1FBE">
        <w:tc>
          <w:tcPr>
            <w:tcW w:w="1536" w:type="dxa"/>
          </w:tcPr>
          <w:p w14:paraId="61EB114F" w14:textId="15DD6AEF" w:rsidR="009D1FBE" w:rsidRPr="00C87C39" w:rsidRDefault="009D1FBE" w:rsidP="009D1FBE">
            <w:r w:rsidRPr="00C87C39">
              <w:rPr>
                <w:bCs/>
                <w:szCs w:val="20"/>
              </w:rPr>
              <w:t>Нарушения на метаболизма и храненето</w:t>
            </w:r>
          </w:p>
        </w:tc>
        <w:tc>
          <w:tcPr>
            <w:tcW w:w="1250" w:type="dxa"/>
          </w:tcPr>
          <w:p w14:paraId="1203F8F7" w14:textId="77777777" w:rsidR="009D1FBE" w:rsidRPr="00C87C39" w:rsidRDefault="009D1FBE" w:rsidP="009D1FBE"/>
        </w:tc>
        <w:tc>
          <w:tcPr>
            <w:tcW w:w="1748" w:type="dxa"/>
          </w:tcPr>
          <w:p w14:paraId="3D72D979" w14:textId="6A5C1CB4" w:rsidR="009D1FBE" w:rsidRPr="00C87C39" w:rsidRDefault="009D1FBE" w:rsidP="009D1FBE">
            <w:r w:rsidRPr="00C87C39">
              <w:rPr>
                <w:bCs/>
                <w:szCs w:val="20"/>
              </w:rPr>
              <w:t>Понижен апетит, повишен апетит*</w:t>
            </w:r>
          </w:p>
        </w:tc>
        <w:tc>
          <w:tcPr>
            <w:tcW w:w="1733" w:type="dxa"/>
          </w:tcPr>
          <w:p w14:paraId="7A0DC434" w14:textId="77777777" w:rsidR="009D1FBE" w:rsidRPr="00C87C39" w:rsidRDefault="009D1FBE" w:rsidP="009D1FBE"/>
        </w:tc>
        <w:tc>
          <w:tcPr>
            <w:tcW w:w="1742" w:type="dxa"/>
            <w:vAlign w:val="bottom"/>
          </w:tcPr>
          <w:p w14:paraId="7D2D0981" w14:textId="6AC602F9" w:rsidR="009D1FBE" w:rsidRPr="00C87C39" w:rsidRDefault="009D1FBE" w:rsidP="009D1FBE">
            <w:r w:rsidRPr="00C87C39">
              <w:rPr>
                <w:bCs/>
                <w:szCs w:val="20"/>
              </w:rPr>
              <w:t>Хиперхолесте- ролемия, захарен диабет*, хипогликемия*, хипергликемия * §, хипонатриемия * §</w:t>
            </w:r>
          </w:p>
        </w:tc>
        <w:tc>
          <w:tcPr>
            <w:tcW w:w="1341" w:type="dxa"/>
          </w:tcPr>
          <w:p w14:paraId="43D29B90" w14:textId="77777777" w:rsidR="009D1FBE" w:rsidRPr="00C87C39" w:rsidRDefault="009D1FBE" w:rsidP="009D1FBE"/>
        </w:tc>
      </w:tr>
      <w:tr w:rsidR="009D1FBE" w:rsidRPr="00C87C39" w14:paraId="1C190831" w14:textId="77777777" w:rsidTr="009D1FBE">
        <w:tc>
          <w:tcPr>
            <w:tcW w:w="1536" w:type="dxa"/>
          </w:tcPr>
          <w:p w14:paraId="772036E7" w14:textId="496D05A4" w:rsidR="009D1FBE" w:rsidRPr="00C87C39" w:rsidRDefault="009D1FBE" w:rsidP="009D1FBE">
            <w:r w:rsidRPr="00C87C39">
              <w:rPr>
                <w:bCs/>
                <w:szCs w:val="20"/>
              </w:rPr>
              <w:t>Психични нарушения</w:t>
            </w:r>
          </w:p>
        </w:tc>
        <w:tc>
          <w:tcPr>
            <w:tcW w:w="1250" w:type="dxa"/>
          </w:tcPr>
          <w:p w14:paraId="29E733E2" w14:textId="767E2FBA" w:rsidR="009D1FBE" w:rsidRPr="00C87C39" w:rsidRDefault="009D1FBE" w:rsidP="009D1FBE">
            <w:r w:rsidRPr="00C87C39">
              <w:rPr>
                <w:bCs/>
                <w:szCs w:val="20"/>
              </w:rPr>
              <w:t>Безсъние</w:t>
            </w:r>
          </w:p>
        </w:tc>
        <w:tc>
          <w:tcPr>
            <w:tcW w:w="1748" w:type="dxa"/>
          </w:tcPr>
          <w:p w14:paraId="25BE1CC6" w14:textId="61F9F9E4" w:rsidR="009D1FBE" w:rsidRPr="00C87C39" w:rsidRDefault="009D1FBE" w:rsidP="009D1FBE">
            <w:r w:rsidRPr="00C87C39">
              <w:rPr>
                <w:bCs/>
                <w:szCs w:val="20"/>
              </w:rPr>
              <w:t>Възбуда*, депресия *, тревожност*, понижено либидо*, нервност, деперсонализация, кошмари, бруксизъм*</w:t>
            </w:r>
          </w:p>
        </w:tc>
        <w:tc>
          <w:tcPr>
            <w:tcW w:w="1733" w:type="dxa"/>
          </w:tcPr>
          <w:p w14:paraId="0962B033" w14:textId="4DF47B77" w:rsidR="009D1FBE" w:rsidRPr="00C87C39" w:rsidRDefault="009D1FBE" w:rsidP="009D1FBE">
            <w:r w:rsidRPr="00C87C39">
              <w:rPr>
                <w:bCs/>
                <w:szCs w:val="20"/>
              </w:rPr>
              <w:t>Суицидна идеация/поведени е, психотично разстройство*, ненормално мислене, апатия, халюцинации* агресия*, еуфорично настроение*, параноя</w:t>
            </w:r>
          </w:p>
        </w:tc>
        <w:tc>
          <w:tcPr>
            <w:tcW w:w="1742" w:type="dxa"/>
          </w:tcPr>
          <w:p w14:paraId="2A0E46F5" w14:textId="373163B1" w:rsidR="009D1FBE" w:rsidRPr="00C87C39" w:rsidRDefault="009D1FBE" w:rsidP="009D1FBE">
            <w:r w:rsidRPr="00C87C39">
              <w:rPr>
                <w:bCs/>
                <w:szCs w:val="20"/>
              </w:rPr>
              <w:t>Конверсионно разстройство * §, паронирия*§ лекарствена зависимост, сомнамбулизъм, преждевременна еякулация</w:t>
            </w:r>
          </w:p>
        </w:tc>
        <w:tc>
          <w:tcPr>
            <w:tcW w:w="1341" w:type="dxa"/>
          </w:tcPr>
          <w:p w14:paraId="00C4E1DA" w14:textId="77777777" w:rsidR="009D1FBE" w:rsidRPr="00C87C39" w:rsidRDefault="009D1FBE" w:rsidP="009D1FBE"/>
        </w:tc>
      </w:tr>
      <w:tr w:rsidR="009D1FBE" w:rsidRPr="00C87C39" w14:paraId="38952CD3" w14:textId="77777777" w:rsidTr="009D1FBE">
        <w:trPr>
          <w:trHeight w:val="13222"/>
        </w:trPr>
        <w:tc>
          <w:tcPr>
            <w:tcW w:w="1536" w:type="dxa"/>
            <w:vAlign w:val="bottom"/>
          </w:tcPr>
          <w:p w14:paraId="7E9FBAD4" w14:textId="77777777" w:rsidR="009D1FBE" w:rsidRPr="00C87C39" w:rsidRDefault="009D1FBE" w:rsidP="009D1FBE">
            <w:r w:rsidRPr="00C87C39">
              <w:rPr>
                <w:bCs/>
                <w:szCs w:val="20"/>
              </w:rPr>
              <w:lastRenderedPageBreak/>
              <w:t>Нарушения на</w:t>
            </w:r>
          </w:p>
          <w:p w14:paraId="50CF4C81" w14:textId="77777777" w:rsidR="009D1FBE" w:rsidRPr="00C87C39" w:rsidRDefault="009D1FBE" w:rsidP="009D1FBE">
            <w:r w:rsidRPr="00C87C39">
              <w:rPr>
                <w:bCs/>
                <w:szCs w:val="20"/>
              </w:rPr>
              <w:t>нервната</w:t>
            </w:r>
          </w:p>
          <w:p w14:paraId="075C08C9" w14:textId="3BB6C383" w:rsidR="009D1FBE" w:rsidRPr="00C87C39" w:rsidRDefault="009D1FBE" w:rsidP="009D1FBE">
            <w:r w:rsidRPr="00C87C39">
              <w:rPr>
                <w:bCs/>
                <w:szCs w:val="20"/>
              </w:rPr>
              <w:t>система</w:t>
            </w:r>
          </w:p>
        </w:tc>
        <w:tc>
          <w:tcPr>
            <w:tcW w:w="1250" w:type="dxa"/>
            <w:vAlign w:val="bottom"/>
          </w:tcPr>
          <w:p w14:paraId="49AEA643" w14:textId="77777777" w:rsidR="009D1FBE" w:rsidRPr="00C87C39" w:rsidRDefault="009D1FBE" w:rsidP="009D1FBE">
            <w:r w:rsidRPr="00C87C39">
              <w:rPr>
                <w:bCs/>
                <w:szCs w:val="20"/>
              </w:rPr>
              <w:t>Замаяност,</w:t>
            </w:r>
          </w:p>
          <w:p w14:paraId="4C2D3F84" w14:textId="77777777" w:rsidR="009D1FBE" w:rsidRPr="00C87C39" w:rsidRDefault="009D1FBE" w:rsidP="009D1FBE">
            <w:r w:rsidRPr="00C87C39">
              <w:rPr>
                <w:bCs/>
                <w:szCs w:val="20"/>
              </w:rPr>
              <w:t>главоболие*,</w:t>
            </w:r>
          </w:p>
          <w:p w14:paraId="70C9C2D9" w14:textId="7EEA895C" w:rsidR="009D1FBE" w:rsidRPr="00C87C39" w:rsidRDefault="009D1FBE" w:rsidP="009D1FBE">
            <w:r w:rsidRPr="00C87C39">
              <w:rPr>
                <w:bCs/>
                <w:szCs w:val="20"/>
              </w:rPr>
              <w:t>сомнолент- ност</w:t>
            </w:r>
          </w:p>
        </w:tc>
        <w:tc>
          <w:tcPr>
            <w:tcW w:w="1748" w:type="dxa"/>
            <w:vAlign w:val="bottom"/>
          </w:tcPr>
          <w:p w14:paraId="06109FBA" w14:textId="77777777" w:rsidR="009D1FBE" w:rsidRPr="00C87C39" w:rsidRDefault="009D1FBE" w:rsidP="009D1FBE">
            <w:r w:rsidRPr="00C87C39">
              <w:rPr>
                <w:bCs/>
                <w:szCs w:val="20"/>
              </w:rPr>
              <w:t>Тремор,</w:t>
            </w:r>
          </w:p>
          <w:p w14:paraId="46CC52AD" w14:textId="77777777" w:rsidR="009D1FBE" w:rsidRPr="00C87C39" w:rsidRDefault="009D1FBE" w:rsidP="009D1FBE">
            <w:r w:rsidRPr="00C87C39">
              <w:rPr>
                <w:bCs/>
                <w:szCs w:val="20"/>
              </w:rPr>
              <w:t>двигателни</w:t>
            </w:r>
          </w:p>
          <w:p w14:paraId="0744ED64" w14:textId="278C81DA" w:rsidR="009D1FBE" w:rsidRPr="00C87C39" w:rsidRDefault="009D1FBE" w:rsidP="009D1FBE">
            <w:r w:rsidRPr="00C87C39">
              <w:rPr>
                <w:bCs/>
                <w:szCs w:val="20"/>
              </w:rPr>
              <w:t>нарушения, (в това число екстрапирамидни симптоми, като хиперкинезия, повишен мускулен тонус, дистония, скърцане със зъби или нарушения в походката), парестезия*, хипертония*, нарушено внимание, дисгеузия.</w:t>
            </w:r>
          </w:p>
        </w:tc>
        <w:tc>
          <w:tcPr>
            <w:tcW w:w="1733" w:type="dxa"/>
            <w:vAlign w:val="bottom"/>
          </w:tcPr>
          <w:p w14:paraId="2F455943" w14:textId="77777777" w:rsidR="009D1FBE" w:rsidRPr="00C87C39" w:rsidRDefault="009D1FBE" w:rsidP="009D1FBE">
            <w:r w:rsidRPr="00C87C39">
              <w:rPr>
                <w:bCs/>
                <w:szCs w:val="20"/>
              </w:rPr>
              <w:t>Амнезия,</w:t>
            </w:r>
          </w:p>
          <w:p w14:paraId="127E26AD" w14:textId="77777777" w:rsidR="009D1FBE" w:rsidRPr="00C87C39" w:rsidRDefault="009D1FBE" w:rsidP="009D1FBE">
            <w:r w:rsidRPr="00C87C39">
              <w:rPr>
                <w:bCs/>
                <w:szCs w:val="20"/>
              </w:rPr>
              <w:t>хипоестезия*,</w:t>
            </w:r>
          </w:p>
          <w:p w14:paraId="0C9E6B54" w14:textId="77777777" w:rsidR="009D1FBE" w:rsidRPr="00C87C39" w:rsidRDefault="009D1FBE" w:rsidP="009D1FBE">
            <w:r w:rsidRPr="00C87C39">
              <w:rPr>
                <w:bCs/>
                <w:szCs w:val="20"/>
              </w:rPr>
              <w:t>неволеви</w:t>
            </w:r>
          </w:p>
          <w:p w14:paraId="7A53DC6F" w14:textId="34883D00" w:rsidR="009D1FBE" w:rsidRPr="00C87C39" w:rsidRDefault="009D1FBE" w:rsidP="009D1FBE">
            <w:r w:rsidRPr="00C87C39">
              <w:rPr>
                <w:bCs/>
                <w:szCs w:val="20"/>
              </w:rPr>
              <w:t>мускулни съкращения*, синкоп*, хиперкинезия*, мигрена*, конвулсия*, замайване при промяна на позата, нарушена координация, нарушение на речта</w:t>
            </w:r>
          </w:p>
        </w:tc>
        <w:tc>
          <w:tcPr>
            <w:tcW w:w="1742" w:type="dxa"/>
            <w:vAlign w:val="bottom"/>
          </w:tcPr>
          <w:p w14:paraId="797F1CFD" w14:textId="77777777" w:rsidR="009D1FBE" w:rsidRPr="00C87C39" w:rsidRDefault="009D1FBE" w:rsidP="009D1FBE">
            <w:r w:rsidRPr="00C87C39">
              <w:rPr>
                <w:bCs/>
                <w:szCs w:val="20"/>
              </w:rPr>
              <w:t>Кома*, акатазия</w:t>
            </w:r>
          </w:p>
          <w:p w14:paraId="1C8813CB" w14:textId="77777777" w:rsidR="009D1FBE" w:rsidRPr="00C87C39" w:rsidRDefault="009D1FBE" w:rsidP="009D1FBE">
            <w:r w:rsidRPr="00C87C39">
              <w:rPr>
                <w:bCs/>
                <w:szCs w:val="20"/>
              </w:rPr>
              <w:t>(вж.т.4.4),</w:t>
            </w:r>
          </w:p>
          <w:p w14:paraId="70775E58" w14:textId="77777777" w:rsidR="009D1FBE" w:rsidRPr="00C87C39" w:rsidRDefault="009D1FBE" w:rsidP="009D1FBE">
            <w:r w:rsidRPr="00C87C39">
              <w:rPr>
                <w:bCs/>
                <w:szCs w:val="20"/>
              </w:rPr>
              <w:t>дискинезия, хиперестезия, мозъчносъдов спазъм (включително обратим церебрален вазоконстриктивен синдром и на Кол- Флеминг)*§, психомоторна възбуда, хореоатетоза§, .съобщавани са също признаци и симптоми, свързани със серотонинов синдром* или невролептичен малигнен синдром: в някои случаи свързани с едновременното приложение на серотонинергични лекарства, които са включвали възбуда</w:t>
            </w:r>
            <w:r w:rsidRPr="00C87C39">
              <w:rPr>
                <w:bCs/>
                <w:szCs w:val="20"/>
                <w:u w:val="single"/>
              </w:rPr>
              <w:t>,</w:t>
            </w:r>
          </w:p>
          <w:p w14:paraId="2E6B379A" w14:textId="77777777" w:rsidR="009D1FBE" w:rsidRPr="00C87C39" w:rsidRDefault="009D1FBE" w:rsidP="009D1FBE">
            <w:r w:rsidRPr="00C87C39">
              <w:rPr>
                <w:bCs/>
                <w:szCs w:val="20"/>
              </w:rPr>
              <w:t>обърканост, диафореза, диария, висока</w:t>
            </w:r>
          </w:p>
          <w:p w14:paraId="7E3C769F" w14:textId="6240DC7F" w:rsidR="009D1FBE" w:rsidRPr="00C87C39" w:rsidRDefault="009D1FBE" w:rsidP="009D1FBE">
            <w:r w:rsidRPr="00C87C39">
              <w:rPr>
                <w:bCs/>
                <w:szCs w:val="20"/>
              </w:rPr>
              <w:t xml:space="preserve">температура, хипертония, </w:t>
            </w:r>
            <w:r w:rsidRPr="00C87C39">
              <w:rPr>
                <w:bCs/>
                <w:szCs w:val="20"/>
              </w:rPr>
              <w:lastRenderedPageBreak/>
              <w:t>ригидност и тахикардия §</w:t>
            </w:r>
          </w:p>
        </w:tc>
        <w:tc>
          <w:tcPr>
            <w:tcW w:w="1341" w:type="dxa"/>
          </w:tcPr>
          <w:p w14:paraId="709FABF8" w14:textId="77777777" w:rsidR="009D1FBE" w:rsidRPr="00C87C39" w:rsidRDefault="009D1FBE" w:rsidP="009D1FBE"/>
        </w:tc>
      </w:tr>
      <w:tr w:rsidR="009D1FBE" w:rsidRPr="00C87C39" w14:paraId="24DFC0A4" w14:textId="77777777" w:rsidTr="009D1FBE">
        <w:tc>
          <w:tcPr>
            <w:tcW w:w="1536" w:type="dxa"/>
          </w:tcPr>
          <w:p w14:paraId="1069EE6F" w14:textId="472E6FA5" w:rsidR="009D1FBE" w:rsidRPr="00C87C39" w:rsidRDefault="009D1FBE" w:rsidP="009D1FBE">
            <w:r w:rsidRPr="00C87C39">
              <w:rPr>
                <w:bCs/>
                <w:szCs w:val="20"/>
              </w:rPr>
              <w:lastRenderedPageBreak/>
              <w:t>Нарушения на очите</w:t>
            </w:r>
          </w:p>
        </w:tc>
        <w:tc>
          <w:tcPr>
            <w:tcW w:w="1250" w:type="dxa"/>
          </w:tcPr>
          <w:p w14:paraId="4AECC98D" w14:textId="77777777" w:rsidR="009D1FBE" w:rsidRPr="00C87C39" w:rsidRDefault="009D1FBE" w:rsidP="009D1FBE"/>
        </w:tc>
        <w:tc>
          <w:tcPr>
            <w:tcW w:w="1748" w:type="dxa"/>
          </w:tcPr>
          <w:p w14:paraId="78FD0D05" w14:textId="5B7DDC24" w:rsidR="009D1FBE" w:rsidRPr="00C87C39" w:rsidRDefault="009D1FBE" w:rsidP="009D1FBE">
            <w:r w:rsidRPr="00C87C39">
              <w:rPr>
                <w:bCs/>
                <w:szCs w:val="20"/>
              </w:rPr>
              <w:t>Зрително нарушение*</w:t>
            </w:r>
          </w:p>
        </w:tc>
        <w:tc>
          <w:tcPr>
            <w:tcW w:w="1733" w:type="dxa"/>
          </w:tcPr>
          <w:p w14:paraId="1EE9811D" w14:textId="06732AB2" w:rsidR="009D1FBE" w:rsidRPr="00C87C39" w:rsidRDefault="009D1FBE" w:rsidP="009D1FBE">
            <w:r w:rsidRPr="00C87C39">
              <w:rPr>
                <w:bCs/>
                <w:szCs w:val="20"/>
              </w:rPr>
              <w:t>Мидриаза*</w:t>
            </w:r>
          </w:p>
        </w:tc>
        <w:tc>
          <w:tcPr>
            <w:tcW w:w="1742" w:type="dxa"/>
            <w:vAlign w:val="bottom"/>
          </w:tcPr>
          <w:p w14:paraId="7F0AF898" w14:textId="0B39AB6F" w:rsidR="009D1FBE" w:rsidRPr="00C87C39" w:rsidRDefault="009D1FBE" w:rsidP="009D1FBE">
            <w:r w:rsidRPr="00C87C39">
              <w:rPr>
                <w:bCs/>
                <w:szCs w:val="20"/>
              </w:rPr>
              <w:t>Скотома, глаукома, диплопия, фотофобия, хифемия*§, нееднакви зеници* §, анормално зрение§, нарушена лакримация</w:t>
            </w:r>
          </w:p>
        </w:tc>
        <w:tc>
          <w:tcPr>
            <w:tcW w:w="1341" w:type="dxa"/>
          </w:tcPr>
          <w:p w14:paraId="62EFCEDC" w14:textId="3E7280B7" w:rsidR="009D1FBE" w:rsidRPr="00C87C39" w:rsidRDefault="009D1FBE" w:rsidP="009D1FBE">
            <w:r w:rsidRPr="00C87C39">
              <w:rPr>
                <w:bCs/>
                <w:szCs w:val="20"/>
              </w:rPr>
              <w:t>Макулопатия</w:t>
            </w:r>
          </w:p>
        </w:tc>
      </w:tr>
      <w:tr w:rsidR="009D1FBE" w:rsidRPr="00C87C39" w14:paraId="482BA9A2" w14:textId="77777777" w:rsidTr="009D1FBE">
        <w:tc>
          <w:tcPr>
            <w:tcW w:w="1536" w:type="dxa"/>
            <w:vAlign w:val="bottom"/>
          </w:tcPr>
          <w:p w14:paraId="36EE0A94" w14:textId="49C0B995" w:rsidR="009D1FBE" w:rsidRPr="00C87C39" w:rsidRDefault="009D1FBE" w:rsidP="009D1FBE">
            <w:r w:rsidRPr="00C87C39">
              <w:rPr>
                <w:bCs/>
                <w:szCs w:val="20"/>
              </w:rPr>
              <w:t>Нарушения на ухото и лабиринта</w:t>
            </w:r>
          </w:p>
        </w:tc>
        <w:tc>
          <w:tcPr>
            <w:tcW w:w="1250" w:type="dxa"/>
          </w:tcPr>
          <w:p w14:paraId="65188FAD" w14:textId="77777777" w:rsidR="009D1FBE" w:rsidRPr="00C87C39" w:rsidRDefault="009D1FBE" w:rsidP="009D1FBE"/>
        </w:tc>
        <w:tc>
          <w:tcPr>
            <w:tcW w:w="1748" w:type="dxa"/>
          </w:tcPr>
          <w:p w14:paraId="7A4CDDB9" w14:textId="019C5F73" w:rsidR="009D1FBE" w:rsidRPr="00C87C39" w:rsidRDefault="009D1FBE" w:rsidP="009D1FBE">
            <w:r w:rsidRPr="00C87C39">
              <w:rPr>
                <w:bCs/>
                <w:szCs w:val="20"/>
              </w:rPr>
              <w:t>Тинитус*</w:t>
            </w:r>
          </w:p>
        </w:tc>
        <w:tc>
          <w:tcPr>
            <w:tcW w:w="1733" w:type="dxa"/>
          </w:tcPr>
          <w:p w14:paraId="71E30867" w14:textId="67067BD8" w:rsidR="009D1FBE" w:rsidRPr="00C87C39" w:rsidRDefault="009D1FBE" w:rsidP="009D1FBE">
            <w:r w:rsidRPr="00C87C39">
              <w:rPr>
                <w:bCs/>
                <w:szCs w:val="20"/>
              </w:rPr>
              <w:t>Болка в ухото</w:t>
            </w:r>
          </w:p>
        </w:tc>
        <w:tc>
          <w:tcPr>
            <w:tcW w:w="1742" w:type="dxa"/>
          </w:tcPr>
          <w:p w14:paraId="2DC63D8C" w14:textId="77777777" w:rsidR="009D1FBE" w:rsidRPr="00C87C39" w:rsidRDefault="009D1FBE" w:rsidP="009D1FBE"/>
        </w:tc>
        <w:tc>
          <w:tcPr>
            <w:tcW w:w="1341" w:type="dxa"/>
          </w:tcPr>
          <w:p w14:paraId="2933ED84" w14:textId="77777777" w:rsidR="009D1FBE" w:rsidRPr="00C87C39" w:rsidRDefault="009D1FBE" w:rsidP="009D1FBE"/>
        </w:tc>
      </w:tr>
      <w:tr w:rsidR="009D1FBE" w:rsidRPr="00C87C39" w14:paraId="793B0FA1" w14:textId="77777777" w:rsidTr="009D1FBE">
        <w:tc>
          <w:tcPr>
            <w:tcW w:w="1536" w:type="dxa"/>
          </w:tcPr>
          <w:p w14:paraId="4E178D08" w14:textId="7EC9E8BB" w:rsidR="009D1FBE" w:rsidRPr="00C87C39" w:rsidRDefault="009D1FBE" w:rsidP="009D1FBE">
            <w:r w:rsidRPr="00C87C39">
              <w:rPr>
                <w:bCs/>
                <w:szCs w:val="20"/>
              </w:rPr>
              <w:t>Сърдечни нарушения</w:t>
            </w:r>
          </w:p>
        </w:tc>
        <w:tc>
          <w:tcPr>
            <w:tcW w:w="1250" w:type="dxa"/>
          </w:tcPr>
          <w:p w14:paraId="788A5C4C" w14:textId="77777777" w:rsidR="009D1FBE" w:rsidRPr="00C87C39" w:rsidRDefault="009D1FBE" w:rsidP="009D1FBE"/>
        </w:tc>
        <w:tc>
          <w:tcPr>
            <w:tcW w:w="1748" w:type="dxa"/>
          </w:tcPr>
          <w:p w14:paraId="6F03BB21" w14:textId="22F23C61" w:rsidR="009D1FBE" w:rsidRPr="00C87C39" w:rsidRDefault="009D1FBE" w:rsidP="009D1FBE">
            <w:r w:rsidRPr="00C87C39">
              <w:rPr>
                <w:bCs/>
                <w:szCs w:val="20"/>
              </w:rPr>
              <w:t>Палпитации*</w:t>
            </w:r>
          </w:p>
        </w:tc>
        <w:tc>
          <w:tcPr>
            <w:tcW w:w="1733" w:type="dxa"/>
          </w:tcPr>
          <w:p w14:paraId="7D2ED400" w14:textId="42032530" w:rsidR="009D1FBE" w:rsidRPr="00C87C39" w:rsidRDefault="009D1FBE" w:rsidP="009D1FBE">
            <w:r w:rsidRPr="00C87C39">
              <w:rPr>
                <w:bCs/>
                <w:szCs w:val="20"/>
              </w:rPr>
              <w:t>Тахикардия*, сърдечни нарушения</w:t>
            </w:r>
          </w:p>
        </w:tc>
        <w:tc>
          <w:tcPr>
            <w:tcW w:w="1742" w:type="dxa"/>
          </w:tcPr>
          <w:p w14:paraId="0887FD50" w14:textId="0DB67503" w:rsidR="009D1FBE" w:rsidRPr="00C87C39" w:rsidRDefault="009D1FBE" w:rsidP="009D1FBE">
            <w:r w:rsidRPr="00C87C39">
              <w:rPr>
                <w:bCs/>
                <w:szCs w:val="20"/>
              </w:rPr>
              <w:t xml:space="preserve">Миокарден инфаркт*§, </w:t>
            </w:r>
            <w:r w:rsidRPr="00C87C39">
              <w:rPr>
                <w:bCs/>
                <w:szCs w:val="20"/>
                <w:lang w:val="en-US"/>
              </w:rPr>
              <w:t>Torsade</w:t>
            </w:r>
            <w:r w:rsidRPr="00C87C39">
              <w:rPr>
                <w:bCs/>
                <w:szCs w:val="20"/>
              </w:rPr>
              <w:t xml:space="preserve"> </w:t>
            </w:r>
            <w:r w:rsidRPr="00C87C39">
              <w:rPr>
                <w:bCs/>
                <w:szCs w:val="20"/>
                <w:lang w:val="en-US"/>
              </w:rPr>
              <w:t>de</w:t>
            </w:r>
            <w:r w:rsidRPr="00C87C39">
              <w:rPr>
                <w:bCs/>
                <w:szCs w:val="20"/>
              </w:rPr>
              <w:t xml:space="preserve"> Ро</w:t>
            </w:r>
            <w:proofErr w:type="spellStart"/>
            <w:r w:rsidRPr="00C87C39">
              <w:rPr>
                <w:bCs/>
                <w:szCs w:val="20"/>
                <w:lang w:val="en-US"/>
              </w:rPr>
              <w:t>intes</w:t>
            </w:r>
            <w:proofErr w:type="spellEnd"/>
            <w:r w:rsidRPr="00C87C39">
              <w:rPr>
                <w:bCs/>
                <w:szCs w:val="20"/>
              </w:rPr>
              <w:t>*§(</w:t>
            </w:r>
            <w:proofErr w:type="spellStart"/>
            <w:r w:rsidRPr="00C87C39">
              <w:rPr>
                <w:bCs/>
                <w:szCs w:val="20"/>
              </w:rPr>
              <w:t>вж</w:t>
            </w:r>
            <w:proofErr w:type="spellEnd"/>
            <w:r w:rsidRPr="00C87C39">
              <w:rPr>
                <w:bCs/>
                <w:szCs w:val="20"/>
              </w:rPr>
              <w:t xml:space="preserve">, точки 4.4 </w:t>
            </w:r>
            <w:r w:rsidRPr="00C87C39">
              <w:rPr>
                <w:bCs/>
                <w:szCs w:val="20"/>
                <w:lang w:val="en-US"/>
              </w:rPr>
              <w:t>and</w:t>
            </w:r>
            <w:r w:rsidRPr="00C87C39">
              <w:rPr>
                <w:bCs/>
                <w:szCs w:val="20"/>
              </w:rPr>
              <w:t xml:space="preserve"> 4.5), брадикардия, удължаване на </w:t>
            </w:r>
            <w:r w:rsidRPr="00C87C39">
              <w:rPr>
                <w:bCs/>
                <w:szCs w:val="20"/>
                <w:lang w:val="en-US"/>
              </w:rPr>
              <w:t>Q</w:t>
            </w:r>
            <w:r w:rsidRPr="00C87C39">
              <w:rPr>
                <w:bCs/>
                <w:szCs w:val="20"/>
              </w:rPr>
              <w:t xml:space="preserve">Тс*(вж, точки 4.4 </w:t>
            </w:r>
            <w:r w:rsidRPr="00C87C39">
              <w:rPr>
                <w:bCs/>
                <w:szCs w:val="20"/>
                <w:lang w:val="en-US"/>
              </w:rPr>
              <w:t>and</w:t>
            </w:r>
            <w:r w:rsidRPr="00C87C39">
              <w:rPr>
                <w:bCs/>
                <w:szCs w:val="20"/>
              </w:rPr>
              <w:t xml:space="preserve"> 4.5)</w:t>
            </w:r>
          </w:p>
        </w:tc>
        <w:tc>
          <w:tcPr>
            <w:tcW w:w="1341" w:type="dxa"/>
          </w:tcPr>
          <w:p w14:paraId="640D9C89" w14:textId="77777777" w:rsidR="009D1FBE" w:rsidRPr="00C87C39" w:rsidRDefault="009D1FBE" w:rsidP="009D1FBE"/>
        </w:tc>
      </w:tr>
      <w:tr w:rsidR="009D1FBE" w:rsidRPr="00C87C39" w14:paraId="0208EF1D" w14:textId="77777777" w:rsidTr="009D1FBE">
        <w:tc>
          <w:tcPr>
            <w:tcW w:w="1536" w:type="dxa"/>
          </w:tcPr>
          <w:p w14:paraId="69D387DA" w14:textId="2BB3AE03" w:rsidR="009D1FBE" w:rsidRPr="00C87C39" w:rsidRDefault="009D1FBE" w:rsidP="009D1FBE">
            <w:r w:rsidRPr="00C87C39">
              <w:rPr>
                <w:bCs/>
                <w:szCs w:val="20"/>
              </w:rPr>
              <w:t>Съдови нарушения</w:t>
            </w:r>
          </w:p>
        </w:tc>
        <w:tc>
          <w:tcPr>
            <w:tcW w:w="1250" w:type="dxa"/>
          </w:tcPr>
          <w:p w14:paraId="730F937A" w14:textId="77777777" w:rsidR="009D1FBE" w:rsidRPr="00C87C39" w:rsidRDefault="009D1FBE" w:rsidP="009D1FBE"/>
        </w:tc>
        <w:tc>
          <w:tcPr>
            <w:tcW w:w="1748" w:type="dxa"/>
          </w:tcPr>
          <w:p w14:paraId="3799B4FE" w14:textId="27276C3A" w:rsidR="009D1FBE" w:rsidRPr="00C87C39" w:rsidRDefault="009D1FBE" w:rsidP="009D1FBE">
            <w:r w:rsidRPr="00C87C39">
              <w:rPr>
                <w:bCs/>
                <w:szCs w:val="20"/>
              </w:rPr>
              <w:t>Горещи вълни*</w:t>
            </w:r>
          </w:p>
        </w:tc>
        <w:tc>
          <w:tcPr>
            <w:tcW w:w="1733" w:type="dxa"/>
            <w:vAlign w:val="bottom"/>
          </w:tcPr>
          <w:p w14:paraId="1EC14FEA" w14:textId="2E6FBD52" w:rsidR="009D1FBE" w:rsidRPr="00C87C39" w:rsidRDefault="009D1FBE" w:rsidP="009D1FBE">
            <w:r w:rsidRPr="00C87C39">
              <w:rPr>
                <w:bCs/>
                <w:szCs w:val="20"/>
              </w:rPr>
              <w:t>Абнормно кървене (като стомашно-чревно кървене)*, хипертония*, зачервяване, хематурия*</w:t>
            </w:r>
          </w:p>
        </w:tc>
        <w:tc>
          <w:tcPr>
            <w:tcW w:w="1742" w:type="dxa"/>
          </w:tcPr>
          <w:p w14:paraId="79237D1A" w14:textId="0FBEBAE0" w:rsidR="009D1FBE" w:rsidRPr="00C87C39" w:rsidRDefault="009D1FBE" w:rsidP="009D1FBE">
            <w:r w:rsidRPr="00C87C39">
              <w:rPr>
                <w:bCs/>
                <w:szCs w:val="20"/>
              </w:rPr>
              <w:t>Периферна исхемия</w:t>
            </w:r>
          </w:p>
        </w:tc>
        <w:tc>
          <w:tcPr>
            <w:tcW w:w="1341" w:type="dxa"/>
          </w:tcPr>
          <w:p w14:paraId="61833804" w14:textId="77777777" w:rsidR="009D1FBE" w:rsidRPr="00C87C39" w:rsidRDefault="009D1FBE" w:rsidP="009D1FBE"/>
        </w:tc>
      </w:tr>
      <w:tr w:rsidR="009D1FBE" w:rsidRPr="00C87C39" w14:paraId="6F9EE12D" w14:textId="77777777" w:rsidTr="009D1FBE">
        <w:tc>
          <w:tcPr>
            <w:tcW w:w="1536" w:type="dxa"/>
          </w:tcPr>
          <w:p w14:paraId="2BC9D01A" w14:textId="2313CCD0" w:rsidR="009D1FBE" w:rsidRPr="00C87C39" w:rsidRDefault="009D1FBE" w:rsidP="009D1FBE">
            <w:r w:rsidRPr="00C87C39">
              <w:rPr>
                <w:bCs/>
                <w:szCs w:val="20"/>
              </w:rPr>
              <w:t>Респираторни, гръдни и медиастинални нарушения</w:t>
            </w:r>
          </w:p>
        </w:tc>
        <w:tc>
          <w:tcPr>
            <w:tcW w:w="1250" w:type="dxa"/>
          </w:tcPr>
          <w:p w14:paraId="7841417F" w14:textId="77777777" w:rsidR="009D1FBE" w:rsidRPr="00C87C39" w:rsidRDefault="009D1FBE" w:rsidP="009D1FBE"/>
        </w:tc>
        <w:tc>
          <w:tcPr>
            <w:tcW w:w="1748" w:type="dxa"/>
          </w:tcPr>
          <w:p w14:paraId="7A7AA3FD" w14:textId="49A50C32" w:rsidR="009D1FBE" w:rsidRPr="00C87C39" w:rsidRDefault="009D1FBE" w:rsidP="009D1FBE">
            <w:r w:rsidRPr="00C87C39">
              <w:rPr>
                <w:bCs/>
                <w:szCs w:val="20"/>
              </w:rPr>
              <w:t>Прозяване*</w:t>
            </w:r>
          </w:p>
        </w:tc>
        <w:tc>
          <w:tcPr>
            <w:tcW w:w="1733" w:type="dxa"/>
          </w:tcPr>
          <w:p w14:paraId="4DF20EAE" w14:textId="5BD1C2B0" w:rsidR="009D1FBE" w:rsidRPr="00C87C39" w:rsidRDefault="009D1FBE" w:rsidP="009D1FBE">
            <w:r w:rsidRPr="00C87C39">
              <w:rPr>
                <w:bCs/>
                <w:szCs w:val="20"/>
              </w:rPr>
              <w:t>Диспнея, епистаксис*, бронхоспазъм *,</w:t>
            </w:r>
          </w:p>
        </w:tc>
        <w:tc>
          <w:tcPr>
            <w:tcW w:w="1742" w:type="dxa"/>
            <w:vAlign w:val="bottom"/>
          </w:tcPr>
          <w:p w14:paraId="5A2A0718" w14:textId="1926C2B1" w:rsidR="009D1FBE" w:rsidRPr="00C87C39" w:rsidRDefault="009D1FBE" w:rsidP="009D1FBE">
            <w:r w:rsidRPr="00C87C39">
              <w:rPr>
                <w:bCs/>
                <w:szCs w:val="20"/>
              </w:rPr>
              <w:t>Хипервентилация, интерстициална белодробна болест*§, ларингоспазъм, дисфония, стридор*§, хиповентилация, хълцане</w:t>
            </w:r>
          </w:p>
        </w:tc>
        <w:tc>
          <w:tcPr>
            <w:tcW w:w="1341" w:type="dxa"/>
          </w:tcPr>
          <w:p w14:paraId="195F146A" w14:textId="77777777" w:rsidR="009D1FBE" w:rsidRPr="00C87C39" w:rsidRDefault="009D1FBE" w:rsidP="009D1FBE"/>
        </w:tc>
      </w:tr>
      <w:tr w:rsidR="009D1FBE" w:rsidRPr="00C87C39" w14:paraId="17EA3183" w14:textId="77777777" w:rsidTr="009D1FBE">
        <w:tc>
          <w:tcPr>
            <w:tcW w:w="1536" w:type="dxa"/>
          </w:tcPr>
          <w:p w14:paraId="3D315DCE" w14:textId="47219334" w:rsidR="009D1FBE" w:rsidRPr="00C87C39" w:rsidRDefault="009D1FBE" w:rsidP="009D1FBE">
            <w:r w:rsidRPr="00C87C39">
              <w:rPr>
                <w:bCs/>
                <w:szCs w:val="20"/>
              </w:rPr>
              <w:t>Стомашно- чревни нарушения</w:t>
            </w:r>
          </w:p>
        </w:tc>
        <w:tc>
          <w:tcPr>
            <w:tcW w:w="1250" w:type="dxa"/>
          </w:tcPr>
          <w:p w14:paraId="29E87563" w14:textId="6E190895" w:rsidR="009D1FBE" w:rsidRPr="00C87C39" w:rsidRDefault="009D1FBE" w:rsidP="009D1FBE">
            <w:r w:rsidRPr="00C87C39">
              <w:rPr>
                <w:bCs/>
                <w:szCs w:val="20"/>
              </w:rPr>
              <w:t xml:space="preserve">Гадене, диария, </w:t>
            </w:r>
            <w:r w:rsidRPr="00C87C39">
              <w:rPr>
                <w:bCs/>
                <w:szCs w:val="20"/>
              </w:rPr>
              <w:lastRenderedPageBreak/>
              <w:t>сухота в устата</w:t>
            </w:r>
          </w:p>
        </w:tc>
        <w:tc>
          <w:tcPr>
            <w:tcW w:w="1748" w:type="dxa"/>
          </w:tcPr>
          <w:p w14:paraId="55EC30BA" w14:textId="516B1C09" w:rsidR="009D1FBE" w:rsidRPr="00C87C39" w:rsidRDefault="009D1FBE" w:rsidP="009D1FBE">
            <w:r w:rsidRPr="00C87C39">
              <w:rPr>
                <w:bCs/>
                <w:szCs w:val="20"/>
              </w:rPr>
              <w:lastRenderedPageBreak/>
              <w:t xml:space="preserve">Диспепсия, запек*, абдоминална </w:t>
            </w:r>
            <w:r w:rsidRPr="00C87C39">
              <w:rPr>
                <w:bCs/>
                <w:szCs w:val="20"/>
              </w:rPr>
              <w:lastRenderedPageBreak/>
              <w:t>болка*, повръщане*, флатуленция</w:t>
            </w:r>
          </w:p>
        </w:tc>
        <w:tc>
          <w:tcPr>
            <w:tcW w:w="1733" w:type="dxa"/>
            <w:vAlign w:val="bottom"/>
          </w:tcPr>
          <w:p w14:paraId="611640A3" w14:textId="151F724B" w:rsidR="009D1FBE" w:rsidRPr="00C87C39" w:rsidRDefault="009D1FBE" w:rsidP="009D1FBE">
            <w:r w:rsidRPr="00C87C39">
              <w:rPr>
                <w:bCs/>
                <w:szCs w:val="20"/>
              </w:rPr>
              <w:lastRenderedPageBreak/>
              <w:t xml:space="preserve">Медена, зъбно нарушение, езофагит, </w:t>
            </w:r>
            <w:r w:rsidRPr="00C87C39">
              <w:rPr>
                <w:bCs/>
                <w:szCs w:val="20"/>
              </w:rPr>
              <w:lastRenderedPageBreak/>
              <w:t>глосит, хемороиди, свръхсекреция на слюнка, дисфагия, еруктация, увреждане на езика</w:t>
            </w:r>
          </w:p>
        </w:tc>
        <w:tc>
          <w:tcPr>
            <w:tcW w:w="1742" w:type="dxa"/>
          </w:tcPr>
          <w:p w14:paraId="2DBA8ABA" w14:textId="727065BC" w:rsidR="009D1FBE" w:rsidRPr="00C87C39" w:rsidRDefault="009D1FBE" w:rsidP="009D1FBE">
            <w:r w:rsidRPr="00C87C39">
              <w:rPr>
                <w:bCs/>
                <w:szCs w:val="20"/>
              </w:rPr>
              <w:lastRenderedPageBreak/>
              <w:t xml:space="preserve">Възпаление на устата, панкреатит* §, </w:t>
            </w:r>
            <w:r w:rsidRPr="00C87C39">
              <w:rPr>
                <w:bCs/>
                <w:szCs w:val="20"/>
              </w:rPr>
              <w:lastRenderedPageBreak/>
              <w:t>хематохезия, разраняване на езика, стоматит</w:t>
            </w:r>
          </w:p>
        </w:tc>
        <w:tc>
          <w:tcPr>
            <w:tcW w:w="1341" w:type="dxa"/>
          </w:tcPr>
          <w:p w14:paraId="6868CF6B" w14:textId="5CFBC9DE" w:rsidR="009D1FBE" w:rsidRPr="00C87C39" w:rsidRDefault="009D1FBE" w:rsidP="009D1FBE">
            <w:r w:rsidRPr="00C87C39">
              <w:rPr>
                <w:bCs/>
                <w:szCs w:val="20"/>
              </w:rPr>
              <w:lastRenderedPageBreak/>
              <w:t>Микроскопски колит</w:t>
            </w:r>
          </w:p>
        </w:tc>
      </w:tr>
      <w:tr w:rsidR="009D1FBE" w:rsidRPr="00C87C39" w14:paraId="58DB0A02" w14:textId="77777777" w:rsidTr="009D1FBE">
        <w:tc>
          <w:tcPr>
            <w:tcW w:w="1536" w:type="dxa"/>
          </w:tcPr>
          <w:p w14:paraId="0E7A28D0" w14:textId="427C2B21" w:rsidR="009D1FBE" w:rsidRPr="00C87C39" w:rsidRDefault="009D1FBE" w:rsidP="009D1FBE">
            <w:r w:rsidRPr="00C87C39">
              <w:rPr>
                <w:bCs/>
                <w:szCs w:val="20"/>
              </w:rPr>
              <w:t>Хепатобилиарни нарушения</w:t>
            </w:r>
          </w:p>
        </w:tc>
        <w:tc>
          <w:tcPr>
            <w:tcW w:w="1250" w:type="dxa"/>
          </w:tcPr>
          <w:p w14:paraId="7F7C6C34" w14:textId="77777777" w:rsidR="009D1FBE" w:rsidRPr="00C87C39" w:rsidRDefault="009D1FBE" w:rsidP="009D1FBE"/>
        </w:tc>
        <w:tc>
          <w:tcPr>
            <w:tcW w:w="1748" w:type="dxa"/>
          </w:tcPr>
          <w:p w14:paraId="63501361" w14:textId="77777777" w:rsidR="009D1FBE" w:rsidRPr="00C87C39" w:rsidRDefault="009D1FBE" w:rsidP="009D1FBE"/>
        </w:tc>
        <w:tc>
          <w:tcPr>
            <w:tcW w:w="1733" w:type="dxa"/>
          </w:tcPr>
          <w:p w14:paraId="12046042" w14:textId="77777777" w:rsidR="009D1FBE" w:rsidRPr="00C87C39" w:rsidRDefault="009D1FBE" w:rsidP="009D1FBE"/>
        </w:tc>
        <w:tc>
          <w:tcPr>
            <w:tcW w:w="1742" w:type="dxa"/>
          </w:tcPr>
          <w:p w14:paraId="4CED8CA8" w14:textId="308F76E4" w:rsidR="009D1FBE" w:rsidRPr="00C87C39" w:rsidRDefault="009D1FBE" w:rsidP="009D1FBE">
            <w:r w:rsidRPr="00C87C39">
              <w:rPr>
                <w:bCs/>
                <w:szCs w:val="20"/>
              </w:rPr>
              <w:t>Нарушена  чернодробна  функция, сериозни чернодробни</w:t>
            </w:r>
          </w:p>
        </w:tc>
        <w:tc>
          <w:tcPr>
            <w:tcW w:w="1341" w:type="dxa"/>
          </w:tcPr>
          <w:p w14:paraId="5039EA36" w14:textId="77777777" w:rsidR="009D1FBE" w:rsidRPr="00C87C39" w:rsidRDefault="009D1FBE" w:rsidP="009D1FBE"/>
        </w:tc>
      </w:tr>
      <w:tr w:rsidR="009D1FBE" w:rsidRPr="00C87C39" w14:paraId="6DF592DB" w14:textId="77777777" w:rsidTr="009D1FBE">
        <w:tc>
          <w:tcPr>
            <w:tcW w:w="1536" w:type="dxa"/>
          </w:tcPr>
          <w:p w14:paraId="661BDA3F" w14:textId="77777777" w:rsidR="009D1FBE" w:rsidRPr="00C87C39" w:rsidRDefault="009D1FBE" w:rsidP="009D1FBE"/>
        </w:tc>
        <w:tc>
          <w:tcPr>
            <w:tcW w:w="1250" w:type="dxa"/>
          </w:tcPr>
          <w:p w14:paraId="559095D3" w14:textId="77777777" w:rsidR="009D1FBE" w:rsidRPr="00C87C39" w:rsidRDefault="009D1FBE" w:rsidP="009D1FBE"/>
        </w:tc>
        <w:tc>
          <w:tcPr>
            <w:tcW w:w="1748" w:type="dxa"/>
          </w:tcPr>
          <w:p w14:paraId="26D0B1EB" w14:textId="77777777" w:rsidR="009D1FBE" w:rsidRPr="00C87C39" w:rsidRDefault="009D1FBE" w:rsidP="009D1FBE"/>
        </w:tc>
        <w:tc>
          <w:tcPr>
            <w:tcW w:w="1733" w:type="dxa"/>
          </w:tcPr>
          <w:p w14:paraId="2F465E49" w14:textId="77777777" w:rsidR="009D1FBE" w:rsidRPr="00C87C39" w:rsidRDefault="009D1FBE" w:rsidP="009D1FBE"/>
        </w:tc>
        <w:tc>
          <w:tcPr>
            <w:tcW w:w="1742" w:type="dxa"/>
            <w:vAlign w:val="bottom"/>
          </w:tcPr>
          <w:p w14:paraId="399BEF29" w14:textId="40102878" w:rsidR="009D1FBE" w:rsidRPr="00C87C39" w:rsidRDefault="009D1FBE" w:rsidP="009D1FBE">
            <w:r w:rsidRPr="00C87C39">
              <w:rPr>
                <w:bCs/>
                <w:szCs w:val="20"/>
              </w:rPr>
              <w:t>събития (включително хепатит, жълтеница и чернодробна недостатъчност)</w:t>
            </w:r>
          </w:p>
        </w:tc>
        <w:tc>
          <w:tcPr>
            <w:tcW w:w="1341" w:type="dxa"/>
          </w:tcPr>
          <w:p w14:paraId="2E32CD2A" w14:textId="77777777" w:rsidR="009D1FBE" w:rsidRPr="00C87C39" w:rsidRDefault="009D1FBE" w:rsidP="009D1FBE"/>
        </w:tc>
      </w:tr>
      <w:tr w:rsidR="009D1FBE" w:rsidRPr="00C87C39" w14:paraId="125C2CBF" w14:textId="77777777" w:rsidTr="009D1FBE">
        <w:tc>
          <w:tcPr>
            <w:tcW w:w="1536" w:type="dxa"/>
          </w:tcPr>
          <w:p w14:paraId="010FCA28" w14:textId="46ED532B" w:rsidR="009D1FBE" w:rsidRPr="00C87C39" w:rsidRDefault="009D1FBE" w:rsidP="009D1FBE">
            <w:r w:rsidRPr="00C87C39">
              <w:rPr>
                <w:bCs/>
                <w:i/>
                <w:iCs/>
                <w:szCs w:val="20"/>
              </w:rPr>
              <w:t>Нарушения на кожата и подкожната тъкан</w:t>
            </w:r>
          </w:p>
        </w:tc>
        <w:tc>
          <w:tcPr>
            <w:tcW w:w="1250" w:type="dxa"/>
          </w:tcPr>
          <w:p w14:paraId="55CB17E7" w14:textId="77777777" w:rsidR="009D1FBE" w:rsidRPr="00C87C39" w:rsidRDefault="009D1FBE" w:rsidP="009D1FBE"/>
        </w:tc>
        <w:tc>
          <w:tcPr>
            <w:tcW w:w="1748" w:type="dxa"/>
          </w:tcPr>
          <w:p w14:paraId="6B60DBAC" w14:textId="199C6EB7" w:rsidR="009D1FBE" w:rsidRPr="00C87C39" w:rsidRDefault="009D1FBE" w:rsidP="009D1FBE">
            <w:r w:rsidRPr="00C87C39">
              <w:rPr>
                <w:bCs/>
                <w:szCs w:val="20"/>
              </w:rPr>
              <w:t>Хиперхидроза, обрив*</w:t>
            </w:r>
          </w:p>
        </w:tc>
        <w:tc>
          <w:tcPr>
            <w:tcW w:w="1733" w:type="dxa"/>
          </w:tcPr>
          <w:p w14:paraId="7DD84A38" w14:textId="21503102" w:rsidR="009D1FBE" w:rsidRPr="00C87C39" w:rsidRDefault="009D1FBE" w:rsidP="009D1FBE">
            <w:r w:rsidRPr="00C87C39">
              <w:rPr>
                <w:bCs/>
                <w:szCs w:val="20"/>
              </w:rPr>
              <w:t>Периорбитален оток*, уртикария*, алопеция*, пруритус*, пурпура*, дерматит, суха кожа, оток на лицето, студена пот</w:t>
            </w:r>
          </w:p>
        </w:tc>
        <w:tc>
          <w:tcPr>
            <w:tcW w:w="1742" w:type="dxa"/>
            <w:vAlign w:val="bottom"/>
          </w:tcPr>
          <w:p w14:paraId="1C74DAFE" w14:textId="77777777" w:rsidR="009D1FBE" w:rsidRPr="00C87C39" w:rsidRDefault="009D1FBE" w:rsidP="009D1FBE">
            <w:r w:rsidRPr="00C87C39">
              <w:rPr>
                <w:bCs/>
                <w:szCs w:val="20"/>
              </w:rPr>
              <w:t xml:space="preserve">Редки случаи на тежки кожни Нежелани реакции </w:t>
            </w:r>
            <w:r w:rsidRPr="00C87C39">
              <w:rPr>
                <w:bCs/>
                <w:szCs w:val="20"/>
                <w:lang w:val="ru-RU"/>
              </w:rPr>
              <w:t>(</w:t>
            </w:r>
            <w:r w:rsidRPr="00C87C39">
              <w:rPr>
                <w:bCs/>
                <w:szCs w:val="20"/>
                <w:lang w:val="en-US"/>
              </w:rPr>
              <w:t>SCAR</w:t>
            </w:r>
            <w:r w:rsidRPr="00C87C39">
              <w:rPr>
                <w:bCs/>
                <w:szCs w:val="20"/>
                <w:lang w:val="ru-RU"/>
              </w:rPr>
              <w:t xml:space="preserve">): </w:t>
            </w:r>
            <w:r w:rsidRPr="00C87C39">
              <w:rPr>
                <w:bCs/>
                <w:szCs w:val="20"/>
              </w:rPr>
              <w:t>напр. синдром н</w:t>
            </w:r>
            <w:r w:rsidRPr="00C87C39">
              <w:rPr>
                <w:bCs/>
                <w:szCs w:val="20"/>
                <w:lang w:val="en-US"/>
              </w:rPr>
              <w:t>a</w:t>
            </w:r>
            <w:r w:rsidRPr="00C87C39">
              <w:rPr>
                <w:bCs/>
                <w:szCs w:val="20"/>
              </w:rPr>
              <w:t xml:space="preserve"> </w:t>
            </w:r>
            <w:r w:rsidRPr="00C87C39">
              <w:rPr>
                <w:bCs/>
                <w:szCs w:val="20"/>
                <w:lang w:val="en-US"/>
              </w:rPr>
              <w:t>Stevens</w:t>
            </w:r>
          </w:p>
          <w:p w14:paraId="6DA4468B" w14:textId="4A01FDC4" w:rsidR="009D1FBE" w:rsidRPr="00C87C39" w:rsidRDefault="009D1FBE" w:rsidP="009D1FBE">
            <w:r w:rsidRPr="00C87C39">
              <w:rPr>
                <w:bCs/>
                <w:szCs w:val="20"/>
                <w:lang w:val="en-US"/>
              </w:rPr>
              <w:t>Johnson</w:t>
            </w:r>
            <w:r w:rsidRPr="00C87C39">
              <w:rPr>
                <w:bCs/>
                <w:szCs w:val="20"/>
                <w:lang w:val="ru-RU"/>
              </w:rPr>
              <w:t xml:space="preserve">* </w:t>
            </w:r>
            <w:r w:rsidRPr="00C87C39">
              <w:rPr>
                <w:bCs/>
                <w:szCs w:val="20"/>
              </w:rPr>
              <w:t>и епидермална некролиза*§, кожна реакция* §, фоточувствител- ност§, ангиоедем, анормална структура на косата, абнормална алергия към кожата, булозен дерматит, фоликуларен обрив</w:t>
            </w:r>
          </w:p>
        </w:tc>
        <w:tc>
          <w:tcPr>
            <w:tcW w:w="1341" w:type="dxa"/>
          </w:tcPr>
          <w:p w14:paraId="52333A9B" w14:textId="77777777" w:rsidR="009D1FBE" w:rsidRPr="00C87C39" w:rsidRDefault="009D1FBE" w:rsidP="009D1FBE"/>
        </w:tc>
      </w:tr>
      <w:tr w:rsidR="009D1FBE" w:rsidRPr="00C87C39" w14:paraId="48495146" w14:textId="77777777" w:rsidTr="009D1FBE">
        <w:tc>
          <w:tcPr>
            <w:tcW w:w="1536" w:type="dxa"/>
          </w:tcPr>
          <w:p w14:paraId="752D4618" w14:textId="49712A95" w:rsidR="009D1FBE" w:rsidRPr="00C87C39" w:rsidRDefault="009D1FBE" w:rsidP="009D1FBE">
            <w:r w:rsidRPr="00C87C39">
              <w:rPr>
                <w:bCs/>
                <w:szCs w:val="20"/>
              </w:rPr>
              <w:lastRenderedPageBreak/>
              <w:t>Нарушения на мускулно- скелетната система и съединителната тъкан</w:t>
            </w:r>
          </w:p>
        </w:tc>
        <w:tc>
          <w:tcPr>
            <w:tcW w:w="1250" w:type="dxa"/>
          </w:tcPr>
          <w:p w14:paraId="64E6F516" w14:textId="77777777" w:rsidR="009D1FBE" w:rsidRPr="00C87C39" w:rsidRDefault="009D1FBE" w:rsidP="009D1FBE"/>
        </w:tc>
        <w:tc>
          <w:tcPr>
            <w:tcW w:w="1748" w:type="dxa"/>
          </w:tcPr>
          <w:p w14:paraId="0B553C44" w14:textId="157B82ED" w:rsidR="009D1FBE" w:rsidRPr="00C87C39" w:rsidRDefault="009D1FBE" w:rsidP="009D1FBE">
            <w:r w:rsidRPr="00C87C39">
              <w:rPr>
                <w:bCs/>
                <w:szCs w:val="20"/>
              </w:rPr>
              <w:t>Болка в гърба, артралгия*, миалгия</w:t>
            </w:r>
          </w:p>
        </w:tc>
        <w:tc>
          <w:tcPr>
            <w:tcW w:w="1733" w:type="dxa"/>
          </w:tcPr>
          <w:p w14:paraId="5FF5A610" w14:textId="3E5A8E0C" w:rsidR="009D1FBE" w:rsidRPr="00C87C39" w:rsidRDefault="009D1FBE" w:rsidP="009D1FBE">
            <w:r w:rsidRPr="00C87C39">
              <w:rPr>
                <w:bCs/>
                <w:szCs w:val="20"/>
              </w:rPr>
              <w:t>Остеоартрит, мускулни потрепвания, мускулни крампи, мускулна слабост</w:t>
            </w:r>
          </w:p>
        </w:tc>
        <w:tc>
          <w:tcPr>
            <w:tcW w:w="1742" w:type="dxa"/>
          </w:tcPr>
          <w:p w14:paraId="6DF097D7" w14:textId="330834EE" w:rsidR="009D1FBE" w:rsidRPr="00C87C39" w:rsidRDefault="009D1FBE" w:rsidP="009D1FBE">
            <w:r w:rsidRPr="00C87C39">
              <w:rPr>
                <w:bCs/>
                <w:szCs w:val="20"/>
              </w:rPr>
              <w:t>Рабдомиолиза* §, костни нарушения,</w:t>
            </w:r>
          </w:p>
        </w:tc>
        <w:tc>
          <w:tcPr>
            <w:tcW w:w="1341" w:type="dxa"/>
          </w:tcPr>
          <w:p w14:paraId="41FDFFC0" w14:textId="5CE36EBE" w:rsidR="009D1FBE" w:rsidRPr="00C87C39" w:rsidRDefault="009D1FBE" w:rsidP="009D1FBE">
            <w:r w:rsidRPr="00C87C39">
              <w:rPr>
                <w:bCs/>
                <w:szCs w:val="20"/>
              </w:rPr>
              <w:t>Тризмус</w:t>
            </w:r>
          </w:p>
        </w:tc>
      </w:tr>
      <w:tr w:rsidR="009D1FBE" w:rsidRPr="00C87C39" w14:paraId="4448EB7B" w14:textId="77777777" w:rsidTr="009D1FBE">
        <w:tc>
          <w:tcPr>
            <w:tcW w:w="1536" w:type="dxa"/>
          </w:tcPr>
          <w:p w14:paraId="3FBFD32E" w14:textId="1C1C5886" w:rsidR="009D1FBE" w:rsidRPr="00C87C39" w:rsidRDefault="009D1FBE" w:rsidP="009D1FBE">
            <w:r w:rsidRPr="00C87C39">
              <w:rPr>
                <w:bCs/>
                <w:szCs w:val="20"/>
              </w:rPr>
              <w:t>Нарушения на бъбреците и пикочните пътища</w:t>
            </w:r>
          </w:p>
        </w:tc>
        <w:tc>
          <w:tcPr>
            <w:tcW w:w="1250" w:type="dxa"/>
          </w:tcPr>
          <w:p w14:paraId="3D156301" w14:textId="77777777" w:rsidR="009D1FBE" w:rsidRPr="00C87C39" w:rsidRDefault="009D1FBE" w:rsidP="009D1FBE"/>
        </w:tc>
        <w:tc>
          <w:tcPr>
            <w:tcW w:w="1748" w:type="dxa"/>
          </w:tcPr>
          <w:p w14:paraId="7883E84A" w14:textId="77777777" w:rsidR="009D1FBE" w:rsidRPr="00C87C39" w:rsidRDefault="009D1FBE" w:rsidP="009D1FBE"/>
        </w:tc>
        <w:tc>
          <w:tcPr>
            <w:tcW w:w="1733" w:type="dxa"/>
            <w:vAlign w:val="bottom"/>
          </w:tcPr>
          <w:p w14:paraId="7773514C" w14:textId="067CDCEF" w:rsidR="009D1FBE" w:rsidRPr="00C87C39" w:rsidRDefault="009D1FBE" w:rsidP="009D1FBE">
            <w:r w:rsidRPr="00C87C39">
              <w:rPr>
                <w:bCs/>
                <w:szCs w:val="20"/>
              </w:rPr>
              <w:t>Полакиурия, микционни нарушения, ретенция на урина, уринарна инконтиненция *, полиурия, ноктурия</w:t>
            </w:r>
          </w:p>
        </w:tc>
        <w:tc>
          <w:tcPr>
            <w:tcW w:w="1742" w:type="dxa"/>
          </w:tcPr>
          <w:p w14:paraId="1E02B88A" w14:textId="7F345E8A" w:rsidR="009D1FBE" w:rsidRPr="00C87C39" w:rsidRDefault="009D1FBE" w:rsidP="009D1FBE">
            <w:r w:rsidRPr="00C87C39">
              <w:rPr>
                <w:bCs/>
                <w:szCs w:val="20"/>
              </w:rPr>
              <w:t>Уринарно колебание*, олигурия</w:t>
            </w:r>
          </w:p>
        </w:tc>
        <w:tc>
          <w:tcPr>
            <w:tcW w:w="1341" w:type="dxa"/>
          </w:tcPr>
          <w:p w14:paraId="696E3735" w14:textId="77777777" w:rsidR="009D1FBE" w:rsidRPr="00C87C39" w:rsidRDefault="009D1FBE" w:rsidP="009D1FBE"/>
        </w:tc>
      </w:tr>
      <w:tr w:rsidR="009D1FBE" w:rsidRPr="00C87C39" w14:paraId="1C97E601" w14:textId="77777777" w:rsidTr="009D1FBE">
        <w:tc>
          <w:tcPr>
            <w:tcW w:w="1536" w:type="dxa"/>
          </w:tcPr>
          <w:p w14:paraId="3C7EB7DC" w14:textId="171BCA4C" w:rsidR="009D1FBE" w:rsidRPr="00C87C39" w:rsidRDefault="009D1FBE" w:rsidP="009D1FBE">
            <w:r w:rsidRPr="00C87C39">
              <w:rPr>
                <w:bCs/>
                <w:szCs w:val="20"/>
              </w:rPr>
              <w:t>Нарушения на възпроизводите лната система и гърдата</w:t>
            </w:r>
          </w:p>
        </w:tc>
        <w:tc>
          <w:tcPr>
            <w:tcW w:w="1250" w:type="dxa"/>
          </w:tcPr>
          <w:p w14:paraId="64603528" w14:textId="202C8A52" w:rsidR="009D1FBE" w:rsidRPr="00C87C39" w:rsidRDefault="009D1FBE" w:rsidP="009D1FBE">
            <w:r w:rsidRPr="00C87C39">
              <w:rPr>
                <w:bCs/>
                <w:szCs w:val="20"/>
              </w:rPr>
              <w:t>Липса на еякулация</w:t>
            </w:r>
          </w:p>
        </w:tc>
        <w:tc>
          <w:tcPr>
            <w:tcW w:w="1748" w:type="dxa"/>
          </w:tcPr>
          <w:p w14:paraId="59E42F40" w14:textId="67C334EB" w:rsidR="009D1FBE" w:rsidRPr="00C87C39" w:rsidRDefault="009D1FBE" w:rsidP="009D1FBE">
            <w:r w:rsidRPr="00C87C39">
              <w:rPr>
                <w:bCs/>
                <w:szCs w:val="20"/>
              </w:rPr>
              <w:t>Нередовна менструация*, еректилна дисфункция</w:t>
            </w:r>
          </w:p>
        </w:tc>
        <w:tc>
          <w:tcPr>
            <w:tcW w:w="1733" w:type="dxa"/>
            <w:vAlign w:val="bottom"/>
          </w:tcPr>
          <w:p w14:paraId="21F57D6C" w14:textId="46D20000" w:rsidR="009D1FBE" w:rsidRPr="00C87C39" w:rsidRDefault="009D1FBE" w:rsidP="009D1FBE">
            <w:r w:rsidRPr="00C87C39">
              <w:rPr>
                <w:bCs/>
                <w:szCs w:val="20"/>
              </w:rPr>
              <w:t>Сексуална дисфункция, менорагия, вагинален кръвоизлив, женска сексуална дисфункция</w:t>
            </w:r>
          </w:p>
        </w:tc>
        <w:tc>
          <w:tcPr>
            <w:tcW w:w="1742" w:type="dxa"/>
            <w:vAlign w:val="bottom"/>
          </w:tcPr>
          <w:p w14:paraId="61D96389" w14:textId="0156D7AC" w:rsidR="009D1FBE" w:rsidRPr="00C87C39" w:rsidRDefault="009D1FBE" w:rsidP="009D1FBE">
            <w:r w:rsidRPr="00C87C39">
              <w:rPr>
                <w:bCs/>
                <w:szCs w:val="20"/>
              </w:rPr>
              <w:t>Галакторея*, атрофичен вулвовагинит, генитален секрет, баланопостит*§, гинекомастия*, приапизъм*</w:t>
            </w:r>
          </w:p>
        </w:tc>
        <w:tc>
          <w:tcPr>
            <w:tcW w:w="1341" w:type="dxa"/>
          </w:tcPr>
          <w:p w14:paraId="6BCC6DA9" w14:textId="7B9C8286" w:rsidR="009D1FBE" w:rsidRPr="00C87C39" w:rsidRDefault="009D1FBE" w:rsidP="009D1FBE">
            <w:r w:rsidRPr="00C87C39">
              <w:rPr>
                <w:bCs/>
                <w:szCs w:val="20"/>
              </w:rPr>
              <w:t>Послеродово кръвотечение **</w:t>
            </w:r>
          </w:p>
        </w:tc>
      </w:tr>
      <w:tr w:rsidR="009D1FBE" w:rsidRPr="00C87C39" w14:paraId="0F9B1BE2" w14:textId="77777777" w:rsidTr="009D1FBE">
        <w:tc>
          <w:tcPr>
            <w:tcW w:w="1536" w:type="dxa"/>
            <w:vAlign w:val="bottom"/>
          </w:tcPr>
          <w:p w14:paraId="0A5F86B7" w14:textId="3E4852DB" w:rsidR="009D1FBE" w:rsidRPr="00C87C39" w:rsidRDefault="009D1FBE" w:rsidP="009D1FBE">
            <w:r w:rsidRPr="00C87C39">
              <w:rPr>
                <w:bCs/>
                <w:szCs w:val="20"/>
              </w:rPr>
              <w:t>Общи нарушения и ефекти на мястото на приложение</w:t>
            </w:r>
          </w:p>
        </w:tc>
        <w:tc>
          <w:tcPr>
            <w:tcW w:w="1250" w:type="dxa"/>
          </w:tcPr>
          <w:p w14:paraId="0DBFBF80" w14:textId="779F6A74" w:rsidR="009D1FBE" w:rsidRPr="00C87C39" w:rsidRDefault="009D1FBE" w:rsidP="009D1FBE">
            <w:r w:rsidRPr="00C87C39">
              <w:rPr>
                <w:bCs/>
                <w:szCs w:val="20"/>
              </w:rPr>
              <w:t>Умора*</w:t>
            </w:r>
          </w:p>
        </w:tc>
        <w:tc>
          <w:tcPr>
            <w:tcW w:w="1748" w:type="dxa"/>
          </w:tcPr>
          <w:p w14:paraId="10223AA4" w14:textId="39C3EE9C" w:rsidR="009D1FBE" w:rsidRPr="00C87C39" w:rsidRDefault="009D1FBE" w:rsidP="009D1FBE">
            <w:r w:rsidRPr="00C87C39">
              <w:rPr>
                <w:bCs/>
                <w:szCs w:val="20"/>
              </w:rPr>
              <w:t>Неразположение*, болка в гърдите*, астения*, пирексия*</w:t>
            </w:r>
          </w:p>
        </w:tc>
        <w:tc>
          <w:tcPr>
            <w:tcW w:w="1733" w:type="dxa"/>
            <w:vAlign w:val="bottom"/>
          </w:tcPr>
          <w:p w14:paraId="0C304E58" w14:textId="2CA5A3ED" w:rsidR="009D1FBE" w:rsidRPr="00C87C39" w:rsidRDefault="009D1FBE" w:rsidP="009D1FBE">
            <w:r w:rsidRPr="00C87C39">
              <w:rPr>
                <w:bCs/>
                <w:szCs w:val="20"/>
              </w:rPr>
              <w:t>Периферен оток*, втрисане, нарушение на походката*, жажда</w:t>
            </w:r>
          </w:p>
        </w:tc>
        <w:tc>
          <w:tcPr>
            <w:tcW w:w="1742" w:type="dxa"/>
          </w:tcPr>
          <w:p w14:paraId="343A3241" w14:textId="698E78FC" w:rsidR="009D1FBE" w:rsidRPr="00C87C39" w:rsidRDefault="009D1FBE" w:rsidP="009D1FBE">
            <w:r w:rsidRPr="00C87C39">
              <w:rPr>
                <w:bCs/>
                <w:szCs w:val="20"/>
              </w:rPr>
              <w:t>Херния, намаляване на лекарствената толерантност</w:t>
            </w:r>
          </w:p>
        </w:tc>
        <w:tc>
          <w:tcPr>
            <w:tcW w:w="1341" w:type="dxa"/>
          </w:tcPr>
          <w:p w14:paraId="37A6A881" w14:textId="77777777" w:rsidR="009D1FBE" w:rsidRPr="00C87C39" w:rsidRDefault="009D1FBE" w:rsidP="009D1FBE"/>
        </w:tc>
      </w:tr>
      <w:tr w:rsidR="009D1FBE" w:rsidRPr="00C87C39" w14:paraId="3DA163C7" w14:textId="77777777" w:rsidTr="009D1FBE">
        <w:trPr>
          <w:trHeight w:val="3238"/>
        </w:trPr>
        <w:tc>
          <w:tcPr>
            <w:tcW w:w="1536" w:type="dxa"/>
          </w:tcPr>
          <w:p w14:paraId="4C89575C" w14:textId="214E67C0" w:rsidR="009D1FBE" w:rsidRPr="00C87C39" w:rsidRDefault="009D1FBE" w:rsidP="009D1FBE">
            <w:r w:rsidRPr="00C87C39">
              <w:rPr>
                <w:bCs/>
                <w:szCs w:val="20"/>
              </w:rPr>
              <w:t>Изследвания</w:t>
            </w:r>
          </w:p>
        </w:tc>
        <w:tc>
          <w:tcPr>
            <w:tcW w:w="1250" w:type="dxa"/>
          </w:tcPr>
          <w:p w14:paraId="4BE94F58" w14:textId="77777777" w:rsidR="009D1FBE" w:rsidRPr="00C87C39" w:rsidRDefault="009D1FBE" w:rsidP="009D1FBE"/>
        </w:tc>
        <w:tc>
          <w:tcPr>
            <w:tcW w:w="1748" w:type="dxa"/>
          </w:tcPr>
          <w:p w14:paraId="5095C486" w14:textId="57EEF36F" w:rsidR="009D1FBE" w:rsidRPr="00C87C39" w:rsidRDefault="009D1FBE" w:rsidP="009D1FBE">
            <w:r w:rsidRPr="00C87C39">
              <w:rPr>
                <w:bCs/>
                <w:szCs w:val="20"/>
              </w:rPr>
              <w:t>Повишено телесно тегло*</w:t>
            </w:r>
          </w:p>
        </w:tc>
        <w:tc>
          <w:tcPr>
            <w:tcW w:w="1733" w:type="dxa"/>
            <w:vAlign w:val="bottom"/>
          </w:tcPr>
          <w:p w14:paraId="63A28201" w14:textId="77777777" w:rsidR="009D1FBE" w:rsidRPr="00C87C39" w:rsidRDefault="009D1FBE" w:rsidP="009D1FBE">
            <w:r w:rsidRPr="00C87C39">
              <w:rPr>
                <w:bCs/>
                <w:szCs w:val="20"/>
              </w:rPr>
              <w:t>Увеличена аланинамино- трансферазата*, увеличена аспартат аминотрансфераза</w:t>
            </w:r>
          </w:p>
          <w:p w14:paraId="1CA1358E" w14:textId="6C625519" w:rsidR="009D1FBE" w:rsidRPr="00C87C39" w:rsidRDefault="009D1FBE" w:rsidP="009D1FBE">
            <w:r w:rsidRPr="00C87C39">
              <w:rPr>
                <w:bCs/>
                <w:szCs w:val="20"/>
              </w:rPr>
              <w:t>*, понижено телесно тегло*,</w:t>
            </w:r>
          </w:p>
        </w:tc>
        <w:tc>
          <w:tcPr>
            <w:tcW w:w="1742" w:type="dxa"/>
            <w:vAlign w:val="bottom"/>
          </w:tcPr>
          <w:p w14:paraId="757959D2" w14:textId="77777777" w:rsidR="009D1FBE" w:rsidRPr="00C87C39" w:rsidRDefault="009D1FBE" w:rsidP="009D1FBE">
            <w:r w:rsidRPr="00C87C39">
              <w:rPr>
                <w:bCs/>
                <w:szCs w:val="20"/>
              </w:rPr>
              <w:t>Повишен— холестерол в кръвта, клинични лабораторни резултати,</w:t>
            </w:r>
          </w:p>
          <w:p w14:paraId="6F903923" w14:textId="4B77D6EF" w:rsidR="009D1FBE" w:rsidRPr="00C87C39" w:rsidRDefault="009D1FBE" w:rsidP="009D1FBE">
            <w:r w:rsidRPr="00C87C39">
              <w:rPr>
                <w:bCs/>
                <w:szCs w:val="20"/>
              </w:rPr>
              <w:t>абнормна сперма, променена тромбоцитна функция*§</w:t>
            </w:r>
          </w:p>
        </w:tc>
        <w:tc>
          <w:tcPr>
            <w:tcW w:w="1341" w:type="dxa"/>
            <w:vAlign w:val="center"/>
          </w:tcPr>
          <w:p w14:paraId="0AECE888" w14:textId="77777777" w:rsidR="009D1FBE" w:rsidRPr="00C87C39" w:rsidRDefault="009D1FBE" w:rsidP="009D1FBE"/>
        </w:tc>
      </w:tr>
      <w:tr w:rsidR="009D1FBE" w:rsidRPr="00C87C39" w14:paraId="6B7B4A88" w14:textId="77777777" w:rsidTr="009D1FBE">
        <w:tc>
          <w:tcPr>
            <w:tcW w:w="1536" w:type="dxa"/>
          </w:tcPr>
          <w:p w14:paraId="778620C0" w14:textId="43E01D10" w:rsidR="009D1FBE" w:rsidRPr="00C87C39" w:rsidRDefault="009D1FBE" w:rsidP="009D1FBE">
            <w:r w:rsidRPr="00C87C39">
              <w:rPr>
                <w:bCs/>
                <w:szCs w:val="20"/>
              </w:rPr>
              <w:t xml:space="preserve">Наранявания и отравяния и усложнения, </w:t>
            </w:r>
            <w:r w:rsidRPr="00C87C39">
              <w:rPr>
                <w:bCs/>
                <w:szCs w:val="20"/>
              </w:rPr>
              <w:lastRenderedPageBreak/>
              <w:t>възникнали в резултатна интервенции</w:t>
            </w:r>
          </w:p>
        </w:tc>
        <w:tc>
          <w:tcPr>
            <w:tcW w:w="1250" w:type="dxa"/>
          </w:tcPr>
          <w:p w14:paraId="6FA36B1F" w14:textId="77777777" w:rsidR="009D1FBE" w:rsidRPr="00C87C39" w:rsidRDefault="009D1FBE" w:rsidP="009D1FBE"/>
        </w:tc>
        <w:tc>
          <w:tcPr>
            <w:tcW w:w="1748" w:type="dxa"/>
          </w:tcPr>
          <w:p w14:paraId="6B516A63" w14:textId="07C7B792" w:rsidR="009D1FBE" w:rsidRPr="00C87C39" w:rsidRDefault="009D1FBE" w:rsidP="009D1FBE">
            <w:r w:rsidRPr="00C87C39">
              <w:rPr>
                <w:bCs/>
                <w:szCs w:val="20"/>
              </w:rPr>
              <w:t>Наранявания</w:t>
            </w:r>
          </w:p>
        </w:tc>
        <w:tc>
          <w:tcPr>
            <w:tcW w:w="1733" w:type="dxa"/>
          </w:tcPr>
          <w:p w14:paraId="2D6B47FC" w14:textId="77777777" w:rsidR="009D1FBE" w:rsidRPr="00C87C39" w:rsidRDefault="009D1FBE" w:rsidP="009D1FBE"/>
        </w:tc>
        <w:tc>
          <w:tcPr>
            <w:tcW w:w="1742" w:type="dxa"/>
          </w:tcPr>
          <w:p w14:paraId="07B5574E" w14:textId="77777777" w:rsidR="009D1FBE" w:rsidRPr="00C87C39" w:rsidRDefault="009D1FBE" w:rsidP="009D1FBE"/>
        </w:tc>
        <w:tc>
          <w:tcPr>
            <w:tcW w:w="1341" w:type="dxa"/>
          </w:tcPr>
          <w:p w14:paraId="52E30D1F" w14:textId="77777777" w:rsidR="009D1FBE" w:rsidRPr="00C87C39" w:rsidRDefault="009D1FBE" w:rsidP="009D1FBE"/>
        </w:tc>
      </w:tr>
      <w:tr w:rsidR="009D1FBE" w:rsidRPr="00C87C39" w14:paraId="100CCFFF" w14:textId="77777777" w:rsidTr="009D1FBE">
        <w:tc>
          <w:tcPr>
            <w:tcW w:w="1536" w:type="dxa"/>
          </w:tcPr>
          <w:p w14:paraId="73E72F4D" w14:textId="13DA1DD4" w:rsidR="009D1FBE" w:rsidRPr="00C87C39" w:rsidRDefault="009D1FBE" w:rsidP="009D1FBE">
            <w:r w:rsidRPr="00C87C39">
              <w:rPr>
                <w:bCs/>
                <w:szCs w:val="20"/>
              </w:rPr>
              <w:t>Хирургическия медицински интервенции</w:t>
            </w:r>
          </w:p>
        </w:tc>
        <w:tc>
          <w:tcPr>
            <w:tcW w:w="1250" w:type="dxa"/>
          </w:tcPr>
          <w:p w14:paraId="070E8C65" w14:textId="77777777" w:rsidR="009D1FBE" w:rsidRPr="00C87C39" w:rsidRDefault="009D1FBE" w:rsidP="009D1FBE"/>
        </w:tc>
        <w:tc>
          <w:tcPr>
            <w:tcW w:w="1748" w:type="dxa"/>
          </w:tcPr>
          <w:p w14:paraId="542CB610" w14:textId="77777777" w:rsidR="009D1FBE" w:rsidRPr="00C87C39" w:rsidRDefault="009D1FBE" w:rsidP="009D1FBE"/>
        </w:tc>
        <w:tc>
          <w:tcPr>
            <w:tcW w:w="1733" w:type="dxa"/>
          </w:tcPr>
          <w:p w14:paraId="52516691" w14:textId="77777777" w:rsidR="009D1FBE" w:rsidRPr="00C87C39" w:rsidRDefault="009D1FBE" w:rsidP="009D1FBE"/>
        </w:tc>
        <w:tc>
          <w:tcPr>
            <w:tcW w:w="1742" w:type="dxa"/>
          </w:tcPr>
          <w:p w14:paraId="17D8B1F4" w14:textId="31B713ED" w:rsidR="009D1FBE" w:rsidRPr="00C87C39" w:rsidRDefault="009D1FBE" w:rsidP="009D1FBE">
            <w:r w:rsidRPr="00C87C39">
              <w:rPr>
                <w:bCs/>
                <w:szCs w:val="20"/>
              </w:rPr>
              <w:t>Вазодилатация</w:t>
            </w:r>
          </w:p>
        </w:tc>
        <w:tc>
          <w:tcPr>
            <w:tcW w:w="1341" w:type="dxa"/>
          </w:tcPr>
          <w:p w14:paraId="6F2F98FB" w14:textId="77777777" w:rsidR="009D1FBE" w:rsidRPr="00C87C39" w:rsidRDefault="009D1FBE" w:rsidP="009D1FBE"/>
        </w:tc>
      </w:tr>
      <w:tr w:rsidR="009D1FBE" w:rsidRPr="00C87C39" w14:paraId="520C3E4F" w14:textId="77777777" w:rsidTr="009D1FBE">
        <w:tc>
          <w:tcPr>
            <w:tcW w:w="9350" w:type="dxa"/>
            <w:gridSpan w:val="6"/>
          </w:tcPr>
          <w:p w14:paraId="10A36E91"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*НЛР, идентифицирани след пускане на пазара</w:t>
            </w:r>
          </w:p>
          <w:p w14:paraId="68D5729C"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§Честотата на НЛР е представена чрез изчисляване на горната граница на 95% доверителен интервал при използване на</w:t>
            </w:r>
            <w:r w:rsidRPr="00C87C39">
              <w:rPr>
                <w:rFonts w:eastAsia="Times New Roman" w:cs="Arial"/>
                <w:bCs/>
                <w:color w:val="000000"/>
                <w:lang w:val="ru-RU"/>
              </w:rPr>
              <w:t xml:space="preserve"> </w:t>
            </w:r>
            <w:r w:rsidRPr="00C87C39">
              <w:rPr>
                <w:rFonts w:eastAsia="Times New Roman" w:cs="Arial"/>
                <w:bCs/>
                <w:color w:val="000000"/>
                <w:lang w:eastAsia="bg-BG"/>
              </w:rPr>
              <w:t>Дравило на трите”</w:t>
            </w:r>
          </w:p>
          <w:p w14:paraId="680990FE" w14:textId="5F9AC4E1" w:rsidR="009D1FBE" w:rsidRPr="00C87C39" w:rsidRDefault="009D1FBE" w:rsidP="009D1FBE">
            <w:pPr>
              <w:rPr>
                <w:rFonts w:cs="Arial"/>
              </w:rPr>
            </w:pPr>
            <w:r w:rsidRPr="00C87C39">
              <w:rPr>
                <w:rFonts w:eastAsia="Times New Roman" w:cs="Arial"/>
                <w:bCs/>
                <w:color w:val="000000"/>
                <w:lang w:eastAsia="bg-BG"/>
              </w:rPr>
              <w:t xml:space="preserve">**Това събитие е съобщавано за класа лекарства </w:t>
            </w:r>
            <w:r w:rsidRPr="00C87C39">
              <w:rPr>
                <w:rFonts w:eastAsia="Times New Roman" w:cs="Arial"/>
                <w:bCs/>
                <w:color w:val="000000"/>
                <w:lang w:val="en-US"/>
              </w:rPr>
              <w:t>SSRI</w:t>
            </w:r>
            <w:r w:rsidRPr="00C87C39">
              <w:rPr>
                <w:rFonts w:eastAsia="Times New Roman" w:cs="Arial"/>
                <w:bCs/>
                <w:color w:val="000000"/>
                <w:lang w:val="ru-RU"/>
              </w:rPr>
              <w:t>/</w:t>
            </w:r>
            <w:r w:rsidRPr="00C87C39">
              <w:rPr>
                <w:rFonts w:eastAsia="Times New Roman" w:cs="Arial"/>
                <w:bCs/>
                <w:color w:val="000000"/>
                <w:lang w:val="en-US"/>
              </w:rPr>
              <w:t>SNRI</w:t>
            </w:r>
            <w:r w:rsidRPr="00C87C39">
              <w:rPr>
                <w:rFonts w:eastAsia="Times New Roman" w:cs="Arial"/>
                <w:bCs/>
                <w:color w:val="000000"/>
                <w:lang w:val="ru-RU"/>
              </w:rPr>
              <w:t xml:space="preserve"> </w:t>
            </w:r>
            <w:r w:rsidRPr="00C87C39">
              <w:rPr>
                <w:rFonts w:eastAsia="Times New Roman" w:cs="Arial"/>
                <w:bCs/>
                <w:color w:val="000000"/>
                <w:lang w:eastAsia="bg-BG"/>
              </w:rPr>
              <w:t>(вж. точки 4.4 и 4.6).</w:t>
            </w:r>
          </w:p>
        </w:tc>
      </w:tr>
    </w:tbl>
    <w:p w14:paraId="26804D77" w14:textId="23288D66" w:rsidR="009D1FBE" w:rsidRPr="00C87C39" w:rsidRDefault="009D1FBE" w:rsidP="0091385D">
      <w:pPr>
        <w:rPr>
          <w:rFonts w:cs="Arial"/>
        </w:rPr>
      </w:pPr>
    </w:p>
    <w:p w14:paraId="2B921999"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u w:val="single"/>
          <w:lang w:eastAsia="bg-BG"/>
        </w:rPr>
        <w:t>Симптоми на отнемане, наблюдавани при спиране на лечението със сертралин</w:t>
      </w:r>
    </w:p>
    <w:p w14:paraId="1EECC199"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Спирането на сертралин (особено когато е внезапно) обикновено води до симптоми на отнемане. Замаяност, сетивни нарушения (включително парестезия), нарушения на съня (включително безсъние и интензивни сънища), възбуда или тревожност, гадене и/или повръщане, тремор и главоболие са най-често съобщавани. По принцип тези събития са леки до средно тежки и са самоограничаващи се; при някои пациенти обаче могат да бъдат тежки и/или продължителни. Следователно, когато лечението със сертралин вече не е наложително, се препоръчва спирането му да става плавно, чрез постепенно намаляване на дозата (вж. точки 4.2 и 4.4).</w:t>
      </w:r>
    </w:p>
    <w:p w14:paraId="06561A8E" w14:textId="77777777" w:rsidR="009D1FBE" w:rsidRPr="00C87C39" w:rsidRDefault="009D1FBE" w:rsidP="009D1FBE">
      <w:pPr>
        <w:spacing w:line="240" w:lineRule="auto"/>
        <w:rPr>
          <w:rFonts w:eastAsia="Times New Roman" w:cs="Arial"/>
          <w:bCs/>
          <w:color w:val="000000"/>
          <w:u w:val="single"/>
          <w:lang w:eastAsia="bg-BG"/>
        </w:rPr>
      </w:pPr>
    </w:p>
    <w:p w14:paraId="7BCBDB34" w14:textId="0DEADE12" w:rsidR="009D1FBE" w:rsidRPr="00C87C39" w:rsidRDefault="009D1FBE" w:rsidP="009D1FBE">
      <w:pPr>
        <w:spacing w:line="240" w:lineRule="auto"/>
        <w:rPr>
          <w:rFonts w:eastAsia="Times New Roman" w:cs="Arial"/>
          <w:lang w:eastAsia="bg-BG"/>
        </w:rPr>
      </w:pPr>
      <w:r w:rsidRPr="00C87C39">
        <w:rPr>
          <w:rFonts w:eastAsia="Times New Roman" w:cs="Arial"/>
          <w:bCs/>
          <w:color w:val="000000"/>
          <w:u w:val="single"/>
          <w:lang w:eastAsia="bg-BG"/>
        </w:rPr>
        <w:t>Липа в старческа възраст</w:t>
      </w:r>
    </w:p>
    <w:p w14:paraId="56A544D0"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val="en-US"/>
        </w:rPr>
        <w:t>SSRI</w:t>
      </w:r>
      <w:r w:rsidRPr="00C87C39">
        <w:rPr>
          <w:rFonts w:eastAsia="Times New Roman" w:cs="Arial"/>
          <w:bCs/>
          <w:color w:val="000000"/>
          <w:lang w:val="ru-RU"/>
        </w:rPr>
        <w:t xml:space="preserve"> </w:t>
      </w:r>
      <w:r w:rsidRPr="00C87C39">
        <w:rPr>
          <w:rFonts w:eastAsia="Times New Roman" w:cs="Arial"/>
          <w:bCs/>
          <w:color w:val="000000"/>
          <w:lang w:eastAsia="bg-BG"/>
        </w:rPr>
        <w:t xml:space="preserve">или </w:t>
      </w:r>
      <w:r w:rsidRPr="00C87C39">
        <w:rPr>
          <w:rFonts w:eastAsia="Times New Roman" w:cs="Arial"/>
          <w:bCs/>
          <w:color w:val="000000"/>
          <w:lang w:val="en-US"/>
        </w:rPr>
        <w:t>SNRI</w:t>
      </w:r>
      <w:r w:rsidRPr="00C87C39">
        <w:rPr>
          <w:rFonts w:eastAsia="Times New Roman" w:cs="Arial"/>
          <w:bCs/>
          <w:color w:val="000000"/>
          <w:lang w:val="ru-RU"/>
        </w:rPr>
        <w:t xml:space="preserve">, </w:t>
      </w:r>
      <w:r w:rsidRPr="00C87C39">
        <w:rPr>
          <w:rFonts w:eastAsia="Times New Roman" w:cs="Arial"/>
          <w:bCs/>
          <w:color w:val="000000"/>
          <w:lang w:eastAsia="bg-BG"/>
        </w:rPr>
        <w:t>включително сертралин, са били асоциирани със случаи на клинично значима хипонатриемия при пациенти в старческа възраст, които е възможно да са изложени на по-висок риск от това нежелано събитие (вж. точка 4.4).</w:t>
      </w:r>
    </w:p>
    <w:p w14:paraId="3BBE485D" w14:textId="77777777" w:rsidR="009D1FBE" w:rsidRPr="00C87C39" w:rsidRDefault="009D1FBE" w:rsidP="009D1FBE">
      <w:pPr>
        <w:spacing w:line="240" w:lineRule="auto"/>
        <w:rPr>
          <w:rFonts w:eastAsia="Times New Roman" w:cs="Arial"/>
          <w:bCs/>
          <w:color w:val="000000"/>
          <w:u w:val="single"/>
          <w:lang w:eastAsia="bg-BG"/>
        </w:rPr>
      </w:pPr>
    </w:p>
    <w:p w14:paraId="1D4DC132" w14:textId="2B17665A" w:rsidR="009D1FBE" w:rsidRPr="00C87C39" w:rsidRDefault="009D1FBE" w:rsidP="009D1FBE">
      <w:pPr>
        <w:spacing w:line="240" w:lineRule="auto"/>
        <w:rPr>
          <w:rFonts w:eastAsia="Times New Roman" w:cs="Arial"/>
          <w:lang w:eastAsia="bg-BG"/>
        </w:rPr>
      </w:pPr>
      <w:r w:rsidRPr="00C87C39">
        <w:rPr>
          <w:rFonts w:eastAsia="Times New Roman" w:cs="Arial"/>
          <w:bCs/>
          <w:color w:val="000000"/>
          <w:u w:val="single"/>
          <w:lang w:eastAsia="bg-BG"/>
        </w:rPr>
        <w:t>Педиатрична популация</w:t>
      </w:r>
    </w:p>
    <w:p w14:paraId="4AF968A4"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При повече от 600 педиатрични пациенти, лекувани със сертралин, общият профил на нежелани реакции като цяло е бил подобен на наблюдавания в проучванията при възрастни. Следните нежелани реакции са били съобщени от контролирани проучвания (</w:t>
      </w:r>
      <w:r w:rsidRPr="00C87C39">
        <w:rPr>
          <w:rFonts w:eastAsia="Times New Roman" w:cs="Arial"/>
          <w:bCs/>
          <w:color w:val="000000"/>
          <w:lang w:val="en-US"/>
        </w:rPr>
        <w:t>n</w:t>
      </w:r>
      <w:r w:rsidRPr="00C87C39">
        <w:rPr>
          <w:rFonts w:eastAsia="Times New Roman" w:cs="Arial"/>
          <w:bCs/>
          <w:color w:val="000000"/>
          <w:lang w:eastAsia="bg-BG"/>
        </w:rPr>
        <w:t>=281 пациенти, лекувани със сертралин):</w:t>
      </w:r>
    </w:p>
    <w:p w14:paraId="40CA4720" w14:textId="77777777" w:rsidR="009D1FBE" w:rsidRPr="00C87C39" w:rsidRDefault="009D1FBE" w:rsidP="009D1FBE">
      <w:pPr>
        <w:spacing w:line="240" w:lineRule="auto"/>
        <w:rPr>
          <w:rFonts w:eastAsia="Times New Roman" w:cs="Arial"/>
          <w:bCs/>
          <w:i/>
          <w:iCs/>
          <w:color w:val="000000"/>
          <w:lang w:eastAsia="bg-BG"/>
        </w:rPr>
      </w:pPr>
    </w:p>
    <w:p w14:paraId="5D302E5F" w14:textId="4B882397" w:rsidR="009D1FBE" w:rsidRPr="00C87C39" w:rsidRDefault="009D1FBE" w:rsidP="009D1FBE">
      <w:pPr>
        <w:spacing w:line="240" w:lineRule="auto"/>
        <w:rPr>
          <w:rFonts w:eastAsia="Times New Roman" w:cs="Arial"/>
          <w:lang w:eastAsia="bg-BG"/>
        </w:rPr>
      </w:pPr>
      <w:r w:rsidRPr="00C87C39">
        <w:rPr>
          <w:rFonts w:eastAsia="Times New Roman" w:cs="Arial"/>
          <w:bCs/>
          <w:i/>
          <w:iCs/>
          <w:color w:val="000000"/>
          <w:lang w:eastAsia="bg-BG"/>
        </w:rPr>
        <w:t>Много чести (≥ 1/100 до &lt;1/10):</w:t>
      </w:r>
      <w:r w:rsidRPr="00C87C39">
        <w:rPr>
          <w:rFonts w:eastAsia="Times New Roman" w:cs="Arial"/>
          <w:bCs/>
          <w:color w:val="000000"/>
          <w:lang w:eastAsia="bg-BG"/>
        </w:rPr>
        <w:t xml:space="preserve"> Главоболие (22%), безсъние (21%), диария (11%) и гадене (15%).</w:t>
      </w:r>
    </w:p>
    <w:p w14:paraId="0C189B2B" w14:textId="281F157D" w:rsidR="009D1FBE" w:rsidRPr="00C87C39" w:rsidRDefault="009D1FBE" w:rsidP="009D1FBE">
      <w:pPr>
        <w:spacing w:line="240" w:lineRule="auto"/>
        <w:rPr>
          <w:rFonts w:eastAsia="Times New Roman" w:cs="Arial"/>
          <w:lang w:eastAsia="bg-BG"/>
        </w:rPr>
      </w:pPr>
    </w:p>
    <w:p w14:paraId="27056BA2" w14:textId="77777777" w:rsidR="009D1FBE" w:rsidRPr="00C87C39" w:rsidRDefault="009D1FBE" w:rsidP="009D1FBE">
      <w:pPr>
        <w:spacing w:line="240" w:lineRule="auto"/>
        <w:rPr>
          <w:rFonts w:eastAsia="Times New Roman" w:cs="Arial"/>
          <w:lang w:eastAsia="bg-BG"/>
        </w:rPr>
      </w:pPr>
      <w:r w:rsidRPr="00C87C39">
        <w:rPr>
          <w:rFonts w:eastAsia="Times New Roman" w:cs="Arial"/>
          <w:bCs/>
          <w:i/>
          <w:iCs/>
          <w:color w:val="000000"/>
          <w:lang w:eastAsia="bg-BG"/>
        </w:rPr>
        <w:t>Чести (≥ 1/100 до &lt;1/10):</w:t>
      </w:r>
      <w:r w:rsidRPr="00C87C39">
        <w:rPr>
          <w:rFonts w:eastAsia="Times New Roman" w:cs="Arial"/>
          <w:bCs/>
          <w:color w:val="000000"/>
          <w:lang w:eastAsia="bg-BG"/>
        </w:rPr>
        <w:t xml:space="preserve"> Гръдна болка, мания, повишена температура, повръщане, анорексия, ефективна лабилност, агресия, възбуда, нервност, нарушено внимание, замаяност, хиперкинезия, мигрена, сънливост, тремор, зрително нарушение, сухота в устата, диспепсия, нощни кошмари, умора, незадръжка на урината, обрив, акне, епистаксис, флатуленция.</w:t>
      </w:r>
    </w:p>
    <w:p w14:paraId="43E7A12D" w14:textId="77777777" w:rsidR="009D1FBE" w:rsidRPr="00C87C39" w:rsidRDefault="009D1FBE" w:rsidP="009D1FBE">
      <w:pPr>
        <w:rPr>
          <w:rFonts w:eastAsia="Times New Roman" w:cs="Arial"/>
          <w:bCs/>
          <w:i/>
          <w:iCs/>
          <w:color w:val="000000"/>
          <w:lang w:eastAsia="bg-BG"/>
        </w:rPr>
      </w:pPr>
    </w:p>
    <w:p w14:paraId="65C53A40" w14:textId="7814784C" w:rsidR="009D1FBE" w:rsidRPr="00C87C39" w:rsidRDefault="009D1FBE" w:rsidP="009D1FBE">
      <w:pPr>
        <w:rPr>
          <w:rFonts w:eastAsia="Times New Roman" w:cs="Arial"/>
          <w:bCs/>
          <w:color w:val="000000"/>
          <w:lang w:eastAsia="bg-BG"/>
        </w:rPr>
      </w:pPr>
      <w:r w:rsidRPr="00C87C39">
        <w:rPr>
          <w:rFonts w:eastAsia="Times New Roman" w:cs="Arial"/>
          <w:bCs/>
          <w:i/>
          <w:iCs/>
          <w:color w:val="000000"/>
          <w:lang w:eastAsia="bg-BG"/>
        </w:rPr>
        <w:t>Нечести (&gt; 1/1 000 до &lt;1/100):</w:t>
      </w:r>
      <w:r w:rsidRPr="00C87C39">
        <w:rPr>
          <w:rFonts w:eastAsia="Times New Roman" w:cs="Arial"/>
          <w:bCs/>
          <w:color w:val="000000"/>
          <w:lang w:eastAsia="bg-BG"/>
        </w:rPr>
        <w:t xml:space="preserve"> Удължен </w:t>
      </w:r>
      <w:r w:rsidRPr="00C87C39">
        <w:rPr>
          <w:rFonts w:eastAsia="Times New Roman" w:cs="Arial"/>
          <w:bCs/>
          <w:color w:val="000000"/>
          <w:lang w:val="en-US"/>
        </w:rPr>
        <w:t>QT</w:t>
      </w:r>
      <w:r w:rsidRPr="00C87C39">
        <w:rPr>
          <w:rFonts w:eastAsia="Times New Roman" w:cs="Arial"/>
          <w:bCs/>
          <w:color w:val="000000"/>
          <w:lang w:eastAsia="bg-BG"/>
        </w:rPr>
        <w:t xml:space="preserve">-интервал на ЕКГ, опит за самоубийство, конвулсии, екстрапирамидно нарушение, парестезия, депресия, халюцинация, пурпура, хипервентилация, анемия, нарушена чернодробна функция, увеличена аланинаминотрансфераза, цистит, херпес симплекс, възпаление на външното ухо, болка в ухото, болка в очите, мидриаза, неразположение, хематурия, гноен обрив, ринит, нараняване намаляване на телесното тегло, мускулно потрепване, абнормни сънища, апатия, албуминурия, полакиурия, полиурия, гръдна болка, менструално нарушение, </w:t>
      </w:r>
      <w:r w:rsidRPr="00C87C39">
        <w:rPr>
          <w:rFonts w:eastAsia="Times New Roman" w:cs="Arial"/>
          <w:bCs/>
          <w:color w:val="000000"/>
          <w:lang w:eastAsia="bg-BG"/>
        </w:rPr>
        <w:lastRenderedPageBreak/>
        <w:t>алопеция, дерматит, кожно нарушение, абнормна миризма на кожата, уртикария, бруксизъм, зачервяване.</w:t>
      </w:r>
    </w:p>
    <w:p w14:paraId="4457E662" w14:textId="7B2E114B" w:rsidR="009D1FBE" w:rsidRPr="00C87C39" w:rsidRDefault="009D1FBE" w:rsidP="009D1FBE">
      <w:pPr>
        <w:rPr>
          <w:rFonts w:eastAsia="Times New Roman" w:cs="Arial"/>
          <w:bCs/>
          <w:color w:val="000000"/>
          <w:lang w:eastAsia="bg-BG"/>
        </w:rPr>
      </w:pPr>
    </w:p>
    <w:p w14:paraId="66587352" w14:textId="77777777" w:rsidR="009D1FBE" w:rsidRPr="00C87C39" w:rsidRDefault="009D1FBE" w:rsidP="009D1FBE">
      <w:pPr>
        <w:spacing w:line="240" w:lineRule="auto"/>
        <w:rPr>
          <w:rFonts w:eastAsia="Times New Roman" w:cs="Arial"/>
          <w:lang w:eastAsia="bg-BG"/>
        </w:rPr>
      </w:pPr>
      <w:r w:rsidRPr="00C87C39">
        <w:rPr>
          <w:rFonts w:eastAsia="Times New Roman" w:cs="Arial"/>
          <w:bCs/>
          <w:i/>
          <w:iCs/>
          <w:color w:val="000000"/>
          <w:lang w:eastAsia="bg-BG"/>
        </w:rPr>
        <w:t>С неизвестна честота:</w:t>
      </w:r>
      <w:r w:rsidRPr="00C87C39">
        <w:rPr>
          <w:rFonts w:eastAsia="Times New Roman" w:cs="Arial"/>
          <w:bCs/>
          <w:color w:val="000000"/>
          <w:lang w:eastAsia="bg-BG"/>
        </w:rPr>
        <w:t xml:space="preserve"> енуреза</w:t>
      </w:r>
    </w:p>
    <w:p w14:paraId="563F1835" w14:textId="77777777" w:rsidR="009D1FBE" w:rsidRPr="00C87C39" w:rsidRDefault="009D1FBE" w:rsidP="009D1FBE">
      <w:pPr>
        <w:spacing w:line="240" w:lineRule="auto"/>
        <w:rPr>
          <w:rFonts w:eastAsia="Times New Roman" w:cs="Arial"/>
          <w:bCs/>
          <w:color w:val="000000"/>
          <w:u w:val="single"/>
          <w:lang w:eastAsia="bg-BG"/>
        </w:rPr>
      </w:pPr>
    </w:p>
    <w:p w14:paraId="6A4D08AC" w14:textId="57258A7F" w:rsidR="009D1FBE" w:rsidRPr="00C87C39" w:rsidRDefault="009D1FBE" w:rsidP="009D1FBE">
      <w:pPr>
        <w:spacing w:line="240" w:lineRule="auto"/>
        <w:rPr>
          <w:rFonts w:eastAsia="Times New Roman" w:cs="Arial"/>
          <w:lang w:eastAsia="bg-BG"/>
        </w:rPr>
      </w:pPr>
      <w:r w:rsidRPr="00C87C39">
        <w:rPr>
          <w:rFonts w:eastAsia="Times New Roman" w:cs="Arial"/>
          <w:bCs/>
          <w:color w:val="000000"/>
          <w:u w:val="single"/>
          <w:lang w:eastAsia="bg-BG"/>
        </w:rPr>
        <w:t>Ефекти на класа</w:t>
      </w:r>
    </w:p>
    <w:p w14:paraId="2852A04D"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 xml:space="preserve">Епидемиологичните проучвания, проведени основно при пациенти на възраст 50 години и повече, показват повишен риск от костни фрактури при пациенти, приемащи </w:t>
      </w:r>
      <w:r w:rsidRPr="00C87C39">
        <w:rPr>
          <w:rFonts w:eastAsia="Times New Roman" w:cs="Arial"/>
          <w:bCs/>
          <w:color w:val="000000"/>
          <w:lang w:val="en-US"/>
        </w:rPr>
        <w:t>SSRIs</w:t>
      </w:r>
      <w:r w:rsidRPr="00C87C39">
        <w:rPr>
          <w:rFonts w:eastAsia="Times New Roman" w:cs="Arial"/>
          <w:bCs/>
          <w:color w:val="000000"/>
          <w:lang w:val="ru-RU"/>
        </w:rPr>
        <w:t xml:space="preserve"> </w:t>
      </w:r>
      <w:r w:rsidRPr="00C87C39">
        <w:rPr>
          <w:rFonts w:eastAsia="Times New Roman" w:cs="Arial"/>
          <w:bCs/>
          <w:color w:val="000000"/>
          <w:lang w:eastAsia="bg-BG"/>
        </w:rPr>
        <w:t>и трициклични антидепресанти. Механизмът, водещ до този риск, е неизвестен.</w:t>
      </w:r>
    </w:p>
    <w:p w14:paraId="3B07ECA4" w14:textId="77777777" w:rsidR="009D1FBE" w:rsidRPr="00C87C39" w:rsidRDefault="009D1FBE" w:rsidP="009D1FBE">
      <w:pPr>
        <w:spacing w:line="240" w:lineRule="auto"/>
        <w:rPr>
          <w:rFonts w:eastAsia="Times New Roman" w:cs="Arial"/>
          <w:bCs/>
          <w:color w:val="000000"/>
          <w:u w:val="single"/>
          <w:lang w:eastAsia="bg-BG"/>
        </w:rPr>
      </w:pPr>
    </w:p>
    <w:p w14:paraId="04DC8072" w14:textId="4D907C93" w:rsidR="009D1FBE" w:rsidRPr="00C87C39" w:rsidRDefault="009D1FBE" w:rsidP="009D1FBE">
      <w:pPr>
        <w:spacing w:line="240" w:lineRule="auto"/>
        <w:rPr>
          <w:rFonts w:eastAsia="Times New Roman" w:cs="Arial"/>
          <w:lang w:eastAsia="bg-BG"/>
        </w:rPr>
      </w:pPr>
      <w:r w:rsidRPr="00C87C39">
        <w:rPr>
          <w:rFonts w:eastAsia="Times New Roman" w:cs="Arial"/>
          <w:bCs/>
          <w:color w:val="000000"/>
          <w:u w:val="single"/>
          <w:lang w:eastAsia="bg-BG"/>
        </w:rPr>
        <w:t>Съобщаване на подозирани нежелани реакции</w:t>
      </w:r>
    </w:p>
    <w:p w14:paraId="1A383A0E"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7A17FE1A"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Изпълнителна агенция по лекарствата,</w:t>
      </w:r>
    </w:p>
    <w:p w14:paraId="057C358B"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ул., Дамян Груев“ № 8,</w:t>
      </w:r>
    </w:p>
    <w:p w14:paraId="091EBFFC" w14:textId="77777777" w:rsidR="009D1FBE" w:rsidRPr="00C87C39" w:rsidRDefault="009D1FBE" w:rsidP="009D1FBE">
      <w:pPr>
        <w:spacing w:line="240" w:lineRule="auto"/>
        <w:rPr>
          <w:rFonts w:eastAsia="Times New Roman" w:cs="Arial"/>
          <w:lang w:eastAsia="bg-BG"/>
        </w:rPr>
      </w:pPr>
      <w:r w:rsidRPr="00C87C39">
        <w:rPr>
          <w:rFonts w:eastAsia="Times New Roman" w:cs="Arial"/>
          <w:bCs/>
          <w:color w:val="000000"/>
          <w:lang w:eastAsia="bg-BG"/>
        </w:rPr>
        <w:t>1303 София,</w:t>
      </w:r>
    </w:p>
    <w:p w14:paraId="4E43496D" w14:textId="77777777" w:rsidR="009D1FBE" w:rsidRPr="00C87C39" w:rsidRDefault="009D1FBE" w:rsidP="009D1FBE">
      <w:pPr>
        <w:rPr>
          <w:rFonts w:eastAsia="Times New Roman" w:cs="Arial"/>
          <w:bCs/>
          <w:color w:val="000000"/>
          <w:lang w:eastAsia="bg-BG"/>
        </w:rPr>
      </w:pPr>
      <w:r w:rsidRPr="00C87C39">
        <w:rPr>
          <w:rFonts w:eastAsia="Times New Roman" w:cs="Arial"/>
          <w:bCs/>
          <w:color w:val="000000"/>
          <w:lang w:eastAsia="bg-BG"/>
        </w:rPr>
        <w:t xml:space="preserve">тел.:+359 2 8903417, </w:t>
      </w:r>
    </w:p>
    <w:p w14:paraId="315A6654" w14:textId="3A0E363B" w:rsidR="009D1FBE" w:rsidRPr="00C87C39" w:rsidRDefault="009D1FBE" w:rsidP="009D1FBE">
      <w:pPr>
        <w:rPr>
          <w:rFonts w:cs="Arial"/>
        </w:rPr>
      </w:pPr>
      <w:r w:rsidRPr="00C87C39">
        <w:rPr>
          <w:rFonts w:eastAsia="Times New Roman" w:cs="Arial"/>
          <w:bCs/>
          <w:color w:val="000000"/>
          <w:lang w:eastAsia="bg-BG"/>
        </w:rPr>
        <w:t xml:space="preserve">уебсайт: </w:t>
      </w:r>
      <w:hyperlink r:id="rId5" w:history="1">
        <w:r w:rsidRPr="00C87C39">
          <w:rPr>
            <w:rFonts w:eastAsia="Times New Roman" w:cs="Arial"/>
            <w:bCs/>
            <w:color w:val="000000"/>
            <w:lang w:val="en-US"/>
          </w:rPr>
          <w:t>www</w:t>
        </w:r>
        <w:r w:rsidRPr="00C87C39">
          <w:rPr>
            <w:rFonts w:eastAsia="Times New Roman" w:cs="Arial"/>
            <w:bCs/>
            <w:color w:val="000000"/>
            <w:lang w:val="ru-RU"/>
          </w:rPr>
          <w:t>.</w:t>
        </w:r>
        <w:r w:rsidRPr="00C87C39">
          <w:rPr>
            <w:rFonts w:eastAsia="Times New Roman" w:cs="Arial"/>
            <w:bCs/>
            <w:color w:val="000000"/>
            <w:lang w:val="en-US"/>
          </w:rPr>
          <w:t>bda</w:t>
        </w:r>
        <w:r w:rsidRPr="00C87C39">
          <w:rPr>
            <w:rFonts w:eastAsia="Times New Roman" w:cs="Arial"/>
            <w:bCs/>
            <w:color w:val="000000"/>
            <w:lang w:val="ru-RU"/>
          </w:rPr>
          <w:t>.</w:t>
        </w:r>
        <w:r w:rsidRPr="00C87C39">
          <w:rPr>
            <w:rFonts w:eastAsia="Times New Roman" w:cs="Arial"/>
            <w:bCs/>
            <w:color w:val="000000"/>
            <w:lang w:val="en-US"/>
          </w:rPr>
          <w:t>bg</w:t>
        </w:r>
      </w:hyperlink>
      <w:r w:rsidRPr="00C87C39">
        <w:rPr>
          <w:rFonts w:eastAsia="Times New Roman" w:cs="Arial"/>
          <w:bCs/>
          <w:color w:val="000000"/>
          <w:lang w:val="ru-RU"/>
        </w:rPr>
        <w:t>.</w:t>
      </w:r>
    </w:p>
    <w:p w14:paraId="53CCEFB3" w14:textId="63FA355C" w:rsidR="009D1FBE" w:rsidRPr="00C87C39" w:rsidRDefault="009D1FBE" w:rsidP="0091385D"/>
    <w:p w14:paraId="0A023CE0" w14:textId="13F87CFD" w:rsidR="00CF77F7" w:rsidRPr="00C87C39" w:rsidRDefault="002C50EE" w:rsidP="004A448E">
      <w:pPr>
        <w:pStyle w:val="Heading2"/>
      </w:pPr>
      <w:r w:rsidRPr="00C87C39">
        <w:t>4.9. Предозиране</w:t>
      </w:r>
    </w:p>
    <w:p w14:paraId="3EDFC3FC" w14:textId="771B3817" w:rsidR="0091385D" w:rsidRPr="00C87C39" w:rsidRDefault="0091385D" w:rsidP="0091385D"/>
    <w:p w14:paraId="3DEDB93D" w14:textId="77777777" w:rsidR="009C60F5" w:rsidRPr="00C87C39" w:rsidRDefault="009C60F5" w:rsidP="009C60F5">
      <w:pPr>
        <w:pStyle w:val="Heading3"/>
        <w:rPr>
          <w:rFonts w:eastAsia="Times New Roman"/>
          <w:sz w:val="28"/>
          <w:u w:val="single"/>
          <w:lang w:eastAsia="bg-BG"/>
        </w:rPr>
      </w:pPr>
      <w:r w:rsidRPr="00C87C39">
        <w:rPr>
          <w:rFonts w:eastAsia="Times New Roman"/>
          <w:u w:val="single"/>
          <w:lang w:eastAsia="bg-BG"/>
        </w:rPr>
        <w:t>Токсичност</w:t>
      </w:r>
    </w:p>
    <w:p w14:paraId="63E83698"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Сертралин има терапевтична граница на безопасност, зависима от пациентската популация и/или придружаващото лечение. Фатални случаи от предозиране са съобщавани самостоятелно или при комбинация на сертралин с други лекарства и/или алкохол. Следователно всеки случай на предозиране трябва да бъде лекуван агресивно.</w:t>
      </w:r>
    </w:p>
    <w:p w14:paraId="7EFD927E" w14:textId="77777777" w:rsidR="009C60F5" w:rsidRPr="00C87C39" w:rsidRDefault="009C60F5" w:rsidP="009C60F5">
      <w:pPr>
        <w:spacing w:line="240" w:lineRule="auto"/>
        <w:rPr>
          <w:rFonts w:eastAsia="Times New Roman" w:cs="Arial"/>
          <w:bCs/>
          <w:color w:val="000000"/>
          <w:szCs w:val="20"/>
          <w:u w:val="single"/>
          <w:lang w:eastAsia="bg-BG"/>
        </w:rPr>
      </w:pPr>
    </w:p>
    <w:p w14:paraId="5E835276" w14:textId="7A85EDB8" w:rsidR="009C60F5" w:rsidRPr="00C87C39" w:rsidRDefault="009C60F5" w:rsidP="009C60F5">
      <w:pPr>
        <w:pStyle w:val="Heading3"/>
        <w:rPr>
          <w:rFonts w:eastAsia="Times New Roman"/>
          <w:sz w:val="28"/>
          <w:u w:val="single"/>
          <w:lang w:eastAsia="bg-BG"/>
        </w:rPr>
      </w:pPr>
      <w:r w:rsidRPr="00C87C39">
        <w:rPr>
          <w:rFonts w:eastAsia="Times New Roman"/>
          <w:u w:val="single"/>
          <w:lang w:eastAsia="bg-BG"/>
        </w:rPr>
        <w:t>Симптоми</w:t>
      </w:r>
    </w:p>
    <w:p w14:paraId="6EFF72A0"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Симптомите на предозиране включват серотонин-медиирани нежелани лекарствени реакции като сънливост, гастроинтестинални нарушения (напр. гадене и повръщане), тахикардия, тремор, възбуда и виене на свят. Съобщава се за кома, макар и по-рядко.</w:t>
      </w:r>
    </w:p>
    <w:p w14:paraId="08343166" w14:textId="77777777" w:rsidR="009C60F5" w:rsidRPr="00C87C39" w:rsidRDefault="009C60F5" w:rsidP="009C60F5">
      <w:pPr>
        <w:spacing w:line="240" w:lineRule="auto"/>
        <w:rPr>
          <w:rFonts w:eastAsia="Times New Roman" w:cs="Arial"/>
          <w:bCs/>
          <w:color w:val="000000"/>
          <w:szCs w:val="20"/>
          <w:lang w:eastAsia="bg-BG"/>
        </w:rPr>
      </w:pPr>
    </w:p>
    <w:p w14:paraId="58DD4455" w14:textId="60E9E648"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След предозиране със </w:t>
      </w:r>
      <w:proofErr w:type="spellStart"/>
      <w:r w:rsidRPr="00C87C39">
        <w:rPr>
          <w:rFonts w:eastAsia="Times New Roman" w:cs="Arial"/>
          <w:bCs/>
          <w:color w:val="000000"/>
          <w:szCs w:val="20"/>
          <w:lang w:eastAsia="bg-BG"/>
        </w:rPr>
        <w:t>сертралин</w:t>
      </w:r>
      <w:proofErr w:type="spellEnd"/>
      <w:r w:rsidRPr="00C87C39">
        <w:rPr>
          <w:rFonts w:eastAsia="Times New Roman" w:cs="Arial"/>
          <w:bCs/>
          <w:color w:val="000000"/>
          <w:szCs w:val="20"/>
          <w:lang w:eastAsia="bg-BG"/>
        </w:rPr>
        <w:t xml:space="preserve"> се съобщава за удължаване на </w:t>
      </w:r>
      <w:r w:rsidRPr="00C87C39">
        <w:rPr>
          <w:rFonts w:eastAsia="Times New Roman" w:cs="Arial"/>
          <w:bCs/>
          <w:color w:val="000000"/>
          <w:szCs w:val="20"/>
          <w:lang w:val="en-US"/>
        </w:rPr>
        <w:t>QTc</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интервала</w:t>
      </w:r>
      <w:r w:rsidRPr="00C87C39">
        <w:rPr>
          <w:rFonts w:eastAsia="Times New Roman" w:cs="Arial"/>
          <w:bCs/>
          <w:color w:val="000000"/>
          <w:szCs w:val="20"/>
          <w:lang w:val="ru-RU"/>
        </w:rPr>
        <w:t>/</w:t>
      </w:r>
      <w:r w:rsidRPr="00C87C39">
        <w:rPr>
          <w:rFonts w:eastAsia="Times New Roman" w:cs="Arial"/>
          <w:bCs/>
          <w:color w:val="000000"/>
          <w:szCs w:val="20"/>
          <w:lang w:val="en-US"/>
        </w:rPr>
        <w:t>Torsade</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de</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Pointes</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по тази причина при всяко поглъщане на свръхдоза </w:t>
      </w:r>
      <w:proofErr w:type="spellStart"/>
      <w:r w:rsidRPr="00C87C39">
        <w:rPr>
          <w:rFonts w:eastAsia="Times New Roman" w:cs="Arial"/>
          <w:bCs/>
          <w:color w:val="000000"/>
          <w:szCs w:val="20"/>
          <w:lang w:eastAsia="bg-BG"/>
        </w:rPr>
        <w:t>сертралин</w:t>
      </w:r>
      <w:proofErr w:type="spellEnd"/>
      <w:r w:rsidRPr="00C87C39">
        <w:rPr>
          <w:rFonts w:eastAsia="Times New Roman" w:cs="Arial"/>
          <w:bCs/>
          <w:color w:val="000000"/>
          <w:szCs w:val="20"/>
          <w:lang w:eastAsia="bg-BG"/>
        </w:rPr>
        <w:t xml:space="preserve"> се препоръчва мониториране на ЕКГ.</w:t>
      </w:r>
    </w:p>
    <w:p w14:paraId="46A9C8B7" w14:textId="77777777" w:rsidR="009C60F5" w:rsidRPr="00C87C39" w:rsidRDefault="009C60F5" w:rsidP="009C60F5">
      <w:pPr>
        <w:spacing w:line="240" w:lineRule="auto"/>
        <w:rPr>
          <w:rFonts w:eastAsia="Times New Roman" w:cs="Arial"/>
          <w:bCs/>
          <w:color w:val="000000"/>
          <w:szCs w:val="20"/>
          <w:u w:val="single"/>
          <w:lang w:eastAsia="bg-BG"/>
        </w:rPr>
      </w:pPr>
    </w:p>
    <w:p w14:paraId="3B935369" w14:textId="29D40AA9" w:rsidR="009C60F5" w:rsidRPr="00C87C39" w:rsidRDefault="009C60F5" w:rsidP="009C60F5">
      <w:pPr>
        <w:pStyle w:val="Heading3"/>
        <w:rPr>
          <w:rFonts w:eastAsia="Times New Roman"/>
          <w:sz w:val="28"/>
          <w:u w:val="single"/>
          <w:lang w:eastAsia="bg-BG"/>
        </w:rPr>
      </w:pPr>
      <w:r w:rsidRPr="00C87C39">
        <w:rPr>
          <w:rFonts w:eastAsia="Times New Roman"/>
          <w:u w:val="single"/>
          <w:lang w:eastAsia="bg-BG"/>
        </w:rPr>
        <w:t>Овладяване</w:t>
      </w:r>
    </w:p>
    <w:p w14:paraId="6A43B8F3" w14:textId="1DF3B784" w:rsidR="007A2185" w:rsidRPr="00C87C39" w:rsidRDefault="009C60F5" w:rsidP="009C60F5">
      <w:pPr>
        <w:rPr>
          <w:rFonts w:cs="Arial"/>
          <w:sz w:val="24"/>
        </w:rPr>
      </w:pPr>
      <w:r w:rsidRPr="00C87C39">
        <w:rPr>
          <w:rFonts w:eastAsia="Times New Roman" w:cs="Arial"/>
          <w:bCs/>
          <w:color w:val="000000"/>
          <w:szCs w:val="20"/>
          <w:lang w:eastAsia="bg-BG"/>
        </w:rPr>
        <w:t xml:space="preserve">Няма специфични антидота на сертралин. Препоръчва се да се установи и поддържа дихателен път и при необходимост да се осигури адекватна вентилация и оксигенация. Активният въглен, който може да се комбинира с очистително, може да е еднакво ефективен или по-ефективен от стомашната промивка и трябва да се има предвид при лечение на предозирането. Не се препоръчва предизвикване на повръщане. Заедно с общата симптоматична и поддържаща терапия се препоръчва още и проследяване на сърдечните (напр. ЕКГ) и витални показатели. Поради големия обем на разпределение на </w:t>
      </w:r>
      <w:r w:rsidRPr="00C87C39">
        <w:rPr>
          <w:rFonts w:eastAsia="Times New Roman" w:cs="Arial"/>
          <w:bCs/>
          <w:color w:val="000000"/>
          <w:szCs w:val="20"/>
          <w:lang w:eastAsia="bg-BG"/>
        </w:rPr>
        <w:lastRenderedPageBreak/>
        <w:t>сертралин е вероятно приложението на форсирана диуреза, диализа, хемоперфузия или екссангвинотрансфузия да имат благоприятен ефект.</w:t>
      </w:r>
    </w:p>
    <w:p w14:paraId="48FF1584" w14:textId="77777777" w:rsidR="0091385D" w:rsidRPr="00C87C39" w:rsidRDefault="0091385D" w:rsidP="0091385D"/>
    <w:p w14:paraId="02081B24" w14:textId="7CE94171" w:rsidR="00395555" w:rsidRPr="00C87C39" w:rsidRDefault="002C50EE" w:rsidP="008A6AF2">
      <w:pPr>
        <w:pStyle w:val="Heading1"/>
      </w:pPr>
      <w:r w:rsidRPr="00C87C39">
        <w:t>5. ФАРМАКОЛОГИЧНИ СВОЙСТВА</w:t>
      </w:r>
    </w:p>
    <w:p w14:paraId="1B8079C0" w14:textId="77777777" w:rsidR="0091385D" w:rsidRPr="00C87C39" w:rsidRDefault="0091385D" w:rsidP="0091385D"/>
    <w:p w14:paraId="32B6DE66" w14:textId="2ACB6B3B" w:rsidR="00CF77F7" w:rsidRPr="00C87C39" w:rsidRDefault="002C50EE" w:rsidP="004A448E">
      <w:pPr>
        <w:pStyle w:val="Heading2"/>
      </w:pPr>
      <w:r w:rsidRPr="00C87C39">
        <w:t>5.1. Фармакодинамични свойства</w:t>
      </w:r>
    </w:p>
    <w:p w14:paraId="58DD7DEA" w14:textId="73F11A6B" w:rsidR="0091385D" w:rsidRPr="00C87C39" w:rsidRDefault="0091385D" w:rsidP="0091385D"/>
    <w:p w14:paraId="038F692B" w14:textId="11AA03FC" w:rsidR="007A2185" w:rsidRPr="00C87C39" w:rsidRDefault="009C60F5" w:rsidP="0091385D">
      <w:pPr>
        <w:rPr>
          <w:rFonts w:cs="Arial"/>
          <w:bCs/>
          <w:szCs w:val="20"/>
        </w:rPr>
      </w:pPr>
      <w:r w:rsidRPr="00C87C39">
        <w:rPr>
          <w:rFonts w:cs="Arial"/>
          <w:bCs/>
          <w:szCs w:val="20"/>
        </w:rPr>
        <w:t xml:space="preserve">Фармакотерапевтична група: Селективни инхибитори на обратното захващане на серотонина </w:t>
      </w:r>
      <w:r w:rsidRPr="00C87C39">
        <w:rPr>
          <w:rFonts w:cs="Arial"/>
          <w:bCs/>
          <w:szCs w:val="20"/>
          <w:lang w:val="ru-RU"/>
        </w:rPr>
        <w:t>(</w:t>
      </w:r>
      <w:r w:rsidRPr="00C87C39">
        <w:rPr>
          <w:rFonts w:cs="Arial"/>
          <w:bCs/>
          <w:szCs w:val="20"/>
          <w:lang w:val="en-US"/>
        </w:rPr>
        <w:t>SSRI</w:t>
      </w:r>
      <w:r w:rsidRPr="00C87C39">
        <w:rPr>
          <w:rFonts w:cs="Arial"/>
          <w:bCs/>
          <w:szCs w:val="20"/>
          <w:lang w:val="ru-RU"/>
        </w:rPr>
        <w:t xml:space="preserve">), </w:t>
      </w:r>
      <w:r w:rsidRPr="00C87C39">
        <w:rPr>
          <w:rFonts w:cs="Arial"/>
          <w:bCs/>
          <w:szCs w:val="20"/>
        </w:rPr>
        <w:t xml:space="preserve">АТС код: </w:t>
      </w:r>
      <w:r w:rsidRPr="00C87C39">
        <w:rPr>
          <w:rFonts w:cs="Arial"/>
          <w:bCs/>
          <w:szCs w:val="20"/>
          <w:lang w:val="en-US"/>
        </w:rPr>
        <w:t>N</w:t>
      </w:r>
      <w:r w:rsidRPr="00C87C39">
        <w:rPr>
          <w:rFonts w:cs="Arial"/>
          <w:bCs/>
          <w:szCs w:val="20"/>
          <w:lang w:val="ru-RU"/>
        </w:rPr>
        <w:t xml:space="preserve">06 </w:t>
      </w:r>
      <w:r w:rsidRPr="00C87C39">
        <w:rPr>
          <w:rFonts w:cs="Arial"/>
          <w:bCs/>
          <w:szCs w:val="20"/>
        </w:rPr>
        <w:t>АВ06.</w:t>
      </w:r>
    </w:p>
    <w:p w14:paraId="4267A819" w14:textId="1DA8A0D9" w:rsidR="009C60F5" w:rsidRPr="00C87C39" w:rsidRDefault="009C60F5" w:rsidP="0091385D">
      <w:pPr>
        <w:rPr>
          <w:rFonts w:cs="Arial"/>
          <w:bCs/>
          <w:szCs w:val="20"/>
        </w:rPr>
      </w:pPr>
    </w:p>
    <w:p w14:paraId="6094F28C"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Механизъм на действие</w:t>
      </w:r>
    </w:p>
    <w:p w14:paraId="4D29DF5E"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Сертралин е мощен и селективен инхибитор на обратния захват на серотонина (5-НТ) в невроните </w:t>
      </w:r>
      <w:r w:rsidRPr="00C87C39">
        <w:rPr>
          <w:rFonts w:eastAsia="Times New Roman" w:cs="Arial"/>
          <w:bCs/>
          <w:i/>
          <w:iCs/>
          <w:color w:val="000000"/>
          <w:szCs w:val="20"/>
          <w:lang w:val="en-US"/>
        </w:rPr>
        <w:t>in</w:t>
      </w:r>
      <w:r w:rsidRPr="00C87C39">
        <w:rPr>
          <w:rFonts w:eastAsia="Times New Roman" w:cs="Arial"/>
          <w:bCs/>
          <w:i/>
          <w:iCs/>
          <w:color w:val="000000"/>
          <w:szCs w:val="20"/>
          <w:lang w:val="ru-RU"/>
        </w:rPr>
        <w:t xml:space="preserve"> </w:t>
      </w:r>
      <w:r w:rsidRPr="00C87C39">
        <w:rPr>
          <w:rFonts w:eastAsia="Times New Roman" w:cs="Arial"/>
          <w:bCs/>
          <w:i/>
          <w:iCs/>
          <w:color w:val="000000"/>
          <w:szCs w:val="20"/>
          <w:lang w:val="en-US"/>
        </w:rPr>
        <w:t>vitro</w:t>
      </w:r>
      <w:r w:rsidRPr="00C87C39">
        <w:rPr>
          <w:rFonts w:eastAsia="Times New Roman" w:cs="Arial"/>
          <w:bCs/>
          <w:i/>
          <w:iCs/>
          <w:color w:val="000000"/>
          <w:szCs w:val="20"/>
          <w:lang w:val="ru-RU"/>
        </w:rPr>
        <w:t>,</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в резултат на което се потенцират ефектите на 5-НТ при животни. Той има незначителен ефект върху обратния захват на норадреналин и допамин в невроните. В клинични дози сертралин блокира обратния захват на серотонин в човешки тромбоцити. Той не проявява стимулираща, седативна или антихолинергична активност или кардиотоксичност при животни. В контролирани проучвания при здрави доброволци сертралин не причинява седация и не предизвиква промени в психомоторните функции. В съответствие със селективното инхибиране на обратния захват на 5-НТ сертралин не повишава катехоламинергичната активност. Сертралин не притежава афинитет към мускариновите (холинергични), серотонинергичните, допаминергичните, адренергичните, хистаминергичните, </w:t>
      </w:r>
      <w:r w:rsidRPr="00C87C39">
        <w:rPr>
          <w:rFonts w:eastAsia="Times New Roman" w:cs="Arial"/>
          <w:bCs/>
          <w:color w:val="000000"/>
          <w:szCs w:val="20"/>
          <w:lang w:val="en-US"/>
        </w:rPr>
        <w:t>GABA</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или бензодиазепиновите рецептори. Продължителното приложение на сертралин при животни е свързано с намаляване на броя на мозъчните нордреналинови рецептори, както е наблюдавано и при други клинично ефективни антидепресанти и антиобсесивни лекарства.</w:t>
      </w:r>
    </w:p>
    <w:p w14:paraId="7CF4D5AE" w14:textId="77777777" w:rsidR="009C60F5" w:rsidRPr="00C87C39" w:rsidRDefault="009C60F5" w:rsidP="009C60F5">
      <w:pPr>
        <w:spacing w:line="240" w:lineRule="auto"/>
        <w:rPr>
          <w:rFonts w:eastAsia="Times New Roman" w:cs="Arial"/>
          <w:bCs/>
          <w:color w:val="000000"/>
          <w:szCs w:val="20"/>
          <w:lang w:eastAsia="bg-BG"/>
        </w:rPr>
      </w:pPr>
    </w:p>
    <w:p w14:paraId="5A6AF250" w14:textId="05327D12"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Не е демонстриран потенциал за злоупотреба със сертралин. В двойно-сляпо, рандомизирано, плацебо контролирано проучване, сравняващо потенциала за злоупотреба със сертралин, алпразолам и </w:t>
      </w:r>
      <w:r w:rsidRPr="00C87C39">
        <w:rPr>
          <w:rFonts w:eastAsia="Times New Roman" w:cs="Arial"/>
          <w:bCs/>
          <w:color w:val="000000"/>
          <w:szCs w:val="20"/>
          <w:lang w:val="en-US"/>
        </w:rPr>
        <w:t>d</w:t>
      </w:r>
      <w:r w:rsidRPr="00C87C39">
        <w:rPr>
          <w:rFonts w:eastAsia="Times New Roman" w:cs="Arial"/>
          <w:bCs/>
          <w:color w:val="000000"/>
          <w:szCs w:val="20"/>
          <w:lang w:eastAsia="bg-BG"/>
        </w:rPr>
        <w:t xml:space="preserve">-амфетамин при хора, сертралин не е предизвикал позитивни субективни ефекти, показателни за потенциал за злоупотреба. За разлика от това пациентите са оценили значимо по-високо и алпразолам, и </w:t>
      </w:r>
      <w:r w:rsidRPr="00C87C39">
        <w:rPr>
          <w:rFonts w:eastAsia="Times New Roman" w:cs="Arial"/>
          <w:bCs/>
          <w:color w:val="000000"/>
          <w:szCs w:val="20"/>
          <w:lang w:val="en-US"/>
        </w:rPr>
        <w:t>d</w:t>
      </w:r>
      <w:r w:rsidRPr="00C87C39">
        <w:rPr>
          <w:rFonts w:eastAsia="Times New Roman" w:cs="Arial"/>
          <w:bCs/>
          <w:color w:val="000000"/>
          <w:szCs w:val="20"/>
          <w:lang w:eastAsia="bg-BG"/>
        </w:rPr>
        <w:t xml:space="preserve">-амфетамин в сравнение с плацебо по показатели като харесване на лекарството, еуфория и потенциал за злоупотреба. Сертралин не е предизвикал нито стимулация и тревожност, свързани с приложението на </w:t>
      </w:r>
      <w:r w:rsidRPr="00C87C39">
        <w:rPr>
          <w:rFonts w:eastAsia="Times New Roman" w:cs="Arial"/>
          <w:bCs/>
          <w:color w:val="000000"/>
          <w:szCs w:val="20"/>
          <w:lang w:val="en-US"/>
        </w:rPr>
        <w:t>d</w:t>
      </w:r>
      <w:r w:rsidRPr="00C87C39">
        <w:rPr>
          <w:rFonts w:eastAsia="Times New Roman" w:cs="Arial"/>
          <w:bCs/>
          <w:color w:val="000000"/>
          <w:szCs w:val="20"/>
          <w:lang w:eastAsia="bg-BG"/>
        </w:rPr>
        <w:t xml:space="preserve">-амфетамин, нито седация и психомоторно нарушение, свързани с приложението на алпразолам. Приложен при резус-маймуни, обучени да приемат сами кокаин, сертралин не е стимулирал приемането на опиата, нито пък е могъл да замести като дискриминативен стимул </w:t>
      </w:r>
      <w:r w:rsidRPr="00C87C39">
        <w:rPr>
          <w:rFonts w:eastAsia="Times New Roman" w:cs="Arial"/>
          <w:bCs/>
          <w:color w:val="000000"/>
          <w:szCs w:val="20"/>
          <w:lang w:val="en-US"/>
        </w:rPr>
        <w:t>d</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амфетамин или фенобарбитал.</w:t>
      </w:r>
    </w:p>
    <w:p w14:paraId="0A58A159" w14:textId="77777777" w:rsidR="009C60F5" w:rsidRPr="00C87C39" w:rsidRDefault="009C60F5" w:rsidP="009C60F5">
      <w:pPr>
        <w:spacing w:line="240" w:lineRule="auto"/>
        <w:rPr>
          <w:rFonts w:eastAsia="Times New Roman" w:cs="Arial"/>
          <w:bCs/>
          <w:color w:val="000000"/>
          <w:szCs w:val="20"/>
          <w:u w:val="single"/>
          <w:lang w:eastAsia="bg-BG"/>
        </w:rPr>
      </w:pPr>
    </w:p>
    <w:p w14:paraId="53DEC6BF" w14:textId="37B087DB"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Клинична ефикасност и безопасност</w:t>
      </w:r>
    </w:p>
    <w:p w14:paraId="53351D43" w14:textId="77777777" w:rsidR="009C60F5" w:rsidRPr="00C87C39" w:rsidRDefault="009C60F5" w:rsidP="009C60F5">
      <w:pPr>
        <w:spacing w:line="240" w:lineRule="auto"/>
        <w:rPr>
          <w:rFonts w:eastAsia="Times New Roman" w:cs="Arial"/>
          <w:bCs/>
          <w:i/>
          <w:iCs/>
          <w:color w:val="000000"/>
          <w:szCs w:val="20"/>
          <w:u w:val="single"/>
          <w:lang w:eastAsia="bg-BG"/>
        </w:rPr>
      </w:pPr>
    </w:p>
    <w:p w14:paraId="247B6581" w14:textId="25D76472"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i/>
          <w:iCs/>
          <w:color w:val="000000"/>
          <w:szCs w:val="20"/>
          <w:u w:val="single"/>
          <w:lang w:eastAsia="bg-BG"/>
        </w:rPr>
        <w:t>Голямо депресивно разстройство</w:t>
      </w:r>
    </w:p>
    <w:p w14:paraId="2CF1D0B8"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Проведено е клинично проучване при депресивни амбулаторни пациенти, при които е настъпил ефект до края на началната 8-седмична открита фаза на лечение със сертралин 50- 200 </w:t>
      </w:r>
      <w:r w:rsidRPr="00C87C39">
        <w:rPr>
          <w:rFonts w:eastAsia="Times New Roman" w:cs="Arial"/>
          <w:bCs/>
          <w:color w:val="000000"/>
          <w:szCs w:val="20"/>
          <w:lang w:val="en-US"/>
        </w:rPr>
        <w:t>mg</w:t>
      </w:r>
      <w:r w:rsidRPr="00C87C39">
        <w:rPr>
          <w:rFonts w:eastAsia="Times New Roman" w:cs="Arial"/>
          <w:bCs/>
          <w:color w:val="000000"/>
          <w:szCs w:val="20"/>
          <w:lang w:eastAsia="bg-BG"/>
        </w:rPr>
        <w:t xml:space="preserve">/ден. Тези пациенти </w:t>
      </w:r>
      <w:r w:rsidRPr="00C87C39">
        <w:rPr>
          <w:rFonts w:eastAsia="Times New Roman" w:cs="Arial"/>
          <w:bCs/>
          <w:color w:val="000000"/>
          <w:szCs w:val="20"/>
          <w:lang w:val="ru-RU"/>
        </w:rPr>
        <w:t>(</w:t>
      </w:r>
      <w:r w:rsidRPr="00C87C39">
        <w:rPr>
          <w:rFonts w:eastAsia="Times New Roman" w:cs="Arial"/>
          <w:bCs/>
          <w:color w:val="000000"/>
          <w:szCs w:val="20"/>
          <w:lang w:val="en-US"/>
        </w:rPr>
        <w:t>N</w:t>
      </w:r>
      <w:r w:rsidRPr="00C87C39">
        <w:rPr>
          <w:rFonts w:eastAsia="Times New Roman" w:cs="Arial"/>
          <w:bCs/>
          <w:color w:val="000000"/>
          <w:szCs w:val="20"/>
          <w:lang w:val="ru-RU"/>
        </w:rPr>
        <w:t xml:space="preserve">=295) </w:t>
      </w:r>
      <w:r w:rsidRPr="00C87C39">
        <w:rPr>
          <w:rFonts w:eastAsia="Times New Roman" w:cs="Arial"/>
          <w:bCs/>
          <w:color w:val="000000"/>
          <w:szCs w:val="20"/>
          <w:lang w:eastAsia="bg-BG"/>
        </w:rPr>
        <w:t xml:space="preserve">са били рандомизирани да продължат в двойно-сляпо проучване със сертралин 50-200 </w:t>
      </w:r>
      <w:r w:rsidRPr="00C87C39">
        <w:rPr>
          <w:rFonts w:eastAsia="Times New Roman" w:cs="Arial"/>
          <w:bCs/>
          <w:color w:val="000000"/>
          <w:szCs w:val="20"/>
          <w:lang w:val="en-US"/>
        </w:rPr>
        <w:t>mg</w:t>
      </w:r>
      <w:r w:rsidRPr="00C87C39">
        <w:rPr>
          <w:rFonts w:eastAsia="Times New Roman" w:cs="Arial"/>
          <w:bCs/>
          <w:color w:val="000000"/>
          <w:szCs w:val="20"/>
          <w:lang w:eastAsia="bg-BG"/>
        </w:rPr>
        <w:t xml:space="preserve">/ден или плацебо за 44 седмици. Наблюдавана е статистически значимо по-ниска честота на рецидивите при пациентите, приемащи сертралин, в сравнение с приемащите плацебо. Средната доза за пациентите, завършили проучването, е била 70 </w:t>
      </w:r>
      <w:r w:rsidRPr="00C87C39">
        <w:rPr>
          <w:rFonts w:eastAsia="Times New Roman" w:cs="Arial"/>
          <w:bCs/>
          <w:color w:val="000000"/>
          <w:szCs w:val="20"/>
          <w:lang w:val="en-US"/>
        </w:rPr>
        <w:t>mg</w:t>
      </w:r>
      <w:r w:rsidRPr="00C87C39">
        <w:rPr>
          <w:rFonts w:eastAsia="Times New Roman" w:cs="Arial"/>
          <w:bCs/>
          <w:color w:val="000000"/>
          <w:szCs w:val="20"/>
          <w:lang w:eastAsia="bg-BG"/>
        </w:rPr>
        <w:t xml:space="preserve">/ден. Процентът пациенти, повлияли се от </w:t>
      </w:r>
      <w:r w:rsidRPr="00C87C39">
        <w:rPr>
          <w:rFonts w:eastAsia="Times New Roman" w:cs="Arial"/>
          <w:bCs/>
          <w:color w:val="000000"/>
          <w:szCs w:val="20"/>
          <w:lang w:eastAsia="bg-BG"/>
        </w:rPr>
        <w:lastRenderedPageBreak/>
        <w:t>лечението (дефинирани като тези пациенти, при които не е настъпил рецидив), за сертралин и плацебо е бил съответно 83,4% и 60,8%.</w:t>
      </w:r>
    </w:p>
    <w:p w14:paraId="1584E1CE" w14:textId="77777777" w:rsidR="009C60F5" w:rsidRPr="00C87C39" w:rsidRDefault="009C60F5" w:rsidP="009C60F5">
      <w:pPr>
        <w:spacing w:line="240" w:lineRule="auto"/>
        <w:rPr>
          <w:rFonts w:eastAsia="Times New Roman" w:cs="Arial"/>
          <w:bCs/>
          <w:i/>
          <w:iCs/>
          <w:color w:val="000000"/>
          <w:szCs w:val="20"/>
          <w:u w:val="single"/>
          <w:lang w:eastAsia="bg-BG"/>
        </w:rPr>
      </w:pPr>
    </w:p>
    <w:p w14:paraId="53E0E7ED" w14:textId="4A03F96F"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i/>
          <w:iCs/>
          <w:color w:val="000000"/>
          <w:szCs w:val="20"/>
          <w:u w:val="single"/>
          <w:lang w:eastAsia="bg-BG"/>
        </w:rPr>
        <w:t>Посттравматично стресово разстройство (ПТСР)</w:t>
      </w:r>
    </w:p>
    <w:p w14:paraId="762E5B11"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Комбинирани данни от трите проучвания за ПТСР сред общото население установяват по- ниска честота на отговор при мъжете спрямо жените. В двете позитивни проучвания сред общата популация на сертралин спрямо плацебо, честотата на повлияване при мъжете и жените е била сходна (жени: 57,2% спрямо 34,5%; мъже: 53,9% спрямо 38,2%). Броят на мъжете и жените в обединените проучвания сред общата популция е 184 и съответно 430, и резултатите при жените са с по-голяма тежест, а при мъжете се свързват с други характеристики (по-голяма злоупотреба с веществото, по-голяма продължителителност, източник на травмата и т.н.), които корелират с намаления ефект.</w:t>
      </w:r>
    </w:p>
    <w:p w14:paraId="0D57DB5D" w14:textId="77777777" w:rsidR="009C60F5" w:rsidRPr="00C87C39" w:rsidRDefault="009C60F5" w:rsidP="009C60F5">
      <w:pPr>
        <w:spacing w:line="240" w:lineRule="auto"/>
        <w:rPr>
          <w:rFonts w:eastAsia="Times New Roman" w:cs="Arial"/>
          <w:bCs/>
          <w:color w:val="000000"/>
          <w:szCs w:val="20"/>
          <w:u w:val="single"/>
          <w:lang w:eastAsia="bg-BG"/>
        </w:rPr>
      </w:pPr>
    </w:p>
    <w:p w14:paraId="6B68918F" w14:textId="57B6729D"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Педиатрични пациенти с ОКР</w:t>
      </w:r>
    </w:p>
    <w:p w14:paraId="14C7558F" w14:textId="77777777" w:rsidR="009C60F5" w:rsidRPr="00C87C39" w:rsidRDefault="009C60F5" w:rsidP="009C60F5">
      <w:pPr>
        <w:rPr>
          <w:rFonts w:eastAsia="Times New Roman" w:cs="Arial"/>
          <w:sz w:val="28"/>
          <w:szCs w:val="24"/>
          <w:lang w:eastAsia="bg-BG"/>
        </w:rPr>
      </w:pPr>
      <w:r w:rsidRPr="00C87C39">
        <w:rPr>
          <w:rFonts w:eastAsia="Times New Roman" w:cs="Arial"/>
          <w:bCs/>
          <w:color w:val="000000"/>
          <w:szCs w:val="20"/>
          <w:lang w:eastAsia="bg-BG"/>
        </w:rPr>
        <w:t xml:space="preserve">Безопасността и ефикасността на сертралин (50-200 </w:t>
      </w:r>
      <w:r w:rsidRPr="00C87C39">
        <w:rPr>
          <w:rFonts w:eastAsia="Times New Roman" w:cs="Arial"/>
          <w:bCs/>
          <w:color w:val="000000"/>
          <w:szCs w:val="20"/>
          <w:lang w:val="en-US"/>
        </w:rPr>
        <w:t>mg</w:t>
      </w:r>
      <w:r w:rsidRPr="00C87C39">
        <w:rPr>
          <w:rFonts w:eastAsia="Times New Roman" w:cs="Arial"/>
          <w:bCs/>
          <w:color w:val="000000"/>
          <w:szCs w:val="20"/>
          <w:lang w:eastAsia="bg-BG"/>
        </w:rPr>
        <w:t>/ден) са изследвани при лечение на амбулаторно болни деца (6-12-годишни) и юноши (13-17-годишни)</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са изследвани при лечение на обсесивно- компулсивно разстройство (ОКР). След едноседмично единично-сляпо плацебо въведение, пациентите са рандомизирани на дванайсетседмично лечение с гъвкав дозов режим със сертралин или плацебо. Децата (6-12-годишки) са започнали с първоначална доза от 25 </w:t>
      </w:r>
      <w:r w:rsidRPr="00C87C39">
        <w:rPr>
          <w:rFonts w:eastAsia="Times New Roman" w:cs="Arial"/>
          <w:bCs/>
          <w:color w:val="000000"/>
          <w:szCs w:val="20"/>
          <w:lang w:val="en-US"/>
        </w:rPr>
        <w:t>mg</w:t>
      </w:r>
      <w:r w:rsidRPr="00C87C39">
        <w:rPr>
          <w:rFonts w:eastAsia="Times New Roman" w:cs="Arial"/>
          <w:bCs/>
          <w:color w:val="000000"/>
          <w:szCs w:val="20"/>
        </w:rPr>
        <w:t>.</w:t>
      </w:r>
    </w:p>
    <w:p w14:paraId="3E29FDEE"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Пациентите, рандомизирани на сертралин, са показали значимо по-голямо подобрение от рандомизираните на плацебо по </w:t>
      </w:r>
      <w:r w:rsidRPr="00C87C39">
        <w:rPr>
          <w:rFonts w:eastAsia="Times New Roman" w:cs="Arial"/>
          <w:bCs/>
          <w:color w:val="000000"/>
          <w:szCs w:val="20"/>
          <w:lang w:val="en-US"/>
        </w:rPr>
        <w:t>Children</w:t>
      </w:r>
      <w:r w:rsidRPr="00C87C39">
        <w:rPr>
          <w:rFonts w:eastAsia="Times New Roman" w:cs="Arial"/>
          <w:bCs/>
          <w:color w:val="000000"/>
          <w:szCs w:val="20"/>
        </w:rPr>
        <w:t>'</w:t>
      </w:r>
      <w:r w:rsidRPr="00C87C39">
        <w:rPr>
          <w:rFonts w:eastAsia="Times New Roman" w:cs="Arial"/>
          <w:bCs/>
          <w:color w:val="000000"/>
          <w:szCs w:val="20"/>
          <w:lang w:val="en-US"/>
        </w:rPr>
        <w:t>s</w:t>
      </w:r>
      <w:r w:rsidRPr="00C87C39">
        <w:rPr>
          <w:rFonts w:eastAsia="Times New Roman" w:cs="Arial"/>
          <w:bCs/>
          <w:color w:val="000000"/>
          <w:szCs w:val="20"/>
        </w:rPr>
        <w:t xml:space="preserve"> </w:t>
      </w:r>
      <w:r w:rsidRPr="00C87C39">
        <w:rPr>
          <w:rFonts w:eastAsia="Times New Roman" w:cs="Arial"/>
          <w:bCs/>
          <w:color w:val="000000"/>
          <w:szCs w:val="20"/>
          <w:lang w:val="en-US"/>
        </w:rPr>
        <w:t>Yale</w:t>
      </w:r>
      <w:r w:rsidRPr="00C87C39">
        <w:rPr>
          <w:rFonts w:eastAsia="Times New Roman" w:cs="Arial"/>
          <w:bCs/>
          <w:color w:val="000000"/>
          <w:szCs w:val="20"/>
        </w:rPr>
        <w:t>-</w:t>
      </w:r>
      <w:r w:rsidRPr="00C87C39">
        <w:rPr>
          <w:rFonts w:eastAsia="Times New Roman" w:cs="Arial"/>
          <w:bCs/>
          <w:color w:val="000000"/>
          <w:szCs w:val="20"/>
          <w:lang w:val="en-US"/>
        </w:rPr>
        <w:t>Brown</w:t>
      </w:r>
      <w:r w:rsidRPr="00C87C39">
        <w:rPr>
          <w:rFonts w:eastAsia="Times New Roman" w:cs="Arial"/>
          <w:bCs/>
          <w:color w:val="000000"/>
          <w:szCs w:val="20"/>
        </w:rPr>
        <w:t xml:space="preserve"> </w:t>
      </w:r>
      <w:r w:rsidRPr="00C87C39">
        <w:rPr>
          <w:rFonts w:eastAsia="Times New Roman" w:cs="Arial"/>
          <w:bCs/>
          <w:color w:val="000000"/>
          <w:szCs w:val="20"/>
          <w:lang w:val="en-US"/>
        </w:rPr>
        <w:t>Obsessive</w:t>
      </w:r>
      <w:r w:rsidRPr="00C87C39">
        <w:rPr>
          <w:rFonts w:eastAsia="Times New Roman" w:cs="Arial"/>
          <w:bCs/>
          <w:color w:val="000000"/>
          <w:szCs w:val="20"/>
        </w:rPr>
        <w:t xml:space="preserve"> </w:t>
      </w:r>
      <w:r w:rsidRPr="00C87C39">
        <w:rPr>
          <w:rFonts w:eastAsia="Times New Roman" w:cs="Arial"/>
          <w:bCs/>
          <w:color w:val="000000"/>
          <w:szCs w:val="20"/>
          <w:lang w:val="en-US"/>
        </w:rPr>
        <w:t>Compulsive</w:t>
      </w:r>
      <w:r w:rsidRPr="00C87C39">
        <w:rPr>
          <w:rFonts w:eastAsia="Times New Roman" w:cs="Arial"/>
          <w:bCs/>
          <w:color w:val="000000"/>
          <w:szCs w:val="20"/>
        </w:rPr>
        <w:t xml:space="preserve"> </w:t>
      </w:r>
      <w:r w:rsidRPr="00C87C39">
        <w:rPr>
          <w:rFonts w:eastAsia="Times New Roman" w:cs="Arial"/>
          <w:bCs/>
          <w:color w:val="000000"/>
          <w:szCs w:val="20"/>
          <w:lang w:val="en-US"/>
        </w:rPr>
        <w:t>Scale</w:t>
      </w:r>
      <w:r w:rsidRPr="00C87C39">
        <w:rPr>
          <w:rFonts w:eastAsia="Times New Roman" w:cs="Arial"/>
          <w:bCs/>
          <w:color w:val="000000"/>
          <w:szCs w:val="20"/>
        </w:rPr>
        <w:t xml:space="preserve"> </w:t>
      </w:r>
      <w:r w:rsidRPr="00C87C39">
        <w:rPr>
          <w:rFonts w:eastAsia="Times New Roman" w:cs="Arial"/>
          <w:bCs/>
          <w:color w:val="000000"/>
          <w:szCs w:val="20"/>
          <w:lang w:val="en-US"/>
        </w:rPr>
        <w:t>CY</w:t>
      </w:r>
      <w:r w:rsidRPr="00C87C39">
        <w:rPr>
          <w:rFonts w:eastAsia="Times New Roman" w:cs="Arial"/>
          <w:bCs/>
          <w:color w:val="000000"/>
          <w:szCs w:val="20"/>
        </w:rPr>
        <w:t>-</w:t>
      </w:r>
      <w:r w:rsidRPr="00C87C39">
        <w:rPr>
          <w:rFonts w:eastAsia="Times New Roman" w:cs="Arial"/>
          <w:bCs/>
          <w:color w:val="000000"/>
          <w:szCs w:val="20"/>
          <w:lang w:val="en-US"/>
        </w:rPr>
        <w:t>BOCS</w:t>
      </w:r>
      <w:r w:rsidRPr="00C87C39">
        <w:rPr>
          <w:rFonts w:eastAsia="Times New Roman" w:cs="Arial"/>
          <w:bCs/>
          <w:color w:val="000000"/>
          <w:szCs w:val="20"/>
        </w:rPr>
        <w:t xml:space="preserve"> (</w:t>
      </w:r>
      <w:r w:rsidRPr="00C87C39">
        <w:rPr>
          <w:rFonts w:eastAsia="Times New Roman" w:cs="Arial"/>
          <w:bCs/>
          <w:color w:val="000000"/>
          <w:szCs w:val="20"/>
          <w:lang w:val="en-US"/>
        </w:rPr>
        <w:t>p</w:t>
      </w:r>
      <w:r w:rsidRPr="00C87C39">
        <w:rPr>
          <w:rFonts w:eastAsia="Times New Roman" w:cs="Arial"/>
          <w:bCs/>
          <w:color w:val="000000"/>
          <w:szCs w:val="20"/>
        </w:rPr>
        <w:t xml:space="preserve">=0,005), </w:t>
      </w:r>
      <w:r w:rsidRPr="00C87C39">
        <w:rPr>
          <w:rFonts w:eastAsia="Times New Roman" w:cs="Arial"/>
          <w:bCs/>
          <w:color w:val="000000"/>
          <w:szCs w:val="20"/>
          <w:lang w:val="en-US"/>
        </w:rPr>
        <w:t>NIMH</w:t>
      </w:r>
      <w:r w:rsidRPr="00C87C39">
        <w:rPr>
          <w:rFonts w:eastAsia="Times New Roman" w:cs="Arial"/>
          <w:bCs/>
          <w:color w:val="000000"/>
          <w:szCs w:val="20"/>
        </w:rPr>
        <w:t xml:space="preserve"> </w:t>
      </w:r>
      <w:r w:rsidRPr="00C87C39">
        <w:rPr>
          <w:rFonts w:eastAsia="Times New Roman" w:cs="Arial"/>
          <w:bCs/>
          <w:color w:val="000000"/>
          <w:szCs w:val="20"/>
          <w:lang w:val="en-US"/>
        </w:rPr>
        <w:t>Global</w:t>
      </w:r>
      <w:r w:rsidRPr="00C87C39">
        <w:rPr>
          <w:rFonts w:eastAsia="Times New Roman" w:cs="Arial"/>
          <w:bCs/>
          <w:color w:val="000000"/>
          <w:szCs w:val="20"/>
        </w:rPr>
        <w:t xml:space="preserve"> </w:t>
      </w:r>
      <w:r w:rsidRPr="00C87C39">
        <w:rPr>
          <w:rFonts w:eastAsia="Times New Roman" w:cs="Arial"/>
          <w:bCs/>
          <w:color w:val="000000"/>
          <w:szCs w:val="20"/>
          <w:lang w:val="en-US"/>
        </w:rPr>
        <w:t>Obsessive</w:t>
      </w:r>
      <w:r w:rsidRPr="00C87C39">
        <w:rPr>
          <w:rFonts w:eastAsia="Times New Roman" w:cs="Arial"/>
          <w:bCs/>
          <w:color w:val="000000"/>
          <w:szCs w:val="20"/>
        </w:rPr>
        <w:t xml:space="preserve"> </w:t>
      </w:r>
      <w:r w:rsidRPr="00C87C39">
        <w:rPr>
          <w:rFonts w:eastAsia="Times New Roman" w:cs="Arial"/>
          <w:bCs/>
          <w:color w:val="000000"/>
          <w:szCs w:val="20"/>
          <w:lang w:val="en-US"/>
        </w:rPr>
        <w:t>Compulsive</w:t>
      </w:r>
      <w:r w:rsidRPr="00C87C39">
        <w:rPr>
          <w:rFonts w:eastAsia="Times New Roman" w:cs="Arial"/>
          <w:bCs/>
          <w:color w:val="000000"/>
          <w:szCs w:val="20"/>
        </w:rPr>
        <w:t xml:space="preserve"> </w:t>
      </w:r>
      <w:r w:rsidRPr="00C87C39">
        <w:rPr>
          <w:rFonts w:eastAsia="Times New Roman" w:cs="Arial"/>
          <w:bCs/>
          <w:color w:val="000000"/>
          <w:szCs w:val="20"/>
          <w:lang w:val="en-US"/>
        </w:rPr>
        <w:t>Scale</w:t>
      </w:r>
      <w:r w:rsidRPr="00C87C39">
        <w:rPr>
          <w:rFonts w:eastAsia="Times New Roman" w:cs="Arial"/>
          <w:bCs/>
          <w:color w:val="000000"/>
          <w:szCs w:val="20"/>
        </w:rPr>
        <w:t xml:space="preserve"> (</w:t>
      </w:r>
      <w:r w:rsidRPr="00C87C39">
        <w:rPr>
          <w:rFonts w:eastAsia="Times New Roman" w:cs="Arial"/>
          <w:bCs/>
          <w:color w:val="000000"/>
          <w:szCs w:val="20"/>
          <w:lang w:val="en-US"/>
        </w:rPr>
        <w:t>p</w:t>
      </w:r>
      <w:r w:rsidRPr="00C87C39">
        <w:rPr>
          <w:rFonts w:eastAsia="Times New Roman" w:cs="Arial"/>
          <w:bCs/>
          <w:color w:val="000000"/>
          <w:szCs w:val="20"/>
        </w:rPr>
        <w:t xml:space="preserve">=0,019) </w:t>
      </w:r>
      <w:r w:rsidRPr="00C87C39">
        <w:rPr>
          <w:rFonts w:eastAsia="Times New Roman" w:cs="Arial"/>
          <w:bCs/>
          <w:color w:val="000000"/>
          <w:szCs w:val="20"/>
          <w:lang w:eastAsia="bg-BG"/>
        </w:rPr>
        <w:t xml:space="preserve">и </w:t>
      </w:r>
      <w:r w:rsidRPr="00C87C39">
        <w:rPr>
          <w:rFonts w:eastAsia="Times New Roman" w:cs="Arial"/>
          <w:bCs/>
          <w:color w:val="000000"/>
          <w:szCs w:val="20"/>
          <w:lang w:val="en-US"/>
        </w:rPr>
        <w:t>CGI</w:t>
      </w:r>
      <w:r w:rsidRPr="00C87C39">
        <w:rPr>
          <w:rFonts w:eastAsia="Times New Roman" w:cs="Arial"/>
          <w:bCs/>
          <w:color w:val="000000"/>
          <w:szCs w:val="20"/>
        </w:rPr>
        <w:t xml:space="preserve"> (</w:t>
      </w:r>
      <w:r w:rsidRPr="00C87C39">
        <w:rPr>
          <w:rFonts w:eastAsia="Times New Roman" w:cs="Arial"/>
          <w:bCs/>
          <w:color w:val="000000"/>
          <w:szCs w:val="20"/>
          <w:lang w:val="en-US"/>
        </w:rPr>
        <w:t>Clinical</w:t>
      </w:r>
      <w:r w:rsidRPr="00C87C39">
        <w:rPr>
          <w:rFonts w:eastAsia="Times New Roman" w:cs="Arial"/>
          <w:bCs/>
          <w:color w:val="000000"/>
          <w:szCs w:val="20"/>
        </w:rPr>
        <w:t xml:space="preserve"> </w:t>
      </w:r>
      <w:r w:rsidRPr="00C87C39">
        <w:rPr>
          <w:rFonts w:eastAsia="Times New Roman" w:cs="Arial"/>
          <w:bCs/>
          <w:color w:val="000000"/>
          <w:szCs w:val="20"/>
          <w:lang w:val="en-US"/>
        </w:rPr>
        <w:t>Global</w:t>
      </w:r>
      <w:r w:rsidRPr="00C87C39">
        <w:rPr>
          <w:rFonts w:eastAsia="Times New Roman" w:cs="Arial"/>
          <w:bCs/>
          <w:color w:val="000000"/>
          <w:szCs w:val="20"/>
        </w:rPr>
        <w:t xml:space="preserve"> </w:t>
      </w:r>
      <w:r w:rsidRPr="00C87C39">
        <w:rPr>
          <w:rFonts w:eastAsia="Times New Roman" w:cs="Arial"/>
          <w:bCs/>
          <w:color w:val="000000"/>
          <w:szCs w:val="20"/>
          <w:lang w:val="en-US"/>
        </w:rPr>
        <w:t>Impressions</w:t>
      </w:r>
      <w:r w:rsidRPr="00C87C39">
        <w:rPr>
          <w:rFonts w:eastAsia="Times New Roman" w:cs="Arial"/>
          <w:bCs/>
          <w:color w:val="000000"/>
          <w:szCs w:val="20"/>
        </w:rPr>
        <w:t xml:space="preserve">) </w:t>
      </w:r>
      <w:r w:rsidRPr="00C87C39">
        <w:rPr>
          <w:rFonts w:eastAsia="Times New Roman" w:cs="Arial"/>
          <w:bCs/>
          <w:color w:val="000000"/>
          <w:szCs w:val="20"/>
          <w:lang w:val="en-US"/>
        </w:rPr>
        <w:t>Improvement</w:t>
      </w:r>
      <w:r w:rsidRPr="00C87C39">
        <w:rPr>
          <w:rFonts w:eastAsia="Times New Roman" w:cs="Arial"/>
          <w:bCs/>
          <w:color w:val="000000"/>
          <w:szCs w:val="20"/>
        </w:rPr>
        <w:t xml:space="preserve"> </w:t>
      </w:r>
      <w:r w:rsidRPr="00C87C39">
        <w:rPr>
          <w:rFonts w:eastAsia="Times New Roman" w:cs="Arial"/>
          <w:bCs/>
          <w:color w:val="000000"/>
          <w:szCs w:val="20"/>
          <w:lang w:val="en-US"/>
        </w:rPr>
        <w:t>scales</w:t>
      </w:r>
      <w:r w:rsidRPr="00C87C39">
        <w:rPr>
          <w:rFonts w:eastAsia="Times New Roman" w:cs="Arial"/>
          <w:bCs/>
          <w:color w:val="000000"/>
          <w:szCs w:val="20"/>
        </w:rPr>
        <w:t xml:space="preserve"> (</w:t>
      </w:r>
      <w:r w:rsidRPr="00C87C39">
        <w:rPr>
          <w:rFonts w:eastAsia="Times New Roman" w:cs="Arial"/>
          <w:bCs/>
          <w:color w:val="000000"/>
          <w:szCs w:val="20"/>
          <w:lang w:val="en-US"/>
        </w:rPr>
        <w:t>p</w:t>
      </w:r>
      <w:r w:rsidRPr="00C87C39">
        <w:rPr>
          <w:rFonts w:eastAsia="Times New Roman" w:cs="Arial"/>
          <w:bCs/>
          <w:color w:val="000000"/>
          <w:szCs w:val="20"/>
        </w:rPr>
        <w:t xml:space="preserve">=0,002). </w:t>
      </w:r>
      <w:r w:rsidRPr="00C87C39">
        <w:rPr>
          <w:rFonts w:eastAsia="Times New Roman" w:cs="Arial"/>
          <w:bCs/>
          <w:color w:val="000000"/>
          <w:szCs w:val="20"/>
          <w:lang w:eastAsia="bg-BG"/>
        </w:rPr>
        <w:t xml:space="preserve">Освен това, тенденция към по-голямо подобрение в групата на сертралин спрямо групата на плацебо е наблюдавана също и по </w:t>
      </w:r>
      <w:r w:rsidRPr="00C87C39">
        <w:rPr>
          <w:rFonts w:eastAsia="Times New Roman" w:cs="Arial"/>
          <w:bCs/>
          <w:color w:val="000000"/>
          <w:szCs w:val="20"/>
          <w:lang w:val="en-US"/>
        </w:rPr>
        <w:t>CGI</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Severity</w:t>
      </w:r>
      <w:r w:rsidRPr="00C87C39">
        <w:rPr>
          <w:rFonts w:eastAsia="Times New Roman" w:cs="Arial"/>
          <w:bCs/>
          <w:color w:val="000000"/>
          <w:szCs w:val="20"/>
          <w:lang w:val="ru-RU"/>
        </w:rPr>
        <w:t xml:space="preserve"> </w:t>
      </w:r>
      <w:r w:rsidRPr="00C87C39">
        <w:rPr>
          <w:rFonts w:eastAsia="Times New Roman" w:cs="Arial"/>
          <w:bCs/>
          <w:color w:val="000000"/>
          <w:szCs w:val="20"/>
          <w:lang w:val="en-US"/>
        </w:rPr>
        <w:t>scale</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(р=0,089). По </w:t>
      </w:r>
      <w:r w:rsidRPr="00C87C39">
        <w:rPr>
          <w:rFonts w:eastAsia="Times New Roman" w:cs="Arial"/>
          <w:bCs/>
          <w:color w:val="000000"/>
          <w:szCs w:val="20"/>
          <w:lang w:val="en-US"/>
        </w:rPr>
        <w:t>CY</w:t>
      </w:r>
      <w:r w:rsidRPr="00C87C39">
        <w:rPr>
          <w:rFonts w:eastAsia="Times New Roman" w:cs="Arial"/>
          <w:bCs/>
          <w:color w:val="000000"/>
          <w:szCs w:val="20"/>
          <w:lang w:val="ru-RU"/>
        </w:rPr>
        <w:t>-</w:t>
      </w:r>
      <w:r w:rsidRPr="00C87C39">
        <w:rPr>
          <w:rFonts w:eastAsia="Times New Roman" w:cs="Arial"/>
          <w:bCs/>
          <w:color w:val="000000"/>
          <w:szCs w:val="20"/>
          <w:lang w:val="en-US"/>
        </w:rPr>
        <w:t>BOCs</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средната изходна стойност и промяната от изходните стойности за плацебо групата са 22,25 ± 6,15 и -3,4 ± 0,82, респективно, а за групата на сертралин са 23,36 ± 4,56 и -6.8+0.87, респективно.</w:t>
      </w:r>
    </w:p>
    <w:p w14:paraId="6BFF6907"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При </w:t>
      </w:r>
      <w:r w:rsidRPr="00C87C39">
        <w:rPr>
          <w:rFonts w:eastAsia="Times New Roman" w:cs="Arial"/>
          <w:bCs/>
          <w:color w:val="000000"/>
          <w:szCs w:val="20"/>
          <w:lang w:val="en-US"/>
        </w:rPr>
        <w:t>post</w:t>
      </w:r>
      <w:r w:rsidRPr="00C87C39">
        <w:rPr>
          <w:rFonts w:eastAsia="Times New Roman" w:cs="Arial"/>
          <w:bCs/>
          <w:color w:val="000000"/>
          <w:szCs w:val="20"/>
          <w:lang w:val="ru-RU"/>
        </w:rPr>
        <w:t>-</w:t>
      </w:r>
      <w:r w:rsidRPr="00C87C39">
        <w:rPr>
          <w:rFonts w:eastAsia="Times New Roman" w:cs="Arial"/>
          <w:bCs/>
          <w:color w:val="000000"/>
          <w:szCs w:val="20"/>
          <w:lang w:val="en-US"/>
        </w:rPr>
        <w:t>hoc</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анализа, пациентите повлияни от лечението и дефинирани като пациенти с понижение от 25% или повече по </w:t>
      </w:r>
      <w:r w:rsidRPr="00C87C39">
        <w:rPr>
          <w:rFonts w:eastAsia="Times New Roman" w:cs="Arial"/>
          <w:bCs/>
          <w:color w:val="000000"/>
          <w:szCs w:val="20"/>
          <w:lang w:val="en-US"/>
        </w:rPr>
        <w:t>CY</w:t>
      </w:r>
      <w:r w:rsidRPr="00C87C39">
        <w:rPr>
          <w:rFonts w:eastAsia="Times New Roman" w:cs="Arial"/>
          <w:bCs/>
          <w:color w:val="000000"/>
          <w:szCs w:val="20"/>
          <w:lang w:val="ru-RU"/>
        </w:rPr>
        <w:t>-</w:t>
      </w:r>
      <w:r w:rsidRPr="00C87C39">
        <w:rPr>
          <w:rFonts w:eastAsia="Times New Roman" w:cs="Arial"/>
          <w:bCs/>
          <w:color w:val="000000"/>
          <w:szCs w:val="20"/>
          <w:lang w:val="en-US"/>
        </w:rPr>
        <w:t>BOCS</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(основният критерий за ефикасност) от изходното ниво до крайната точка, са били 53% от пациентите на сертралин спрямо 37% от пациентите на плацебо (р=0,03).</w:t>
      </w:r>
    </w:p>
    <w:p w14:paraId="044E13E8" w14:textId="77777777" w:rsidR="009C60F5" w:rsidRPr="00C87C39" w:rsidRDefault="009C60F5" w:rsidP="009C60F5">
      <w:pPr>
        <w:spacing w:line="240" w:lineRule="auto"/>
        <w:rPr>
          <w:rFonts w:eastAsia="Times New Roman" w:cs="Arial"/>
          <w:bCs/>
          <w:color w:val="000000"/>
          <w:szCs w:val="20"/>
          <w:lang w:eastAsia="bg-BG"/>
        </w:rPr>
      </w:pPr>
    </w:p>
    <w:p w14:paraId="406D1C04" w14:textId="04993334"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Липсват дългосрочни изпитвания за безопасност и ефикасност при педиатрични пациенти.</w:t>
      </w:r>
    </w:p>
    <w:p w14:paraId="28F61BE7" w14:textId="77777777" w:rsidR="009C60F5" w:rsidRPr="00C87C39" w:rsidRDefault="009C60F5" w:rsidP="009C60F5">
      <w:pPr>
        <w:spacing w:line="240" w:lineRule="auto"/>
        <w:rPr>
          <w:rFonts w:eastAsia="Times New Roman" w:cs="Arial"/>
          <w:bCs/>
          <w:color w:val="000000"/>
          <w:szCs w:val="20"/>
          <w:u w:val="single"/>
          <w:lang w:eastAsia="bg-BG"/>
        </w:rPr>
      </w:pPr>
    </w:p>
    <w:p w14:paraId="34D8A3A4" w14:textId="0D6CFB6C"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Педиатрична популапия</w:t>
      </w:r>
    </w:p>
    <w:p w14:paraId="692F6F89" w14:textId="760A8A6A" w:rsidR="009C60F5" w:rsidRPr="00C87C39" w:rsidRDefault="009C60F5" w:rsidP="009C60F5">
      <w:pPr>
        <w:rPr>
          <w:rFonts w:cs="Arial"/>
          <w:sz w:val="24"/>
        </w:rPr>
      </w:pPr>
      <w:r w:rsidRPr="00C87C39">
        <w:rPr>
          <w:rFonts w:eastAsia="Times New Roman" w:cs="Arial"/>
          <w:bCs/>
          <w:color w:val="000000"/>
          <w:szCs w:val="20"/>
          <w:lang w:eastAsia="bg-BG"/>
        </w:rPr>
        <w:t>Няма данни за деца под 6 години.</w:t>
      </w:r>
    </w:p>
    <w:p w14:paraId="36152471" w14:textId="77777777" w:rsidR="0091385D" w:rsidRPr="00C87C39" w:rsidRDefault="0091385D" w:rsidP="0091385D"/>
    <w:p w14:paraId="5031193D" w14:textId="408B9A83" w:rsidR="0091385D" w:rsidRPr="00C87C39" w:rsidRDefault="002C50EE" w:rsidP="007A2185">
      <w:pPr>
        <w:pStyle w:val="Heading2"/>
      </w:pPr>
      <w:r w:rsidRPr="00C87C39">
        <w:t>5.2. Фармакокинетични свойства</w:t>
      </w:r>
    </w:p>
    <w:p w14:paraId="46B35D05" w14:textId="6A0462F4" w:rsidR="007A2185" w:rsidRPr="00C87C39" w:rsidRDefault="007A2185" w:rsidP="007A2185"/>
    <w:p w14:paraId="60151DE2" w14:textId="77777777" w:rsidR="009C60F5" w:rsidRPr="00C87C39" w:rsidRDefault="009C60F5" w:rsidP="009C60F5">
      <w:pPr>
        <w:pStyle w:val="Heading3"/>
        <w:rPr>
          <w:rFonts w:eastAsia="Times New Roman"/>
          <w:sz w:val="28"/>
          <w:u w:val="single"/>
          <w:lang w:eastAsia="bg-BG"/>
        </w:rPr>
      </w:pPr>
      <w:r w:rsidRPr="00C87C39">
        <w:rPr>
          <w:rFonts w:eastAsia="Times New Roman"/>
          <w:u w:val="single"/>
          <w:lang w:eastAsia="bg-BG"/>
        </w:rPr>
        <w:t>Абсорбция</w:t>
      </w:r>
    </w:p>
    <w:p w14:paraId="2528558C"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При хора след перорално еднократно дневно приложение на 50-200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в продължение на 14 дни, максимални плазмени концентрации се достигат между 4,5 - 8,4 часа след приема.</w:t>
      </w:r>
    </w:p>
    <w:p w14:paraId="1766ABA9"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Храната не променя значимо бионаличността на таблетките сертралин.</w:t>
      </w:r>
    </w:p>
    <w:p w14:paraId="69B0ABA2" w14:textId="77777777" w:rsidR="009C60F5" w:rsidRPr="00C87C39" w:rsidRDefault="009C60F5" w:rsidP="009C60F5">
      <w:pPr>
        <w:spacing w:line="240" w:lineRule="auto"/>
        <w:rPr>
          <w:rFonts w:eastAsia="Times New Roman" w:cs="Arial"/>
          <w:bCs/>
          <w:color w:val="000000"/>
          <w:szCs w:val="20"/>
          <w:u w:val="single"/>
          <w:lang w:eastAsia="bg-BG"/>
        </w:rPr>
      </w:pPr>
    </w:p>
    <w:p w14:paraId="58D43707" w14:textId="16D44D93" w:rsidR="009C60F5" w:rsidRPr="00C87C39" w:rsidRDefault="009C60F5" w:rsidP="009C60F5">
      <w:pPr>
        <w:pStyle w:val="Heading3"/>
        <w:rPr>
          <w:rFonts w:eastAsia="Times New Roman"/>
          <w:sz w:val="28"/>
          <w:u w:val="single"/>
          <w:lang w:eastAsia="bg-BG"/>
        </w:rPr>
      </w:pPr>
      <w:r w:rsidRPr="00C87C39">
        <w:rPr>
          <w:rFonts w:eastAsia="Times New Roman"/>
          <w:u w:val="single"/>
          <w:lang w:eastAsia="bg-BG"/>
        </w:rPr>
        <w:lastRenderedPageBreak/>
        <w:t>Разпределение</w:t>
      </w:r>
    </w:p>
    <w:p w14:paraId="604FF011"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Приблизително 98% от циркулиращото в системното кръвообращение лекарство е свързано с плазмените протеини.</w:t>
      </w:r>
    </w:p>
    <w:p w14:paraId="59FB4008" w14:textId="77777777" w:rsidR="009C60F5" w:rsidRPr="00C87C39" w:rsidRDefault="009C60F5" w:rsidP="009C60F5">
      <w:pPr>
        <w:spacing w:line="240" w:lineRule="auto"/>
        <w:rPr>
          <w:rFonts w:eastAsia="Times New Roman" w:cs="Arial"/>
          <w:bCs/>
          <w:color w:val="000000"/>
          <w:szCs w:val="20"/>
          <w:u w:val="single"/>
          <w:lang w:eastAsia="bg-BG"/>
        </w:rPr>
      </w:pPr>
    </w:p>
    <w:p w14:paraId="75B9A4EC" w14:textId="381A09EB" w:rsidR="009C60F5" w:rsidRPr="00C87C39" w:rsidRDefault="009C60F5" w:rsidP="009C60F5">
      <w:pPr>
        <w:pStyle w:val="Heading3"/>
        <w:rPr>
          <w:rFonts w:eastAsia="Times New Roman"/>
          <w:sz w:val="28"/>
          <w:u w:val="single"/>
          <w:lang w:eastAsia="bg-BG"/>
        </w:rPr>
      </w:pPr>
      <w:r w:rsidRPr="00C87C39">
        <w:rPr>
          <w:rFonts w:eastAsia="Times New Roman"/>
          <w:u w:val="single"/>
          <w:lang w:eastAsia="bg-BG"/>
        </w:rPr>
        <w:t>Биотрансформапия</w:t>
      </w:r>
    </w:p>
    <w:p w14:paraId="6DF8EF63"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Сертралин претърпява значителен метаболизъм при първото си преминаване през черния дроб.</w:t>
      </w:r>
    </w:p>
    <w:p w14:paraId="02049A56"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Въз осново но клинични и </w:t>
      </w:r>
      <w:r w:rsidRPr="00C87C39">
        <w:rPr>
          <w:rFonts w:eastAsia="Times New Roman" w:cs="Arial"/>
          <w:bCs/>
          <w:i/>
          <w:iCs/>
          <w:color w:val="000000"/>
          <w:szCs w:val="20"/>
          <w:lang w:val="en-US"/>
        </w:rPr>
        <w:t>in</w:t>
      </w:r>
      <w:r w:rsidRPr="00C87C39">
        <w:rPr>
          <w:rFonts w:eastAsia="Times New Roman" w:cs="Arial"/>
          <w:bCs/>
          <w:i/>
          <w:iCs/>
          <w:color w:val="000000"/>
          <w:szCs w:val="20"/>
          <w:lang w:val="ru-RU"/>
        </w:rPr>
        <w:t>-</w:t>
      </w:r>
      <w:r w:rsidRPr="00C87C39">
        <w:rPr>
          <w:rFonts w:eastAsia="Times New Roman" w:cs="Arial"/>
          <w:bCs/>
          <w:i/>
          <w:iCs/>
          <w:color w:val="000000"/>
          <w:szCs w:val="20"/>
          <w:lang w:val="en-US"/>
        </w:rPr>
        <w:t>vitro</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данни, може да се заключи, че сертралин се метаболизира по няколко пътя, включващи </w:t>
      </w:r>
      <w:r w:rsidRPr="00C87C39">
        <w:rPr>
          <w:rFonts w:eastAsia="Times New Roman" w:cs="Arial"/>
          <w:bCs/>
          <w:color w:val="000000"/>
          <w:szCs w:val="20"/>
          <w:lang w:val="en-US"/>
        </w:rPr>
        <w:t>CYP</w:t>
      </w:r>
      <w:r w:rsidRPr="00C87C39">
        <w:rPr>
          <w:rFonts w:eastAsia="Times New Roman" w:cs="Arial"/>
          <w:bCs/>
          <w:color w:val="000000"/>
          <w:szCs w:val="20"/>
          <w:lang w:val="ru-RU"/>
        </w:rPr>
        <w:t>3</w:t>
      </w:r>
      <w:r w:rsidRPr="00C87C39">
        <w:rPr>
          <w:rFonts w:eastAsia="Times New Roman" w:cs="Arial"/>
          <w:bCs/>
          <w:color w:val="000000"/>
          <w:szCs w:val="20"/>
          <w:lang w:val="en-US"/>
        </w:rPr>
        <w:t>A</w:t>
      </w:r>
      <w:r w:rsidRPr="00C87C39">
        <w:rPr>
          <w:rFonts w:eastAsia="Times New Roman" w:cs="Arial"/>
          <w:bCs/>
          <w:color w:val="000000"/>
          <w:szCs w:val="20"/>
          <w:lang w:val="ru-RU"/>
        </w:rPr>
        <w:t xml:space="preserve">4, </w:t>
      </w:r>
      <w:r w:rsidRPr="00C87C39">
        <w:rPr>
          <w:rFonts w:eastAsia="Times New Roman" w:cs="Arial"/>
          <w:bCs/>
          <w:color w:val="000000"/>
          <w:szCs w:val="20"/>
          <w:lang w:val="en-US"/>
        </w:rPr>
        <w:t>CYP</w:t>
      </w:r>
      <w:r w:rsidRPr="00C87C39">
        <w:rPr>
          <w:rFonts w:eastAsia="Times New Roman" w:cs="Arial"/>
          <w:bCs/>
          <w:color w:val="000000"/>
          <w:szCs w:val="20"/>
          <w:lang w:val="ru-RU"/>
        </w:rPr>
        <w:t>2</w:t>
      </w:r>
      <w:r w:rsidRPr="00C87C39">
        <w:rPr>
          <w:rFonts w:eastAsia="Times New Roman" w:cs="Arial"/>
          <w:bCs/>
          <w:color w:val="000000"/>
          <w:szCs w:val="20"/>
          <w:lang w:val="en-US"/>
        </w:rPr>
        <w:t>C</w:t>
      </w:r>
      <w:r w:rsidRPr="00C87C39">
        <w:rPr>
          <w:rFonts w:eastAsia="Times New Roman" w:cs="Arial"/>
          <w:bCs/>
          <w:color w:val="000000"/>
          <w:szCs w:val="20"/>
          <w:lang w:val="ru-RU"/>
        </w:rPr>
        <w:t xml:space="preserve">19 </w:t>
      </w:r>
      <w:r w:rsidRPr="00C87C39">
        <w:rPr>
          <w:rFonts w:eastAsia="Times New Roman" w:cs="Arial"/>
          <w:bCs/>
          <w:color w:val="000000"/>
          <w:szCs w:val="20"/>
          <w:lang w:eastAsia="bg-BG"/>
        </w:rPr>
        <w:t xml:space="preserve">(вж. точка 4.5) и </w:t>
      </w:r>
      <w:r w:rsidRPr="00C87C39">
        <w:rPr>
          <w:rFonts w:eastAsia="Times New Roman" w:cs="Arial"/>
          <w:bCs/>
          <w:color w:val="000000"/>
          <w:szCs w:val="20"/>
          <w:lang w:val="en-US"/>
        </w:rPr>
        <w:t>CYP</w:t>
      </w:r>
      <w:r w:rsidRPr="00C87C39">
        <w:rPr>
          <w:rFonts w:eastAsia="Times New Roman" w:cs="Arial"/>
          <w:bCs/>
          <w:color w:val="000000"/>
          <w:szCs w:val="20"/>
          <w:lang w:val="ru-RU"/>
        </w:rPr>
        <w:t>2</w:t>
      </w:r>
      <w:r w:rsidRPr="00C87C39">
        <w:rPr>
          <w:rFonts w:eastAsia="Times New Roman" w:cs="Arial"/>
          <w:bCs/>
          <w:color w:val="000000"/>
          <w:szCs w:val="20"/>
          <w:lang w:val="en-US"/>
        </w:rPr>
        <w:t>B</w:t>
      </w:r>
      <w:r w:rsidRPr="00C87C39">
        <w:rPr>
          <w:rFonts w:eastAsia="Times New Roman" w:cs="Arial"/>
          <w:bCs/>
          <w:color w:val="000000"/>
          <w:szCs w:val="20"/>
          <w:lang w:val="ru-RU"/>
        </w:rPr>
        <w:t xml:space="preserve">6. </w:t>
      </w:r>
      <w:r w:rsidRPr="00C87C39">
        <w:rPr>
          <w:rFonts w:eastAsia="Times New Roman" w:cs="Arial"/>
          <w:bCs/>
          <w:color w:val="000000"/>
          <w:szCs w:val="20"/>
          <w:lang w:eastAsia="bg-BG"/>
        </w:rPr>
        <w:t xml:space="preserve">Сертралин и неговият основен метаболин десметилсертралин са също субстрати на Р- гликопротеина </w:t>
      </w:r>
      <w:r w:rsidRPr="00C87C39">
        <w:rPr>
          <w:rFonts w:eastAsia="Times New Roman" w:cs="Arial"/>
          <w:bCs/>
          <w:i/>
          <w:iCs/>
          <w:color w:val="000000"/>
          <w:szCs w:val="20"/>
          <w:lang w:val="en-US"/>
        </w:rPr>
        <w:t>in</w:t>
      </w:r>
      <w:r w:rsidRPr="00C87C39">
        <w:rPr>
          <w:rFonts w:eastAsia="Times New Roman" w:cs="Arial"/>
          <w:bCs/>
          <w:i/>
          <w:iCs/>
          <w:color w:val="000000"/>
          <w:szCs w:val="20"/>
          <w:lang w:val="ru-RU"/>
        </w:rPr>
        <w:t xml:space="preserve">- </w:t>
      </w:r>
      <w:r w:rsidRPr="00C87C39">
        <w:rPr>
          <w:rFonts w:eastAsia="Times New Roman" w:cs="Arial"/>
          <w:bCs/>
          <w:i/>
          <w:iCs/>
          <w:color w:val="000000"/>
          <w:szCs w:val="20"/>
          <w:lang w:val="en-US"/>
        </w:rPr>
        <w:t>vitro</w:t>
      </w:r>
      <w:r w:rsidRPr="00C87C39">
        <w:rPr>
          <w:rFonts w:eastAsia="Times New Roman" w:cs="Arial"/>
          <w:bCs/>
          <w:i/>
          <w:iCs/>
          <w:color w:val="000000"/>
          <w:szCs w:val="20"/>
          <w:lang w:val="ru-RU"/>
        </w:rPr>
        <w:t>.</w:t>
      </w:r>
    </w:p>
    <w:p w14:paraId="3E114893" w14:textId="77777777" w:rsidR="009C60F5" w:rsidRPr="00C87C39" w:rsidRDefault="009C60F5" w:rsidP="009C60F5">
      <w:pPr>
        <w:spacing w:line="240" w:lineRule="auto"/>
        <w:rPr>
          <w:rFonts w:eastAsia="Times New Roman" w:cs="Arial"/>
          <w:bCs/>
          <w:color w:val="000000"/>
          <w:szCs w:val="20"/>
          <w:u w:val="single"/>
          <w:lang w:eastAsia="bg-BG"/>
        </w:rPr>
      </w:pPr>
    </w:p>
    <w:p w14:paraId="05A181FA" w14:textId="53675413" w:rsidR="009C60F5" w:rsidRPr="00C87C39" w:rsidRDefault="009C60F5" w:rsidP="009C60F5">
      <w:pPr>
        <w:pStyle w:val="Heading3"/>
        <w:rPr>
          <w:rFonts w:eastAsia="Times New Roman"/>
          <w:sz w:val="28"/>
          <w:u w:val="single"/>
          <w:lang w:eastAsia="bg-BG"/>
        </w:rPr>
      </w:pPr>
      <w:r w:rsidRPr="00C87C39">
        <w:rPr>
          <w:rFonts w:eastAsia="Times New Roman"/>
          <w:u w:val="single"/>
          <w:lang w:eastAsia="bg-BG"/>
        </w:rPr>
        <w:t>Елиминиране</w:t>
      </w:r>
    </w:p>
    <w:p w14:paraId="20041829"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Средният полуживот на сертралин е приблизително 26 часа (в диапазона 22-36 часа). В съответствие с терминалния елиминационен полуживот, за да се достигнат равновесни концентрации, е необходимо приблизително двукратно кумулиране, което е налице една седмица след началото при еднократно дневно приложение на лекарството. Плазменият полуживот на </w:t>
      </w:r>
      <w:r w:rsidRPr="00C87C39">
        <w:rPr>
          <w:rFonts w:eastAsia="Times New Roman" w:cs="Arial"/>
          <w:bCs/>
          <w:color w:val="000000"/>
          <w:szCs w:val="20"/>
          <w:lang w:val="en-US"/>
        </w:rPr>
        <w:t>N</w:t>
      </w:r>
      <w:r w:rsidRPr="00C87C39">
        <w:rPr>
          <w:rFonts w:eastAsia="Times New Roman" w:cs="Arial"/>
          <w:bCs/>
          <w:color w:val="000000"/>
          <w:szCs w:val="20"/>
          <w:lang w:eastAsia="bg-BG"/>
        </w:rPr>
        <w:t xml:space="preserve">-десметилсертралин е между 62 и 104 ч. Сертралин и </w:t>
      </w:r>
      <w:r w:rsidRPr="00C87C39">
        <w:rPr>
          <w:rFonts w:eastAsia="Times New Roman" w:cs="Arial"/>
          <w:bCs/>
          <w:color w:val="000000"/>
          <w:szCs w:val="20"/>
          <w:lang w:val="en-US"/>
        </w:rPr>
        <w:t>N</w:t>
      </w:r>
      <w:r w:rsidRPr="00C87C39">
        <w:rPr>
          <w:rFonts w:eastAsia="Times New Roman" w:cs="Arial"/>
          <w:bCs/>
          <w:color w:val="000000"/>
          <w:szCs w:val="20"/>
          <w:lang w:eastAsia="bg-BG"/>
        </w:rPr>
        <w:t>-десметилсертралин се метаболизират във висока степен при хора, като получените метаболити се екскретират в еднаква степен в урината и фецеса. Малко количество (&lt; 0,2%) непроменен сертралин се екскретира в урината.</w:t>
      </w:r>
    </w:p>
    <w:p w14:paraId="054FD4C2" w14:textId="77777777" w:rsidR="009C60F5" w:rsidRPr="00C87C39" w:rsidRDefault="009C60F5" w:rsidP="009C60F5">
      <w:pPr>
        <w:spacing w:line="240" w:lineRule="auto"/>
        <w:rPr>
          <w:rFonts w:eastAsia="Times New Roman" w:cs="Arial"/>
          <w:bCs/>
          <w:color w:val="000000"/>
          <w:szCs w:val="20"/>
          <w:u w:val="single"/>
          <w:lang w:eastAsia="bg-BG"/>
        </w:rPr>
      </w:pPr>
    </w:p>
    <w:p w14:paraId="581F9A2D" w14:textId="174D234C"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u w:val="single"/>
          <w:lang w:eastAsia="bg-BG"/>
        </w:rPr>
        <w:t>Линейност/нелинейност</w:t>
      </w:r>
    </w:p>
    <w:p w14:paraId="4F6A9144"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В интервала от 50 до 200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сертралин проявява пропорционална на дозата фармакокинетика.</w:t>
      </w:r>
    </w:p>
    <w:p w14:paraId="56D110B0" w14:textId="77777777" w:rsidR="009C60F5" w:rsidRPr="00C87C39" w:rsidRDefault="009C60F5" w:rsidP="009C60F5">
      <w:pPr>
        <w:rPr>
          <w:rFonts w:eastAsia="Times New Roman" w:cs="Arial"/>
          <w:bCs/>
          <w:color w:val="000000"/>
          <w:szCs w:val="20"/>
          <w:u w:val="single"/>
          <w:lang w:eastAsia="bg-BG"/>
        </w:rPr>
      </w:pPr>
    </w:p>
    <w:p w14:paraId="45551830" w14:textId="7DFC658F" w:rsidR="007A2185" w:rsidRPr="00C87C39" w:rsidRDefault="009C60F5" w:rsidP="009C60F5">
      <w:pPr>
        <w:rPr>
          <w:rFonts w:cs="Arial"/>
          <w:sz w:val="24"/>
        </w:rPr>
      </w:pPr>
      <w:r w:rsidRPr="00C87C39">
        <w:rPr>
          <w:rFonts w:eastAsia="Times New Roman" w:cs="Arial"/>
          <w:bCs/>
          <w:color w:val="000000"/>
          <w:szCs w:val="20"/>
          <w:u w:val="single"/>
          <w:lang w:eastAsia="bg-BG"/>
        </w:rPr>
        <w:t>Фармакокинетика при специфични групи папиенти</w:t>
      </w:r>
    </w:p>
    <w:p w14:paraId="267D5716"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i/>
          <w:iCs/>
          <w:color w:val="000000"/>
          <w:szCs w:val="20"/>
          <w:u w:val="single"/>
          <w:lang w:eastAsia="bg-BG"/>
        </w:rPr>
        <w:t>Педиатрична популация с ОКР</w:t>
      </w:r>
    </w:p>
    <w:p w14:paraId="3182AA34"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Фармакокинетиката на сертралин е била проучена при 29 педиатрични пациенти на възраст 6-12 години и 32 пациенти юноши на възраст 13-17 години. Пациентите са били титрирани постепенно до дневна доза от 200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в рамките на 32 дни или с 25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начална доза и стъпаловидно увеличение, или с 50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начална доза или увеличения. Режимите от 25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и 50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са били с еднаква поносимост. В стационарно състояние за дозата от 200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 xml:space="preserve">плазмените нива на сертралин при групата на 6-12-годишните са били приблизително с 35% по-високи в сравнение с групата на 13-17-годишните и с 21% по-високи в сравнение с референтната група възрастни. Не е имало значими разлики между момчета и момичета по отношение на клирънса. Следователно при деца, особено с ниско телесно тегло, се препоръчва ниска начална доза и стъпки на титриране от 25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Дозата при юноши може да бъде както при възрастни.</w:t>
      </w:r>
    </w:p>
    <w:p w14:paraId="5FFCFCF6" w14:textId="77777777" w:rsidR="009C60F5" w:rsidRPr="00C87C39" w:rsidRDefault="009C60F5" w:rsidP="009C60F5">
      <w:pPr>
        <w:spacing w:line="240" w:lineRule="auto"/>
        <w:rPr>
          <w:rFonts w:eastAsia="Times New Roman" w:cs="Arial"/>
          <w:bCs/>
          <w:i/>
          <w:iCs/>
          <w:color w:val="000000"/>
          <w:szCs w:val="20"/>
          <w:u w:val="single"/>
          <w:lang w:eastAsia="bg-BG"/>
        </w:rPr>
      </w:pPr>
    </w:p>
    <w:p w14:paraId="7CC8641B" w14:textId="262E79A2"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i/>
          <w:iCs/>
          <w:color w:val="000000"/>
          <w:szCs w:val="20"/>
          <w:u w:val="single"/>
          <w:lang w:eastAsia="bg-BG"/>
        </w:rPr>
        <w:t>Юноши и лица в старческа възраст</w:t>
      </w:r>
    </w:p>
    <w:p w14:paraId="2EB54A22"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Фармакокинетичният профил при юноши и лица в старческа възраст не се различава значимо от този при възрастни между 18 и 65 години.</w:t>
      </w:r>
    </w:p>
    <w:p w14:paraId="15562DFA" w14:textId="77777777" w:rsidR="009C60F5" w:rsidRPr="00C87C39" w:rsidRDefault="009C60F5" w:rsidP="009C60F5">
      <w:pPr>
        <w:spacing w:line="240" w:lineRule="auto"/>
        <w:rPr>
          <w:rFonts w:eastAsia="Times New Roman" w:cs="Arial"/>
          <w:bCs/>
          <w:i/>
          <w:iCs/>
          <w:color w:val="000000"/>
          <w:szCs w:val="20"/>
          <w:u w:val="single"/>
          <w:lang w:eastAsia="bg-BG"/>
        </w:rPr>
      </w:pPr>
    </w:p>
    <w:p w14:paraId="7BE9CA99" w14:textId="0E6A0BDF"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i/>
          <w:iCs/>
          <w:color w:val="000000"/>
          <w:szCs w:val="20"/>
          <w:u w:val="single"/>
          <w:lang w:eastAsia="bg-BG"/>
        </w:rPr>
        <w:t>Чернодробно увреждане</w:t>
      </w:r>
    </w:p>
    <w:p w14:paraId="530E3E07"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При пациенти с чернодробно увреждане полуживотьт на сертралин е удължен и </w:t>
      </w:r>
      <w:r w:rsidRPr="00C87C39">
        <w:rPr>
          <w:rFonts w:eastAsia="Times New Roman" w:cs="Arial"/>
          <w:bCs/>
          <w:color w:val="000000"/>
          <w:szCs w:val="20"/>
          <w:lang w:val="en-US"/>
        </w:rPr>
        <w:t>AUC</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е увеличена три пъти (вж. точки 4.2 и 4.4).</w:t>
      </w:r>
    </w:p>
    <w:p w14:paraId="09D8C1EE" w14:textId="77777777" w:rsidR="009C60F5" w:rsidRPr="00C87C39" w:rsidRDefault="009C60F5" w:rsidP="009C60F5">
      <w:pPr>
        <w:spacing w:line="240" w:lineRule="auto"/>
        <w:rPr>
          <w:rFonts w:eastAsia="Times New Roman" w:cs="Arial"/>
          <w:bCs/>
          <w:i/>
          <w:iCs/>
          <w:color w:val="000000"/>
          <w:szCs w:val="20"/>
          <w:u w:val="single"/>
          <w:lang w:eastAsia="bg-BG"/>
        </w:rPr>
      </w:pPr>
    </w:p>
    <w:p w14:paraId="646E627D" w14:textId="078163A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i/>
          <w:iCs/>
          <w:color w:val="000000"/>
          <w:szCs w:val="20"/>
          <w:u w:val="single"/>
          <w:lang w:eastAsia="bg-BG"/>
        </w:rPr>
        <w:t>Бъбречно увреждане</w:t>
      </w:r>
    </w:p>
    <w:p w14:paraId="79C54E57"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lastRenderedPageBreak/>
        <w:t>Няма значимо натрупване на сертралин при пациенти с умерено до тежко бъбречно увреждане.</w:t>
      </w:r>
    </w:p>
    <w:p w14:paraId="6CF79B6E" w14:textId="77777777" w:rsidR="009C60F5" w:rsidRPr="00C87C39" w:rsidRDefault="009C60F5" w:rsidP="009C60F5">
      <w:pPr>
        <w:spacing w:line="240" w:lineRule="auto"/>
        <w:rPr>
          <w:rFonts w:eastAsia="Times New Roman" w:cs="Arial"/>
          <w:bCs/>
          <w:i/>
          <w:iCs/>
          <w:color w:val="000000"/>
          <w:szCs w:val="20"/>
          <w:u w:val="single"/>
          <w:lang w:eastAsia="bg-BG"/>
        </w:rPr>
      </w:pPr>
    </w:p>
    <w:p w14:paraId="215B6641" w14:textId="5B948D25"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i/>
          <w:iCs/>
          <w:color w:val="000000"/>
          <w:szCs w:val="20"/>
          <w:u w:val="single"/>
          <w:lang w:eastAsia="bg-BG"/>
        </w:rPr>
        <w:t>Фармакогеномика</w:t>
      </w:r>
    </w:p>
    <w:p w14:paraId="4EE1BB0B" w14:textId="4A6E8ED3" w:rsidR="0091385D" w:rsidRPr="00C87C39" w:rsidRDefault="009C60F5" w:rsidP="009C60F5">
      <w:pPr>
        <w:rPr>
          <w:rFonts w:cs="Arial"/>
          <w:sz w:val="24"/>
        </w:rPr>
      </w:pPr>
      <w:r w:rsidRPr="00C87C39">
        <w:rPr>
          <w:rFonts w:eastAsia="Times New Roman" w:cs="Arial"/>
          <w:bCs/>
          <w:color w:val="000000"/>
          <w:szCs w:val="20"/>
          <w:lang w:eastAsia="bg-BG"/>
        </w:rPr>
        <w:t xml:space="preserve">Плазмените нива на сертралин при слаби метаболизатори на </w:t>
      </w:r>
      <w:r w:rsidRPr="00C87C39">
        <w:rPr>
          <w:rFonts w:eastAsia="Times New Roman" w:cs="Arial"/>
          <w:bCs/>
          <w:color w:val="000000"/>
          <w:szCs w:val="20"/>
          <w:lang w:val="en-US"/>
        </w:rPr>
        <w:t>CYP</w:t>
      </w:r>
      <w:r w:rsidRPr="00C87C39">
        <w:rPr>
          <w:rFonts w:eastAsia="Times New Roman" w:cs="Arial"/>
          <w:bCs/>
          <w:color w:val="000000"/>
          <w:szCs w:val="20"/>
          <w:lang w:val="ru-RU"/>
        </w:rPr>
        <w:t>2</w:t>
      </w:r>
      <w:r w:rsidRPr="00C87C39">
        <w:rPr>
          <w:rFonts w:eastAsia="Times New Roman" w:cs="Arial"/>
          <w:bCs/>
          <w:color w:val="000000"/>
          <w:szCs w:val="20"/>
          <w:lang w:val="en-US"/>
        </w:rPr>
        <w:t>C</w:t>
      </w:r>
      <w:r w:rsidRPr="00C87C39">
        <w:rPr>
          <w:rFonts w:eastAsia="Times New Roman" w:cs="Arial"/>
          <w:bCs/>
          <w:color w:val="000000"/>
          <w:szCs w:val="20"/>
          <w:lang w:val="ru-RU"/>
        </w:rPr>
        <w:t xml:space="preserve">19 </w:t>
      </w:r>
      <w:r w:rsidRPr="00C87C39">
        <w:rPr>
          <w:rFonts w:eastAsia="Times New Roman" w:cs="Arial"/>
          <w:bCs/>
          <w:color w:val="000000"/>
          <w:szCs w:val="20"/>
          <w:lang w:eastAsia="bg-BG"/>
        </w:rPr>
        <w:t>са с около 50% по- високи в сравнение с екстензивни метаболизатори. Клиничното значение на тази находка не е изяснено и титрирането на дозата трябва да става въз основа на клиничния отговор.</w:t>
      </w:r>
    </w:p>
    <w:p w14:paraId="420EB857" w14:textId="77777777" w:rsidR="009C60F5" w:rsidRPr="00C87C39" w:rsidRDefault="009C60F5" w:rsidP="0091385D"/>
    <w:p w14:paraId="648E39DA" w14:textId="44D16CBD" w:rsidR="00CF77F7" w:rsidRPr="00C87C39" w:rsidRDefault="002C50EE" w:rsidP="004A448E">
      <w:pPr>
        <w:pStyle w:val="Heading2"/>
      </w:pPr>
      <w:r w:rsidRPr="00C87C39">
        <w:t>5.3. Предклинични данни за безопасност</w:t>
      </w:r>
    </w:p>
    <w:p w14:paraId="20E967BE" w14:textId="751DCF54" w:rsidR="0091385D" w:rsidRPr="00C87C39" w:rsidRDefault="0091385D" w:rsidP="0091385D"/>
    <w:p w14:paraId="3B7146F8" w14:textId="77777777" w:rsidR="009C60F5" w:rsidRPr="00C87C39" w:rsidRDefault="009C60F5" w:rsidP="009C60F5">
      <w:pPr>
        <w:spacing w:line="240" w:lineRule="auto"/>
        <w:rPr>
          <w:rFonts w:eastAsia="Times New Roman" w:cs="Arial"/>
          <w:sz w:val="24"/>
          <w:szCs w:val="24"/>
          <w:lang w:eastAsia="bg-BG"/>
        </w:rPr>
      </w:pPr>
      <w:r w:rsidRPr="00C87C39">
        <w:rPr>
          <w:rFonts w:eastAsia="Times New Roman" w:cs="Arial"/>
          <w:bCs/>
          <w:color w:val="000000"/>
          <w:lang w:eastAsia="bg-BG"/>
        </w:rPr>
        <w:t>Предклиничните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и карциногенен потенциал. Проучванията върху репродуктивна токсичност при животни не са показали тератогенност или нежелани ефекти върху мъжкия фертилитет. Наблюдаваната фетотоксичност е вероятно свързана с майчина токсичност. Неонаталната преживяемост и телесното тегло при кученца са били намалени само през първите дни след раждането. Установено е, че ранната постнатална смъртност се дължи на експозиция по време на бременност след 15-я ден от бременността. Забавянето в постнаталното развитие при кученцата на лекувани майки вероятно се дължи на ефекти върху майките и следователно не се отнася за риска при хора.</w:t>
      </w:r>
    </w:p>
    <w:p w14:paraId="2D57DB1E" w14:textId="77777777" w:rsidR="009C60F5" w:rsidRPr="00C87C39" w:rsidRDefault="009C60F5" w:rsidP="009C60F5">
      <w:pPr>
        <w:spacing w:line="240" w:lineRule="auto"/>
        <w:rPr>
          <w:rFonts w:eastAsia="Times New Roman" w:cs="Arial"/>
          <w:bCs/>
          <w:color w:val="000000"/>
          <w:lang w:eastAsia="bg-BG"/>
        </w:rPr>
      </w:pPr>
    </w:p>
    <w:p w14:paraId="03BC6174" w14:textId="1336834D" w:rsidR="009C60F5" w:rsidRPr="00C87C39" w:rsidRDefault="009C60F5" w:rsidP="009C60F5">
      <w:pPr>
        <w:spacing w:line="240" w:lineRule="auto"/>
        <w:rPr>
          <w:rFonts w:eastAsia="Times New Roman" w:cs="Arial"/>
          <w:sz w:val="24"/>
          <w:szCs w:val="24"/>
          <w:lang w:eastAsia="bg-BG"/>
        </w:rPr>
      </w:pPr>
      <w:r w:rsidRPr="00C87C39">
        <w:rPr>
          <w:rFonts w:eastAsia="Times New Roman" w:cs="Arial"/>
          <w:bCs/>
          <w:color w:val="000000"/>
          <w:lang w:eastAsia="bg-BG"/>
        </w:rPr>
        <w:t>Данните при животни - гризачи и негризачи, не показват ефект върху фертилитета.</w:t>
      </w:r>
    </w:p>
    <w:p w14:paraId="086E86D0" w14:textId="77777777" w:rsidR="009C60F5" w:rsidRPr="00C87C39" w:rsidRDefault="009C60F5" w:rsidP="009C60F5">
      <w:pPr>
        <w:spacing w:line="240" w:lineRule="auto"/>
        <w:rPr>
          <w:rFonts w:eastAsia="Times New Roman" w:cs="Arial"/>
          <w:bCs/>
          <w:i/>
          <w:iCs/>
          <w:color w:val="000000"/>
          <w:lang w:eastAsia="bg-BG"/>
        </w:rPr>
      </w:pPr>
    </w:p>
    <w:p w14:paraId="6CF34BF2" w14:textId="0C53DDBE" w:rsidR="009C60F5" w:rsidRPr="00C87C39" w:rsidRDefault="009C60F5" w:rsidP="009C60F5">
      <w:pPr>
        <w:spacing w:line="240" w:lineRule="auto"/>
        <w:rPr>
          <w:rFonts w:eastAsia="Times New Roman" w:cs="Arial"/>
          <w:sz w:val="24"/>
          <w:szCs w:val="24"/>
          <w:lang w:eastAsia="bg-BG"/>
        </w:rPr>
      </w:pPr>
      <w:r w:rsidRPr="00C87C39">
        <w:rPr>
          <w:rFonts w:eastAsia="Times New Roman" w:cs="Arial"/>
          <w:bCs/>
          <w:i/>
          <w:iCs/>
          <w:color w:val="000000"/>
          <w:lang w:eastAsia="bg-BG"/>
        </w:rPr>
        <w:t>Ювенилни проучвания при животни</w:t>
      </w:r>
    </w:p>
    <w:p w14:paraId="6A2E4682" w14:textId="77777777" w:rsidR="009C60F5" w:rsidRPr="00C87C39" w:rsidRDefault="009C60F5" w:rsidP="009C60F5">
      <w:pPr>
        <w:rPr>
          <w:rFonts w:eastAsia="Times New Roman" w:cs="Arial"/>
          <w:bCs/>
          <w:color w:val="000000"/>
          <w:lang w:eastAsia="bg-BG"/>
        </w:rPr>
      </w:pPr>
    </w:p>
    <w:p w14:paraId="13A7B62A" w14:textId="7B2F1BE4" w:rsidR="007A2185" w:rsidRPr="00C87C39" w:rsidRDefault="009C60F5" w:rsidP="009C60F5">
      <w:pPr>
        <w:rPr>
          <w:rFonts w:eastAsia="Times New Roman" w:cs="Arial"/>
          <w:bCs/>
          <w:color w:val="000000"/>
          <w:lang w:eastAsia="bg-BG"/>
        </w:rPr>
      </w:pPr>
      <w:r w:rsidRPr="00C87C39">
        <w:rPr>
          <w:rFonts w:eastAsia="Times New Roman" w:cs="Arial"/>
          <w:bCs/>
          <w:color w:val="000000"/>
          <w:lang w:eastAsia="bg-BG"/>
        </w:rPr>
        <w:t xml:space="preserve">Ювенилно проучване за токсичност при плъхове е проведено със сертралин, прилаган перорално, при мъжки и женски плъхове от 21 до 56 ден след раждането (в дозировки от 10, 40 или 80 </w:t>
      </w:r>
      <w:r w:rsidRPr="00C87C39">
        <w:rPr>
          <w:rFonts w:eastAsia="Times New Roman" w:cs="Arial"/>
          <w:bCs/>
          <w:color w:val="000000"/>
          <w:lang w:val="en-US"/>
        </w:rPr>
        <w:t>mg</w:t>
      </w:r>
      <w:r w:rsidRPr="00C87C39">
        <w:rPr>
          <w:rFonts w:eastAsia="Times New Roman" w:cs="Arial"/>
          <w:bCs/>
          <w:color w:val="000000"/>
          <w:lang w:val="ru-RU"/>
        </w:rPr>
        <w:t>/</w:t>
      </w:r>
      <w:r w:rsidRPr="00C87C39">
        <w:rPr>
          <w:rFonts w:eastAsia="Times New Roman" w:cs="Arial"/>
          <w:bCs/>
          <w:color w:val="000000"/>
          <w:lang w:val="en-US"/>
        </w:rPr>
        <w:t>kg</w:t>
      </w:r>
      <w:r w:rsidRPr="00C87C39">
        <w:rPr>
          <w:rFonts w:eastAsia="Times New Roman" w:cs="Arial"/>
          <w:bCs/>
          <w:color w:val="000000"/>
          <w:lang w:eastAsia="bg-BG"/>
        </w:rPr>
        <w:t xml:space="preserve">/ден) с период на възстановяване без прием на лекарството до ден 1 след раждането. Забавяне в сексуалната зрялост е настъпило при мъжките и женските индивиди при различни нива на дозиране (мъжките при 80 </w:t>
      </w:r>
      <w:r w:rsidRPr="00C87C39">
        <w:rPr>
          <w:rFonts w:eastAsia="Times New Roman" w:cs="Arial"/>
          <w:bCs/>
          <w:color w:val="000000"/>
          <w:lang w:val="en-US"/>
        </w:rPr>
        <w:t>mg</w:t>
      </w:r>
      <w:r w:rsidRPr="00C87C39">
        <w:rPr>
          <w:rFonts w:eastAsia="Times New Roman" w:cs="Arial"/>
          <w:bCs/>
          <w:color w:val="000000"/>
          <w:lang w:val="ru-RU"/>
        </w:rPr>
        <w:t>/</w:t>
      </w:r>
      <w:r w:rsidRPr="00C87C39">
        <w:rPr>
          <w:rFonts w:eastAsia="Times New Roman" w:cs="Arial"/>
          <w:bCs/>
          <w:color w:val="000000"/>
          <w:lang w:val="en-US"/>
        </w:rPr>
        <w:t>kg</w:t>
      </w:r>
      <w:r w:rsidRPr="00C87C39">
        <w:rPr>
          <w:rFonts w:eastAsia="Times New Roman" w:cs="Arial"/>
          <w:bCs/>
          <w:color w:val="000000"/>
          <w:lang w:val="ru-RU"/>
        </w:rPr>
        <w:t xml:space="preserve"> </w:t>
      </w:r>
      <w:r w:rsidRPr="00C87C39">
        <w:rPr>
          <w:rFonts w:eastAsia="Times New Roman" w:cs="Arial"/>
          <w:bCs/>
          <w:color w:val="000000"/>
          <w:lang w:eastAsia="bg-BG"/>
        </w:rPr>
        <w:t>и женските при &gt;</w:t>
      </w:r>
      <w:r w:rsidRPr="00C87C39">
        <w:rPr>
          <w:rFonts w:eastAsia="Times New Roman" w:cs="Arial"/>
          <w:bCs/>
          <w:color w:val="000000"/>
          <w:lang w:val="ru-RU"/>
        </w:rPr>
        <w:t xml:space="preserve"> 10</w:t>
      </w:r>
      <w:r w:rsidRPr="00C87C39">
        <w:rPr>
          <w:rFonts w:eastAsia="Times New Roman" w:cs="Arial"/>
          <w:bCs/>
          <w:color w:val="000000"/>
          <w:lang w:eastAsia="bg-BG"/>
        </w:rPr>
        <w:t xml:space="preserve"> </w:t>
      </w:r>
      <w:r w:rsidRPr="00C87C39">
        <w:rPr>
          <w:rFonts w:eastAsia="Times New Roman" w:cs="Arial"/>
          <w:bCs/>
          <w:color w:val="000000"/>
          <w:lang w:val="en-US"/>
        </w:rPr>
        <w:t>mg</w:t>
      </w:r>
      <w:r w:rsidRPr="00C87C39">
        <w:rPr>
          <w:rFonts w:eastAsia="Times New Roman" w:cs="Arial"/>
          <w:bCs/>
          <w:color w:val="000000"/>
          <w:lang w:val="ru-RU"/>
        </w:rPr>
        <w:t>/</w:t>
      </w:r>
      <w:r w:rsidRPr="00C87C39">
        <w:rPr>
          <w:rFonts w:eastAsia="Times New Roman" w:cs="Arial"/>
          <w:bCs/>
          <w:color w:val="000000"/>
          <w:lang w:val="en-US"/>
        </w:rPr>
        <w:t>kg</w:t>
      </w:r>
      <w:r w:rsidRPr="00C87C39">
        <w:rPr>
          <w:rFonts w:eastAsia="Times New Roman" w:cs="Arial"/>
          <w:bCs/>
          <w:color w:val="000000"/>
          <w:lang w:val="ru-RU"/>
        </w:rPr>
        <w:t xml:space="preserve">), </w:t>
      </w:r>
      <w:r w:rsidRPr="00C87C39">
        <w:rPr>
          <w:rFonts w:eastAsia="Times New Roman" w:cs="Arial"/>
          <w:bCs/>
          <w:color w:val="000000"/>
          <w:lang w:eastAsia="bg-BG"/>
        </w:rPr>
        <w:t>но въпреки тази находка не са установени свързани със сертралин ефекти върху нито една от оценяваните мъжки и женски репродуктивни крайни точки. В допълнение от 21 до 56 ден  след раждането са наблюдавани дехидратация, хроморинорея и понижено средно наддаване на тегло. Всички упоменати ефекти, приписани на прилагането на сертралин са били обратими по време на периода на възстановяване без прием на лекарство в проучването.</w:t>
      </w:r>
    </w:p>
    <w:p w14:paraId="594DE56D" w14:textId="77777777" w:rsidR="009C60F5" w:rsidRPr="00C87C39" w:rsidRDefault="009C60F5" w:rsidP="009C60F5">
      <w:pPr>
        <w:rPr>
          <w:rFonts w:cs="Arial"/>
        </w:rPr>
      </w:pPr>
    </w:p>
    <w:p w14:paraId="12FFA9B2" w14:textId="033208D9" w:rsidR="007A2185" w:rsidRPr="00C87C39" w:rsidRDefault="009C60F5" w:rsidP="0091385D">
      <w:pPr>
        <w:rPr>
          <w:sz w:val="24"/>
        </w:rPr>
      </w:pPr>
      <w:r w:rsidRPr="00C87C39">
        <w:rPr>
          <w:bCs/>
          <w:szCs w:val="20"/>
        </w:rPr>
        <w:t>Клиничното значение на тези ефекти, наблюдавани при плъхове, на които е прилаган сертралин, не е установено.</w:t>
      </w:r>
    </w:p>
    <w:p w14:paraId="43FA0539" w14:textId="77777777" w:rsidR="009C60F5" w:rsidRPr="00C87C39" w:rsidRDefault="009C60F5" w:rsidP="0091385D"/>
    <w:p w14:paraId="6A7820AB" w14:textId="353DB6D2" w:rsidR="008A6AF2" w:rsidRPr="00C87C39" w:rsidRDefault="002C50EE" w:rsidP="00395555">
      <w:pPr>
        <w:pStyle w:val="Heading1"/>
      </w:pPr>
      <w:r w:rsidRPr="00C87C39">
        <w:t>7. ПРИТЕЖАТЕЛ НА РАЗРЕШЕНИЕТО ЗА УПОТРЕБА</w:t>
      </w:r>
    </w:p>
    <w:p w14:paraId="1B9B651E" w14:textId="24042B6C" w:rsidR="0091385D" w:rsidRPr="00C87C39" w:rsidRDefault="0091385D" w:rsidP="0091385D"/>
    <w:p w14:paraId="4F02909F" w14:textId="6D8109A3" w:rsidR="007A2185" w:rsidRPr="00C87C39" w:rsidRDefault="009C60F5" w:rsidP="0091385D">
      <w:pPr>
        <w:rPr>
          <w:rFonts w:cs="Arial"/>
          <w:sz w:val="24"/>
        </w:rPr>
      </w:pPr>
      <w:r w:rsidRPr="00C87C39">
        <w:rPr>
          <w:rFonts w:cs="Arial"/>
          <w:bCs/>
          <w:szCs w:val="20"/>
        </w:rPr>
        <w:t>Accord Healthcare Polska Sp. z o.o.,</w:t>
      </w:r>
    </w:p>
    <w:p w14:paraId="2673219D" w14:textId="77777777" w:rsidR="009C60F5" w:rsidRPr="00C87C39" w:rsidRDefault="009C60F5" w:rsidP="009C60F5">
      <w:pPr>
        <w:spacing w:line="240" w:lineRule="auto"/>
        <w:rPr>
          <w:rFonts w:eastAsia="Times New Roman" w:cs="Arial"/>
          <w:sz w:val="28"/>
          <w:szCs w:val="24"/>
          <w:lang w:val="ru-RU" w:eastAsia="bg-BG"/>
        </w:rPr>
      </w:pPr>
      <w:proofErr w:type="spellStart"/>
      <w:r w:rsidRPr="00C87C39">
        <w:rPr>
          <w:rFonts w:eastAsia="Times New Roman" w:cs="Arial"/>
          <w:bCs/>
          <w:color w:val="000000"/>
          <w:szCs w:val="20"/>
          <w:lang w:val="en-US"/>
        </w:rPr>
        <w:t>ul</w:t>
      </w:r>
      <w:proofErr w:type="spellEnd"/>
      <w:r w:rsidRPr="00C87C39">
        <w:rPr>
          <w:rFonts w:eastAsia="Times New Roman" w:cs="Arial"/>
          <w:bCs/>
          <w:color w:val="000000"/>
          <w:szCs w:val="20"/>
          <w:lang w:val="ru-RU"/>
        </w:rPr>
        <w:t xml:space="preserve">. </w:t>
      </w:r>
      <w:proofErr w:type="spellStart"/>
      <w:r w:rsidRPr="00C87C39">
        <w:rPr>
          <w:rFonts w:eastAsia="Times New Roman" w:cs="Arial"/>
          <w:bCs/>
          <w:color w:val="000000"/>
          <w:szCs w:val="20"/>
          <w:lang w:val="en-US"/>
        </w:rPr>
        <w:t>Tasmowa</w:t>
      </w:r>
      <w:proofErr w:type="spellEnd"/>
      <w:r w:rsidRPr="00C87C39">
        <w:rPr>
          <w:rFonts w:eastAsia="Times New Roman" w:cs="Arial"/>
          <w:bCs/>
          <w:color w:val="000000"/>
          <w:szCs w:val="20"/>
          <w:lang w:val="ru-RU"/>
        </w:rPr>
        <w:t xml:space="preserve"> 7,</w:t>
      </w:r>
    </w:p>
    <w:p w14:paraId="29DD3C16" w14:textId="77777777" w:rsidR="009C60F5" w:rsidRPr="00C87C39" w:rsidRDefault="009C60F5" w:rsidP="009C60F5">
      <w:pPr>
        <w:spacing w:line="240" w:lineRule="auto"/>
        <w:rPr>
          <w:rFonts w:eastAsia="Times New Roman" w:cs="Arial"/>
          <w:sz w:val="28"/>
          <w:szCs w:val="24"/>
          <w:lang w:val="ru-RU" w:eastAsia="bg-BG"/>
        </w:rPr>
      </w:pPr>
      <w:proofErr w:type="gramStart"/>
      <w:r w:rsidRPr="00C87C39">
        <w:rPr>
          <w:rFonts w:eastAsia="Times New Roman" w:cs="Arial"/>
          <w:bCs/>
          <w:color w:val="000000"/>
          <w:szCs w:val="20"/>
          <w:lang w:val="ru-RU"/>
        </w:rPr>
        <w:t>02-677</w:t>
      </w:r>
      <w:proofErr w:type="gramEnd"/>
      <w:r w:rsidRPr="00C87C39">
        <w:rPr>
          <w:rFonts w:eastAsia="Times New Roman" w:cs="Arial"/>
          <w:bCs/>
          <w:color w:val="000000"/>
          <w:szCs w:val="20"/>
          <w:lang w:val="ru-RU"/>
        </w:rPr>
        <w:t xml:space="preserve">, </w:t>
      </w:r>
      <w:r w:rsidRPr="00C87C39">
        <w:rPr>
          <w:rFonts w:eastAsia="Times New Roman" w:cs="Arial"/>
          <w:bCs/>
          <w:color w:val="000000"/>
          <w:szCs w:val="20"/>
          <w:lang w:val="en-US"/>
        </w:rPr>
        <w:t>Warszawa</w:t>
      </w:r>
      <w:r w:rsidRPr="00C87C39">
        <w:rPr>
          <w:rFonts w:eastAsia="Times New Roman" w:cs="Arial"/>
          <w:bCs/>
          <w:color w:val="000000"/>
          <w:szCs w:val="20"/>
          <w:lang w:val="ru-RU"/>
        </w:rPr>
        <w:t xml:space="preserve">, </w:t>
      </w:r>
      <w:proofErr w:type="spellStart"/>
      <w:r w:rsidRPr="00C87C39">
        <w:rPr>
          <w:rFonts w:eastAsia="Times New Roman" w:cs="Arial"/>
          <w:bCs/>
          <w:color w:val="000000"/>
          <w:szCs w:val="20"/>
          <w:lang w:val="en-US"/>
        </w:rPr>
        <w:t>Mazowieckie</w:t>
      </w:r>
      <w:proofErr w:type="spellEnd"/>
      <w:r w:rsidRPr="00C87C39">
        <w:rPr>
          <w:rFonts w:eastAsia="Times New Roman" w:cs="Arial"/>
          <w:bCs/>
          <w:color w:val="000000"/>
          <w:szCs w:val="20"/>
          <w:lang w:val="ru-RU"/>
        </w:rPr>
        <w:t>,</w:t>
      </w:r>
    </w:p>
    <w:p w14:paraId="129C7566" w14:textId="4A778D5B" w:rsidR="0091385D" w:rsidRPr="00C87C39" w:rsidRDefault="009C60F5" w:rsidP="009C60F5">
      <w:pPr>
        <w:rPr>
          <w:rFonts w:eastAsia="Times New Roman" w:cs="Arial"/>
          <w:bCs/>
          <w:color w:val="000000"/>
          <w:szCs w:val="20"/>
          <w:lang w:eastAsia="bg-BG"/>
        </w:rPr>
      </w:pPr>
      <w:r w:rsidRPr="00C87C39">
        <w:rPr>
          <w:rFonts w:eastAsia="Times New Roman" w:cs="Arial"/>
          <w:bCs/>
          <w:color w:val="000000"/>
          <w:szCs w:val="20"/>
          <w:lang w:eastAsia="bg-BG"/>
        </w:rPr>
        <w:lastRenderedPageBreak/>
        <w:t>Полша</w:t>
      </w:r>
    </w:p>
    <w:p w14:paraId="6776C1F6" w14:textId="77777777" w:rsidR="009C60F5" w:rsidRPr="00C87C39" w:rsidRDefault="009C60F5" w:rsidP="009C60F5"/>
    <w:p w14:paraId="7BA1BA64" w14:textId="17509450" w:rsidR="00CF77F7" w:rsidRPr="00C87C39" w:rsidRDefault="002C50EE" w:rsidP="004A448E">
      <w:pPr>
        <w:pStyle w:val="Heading1"/>
      </w:pPr>
      <w:r w:rsidRPr="00C87C39">
        <w:t>8. НОМЕР НА РАЗРЕШЕНИЕТО ЗА УПОТРЕБА</w:t>
      </w:r>
    </w:p>
    <w:p w14:paraId="095674C4" w14:textId="3072FB0E" w:rsidR="0091385D" w:rsidRPr="00C87C39" w:rsidRDefault="0091385D" w:rsidP="0091385D"/>
    <w:p w14:paraId="5D2DEAFC" w14:textId="77777777" w:rsidR="009C60F5" w:rsidRPr="00C87C39" w:rsidRDefault="009C60F5" w:rsidP="009C60F5">
      <w:pPr>
        <w:spacing w:line="240" w:lineRule="auto"/>
        <w:rPr>
          <w:rFonts w:eastAsia="Times New Roman" w:cs="Arial"/>
          <w:sz w:val="28"/>
          <w:szCs w:val="24"/>
          <w:lang w:eastAsia="bg-BG"/>
        </w:rPr>
      </w:pPr>
      <w:r w:rsidRPr="00C87C39">
        <w:rPr>
          <w:rFonts w:eastAsia="Times New Roman" w:cs="Arial"/>
          <w:bCs/>
          <w:color w:val="000000"/>
          <w:szCs w:val="20"/>
          <w:lang w:eastAsia="bg-BG"/>
        </w:rPr>
        <w:t xml:space="preserve">Сертралин Акорд 50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филмирани таблетки: 20160237</w:t>
      </w:r>
    </w:p>
    <w:p w14:paraId="46161304" w14:textId="459CB869" w:rsidR="007A2185" w:rsidRPr="00C87C39" w:rsidRDefault="009C60F5" w:rsidP="009C60F5">
      <w:pPr>
        <w:rPr>
          <w:rFonts w:cs="Arial"/>
          <w:sz w:val="24"/>
        </w:rPr>
      </w:pPr>
      <w:r w:rsidRPr="00C87C39">
        <w:rPr>
          <w:rFonts w:eastAsia="Times New Roman" w:cs="Arial"/>
          <w:bCs/>
          <w:color w:val="000000"/>
          <w:szCs w:val="20"/>
          <w:lang w:eastAsia="bg-BG"/>
        </w:rPr>
        <w:t xml:space="preserve">Сертралин Акорд 100 </w:t>
      </w:r>
      <w:r w:rsidRPr="00C87C39">
        <w:rPr>
          <w:rFonts w:eastAsia="Times New Roman" w:cs="Arial"/>
          <w:bCs/>
          <w:color w:val="000000"/>
          <w:szCs w:val="20"/>
          <w:lang w:val="en-US"/>
        </w:rPr>
        <w:t>mg</w:t>
      </w:r>
      <w:r w:rsidRPr="00C87C39">
        <w:rPr>
          <w:rFonts w:eastAsia="Times New Roman" w:cs="Arial"/>
          <w:bCs/>
          <w:color w:val="000000"/>
          <w:szCs w:val="20"/>
          <w:lang w:val="ru-RU"/>
        </w:rPr>
        <w:t xml:space="preserve"> </w:t>
      </w:r>
      <w:r w:rsidRPr="00C87C39">
        <w:rPr>
          <w:rFonts w:eastAsia="Times New Roman" w:cs="Arial"/>
          <w:bCs/>
          <w:color w:val="000000"/>
          <w:szCs w:val="20"/>
          <w:lang w:eastAsia="bg-BG"/>
        </w:rPr>
        <w:t>филмирани таблетки: 20160238</w:t>
      </w:r>
    </w:p>
    <w:p w14:paraId="62EF7F8B" w14:textId="77777777" w:rsidR="0091385D" w:rsidRPr="00C87C39" w:rsidRDefault="0091385D" w:rsidP="0091385D"/>
    <w:p w14:paraId="2CCB5832" w14:textId="18FCD95B" w:rsidR="007C605B" w:rsidRPr="00C87C39" w:rsidRDefault="002C50EE" w:rsidP="007C605B">
      <w:pPr>
        <w:pStyle w:val="Heading1"/>
      </w:pPr>
      <w:r w:rsidRPr="00C87C39">
        <w:t>9. ДАТА НА ПЪРВО РАЗРЕШАВАНЕ/ПОДНОВЯВАНЕ НА РАЗРЕШЕНИЕТО ЗА УПОТРЕБА</w:t>
      </w:r>
    </w:p>
    <w:p w14:paraId="372B3414" w14:textId="57E44C81" w:rsidR="0091385D" w:rsidRPr="00C87C39" w:rsidRDefault="0091385D" w:rsidP="0091385D"/>
    <w:p w14:paraId="6C57D8B6" w14:textId="6B4D804B" w:rsidR="007A2185" w:rsidRPr="00C87C39" w:rsidRDefault="009C60F5" w:rsidP="0091385D">
      <w:pPr>
        <w:rPr>
          <w:rFonts w:cs="Arial"/>
        </w:rPr>
      </w:pPr>
      <w:r w:rsidRPr="00C87C39">
        <w:rPr>
          <w:rFonts w:cs="Arial"/>
          <w:bCs/>
          <w:szCs w:val="20"/>
        </w:rPr>
        <w:t>Дата на първо разрешаване. 20.07.2016 г.</w:t>
      </w:r>
    </w:p>
    <w:p w14:paraId="0A56E09D" w14:textId="77777777" w:rsidR="0091385D" w:rsidRPr="00C87C39" w:rsidRDefault="0091385D" w:rsidP="0091385D"/>
    <w:p w14:paraId="0E9D0119" w14:textId="1FEC128A" w:rsidR="002C50EE" w:rsidRPr="00C87C39" w:rsidRDefault="002C50EE" w:rsidP="002C50EE">
      <w:pPr>
        <w:pStyle w:val="Heading1"/>
      </w:pPr>
      <w:r w:rsidRPr="00C87C39">
        <w:t>10. ДАТА НА АКТУАЛИЗИРАНЕ НА ТЕКСТА</w:t>
      </w:r>
    </w:p>
    <w:p w14:paraId="3E8FFCC4" w14:textId="0121B4E2" w:rsidR="0091385D" w:rsidRPr="00C87C39" w:rsidRDefault="0091385D" w:rsidP="0091385D"/>
    <w:p w14:paraId="0524F1D6" w14:textId="6A9EB639" w:rsidR="007A2185" w:rsidRPr="00C87C39" w:rsidRDefault="009C60F5" w:rsidP="0091385D">
      <w:pPr>
        <w:rPr>
          <w:rFonts w:cs="Arial"/>
          <w:sz w:val="24"/>
        </w:rPr>
      </w:pPr>
      <w:r w:rsidRPr="00C87C39">
        <w:rPr>
          <w:rFonts w:cs="Arial"/>
          <w:bCs/>
          <w:szCs w:val="20"/>
        </w:rPr>
        <w:t>Май 2021 г.</w:t>
      </w:r>
    </w:p>
    <w:p w14:paraId="6B00148E" w14:textId="77777777" w:rsidR="0091385D" w:rsidRPr="00C87C39" w:rsidRDefault="0091385D" w:rsidP="0091385D"/>
    <w:bookmarkEnd w:id="0"/>
    <w:p w14:paraId="43FB38A2" w14:textId="5500C507" w:rsidR="007C605B" w:rsidRPr="00C87C39" w:rsidRDefault="007C605B" w:rsidP="00CF77F7"/>
    <w:sectPr w:rsidR="007C605B" w:rsidRPr="00C8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852302890">
    <w:abstractNumId w:val="27"/>
  </w:num>
  <w:num w:numId="2" w16cid:durableId="435178344">
    <w:abstractNumId w:val="0"/>
  </w:num>
  <w:num w:numId="3" w16cid:durableId="2062974018">
    <w:abstractNumId w:val="12"/>
  </w:num>
  <w:num w:numId="4" w16cid:durableId="677542440">
    <w:abstractNumId w:val="3"/>
  </w:num>
  <w:num w:numId="5" w16cid:durableId="1179469301">
    <w:abstractNumId w:val="1"/>
  </w:num>
  <w:num w:numId="6" w16cid:durableId="1367563608">
    <w:abstractNumId w:val="16"/>
  </w:num>
  <w:num w:numId="7" w16cid:durableId="547381858">
    <w:abstractNumId w:val="10"/>
  </w:num>
  <w:num w:numId="8" w16cid:durableId="1360012287">
    <w:abstractNumId w:val="15"/>
  </w:num>
  <w:num w:numId="9" w16cid:durableId="1722049920">
    <w:abstractNumId w:val="2"/>
  </w:num>
  <w:num w:numId="10" w16cid:durableId="24402818">
    <w:abstractNumId w:val="4"/>
  </w:num>
  <w:num w:numId="11" w16cid:durableId="150222909">
    <w:abstractNumId w:val="30"/>
  </w:num>
  <w:num w:numId="12" w16cid:durableId="794758327">
    <w:abstractNumId w:val="14"/>
  </w:num>
  <w:num w:numId="13" w16cid:durableId="362636905">
    <w:abstractNumId w:val="19"/>
  </w:num>
  <w:num w:numId="14" w16cid:durableId="242759636">
    <w:abstractNumId w:val="11"/>
  </w:num>
  <w:num w:numId="15" w16cid:durableId="653409805">
    <w:abstractNumId w:val="29"/>
  </w:num>
  <w:num w:numId="16" w16cid:durableId="923341627">
    <w:abstractNumId w:val="9"/>
  </w:num>
  <w:num w:numId="17" w16cid:durableId="1520315119">
    <w:abstractNumId w:val="24"/>
  </w:num>
  <w:num w:numId="18" w16cid:durableId="194075781">
    <w:abstractNumId w:val="7"/>
  </w:num>
  <w:num w:numId="19" w16cid:durableId="838468881">
    <w:abstractNumId w:val="26"/>
  </w:num>
  <w:num w:numId="20" w16cid:durableId="327026749">
    <w:abstractNumId w:val="23"/>
  </w:num>
  <w:num w:numId="21" w16cid:durableId="249432136">
    <w:abstractNumId w:val="17"/>
  </w:num>
  <w:num w:numId="22" w16cid:durableId="2111661921">
    <w:abstractNumId w:val="25"/>
  </w:num>
  <w:num w:numId="23" w16cid:durableId="1420906567">
    <w:abstractNumId w:val="18"/>
  </w:num>
  <w:num w:numId="24" w16cid:durableId="1591233276">
    <w:abstractNumId w:val="8"/>
  </w:num>
  <w:num w:numId="25" w16cid:durableId="2136292037">
    <w:abstractNumId w:val="22"/>
  </w:num>
  <w:num w:numId="26" w16cid:durableId="1109856723">
    <w:abstractNumId w:val="21"/>
  </w:num>
  <w:num w:numId="27" w16cid:durableId="1499729965">
    <w:abstractNumId w:val="31"/>
  </w:num>
  <w:num w:numId="28" w16cid:durableId="200095249">
    <w:abstractNumId w:val="6"/>
  </w:num>
  <w:num w:numId="29" w16cid:durableId="451173781">
    <w:abstractNumId w:val="20"/>
  </w:num>
  <w:num w:numId="30" w16cid:durableId="1689334217">
    <w:abstractNumId w:val="34"/>
  </w:num>
  <w:num w:numId="31" w16cid:durableId="1215002780">
    <w:abstractNumId w:val="5"/>
  </w:num>
  <w:num w:numId="32" w16cid:durableId="973411308">
    <w:abstractNumId w:val="33"/>
  </w:num>
  <w:num w:numId="33" w16cid:durableId="306473141">
    <w:abstractNumId w:val="28"/>
  </w:num>
  <w:num w:numId="34" w16cid:durableId="887229539">
    <w:abstractNumId w:val="32"/>
  </w:num>
  <w:num w:numId="35" w16cid:durableId="1500465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C60F5"/>
    <w:rsid w:val="009D1FBE"/>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C39"/>
    <w:rsid w:val="00C87E90"/>
    <w:rsid w:val="00CA1B57"/>
    <w:rsid w:val="00CF77F7"/>
    <w:rsid w:val="00D86297"/>
    <w:rsid w:val="00DD466D"/>
    <w:rsid w:val="00DE2C5A"/>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7977</Words>
  <Characters>45474</Characters>
  <Application>Microsoft Office Word</Application>
  <DocSecurity>0</DocSecurity>
  <Lines>378</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3</cp:revision>
  <dcterms:created xsi:type="dcterms:W3CDTF">2023-01-20T16:29:00Z</dcterms:created>
  <dcterms:modified xsi:type="dcterms:W3CDTF">2023-01-25T07:55:00Z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