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7B7F9CBA" w:rsidR="0091385D" w:rsidRDefault="0091385D" w:rsidP="0091385D"/>
    <w:p w14:paraId="76AB0C76" w14:textId="77777777" w:rsidR="00FA6BDD" w:rsidRPr="00FA6BDD" w:rsidRDefault="00FA6BDD" w:rsidP="00FA6BDD">
      <w:pPr>
        <w:spacing w:line="240" w:lineRule="auto"/>
        <w:rPr>
          <w:rFonts w:eastAsia="Times New Roman" w:cs="Arial"/>
          <w:sz w:val="28"/>
          <w:szCs w:val="24"/>
          <w:lang w:val="en-US" w:eastAsia="bg-BG"/>
        </w:rPr>
      </w:pPr>
      <w:r w:rsidRPr="00FA6BDD">
        <w:rPr>
          <w:rFonts w:eastAsia="Times New Roman" w:cs="Arial"/>
          <w:color w:val="000000"/>
          <w:szCs w:val="20"/>
          <w:lang w:eastAsia="bg-BG"/>
        </w:rPr>
        <w:t xml:space="preserve">Сетинин 100 </w:t>
      </w:r>
      <w:r w:rsidRPr="00FA6BDD">
        <w:rPr>
          <w:rFonts w:eastAsia="Times New Roman" w:cs="Arial"/>
          <w:color w:val="000000"/>
          <w:szCs w:val="20"/>
          <w:lang w:val="en-US"/>
        </w:rPr>
        <w:t xml:space="preserve">mg </w:t>
      </w:r>
      <w:r w:rsidRPr="00FA6BDD">
        <w:rPr>
          <w:rFonts w:eastAsia="Times New Roman" w:cs="Arial"/>
          <w:color w:val="000000"/>
          <w:szCs w:val="20"/>
          <w:lang w:eastAsia="bg-BG"/>
        </w:rPr>
        <w:t>филмирани таблетки</w:t>
      </w:r>
    </w:p>
    <w:p w14:paraId="1B0A1124" w14:textId="77777777" w:rsidR="00FA6BDD" w:rsidRPr="00FA6BDD" w:rsidRDefault="00FA6BDD" w:rsidP="00FA6BDD">
      <w:pPr>
        <w:spacing w:line="240" w:lineRule="auto"/>
        <w:rPr>
          <w:rFonts w:eastAsia="Times New Roman" w:cs="Arial"/>
          <w:sz w:val="28"/>
          <w:szCs w:val="24"/>
          <w:lang w:val="en-US" w:eastAsia="bg-BG"/>
        </w:rPr>
      </w:pPr>
      <w:proofErr w:type="spellStart"/>
      <w:r w:rsidRPr="00FA6BDD">
        <w:rPr>
          <w:rFonts w:eastAsia="Times New Roman" w:cs="Arial"/>
          <w:color w:val="000000"/>
          <w:szCs w:val="20"/>
          <w:lang w:val="en-US"/>
        </w:rPr>
        <w:t>Setinin</w:t>
      </w:r>
      <w:proofErr w:type="spellEnd"/>
      <w:r w:rsidRPr="00FA6BDD">
        <w:rPr>
          <w:rFonts w:eastAsia="Times New Roman" w:cs="Arial"/>
          <w:color w:val="000000"/>
          <w:szCs w:val="20"/>
          <w:lang w:val="en-US"/>
        </w:rPr>
        <w:t xml:space="preserve"> </w:t>
      </w:r>
      <w:r w:rsidRPr="00FA6BDD">
        <w:rPr>
          <w:rFonts w:eastAsia="Times New Roman" w:cs="Arial"/>
          <w:color w:val="000000"/>
          <w:szCs w:val="20"/>
          <w:lang w:eastAsia="bg-BG"/>
        </w:rPr>
        <w:t xml:space="preserve">100 </w:t>
      </w:r>
      <w:r w:rsidRPr="00FA6BDD">
        <w:rPr>
          <w:rFonts w:eastAsia="Times New Roman" w:cs="Arial"/>
          <w:color w:val="000000"/>
          <w:szCs w:val="20"/>
          <w:lang w:val="en-US"/>
        </w:rPr>
        <w:t>mg film-coated tablets</w:t>
      </w:r>
    </w:p>
    <w:p w14:paraId="72257B18" w14:textId="77777777" w:rsidR="00FA6BDD" w:rsidRPr="00FA6BDD" w:rsidRDefault="00FA6BDD" w:rsidP="00FA6BDD">
      <w:pPr>
        <w:spacing w:line="240" w:lineRule="auto"/>
        <w:rPr>
          <w:rFonts w:eastAsia="Times New Roman" w:cs="Arial"/>
          <w:color w:val="000000"/>
          <w:szCs w:val="20"/>
          <w:lang w:eastAsia="bg-BG"/>
        </w:rPr>
      </w:pPr>
    </w:p>
    <w:p w14:paraId="6C4058BC" w14:textId="3900E387" w:rsidR="00FA6BDD" w:rsidRPr="00FA6BDD" w:rsidRDefault="00FA6BDD" w:rsidP="00FA6BDD">
      <w:pPr>
        <w:spacing w:line="240" w:lineRule="auto"/>
        <w:rPr>
          <w:rFonts w:eastAsia="Times New Roman" w:cs="Arial"/>
          <w:sz w:val="28"/>
          <w:szCs w:val="24"/>
          <w:lang w:val="en-US" w:eastAsia="bg-BG"/>
        </w:rPr>
      </w:pPr>
      <w:r w:rsidRPr="00FA6BDD">
        <w:rPr>
          <w:rFonts w:eastAsia="Times New Roman" w:cs="Arial"/>
          <w:color w:val="000000"/>
          <w:szCs w:val="20"/>
          <w:lang w:eastAsia="bg-BG"/>
        </w:rPr>
        <w:t xml:space="preserve">Сетинин </w:t>
      </w:r>
      <w:r w:rsidRPr="00FA6BDD">
        <w:rPr>
          <w:rFonts w:eastAsia="Times New Roman" w:cs="Arial"/>
          <w:color w:val="000000"/>
          <w:szCs w:val="20"/>
          <w:lang w:val="en-US"/>
        </w:rPr>
        <w:t xml:space="preserve">200 mg </w:t>
      </w:r>
      <w:r w:rsidRPr="00FA6BDD">
        <w:rPr>
          <w:rFonts w:eastAsia="Times New Roman" w:cs="Arial"/>
          <w:color w:val="000000"/>
          <w:szCs w:val="20"/>
          <w:lang w:eastAsia="bg-BG"/>
        </w:rPr>
        <w:t>филмирани таблетки</w:t>
      </w:r>
    </w:p>
    <w:p w14:paraId="69AC8148" w14:textId="7B990926" w:rsidR="00EC41ED" w:rsidRPr="00FA6BDD" w:rsidRDefault="00FA6BDD" w:rsidP="00FA6BDD">
      <w:pPr>
        <w:rPr>
          <w:rFonts w:cs="Arial"/>
          <w:sz w:val="24"/>
        </w:rPr>
      </w:pPr>
      <w:proofErr w:type="spellStart"/>
      <w:r w:rsidRPr="00FA6BDD">
        <w:rPr>
          <w:rFonts w:eastAsia="Times New Roman" w:cs="Arial"/>
          <w:color w:val="000000"/>
          <w:szCs w:val="20"/>
          <w:lang w:val="en-US"/>
        </w:rPr>
        <w:t>Setinin</w:t>
      </w:r>
      <w:proofErr w:type="spellEnd"/>
      <w:r w:rsidRPr="00FA6BDD">
        <w:rPr>
          <w:rFonts w:eastAsia="Times New Roman" w:cs="Arial"/>
          <w:color w:val="000000"/>
          <w:szCs w:val="20"/>
          <w:lang w:val="en-US"/>
        </w:rPr>
        <w:t xml:space="preserve"> </w:t>
      </w:r>
      <w:r w:rsidRPr="00FA6BDD">
        <w:rPr>
          <w:rFonts w:eastAsia="Times New Roman" w:cs="Arial"/>
          <w:color w:val="000000"/>
          <w:szCs w:val="20"/>
          <w:lang w:eastAsia="bg-BG"/>
        </w:rPr>
        <w:t xml:space="preserve">200 </w:t>
      </w:r>
      <w:r w:rsidRPr="00FA6BDD">
        <w:rPr>
          <w:rFonts w:eastAsia="Times New Roman" w:cs="Arial"/>
          <w:color w:val="000000"/>
          <w:szCs w:val="2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478BAC70" w:rsidR="0091385D" w:rsidRDefault="0091385D" w:rsidP="0091385D"/>
    <w:p w14:paraId="78B97F68"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Всяка филмирана таблетка съдържа 100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кветиапин </w:t>
      </w:r>
      <w:r w:rsidRPr="00FA6BDD">
        <w:rPr>
          <w:rFonts w:eastAsia="Times New Roman" w:cs="Arial"/>
          <w:color w:val="000000"/>
          <w:szCs w:val="20"/>
          <w:lang w:val="en-US"/>
        </w:rPr>
        <w:t xml:space="preserve">(quetiapine) </w:t>
      </w:r>
      <w:r w:rsidRPr="00FA6BDD">
        <w:rPr>
          <w:rFonts w:eastAsia="Times New Roman" w:cs="Arial"/>
          <w:color w:val="000000"/>
          <w:szCs w:val="20"/>
          <w:lang w:eastAsia="bg-BG"/>
        </w:rPr>
        <w:t>(като кветиапин фумарат).</w:t>
      </w:r>
    </w:p>
    <w:p w14:paraId="48217F13" w14:textId="77777777" w:rsidR="00FA6BDD" w:rsidRPr="00FA6BDD" w:rsidRDefault="00FA6BDD" w:rsidP="00FA6BDD">
      <w:pPr>
        <w:spacing w:line="240" w:lineRule="auto"/>
        <w:rPr>
          <w:rFonts w:eastAsia="Times New Roman" w:cs="Arial"/>
          <w:color w:val="000000"/>
          <w:szCs w:val="20"/>
          <w:u w:val="single"/>
          <w:lang w:eastAsia="bg-BG"/>
        </w:rPr>
      </w:pPr>
    </w:p>
    <w:p w14:paraId="7F59A01B" w14:textId="797993A1"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u w:val="single"/>
          <w:lang w:eastAsia="bg-BG"/>
        </w:rPr>
        <w:t>Помощно вещество с известно действие:</w:t>
      </w:r>
    </w:p>
    <w:p w14:paraId="2C60183B"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Всяка филмирана таблетка съдържа лактоза монохидрат съответстваща на 21,2 </w:t>
      </w:r>
      <w:r w:rsidRPr="00FA6BDD">
        <w:rPr>
          <w:rFonts w:eastAsia="Times New Roman" w:cs="Arial"/>
          <w:color w:val="000000"/>
          <w:szCs w:val="20"/>
          <w:lang w:val="en-US"/>
        </w:rPr>
        <w:t xml:space="preserve">mg </w:t>
      </w:r>
      <w:r w:rsidRPr="00FA6BDD">
        <w:rPr>
          <w:rFonts w:eastAsia="Times New Roman" w:cs="Arial"/>
          <w:color w:val="000000"/>
          <w:szCs w:val="20"/>
          <w:lang w:eastAsia="bg-BG"/>
        </w:rPr>
        <w:t>лактоза.</w:t>
      </w:r>
    </w:p>
    <w:p w14:paraId="61C3326B" w14:textId="77777777" w:rsidR="00FA6BDD" w:rsidRPr="00FA6BDD" w:rsidRDefault="00FA6BDD" w:rsidP="00FA6BDD">
      <w:pPr>
        <w:spacing w:line="240" w:lineRule="auto"/>
        <w:rPr>
          <w:rFonts w:eastAsia="Times New Roman" w:cs="Arial"/>
          <w:color w:val="000000"/>
          <w:szCs w:val="20"/>
          <w:lang w:eastAsia="bg-BG"/>
        </w:rPr>
      </w:pPr>
    </w:p>
    <w:p w14:paraId="7D8E62FA" w14:textId="4814D1D8"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Всяка филмирана таблетка съдържа 200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кветиапин </w:t>
      </w:r>
      <w:r w:rsidRPr="00FA6BDD">
        <w:rPr>
          <w:rFonts w:eastAsia="Times New Roman" w:cs="Arial"/>
          <w:color w:val="000000"/>
          <w:szCs w:val="20"/>
          <w:lang w:val="en-US"/>
        </w:rPr>
        <w:t xml:space="preserve">(quetiapine) </w:t>
      </w:r>
      <w:r w:rsidRPr="00FA6BDD">
        <w:rPr>
          <w:rFonts w:eastAsia="Times New Roman" w:cs="Arial"/>
          <w:color w:val="000000"/>
          <w:szCs w:val="20"/>
          <w:lang w:eastAsia="bg-BG"/>
        </w:rPr>
        <w:t>(като кветиапин фумарат).</w:t>
      </w:r>
    </w:p>
    <w:p w14:paraId="6DAB8DC4" w14:textId="77777777" w:rsidR="00FA6BDD" w:rsidRPr="00FA6BDD" w:rsidRDefault="00FA6BDD" w:rsidP="00FA6BDD">
      <w:pPr>
        <w:spacing w:line="240" w:lineRule="auto"/>
        <w:rPr>
          <w:rFonts w:eastAsia="Times New Roman" w:cs="Arial"/>
          <w:color w:val="000000"/>
          <w:szCs w:val="20"/>
          <w:u w:val="single"/>
          <w:lang w:eastAsia="bg-BG"/>
        </w:rPr>
      </w:pPr>
    </w:p>
    <w:p w14:paraId="5A77FEF7" w14:textId="187222BE"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u w:val="single"/>
          <w:lang w:eastAsia="bg-BG"/>
        </w:rPr>
        <w:t>Помощно вещество с известно действие:</w:t>
      </w:r>
    </w:p>
    <w:p w14:paraId="487D242B"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Всяка филмирана таблетка съдържа лактоза монохидрат съответстваща на 42,3 </w:t>
      </w:r>
      <w:r w:rsidRPr="00FA6BDD">
        <w:rPr>
          <w:rFonts w:eastAsia="Times New Roman" w:cs="Arial"/>
          <w:color w:val="000000"/>
          <w:szCs w:val="20"/>
          <w:lang w:val="en-US"/>
        </w:rPr>
        <w:t xml:space="preserve">mg </w:t>
      </w:r>
      <w:r w:rsidRPr="00FA6BDD">
        <w:rPr>
          <w:rFonts w:eastAsia="Times New Roman" w:cs="Arial"/>
          <w:color w:val="000000"/>
          <w:szCs w:val="20"/>
          <w:lang w:eastAsia="bg-BG"/>
        </w:rPr>
        <w:t>лактоза.</w:t>
      </w:r>
    </w:p>
    <w:p w14:paraId="35FBC6D8" w14:textId="77777777" w:rsidR="00FA6BDD" w:rsidRPr="00FA6BDD" w:rsidRDefault="00FA6BDD" w:rsidP="00FA6BDD">
      <w:pPr>
        <w:rPr>
          <w:rFonts w:eastAsia="Times New Roman" w:cs="Arial"/>
          <w:color w:val="000000"/>
          <w:szCs w:val="20"/>
          <w:lang w:eastAsia="bg-BG"/>
        </w:rPr>
      </w:pPr>
    </w:p>
    <w:p w14:paraId="54632B43" w14:textId="696A81A0" w:rsidR="00EC41ED" w:rsidRPr="00FA6BDD" w:rsidRDefault="00FA6BDD" w:rsidP="00FA6BDD">
      <w:pPr>
        <w:rPr>
          <w:rFonts w:cs="Arial"/>
          <w:sz w:val="24"/>
        </w:rPr>
      </w:pPr>
      <w:r w:rsidRPr="00FA6BDD">
        <w:rPr>
          <w:rFonts w:eastAsia="Times New Roman" w:cs="Arial"/>
          <w:color w:val="000000"/>
          <w:szCs w:val="2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67F9C61D" w:rsidR="0091385D" w:rsidRDefault="0091385D" w:rsidP="0091385D"/>
    <w:p w14:paraId="4107F38B"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Филмирана таблетка</w:t>
      </w:r>
    </w:p>
    <w:p w14:paraId="3368C820" w14:textId="77777777" w:rsidR="00FA6BDD" w:rsidRPr="00FA6BDD" w:rsidRDefault="00FA6BDD" w:rsidP="00FA6BDD">
      <w:pPr>
        <w:spacing w:line="240" w:lineRule="auto"/>
        <w:rPr>
          <w:rFonts w:eastAsia="Times New Roman" w:cs="Arial"/>
          <w:color w:val="000000"/>
          <w:szCs w:val="20"/>
          <w:lang w:eastAsia="bg-BG"/>
        </w:rPr>
      </w:pPr>
    </w:p>
    <w:p w14:paraId="6916FBED" w14:textId="6D5A11C6"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Сетинин 100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филмирани таблетки представляват кръгли, 8,5 </w:t>
      </w:r>
      <w:r w:rsidRPr="00FA6BDD">
        <w:rPr>
          <w:rFonts w:eastAsia="Times New Roman" w:cs="Arial"/>
          <w:color w:val="000000"/>
          <w:szCs w:val="20"/>
          <w:lang w:val="en-US"/>
        </w:rPr>
        <w:t xml:space="preserve">mm </w:t>
      </w:r>
      <w:r w:rsidRPr="00FA6BDD">
        <w:rPr>
          <w:rFonts w:eastAsia="Times New Roman" w:cs="Arial"/>
          <w:color w:val="000000"/>
          <w:szCs w:val="20"/>
          <w:lang w:eastAsia="bg-BG"/>
        </w:rPr>
        <w:t xml:space="preserve">в диаметър, двойноизпъкнали, жълти таблетки с гравиран надпис </w:t>
      </w:r>
      <w:r w:rsidRPr="00FA6BDD">
        <w:rPr>
          <w:rFonts w:eastAsia="Times New Roman" w:cs="Arial"/>
          <w:color w:val="000000"/>
          <w:szCs w:val="20"/>
          <w:lang w:val="en-US"/>
        </w:rPr>
        <w:t xml:space="preserve">“Q” </w:t>
      </w:r>
      <w:r w:rsidRPr="00FA6BDD">
        <w:rPr>
          <w:rFonts w:eastAsia="Times New Roman" w:cs="Arial"/>
          <w:color w:val="000000"/>
          <w:szCs w:val="20"/>
          <w:lang w:eastAsia="bg-BG"/>
        </w:rPr>
        <w:t>от едната страна.</w:t>
      </w:r>
    </w:p>
    <w:p w14:paraId="7D633D63" w14:textId="77777777" w:rsidR="00FA6BDD" w:rsidRPr="00FA6BDD" w:rsidRDefault="00FA6BDD" w:rsidP="00FA6BDD">
      <w:pPr>
        <w:rPr>
          <w:rFonts w:eastAsia="Times New Roman" w:cs="Arial"/>
          <w:color w:val="000000"/>
          <w:szCs w:val="20"/>
          <w:lang w:eastAsia="bg-BG"/>
        </w:rPr>
      </w:pPr>
    </w:p>
    <w:p w14:paraId="743244F0" w14:textId="55D23C61" w:rsidR="00EC41ED" w:rsidRPr="00FA6BDD" w:rsidRDefault="00FA6BDD" w:rsidP="00FA6BDD">
      <w:pPr>
        <w:rPr>
          <w:rFonts w:cs="Arial"/>
          <w:sz w:val="24"/>
        </w:rPr>
      </w:pPr>
      <w:r w:rsidRPr="00FA6BDD">
        <w:rPr>
          <w:rFonts w:eastAsia="Times New Roman" w:cs="Arial"/>
          <w:color w:val="000000"/>
          <w:szCs w:val="20"/>
          <w:lang w:eastAsia="bg-BG"/>
        </w:rPr>
        <w:t xml:space="preserve">Сетинин 200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филмирани таблетки представляват овални с размери 16 </w:t>
      </w:r>
      <w:r w:rsidRPr="00FA6BDD">
        <w:rPr>
          <w:rFonts w:eastAsia="Times New Roman" w:cs="Arial"/>
          <w:color w:val="000000"/>
          <w:szCs w:val="20"/>
          <w:lang w:val="en-US"/>
        </w:rPr>
        <w:t xml:space="preserve">mm </w:t>
      </w:r>
      <w:r w:rsidRPr="00FA6BDD">
        <w:rPr>
          <w:rFonts w:eastAsia="Times New Roman" w:cs="Arial"/>
          <w:color w:val="000000"/>
          <w:szCs w:val="20"/>
          <w:lang w:eastAsia="bg-BG"/>
        </w:rPr>
        <w:t xml:space="preserve">х 8,2 </w:t>
      </w:r>
      <w:r w:rsidRPr="00FA6BDD">
        <w:rPr>
          <w:rFonts w:eastAsia="Times New Roman" w:cs="Arial"/>
          <w:color w:val="000000"/>
          <w:szCs w:val="20"/>
          <w:lang w:val="en-US"/>
        </w:rPr>
        <w:t xml:space="preserve">mm, </w:t>
      </w:r>
      <w:r w:rsidRPr="00FA6BDD">
        <w:rPr>
          <w:rFonts w:eastAsia="Times New Roman" w:cs="Arial"/>
          <w:color w:val="000000"/>
          <w:szCs w:val="20"/>
          <w:lang w:eastAsia="bg-BG"/>
        </w:rPr>
        <w:t xml:space="preserve">двойноизпъкнали, бели таблетки с гравиран надпис </w:t>
      </w:r>
      <w:r w:rsidRPr="00FA6BDD">
        <w:rPr>
          <w:rFonts w:eastAsia="Times New Roman" w:cs="Arial"/>
          <w:color w:val="000000"/>
          <w:szCs w:val="20"/>
          <w:lang w:val="en-US"/>
        </w:rPr>
        <w:t xml:space="preserve">“Q” </w:t>
      </w:r>
      <w:r w:rsidRPr="00FA6BDD">
        <w:rPr>
          <w:rFonts w:eastAsia="Times New Roman" w:cs="Arial"/>
          <w:color w:val="000000"/>
          <w:szCs w:val="20"/>
          <w:lang w:eastAsia="bg-BG"/>
        </w:rPr>
        <w:t>от едната страна.</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7604330B"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lastRenderedPageBreak/>
        <w:t>Сетинин е показан за:</w:t>
      </w:r>
    </w:p>
    <w:p w14:paraId="71BD4D31" w14:textId="77777777" w:rsidR="00FA6BDD" w:rsidRPr="00FA6BDD" w:rsidRDefault="00FA6BDD" w:rsidP="00FA6BDD">
      <w:pPr>
        <w:pStyle w:val="ListParagraph"/>
        <w:numPr>
          <w:ilvl w:val="0"/>
          <w:numId w:val="36"/>
        </w:numPr>
        <w:spacing w:line="240" w:lineRule="auto"/>
        <w:rPr>
          <w:rFonts w:eastAsia="Times New Roman" w:cs="Arial"/>
          <w:color w:val="000000"/>
          <w:szCs w:val="20"/>
          <w:lang w:eastAsia="bg-BG"/>
        </w:rPr>
      </w:pPr>
      <w:r w:rsidRPr="00FA6BDD">
        <w:rPr>
          <w:rFonts w:eastAsia="Times New Roman" w:cs="Arial"/>
          <w:color w:val="000000"/>
          <w:szCs w:val="20"/>
          <w:lang w:eastAsia="bg-BG"/>
        </w:rPr>
        <w:t>Лечение на шизофрения.</w:t>
      </w:r>
    </w:p>
    <w:p w14:paraId="699F4A7C" w14:textId="43676C94" w:rsidR="00FA6BDD" w:rsidRPr="00FA6BDD" w:rsidRDefault="00FA6BDD" w:rsidP="00FA6BDD">
      <w:pPr>
        <w:pStyle w:val="ListParagraph"/>
        <w:numPr>
          <w:ilvl w:val="0"/>
          <w:numId w:val="36"/>
        </w:numPr>
        <w:spacing w:line="240" w:lineRule="auto"/>
        <w:rPr>
          <w:rFonts w:eastAsia="Times New Roman" w:cs="Arial"/>
          <w:color w:val="000000"/>
          <w:szCs w:val="20"/>
          <w:lang w:eastAsia="bg-BG"/>
        </w:rPr>
      </w:pPr>
      <w:r w:rsidRPr="00FA6BDD">
        <w:rPr>
          <w:rFonts w:eastAsia="Times New Roman" w:cs="Arial"/>
          <w:color w:val="000000"/>
          <w:szCs w:val="20"/>
          <w:lang w:eastAsia="bg-BG"/>
        </w:rPr>
        <w:t>Лечение на биполярно разстройство:</w:t>
      </w:r>
    </w:p>
    <w:p w14:paraId="0CFD0F0E" w14:textId="77777777" w:rsidR="00FA6BDD" w:rsidRPr="00FA6BDD" w:rsidRDefault="00FA6BDD" w:rsidP="00FA6BDD">
      <w:pPr>
        <w:pStyle w:val="ListParagraph"/>
        <w:numPr>
          <w:ilvl w:val="0"/>
          <w:numId w:val="37"/>
        </w:numPr>
        <w:spacing w:line="240" w:lineRule="auto"/>
        <w:rPr>
          <w:rFonts w:eastAsia="Times New Roman" w:cs="Arial"/>
          <w:sz w:val="28"/>
          <w:szCs w:val="24"/>
          <w:lang w:eastAsia="bg-BG"/>
        </w:rPr>
      </w:pPr>
      <w:r w:rsidRPr="00FA6BDD">
        <w:rPr>
          <w:rFonts w:eastAsia="Times New Roman" w:cs="Arial"/>
          <w:color w:val="000000"/>
          <w:szCs w:val="20"/>
          <w:lang w:eastAsia="bg-BG"/>
        </w:rPr>
        <w:t xml:space="preserve">за лечението на умерено тежки до тежки манийни епизоди при биполярно разстройство </w:t>
      </w:r>
    </w:p>
    <w:p w14:paraId="0E83F390" w14:textId="77777777" w:rsidR="00FA6BDD" w:rsidRPr="00FA6BDD" w:rsidRDefault="00FA6BDD" w:rsidP="00FA6BDD">
      <w:pPr>
        <w:pStyle w:val="ListParagraph"/>
        <w:numPr>
          <w:ilvl w:val="0"/>
          <w:numId w:val="37"/>
        </w:numPr>
        <w:spacing w:line="240" w:lineRule="auto"/>
        <w:rPr>
          <w:rFonts w:eastAsia="Times New Roman" w:cs="Arial"/>
          <w:sz w:val="28"/>
          <w:szCs w:val="24"/>
          <w:lang w:eastAsia="bg-BG"/>
        </w:rPr>
      </w:pPr>
      <w:r w:rsidRPr="00FA6BDD">
        <w:rPr>
          <w:rFonts w:eastAsia="Times New Roman" w:cs="Arial"/>
          <w:color w:val="000000"/>
          <w:szCs w:val="20"/>
          <w:lang w:eastAsia="bg-BG"/>
        </w:rPr>
        <w:t>за лечението на големи депресивни епизоди при биполярно разстройство</w:t>
      </w:r>
    </w:p>
    <w:p w14:paraId="6DFA4B9D" w14:textId="56FBA208" w:rsidR="0091385D" w:rsidRPr="00FA6BDD" w:rsidRDefault="00FA6BDD" w:rsidP="00FA6BDD">
      <w:pPr>
        <w:pStyle w:val="ListParagraph"/>
        <w:numPr>
          <w:ilvl w:val="0"/>
          <w:numId w:val="37"/>
        </w:numPr>
        <w:spacing w:line="240" w:lineRule="auto"/>
        <w:rPr>
          <w:rFonts w:eastAsia="Times New Roman" w:cs="Arial"/>
          <w:sz w:val="28"/>
          <w:szCs w:val="24"/>
          <w:lang w:eastAsia="bg-BG"/>
        </w:rPr>
      </w:pPr>
      <w:r w:rsidRPr="00FA6BDD">
        <w:rPr>
          <w:rFonts w:eastAsia="Times New Roman" w:cs="Arial"/>
          <w:color w:val="000000"/>
          <w:szCs w:val="20"/>
          <w:lang w:eastAsia="bg-BG"/>
        </w:rPr>
        <w:t>за предотвратяване на рецидиви на манийни или депресивни епизоди при пациенти с биполярно разстройство, които преди са се повлияли от лечение с кветиапин.</w:t>
      </w:r>
    </w:p>
    <w:p w14:paraId="642F56D9" w14:textId="77777777" w:rsidR="00EC41ED" w:rsidRPr="0091385D" w:rsidRDefault="00EC41ED" w:rsidP="0091385D"/>
    <w:p w14:paraId="30BE2C7B" w14:textId="3633C1E4" w:rsidR="008134C8" w:rsidRDefault="002C50EE" w:rsidP="004A448E">
      <w:pPr>
        <w:pStyle w:val="Heading2"/>
      </w:pPr>
      <w:r>
        <w:t>4.2. Дозировка и начин на приложение</w:t>
      </w:r>
    </w:p>
    <w:p w14:paraId="7AA22B68" w14:textId="0723B40D" w:rsidR="0091385D" w:rsidRDefault="0091385D" w:rsidP="0091385D"/>
    <w:p w14:paraId="034FE323" w14:textId="77777777" w:rsidR="00FA6BDD" w:rsidRPr="00FA6BDD" w:rsidRDefault="00FA6BDD" w:rsidP="00FA6BDD">
      <w:pPr>
        <w:pStyle w:val="Heading3"/>
        <w:rPr>
          <w:rFonts w:eastAsia="Times New Roman"/>
          <w:u w:val="single"/>
          <w:lang w:eastAsia="bg-BG"/>
        </w:rPr>
      </w:pPr>
      <w:r w:rsidRPr="00FA6BDD">
        <w:rPr>
          <w:rFonts w:eastAsia="Times New Roman"/>
          <w:u w:val="single"/>
          <w:lang w:eastAsia="bg-BG"/>
        </w:rPr>
        <w:t>Дозировка</w:t>
      </w:r>
    </w:p>
    <w:p w14:paraId="2AC95A0F"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За всяко показание съществуват различни схеми на дозиране. Следователно, трябва да се гарантира, че пациентите получават ясна информация за подходящата дозировка, необходима за тяхното заболяване.</w:t>
      </w:r>
    </w:p>
    <w:p w14:paraId="1299E6F3" w14:textId="77777777" w:rsidR="00FA6BDD" w:rsidRPr="00FA6BDD" w:rsidRDefault="00FA6BDD" w:rsidP="00FA6BDD">
      <w:pPr>
        <w:spacing w:line="240" w:lineRule="auto"/>
        <w:rPr>
          <w:rFonts w:eastAsia="Times New Roman" w:cs="Arial"/>
          <w:b/>
          <w:bCs/>
          <w:color w:val="000000"/>
          <w:lang w:eastAsia="bg-BG"/>
        </w:rPr>
      </w:pPr>
      <w:bookmarkStart w:id="1" w:name="bookmark0"/>
    </w:p>
    <w:p w14:paraId="0990A89A" w14:textId="254CE92B" w:rsidR="00FA6BDD" w:rsidRPr="00FA6BDD" w:rsidRDefault="00FA6BDD" w:rsidP="00FA6BDD">
      <w:pPr>
        <w:spacing w:line="240" w:lineRule="auto"/>
        <w:rPr>
          <w:rFonts w:eastAsia="Times New Roman" w:cs="Arial"/>
          <w:lang w:eastAsia="bg-BG"/>
        </w:rPr>
      </w:pPr>
      <w:r w:rsidRPr="00FA6BDD">
        <w:rPr>
          <w:rFonts w:eastAsia="Times New Roman" w:cs="Arial"/>
          <w:b/>
          <w:bCs/>
          <w:color w:val="000000"/>
          <w:lang w:eastAsia="bg-BG"/>
        </w:rPr>
        <w:t>Възрастни</w:t>
      </w:r>
      <w:bookmarkEnd w:id="1"/>
    </w:p>
    <w:p w14:paraId="0DA0DA70" w14:textId="77777777"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За лечение на шизофрения</w:t>
      </w:r>
    </w:p>
    <w:p w14:paraId="6EE8C0E5"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За лечението на шизофрения Сетинин трябва да се прилага два пъти дневно. Общата дневна доза за първите четири дни лечение е 50 </w:t>
      </w:r>
      <w:r w:rsidRPr="00FA6BDD">
        <w:rPr>
          <w:rFonts w:eastAsia="Times New Roman" w:cs="Arial"/>
          <w:color w:val="000000"/>
          <w:lang w:val="en-US"/>
        </w:rPr>
        <w:t xml:space="preserve">mg </w:t>
      </w:r>
      <w:r w:rsidRPr="00FA6BDD">
        <w:rPr>
          <w:rFonts w:eastAsia="Times New Roman" w:cs="Arial"/>
          <w:color w:val="000000"/>
          <w:lang w:eastAsia="bg-BG"/>
        </w:rPr>
        <w:t xml:space="preserve">(1-ви ден), 100 </w:t>
      </w:r>
      <w:r w:rsidRPr="00FA6BDD">
        <w:rPr>
          <w:rFonts w:eastAsia="Times New Roman" w:cs="Arial"/>
          <w:color w:val="000000"/>
          <w:lang w:val="en-US"/>
        </w:rPr>
        <w:t xml:space="preserve">mg </w:t>
      </w:r>
      <w:r w:rsidRPr="00FA6BDD">
        <w:rPr>
          <w:rFonts w:eastAsia="Times New Roman" w:cs="Arial"/>
          <w:color w:val="000000"/>
          <w:lang w:eastAsia="bg-BG"/>
        </w:rPr>
        <w:t xml:space="preserve">(2-ри ден), 200 </w:t>
      </w:r>
      <w:r w:rsidRPr="00FA6BDD">
        <w:rPr>
          <w:rFonts w:eastAsia="Times New Roman" w:cs="Arial"/>
          <w:color w:val="000000"/>
          <w:lang w:val="en-US"/>
        </w:rPr>
        <w:t xml:space="preserve">mg </w:t>
      </w:r>
      <w:r w:rsidRPr="00FA6BDD">
        <w:rPr>
          <w:rFonts w:eastAsia="Times New Roman" w:cs="Arial"/>
          <w:color w:val="000000"/>
          <w:lang w:eastAsia="bg-BG"/>
        </w:rPr>
        <w:t xml:space="preserve">(3-ти ден) и 300 </w:t>
      </w:r>
      <w:r w:rsidRPr="00FA6BDD">
        <w:rPr>
          <w:rFonts w:eastAsia="Times New Roman" w:cs="Arial"/>
          <w:color w:val="000000"/>
          <w:lang w:val="en-US"/>
        </w:rPr>
        <w:t xml:space="preserve">mg </w:t>
      </w:r>
      <w:r w:rsidRPr="00FA6BDD">
        <w:rPr>
          <w:rFonts w:eastAsia="Times New Roman" w:cs="Arial"/>
          <w:color w:val="000000"/>
          <w:lang w:eastAsia="bg-BG"/>
        </w:rPr>
        <w:t>(4-ти ден).</w:t>
      </w:r>
    </w:p>
    <w:p w14:paraId="723CF298"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От 4-ти ден нататък дозата трябва да бъде титрирана до достигане на обичайната ефективна доза от 300 до 450 </w:t>
      </w:r>
      <w:r w:rsidRPr="00FA6BDD">
        <w:rPr>
          <w:rFonts w:eastAsia="Times New Roman" w:cs="Arial"/>
          <w:color w:val="000000"/>
          <w:lang w:val="en-US"/>
        </w:rPr>
        <w:t xml:space="preserve">mg </w:t>
      </w:r>
      <w:r w:rsidRPr="00FA6BDD">
        <w:rPr>
          <w:rFonts w:eastAsia="Times New Roman" w:cs="Arial"/>
          <w:color w:val="000000"/>
          <w:lang w:eastAsia="bg-BG"/>
        </w:rPr>
        <w:t xml:space="preserve">дневно. В зависимост от клиничния отговор и индивидуалната поносимост на пациента, дозата може да бъде коригирана в границите на 150 до 750 </w:t>
      </w:r>
      <w:r w:rsidRPr="00FA6BDD">
        <w:rPr>
          <w:rFonts w:eastAsia="Times New Roman" w:cs="Arial"/>
          <w:color w:val="000000"/>
          <w:lang w:val="en-US"/>
        </w:rPr>
        <w:t xml:space="preserve">mg </w:t>
      </w:r>
      <w:r w:rsidRPr="00FA6BDD">
        <w:rPr>
          <w:rFonts w:eastAsia="Times New Roman" w:cs="Arial"/>
          <w:color w:val="000000"/>
          <w:lang w:eastAsia="bg-BG"/>
        </w:rPr>
        <w:t>дневно.</w:t>
      </w:r>
    </w:p>
    <w:p w14:paraId="586B3E96" w14:textId="77777777" w:rsidR="00FA6BDD" w:rsidRPr="00FA6BDD" w:rsidRDefault="00FA6BDD" w:rsidP="00FA6BDD">
      <w:pPr>
        <w:spacing w:line="240" w:lineRule="auto"/>
        <w:rPr>
          <w:rFonts w:eastAsia="Times New Roman" w:cs="Arial"/>
          <w:i/>
          <w:iCs/>
          <w:color w:val="000000"/>
          <w:u w:val="single"/>
          <w:lang w:eastAsia="bg-BG"/>
        </w:rPr>
      </w:pPr>
    </w:p>
    <w:p w14:paraId="2733B685" w14:textId="5C7A3C61"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За лечение на умерени до тежки манийни епизоди при биполярно разстройство</w:t>
      </w:r>
    </w:p>
    <w:p w14:paraId="05EDC531"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За лечението на манийни епизоди, свързани с биполярно разстройство Сетинин трябва да се прилага два пъти дневно. Общата дневна доза за първите четири дни от лечението е 100 </w:t>
      </w:r>
      <w:r w:rsidRPr="00FA6BDD">
        <w:rPr>
          <w:rFonts w:eastAsia="Times New Roman" w:cs="Arial"/>
          <w:color w:val="000000"/>
          <w:lang w:val="en-US"/>
        </w:rPr>
        <w:t xml:space="preserve">mg </w:t>
      </w:r>
      <w:r w:rsidRPr="00FA6BDD">
        <w:rPr>
          <w:rFonts w:eastAsia="Times New Roman" w:cs="Arial"/>
          <w:color w:val="000000"/>
          <w:lang w:eastAsia="bg-BG"/>
        </w:rPr>
        <w:t xml:space="preserve">(1-ви ден), 200 </w:t>
      </w:r>
      <w:r w:rsidRPr="00FA6BDD">
        <w:rPr>
          <w:rFonts w:eastAsia="Times New Roman" w:cs="Arial"/>
          <w:color w:val="000000"/>
          <w:lang w:val="en-US"/>
        </w:rPr>
        <w:t xml:space="preserve">mg </w:t>
      </w:r>
      <w:r w:rsidRPr="00FA6BDD">
        <w:rPr>
          <w:rFonts w:eastAsia="Times New Roman" w:cs="Arial"/>
          <w:color w:val="000000"/>
          <w:lang w:eastAsia="bg-BG"/>
        </w:rPr>
        <w:t xml:space="preserve">(2-ри ден), 300 </w:t>
      </w:r>
      <w:r w:rsidRPr="00FA6BDD">
        <w:rPr>
          <w:rFonts w:eastAsia="Times New Roman" w:cs="Arial"/>
          <w:color w:val="000000"/>
          <w:lang w:val="en-US"/>
        </w:rPr>
        <w:t xml:space="preserve">mg </w:t>
      </w:r>
      <w:r w:rsidRPr="00FA6BDD">
        <w:rPr>
          <w:rFonts w:eastAsia="Times New Roman" w:cs="Arial"/>
          <w:color w:val="000000"/>
          <w:lang w:eastAsia="bg-BG"/>
        </w:rPr>
        <w:t xml:space="preserve">(3-ти ден) и 400 </w:t>
      </w:r>
      <w:r w:rsidRPr="00FA6BDD">
        <w:rPr>
          <w:rFonts w:eastAsia="Times New Roman" w:cs="Arial"/>
          <w:color w:val="000000"/>
          <w:lang w:val="en-US"/>
        </w:rPr>
        <w:t xml:space="preserve">mg </w:t>
      </w:r>
      <w:r w:rsidRPr="00FA6BDD">
        <w:rPr>
          <w:rFonts w:eastAsia="Times New Roman" w:cs="Arial"/>
          <w:color w:val="000000"/>
          <w:lang w:eastAsia="bg-BG"/>
        </w:rPr>
        <w:t xml:space="preserve">(4-ти ден). По-нататъшното коригиране на дозата до 800 </w:t>
      </w:r>
      <w:r w:rsidRPr="00FA6BDD">
        <w:rPr>
          <w:rFonts w:eastAsia="Times New Roman" w:cs="Arial"/>
          <w:color w:val="000000"/>
          <w:lang w:val="en-US"/>
        </w:rPr>
        <w:t xml:space="preserve">mg </w:t>
      </w:r>
      <w:r w:rsidRPr="00FA6BDD">
        <w:rPr>
          <w:rFonts w:eastAsia="Times New Roman" w:cs="Arial"/>
          <w:color w:val="000000"/>
          <w:lang w:eastAsia="bg-BG"/>
        </w:rPr>
        <w:t xml:space="preserve">дневно от 6-ти ден трябва да се извършва постепенно с не повече от 200 </w:t>
      </w:r>
      <w:r w:rsidRPr="00FA6BDD">
        <w:rPr>
          <w:rFonts w:eastAsia="Times New Roman" w:cs="Arial"/>
          <w:color w:val="000000"/>
          <w:lang w:val="en-US"/>
        </w:rPr>
        <w:t xml:space="preserve">mg </w:t>
      </w:r>
      <w:r w:rsidRPr="00FA6BDD">
        <w:rPr>
          <w:rFonts w:eastAsia="Times New Roman" w:cs="Arial"/>
          <w:color w:val="000000"/>
          <w:lang w:eastAsia="bg-BG"/>
        </w:rPr>
        <w:t>дневно.</w:t>
      </w:r>
    </w:p>
    <w:p w14:paraId="0DB2971C"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Дозата може да бъде коригирана в зависимост от клиничния отговор и поносимостта при отделния пациент в рамките на 200 до 800 </w:t>
      </w:r>
      <w:r w:rsidRPr="00FA6BDD">
        <w:rPr>
          <w:rFonts w:eastAsia="Times New Roman" w:cs="Arial"/>
          <w:color w:val="000000"/>
          <w:lang w:val="en-US"/>
        </w:rPr>
        <w:t xml:space="preserve">mg </w:t>
      </w:r>
      <w:r w:rsidRPr="00FA6BDD">
        <w:rPr>
          <w:rFonts w:eastAsia="Times New Roman" w:cs="Arial"/>
          <w:color w:val="000000"/>
          <w:lang w:eastAsia="bg-BG"/>
        </w:rPr>
        <w:t xml:space="preserve">дневно. Обичайната ефективна доза е в границите на 400 до 800 </w:t>
      </w:r>
      <w:r w:rsidRPr="00FA6BDD">
        <w:rPr>
          <w:rFonts w:eastAsia="Times New Roman" w:cs="Arial"/>
          <w:color w:val="000000"/>
          <w:lang w:val="en-US"/>
        </w:rPr>
        <w:t xml:space="preserve">mg </w:t>
      </w:r>
      <w:r w:rsidRPr="00FA6BDD">
        <w:rPr>
          <w:rFonts w:eastAsia="Times New Roman" w:cs="Arial"/>
          <w:color w:val="000000"/>
          <w:lang w:eastAsia="bg-BG"/>
        </w:rPr>
        <w:t>дневно.</w:t>
      </w:r>
    </w:p>
    <w:p w14:paraId="4CCFD70F" w14:textId="77777777" w:rsidR="00FA6BDD" w:rsidRPr="00FA6BDD" w:rsidRDefault="00FA6BDD" w:rsidP="00FA6BDD">
      <w:pPr>
        <w:spacing w:line="240" w:lineRule="auto"/>
        <w:rPr>
          <w:rFonts w:eastAsia="Times New Roman" w:cs="Arial"/>
          <w:i/>
          <w:iCs/>
          <w:color w:val="000000"/>
          <w:u w:val="single"/>
          <w:lang w:eastAsia="bg-BG"/>
        </w:rPr>
      </w:pPr>
    </w:p>
    <w:p w14:paraId="175BCA64" w14:textId="78FAE92A"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За лечението на големи депресивни епизоди при биполярно разстройство</w:t>
      </w:r>
    </w:p>
    <w:p w14:paraId="3770212A"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Сетинин трябва да се прилага веднъж дневно вечер преди лягане. Общата дневна доза за първите четири дни от лечението е 50 </w:t>
      </w:r>
      <w:r w:rsidRPr="00FA6BDD">
        <w:rPr>
          <w:rFonts w:eastAsia="Times New Roman" w:cs="Arial"/>
          <w:color w:val="000000"/>
          <w:lang w:val="en-US"/>
        </w:rPr>
        <w:t xml:space="preserve">mg </w:t>
      </w:r>
      <w:r w:rsidRPr="00FA6BDD">
        <w:rPr>
          <w:rFonts w:eastAsia="Times New Roman" w:cs="Arial"/>
          <w:color w:val="000000"/>
          <w:lang w:eastAsia="bg-BG"/>
        </w:rPr>
        <w:t xml:space="preserve">(1-ви ден), 100 </w:t>
      </w:r>
      <w:r w:rsidRPr="00FA6BDD">
        <w:rPr>
          <w:rFonts w:eastAsia="Times New Roman" w:cs="Arial"/>
          <w:color w:val="000000"/>
          <w:lang w:val="en-US"/>
        </w:rPr>
        <w:t xml:space="preserve">mg </w:t>
      </w:r>
      <w:r w:rsidRPr="00FA6BDD">
        <w:rPr>
          <w:rFonts w:eastAsia="Times New Roman" w:cs="Arial"/>
          <w:color w:val="000000"/>
          <w:lang w:eastAsia="bg-BG"/>
        </w:rPr>
        <w:t xml:space="preserve">(2-ри ден), 200 </w:t>
      </w:r>
      <w:r w:rsidRPr="00FA6BDD">
        <w:rPr>
          <w:rFonts w:eastAsia="Times New Roman" w:cs="Arial"/>
          <w:color w:val="000000"/>
          <w:lang w:val="en-US"/>
        </w:rPr>
        <w:t xml:space="preserve">mg </w:t>
      </w:r>
      <w:r w:rsidRPr="00FA6BDD">
        <w:rPr>
          <w:rFonts w:eastAsia="Times New Roman" w:cs="Arial"/>
          <w:color w:val="000000"/>
          <w:lang w:eastAsia="bg-BG"/>
        </w:rPr>
        <w:t xml:space="preserve">(3-ти ден) и 300 </w:t>
      </w:r>
      <w:r w:rsidRPr="00FA6BDD">
        <w:rPr>
          <w:rFonts w:eastAsia="Times New Roman" w:cs="Arial"/>
          <w:color w:val="000000"/>
          <w:lang w:val="en-US"/>
        </w:rPr>
        <w:t xml:space="preserve">mg </w:t>
      </w:r>
      <w:r w:rsidRPr="00FA6BDD">
        <w:rPr>
          <w:rFonts w:eastAsia="Times New Roman" w:cs="Arial"/>
          <w:color w:val="000000"/>
          <w:lang w:eastAsia="bg-BG"/>
        </w:rPr>
        <w:t xml:space="preserve">(4-ти ден). Препоръчителната дневна доза е 300 </w:t>
      </w:r>
      <w:r w:rsidRPr="00FA6BDD">
        <w:rPr>
          <w:rFonts w:eastAsia="Times New Roman" w:cs="Arial"/>
          <w:color w:val="000000"/>
          <w:lang w:val="en-US"/>
        </w:rPr>
        <w:t>mg.</w:t>
      </w:r>
    </w:p>
    <w:p w14:paraId="63B522FE"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 xml:space="preserve">Не е наблюдавана допълнителна полза в клинични изпитвания в групата с 600 </w:t>
      </w:r>
      <w:r w:rsidRPr="00FA6BDD">
        <w:rPr>
          <w:rFonts w:eastAsia="Times New Roman" w:cs="Arial"/>
          <w:color w:val="000000"/>
          <w:lang w:val="en-US"/>
        </w:rPr>
        <w:t xml:space="preserve">mg, </w:t>
      </w:r>
      <w:r w:rsidRPr="00FA6BDD">
        <w:rPr>
          <w:rFonts w:eastAsia="Times New Roman" w:cs="Arial"/>
          <w:color w:val="000000"/>
          <w:lang w:eastAsia="bg-BG"/>
        </w:rPr>
        <w:t xml:space="preserve">в сравнение с групата с 300 </w:t>
      </w:r>
      <w:r w:rsidRPr="00FA6BDD">
        <w:rPr>
          <w:rFonts w:eastAsia="Times New Roman" w:cs="Arial"/>
          <w:color w:val="000000"/>
          <w:lang w:val="en-US"/>
        </w:rPr>
        <w:t xml:space="preserve">mg </w:t>
      </w:r>
      <w:r w:rsidRPr="00FA6BDD">
        <w:rPr>
          <w:rFonts w:eastAsia="Times New Roman" w:cs="Arial"/>
          <w:color w:val="000000"/>
          <w:lang w:eastAsia="bg-BG"/>
        </w:rPr>
        <w:t xml:space="preserve">(вж. точка 5.1). Отделни пациенти може да се повлияят благоприятно от доза от 600 </w:t>
      </w:r>
      <w:r w:rsidRPr="00FA6BDD">
        <w:rPr>
          <w:rFonts w:eastAsia="Times New Roman" w:cs="Arial"/>
          <w:color w:val="000000"/>
          <w:lang w:val="en-US"/>
        </w:rPr>
        <w:t xml:space="preserve">mg. </w:t>
      </w:r>
      <w:r w:rsidRPr="00FA6BDD">
        <w:rPr>
          <w:rFonts w:eastAsia="Times New Roman" w:cs="Arial"/>
          <w:color w:val="000000"/>
          <w:lang w:eastAsia="bg-BG"/>
        </w:rPr>
        <w:t xml:space="preserve">Лечението с дози над 300 </w:t>
      </w:r>
      <w:r w:rsidRPr="00FA6BDD">
        <w:rPr>
          <w:rFonts w:eastAsia="Times New Roman" w:cs="Arial"/>
          <w:color w:val="000000"/>
          <w:lang w:val="en-US"/>
        </w:rPr>
        <w:t xml:space="preserve">mg </w:t>
      </w:r>
      <w:r w:rsidRPr="00FA6BDD">
        <w:rPr>
          <w:rFonts w:eastAsia="Times New Roman" w:cs="Arial"/>
          <w:color w:val="000000"/>
          <w:lang w:eastAsia="bg-BG"/>
        </w:rPr>
        <w:t xml:space="preserve">трябва да се започва само от лекари с опит при лечението на биполярни разстройства. При отделни пациенти, при опасения, свързани с поносимостта, клиничните изпитвания показват, че дозата може да се понижи до минимум 200 </w:t>
      </w:r>
      <w:r w:rsidRPr="00FA6BDD">
        <w:rPr>
          <w:rFonts w:eastAsia="Times New Roman" w:cs="Arial"/>
          <w:color w:val="000000"/>
          <w:lang w:val="en-US"/>
        </w:rPr>
        <w:t>mg.</w:t>
      </w:r>
    </w:p>
    <w:p w14:paraId="0535B8B0" w14:textId="77777777" w:rsidR="00FA6BDD" w:rsidRPr="00FA6BDD" w:rsidRDefault="00FA6BDD" w:rsidP="00FA6BDD">
      <w:pPr>
        <w:spacing w:line="240" w:lineRule="auto"/>
        <w:rPr>
          <w:rFonts w:eastAsia="Times New Roman" w:cs="Arial"/>
          <w:i/>
          <w:iCs/>
          <w:color w:val="000000"/>
          <w:u w:val="single"/>
          <w:lang w:eastAsia="bg-BG"/>
        </w:rPr>
      </w:pPr>
    </w:p>
    <w:p w14:paraId="370C6934" w14:textId="7C1D2587"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За предотвратяване на реиидиви при биполярно разстройство</w:t>
      </w:r>
    </w:p>
    <w:p w14:paraId="722CBE30"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lastRenderedPageBreak/>
        <w:t xml:space="preserve">За предотвратяване на рецидиви на манийни, депресивни или смесени епизоди при биполярно разстройство, пациентите, които са се повлияли от острото лечение на биполярно разстройство с кветиапин, трябва да продължат лечението със същата доза. След това, дозата може да бъде коригирана, в зависимост от клиничния отговор и поносимостта на отделния пациент, в границите на 300 до 800 </w:t>
      </w:r>
      <w:r w:rsidRPr="00FA6BDD">
        <w:rPr>
          <w:rFonts w:eastAsia="Times New Roman" w:cs="Arial"/>
          <w:color w:val="000000"/>
          <w:lang w:val="en-US"/>
        </w:rPr>
        <w:t xml:space="preserve">mg </w:t>
      </w:r>
      <w:r w:rsidRPr="00FA6BDD">
        <w:rPr>
          <w:rFonts w:eastAsia="Times New Roman" w:cs="Arial"/>
          <w:color w:val="000000"/>
          <w:lang w:eastAsia="bg-BG"/>
        </w:rPr>
        <w:t>дневно, приложена два пъти дневно. За поддържаща терапия е важно да се използва възможно най-ниската ефективна доза.</w:t>
      </w:r>
    </w:p>
    <w:p w14:paraId="258F0E1D" w14:textId="77777777" w:rsidR="00FA6BDD" w:rsidRPr="00FA6BDD" w:rsidRDefault="00FA6BDD" w:rsidP="00FA6BDD">
      <w:pPr>
        <w:spacing w:line="240" w:lineRule="auto"/>
        <w:rPr>
          <w:rFonts w:eastAsia="Times New Roman" w:cs="Arial"/>
          <w:i/>
          <w:iCs/>
          <w:color w:val="000000"/>
          <w:lang w:eastAsia="bg-BG"/>
        </w:rPr>
      </w:pPr>
    </w:p>
    <w:p w14:paraId="39893086" w14:textId="32EF68AA" w:rsidR="00FA6BDD" w:rsidRPr="00FA6BDD" w:rsidRDefault="00FA6BDD" w:rsidP="00FA6BDD">
      <w:pPr>
        <w:spacing w:line="240" w:lineRule="auto"/>
        <w:rPr>
          <w:rFonts w:eastAsia="Times New Roman" w:cs="Arial"/>
          <w:lang w:eastAsia="bg-BG"/>
        </w:rPr>
      </w:pPr>
      <w:r w:rsidRPr="00FA6BDD">
        <w:rPr>
          <w:rFonts w:eastAsia="Times New Roman" w:cs="Arial"/>
          <w:i/>
          <w:iCs/>
          <w:color w:val="000000"/>
          <w:lang w:eastAsia="bg-BG"/>
        </w:rPr>
        <w:t>Старческа възраст</w:t>
      </w:r>
    </w:p>
    <w:p w14:paraId="7FBF1BCE" w14:textId="5F174C89" w:rsidR="00EC41ED" w:rsidRPr="00FA6BDD" w:rsidRDefault="00FA6BDD" w:rsidP="00FA6BDD">
      <w:pPr>
        <w:rPr>
          <w:rFonts w:cs="Arial"/>
        </w:rPr>
      </w:pPr>
      <w:r w:rsidRPr="00FA6BDD">
        <w:rPr>
          <w:rFonts w:eastAsia="Times New Roman" w:cs="Arial"/>
          <w:color w:val="000000"/>
          <w:lang w:eastAsia="bg-BG"/>
        </w:rPr>
        <w:t>Както и другите антипсихотици, кветиапин трябва да бъде прилаган с внимание при пациенти в старческа възраст, особено в периода на първоначално дозиране. Титрирането на дозата трябва да се извършва по-бавно, а дневната терапевтична доза да бъде по-ниска от тази, която се употребява при по-млади пациенти, в зависимост от клиничния отговор и поносимостта при отделния пациент. Средният плазмен клирънс на кветиапин е намален с 30-50 % при пациенти в старческа възраст, в сравнение с този при по-млади пациенти.</w:t>
      </w:r>
    </w:p>
    <w:p w14:paraId="132F3111" w14:textId="53993DC9" w:rsidR="005B0F27" w:rsidRDefault="005B0F27" w:rsidP="0091385D"/>
    <w:p w14:paraId="1318330F"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Не са оценени ефикасността и безопасността при пациенти над 65 години с депресивни епизоди в рамките на биполярно разстройство.</w:t>
      </w:r>
    </w:p>
    <w:p w14:paraId="4D10B433" w14:textId="77777777" w:rsidR="00FA6BDD" w:rsidRPr="00FA6BDD" w:rsidRDefault="00FA6BDD" w:rsidP="00FA6BDD">
      <w:pPr>
        <w:spacing w:line="240" w:lineRule="auto"/>
        <w:rPr>
          <w:rFonts w:eastAsia="Times New Roman" w:cs="Arial"/>
          <w:i/>
          <w:iCs/>
          <w:color w:val="000000"/>
          <w:szCs w:val="20"/>
          <w:lang w:eastAsia="bg-BG"/>
        </w:rPr>
      </w:pPr>
    </w:p>
    <w:p w14:paraId="226B902E" w14:textId="79B91968"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lang w:eastAsia="bg-BG"/>
        </w:rPr>
        <w:t>Педиатрична популация</w:t>
      </w:r>
    </w:p>
    <w:p w14:paraId="1387045D"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Сетинин не се препоръчва за употреба при деца и юноши под 18-годишна възраст, поради липса на данни, подкрепящи употребата в тази възрастова група. Наличните доказателства от плацебо- контролирани клинични изпитвания са представени в точки 4.4, 4.8, 5.1 и 5.2.</w:t>
      </w:r>
    </w:p>
    <w:p w14:paraId="610E394D" w14:textId="77777777" w:rsidR="00FA6BDD" w:rsidRPr="00FA6BDD" w:rsidRDefault="00FA6BDD" w:rsidP="00FA6BDD">
      <w:pPr>
        <w:spacing w:line="240" w:lineRule="auto"/>
        <w:rPr>
          <w:rFonts w:eastAsia="Times New Roman" w:cs="Arial"/>
          <w:i/>
          <w:iCs/>
          <w:color w:val="000000"/>
          <w:szCs w:val="20"/>
          <w:lang w:eastAsia="bg-BG"/>
        </w:rPr>
      </w:pPr>
    </w:p>
    <w:p w14:paraId="3DBF1A7C" w14:textId="699A5726"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lang w:eastAsia="bg-BG"/>
        </w:rPr>
        <w:t>Бъбречно увреждане</w:t>
      </w:r>
    </w:p>
    <w:p w14:paraId="6767D173"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Не е необходима корекция на дозата при пациенти с бъбречно увреждане.</w:t>
      </w:r>
    </w:p>
    <w:p w14:paraId="3EAC0DCD" w14:textId="77777777" w:rsidR="00FA6BDD" w:rsidRPr="00FA6BDD" w:rsidRDefault="00FA6BDD" w:rsidP="00FA6BDD">
      <w:pPr>
        <w:spacing w:line="240" w:lineRule="auto"/>
        <w:rPr>
          <w:rFonts w:eastAsia="Times New Roman" w:cs="Arial"/>
          <w:i/>
          <w:iCs/>
          <w:color w:val="000000"/>
          <w:szCs w:val="20"/>
          <w:lang w:eastAsia="bg-BG"/>
        </w:rPr>
      </w:pPr>
    </w:p>
    <w:p w14:paraId="14DB10C8" w14:textId="212C61AE"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lang w:eastAsia="bg-BG"/>
        </w:rPr>
        <w:t>Чернодробно увреждане</w:t>
      </w:r>
    </w:p>
    <w:p w14:paraId="331F80A1"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Кветиапин се метаболизира екстензивно в черния дроб, поради което трябва да се прилага с повишено внимание при пациенти с установено чернодробно увреждане, особено в периода на титриране на дозата.</w:t>
      </w:r>
    </w:p>
    <w:p w14:paraId="5D806194" w14:textId="77777777" w:rsidR="00FA6BDD" w:rsidRPr="00FA6BDD" w:rsidRDefault="00FA6BDD" w:rsidP="00FA6BDD">
      <w:pPr>
        <w:spacing w:line="240" w:lineRule="auto"/>
        <w:rPr>
          <w:rFonts w:eastAsia="Times New Roman" w:cs="Arial"/>
          <w:color w:val="000000"/>
          <w:szCs w:val="20"/>
          <w:lang w:eastAsia="bg-BG"/>
        </w:rPr>
      </w:pPr>
    </w:p>
    <w:p w14:paraId="5A966E43" w14:textId="2D48D0D6"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Лечението на пациенти с чернодробно увреждане трябва да започва с доза от 25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дневно. Дозата трябва да се повишава постепенно с 25 до 50 </w:t>
      </w:r>
      <w:r w:rsidRPr="00FA6BDD">
        <w:rPr>
          <w:rFonts w:eastAsia="Times New Roman" w:cs="Arial"/>
          <w:color w:val="000000"/>
          <w:szCs w:val="20"/>
          <w:lang w:val="en-US"/>
        </w:rPr>
        <w:t xml:space="preserve">mg </w:t>
      </w:r>
      <w:r w:rsidRPr="00FA6BDD">
        <w:rPr>
          <w:rFonts w:eastAsia="Times New Roman" w:cs="Arial"/>
          <w:color w:val="000000"/>
          <w:szCs w:val="20"/>
          <w:lang w:eastAsia="bg-BG"/>
        </w:rPr>
        <w:t>дневно до достигане на ефективна доза, в зависимост от клиничния отговор и поносимостта при отделния пациент.</w:t>
      </w:r>
    </w:p>
    <w:p w14:paraId="49BE86DE" w14:textId="77777777" w:rsidR="00FA6BDD" w:rsidRPr="00FA6BDD" w:rsidRDefault="00FA6BDD" w:rsidP="00FA6BDD">
      <w:pPr>
        <w:spacing w:line="240" w:lineRule="auto"/>
        <w:rPr>
          <w:rFonts w:eastAsia="Times New Roman" w:cs="Arial"/>
          <w:color w:val="000000"/>
          <w:szCs w:val="20"/>
          <w:u w:val="single"/>
          <w:lang w:eastAsia="bg-BG"/>
        </w:rPr>
      </w:pPr>
    </w:p>
    <w:p w14:paraId="5810EF02" w14:textId="5AECCE98" w:rsidR="00FA6BDD" w:rsidRPr="00FA6BDD" w:rsidRDefault="00FA6BDD" w:rsidP="00FA6BDD">
      <w:pPr>
        <w:pStyle w:val="Heading3"/>
        <w:rPr>
          <w:rFonts w:eastAsia="Times New Roman"/>
          <w:sz w:val="28"/>
          <w:u w:val="single"/>
          <w:lang w:eastAsia="bg-BG"/>
        </w:rPr>
      </w:pPr>
      <w:r w:rsidRPr="00FA6BDD">
        <w:rPr>
          <w:rFonts w:eastAsia="Times New Roman"/>
          <w:u w:val="single"/>
          <w:lang w:eastAsia="bg-BG"/>
        </w:rPr>
        <w:t>Начин на приложение</w:t>
      </w:r>
    </w:p>
    <w:p w14:paraId="38E42F59" w14:textId="1CAE046F" w:rsidR="00FA6BDD" w:rsidRPr="00FA6BDD" w:rsidRDefault="00FA6BDD" w:rsidP="00FA6BDD">
      <w:pPr>
        <w:rPr>
          <w:rFonts w:cs="Arial"/>
          <w:sz w:val="24"/>
        </w:rPr>
      </w:pPr>
      <w:r w:rsidRPr="00FA6BDD">
        <w:rPr>
          <w:rFonts w:eastAsia="Times New Roman" w:cs="Arial"/>
          <w:color w:val="000000"/>
          <w:szCs w:val="20"/>
          <w:lang w:eastAsia="bg-BG"/>
        </w:rPr>
        <w:t>Сетинин може да се приема със или без храна.</w:t>
      </w:r>
    </w:p>
    <w:p w14:paraId="069902EE" w14:textId="77777777" w:rsidR="00FA6BDD" w:rsidRPr="0091385D" w:rsidRDefault="00FA6BDD" w:rsidP="0091385D"/>
    <w:p w14:paraId="28C984E8" w14:textId="0756AE28" w:rsidR="008134C8" w:rsidRDefault="002C50EE" w:rsidP="004A448E">
      <w:pPr>
        <w:pStyle w:val="Heading2"/>
      </w:pPr>
      <w:r>
        <w:t>4.3. Противопоказания</w:t>
      </w:r>
    </w:p>
    <w:p w14:paraId="2363D607" w14:textId="619A99CE" w:rsidR="0091385D" w:rsidRDefault="0091385D" w:rsidP="0091385D"/>
    <w:p w14:paraId="07CA4A70"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Свръхчувствителност към активното вещество или към някое от помощните вещества, изброени в точка 6.1.</w:t>
      </w:r>
    </w:p>
    <w:p w14:paraId="1C9E3251" w14:textId="77777777" w:rsidR="00FA6BDD" w:rsidRPr="00FA6BDD" w:rsidRDefault="00FA6BDD" w:rsidP="00FA6BDD">
      <w:pPr>
        <w:rPr>
          <w:rFonts w:eastAsia="Times New Roman" w:cs="Arial"/>
          <w:color w:val="000000"/>
          <w:szCs w:val="20"/>
          <w:lang w:eastAsia="bg-BG"/>
        </w:rPr>
      </w:pPr>
    </w:p>
    <w:p w14:paraId="030B6A4D" w14:textId="00962F38" w:rsidR="00EC41ED" w:rsidRPr="00FA6BDD" w:rsidRDefault="00FA6BDD" w:rsidP="00FA6BDD">
      <w:pPr>
        <w:rPr>
          <w:rFonts w:cs="Arial"/>
          <w:sz w:val="24"/>
        </w:rPr>
      </w:pPr>
      <w:r w:rsidRPr="00FA6BDD">
        <w:rPr>
          <w:rFonts w:eastAsia="Times New Roman" w:cs="Arial"/>
          <w:color w:val="000000"/>
          <w:szCs w:val="20"/>
          <w:lang w:eastAsia="bg-BG"/>
        </w:rPr>
        <w:lastRenderedPageBreak/>
        <w:t xml:space="preserve">Едновременно приложение с инхибитори на цитохром Р450 ЗА4, като </w:t>
      </w:r>
      <w:r w:rsidRPr="00FA6BDD">
        <w:rPr>
          <w:rFonts w:eastAsia="Times New Roman" w:cs="Arial"/>
          <w:color w:val="000000"/>
          <w:szCs w:val="20"/>
          <w:lang w:val="en-US"/>
        </w:rPr>
        <w:t xml:space="preserve">HIV </w:t>
      </w:r>
      <w:r w:rsidRPr="00FA6BDD">
        <w:rPr>
          <w:rFonts w:eastAsia="Times New Roman" w:cs="Arial"/>
          <w:color w:val="000000"/>
          <w:szCs w:val="20"/>
          <w:lang w:eastAsia="bg-BG"/>
        </w:rPr>
        <w:t>протеазни инхибитори, азолови антимикотици, еритромицин, кларитромицин и нефазодон е противопоказано (вж. точка 4.5).</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1E0703C7" w:rsidR="0091385D" w:rsidRDefault="0091385D" w:rsidP="0091385D"/>
    <w:p w14:paraId="35512A26"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Тъй като кветиапин има няколко показания, профилът на безопасност трябва да се обмисли с оглед на индивидуалната диагноза на пациента и прилаганата доза.</w:t>
      </w:r>
    </w:p>
    <w:p w14:paraId="79F6356C" w14:textId="77777777" w:rsidR="00FA6BDD" w:rsidRPr="00FA6BDD" w:rsidRDefault="00FA6BDD" w:rsidP="00FA6BDD">
      <w:pPr>
        <w:spacing w:line="240" w:lineRule="auto"/>
        <w:rPr>
          <w:rFonts w:eastAsia="Times New Roman" w:cs="Arial"/>
          <w:i/>
          <w:iCs/>
          <w:color w:val="000000"/>
          <w:szCs w:val="20"/>
          <w:u w:val="single"/>
          <w:lang w:eastAsia="bg-BG"/>
        </w:rPr>
      </w:pPr>
    </w:p>
    <w:p w14:paraId="05CABD3D" w14:textId="64CF261E"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Педиатрична популация</w:t>
      </w:r>
    </w:p>
    <w:p w14:paraId="4DCA80EF"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Сетинин не се препоръчва за употреба при деца и юноши под 18 години, поради липса на данни в подкрепа на приложението му в тази възрастова група. Клиничните изпитвания с кветиапин показват, че в допълнение към установения профил на безопасност, определен при възрастни (вж. точка 4.8), някои нежелани събития се наблюдават с по-висока честота при деца и юноши, в сравнение с възрастните (повишен апетит, повишени стойности на серумния пролактин, повръщане, ринит и синкоп) или последствията за деца и юноши могат да бъдат различни (екстрапирамидни симптоми и раздразнителност), а едно от идентифицираните събития не е наблюдавано в предходни изпитвания при възрастни (повишаване на кръвното налягане). При деца и юноши са наблюдавани и промени в показателите на функцията на щитовидната жлеза.</w:t>
      </w:r>
    </w:p>
    <w:p w14:paraId="472B57AB" w14:textId="77777777" w:rsidR="00FA6BDD" w:rsidRPr="00FA6BDD" w:rsidRDefault="00FA6BDD" w:rsidP="00FA6BDD">
      <w:pPr>
        <w:rPr>
          <w:rFonts w:eastAsia="Times New Roman" w:cs="Arial"/>
          <w:color w:val="000000"/>
          <w:szCs w:val="20"/>
          <w:lang w:eastAsia="bg-BG"/>
        </w:rPr>
      </w:pPr>
    </w:p>
    <w:p w14:paraId="0E28BBDE" w14:textId="3F50E1F0" w:rsidR="007A2185" w:rsidRDefault="00FA6BDD" w:rsidP="00FA6BDD">
      <w:pPr>
        <w:rPr>
          <w:rFonts w:eastAsia="Times New Roman" w:cs="Arial"/>
          <w:color w:val="000000"/>
          <w:szCs w:val="20"/>
          <w:lang w:eastAsia="bg-BG"/>
        </w:rPr>
      </w:pPr>
      <w:r w:rsidRPr="00FA6BDD">
        <w:rPr>
          <w:rFonts w:eastAsia="Times New Roman" w:cs="Arial"/>
          <w:color w:val="000000"/>
          <w:szCs w:val="20"/>
          <w:lang w:eastAsia="bg-BG"/>
        </w:rPr>
        <w:t>Освен това, последствията след продължително лечение с кветиапин върху растежа и съзряването не са проучени за период по-дълъг от 26 седмици. Последствията след продължително приложение върху когнитивното и поведенческото развитие не са известни.</w:t>
      </w:r>
    </w:p>
    <w:p w14:paraId="1CF87DEB" w14:textId="04037006" w:rsidR="00FA6BDD" w:rsidRDefault="00FA6BDD" w:rsidP="00FA6BDD">
      <w:pPr>
        <w:rPr>
          <w:rFonts w:eastAsia="Times New Roman" w:cs="Arial"/>
          <w:color w:val="000000"/>
          <w:szCs w:val="20"/>
          <w:lang w:eastAsia="bg-BG"/>
        </w:rPr>
      </w:pPr>
    </w:p>
    <w:p w14:paraId="26BD6DB5"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плацебо-контролирани клинични изпитвания с деца и юноши кветиапин е свързан с повишена честота на екстрапирамидни симптоми (ЕПС), в сравнение с плацебо при пациенти, лекувани за шизофрения, биполярна мания и биполярна депресия (вж. точка 4.8).</w:t>
      </w:r>
    </w:p>
    <w:p w14:paraId="0A79ABA0" w14:textId="77777777" w:rsidR="00FA6BDD" w:rsidRPr="00FA6BDD" w:rsidRDefault="00FA6BDD" w:rsidP="00FA6BDD">
      <w:pPr>
        <w:spacing w:line="240" w:lineRule="auto"/>
        <w:rPr>
          <w:rFonts w:eastAsia="Times New Roman" w:cs="Arial"/>
          <w:i/>
          <w:iCs/>
          <w:color w:val="000000"/>
          <w:szCs w:val="20"/>
          <w:u w:val="single"/>
          <w:lang w:eastAsia="bg-BG"/>
        </w:rPr>
      </w:pPr>
    </w:p>
    <w:p w14:paraId="4C2690B8" w14:textId="60D29A63"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 xml:space="preserve">Суииидно поведение/суииидни мисли или влошаване на клиничното състояние </w:t>
      </w:r>
      <w:r w:rsidRPr="00FA6BDD">
        <w:rPr>
          <w:rFonts w:eastAsia="Times New Roman" w:cs="Arial"/>
          <w:color w:val="000000"/>
          <w:szCs w:val="20"/>
          <w:lang w:eastAsia="bg-BG"/>
        </w:rPr>
        <w:t>Депресията при биполярно разстройство е свързана с повишен риск от суицидни мисли, самонараняване и суицидно поведение (събития, свързани със самоубийство). Този риск персистира до настъпването на сигурна ремисия. Тъй като подобрение може да не настъпи през първите няколко или повече седмици от лечението, пациентите трябва да бъдат внимателно проследявани до поява на подобрение. От клиничния опит е известно, че рискът от самоубийство може да нарасне в ранните етапи на подобрение.</w:t>
      </w:r>
    </w:p>
    <w:p w14:paraId="0883DD4C" w14:textId="77777777" w:rsidR="00FA6BDD" w:rsidRPr="00FA6BDD" w:rsidRDefault="00FA6BDD" w:rsidP="00FA6BDD">
      <w:pPr>
        <w:spacing w:line="240" w:lineRule="auto"/>
        <w:rPr>
          <w:rFonts w:eastAsia="Times New Roman" w:cs="Arial"/>
          <w:color w:val="000000"/>
          <w:szCs w:val="20"/>
          <w:lang w:eastAsia="bg-BG"/>
        </w:rPr>
      </w:pPr>
    </w:p>
    <w:p w14:paraId="7E8AC61F" w14:textId="78B9BC90"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допълнение, лекарите трябва да преценят потенциалния риск от събития, свързани със самоубийство, след внезапно прекратяване на лечението с кветиапин, поради известните рискови фактори за лекуваното заболяване. Други психични състояния, при които се изписва кветиапин, също могат да бъдат свързани с повишен риск от събития, свързани със самоубийство. Освен това, тези състояния могат да бъдат коморбидни с големи депресивни епизоди. Същите предпазни мерки, съблюдавани при лечение на пациенти с тежки депресивни епизоди, трябва да се съблюдават и при лечение на пациенти с други психични разстройства.</w:t>
      </w:r>
    </w:p>
    <w:p w14:paraId="72C97F37" w14:textId="77777777" w:rsidR="00FA6BDD" w:rsidRPr="00FA6BDD" w:rsidRDefault="00FA6BDD" w:rsidP="00FA6BDD">
      <w:pPr>
        <w:spacing w:line="240" w:lineRule="auto"/>
        <w:rPr>
          <w:rFonts w:eastAsia="Times New Roman" w:cs="Arial"/>
          <w:color w:val="000000"/>
          <w:szCs w:val="20"/>
          <w:lang w:eastAsia="bg-BG"/>
        </w:rPr>
      </w:pPr>
    </w:p>
    <w:p w14:paraId="3D7D5863"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Известно е, че пациенти с анамнеза за събития, свързани със самоубийство, или показващи в значителна степен суицидни идеации преди започване на лечението са </w:t>
      </w:r>
      <w:r w:rsidRPr="00FA6BDD">
        <w:rPr>
          <w:rFonts w:eastAsia="Times New Roman" w:cs="Arial"/>
          <w:color w:val="000000"/>
          <w:szCs w:val="20"/>
          <w:lang w:eastAsia="bg-BG"/>
        </w:rPr>
        <w:lastRenderedPageBreak/>
        <w:t>изложени на по-висок риск от суицидни мисли или опити за самоубийство и трябва да бъдат наблюдавани внимателно по време на лечението. Мета-анализ на плацебо-контролирани клинични изпитвания с антидепресанти при възрастни пациенти с психични разстройства показва повишен риск от суицидно поведение при пациенти под 25-годишна възраст, лекувани с антидепресанти в сравнение с плацебо.</w:t>
      </w:r>
    </w:p>
    <w:p w14:paraId="07549582" w14:textId="77777777" w:rsidR="00FA6BDD" w:rsidRPr="00FA6BDD" w:rsidRDefault="00FA6BDD" w:rsidP="00FA6BDD">
      <w:pPr>
        <w:spacing w:line="240" w:lineRule="auto"/>
        <w:rPr>
          <w:rFonts w:eastAsia="Times New Roman" w:cs="Arial"/>
          <w:sz w:val="28"/>
          <w:szCs w:val="24"/>
          <w:lang w:eastAsia="bg-BG"/>
        </w:rPr>
      </w:pPr>
    </w:p>
    <w:p w14:paraId="16490381" w14:textId="0CB498BF"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Лекарствената терапия трябва да се съпътства от строго наблюдение на пациентите, в частност на тези, които са изложени на висок риск, особено в началото на лечението и след промени в дозите. Пациентите (и полагащите грижи за тях) трябва да бъдат предупредени за необходимостта да наблюдават за всеки признак на клинично влошаване, суицидно поведение или мисли и необичайни промени в поведението, и да се посъветват с лекар, ако тези симптоми се проявят.</w:t>
      </w:r>
    </w:p>
    <w:p w14:paraId="13D80208" w14:textId="77777777" w:rsidR="00FA6BDD" w:rsidRPr="00FA6BDD" w:rsidRDefault="00FA6BDD" w:rsidP="00FA6BDD">
      <w:pPr>
        <w:spacing w:line="240" w:lineRule="auto"/>
        <w:rPr>
          <w:rFonts w:eastAsia="Times New Roman" w:cs="Arial"/>
          <w:color w:val="000000"/>
          <w:szCs w:val="20"/>
          <w:lang w:eastAsia="bg-BG"/>
        </w:rPr>
      </w:pPr>
    </w:p>
    <w:p w14:paraId="0A181C92" w14:textId="5A0F3102"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краткосрочни плацебо-контролирани клинични проучвания при пациенти с големи депресивни епизоди при биполярно разстройство се наблюдава повишен риск от събития, свързани със самоубийство, при млади възрастни пациенти (под 25-годишна възраст), които са лекувани с кветиапин, в сравнение с тези, приемали плацебо (3,0 % към 0 %, съответно). Ретроспективно, базирано на популация проучване на кветиапин за лечение на пациенти с голямо депресивно разстройство е показало повишен риск от самонараняване и самоубийство при пациенти на възраст 25-64 години без анамнеза за самонараняване при употреба на кветиапин с други антидепресанти.</w:t>
      </w:r>
    </w:p>
    <w:p w14:paraId="5BC2C512" w14:textId="77777777" w:rsidR="00FA6BDD" w:rsidRPr="00FA6BDD" w:rsidRDefault="00FA6BDD" w:rsidP="00FA6BDD">
      <w:pPr>
        <w:spacing w:line="240" w:lineRule="auto"/>
        <w:rPr>
          <w:rFonts w:eastAsia="Times New Roman" w:cs="Arial"/>
          <w:i/>
          <w:iCs/>
          <w:color w:val="000000"/>
          <w:szCs w:val="20"/>
          <w:u w:val="single"/>
          <w:lang w:eastAsia="bg-BG"/>
        </w:rPr>
      </w:pPr>
    </w:p>
    <w:p w14:paraId="5A0CC310" w14:textId="4FCF38CC"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Метаболитен риск</w:t>
      </w:r>
    </w:p>
    <w:p w14:paraId="12ED4CE1" w14:textId="36A4153B" w:rsidR="00FA6BDD" w:rsidRPr="00FA6BDD" w:rsidRDefault="00FA6BDD" w:rsidP="00FA6BDD">
      <w:pPr>
        <w:rPr>
          <w:rFonts w:cs="Arial"/>
          <w:szCs w:val="24"/>
        </w:rPr>
      </w:pPr>
      <w:r w:rsidRPr="00FA6BDD">
        <w:rPr>
          <w:rFonts w:eastAsia="Times New Roman" w:cs="Arial"/>
          <w:color w:val="000000"/>
          <w:szCs w:val="20"/>
          <w:lang w:eastAsia="bg-BG"/>
        </w:rPr>
        <w:t xml:space="preserve">Метаболитните показатели на пациентите трябва да бъдат оценени в началото на лечението и да бъдат редовно контролирани за промени по време на лечението, поради наблюдаван риск от влошаване на метаболитния им профил, включително промени в теглото, глюкозата в кръвта (вж. хипергликемия) и липидите, който се установява в клинични проучвания. Влошаването на тези показатели трябва да бъде овладяно с </w:t>
      </w:r>
      <w:r w:rsidRPr="00FA6BDD">
        <w:rPr>
          <w:rFonts w:eastAsia="Times New Roman" w:cs="Arial"/>
          <w:color w:val="000000"/>
          <w:szCs w:val="24"/>
          <w:lang w:eastAsia="bg-BG"/>
        </w:rPr>
        <w:t>подходящи клинични мерки (вж. също точка 4.8).</w:t>
      </w:r>
    </w:p>
    <w:p w14:paraId="24E3E82F" w14:textId="2BCC16B6" w:rsidR="0091385D" w:rsidRPr="00FA6BDD" w:rsidRDefault="0091385D" w:rsidP="0091385D">
      <w:pPr>
        <w:rPr>
          <w:rFonts w:cs="Arial"/>
          <w:szCs w:val="24"/>
        </w:rPr>
      </w:pPr>
    </w:p>
    <w:p w14:paraId="789AACE8"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Екстрапирамидни симптоми</w:t>
      </w:r>
    </w:p>
    <w:p w14:paraId="60E830E6"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 xml:space="preserve">В плацебо-контролирани клинични проучвания при възрастни пациенти, кветиапин се свързва с повишена честота на екстрапирамидни симптоми </w:t>
      </w:r>
      <w:r w:rsidRPr="00FA6BDD">
        <w:rPr>
          <w:rFonts w:eastAsia="Times New Roman" w:cs="Arial"/>
          <w:color w:val="000000"/>
          <w:szCs w:val="24"/>
          <w:lang w:val="en-US"/>
        </w:rPr>
        <w:t xml:space="preserve">(EPS) </w:t>
      </w:r>
      <w:r w:rsidRPr="00FA6BDD">
        <w:rPr>
          <w:rFonts w:eastAsia="Times New Roman" w:cs="Arial"/>
          <w:color w:val="000000"/>
          <w:szCs w:val="24"/>
          <w:lang w:eastAsia="bg-BG"/>
        </w:rPr>
        <w:t>в сравнение с плацебо при пациенти, лекувани за големи депресивни епизоди при биполярно разстройство (вж. точки 4.8 и 5.1).</w:t>
      </w:r>
    </w:p>
    <w:p w14:paraId="0F7F1D5E" w14:textId="77777777" w:rsidR="00FA6BDD" w:rsidRPr="00FA6BDD" w:rsidRDefault="00FA6BDD" w:rsidP="00FA6BDD">
      <w:pPr>
        <w:spacing w:line="240" w:lineRule="auto"/>
        <w:rPr>
          <w:rFonts w:eastAsia="Times New Roman" w:cs="Arial"/>
          <w:color w:val="000000"/>
          <w:szCs w:val="24"/>
          <w:lang w:eastAsia="bg-BG"/>
        </w:rPr>
      </w:pPr>
    </w:p>
    <w:p w14:paraId="46A8C1B1" w14:textId="54D877F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Употребата на кветиапин се свързва с поява на акатизия, характеризираща се със субективно неприятно или изтощаващо безпокойство и нужда от движение, съпътстващи се от невъзможност за седене или неподвижно стоене. Това се наблюдава най-често в първите няколко седмици от лечението. При пациентите, които развият тези симптоми, повишаването на дозата може да бъде вредно.</w:t>
      </w:r>
    </w:p>
    <w:p w14:paraId="6E83E441" w14:textId="77777777" w:rsidR="00FA6BDD" w:rsidRPr="00FA6BDD" w:rsidRDefault="00FA6BDD" w:rsidP="00FA6BDD">
      <w:pPr>
        <w:spacing w:line="240" w:lineRule="auto"/>
        <w:rPr>
          <w:rFonts w:eastAsia="Times New Roman" w:cs="Arial"/>
          <w:i/>
          <w:iCs/>
          <w:color w:val="000000"/>
          <w:szCs w:val="24"/>
          <w:u w:val="single"/>
          <w:lang w:eastAsia="bg-BG"/>
        </w:rPr>
      </w:pPr>
    </w:p>
    <w:p w14:paraId="531B90D8" w14:textId="134C3B19"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Тардивна дискинезия</w:t>
      </w:r>
    </w:p>
    <w:p w14:paraId="63909DBC"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Ако се появят признаци и симптоми на тардивна дискинезия, трябва да се обмисли понижаване на дозата или прекратяване на лечението с кветиапин. Симптомите на тардивна дискинезия могат да се влошат или дори да възникнат след спиране на лечението (вж. точка 4.8).</w:t>
      </w:r>
    </w:p>
    <w:p w14:paraId="437FA791" w14:textId="77777777" w:rsidR="00FA6BDD" w:rsidRPr="00FA6BDD" w:rsidRDefault="00FA6BDD" w:rsidP="00FA6BDD">
      <w:pPr>
        <w:spacing w:line="240" w:lineRule="auto"/>
        <w:rPr>
          <w:rFonts w:eastAsia="Times New Roman" w:cs="Arial"/>
          <w:i/>
          <w:iCs/>
          <w:color w:val="000000"/>
          <w:szCs w:val="24"/>
          <w:u w:val="single"/>
          <w:lang w:eastAsia="bg-BG"/>
        </w:rPr>
      </w:pPr>
    </w:p>
    <w:p w14:paraId="3E002B62" w14:textId="4E2383AF"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Сънливост и замаяност</w:t>
      </w:r>
    </w:p>
    <w:p w14:paraId="278D32A2"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lastRenderedPageBreak/>
        <w:t>Лечението с кветиапин е свързано със сънливост и свързани с нея симптоми, като седация (вж. точка 4.8). В клинични изпитвания за лечение на пациенти с биполярна депресия, те настъпват обикновено през първите 3 дни на лечение и са с преобладаващо лек до умерен интензитет. Пациенти, при които се наблюдава силна сомнолентност може да се нуждаят от по-чести прегледи в продължение на поне 2 седмици след появата на сънливостта или до подобряване на симптомите, като е възможно да се наложи и преустановяване на лечението.</w:t>
      </w:r>
    </w:p>
    <w:p w14:paraId="04C9D600" w14:textId="77777777" w:rsidR="00FA6BDD" w:rsidRPr="00FA6BDD" w:rsidRDefault="00FA6BDD" w:rsidP="00FA6BDD">
      <w:pPr>
        <w:spacing w:line="240" w:lineRule="auto"/>
        <w:rPr>
          <w:rFonts w:eastAsia="Times New Roman" w:cs="Arial"/>
          <w:i/>
          <w:iCs/>
          <w:color w:val="000000"/>
          <w:szCs w:val="24"/>
          <w:u w:val="single"/>
          <w:lang w:eastAsia="bg-BG"/>
        </w:rPr>
      </w:pPr>
    </w:p>
    <w:p w14:paraId="6EDC3722" w14:textId="485F22E0"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Ортостатична хипотония</w:t>
      </w:r>
    </w:p>
    <w:p w14:paraId="113BFBBB"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Лечението с кветиапин се свързва с ортостатична хипотония и свързаната с нея замаяност (вж. точка 4,8), която като сънливостта обикновено се наблюдава в началния период на титриране на дозата. Това може да повиши случаите на инцидентни наранявания (падания), особено при популацията в старческа възраст. Следователно, пациентите трябва да бъдат посъветвани да бъдат внимателни до изясняване на потенциалните ефекти, свързани с лечението.</w:t>
      </w:r>
    </w:p>
    <w:p w14:paraId="7BF02F9A" w14:textId="77777777" w:rsidR="00FA6BDD" w:rsidRPr="00FA6BDD" w:rsidRDefault="00FA6BDD" w:rsidP="00FA6BDD">
      <w:pPr>
        <w:spacing w:line="240" w:lineRule="auto"/>
        <w:rPr>
          <w:rFonts w:eastAsia="Times New Roman" w:cs="Arial"/>
          <w:color w:val="000000"/>
          <w:szCs w:val="24"/>
          <w:lang w:eastAsia="bg-BG"/>
        </w:rPr>
      </w:pPr>
    </w:p>
    <w:p w14:paraId="4534E975" w14:textId="0C643920"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Кветиапин трябва да бъде прилаган с внимание при пациенти с известни сърдечно-съдови заболявания, мозъчносъдово заболяване или други състояния, предразполагащи към хипотония. При поява на ортостатична хипотония дозата трябва да се понижи или титрирането да се извършва по-плавно, особено при пациенти с подлежащо сърдечно-съдово заболяване.</w:t>
      </w:r>
    </w:p>
    <w:p w14:paraId="70DA93C7" w14:textId="77777777" w:rsidR="00FA6BDD" w:rsidRPr="00FA6BDD" w:rsidRDefault="00FA6BDD" w:rsidP="00FA6BDD">
      <w:pPr>
        <w:spacing w:line="240" w:lineRule="auto"/>
        <w:rPr>
          <w:rFonts w:eastAsia="Times New Roman" w:cs="Arial"/>
          <w:i/>
          <w:iCs/>
          <w:color w:val="000000"/>
          <w:szCs w:val="24"/>
          <w:u w:val="single"/>
          <w:lang w:eastAsia="bg-BG"/>
        </w:rPr>
      </w:pPr>
    </w:p>
    <w:p w14:paraId="19ED1402" w14:textId="1042E1BC"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Синдром на сънна апнея</w:t>
      </w:r>
    </w:p>
    <w:p w14:paraId="372556C9"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Съобщава се за синдром на сънна апнея при пациенти, приемащи кветиапин. При пациенти, приемащи по същото време лекарствени продукти, потискащи централната нервна система, и които имат анамнеза или рискови фактори за сънна апнея, като наднормено тегло/затлъстяване или мъжки пол, кветиапин трябва да се прилага с повишено внимание.</w:t>
      </w:r>
    </w:p>
    <w:p w14:paraId="70FF17A0" w14:textId="77777777" w:rsidR="00FA6BDD" w:rsidRPr="00FA6BDD" w:rsidRDefault="00FA6BDD" w:rsidP="00FA6BDD">
      <w:pPr>
        <w:spacing w:line="240" w:lineRule="auto"/>
        <w:rPr>
          <w:rFonts w:eastAsia="Times New Roman" w:cs="Arial"/>
          <w:i/>
          <w:iCs/>
          <w:color w:val="000000"/>
          <w:szCs w:val="24"/>
          <w:u w:val="single"/>
          <w:lang w:eastAsia="bg-BG"/>
        </w:rPr>
      </w:pPr>
    </w:p>
    <w:p w14:paraId="2E7F307E" w14:textId="7B5B19F0"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Гърчове</w:t>
      </w:r>
    </w:p>
    <w:p w14:paraId="60741296"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В контролирани клинични изпитвания не е установена разлика в честотата на поява на гърчове при пациентите, лекувани с кветиапин или плацебо. Няма налични данни за честотата на поява на гърчове при пациенти с анамнеза за гърчове. Подобно на другите антипсихотици, при лечението на пациенти с анамнеза за гърчове се препоръчва повишено внимание (вж. точка 4.8).</w:t>
      </w:r>
    </w:p>
    <w:p w14:paraId="2A1C06F0" w14:textId="77777777" w:rsidR="00FA6BDD" w:rsidRPr="00FA6BDD" w:rsidRDefault="00FA6BDD" w:rsidP="00FA6BDD">
      <w:pPr>
        <w:spacing w:line="240" w:lineRule="auto"/>
        <w:rPr>
          <w:rFonts w:eastAsia="Times New Roman" w:cs="Arial"/>
          <w:i/>
          <w:iCs/>
          <w:color w:val="000000"/>
          <w:szCs w:val="24"/>
          <w:u w:val="single"/>
          <w:lang w:eastAsia="bg-BG"/>
        </w:rPr>
      </w:pPr>
    </w:p>
    <w:p w14:paraId="5FF9E2E6" w14:textId="053A56AE"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Невролептичен малигнен синдром</w:t>
      </w:r>
    </w:p>
    <w:p w14:paraId="4F900E85" w14:textId="10828CAA" w:rsidR="00FA6BDD" w:rsidRPr="00FA6BDD" w:rsidRDefault="00FA6BDD" w:rsidP="00FA6BDD">
      <w:pPr>
        <w:rPr>
          <w:rFonts w:cs="Arial"/>
          <w:szCs w:val="24"/>
        </w:rPr>
      </w:pPr>
      <w:r w:rsidRPr="00FA6BDD">
        <w:rPr>
          <w:rFonts w:eastAsia="Times New Roman" w:cs="Arial"/>
          <w:color w:val="000000"/>
          <w:szCs w:val="24"/>
          <w:lang w:eastAsia="bg-BG"/>
        </w:rPr>
        <w:t>Злокачественият невролептичен синдром се свързва с лечение с антипсихотици, включително  кветиапин (вж. точка 4.8). Клиничните прояви включват хипертермия, променен психичен статус, мускулна ригидност, вегетативна нестабилност и повишени стойности на креатинфосфокиназа.</w:t>
      </w:r>
    </w:p>
    <w:p w14:paraId="1A3BBDC3" w14:textId="1A966270" w:rsidR="00FA6BDD" w:rsidRPr="00FA6BDD" w:rsidRDefault="00FA6BDD" w:rsidP="0091385D">
      <w:pPr>
        <w:rPr>
          <w:rFonts w:cs="Arial"/>
          <w:szCs w:val="24"/>
        </w:rPr>
      </w:pPr>
    </w:p>
    <w:p w14:paraId="68B50BD4"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При поява на такава симптоматика, приемът на кветиапин трябва да бъде преустановен и да се приложи подходящо лечение.</w:t>
      </w:r>
    </w:p>
    <w:p w14:paraId="5DCB0B57" w14:textId="77777777" w:rsidR="00FA6BDD" w:rsidRPr="00FA6BDD" w:rsidRDefault="00FA6BDD" w:rsidP="00FA6BDD">
      <w:pPr>
        <w:spacing w:line="240" w:lineRule="auto"/>
        <w:rPr>
          <w:rFonts w:eastAsia="Times New Roman" w:cs="Arial"/>
          <w:i/>
          <w:iCs/>
          <w:color w:val="000000"/>
          <w:szCs w:val="24"/>
          <w:u w:val="single"/>
          <w:lang w:eastAsia="bg-BG"/>
        </w:rPr>
      </w:pPr>
    </w:p>
    <w:p w14:paraId="0493A56D" w14:textId="745436E6"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Тежка неутропения и агранулоиитоза</w:t>
      </w:r>
    </w:p>
    <w:p w14:paraId="2F3DFF2B"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Тежка неутропения (брой неутрофили &lt; 0,5 х 10</w:t>
      </w:r>
      <w:r w:rsidRPr="00FA6BDD">
        <w:rPr>
          <w:rFonts w:eastAsia="Times New Roman" w:cs="Arial"/>
          <w:color w:val="000000"/>
          <w:szCs w:val="24"/>
          <w:vertAlign w:val="superscript"/>
          <w:lang w:eastAsia="bg-BG"/>
        </w:rPr>
        <w:t>9</w:t>
      </w:r>
      <w:r w:rsidRPr="00FA6BDD">
        <w:rPr>
          <w:rFonts w:eastAsia="Times New Roman" w:cs="Arial"/>
          <w:color w:val="000000"/>
          <w:szCs w:val="24"/>
          <w:lang w:eastAsia="bg-BG"/>
        </w:rPr>
        <w:t>/</w:t>
      </w:r>
      <w:r w:rsidRPr="00FA6BDD">
        <w:rPr>
          <w:rFonts w:eastAsia="Times New Roman" w:cs="Arial"/>
          <w:color w:val="000000"/>
          <w:szCs w:val="24"/>
          <w:lang w:val="en-US"/>
        </w:rPr>
        <w:t>l</w:t>
      </w:r>
      <w:r w:rsidRPr="00FA6BDD">
        <w:rPr>
          <w:rFonts w:eastAsia="Times New Roman" w:cs="Arial"/>
          <w:color w:val="000000"/>
          <w:szCs w:val="24"/>
          <w:lang w:eastAsia="bg-BG"/>
        </w:rPr>
        <w:t xml:space="preserve">) е била съобщавана в клинични изпитвания с кветиапин. Повечето случаи на тежка неутропения са наблюдавани няколко месеца след започване на лечението с продукта. Не е установена зависимост от </w:t>
      </w:r>
      <w:r w:rsidRPr="00FA6BDD">
        <w:rPr>
          <w:rFonts w:eastAsia="Times New Roman" w:cs="Arial"/>
          <w:color w:val="000000"/>
          <w:szCs w:val="24"/>
          <w:lang w:eastAsia="bg-BG"/>
        </w:rPr>
        <w:lastRenderedPageBreak/>
        <w:t>приложената доза. Данните от постмаркетинговия опит сочат, че някои случаи са с фатален изход.</w:t>
      </w:r>
    </w:p>
    <w:p w14:paraId="0EDB5D65" w14:textId="77777777" w:rsidR="00FA6BDD" w:rsidRPr="00FA6BDD" w:rsidRDefault="00FA6BDD" w:rsidP="00FA6BDD">
      <w:pPr>
        <w:spacing w:line="240" w:lineRule="auto"/>
        <w:rPr>
          <w:rFonts w:eastAsia="Times New Roman" w:cs="Arial"/>
          <w:color w:val="000000"/>
          <w:szCs w:val="24"/>
          <w:lang w:eastAsia="bg-BG"/>
        </w:rPr>
      </w:pPr>
    </w:p>
    <w:p w14:paraId="7872F3C7" w14:textId="517EF720"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 xml:space="preserve">Възможните рискови фактори за развитието на левкопения са предшестващ нисък брой на левкоцитите </w:t>
      </w:r>
      <w:r w:rsidRPr="00FA6BDD">
        <w:rPr>
          <w:rFonts w:eastAsia="Times New Roman" w:cs="Arial"/>
          <w:color w:val="000000"/>
          <w:szCs w:val="24"/>
          <w:lang w:val="en-US"/>
        </w:rPr>
        <w:t xml:space="preserve">(WBC) </w:t>
      </w:r>
      <w:r w:rsidRPr="00FA6BDD">
        <w:rPr>
          <w:rFonts w:eastAsia="Times New Roman" w:cs="Arial"/>
          <w:color w:val="000000"/>
          <w:szCs w:val="24"/>
          <w:lang w:eastAsia="bg-BG"/>
        </w:rPr>
        <w:t>и анамнеза за лекарствено индуцирана неутропения. Наблюдавани са обаче и някои случаи без наличие на предшестващи рискови фактори.Приемът на кветиапин трябва да бъде преустановен при пациенти с брой на неутрофилите &lt;1,0 х 10</w:t>
      </w:r>
      <w:r w:rsidRPr="00FA6BDD">
        <w:rPr>
          <w:rFonts w:eastAsia="Times New Roman" w:cs="Arial"/>
          <w:color w:val="000000"/>
          <w:szCs w:val="24"/>
          <w:vertAlign w:val="superscript"/>
          <w:lang w:eastAsia="bg-BG"/>
        </w:rPr>
        <w:t>9</w:t>
      </w:r>
      <w:r w:rsidRPr="00FA6BDD">
        <w:rPr>
          <w:rFonts w:eastAsia="Times New Roman" w:cs="Arial"/>
          <w:color w:val="000000"/>
          <w:szCs w:val="24"/>
          <w:lang w:eastAsia="bg-BG"/>
        </w:rPr>
        <w:t>/</w:t>
      </w:r>
      <w:r w:rsidRPr="00FA6BDD">
        <w:rPr>
          <w:rFonts w:eastAsia="Times New Roman" w:cs="Arial"/>
          <w:color w:val="000000"/>
          <w:szCs w:val="24"/>
          <w:lang w:val="en-US"/>
        </w:rPr>
        <w:t>l</w:t>
      </w:r>
      <w:r w:rsidRPr="00FA6BDD">
        <w:rPr>
          <w:rFonts w:eastAsia="Times New Roman" w:cs="Arial"/>
          <w:color w:val="000000"/>
          <w:szCs w:val="24"/>
          <w:lang w:eastAsia="bg-BG"/>
        </w:rPr>
        <w:t>. Пациентите трябва да бъдат наблюдавани за признаци и симптоми на инфекция до повишаване броя на неутрофилите над 1,5 х 10</w:t>
      </w:r>
      <w:r w:rsidRPr="00FA6BDD">
        <w:rPr>
          <w:rFonts w:eastAsia="Times New Roman" w:cs="Arial"/>
          <w:color w:val="000000"/>
          <w:szCs w:val="24"/>
          <w:vertAlign w:val="superscript"/>
          <w:lang w:eastAsia="bg-BG"/>
        </w:rPr>
        <w:t>9</w:t>
      </w:r>
      <w:r w:rsidRPr="00FA6BDD">
        <w:rPr>
          <w:rFonts w:eastAsia="Times New Roman" w:cs="Arial"/>
          <w:color w:val="000000"/>
          <w:szCs w:val="24"/>
          <w:lang w:eastAsia="bg-BG"/>
        </w:rPr>
        <w:t>/</w:t>
      </w:r>
      <w:r w:rsidRPr="00FA6BDD">
        <w:rPr>
          <w:rFonts w:eastAsia="Times New Roman" w:cs="Arial"/>
          <w:color w:val="000000"/>
          <w:szCs w:val="24"/>
          <w:lang w:val="en-US"/>
        </w:rPr>
        <w:t>l</w:t>
      </w:r>
      <w:r w:rsidRPr="00FA6BDD">
        <w:rPr>
          <w:rFonts w:eastAsia="Times New Roman" w:cs="Arial"/>
          <w:color w:val="000000"/>
          <w:szCs w:val="24"/>
          <w:lang w:eastAsia="bg-BG"/>
        </w:rPr>
        <w:t xml:space="preserve"> (вж. точка 5.1).</w:t>
      </w:r>
    </w:p>
    <w:p w14:paraId="18CD2FCB" w14:textId="77777777" w:rsidR="00FA6BDD" w:rsidRPr="00FA6BDD" w:rsidRDefault="00FA6BDD" w:rsidP="00FA6BDD">
      <w:pPr>
        <w:spacing w:line="240" w:lineRule="auto"/>
        <w:rPr>
          <w:rFonts w:eastAsia="Times New Roman" w:cs="Arial"/>
          <w:color w:val="000000"/>
          <w:szCs w:val="24"/>
          <w:lang w:eastAsia="bg-BG"/>
        </w:rPr>
      </w:pPr>
    </w:p>
    <w:p w14:paraId="6CFF0D5B" w14:textId="109AAC35"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При пациенти със съществуваща инфекция или висока температура, особено при липса на очевидни предразполагащи фактори трябва да се има предвид възможността за неутропения и да се лекува съгласно клиничната практика.</w:t>
      </w:r>
    </w:p>
    <w:p w14:paraId="67DB72B8" w14:textId="77777777" w:rsidR="00FA6BDD" w:rsidRPr="00FA6BDD" w:rsidRDefault="00FA6BDD" w:rsidP="00FA6BDD">
      <w:pPr>
        <w:spacing w:line="240" w:lineRule="auto"/>
        <w:rPr>
          <w:rFonts w:eastAsia="Times New Roman" w:cs="Arial"/>
          <w:color w:val="000000"/>
          <w:szCs w:val="24"/>
          <w:lang w:eastAsia="bg-BG"/>
        </w:rPr>
      </w:pPr>
    </w:p>
    <w:p w14:paraId="0FB043D6" w14:textId="12AF3D9D"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 xml:space="preserve">Пациентите трябва да бъдат посъветвани да съобщават незабавно за появата на признаци/симптоми, характерни за агранулоцитоза или инфекция (например: треска, слабост, летаргия, или болки в гърлото) по всяко време на терапията с кветиапин. При такива пациенти веднага трябва да се определи броят на </w:t>
      </w:r>
      <w:r w:rsidRPr="00FA6BDD">
        <w:rPr>
          <w:rFonts w:eastAsia="Times New Roman" w:cs="Arial"/>
          <w:color w:val="000000"/>
          <w:szCs w:val="24"/>
          <w:lang w:val="en-US"/>
        </w:rPr>
        <w:t xml:space="preserve">WBC </w:t>
      </w:r>
      <w:r w:rsidRPr="00FA6BDD">
        <w:rPr>
          <w:rFonts w:eastAsia="Times New Roman" w:cs="Arial"/>
          <w:color w:val="000000"/>
          <w:szCs w:val="24"/>
          <w:lang w:eastAsia="bg-BG"/>
        </w:rPr>
        <w:t xml:space="preserve">и абсолютният брой на неутрофилите </w:t>
      </w:r>
      <w:r w:rsidRPr="00FA6BDD">
        <w:rPr>
          <w:rFonts w:eastAsia="Times New Roman" w:cs="Arial"/>
          <w:color w:val="000000"/>
          <w:szCs w:val="24"/>
          <w:lang w:val="en-US"/>
        </w:rPr>
        <w:t xml:space="preserve">(ANC), </w:t>
      </w:r>
      <w:r w:rsidRPr="00FA6BDD">
        <w:rPr>
          <w:rFonts w:eastAsia="Times New Roman" w:cs="Arial"/>
          <w:color w:val="000000"/>
          <w:szCs w:val="24"/>
          <w:lang w:eastAsia="bg-BG"/>
        </w:rPr>
        <w:t>особено в отсъствие на предразполагащи фактори.</w:t>
      </w:r>
    </w:p>
    <w:p w14:paraId="19205D89" w14:textId="77777777" w:rsidR="00FA6BDD" w:rsidRPr="00FA6BDD" w:rsidRDefault="00FA6BDD" w:rsidP="00FA6BDD">
      <w:pPr>
        <w:spacing w:line="240" w:lineRule="auto"/>
        <w:rPr>
          <w:rFonts w:eastAsia="Times New Roman" w:cs="Arial"/>
          <w:i/>
          <w:iCs/>
          <w:color w:val="000000"/>
          <w:szCs w:val="24"/>
          <w:u w:val="single"/>
          <w:lang w:eastAsia="bg-BG"/>
        </w:rPr>
      </w:pPr>
    </w:p>
    <w:p w14:paraId="7827323E" w14:textId="68CCF002" w:rsidR="00FA6BDD" w:rsidRPr="00FA6BDD" w:rsidRDefault="00FA6BDD" w:rsidP="00FA6BDD">
      <w:pPr>
        <w:spacing w:line="240" w:lineRule="auto"/>
        <w:rPr>
          <w:rFonts w:eastAsia="Times New Roman" w:cs="Arial"/>
          <w:szCs w:val="24"/>
          <w:lang w:eastAsia="bg-BG"/>
        </w:rPr>
      </w:pPr>
      <w:r w:rsidRPr="00FA6BDD">
        <w:rPr>
          <w:rFonts w:eastAsia="Times New Roman" w:cs="Arial"/>
          <w:i/>
          <w:iCs/>
          <w:color w:val="000000"/>
          <w:szCs w:val="24"/>
          <w:u w:val="single"/>
          <w:lang w:eastAsia="bg-BG"/>
        </w:rPr>
        <w:t>Антихолинергични (мускаринови) ефекти</w:t>
      </w:r>
    </w:p>
    <w:p w14:paraId="12BF7BFF" w14:textId="77777777"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Норкветиапин, който е активен метаболит на кветиапин притежава умерен до силен афинитет към няколко подвида мускаринови рецептори. Това допринася за поява на нежелани лекарствени реакции, свързани с антихолинергични ефекти, когато кветиапин се използва в препоръчителните дози, когато се използва едновременно с други лекарства, които имат антихолинергично действие и в случай на предозиране. Кветиапин трябва да се прилага с повишено внимание при пациенти, приемащи лекарства, които имат антихолинергични (мускаринови) ефекти. Кветиапин трябва да се използва с повишено внимание при пациенти с настояща диагноза или с анамнестични данни за задръжка на урина, клинично значима хипертрофия на простатата, чревна непроходимост или свързани състояния, повишено вътреочно налягане или закритоъгълна глаукома. (Вижте точки 4.5, 4.8,</w:t>
      </w:r>
      <w:r w:rsidRPr="00FA6BDD">
        <w:rPr>
          <w:rFonts w:eastAsia="Times New Roman" w:cs="Arial"/>
          <w:color w:val="000000"/>
          <w:szCs w:val="24"/>
          <w:lang w:val="en-US"/>
        </w:rPr>
        <w:t xml:space="preserve"> </w:t>
      </w:r>
      <w:r w:rsidRPr="00FA6BDD">
        <w:rPr>
          <w:rFonts w:eastAsia="Times New Roman" w:cs="Arial"/>
          <w:color w:val="000000"/>
          <w:szCs w:val="24"/>
          <w:lang w:eastAsia="bg-BG"/>
        </w:rPr>
        <w:t>4.9 и 5.1)</w:t>
      </w:r>
    </w:p>
    <w:p w14:paraId="6AE5098D" w14:textId="77777777" w:rsidR="00FA6BDD" w:rsidRPr="00FA6BDD" w:rsidRDefault="00FA6BDD" w:rsidP="00FA6BDD">
      <w:pPr>
        <w:spacing w:line="240" w:lineRule="auto"/>
        <w:rPr>
          <w:rFonts w:eastAsia="Times New Roman" w:cs="Arial"/>
          <w:i/>
          <w:iCs/>
          <w:color w:val="000000"/>
          <w:szCs w:val="24"/>
          <w:u w:val="single"/>
          <w:lang w:eastAsia="bg-BG"/>
        </w:rPr>
      </w:pPr>
    </w:p>
    <w:p w14:paraId="10796489" w14:textId="77777777" w:rsidR="00FA6BDD" w:rsidRPr="00FA6BDD" w:rsidRDefault="00FA6BDD" w:rsidP="00FA6BDD">
      <w:pPr>
        <w:spacing w:line="240" w:lineRule="auto"/>
        <w:rPr>
          <w:rFonts w:eastAsia="Times New Roman" w:cs="Arial"/>
          <w:i/>
          <w:iCs/>
          <w:color w:val="000000"/>
          <w:szCs w:val="24"/>
          <w:u w:val="single"/>
          <w:lang w:eastAsia="bg-BG"/>
        </w:rPr>
      </w:pPr>
      <w:r w:rsidRPr="00FA6BDD">
        <w:rPr>
          <w:rFonts w:eastAsia="Times New Roman" w:cs="Arial"/>
          <w:i/>
          <w:iCs/>
          <w:color w:val="000000"/>
          <w:szCs w:val="24"/>
          <w:u w:val="single"/>
          <w:lang w:eastAsia="bg-BG"/>
        </w:rPr>
        <w:t xml:space="preserve">Взаимодействия </w:t>
      </w:r>
    </w:p>
    <w:p w14:paraId="5704A8B2" w14:textId="5495C37D" w:rsidR="00FA6BDD" w:rsidRPr="00FA6BDD" w:rsidRDefault="00FA6BDD" w:rsidP="00FA6BDD">
      <w:pPr>
        <w:spacing w:line="240" w:lineRule="auto"/>
        <w:rPr>
          <w:rFonts w:eastAsia="Times New Roman" w:cs="Arial"/>
          <w:szCs w:val="24"/>
          <w:lang w:eastAsia="bg-BG"/>
        </w:rPr>
      </w:pPr>
      <w:r w:rsidRPr="00FA6BDD">
        <w:rPr>
          <w:rFonts w:eastAsia="Times New Roman" w:cs="Arial"/>
          <w:color w:val="000000"/>
          <w:szCs w:val="24"/>
          <w:lang w:eastAsia="bg-BG"/>
        </w:rPr>
        <w:t>Вижте точка 4.5.</w:t>
      </w:r>
    </w:p>
    <w:p w14:paraId="419D8F78" w14:textId="77777777" w:rsidR="00FA6BDD" w:rsidRPr="00FA6BDD" w:rsidRDefault="00FA6BDD" w:rsidP="00FA6BDD">
      <w:pPr>
        <w:rPr>
          <w:rFonts w:eastAsia="Times New Roman" w:cs="Arial"/>
          <w:color w:val="000000"/>
          <w:szCs w:val="24"/>
          <w:lang w:eastAsia="bg-BG"/>
        </w:rPr>
      </w:pPr>
    </w:p>
    <w:p w14:paraId="164B1A83" w14:textId="1A7CEAC3" w:rsidR="00FA6BDD" w:rsidRPr="00FA6BDD" w:rsidRDefault="00FA6BDD" w:rsidP="00FA6BDD">
      <w:pPr>
        <w:rPr>
          <w:rFonts w:cs="Arial"/>
          <w:szCs w:val="24"/>
          <w:lang w:val="en-US"/>
        </w:rPr>
      </w:pPr>
      <w:r w:rsidRPr="00FA6BDD">
        <w:rPr>
          <w:rFonts w:eastAsia="Times New Roman" w:cs="Arial"/>
          <w:color w:val="000000"/>
          <w:szCs w:val="24"/>
          <w:lang w:eastAsia="bg-BG"/>
        </w:rPr>
        <w:t xml:space="preserve">Едновременното използване на кветиапин с мощни индуктори на чернодробните ензими като карбамазепин и фенитоин води до значимо намаляване на плазмените концентрации на кветиапин, което може да повлияе ефикасността на терапията с кветиапин. При пациенти, приемащи индуктор на чернодробните ензими, лечение с кветиапин трябва да бъде започнато само ако лекарят прецени, че ползата от кветиапин надвишава риска от спиране на индуктора на чернодробните ензими. Важно е всяка промяна в терапията с чернодробния ензимен индуктор да бъде постепенна и ако е необходимо той да бъде заменен с лекарство, което не е ензимен индуктор (напр. </w:t>
      </w:r>
      <w:r>
        <w:rPr>
          <w:rFonts w:eastAsia="Times New Roman" w:cs="Arial"/>
          <w:color w:val="000000"/>
          <w:szCs w:val="24"/>
          <w:lang w:eastAsia="bg-BG"/>
        </w:rPr>
        <w:t>н</w:t>
      </w:r>
      <w:r w:rsidRPr="00FA6BDD">
        <w:rPr>
          <w:rFonts w:eastAsia="Times New Roman" w:cs="Arial"/>
          <w:color w:val="000000"/>
          <w:szCs w:val="24"/>
          <w:lang w:eastAsia="bg-BG"/>
        </w:rPr>
        <w:t>атриев</w:t>
      </w:r>
      <w:r>
        <w:rPr>
          <w:rFonts w:eastAsia="Times New Roman" w:cs="Arial"/>
          <w:color w:val="000000"/>
          <w:szCs w:val="24"/>
          <w:lang w:eastAsia="bg-BG"/>
        </w:rPr>
        <w:t xml:space="preserve"> валпроат</w:t>
      </w:r>
      <w:r>
        <w:rPr>
          <w:rFonts w:eastAsia="Times New Roman" w:cs="Arial"/>
          <w:color w:val="000000"/>
          <w:szCs w:val="24"/>
          <w:lang w:val="en-US" w:eastAsia="bg-BG"/>
        </w:rPr>
        <w:t>).</w:t>
      </w:r>
    </w:p>
    <w:p w14:paraId="1D6FF383" w14:textId="4546FA87" w:rsidR="00FA6BDD" w:rsidRDefault="00FA6BDD" w:rsidP="0091385D"/>
    <w:p w14:paraId="0FD6CB38"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Телесно тегло</w:t>
      </w:r>
    </w:p>
    <w:p w14:paraId="3E3ECFED"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lastRenderedPageBreak/>
        <w:t>Докладвано е нарастване на теглото при пациенти, лекувани с кветиапин. То трябва да се проследява и лекува по подходящ начин, в съответствие с клиничните ръководства за антипсихотично лечение (вж. точки 4.8 и 5.1).</w:t>
      </w:r>
    </w:p>
    <w:p w14:paraId="0EC9DEE3" w14:textId="77777777" w:rsidR="00FA6BDD" w:rsidRPr="00FA6BDD" w:rsidRDefault="00FA6BDD" w:rsidP="00FA6BDD">
      <w:pPr>
        <w:spacing w:line="240" w:lineRule="auto"/>
        <w:rPr>
          <w:rFonts w:eastAsia="Times New Roman" w:cs="Arial"/>
          <w:i/>
          <w:iCs/>
          <w:color w:val="000000"/>
          <w:szCs w:val="20"/>
          <w:u w:val="single"/>
          <w:lang w:eastAsia="bg-BG"/>
        </w:rPr>
      </w:pPr>
    </w:p>
    <w:p w14:paraId="0ABB93DD" w14:textId="17F78C30"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Хипергликемия</w:t>
      </w:r>
    </w:p>
    <w:p w14:paraId="592433D0"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Има редки съобщения за хипергликемия и/или развитие или обостряне на диабет, понякога свързани с кетоацидоза или кома, включително с фатален изход (вж. също точка 4.8). При някои случаи е наблюдавано предшестващо нарастване на телесното тегло, което може да бъде предразполагащ фактор. Препоръчва се подходящо клинично наблюдение в съответствие с използваните указания за употреба на антипсихотици. Пациентите, лекувани с който и да е антипсихотичен лекарствен продукт, включително кветиапин, трябва да бъдат наблюдавани за признаци и симптоми на хипергликемия (като полидипсия, полиурия, полифагия и слабост), а пациентите със захарен диабет или с рискови фактори за развитие на захарен диабет трябва да бъдат редовно мониторирани за влошаване на гликемичния контрол. Телесното тегло трябва да се проследява редовно.</w:t>
      </w:r>
    </w:p>
    <w:p w14:paraId="5A4EB160" w14:textId="77777777" w:rsidR="00FA6BDD" w:rsidRPr="00FA6BDD" w:rsidRDefault="00FA6BDD" w:rsidP="00FA6BDD">
      <w:pPr>
        <w:spacing w:line="240" w:lineRule="auto"/>
        <w:rPr>
          <w:rFonts w:eastAsia="Times New Roman" w:cs="Arial"/>
          <w:i/>
          <w:iCs/>
          <w:color w:val="000000"/>
          <w:szCs w:val="20"/>
          <w:u w:val="single"/>
          <w:lang w:eastAsia="bg-BG"/>
        </w:rPr>
      </w:pPr>
    </w:p>
    <w:p w14:paraId="5CE4AB0C" w14:textId="3CC12FAC"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Липиди</w:t>
      </w:r>
    </w:p>
    <w:p w14:paraId="4B82C832"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Повишение на триглицеридите, </w:t>
      </w:r>
      <w:r w:rsidRPr="00FA6BDD">
        <w:rPr>
          <w:rFonts w:eastAsia="Times New Roman" w:cs="Arial"/>
          <w:color w:val="000000"/>
          <w:szCs w:val="20"/>
          <w:lang w:val="en-US"/>
        </w:rPr>
        <w:t xml:space="preserve">LDL- </w:t>
      </w:r>
      <w:r w:rsidRPr="00FA6BDD">
        <w:rPr>
          <w:rFonts w:eastAsia="Times New Roman" w:cs="Arial"/>
          <w:color w:val="000000"/>
          <w:szCs w:val="20"/>
          <w:lang w:eastAsia="bg-BG"/>
        </w:rPr>
        <w:t xml:space="preserve">и общия холестерол и понижаване на </w:t>
      </w:r>
      <w:r w:rsidRPr="00FA6BDD">
        <w:rPr>
          <w:rFonts w:eastAsia="Times New Roman" w:cs="Arial"/>
          <w:color w:val="000000"/>
          <w:szCs w:val="20"/>
          <w:lang w:val="en-US"/>
        </w:rPr>
        <w:t>HDL</w:t>
      </w:r>
      <w:r w:rsidRPr="00FA6BDD">
        <w:rPr>
          <w:rFonts w:eastAsia="Times New Roman" w:cs="Arial"/>
          <w:color w:val="000000"/>
          <w:szCs w:val="20"/>
          <w:lang w:eastAsia="bg-BG"/>
        </w:rPr>
        <w:t>-холестерола са наблюдавани в клинични изпитвания с кветиапин (вж. точка 4.8). Промените в стойностите на липидите трябва да бъдат овладяни по подходящ клиничен начин.</w:t>
      </w:r>
    </w:p>
    <w:p w14:paraId="557D2354" w14:textId="77777777" w:rsidR="00FA6BDD" w:rsidRPr="00FA6BDD" w:rsidRDefault="00FA6BDD" w:rsidP="00FA6BDD">
      <w:pPr>
        <w:spacing w:line="240" w:lineRule="auto"/>
        <w:rPr>
          <w:rFonts w:eastAsia="Times New Roman" w:cs="Arial"/>
          <w:i/>
          <w:iCs/>
          <w:color w:val="000000"/>
          <w:szCs w:val="20"/>
          <w:u w:val="single"/>
          <w:lang w:eastAsia="bg-BG"/>
        </w:rPr>
      </w:pPr>
    </w:p>
    <w:p w14:paraId="73470206" w14:textId="32CF4B01"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 xml:space="preserve">Удължаване на </w:t>
      </w:r>
      <w:r w:rsidRPr="00FA6BDD">
        <w:rPr>
          <w:rFonts w:eastAsia="Times New Roman" w:cs="Arial"/>
          <w:i/>
          <w:iCs/>
          <w:color w:val="000000"/>
          <w:szCs w:val="20"/>
          <w:u w:val="single"/>
          <w:lang w:val="en-US"/>
        </w:rPr>
        <w:t>QT</w:t>
      </w:r>
      <w:r w:rsidRPr="00FA6BDD">
        <w:rPr>
          <w:rFonts w:eastAsia="Times New Roman" w:cs="Arial"/>
          <w:i/>
          <w:iCs/>
          <w:color w:val="000000"/>
          <w:szCs w:val="20"/>
          <w:u w:val="single"/>
          <w:lang w:eastAsia="bg-BG"/>
        </w:rPr>
        <w:t>-интервала</w:t>
      </w:r>
    </w:p>
    <w:p w14:paraId="0625948C"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При клинични изпитвания и при приложение съгласно КХП, приложението на кветиапин не се свързва с персистиращо удължаване на абсолютния </w:t>
      </w:r>
      <w:r w:rsidRPr="00FA6BDD">
        <w:rPr>
          <w:rFonts w:eastAsia="Times New Roman" w:cs="Arial"/>
          <w:color w:val="000000"/>
          <w:szCs w:val="20"/>
          <w:lang w:val="en-US"/>
        </w:rPr>
        <w:t xml:space="preserve">QT </w:t>
      </w:r>
      <w:r w:rsidRPr="00FA6BDD">
        <w:rPr>
          <w:rFonts w:eastAsia="Times New Roman" w:cs="Arial"/>
          <w:color w:val="000000"/>
          <w:szCs w:val="20"/>
          <w:lang w:eastAsia="bg-BG"/>
        </w:rPr>
        <w:t xml:space="preserve">интервал. Има постмаркетингови съобщения за удължаване на </w:t>
      </w:r>
      <w:r w:rsidRPr="00FA6BDD">
        <w:rPr>
          <w:rFonts w:eastAsia="Times New Roman" w:cs="Arial"/>
          <w:color w:val="000000"/>
          <w:szCs w:val="20"/>
          <w:lang w:val="en-US"/>
        </w:rPr>
        <w:t>QT</w:t>
      </w:r>
      <w:r w:rsidRPr="00FA6BDD">
        <w:rPr>
          <w:rFonts w:eastAsia="Times New Roman" w:cs="Arial"/>
          <w:color w:val="000000"/>
          <w:szCs w:val="20"/>
          <w:lang w:eastAsia="bg-BG"/>
        </w:rPr>
        <w:t xml:space="preserve">-интервала при приложение на кветиапин в терапевтични дози (вж. точка 4.8) и при предозиране (вж. точка 4.9). Както и при други антипсихотици, изисква се внимание, когато кветиапин се назначава на пациенти със сърдечно-съдови заболявания или фамилна обремененост с удължаване на </w:t>
      </w:r>
      <w:r w:rsidRPr="00FA6BDD">
        <w:rPr>
          <w:rFonts w:eastAsia="Times New Roman" w:cs="Arial"/>
          <w:color w:val="000000"/>
          <w:szCs w:val="20"/>
          <w:lang w:val="en-US"/>
        </w:rPr>
        <w:t>QT</w:t>
      </w:r>
      <w:r w:rsidRPr="00FA6BDD">
        <w:rPr>
          <w:rFonts w:eastAsia="Times New Roman" w:cs="Arial"/>
          <w:color w:val="000000"/>
          <w:szCs w:val="20"/>
          <w:lang w:eastAsia="bg-BG"/>
        </w:rPr>
        <w:t xml:space="preserve">-интервала. Също така, трябва да се внимава, когато кветиапин се предписва едновременно с лекарства, за които е известно, че водят до удължаване на </w:t>
      </w:r>
      <w:r w:rsidRPr="00FA6BDD">
        <w:rPr>
          <w:rFonts w:eastAsia="Times New Roman" w:cs="Arial"/>
          <w:color w:val="000000"/>
          <w:szCs w:val="20"/>
          <w:lang w:val="en-US"/>
        </w:rPr>
        <w:t xml:space="preserve">QT </w:t>
      </w:r>
      <w:r w:rsidRPr="00FA6BDD">
        <w:rPr>
          <w:rFonts w:eastAsia="Times New Roman" w:cs="Arial"/>
          <w:color w:val="000000"/>
          <w:szCs w:val="20"/>
          <w:lang w:eastAsia="bg-BG"/>
        </w:rPr>
        <w:t xml:space="preserve">интервала или едновременно с невролептици, особено при пациенти в старческа възраст, при пациенти с вроден синдром на удължен </w:t>
      </w:r>
      <w:r w:rsidRPr="00FA6BDD">
        <w:rPr>
          <w:rFonts w:eastAsia="Times New Roman" w:cs="Arial"/>
          <w:color w:val="000000"/>
          <w:szCs w:val="20"/>
          <w:lang w:val="en-US"/>
        </w:rPr>
        <w:t xml:space="preserve">QT </w:t>
      </w:r>
      <w:r w:rsidRPr="00FA6BDD">
        <w:rPr>
          <w:rFonts w:eastAsia="Times New Roman" w:cs="Arial"/>
          <w:color w:val="000000"/>
          <w:szCs w:val="20"/>
          <w:lang w:eastAsia="bg-BG"/>
        </w:rPr>
        <w:t>интервал, със застойна сърдечна недостатъчност, сърдечна хипертрофия, хипокалиемия или хипомагнезиемия (вж. точка 4.5).</w:t>
      </w:r>
    </w:p>
    <w:p w14:paraId="7376E22A" w14:textId="77777777" w:rsidR="00FA6BDD" w:rsidRPr="00FA6BDD" w:rsidRDefault="00FA6BDD" w:rsidP="00FA6BDD">
      <w:pPr>
        <w:spacing w:line="240" w:lineRule="auto"/>
        <w:rPr>
          <w:rFonts w:eastAsia="Times New Roman" w:cs="Arial"/>
          <w:i/>
          <w:iCs/>
          <w:color w:val="000000"/>
          <w:szCs w:val="20"/>
          <w:u w:val="single"/>
          <w:lang w:eastAsia="bg-BG"/>
        </w:rPr>
      </w:pPr>
    </w:p>
    <w:p w14:paraId="6AC075C8" w14:textId="0538EA08"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Кардиомиопатия и миокардит</w:t>
      </w:r>
    </w:p>
    <w:p w14:paraId="747358F6"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За кардиомиопатия и миокардит се съобщава по време на клинични проучвания и по време на постмаркетинговия опит (вж. точка 4.8). При пациенти със съмнение за кардиомиопатия или миокардит трябва да се обмисли прекратяване на лечението с кветиапин.</w:t>
      </w:r>
    </w:p>
    <w:p w14:paraId="02976636" w14:textId="77777777" w:rsidR="00FA6BDD" w:rsidRPr="00FA6BDD" w:rsidRDefault="00FA6BDD" w:rsidP="00FA6BDD">
      <w:pPr>
        <w:spacing w:line="240" w:lineRule="auto"/>
        <w:rPr>
          <w:rFonts w:eastAsia="Times New Roman" w:cs="Arial"/>
          <w:i/>
          <w:iCs/>
          <w:color w:val="000000"/>
          <w:szCs w:val="20"/>
          <w:u w:val="single"/>
          <w:lang w:eastAsia="bg-BG"/>
        </w:rPr>
      </w:pPr>
    </w:p>
    <w:p w14:paraId="0828D75F" w14:textId="6C1BD3C0"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Тежки кожни нежелани реакции</w:t>
      </w:r>
    </w:p>
    <w:p w14:paraId="15E095C4" w14:textId="77777777" w:rsidR="00FA6BDD" w:rsidRPr="00FA6BDD" w:rsidRDefault="00FA6BDD" w:rsidP="00FA6BDD">
      <w:pPr>
        <w:rPr>
          <w:rFonts w:eastAsia="Times New Roman" w:cs="Arial"/>
          <w:sz w:val="28"/>
          <w:szCs w:val="24"/>
          <w:lang w:eastAsia="bg-BG"/>
        </w:rPr>
      </w:pPr>
      <w:r w:rsidRPr="00FA6BDD">
        <w:rPr>
          <w:rFonts w:eastAsia="Times New Roman" w:cs="Arial"/>
          <w:color w:val="000000"/>
          <w:szCs w:val="20"/>
          <w:lang w:eastAsia="bg-BG"/>
        </w:rPr>
        <w:t xml:space="preserve">Много рядко при лечение с кветиапин са съобщавани тежки кожни нежелани реакции </w:t>
      </w:r>
      <w:r w:rsidRPr="00FA6BDD">
        <w:rPr>
          <w:rFonts w:eastAsia="Times New Roman" w:cs="Arial"/>
          <w:color w:val="000000"/>
          <w:szCs w:val="20"/>
          <w:lang w:val="en-US"/>
        </w:rPr>
        <w:t xml:space="preserve">(severe cutaneous adverse reactions, SCARs), </w:t>
      </w:r>
      <w:r w:rsidRPr="00FA6BDD">
        <w:rPr>
          <w:rFonts w:eastAsia="Times New Roman" w:cs="Arial"/>
          <w:color w:val="000000"/>
          <w:szCs w:val="20"/>
          <w:lang w:eastAsia="bg-BG"/>
        </w:rPr>
        <w:t xml:space="preserve">включително синдром на </w:t>
      </w:r>
      <w:r w:rsidRPr="00FA6BDD">
        <w:rPr>
          <w:rFonts w:eastAsia="Times New Roman" w:cs="Arial"/>
          <w:color w:val="000000"/>
          <w:szCs w:val="20"/>
          <w:lang w:val="en-US"/>
        </w:rPr>
        <w:t xml:space="preserve">Stevens-Johnson (Stevens-Johnson Syndrome, SJS), </w:t>
      </w:r>
      <w:r w:rsidRPr="00FA6BDD">
        <w:rPr>
          <w:rFonts w:eastAsia="Times New Roman" w:cs="Arial"/>
          <w:color w:val="000000"/>
          <w:szCs w:val="20"/>
          <w:lang w:eastAsia="bg-BG"/>
        </w:rPr>
        <w:t xml:space="preserve">токсична епидермална некролиза </w:t>
      </w:r>
      <w:r w:rsidRPr="00FA6BDD">
        <w:rPr>
          <w:rFonts w:eastAsia="Times New Roman" w:cs="Arial"/>
          <w:color w:val="000000"/>
          <w:szCs w:val="20"/>
          <w:lang w:val="en-US"/>
        </w:rPr>
        <w:t xml:space="preserve">(Toxic Epidermal Necrolysis, TEN), </w:t>
      </w:r>
      <w:r w:rsidRPr="00FA6BDD">
        <w:rPr>
          <w:rFonts w:eastAsia="Times New Roman" w:cs="Arial"/>
          <w:color w:val="000000"/>
          <w:szCs w:val="20"/>
          <w:lang w:eastAsia="bg-BG"/>
        </w:rPr>
        <w:t xml:space="preserve">остра генерализирана екзантематозна пустулоза </w:t>
      </w:r>
      <w:r w:rsidRPr="00FA6BDD">
        <w:rPr>
          <w:rFonts w:eastAsia="Times New Roman" w:cs="Arial"/>
          <w:color w:val="000000"/>
          <w:szCs w:val="20"/>
          <w:lang w:val="en-US"/>
        </w:rPr>
        <w:t xml:space="preserve">(Acute Generalized </w:t>
      </w:r>
      <w:proofErr w:type="spellStart"/>
      <w:r w:rsidRPr="00FA6BDD">
        <w:rPr>
          <w:rFonts w:eastAsia="Times New Roman" w:cs="Arial"/>
          <w:color w:val="000000"/>
          <w:szCs w:val="20"/>
          <w:lang w:val="en-US"/>
        </w:rPr>
        <w:t>Exanthematous</w:t>
      </w:r>
      <w:proofErr w:type="spellEnd"/>
      <w:r w:rsidRPr="00FA6BDD">
        <w:rPr>
          <w:rFonts w:eastAsia="Times New Roman" w:cs="Arial"/>
          <w:color w:val="000000"/>
          <w:szCs w:val="20"/>
          <w:lang w:val="en-US"/>
        </w:rPr>
        <w:t xml:space="preserve"> </w:t>
      </w:r>
      <w:proofErr w:type="spellStart"/>
      <w:r w:rsidRPr="00FA6BDD">
        <w:rPr>
          <w:rFonts w:eastAsia="Times New Roman" w:cs="Arial"/>
          <w:color w:val="000000"/>
          <w:szCs w:val="20"/>
          <w:lang w:val="en-US"/>
        </w:rPr>
        <w:t>Pustulosis</w:t>
      </w:r>
      <w:proofErr w:type="spellEnd"/>
      <w:r w:rsidRPr="00FA6BDD">
        <w:rPr>
          <w:rFonts w:eastAsia="Times New Roman" w:cs="Arial"/>
          <w:color w:val="000000"/>
          <w:szCs w:val="20"/>
          <w:lang w:val="en-US"/>
        </w:rPr>
        <w:t xml:space="preserve"> AGEP), </w:t>
      </w:r>
      <w:r w:rsidRPr="00FA6BDD">
        <w:rPr>
          <w:rFonts w:eastAsia="Times New Roman" w:cs="Arial"/>
          <w:color w:val="000000"/>
          <w:szCs w:val="20"/>
          <w:lang w:eastAsia="bg-BG"/>
        </w:rPr>
        <w:t xml:space="preserve">еритема мултиформе </w:t>
      </w:r>
      <w:r w:rsidRPr="00FA6BDD">
        <w:rPr>
          <w:rFonts w:eastAsia="Times New Roman" w:cs="Arial"/>
          <w:color w:val="000000"/>
          <w:szCs w:val="20"/>
          <w:lang w:val="en-US"/>
        </w:rPr>
        <w:t xml:space="preserve">(Erythema </w:t>
      </w:r>
      <w:proofErr w:type="spellStart"/>
      <w:r w:rsidRPr="00FA6BDD">
        <w:rPr>
          <w:rFonts w:eastAsia="Times New Roman" w:cs="Arial"/>
          <w:color w:val="000000"/>
          <w:szCs w:val="20"/>
          <w:lang w:val="en-US"/>
        </w:rPr>
        <w:t>Multiforme</w:t>
      </w:r>
      <w:proofErr w:type="spellEnd"/>
      <w:r w:rsidRPr="00FA6BDD">
        <w:rPr>
          <w:rFonts w:eastAsia="Times New Roman" w:cs="Arial"/>
          <w:color w:val="000000"/>
          <w:szCs w:val="20"/>
          <w:lang w:val="en-US"/>
        </w:rPr>
        <w:t xml:space="preserve"> EM) </w:t>
      </w:r>
      <w:r w:rsidRPr="00FA6BDD">
        <w:rPr>
          <w:rFonts w:eastAsia="Times New Roman" w:cs="Arial"/>
          <w:color w:val="000000"/>
          <w:szCs w:val="20"/>
          <w:lang w:eastAsia="bg-BG"/>
        </w:rPr>
        <w:t xml:space="preserve">и лекарствена реакция </w:t>
      </w:r>
      <w:r w:rsidRPr="00FA6BDD">
        <w:rPr>
          <w:rFonts w:eastAsia="Times New Roman" w:cs="Arial"/>
          <w:color w:val="000000"/>
          <w:szCs w:val="20"/>
          <w:lang w:val="en-US"/>
        </w:rPr>
        <w:t xml:space="preserve">c </w:t>
      </w:r>
      <w:r w:rsidRPr="00FA6BDD">
        <w:rPr>
          <w:rFonts w:eastAsia="Times New Roman" w:cs="Arial"/>
          <w:color w:val="000000"/>
          <w:szCs w:val="20"/>
          <w:lang w:eastAsia="bg-BG"/>
        </w:rPr>
        <w:t xml:space="preserve">еозинофилия и системни симптоми </w:t>
      </w:r>
      <w:r w:rsidRPr="00FA6BDD">
        <w:rPr>
          <w:rFonts w:eastAsia="Times New Roman" w:cs="Arial"/>
          <w:color w:val="000000"/>
          <w:szCs w:val="20"/>
          <w:lang w:val="en-US"/>
        </w:rPr>
        <w:t xml:space="preserve">(Drug Reaction with Eosinophilia </w:t>
      </w:r>
      <w:r w:rsidRPr="00FA6BDD">
        <w:rPr>
          <w:rFonts w:eastAsia="Times New Roman" w:cs="Arial"/>
          <w:color w:val="000000"/>
          <w:szCs w:val="20"/>
          <w:lang w:val="en-US"/>
        </w:rPr>
        <w:lastRenderedPageBreak/>
        <w:t xml:space="preserve">and Systemic Symptoms, DRESS), </w:t>
      </w:r>
      <w:r w:rsidRPr="00FA6BDD">
        <w:rPr>
          <w:rFonts w:eastAsia="Times New Roman" w:cs="Arial"/>
          <w:color w:val="000000"/>
          <w:szCs w:val="20"/>
          <w:lang w:eastAsia="bg-BG"/>
        </w:rPr>
        <w:t xml:space="preserve">които могат да бъдат животозастрашаващи или фатални. </w:t>
      </w:r>
      <w:r w:rsidRPr="00FA6BDD">
        <w:rPr>
          <w:rFonts w:eastAsia="Times New Roman" w:cs="Arial"/>
          <w:color w:val="000000"/>
          <w:szCs w:val="20"/>
          <w:lang w:val="en-US"/>
        </w:rPr>
        <w:t xml:space="preserve">SCARs </w:t>
      </w:r>
      <w:r w:rsidRPr="00FA6BDD">
        <w:rPr>
          <w:rFonts w:eastAsia="Times New Roman" w:cs="Arial"/>
          <w:color w:val="000000"/>
          <w:szCs w:val="20"/>
          <w:lang w:eastAsia="bg-BG"/>
        </w:rPr>
        <w:t>обикновено се проявяват с един или няколко от следните симптоми: обширен кожен обрив, който може да се съпровожда със сърбеж или пустули, ексфолиативен дерматит, висока температура, лимфаденопатия и възможна еозинофилия или</w:t>
      </w:r>
      <w:r w:rsidRPr="00FA6BDD">
        <w:rPr>
          <w:rFonts w:eastAsia="Times New Roman" w:cs="Arial"/>
          <w:color w:val="000000"/>
          <w:szCs w:val="20"/>
          <w:vertAlign w:val="subscript"/>
          <w:lang w:eastAsia="bg-BG"/>
        </w:rPr>
        <w:t xml:space="preserve"> </w:t>
      </w:r>
      <w:r w:rsidRPr="00FA6BDD">
        <w:rPr>
          <w:rFonts w:eastAsia="Times New Roman" w:cs="Arial"/>
          <w:color w:val="000000"/>
          <w:szCs w:val="20"/>
          <w:lang w:eastAsia="bg-BG"/>
        </w:rPr>
        <w:t xml:space="preserve">неутрофилия. Повечето от тези реакции се появяват в рамките на 4 седмици след започване на терапия с кветиапин, някои </w:t>
      </w:r>
      <w:r w:rsidRPr="00FA6BDD">
        <w:rPr>
          <w:rFonts w:eastAsia="Times New Roman" w:cs="Arial"/>
          <w:color w:val="000000"/>
          <w:szCs w:val="20"/>
          <w:lang w:val="en-US"/>
        </w:rPr>
        <w:t xml:space="preserve">DRESS </w:t>
      </w:r>
      <w:r w:rsidRPr="00FA6BDD">
        <w:rPr>
          <w:rFonts w:eastAsia="Times New Roman" w:cs="Arial"/>
          <w:color w:val="000000"/>
          <w:szCs w:val="20"/>
          <w:lang w:eastAsia="bg-BG"/>
        </w:rPr>
        <w:t xml:space="preserve">реакции възникват в рамките на 6 седмици след започване на </w:t>
      </w:r>
      <w:r w:rsidRPr="00FA6BDD">
        <w:rPr>
          <w:rFonts w:eastAsia="Times New Roman" w:cs="Arial"/>
          <w:color w:val="000000"/>
          <w:szCs w:val="20"/>
          <w:vertAlign w:val="subscript"/>
          <w:lang w:eastAsia="bg-BG"/>
        </w:rPr>
        <w:t xml:space="preserve"> </w:t>
      </w:r>
      <w:r w:rsidRPr="00FA6BDD">
        <w:rPr>
          <w:rFonts w:eastAsia="Times New Roman" w:cs="Arial"/>
          <w:color w:val="000000"/>
          <w:szCs w:val="20"/>
          <w:lang w:eastAsia="bg-BG"/>
        </w:rPr>
        <w:t>лечение с кветиапин. Ако се появят признаци и симптоми, наподобяващи тези тежки кожни</w:t>
      </w:r>
      <w:r w:rsidRPr="00FA6BDD">
        <w:rPr>
          <w:rFonts w:eastAsia="Times New Roman" w:cs="Arial"/>
          <w:color w:val="000000"/>
          <w:szCs w:val="20"/>
          <w:lang w:val="en-US" w:eastAsia="bg-BG"/>
        </w:rPr>
        <w:t xml:space="preserve"> </w:t>
      </w:r>
      <w:r w:rsidRPr="00FA6BDD">
        <w:rPr>
          <w:rFonts w:eastAsia="Times New Roman" w:cs="Arial"/>
          <w:color w:val="000000"/>
          <w:szCs w:val="20"/>
          <w:lang w:eastAsia="bg-BG"/>
        </w:rPr>
        <w:t>реакции, трябва незабавно да се прекрати приема на кветиапин и да се обмисли алтернативно лечение.</w:t>
      </w:r>
    </w:p>
    <w:p w14:paraId="1EC5A4B9" w14:textId="77777777" w:rsidR="00FA6BDD" w:rsidRPr="00FA6BDD" w:rsidRDefault="00FA6BDD" w:rsidP="00FA6BDD">
      <w:pPr>
        <w:spacing w:line="240" w:lineRule="auto"/>
        <w:rPr>
          <w:rFonts w:eastAsia="Times New Roman" w:cs="Arial"/>
          <w:i/>
          <w:iCs/>
          <w:color w:val="000000"/>
          <w:szCs w:val="20"/>
          <w:u w:val="single"/>
          <w:lang w:eastAsia="bg-BG"/>
        </w:rPr>
      </w:pPr>
    </w:p>
    <w:p w14:paraId="63DE431D" w14:textId="2254802B"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Симптоми на отнемане</w:t>
      </w:r>
    </w:p>
    <w:p w14:paraId="60C1913D"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Остри симптоми на отнемане, включващи безсъние, гадене, главоболие, диария, повръщане, замаяност и раздразнителност, са били описани след рязко прекъсване на кветиапин. Препоръчва се постепенно преустановяване на приема в продължение на поне една до две седмици (вж. точка 4.8).</w:t>
      </w:r>
    </w:p>
    <w:p w14:paraId="6D2D910C" w14:textId="77777777" w:rsidR="00FA6BDD" w:rsidRPr="00FA6BDD" w:rsidRDefault="00FA6BDD" w:rsidP="00FA6BDD">
      <w:pPr>
        <w:spacing w:line="240" w:lineRule="auto"/>
        <w:rPr>
          <w:rFonts w:eastAsia="Times New Roman" w:cs="Arial"/>
          <w:i/>
          <w:iCs/>
          <w:color w:val="000000"/>
          <w:szCs w:val="20"/>
          <w:u w:val="single"/>
          <w:lang w:eastAsia="bg-BG"/>
        </w:rPr>
      </w:pPr>
    </w:p>
    <w:p w14:paraId="7CEDCBF7" w14:textId="1F4D2267"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Пациенти в старческа възраст с психоза, свързана с демениия</w:t>
      </w:r>
    </w:p>
    <w:p w14:paraId="49B6B7C5"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Кветиапин не е одобрен за лечение на пациенти с психоза, свързана с деменция.</w:t>
      </w:r>
    </w:p>
    <w:p w14:paraId="3324B585" w14:textId="77777777" w:rsidR="00FA6BDD" w:rsidRPr="00FA6BDD" w:rsidRDefault="00FA6BDD" w:rsidP="00FA6BDD">
      <w:pPr>
        <w:spacing w:line="240" w:lineRule="auto"/>
        <w:rPr>
          <w:rFonts w:eastAsia="Times New Roman" w:cs="Arial"/>
          <w:color w:val="000000"/>
          <w:szCs w:val="20"/>
          <w:lang w:eastAsia="bg-BG"/>
        </w:rPr>
      </w:pPr>
    </w:p>
    <w:p w14:paraId="01B4CFEB" w14:textId="229B1942"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рандомизирани плацебо-контролирани изпитвания с някои атипични антипсихотици при пациенти с деменция е наблюдаван около трикратно повишен риск от мозъчносъдови нежелани събития. Механизмът на този повишен риск е неизвестен. Повишен риск не може да бъде изключен за други антипсихотици или други групи пациенти. Кветиапин трябва да бъде използван с внимание при пациенти с рискови фактори за мозъчен инсулт.</w:t>
      </w:r>
    </w:p>
    <w:p w14:paraId="39B9A927" w14:textId="77777777" w:rsidR="00FA6BDD" w:rsidRPr="00FA6BDD" w:rsidRDefault="00FA6BDD" w:rsidP="00FA6BDD">
      <w:pPr>
        <w:spacing w:line="240" w:lineRule="auto"/>
        <w:rPr>
          <w:rFonts w:eastAsia="Times New Roman" w:cs="Arial"/>
          <w:color w:val="000000"/>
          <w:szCs w:val="20"/>
          <w:lang w:eastAsia="bg-BG"/>
        </w:rPr>
      </w:pPr>
    </w:p>
    <w:p w14:paraId="10992B90" w14:textId="47704952"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метаанализ на атипични антипсихотици е било съобщено, че при пациентите в старческа възраст с психози, свързани с деменция, има повишен риск от смърт в сравнение с тези, приемали плацебо. Смъртността при пациенти, третирани с кветиапин в две плацебо-контролирани проучвания, с продължителност 10 седмици, при същата популация (</w:t>
      </w:r>
      <w:r w:rsidRPr="00FA6BDD">
        <w:rPr>
          <w:rFonts w:eastAsia="Times New Roman" w:cs="Arial"/>
          <w:color w:val="000000"/>
          <w:szCs w:val="20"/>
          <w:lang w:val="en-US"/>
        </w:rPr>
        <w:t>n</w:t>
      </w:r>
      <w:r w:rsidRPr="00FA6BDD">
        <w:rPr>
          <w:rFonts w:eastAsia="Times New Roman" w:cs="Arial"/>
          <w:color w:val="000000"/>
          <w:szCs w:val="20"/>
          <w:lang w:eastAsia="bg-BG"/>
        </w:rPr>
        <w:t xml:space="preserve"> = 710; средна възраст 83 години, граници: 56 - 99 години) е била 5,5 % в сравнение с 3,2 % в плацебо-групата. Пациентите в тези проучвания са починали по различни причини, съответстващи на очакванията за тази популация.</w:t>
      </w:r>
    </w:p>
    <w:p w14:paraId="1D830C01" w14:textId="77777777" w:rsidR="00FA6BDD" w:rsidRPr="00FA6BDD" w:rsidRDefault="00FA6BDD" w:rsidP="00FA6BDD">
      <w:pPr>
        <w:spacing w:line="240" w:lineRule="auto"/>
        <w:rPr>
          <w:rFonts w:eastAsia="Times New Roman" w:cs="Arial"/>
          <w:i/>
          <w:iCs/>
          <w:color w:val="000000"/>
          <w:szCs w:val="20"/>
          <w:u w:val="single"/>
          <w:lang w:eastAsia="bg-BG"/>
        </w:rPr>
      </w:pPr>
    </w:p>
    <w:p w14:paraId="5F28E7D7" w14:textId="74E8AEB3"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Пациенти в старческа възраст с болест на Паркинсон/паркинсонизъм</w:t>
      </w:r>
    </w:p>
    <w:p w14:paraId="3F52FA3F"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Ретроспективно, базирано на популация проучване на кветиапин за лечение на пациенти с голямо депресивно разстройство е показало повишен риск от смърт по време на употреба на кветиапин при пациенти на възраст &gt; 65 години. Такава връзка не е съществувала, когато пациентите с паркинсонизъм са били изключени от анализа. Необходимо е повишено внимание, ако кветиапин се предписва на пациенти в старческа възраст и с паркинсонизъм.</w:t>
      </w:r>
    </w:p>
    <w:p w14:paraId="114DE8CD" w14:textId="77777777" w:rsidR="00FA6BDD" w:rsidRPr="00FA6BDD" w:rsidRDefault="00FA6BDD" w:rsidP="00FA6BDD">
      <w:pPr>
        <w:spacing w:line="240" w:lineRule="auto"/>
        <w:rPr>
          <w:rFonts w:eastAsia="Times New Roman" w:cs="Arial"/>
          <w:i/>
          <w:iCs/>
          <w:color w:val="000000"/>
          <w:szCs w:val="20"/>
          <w:u w:val="single"/>
          <w:lang w:eastAsia="bg-BG"/>
        </w:rPr>
      </w:pPr>
    </w:p>
    <w:p w14:paraId="6D57263D" w14:textId="45E585E1"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Дисфагия</w:t>
      </w:r>
    </w:p>
    <w:p w14:paraId="4362ECD1"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Дисфагия (вж. точка 4.8) е била наблюдавана с кветиапин. Кветиапин трябва да се използва внимателно при пациенти с риск от аспирационна пневмония.</w:t>
      </w:r>
    </w:p>
    <w:p w14:paraId="2B98F257" w14:textId="77777777" w:rsidR="00FA6BDD" w:rsidRPr="00FA6BDD" w:rsidRDefault="00FA6BDD" w:rsidP="00FA6BDD">
      <w:pPr>
        <w:spacing w:line="240" w:lineRule="auto"/>
        <w:rPr>
          <w:rFonts w:eastAsia="Times New Roman" w:cs="Arial"/>
          <w:i/>
          <w:iCs/>
          <w:color w:val="000000"/>
          <w:szCs w:val="20"/>
          <w:u w:val="single"/>
          <w:lang w:eastAsia="bg-BG"/>
        </w:rPr>
      </w:pPr>
    </w:p>
    <w:p w14:paraId="4523F51A" w14:textId="08226C14"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Констипация и чревна непроходимост</w:t>
      </w:r>
    </w:p>
    <w:p w14:paraId="0F7EC4DC"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Констипацията представлява рисков фактор за чревна непроходимост. Съобщавано е за констипация и чревна непроходимост с кветиапин (вж. точка 4.8). Това включва съобщения за фатален изход при пациенти с по-висок риск за чревна непроходимост, </w:t>
      </w:r>
      <w:r w:rsidRPr="00FA6BDD">
        <w:rPr>
          <w:rFonts w:eastAsia="Times New Roman" w:cs="Arial"/>
          <w:color w:val="000000"/>
          <w:szCs w:val="20"/>
          <w:lang w:eastAsia="bg-BG"/>
        </w:rPr>
        <w:lastRenderedPageBreak/>
        <w:t>включително тези които получават едновременно множество лекарства, понижаващи чревния мотилитет и/или е възможно да не съобщят за симптоми на констипация. При пациенти с чревна обструкция/илеус се изисква спешна медицинска помощ; лечението и наблюдението се извършват с повишено внимание.</w:t>
      </w:r>
    </w:p>
    <w:p w14:paraId="7C2020CD" w14:textId="77777777" w:rsidR="00FA6BDD" w:rsidRPr="00FA6BDD" w:rsidRDefault="00FA6BDD" w:rsidP="00FA6BDD">
      <w:pPr>
        <w:spacing w:line="240" w:lineRule="auto"/>
        <w:rPr>
          <w:rFonts w:eastAsia="Times New Roman" w:cs="Arial"/>
          <w:i/>
          <w:iCs/>
          <w:color w:val="000000"/>
          <w:szCs w:val="20"/>
          <w:u w:val="single"/>
          <w:lang w:eastAsia="bg-BG"/>
        </w:rPr>
      </w:pPr>
    </w:p>
    <w:p w14:paraId="0D52DA4E" w14:textId="2595BA7D"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Венозен тромбоемболизъм (В ТЕ)</w:t>
      </w:r>
    </w:p>
    <w:p w14:paraId="3E8DA685"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Докладвани са случаи на венозен тромбоемболизъм с антипсихотични лекарства. Тъй като пациентите, лекувани с антипсихотици, често са с повишен риск от венозен тромбоемболизъм, трябва да се установят всички възможни рискови фактори преди и по време на лечението с кветиапин и да се предприемат предпазни мерки.</w:t>
      </w:r>
    </w:p>
    <w:p w14:paraId="05260B88" w14:textId="77777777" w:rsidR="00FA6BDD" w:rsidRPr="00FA6BDD" w:rsidRDefault="00FA6BDD" w:rsidP="00FA6BDD">
      <w:pPr>
        <w:spacing w:line="240" w:lineRule="auto"/>
        <w:rPr>
          <w:rFonts w:eastAsia="Times New Roman" w:cs="Arial"/>
          <w:i/>
          <w:iCs/>
          <w:color w:val="000000"/>
          <w:szCs w:val="20"/>
          <w:u w:val="single"/>
          <w:lang w:eastAsia="bg-BG"/>
        </w:rPr>
      </w:pPr>
    </w:p>
    <w:p w14:paraId="5B3A2165" w14:textId="77975F0A"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u w:val="single"/>
          <w:lang w:eastAsia="bg-BG"/>
        </w:rPr>
        <w:t>Панкреатит</w:t>
      </w:r>
    </w:p>
    <w:p w14:paraId="42CD2F3D" w14:textId="77777777" w:rsidR="00FA6BDD" w:rsidRPr="00FA6BDD" w:rsidRDefault="00FA6BDD" w:rsidP="00FA6BDD">
      <w:pPr>
        <w:rPr>
          <w:rFonts w:eastAsia="Times New Roman" w:cs="Arial"/>
          <w:lang w:eastAsia="bg-BG"/>
        </w:rPr>
      </w:pPr>
      <w:r w:rsidRPr="00FA6BDD">
        <w:rPr>
          <w:rFonts w:eastAsia="Times New Roman" w:cs="Arial"/>
          <w:color w:val="000000"/>
          <w:lang w:eastAsia="bg-BG"/>
        </w:rPr>
        <w:t>Панкреатит е докладван при клинични проучвания и по време на постмаркетинговия опит. При постмаркетинговите доклади, когато не всички случаи са съпроводени от рискови фактори,</w:t>
      </w:r>
      <w:r w:rsidRPr="00FA6BDD">
        <w:rPr>
          <w:rFonts w:eastAsia="Times New Roman" w:cs="Arial"/>
          <w:color w:val="000000"/>
          <w:lang w:val="en-US" w:eastAsia="bg-BG"/>
        </w:rPr>
        <w:t xml:space="preserve"> </w:t>
      </w:r>
      <w:r w:rsidRPr="00FA6BDD">
        <w:rPr>
          <w:rFonts w:eastAsia="Times New Roman" w:cs="Arial"/>
          <w:color w:val="000000"/>
          <w:lang w:eastAsia="bg-BG"/>
        </w:rPr>
        <w:t>много от пациентите са имали фактори, за които се знае, че са свързани с панкреатит, като повишаване на триглицеридите (вж. точка 4.8), камъни в жлъчката и употреба на алкохол.</w:t>
      </w:r>
    </w:p>
    <w:p w14:paraId="3982EFB2" w14:textId="77777777" w:rsidR="00FA6BDD" w:rsidRPr="00FA6BDD" w:rsidRDefault="00FA6BDD" w:rsidP="00FA6BDD">
      <w:pPr>
        <w:spacing w:line="240" w:lineRule="auto"/>
        <w:rPr>
          <w:rFonts w:eastAsia="Times New Roman" w:cs="Arial"/>
          <w:i/>
          <w:iCs/>
          <w:color w:val="000000"/>
          <w:u w:val="single"/>
          <w:lang w:eastAsia="bg-BG"/>
        </w:rPr>
      </w:pPr>
    </w:p>
    <w:p w14:paraId="549A0D67" w14:textId="0C30719B"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Допълнителна информация</w:t>
      </w:r>
    </w:p>
    <w:p w14:paraId="350104E1"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Налице са ограничени данни за приложение на кветиапин в комбинация с дивалпроекс (семи- натриев валпроат) или литий при лечение на умерени до тежки манийни епизоди, като комбинираната терапия се понася добре (вж. точка 4.8 и 5.1). Данните са показали адитивен ефект, настъпващ през третата седмица от началото на лечението.</w:t>
      </w:r>
    </w:p>
    <w:p w14:paraId="4112E037" w14:textId="77777777" w:rsidR="00FA6BDD" w:rsidRPr="00FA6BDD" w:rsidRDefault="00FA6BDD" w:rsidP="00FA6BDD">
      <w:pPr>
        <w:spacing w:line="240" w:lineRule="auto"/>
        <w:rPr>
          <w:rFonts w:eastAsia="Times New Roman" w:cs="Arial"/>
          <w:i/>
          <w:iCs/>
          <w:color w:val="000000"/>
          <w:u w:val="single"/>
          <w:lang w:eastAsia="bg-BG"/>
        </w:rPr>
      </w:pPr>
    </w:p>
    <w:p w14:paraId="03250B20" w14:textId="63E77225"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Неправилна употреба и злоупотреба</w:t>
      </w:r>
    </w:p>
    <w:p w14:paraId="3F2886DE"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Има съобщения за случаи на неправилна употреба и злоупотреба. Може да е необходимо повишено внимание, когато кветиапин се предписва на пациенти с анамнеза за злоупотреба с алкохол или лекарства/наркотици.</w:t>
      </w:r>
    </w:p>
    <w:p w14:paraId="191F6160" w14:textId="77777777" w:rsidR="00FA6BDD" w:rsidRPr="00FA6BDD" w:rsidRDefault="00FA6BDD" w:rsidP="00FA6BDD">
      <w:pPr>
        <w:spacing w:line="240" w:lineRule="auto"/>
        <w:rPr>
          <w:rFonts w:eastAsia="Times New Roman" w:cs="Arial"/>
          <w:color w:val="000000"/>
          <w:u w:val="single"/>
          <w:lang w:eastAsia="bg-BG"/>
        </w:rPr>
      </w:pPr>
    </w:p>
    <w:p w14:paraId="10CACDFE" w14:textId="4A758295" w:rsidR="00FA6BDD" w:rsidRPr="00FA6BDD" w:rsidRDefault="00FA6BDD" w:rsidP="00FA6BDD">
      <w:pPr>
        <w:spacing w:line="240" w:lineRule="auto"/>
        <w:rPr>
          <w:rFonts w:eastAsia="Times New Roman" w:cs="Arial"/>
          <w:lang w:eastAsia="bg-BG"/>
        </w:rPr>
      </w:pPr>
      <w:r w:rsidRPr="00FA6BDD">
        <w:rPr>
          <w:rFonts w:eastAsia="Times New Roman" w:cs="Arial"/>
          <w:color w:val="000000"/>
          <w:u w:val="single"/>
          <w:lang w:eastAsia="bg-BG"/>
        </w:rPr>
        <w:t>Помощни вещества</w:t>
      </w:r>
    </w:p>
    <w:p w14:paraId="04444772" w14:textId="77777777" w:rsidR="00FA6BDD" w:rsidRPr="00FA6BDD" w:rsidRDefault="00FA6BDD" w:rsidP="00FA6BDD">
      <w:pPr>
        <w:spacing w:line="240" w:lineRule="auto"/>
        <w:rPr>
          <w:rFonts w:eastAsia="Times New Roman" w:cs="Arial"/>
          <w:i/>
          <w:iCs/>
          <w:color w:val="000000"/>
          <w:u w:val="single"/>
          <w:lang w:eastAsia="bg-BG"/>
        </w:rPr>
      </w:pPr>
    </w:p>
    <w:p w14:paraId="4F4D3D7F" w14:textId="0C070480" w:rsidR="00FA6BDD" w:rsidRPr="00FA6BDD" w:rsidRDefault="00FA6BDD" w:rsidP="00FA6BDD">
      <w:pPr>
        <w:spacing w:line="240" w:lineRule="auto"/>
        <w:rPr>
          <w:rFonts w:eastAsia="Times New Roman" w:cs="Arial"/>
          <w:lang w:eastAsia="bg-BG"/>
        </w:rPr>
      </w:pPr>
      <w:r w:rsidRPr="00FA6BDD">
        <w:rPr>
          <w:rFonts w:eastAsia="Times New Roman" w:cs="Arial"/>
          <w:i/>
          <w:iCs/>
          <w:color w:val="000000"/>
          <w:u w:val="single"/>
          <w:lang w:eastAsia="bg-BG"/>
        </w:rPr>
        <w:t>Лактоза:</w:t>
      </w:r>
    </w:p>
    <w:p w14:paraId="613D2220" w14:textId="77777777" w:rsidR="00FA6BDD" w:rsidRPr="00FA6BDD" w:rsidRDefault="00FA6BDD" w:rsidP="00FA6BDD">
      <w:pPr>
        <w:spacing w:line="240" w:lineRule="auto"/>
        <w:rPr>
          <w:rFonts w:eastAsia="Times New Roman" w:cs="Arial"/>
          <w:lang w:eastAsia="bg-BG"/>
        </w:rPr>
      </w:pPr>
      <w:r w:rsidRPr="00FA6BDD">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14:paraId="5EF8DB6E" w14:textId="77777777" w:rsidR="00FA6BDD" w:rsidRPr="00FA6BDD" w:rsidRDefault="00FA6BDD" w:rsidP="00FA6BDD">
      <w:pPr>
        <w:spacing w:line="240" w:lineRule="auto"/>
        <w:rPr>
          <w:rFonts w:eastAsia="Times New Roman" w:cs="Arial"/>
          <w:i/>
          <w:iCs/>
          <w:color w:val="000000"/>
          <w:lang w:eastAsia="bg-BG"/>
        </w:rPr>
      </w:pPr>
    </w:p>
    <w:p w14:paraId="01532289" w14:textId="2C1C9124" w:rsidR="00FA6BDD" w:rsidRPr="00FA6BDD" w:rsidRDefault="00FA6BDD" w:rsidP="00FA6BDD">
      <w:pPr>
        <w:spacing w:line="240" w:lineRule="auto"/>
        <w:rPr>
          <w:rFonts w:eastAsia="Times New Roman" w:cs="Arial"/>
          <w:lang w:eastAsia="bg-BG"/>
        </w:rPr>
      </w:pPr>
      <w:r w:rsidRPr="00FA6BDD">
        <w:rPr>
          <w:rFonts w:eastAsia="Times New Roman" w:cs="Arial"/>
          <w:i/>
          <w:iCs/>
          <w:color w:val="000000"/>
          <w:lang w:eastAsia="bg-BG"/>
        </w:rPr>
        <w:t>Натрий</w:t>
      </w:r>
    </w:p>
    <w:p w14:paraId="4F05F604" w14:textId="6D608D60" w:rsidR="00FA6BDD" w:rsidRPr="00FA6BDD" w:rsidRDefault="00FA6BDD" w:rsidP="00FA6BDD">
      <w:pPr>
        <w:rPr>
          <w:rFonts w:cs="Arial"/>
          <w:lang w:val="en-US"/>
        </w:rPr>
      </w:pPr>
      <w:r w:rsidRPr="00FA6BDD">
        <w:rPr>
          <w:rFonts w:eastAsia="Times New Roman" w:cs="Arial"/>
          <w:color w:val="000000"/>
          <w:lang w:eastAsia="bg-BG"/>
        </w:rPr>
        <w:t xml:space="preserve">Този лекарствен продукт съдържа по-малко от 1 </w:t>
      </w:r>
      <w:proofErr w:type="spellStart"/>
      <w:r w:rsidRPr="00FA6BDD">
        <w:rPr>
          <w:rFonts w:eastAsia="Times New Roman" w:cs="Arial"/>
          <w:color w:val="000000"/>
          <w:lang w:val="en-US"/>
        </w:rPr>
        <w:t>mmol</w:t>
      </w:r>
      <w:proofErr w:type="spellEnd"/>
      <w:r w:rsidRPr="00FA6BDD">
        <w:rPr>
          <w:rFonts w:eastAsia="Times New Roman" w:cs="Arial"/>
          <w:color w:val="000000"/>
          <w:lang w:val="en-US"/>
        </w:rPr>
        <w:t xml:space="preserve"> </w:t>
      </w:r>
      <w:r w:rsidRPr="00FA6BDD">
        <w:rPr>
          <w:rFonts w:eastAsia="Times New Roman" w:cs="Arial"/>
          <w:color w:val="000000"/>
          <w:lang w:eastAsia="bg-BG"/>
        </w:rPr>
        <w:t xml:space="preserve">натрий (23 </w:t>
      </w:r>
      <w:r w:rsidRPr="00FA6BDD">
        <w:rPr>
          <w:rFonts w:eastAsia="Times New Roman" w:cs="Arial"/>
          <w:color w:val="000000"/>
          <w:lang w:val="en-US"/>
        </w:rPr>
        <w:t xml:space="preserve">mg) </w:t>
      </w:r>
      <w:r w:rsidRPr="00FA6BDD">
        <w:rPr>
          <w:rFonts w:eastAsia="Times New Roman" w:cs="Arial"/>
          <w:color w:val="000000"/>
          <w:lang w:eastAsia="bg-BG"/>
        </w:rPr>
        <w:t>на филмирана таблетка, т.е. може да се каже, че практически не съдържа натрий.</w:t>
      </w:r>
    </w:p>
    <w:p w14:paraId="6D193C3B" w14:textId="77777777" w:rsidR="00FA6BDD" w:rsidRPr="0091385D" w:rsidRDefault="00FA6BD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027AD5B"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Вземайки предвид основните ефекти на кветиапин върху ЦНС, той трябва да бъде прилаган с внимание в комбинация с други лекарства, действащи върху ЦНС и алкохол.</w:t>
      </w:r>
    </w:p>
    <w:p w14:paraId="519B566D" w14:textId="77777777" w:rsidR="00FA6BDD" w:rsidRPr="00FA6BDD" w:rsidRDefault="00FA6BDD" w:rsidP="00FA6BDD">
      <w:pPr>
        <w:spacing w:line="240" w:lineRule="auto"/>
        <w:rPr>
          <w:rFonts w:eastAsia="Times New Roman" w:cs="Arial"/>
          <w:color w:val="000000"/>
          <w:szCs w:val="20"/>
          <w:lang w:eastAsia="bg-BG"/>
        </w:rPr>
      </w:pPr>
    </w:p>
    <w:p w14:paraId="5D322891" w14:textId="240E3F33"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Необходимо е повишено внимание при лечение на пациенти, приемащи други лекарства, които имат антихолинергични (мускаринови) ефекти (вж. точка 4.4).</w:t>
      </w:r>
    </w:p>
    <w:p w14:paraId="27A29A82" w14:textId="77777777" w:rsidR="00FA6BDD" w:rsidRPr="00FA6BDD" w:rsidRDefault="00FA6BDD" w:rsidP="00FA6BDD">
      <w:pPr>
        <w:spacing w:line="240" w:lineRule="auto"/>
        <w:rPr>
          <w:rFonts w:eastAsia="Times New Roman" w:cs="Arial"/>
          <w:color w:val="000000"/>
          <w:szCs w:val="20"/>
          <w:lang w:eastAsia="bg-BG"/>
        </w:rPr>
      </w:pPr>
    </w:p>
    <w:p w14:paraId="684B1877" w14:textId="2697C663"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lastRenderedPageBreak/>
        <w:t xml:space="preserve">Цитохром Р450 </w:t>
      </w:r>
      <w:r w:rsidRPr="00FA6BDD">
        <w:rPr>
          <w:rFonts w:eastAsia="Times New Roman" w:cs="Arial"/>
          <w:color w:val="000000"/>
          <w:szCs w:val="20"/>
          <w:lang w:val="en-US"/>
        </w:rPr>
        <w:t xml:space="preserve">(CYP) </w:t>
      </w:r>
      <w:r w:rsidRPr="00FA6BDD">
        <w:rPr>
          <w:rFonts w:eastAsia="Times New Roman" w:cs="Arial"/>
          <w:color w:val="000000"/>
          <w:szCs w:val="20"/>
          <w:lang w:eastAsia="bg-BG"/>
        </w:rPr>
        <w:t xml:space="preserve">ЗА4 е основният ензим, отговорен за цитохром Р450 медиирания метаболизъм на кветиапин. При изпитвания за лекарствени взаимодействия при здрави доброволци, едновременното приложение на кветиапин (25 </w:t>
      </w:r>
      <w:r w:rsidRPr="00FA6BDD">
        <w:rPr>
          <w:rFonts w:eastAsia="Times New Roman" w:cs="Arial"/>
          <w:color w:val="000000"/>
          <w:szCs w:val="20"/>
          <w:lang w:val="en-US"/>
        </w:rPr>
        <w:t xml:space="preserve">mg) </w:t>
      </w:r>
      <w:r w:rsidRPr="00FA6BDD">
        <w:rPr>
          <w:rFonts w:eastAsia="Times New Roman" w:cs="Arial"/>
          <w:color w:val="000000"/>
          <w:szCs w:val="20"/>
          <w:lang w:eastAsia="bg-BG"/>
        </w:rPr>
        <w:t xml:space="preserve">с кетоконазол </w:t>
      </w:r>
      <w:r w:rsidRPr="00FA6BDD">
        <w:rPr>
          <w:rFonts w:eastAsia="Times New Roman" w:cs="Arial"/>
          <w:color w:val="000000"/>
          <w:szCs w:val="20"/>
          <w:lang w:val="en-US"/>
        </w:rPr>
        <w:t xml:space="preserve">(CYP3A4 </w:t>
      </w:r>
      <w:r w:rsidRPr="00FA6BDD">
        <w:rPr>
          <w:rFonts w:eastAsia="Times New Roman" w:cs="Arial"/>
          <w:color w:val="000000"/>
          <w:szCs w:val="20"/>
          <w:lang w:eastAsia="bg-BG"/>
        </w:rPr>
        <w:t xml:space="preserve">инхибитор) води до 5-8 кратно повишаване на </w:t>
      </w:r>
      <w:r w:rsidRPr="00FA6BDD">
        <w:rPr>
          <w:rFonts w:eastAsia="Times New Roman" w:cs="Arial"/>
          <w:color w:val="000000"/>
          <w:szCs w:val="20"/>
          <w:lang w:val="en-US"/>
        </w:rPr>
        <w:t xml:space="preserve">AUC </w:t>
      </w:r>
      <w:r w:rsidRPr="00FA6BDD">
        <w:rPr>
          <w:rFonts w:eastAsia="Times New Roman" w:cs="Arial"/>
          <w:color w:val="000000"/>
          <w:szCs w:val="20"/>
          <w:lang w:eastAsia="bg-BG"/>
        </w:rPr>
        <w:t xml:space="preserve">на кветиапин. Въз основа на това, едновременното приложение на кветиапин с </w:t>
      </w:r>
      <w:r w:rsidRPr="00FA6BDD">
        <w:rPr>
          <w:rFonts w:eastAsia="Times New Roman" w:cs="Arial"/>
          <w:color w:val="000000"/>
          <w:szCs w:val="20"/>
          <w:lang w:val="en-US"/>
        </w:rPr>
        <w:t xml:space="preserve">CYP3A4 </w:t>
      </w:r>
      <w:r w:rsidRPr="00FA6BDD">
        <w:rPr>
          <w:rFonts w:eastAsia="Times New Roman" w:cs="Arial"/>
          <w:color w:val="000000"/>
          <w:szCs w:val="20"/>
          <w:lang w:eastAsia="bg-BG"/>
        </w:rPr>
        <w:t>инхибитори е противопоказано. Също така, не се препоръчва приемането на сок от грейпфрут по време на терапията с кветиапин.</w:t>
      </w:r>
    </w:p>
    <w:p w14:paraId="6C8788CB" w14:textId="77777777" w:rsidR="00FA6BDD" w:rsidRPr="00FA6BDD" w:rsidRDefault="00FA6BDD" w:rsidP="00FA6BDD">
      <w:pPr>
        <w:spacing w:line="240" w:lineRule="auto"/>
        <w:rPr>
          <w:rFonts w:eastAsia="Times New Roman" w:cs="Arial"/>
          <w:color w:val="000000"/>
          <w:szCs w:val="20"/>
          <w:lang w:eastAsia="bg-BG"/>
        </w:rPr>
      </w:pPr>
    </w:p>
    <w:p w14:paraId="23F68C9C" w14:textId="33FC2E43"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В проучване при пациенти за оценка на фармакокинетиката на кветиапин след многократно приложение, прилаган преди и по време на лечение с карбамазепин (известен като чернодробен ензимен индуктор), едновременното приложение на карбамазепин значимо повишава клирънса на кветиапин. Това повишение на клирънса намалява системната експозиция на кветиапин (оценена чрез </w:t>
      </w:r>
      <w:r w:rsidRPr="00FA6BDD">
        <w:rPr>
          <w:rFonts w:eastAsia="Times New Roman" w:cs="Arial"/>
          <w:color w:val="000000"/>
          <w:szCs w:val="20"/>
          <w:lang w:val="en-US"/>
        </w:rPr>
        <w:t xml:space="preserve">AUC) </w:t>
      </w:r>
      <w:r w:rsidRPr="00FA6BDD">
        <w:rPr>
          <w:rFonts w:eastAsia="Times New Roman" w:cs="Arial"/>
          <w:color w:val="000000"/>
          <w:szCs w:val="20"/>
          <w:lang w:eastAsia="bg-BG"/>
        </w:rPr>
        <w:t>с около 13 % от експозицията при самостоятелно приложение на кветиапин; въпреки, че при някои случаи е наблюдаван и по-силен ефект. Като последица на това взаимодействие могат да се наблюдават по-ниски плазмени концентрации, които е възможно да повлияят ефикасността на терапията с кветиапин.</w:t>
      </w:r>
    </w:p>
    <w:p w14:paraId="4AB2448A" w14:textId="77777777" w:rsidR="00FA6BDD" w:rsidRPr="00FA6BDD" w:rsidRDefault="00FA6BDD" w:rsidP="00FA6BDD">
      <w:pPr>
        <w:rPr>
          <w:rFonts w:eastAsia="Times New Roman" w:cs="Arial"/>
          <w:color w:val="000000"/>
          <w:szCs w:val="20"/>
          <w:lang w:eastAsia="bg-BG"/>
        </w:rPr>
      </w:pPr>
    </w:p>
    <w:p w14:paraId="3AEC4FD8" w14:textId="77777777" w:rsidR="00FA6BDD" w:rsidRPr="00FA6BDD" w:rsidRDefault="00FA6BDD" w:rsidP="00FA6BDD">
      <w:pPr>
        <w:rPr>
          <w:rFonts w:eastAsia="Times New Roman" w:cs="Arial"/>
          <w:sz w:val="28"/>
          <w:szCs w:val="24"/>
          <w:lang w:eastAsia="bg-BG"/>
        </w:rPr>
      </w:pPr>
      <w:r w:rsidRPr="00FA6BDD">
        <w:rPr>
          <w:rFonts w:eastAsia="Times New Roman" w:cs="Arial"/>
          <w:color w:val="000000"/>
          <w:szCs w:val="20"/>
          <w:lang w:eastAsia="bg-BG"/>
        </w:rPr>
        <w:t>Едновременното приложение на кветиапин и фенитоин (друг микрозомален ензимен индуктор) води до значително повишение на клирънса на кветиапин средно до 450 %. При пациенти, приемащи индуктори на чернодробните ензимни, лечението с кветиапин трябва да бъде започвано само ако лекаря потвърди, че ползите от това лечение надхвърлят рисковете от прекъсване на лечението с чернодробния ензимен индуктор. В този смисъл е важно всяка промяна в лечението с</w:t>
      </w:r>
      <w:r w:rsidRPr="00FA6BDD">
        <w:rPr>
          <w:rFonts w:eastAsia="Times New Roman" w:cs="Arial"/>
          <w:color w:val="000000"/>
          <w:szCs w:val="20"/>
          <w:lang w:val="en-US" w:eastAsia="bg-BG"/>
        </w:rPr>
        <w:t xml:space="preserve"> </w:t>
      </w:r>
      <w:r w:rsidRPr="00FA6BDD">
        <w:rPr>
          <w:rFonts w:eastAsia="Times New Roman" w:cs="Arial"/>
          <w:color w:val="000000"/>
          <w:szCs w:val="20"/>
          <w:lang w:eastAsia="bg-BG"/>
        </w:rPr>
        <w:t>чернодробния ензимен индуктор да бъде постепенна, като той може да бъде заменен с лекарство, което не индуцира чернодробните ензими (напр. натриев валпроат) (вж. точка 4.4).</w:t>
      </w:r>
    </w:p>
    <w:p w14:paraId="3B9B934A" w14:textId="77777777" w:rsidR="00FA6BDD" w:rsidRPr="00FA6BDD" w:rsidRDefault="00FA6BDD" w:rsidP="00FA6BDD">
      <w:pPr>
        <w:spacing w:line="240" w:lineRule="auto"/>
        <w:rPr>
          <w:rFonts w:eastAsia="Times New Roman" w:cs="Arial"/>
          <w:color w:val="000000"/>
          <w:szCs w:val="20"/>
          <w:lang w:eastAsia="bg-BG"/>
        </w:rPr>
      </w:pPr>
    </w:p>
    <w:p w14:paraId="16BFD62E" w14:textId="6C16A3EC"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Фармакокинетиката на кветиапин не се променя значимо при едновременно приложение с антидепресанта имипрамин (известен като </w:t>
      </w:r>
      <w:r w:rsidRPr="00FA6BDD">
        <w:rPr>
          <w:rFonts w:eastAsia="Times New Roman" w:cs="Arial"/>
          <w:color w:val="000000"/>
          <w:szCs w:val="20"/>
          <w:lang w:val="en-US"/>
        </w:rPr>
        <w:t xml:space="preserve">CYP 2D6 </w:t>
      </w:r>
      <w:r w:rsidRPr="00FA6BDD">
        <w:rPr>
          <w:rFonts w:eastAsia="Times New Roman" w:cs="Arial"/>
          <w:color w:val="000000"/>
          <w:szCs w:val="20"/>
          <w:lang w:eastAsia="bg-BG"/>
        </w:rPr>
        <w:t xml:space="preserve">инхибитор) или флуоксетин (известен като </w:t>
      </w:r>
      <w:r w:rsidRPr="00FA6BDD">
        <w:rPr>
          <w:rFonts w:eastAsia="Times New Roman" w:cs="Arial"/>
          <w:color w:val="000000"/>
          <w:szCs w:val="20"/>
          <w:lang w:val="en-US"/>
        </w:rPr>
        <w:t xml:space="preserve">CYP </w:t>
      </w:r>
      <w:r w:rsidRPr="00FA6BDD">
        <w:rPr>
          <w:rFonts w:eastAsia="Times New Roman" w:cs="Arial"/>
          <w:color w:val="000000"/>
          <w:szCs w:val="20"/>
          <w:lang w:eastAsia="bg-BG"/>
        </w:rPr>
        <w:t xml:space="preserve">ЗА4 и </w:t>
      </w:r>
      <w:r w:rsidRPr="00FA6BDD">
        <w:rPr>
          <w:rFonts w:eastAsia="Times New Roman" w:cs="Arial"/>
          <w:color w:val="000000"/>
          <w:szCs w:val="20"/>
          <w:lang w:val="en-US"/>
        </w:rPr>
        <w:t xml:space="preserve">CYP 2D6 </w:t>
      </w:r>
      <w:r w:rsidRPr="00FA6BDD">
        <w:rPr>
          <w:rFonts w:eastAsia="Times New Roman" w:cs="Arial"/>
          <w:color w:val="000000"/>
          <w:szCs w:val="20"/>
          <w:lang w:eastAsia="bg-BG"/>
        </w:rPr>
        <w:t>инхибитор).</w:t>
      </w:r>
    </w:p>
    <w:p w14:paraId="54F77396" w14:textId="77777777" w:rsidR="00FA6BDD" w:rsidRPr="00FA6BDD" w:rsidRDefault="00FA6BDD" w:rsidP="00FA6BDD">
      <w:pPr>
        <w:spacing w:line="240" w:lineRule="auto"/>
        <w:rPr>
          <w:rFonts w:eastAsia="Times New Roman" w:cs="Arial"/>
          <w:color w:val="000000"/>
          <w:szCs w:val="20"/>
          <w:lang w:eastAsia="bg-BG"/>
        </w:rPr>
      </w:pPr>
    </w:p>
    <w:p w14:paraId="58886BD7" w14:textId="5A6E4FC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Фармакокинетиката на кветиапин не се променя значимо при едновременно приложение с антипсихотика рисперидон или халоперидол. Едновременната употреба на кветиапин и тиоридазин предизвиква повишение на клирънса на кветиапин с около 70 %.</w:t>
      </w:r>
    </w:p>
    <w:p w14:paraId="6ABF44B8" w14:textId="77777777" w:rsidR="00FA6BDD" w:rsidRPr="00FA6BDD" w:rsidRDefault="00FA6BDD" w:rsidP="00FA6BDD">
      <w:pPr>
        <w:spacing w:line="240" w:lineRule="auto"/>
        <w:rPr>
          <w:rFonts w:eastAsia="Times New Roman" w:cs="Arial"/>
          <w:color w:val="000000"/>
          <w:szCs w:val="20"/>
          <w:lang w:eastAsia="bg-BG"/>
        </w:rPr>
      </w:pPr>
    </w:p>
    <w:p w14:paraId="049DFBBD" w14:textId="341A29B8"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Фармакокинетиката на кветиапин не се променя при едновременно приложение с циметидин.</w:t>
      </w:r>
    </w:p>
    <w:p w14:paraId="3C555331" w14:textId="77777777" w:rsidR="00FA6BDD" w:rsidRPr="00FA6BDD" w:rsidRDefault="00FA6BDD" w:rsidP="00FA6BDD">
      <w:pPr>
        <w:spacing w:line="240" w:lineRule="auto"/>
        <w:rPr>
          <w:rFonts w:eastAsia="Times New Roman" w:cs="Arial"/>
          <w:color w:val="000000"/>
          <w:szCs w:val="20"/>
          <w:lang w:eastAsia="bg-BG"/>
        </w:rPr>
      </w:pPr>
    </w:p>
    <w:p w14:paraId="3BCF32F7" w14:textId="46BC2E9F"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Фармакокинетиката на литий не се променя при едновременно приложение с кветиапин.</w:t>
      </w:r>
    </w:p>
    <w:p w14:paraId="3B11DCBC" w14:textId="77777777" w:rsidR="00FA6BDD" w:rsidRPr="00FA6BDD" w:rsidRDefault="00FA6BDD" w:rsidP="00FA6BDD">
      <w:pPr>
        <w:spacing w:line="240" w:lineRule="auto"/>
        <w:rPr>
          <w:rFonts w:eastAsia="Times New Roman" w:cs="Arial"/>
          <w:color w:val="000000"/>
          <w:szCs w:val="20"/>
          <w:lang w:eastAsia="bg-BG"/>
        </w:rPr>
      </w:pPr>
    </w:p>
    <w:p w14:paraId="16E2F524" w14:textId="306558F1"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 6-седмично рандомизирано проучване на литий и кветиапин таблетки с удължено освобождаване спрямо плацебо и кветиапин таблетки с удължено освобождаване при възрастни пациенти с остра мания се наблюдава повишена честота на екстрапирамидни събития (по-специално тремор), сомнолентност и наддаване на тегло в групата с добавен литий в сравнение с групата с добавено плацебо (вж. точка 5.1).</w:t>
      </w:r>
    </w:p>
    <w:p w14:paraId="41C5579D" w14:textId="77777777" w:rsidR="00FA6BDD" w:rsidRPr="00FA6BDD" w:rsidRDefault="00FA6BDD" w:rsidP="00FA6BDD">
      <w:pPr>
        <w:spacing w:line="240" w:lineRule="auto"/>
        <w:rPr>
          <w:rFonts w:eastAsia="Times New Roman" w:cs="Arial"/>
          <w:color w:val="000000"/>
          <w:szCs w:val="20"/>
          <w:lang w:eastAsia="bg-BG"/>
        </w:rPr>
      </w:pPr>
    </w:p>
    <w:p w14:paraId="1BE31D87" w14:textId="374DE134"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Фармакокинетиката на натриевия валпроат и кветиапин не се променят в клинично значима степен при едновременното им приложение. При ретроспективно клинично проучване при деца и юноши, приемащи валпроат, кветиапин или и двете заедно, се </w:t>
      </w:r>
      <w:r w:rsidRPr="00FA6BDD">
        <w:rPr>
          <w:rFonts w:eastAsia="Times New Roman" w:cs="Arial"/>
          <w:color w:val="000000"/>
          <w:szCs w:val="20"/>
          <w:lang w:eastAsia="bg-BG"/>
        </w:rPr>
        <w:lastRenderedPageBreak/>
        <w:t>установява увеличена честота на левкопения и неутропения в групата с комбинацията, в сравнение с групите на монотерапия.</w:t>
      </w:r>
    </w:p>
    <w:p w14:paraId="1D588076" w14:textId="77777777" w:rsidR="00FA6BDD" w:rsidRPr="00FA6BDD" w:rsidRDefault="00FA6BDD" w:rsidP="00FA6BDD">
      <w:pPr>
        <w:spacing w:line="240" w:lineRule="auto"/>
        <w:rPr>
          <w:rFonts w:eastAsia="Times New Roman" w:cs="Arial"/>
          <w:color w:val="000000"/>
          <w:szCs w:val="20"/>
          <w:lang w:eastAsia="bg-BG"/>
        </w:rPr>
      </w:pPr>
    </w:p>
    <w:p w14:paraId="72F08767" w14:textId="4ABF0610"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Не са провеждани изпитвания относно възможни взаимодействия на кветиапин с обичайно прилагани сърдечно-съдови лекарствени продукти.</w:t>
      </w:r>
    </w:p>
    <w:p w14:paraId="59B72EA8" w14:textId="77777777" w:rsidR="00FA6BDD" w:rsidRPr="00FA6BDD" w:rsidRDefault="00FA6BDD" w:rsidP="00FA6BDD">
      <w:pPr>
        <w:spacing w:line="240" w:lineRule="auto"/>
        <w:rPr>
          <w:rFonts w:eastAsia="Times New Roman" w:cs="Arial"/>
          <w:color w:val="000000"/>
          <w:szCs w:val="20"/>
          <w:lang w:eastAsia="bg-BG"/>
        </w:rPr>
      </w:pPr>
    </w:p>
    <w:p w14:paraId="10875F93" w14:textId="6F097AC1"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Препоръчва се внимание при едновременно лечение с други лекарствени продукти, за които е известно, че причиняват електролитен дисбаланс или удължават </w:t>
      </w:r>
      <w:r w:rsidRPr="00FA6BDD">
        <w:rPr>
          <w:rFonts w:eastAsia="Times New Roman" w:cs="Arial"/>
          <w:color w:val="000000"/>
          <w:szCs w:val="20"/>
          <w:lang w:val="en-US"/>
        </w:rPr>
        <w:t>QT</w:t>
      </w:r>
      <w:r w:rsidRPr="00FA6BDD">
        <w:rPr>
          <w:rFonts w:eastAsia="Times New Roman" w:cs="Arial"/>
          <w:color w:val="000000"/>
          <w:szCs w:val="20"/>
          <w:lang w:eastAsia="bg-BG"/>
        </w:rPr>
        <w:t>-интервала.</w:t>
      </w:r>
    </w:p>
    <w:p w14:paraId="5AD9C28D" w14:textId="77777777" w:rsidR="00FA6BDD" w:rsidRPr="00FA6BDD" w:rsidRDefault="00FA6BDD" w:rsidP="00FA6BDD">
      <w:pPr>
        <w:rPr>
          <w:rFonts w:eastAsia="Times New Roman" w:cs="Arial"/>
          <w:color w:val="000000"/>
          <w:szCs w:val="20"/>
          <w:lang w:eastAsia="bg-BG"/>
        </w:rPr>
      </w:pPr>
    </w:p>
    <w:p w14:paraId="5B2761C5" w14:textId="6744F0E0" w:rsidR="0091385D" w:rsidRPr="00FA6BDD" w:rsidRDefault="00FA6BDD" w:rsidP="00FA6BDD">
      <w:pPr>
        <w:rPr>
          <w:rFonts w:cs="Arial"/>
          <w:sz w:val="24"/>
          <w:lang w:val="en-US"/>
        </w:rPr>
      </w:pPr>
      <w:r w:rsidRPr="00FA6BDD">
        <w:rPr>
          <w:rFonts w:eastAsia="Times New Roman" w:cs="Arial"/>
          <w:color w:val="000000"/>
          <w:szCs w:val="20"/>
          <w:lang w:eastAsia="bg-BG"/>
        </w:rPr>
        <w:t>Има съобщения за фалшиво положителни резултати при ензимни имуноанализи за метадон и трициклични антидепресанти при пациенти, приемащи кветиапин. Препоръчва се потвърждаване на спорни скринингови резултати от имуноанализи чрез подходящи хроматографски методи.</w:t>
      </w:r>
    </w:p>
    <w:p w14:paraId="0395BD2E" w14:textId="77777777" w:rsidR="007A2185" w:rsidRPr="0091385D" w:rsidRDefault="007A2185" w:rsidP="0091385D"/>
    <w:p w14:paraId="394A7584" w14:textId="10DEA5B3" w:rsidR="004F498A" w:rsidRDefault="002C50EE" w:rsidP="004A448E">
      <w:pPr>
        <w:pStyle w:val="Heading2"/>
      </w:pPr>
      <w:r>
        <w:t>4.6. Фертилитет, бременност и кърмене</w:t>
      </w:r>
    </w:p>
    <w:p w14:paraId="4887836B" w14:textId="0528FAED" w:rsidR="0091385D" w:rsidRDefault="0091385D" w:rsidP="0091385D"/>
    <w:p w14:paraId="3B17026A" w14:textId="77777777" w:rsidR="00FA6BDD" w:rsidRPr="000B2C3A" w:rsidRDefault="00FA6BDD" w:rsidP="000B2C3A">
      <w:pPr>
        <w:pStyle w:val="Heading3"/>
        <w:rPr>
          <w:rFonts w:eastAsia="Times New Roman"/>
          <w:sz w:val="28"/>
          <w:u w:val="single"/>
          <w:lang w:eastAsia="bg-BG"/>
        </w:rPr>
      </w:pPr>
      <w:r w:rsidRPr="000B2C3A">
        <w:rPr>
          <w:rFonts w:eastAsia="Times New Roman"/>
          <w:u w:val="single"/>
          <w:lang w:eastAsia="bg-BG"/>
        </w:rPr>
        <w:t>Бременност</w:t>
      </w:r>
    </w:p>
    <w:p w14:paraId="7CC46A0E"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lang w:eastAsia="bg-BG"/>
        </w:rPr>
        <w:t>Първи триместър</w:t>
      </w:r>
    </w:p>
    <w:p w14:paraId="16259B37"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Неголям обем данни за бременни жени (за изхода от 300 до 1 000 случая на бременност), включително отделни съобщения и някои обсервационни проучвания не показват повишен риск от малформации, свързани с лечението. Въпреки това, въз основа на всички налични данни, не може да се направи категоричен извод. Проучванията при животни показват репродуктивна токсичност (вж. точка 5.3). Поради това, кветиапин може да се прилага по време на бременност, само когато ползата от неговото използване оправдава потенциалния риск.</w:t>
      </w:r>
    </w:p>
    <w:p w14:paraId="54BAA526" w14:textId="77777777" w:rsidR="00FA6BDD" w:rsidRPr="00FA6BDD" w:rsidRDefault="00FA6BDD" w:rsidP="00FA6BDD">
      <w:pPr>
        <w:spacing w:line="240" w:lineRule="auto"/>
        <w:rPr>
          <w:rFonts w:eastAsia="Times New Roman" w:cs="Arial"/>
          <w:i/>
          <w:iCs/>
          <w:color w:val="000000"/>
          <w:szCs w:val="20"/>
          <w:lang w:eastAsia="bg-BG"/>
        </w:rPr>
      </w:pPr>
    </w:p>
    <w:p w14:paraId="3BC057D6" w14:textId="7579979F" w:rsidR="00FA6BDD" w:rsidRPr="00FA6BDD" w:rsidRDefault="00FA6BDD" w:rsidP="00FA6BDD">
      <w:pPr>
        <w:spacing w:line="240" w:lineRule="auto"/>
        <w:rPr>
          <w:rFonts w:eastAsia="Times New Roman" w:cs="Arial"/>
          <w:sz w:val="28"/>
          <w:szCs w:val="24"/>
          <w:lang w:eastAsia="bg-BG"/>
        </w:rPr>
      </w:pPr>
      <w:r w:rsidRPr="00FA6BDD">
        <w:rPr>
          <w:rFonts w:eastAsia="Times New Roman" w:cs="Arial"/>
          <w:i/>
          <w:iCs/>
          <w:color w:val="000000"/>
          <w:szCs w:val="20"/>
          <w:lang w:eastAsia="bg-BG"/>
        </w:rPr>
        <w:t>Трети триместър</w:t>
      </w:r>
    </w:p>
    <w:p w14:paraId="4E82C304" w14:textId="77777777" w:rsidR="00FA6BDD" w:rsidRPr="00FA6BDD" w:rsidRDefault="00FA6BDD" w:rsidP="00FA6BDD">
      <w:pPr>
        <w:rPr>
          <w:rFonts w:eastAsia="Times New Roman" w:cs="Arial"/>
          <w:sz w:val="28"/>
          <w:szCs w:val="24"/>
          <w:lang w:eastAsia="bg-BG"/>
        </w:rPr>
      </w:pPr>
      <w:r w:rsidRPr="00FA6BDD">
        <w:rPr>
          <w:rFonts w:eastAsia="Times New Roman" w:cs="Arial"/>
          <w:color w:val="000000"/>
          <w:szCs w:val="20"/>
          <w:lang w:eastAsia="bg-BG"/>
        </w:rPr>
        <w:t>Новородените, изложени на антипсихотици, включително кветиапин, по време на третия триместър от бременността, след раждането са в риск от нежелани реакции, включващи екстрапирамидни симптоми и/или симптоми на отнемане, които могат да варират по тежест и продължителност. Докладвани са тревожност, хипертония, хипотония, тремор, сънливост,</w:t>
      </w:r>
      <w:r w:rsidRPr="00FA6BDD">
        <w:rPr>
          <w:rFonts w:eastAsia="Times New Roman" w:cs="Arial"/>
          <w:color w:val="000000"/>
          <w:szCs w:val="20"/>
          <w:lang w:val="en-US" w:eastAsia="bg-BG"/>
        </w:rPr>
        <w:t xml:space="preserve"> </w:t>
      </w:r>
      <w:r w:rsidRPr="00FA6BDD">
        <w:rPr>
          <w:rFonts w:eastAsia="Times New Roman" w:cs="Arial"/>
          <w:color w:val="000000"/>
          <w:szCs w:val="20"/>
          <w:lang w:eastAsia="bg-BG"/>
        </w:rPr>
        <w:t>респираторен дистрес или нарушения в храненето. Следователно, новородените трябва да бъдат наблюдавани внимателно.</w:t>
      </w:r>
    </w:p>
    <w:p w14:paraId="00DA84C2" w14:textId="77777777" w:rsidR="00FA6BDD" w:rsidRPr="00FA6BDD" w:rsidRDefault="00FA6BDD" w:rsidP="00FA6BDD">
      <w:pPr>
        <w:spacing w:line="240" w:lineRule="auto"/>
        <w:rPr>
          <w:rFonts w:eastAsia="Times New Roman" w:cs="Arial"/>
          <w:color w:val="000000"/>
          <w:szCs w:val="20"/>
          <w:u w:val="single"/>
          <w:lang w:eastAsia="bg-BG"/>
        </w:rPr>
      </w:pPr>
    </w:p>
    <w:p w14:paraId="09804BA5" w14:textId="6E244791" w:rsidR="00FA6BDD" w:rsidRPr="000B2C3A" w:rsidRDefault="00FA6BDD" w:rsidP="000B2C3A">
      <w:pPr>
        <w:pStyle w:val="Heading3"/>
        <w:rPr>
          <w:rFonts w:eastAsia="Times New Roman"/>
          <w:sz w:val="28"/>
          <w:u w:val="single"/>
          <w:lang w:eastAsia="bg-BG"/>
        </w:rPr>
      </w:pPr>
      <w:r w:rsidRPr="000B2C3A">
        <w:rPr>
          <w:rFonts w:eastAsia="Times New Roman"/>
          <w:u w:val="single"/>
          <w:lang w:eastAsia="bg-BG"/>
        </w:rPr>
        <w:t>Кърмене</w:t>
      </w:r>
    </w:p>
    <w:p w14:paraId="19E2AE98" w14:textId="77777777"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Въз основа на много ограничени данни от публикувани съобщения за екскреция на кветиапин в човешката кърма, екскрецията на кветиапин, когато се прилага в терапевтични дози е противоречива. Поради недостатъчно данни трябва да се вземе решение дали да се преустанови кърменето или да не се приложи терапия с кветиапин, като се вземат предвид ползата от кърменето за детето и ползата от терапията за жената.</w:t>
      </w:r>
    </w:p>
    <w:p w14:paraId="27FD932D" w14:textId="77777777" w:rsidR="00FA6BDD" w:rsidRPr="00FA6BDD" w:rsidRDefault="00FA6BDD" w:rsidP="00FA6BDD">
      <w:pPr>
        <w:spacing w:line="240" w:lineRule="auto"/>
        <w:rPr>
          <w:rFonts w:eastAsia="Times New Roman" w:cs="Arial"/>
          <w:color w:val="000000"/>
          <w:szCs w:val="20"/>
          <w:u w:val="single"/>
          <w:lang w:eastAsia="bg-BG"/>
        </w:rPr>
      </w:pPr>
    </w:p>
    <w:p w14:paraId="2850B2CB" w14:textId="5A23BC59" w:rsidR="00FA6BDD" w:rsidRPr="000B2C3A" w:rsidRDefault="00FA6BDD" w:rsidP="000B2C3A">
      <w:pPr>
        <w:pStyle w:val="Heading3"/>
        <w:rPr>
          <w:rFonts w:eastAsia="Times New Roman"/>
          <w:sz w:val="28"/>
          <w:u w:val="single"/>
          <w:lang w:eastAsia="bg-BG"/>
        </w:rPr>
      </w:pPr>
      <w:r w:rsidRPr="000B2C3A">
        <w:rPr>
          <w:rFonts w:eastAsia="Times New Roman"/>
          <w:u w:val="single"/>
          <w:lang w:eastAsia="bg-BG"/>
        </w:rPr>
        <w:t>Фертилитет</w:t>
      </w:r>
    </w:p>
    <w:p w14:paraId="102F0D07" w14:textId="3AE7EAB7" w:rsidR="007A2185" w:rsidRPr="00FA6BDD" w:rsidRDefault="00FA6BDD" w:rsidP="00FA6BDD">
      <w:pPr>
        <w:rPr>
          <w:rFonts w:cs="Arial"/>
          <w:sz w:val="24"/>
          <w:lang w:val="en-US"/>
        </w:rPr>
      </w:pPr>
      <w:r w:rsidRPr="00FA6BDD">
        <w:rPr>
          <w:rFonts w:eastAsia="Times New Roman" w:cs="Arial"/>
          <w:color w:val="000000"/>
          <w:szCs w:val="20"/>
          <w:lang w:eastAsia="bg-BG"/>
        </w:rPr>
        <w:t>Ефектите на кветиапин върху фертилитета при хора не са оценявани. Ефекти, свързани с повишени стойности на пролактин са наблюдавани при плъхове, въпреки че те нямат пряко отношение към хората (вж. точка 5.3).</w:t>
      </w:r>
    </w:p>
    <w:p w14:paraId="3E8789C3" w14:textId="77777777" w:rsidR="0091385D" w:rsidRPr="0091385D" w:rsidRDefault="0091385D" w:rsidP="0091385D"/>
    <w:p w14:paraId="064DF1DE" w14:textId="70BCC16C" w:rsidR="00CF77F7" w:rsidRDefault="002C50EE" w:rsidP="004A448E">
      <w:pPr>
        <w:pStyle w:val="Heading2"/>
      </w:pPr>
      <w:r>
        <w:lastRenderedPageBreak/>
        <w:t>4.7. Ефекти върху способността за шофиране и работа с машини</w:t>
      </w:r>
    </w:p>
    <w:p w14:paraId="1455464C" w14:textId="78136F1E" w:rsidR="0091385D" w:rsidRDefault="0091385D" w:rsidP="0091385D"/>
    <w:p w14:paraId="1C9ABB96" w14:textId="3248AE42" w:rsidR="007A2185" w:rsidRPr="00FA6BDD" w:rsidRDefault="00FA6BDD" w:rsidP="0091385D">
      <w:pPr>
        <w:rPr>
          <w:rFonts w:cs="Arial"/>
          <w:sz w:val="24"/>
        </w:rPr>
      </w:pPr>
      <w:r w:rsidRPr="00FA6BDD">
        <w:rPr>
          <w:rFonts w:cs="Arial"/>
          <w:szCs w:val="20"/>
        </w:rPr>
        <w:t>Като се имат предвид ефектите предимно върху ЦНС, кветиапин може да повлияе способностите, изискващи концентрация на вниманието. Поради това, пациентите трябва да бъдат съветвани да не шофират или работят с машини, докато не се установи индивидуалната им чувствителност.</w:t>
      </w:r>
    </w:p>
    <w:p w14:paraId="35801A15" w14:textId="77777777" w:rsidR="0091385D" w:rsidRPr="0091385D" w:rsidRDefault="0091385D" w:rsidP="0091385D"/>
    <w:p w14:paraId="4838F52A" w14:textId="058F0B9C" w:rsidR="0091385D" w:rsidRDefault="002C50EE" w:rsidP="007A2185">
      <w:pPr>
        <w:pStyle w:val="Heading2"/>
      </w:pPr>
      <w:r>
        <w:t>4.8. Нежелани лекарствени реакции</w:t>
      </w:r>
    </w:p>
    <w:p w14:paraId="76E0B7A2" w14:textId="5BBD2581" w:rsidR="005B0F27" w:rsidRDefault="005B0F27" w:rsidP="0091385D"/>
    <w:p w14:paraId="2EF54430" w14:textId="41F67CF4"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Най-често съобщаваните нежелани лекарств</w:t>
      </w:r>
      <w:r w:rsidR="000B2C3A">
        <w:rPr>
          <w:rFonts w:eastAsia="Times New Roman" w:cs="Arial"/>
          <w:color w:val="000000"/>
          <w:szCs w:val="20"/>
          <w:lang w:eastAsia="bg-BG"/>
        </w:rPr>
        <w:t>ени реакции (НЛР) с кветиапин</w:t>
      </w:r>
      <w:r w:rsidR="000B2C3A" w:rsidRPr="000B2C3A">
        <w:rPr>
          <w:rFonts w:eastAsia="Times New Roman" w:cs="Arial"/>
          <w:color w:val="000000"/>
          <w:lang w:eastAsia="bg-BG"/>
        </w:rPr>
        <w:t xml:space="preserve"> (</w:t>
      </w:r>
      <w:r w:rsidR="000B2C3A" w:rsidRPr="000B2C3A">
        <w:rPr>
          <w:color w:val="222222"/>
        </w:rPr>
        <w:t>≥</w:t>
      </w:r>
      <w:r w:rsidRPr="00FA6BDD">
        <w:rPr>
          <w:rFonts w:eastAsia="Times New Roman" w:cs="Arial"/>
          <w:color w:val="000000"/>
          <w:lang w:eastAsia="bg-BG"/>
        </w:rPr>
        <w:t xml:space="preserve"> 10 %) са</w:t>
      </w:r>
      <w:r w:rsidRPr="00FA6BDD">
        <w:rPr>
          <w:rFonts w:eastAsia="Times New Roman" w:cs="Arial"/>
          <w:color w:val="000000"/>
          <w:szCs w:val="20"/>
          <w:lang w:eastAsia="bg-BG"/>
        </w:rPr>
        <w:t xml:space="preserve"> сомнолентност, замаяност, главоболие, сухота в устата, симптоми на отнемане (спиране), повишение на стойностите на серумните триглицериди, повишение на общия холестерол (предимно </w:t>
      </w:r>
      <w:r w:rsidRPr="00FA6BDD">
        <w:rPr>
          <w:rFonts w:eastAsia="Times New Roman" w:cs="Arial"/>
          <w:color w:val="000000"/>
          <w:szCs w:val="20"/>
          <w:lang w:val="en-US"/>
        </w:rPr>
        <w:t xml:space="preserve">LDL </w:t>
      </w:r>
      <w:r w:rsidRPr="00FA6BDD">
        <w:rPr>
          <w:rFonts w:eastAsia="Times New Roman" w:cs="Arial"/>
          <w:color w:val="000000"/>
          <w:szCs w:val="20"/>
          <w:lang w:eastAsia="bg-BG"/>
        </w:rPr>
        <w:t xml:space="preserve">холестерола), понижение на </w:t>
      </w:r>
      <w:r w:rsidRPr="00FA6BDD">
        <w:rPr>
          <w:rFonts w:eastAsia="Times New Roman" w:cs="Arial"/>
          <w:color w:val="000000"/>
          <w:szCs w:val="20"/>
          <w:lang w:val="en-US"/>
        </w:rPr>
        <w:t xml:space="preserve">HDL </w:t>
      </w:r>
      <w:r w:rsidRPr="00FA6BDD">
        <w:rPr>
          <w:rFonts w:eastAsia="Times New Roman" w:cs="Arial"/>
          <w:color w:val="000000"/>
          <w:szCs w:val="20"/>
          <w:lang w:eastAsia="bg-BG"/>
        </w:rPr>
        <w:t>холестерола, наддаване на тегло, понижен хемоглобин и екстрапирамидни симптоми.</w:t>
      </w:r>
    </w:p>
    <w:p w14:paraId="2711A979" w14:textId="77777777" w:rsidR="00FA6BDD" w:rsidRPr="00FA6BDD" w:rsidRDefault="00FA6BDD" w:rsidP="00FA6BDD">
      <w:pPr>
        <w:spacing w:line="240" w:lineRule="auto"/>
        <w:rPr>
          <w:rFonts w:eastAsia="Times New Roman" w:cs="Arial"/>
          <w:color w:val="000000"/>
          <w:szCs w:val="20"/>
          <w:lang w:eastAsia="bg-BG"/>
        </w:rPr>
      </w:pPr>
    </w:p>
    <w:p w14:paraId="1245BF81" w14:textId="435ECE00" w:rsidR="00FA6BDD" w:rsidRPr="00FA6BDD" w:rsidRDefault="00FA6BDD" w:rsidP="00FA6BDD">
      <w:pPr>
        <w:spacing w:line="240" w:lineRule="auto"/>
        <w:rPr>
          <w:rFonts w:eastAsia="Times New Roman" w:cs="Arial"/>
          <w:sz w:val="28"/>
          <w:szCs w:val="24"/>
          <w:lang w:eastAsia="bg-BG"/>
        </w:rPr>
      </w:pPr>
      <w:r w:rsidRPr="00FA6BDD">
        <w:rPr>
          <w:rFonts w:eastAsia="Times New Roman" w:cs="Arial"/>
          <w:color w:val="000000"/>
          <w:szCs w:val="20"/>
          <w:lang w:eastAsia="bg-BG"/>
        </w:rPr>
        <w:t xml:space="preserve">Инцидентите от нежелани лекарствени реакции, свързани с терапия с кветиапин са представени в таблицата по-долу (Таблица 1) в съответствие с формата, препоръчана от </w:t>
      </w:r>
      <w:r w:rsidRPr="00FA6BDD">
        <w:rPr>
          <w:rFonts w:eastAsia="Times New Roman" w:cs="Arial"/>
          <w:color w:val="000000"/>
          <w:szCs w:val="20"/>
          <w:lang w:val="en-US"/>
        </w:rPr>
        <w:t>Council for International Organizations of Medical Sciences (CIOMS III Working Group 1995).</w:t>
      </w:r>
    </w:p>
    <w:p w14:paraId="637D8EC5" w14:textId="77777777" w:rsidR="00FA6BDD" w:rsidRPr="00FA6BDD" w:rsidRDefault="00FA6BDD" w:rsidP="00FA6BDD">
      <w:pPr>
        <w:spacing w:line="240" w:lineRule="auto"/>
        <w:rPr>
          <w:rFonts w:eastAsia="Times New Roman" w:cs="Arial"/>
          <w:b/>
          <w:bCs/>
          <w:color w:val="000000"/>
          <w:szCs w:val="20"/>
          <w:lang w:eastAsia="bg-BG"/>
        </w:rPr>
      </w:pPr>
    </w:p>
    <w:p w14:paraId="18D07814" w14:textId="34636099" w:rsidR="00FA6BDD" w:rsidRPr="00FA6BDD" w:rsidRDefault="00FA6BDD" w:rsidP="00FA6BDD">
      <w:pPr>
        <w:spacing w:line="240" w:lineRule="auto"/>
        <w:rPr>
          <w:rFonts w:eastAsia="Times New Roman" w:cs="Arial"/>
          <w:b/>
          <w:lang w:eastAsia="bg-BG"/>
        </w:rPr>
      </w:pPr>
      <w:r w:rsidRPr="00FA6BDD">
        <w:rPr>
          <w:rFonts w:eastAsia="Times New Roman" w:cs="Arial"/>
          <w:b/>
          <w:bCs/>
          <w:color w:val="000000"/>
          <w:lang w:eastAsia="bg-BG"/>
        </w:rPr>
        <w:t xml:space="preserve">Таблица </w:t>
      </w:r>
      <w:r w:rsidRPr="00FA6BDD">
        <w:rPr>
          <w:rFonts w:eastAsia="Times New Roman" w:cs="Arial"/>
          <w:b/>
          <w:bCs/>
          <w:color w:val="000000"/>
          <w:lang w:val="en-US"/>
        </w:rPr>
        <w:t xml:space="preserve">1. </w:t>
      </w:r>
      <w:r w:rsidRPr="00FA6BDD">
        <w:rPr>
          <w:rFonts w:eastAsia="Times New Roman" w:cs="Arial"/>
          <w:b/>
          <w:bCs/>
          <w:color w:val="000000"/>
          <w:lang w:eastAsia="bg-BG"/>
        </w:rPr>
        <w:t xml:space="preserve">НЛР, свързани </w:t>
      </w:r>
      <w:r w:rsidRPr="00FA6BDD">
        <w:rPr>
          <w:rFonts w:eastAsia="Times New Roman" w:cs="Arial"/>
          <w:b/>
          <w:bCs/>
          <w:color w:val="000000"/>
          <w:lang w:val="en-US"/>
        </w:rPr>
        <w:t xml:space="preserve">c </w:t>
      </w:r>
      <w:r w:rsidRPr="00FA6BDD">
        <w:rPr>
          <w:rFonts w:eastAsia="Times New Roman" w:cs="Arial"/>
          <w:b/>
          <w:bCs/>
          <w:color w:val="000000"/>
          <w:lang w:eastAsia="bg-BG"/>
        </w:rPr>
        <w:t xml:space="preserve">терапията </w:t>
      </w:r>
      <w:r w:rsidRPr="00FA6BDD">
        <w:rPr>
          <w:rFonts w:eastAsia="Times New Roman" w:cs="Arial"/>
          <w:b/>
          <w:bCs/>
          <w:color w:val="000000"/>
          <w:lang w:val="en-US"/>
        </w:rPr>
        <w:t xml:space="preserve">c </w:t>
      </w:r>
      <w:r w:rsidRPr="00FA6BDD">
        <w:rPr>
          <w:rFonts w:eastAsia="Times New Roman" w:cs="Arial"/>
          <w:b/>
          <w:bCs/>
          <w:color w:val="000000"/>
          <w:lang w:eastAsia="bg-BG"/>
        </w:rPr>
        <w:t>кветиапин</w:t>
      </w:r>
    </w:p>
    <w:p w14:paraId="052DA6A5" w14:textId="77777777" w:rsidR="00FA6BDD" w:rsidRPr="000B2C3A" w:rsidRDefault="00FA6BDD" w:rsidP="00FA6BDD">
      <w:pPr>
        <w:rPr>
          <w:rFonts w:eastAsia="Times New Roman" w:cs="Arial"/>
          <w:b/>
          <w:bCs/>
          <w:color w:val="000000"/>
          <w:lang w:eastAsia="bg-BG"/>
        </w:rPr>
      </w:pPr>
    </w:p>
    <w:p w14:paraId="0254AACC" w14:textId="6F956444" w:rsidR="007A2185" w:rsidRPr="000B2C3A" w:rsidRDefault="00FA6BDD" w:rsidP="00FA6BDD">
      <w:pPr>
        <w:rPr>
          <w:rFonts w:cs="Arial"/>
          <w:b/>
        </w:rPr>
      </w:pPr>
      <w:r w:rsidRPr="000B2C3A">
        <w:rPr>
          <w:rFonts w:eastAsia="Times New Roman" w:cs="Arial"/>
          <w:b/>
          <w:bCs/>
          <w:color w:val="000000"/>
          <w:lang w:eastAsia="bg-BG"/>
        </w:rPr>
        <w:t xml:space="preserve">Честотата на нежеланите ефекти, изброени по-долу е определена по следните </w:t>
      </w:r>
      <w:r w:rsidR="000B2C3A" w:rsidRPr="000B2C3A">
        <w:rPr>
          <w:rFonts w:eastAsia="Times New Roman" w:cs="Arial"/>
          <w:b/>
          <w:bCs/>
          <w:color w:val="000000"/>
          <w:lang w:eastAsia="bg-BG"/>
        </w:rPr>
        <w:t>критерии: много чести (</w:t>
      </w:r>
      <w:r w:rsidR="000B2C3A" w:rsidRPr="000B2C3A">
        <w:rPr>
          <w:b/>
          <w:color w:val="222222"/>
        </w:rPr>
        <w:t>≥</w:t>
      </w:r>
      <w:r w:rsidR="000B2C3A" w:rsidRPr="000B2C3A">
        <w:rPr>
          <w:rFonts w:eastAsia="Times New Roman" w:cs="Arial"/>
          <w:b/>
          <w:bCs/>
          <w:color w:val="000000"/>
          <w:lang w:eastAsia="bg-BG"/>
        </w:rPr>
        <w:t xml:space="preserve"> 1/10), чести (</w:t>
      </w:r>
      <w:r w:rsidR="000B2C3A" w:rsidRPr="000B2C3A">
        <w:rPr>
          <w:b/>
          <w:color w:val="222222"/>
        </w:rPr>
        <w:t>≥</w:t>
      </w:r>
      <w:r w:rsidR="000B2C3A" w:rsidRPr="000B2C3A">
        <w:rPr>
          <w:rFonts w:eastAsia="Times New Roman" w:cs="Arial"/>
          <w:b/>
          <w:bCs/>
          <w:color w:val="000000"/>
          <w:lang w:eastAsia="bg-BG"/>
        </w:rPr>
        <w:t xml:space="preserve"> 1/100 до &lt; 1/10), нечести (</w:t>
      </w:r>
      <w:r w:rsidR="000B2C3A" w:rsidRPr="000B2C3A">
        <w:rPr>
          <w:b/>
          <w:color w:val="222222"/>
        </w:rPr>
        <w:t>≥</w:t>
      </w:r>
      <w:r w:rsidR="000B2C3A" w:rsidRPr="000B2C3A">
        <w:rPr>
          <w:rFonts w:eastAsia="Times New Roman" w:cs="Arial"/>
          <w:b/>
          <w:bCs/>
          <w:color w:val="000000"/>
          <w:lang w:eastAsia="bg-BG"/>
        </w:rPr>
        <w:t xml:space="preserve"> 1/1 000 до &lt; 1/100), редки (</w:t>
      </w:r>
      <w:r w:rsidR="000B2C3A" w:rsidRPr="000B2C3A">
        <w:rPr>
          <w:b/>
          <w:color w:val="222222"/>
        </w:rPr>
        <w:t>≥</w:t>
      </w:r>
      <w:r w:rsidRPr="000B2C3A">
        <w:rPr>
          <w:rFonts w:eastAsia="Times New Roman" w:cs="Arial"/>
          <w:b/>
          <w:bCs/>
          <w:color w:val="000000"/>
          <w:lang w:eastAsia="bg-BG"/>
        </w:rPr>
        <w:t xml:space="preserve"> 1/10 000 до &lt; 1/1 000), много редки (&lt; 1/10 000), с неизвестна честота (честотата не може да бъде определена от наличните данни).</w:t>
      </w:r>
    </w:p>
    <w:p w14:paraId="443BC107" w14:textId="7A08D1EE" w:rsidR="005B0F27" w:rsidRDefault="005B0F27" w:rsidP="0091385D"/>
    <w:tbl>
      <w:tblPr>
        <w:tblStyle w:val="TableGrid"/>
        <w:tblW w:w="0" w:type="auto"/>
        <w:tblLook w:val="04A0" w:firstRow="1" w:lastRow="0" w:firstColumn="1" w:lastColumn="0" w:noHBand="0" w:noVBand="1"/>
      </w:tblPr>
      <w:tblGrid>
        <w:gridCol w:w="1407"/>
        <w:gridCol w:w="1092"/>
        <w:gridCol w:w="1545"/>
        <w:gridCol w:w="1611"/>
        <w:gridCol w:w="1416"/>
        <w:gridCol w:w="1334"/>
        <w:gridCol w:w="945"/>
      </w:tblGrid>
      <w:tr w:rsidR="00ED23FF" w14:paraId="0467904E" w14:textId="77777777" w:rsidTr="00ED23FF">
        <w:tc>
          <w:tcPr>
            <w:tcW w:w="1409" w:type="dxa"/>
          </w:tcPr>
          <w:p w14:paraId="36E021FC" w14:textId="4FF38595" w:rsidR="00ED23FF" w:rsidRPr="00ED23FF" w:rsidRDefault="00ED23FF" w:rsidP="00ED23FF">
            <w:pPr>
              <w:rPr>
                <w:rFonts w:cs="Arial"/>
              </w:rPr>
            </w:pPr>
            <w:r w:rsidRPr="00ED23FF">
              <w:rPr>
                <w:rFonts w:cs="Arial"/>
                <w:b/>
                <w:bCs/>
                <w:i/>
                <w:iCs/>
              </w:rPr>
              <w:t>СОК</w:t>
            </w:r>
          </w:p>
        </w:tc>
        <w:tc>
          <w:tcPr>
            <w:tcW w:w="1103" w:type="dxa"/>
          </w:tcPr>
          <w:p w14:paraId="4F848375" w14:textId="4C588423" w:rsidR="00ED23FF" w:rsidRPr="00ED23FF" w:rsidRDefault="00ED23FF" w:rsidP="00ED23FF">
            <w:pPr>
              <w:rPr>
                <w:rFonts w:cs="Arial"/>
              </w:rPr>
            </w:pPr>
            <w:r w:rsidRPr="00ED23FF">
              <w:rPr>
                <w:rFonts w:cs="Arial"/>
                <w:b/>
                <w:bCs/>
              </w:rPr>
              <w:t>Много чести</w:t>
            </w:r>
          </w:p>
        </w:tc>
        <w:tc>
          <w:tcPr>
            <w:tcW w:w="1503" w:type="dxa"/>
          </w:tcPr>
          <w:p w14:paraId="29B40136" w14:textId="7AD218D7" w:rsidR="00ED23FF" w:rsidRPr="00ED23FF" w:rsidRDefault="00ED23FF" w:rsidP="00ED23FF">
            <w:pPr>
              <w:rPr>
                <w:rFonts w:cs="Arial"/>
              </w:rPr>
            </w:pPr>
            <w:r w:rsidRPr="00ED23FF">
              <w:rPr>
                <w:rFonts w:cs="Arial"/>
                <w:b/>
                <w:bCs/>
              </w:rPr>
              <w:t>Чести</w:t>
            </w:r>
          </w:p>
        </w:tc>
        <w:tc>
          <w:tcPr>
            <w:tcW w:w="1629" w:type="dxa"/>
          </w:tcPr>
          <w:p w14:paraId="799F490F" w14:textId="690FE00C" w:rsidR="00ED23FF" w:rsidRPr="00ED23FF" w:rsidRDefault="00ED23FF" w:rsidP="00ED23FF">
            <w:pPr>
              <w:rPr>
                <w:rFonts w:cs="Arial"/>
              </w:rPr>
            </w:pPr>
            <w:r w:rsidRPr="00ED23FF">
              <w:rPr>
                <w:rFonts w:cs="Arial"/>
                <w:b/>
                <w:bCs/>
              </w:rPr>
              <w:t>Нечести</w:t>
            </w:r>
          </w:p>
        </w:tc>
        <w:tc>
          <w:tcPr>
            <w:tcW w:w="1404" w:type="dxa"/>
          </w:tcPr>
          <w:p w14:paraId="6EC2B97C" w14:textId="21131496" w:rsidR="00ED23FF" w:rsidRPr="00ED23FF" w:rsidRDefault="00ED23FF" w:rsidP="00ED23FF">
            <w:pPr>
              <w:rPr>
                <w:rFonts w:cs="Arial"/>
              </w:rPr>
            </w:pPr>
            <w:r w:rsidRPr="00ED23FF">
              <w:rPr>
                <w:rFonts w:cs="Arial"/>
                <w:b/>
                <w:bCs/>
              </w:rPr>
              <w:t>Редки</w:t>
            </w:r>
          </w:p>
        </w:tc>
        <w:tc>
          <w:tcPr>
            <w:tcW w:w="1348" w:type="dxa"/>
          </w:tcPr>
          <w:p w14:paraId="3F52BFC2" w14:textId="74098B5E" w:rsidR="00ED23FF" w:rsidRPr="00ED23FF" w:rsidRDefault="00ED23FF" w:rsidP="00ED23FF">
            <w:pPr>
              <w:rPr>
                <w:rFonts w:cs="Arial"/>
              </w:rPr>
            </w:pPr>
            <w:r w:rsidRPr="00ED23FF">
              <w:rPr>
                <w:rFonts w:cs="Arial"/>
                <w:b/>
                <w:bCs/>
              </w:rPr>
              <w:t>Много редки</w:t>
            </w:r>
          </w:p>
        </w:tc>
        <w:tc>
          <w:tcPr>
            <w:tcW w:w="954" w:type="dxa"/>
          </w:tcPr>
          <w:p w14:paraId="64935D1A" w14:textId="2D347CED" w:rsidR="00ED23FF" w:rsidRPr="00ED23FF" w:rsidRDefault="00ED23FF" w:rsidP="00ED23FF">
            <w:pPr>
              <w:rPr>
                <w:rFonts w:cs="Arial"/>
              </w:rPr>
            </w:pPr>
            <w:r w:rsidRPr="00ED23FF">
              <w:rPr>
                <w:rFonts w:cs="Arial"/>
                <w:b/>
                <w:bCs/>
              </w:rPr>
              <w:t>с неизвест на честота</w:t>
            </w:r>
          </w:p>
        </w:tc>
      </w:tr>
      <w:tr w:rsidR="00ED23FF" w14:paraId="7F474645" w14:textId="77777777" w:rsidTr="00ED23FF">
        <w:tc>
          <w:tcPr>
            <w:tcW w:w="1409" w:type="dxa"/>
          </w:tcPr>
          <w:p w14:paraId="1417BC5B" w14:textId="51A9599A" w:rsidR="00ED23FF" w:rsidRPr="00ED23FF" w:rsidRDefault="00ED23FF" w:rsidP="00ED23FF">
            <w:pPr>
              <w:rPr>
                <w:rFonts w:cs="Arial"/>
              </w:rPr>
            </w:pPr>
            <w:r w:rsidRPr="00ED23FF">
              <w:rPr>
                <w:rFonts w:cs="Arial"/>
                <w:i/>
                <w:iCs/>
              </w:rPr>
              <w:t>Нарушения на кръвта и лимфната система</w:t>
            </w:r>
          </w:p>
        </w:tc>
        <w:tc>
          <w:tcPr>
            <w:tcW w:w="1103" w:type="dxa"/>
          </w:tcPr>
          <w:p w14:paraId="6DA1B57D" w14:textId="68DF4A0D" w:rsidR="00ED23FF" w:rsidRPr="00ED23FF" w:rsidRDefault="00ED23FF" w:rsidP="00ED23FF">
            <w:pPr>
              <w:rPr>
                <w:rFonts w:cs="Arial"/>
              </w:rPr>
            </w:pPr>
            <w:r w:rsidRPr="00ED23FF">
              <w:rPr>
                <w:rFonts w:cs="Arial"/>
              </w:rPr>
              <w:t>Понижен хемоглоби н</w:t>
            </w:r>
            <w:r w:rsidRPr="00ED23FF">
              <w:rPr>
                <w:rFonts w:cs="Arial"/>
                <w:vertAlign w:val="superscript"/>
              </w:rPr>
              <w:t>22</w:t>
            </w:r>
          </w:p>
        </w:tc>
        <w:tc>
          <w:tcPr>
            <w:tcW w:w="1503" w:type="dxa"/>
          </w:tcPr>
          <w:p w14:paraId="6FBC72B8" w14:textId="5928BE25" w:rsidR="00ED23FF" w:rsidRPr="00ED23FF" w:rsidRDefault="00ED23FF" w:rsidP="00ED23FF">
            <w:pPr>
              <w:rPr>
                <w:rFonts w:cs="Arial"/>
              </w:rPr>
            </w:pPr>
            <w:r w:rsidRPr="00ED23FF">
              <w:rPr>
                <w:rFonts w:cs="Arial"/>
              </w:rPr>
              <w:t>Левкопения</w:t>
            </w:r>
            <w:r w:rsidRPr="00ED23FF">
              <w:rPr>
                <w:rFonts w:cs="Arial"/>
                <w:vertAlign w:val="superscript"/>
              </w:rPr>
              <w:t>1,28</w:t>
            </w:r>
            <w:r w:rsidRPr="00ED23FF">
              <w:rPr>
                <w:rFonts w:cs="Arial"/>
              </w:rPr>
              <w:t xml:space="preserve"> понижен брой иеутрофили, повишен брой еозинофили</w:t>
            </w:r>
            <w:r w:rsidRPr="00ED23FF">
              <w:rPr>
                <w:rFonts w:cs="Arial"/>
                <w:vertAlign w:val="superscript"/>
              </w:rPr>
              <w:t>27</w:t>
            </w:r>
          </w:p>
        </w:tc>
        <w:tc>
          <w:tcPr>
            <w:tcW w:w="1629" w:type="dxa"/>
          </w:tcPr>
          <w:p w14:paraId="2B89F5DB" w14:textId="0B138117" w:rsidR="00ED23FF" w:rsidRPr="00ED23FF" w:rsidRDefault="00ED23FF" w:rsidP="00ED23FF">
            <w:pPr>
              <w:rPr>
                <w:rFonts w:cs="Arial"/>
              </w:rPr>
            </w:pPr>
            <w:r w:rsidRPr="00ED23FF">
              <w:rPr>
                <w:rFonts w:cs="Arial"/>
              </w:rPr>
              <w:t>Неутропения</w:t>
            </w:r>
            <w:r w:rsidRPr="00ED23FF">
              <w:rPr>
                <w:rFonts w:cs="Arial"/>
                <w:vertAlign w:val="superscript"/>
              </w:rPr>
              <w:t>1</w:t>
            </w:r>
            <w:r w:rsidRPr="00ED23FF">
              <w:rPr>
                <w:rFonts w:cs="Arial"/>
              </w:rPr>
              <w:t>, тромбоцитопения, анемия, понижен брой тромбоцити</w:t>
            </w:r>
            <w:r w:rsidRPr="00ED23FF">
              <w:rPr>
                <w:rFonts w:cs="Arial"/>
                <w:vertAlign w:val="superscript"/>
              </w:rPr>
              <w:t>13</w:t>
            </w:r>
          </w:p>
        </w:tc>
        <w:tc>
          <w:tcPr>
            <w:tcW w:w="1404" w:type="dxa"/>
          </w:tcPr>
          <w:p w14:paraId="66A99385" w14:textId="064BF533" w:rsidR="00ED23FF" w:rsidRPr="00ED23FF" w:rsidRDefault="00ED23FF" w:rsidP="00ED23FF">
            <w:pPr>
              <w:rPr>
                <w:rFonts w:cs="Arial"/>
              </w:rPr>
            </w:pPr>
            <w:r w:rsidRPr="00ED23FF">
              <w:rPr>
                <w:rFonts w:cs="Arial"/>
              </w:rPr>
              <w:t>Агрануло- цитоза</w:t>
            </w:r>
            <w:r w:rsidRPr="00ED23FF">
              <w:rPr>
                <w:rFonts w:cs="Arial"/>
                <w:vertAlign w:val="superscript"/>
              </w:rPr>
              <w:t>26</w:t>
            </w:r>
          </w:p>
        </w:tc>
        <w:tc>
          <w:tcPr>
            <w:tcW w:w="1348" w:type="dxa"/>
          </w:tcPr>
          <w:p w14:paraId="128D41AA" w14:textId="77777777" w:rsidR="00ED23FF" w:rsidRPr="00ED23FF" w:rsidRDefault="00ED23FF" w:rsidP="00ED23FF">
            <w:pPr>
              <w:rPr>
                <w:rFonts w:cs="Arial"/>
              </w:rPr>
            </w:pPr>
          </w:p>
        </w:tc>
        <w:tc>
          <w:tcPr>
            <w:tcW w:w="954" w:type="dxa"/>
          </w:tcPr>
          <w:p w14:paraId="501CE342" w14:textId="77777777" w:rsidR="00ED23FF" w:rsidRPr="00ED23FF" w:rsidRDefault="00ED23FF" w:rsidP="00ED23FF">
            <w:pPr>
              <w:rPr>
                <w:rFonts w:cs="Arial"/>
              </w:rPr>
            </w:pPr>
          </w:p>
        </w:tc>
      </w:tr>
      <w:tr w:rsidR="00ED23FF" w14:paraId="2A147DD3" w14:textId="77777777" w:rsidTr="00ED23FF">
        <w:tc>
          <w:tcPr>
            <w:tcW w:w="1409" w:type="dxa"/>
          </w:tcPr>
          <w:p w14:paraId="6C5FC976" w14:textId="2B0A4E97" w:rsidR="00ED23FF" w:rsidRPr="00ED23FF" w:rsidRDefault="00ED23FF" w:rsidP="00ED23FF">
            <w:pPr>
              <w:rPr>
                <w:rFonts w:cs="Arial"/>
              </w:rPr>
            </w:pPr>
            <w:r w:rsidRPr="00ED23FF">
              <w:rPr>
                <w:rFonts w:cs="Arial"/>
                <w:i/>
                <w:iCs/>
              </w:rPr>
              <w:t>Нарушения на имунната система</w:t>
            </w:r>
          </w:p>
        </w:tc>
        <w:tc>
          <w:tcPr>
            <w:tcW w:w="1103" w:type="dxa"/>
          </w:tcPr>
          <w:p w14:paraId="31C0B292" w14:textId="77777777" w:rsidR="00ED23FF" w:rsidRPr="00ED23FF" w:rsidRDefault="00ED23FF" w:rsidP="00ED23FF">
            <w:pPr>
              <w:rPr>
                <w:rFonts w:cs="Arial"/>
              </w:rPr>
            </w:pPr>
          </w:p>
        </w:tc>
        <w:tc>
          <w:tcPr>
            <w:tcW w:w="1503" w:type="dxa"/>
          </w:tcPr>
          <w:p w14:paraId="488F6ADF" w14:textId="77777777" w:rsidR="00ED23FF" w:rsidRPr="00ED23FF" w:rsidRDefault="00ED23FF" w:rsidP="00ED23FF">
            <w:pPr>
              <w:rPr>
                <w:rFonts w:cs="Arial"/>
              </w:rPr>
            </w:pPr>
          </w:p>
        </w:tc>
        <w:tc>
          <w:tcPr>
            <w:tcW w:w="1629" w:type="dxa"/>
          </w:tcPr>
          <w:p w14:paraId="4103D310" w14:textId="4575BF03" w:rsidR="00ED23FF" w:rsidRPr="00ED23FF" w:rsidRDefault="00ED23FF" w:rsidP="00ED23FF">
            <w:pPr>
              <w:rPr>
                <w:rFonts w:cs="Arial"/>
              </w:rPr>
            </w:pPr>
            <w:r w:rsidRPr="00ED23FF">
              <w:rPr>
                <w:rFonts w:cs="Arial"/>
              </w:rPr>
              <w:t>Свръхчувстви телност (вкл. алергични кожни реакции)</w:t>
            </w:r>
          </w:p>
        </w:tc>
        <w:tc>
          <w:tcPr>
            <w:tcW w:w="1404" w:type="dxa"/>
          </w:tcPr>
          <w:p w14:paraId="4AC4F5C9" w14:textId="77777777" w:rsidR="00ED23FF" w:rsidRPr="00ED23FF" w:rsidRDefault="00ED23FF" w:rsidP="00ED23FF">
            <w:pPr>
              <w:rPr>
                <w:rFonts w:cs="Arial"/>
              </w:rPr>
            </w:pPr>
          </w:p>
        </w:tc>
        <w:tc>
          <w:tcPr>
            <w:tcW w:w="1348" w:type="dxa"/>
          </w:tcPr>
          <w:p w14:paraId="512DACDB" w14:textId="77777777" w:rsidR="00ED23FF" w:rsidRPr="00ED23FF" w:rsidRDefault="00ED23FF" w:rsidP="00ED23FF">
            <w:pPr>
              <w:rPr>
                <w:rFonts w:cs="Arial"/>
              </w:rPr>
            </w:pPr>
            <w:r w:rsidRPr="00ED23FF">
              <w:rPr>
                <w:rFonts w:cs="Arial"/>
              </w:rPr>
              <w:t>Анафилактични</w:t>
            </w:r>
          </w:p>
          <w:p w14:paraId="604D346F" w14:textId="77777777" w:rsidR="00ED23FF" w:rsidRPr="00ED23FF" w:rsidRDefault="00ED23FF" w:rsidP="00ED23FF">
            <w:pPr>
              <w:rPr>
                <w:rFonts w:cs="Arial"/>
              </w:rPr>
            </w:pPr>
            <w:r w:rsidRPr="00ED23FF">
              <w:rPr>
                <w:rFonts w:cs="Arial"/>
              </w:rPr>
              <w:t>реакции</w:t>
            </w:r>
          </w:p>
          <w:p w14:paraId="01160C38" w14:textId="77777777" w:rsidR="00ED23FF" w:rsidRPr="00ED23FF" w:rsidRDefault="00ED23FF" w:rsidP="00ED23FF">
            <w:pPr>
              <w:rPr>
                <w:rFonts w:cs="Arial"/>
              </w:rPr>
            </w:pPr>
          </w:p>
        </w:tc>
        <w:tc>
          <w:tcPr>
            <w:tcW w:w="954" w:type="dxa"/>
          </w:tcPr>
          <w:p w14:paraId="45DF7EE9" w14:textId="77777777" w:rsidR="00ED23FF" w:rsidRPr="00ED23FF" w:rsidRDefault="00ED23FF" w:rsidP="00ED23FF">
            <w:pPr>
              <w:rPr>
                <w:rFonts w:cs="Arial"/>
              </w:rPr>
            </w:pPr>
          </w:p>
        </w:tc>
      </w:tr>
      <w:tr w:rsidR="00ED23FF" w14:paraId="78FC3C15" w14:textId="77777777" w:rsidTr="00ED23FF">
        <w:tc>
          <w:tcPr>
            <w:tcW w:w="1409" w:type="dxa"/>
          </w:tcPr>
          <w:p w14:paraId="6F2BCA09" w14:textId="6AFD5522" w:rsidR="00ED23FF" w:rsidRPr="00ED23FF" w:rsidRDefault="00ED23FF" w:rsidP="00ED23FF">
            <w:r w:rsidRPr="00ED23FF">
              <w:rPr>
                <w:i/>
                <w:iCs/>
              </w:rPr>
              <w:t xml:space="preserve">Нарушения на </w:t>
            </w:r>
            <w:r w:rsidRPr="00ED23FF">
              <w:rPr>
                <w:i/>
                <w:iCs/>
              </w:rPr>
              <w:lastRenderedPageBreak/>
              <w:t>ендокринната система</w:t>
            </w:r>
          </w:p>
        </w:tc>
        <w:tc>
          <w:tcPr>
            <w:tcW w:w="1103" w:type="dxa"/>
          </w:tcPr>
          <w:p w14:paraId="7DF2B8EC" w14:textId="77777777" w:rsidR="00ED23FF" w:rsidRPr="00ED23FF" w:rsidRDefault="00ED23FF" w:rsidP="00ED23FF"/>
        </w:tc>
        <w:tc>
          <w:tcPr>
            <w:tcW w:w="1503" w:type="dxa"/>
            <w:vAlign w:val="bottom"/>
          </w:tcPr>
          <w:p w14:paraId="63AD2719" w14:textId="13B7D810" w:rsidR="00ED23FF" w:rsidRPr="00ED23FF" w:rsidRDefault="00ED23FF" w:rsidP="00ED23FF">
            <w:r w:rsidRPr="00ED23FF">
              <w:t>Хиперпролактине мия</w:t>
            </w:r>
            <w:r w:rsidRPr="00ED23FF">
              <w:rPr>
                <w:vertAlign w:val="superscript"/>
              </w:rPr>
              <w:t>15</w:t>
            </w:r>
            <w:r w:rsidRPr="00ED23FF">
              <w:t xml:space="preserve">, </w:t>
            </w:r>
            <w:r w:rsidRPr="00ED23FF">
              <w:lastRenderedPageBreak/>
              <w:t>понижаване на общия Т4</w:t>
            </w:r>
            <w:r w:rsidRPr="00ED23FF">
              <w:rPr>
                <w:vertAlign w:val="superscript"/>
              </w:rPr>
              <w:t>24</w:t>
            </w:r>
            <w:r w:rsidRPr="00ED23FF">
              <w:t>, понижаване на свободния Т4</w:t>
            </w:r>
            <w:r w:rsidRPr="00ED23FF">
              <w:rPr>
                <w:vertAlign w:val="superscript"/>
              </w:rPr>
              <w:t>24</w:t>
            </w:r>
            <w:r w:rsidRPr="00ED23FF">
              <w:t>, понижаване на общия Т3</w:t>
            </w:r>
            <w:r w:rsidRPr="00ED23FF">
              <w:rPr>
                <w:vertAlign w:val="superscript"/>
              </w:rPr>
              <w:t>24</w:t>
            </w:r>
            <w:r w:rsidRPr="00ED23FF">
              <w:t xml:space="preserve">, повишаване на </w:t>
            </w:r>
            <w:r w:rsidRPr="00ED23FF">
              <w:rPr>
                <w:lang w:val="en-US"/>
              </w:rPr>
              <w:t>TSH</w:t>
            </w:r>
            <w:r w:rsidRPr="00ED23FF">
              <w:rPr>
                <w:vertAlign w:val="superscript"/>
                <w:lang w:val="en-US"/>
              </w:rPr>
              <w:t>24</w:t>
            </w:r>
          </w:p>
        </w:tc>
        <w:tc>
          <w:tcPr>
            <w:tcW w:w="1629" w:type="dxa"/>
          </w:tcPr>
          <w:p w14:paraId="04C1E38B" w14:textId="0EE8A812" w:rsidR="00ED23FF" w:rsidRPr="00ED23FF" w:rsidRDefault="00ED23FF" w:rsidP="00ED23FF">
            <w:r w:rsidRPr="00ED23FF">
              <w:lastRenderedPageBreak/>
              <w:t xml:space="preserve">Понижаване на свободния </w:t>
            </w:r>
            <w:r w:rsidRPr="00ED23FF">
              <w:lastRenderedPageBreak/>
              <w:t>Т3</w:t>
            </w:r>
            <w:r w:rsidRPr="00ED23FF">
              <w:rPr>
                <w:vertAlign w:val="superscript"/>
              </w:rPr>
              <w:t>24</w:t>
            </w:r>
            <w:r w:rsidRPr="00ED23FF">
              <w:t>, хипотиреоидизъм 21</w:t>
            </w:r>
          </w:p>
        </w:tc>
        <w:tc>
          <w:tcPr>
            <w:tcW w:w="1404" w:type="dxa"/>
          </w:tcPr>
          <w:p w14:paraId="1D430FD5" w14:textId="77777777" w:rsidR="00ED23FF" w:rsidRPr="00ED23FF" w:rsidRDefault="00ED23FF" w:rsidP="00ED23FF"/>
        </w:tc>
        <w:tc>
          <w:tcPr>
            <w:tcW w:w="1348" w:type="dxa"/>
          </w:tcPr>
          <w:p w14:paraId="30C32B08" w14:textId="0E846E3E" w:rsidR="00ED23FF" w:rsidRPr="00ED23FF" w:rsidRDefault="00ED23FF" w:rsidP="00ED23FF">
            <w:r w:rsidRPr="00ED23FF">
              <w:t>Неадекват</w:t>
            </w:r>
            <w:r w:rsidRPr="00ED23FF">
              <w:softHyphen/>
              <w:t xml:space="preserve">на </w:t>
            </w:r>
            <w:r w:rsidRPr="00ED23FF">
              <w:lastRenderedPageBreak/>
              <w:t>секреция на антидиуре- тичния хормон</w:t>
            </w:r>
          </w:p>
        </w:tc>
        <w:tc>
          <w:tcPr>
            <w:tcW w:w="954" w:type="dxa"/>
          </w:tcPr>
          <w:p w14:paraId="4A56A4C7" w14:textId="77777777" w:rsidR="00ED23FF" w:rsidRPr="00ED23FF" w:rsidRDefault="00ED23FF" w:rsidP="00ED23FF"/>
        </w:tc>
      </w:tr>
      <w:tr w:rsidR="00ED23FF" w14:paraId="696B93A1" w14:textId="77777777" w:rsidTr="00ED23FF">
        <w:tc>
          <w:tcPr>
            <w:tcW w:w="1409" w:type="dxa"/>
          </w:tcPr>
          <w:p w14:paraId="098600BE" w14:textId="77777777" w:rsidR="00ED23FF" w:rsidRPr="00ED23FF" w:rsidRDefault="00ED23FF" w:rsidP="00ED23FF">
            <w:r w:rsidRPr="00ED23FF">
              <w:rPr>
                <w:i/>
                <w:iCs/>
              </w:rPr>
              <w:t>Нарушения на метаболизма и</w:t>
            </w:r>
          </w:p>
          <w:p w14:paraId="7F99F101" w14:textId="74D71FAF" w:rsidR="00ED23FF" w:rsidRPr="00ED23FF" w:rsidRDefault="00ED23FF" w:rsidP="00ED23FF">
            <w:r w:rsidRPr="00ED23FF">
              <w:rPr>
                <w:i/>
                <w:iCs/>
              </w:rPr>
              <w:t>храненето</w:t>
            </w:r>
          </w:p>
        </w:tc>
        <w:tc>
          <w:tcPr>
            <w:tcW w:w="1103" w:type="dxa"/>
          </w:tcPr>
          <w:p w14:paraId="4FBFAB79" w14:textId="7BE77249" w:rsidR="00ED23FF" w:rsidRPr="00ED23FF" w:rsidRDefault="00ED23FF" w:rsidP="00ED23FF">
            <w:r w:rsidRPr="00ED23FF">
              <w:t>Повишаван е на серумните триглицери ДИ</w:t>
            </w:r>
            <w:r w:rsidRPr="00ED23FF">
              <w:rPr>
                <w:vertAlign w:val="superscript"/>
              </w:rPr>
              <w:t>10,30</w:t>
            </w:r>
            <w:r w:rsidRPr="00ED23FF">
              <w:t>, повишаван е на общия холестерол (предимно н</w:t>
            </w:r>
            <w:r w:rsidRPr="00ED23FF">
              <w:rPr>
                <w:lang w:val="en-US"/>
              </w:rPr>
              <w:t>a</w:t>
            </w:r>
            <w:r w:rsidRPr="00ED23FF">
              <w:t xml:space="preserve"> </w:t>
            </w:r>
            <w:r w:rsidRPr="00ED23FF">
              <w:rPr>
                <w:lang w:val="en-US"/>
              </w:rPr>
              <w:t xml:space="preserve">LDL </w:t>
            </w:r>
            <w:r w:rsidRPr="00ED23FF">
              <w:t>холестерол а)</w:t>
            </w:r>
            <w:r w:rsidRPr="00ED23FF">
              <w:rPr>
                <w:vertAlign w:val="superscript"/>
              </w:rPr>
              <w:t>11,30</w:t>
            </w:r>
            <w:r w:rsidRPr="00ED23FF">
              <w:t xml:space="preserve">, понижаван е на </w:t>
            </w:r>
            <w:r w:rsidRPr="00ED23FF">
              <w:rPr>
                <w:lang w:val="en-US"/>
              </w:rPr>
              <w:t xml:space="preserve">HDL </w:t>
            </w:r>
            <w:r w:rsidRPr="00ED23FF">
              <w:t>холестерол а</w:t>
            </w:r>
            <w:r w:rsidRPr="00ED23FF">
              <w:rPr>
                <w:vertAlign w:val="superscript"/>
              </w:rPr>
              <w:t>7,30</w:t>
            </w:r>
            <w:r w:rsidRPr="00ED23FF">
              <w:t>, наддаване на тегло</w:t>
            </w:r>
            <w:r w:rsidRPr="00ED23FF">
              <w:rPr>
                <w:vertAlign w:val="superscript"/>
              </w:rPr>
              <w:t>8,30</w:t>
            </w:r>
          </w:p>
        </w:tc>
        <w:tc>
          <w:tcPr>
            <w:tcW w:w="1503" w:type="dxa"/>
          </w:tcPr>
          <w:p w14:paraId="07222165" w14:textId="79184224" w:rsidR="00ED23FF" w:rsidRPr="00ED23FF" w:rsidRDefault="00ED23FF" w:rsidP="00ED23FF">
            <w:r w:rsidRPr="00ED23FF">
              <w:t>Повишаване на апетита, повишаване на глюкозата в кръвта до хипергликемични стойности</w:t>
            </w:r>
            <w:r w:rsidRPr="00ED23FF">
              <w:rPr>
                <w:vertAlign w:val="superscript"/>
              </w:rPr>
              <w:t>6,30</w:t>
            </w:r>
          </w:p>
        </w:tc>
        <w:tc>
          <w:tcPr>
            <w:tcW w:w="1629" w:type="dxa"/>
          </w:tcPr>
          <w:p w14:paraId="4367CA67" w14:textId="32AE6760" w:rsidR="00ED23FF" w:rsidRPr="00ED23FF" w:rsidRDefault="00ED23FF" w:rsidP="00ED23FF">
            <w:r w:rsidRPr="00ED23FF">
              <w:t>Хипонатриемия</w:t>
            </w:r>
            <w:r w:rsidRPr="00ED23FF">
              <w:rPr>
                <w:vertAlign w:val="superscript"/>
              </w:rPr>
              <w:t>19</w:t>
            </w:r>
            <w:r w:rsidRPr="00ED23FF">
              <w:t>, захарен диабет</w:t>
            </w:r>
            <w:r w:rsidRPr="00ED23FF">
              <w:rPr>
                <w:vertAlign w:val="superscript"/>
              </w:rPr>
              <w:t>1,5</w:t>
            </w:r>
            <w:r w:rsidRPr="00ED23FF">
              <w:t>, обостряне на съществуващ диабет</w:t>
            </w:r>
          </w:p>
        </w:tc>
        <w:tc>
          <w:tcPr>
            <w:tcW w:w="1404" w:type="dxa"/>
          </w:tcPr>
          <w:p w14:paraId="7FCC996C" w14:textId="67C090EF" w:rsidR="00ED23FF" w:rsidRPr="00ED23FF" w:rsidRDefault="00ED23FF" w:rsidP="00ED23FF">
            <w:r w:rsidRPr="00ED23FF">
              <w:t>Метаболитен синдром</w:t>
            </w:r>
            <w:r w:rsidRPr="00ED23FF">
              <w:rPr>
                <w:vertAlign w:val="superscript"/>
              </w:rPr>
              <w:t>29</w:t>
            </w:r>
          </w:p>
        </w:tc>
        <w:tc>
          <w:tcPr>
            <w:tcW w:w="1348" w:type="dxa"/>
          </w:tcPr>
          <w:p w14:paraId="6726B36D" w14:textId="77777777" w:rsidR="00ED23FF" w:rsidRPr="00ED23FF" w:rsidRDefault="00ED23FF" w:rsidP="00ED23FF"/>
        </w:tc>
        <w:tc>
          <w:tcPr>
            <w:tcW w:w="954" w:type="dxa"/>
          </w:tcPr>
          <w:p w14:paraId="52BE4BB7" w14:textId="77777777" w:rsidR="00ED23FF" w:rsidRPr="00ED23FF" w:rsidRDefault="00ED23FF" w:rsidP="00ED23FF"/>
        </w:tc>
      </w:tr>
      <w:tr w:rsidR="00ED23FF" w14:paraId="67F84061" w14:textId="77777777" w:rsidTr="00ED23FF">
        <w:tc>
          <w:tcPr>
            <w:tcW w:w="1409" w:type="dxa"/>
          </w:tcPr>
          <w:p w14:paraId="5F0B73C2" w14:textId="61851077" w:rsidR="00ED23FF" w:rsidRPr="00ED23FF" w:rsidRDefault="00ED23FF" w:rsidP="00ED23FF">
            <w:r w:rsidRPr="00ED23FF">
              <w:rPr>
                <w:i/>
                <w:iCs/>
              </w:rPr>
              <w:t>Психични нарушения</w:t>
            </w:r>
          </w:p>
        </w:tc>
        <w:tc>
          <w:tcPr>
            <w:tcW w:w="1103" w:type="dxa"/>
          </w:tcPr>
          <w:p w14:paraId="5564C55F" w14:textId="77777777" w:rsidR="00ED23FF" w:rsidRPr="00ED23FF" w:rsidRDefault="00ED23FF" w:rsidP="00ED23FF"/>
        </w:tc>
        <w:tc>
          <w:tcPr>
            <w:tcW w:w="1503" w:type="dxa"/>
          </w:tcPr>
          <w:p w14:paraId="15F4BCEF" w14:textId="48D597CC" w:rsidR="00ED23FF" w:rsidRPr="00ED23FF" w:rsidRDefault="00ED23FF" w:rsidP="00ED23FF">
            <w:r w:rsidRPr="00ED23FF">
              <w:t>Необичайни сънища и кошмари, суицидни мисли и суицидно поведение</w:t>
            </w:r>
            <w:r w:rsidRPr="00ED23FF">
              <w:rPr>
                <w:vertAlign w:val="superscript"/>
              </w:rPr>
              <w:t>20</w:t>
            </w:r>
          </w:p>
        </w:tc>
        <w:tc>
          <w:tcPr>
            <w:tcW w:w="1629" w:type="dxa"/>
          </w:tcPr>
          <w:p w14:paraId="6900D41E" w14:textId="77777777" w:rsidR="00ED23FF" w:rsidRPr="00ED23FF" w:rsidRDefault="00ED23FF" w:rsidP="00ED23FF"/>
        </w:tc>
        <w:tc>
          <w:tcPr>
            <w:tcW w:w="1404" w:type="dxa"/>
          </w:tcPr>
          <w:p w14:paraId="5FD6850C" w14:textId="452D3C89" w:rsidR="00ED23FF" w:rsidRPr="00ED23FF" w:rsidRDefault="00ED23FF" w:rsidP="00ED23FF">
            <w:r w:rsidRPr="00ED23FF">
              <w:t xml:space="preserve">Сомнамбулизъм и свързаните реакции, като говорене и хранене по </w:t>
            </w:r>
            <w:r w:rsidRPr="00ED23FF">
              <w:lastRenderedPageBreak/>
              <w:t>време на сън</w:t>
            </w:r>
          </w:p>
        </w:tc>
        <w:tc>
          <w:tcPr>
            <w:tcW w:w="1348" w:type="dxa"/>
          </w:tcPr>
          <w:p w14:paraId="43BB0AC1" w14:textId="77777777" w:rsidR="00ED23FF" w:rsidRPr="00ED23FF" w:rsidRDefault="00ED23FF" w:rsidP="00ED23FF"/>
        </w:tc>
        <w:tc>
          <w:tcPr>
            <w:tcW w:w="954" w:type="dxa"/>
          </w:tcPr>
          <w:p w14:paraId="79986F71" w14:textId="77777777" w:rsidR="00ED23FF" w:rsidRPr="00ED23FF" w:rsidRDefault="00ED23FF" w:rsidP="00ED23FF"/>
        </w:tc>
      </w:tr>
      <w:tr w:rsidR="00ED23FF" w14:paraId="65BEEFF1" w14:textId="77777777" w:rsidTr="00ED23FF">
        <w:tc>
          <w:tcPr>
            <w:tcW w:w="1409" w:type="dxa"/>
          </w:tcPr>
          <w:p w14:paraId="39CAACAB" w14:textId="73781BEC" w:rsidR="00ED23FF" w:rsidRPr="00ED23FF" w:rsidRDefault="00ED23FF" w:rsidP="00ED23FF">
            <w:r w:rsidRPr="00ED23FF">
              <w:rPr>
                <w:i/>
                <w:iCs/>
              </w:rPr>
              <w:t>Нарушения на нервната система</w:t>
            </w:r>
          </w:p>
        </w:tc>
        <w:tc>
          <w:tcPr>
            <w:tcW w:w="1103" w:type="dxa"/>
          </w:tcPr>
          <w:p w14:paraId="2F4EF763" w14:textId="1D6340F4" w:rsidR="00ED23FF" w:rsidRPr="00ED23FF" w:rsidRDefault="00ED23FF" w:rsidP="00ED23FF">
            <w:r w:rsidRPr="00ED23FF">
              <w:t>Световър</w:t>
            </w:r>
            <w:r w:rsidRPr="00ED23FF">
              <w:softHyphen/>
              <w:t>теж</w:t>
            </w:r>
            <w:r w:rsidRPr="00ED23FF">
              <w:rPr>
                <w:vertAlign w:val="superscript"/>
              </w:rPr>
              <w:t>4</w:t>
            </w:r>
            <w:r w:rsidRPr="00ED23FF">
              <w:t>-</w:t>
            </w:r>
            <w:r w:rsidRPr="00ED23FF">
              <w:rPr>
                <w:vertAlign w:val="superscript"/>
              </w:rPr>
              <w:t>16</w:t>
            </w:r>
            <w:r w:rsidRPr="00ED23FF">
              <w:t>, сомнолент- ност</w:t>
            </w:r>
            <w:r w:rsidRPr="00ED23FF">
              <w:rPr>
                <w:vertAlign w:val="superscript"/>
              </w:rPr>
              <w:t>2</w:t>
            </w:r>
            <w:r w:rsidRPr="00ED23FF">
              <w:t>-</w:t>
            </w:r>
            <w:r w:rsidRPr="00ED23FF">
              <w:rPr>
                <w:vertAlign w:val="superscript"/>
              </w:rPr>
              <w:t>16</w:t>
            </w:r>
            <w:r w:rsidRPr="00ED23FF">
              <w:t>, главоболие Екстрапи</w:t>
            </w:r>
            <w:r w:rsidRPr="00ED23FF">
              <w:softHyphen/>
              <w:t xml:space="preserve">рамидни </w:t>
            </w:r>
            <w:r w:rsidRPr="00ED23FF">
              <w:rPr>
                <w:bCs/>
              </w:rPr>
              <w:t>симптоми</w:t>
            </w:r>
            <w:r w:rsidRPr="00ED23FF">
              <w:rPr>
                <w:bCs/>
                <w:vertAlign w:val="superscript"/>
              </w:rPr>
              <w:t>1,21</w:t>
            </w:r>
          </w:p>
        </w:tc>
        <w:tc>
          <w:tcPr>
            <w:tcW w:w="1503" w:type="dxa"/>
          </w:tcPr>
          <w:p w14:paraId="03754D96" w14:textId="2356EA50" w:rsidR="00ED23FF" w:rsidRPr="00ED23FF" w:rsidRDefault="00ED23FF" w:rsidP="00ED23FF">
            <w:r w:rsidRPr="00ED23FF">
              <w:t>Дизартрия</w:t>
            </w:r>
          </w:p>
        </w:tc>
        <w:tc>
          <w:tcPr>
            <w:tcW w:w="1629" w:type="dxa"/>
          </w:tcPr>
          <w:p w14:paraId="462E24F2" w14:textId="5867CF89" w:rsidR="00ED23FF" w:rsidRPr="00ED23FF" w:rsidRDefault="00ED23FF" w:rsidP="00ED23FF">
            <w:r w:rsidRPr="00ED23FF">
              <w:t>Гърч</w:t>
            </w:r>
            <w:r w:rsidRPr="00ED23FF">
              <w:rPr>
                <w:vertAlign w:val="superscript"/>
              </w:rPr>
              <w:t>1</w:t>
            </w:r>
            <w:r w:rsidRPr="00ED23FF">
              <w:t>, синдром на неспокойните крака, тардивна дискинезия</w:t>
            </w:r>
            <w:r w:rsidRPr="00ED23FF">
              <w:rPr>
                <w:vertAlign w:val="superscript"/>
              </w:rPr>
              <w:t xml:space="preserve">1,5 </w:t>
            </w:r>
            <w:r w:rsidRPr="00ED23FF">
              <w:t>Синкоп</w:t>
            </w:r>
            <w:r w:rsidRPr="00ED23FF">
              <w:rPr>
                <w:vertAlign w:val="superscript"/>
              </w:rPr>
              <w:t xml:space="preserve">4,16 </w:t>
            </w:r>
            <w:r w:rsidRPr="00ED23FF">
              <w:t>Състояние на обърканост</w:t>
            </w:r>
          </w:p>
        </w:tc>
        <w:tc>
          <w:tcPr>
            <w:tcW w:w="1404" w:type="dxa"/>
          </w:tcPr>
          <w:p w14:paraId="734C2D41" w14:textId="77777777" w:rsidR="00ED23FF" w:rsidRPr="00ED23FF" w:rsidRDefault="00ED23FF" w:rsidP="00ED23FF"/>
        </w:tc>
        <w:tc>
          <w:tcPr>
            <w:tcW w:w="1348" w:type="dxa"/>
          </w:tcPr>
          <w:p w14:paraId="4C71128B" w14:textId="77777777" w:rsidR="00ED23FF" w:rsidRPr="00ED23FF" w:rsidRDefault="00ED23FF" w:rsidP="00ED23FF"/>
        </w:tc>
        <w:tc>
          <w:tcPr>
            <w:tcW w:w="954" w:type="dxa"/>
          </w:tcPr>
          <w:p w14:paraId="28E1491F" w14:textId="77777777" w:rsidR="00ED23FF" w:rsidRPr="00ED23FF" w:rsidRDefault="00ED23FF" w:rsidP="00ED23FF"/>
        </w:tc>
      </w:tr>
      <w:tr w:rsidR="00ED23FF" w14:paraId="16AFA888" w14:textId="77777777" w:rsidTr="00ED23FF">
        <w:tc>
          <w:tcPr>
            <w:tcW w:w="1409" w:type="dxa"/>
            <w:vAlign w:val="bottom"/>
          </w:tcPr>
          <w:p w14:paraId="6907EDE7" w14:textId="219197C2" w:rsidR="00ED23FF" w:rsidRPr="00ED23FF" w:rsidRDefault="00ED23FF" w:rsidP="00ED23FF">
            <w:r w:rsidRPr="00ED23FF">
              <w:rPr>
                <w:i/>
                <w:iCs/>
              </w:rPr>
              <w:t>Нарушения на очите</w:t>
            </w:r>
          </w:p>
        </w:tc>
        <w:tc>
          <w:tcPr>
            <w:tcW w:w="1103" w:type="dxa"/>
          </w:tcPr>
          <w:p w14:paraId="703EB2B2" w14:textId="77777777" w:rsidR="00ED23FF" w:rsidRPr="00ED23FF" w:rsidRDefault="00ED23FF" w:rsidP="00ED23FF"/>
        </w:tc>
        <w:tc>
          <w:tcPr>
            <w:tcW w:w="1503" w:type="dxa"/>
            <w:vAlign w:val="bottom"/>
          </w:tcPr>
          <w:p w14:paraId="305A5991" w14:textId="6977B0E9" w:rsidR="00ED23FF" w:rsidRPr="00ED23FF" w:rsidRDefault="00ED23FF" w:rsidP="00ED23FF">
            <w:r w:rsidRPr="00ED23FF">
              <w:t>Замъглено зрение</w:t>
            </w:r>
          </w:p>
        </w:tc>
        <w:tc>
          <w:tcPr>
            <w:tcW w:w="1629" w:type="dxa"/>
          </w:tcPr>
          <w:p w14:paraId="152ACFBE" w14:textId="77777777" w:rsidR="00ED23FF" w:rsidRPr="00ED23FF" w:rsidRDefault="00ED23FF" w:rsidP="00ED23FF"/>
        </w:tc>
        <w:tc>
          <w:tcPr>
            <w:tcW w:w="1404" w:type="dxa"/>
          </w:tcPr>
          <w:p w14:paraId="26706B1D" w14:textId="77777777" w:rsidR="00ED23FF" w:rsidRPr="00ED23FF" w:rsidRDefault="00ED23FF" w:rsidP="00ED23FF"/>
        </w:tc>
        <w:tc>
          <w:tcPr>
            <w:tcW w:w="1348" w:type="dxa"/>
          </w:tcPr>
          <w:p w14:paraId="41CA0F20" w14:textId="77777777" w:rsidR="00ED23FF" w:rsidRPr="00ED23FF" w:rsidRDefault="00ED23FF" w:rsidP="00ED23FF"/>
        </w:tc>
        <w:tc>
          <w:tcPr>
            <w:tcW w:w="954" w:type="dxa"/>
          </w:tcPr>
          <w:p w14:paraId="7FB3256C" w14:textId="77777777" w:rsidR="00ED23FF" w:rsidRPr="00ED23FF" w:rsidRDefault="00ED23FF" w:rsidP="00ED23FF"/>
        </w:tc>
      </w:tr>
      <w:tr w:rsidR="00ED23FF" w14:paraId="5BDA4FD6" w14:textId="77777777" w:rsidTr="00ED23FF">
        <w:tc>
          <w:tcPr>
            <w:tcW w:w="1409" w:type="dxa"/>
          </w:tcPr>
          <w:p w14:paraId="6BE12C77" w14:textId="0C30CB45" w:rsidR="00ED23FF" w:rsidRPr="00ED23FF" w:rsidRDefault="00ED23FF" w:rsidP="00ED23FF">
            <w:r w:rsidRPr="00ED23FF">
              <w:rPr>
                <w:i/>
                <w:iCs/>
              </w:rPr>
              <w:t>Сърдечни нарушения</w:t>
            </w:r>
          </w:p>
        </w:tc>
        <w:tc>
          <w:tcPr>
            <w:tcW w:w="1103" w:type="dxa"/>
          </w:tcPr>
          <w:p w14:paraId="3873C0E0" w14:textId="77777777" w:rsidR="00ED23FF" w:rsidRPr="00ED23FF" w:rsidRDefault="00ED23FF" w:rsidP="00ED23FF"/>
        </w:tc>
        <w:tc>
          <w:tcPr>
            <w:tcW w:w="1503" w:type="dxa"/>
          </w:tcPr>
          <w:p w14:paraId="4BBB1DBA" w14:textId="46F2C80B" w:rsidR="00ED23FF" w:rsidRPr="00ED23FF" w:rsidRDefault="00ED23FF" w:rsidP="00ED23FF">
            <w:r w:rsidRPr="00ED23FF">
              <w:t xml:space="preserve">Тахикардия </w:t>
            </w:r>
            <w:r w:rsidRPr="00ED23FF">
              <w:rPr>
                <w:vertAlign w:val="superscript"/>
              </w:rPr>
              <w:t>4</w:t>
            </w:r>
            <w:r w:rsidRPr="00ED23FF">
              <w:t>, палпитации</w:t>
            </w:r>
            <w:r w:rsidRPr="00ED23FF">
              <w:rPr>
                <w:vertAlign w:val="superscript"/>
              </w:rPr>
              <w:t>23</w:t>
            </w:r>
          </w:p>
        </w:tc>
        <w:tc>
          <w:tcPr>
            <w:tcW w:w="1629" w:type="dxa"/>
          </w:tcPr>
          <w:p w14:paraId="6AF12DC1" w14:textId="77777777" w:rsidR="00ED23FF" w:rsidRPr="00ED23FF" w:rsidRDefault="00ED23FF" w:rsidP="00ED23FF">
            <w:r w:rsidRPr="00ED23FF">
              <w:t xml:space="preserve">Удължен </w:t>
            </w:r>
            <w:r w:rsidRPr="00ED23FF">
              <w:rPr>
                <w:lang w:val="en-US"/>
              </w:rPr>
              <w:t xml:space="preserve">QT </w:t>
            </w:r>
            <w:r w:rsidRPr="00ED23FF">
              <w:t>интервал</w:t>
            </w:r>
            <w:r w:rsidRPr="00ED23FF">
              <w:rPr>
                <w:vertAlign w:val="superscript"/>
              </w:rPr>
              <w:t>1,12,18</w:t>
            </w:r>
          </w:p>
          <w:p w14:paraId="647045EE" w14:textId="41752433" w:rsidR="00ED23FF" w:rsidRPr="00ED23FF" w:rsidRDefault="00ED23FF" w:rsidP="00ED23FF">
            <w:r w:rsidRPr="00ED23FF">
              <w:t>Брадикардия</w:t>
            </w:r>
            <w:r w:rsidRPr="00ED23FF">
              <w:rPr>
                <w:vertAlign w:val="superscript"/>
              </w:rPr>
              <w:t>32</w:t>
            </w:r>
          </w:p>
        </w:tc>
        <w:tc>
          <w:tcPr>
            <w:tcW w:w="1404" w:type="dxa"/>
          </w:tcPr>
          <w:p w14:paraId="4237A1BD" w14:textId="77777777" w:rsidR="00ED23FF" w:rsidRPr="00ED23FF" w:rsidRDefault="00ED23FF" w:rsidP="00ED23FF"/>
        </w:tc>
        <w:tc>
          <w:tcPr>
            <w:tcW w:w="1348" w:type="dxa"/>
          </w:tcPr>
          <w:p w14:paraId="6B44A72D" w14:textId="77777777" w:rsidR="00ED23FF" w:rsidRPr="00ED23FF" w:rsidRDefault="00ED23FF" w:rsidP="00ED23FF"/>
        </w:tc>
        <w:tc>
          <w:tcPr>
            <w:tcW w:w="954" w:type="dxa"/>
            <w:vAlign w:val="bottom"/>
          </w:tcPr>
          <w:p w14:paraId="43CE492E" w14:textId="45FA7F56" w:rsidR="00ED23FF" w:rsidRPr="00ED23FF" w:rsidRDefault="00ED23FF" w:rsidP="00ED23FF">
            <w:r w:rsidRPr="00ED23FF">
              <w:t>Кардио- миопатия, миокар</w:t>
            </w:r>
            <w:r w:rsidRPr="00ED23FF">
              <w:softHyphen/>
              <w:t>дит</w:t>
            </w:r>
          </w:p>
        </w:tc>
      </w:tr>
      <w:tr w:rsidR="00ED23FF" w14:paraId="05D66EF3" w14:textId="77777777" w:rsidTr="00ED23FF">
        <w:tc>
          <w:tcPr>
            <w:tcW w:w="1409" w:type="dxa"/>
          </w:tcPr>
          <w:p w14:paraId="6135B4AF" w14:textId="35F3D2AC" w:rsidR="00ED23FF" w:rsidRPr="00ED23FF" w:rsidRDefault="00ED23FF" w:rsidP="00ED23FF">
            <w:r w:rsidRPr="00ED23FF">
              <w:rPr>
                <w:i/>
                <w:iCs/>
              </w:rPr>
              <w:t>Съдови нарушения</w:t>
            </w:r>
          </w:p>
        </w:tc>
        <w:tc>
          <w:tcPr>
            <w:tcW w:w="1103" w:type="dxa"/>
          </w:tcPr>
          <w:p w14:paraId="646185A6" w14:textId="77777777" w:rsidR="00ED23FF" w:rsidRPr="00ED23FF" w:rsidRDefault="00ED23FF" w:rsidP="00ED23FF"/>
        </w:tc>
        <w:tc>
          <w:tcPr>
            <w:tcW w:w="1503" w:type="dxa"/>
          </w:tcPr>
          <w:p w14:paraId="0C51169C" w14:textId="65E5CE73" w:rsidR="00ED23FF" w:rsidRPr="00ED23FF" w:rsidRDefault="00ED23FF" w:rsidP="00ED23FF">
            <w:r w:rsidRPr="00ED23FF">
              <w:t>Ортостатична хипотония</w:t>
            </w:r>
            <w:r w:rsidRPr="00ED23FF">
              <w:rPr>
                <w:vertAlign w:val="superscript"/>
              </w:rPr>
              <w:t>4,16</w:t>
            </w:r>
          </w:p>
        </w:tc>
        <w:tc>
          <w:tcPr>
            <w:tcW w:w="1629" w:type="dxa"/>
          </w:tcPr>
          <w:p w14:paraId="1DDD2854" w14:textId="77777777" w:rsidR="00ED23FF" w:rsidRPr="00ED23FF" w:rsidRDefault="00ED23FF" w:rsidP="00ED23FF"/>
        </w:tc>
        <w:tc>
          <w:tcPr>
            <w:tcW w:w="1404" w:type="dxa"/>
          </w:tcPr>
          <w:p w14:paraId="4860E732" w14:textId="3C2DF3EF" w:rsidR="00ED23FF" w:rsidRPr="00ED23FF" w:rsidRDefault="00ED23FF" w:rsidP="00ED23FF">
            <w:r w:rsidRPr="00ED23FF">
              <w:t>Венозна тромбоемболия</w:t>
            </w:r>
            <w:r w:rsidRPr="00ED23FF">
              <w:rPr>
                <w:vertAlign w:val="superscript"/>
              </w:rPr>
              <w:t>1</w:t>
            </w:r>
          </w:p>
        </w:tc>
        <w:tc>
          <w:tcPr>
            <w:tcW w:w="1348" w:type="dxa"/>
          </w:tcPr>
          <w:p w14:paraId="48924A59" w14:textId="77777777" w:rsidR="00ED23FF" w:rsidRPr="00ED23FF" w:rsidRDefault="00ED23FF" w:rsidP="00ED23FF"/>
        </w:tc>
        <w:tc>
          <w:tcPr>
            <w:tcW w:w="954" w:type="dxa"/>
          </w:tcPr>
          <w:p w14:paraId="2F3B025D" w14:textId="49F3EFB7" w:rsidR="00ED23FF" w:rsidRPr="00ED23FF" w:rsidRDefault="00ED23FF" w:rsidP="00ED23FF">
            <w:r w:rsidRPr="00ED23FF">
              <w:t>Инсулт</w:t>
            </w:r>
            <w:r w:rsidRPr="00ED23FF">
              <w:rPr>
                <w:vertAlign w:val="superscript"/>
              </w:rPr>
              <w:t>33</w:t>
            </w:r>
          </w:p>
        </w:tc>
      </w:tr>
      <w:tr w:rsidR="00ED23FF" w14:paraId="7AC71C0C" w14:textId="77777777" w:rsidTr="00ED23FF">
        <w:tc>
          <w:tcPr>
            <w:tcW w:w="1409" w:type="dxa"/>
            <w:vAlign w:val="bottom"/>
          </w:tcPr>
          <w:p w14:paraId="0E6B067E" w14:textId="2E401BCB" w:rsidR="00ED23FF" w:rsidRPr="00ED23FF" w:rsidRDefault="00ED23FF" w:rsidP="00ED23FF">
            <w:r w:rsidRPr="00ED23FF">
              <w:rPr>
                <w:i/>
                <w:iCs/>
              </w:rPr>
              <w:t>Респираторни, гръдни и медиастинални нарушения</w:t>
            </w:r>
          </w:p>
        </w:tc>
        <w:tc>
          <w:tcPr>
            <w:tcW w:w="1103" w:type="dxa"/>
          </w:tcPr>
          <w:p w14:paraId="3AE4DBAD" w14:textId="77777777" w:rsidR="00ED23FF" w:rsidRPr="00ED23FF" w:rsidRDefault="00ED23FF" w:rsidP="00ED23FF"/>
        </w:tc>
        <w:tc>
          <w:tcPr>
            <w:tcW w:w="1503" w:type="dxa"/>
          </w:tcPr>
          <w:p w14:paraId="78CC55C2" w14:textId="6C770C31" w:rsidR="00ED23FF" w:rsidRPr="00ED23FF" w:rsidRDefault="00ED23FF" w:rsidP="00ED23FF">
            <w:r w:rsidRPr="00ED23FF">
              <w:t>Дисплея</w:t>
            </w:r>
            <w:r w:rsidRPr="00ED23FF">
              <w:rPr>
                <w:vertAlign w:val="superscript"/>
              </w:rPr>
              <w:t>23</w:t>
            </w:r>
          </w:p>
        </w:tc>
        <w:tc>
          <w:tcPr>
            <w:tcW w:w="1629" w:type="dxa"/>
          </w:tcPr>
          <w:p w14:paraId="5202F27B" w14:textId="2E1B9EA6" w:rsidR="00ED23FF" w:rsidRPr="00ED23FF" w:rsidRDefault="00ED23FF" w:rsidP="00ED23FF">
            <w:r w:rsidRPr="00ED23FF">
              <w:t>Ринит</w:t>
            </w:r>
          </w:p>
        </w:tc>
        <w:tc>
          <w:tcPr>
            <w:tcW w:w="1404" w:type="dxa"/>
          </w:tcPr>
          <w:p w14:paraId="561D2E07" w14:textId="77777777" w:rsidR="00ED23FF" w:rsidRPr="00ED23FF" w:rsidRDefault="00ED23FF" w:rsidP="00ED23FF"/>
        </w:tc>
        <w:tc>
          <w:tcPr>
            <w:tcW w:w="1348" w:type="dxa"/>
          </w:tcPr>
          <w:p w14:paraId="387B981D" w14:textId="77777777" w:rsidR="00ED23FF" w:rsidRPr="00ED23FF" w:rsidRDefault="00ED23FF" w:rsidP="00ED23FF"/>
        </w:tc>
        <w:tc>
          <w:tcPr>
            <w:tcW w:w="954" w:type="dxa"/>
          </w:tcPr>
          <w:p w14:paraId="788754A4" w14:textId="77777777" w:rsidR="00ED23FF" w:rsidRPr="00ED23FF" w:rsidRDefault="00ED23FF" w:rsidP="00ED23FF"/>
        </w:tc>
      </w:tr>
      <w:tr w:rsidR="00ED23FF" w14:paraId="0471CCD2" w14:textId="77777777" w:rsidTr="00ED23FF">
        <w:tc>
          <w:tcPr>
            <w:tcW w:w="1409" w:type="dxa"/>
          </w:tcPr>
          <w:p w14:paraId="438BFDF5" w14:textId="74A2210A" w:rsidR="00ED23FF" w:rsidRPr="00ED23FF" w:rsidRDefault="00ED23FF" w:rsidP="00ED23FF">
            <w:r w:rsidRPr="00ED23FF">
              <w:rPr>
                <w:i/>
                <w:iCs/>
              </w:rPr>
              <w:t>Стомашно- чревни нарушения</w:t>
            </w:r>
          </w:p>
        </w:tc>
        <w:tc>
          <w:tcPr>
            <w:tcW w:w="1103" w:type="dxa"/>
          </w:tcPr>
          <w:p w14:paraId="6C9A74BF" w14:textId="0ADA7B91" w:rsidR="00ED23FF" w:rsidRPr="00ED23FF" w:rsidRDefault="00ED23FF" w:rsidP="00ED23FF">
            <w:r w:rsidRPr="00ED23FF">
              <w:t>Сухота в устата</w:t>
            </w:r>
          </w:p>
        </w:tc>
        <w:tc>
          <w:tcPr>
            <w:tcW w:w="1503" w:type="dxa"/>
          </w:tcPr>
          <w:p w14:paraId="7C7DADEE" w14:textId="7AC311C2" w:rsidR="00ED23FF" w:rsidRPr="00ED23FF" w:rsidRDefault="00ED23FF" w:rsidP="00ED23FF">
            <w:r w:rsidRPr="00ED23FF">
              <w:t>Констипация, диспепсия, повръщане</w:t>
            </w:r>
            <w:r w:rsidRPr="00ED23FF">
              <w:rPr>
                <w:vertAlign w:val="superscript"/>
              </w:rPr>
              <w:t>25</w:t>
            </w:r>
          </w:p>
        </w:tc>
        <w:tc>
          <w:tcPr>
            <w:tcW w:w="1629" w:type="dxa"/>
          </w:tcPr>
          <w:p w14:paraId="7C868F0D" w14:textId="288D4680" w:rsidR="00ED23FF" w:rsidRPr="00ED23FF" w:rsidRDefault="00ED23FF" w:rsidP="00ED23FF">
            <w:r w:rsidRPr="00ED23FF">
              <w:t>Дисфагия</w:t>
            </w:r>
            <w:r w:rsidRPr="00ED23FF">
              <w:rPr>
                <w:vertAlign w:val="superscript"/>
              </w:rPr>
              <w:t>7</w:t>
            </w:r>
          </w:p>
        </w:tc>
        <w:tc>
          <w:tcPr>
            <w:tcW w:w="1404" w:type="dxa"/>
            <w:vAlign w:val="bottom"/>
          </w:tcPr>
          <w:p w14:paraId="4ED65C43" w14:textId="77777777" w:rsidR="00ED23FF" w:rsidRPr="00ED23FF" w:rsidRDefault="00ED23FF" w:rsidP="00ED23FF">
            <w:r w:rsidRPr="00ED23FF">
              <w:t>Панкреатит</w:t>
            </w:r>
            <w:r w:rsidRPr="00ED23FF">
              <w:rPr>
                <w:vertAlign w:val="superscript"/>
              </w:rPr>
              <w:t>1</w:t>
            </w:r>
          </w:p>
          <w:p w14:paraId="109E6649" w14:textId="77777777" w:rsidR="00ED23FF" w:rsidRPr="00ED23FF" w:rsidRDefault="00ED23FF" w:rsidP="00ED23FF">
            <w:r w:rsidRPr="00ED23FF">
              <w:t>Чревна</w:t>
            </w:r>
          </w:p>
          <w:p w14:paraId="27C6C03C" w14:textId="77777777" w:rsidR="00ED23FF" w:rsidRPr="00ED23FF" w:rsidRDefault="00ED23FF" w:rsidP="00ED23FF">
            <w:r w:rsidRPr="00ED23FF">
              <w:t>обструкция</w:t>
            </w:r>
          </w:p>
          <w:p w14:paraId="512ACED9" w14:textId="0EC97CBD" w:rsidR="00ED23FF" w:rsidRPr="00ED23FF" w:rsidRDefault="00ED23FF" w:rsidP="00ED23FF">
            <w:r w:rsidRPr="00ED23FF">
              <w:t>Илеус</w:t>
            </w:r>
          </w:p>
        </w:tc>
        <w:tc>
          <w:tcPr>
            <w:tcW w:w="1348" w:type="dxa"/>
          </w:tcPr>
          <w:p w14:paraId="724E2EAD" w14:textId="77777777" w:rsidR="00ED23FF" w:rsidRPr="00ED23FF" w:rsidRDefault="00ED23FF" w:rsidP="00ED23FF"/>
        </w:tc>
        <w:tc>
          <w:tcPr>
            <w:tcW w:w="954" w:type="dxa"/>
          </w:tcPr>
          <w:p w14:paraId="3C618681" w14:textId="77777777" w:rsidR="00ED23FF" w:rsidRPr="00ED23FF" w:rsidRDefault="00ED23FF" w:rsidP="00ED23FF"/>
        </w:tc>
      </w:tr>
      <w:tr w:rsidR="00ED23FF" w14:paraId="28D074B1" w14:textId="77777777" w:rsidTr="00ED23FF">
        <w:tc>
          <w:tcPr>
            <w:tcW w:w="1409" w:type="dxa"/>
          </w:tcPr>
          <w:p w14:paraId="1CCB527B" w14:textId="0B2862EC" w:rsidR="00ED23FF" w:rsidRPr="00ED23FF" w:rsidRDefault="00ED23FF" w:rsidP="00ED23FF">
            <w:r w:rsidRPr="00ED23FF">
              <w:rPr>
                <w:i/>
                <w:iCs/>
              </w:rPr>
              <w:t>Хепатобилиарн и нарушения</w:t>
            </w:r>
          </w:p>
        </w:tc>
        <w:tc>
          <w:tcPr>
            <w:tcW w:w="1103" w:type="dxa"/>
          </w:tcPr>
          <w:p w14:paraId="3F280962" w14:textId="77777777" w:rsidR="00ED23FF" w:rsidRPr="00ED23FF" w:rsidRDefault="00ED23FF" w:rsidP="00ED23FF"/>
        </w:tc>
        <w:tc>
          <w:tcPr>
            <w:tcW w:w="1503" w:type="dxa"/>
            <w:vAlign w:val="bottom"/>
          </w:tcPr>
          <w:p w14:paraId="7DFCC020" w14:textId="2767BF11" w:rsidR="00ED23FF" w:rsidRPr="00ED23FF" w:rsidRDefault="00ED23FF" w:rsidP="00ED23FF">
            <w:r w:rsidRPr="00ED23FF">
              <w:t xml:space="preserve">Повишаване на серумната аланинаминотран сфераза </w:t>
            </w:r>
            <w:r w:rsidRPr="00ED23FF">
              <w:rPr>
                <w:lang w:val="en-US"/>
              </w:rPr>
              <w:t>(ALT)</w:t>
            </w:r>
            <w:r w:rsidRPr="00ED23FF">
              <w:rPr>
                <w:vertAlign w:val="superscript"/>
              </w:rPr>
              <w:t>3</w:t>
            </w:r>
            <w:r w:rsidRPr="00ED23FF">
              <w:t xml:space="preserve">, повишаване на </w:t>
            </w:r>
            <w:r w:rsidRPr="00ED23FF">
              <w:lastRenderedPageBreak/>
              <w:t>стойностите на гама</w:t>
            </w:r>
            <w:r w:rsidRPr="00ED23FF">
              <w:rPr>
                <w:lang w:val="en-US"/>
              </w:rPr>
              <w:t>-GT</w:t>
            </w:r>
            <w:r w:rsidRPr="00ED23FF">
              <w:rPr>
                <w:vertAlign w:val="superscript"/>
              </w:rPr>
              <w:t>3</w:t>
            </w:r>
          </w:p>
        </w:tc>
        <w:tc>
          <w:tcPr>
            <w:tcW w:w="1629" w:type="dxa"/>
          </w:tcPr>
          <w:p w14:paraId="64638F6C" w14:textId="5219C604" w:rsidR="00ED23FF" w:rsidRPr="00ED23FF" w:rsidRDefault="00ED23FF" w:rsidP="00ED23FF">
            <w:r w:rsidRPr="00ED23FF">
              <w:lastRenderedPageBreak/>
              <w:t xml:space="preserve">Повишаване на серумната аспартатаминотран сфераза </w:t>
            </w:r>
            <w:r w:rsidRPr="00ED23FF">
              <w:rPr>
                <w:lang w:val="en-US"/>
              </w:rPr>
              <w:t>(AST)</w:t>
            </w:r>
            <w:r w:rsidRPr="00ED23FF">
              <w:rPr>
                <w:vertAlign w:val="superscript"/>
                <w:lang w:val="en-US"/>
              </w:rPr>
              <w:t>3</w:t>
            </w:r>
          </w:p>
        </w:tc>
        <w:tc>
          <w:tcPr>
            <w:tcW w:w="1404" w:type="dxa"/>
          </w:tcPr>
          <w:p w14:paraId="5A820F8E" w14:textId="41CE754C" w:rsidR="00ED23FF" w:rsidRPr="00ED23FF" w:rsidRDefault="00ED23FF" w:rsidP="00ED23FF">
            <w:r w:rsidRPr="00ED23FF">
              <w:t>Жълтеница</w:t>
            </w:r>
            <w:r w:rsidRPr="00ED23FF">
              <w:rPr>
                <w:vertAlign w:val="superscript"/>
              </w:rPr>
              <w:t>5</w:t>
            </w:r>
            <w:r w:rsidRPr="00ED23FF">
              <w:t>, хепатит</w:t>
            </w:r>
          </w:p>
        </w:tc>
        <w:tc>
          <w:tcPr>
            <w:tcW w:w="1348" w:type="dxa"/>
          </w:tcPr>
          <w:p w14:paraId="4A9B94F3" w14:textId="77777777" w:rsidR="00ED23FF" w:rsidRPr="00ED23FF" w:rsidRDefault="00ED23FF" w:rsidP="00ED23FF"/>
        </w:tc>
        <w:tc>
          <w:tcPr>
            <w:tcW w:w="954" w:type="dxa"/>
          </w:tcPr>
          <w:p w14:paraId="4DAE0A5D" w14:textId="77777777" w:rsidR="00ED23FF" w:rsidRPr="00ED23FF" w:rsidRDefault="00ED23FF" w:rsidP="00ED23FF"/>
        </w:tc>
      </w:tr>
      <w:tr w:rsidR="00ED23FF" w14:paraId="42761196" w14:textId="77777777" w:rsidTr="00ED23FF">
        <w:tc>
          <w:tcPr>
            <w:tcW w:w="1409" w:type="dxa"/>
          </w:tcPr>
          <w:p w14:paraId="60197B26" w14:textId="2876C964" w:rsidR="00ED23FF" w:rsidRPr="00ED23FF" w:rsidRDefault="00ED23FF" w:rsidP="00ED23FF">
            <w:r w:rsidRPr="00ED23FF">
              <w:rPr>
                <w:i/>
                <w:iCs/>
              </w:rPr>
              <w:t>Нарушения на кожата и подкожната тъкан</w:t>
            </w:r>
          </w:p>
        </w:tc>
        <w:tc>
          <w:tcPr>
            <w:tcW w:w="1103" w:type="dxa"/>
          </w:tcPr>
          <w:p w14:paraId="4C963A45" w14:textId="77777777" w:rsidR="00ED23FF" w:rsidRPr="00ED23FF" w:rsidRDefault="00ED23FF" w:rsidP="00ED23FF"/>
        </w:tc>
        <w:tc>
          <w:tcPr>
            <w:tcW w:w="1503" w:type="dxa"/>
          </w:tcPr>
          <w:p w14:paraId="3A463E43" w14:textId="77777777" w:rsidR="00ED23FF" w:rsidRPr="00ED23FF" w:rsidRDefault="00ED23FF" w:rsidP="00ED23FF"/>
        </w:tc>
        <w:tc>
          <w:tcPr>
            <w:tcW w:w="1629" w:type="dxa"/>
          </w:tcPr>
          <w:p w14:paraId="33CF57F9" w14:textId="77777777" w:rsidR="00ED23FF" w:rsidRPr="00ED23FF" w:rsidRDefault="00ED23FF" w:rsidP="00ED23FF"/>
        </w:tc>
        <w:tc>
          <w:tcPr>
            <w:tcW w:w="1404" w:type="dxa"/>
          </w:tcPr>
          <w:p w14:paraId="346EB7CF" w14:textId="77777777" w:rsidR="00ED23FF" w:rsidRPr="00ED23FF" w:rsidRDefault="00ED23FF" w:rsidP="00ED23FF"/>
        </w:tc>
        <w:tc>
          <w:tcPr>
            <w:tcW w:w="1348" w:type="dxa"/>
          </w:tcPr>
          <w:p w14:paraId="168E5D90" w14:textId="7018C091" w:rsidR="00ED23FF" w:rsidRPr="00ED23FF" w:rsidRDefault="00ED23FF" w:rsidP="00ED23FF">
            <w:r w:rsidRPr="00ED23FF">
              <w:t xml:space="preserve">Ангиоедем </w:t>
            </w:r>
            <w:r w:rsidRPr="00ED23FF">
              <w:rPr>
                <w:vertAlign w:val="superscript"/>
              </w:rPr>
              <w:t>5</w:t>
            </w:r>
            <w:r w:rsidRPr="00ED23FF">
              <w:t>, синдром на Стивънс- Джонсьн</w:t>
            </w:r>
            <w:r w:rsidRPr="00ED23FF">
              <w:rPr>
                <w:vertAlign w:val="superscript"/>
              </w:rPr>
              <w:t>5</w:t>
            </w:r>
          </w:p>
        </w:tc>
        <w:tc>
          <w:tcPr>
            <w:tcW w:w="954" w:type="dxa"/>
            <w:vAlign w:val="bottom"/>
          </w:tcPr>
          <w:p w14:paraId="6EA81D39" w14:textId="00A06035" w:rsidR="00ED23FF" w:rsidRPr="00ED23FF" w:rsidRDefault="00ED23FF" w:rsidP="00ED23FF">
            <w:r w:rsidRPr="00ED23FF">
              <w:t>Токсична епидерма лна некролиза Еритема мултифор ме, остра генерали</w:t>
            </w:r>
            <w:r w:rsidRPr="00ED23FF">
              <w:softHyphen/>
              <w:t xml:space="preserve">зирана екзанте- матозна пустулоза </w:t>
            </w:r>
            <w:r w:rsidRPr="00ED23FF">
              <w:rPr>
                <w:lang w:val="en-US"/>
              </w:rPr>
              <w:t xml:space="preserve">(AGEP), </w:t>
            </w:r>
            <w:r w:rsidRPr="00ED23FF">
              <w:t>лекарст</w:t>
            </w:r>
            <w:r w:rsidRPr="00ED23FF">
              <w:softHyphen/>
              <w:t xml:space="preserve">вен обрив с еозино- филия и системни симптоми </w:t>
            </w:r>
            <w:r w:rsidRPr="00ED23FF">
              <w:rPr>
                <w:lang w:val="en-US"/>
              </w:rPr>
              <w:t xml:space="preserve">(DRESS), </w:t>
            </w:r>
            <w:r w:rsidRPr="00ED23FF">
              <w:t>кожен васкулит</w:t>
            </w:r>
          </w:p>
        </w:tc>
      </w:tr>
      <w:tr w:rsidR="00ED23FF" w14:paraId="0ADB0E3B" w14:textId="77777777" w:rsidTr="00ED23FF">
        <w:tc>
          <w:tcPr>
            <w:tcW w:w="1409" w:type="dxa"/>
            <w:vAlign w:val="bottom"/>
          </w:tcPr>
          <w:p w14:paraId="468D8753" w14:textId="23978987" w:rsidR="00ED23FF" w:rsidRPr="00ED23FF" w:rsidRDefault="00ED23FF" w:rsidP="00ED23FF">
            <w:r w:rsidRPr="00ED23FF">
              <w:rPr>
                <w:i/>
                <w:iCs/>
              </w:rPr>
              <w:t>Нарушения на мускулно- скелетна</w:t>
            </w:r>
            <w:r w:rsidRPr="00ED23FF">
              <w:rPr>
                <w:i/>
                <w:iCs/>
              </w:rPr>
              <w:lastRenderedPageBreak/>
              <w:t>та система и съединителнат а тъкан</w:t>
            </w:r>
          </w:p>
        </w:tc>
        <w:tc>
          <w:tcPr>
            <w:tcW w:w="1103" w:type="dxa"/>
          </w:tcPr>
          <w:p w14:paraId="3E8D6135" w14:textId="77777777" w:rsidR="00ED23FF" w:rsidRPr="00ED23FF" w:rsidRDefault="00ED23FF" w:rsidP="00ED23FF"/>
        </w:tc>
        <w:tc>
          <w:tcPr>
            <w:tcW w:w="1503" w:type="dxa"/>
          </w:tcPr>
          <w:p w14:paraId="50D6F0DD" w14:textId="77777777" w:rsidR="00ED23FF" w:rsidRPr="00ED23FF" w:rsidRDefault="00ED23FF" w:rsidP="00ED23FF"/>
        </w:tc>
        <w:tc>
          <w:tcPr>
            <w:tcW w:w="1629" w:type="dxa"/>
          </w:tcPr>
          <w:p w14:paraId="60E33A7B" w14:textId="77777777" w:rsidR="00ED23FF" w:rsidRPr="00ED23FF" w:rsidRDefault="00ED23FF" w:rsidP="00ED23FF"/>
        </w:tc>
        <w:tc>
          <w:tcPr>
            <w:tcW w:w="1404" w:type="dxa"/>
          </w:tcPr>
          <w:p w14:paraId="0847659E" w14:textId="77777777" w:rsidR="00ED23FF" w:rsidRPr="00ED23FF" w:rsidRDefault="00ED23FF" w:rsidP="00ED23FF"/>
        </w:tc>
        <w:tc>
          <w:tcPr>
            <w:tcW w:w="1348" w:type="dxa"/>
          </w:tcPr>
          <w:p w14:paraId="36120536" w14:textId="0783C355" w:rsidR="00ED23FF" w:rsidRPr="00ED23FF" w:rsidRDefault="00ED23FF" w:rsidP="00ED23FF">
            <w:r w:rsidRPr="00ED23FF">
              <w:t>Рабдомиол иза</w:t>
            </w:r>
          </w:p>
        </w:tc>
        <w:tc>
          <w:tcPr>
            <w:tcW w:w="954" w:type="dxa"/>
          </w:tcPr>
          <w:p w14:paraId="6C5EC5E7" w14:textId="77777777" w:rsidR="00ED23FF" w:rsidRPr="00ED23FF" w:rsidRDefault="00ED23FF" w:rsidP="00ED23FF"/>
        </w:tc>
      </w:tr>
      <w:tr w:rsidR="00ED23FF" w14:paraId="0D1E7DC1" w14:textId="77777777" w:rsidTr="00ED23FF">
        <w:tc>
          <w:tcPr>
            <w:tcW w:w="1409" w:type="dxa"/>
            <w:vAlign w:val="bottom"/>
          </w:tcPr>
          <w:p w14:paraId="10BDA2B6" w14:textId="64E95733" w:rsidR="00ED23FF" w:rsidRPr="00ED23FF" w:rsidRDefault="00ED23FF" w:rsidP="00ED23FF">
            <w:r w:rsidRPr="00ED23FF">
              <w:rPr>
                <w:i/>
                <w:iCs/>
              </w:rPr>
              <w:t>Нарушения на бъбреците и пикочните пътища</w:t>
            </w:r>
          </w:p>
        </w:tc>
        <w:tc>
          <w:tcPr>
            <w:tcW w:w="1103" w:type="dxa"/>
          </w:tcPr>
          <w:p w14:paraId="5617D936" w14:textId="77777777" w:rsidR="00ED23FF" w:rsidRPr="00ED23FF" w:rsidRDefault="00ED23FF" w:rsidP="00ED23FF"/>
        </w:tc>
        <w:tc>
          <w:tcPr>
            <w:tcW w:w="1503" w:type="dxa"/>
          </w:tcPr>
          <w:p w14:paraId="6BF4D630" w14:textId="77777777" w:rsidR="00ED23FF" w:rsidRPr="00ED23FF" w:rsidRDefault="00ED23FF" w:rsidP="00ED23FF"/>
        </w:tc>
        <w:tc>
          <w:tcPr>
            <w:tcW w:w="1629" w:type="dxa"/>
          </w:tcPr>
          <w:p w14:paraId="2AC9ED05" w14:textId="66C33460" w:rsidR="00ED23FF" w:rsidRPr="00ED23FF" w:rsidRDefault="00ED23FF" w:rsidP="00ED23FF">
            <w:r w:rsidRPr="00ED23FF">
              <w:t>Ретенция на урина</w:t>
            </w:r>
          </w:p>
        </w:tc>
        <w:tc>
          <w:tcPr>
            <w:tcW w:w="1404" w:type="dxa"/>
          </w:tcPr>
          <w:p w14:paraId="1F969CC7" w14:textId="77777777" w:rsidR="00ED23FF" w:rsidRPr="00ED23FF" w:rsidRDefault="00ED23FF" w:rsidP="00ED23FF"/>
        </w:tc>
        <w:tc>
          <w:tcPr>
            <w:tcW w:w="1348" w:type="dxa"/>
          </w:tcPr>
          <w:p w14:paraId="70094E77" w14:textId="77777777" w:rsidR="00ED23FF" w:rsidRPr="00ED23FF" w:rsidRDefault="00ED23FF" w:rsidP="00ED23FF"/>
        </w:tc>
        <w:tc>
          <w:tcPr>
            <w:tcW w:w="954" w:type="dxa"/>
          </w:tcPr>
          <w:p w14:paraId="301412B5" w14:textId="77777777" w:rsidR="00ED23FF" w:rsidRPr="00ED23FF" w:rsidRDefault="00ED23FF" w:rsidP="00ED23FF"/>
        </w:tc>
      </w:tr>
      <w:tr w:rsidR="00ED23FF" w14:paraId="28CDC2CA" w14:textId="77777777" w:rsidTr="00ED23FF">
        <w:tc>
          <w:tcPr>
            <w:tcW w:w="1409" w:type="dxa"/>
            <w:vAlign w:val="bottom"/>
          </w:tcPr>
          <w:p w14:paraId="65CAF9FA" w14:textId="69BD3E29" w:rsidR="00ED23FF" w:rsidRPr="00ED23FF" w:rsidRDefault="00ED23FF" w:rsidP="00ED23FF">
            <w:r w:rsidRPr="00ED23FF">
              <w:rPr>
                <w:i/>
                <w:iCs/>
              </w:rPr>
              <w:t>Състояния, свързани с бременността, родовия и послеродовия процес</w:t>
            </w:r>
          </w:p>
        </w:tc>
        <w:tc>
          <w:tcPr>
            <w:tcW w:w="1103" w:type="dxa"/>
          </w:tcPr>
          <w:p w14:paraId="36E4D3BF" w14:textId="77777777" w:rsidR="00ED23FF" w:rsidRPr="00ED23FF" w:rsidRDefault="00ED23FF" w:rsidP="00ED23FF"/>
        </w:tc>
        <w:tc>
          <w:tcPr>
            <w:tcW w:w="1503" w:type="dxa"/>
          </w:tcPr>
          <w:p w14:paraId="039C1DC2" w14:textId="77777777" w:rsidR="00ED23FF" w:rsidRPr="00ED23FF" w:rsidRDefault="00ED23FF" w:rsidP="00ED23FF"/>
        </w:tc>
        <w:tc>
          <w:tcPr>
            <w:tcW w:w="1629" w:type="dxa"/>
          </w:tcPr>
          <w:p w14:paraId="172E4703" w14:textId="77777777" w:rsidR="00ED23FF" w:rsidRPr="00ED23FF" w:rsidRDefault="00ED23FF" w:rsidP="00ED23FF"/>
        </w:tc>
        <w:tc>
          <w:tcPr>
            <w:tcW w:w="1404" w:type="dxa"/>
          </w:tcPr>
          <w:p w14:paraId="65670605" w14:textId="77777777" w:rsidR="00ED23FF" w:rsidRPr="00ED23FF" w:rsidRDefault="00ED23FF" w:rsidP="00ED23FF"/>
        </w:tc>
        <w:tc>
          <w:tcPr>
            <w:tcW w:w="1348" w:type="dxa"/>
          </w:tcPr>
          <w:p w14:paraId="3C5ED60B" w14:textId="77777777" w:rsidR="00ED23FF" w:rsidRPr="00ED23FF" w:rsidRDefault="00ED23FF" w:rsidP="00ED23FF"/>
        </w:tc>
        <w:tc>
          <w:tcPr>
            <w:tcW w:w="954" w:type="dxa"/>
            <w:vAlign w:val="bottom"/>
          </w:tcPr>
          <w:p w14:paraId="1D4630E0" w14:textId="1C068B54" w:rsidR="00ED23FF" w:rsidRPr="00ED23FF" w:rsidRDefault="00ED23FF" w:rsidP="00ED23FF">
            <w:r w:rsidRPr="00ED23FF">
              <w:t>Симптом на отнемане при новоро</w:t>
            </w:r>
            <w:r w:rsidRPr="00ED23FF">
              <w:softHyphen/>
              <w:t xml:space="preserve">деното </w:t>
            </w:r>
            <w:r w:rsidRPr="00ED23FF">
              <w:rPr>
                <w:vertAlign w:val="superscript"/>
              </w:rPr>
              <w:t>31</w:t>
            </w:r>
          </w:p>
        </w:tc>
      </w:tr>
      <w:tr w:rsidR="00ED23FF" w14:paraId="57F714B8" w14:textId="77777777" w:rsidTr="00ED23FF">
        <w:tc>
          <w:tcPr>
            <w:tcW w:w="1409" w:type="dxa"/>
          </w:tcPr>
          <w:p w14:paraId="78B688CF" w14:textId="183C68BF" w:rsidR="00ED23FF" w:rsidRPr="00ED23FF" w:rsidRDefault="00ED23FF" w:rsidP="00ED23FF">
            <w:r w:rsidRPr="00ED23FF">
              <w:rPr>
                <w:i/>
                <w:iCs/>
              </w:rPr>
              <w:t>Нарушения на възпроизводите лната система и гърдата</w:t>
            </w:r>
          </w:p>
        </w:tc>
        <w:tc>
          <w:tcPr>
            <w:tcW w:w="1103" w:type="dxa"/>
          </w:tcPr>
          <w:p w14:paraId="0DAB6DB4" w14:textId="77777777" w:rsidR="00ED23FF" w:rsidRPr="00ED23FF" w:rsidRDefault="00ED23FF" w:rsidP="00ED23FF"/>
        </w:tc>
        <w:tc>
          <w:tcPr>
            <w:tcW w:w="1503" w:type="dxa"/>
          </w:tcPr>
          <w:p w14:paraId="049C59A7" w14:textId="77777777" w:rsidR="00ED23FF" w:rsidRPr="00ED23FF" w:rsidRDefault="00ED23FF" w:rsidP="00ED23FF"/>
        </w:tc>
        <w:tc>
          <w:tcPr>
            <w:tcW w:w="1629" w:type="dxa"/>
          </w:tcPr>
          <w:p w14:paraId="7D28052D" w14:textId="608B1AC9" w:rsidR="00ED23FF" w:rsidRPr="00ED23FF" w:rsidRDefault="00ED23FF" w:rsidP="00ED23FF">
            <w:r w:rsidRPr="00ED23FF">
              <w:t>Сексуална дисфункция</w:t>
            </w:r>
          </w:p>
        </w:tc>
        <w:tc>
          <w:tcPr>
            <w:tcW w:w="1404" w:type="dxa"/>
            <w:vAlign w:val="bottom"/>
          </w:tcPr>
          <w:p w14:paraId="035B8151" w14:textId="538F8216" w:rsidR="00ED23FF" w:rsidRPr="00ED23FF" w:rsidRDefault="00ED23FF" w:rsidP="00ED23FF">
            <w:r w:rsidRPr="00ED23FF">
              <w:t>Прианизъм. галакторея, уголемяване на гърдите, менструални нарушения</w:t>
            </w:r>
          </w:p>
        </w:tc>
        <w:tc>
          <w:tcPr>
            <w:tcW w:w="1348" w:type="dxa"/>
          </w:tcPr>
          <w:p w14:paraId="687CBE8A" w14:textId="77777777" w:rsidR="00ED23FF" w:rsidRPr="00ED23FF" w:rsidRDefault="00ED23FF" w:rsidP="00ED23FF"/>
        </w:tc>
        <w:tc>
          <w:tcPr>
            <w:tcW w:w="954" w:type="dxa"/>
          </w:tcPr>
          <w:p w14:paraId="14A6A43A" w14:textId="77777777" w:rsidR="00ED23FF" w:rsidRPr="00ED23FF" w:rsidRDefault="00ED23FF" w:rsidP="00ED23FF"/>
        </w:tc>
      </w:tr>
      <w:tr w:rsidR="00ED23FF" w14:paraId="4AA330C0" w14:textId="77777777" w:rsidTr="00ED23FF">
        <w:tc>
          <w:tcPr>
            <w:tcW w:w="1409" w:type="dxa"/>
          </w:tcPr>
          <w:p w14:paraId="3CE2B3E8" w14:textId="437E6381" w:rsidR="00ED23FF" w:rsidRPr="00ED23FF" w:rsidRDefault="00ED23FF" w:rsidP="00ED23FF">
            <w:r w:rsidRPr="00ED23FF">
              <w:rPr>
                <w:i/>
                <w:iCs/>
              </w:rPr>
              <w:t>Общи нарушения и ефекти на мястото на приложение</w:t>
            </w:r>
          </w:p>
        </w:tc>
        <w:tc>
          <w:tcPr>
            <w:tcW w:w="1103" w:type="dxa"/>
          </w:tcPr>
          <w:p w14:paraId="601C95AF" w14:textId="62BC19B6" w:rsidR="00ED23FF" w:rsidRPr="00ED23FF" w:rsidRDefault="00ED23FF" w:rsidP="00ED23FF">
            <w:r w:rsidRPr="00ED23FF">
              <w:t>Симптоми на отнемане (на прекратява не)</w:t>
            </w:r>
          </w:p>
        </w:tc>
        <w:tc>
          <w:tcPr>
            <w:tcW w:w="1503" w:type="dxa"/>
          </w:tcPr>
          <w:p w14:paraId="43A74293" w14:textId="653350C1" w:rsidR="00ED23FF" w:rsidRPr="00ED23FF" w:rsidRDefault="00ED23FF" w:rsidP="00ED23FF">
            <w:r w:rsidRPr="00ED23FF">
              <w:t>Слабо изразена астения, периферен оток, раздразнителност, пирексия</w:t>
            </w:r>
          </w:p>
        </w:tc>
        <w:tc>
          <w:tcPr>
            <w:tcW w:w="1629" w:type="dxa"/>
          </w:tcPr>
          <w:p w14:paraId="02B1DFBE" w14:textId="77777777" w:rsidR="00ED23FF" w:rsidRPr="00ED23FF" w:rsidRDefault="00ED23FF" w:rsidP="00ED23FF"/>
        </w:tc>
        <w:tc>
          <w:tcPr>
            <w:tcW w:w="1404" w:type="dxa"/>
          </w:tcPr>
          <w:p w14:paraId="7CE1236F" w14:textId="7CADDCB1" w:rsidR="00ED23FF" w:rsidRPr="00ED23FF" w:rsidRDefault="00ED23FF" w:rsidP="00ED23FF">
            <w:r w:rsidRPr="00ED23FF">
              <w:t>Невролептичен малигнен синдром</w:t>
            </w:r>
            <w:r w:rsidRPr="00ED23FF">
              <w:rPr>
                <w:vertAlign w:val="superscript"/>
              </w:rPr>
              <w:t>1</w:t>
            </w:r>
            <w:r w:rsidRPr="00ED23FF">
              <w:t>, хипотермия</w:t>
            </w:r>
          </w:p>
        </w:tc>
        <w:tc>
          <w:tcPr>
            <w:tcW w:w="1348" w:type="dxa"/>
          </w:tcPr>
          <w:p w14:paraId="641947FE" w14:textId="77777777" w:rsidR="00ED23FF" w:rsidRPr="00ED23FF" w:rsidRDefault="00ED23FF" w:rsidP="00ED23FF"/>
        </w:tc>
        <w:tc>
          <w:tcPr>
            <w:tcW w:w="954" w:type="dxa"/>
          </w:tcPr>
          <w:p w14:paraId="38EBD6FB" w14:textId="77777777" w:rsidR="00ED23FF" w:rsidRPr="00ED23FF" w:rsidRDefault="00ED23FF" w:rsidP="00ED23FF"/>
        </w:tc>
      </w:tr>
      <w:tr w:rsidR="00ED23FF" w14:paraId="3E196C9D" w14:textId="77777777" w:rsidTr="00ED23FF">
        <w:tc>
          <w:tcPr>
            <w:tcW w:w="1409" w:type="dxa"/>
          </w:tcPr>
          <w:p w14:paraId="71922038" w14:textId="34F877AD" w:rsidR="00ED23FF" w:rsidRPr="00ED23FF" w:rsidRDefault="00ED23FF" w:rsidP="00ED23FF">
            <w:r w:rsidRPr="00ED23FF">
              <w:rPr>
                <w:i/>
                <w:iCs/>
              </w:rPr>
              <w:t>Изследвания</w:t>
            </w:r>
          </w:p>
        </w:tc>
        <w:tc>
          <w:tcPr>
            <w:tcW w:w="1103" w:type="dxa"/>
          </w:tcPr>
          <w:p w14:paraId="0DEB08D2" w14:textId="77777777" w:rsidR="00ED23FF" w:rsidRPr="00ED23FF" w:rsidRDefault="00ED23FF" w:rsidP="00ED23FF"/>
        </w:tc>
        <w:tc>
          <w:tcPr>
            <w:tcW w:w="1503" w:type="dxa"/>
          </w:tcPr>
          <w:p w14:paraId="0CBE192A" w14:textId="77777777" w:rsidR="00ED23FF" w:rsidRPr="00ED23FF" w:rsidRDefault="00ED23FF" w:rsidP="00ED23FF"/>
        </w:tc>
        <w:tc>
          <w:tcPr>
            <w:tcW w:w="1629" w:type="dxa"/>
          </w:tcPr>
          <w:p w14:paraId="73D80E90" w14:textId="77777777" w:rsidR="00ED23FF" w:rsidRPr="00ED23FF" w:rsidRDefault="00ED23FF" w:rsidP="00ED23FF"/>
        </w:tc>
        <w:tc>
          <w:tcPr>
            <w:tcW w:w="1404" w:type="dxa"/>
            <w:vAlign w:val="bottom"/>
          </w:tcPr>
          <w:p w14:paraId="3B13E79D" w14:textId="77777777" w:rsidR="00ED23FF" w:rsidRPr="00ED23FF" w:rsidRDefault="00ED23FF" w:rsidP="00ED23FF">
            <w:r w:rsidRPr="00ED23FF">
              <w:t>Повишени</w:t>
            </w:r>
          </w:p>
          <w:p w14:paraId="42B38DE4" w14:textId="05A93B9E" w:rsidR="00ED23FF" w:rsidRPr="00ED23FF" w:rsidRDefault="00ED23FF" w:rsidP="00ED23FF">
            <w:r w:rsidRPr="00ED23FF">
              <w:t>стойности на  креатинфосфоки назата в кръвта</w:t>
            </w:r>
            <w:r w:rsidRPr="00ED23FF">
              <w:rPr>
                <w:vertAlign w:val="superscript"/>
              </w:rPr>
              <w:t>14</w:t>
            </w:r>
            <w:r w:rsidRPr="00ED23FF">
              <w:t xml:space="preserve"> </w:t>
            </w:r>
          </w:p>
        </w:tc>
        <w:tc>
          <w:tcPr>
            <w:tcW w:w="1348" w:type="dxa"/>
            <w:vAlign w:val="center"/>
          </w:tcPr>
          <w:p w14:paraId="7D574D19" w14:textId="77777777" w:rsidR="00ED23FF" w:rsidRPr="00ED23FF" w:rsidRDefault="00ED23FF" w:rsidP="00ED23FF"/>
        </w:tc>
        <w:tc>
          <w:tcPr>
            <w:tcW w:w="954" w:type="dxa"/>
            <w:vAlign w:val="center"/>
          </w:tcPr>
          <w:p w14:paraId="1935C028" w14:textId="77777777" w:rsidR="00ED23FF" w:rsidRPr="00ED23FF" w:rsidRDefault="00ED23FF" w:rsidP="00ED23FF"/>
        </w:tc>
      </w:tr>
    </w:tbl>
    <w:p w14:paraId="7C7501CE" w14:textId="77777777" w:rsidR="00ED23FF" w:rsidRDefault="00ED23FF" w:rsidP="00ED23FF">
      <w:pPr>
        <w:spacing w:line="240" w:lineRule="auto"/>
      </w:pPr>
    </w:p>
    <w:p w14:paraId="6F04C78A" w14:textId="673A89E0" w:rsidR="00ED23FF" w:rsidRPr="00ED23FF" w:rsidRDefault="00ED23FF" w:rsidP="00ED23FF">
      <w:pPr>
        <w:spacing w:line="240" w:lineRule="auto"/>
      </w:pPr>
      <w:r w:rsidRPr="00ED23FF">
        <w:t>1. Вж. точка 4.4</w:t>
      </w:r>
    </w:p>
    <w:p w14:paraId="5711B38E" w14:textId="4232B5C7" w:rsidR="00ED23FF" w:rsidRPr="00ED23FF" w:rsidRDefault="00ED23FF" w:rsidP="00ED23FF">
      <w:pPr>
        <w:spacing w:line="240" w:lineRule="auto"/>
      </w:pPr>
      <w:r w:rsidRPr="00ED23FF">
        <w:t>2. Сомнолентност може да се наблюдава, обикновено през първите две седмици от лечението и</w:t>
      </w:r>
      <w:r w:rsidRPr="00ED23FF">
        <w:rPr>
          <w:i/>
          <w:iCs/>
        </w:rPr>
        <w:t xml:space="preserve"> </w:t>
      </w:r>
      <w:r w:rsidRPr="00ED23FF">
        <w:t>обикновено отзвучава в хода на лечението с кветиапин.</w:t>
      </w:r>
    </w:p>
    <w:p w14:paraId="3E6F3517" w14:textId="2E7464F7" w:rsidR="00ED23FF" w:rsidRPr="00ED23FF" w:rsidRDefault="00ED23FF" w:rsidP="00ED23FF">
      <w:pPr>
        <w:spacing w:line="240" w:lineRule="auto"/>
      </w:pPr>
      <w:r w:rsidRPr="00ED23FF">
        <w:lastRenderedPageBreak/>
        <w:t>3</w:t>
      </w:r>
      <w:r w:rsidRPr="00ED23FF">
        <w:rPr>
          <w:lang w:val="en-US"/>
        </w:rPr>
        <w:t>.</w:t>
      </w:r>
      <w:r w:rsidRPr="00ED23FF">
        <w:t xml:space="preserve"> Асимптоматично повишение (промяна от нормални до &gt; 3 х </w:t>
      </w:r>
      <w:r w:rsidRPr="00ED23FF">
        <w:rPr>
          <w:lang w:val="en-US"/>
        </w:rPr>
        <w:t xml:space="preserve">ULN </w:t>
      </w:r>
      <w:r w:rsidRPr="00ED23FF">
        <w:t xml:space="preserve">по всяко време) на серумните трансаминази </w:t>
      </w:r>
      <w:r w:rsidRPr="00ED23FF">
        <w:rPr>
          <w:lang w:val="en-US"/>
        </w:rPr>
        <w:t xml:space="preserve">(ALT, AST) </w:t>
      </w:r>
      <w:r w:rsidRPr="00ED23FF">
        <w:t>или на стойностите на гама</w:t>
      </w:r>
      <w:r w:rsidRPr="00ED23FF">
        <w:rPr>
          <w:lang w:val="en-US"/>
        </w:rPr>
        <w:t xml:space="preserve">-GT </w:t>
      </w:r>
      <w:r w:rsidRPr="00ED23FF">
        <w:t>е било наблюдавано при някои пациенти, получаващи кветиапин. Тези повишения обикновено са обратими в хода на лечението с кветиапин.</w:t>
      </w:r>
    </w:p>
    <w:p w14:paraId="2F8BC247" w14:textId="4252311F" w:rsidR="00ED23FF" w:rsidRPr="00ED23FF" w:rsidRDefault="00ED23FF" w:rsidP="00ED23FF">
      <w:pPr>
        <w:spacing w:line="240" w:lineRule="auto"/>
      </w:pPr>
      <w:r w:rsidRPr="00ED23FF">
        <w:t>4</w:t>
      </w:r>
      <w:r w:rsidRPr="00ED23FF">
        <w:rPr>
          <w:lang w:val="en-US"/>
        </w:rPr>
        <w:t>.</w:t>
      </w:r>
      <w:r w:rsidRPr="00ED23FF">
        <w:t xml:space="preserve"> Както и при другите антипсихотици с алфа-1 адренергична блокираща активност, кветиапин често може да индуцира ортостатична хипотония, свързана със замайване, тахикардия и при някои пациенти синкоп, особено по време на началното титриране на дозата (вж. точка 4.4).</w:t>
      </w:r>
    </w:p>
    <w:p w14:paraId="7CA0C3F1" w14:textId="6633407C" w:rsidR="00ED23FF" w:rsidRPr="00ED23FF" w:rsidRDefault="00ED23FF" w:rsidP="00ED23FF">
      <w:pPr>
        <w:spacing w:line="240" w:lineRule="auto"/>
      </w:pPr>
      <w:r w:rsidRPr="00ED23FF">
        <w:t>5</w:t>
      </w:r>
      <w:r w:rsidRPr="00ED23FF">
        <w:rPr>
          <w:lang w:val="en-US"/>
        </w:rPr>
        <w:t>.</w:t>
      </w:r>
      <w:r w:rsidRPr="00ED23FF">
        <w:t xml:space="preserve"> Изчислението на честотата на странични ефекти е въз основа само на данните от посмаркетингови проучвания</w:t>
      </w:r>
    </w:p>
    <w:p w14:paraId="06346342" w14:textId="573DC729" w:rsidR="00ED23FF" w:rsidRPr="00ED23FF" w:rsidRDefault="00ED23FF" w:rsidP="00ED23FF">
      <w:pPr>
        <w:spacing w:line="240" w:lineRule="auto"/>
      </w:pPr>
      <w:r w:rsidRPr="00ED23FF">
        <w:t>6</w:t>
      </w:r>
      <w:r w:rsidRPr="00ED23FF">
        <w:rPr>
          <w:lang w:val="en-US"/>
        </w:rPr>
        <w:t>.</w:t>
      </w:r>
      <w:r w:rsidRPr="00ED23FF">
        <w:t xml:space="preserve"> Стойности на кръвната захар на гладно ≥ 126 </w:t>
      </w:r>
      <w:r w:rsidRPr="00ED23FF">
        <w:rPr>
          <w:lang w:val="en-US"/>
        </w:rPr>
        <w:t xml:space="preserve">mg/dl </w:t>
      </w:r>
      <w:r w:rsidRPr="00ED23FF">
        <w:t xml:space="preserve">(≥ 7,0 </w:t>
      </w:r>
      <w:proofErr w:type="spellStart"/>
      <w:r w:rsidRPr="00ED23FF">
        <w:rPr>
          <w:lang w:val="en-US"/>
        </w:rPr>
        <w:t>mmol</w:t>
      </w:r>
      <w:proofErr w:type="spellEnd"/>
      <w:r w:rsidRPr="00ED23FF">
        <w:rPr>
          <w:lang w:val="en-US"/>
        </w:rPr>
        <w:t xml:space="preserve">/l) </w:t>
      </w:r>
      <w:r w:rsidRPr="00ED23FF">
        <w:t xml:space="preserve">или след нахранване </w:t>
      </w:r>
    </w:p>
    <w:p w14:paraId="39E31DA5" w14:textId="77777777" w:rsidR="00ED23FF" w:rsidRPr="00ED23FF" w:rsidRDefault="00ED23FF" w:rsidP="00ED23FF">
      <w:r w:rsidRPr="00ED23FF">
        <w:t xml:space="preserve">≥ 200 </w:t>
      </w:r>
      <w:r w:rsidRPr="00ED23FF">
        <w:rPr>
          <w:lang w:val="en-US"/>
        </w:rPr>
        <w:t xml:space="preserve">mg/dl </w:t>
      </w:r>
      <w:r w:rsidRPr="00ED23FF">
        <w:t xml:space="preserve">(≥11,1 </w:t>
      </w:r>
      <w:proofErr w:type="spellStart"/>
      <w:r w:rsidRPr="00ED23FF">
        <w:rPr>
          <w:lang w:val="en-US"/>
        </w:rPr>
        <w:t>mmol</w:t>
      </w:r>
      <w:proofErr w:type="spellEnd"/>
      <w:r w:rsidRPr="00ED23FF">
        <w:rPr>
          <w:lang w:val="en-US"/>
        </w:rPr>
        <w:t xml:space="preserve">/l) </w:t>
      </w:r>
      <w:r w:rsidRPr="00ED23FF">
        <w:t>отчетени поне веднъж.</w:t>
      </w:r>
    </w:p>
    <w:p w14:paraId="35CD8BA0" w14:textId="780E623B" w:rsidR="00ED23FF" w:rsidRPr="00ED23FF" w:rsidRDefault="00ED23FF" w:rsidP="00ED23FF">
      <w:r w:rsidRPr="00ED23FF">
        <w:t>7</w:t>
      </w:r>
      <w:r w:rsidRPr="00ED23FF">
        <w:rPr>
          <w:lang w:val="en-US"/>
        </w:rPr>
        <w:t>.</w:t>
      </w:r>
      <w:r w:rsidRPr="00ED23FF">
        <w:t xml:space="preserve"> Увеличаване на честотата на дисфагия с кветиапин спрямо плацебо е наблюдавана само в клинични изпитвания при биполярна депресия.</w:t>
      </w:r>
    </w:p>
    <w:p w14:paraId="29723F7C" w14:textId="5ADB78AE" w:rsidR="00ED23FF" w:rsidRPr="00ED23FF" w:rsidRDefault="00ED23FF" w:rsidP="00ED23FF">
      <w:pPr>
        <w:spacing w:line="240" w:lineRule="auto"/>
      </w:pPr>
      <w:r w:rsidRPr="00ED23FF">
        <w:t>8</w:t>
      </w:r>
      <w:r w:rsidRPr="00ED23FF">
        <w:rPr>
          <w:lang w:val="en-US"/>
        </w:rPr>
        <w:t>.</w:t>
      </w:r>
      <w:r w:rsidRPr="00ED23FF">
        <w:t xml:space="preserve"> Въз основа на &gt; 7 % увеличаване на телесното тегло спрямо изходната стойност. Настъпва предимно през първите седмици от лечението.</w:t>
      </w:r>
    </w:p>
    <w:p w14:paraId="1EFA4108" w14:textId="30B17FCE" w:rsidR="00ED23FF" w:rsidRPr="00ED23FF" w:rsidRDefault="00ED23FF" w:rsidP="00ED23FF">
      <w:pPr>
        <w:spacing w:line="240" w:lineRule="auto"/>
      </w:pPr>
      <w:r w:rsidRPr="00ED23FF">
        <w:t>9</w:t>
      </w:r>
      <w:r w:rsidRPr="00ED23FF">
        <w:rPr>
          <w:lang w:val="en-US"/>
        </w:rPr>
        <w:t>.</w:t>
      </w:r>
      <w:r w:rsidRPr="00ED23FF">
        <w:t xml:space="preserve"> Следните симптоми на отнемане са наблюдавани най-често при плацебо-контролирани, клинични изпитвания с монотерапия в острата фаза, които оценяват симптомите при преустановяване на терапията: безсъние, гадене, главоболие, диария, повръщане, замаяност и раздразнителност. Честотата на тези реакции се е понижила значително 1 седмица след прекъсването.</w:t>
      </w:r>
    </w:p>
    <w:p w14:paraId="019D803D" w14:textId="2480DE73" w:rsidR="00ED23FF" w:rsidRPr="00ED23FF" w:rsidRDefault="00ED23FF" w:rsidP="00ED23FF">
      <w:pPr>
        <w:spacing w:line="240" w:lineRule="auto"/>
      </w:pPr>
      <w:r w:rsidRPr="00ED23FF">
        <w:t>10</w:t>
      </w:r>
      <w:r w:rsidRPr="00ED23FF">
        <w:rPr>
          <w:lang w:val="en-US"/>
        </w:rPr>
        <w:t>.</w:t>
      </w:r>
      <w:r w:rsidRPr="00ED23FF">
        <w:t xml:space="preserve"> Триглицериди ≥ 200 </w:t>
      </w:r>
      <w:r w:rsidRPr="00ED23FF">
        <w:rPr>
          <w:lang w:val="en-US"/>
        </w:rPr>
        <w:t xml:space="preserve">mg/dl </w:t>
      </w:r>
      <w:r w:rsidRPr="00ED23FF">
        <w:t xml:space="preserve">(≥ 2,258 </w:t>
      </w:r>
      <w:proofErr w:type="spellStart"/>
      <w:r w:rsidRPr="00ED23FF">
        <w:rPr>
          <w:lang w:val="en-US"/>
        </w:rPr>
        <w:t>mmol</w:t>
      </w:r>
      <w:proofErr w:type="spellEnd"/>
      <w:r w:rsidRPr="00ED23FF">
        <w:rPr>
          <w:lang w:val="en-US"/>
        </w:rPr>
        <w:t xml:space="preserve">/l) </w:t>
      </w:r>
      <w:r w:rsidRPr="00ED23FF">
        <w:t xml:space="preserve">(пациенти ≥ 18-годишна възраст) или ≥150 </w:t>
      </w:r>
      <w:r w:rsidRPr="00ED23FF">
        <w:rPr>
          <w:lang w:val="en-US"/>
        </w:rPr>
        <w:t xml:space="preserve">mg/dl </w:t>
      </w:r>
      <w:r w:rsidRPr="00ED23FF">
        <w:t xml:space="preserve">(≥ 1,694 </w:t>
      </w:r>
      <w:proofErr w:type="spellStart"/>
      <w:r w:rsidRPr="00ED23FF">
        <w:rPr>
          <w:lang w:val="en-US"/>
        </w:rPr>
        <w:t>mmol</w:t>
      </w:r>
      <w:proofErr w:type="spellEnd"/>
      <w:r w:rsidRPr="00ED23FF">
        <w:rPr>
          <w:lang w:val="en-US"/>
        </w:rPr>
        <w:t xml:space="preserve">/l) </w:t>
      </w:r>
      <w:r w:rsidRPr="00ED23FF">
        <w:t>(пациенти &lt; 18-годишна възраст) при поне един случай.</w:t>
      </w:r>
    </w:p>
    <w:p w14:paraId="124D5DB5" w14:textId="7EE2A8BB" w:rsidR="00ED23FF" w:rsidRPr="00ED23FF" w:rsidRDefault="00ED23FF" w:rsidP="00ED23FF">
      <w:pPr>
        <w:spacing w:line="240" w:lineRule="auto"/>
      </w:pPr>
      <w:r w:rsidRPr="00ED23FF">
        <w:t>11</w:t>
      </w:r>
      <w:r w:rsidRPr="00ED23FF">
        <w:rPr>
          <w:lang w:val="en-US"/>
        </w:rPr>
        <w:t>.</w:t>
      </w:r>
      <w:r w:rsidRPr="00ED23FF">
        <w:t xml:space="preserve"> Холестерол &gt; 240 </w:t>
      </w:r>
      <w:r w:rsidRPr="00ED23FF">
        <w:rPr>
          <w:lang w:val="en-US"/>
        </w:rPr>
        <w:t xml:space="preserve">mg/dl </w:t>
      </w:r>
      <w:r w:rsidRPr="00ED23FF">
        <w:t xml:space="preserve">(≥ 6,2064 </w:t>
      </w:r>
      <w:proofErr w:type="spellStart"/>
      <w:r w:rsidRPr="00ED23FF">
        <w:rPr>
          <w:lang w:val="en-US"/>
        </w:rPr>
        <w:t>mmol</w:t>
      </w:r>
      <w:proofErr w:type="spellEnd"/>
      <w:r w:rsidRPr="00ED23FF">
        <w:rPr>
          <w:lang w:val="en-US"/>
        </w:rPr>
        <w:t xml:space="preserve">/l) </w:t>
      </w:r>
      <w:r w:rsidRPr="00ED23FF">
        <w:t xml:space="preserve">(пациенти ≥ 18-годишна възраст) или ≥ 200 </w:t>
      </w:r>
      <w:r w:rsidRPr="00ED23FF">
        <w:rPr>
          <w:lang w:val="en-US"/>
        </w:rPr>
        <w:t xml:space="preserve">mg/dl </w:t>
      </w:r>
      <w:r w:rsidRPr="00ED23FF">
        <w:t xml:space="preserve">(≥ 5,172 </w:t>
      </w:r>
      <w:proofErr w:type="spellStart"/>
      <w:r w:rsidRPr="00ED23FF">
        <w:rPr>
          <w:lang w:val="en-US"/>
        </w:rPr>
        <w:t>mmol</w:t>
      </w:r>
      <w:proofErr w:type="spellEnd"/>
      <w:r w:rsidRPr="00ED23FF">
        <w:rPr>
          <w:lang w:val="en-US"/>
        </w:rPr>
        <w:t xml:space="preserve">/1) </w:t>
      </w:r>
      <w:r w:rsidRPr="00ED23FF">
        <w:t xml:space="preserve">(пациенти &lt; 18-годишна възраст) при поне един случай. Много често е наблюдавано повишение на </w:t>
      </w:r>
      <w:r w:rsidRPr="00ED23FF">
        <w:rPr>
          <w:lang w:val="en-US"/>
        </w:rPr>
        <w:t xml:space="preserve">LDL </w:t>
      </w:r>
      <w:r w:rsidRPr="00ED23FF">
        <w:t xml:space="preserve">холестерола от ≥ 30 </w:t>
      </w:r>
      <w:r w:rsidRPr="00ED23FF">
        <w:rPr>
          <w:lang w:val="en-US"/>
        </w:rPr>
        <w:t xml:space="preserve">mg/dl </w:t>
      </w:r>
      <w:r w:rsidRPr="00ED23FF">
        <w:t xml:space="preserve">(≥ 0,769 </w:t>
      </w:r>
      <w:proofErr w:type="spellStart"/>
      <w:r w:rsidRPr="00ED23FF">
        <w:rPr>
          <w:lang w:val="en-US"/>
        </w:rPr>
        <w:t>mmol</w:t>
      </w:r>
      <w:proofErr w:type="spellEnd"/>
      <w:r w:rsidRPr="00ED23FF">
        <w:rPr>
          <w:lang w:val="en-US"/>
        </w:rPr>
        <w:t xml:space="preserve">/l). </w:t>
      </w:r>
      <w:r w:rsidRPr="00ED23FF">
        <w:t xml:space="preserve">Средната промяна сред пациентите, които са имали такова покачване, е била 41,7 </w:t>
      </w:r>
      <w:r w:rsidRPr="00ED23FF">
        <w:rPr>
          <w:lang w:val="en-US"/>
        </w:rPr>
        <w:t xml:space="preserve">mg/dl </w:t>
      </w:r>
      <w:r w:rsidRPr="00ED23FF">
        <w:t xml:space="preserve">(≥ 1,07 </w:t>
      </w:r>
      <w:proofErr w:type="spellStart"/>
      <w:r w:rsidRPr="00ED23FF">
        <w:rPr>
          <w:lang w:val="en-US"/>
        </w:rPr>
        <w:t>mmol</w:t>
      </w:r>
      <w:proofErr w:type="spellEnd"/>
      <w:r w:rsidRPr="00ED23FF">
        <w:rPr>
          <w:lang w:val="en-US"/>
        </w:rPr>
        <w:t>/l).</w:t>
      </w:r>
    </w:p>
    <w:p w14:paraId="256105DE" w14:textId="58700EA9" w:rsidR="00ED23FF" w:rsidRPr="00ED23FF" w:rsidRDefault="00ED23FF" w:rsidP="00ED23FF">
      <w:pPr>
        <w:spacing w:line="240" w:lineRule="auto"/>
      </w:pPr>
      <w:r w:rsidRPr="00ED23FF">
        <w:t>12</w:t>
      </w:r>
      <w:r w:rsidRPr="00ED23FF">
        <w:rPr>
          <w:lang w:val="en-US"/>
        </w:rPr>
        <w:t>.</w:t>
      </w:r>
      <w:r w:rsidRPr="00ED23FF">
        <w:t xml:space="preserve"> Вижте текста по-долу.</w:t>
      </w:r>
    </w:p>
    <w:p w14:paraId="44263F80" w14:textId="5DEF45A1" w:rsidR="00ED23FF" w:rsidRPr="00ED23FF" w:rsidRDefault="00ED23FF" w:rsidP="00ED23FF">
      <w:pPr>
        <w:spacing w:line="240" w:lineRule="auto"/>
      </w:pPr>
      <w:r w:rsidRPr="00ED23FF">
        <w:t>13</w:t>
      </w:r>
      <w:r w:rsidRPr="00ED23FF">
        <w:rPr>
          <w:lang w:val="en-US"/>
        </w:rPr>
        <w:t>.</w:t>
      </w:r>
      <w:r w:rsidRPr="00ED23FF">
        <w:t xml:space="preserve"> Тромбоцити ≤ 100 х 10</w:t>
      </w:r>
      <w:r w:rsidRPr="00ED23FF">
        <w:rPr>
          <w:vertAlign w:val="superscript"/>
        </w:rPr>
        <w:t>9</w:t>
      </w:r>
      <w:r w:rsidRPr="00ED23FF">
        <w:t>/</w:t>
      </w:r>
      <w:r w:rsidRPr="00ED23FF">
        <w:rPr>
          <w:lang w:val="en-US"/>
        </w:rPr>
        <w:t>l</w:t>
      </w:r>
      <w:r w:rsidRPr="00ED23FF">
        <w:t xml:space="preserve"> при поне един случай.</w:t>
      </w:r>
    </w:p>
    <w:p w14:paraId="0A5EE653" w14:textId="3F4F2255" w:rsidR="00ED23FF" w:rsidRPr="00ED23FF" w:rsidRDefault="00ED23FF" w:rsidP="00ED23FF">
      <w:pPr>
        <w:spacing w:line="240" w:lineRule="auto"/>
      </w:pPr>
      <w:r w:rsidRPr="00ED23FF">
        <w:t>14</w:t>
      </w:r>
      <w:r w:rsidRPr="00ED23FF">
        <w:rPr>
          <w:lang w:val="en-US"/>
        </w:rPr>
        <w:t>.</w:t>
      </w:r>
      <w:r w:rsidRPr="00ED23FF">
        <w:t xml:space="preserve"> Въз основа на съобщения за нежелани събития от клинични изпитвания за повишаване на серумната креатинфосфокиназа, несвързано със невролептичен малигнен синдром.</w:t>
      </w:r>
    </w:p>
    <w:p w14:paraId="75B6A2F0" w14:textId="59E4DF7C" w:rsidR="00ED23FF" w:rsidRPr="00ED23FF" w:rsidRDefault="00ED23FF" w:rsidP="00ED23FF">
      <w:pPr>
        <w:spacing w:line="240" w:lineRule="auto"/>
      </w:pPr>
      <w:r w:rsidRPr="00ED23FF">
        <w:t>15</w:t>
      </w:r>
      <w:r w:rsidRPr="00ED23FF">
        <w:rPr>
          <w:lang w:val="en-US"/>
        </w:rPr>
        <w:t>.</w:t>
      </w:r>
      <w:r w:rsidRPr="00ED23FF">
        <w:t xml:space="preserve"> Пролактинови стойности (пациенти&gt; 18-годишна възраст): мъже &gt; 20 μ</w:t>
      </w:r>
      <w:r w:rsidRPr="00ED23FF">
        <w:rPr>
          <w:lang w:val="en-US"/>
        </w:rPr>
        <w:t xml:space="preserve">g/l </w:t>
      </w:r>
      <w:r w:rsidRPr="00ED23FF">
        <w:t xml:space="preserve">(&gt; 869,56 </w:t>
      </w:r>
      <w:proofErr w:type="spellStart"/>
      <w:r w:rsidRPr="00ED23FF">
        <w:rPr>
          <w:lang w:val="en-US"/>
        </w:rPr>
        <w:t>pmol</w:t>
      </w:r>
      <w:proofErr w:type="spellEnd"/>
      <w:r w:rsidRPr="00ED23FF">
        <w:rPr>
          <w:lang w:val="en-US"/>
        </w:rPr>
        <w:t xml:space="preserve">/1); </w:t>
      </w:r>
      <w:r w:rsidRPr="00ED23FF">
        <w:t>жени &gt; 30 μ</w:t>
      </w:r>
      <w:r w:rsidRPr="00ED23FF">
        <w:rPr>
          <w:lang w:val="en-US"/>
        </w:rPr>
        <w:t xml:space="preserve">g/l </w:t>
      </w:r>
      <w:r w:rsidRPr="00ED23FF">
        <w:t xml:space="preserve">(&gt; 1 304,34 </w:t>
      </w:r>
      <w:proofErr w:type="spellStart"/>
      <w:r w:rsidRPr="00ED23FF">
        <w:rPr>
          <w:lang w:val="en-US"/>
        </w:rPr>
        <w:t>pmol</w:t>
      </w:r>
      <w:proofErr w:type="spellEnd"/>
      <w:r w:rsidRPr="00ED23FF">
        <w:rPr>
          <w:lang w:val="en-US"/>
        </w:rPr>
        <w:t>/l</w:t>
      </w:r>
      <w:r w:rsidRPr="00ED23FF">
        <w:t>) по всяко време.</w:t>
      </w:r>
    </w:p>
    <w:p w14:paraId="7A95D881" w14:textId="3C5E7243" w:rsidR="00ED23FF" w:rsidRPr="00ED23FF" w:rsidRDefault="00ED23FF" w:rsidP="00ED23FF">
      <w:pPr>
        <w:spacing w:line="240" w:lineRule="auto"/>
      </w:pPr>
      <w:r w:rsidRPr="00ED23FF">
        <w:t>16</w:t>
      </w:r>
      <w:r w:rsidRPr="00ED23FF">
        <w:rPr>
          <w:lang w:val="en-US"/>
        </w:rPr>
        <w:t>.</w:t>
      </w:r>
      <w:r w:rsidRPr="00ED23FF">
        <w:t xml:space="preserve"> Може да доведе до падане.</w:t>
      </w:r>
    </w:p>
    <w:p w14:paraId="619FCEDD" w14:textId="0E52427E" w:rsidR="00ED23FF" w:rsidRPr="00ED23FF" w:rsidRDefault="00ED23FF" w:rsidP="00ED23FF">
      <w:pPr>
        <w:spacing w:line="240" w:lineRule="auto"/>
        <w:rPr>
          <w:lang w:val="en-US"/>
        </w:rPr>
      </w:pPr>
      <w:r w:rsidRPr="00ED23FF">
        <w:t>17</w:t>
      </w:r>
      <w:r w:rsidRPr="00ED23FF">
        <w:rPr>
          <w:lang w:val="en-US"/>
        </w:rPr>
        <w:t>.</w:t>
      </w:r>
      <w:r w:rsidRPr="00ED23FF">
        <w:t xml:space="preserve"> </w:t>
      </w:r>
      <w:r w:rsidRPr="00ED23FF">
        <w:rPr>
          <w:lang w:val="en-US"/>
        </w:rPr>
        <w:t xml:space="preserve">HDL </w:t>
      </w:r>
      <w:r w:rsidRPr="00ED23FF">
        <w:t xml:space="preserve">холестерол: мъже &lt; 40 </w:t>
      </w:r>
      <w:r w:rsidRPr="00ED23FF">
        <w:rPr>
          <w:lang w:val="en-US"/>
        </w:rPr>
        <w:t xml:space="preserve">mg/dl </w:t>
      </w:r>
      <w:r w:rsidRPr="00ED23FF">
        <w:t xml:space="preserve">(1,025 </w:t>
      </w:r>
      <w:proofErr w:type="spellStart"/>
      <w:r w:rsidRPr="00ED23FF">
        <w:rPr>
          <w:lang w:val="en-US"/>
        </w:rPr>
        <w:t>mmol</w:t>
      </w:r>
      <w:proofErr w:type="spellEnd"/>
      <w:r w:rsidRPr="00ED23FF">
        <w:rPr>
          <w:lang w:val="en-US"/>
        </w:rPr>
        <w:t xml:space="preserve">/I); </w:t>
      </w:r>
      <w:r w:rsidRPr="00ED23FF">
        <w:t xml:space="preserve">жени &lt; 50 </w:t>
      </w:r>
      <w:r w:rsidRPr="00ED23FF">
        <w:rPr>
          <w:lang w:val="en-US"/>
        </w:rPr>
        <w:t xml:space="preserve">mg/dl </w:t>
      </w:r>
      <w:r w:rsidRPr="00ED23FF">
        <w:t xml:space="preserve">(1,282 </w:t>
      </w:r>
      <w:proofErr w:type="spellStart"/>
      <w:r w:rsidRPr="00ED23FF">
        <w:rPr>
          <w:lang w:val="en-US"/>
        </w:rPr>
        <w:t>mmol</w:t>
      </w:r>
      <w:proofErr w:type="spellEnd"/>
      <w:r w:rsidRPr="00ED23FF">
        <w:rPr>
          <w:lang w:val="en-US"/>
        </w:rPr>
        <w:t xml:space="preserve">/1) </w:t>
      </w:r>
      <w:r w:rsidRPr="00ED23FF">
        <w:t>по всяко време.</w:t>
      </w:r>
    </w:p>
    <w:p w14:paraId="4ACFD3D2" w14:textId="04CDA090" w:rsidR="00ED23FF" w:rsidRPr="00ED23FF" w:rsidRDefault="00ED23FF" w:rsidP="00ED23FF">
      <w:pPr>
        <w:spacing w:line="240" w:lineRule="auto"/>
      </w:pPr>
      <w:r w:rsidRPr="00ED23FF">
        <w:t>18</w:t>
      </w:r>
      <w:r w:rsidRPr="00ED23FF">
        <w:rPr>
          <w:lang w:val="en-US"/>
        </w:rPr>
        <w:t>.</w:t>
      </w:r>
      <w:r w:rsidRPr="00ED23FF">
        <w:t xml:space="preserve"> Честота при пациенти, които имат промяна в </w:t>
      </w:r>
      <w:proofErr w:type="spellStart"/>
      <w:r w:rsidRPr="00ED23FF">
        <w:rPr>
          <w:lang w:val="en-US"/>
        </w:rPr>
        <w:t>QTc</w:t>
      </w:r>
      <w:proofErr w:type="spellEnd"/>
      <w:r w:rsidRPr="00ED23FF">
        <w:rPr>
          <w:lang w:val="en-US"/>
        </w:rPr>
        <w:t xml:space="preserve"> </w:t>
      </w:r>
      <w:r w:rsidRPr="00ED23FF">
        <w:t xml:space="preserve">от &lt; 450 </w:t>
      </w:r>
      <w:proofErr w:type="spellStart"/>
      <w:r w:rsidRPr="00ED23FF">
        <w:rPr>
          <w:lang w:val="en-US"/>
        </w:rPr>
        <w:t>msec</w:t>
      </w:r>
      <w:proofErr w:type="spellEnd"/>
      <w:r w:rsidRPr="00ED23FF">
        <w:rPr>
          <w:lang w:val="en-US"/>
        </w:rPr>
        <w:t xml:space="preserve"> </w:t>
      </w:r>
      <w:r w:rsidRPr="00ED23FF">
        <w:t xml:space="preserve">до ≥ 450 </w:t>
      </w:r>
      <w:proofErr w:type="spellStart"/>
      <w:r w:rsidRPr="00ED23FF">
        <w:rPr>
          <w:lang w:val="en-US"/>
        </w:rPr>
        <w:t>msec</w:t>
      </w:r>
      <w:proofErr w:type="spellEnd"/>
      <w:r w:rsidRPr="00ED23FF">
        <w:rPr>
          <w:lang w:val="en-US"/>
        </w:rPr>
        <w:t xml:space="preserve"> </w:t>
      </w:r>
      <w:r w:rsidRPr="00ED23FF">
        <w:t>с увеличаване</w:t>
      </w:r>
    </w:p>
    <w:p w14:paraId="21FDE978" w14:textId="77777777" w:rsidR="00ED23FF" w:rsidRPr="00ED23FF" w:rsidRDefault="00ED23FF" w:rsidP="00ED23FF">
      <w:r w:rsidRPr="00ED23FF">
        <w:t xml:space="preserve">≥ 30 </w:t>
      </w:r>
      <w:r w:rsidRPr="00ED23FF">
        <w:rPr>
          <w:lang w:val="en-US"/>
        </w:rPr>
        <w:t xml:space="preserve">msec. </w:t>
      </w:r>
      <w:r w:rsidRPr="00ED23FF">
        <w:t>При плацебо-контролираните изпитвания с кветиапин средната промяна и честотата на пациентите с промяна до клинично значимо ниво е сходна между кветиапин и плацебо.</w:t>
      </w:r>
    </w:p>
    <w:p w14:paraId="24F273B1" w14:textId="5F955E0C" w:rsidR="00ED23FF" w:rsidRPr="00ED23FF" w:rsidRDefault="00ED23FF" w:rsidP="00ED23FF">
      <w:pPr>
        <w:spacing w:line="240" w:lineRule="auto"/>
      </w:pPr>
      <w:r w:rsidRPr="00ED23FF">
        <w:t>19</w:t>
      </w:r>
      <w:r w:rsidRPr="00ED23FF">
        <w:rPr>
          <w:lang w:val="en-US"/>
        </w:rPr>
        <w:t>.</w:t>
      </w:r>
      <w:r w:rsidRPr="00ED23FF">
        <w:t xml:space="preserve"> Промяна от &gt; 132 </w:t>
      </w:r>
      <w:proofErr w:type="spellStart"/>
      <w:r w:rsidRPr="00ED23FF">
        <w:rPr>
          <w:lang w:val="en-US"/>
        </w:rPr>
        <w:t>mmol</w:t>
      </w:r>
      <w:proofErr w:type="spellEnd"/>
      <w:r w:rsidRPr="00ED23FF">
        <w:rPr>
          <w:lang w:val="en-US"/>
        </w:rPr>
        <w:t xml:space="preserve">/1 </w:t>
      </w:r>
      <w:r w:rsidRPr="00ED23FF">
        <w:t xml:space="preserve">до ≤ 132 </w:t>
      </w:r>
      <w:proofErr w:type="spellStart"/>
      <w:r w:rsidRPr="00ED23FF">
        <w:rPr>
          <w:lang w:val="en-US"/>
        </w:rPr>
        <w:t>mmol</w:t>
      </w:r>
      <w:proofErr w:type="spellEnd"/>
      <w:r w:rsidRPr="00ED23FF">
        <w:rPr>
          <w:lang w:val="en-US"/>
        </w:rPr>
        <w:t xml:space="preserve">/1 </w:t>
      </w:r>
      <w:r w:rsidRPr="00ED23FF">
        <w:t>при поне един случай</w:t>
      </w:r>
    </w:p>
    <w:p w14:paraId="044D11A4" w14:textId="0045D2DF" w:rsidR="00ED23FF" w:rsidRPr="00ED23FF" w:rsidRDefault="00ED23FF" w:rsidP="00ED23FF">
      <w:pPr>
        <w:spacing w:line="240" w:lineRule="auto"/>
      </w:pPr>
      <w:r w:rsidRPr="00ED23FF">
        <w:t>20</w:t>
      </w:r>
      <w:r w:rsidRPr="00ED23FF">
        <w:rPr>
          <w:lang w:val="en-US"/>
        </w:rPr>
        <w:t>.</w:t>
      </w:r>
      <w:r w:rsidRPr="00ED23FF">
        <w:t xml:space="preserve"> Случаи на суицидни идеи и суицидно поведение са докладвани по време на лечение с кветиапин с удължено освобождаване или непосредствено след прекратяване на лечението (вж. точки 4.4 и 5.1).</w:t>
      </w:r>
    </w:p>
    <w:p w14:paraId="1BAA66DE" w14:textId="11B766B1" w:rsidR="00ED23FF" w:rsidRPr="00ED23FF" w:rsidRDefault="00ED23FF" w:rsidP="00ED23FF">
      <w:pPr>
        <w:spacing w:line="240" w:lineRule="auto"/>
      </w:pPr>
      <w:r w:rsidRPr="00ED23FF">
        <w:t>21</w:t>
      </w:r>
      <w:r w:rsidRPr="00ED23FF">
        <w:rPr>
          <w:lang w:val="en-US"/>
        </w:rPr>
        <w:t>.</w:t>
      </w:r>
      <w:r w:rsidRPr="00ED23FF">
        <w:t xml:space="preserve"> Вижте точка 5.1</w:t>
      </w:r>
    </w:p>
    <w:p w14:paraId="7F6C5514" w14:textId="43EB5830" w:rsidR="00856685" w:rsidRPr="00ED23FF" w:rsidRDefault="00ED23FF" w:rsidP="00ED23FF">
      <w:r w:rsidRPr="00ED23FF">
        <w:t>22</w:t>
      </w:r>
      <w:r w:rsidRPr="00ED23FF">
        <w:rPr>
          <w:lang w:val="en-US"/>
        </w:rPr>
        <w:t>.</w:t>
      </w:r>
      <w:r w:rsidRPr="00ED23FF">
        <w:t xml:space="preserve"> Понижен хемоглобин до ≤ 13 </w:t>
      </w:r>
      <w:r w:rsidRPr="00ED23FF">
        <w:rPr>
          <w:lang w:val="en-US"/>
        </w:rPr>
        <w:t xml:space="preserve">g/dl </w:t>
      </w:r>
      <w:r w:rsidRPr="00ED23FF">
        <w:t xml:space="preserve">(8,07 </w:t>
      </w:r>
      <w:proofErr w:type="spellStart"/>
      <w:r w:rsidRPr="00ED23FF">
        <w:rPr>
          <w:lang w:val="en-US"/>
        </w:rPr>
        <w:t>mmol</w:t>
      </w:r>
      <w:proofErr w:type="spellEnd"/>
      <w:r w:rsidRPr="00ED23FF">
        <w:rPr>
          <w:lang w:val="en-US"/>
        </w:rPr>
        <w:t xml:space="preserve">/1) </w:t>
      </w:r>
      <w:r w:rsidRPr="00ED23FF">
        <w:t xml:space="preserve">мъже, ≤ 12 </w:t>
      </w:r>
      <w:r w:rsidRPr="00ED23FF">
        <w:rPr>
          <w:lang w:val="en-US"/>
        </w:rPr>
        <w:t xml:space="preserve">g/dl </w:t>
      </w:r>
      <w:r w:rsidRPr="00ED23FF">
        <w:t xml:space="preserve">(7,45 </w:t>
      </w:r>
      <w:proofErr w:type="spellStart"/>
      <w:r w:rsidRPr="00ED23FF">
        <w:rPr>
          <w:lang w:val="en-US"/>
        </w:rPr>
        <w:t>mmol</w:t>
      </w:r>
      <w:proofErr w:type="spellEnd"/>
      <w:r w:rsidRPr="00ED23FF">
        <w:rPr>
          <w:lang w:val="en-US"/>
        </w:rPr>
        <w:t xml:space="preserve">/l) </w:t>
      </w:r>
      <w:r w:rsidRPr="00ED23FF">
        <w:t xml:space="preserve">жени при поне един случай, наблюдаван при 11 % от пациентите на кветиапин при всички </w:t>
      </w:r>
      <w:r w:rsidRPr="00ED23FF">
        <w:lastRenderedPageBreak/>
        <w:t xml:space="preserve">проучвания, включително открити разширени проучвания. При тези пациенти средното максимално понижение на хемоглобина по всяко време е било -1,50 </w:t>
      </w:r>
      <w:r w:rsidRPr="00ED23FF">
        <w:rPr>
          <w:lang w:val="en-US"/>
        </w:rPr>
        <w:t>g/dl.</w:t>
      </w:r>
    </w:p>
    <w:p w14:paraId="53806F00" w14:textId="4082818E"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23. </w:t>
      </w:r>
      <w:r w:rsidRPr="00ED23FF">
        <w:rPr>
          <w:rFonts w:eastAsia="Times New Roman" w:cs="Arial"/>
          <w:color w:val="000000"/>
          <w:lang w:eastAsia="bg-BG"/>
        </w:rPr>
        <w:t>Тези съобщения често настъпват в условия на тахикардия, замайване, ортостатична хипотония и/или скрити сърдечно-съдови/респираторни заболявалия.</w:t>
      </w:r>
    </w:p>
    <w:p w14:paraId="511A6F58" w14:textId="77777777"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24. </w:t>
      </w:r>
      <w:r w:rsidRPr="00ED23FF">
        <w:rPr>
          <w:rFonts w:eastAsia="Times New Roman" w:cs="Arial"/>
          <w:color w:val="000000"/>
          <w:lang w:eastAsia="bg-BG"/>
        </w:rPr>
        <w:t>На базата на промяна от нормални изходни нива до потенциално клинично значима стойност на постбазовите нива по всяко време, при всички клинични проучвания. Промени в общия Т</w:t>
      </w:r>
      <w:r w:rsidRPr="00ED23FF">
        <w:rPr>
          <w:rFonts w:eastAsia="Times New Roman" w:cs="Arial"/>
          <w:color w:val="000000"/>
          <w:vertAlign w:val="subscript"/>
          <w:lang w:eastAsia="bg-BG"/>
        </w:rPr>
        <w:t>4</w:t>
      </w:r>
      <w:r w:rsidRPr="00ED23FF">
        <w:rPr>
          <w:rFonts w:eastAsia="Times New Roman" w:cs="Arial"/>
          <w:color w:val="000000"/>
          <w:lang w:eastAsia="bg-BG"/>
        </w:rPr>
        <w:t>, свободния Т</w:t>
      </w:r>
      <w:r w:rsidRPr="00ED23FF">
        <w:rPr>
          <w:rFonts w:eastAsia="Times New Roman" w:cs="Arial"/>
          <w:color w:val="000000"/>
          <w:vertAlign w:val="subscript"/>
          <w:lang w:eastAsia="bg-BG"/>
        </w:rPr>
        <w:t>4</w:t>
      </w:r>
      <w:r w:rsidRPr="00ED23FF">
        <w:rPr>
          <w:rFonts w:eastAsia="Times New Roman" w:cs="Arial"/>
          <w:color w:val="000000"/>
          <w:lang w:eastAsia="bg-BG"/>
        </w:rPr>
        <w:t>, общия Тз и свободния Т</w:t>
      </w:r>
      <w:r w:rsidRPr="00ED23FF">
        <w:rPr>
          <w:rFonts w:eastAsia="Times New Roman" w:cs="Arial"/>
          <w:color w:val="000000"/>
          <w:vertAlign w:val="subscript"/>
          <w:lang w:eastAsia="bg-BG"/>
        </w:rPr>
        <w:t xml:space="preserve">3 </w:t>
      </w:r>
      <w:r w:rsidRPr="00ED23FF">
        <w:rPr>
          <w:rFonts w:eastAsia="Times New Roman" w:cs="Arial"/>
          <w:color w:val="000000"/>
          <w:lang w:eastAsia="bg-BG"/>
        </w:rPr>
        <w:t xml:space="preserve">са дефинирани като &lt; 0,8 х </w:t>
      </w:r>
      <w:r w:rsidRPr="00ED23FF">
        <w:rPr>
          <w:rFonts w:eastAsia="Times New Roman" w:cs="Arial"/>
          <w:color w:val="000000"/>
          <w:lang w:val="en-US"/>
        </w:rPr>
        <w:t>LLN (</w:t>
      </w:r>
      <w:proofErr w:type="spellStart"/>
      <w:r w:rsidRPr="00ED23FF">
        <w:rPr>
          <w:rFonts w:eastAsia="Times New Roman" w:cs="Arial"/>
          <w:color w:val="000000"/>
          <w:lang w:val="en-US"/>
        </w:rPr>
        <w:t>pmol</w:t>
      </w:r>
      <w:proofErr w:type="spellEnd"/>
      <w:r w:rsidRPr="00ED23FF">
        <w:rPr>
          <w:rFonts w:eastAsia="Times New Roman" w:cs="Arial"/>
          <w:color w:val="000000"/>
          <w:lang w:val="en-US"/>
        </w:rPr>
        <w:t xml:space="preserve">/l) </w:t>
      </w:r>
      <w:r w:rsidRPr="00ED23FF">
        <w:rPr>
          <w:rFonts w:eastAsia="Times New Roman" w:cs="Arial"/>
          <w:color w:val="000000"/>
          <w:lang w:eastAsia="bg-BG"/>
        </w:rPr>
        <w:t xml:space="preserve">и промяната в </w:t>
      </w:r>
      <w:r w:rsidRPr="00ED23FF">
        <w:rPr>
          <w:rFonts w:eastAsia="Times New Roman" w:cs="Arial"/>
          <w:color w:val="000000"/>
          <w:lang w:val="en-US"/>
        </w:rPr>
        <w:t xml:space="preserve">TSH </w:t>
      </w:r>
      <w:r w:rsidRPr="00ED23FF">
        <w:rPr>
          <w:rFonts w:eastAsia="Times New Roman" w:cs="Arial"/>
          <w:color w:val="000000"/>
          <w:lang w:eastAsia="bg-BG"/>
        </w:rPr>
        <w:t xml:space="preserve">е &gt; 5 </w:t>
      </w:r>
      <w:proofErr w:type="spellStart"/>
      <w:r w:rsidRPr="00ED23FF">
        <w:rPr>
          <w:rFonts w:eastAsia="Times New Roman" w:cs="Arial"/>
          <w:color w:val="000000"/>
          <w:lang w:val="en-US"/>
        </w:rPr>
        <w:t>mIU</w:t>
      </w:r>
      <w:proofErr w:type="spellEnd"/>
      <w:r w:rsidRPr="00ED23FF">
        <w:rPr>
          <w:rFonts w:eastAsia="Times New Roman" w:cs="Arial"/>
          <w:color w:val="000000"/>
          <w:lang w:val="en-US"/>
        </w:rPr>
        <w:t xml:space="preserve">/1 </w:t>
      </w:r>
      <w:r w:rsidRPr="00ED23FF">
        <w:rPr>
          <w:rFonts w:eastAsia="Times New Roman" w:cs="Arial"/>
          <w:color w:val="000000"/>
          <w:lang w:eastAsia="bg-BG"/>
        </w:rPr>
        <w:t>по всяко време.</w:t>
      </w:r>
    </w:p>
    <w:p w14:paraId="0D19ABBE" w14:textId="74D796D9"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25. </w:t>
      </w:r>
      <w:r w:rsidRPr="00ED23FF">
        <w:rPr>
          <w:rFonts w:eastAsia="Times New Roman" w:cs="Arial"/>
          <w:color w:val="000000"/>
          <w:lang w:eastAsia="bg-BG"/>
        </w:rPr>
        <w:t>На базата на повишената честота на повръщане при пациенти в старческа възраст (≥ 65-годишна възраст),</w:t>
      </w:r>
    </w:p>
    <w:p w14:paraId="2CDE3D31" w14:textId="35D573B5"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26. </w:t>
      </w:r>
      <w:r w:rsidRPr="00ED23FF">
        <w:rPr>
          <w:rFonts w:eastAsia="Times New Roman" w:cs="Arial"/>
          <w:color w:val="000000"/>
          <w:lang w:eastAsia="bg-BG"/>
        </w:rPr>
        <w:t>Въз основа на промяна в броя на неурофилите от ≥1</w:t>
      </w:r>
      <w:proofErr w:type="gramStart"/>
      <w:r w:rsidRPr="00ED23FF">
        <w:rPr>
          <w:rFonts w:eastAsia="Times New Roman" w:cs="Arial"/>
          <w:color w:val="000000"/>
          <w:lang w:eastAsia="bg-BG"/>
        </w:rPr>
        <w:t>,5</w:t>
      </w:r>
      <w:proofErr w:type="gramEnd"/>
      <w:r w:rsidRPr="00ED23FF">
        <w:rPr>
          <w:rFonts w:eastAsia="Times New Roman" w:cs="Arial"/>
          <w:color w:val="000000"/>
          <w:lang w:eastAsia="bg-BG"/>
        </w:rPr>
        <w:t xml:space="preserve"> х 10</w:t>
      </w:r>
      <w:r w:rsidRPr="00ED23FF">
        <w:rPr>
          <w:rFonts w:eastAsia="Times New Roman" w:cs="Arial"/>
          <w:color w:val="000000"/>
          <w:vertAlign w:val="superscript"/>
          <w:lang w:eastAsia="bg-BG"/>
        </w:rPr>
        <w:t>9</w:t>
      </w:r>
      <w:r w:rsidRPr="00ED23FF">
        <w:rPr>
          <w:rFonts w:eastAsia="Times New Roman" w:cs="Arial"/>
          <w:color w:val="000000"/>
          <w:lang w:eastAsia="bg-BG"/>
        </w:rPr>
        <w:t>/1 изходно ниво до &lt;0,5 х 10</w:t>
      </w:r>
      <w:r w:rsidRPr="00ED23FF">
        <w:rPr>
          <w:rFonts w:eastAsia="Times New Roman" w:cs="Arial"/>
          <w:color w:val="000000"/>
          <w:vertAlign w:val="superscript"/>
          <w:lang w:eastAsia="bg-BG"/>
        </w:rPr>
        <w:t>9</w:t>
      </w:r>
      <w:r w:rsidRPr="00ED23FF">
        <w:rPr>
          <w:rFonts w:eastAsia="Times New Roman" w:cs="Arial"/>
          <w:color w:val="000000"/>
          <w:lang w:eastAsia="bg-BG"/>
        </w:rPr>
        <w:t>/</w:t>
      </w:r>
      <w:r w:rsidRPr="00ED23FF">
        <w:rPr>
          <w:rFonts w:eastAsia="Times New Roman" w:cs="Arial"/>
          <w:color w:val="000000"/>
          <w:lang w:val="en-US"/>
        </w:rPr>
        <w:t>l</w:t>
      </w:r>
      <w:r w:rsidRPr="00ED23FF">
        <w:rPr>
          <w:rFonts w:eastAsia="Times New Roman" w:cs="Arial"/>
          <w:color w:val="000000"/>
          <w:lang w:eastAsia="bg-BG"/>
        </w:rPr>
        <w:t xml:space="preserve"> по всяко време на терапията и въз основа на броя пациенти с тежка неутропения </w:t>
      </w:r>
      <w:r w:rsidRPr="00ED23FF">
        <w:rPr>
          <w:rFonts w:eastAsia="Times New Roman" w:cs="Arial"/>
          <w:color w:val="000000"/>
          <w:lang w:val="en-US"/>
        </w:rPr>
        <w:t>(&lt;,5x1</w:t>
      </w:r>
      <w:r w:rsidRPr="00ED23FF">
        <w:rPr>
          <w:rFonts w:eastAsia="Times New Roman" w:cs="Arial"/>
          <w:color w:val="000000"/>
          <w:lang w:eastAsia="bg-BG"/>
        </w:rPr>
        <w:t>0</w:t>
      </w:r>
      <w:r w:rsidRPr="00ED23FF">
        <w:rPr>
          <w:rFonts w:eastAsia="Times New Roman" w:cs="Arial"/>
          <w:color w:val="000000"/>
          <w:vertAlign w:val="superscript"/>
          <w:lang w:eastAsia="bg-BG"/>
        </w:rPr>
        <w:t>9</w:t>
      </w:r>
      <w:r w:rsidRPr="00ED23FF">
        <w:rPr>
          <w:rFonts w:eastAsia="Times New Roman" w:cs="Arial"/>
          <w:color w:val="000000"/>
          <w:lang w:eastAsia="bg-BG"/>
        </w:rPr>
        <w:t>/</w:t>
      </w:r>
      <w:r w:rsidRPr="00ED23FF">
        <w:rPr>
          <w:rFonts w:eastAsia="Times New Roman" w:cs="Arial"/>
          <w:color w:val="000000"/>
          <w:lang w:val="en-US"/>
        </w:rPr>
        <w:t>l</w:t>
      </w:r>
      <w:r w:rsidRPr="00ED23FF">
        <w:rPr>
          <w:rFonts w:eastAsia="Times New Roman" w:cs="Arial"/>
          <w:color w:val="000000"/>
          <w:lang w:eastAsia="bg-BG"/>
        </w:rPr>
        <w:t>) и инфекция при всички клинични проучвания с кветиапин (вж. точка 4.4).</w:t>
      </w:r>
    </w:p>
    <w:p w14:paraId="64DE435F" w14:textId="5F1581D5"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27. </w:t>
      </w:r>
      <w:r w:rsidRPr="00ED23FF">
        <w:rPr>
          <w:rFonts w:eastAsia="Times New Roman" w:cs="Arial"/>
          <w:color w:val="000000"/>
          <w:lang w:eastAsia="bg-BG"/>
        </w:rPr>
        <w:t>На базата на промяна от нормални изходни нива до потенциално клинично значима</w:t>
      </w:r>
    </w:p>
    <w:p w14:paraId="3DCB8F68" w14:textId="77777777" w:rsidR="00ED23FF" w:rsidRPr="00ED23FF" w:rsidRDefault="00ED23FF" w:rsidP="00ED23FF">
      <w:pPr>
        <w:spacing w:line="240" w:lineRule="auto"/>
        <w:rPr>
          <w:rFonts w:eastAsia="Times New Roman" w:cs="Arial"/>
          <w:lang w:eastAsia="bg-BG"/>
        </w:rPr>
      </w:pPr>
      <w:r w:rsidRPr="00ED23FF">
        <w:rPr>
          <w:rFonts w:eastAsia="Times New Roman" w:cs="Arial"/>
          <w:color w:val="000000"/>
          <w:lang w:eastAsia="bg-BG"/>
        </w:rPr>
        <w:t>стойност до постбазовите нива по всяко време при всички клинични проучвания. Промените в еозинофилите са дефинирани като &gt; 1 х 10</w:t>
      </w:r>
      <w:r w:rsidRPr="00ED23FF">
        <w:rPr>
          <w:rFonts w:eastAsia="Times New Roman" w:cs="Arial"/>
          <w:color w:val="000000"/>
          <w:vertAlign w:val="superscript"/>
          <w:lang w:eastAsia="bg-BG"/>
        </w:rPr>
        <w:t>9</w:t>
      </w:r>
      <w:r w:rsidRPr="00ED23FF">
        <w:rPr>
          <w:rFonts w:eastAsia="Times New Roman" w:cs="Arial"/>
          <w:color w:val="000000"/>
          <w:lang w:eastAsia="bg-BG"/>
        </w:rPr>
        <w:t xml:space="preserve"> </w:t>
      </w:r>
      <w:r w:rsidRPr="00ED23FF">
        <w:rPr>
          <w:rFonts w:eastAsia="Times New Roman" w:cs="Arial"/>
          <w:color w:val="000000"/>
          <w:lang w:val="en-US"/>
        </w:rPr>
        <w:t xml:space="preserve">cells/l </w:t>
      </w:r>
      <w:r w:rsidRPr="00ED23FF">
        <w:rPr>
          <w:rFonts w:eastAsia="Times New Roman" w:cs="Arial"/>
          <w:color w:val="000000"/>
          <w:lang w:eastAsia="bg-BG"/>
        </w:rPr>
        <w:t>по всяко време.</w:t>
      </w:r>
    </w:p>
    <w:p w14:paraId="45495C8D" w14:textId="58540D91"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28. </w:t>
      </w:r>
      <w:r w:rsidRPr="00ED23FF">
        <w:rPr>
          <w:rFonts w:eastAsia="Times New Roman" w:cs="Arial"/>
          <w:color w:val="000000"/>
          <w:lang w:eastAsia="bg-BG"/>
        </w:rPr>
        <w:t xml:space="preserve">На базата на промяна от нормални изходни нива до потенциално клинично значима стойност до постбазовите нива по всяко време при всички клинични проучвания. Промените в </w:t>
      </w:r>
      <w:r w:rsidRPr="00ED23FF">
        <w:rPr>
          <w:rFonts w:eastAsia="Times New Roman" w:cs="Arial"/>
          <w:color w:val="000000"/>
          <w:lang w:val="en-US"/>
        </w:rPr>
        <w:t xml:space="preserve">WBCs </w:t>
      </w:r>
      <w:r w:rsidRPr="00ED23FF">
        <w:rPr>
          <w:rFonts w:eastAsia="Times New Roman" w:cs="Arial"/>
          <w:color w:val="000000"/>
          <w:lang w:eastAsia="bg-BG"/>
        </w:rPr>
        <w:t>са дефинирани като ≤ 3 х 10</w:t>
      </w:r>
      <w:r w:rsidRPr="00ED23FF">
        <w:rPr>
          <w:rFonts w:eastAsia="Times New Roman" w:cs="Arial"/>
          <w:color w:val="000000"/>
          <w:vertAlign w:val="superscript"/>
          <w:lang w:eastAsia="bg-BG"/>
        </w:rPr>
        <w:t>9</w:t>
      </w:r>
      <w:r w:rsidRPr="00ED23FF">
        <w:rPr>
          <w:rFonts w:eastAsia="Times New Roman" w:cs="Arial"/>
          <w:color w:val="000000"/>
          <w:lang w:eastAsia="bg-BG"/>
        </w:rPr>
        <w:t xml:space="preserve"> </w:t>
      </w:r>
      <w:r w:rsidRPr="00ED23FF">
        <w:rPr>
          <w:rFonts w:eastAsia="Times New Roman" w:cs="Arial"/>
          <w:color w:val="000000"/>
          <w:lang w:val="en-US"/>
        </w:rPr>
        <w:t xml:space="preserve">cells/l </w:t>
      </w:r>
      <w:r w:rsidRPr="00ED23FF">
        <w:rPr>
          <w:rFonts w:eastAsia="Times New Roman" w:cs="Arial"/>
          <w:color w:val="000000"/>
          <w:lang w:eastAsia="bg-BG"/>
        </w:rPr>
        <w:t>по всяко време.</w:t>
      </w:r>
    </w:p>
    <w:p w14:paraId="2A7069E9" w14:textId="167498C4"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29.</w:t>
      </w:r>
      <w:r w:rsidRPr="00ED23FF">
        <w:rPr>
          <w:rFonts w:eastAsia="Times New Roman" w:cs="Arial"/>
          <w:color w:val="000000"/>
          <w:lang w:eastAsia="bg-BG"/>
        </w:rPr>
        <w:t>На базата на съобщенията за нежелани реакции при метаболитен синдром при всички</w:t>
      </w:r>
    </w:p>
    <w:p w14:paraId="6F0C5687" w14:textId="77777777" w:rsidR="00ED23FF" w:rsidRPr="00ED23FF" w:rsidRDefault="00ED23FF" w:rsidP="00ED23FF">
      <w:pPr>
        <w:spacing w:line="240" w:lineRule="auto"/>
        <w:rPr>
          <w:rFonts w:eastAsia="Times New Roman" w:cs="Arial"/>
          <w:lang w:eastAsia="bg-BG"/>
        </w:rPr>
      </w:pPr>
      <w:r w:rsidRPr="00ED23FF">
        <w:rPr>
          <w:rFonts w:eastAsia="Times New Roman" w:cs="Arial"/>
          <w:color w:val="000000"/>
          <w:lang w:eastAsia="bg-BG"/>
        </w:rPr>
        <w:t>клинични проучвания с кветиапин.</w:t>
      </w:r>
    </w:p>
    <w:p w14:paraId="37900048" w14:textId="732BBD44" w:rsidR="00ED23FF" w:rsidRPr="00ED23FF" w:rsidRDefault="00ED23FF" w:rsidP="00ED23FF">
      <w:pPr>
        <w:spacing w:line="240" w:lineRule="auto"/>
        <w:rPr>
          <w:rFonts w:eastAsia="Times New Roman" w:cs="Arial"/>
          <w:lang w:eastAsia="bg-BG"/>
        </w:rPr>
      </w:pPr>
      <w:r w:rsidRPr="00ED23FF">
        <w:rPr>
          <w:rFonts w:eastAsia="Times New Roman" w:cs="Arial"/>
          <w:lang w:val="en-US" w:eastAsia="bg-BG"/>
        </w:rPr>
        <w:t xml:space="preserve">30. </w:t>
      </w:r>
      <w:r w:rsidRPr="00ED23FF">
        <w:rPr>
          <w:rFonts w:eastAsia="Times New Roman" w:cs="Arial"/>
          <w:color w:val="000000"/>
          <w:lang w:eastAsia="bg-BG"/>
        </w:rPr>
        <w:t>В клинични проучвания, при някои пациенти е наблюдавано влошаване на повече от един от метаболитните фактори като тегло, кръвна захар и липиди (вж. точка 4.4).</w:t>
      </w:r>
    </w:p>
    <w:p w14:paraId="2A67A69F" w14:textId="5D002448"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31. </w:t>
      </w:r>
      <w:r w:rsidRPr="00ED23FF">
        <w:rPr>
          <w:rFonts w:eastAsia="Times New Roman" w:cs="Arial"/>
          <w:color w:val="000000"/>
          <w:lang w:eastAsia="bg-BG"/>
        </w:rPr>
        <w:t>Виж точка 4.6</w:t>
      </w:r>
    </w:p>
    <w:p w14:paraId="656FDAC8" w14:textId="15457D22" w:rsidR="00ED23FF" w:rsidRPr="00ED23FF" w:rsidRDefault="00ED23FF" w:rsidP="00ED23FF">
      <w:pPr>
        <w:spacing w:line="240" w:lineRule="auto"/>
        <w:rPr>
          <w:rFonts w:eastAsia="Times New Roman" w:cs="Arial"/>
          <w:color w:val="000000"/>
          <w:lang w:eastAsia="bg-BG"/>
        </w:rPr>
      </w:pPr>
      <w:r w:rsidRPr="00ED23FF">
        <w:rPr>
          <w:rFonts w:eastAsia="Times New Roman" w:cs="Arial"/>
          <w:color w:val="000000"/>
          <w:lang w:val="en-US" w:eastAsia="bg-BG"/>
        </w:rPr>
        <w:t xml:space="preserve">32. </w:t>
      </w:r>
      <w:r w:rsidRPr="00ED23FF">
        <w:rPr>
          <w:rFonts w:eastAsia="Times New Roman" w:cs="Arial"/>
          <w:color w:val="000000"/>
          <w:lang w:eastAsia="bg-BG"/>
        </w:rPr>
        <w:t>Могат да се наблюдават непосредствено след началото или по време на лечението и са свързани с хипотония и/или синкоп. Честотата се основава на доклади за нежелани събития с брадикардия и свързаните с тях случаи при всички клинични изследвания с кветиапин.</w:t>
      </w:r>
    </w:p>
    <w:p w14:paraId="36426994" w14:textId="66049EEE" w:rsidR="00ED23FF" w:rsidRDefault="00ED23FF" w:rsidP="00ED23FF">
      <w:r w:rsidRPr="00ED23FF">
        <w:rPr>
          <w:rFonts w:eastAsia="Times New Roman" w:cs="Arial"/>
          <w:color w:val="000000"/>
          <w:lang w:val="en-US" w:eastAsia="bg-BG"/>
        </w:rPr>
        <w:t xml:space="preserve">33. </w:t>
      </w:r>
      <w:r w:rsidRPr="00ED23FF">
        <w:rPr>
          <w:rFonts w:eastAsia="Times New Roman" w:cs="Arial"/>
          <w:color w:val="000000"/>
          <w:lang w:eastAsia="bg-BG"/>
        </w:rPr>
        <w:t>На база на едно ретроспективно нерандомизирано епидемиологично проучване.</w:t>
      </w:r>
    </w:p>
    <w:p w14:paraId="37547D68" w14:textId="539A0040" w:rsidR="00ED23FF" w:rsidRDefault="00ED23FF" w:rsidP="0091385D"/>
    <w:p w14:paraId="67604BF3" w14:textId="77777777" w:rsidR="00ED23FF" w:rsidRPr="00ED23FF" w:rsidRDefault="00ED23FF" w:rsidP="00ED23FF">
      <w:pPr>
        <w:spacing w:line="240" w:lineRule="auto"/>
        <w:rPr>
          <w:rFonts w:eastAsia="Times New Roman" w:cs="Arial"/>
          <w:sz w:val="28"/>
          <w:szCs w:val="24"/>
          <w:lang w:eastAsia="bg-BG"/>
        </w:rPr>
      </w:pPr>
      <w:r w:rsidRPr="00ED23FF">
        <w:rPr>
          <w:rFonts w:eastAsia="Times New Roman" w:cs="Arial"/>
          <w:color w:val="000000"/>
          <w:szCs w:val="20"/>
          <w:lang w:eastAsia="bg-BG"/>
        </w:rPr>
        <w:t xml:space="preserve">Случаи на удължаване на </w:t>
      </w:r>
      <w:r w:rsidRPr="00ED23FF">
        <w:rPr>
          <w:rFonts w:eastAsia="Times New Roman" w:cs="Arial"/>
          <w:color w:val="000000"/>
          <w:szCs w:val="20"/>
          <w:lang w:val="en-US"/>
        </w:rPr>
        <w:t xml:space="preserve">QT </w:t>
      </w:r>
      <w:r w:rsidRPr="00ED23FF">
        <w:rPr>
          <w:rFonts w:eastAsia="Times New Roman" w:cs="Arial"/>
          <w:color w:val="000000"/>
          <w:szCs w:val="20"/>
          <w:lang w:eastAsia="bg-BG"/>
        </w:rPr>
        <w:t xml:space="preserve">интервала, камерна аритмия, внезапна необяснима смърт, сърдечен арест и </w:t>
      </w:r>
      <w:proofErr w:type="spellStart"/>
      <w:r w:rsidRPr="00ED23FF">
        <w:rPr>
          <w:rFonts w:eastAsia="Times New Roman" w:cs="Arial"/>
          <w:color w:val="000000"/>
          <w:szCs w:val="20"/>
          <w:lang w:val="en-US"/>
        </w:rPr>
        <w:t>torsades</w:t>
      </w:r>
      <w:proofErr w:type="spellEnd"/>
      <w:r w:rsidRPr="00ED23FF">
        <w:rPr>
          <w:rFonts w:eastAsia="Times New Roman" w:cs="Arial"/>
          <w:color w:val="000000"/>
          <w:szCs w:val="20"/>
          <w:lang w:val="en-US"/>
        </w:rPr>
        <w:t xml:space="preserve"> de pointes </w:t>
      </w:r>
      <w:r w:rsidRPr="00ED23FF">
        <w:rPr>
          <w:rFonts w:eastAsia="Times New Roman" w:cs="Arial"/>
          <w:color w:val="000000"/>
          <w:szCs w:val="20"/>
          <w:lang w:eastAsia="bg-BG"/>
        </w:rPr>
        <w:t>са докладвани много рядко при използване на невролептици и се считат за ефекти, специфични за този клас.</w:t>
      </w:r>
    </w:p>
    <w:p w14:paraId="3F820705" w14:textId="77777777" w:rsidR="00ED23FF" w:rsidRPr="00ED23FF" w:rsidRDefault="00ED23FF" w:rsidP="00ED23FF">
      <w:pPr>
        <w:spacing w:line="240" w:lineRule="auto"/>
        <w:rPr>
          <w:rFonts w:eastAsia="Times New Roman" w:cs="Arial"/>
          <w:color w:val="000000"/>
          <w:szCs w:val="20"/>
          <w:lang w:eastAsia="bg-BG"/>
        </w:rPr>
      </w:pPr>
    </w:p>
    <w:p w14:paraId="744E904D" w14:textId="276A9926" w:rsidR="00ED23FF" w:rsidRPr="00ED23FF" w:rsidRDefault="00ED23FF" w:rsidP="00ED23FF">
      <w:pPr>
        <w:spacing w:line="240" w:lineRule="auto"/>
        <w:rPr>
          <w:rFonts w:eastAsia="Times New Roman" w:cs="Arial"/>
          <w:sz w:val="28"/>
          <w:szCs w:val="24"/>
          <w:lang w:eastAsia="bg-BG"/>
        </w:rPr>
      </w:pPr>
      <w:r w:rsidRPr="00ED23FF">
        <w:rPr>
          <w:rFonts w:eastAsia="Times New Roman" w:cs="Arial"/>
          <w:color w:val="000000"/>
          <w:szCs w:val="20"/>
          <w:lang w:eastAsia="bg-BG"/>
        </w:rPr>
        <w:t xml:space="preserve">Тежките кожни нежелани реакции </w:t>
      </w:r>
      <w:r w:rsidRPr="00ED23FF">
        <w:rPr>
          <w:rFonts w:eastAsia="Times New Roman" w:cs="Arial"/>
          <w:color w:val="000000"/>
          <w:szCs w:val="20"/>
          <w:lang w:val="en-US"/>
        </w:rPr>
        <w:t xml:space="preserve">(SCARs), </w:t>
      </w:r>
      <w:r w:rsidRPr="00ED23FF">
        <w:rPr>
          <w:rFonts w:eastAsia="Times New Roman" w:cs="Arial"/>
          <w:color w:val="000000"/>
          <w:szCs w:val="20"/>
          <w:lang w:eastAsia="bg-BG"/>
        </w:rPr>
        <w:t xml:space="preserve">включващи синдром на </w:t>
      </w:r>
      <w:r w:rsidRPr="00ED23FF">
        <w:rPr>
          <w:rFonts w:eastAsia="Times New Roman" w:cs="Arial"/>
          <w:color w:val="000000"/>
          <w:szCs w:val="20"/>
          <w:lang w:val="en-US"/>
        </w:rPr>
        <w:t xml:space="preserve">Stevens-Johnson (SJS), </w:t>
      </w:r>
      <w:r w:rsidRPr="00ED23FF">
        <w:rPr>
          <w:rFonts w:eastAsia="Times New Roman" w:cs="Arial"/>
          <w:color w:val="000000"/>
          <w:szCs w:val="20"/>
          <w:lang w:eastAsia="bg-BG"/>
        </w:rPr>
        <w:t xml:space="preserve">токсична епидермална некролиза (ТЕН), лекарствен обрив с еозинофилия и системни симптоми </w:t>
      </w:r>
      <w:r w:rsidRPr="00ED23FF">
        <w:rPr>
          <w:rFonts w:eastAsia="Times New Roman" w:cs="Arial"/>
          <w:color w:val="000000"/>
          <w:szCs w:val="20"/>
          <w:lang w:val="en-US"/>
        </w:rPr>
        <w:t xml:space="preserve">(drug rash with eosinophilia and systemic symptoms, DRESS), </w:t>
      </w:r>
      <w:r w:rsidRPr="00ED23FF">
        <w:rPr>
          <w:rFonts w:eastAsia="Times New Roman" w:cs="Arial"/>
          <w:color w:val="000000"/>
          <w:szCs w:val="20"/>
          <w:lang w:eastAsia="bg-BG"/>
        </w:rPr>
        <w:t xml:space="preserve">са съобщавани като свързани </w:t>
      </w:r>
      <w:r w:rsidRPr="00ED23FF">
        <w:rPr>
          <w:rFonts w:eastAsia="Times New Roman" w:cs="Arial"/>
          <w:color w:val="000000"/>
          <w:szCs w:val="20"/>
          <w:lang w:val="en-US"/>
        </w:rPr>
        <w:t xml:space="preserve">c </w:t>
      </w:r>
      <w:r w:rsidRPr="00ED23FF">
        <w:rPr>
          <w:rFonts w:eastAsia="Times New Roman" w:cs="Arial"/>
          <w:color w:val="000000"/>
          <w:szCs w:val="20"/>
          <w:lang w:eastAsia="bg-BG"/>
        </w:rPr>
        <w:t xml:space="preserve">лечението </w:t>
      </w:r>
      <w:r w:rsidRPr="00ED23FF">
        <w:rPr>
          <w:rFonts w:eastAsia="Times New Roman" w:cs="Arial"/>
          <w:color w:val="000000"/>
          <w:szCs w:val="20"/>
          <w:lang w:val="en-US"/>
        </w:rPr>
        <w:t xml:space="preserve">c </w:t>
      </w:r>
      <w:r w:rsidRPr="00ED23FF">
        <w:rPr>
          <w:rFonts w:eastAsia="Times New Roman" w:cs="Arial"/>
          <w:color w:val="000000"/>
          <w:szCs w:val="20"/>
          <w:lang w:eastAsia="bg-BG"/>
        </w:rPr>
        <w:t>кветиапин.</w:t>
      </w:r>
    </w:p>
    <w:p w14:paraId="0422001A" w14:textId="77777777" w:rsidR="00ED23FF" w:rsidRPr="00ED23FF" w:rsidRDefault="00ED23FF" w:rsidP="00ED23FF">
      <w:pPr>
        <w:spacing w:line="240" w:lineRule="auto"/>
        <w:rPr>
          <w:rFonts w:eastAsia="Times New Roman" w:cs="Arial"/>
          <w:i/>
          <w:iCs/>
          <w:color w:val="000000"/>
          <w:szCs w:val="20"/>
          <w:u w:val="single"/>
          <w:lang w:eastAsia="bg-BG"/>
        </w:rPr>
      </w:pPr>
    </w:p>
    <w:p w14:paraId="0502D0D0" w14:textId="3B9FFFB8" w:rsidR="00ED23FF" w:rsidRPr="00ED23FF" w:rsidRDefault="00ED23FF" w:rsidP="00ED23FF">
      <w:pPr>
        <w:spacing w:line="240" w:lineRule="auto"/>
        <w:rPr>
          <w:rFonts w:eastAsia="Times New Roman" w:cs="Arial"/>
          <w:sz w:val="28"/>
          <w:szCs w:val="24"/>
          <w:lang w:eastAsia="bg-BG"/>
        </w:rPr>
      </w:pPr>
      <w:r w:rsidRPr="00ED23FF">
        <w:rPr>
          <w:rFonts w:eastAsia="Times New Roman" w:cs="Arial"/>
          <w:i/>
          <w:iCs/>
          <w:color w:val="000000"/>
          <w:szCs w:val="20"/>
          <w:u w:val="single"/>
          <w:lang w:eastAsia="bg-BG"/>
        </w:rPr>
        <w:t>Педиатрична популация</w:t>
      </w:r>
    </w:p>
    <w:p w14:paraId="58117255" w14:textId="77777777" w:rsidR="00ED23FF" w:rsidRPr="00ED23FF" w:rsidRDefault="00ED23FF" w:rsidP="00ED23FF">
      <w:pPr>
        <w:spacing w:line="240" w:lineRule="auto"/>
        <w:rPr>
          <w:rFonts w:eastAsia="Times New Roman" w:cs="Arial"/>
          <w:sz w:val="28"/>
          <w:szCs w:val="24"/>
          <w:lang w:eastAsia="bg-BG"/>
        </w:rPr>
      </w:pPr>
      <w:r w:rsidRPr="00ED23FF">
        <w:rPr>
          <w:rFonts w:eastAsia="Times New Roman" w:cs="Arial"/>
          <w:color w:val="000000"/>
          <w:szCs w:val="20"/>
          <w:lang w:eastAsia="bg-BG"/>
        </w:rPr>
        <w:t>Същите нежелани лекарствени реакции, описани по-горе при възрастни, трябва да се имат предвид при деца и юноши. Следната таблица обобщава НЛР, които настъпват с по-висока честота при деца и юноши (10-17 години), отколкото при възрастните пациенти или НЛР, които не са били наблюдавани при възрастни.</w:t>
      </w:r>
    </w:p>
    <w:p w14:paraId="072388D2" w14:textId="77777777" w:rsidR="00ED23FF" w:rsidRPr="00ED23FF" w:rsidRDefault="00ED23FF" w:rsidP="00ED23FF">
      <w:pPr>
        <w:spacing w:line="240" w:lineRule="auto"/>
        <w:rPr>
          <w:rFonts w:eastAsia="Times New Roman" w:cs="Arial"/>
          <w:b/>
          <w:bCs/>
          <w:color w:val="000000"/>
          <w:szCs w:val="20"/>
          <w:lang w:eastAsia="bg-BG"/>
        </w:rPr>
      </w:pPr>
    </w:p>
    <w:p w14:paraId="305C1E9E" w14:textId="7A5417D7" w:rsidR="00ED23FF" w:rsidRPr="00ED23FF" w:rsidRDefault="00ED23FF" w:rsidP="00ED23FF">
      <w:pPr>
        <w:spacing w:line="240" w:lineRule="auto"/>
        <w:rPr>
          <w:rFonts w:eastAsia="Times New Roman" w:cs="Arial"/>
          <w:sz w:val="28"/>
          <w:szCs w:val="24"/>
          <w:lang w:eastAsia="bg-BG"/>
        </w:rPr>
      </w:pPr>
      <w:r w:rsidRPr="00ED23FF">
        <w:rPr>
          <w:rFonts w:eastAsia="Times New Roman" w:cs="Arial"/>
          <w:b/>
          <w:bCs/>
          <w:color w:val="000000"/>
          <w:szCs w:val="20"/>
          <w:lang w:eastAsia="bg-BG"/>
        </w:rPr>
        <w:t>Таблица 2. НЛР при деца и юноши, свързани с терапията с кветиапин, които се наблюдават с по-висока честота, отколкото при възрастни или не са наблюдавани сред популацията възрастни</w:t>
      </w:r>
    </w:p>
    <w:p w14:paraId="58F68014" w14:textId="77777777" w:rsidR="00ED23FF" w:rsidRPr="00ED23FF" w:rsidRDefault="00ED23FF" w:rsidP="00ED23FF">
      <w:pPr>
        <w:rPr>
          <w:rFonts w:eastAsia="Times New Roman" w:cs="Arial"/>
          <w:color w:val="000000"/>
          <w:szCs w:val="20"/>
          <w:lang w:eastAsia="bg-BG"/>
        </w:rPr>
      </w:pPr>
    </w:p>
    <w:p w14:paraId="5608877E" w14:textId="7944A18C" w:rsidR="00ED23FF" w:rsidRPr="00ED23FF" w:rsidRDefault="00ED23FF" w:rsidP="00ED23FF">
      <w:pPr>
        <w:rPr>
          <w:rFonts w:cs="Arial"/>
          <w:sz w:val="24"/>
        </w:rPr>
      </w:pPr>
      <w:r w:rsidRPr="00ED23FF">
        <w:rPr>
          <w:rFonts w:eastAsia="Times New Roman" w:cs="Arial"/>
          <w:color w:val="000000"/>
          <w:szCs w:val="20"/>
          <w:lang w:eastAsia="bg-BG"/>
        </w:rPr>
        <w:lastRenderedPageBreak/>
        <w:t xml:space="preserve">Честотата на нежеланите събития е разделена на: много чести (≥ 1/10), чести (≥ 1/100 до &lt; 1/10), нечести (≥ 1/1 000 до &lt; 1/100), редки (≥1/10 000 до &lt; 1/1 000), много редки (&lt; </w:t>
      </w:r>
      <w:r w:rsidRPr="00ED23FF">
        <w:rPr>
          <w:rFonts w:eastAsia="Times New Roman" w:cs="Arial"/>
          <w:color w:val="000000"/>
          <w:szCs w:val="20"/>
          <w:lang w:val="en-US"/>
        </w:rPr>
        <w:t>l/10 000).</w:t>
      </w:r>
    </w:p>
    <w:p w14:paraId="05FD5C59" w14:textId="3494818C" w:rsidR="00ED23FF" w:rsidRDefault="00ED23FF" w:rsidP="0091385D"/>
    <w:tbl>
      <w:tblPr>
        <w:tblStyle w:val="TableGrid"/>
        <w:tblW w:w="0" w:type="auto"/>
        <w:tblLook w:val="04A0" w:firstRow="1" w:lastRow="0" w:firstColumn="1" w:lastColumn="0" w:noHBand="0" w:noVBand="1"/>
      </w:tblPr>
      <w:tblGrid>
        <w:gridCol w:w="3116"/>
        <w:gridCol w:w="3117"/>
        <w:gridCol w:w="3117"/>
      </w:tblGrid>
      <w:tr w:rsidR="006C41AC" w14:paraId="0A3650B5" w14:textId="77777777" w:rsidTr="002A4EE0">
        <w:tc>
          <w:tcPr>
            <w:tcW w:w="3116" w:type="dxa"/>
            <w:vAlign w:val="bottom"/>
          </w:tcPr>
          <w:p w14:paraId="30EDC077" w14:textId="6E7A6A9E" w:rsidR="006C41AC" w:rsidRPr="006C41AC" w:rsidRDefault="006C41AC" w:rsidP="006C41AC">
            <w:pPr>
              <w:rPr>
                <w:rFonts w:cs="Arial"/>
              </w:rPr>
            </w:pPr>
            <w:r>
              <w:rPr>
                <w:rFonts w:cs="Arial"/>
                <w:b/>
                <w:bCs/>
              </w:rPr>
              <w:t>СОК</w:t>
            </w:r>
          </w:p>
        </w:tc>
        <w:tc>
          <w:tcPr>
            <w:tcW w:w="3117" w:type="dxa"/>
            <w:vAlign w:val="bottom"/>
          </w:tcPr>
          <w:p w14:paraId="2BFD6242" w14:textId="41A837BF" w:rsidR="006C41AC" w:rsidRPr="006C41AC" w:rsidRDefault="006C41AC" w:rsidP="006C41AC">
            <w:pPr>
              <w:rPr>
                <w:rFonts w:cs="Arial"/>
              </w:rPr>
            </w:pPr>
            <w:r w:rsidRPr="006C41AC">
              <w:rPr>
                <w:rFonts w:cs="Arial"/>
                <w:b/>
                <w:bCs/>
              </w:rPr>
              <w:t>Много чести</w:t>
            </w:r>
          </w:p>
        </w:tc>
        <w:tc>
          <w:tcPr>
            <w:tcW w:w="3117" w:type="dxa"/>
          </w:tcPr>
          <w:p w14:paraId="32AF4D54" w14:textId="5CCE4F31" w:rsidR="006C41AC" w:rsidRPr="006C41AC" w:rsidRDefault="006C41AC" w:rsidP="006C41AC">
            <w:pPr>
              <w:rPr>
                <w:rFonts w:cs="Arial"/>
                <w:b/>
              </w:rPr>
            </w:pPr>
            <w:r w:rsidRPr="006C41AC">
              <w:rPr>
                <w:rFonts w:cs="Arial"/>
                <w:b/>
              </w:rPr>
              <w:t>Чести</w:t>
            </w:r>
          </w:p>
        </w:tc>
      </w:tr>
      <w:tr w:rsidR="006C41AC" w14:paraId="374F2698" w14:textId="77777777" w:rsidTr="006C41AC">
        <w:tc>
          <w:tcPr>
            <w:tcW w:w="3116" w:type="dxa"/>
          </w:tcPr>
          <w:p w14:paraId="60C2E447" w14:textId="6D6F81C9" w:rsidR="006C41AC" w:rsidRPr="006C41AC" w:rsidRDefault="006C41AC" w:rsidP="006C41AC">
            <w:pPr>
              <w:rPr>
                <w:rFonts w:cs="Arial"/>
              </w:rPr>
            </w:pPr>
            <w:r w:rsidRPr="006C41AC">
              <w:rPr>
                <w:rFonts w:cs="Arial"/>
                <w:i/>
                <w:iCs/>
              </w:rPr>
              <w:t>Нарушения на ендокринната система</w:t>
            </w:r>
          </w:p>
        </w:tc>
        <w:tc>
          <w:tcPr>
            <w:tcW w:w="3117" w:type="dxa"/>
          </w:tcPr>
          <w:p w14:paraId="2FBC5E4C" w14:textId="69D2EF55" w:rsidR="006C41AC" w:rsidRPr="006C41AC" w:rsidRDefault="006C41AC" w:rsidP="006C41AC">
            <w:pPr>
              <w:rPr>
                <w:rFonts w:cs="Arial"/>
              </w:rPr>
            </w:pPr>
            <w:r w:rsidRPr="006C41AC">
              <w:rPr>
                <w:rFonts w:cs="Arial"/>
              </w:rPr>
              <w:t>Повишени стойности на</w:t>
            </w:r>
            <w:r w:rsidRPr="006C41AC">
              <w:rPr>
                <w:rFonts w:cs="Arial"/>
                <w:i/>
                <w:iCs/>
              </w:rPr>
              <w:t xml:space="preserve"> </w:t>
            </w:r>
            <w:r w:rsidRPr="006C41AC">
              <w:rPr>
                <w:rFonts w:cs="Arial"/>
              </w:rPr>
              <w:t>пролактин</w:t>
            </w:r>
          </w:p>
        </w:tc>
        <w:tc>
          <w:tcPr>
            <w:tcW w:w="3117" w:type="dxa"/>
          </w:tcPr>
          <w:p w14:paraId="687A4FAA" w14:textId="77777777" w:rsidR="006C41AC" w:rsidRPr="006C41AC" w:rsidRDefault="006C41AC" w:rsidP="006C41AC">
            <w:pPr>
              <w:rPr>
                <w:rFonts w:cs="Arial"/>
              </w:rPr>
            </w:pPr>
          </w:p>
        </w:tc>
      </w:tr>
      <w:tr w:rsidR="006C41AC" w14:paraId="19677B3F" w14:textId="77777777" w:rsidTr="006C41AC">
        <w:tc>
          <w:tcPr>
            <w:tcW w:w="3116" w:type="dxa"/>
          </w:tcPr>
          <w:p w14:paraId="72885607" w14:textId="7BEBE82D" w:rsidR="006C41AC" w:rsidRPr="006C41AC" w:rsidRDefault="006C41AC" w:rsidP="006C41AC">
            <w:r w:rsidRPr="006C41AC">
              <w:rPr>
                <w:i/>
                <w:iCs/>
                <w:szCs w:val="20"/>
              </w:rPr>
              <w:t>Нарушения на метаболизма и храненето</w:t>
            </w:r>
          </w:p>
        </w:tc>
        <w:tc>
          <w:tcPr>
            <w:tcW w:w="3117" w:type="dxa"/>
          </w:tcPr>
          <w:p w14:paraId="73594F50" w14:textId="243704AE" w:rsidR="006C41AC" w:rsidRPr="006C41AC" w:rsidRDefault="006C41AC" w:rsidP="006C41AC">
            <w:r w:rsidRPr="006C41AC">
              <w:rPr>
                <w:szCs w:val="20"/>
              </w:rPr>
              <w:t>Повишаване на апетита</w:t>
            </w:r>
          </w:p>
        </w:tc>
        <w:tc>
          <w:tcPr>
            <w:tcW w:w="3117" w:type="dxa"/>
          </w:tcPr>
          <w:p w14:paraId="4444AB2B" w14:textId="77777777" w:rsidR="006C41AC" w:rsidRPr="006C41AC" w:rsidRDefault="006C41AC" w:rsidP="006C41AC"/>
        </w:tc>
      </w:tr>
      <w:tr w:rsidR="006C41AC" w14:paraId="601425B0" w14:textId="77777777" w:rsidTr="006C41AC">
        <w:tc>
          <w:tcPr>
            <w:tcW w:w="3116" w:type="dxa"/>
          </w:tcPr>
          <w:p w14:paraId="31EFE592" w14:textId="6DBB4446" w:rsidR="006C41AC" w:rsidRPr="006C41AC" w:rsidRDefault="006C41AC" w:rsidP="006C41AC">
            <w:r w:rsidRPr="006C41AC">
              <w:rPr>
                <w:i/>
                <w:iCs/>
                <w:szCs w:val="20"/>
              </w:rPr>
              <w:t>Нарушения на нервната система</w:t>
            </w:r>
          </w:p>
        </w:tc>
        <w:tc>
          <w:tcPr>
            <w:tcW w:w="3117" w:type="dxa"/>
          </w:tcPr>
          <w:p w14:paraId="5B46E908" w14:textId="4437330E" w:rsidR="006C41AC" w:rsidRPr="006C41AC" w:rsidRDefault="006C41AC" w:rsidP="006C41AC">
            <w:r w:rsidRPr="006C41AC">
              <w:rPr>
                <w:szCs w:val="20"/>
              </w:rPr>
              <w:t>Екстрапирамидни симптоми</w:t>
            </w:r>
            <w:r w:rsidRPr="006C41AC">
              <w:rPr>
                <w:szCs w:val="20"/>
                <w:vertAlign w:val="superscript"/>
              </w:rPr>
              <w:t>3,4</w:t>
            </w:r>
          </w:p>
        </w:tc>
        <w:tc>
          <w:tcPr>
            <w:tcW w:w="3117" w:type="dxa"/>
          </w:tcPr>
          <w:p w14:paraId="4A66AD53" w14:textId="14AE8338" w:rsidR="006C41AC" w:rsidRPr="006C41AC" w:rsidRDefault="006C41AC" w:rsidP="006C41AC">
            <w:r w:rsidRPr="006C41AC">
              <w:rPr>
                <w:szCs w:val="20"/>
              </w:rPr>
              <w:t>Синкоп</w:t>
            </w:r>
          </w:p>
        </w:tc>
      </w:tr>
      <w:tr w:rsidR="006C41AC" w14:paraId="483A3B38" w14:textId="77777777" w:rsidTr="006C41AC">
        <w:tc>
          <w:tcPr>
            <w:tcW w:w="3116" w:type="dxa"/>
          </w:tcPr>
          <w:p w14:paraId="7FF6B749" w14:textId="05ECBABD" w:rsidR="006C41AC" w:rsidRPr="006C41AC" w:rsidRDefault="006C41AC" w:rsidP="006C41AC">
            <w:r w:rsidRPr="006C41AC">
              <w:rPr>
                <w:i/>
                <w:iCs/>
                <w:szCs w:val="20"/>
              </w:rPr>
              <w:t>Съдови нарушения</w:t>
            </w:r>
          </w:p>
        </w:tc>
        <w:tc>
          <w:tcPr>
            <w:tcW w:w="3117" w:type="dxa"/>
          </w:tcPr>
          <w:p w14:paraId="36E2705E" w14:textId="65C48B65" w:rsidR="006C41AC" w:rsidRPr="006C41AC" w:rsidRDefault="006C41AC" w:rsidP="006C41AC">
            <w:r w:rsidRPr="006C41AC">
              <w:rPr>
                <w:szCs w:val="20"/>
              </w:rPr>
              <w:t>Повишаване на артериалното налягане</w:t>
            </w:r>
            <w:r w:rsidRPr="006C41AC">
              <w:rPr>
                <w:szCs w:val="20"/>
                <w:vertAlign w:val="superscript"/>
              </w:rPr>
              <w:t>2</w:t>
            </w:r>
          </w:p>
        </w:tc>
        <w:tc>
          <w:tcPr>
            <w:tcW w:w="3117" w:type="dxa"/>
          </w:tcPr>
          <w:p w14:paraId="27FDA1F0" w14:textId="77777777" w:rsidR="006C41AC" w:rsidRPr="006C41AC" w:rsidRDefault="006C41AC" w:rsidP="006C41AC"/>
        </w:tc>
      </w:tr>
      <w:tr w:rsidR="006C41AC" w14:paraId="7A056988" w14:textId="77777777" w:rsidTr="006C41AC">
        <w:tc>
          <w:tcPr>
            <w:tcW w:w="3116" w:type="dxa"/>
          </w:tcPr>
          <w:p w14:paraId="7CFEB4AC" w14:textId="40249E5F" w:rsidR="006C41AC" w:rsidRPr="006C41AC" w:rsidRDefault="006C41AC" w:rsidP="006C41AC">
            <w:r w:rsidRPr="006C41AC">
              <w:rPr>
                <w:i/>
                <w:iCs/>
                <w:szCs w:val="20"/>
              </w:rPr>
              <w:t>Ресираторни, гръдни и медиастинални нарушения</w:t>
            </w:r>
          </w:p>
        </w:tc>
        <w:tc>
          <w:tcPr>
            <w:tcW w:w="3117" w:type="dxa"/>
          </w:tcPr>
          <w:p w14:paraId="526628D0" w14:textId="77777777" w:rsidR="006C41AC" w:rsidRPr="006C41AC" w:rsidRDefault="006C41AC" w:rsidP="006C41AC"/>
        </w:tc>
        <w:tc>
          <w:tcPr>
            <w:tcW w:w="3117" w:type="dxa"/>
          </w:tcPr>
          <w:p w14:paraId="343896FE" w14:textId="57DC85F1" w:rsidR="006C41AC" w:rsidRPr="006C41AC" w:rsidRDefault="006C41AC" w:rsidP="006C41AC">
            <w:r w:rsidRPr="006C41AC">
              <w:rPr>
                <w:szCs w:val="20"/>
              </w:rPr>
              <w:t>Ринит</w:t>
            </w:r>
          </w:p>
        </w:tc>
      </w:tr>
      <w:tr w:rsidR="006C41AC" w14:paraId="21F85F47" w14:textId="77777777" w:rsidTr="006C41AC">
        <w:tc>
          <w:tcPr>
            <w:tcW w:w="3116" w:type="dxa"/>
          </w:tcPr>
          <w:p w14:paraId="3CAE8FC0" w14:textId="420B49D0" w:rsidR="006C41AC" w:rsidRPr="006C41AC" w:rsidRDefault="006C41AC" w:rsidP="006C41AC">
            <w:r w:rsidRPr="006C41AC">
              <w:rPr>
                <w:i/>
                <w:iCs/>
                <w:szCs w:val="20"/>
              </w:rPr>
              <w:t>Стомашно-чревни нарушения</w:t>
            </w:r>
          </w:p>
        </w:tc>
        <w:tc>
          <w:tcPr>
            <w:tcW w:w="3117" w:type="dxa"/>
          </w:tcPr>
          <w:p w14:paraId="0FCD90A5" w14:textId="461B938B" w:rsidR="006C41AC" w:rsidRPr="006C41AC" w:rsidRDefault="006C41AC" w:rsidP="006C41AC">
            <w:r w:rsidRPr="006C41AC">
              <w:rPr>
                <w:szCs w:val="20"/>
              </w:rPr>
              <w:t>Повръщане</w:t>
            </w:r>
          </w:p>
        </w:tc>
        <w:tc>
          <w:tcPr>
            <w:tcW w:w="3117" w:type="dxa"/>
          </w:tcPr>
          <w:p w14:paraId="5C32BFE3" w14:textId="77777777" w:rsidR="006C41AC" w:rsidRPr="006C41AC" w:rsidRDefault="006C41AC" w:rsidP="006C41AC"/>
        </w:tc>
      </w:tr>
      <w:tr w:rsidR="006C41AC" w14:paraId="3A5884FA" w14:textId="77777777" w:rsidTr="006C41AC">
        <w:tc>
          <w:tcPr>
            <w:tcW w:w="3116" w:type="dxa"/>
          </w:tcPr>
          <w:p w14:paraId="506BEB47" w14:textId="2AF81350" w:rsidR="006C41AC" w:rsidRPr="006C41AC" w:rsidRDefault="006C41AC" w:rsidP="006C41AC">
            <w:r w:rsidRPr="006C41AC">
              <w:rPr>
                <w:i/>
                <w:iCs/>
                <w:szCs w:val="20"/>
              </w:rPr>
              <w:t>Общи нарушения и ефекти на мястото на приложение</w:t>
            </w:r>
          </w:p>
        </w:tc>
        <w:tc>
          <w:tcPr>
            <w:tcW w:w="3117" w:type="dxa"/>
          </w:tcPr>
          <w:p w14:paraId="572DDD61" w14:textId="77777777" w:rsidR="006C41AC" w:rsidRPr="006C41AC" w:rsidRDefault="006C41AC" w:rsidP="006C41AC"/>
        </w:tc>
        <w:tc>
          <w:tcPr>
            <w:tcW w:w="3117" w:type="dxa"/>
          </w:tcPr>
          <w:p w14:paraId="1592C33C" w14:textId="0A09B969" w:rsidR="006C41AC" w:rsidRPr="006C41AC" w:rsidRDefault="006C41AC" w:rsidP="006C41AC">
            <w:r w:rsidRPr="006C41AC">
              <w:rPr>
                <w:szCs w:val="20"/>
              </w:rPr>
              <w:t>Раздразнителност</w:t>
            </w:r>
            <w:r w:rsidRPr="006C41AC">
              <w:rPr>
                <w:szCs w:val="20"/>
                <w:vertAlign w:val="superscript"/>
              </w:rPr>
              <w:t>3</w:t>
            </w:r>
          </w:p>
        </w:tc>
      </w:tr>
    </w:tbl>
    <w:p w14:paraId="403A9826" w14:textId="22EBBDCD" w:rsidR="006C41AC" w:rsidRDefault="006C41AC" w:rsidP="0091385D"/>
    <w:p w14:paraId="7D8C31E9" w14:textId="77777777" w:rsidR="006C41AC" w:rsidRPr="006C41AC" w:rsidRDefault="006C41AC" w:rsidP="006C41AC">
      <w:pPr>
        <w:pStyle w:val="ListParagraph"/>
        <w:numPr>
          <w:ilvl w:val="0"/>
          <w:numId w:val="41"/>
        </w:numPr>
        <w:spacing w:line="240" w:lineRule="auto"/>
        <w:rPr>
          <w:rFonts w:eastAsia="Times New Roman" w:cs="Arial"/>
          <w:color w:val="000000"/>
          <w:lang w:eastAsia="bg-BG"/>
        </w:rPr>
      </w:pPr>
      <w:r w:rsidRPr="006C41AC">
        <w:rPr>
          <w:rFonts w:eastAsia="Times New Roman" w:cs="Arial"/>
          <w:color w:val="000000"/>
          <w:lang w:eastAsia="bg-BG"/>
        </w:rPr>
        <w:t>Пролактинови стойности (пациенти &lt; 18-годишна възраст): &gt; 20 μ</w:t>
      </w:r>
      <w:r w:rsidRPr="006C41AC">
        <w:rPr>
          <w:rFonts w:eastAsia="Times New Roman" w:cs="Arial"/>
          <w:color w:val="000000"/>
          <w:lang w:val="en-US"/>
        </w:rPr>
        <w:t xml:space="preserve">g/l </w:t>
      </w:r>
      <w:r w:rsidRPr="006C41AC">
        <w:rPr>
          <w:rFonts w:eastAsia="Times New Roman" w:cs="Arial"/>
          <w:color w:val="000000"/>
          <w:lang w:eastAsia="bg-BG"/>
        </w:rPr>
        <w:t xml:space="preserve">(&gt; 869,56 </w:t>
      </w:r>
      <w:proofErr w:type="spellStart"/>
      <w:r w:rsidRPr="006C41AC">
        <w:rPr>
          <w:rFonts w:eastAsia="Times New Roman" w:cs="Arial"/>
          <w:color w:val="000000"/>
          <w:lang w:val="en-US"/>
        </w:rPr>
        <w:t>pmol</w:t>
      </w:r>
      <w:proofErr w:type="spellEnd"/>
      <w:r w:rsidRPr="006C41AC">
        <w:rPr>
          <w:rFonts w:eastAsia="Times New Roman" w:cs="Arial"/>
          <w:color w:val="000000"/>
          <w:lang w:val="en-US"/>
        </w:rPr>
        <w:t xml:space="preserve">/l) </w:t>
      </w:r>
      <w:r w:rsidRPr="006C41AC">
        <w:rPr>
          <w:rFonts w:eastAsia="Times New Roman" w:cs="Arial"/>
          <w:color w:val="000000"/>
          <w:lang w:eastAsia="bg-BG"/>
        </w:rPr>
        <w:t>мъже; &gt; 26 μ</w:t>
      </w:r>
      <w:r w:rsidRPr="006C41AC">
        <w:rPr>
          <w:rFonts w:eastAsia="Times New Roman" w:cs="Arial"/>
          <w:color w:val="000000"/>
          <w:lang w:val="en-US"/>
        </w:rPr>
        <w:t xml:space="preserve">g/l </w:t>
      </w:r>
      <w:r w:rsidRPr="006C41AC">
        <w:rPr>
          <w:rFonts w:eastAsia="Times New Roman" w:cs="Arial"/>
          <w:color w:val="000000"/>
          <w:lang w:eastAsia="bg-BG"/>
        </w:rPr>
        <w:t>(&gt; 1</w:t>
      </w:r>
      <w:r w:rsidRPr="006C41AC">
        <w:rPr>
          <w:rFonts w:eastAsia="Times New Roman" w:cs="Arial"/>
          <w:color w:val="000000"/>
          <w:lang w:val="en-US"/>
        </w:rPr>
        <w:t xml:space="preserve"> </w:t>
      </w:r>
      <w:r w:rsidRPr="006C41AC">
        <w:rPr>
          <w:rFonts w:eastAsia="Times New Roman" w:cs="Arial"/>
          <w:color w:val="000000"/>
          <w:lang w:eastAsia="bg-BG"/>
        </w:rPr>
        <w:t xml:space="preserve">130,428 </w:t>
      </w:r>
      <w:proofErr w:type="spellStart"/>
      <w:r w:rsidRPr="006C41AC">
        <w:rPr>
          <w:rFonts w:eastAsia="Times New Roman" w:cs="Arial"/>
          <w:color w:val="000000"/>
          <w:lang w:val="en-US"/>
        </w:rPr>
        <w:t>pmol</w:t>
      </w:r>
      <w:proofErr w:type="spellEnd"/>
      <w:r w:rsidRPr="006C41AC">
        <w:rPr>
          <w:rFonts w:eastAsia="Times New Roman" w:cs="Arial"/>
          <w:color w:val="000000"/>
          <w:lang w:val="en-US"/>
        </w:rPr>
        <w:t xml:space="preserve">/l) </w:t>
      </w:r>
      <w:r w:rsidRPr="006C41AC">
        <w:rPr>
          <w:rFonts w:eastAsia="Times New Roman" w:cs="Arial"/>
          <w:color w:val="000000"/>
          <w:lang w:eastAsia="bg-BG"/>
        </w:rPr>
        <w:t>жени по всяко време. По-малко от 1 % от пациентите са имали повишаване на пролактин &gt;100 μ</w:t>
      </w:r>
      <w:r w:rsidRPr="006C41AC">
        <w:rPr>
          <w:rFonts w:eastAsia="Times New Roman" w:cs="Arial"/>
          <w:color w:val="000000"/>
          <w:lang w:val="en-US"/>
        </w:rPr>
        <w:t>g/l.</w:t>
      </w:r>
    </w:p>
    <w:p w14:paraId="47A8BF5D" w14:textId="77777777" w:rsidR="006C41AC" w:rsidRPr="006C41AC" w:rsidRDefault="006C41AC" w:rsidP="006C41AC">
      <w:pPr>
        <w:pStyle w:val="ListParagraph"/>
        <w:numPr>
          <w:ilvl w:val="0"/>
          <w:numId w:val="41"/>
        </w:numPr>
        <w:spacing w:line="240" w:lineRule="auto"/>
        <w:rPr>
          <w:rFonts w:eastAsia="Times New Roman" w:cs="Arial"/>
          <w:color w:val="000000"/>
          <w:lang w:eastAsia="bg-BG"/>
        </w:rPr>
      </w:pPr>
      <w:r w:rsidRPr="006C41AC">
        <w:rPr>
          <w:rFonts w:eastAsia="Times New Roman" w:cs="Arial"/>
          <w:color w:val="000000"/>
          <w:lang w:eastAsia="bg-BG"/>
        </w:rPr>
        <w:t xml:space="preserve">Въз основа на промени над клинично значимите прагове (възприети от Националните Институти по здравни критерии) или повишаване &gt; 20 </w:t>
      </w:r>
      <w:r w:rsidRPr="006C41AC">
        <w:rPr>
          <w:rFonts w:eastAsia="Times New Roman" w:cs="Arial"/>
          <w:color w:val="000000"/>
          <w:lang w:val="en-US"/>
        </w:rPr>
        <w:t xml:space="preserve">mmHg </w:t>
      </w:r>
      <w:r w:rsidRPr="006C41AC">
        <w:rPr>
          <w:rFonts w:eastAsia="Times New Roman" w:cs="Arial"/>
          <w:color w:val="000000"/>
          <w:lang w:eastAsia="bg-BG"/>
        </w:rPr>
        <w:t xml:space="preserve">за систолното или &gt;10 </w:t>
      </w:r>
      <w:r w:rsidRPr="006C41AC">
        <w:rPr>
          <w:rFonts w:eastAsia="Times New Roman" w:cs="Arial"/>
          <w:color w:val="000000"/>
          <w:lang w:val="en-US"/>
        </w:rPr>
        <w:t xml:space="preserve">mmHg </w:t>
      </w:r>
      <w:r w:rsidRPr="006C41AC">
        <w:rPr>
          <w:rFonts w:eastAsia="Times New Roman" w:cs="Arial"/>
          <w:color w:val="000000"/>
          <w:lang w:eastAsia="bg-BG"/>
        </w:rPr>
        <w:t>за диастолното кръвно налягане по всяко време в две (3-6 седмици) плацебо-контролирани изпитвания в острата фаза при деца и юноши.</w:t>
      </w:r>
    </w:p>
    <w:p w14:paraId="6FCE559B" w14:textId="77777777" w:rsidR="006C41AC" w:rsidRPr="006C41AC" w:rsidRDefault="006C41AC" w:rsidP="006C41AC">
      <w:pPr>
        <w:pStyle w:val="ListParagraph"/>
        <w:numPr>
          <w:ilvl w:val="0"/>
          <w:numId w:val="41"/>
        </w:numPr>
        <w:spacing w:line="240" w:lineRule="auto"/>
        <w:rPr>
          <w:rFonts w:eastAsia="Times New Roman" w:cs="Arial"/>
          <w:color w:val="000000"/>
          <w:lang w:eastAsia="bg-BG"/>
        </w:rPr>
      </w:pPr>
      <w:r w:rsidRPr="006C41AC">
        <w:rPr>
          <w:rFonts w:eastAsia="Times New Roman" w:cs="Arial"/>
          <w:color w:val="000000"/>
          <w:lang w:eastAsia="bg-BG"/>
        </w:rPr>
        <w:t>Забележка: Честотата е в съответствие с тази, наблюдавана при възрастни, но може да бъде свързана с различни клинични последици при децата и юношите, в сравнение с възрастни.</w:t>
      </w:r>
    </w:p>
    <w:p w14:paraId="302F3EE5" w14:textId="37486819" w:rsidR="006C41AC" w:rsidRPr="006C41AC" w:rsidRDefault="006C41AC" w:rsidP="006C41AC">
      <w:pPr>
        <w:pStyle w:val="ListParagraph"/>
        <w:numPr>
          <w:ilvl w:val="0"/>
          <w:numId w:val="41"/>
        </w:numPr>
        <w:spacing w:line="240" w:lineRule="auto"/>
        <w:rPr>
          <w:rFonts w:eastAsia="Times New Roman" w:cs="Arial"/>
          <w:color w:val="000000"/>
          <w:lang w:eastAsia="bg-BG"/>
        </w:rPr>
      </w:pPr>
      <w:r w:rsidRPr="006C41AC">
        <w:rPr>
          <w:rFonts w:eastAsia="Times New Roman" w:cs="Arial"/>
          <w:color w:val="000000"/>
          <w:lang w:eastAsia="bg-BG"/>
        </w:rPr>
        <w:t>Вж. точка 5.1.</w:t>
      </w:r>
    </w:p>
    <w:p w14:paraId="37DB829A" w14:textId="77777777" w:rsidR="006C41AC" w:rsidRPr="006C41AC" w:rsidRDefault="006C41AC" w:rsidP="006C41AC">
      <w:pPr>
        <w:spacing w:line="240" w:lineRule="auto"/>
        <w:rPr>
          <w:rFonts w:eastAsia="Times New Roman" w:cs="Arial"/>
          <w:color w:val="000000"/>
          <w:u w:val="single"/>
          <w:lang w:eastAsia="bg-BG"/>
        </w:rPr>
      </w:pPr>
    </w:p>
    <w:p w14:paraId="1F8C9FF3" w14:textId="00402517" w:rsidR="006C41AC" w:rsidRPr="006C41AC" w:rsidRDefault="006C41AC" w:rsidP="006C41AC">
      <w:pPr>
        <w:spacing w:line="240" w:lineRule="auto"/>
        <w:rPr>
          <w:rFonts w:eastAsia="Times New Roman" w:cs="Arial"/>
          <w:lang w:eastAsia="bg-BG"/>
        </w:rPr>
      </w:pPr>
      <w:r w:rsidRPr="006C41AC">
        <w:rPr>
          <w:rFonts w:eastAsia="Times New Roman" w:cs="Arial"/>
          <w:color w:val="000000"/>
          <w:u w:val="single"/>
          <w:lang w:eastAsia="bg-BG"/>
        </w:rPr>
        <w:t>Съобщаване на подозирани нежелани реакции</w:t>
      </w:r>
    </w:p>
    <w:p w14:paraId="48DD2CB3" w14:textId="70E0EF10" w:rsidR="006C41AC" w:rsidRPr="006C41AC" w:rsidRDefault="006C41AC" w:rsidP="006C41AC">
      <w:pPr>
        <w:rPr>
          <w:rFonts w:cs="Arial"/>
        </w:rPr>
      </w:pPr>
      <w:r w:rsidRPr="006C41AC">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8,1303 София, тел: 02 8903417, уебсайт: </w:t>
      </w:r>
      <w:r w:rsidRPr="006C41AC">
        <w:rPr>
          <w:rFonts w:eastAsia="Times New Roman" w:cs="Arial"/>
          <w:lang w:eastAsia="bg-BG"/>
        </w:rPr>
        <w:fldChar w:fldCharType="begin"/>
      </w:r>
      <w:r w:rsidRPr="006C41AC">
        <w:rPr>
          <w:rFonts w:eastAsia="Times New Roman" w:cs="Arial"/>
          <w:lang w:eastAsia="bg-BG"/>
        </w:rPr>
        <w:instrText xml:space="preserve"> HYPERLINK "http://www.bda.bg" </w:instrText>
      </w:r>
      <w:r w:rsidRPr="006C41AC">
        <w:rPr>
          <w:rFonts w:eastAsia="Times New Roman" w:cs="Arial"/>
          <w:lang w:eastAsia="bg-BG"/>
        </w:rPr>
      </w:r>
      <w:r w:rsidRPr="006C41AC">
        <w:rPr>
          <w:rFonts w:eastAsia="Times New Roman" w:cs="Arial"/>
          <w:lang w:eastAsia="bg-BG"/>
        </w:rPr>
        <w:fldChar w:fldCharType="separate"/>
      </w:r>
      <w:r w:rsidRPr="006C41AC">
        <w:rPr>
          <w:rFonts w:eastAsia="Times New Roman" w:cs="Arial"/>
          <w:color w:val="000000"/>
          <w:lang w:val="en-US"/>
        </w:rPr>
        <w:t>www.bda.bg</w:t>
      </w:r>
      <w:r w:rsidRPr="006C41AC">
        <w:rPr>
          <w:rFonts w:eastAsia="Times New Roman" w:cs="Arial"/>
          <w:lang w:eastAsia="bg-BG"/>
        </w:rPr>
        <w:fldChar w:fldCharType="end"/>
      </w:r>
      <w:r w:rsidRPr="006C41AC">
        <w:rPr>
          <w:rFonts w:eastAsia="Times New Roman" w:cs="Arial"/>
          <w:color w:val="000000"/>
          <w:lang w:val="en-US"/>
        </w:rPr>
        <w:t>.</w:t>
      </w:r>
    </w:p>
    <w:p w14:paraId="428660CE" w14:textId="77777777" w:rsidR="006C41AC" w:rsidRPr="0091385D" w:rsidRDefault="006C41AC" w:rsidP="0091385D"/>
    <w:p w14:paraId="0A023CE0" w14:textId="13F87CFD" w:rsidR="00CF77F7" w:rsidRDefault="002C50EE" w:rsidP="004A448E">
      <w:pPr>
        <w:pStyle w:val="Heading2"/>
      </w:pPr>
      <w:r>
        <w:t>4.9. Предозиране</w:t>
      </w:r>
    </w:p>
    <w:p w14:paraId="3EDFC3FC" w14:textId="771B3817" w:rsidR="0091385D" w:rsidRDefault="0091385D" w:rsidP="0091385D"/>
    <w:p w14:paraId="0CCFE88C" w14:textId="77777777" w:rsidR="006C41AC" w:rsidRPr="006C41AC" w:rsidRDefault="006C41AC" w:rsidP="006C41AC">
      <w:pPr>
        <w:pStyle w:val="Heading3"/>
        <w:rPr>
          <w:rFonts w:eastAsia="Times New Roman"/>
          <w:sz w:val="28"/>
          <w:u w:val="single"/>
          <w:lang w:eastAsia="bg-BG"/>
        </w:rPr>
      </w:pPr>
      <w:r w:rsidRPr="006C41AC">
        <w:rPr>
          <w:rFonts w:eastAsia="Times New Roman"/>
          <w:u w:val="single"/>
          <w:lang w:eastAsia="bg-BG"/>
        </w:rPr>
        <w:t>Симптоми</w:t>
      </w:r>
    </w:p>
    <w:p w14:paraId="1F18EFAB"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Най-общо, докладваните признаци и симптоми са резултат от засилване на известните фармакологични ефекти на активното вещество, като сънливост и седация, тахикардия, хипотония и антихолинергични ефекти.</w:t>
      </w:r>
    </w:p>
    <w:p w14:paraId="1AAF3E6D"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lastRenderedPageBreak/>
        <w:t xml:space="preserve">Предозирането може да доведе до удължаване на </w:t>
      </w:r>
      <w:r w:rsidRPr="006C41AC">
        <w:rPr>
          <w:rFonts w:eastAsia="Times New Roman" w:cs="Arial"/>
          <w:color w:val="000000"/>
          <w:szCs w:val="20"/>
          <w:lang w:val="en-US"/>
        </w:rPr>
        <w:t xml:space="preserve">QT </w:t>
      </w:r>
      <w:r w:rsidRPr="006C41AC">
        <w:rPr>
          <w:rFonts w:eastAsia="Times New Roman" w:cs="Arial"/>
          <w:color w:val="000000"/>
          <w:szCs w:val="20"/>
          <w:lang w:eastAsia="bg-BG"/>
        </w:rPr>
        <w:t>интервала, гърчове, епилептичен статус, рабдомиолиза, потискане на дишането, задръжка на урина, обърканост, делириум, и/или възбуда, кома и смърт. Пациенти с предшестващо тежко сърдечно-съдово заболяване могат да бъдат изложени на повишен риск от ефектите на предозиране (вж. точка 4.4, „Ортостатична хипотония“).</w:t>
      </w:r>
    </w:p>
    <w:p w14:paraId="1545E7F4" w14:textId="77777777" w:rsidR="006C41AC" w:rsidRPr="006C41AC" w:rsidRDefault="006C41AC" w:rsidP="006C41AC">
      <w:pPr>
        <w:spacing w:line="240" w:lineRule="auto"/>
        <w:rPr>
          <w:rFonts w:eastAsia="Times New Roman" w:cs="Arial"/>
          <w:color w:val="000000"/>
          <w:szCs w:val="20"/>
          <w:u w:val="single"/>
          <w:lang w:eastAsia="bg-BG"/>
        </w:rPr>
      </w:pPr>
    </w:p>
    <w:p w14:paraId="4FFAA421" w14:textId="46A72511" w:rsidR="006C41AC" w:rsidRPr="006C41AC" w:rsidRDefault="006C41AC" w:rsidP="006C41AC">
      <w:pPr>
        <w:pStyle w:val="Heading3"/>
        <w:rPr>
          <w:rFonts w:eastAsia="Times New Roman"/>
          <w:sz w:val="28"/>
          <w:u w:val="single"/>
          <w:lang w:eastAsia="bg-BG"/>
        </w:rPr>
      </w:pPr>
      <w:r w:rsidRPr="006C41AC">
        <w:rPr>
          <w:rFonts w:eastAsia="Times New Roman"/>
          <w:u w:val="single"/>
          <w:lang w:eastAsia="bg-BG"/>
        </w:rPr>
        <w:t>Мерки при предозиране</w:t>
      </w:r>
    </w:p>
    <w:p w14:paraId="00327100" w14:textId="77777777" w:rsidR="006C41AC" w:rsidRPr="006C41AC" w:rsidRDefault="006C41AC" w:rsidP="006C41AC">
      <w:pPr>
        <w:rPr>
          <w:rFonts w:eastAsia="Times New Roman" w:cs="Arial"/>
          <w:lang w:eastAsia="bg-BG"/>
        </w:rPr>
      </w:pPr>
      <w:r w:rsidRPr="006C41AC">
        <w:rPr>
          <w:rFonts w:eastAsia="Times New Roman" w:cs="Arial"/>
          <w:color w:val="000000"/>
          <w:szCs w:val="20"/>
          <w:lang w:eastAsia="bg-BG"/>
        </w:rPr>
        <w:t xml:space="preserve">Няма специфичен антидот за кветиапин. При наличие на тежки признаци, трябва да се обмисли  възможността за участие на множество лекарства, като се препоръчва </w:t>
      </w:r>
      <w:r w:rsidRPr="006C41AC">
        <w:rPr>
          <w:rFonts w:eastAsia="Times New Roman" w:cs="Arial"/>
          <w:color w:val="000000"/>
          <w:lang w:eastAsia="bg-BG"/>
        </w:rPr>
        <w:t xml:space="preserve">предприемане на интензивни мерки, включително освобождаване и поддържане на свободни дихателни пътища, осигуряване на адекватна оксигенация и вентилация, мониториране и поддържане на сърдечно-съдовата система. Според публикуваните литературни данни, пациентите с делириум и възбуда и очевиден антихолинергичен синдром могат да бъдат лекувани с физостигмин 1-2 </w:t>
      </w:r>
      <w:r w:rsidRPr="006C41AC">
        <w:rPr>
          <w:rFonts w:eastAsia="Times New Roman" w:cs="Arial"/>
          <w:color w:val="000000"/>
          <w:lang w:val="en-US"/>
        </w:rPr>
        <w:t xml:space="preserve">mg </w:t>
      </w:r>
      <w:r w:rsidRPr="006C41AC">
        <w:rPr>
          <w:rFonts w:eastAsia="Times New Roman" w:cs="Arial"/>
          <w:color w:val="000000"/>
          <w:lang w:eastAsia="bg-BG"/>
        </w:rPr>
        <w:t xml:space="preserve">(при постоянно наблюдение на ЕКГ). Това не се препоръчва като стандартно лечение, поради потенциално негативните ефекти на физостигмин върху сърдечната проводимост. Физостигмин може да се използва, ако няма отклонения в ЕКГ. Не използвайте физостигмин при аритмия, някаква степен на сърдечен блок или удължаване на </w:t>
      </w:r>
      <w:r w:rsidRPr="006C41AC">
        <w:rPr>
          <w:rFonts w:eastAsia="Times New Roman" w:cs="Arial"/>
          <w:color w:val="000000"/>
          <w:lang w:val="en-US"/>
        </w:rPr>
        <w:t xml:space="preserve">QRS </w:t>
      </w:r>
      <w:r w:rsidRPr="006C41AC">
        <w:rPr>
          <w:rFonts w:eastAsia="Times New Roman" w:cs="Arial"/>
          <w:color w:val="000000"/>
          <w:lang w:eastAsia="bg-BG"/>
        </w:rPr>
        <w:t>комплекса.</w:t>
      </w:r>
    </w:p>
    <w:p w14:paraId="13D2D269" w14:textId="77777777" w:rsidR="006C41AC" w:rsidRPr="006C41AC" w:rsidRDefault="006C41AC" w:rsidP="006C41AC">
      <w:pPr>
        <w:spacing w:line="240" w:lineRule="auto"/>
        <w:rPr>
          <w:rFonts w:eastAsia="Times New Roman" w:cs="Arial"/>
          <w:color w:val="000000"/>
          <w:lang w:eastAsia="bg-BG"/>
        </w:rPr>
      </w:pPr>
    </w:p>
    <w:p w14:paraId="2A25B8FC" w14:textId="3C2FE0E0"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Тъй като превенцията на абсорбция при предозиране не е проучена, при по-тежки отравяния може да се извърши стомашна промивка, по възможност до един час след поглъщане. Трябва да се обмисли приложение на активен въглен.</w:t>
      </w:r>
    </w:p>
    <w:p w14:paraId="11CE6B90" w14:textId="77777777" w:rsidR="006C41AC" w:rsidRPr="006C41AC" w:rsidRDefault="006C41AC" w:rsidP="006C41AC">
      <w:pPr>
        <w:spacing w:line="240" w:lineRule="auto"/>
        <w:rPr>
          <w:rFonts w:eastAsia="Times New Roman" w:cs="Arial"/>
          <w:color w:val="000000"/>
          <w:lang w:eastAsia="bg-BG"/>
        </w:rPr>
      </w:pPr>
    </w:p>
    <w:p w14:paraId="043666EE" w14:textId="19DEC23D"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При предозиране с кветиапин, упоритата хипотония трябва да се овладява с подходящи мерки, като интравенозно вливане на течности и/или симпатикомиметици. Епинефрин и допамин трябва да бъдат избягвани, тъй като бета-стимулацията може да влоши хипотонията в условия на кветиапин-индуцирана алфа-блокада.</w:t>
      </w:r>
    </w:p>
    <w:p w14:paraId="45E01B06" w14:textId="77777777" w:rsidR="006C41AC" w:rsidRPr="006C41AC" w:rsidRDefault="006C41AC" w:rsidP="006C41AC">
      <w:pPr>
        <w:rPr>
          <w:rFonts w:eastAsia="Times New Roman" w:cs="Arial"/>
          <w:color w:val="000000"/>
          <w:lang w:eastAsia="bg-BG"/>
        </w:rPr>
      </w:pPr>
    </w:p>
    <w:p w14:paraId="6A43B8F3" w14:textId="37013F24" w:rsidR="007A2185" w:rsidRPr="006C41AC" w:rsidRDefault="006C41AC" w:rsidP="006C41AC">
      <w:pPr>
        <w:rPr>
          <w:rFonts w:cs="Arial"/>
        </w:rPr>
      </w:pPr>
      <w:r w:rsidRPr="006C41AC">
        <w:rPr>
          <w:rFonts w:eastAsia="Times New Roman" w:cs="Arial"/>
          <w:color w:val="000000"/>
          <w:lang w:eastAsia="bg-BG"/>
        </w:rPr>
        <w:t>Строгият медицински контрол и наблюдение трябва да продължават до възстановяване на пациента.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73F11A6B" w:rsidR="0091385D" w:rsidRDefault="0091385D" w:rsidP="0091385D"/>
    <w:p w14:paraId="0E5D77DA"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 xml:space="preserve">Фармакотерапевтична група: Антипсихотици; Диазепини, оксазепини, тиазепини и оксепини АТС код: </w:t>
      </w:r>
      <w:r w:rsidRPr="006C41AC">
        <w:rPr>
          <w:rFonts w:eastAsia="Times New Roman" w:cs="Arial"/>
          <w:color w:val="000000"/>
          <w:lang w:val="en-US"/>
        </w:rPr>
        <w:t xml:space="preserve">N05 </w:t>
      </w:r>
      <w:r w:rsidRPr="006C41AC">
        <w:rPr>
          <w:rFonts w:eastAsia="Times New Roman" w:cs="Arial"/>
          <w:color w:val="000000"/>
          <w:lang w:eastAsia="bg-BG"/>
        </w:rPr>
        <w:t>АН04</w:t>
      </w:r>
    </w:p>
    <w:p w14:paraId="0B607668" w14:textId="77777777" w:rsidR="006C41AC" w:rsidRPr="006C41AC" w:rsidRDefault="006C41AC" w:rsidP="006C41AC">
      <w:pPr>
        <w:spacing w:line="240" w:lineRule="auto"/>
        <w:rPr>
          <w:rFonts w:eastAsia="Times New Roman" w:cs="Arial"/>
          <w:color w:val="000000"/>
          <w:u w:val="single"/>
          <w:lang w:eastAsia="bg-BG"/>
        </w:rPr>
      </w:pPr>
    </w:p>
    <w:p w14:paraId="32CB8FEE" w14:textId="746615D5" w:rsidR="006C41AC" w:rsidRPr="006C41AC" w:rsidRDefault="006C41AC" w:rsidP="006C41AC">
      <w:pPr>
        <w:spacing w:line="240" w:lineRule="auto"/>
        <w:rPr>
          <w:rFonts w:eastAsia="Times New Roman" w:cs="Arial"/>
          <w:lang w:eastAsia="bg-BG"/>
        </w:rPr>
      </w:pPr>
      <w:r w:rsidRPr="006C41AC">
        <w:rPr>
          <w:rFonts w:eastAsia="Times New Roman" w:cs="Arial"/>
          <w:color w:val="000000"/>
          <w:u w:val="single"/>
          <w:lang w:eastAsia="bg-BG"/>
        </w:rPr>
        <w:t>Механизъм на действие</w:t>
      </w:r>
    </w:p>
    <w:p w14:paraId="465D7DF8"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Кветиапин е атипично антипсихотично средство. Кветиапин и активният метаболит норкветиапин в човешката плазма взаимодействат с широк спектър невротрансмитерни рецептори. Кветиапин и норкветиапин показват висок афинитет към серотониновите (5НТ</w:t>
      </w:r>
      <w:r w:rsidRPr="006C41AC">
        <w:rPr>
          <w:rFonts w:eastAsia="Times New Roman" w:cs="Arial"/>
          <w:color w:val="000000"/>
          <w:vertAlign w:val="subscript"/>
          <w:lang w:eastAsia="bg-BG"/>
        </w:rPr>
        <w:t>2</w:t>
      </w:r>
      <w:r w:rsidRPr="006C41AC">
        <w:rPr>
          <w:rFonts w:eastAsia="Times New Roman" w:cs="Arial"/>
          <w:color w:val="000000"/>
          <w:lang w:eastAsia="bg-BG"/>
        </w:rPr>
        <w:t xml:space="preserve">) рецептори, както и към допаминовите </w:t>
      </w:r>
      <w:r w:rsidRPr="006C41AC">
        <w:rPr>
          <w:rFonts w:eastAsia="Times New Roman" w:cs="Arial"/>
          <w:color w:val="000000"/>
          <w:lang w:val="en-US"/>
        </w:rPr>
        <w:t>D</w:t>
      </w:r>
      <w:r w:rsidRPr="006C41AC">
        <w:rPr>
          <w:rFonts w:eastAsia="Times New Roman" w:cs="Arial"/>
          <w:color w:val="000000"/>
          <w:vertAlign w:val="subscript"/>
          <w:lang w:val="en-US"/>
        </w:rPr>
        <w:t>1</w:t>
      </w:r>
      <w:r w:rsidRPr="006C41AC">
        <w:rPr>
          <w:rFonts w:eastAsia="Times New Roman" w:cs="Arial"/>
          <w:color w:val="000000"/>
          <w:lang w:val="en-US"/>
        </w:rPr>
        <w:t xml:space="preserve"> </w:t>
      </w:r>
      <w:r w:rsidRPr="006C41AC">
        <w:rPr>
          <w:rFonts w:eastAsia="Times New Roman" w:cs="Arial"/>
          <w:color w:val="000000"/>
          <w:lang w:eastAsia="bg-BG"/>
        </w:rPr>
        <w:t xml:space="preserve">и </w:t>
      </w:r>
      <w:r w:rsidRPr="006C41AC">
        <w:rPr>
          <w:rFonts w:eastAsia="Times New Roman" w:cs="Arial"/>
          <w:color w:val="000000"/>
          <w:lang w:val="en-US"/>
        </w:rPr>
        <w:t>D</w:t>
      </w:r>
      <w:r w:rsidRPr="006C41AC">
        <w:rPr>
          <w:rFonts w:eastAsia="Times New Roman" w:cs="Arial"/>
          <w:color w:val="000000"/>
          <w:vertAlign w:val="subscript"/>
          <w:lang w:val="en-US"/>
        </w:rPr>
        <w:t>2</w:t>
      </w:r>
      <w:r w:rsidRPr="006C41AC">
        <w:rPr>
          <w:rFonts w:eastAsia="Times New Roman" w:cs="Arial"/>
          <w:color w:val="000000"/>
          <w:lang w:val="en-US"/>
        </w:rPr>
        <w:t xml:space="preserve">- </w:t>
      </w:r>
      <w:r w:rsidRPr="006C41AC">
        <w:rPr>
          <w:rFonts w:eastAsia="Times New Roman" w:cs="Arial"/>
          <w:color w:val="000000"/>
          <w:lang w:eastAsia="bg-BG"/>
        </w:rPr>
        <w:t>рецептори в мозъка. Предполага се, че именно тази комбинация от рецепторен антагонизъм с по-висока селективност към 5НТ</w:t>
      </w:r>
      <w:r w:rsidRPr="006C41AC">
        <w:rPr>
          <w:rFonts w:eastAsia="Times New Roman" w:cs="Arial"/>
          <w:color w:val="000000"/>
          <w:vertAlign w:val="subscript"/>
          <w:lang w:eastAsia="bg-BG"/>
        </w:rPr>
        <w:t>2</w:t>
      </w:r>
      <w:r w:rsidRPr="006C41AC">
        <w:rPr>
          <w:rFonts w:eastAsia="Times New Roman" w:cs="Arial"/>
          <w:color w:val="000000"/>
          <w:lang w:eastAsia="bg-BG"/>
        </w:rPr>
        <w:t xml:space="preserve"> рецептори в сравнение с </w:t>
      </w:r>
      <w:r w:rsidRPr="006C41AC">
        <w:rPr>
          <w:rFonts w:eastAsia="Times New Roman" w:cs="Arial"/>
          <w:color w:val="000000"/>
          <w:lang w:val="en-US"/>
        </w:rPr>
        <w:t xml:space="preserve">D2- </w:t>
      </w:r>
      <w:r w:rsidRPr="006C41AC">
        <w:rPr>
          <w:rFonts w:eastAsia="Times New Roman" w:cs="Arial"/>
          <w:color w:val="000000"/>
          <w:lang w:eastAsia="bg-BG"/>
        </w:rPr>
        <w:t xml:space="preserve">рецепторите допринася за клиничните антипсихотични свойства и ниския потенциал за предизвикване на екстрапирамидни симптоми (ЕПС) от страна на кветиапин, в сравнение с типичните антипсихотици. Кветиапин и норкветиапин </w:t>
      </w:r>
      <w:r w:rsidRPr="006C41AC">
        <w:rPr>
          <w:rFonts w:eastAsia="Times New Roman" w:cs="Arial"/>
          <w:color w:val="000000"/>
          <w:lang w:eastAsia="bg-BG"/>
        </w:rPr>
        <w:lastRenderedPageBreak/>
        <w:t xml:space="preserve">нямат значителен афинитет към бензодиазепиновите рецептори, но имат висок афинитет към хистаминергичните и адренергични алфа1 рецептори и умерен афинитет към адренергичните алфа2 рецептори. Кветиапин притежава също нисък афинитет или няма афинитет към мускариновите рецептори, докато норкветиапин има умерен до висок афинитет към някои мускаринови рецептори, което може да обясни антихолинергичните (мускаринови) ефекти. Инхибирането на норепинефринов преносител </w:t>
      </w:r>
      <w:r w:rsidRPr="006C41AC">
        <w:rPr>
          <w:rFonts w:eastAsia="Times New Roman" w:cs="Arial"/>
          <w:color w:val="000000"/>
          <w:lang w:val="en-US"/>
        </w:rPr>
        <w:t xml:space="preserve">NET </w:t>
      </w:r>
      <w:r w:rsidRPr="006C41AC">
        <w:rPr>
          <w:rFonts w:eastAsia="Times New Roman" w:cs="Arial"/>
          <w:color w:val="000000"/>
          <w:lang w:eastAsia="bg-BG"/>
        </w:rPr>
        <w:t xml:space="preserve">и частичното агонистично действие към 5НТ </w:t>
      </w:r>
      <w:r w:rsidRPr="006C41AC">
        <w:rPr>
          <w:rFonts w:eastAsia="Times New Roman" w:cs="Arial"/>
          <w:smallCaps/>
          <w:color w:val="000000"/>
          <w:lang w:val="en-US"/>
        </w:rPr>
        <w:t>1A</w:t>
      </w:r>
      <w:r w:rsidRPr="006C41AC">
        <w:rPr>
          <w:rFonts w:eastAsia="Times New Roman" w:cs="Arial"/>
          <w:color w:val="000000"/>
          <w:lang w:val="en-US"/>
        </w:rPr>
        <w:t xml:space="preserve"> </w:t>
      </w:r>
      <w:r w:rsidRPr="006C41AC">
        <w:rPr>
          <w:rFonts w:eastAsia="Times New Roman" w:cs="Arial"/>
          <w:color w:val="000000"/>
          <w:lang w:eastAsia="bg-BG"/>
        </w:rPr>
        <w:t>местата от норкветиапин може да допринесе за терапевтична ефикасност на кветиапин като антидепресант.</w:t>
      </w:r>
    </w:p>
    <w:p w14:paraId="43AD8F7A" w14:textId="77777777" w:rsidR="006C41AC" w:rsidRPr="006C41AC" w:rsidRDefault="006C41AC" w:rsidP="006C41AC">
      <w:pPr>
        <w:spacing w:line="240" w:lineRule="auto"/>
        <w:rPr>
          <w:rFonts w:eastAsia="Times New Roman" w:cs="Arial"/>
          <w:color w:val="000000"/>
          <w:u w:val="single"/>
          <w:lang w:eastAsia="bg-BG"/>
        </w:rPr>
      </w:pPr>
    </w:p>
    <w:p w14:paraId="0BB66B23" w14:textId="51339A26" w:rsidR="006C41AC" w:rsidRPr="006C41AC" w:rsidRDefault="006C41AC" w:rsidP="006C41AC">
      <w:pPr>
        <w:spacing w:line="240" w:lineRule="auto"/>
        <w:rPr>
          <w:rFonts w:eastAsia="Times New Roman" w:cs="Arial"/>
          <w:lang w:eastAsia="bg-BG"/>
        </w:rPr>
      </w:pPr>
      <w:r w:rsidRPr="006C41AC">
        <w:rPr>
          <w:rFonts w:eastAsia="Times New Roman" w:cs="Arial"/>
          <w:color w:val="000000"/>
          <w:u w:val="single"/>
          <w:lang w:eastAsia="bg-BG"/>
        </w:rPr>
        <w:t>Фармакодинамични ефекти</w:t>
      </w:r>
    </w:p>
    <w:p w14:paraId="038F692B" w14:textId="7038E199" w:rsidR="007A2185" w:rsidRPr="006C41AC" w:rsidRDefault="006C41AC" w:rsidP="006C41AC">
      <w:pPr>
        <w:rPr>
          <w:rFonts w:cs="Arial"/>
        </w:rPr>
      </w:pPr>
      <w:r w:rsidRPr="006C41AC">
        <w:rPr>
          <w:rFonts w:eastAsia="Times New Roman" w:cs="Arial"/>
          <w:color w:val="000000"/>
          <w:lang w:eastAsia="bg-BG"/>
        </w:rPr>
        <w:t xml:space="preserve">Кветиапин е активен при тестовете за антипсихотична активност, като условно рефлекторно избягване. Той също блокира действието на допаминовите агонисти, установено с поведенчески или електро-физиологични методи и повишава концентрациите на метаболитите на допамин, неврохимичния индекс на </w:t>
      </w:r>
      <w:r w:rsidRPr="006C41AC">
        <w:rPr>
          <w:rFonts w:eastAsia="Times New Roman" w:cs="Arial"/>
          <w:color w:val="000000"/>
          <w:lang w:val="en-US"/>
        </w:rPr>
        <w:t>D</w:t>
      </w:r>
      <w:r w:rsidRPr="006C41AC">
        <w:rPr>
          <w:rFonts w:eastAsia="Times New Roman" w:cs="Arial"/>
          <w:color w:val="000000"/>
          <w:vertAlign w:val="subscript"/>
          <w:lang w:val="en-US"/>
        </w:rPr>
        <w:t>2</w:t>
      </w:r>
      <w:r w:rsidRPr="006C41AC">
        <w:rPr>
          <w:rFonts w:eastAsia="Times New Roman" w:cs="Arial"/>
          <w:color w:val="000000"/>
          <w:lang w:val="en-US"/>
        </w:rPr>
        <w:t xml:space="preserve">- </w:t>
      </w:r>
      <w:r w:rsidRPr="006C41AC">
        <w:rPr>
          <w:rFonts w:eastAsia="Times New Roman" w:cs="Arial"/>
          <w:color w:val="000000"/>
          <w:lang w:eastAsia="bg-BG"/>
        </w:rPr>
        <w:t>рецепторната блокада.</w:t>
      </w:r>
    </w:p>
    <w:p w14:paraId="36152471" w14:textId="7FA50201" w:rsidR="0091385D" w:rsidRDefault="0091385D" w:rsidP="0091385D"/>
    <w:p w14:paraId="25E4F143"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При предклинични проучвания за предсказване на ЕПС, кветиапин има атипичен профил и се различава от стандартните антипсихотични лекарства. Кветиапин не води до развитие на свръхчувствителност на </w:t>
      </w:r>
      <w:r w:rsidRPr="006C41AC">
        <w:rPr>
          <w:rFonts w:eastAsia="Times New Roman" w:cs="Arial"/>
          <w:color w:val="000000"/>
          <w:szCs w:val="20"/>
          <w:lang w:val="en-US"/>
        </w:rPr>
        <w:t>D</w:t>
      </w:r>
      <w:r w:rsidRPr="006C41AC">
        <w:rPr>
          <w:rFonts w:eastAsia="Times New Roman" w:cs="Arial"/>
          <w:color w:val="000000"/>
          <w:szCs w:val="20"/>
          <w:vertAlign w:val="subscript"/>
          <w:lang w:val="en-US"/>
        </w:rPr>
        <w:t>2</w:t>
      </w:r>
      <w:r w:rsidRPr="006C41AC">
        <w:rPr>
          <w:rFonts w:eastAsia="Times New Roman" w:cs="Arial"/>
          <w:color w:val="000000"/>
          <w:szCs w:val="20"/>
          <w:lang w:val="en-US"/>
        </w:rPr>
        <w:t xml:space="preserve">- </w:t>
      </w:r>
      <w:r w:rsidRPr="006C41AC">
        <w:rPr>
          <w:rFonts w:eastAsia="Times New Roman" w:cs="Arial"/>
          <w:color w:val="000000"/>
          <w:szCs w:val="20"/>
          <w:lang w:eastAsia="bg-BG"/>
        </w:rPr>
        <w:t xml:space="preserve">допаминовия рецептор след хронично приложение. Кветиапин предизвиква само слаба каталепсия в дози, ефективно блокиращи допаминовите </w:t>
      </w:r>
      <w:r w:rsidRPr="006C41AC">
        <w:rPr>
          <w:rFonts w:eastAsia="Times New Roman" w:cs="Arial"/>
          <w:color w:val="000000"/>
          <w:szCs w:val="20"/>
          <w:lang w:val="en-US"/>
        </w:rPr>
        <w:t>D</w:t>
      </w:r>
      <w:r w:rsidRPr="006C41AC">
        <w:rPr>
          <w:rFonts w:eastAsia="Times New Roman" w:cs="Arial"/>
          <w:color w:val="000000"/>
          <w:szCs w:val="20"/>
          <w:vertAlign w:val="subscript"/>
          <w:lang w:val="en-US"/>
        </w:rPr>
        <w:t>2</w:t>
      </w:r>
      <w:r w:rsidRPr="006C41AC">
        <w:rPr>
          <w:rFonts w:eastAsia="Times New Roman" w:cs="Arial"/>
          <w:color w:val="000000"/>
          <w:szCs w:val="20"/>
          <w:lang w:val="en-US"/>
        </w:rPr>
        <w:t xml:space="preserve">- </w:t>
      </w:r>
      <w:r w:rsidRPr="006C41AC">
        <w:rPr>
          <w:rFonts w:eastAsia="Times New Roman" w:cs="Arial"/>
          <w:color w:val="000000"/>
          <w:szCs w:val="20"/>
          <w:lang w:eastAsia="bg-BG"/>
        </w:rPr>
        <w:t xml:space="preserve">рецептори. Кветиапин демонстрира селективност по отношение на лимбичната система, като блокира деполяризацията на мезолимбичните, но не и на нигростриалните допамин-съдържащи неврони след хронично приложение. Кветиапин показва минимална способност за предизвикване на дистония при халоперидол-сенсибилизирани или нетретирани с лекарства маймуни </w:t>
      </w:r>
      <w:proofErr w:type="spellStart"/>
      <w:r w:rsidRPr="006C41AC">
        <w:rPr>
          <w:rFonts w:eastAsia="Times New Roman" w:cs="Arial"/>
          <w:color w:val="000000"/>
          <w:szCs w:val="20"/>
          <w:lang w:val="en-US"/>
        </w:rPr>
        <w:t>Cebus</w:t>
      </w:r>
      <w:proofErr w:type="spellEnd"/>
      <w:r w:rsidRPr="006C41AC">
        <w:rPr>
          <w:rFonts w:eastAsia="Times New Roman" w:cs="Arial"/>
          <w:color w:val="000000"/>
          <w:szCs w:val="20"/>
          <w:lang w:val="en-US"/>
        </w:rPr>
        <w:t xml:space="preserve"> </w:t>
      </w:r>
      <w:r w:rsidRPr="006C41AC">
        <w:rPr>
          <w:rFonts w:eastAsia="Times New Roman" w:cs="Arial"/>
          <w:color w:val="000000"/>
          <w:szCs w:val="20"/>
          <w:lang w:eastAsia="bg-BG"/>
        </w:rPr>
        <w:t>след остро и хронично приложение (вж. точка 4.8).</w:t>
      </w:r>
    </w:p>
    <w:p w14:paraId="3B5509EC" w14:textId="77777777" w:rsidR="006C41AC" w:rsidRPr="006C41AC" w:rsidRDefault="006C41AC" w:rsidP="006C41AC">
      <w:pPr>
        <w:spacing w:line="240" w:lineRule="auto"/>
        <w:rPr>
          <w:rFonts w:eastAsia="Times New Roman" w:cs="Arial"/>
          <w:color w:val="000000"/>
          <w:szCs w:val="20"/>
          <w:u w:val="single"/>
          <w:lang w:eastAsia="bg-BG"/>
        </w:rPr>
      </w:pPr>
    </w:p>
    <w:p w14:paraId="5B084C63" w14:textId="3E6171BC"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Клинична ефикасност</w:t>
      </w:r>
    </w:p>
    <w:p w14:paraId="2A0FE218" w14:textId="77777777" w:rsidR="006C41AC" w:rsidRPr="006C41AC" w:rsidRDefault="006C41AC" w:rsidP="006C41AC">
      <w:pPr>
        <w:spacing w:line="240" w:lineRule="auto"/>
        <w:rPr>
          <w:rFonts w:eastAsia="Times New Roman" w:cs="Arial"/>
          <w:i/>
          <w:iCs/>
          <w:color w:val="000000"/>
          <w:szCs w:val="20"/>
          <w:lang w:eastAsia="bg-BG"/>
        </w:rPr>
      </w:pPr>
    </w:p>
    <w:p w14:paraId="686762E1" w14:textId="1C5CAAC4" w:rsidR="006C41AC" w:rsidRPr="006C41AC" w:rsidRDefault="006C41AC" w:rsidP="006C41AC">
      <w:pPr>
        <w:spacing w:line="240" w:lineRule="auto"/>
        <w:rPr>
          <w:rFonts w:eastAsia="Times New Roman" w:cs="Arial"/>
          <w:sz w:val="28"/>
          <w:szCs w:val="24"/>
          <w:lang w:eastAsia="bg-BG"/>
        </w:rPr>
      </w:pPr>
      <w:r w:rsidRPr="006C41AC">
        <w:rPr>
          <w:rFonts w:eastAsia="Times New Roman" w:cs="Arial"/>
          <w:i/>
          <w:iCs/>
          <w:color w:val="000000"/>
          <w:szCs w:val="20"/>
          <w:lang w:eastAsia="bg-BG"/>
        </w:rPr>
        <w:t>Шизофрения</w:t>
      </w:r>
    </w:p>
    <w:p w14:paraId="614947AC"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Резултатите от три плацебо-контролирани клинични изпитвания, включващи пациенти с шизофрения, приемащи различни дози кветиапин, не показват разлика между кветиапин и плацебо по отношение на честотата на инцидентите от ЕПС или придружаващо лечение с антихолинергични средства. Плацебо-контролирано проучване, оценяващо фиксирани дози на кветиапин в диапазон 75-750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 не дава доказателства за увеличение на ЕПС или едновременна употреба на антихолинергици. Дългосрочната ефективност на кветиапин с незабавно освобождаване за предотвратяване на рецидиви на шизофрения не е проверена чрез слепи клинични проучвания. В открити клинични проучвания, при пациенти с шизофрения, кветиапин е ефективен при поддържане на клиничното подобрение при продължително лечение при пациенти, които са показали отговор към първоначалното лечение, предполагайки известна дългосрочна ефективност.</w:t>
      </w:r>
    </w:p>
    <w:p w14:paraId="5B59BAB5" w14:textId="77777777" w:rsidR="006C41AC" w:rsidRPr="006C41AC" w:rsidRDefault="006C41AC" w:rsidP="006C41AC">
      <w:pPr>
        <w:spacing w:line="240" w:lineRule="auto"/>
        <w:rPr>
          <w:rFonts w:eastAsia="Times New Roman" w:cs="Arial"/>
          <w:i/>
          <w:iCs/>
          <w:color w:val="000000"/>
          <w:szCs w:val="20"/>
          <w:lang w:eastAsia="bg-BG"/>
        </w:rPr>
      </w:pPr>
    </w:p>
    <w:p w14:paraId="534F8DF0" w14:textId="7EAA039E" w:rsidR="006C41AC" w:rsidRPr="006C41AC" w:rsidRDefault="006C41AC" w:rsidP="006C41AC">
      <w:pPr>
        <w:spacing w:line="240" w:lineRule="auto"/>
        <w:rPr>
          <w:rFonts w:eastAsia="Times New Roman" w:cs="Arial"/>
          <w:sz w:val="28"/>
          <w:szCs w:val="24"/>
          <w:lang w:eastAsia="bg-BG"/>
        </w:rPr>
      </w:pPr>
      <w:r w:rsidRPr="006C41AC">
        <w:rPr>
          <w:rFonts w:eastAsia="Times New Roman" w:cs="Arial"/>
          <w:i/>
          <w:iCs/>
          <w:color w:val="000000"/>
          <w:szCs w:val="20"/>
          <w:lang w:eastAsia="bg-BG"/>
        </w:rPr>
        <w:t>Биполярно разстройство</w:t>
      </w:r>
    </w:p>
    <w:p w14:paraId="2E052514"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четири плацебо-контролирани проучвания, оценяващи кветиапин в дози до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 за лечение на умерени до тежки епизоди на мания (две от които са проведени като монотерапия и две като допълнителна терапия към литиеви лекарствени продукти или дивалпроекс), не са установени разлики между кветиапин и плацебо-третираните групи по отношение на инциденти, свързани с екстрапирамидни симптоми (ЕПС) или едновременно приложение на антихолинергици.</w:t>
      </w:r>
    </w:p>
    <w:p w14:paraId="350989CE" w14:textId="77777777" w:rsidR="006C41AC" w:rsidRPr="006C41AC" w:rsidRDefault="006C41AC" w:rsidP="006C41AC">
      <w:pPr>
        <w:spacing w:line="240" w:lineRule="auto"/>
        <w:rPr>
          <w:rFonts w:eastAsia="Times New Roman" w:cs="Arial"/>
          <w:color w:val="000000"/>
          <w:szCs w:val="20"/>
          <w:lang w:eastAsia="bg-BG"/>
        </w:rPr>
      </w:pPr>
    </w:p>
    <w:p w14:paraId="166C3188" w14:textId="486A674B"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lastRenderedPageBreak/>
        <w:t>Две изследвания, оценяващи лечението на умерени до тежки манийни епизоди, са показали по- добър ефект на кветиапин като монотерапия в сравнение с плацебо по отношение намаляване на манийните симптоми на 3-та и 12-та седмица. Няма данни от продължителни изпитвания, които да показват способността на кветиапин да предотвратява последващи манийни или депресивни епизоди. Ограничени са данните относно комбинацията на кветиапин с дивалпроекс или литий при лечение на умерени до тежки манийни епизоди на 3-та и 6-та седмица, въпреки че комбинираната терапия е била добре понасяна от пациентите. Данните са показали адитивен ефект около 3-та седмица. Другото проучване не показва такъв ефект на 6-та седмица от лечението.</w:t>
      </w:r>
    </w:p>
    <w:p w14:paraId="48E503AA" w14:textId="77777777" w:rsidR="006C41AC" w:rsidRPr="006C41AC" w:rsidRDefault="006C41AC" w:rsidP="006C41AC">
      <w:pPr>
        <w:spacing w:line="240" w:lineRule="auto"/>
        <w:rPr>
          <w:rFonts w:eastAsia="Times New Roman" w:cs="Arial"/>
          <w:color w:val="000000"/>
          <w:szCs w:val="20"/>
          <w:lang w:eastAsia="bg-BG"/>
        </w:rPr>
      </w:pPr>
    </w:p>
    <w:p w14:paraId="4FB4E9E6" w14:textId="60D43AEA"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Средната доза кветиапин в последната седмица на лечение при пациентите, при които е налице клиничен отговор е приблизително 600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и приблизително 85 % от отговорилите са в дозовата граница между 400 и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w:t>
      </w:r>
    </w:p>
    <w:p w14:paraId="5A1488E2" w14:textId="77777777" w:rsidR="006C41AC" w:rsidRPr="006C41AC" w:rsidRDefault="006C41AC" w:rsidP="006C41AC">
      <w:pPr>
        <w:rPr>
          <w:rFonts w:eastAsia="Times New Roman" w:cs="Arial"/>
          <w:color w:val="000000"/>
          <w:szCs w:val="20"/>
          <w:lang w:eastAsia="bg-BG"/>
        </w:rPr>
      </w:pPr>
    </w:p>
    <w:p w14:paraId="784AE80E" w14:textId="49F86A58" w:rsidR="006C41AC" w:rsidRPr="006C41AC" w:rsidRDefault="006C41AC" w:rsidP="006C41AC">
      <w:pPr>
        <w:rPr>
          <w:rFonts w:cs="Arial"/>
          <w:sz w:val="24"/>
        </w:rPr>
      </w:pPr>
      <w:r w:rsidRPr="006C41AC">
        <w:rPr>
          <w:rFonts w:eastAsia="Times New Roman" w:cs="Arial"/>
          <w:color w:val="000000"/>
          <w:szCs w:val="20"/>
          <w:lang w:eastAsia="bg-BG"/>
        </w:rPr>
        <w:t xml:space="preserve">При 4 клинични изпитвания с продължителност 8 седмици при пациенти с умерени до тежки депресивни епизоди с биполярно I или II разстройство, кветиапин </w:t>
      </w:r>
      <w:r w:rsidRPr="006C41AC">
        <w:rPr>
          <w:rFonts w:eastAsia="Times New Roman" w:cs="Arial"/>
          <w:color w:val="000000"/>
          <w:szCs w:val="20"/>
          <w:lang w:val="en-US"/>
        </w:rPr>
        <w:t xml:space="preserve">IR300 mg </w:t>
      </w:r>
      <w:r w:rsidRPr="006C41AC">
        <w:rPr>
          <w:rFonts w:eastAsia="Times New Roman" w:cs="Arial"/>
          <w:color w:val="000000"/>
          <w:szCs w:val="20"/>
          <w:lang w:eastAsia="bg-BG"/>
        </w:rPr>
        <w:t xml:space="preserve">и 600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значително превъзхожда плацебо по отношение на съответните измерени резултати: подобрение в средната оценка по скалата </w:t>
      </w:r>
      <w:r w:rsidRPr="006C41AC">
        <w:rPr>
          <w:rFonts w:eastAsia="Times New Roman" w:cs="Arial"/>
          <w:color w:val="000000"/>
          <w:szCs w:val="20"/>
          <w:lang w:val="en-US"/>
        </w:rPr>
        <w:t xml:space="preserve">MADRS </w:t>
      </w:r>
      <w:r w:rsidRPr="006C41AC">
        <w:rPr>
          <w:rFonts w:eastAsia="Times New Roman" w:cs="Arial"/>
          <w:color w:val="000000"/>
          <w:szCs w:val="20"/>
          <w:lang w:eastAsia="bg-BG"/>
        </w:rPr>
        <w:t xml:space="preserve">и поне 50 % подобрение в общата оценка по скалата </w:t>
      </w:r>
      <w:r w:rsidRPr="006C41AC">
        <w:rPr>
          <w:rFonts w:eastAsia="Times New Roman" w:cs="Arial"/>
          <w:color w:val="000000"/>
          <w:szCs w:val="20"/>
          <w:lang w:val="en-US"/>
        </w:rPr>
        <w:t xml:space="preserve">MADRS </w:t>
      </w:r>
      <w:r w:rsidRPr="006C41AC">
        <w:rPr>
          <w:rFonts w:eastAsia="Times New Roman" w:cs="Arial"/>
          <w:color w:val="000000"/>
          <w:szCs w:val="20"/>
          <w:lang w:eastAsia="bg-BG"/>
        </w:rPr>
        <w:t xml:space="preserve">спрямо изходното ниво. Няма разлика в степента на ефекта между пациентите, приемали 300 </w:t>
      </w:r>
      <w:r w:rsidRPr="006C41AC">
        <w:rPr>
          <w:rFonts w:eastAsia="Times New Roman" w:cs="Arial"/>
          <w:color w:val="000000"/>
          <w:szCs w:val="20"/>
          <w:lang w:val="en-US"/>
        </w:rPr>
        <w:t>mg</w:t>
      </w:r>
      <w:r w:rsidRPr="006C41AC">
        <w:rPr>
          <w:rFonts w:eastAsia="Times New Roman" w:cs="Arial"/>
          <w:color w:val="000000"/>
          <w:szCs w:val="20"/>
          <w:lang w:eastAsia="bg-BG"/>
        </w:rPr>
        <w:t xml:space="preserve"> кветиапин </w:t>
      </w:r>
      <w:r w:rsidRPr="006C41AC">
        <w:rPr>
          <w:rFonts w:eastAsia="Times New Roman" w:cs="Arial"/>
          <w:color w:val="000000"/>
          <w:szCs w:val="20"/>
          <w:lang w:val="en-US"/>
        </w:rPr>
        <w:t xml:space="preserve">IR </w:t>
      </w:r>
      <w:r w:rsidRPr="006C41AC">
        <w:rPr>
          <w:rFonts w:eastAsia="Times New Roman" w:cs="Arial"/>
          <w:color w:val="000000"/>
          <w:szCs w:val="20"/>
          <w:lang w:eastAsia="bg-BG"/>
        </w:rPr>
        <w:t xml:space="preserve">и тези, приемали доза от 600 </w:t>
      </w:r>
      <w:r w:rsidRPr="006C41AC">
        <w:rPr>
          <w:rFonts w:eastAsia="Times New Roman" w:cs="Arial"/>
          <w:color w:val="000000"/>
          <w:szCs w:val="20"/>
          <w:lang w:val="en-US"/>
        </w:rPr>
        <w:t>mg.</w:t>
      </w:r>
    </w:p>
    <w:p w14:paraId="051D28BD" w14:textId="14CA76BD" w:rsidR="006C41AC" w:rsidRPr="006C41AC" w:rsidRDefault="006C41AC" w:rsidP="0091385D">
      <w:pPr>
        <w:rPr>
          <w:rFonts w:cs="Arial"/>
          <w:sz w:val="24"/>
        </w:rPr>
      </w:pPr>
    </w:p>
    <w:p w14:paraId="23452D0A"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последващата фаза на две от тези изпитвания, е демонстрирано, че дългосрочното лечение на пациенти, повлияващи се от кветиапин </w:t>
      </w:r>
      <w:r w:rsidRPr="006C41AC">
        <w:rPr>
          <w:rFonts w:eastAsia="Times New Roman" w:cs="Arial"/>
          <w:color w:val="000000"/>
          <w:szCs w:val="20"/>
          <w:lang w:val="en-US"/>
        </w:rPr>
        <w:t xml:space="preserve">IR </w:t>
      </w:r>
      <w:r w:rsidRPr="006C41AC">
        <w:rPr>
          <w:rFonts w:eastAsia="Times New Roman" w:cs="Arial"/>
          <w:color w:val="000000"/>
          <w:szCs w:val="20"/>
          <w:lang w:eastAsia="bg-BG"/>
        </w:rPr>
        <w:t xml:space="preserve">от 300 или 600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е ефективно в сравнение с плацебо само по отношение на депресивните симптоми, но не и по отношение на манийни симптоми.</w:t>
      </w:r>
    </w:p>
    <w:p w14:paraId="0A30605C" w14:textId="77777777" w:rsidR="006C41AC" w:rsidRPr="006C41AC" w:rsidRDefault="006C41AC" w:rsidP="006C41AC">
      <w:pPr>
        <w:spacing w:line="240" w:lineRule="auto"/>
        <w:rPr>
          <w:rFonts w:eastAsia="Times New Roman" w:cs="Arial"/>
          <w:color w:val="000000"/>
          <w:szCs w:val="20"/>
          <w:lang w:eastAsia="bg-BG"/>
        </w:rPr>
      </w:pPr>
    </w:p>
    <w:p w14:paraId="2FDDAC8E" w14:textId="3C3CF92F"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две изпитвания за предотвратяване на рецидивите, оценяващи кветиапин в комбинация с лекарства, стабилизиращи настроението, при пациенти с манийни, депресивни или смесени епизоди с промяна на настроението, комбинацията с кветиапин превъзхожда монотерапията с тимостабилизатори по отношение на увеличаване на времето до поява на рецидив на някакво такова събитие (манийно, смесено или депресивно). Кветиапин в доза от 400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до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е прилаган на два приема дневно като комбинирана терапия с литий или валпроат.</w:t>
      </w:r>
    </w:p>
    <w:p w14:paraId="2B677D41" w14:textId="77777777" w:rsidR="006C41AC" w:rsidRPr="006C41AC" w:rsidRDefault="006C41AC" w:rsidP="006C41AC">
      <w:pPr>
        <w:spacing w:line="240" w:lineRule="auto"/>
        <w:rPr>
          <w:rFonts w:eastAsia="Times New Roman" w:cs="Arial"/>
          <w:color w:val="000000"/>
          <w:szCs w:val="20"/>
          <w:lang w:eastAsia="bg-BG"/>
        </w:rPr>
      </w:pPr>
    </w:p>
    <w:p w14:paraId="663187D8" w14:textId="09F231A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6-седмично, рандомизирано, проучване на литий и кветиапин таблетки с удължено освобождаване спрямо плацебо и кветиапин таблетки с удължено освобождаване при възрастни пациенти с остра мания, разликата в средното подобрение по </w:t>
      </w:r>
      <w:r w:rsidRPr="006C41AC">
        <w:rPr>
          <w:rFonts w:eastAsia="Times New Roman" w:cs="Arial"/>
          <w:color w:val="000000"/>
          <w:szCs w:val="20"/>
          <w:lang w:val="en-US"/>
        </w:rPr>
        <w:t xml:space="preserve">YMRS </w:t>
      </w:r>
      <w:r w:rsidRPr="006C41AC">
        <w:rPr>
          <w:rFonts w:eastAsia="Times New Roman" w:cs="Arial"/>
          <w:color w:val="000000"/>
          <w:szCs w:val="20"/>
          <w:lang w:eastAsia="bg-BG"/>
        </w:rPr>
        <w:t xml:space="preserve">между групата с добавен литий и групата с добавено плацебо е 2,8 пункта, а разликата в % отговорили (дефинирани като 50 % подобрение спрямо изходното ниво на </w:t>
      </w:r>
      <w:r w:rsidRPr="006C41AC">
        <w:rPr>
          <w:rFonts w:eastAsia="Times New Roman" w:cs="Arial"/>
          <w:color w:val="000000"/>
          <w:szCs w:val="20"/>
          <w:lang w:val="en-US"/>
        </w:rPr>
        <w:t xml:space="preserve">YMRS) </w:t>
      </w:r>
      <w:r w:rsidRPr="006C41AC">
        <w:rPr>
          <w:rFonts w:eastAsia="Times New Roman" w:cs="Arial"/>
          <w:color w:val="000000"/>
          <w:szCs w:val="20"/>
          <w:lang w:eastAsia="bg-BG"/>
        </w:rPr>
        <w:t>е била 11 % (79 % в групата с добавен литий спрямо 68 % в групата с добавено плацебо).</w:t>
      </w:r>
    </w:p>
    <w:p w14:paraId="3F7516A3" w14:textId="77777777" w:rsidR="006C41AC" w:rsidRPr="006C41AC" w:rsidRDefault="006C41AC" w:rsidP="006C41AC">
      <w:pPr>
        <w:spacing w:line="240" w:lineRule="auto"/>
        <w:rPr>
          <w:rFonts w:eastAsia="Times New Roman" w:cs="Arial"/>
          <w:color w:val="000000"/>
          <w:szCs w:val="20"/>
          <w:lang w:eastAsia="bg-BG"/>
        </w:rPr>
      </w:pPr>
    </w:p>
    <w:p w14:paraId="15355585" w14:textId="4CF71F35"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едно дългосрочно изпитване (лечение до 2 години), оценяващо предотвратяването на рецидиви при пациенти с манийни, депресивни или смесени епизоди с промяна на настроението, кветиапин превъзхожда плацебо по отношение на увеличаване на времето до поява на рецидив (маниен, смесен или депресивен), при пациенти с биполярно I разстройство. Броят пациенти с промяна в настроението е 91 (22,5 %) в групата на кветиапин, 208 (51,5 </w:t>
      </w:r>
      <w:r w:rsidRPr="006C41AC">
        <w:rPr>
          <w:rFonts w:eastAsia="Times New Roman" w:cs="Arial"/>
          <w:i/>
          <w:iCs/>
          <w:color w:val="000000"/>
          <w:szCs w:val="20"/>
          <w:lang w:eastAsia="bg-BG"/>
        </w:rPr>
        <w:t>%) в</w:t>
      </w:r>
      <w:r w:rsidRPr="006C41AC">
        <w:rPr>
          <w:rFonts w:eastAsia="Times New Roman" w:cs="Arial"/>
          <w:color w:val="000000"/>
          <w:szCs w:val="20"/>
          <w:lang w:eastAsia="bg-BG"/>
        </w:rPr>
        <w:t xml:space="preserve"> плацебо-групата и съответно 95 (26,1 %) в групата на литий. При сравняване на продължително лечение с кветиапин спрямо превключване на литий при пациенти, отговорили на кветиапин, резултатите показват, че превключването на литий не предлага допълнителна полза по отношение предотвратяването на рецидив.</w:t>
      </w:r>
    </w:p>
    <w:p w14:paraId="73137833" w14:textId="77777777" w:rsidR="006C41AC" w:rsidRPr="006C41AC" w:rsidRDefault="006C41AC" w:rsidP="006C41AC">
      <w:pPr>
        <w:spacing w:line="240" w:lineRule="auto"/>
        <w:rPr>
          <w:rFonts w:eastAsia="Times New Roman" w:cs="Arial"/>
          <w:color w:val="000000"/>
          <w:szCs w:val="20"/>
          <w:lang w:eastAsia="bg-BG"/>
        </w:rPr>
      </w:pPr>
    </w:p>
    <w:p w14:paraId="3A1E7FF2" w14:textId="7ACBAF5D"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Клиничните изпитвания са показали, че кветиапин е ефективен при шизофрения и мания, когато се прилага двукратно дневно, въпреки че неговият фармакокинетичен полуживот е средно 7 часа. Това по-късно е подкрепено и с данните от позитрон-емисионно томографско (РЕТ) изследване, което идентифицира, че блокирането на 5НТ</w:t>
      </w:r>
      <w:r w:rsidRPr="006C41AC">
        <w:rPr>
          <w:rFonts w:eastAsia="Times New Roman" w:cs="Arial"/>
          <w:color w:val="000000"/>
          <w:szCs w:val="20"/>
          <w:vertAlign w:val="subscript"/>
          <w:lang w:eastAsia="bg-BG"/>
        </w:rPr>
        <w:t>2-</w:t>
      </w:r>
      <w:r w:rsidRPr="006C41AC">
        <w:rPr>
          <w:rFonts w:eastAsia="Times New Roman" w:cs="Arial"/>
          <w:color w:val="000000"/>
          <w:szCs w:val="20"/>
          <w:lang w:eastAsia="bg-BG"/>
        </w:rPr>
        <w:t xml:space="preserve"> и </w:t>
      </w:r>
      <w:r w:rsidRPr="006C41AC">
        <w:rPr>
          <w:rFonts w:eastAsia="Times New Roman" w:cs="Arial"/>
          <w:color w:val="000000"/>
          <w:szCs w:val="20"/>
          <w:lang w:val="en-US"/>
        </w:rPr>
        <w:t>D</w:t>
      </w:r>
      <w:r w:rsidRPr="006C41AC">
        <w:rPr>
          <w:rFonts w:eastAsia="Times New Roman" w:cs="Arial"/>
          <w:color w:val="000000"/>
          <w:szCs w:val="20"/>
          <w:vertAlign w:val="subscript"/>
          <w:lang w:val="en-US"/>
        </w:rPr>
        <w:t>2</w:t>
      </w:r>
      <w:r w:rsidRPr="006C41AC">
        <w:rPr>
          <w:rFonts w:eastAsia="Times New Roman" w:cs="Arial"/>
          <w:color w:val="000000"/>
          <w:szCs w:val="20"/>
          <w:lang w:val="en-US"/>
        </w:rPr>
        <w:t xml:space="preserve">- </w:t>
      </w:r>
      <w:r w:rsidRPr="006C41AC">
        <w:rPr>
          <w:rFonts w:eastAsia="Times New Roman" w:cs="Arial"/>
          <w:color w:val="000000"/>
          <w:szCs w:val="20"/>
          <w:lang w:eastAsia="bg-BG"/>
        </w:rPr>
        <w:t xml:space="preserve">рецепторите от кветиапин се поддържа до 12 часа. Безопасността и ефикасността на дози, по-високи от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 не са били оценявани.</w:t>
      </w:r>
    </w:p>
    <w:p w14:paraId="01E2F488" w14:textId="77777777" w:rsidR="006C41AC" w:rsidRPr="006C41AC" w:rsidRDefault="006C41AC" w:rsidP="006C41AC">
      <w:pPr>
        <w:spacing w:line="240" w:lineRule="auto"/>
        <w:rPr>
          <w:rFonts w:eastAsia="Times New Roman" w:cs="Arial"/>
          <w:color w:val="000000"/>
          <w:szCs w:val="20"/>
          <w:u w:val="single"/>
          <w:lang w:eastAsia="bg-BG"/>
        </w:rPr>
      </w:pPr>
    </w:p>
    <w:p w14:paraId="3F1F3C55" w14:textId="4BAE89A2"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Клинична безопасност</w:t>
      </w:r>
    </w:p>
    <w:p w14:paraId="4574307E" w14:textId="1D366ADE"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В краткосрочни, плацебо-контролирани клинични проучвания при шизофрения и биполярна мания, обобщената честота на ЕПС е подобна на тази при плацебо (шизофрения: 7,8 % за кветиапин и 8,0 % за плацебо; биполярна мания: 11,2 % за кветиапин и 11,4 % за плацебо). По- висок процент на екстрапирамидни симптоми е наблюдаван при пациентите, лекувани с кветиапин в сравнение с тези, които са лекувани с плацебо, при краткосрочни, плацебо-контролирани проучвания на голямо депресивно разстройство и биполярна депресия. В краткосрочни, плацебо- контролирани клинични проучвания при биполярна депресия, обобщената честота на екстрапирамидни симптоми е 8,9 % за кветиапин в сравнение с 3,8 % за плацебо. При краткосрочни плацебо-контролирани проучвания на биполярна депресия обобщената честота на екстрапирамидни симптоми е била 5,4 % за кветиапин с удължено особождаване и 3,2 % за плацебо. В краткосрочни плацебо-контролирани проучвания на монотерапия при пациенти в старческа възраст с големи депресивни епизоди, обобщената честота на екстрапирамидни симптоми е била 9,0 % за кветиапин с удължено освобождаване и 2,3 % за плацебо Както при биполярна депресия, така и при голямо депресивно разстройство, честотата на индивидуалните нежелани реакции (напр. акатизия, екстрапирамидни нарушения, тремор, дискинезия, дистония, безпокойство, неволни мускулни контракции, психомоторна хиперактивност и мускулна</w:t>
      </w:r>
      <w:r w:rsidRPr="006C41AC">
        <w:rPr>
          <w:rFonts w:eastAsia="Times New Roman" w:cs="Arial"/>
          <w:sz w:val="28"/>
          <w:szCs w:val="24"/>
          <w:lang w:eastAsia="bg-BG"/>
        </w:rPr>
        <w:t xml:space="preserve"> </w:t>
      </w:r>
      <w:r w:rsidRPr="006C41AC">
        <w:rPr>
          <w:rFonts w:eastAsia="Times New Roman" w:cs="Arial"/>
          <w:color w:val="000000"/>
          <w:szCs w:val="20"/>
          <w:lang w:eastAsia="bg-BG"/>
        </w:rPr>
        <w:t>ригидност) е най-общо ниска и не надвишава 4 % във всяка терапевтична група.</w:t>
      </w:r>
    </w:p>
    <w:p w14:paraId="7FCE996F" w14:textId="7EDEBEAE" w:rsidR="006C41AC" w:rsidRDefault="006C41AC" w:rsidP="0091385D"/>
    <w:p w14:paraId="3B27CD8A"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краткосрочни плацебо-контролирани с фиксирана доза (50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до 800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клинични проучвания (проведени за 3 до 8 седмици), средното наддаване на тегло за пациентите лекувани с кветиапин варира от 0,8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при 50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дневна доза до 1,4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при 600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дневна доза (с по-ниско наддаване при дозата от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дневно), в сравнение с 0,2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за лекуваните с плацебо пациенти. Процентът на лекуваните с кветиапин пациенти, които са увеличили с ≥ 7 % телесното си тегло варира от 5,3 % при 50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дневна доза до 15,5 % за дозата от 400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дневно (с по-слабо наддаване на тегло при дозите от 600 и 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 в сравнение с 3,7 % за лекувани с плацебо пациенти.</w:t>
      </w:r>
    </w:p>
    <w:p w14:paraId="1E3D5477" w14:textId="77777777" w:rsidR="006C41AC" w:rsidRPr="006C41AC" w:rsidRDefault="006C41AC" w:rsidP="006C41AC">
      <w:pPr>
        <w:spacing w:line="240" w:lineRule="auto"/>
        <w:rPr>
          <w:rFonts w:eastAsia="Times New Roman" w:cs="Arial"/>
          <w:color w:val="000000"/>
          <w:szCs w:val="20"/>
          <w:lang w:eastAsia="bg-BG"/>
        </w:rPr>
      </w:pPr>
    </w:p>
    <w:p w14:paraId="0104FB95" w14:textId="69452F88"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6-седмично, рандомизирано, проучване на литий и кветиапин таблетки с удължено освобождаване спрямо плацебо и кветиапин таблетки с удължено освобождаване при възрастни пациенти с остра мания показва, че комбинацията на кветиапин таблетки с удължено освобождаване с литий води до повече нежелани събития (63 % спрямо 48 % при кветиапин таблетки с удължено освобождаване в комбинация с плацебо). Резултатите, свързани с безопасността показват по-висока честота на екстрапирамидни симптоми, съобщавани при 16,8 % от пациентите в групата с добавен литий и 6,6 % при групата с добавено плацебо, по-голямата част от които се състоят от тремор, съобщаван при 15,6 % от пациентите в групата с добавен литий и 4,9 % в групата с добавено плацебо. Честотата на сънливост е по-висока в групата на кветиапин таблетки с удължено освобождаване с добавен литий (12,7 %) в сравнение с групата на кветиапин таблетки с удължено освобождаване с добавено плацебо (5,5 %). В допълнение, при по-висок процент от пациентите, лекувани в групата с добавен литий (8,0 %) се наблюдава </w:t>
      </w:r>
      <w:r w:rsidRPr="006C41AC">
        <w:rPr>
          <w:rFonts w:eastAsia="Times New Roman" w:cs="Arial"/>
          <w:color w:val="000000"/>
          <w:szCs w:val="20"/>
          <w:lang w:eastAsia="bg-BG"/>
        </w:rPr>
        <w:lastRenderedPageBreak/>
        <w:t>повишение на теглото (≥ 7 %) в края на лечението, в сравнение с пациентите в групата с добавено плацебо (4,7 %).</w:t>
      </w:r>
    </w:p>
    <w:p w14:paraId="3390D444" w14:textId="77777777" w:rsidR="006C41AC" w:rsidRPr="006C41AC" w:rsidRDefault="006C41AC" w:rsidP="006C41AC">
      <w:pPr>
        <w:spacing w:line="240" w:lineRule="auto"/>
        <w:rPr>
          <w:rFonts w:eastAsia="Times New Roman" w:cs="Arial"/>
          <w:color w:val="000000"/>
          <w:szCs w:val="20"/>
          <w:lang w:eastAsia="bg-BG"/>
        </w:rPr>
      </w:pPr>
    </w:p>
    <w:p w14:paraId="37342B71" w14:textId="31DE2DD3"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Дългосрочни проучвания за предотвратяване на рецидив са имали открит период (вариращ от 4 до 36 седмици), по време на който пациентите са лекувани с кветиапин, последван от рандомизиран период на спиране, когато пациентите са рандомизирани на кветиапин или плацебо. За пациентите, които са били рандомизирани на кветиапин средното увеличаване на теглото по време на открития е период е било 2,56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а до седмица 48 от периода на рандомизиране, средното увеличаване на тегло е било 3,22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в сравнение с изходното от открития период. За пациентите, които са рандомизирани на плацебо, средното увеличаване на тегло по време на открития период е било 2,39 </w:t>
      </w:r>
      <w:r w:rsidRPr="006C41AC">
        <w:rPr>
          <w:rFonts w:eastAsia="Times New Roman" w:cs="Arial"/>
          <w:color w:val="000000"/>
          <w:szCs w:val="20"/>
          <w:lang w:val="en-US"/>
        </w:rPr>
        <w:t xml:space="preserve">kg, </w:t>
      </w:r>
      <w:r w:rsidRPr="006C41AC">
        <w:rPr>
          <w:rFonts w:eastAsia="Times New Roman" w:cs="Arial"/>
          <w:color w:val="000000"/>
          <w:szCs w:val="20"/>
          <w:lang w:eastAsia="bg-BG"/>
        </w:rPr>
        <w:t xml:space="preserve">и до седмица 48 от периода на рандомизиране, средното увеличаване на тегло е било 0,89 </w:t>
      </w:r>
      <w:r w:rsidRPr="006C41AC">
        <w:rPr>
          <w:rFonts w:eastAsia="Times New Roman" w:cs="Arial"/>
          <w:color w:val="000000"/>
          <w:szCs w:val="20"/>
          <w:lang w:val="en-US"/>
        </w:rPr>
        <w:t xml:space="preserve">kg, </w:t>
      </w:r>
      <w:r w:rsidRPr="006C41AC">
        <w:rPr>
          <w:rFonts w:eastAsia="Times New Roman" w:cs="Arial"/>
          <w:color w:val="000000"/>
          <w:szCs w:val="20"/>
          <w:lang w:eastAsia="bg-BG"/>
        </w:rPr>
        <w:t>в сравнение с изходното от открития период.</w:t>
      </w:r>
    </w:p>
    <w:p w14:paraId="70625CC1" w14:textId="77777777" w:rsidR="006C41AC" w:rsidRPr="006C41AC" w:rsidRDefault="006C41AC" w:rsidP="006C41AC">
      <w:pPr>
        <w:spacing w:line="240" w:lineRule="auto"/>
        <w:rPr>
          <w:rFonts w:eastAsia="Times New Roman" w:cs="Arial"/>
          <w:color w:val="000000"/>
          <w:szCs w:val="20"/>
          <w:lang w:eastAsia="bg-BG"/>
        </w:rPr>
      </w:pPr>
    </w:p>
    <w:p w14:paraId="67735D40" w14:textId="562BFBA9"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В плацебо-контролирани проучвания при пациенти в старческа възраст с психоза, свързана с деменция, честотата на мозъчно-съдови събития на 100 пациентогодини не е по-висока в групата пациенти, лекувани с кветиапин, в сравнение с групата, лекувана с плацебо.</w:t>
      </w:r>
    </w:p>
    <w:p w14:paraId="31D8294B" w14:textId="77777777" w:rsidR="006C41AC" w:rsidRPr="006C41AC" w:rsidRDefault="006C41AC" w:rsidP="006C41AC">
      <w:pPr>
        <w:spacing w:line="240" w:lineRule="auto"/>
        <w:rPr>
          <w:rFonts w:eastAsia="Times New Roman" w:cs="Arial"/>
          <w:color w:val="000000"/>
          <w:szCs w:val="20"/>
          <w:lang w:eastAsia="bg-BG"/>
        </w:rPr>
      </w:pPr>
    </w:p>
    <w:p w14:paraId="4FCD4554" w14:textId="088D5A91"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Във всички краткосрочни плацебо-контролирани изпитвания на монотерапия при пациенти с изходна стойност на неутрофилите ≥ 1,5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честотата на случаите на поне едно понижаване на неутрофилния брой &lt; 1,5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xml:space="preserve"> е 1,9 % при пациенти, лекувани с кветиапин, в сравнение с 1,3 % при пациентите, приемали плацебо. Честотата на промяна до &gt; 0,5 - &lt;1,0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xml:space="preserve"> е била еднаква (0,2 %) при пациентите лекувани с кветиапин и при пациентите приемали плацебо. Във всички клинични изпитвания (плацебо-контролирани, открити, с активно сравняване) при пациенти с изходна стойност на неутрофилите ≥ 1,5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честотата на поне една поява на брой на неутрофилите &lt; 1,5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xml:space="preserve"> е 2,9 % и до &lt; 0,5 х 10</w:t>
      </w:r>
      <w:r w:rsidRPr="006C41AC">
        <w:rPr>
          <w:rFonts w:eastAsia="Times New Roman" w:cs="Arial"/>
          <w:color w:val="000000"/>
          <w:szCs w:val="20"/>
          <w:vertAlign w:val="superscript"/>
          <w:lang w:eastAsia="bg-BG"/>
        </w:rPr>
        <w:t>9</w:t>
      </w:r>
      <w:r w:rsidRPr="006C41AC">
        <w:rPr>
          <w:rFonts w:eastAsia="Times New Roman" w:cs="Arial"/>
          <w:color w:val="000000"/>
          <w:szCs w:val="20"/>
          <w:lang w:eastAsia="bg-BG"/>
        </w:rPr>
        <w:t>/</w:t>
      </w:r>
      <w:r w:rsidRPr="006C41AC">
        <w:rPr>
          <w:rFonts w:eastAsia="Times New Roman" w:cs="Arial"/>
          <w:color w:val="000000"/>
          <w:szCs w:val="20"/>
          <w:lang w:val="en-US"/>
        </w:rPr>
        <w:t>l</w:t>
      </w:r>
      <w:r w:rsidRPr="006C41AC">
        <w:rPr>
          <w:rFonts w:eastAsia="Times New Roman" w:cs="Arial"/>
          <w:color w:val="000000"/>
          <w:szCs w:val="20"/>
          <w:lang w:eastAsia="bg-BG"/>
        </w:rPr>
        <w:t xml:space="preserve"> е 0,21 % при пациентите, лекувани с кветиапин.</w:t>
      </w:r>
    </w:p>
    <w:p w14:paraId="55EA0D28" w14:textId="77777777" w:rsidR="006C41AC" w:rsidRPr="006C41AC" w:rsidRDefault="006C41AC" w:rsidP="006C41AC">
      <w:pPr>
        <w:rPr>
          <w:rFonts w:eastAsia="Times New Roman" w:cs="Arial"/>
          <w:color w:val="000000"/>
          <w:szCs w:val="20"/>
          <w:lang w:eastAsia="bg-BG"/>
        </w:rPr>
      </w:pPr>
    </w:p>
    <w:p w14:paraId="6C99B29F" w14:textId="77777777" w:rsidR="006C41AC" w:rsidRPr="006C41AC" w:rsidRDefault="006C41AC" w:rsidP="006C41AC">
      <w:pPr>
        <w:rPr>
          <w:rFonts w:eastAsia="Times New Roman" w:cs="Arial"/>
          <w:sz w:val="28"/>
          <w:szCs w:val="24"/>
          <w:lang w:eastAsia="bg-BG"/>
        </w:rPr>
      </w:pPr>
      <w:r w:rsidRPr="006C41AC">
        <w:rPr>
          <w:rFonts w:eastAsia="Times New Roman" w:cs="Arial"/>
          <w:color w:val="000000"/>
          <w:szCs w:val="20"/>
          <w:lang w:eastAsia="bg-BG"/>
        </w:rPr>
        <w:t xml:space="preserve">Лечението с кветиапин се свързва със слабо дозозависимо понижаване на стойностите на хормоните на щитовидната жлеза. Промените в </w:t>
      </w:r>
      <w:r w:rsidRPr="006C41AC">
        <w:rPr>
          <w:rFonts w:eastAsia="Times New Roman" w:cs="Arial"/>
          <w:color w:val="000000"/>
          <w:szCs w:val="20"/>
          <w:lang w:val="en-US"/>
        </w:rPr>
        <w:t xml:space="preserve">TSH </w:t>
      </w:r>
      <w:r w:rsidRPr="006C41AC">
        <w:rPr>
          <w:rFonts w:eastAsia="Times New Roman" w:cs="Arial"/>
          <w:color w:val="000000"/>
          <w:szCs w:val="20"/>
          <w:lang w:eastAsia="bg-BG"/>
        </w:rPr>
        <w:t>са 3,2 % в групата на кветиапин спрямо 2,7 % в групата на плацебо. Честотата на реципрочни, потенциални клинично значи</w:t>
      </w:r>
      <w:r w:rsidRPr="006C41AC">
        <w:rPr>
          <w:rFonts w:eastAsia="Times New Roman" w:cs="Arial"/>
          <w:color w:val="000000"/>
          <w:szCs w:val="20"/>
          <w:lang w:val="en-US"/>
        </w:rPr>
        <w:t xml:space="preserve"> </w:t>
      </w:r>
      <w:r w:rsidRPr="006C41AC">
        <w:rPr>
          <w:rFonts w:eastAsia="Times New Roman" w:cs="Arial"/>
          <w:color w:val="000000"/>
          <w:szCs w:val="20"/>
          <w:lang w:eastAsia="bg-BG"/>
        </w:rPr>
        <w:t xml:space="preserve">промени на </w:t>
      </w:r>
      <w:r w:rsidRPr="006C41AC">
        <w:rPr>
          <w:rFonts w:eastAsia="Times New Roman" w:cs="Arial"/>
          <w:color w:val="000000"/>
          <w:szCs w:val="20"/>
          <w:lang w:val="en-US"/>
        </w:rPr>
        <w:t>T</w:t>
      </w:r>
      <w:r w:rsidRPr="006C41AC">
        <w:rPr>
          <w:rFonts w:eastAsia="Times New Roman" w:cs="Arial"/>
          <w:color w:val="000000"/>
          <w:szCs w:val="20"/>
          <w:vertAlign w:val="subscript"/>
          <w:lang w:val="en-US"/>
        </w:rPr>
        <w:t>3</w:t>
      </w:r>
      <w:r w:rsidRPr="006C41AC">
        <w:rPr>
          <w:rFonts w:eastAsia="Times New Roman" w:cs="Arial"/>
          <w:color w:val="000000"/>
          <w:szCs w:val="20"/>
          <w:lang w:eastAsia="bg-BG"/>
        </w:rPr>
        <w:t xml:space="preserve"> или Т</w:t>
      </w:r>
      <w:r w:rsidRPr="006C41AC">
        <w:rPr>
          <w:rFonts w:eastAsia="Times New Roman" w:cs="Arial"/>
          <w:color w:val="000000"/>
          <w:szCs w:val="20"/>
          <w:vertAlign w:val="subscript"/>
          <w:lang w:eastAsia="bg-BG"/>
        </w:rPr>
        <w:t>4</w:t>
      </w:r>
      <w:r w:rsidRPr="006C41AC">
        <w:rPr>
          <w:rFonts w:eastAsia="Times New Roman" w:cs="Arial"/>
          <w:color w:val="000000"/>
          <w:szCs w:val="20"/>
          <w:lang w:eastAsia="bg-BG"/>
        </w:rPr>
        <w:t xml:space="preserve"> и </w:t>
      </w:r>
      <w:r w:rsidRPr="006C41AC">
        <w:rPr>
          <w:rFonts w:eastAsia="Times New Roman" w:cs="Arial"/>
          <w:color w:val="000000"/>
          <w:szCs w:val="20"/>
          <w:lang w:val="en-US"/>
        </w:rPr>
        <w:t xml:space="preserve">TSH </w:t>
      </w:r>
      <w:r w:rsidRPr="006C41AC">
        <w:rPr>
          <w:rFonts w:eastAsia="Times New Roman" w:cs="Arial"/>
          <w:color w:val="000000"/>
          <w:szCs w:val="20"/>
          <w:lang w:eastAsia="bg-BG"/>
        </w:rPr>
        <w:t xml:space="preserve">при тези изпитвания е рядка и наблюдаваните промени в стойностите на тиреоидните хормони не се свързва с клинични симптоми на хипотиреоидизъм. </w:t>
      </w:r>
      <w:r w:rsidRPr="006C41AC">
        <w:rPr>
          <w:rFonts w:eastAsia="Times New Roman" w:cs="Arial"/>
          <w:i/>
          <w:iCs/>
          <w:color w:val="000000"/>
          <w:szCs w:val="20"/>
          <w:lang w:eastAsia="bg-BG"/>
        </w:rPr>
        <w:t xml:space="preserve"> </w:t>
      </w:r>
      <w:r w:rsidRPr="006C41AC">
        <w:rPr>
          <w:rFonts w:eastAsia="Times New Roman" w:cs="Arial"/>
          <w:color w:val="000000"/>
          <w:szCs w:val="20"/>
          <w:lang w:eastAsia="bg-BG"/>
        </w:rPr>
        <w:t>Понижаването на общия и свободен Тд е максимално в първите шест седмици от лечението с кветиапин, без по-нататъшно понижаване при дългосрочно лечение. За около 2/3</w:t>
      </w:r>
      <w:r w:rsidRPr="006C41AC">
        <w:rPr>
          <w:rFonts w:eastAsia="Times New Roman" w:cs="Arial"/>
          <w:color w:val="000000"/>
          <w:szCs w:val="20"/>
          <w:lang w:val="en-US"/>
        </w:rPr>
        <w:t xml:space="preserve"> </w:t>
      </w:r>
      <w:r w:rsidRPr="006C41AC">
        <w:rPr>
          <w:rFonts w:eastAsia="Times New Roman" w:cs="Arial"/>
          <w:color w:val="000000"/>
          <w:szCs w:val="20"/>
          <w:lang w:eastAsia="bg-BG"/>
        </w:rPr>
        <w:t>от всички случаи, спирането на лечението с кветиапин е свързано с обратимост на ефектите върху общия и свободен Т</w:t>
      </w:r>
      <w:r w:rsidRPr="006C41AC">
        <w:rPr>
          <w:rFonts w:eastAsia="Times New Roman" w:cs="Arial"/>
          <w:color w:val="000000"/>
          <w:szCs w:val="20"/>
          <w:vertAlign w:val="subscript"/>
          <w:lang w:eastAsia="bg-BG"/>
        </w:rPr>
        <w:t>4</w:t>
      </w:r>
      <w:r w:rsidRPr="006C41AC">
        <w:rPr>
          <w:rFonts w:eastAsia="Times New Roman" w:cs="Arial"/>
          <w:color w:val="000000"/>
          <w:szCs w:val="20"/>
          <w:lang w:eastAsia="bg-BG"/>
        </w:rPr>
        <w:t>, независимо от продължителността на лечението.</w:t>
      </w:r>
    </w:p>
    <w:p w14:paraId="626670E9" w14:textId="77777777" w:rsidR="006C41AC" w:rsidRPr="006C41AC" w:rsidRDefault="006C41AC" w:rsidP="006C41AC">
      <w:pPr>
        <w:spacing w:line="240" w:lineRule="auto"/>
        <w:rPr>
          <w:rFonts w:eastAsia="Times New Roman" w:cs="Arial"/>
          <w:color w:val="000000"/>
          <w:szCs w:val="20"/>
          <w:u w:val="single"/>
          <w:lang w:eastAsia="bg-BG"/>
        </w:rPr>
      </w:pPr>
    </w:p>
    <w:p w14:paraId="5F6664B6" w14:textId="2220E10D"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Катаракта/помътняване на лещата</w:t>
      </w:r>
    </w:p>
    <w:p w14:paraId="76328A22"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При клинични проучвания за оценка на катарактогенния потенциал на кветиапин (200-800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дневно) спрямо рисперидон (2-8 </w:t>
      </w:r>
      <w:r w:rsidRPr="006C41AC">
        <w:rPr>
          <w:rFonts w:eastAsia="Times New Roman" w:cs="Arial"/>
          <w:color w:val="000000"/>
          <w:szCs w:val="20"/>
          <w:lang w:val="en-US"/>
        </w:rPr>
        <w:t xml:space="preserve">mg </w:t>
      </w:r>
      <w:r w:rsidRPr="006C41AC">
        <w:rPr>
          <w:rFonts w:eastAsia="Times New Roman" w:cs="Arial"/>
          <w:color w:val="000000"/>
          <w:szCs w:val="20"/>
          <w:lang w:eastAsia="bg-BG"/>
        </w:rPr>
        <w:t>дневно) при пациенти с шизофрения или шизоафективни разстройства, процентът на повишено ниво на опалесценция на лещата не е по-висок при кветиапин (4 %), в сравнение с рисперидон (10 %) при пациенти с поне 21-месечна експозиция.</w:t>
      </w:r>
    </w:p>
    <w:p w14:paraId="30CF774F" w14:textId="77777777" w:rsidR="006C41AC" w:rsidRPr="006C41AC" w:rsidRDefault="006C41AC" w:rsidP="006C41AC">
      <w:pPr>
        <w:spacing w:line="240" w:lineRule="auto"/>
        <w:rPr>
          <w:rFonts w:eastAsia="Times New Roman" w:cs="Arial"/>
          <w:color w:val="000000"/>
          <w:szCs w:val="20"/>
          <w:u w:val="single"/>
          <w:lang w:eastAsia="bg-BG"/>
        </w:rPr>
      </w:pPr>
    </w:p>
    <w:p w14:paraId="0BEA2966" w14:textId="61951EE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Педиатрична популация</w:t>
      </w:r>
    </w:p>
    <w:p w14:paraId="56D26C64" w14:textId="77777777" w:rsidR="006C41AC" w:rsidRPr="006C41AC" w:rsidRDefault="006C41AC" w:rsidP="006C41AC">
      <w:pPr>
        <w:spacing w:line="240" w:lineRule="auto"/>
        <w:rPr>
          <w:rFonts w:eastAsia="Times New Roman" w:cs="Arial"/>
          <w:color w:val="000000"/>
          <w:szCs w:val="20"/>
          <w:u w:val="single"/>
          <w:lang w:eastAsia="bg-BG"/>
        </w:rPr>
      </w:pPr>
    </w:p>
    <w:p w14:paraId="3142E906" w14:textId="78119D74"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Клинична ефикасност</w:t>
      </w:r>
    </w:p>
    <w:p w14:paraId="6EF26325"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lastRenderedPageBreak/>
        <w:t>Ефикасността и безопасността на кветиапин е проучена в 3-седмично плацебо-контролирано изпитване за лечение на манийно разтройство (</w:t>
      </w:r>
      <w:r w:rsidRPr="006C41AC">
        <w:rPr>
          <w:rFonts w:eastAsia="Times New Roman" w:cs="Arial"/>
          <w:color w:val="000000"/>
          <w:szCs w:val="20"/>
          <w:lang w:val="en-US"/>
        </w:rPr>
        <w:t>n</w:t>
      </w:r>
      <w:r w:rsidRPr="006C41AC">
        <w:rPr>
          <w:rFonts w:eastAsia="Times New Roman" w:cs="Arial"/>
          <w:color w:val="000000"/>
          <w:szCs w:val="20"/>
          <w:lang w:eastAsia="bg-BG"/>
        </w:rPr>
        <w:t xml:space="preserve"> = 284 пациенти от САЩ на възраст 10-17 години). Около 45 % от пациентите са били с поставена диагноза синдром на дефицит на вниманието. Освен това, е проведено 6-седмично плацебо-контролирано изпитване за лечението на шизофрения (</w:t>
      </w:r>
      <w:r w:rsidRPr="006C41AC">
        <w:rPr>
          <w:rFonts w:eastAsia="Times New Roman" w:cs="Arial"/>
          <w:color w:val="000000"/>
          <w:szCs w:val="20"/>
          <w:lang w:val="en-US"/>
        </w:rPr>
        <w:t>n</w:t>
      </w:r>
      <w:r w:rsidRPr="006C41AC">
        <w:rPr>
          <w:rFonts w:eastAsia="Times New Roman" w:cs="Arial"/>
          <w:color w:val="000000"/>
          <w:szCs w:val="20"/>
          <w:lang w:eastAsia="bg-BG"/>
        </w:rPr>
        <w:t xml:space="preserve"> = 222 пациенти на възраст 13-17 години). И в двете изпитвания са били изключени пациентите, за които се знае, че не се повлияват от кветиапин,. Лечението с кветиапин е започнато с 50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дневно и на ден 2 е повишено до 100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дневно, а впоследствие дозата е титрирана до таргетна доза (мания 400-600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шизофрения 400-800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с нарастване от 100 </w:t>
      </w:r>
      <w:r w:rsidRPr="006C41AC">
        <w:rPr>
          <w:rFonts w:eastAsia="Times New Roman" w:cs="Arial"/>
          <w:color w:val="000000"/>
          <w:szCs w:val="20"/>
          <w:lang w:val="en-US"/>
        </w:rPr>
        <w:t>mg</w:t>
      </w:r>
      <w:r w:rsidRPr="006C41AC">
        <w:rPr>
          <w:rFonts w:eastAsia="Times New Roman" w:cs="Arial"/>
          <w:color w:val="000000"/>
          <w:szCs w:val="20"/>
          <w:lang w:eastAsia="bg-BG"/>
        </w:rPr>
        <w:t>/ден, приложени два или три пъти дневно.</w:t>
      </w:r>
    </w:p>
    <w:p w14:paraId="2F735F09" w14:textId="77777777" w:rsidR="006C41AC" w:rsidRPr="006C41AC" w:rsidRDefault="006C41AC" w:rsidP="006C41AC">
      <w:pPr>
        <w:spacing w:line="240" w:lineRule="auto"/>
        <w:rPr>
          <w:rFonts w:eastAsia="Times New Roman" w:cs="Arial"/>
          <w:color w:val="000000"/>
          <w:szCs w:val="20"/>
          <w:lang w:eastAsia="bg-BG"/>
        </w:rPr>
      </w:pPr>
    </w:p>
    <w:p w14:paraId="63D265B8" w14:textId="1600957B"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проучването на манията, разликата в средната промяна на </w:t>
      </w:r>
      <w:r w:rsidRPr="006C41AC">
        <w:rPr>
          <w:rFonts w:eastAsia="Times New Roman" w:cs="Arial"/>
          <w:color w:val="000000"/>
          <w:szCs w:val="20"/>
          <w:lang w:val="en-US"/>
        </w:rPr>
        <w:t xml:space="preserve">LS </w:t>
      </w:r>
      <w:r w:rsidRPr="006C41AC">
        <w:rPr>
          <w:rFonts w:eastAsia="Times New Roman" w:cs="Arial"/>
          <w:color w:val="000000"/>
          <w:szCs w:val="20"/>
          <w:lang w:eastAsia="bg-BG"/>
        </w:rPr>
        <w:t xml:space="preserve">от изходното ниво по скалата за оценка на мания на </w:t>
      </w:r>
      <w:r w:rsidRPr="006C41AC">
        <w:rPr>
          <w:rFonts w:eastAsia="Times New Roman" w:cs="Arial"/>
          <w:color w:val="000000"/>
          <w:szCs w:val="20"/>
          <w:lang w:val="en-US"/>
        </w:rPr>
        <w:t xml:space="preserve">Young (YMRS) </w:t>
      </w:r>
      <w:r w:rsidRPr="006C41AC">
        <w:rPr>
          <w:rFonts w:eastAsia="Times New Roman" w:cs="Arial"/>
          <w:color w:val="000000"/>
          <w:szCs w:val="20"/>
          <w:lang w:eastAsia="bg-BG"/>
        </w:rPr>
        <w:t xml:space="preserve">(активно вещество минус плацебо) е -5,21 за кветиапин 400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и -6,56 за кветиапин 600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Честотата на отговор (подобрение по </w:t>
      </w:r>
      <w:r w:rsidRPr="006C41AC">
        <w:rPr>
          <w:rFonts w:eastAsia="Times New Roman" w:cs="Arial"/>
          <w:color w:val="000000"/>
          <w:szCs w:val="20"/>
          <w:lang w:val="en-US"/>
        </w:rPr>
        <w:t xml:space="preserve">YMRS </w:t>
      </w:r>
      <w:r w:rsidRPr="006C41AC">
        <w:rPr>
          <w:rFonts w:eastAsia="Times New Roman" w:cs="Arial"/>
          <w:color w:val="000000"/>
          <w:szCs w:val="20"/>
          <w:lang w:eastAsia="bg-BG"/>
        </w:rPr>
        <w:t xml:space="preserve">≥ 50 %) е 64 % за кветиапин 400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58 % за 600 </w:t>
      </w:r>
      <w:r w:rsidRPr="006C41AC">
        <w:rPr>
          <w:rFonts w:eastAsia="Times New Roman" w:cs="Arial"/>
          <w:color w:val="000000"/>
          <w:szCs w:val="20"/>
          <w:lang w:val="en-US"/>
        </w:rPr>
        <w:t>mg</w:t>
      </w:r>
      <w:r w:rsidRPr="006C41AC">
        <w:rPr>
          <w:rFonts w:eastAsia="Times New Roman" w:cs="Arial"/>
          <w:color w:val="000000"/>
          <w:szCs w:val="20"/>
          <w:lang w:eastAsia="bg-BG"/>
        </w:rPr>
        <w:t>/ден и 37 % за плацебо рамото.</w:t>
      </w:r>
    </w:p>
    <w:p w14:paraId="694EFB03" w14:textId="77777777" w:rsidR="006C41AC" w:rsidRPr="006C41AC" w:rsidRDefault="006C41AC" w:rsidP="006C41AC">
      <w:pPr>
        <w:spacing w:line="240" w:lineRule="auto"/>
        <w:rPr>
          <w:rFonts w:eastAsia="Times New Roman" w:cs="Arial"/>
          <w:color w:val="000000"/>
          <w:szCs w:val="20"/>
          <w:lang w:eastAsia="bg-BG"/>
        </w:rPr>
      </w:pPr>
    </w:p>
    <w:p w14:paraId="1995379C" w14:textId="37523F31"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В проучването с шизофрения, разликата в средната промяна на </w:t>
      </w:r>
      <w:r w:rsidRPr="006C41AC">
        <w:rPr>
          <w:rFonts w:eastAsia="Times New Roman" w:cs="Arial"/>
          <w:color w:val="000000"/>
          <w:szCs w:val="20"/>
          <w:lang w:val="en-US"/>
        </w:rPr>
        <w:t xml:space="preserve">LS </w:t>
      </w:r>
      <w:r w:rsidRPr="006C41AC">
        <w:rPr>
          <w:rFonts w:eastAsia="Times New Roman" w:cs="Arial"/>
          <w:color w:val="000000"/>
          <w:szCs w:val="20"/>
          <w:lang w:eastAsia="bg-BG"/>
        </w:rPr>
        <w:t xml:space="preserve">от изходното ниво по скалата за положителните и отрицателните синдроми </w:t>
      </w:r>
      <w:r w:rsidRPr="006C41AC">
        <w:rPr>
          <w:rFonts w:eastAsia="Times New Roman" w:cs="Arial"/>
          <w:color w:val="000000"/>
          <w:szCs w:val="20"/>
          <w:lang w:val="en-US"/>
        </w:rPr>
        <w:t xml:space="preserve">(PANSS) </w:t>
      </w:r>
      <w:r w:rsidRPr="006C41AC">
        <w:rPr>
          <w:rFonts w:eastAsia="Times New Roman" w:cs="Arial"/>
          <w:color w:val="000000"/>
          <w:szCs w:val="20"/>
          <w:lang w:eastAsia="bg-BG"/>
        </w:rPr>
        <w:t xml:space="preserve">(активно вещество минус плацебо) е -8,16 за кветиапин 400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и -9,29 за кветиапин 800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Нито ниската (400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нито високата доза (800 </w:t>
      </w:r>
      <w:r w:rsidRPr="006C41AC">
        <w:rPr>
          <w:rFonts w:eastAsia="Times New Roman" w:cs="Arial"/>
          <w:color w:val="000000"/>
          <w:szCs w:val="20"/>
          <w:lang w:val="en-US"/>
        </w:rPr>
        <w:t>mg</w:t>
      </w:r>
      <w:r w:rsidRPr="006C41AC">
        <w:rPr>
          <w:rFonts w:eastAsia="Times New Roman" w:cs="Arial"/>
          <w:color w:val="000000"/>
          <w:szCs w:val="20"/>
          <w:lang w:eastAsia="bg-BG"/>
        </w:rPr>
        <w:t xml:space="preserve">/ден) кветиапин превъзхожда плацебо по отношение на процента повлияли се пациенти, определен като ≥ 30 % намаление спрямо изходното ниво по </w:t>
      </w:r>
      <w:r w:rsidRPr="006C41AC">
        <w:rPr>
          <w:rFonts w:eastAsia="Times New Roman" w:cs="Arial"/>
          <w:color w:val="000000"/>
          <w:szCs w:val="20"/>
          <w:lang w:val="en-US"/>
        </w:rPr>
        <w:t xml:space="preserve">PANSS. </w:t>
      </w:r>
      <w:r w:rsidRPr="006C41AC">
        <w:rPr>
          <w:rFonts w:eastAsia="Times New Roman" w:cs="Arial"/>
          <w:color w:val="000000"/>
          <w:szCs w:val="20"/>
          <w:lang w:eastAsia="bg-BG"/>
        </w:rPr>
        <w:t>И при манията, и при шизофренията по-високите дози водят до числено по-ниска честота на отговор.</w:t>
      </w:r>
    </w:p>
    <w:p w14:paraId="37D667A0" w14:textId="77777777" w:rsidR="006C41AC" w:rsidRPr="006C41AC" w:rsidRDefault="006C41AC" w:rsidP="006C41AC">
      <w:pPr>
        <w:spacing w:line="240" w:lineRule="auto"/>
        <w:rPr>
          <w:rFonts w:eastAsia="Times New Roman" w:cs="Arial"/>
          <w:color w:val="000000"/>
          <w:szCs w:val="20"/>
          <w:lang w:eastAsia="bg-BG"/>
        </w:rPr>
      </w:pPr>
    </w:p>
    <w:p w14:paraId="0C832781" w14:textId="374D9EEB"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В трето краткосрочно плацебо-контролирано проучване с монотерапия на кветиапин таблетки с удължено освобождаване при деца и юноши (10-17 години) с биполярна депресия, не е доказана ефикасност.</w:t>
      </w:r>
    </w:p>
    <w:p w14:paraId="1E8F2C73"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Няма данни за поддържането на ефекта или за предотвратяването на рецидивите в тази възрастова група.</w:t>
      </w:r>
    </w:p>
    <w:p w14:paraId="0D7AB3BA" w14:textId="77777777" w:rsidR="006C41AC" w:rsidRPr="006C41AC" w:rsidRDefault="006C41AC" w:rsidP="006C41AC">
      <w:pPr>
        <w:spacing w:line="240" w:lineRule="auto"/>
        <w:rPr>
          <w:rFonts w:eastAsia="Times New Roman" w:cs="Arial"/>
          <w:color w:val="000000"/>
          <w:szCs w:val="20"/>
          <w:u w:val="single"/>
          <w:lang w:eastAsia="bg-BG"/>
        </w:rPr>
      </w:pPr>
    </w:p>
    <w:p w14:paraId="75A8EE2C" w14:textId="045D61B9"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u w:val="single"/>
          <w:lang w:eastAsia="bg-BG"/>
        </w:rPr>
        <w:t>Клинична безопасност</w:t>
      </w:r>
    </w:p>
    <w:p w14:paraId="40F31258" w14:textId="77777777" w:rsidR="006C41AC" w:rsidRPr="006C41AC" w:rsidRDefault="006C41AC" w:rsidP="006C41AC">
      <w:pPr>
        <w:rPr>
          <w:rFonts w:eastAsia="Times New Roman" w:cs="Arial"/>
          <w:lang w:eastAsia="bg-BG"/>
        </w:rPr>
      </w:pPr>
      <w:r w:rsidRPr="006C41AC">
        <w:rPr>
          <w:rFonts w:eastAsia="Times New Roman" w:cs="Arial"/>
          <w:color w:val="000000"/>
          <w:szCs w:val="20"/>
          <w:lang w:eastAsia="bg-BG"/>
        </w:rPr>
        <w:t xml:space="preserve">В краткосрочните педиатрични проучвания с кветиапин, описани по-горе, стойностите на </w:t>
      </w:r>
      <w:r w:rsidRPr="006C41AC">
        <w:rPr>
          <w:rFonts w:eastAsia="Times New Roman" w:cs="Arial"/>
          <w:color w:val="000000"/>
          <w:szCs w:val="20"/>
          <w:lang w:val="en-US"/>
        </w:rPr>
        <w:t xml:space="preserve">EPS </w:t>
      </w:r>
      <w:r w:rsidRPr="006C41AC">
        <w:rPr>
          <w:rFonts w:eastAsia="Times New Roman" w:cs="Arial"/>
          <w:color w:val="000000"/>
          <w:szCs w:val="20"/>
          <w:lang w:eastAsia="bg-BG"/>
        </w:rPr>
        <w:t>в активното рамо в сравнение с плацебо са били 12,9% в сравнение с 5,3% в проучванията за шизофрения, 3,6% срещу 1,1% при биполярно разстройство, и 1,1% спрямо 0% при проучванията за биполярно разстройство. Стойностите на наддадено тегло с ≥ 7 % от изходното телесно тегло в активното рамо спрямо плацебо са били 17 % срещу 2,5 % при проучванията за шизофрения и биполярно разстройство, и 13,7 % в сравнение с 6.8 % при биполярно разстройство. Степента на суицидни събития, в активното рамо в сравнение с плацебо е била съответно 1,4 %</w:t>
      </w:r>
      <w:r w:rsidRPr="006C41AC">
        <w:rPr>
          <w:rFonts w:eastAsia="Times New Roman" w:cs="Arial"/>
          <w:color w:val="000000"/>
          <w:szCs w:val="20"/>
          <w:lang w:val="en-US"/>
        </w:rPr>
        <w:t xml:space="preserve"> </w:t>
      </w:r>
      <w:r w:rsidRPr="006C41AC">
        <w:rPr>
          <w:rFonts w:eastAsia="Times New Roman" w:cs="Arial"/>
          <w:color w:val="000000"/>
          <w:szCs w:val="20"/>
          <w:lang w:eastAsia="bg-BG"/>
        </w:rPr>
        <w:t>срещу 1,3%</w:t>
      </w:r>
      <w:r w:rsidRPr="006C41AC">
        <w:rPr>
          <w:rFonts w:eastAsia="Times New Roman" w:cs="Arial"/>
          <w:color w:val="000000"/>
          <w:szCs w:val="20"/>
          <w:lang w:val="en-US"/>
        </w:rPr>
        <w:t xml:space="preserve"> </w:t>
      </w:r>
      <w:r w:rsidRPr="006C41AC">
        <w:rPr>
          <w:rFonts w:eastAsia="Times New Roman" w:cs="Arial"/>
          <w:color w:val="000000"/>
          <w:szCs w:val="20"/>
          <w:lang w:eastAsia="bg-BG"/>
        </w:rPr>
        <w:t>в проучването за шизофрения, 1,0 % срещу 0 % при проучването за биполярно разстройство, и 1,1 %</w:t>
      </w:r>
      <w:r w:rsidRPr="006C41AC">
        <w:rPr>
          <w:rFonts w:eastAsia="Times New Roman" w:cs="Arial"/>
          <w:color w:val="000000"/>
          <w:szCs w:val="20"/>
          <w:lang w:val="en-US"/>
        </w:rPr>
        <w:t xml:space="preserve"> </w:t>
      </w:r>
      <w:r w:rsidRPr="006C41AC">
        <w:rPr>
          <w:rFonts w:eastAsia="Times New Roman" w:cs="Arial"/>
          <w:color w:val="000000"/>
          <w:szCs w:val="20"/>
          <w:lang w:eastAsia="bg-BG"/>
        </w:rPr>
        <w:t xml:space="preserve"> в сравнение с 0 % при проучването за биполярно разстройство. По време на удължена </w:t>
      </w:r>
      <w:r w:rsidRPr="006C41AC">
        <w:rPr>
          <w:rFonts w:eastAsia="Times New Roman" w:cs="Arial"/>
          <w:color w:val="000000"/>
          <w:lang w:eastAsia="bg-BG"/>
        </w:rPr>
        <w:t>след лечението фаза на проследяване при проучванията с биполярно разстройство, е имало две допълнителни събития, свързани със самоубийство при двама пациенти; един от тези пациенти е бил на лечение с кветиапин по време на събитието.</w:t>
      </w:r>
    </w:p>
    <w:p w14:paraId="591F83F3" w14:textId="77777777" w:rsidR="006C41AC" w:rsidRPr="006C41AC" w:rsidRDefault="006C41AC" w:rsidP="006C41AC">
      <w:pPr>
        <w:spacing w:line="240" w:lineRule="auto"/>
        <w:rPr>
          <w:rFonts w:eastAsia="Times New Roman" w:cs="Arial"/>
          <w:color w:val="000000"/>
          <w:u w:val="single"/>
          <w:lang w:eastAsia="bg-BG"/>
        </w:rPr>
      </w:pPr>
    </w:p>
    <w:p w14:paraId="48138113" w14:textId="030104BD" w:rsidR="006C41AC" w:rsidRPr="006C41AC" w:rsidRDefault="006C41AC" w:rsidP="006C41AC">
      <w:pPr>
        <w:spacing w:line="240" w:lineRule="auto"/>
        <w:rPr>
          <w:rFonts w:eastAsia="Times New Roman" w:cs="Arial"/>
          <w:lang w:eastAsia="bg-BG"/>
        </w:rPr>
      </w:pPr>
      <w:r w:rsidRPr="006C41AC">
        <w:rPr>
          <w:rFonts w:eastAsia="Times New Roman" w:cs="Arial"/>
          <w:color w:val="000000"/>
          <w:u w:val="single"/>
          <w:lang w:eastAsia="bg-BG"/>
        </w:rPr>
        <w:t>Дългосрочна безопасност</w:t>
      </w:r>
    </w:p>
    <w:p w14:paraId="42461657" w14:textId="2F4B9E34" w:rsidR="006C41AC" w:rsidRPr="006C41AC" w:rsidRDefault="006C41AC" w:rsidP="006C41AC">
      <w:pPr>
        <w:rPr>
          <w:rFonts w:cs="Arial"/>
        </w:rPr>
      </w:pPr>
      <w:r w:rsidRPr="006C41AC">
        <w:rPr>
          <w:rFonts w:eastAsia="Times New Roman" w:cs="Arial"/>
          <w:color w:val="000000"/>
          <w:lang w:eastAsia="bg-BG"/>
        </w:rPr>
        <w:t xml:space="preserve">26-седмично открито разширение на интензивните проучвания (п = 380 пациенти), с гъвкаво дозиран кветиапин от 400 - 800 </w:t>
      </w:r>
      <w:r w:rsidRPr="006C41AC">
        <w:rPr>
          <w:rFonts w:eastAsia="Times New Roman" w:cs="Arial"/>
          <w:color w:val="000000"/>
          <w:lang w:val="en-US"/>
        </w:rPr>
        <w:t>mg</w:t>
      </w:r>
      <w:r w:rsidRPr="006C41AC">
        <w:rPr>
          <w:rFonts w:eastAsia="Times New Roman" w:cs="Arial"/>
          <w:color w:val="000000"/>
          <w:lang w:eastAsia="bg-BG"/>
        </w:rPr>
        <w:t xml:space="preserve">/ден, предоставя допълнителни данни за безопасността. Повишение на кръвното налягане са били съобщавани при деца и юноши </w:t>
      </w:r>
      <w:r w:rsidRPr="006C41AC">
        <w:rPr>
          <w:rFonts w:eastAsia="Times New Roman" w:cs="Arial"/>
          <w:i/>
          <w:iCs/>
          <w:color w:val="000000"/>
          <w:lang w:eastAsia="bg-BG"/>
        </w:rPr>
        <w:lastRenderedPageBreak/>
        <w:t>и</w:t>
      </w:r>
      <w:r w:rsidRPr="006C41AC">
        <w:rPr>
          <w:rFonts w:eastAsia="Times New Roman" w:cs="Arial"/>
          <w:color w:val="000000"/>
          <w:lang w:eastAsia="bg-BG"/>
        </w:rPr>
        <w:t xml:space="preserve"> повишен апетит, екстрапирамидни симптоми и повишаване на серумния пролактин са докладвани с по-висока честота при деца и юноши, отколкото при възрастни пациенти (вж. точки 4.4 и 4.8). По отношение на увеличение на теглото, коригирано спрямо нормалния растеж в дългосрочен план, увеличение от най-малко стандартно отклонение от 0,5 от изходното ниво в </w:t>
      </w:r>
      <w:r w:rsidRPr="006C41AC">
        <w:rPr>
          <w:rFonts w:eastAsia="Times New Roman" w:cs="Arial"/>
          <w:color w:val="000000"/>
          <w:lang w:val="en-US"/>
        </w:rPr>
        <w:t xml:space="preserve">Body Mass Index (BMI) </w:t>
      </w:r>
      <w:r w:rsidRPr="006C41AC">
        <w:rPr>
          <w:rFonts w:eastAsia="Times New Roman" w:cs="Arial"/>
          <w:color w:val="000000"/>
          <w:lang w:eastAsia="bg-BG"/>
        </w:rPr>
        <w:t>е било използвано като мярка за клинично значима промяна; 18,3 % от пациентите, които са били лекувани с кветиапин в продължение на най-малко 26 седмици са отговорили на този критерий.</w:t>
      </w:r>
    </w:p>
    <w:p w14:paraId="7E768D52" w14:textId="77777777" w:rsidR="006C41AC" w:rsidRPr="0091385D" w:rsidRDefault="006C41AC" w:rsidP="0091385D"/>
    <w:p w14:paraId="5031193D" w14:textId="408B9A83" w:rsidR="0091385D" w:rsidRDefault="002C50EE" w:rsidP="007A2185">
      <w:pPr>
        <w:pStyle w:val="Heading2"/>
      </w:pPr>
      <w:r>
        <w:t>5.2. Фармакокинетични свойства</w:t>
      </w:r>
    </w:p>
    <w:p w14:paraId="46B35D05" w14:textId="6A0462F4" w:rsidR="007A2185" w:rsidRDefault="007A2185" w:rsidP="007A2185"/>
    <w:p w14:paraId="60E83F7C" w14:textId="77777777" w:rsidR="006C41AC" w:rsidRPr="006C41AC" w:rsidRDefault="006C41AC" w:rsidP="006C41AC">
      <w:pPr>
        <w:pStyle w:val="Heading3"/>
        <w:rPr>
          <w:rFonts w:eastAsia="Times New Roman"/>
          <w:u w:val="single"/>
          <w:lang w:eastAsia="bg-BG"/>
        </w:rPr>
      </w:pPr>
      <w:r w:rsidRPr="006C41AC">
        <w:rPr>
          <w:rFonts w:eastAsia="Times New Roman"/>
          <w:u w:val="single"/>
          <w:lang w:eastAsia="bg-BG"/>
        </w:rPr>
        <w:t>Абс</w:t>
      </w:r>
      <w:bookmarkStart w:id="2" w:name="_GoBack"/>
      <w:bookmarkEnd w:id="2"/>
      <w:r w:rsidRPr="006C41AC">
        <w:rPr>
          <w:rFonts w:eastAsia="Times New Roman"/>
          <w:u w:val="single"/>
          <w:lang w:eastAsia="bg-BG"/>
        </w:rPr>
        <w:t>орбция</w:t>
      </w:r>
    </w:p>
    <w:p w14:paraId="48D86392"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След перорално приложение кветиапин се резорбира добре и се метаболизира екстензивно. Бионаличността му не се повлиява значително от приема на храна. Максималната равновесна моларна концентрация на активния метаболит норкветиапин е 35 % от тази, установена за кветиапин. Фармакокинетиката на кветиапин и норкветиапин е линейна в границите на одобрения дозов режим.</w:t>
      </w:r>
    </w:p>
    <w:p w14:paraId="20329B03" w14:textId="77777777" w:rsidR="006C41AC" w:rsidRPr="006C41AC" w:rsidRDefault="006C41AC" w:rsidP="006C41AC">
      <w:pPr>
        <w:spacing w:line="240" w:lineRule="auto"/>
        <w:rPr>
          <w:rFonts w:eastAsia="Times New Roman" w:cs="Arial"/>
          <w:color w:val="000000"/>
          <w:u w:val="single"/>
          <w:lang w:eastAsia="bg-BG"/>
        </w:rPr>
      </w:pPr>
    </w:p>
    <w:p w14:paraId="3070A49E" w14:textId="32A5DD96" w:rsidR="006C41AC" w:rsidRPr="006C41AC" w:rsidRDefault="006C41AC" w:rsidP="006C41AC">
      <w:pPr>
        <w:pStyle w:val="Heading3"/>
        <w:rPr>
          <w:rFonts w:eastAsia="Times New Roman"/>
          <w:u w:val="single"/>
          <w:lang w:eastAsia="bg-BG"/>
        </w:rPr>
      </w:pPr>
      <w:r w:rsidRPr="006C41AC">
        <w:rPr>
          <w:rFonts w:eastAsia="Times New Roman"/>
          <w:u w:val="single"/>
          <w:lang w:eastAsia="bg-BG"/>
        </w:rPr>
        <w:t>Разпределение</w:t>
      </w:r>
    </w:p>
    <w:p w14:paraId="6C680D4C"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Свързването на кветиапин с плазмените протеини е около 83 %..</w:t>
      </w:r>
    </w:p>
    <w:p w14:paraId="2C9E0301" w14:textId="77777777" w:rsidR="006C41AC" w:rsidRPr="006C41AC" w:rsidRDefault="006C41AC" w:rsidP="006C41AC">
      <w:pPr>
        <w:spacing w:line="240" w:lineRule="auto"/>
        <w:rPr>
          <w:rFonts w:eastAsia="Times New Roman" w:cs="Arial"/>
          <w:color w:val="000000"/>
          <w:u w:val="single"/>
          <w:lang w:eastAsia="bg-BG"/>
        </w:rPr>
      </w:pPr>
    </w:p>
    <w:p w14:paraId="6ED31CE2" w14:textId="50717B8F" w:rsidR="006C41AC" w:rsidRPr="006C41AC" w:rsidRDefault="006C41AC" w:rsidP="006C41AC">
      <w:pPr>
        <w:pStyle w:val="Heading3"/>
        <w:rPr>
          <w:rFonts w:eastAsia="Times New Roman"/>
          <w:u w:val="single"/>
          <w:lang w:eastAsia="bg-BG"/>
        </w:rPr>
      </w:pPr>
      <w:r w:rsidRPr="006C41AC">
        <w:rPr>
          <w:rFonts w:eastAsia="Times New Roman"/>
          <w:u w:val="single"/>
          <w:lang w:eastAsia="bg-BG"/>
        </w:rPr>
        <w:t>Биотрансформация</w:t>
      </w:r>
    </w:p>
    <w:p w14:paraId="3408091B"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 xml:space="preserve">Кветиапин екстензивно се метаболизира в черния дроб, като след прилагане на радиоактивно- белязан кветапин, на изходното съединение се падат под 5 % от непромененото лекарствено вещество в урината или фекалиите. </w:t>
      </w:r>
      <w:r w:rsidRPr="006C41AC">
        <w:rPr>
          <w:rFonts w:eastAsia="Times New Roman" w:cs="Arial"/>
          <w:i/>
          <w:iCs/>
          <w:color w:val="000000"/>
          <w:lang w:val="en-US"/>
        </w:rPr>
        <w:t>In vitro</w:t>
      </w:r>
      <w:r w:rsidRPr="006C41AC">
        <w:rPr>
          <w:rFonts w:eastAsia="Times New Roman" w:cs="Arial"/>
          <w:color w:val="000000"/>
          <w:lang w:val="en-US"/>
        </w:rPr>
        <w:t xml:space="preserve"> </w:t>
      </w:r>
      <w:r w:rsidRPr="006C41AC">
        <w:rPr>
          <w:rFonts w:eastAsia="Times New Roman" w:cs="Arial"/>
          <w:color w:val="000000"/>
          <w:lang w:eastAsia="bg-BG"/>
        </w:rPr>
        <w:t xml:space="preserve">изследвания са установили, че </w:t>
      </w:r>
      <w:r w:rsidRPr="006C41AC">
        <w:rPr>
          <w:rFonts w:eastAsia="Times New Roman" w:cs="Arial"/>
          <w:color w:val="000000"/>
          <w:lang w:val="en-US"/>
        </w:rPr>
        <w:t xml:space="preserve">CYP3A4 </w:t>
      </w:r>
      <w:r w:rsidRPr="006C41AC">
        <w:rPr>
          <w:rFonts w:eastAsia="Times New Roman" w:cs="Arial"/>
          <w:color w:val="000000"/>
          <w:lang w:eastAsia="bg-BG"/>
        </w:rPr>
        <w:t xml:space="preserve">е основният ензим, отговорен за цитохром Р450 медиирания метаболизъм на кветиапин. Норкветиапин основно се образува и елиминира от </w:t>
      </w:r>
      <w:r w:rsidRPr="006C41AC">
        <w:rPr>
          <w:rFonts w:eastAsia="Times New Roman" w:cs="Arial"/>
          <w:color w:val="000000"/>
          <w:lang w:val="en-US"/>
        </w:rPr>
        <w:t>CYP3A4.</w:t>
      </w:r>
    </w:p>
    <w:p w14:paraId="33522627"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Средно 73 % от радиоактивно белязаното вещество се екскретира с урината и 21 % с фекалиите.</w:t>
      </w:r>
    </w:p>
    <w:p w14:paraId="1C52E19C" w14:textId="77777777" w:rsidR="006C41AC" w:rsidRPr="006C41AC" w:rsidRDefault="006C41AC" w:rsidP="006C41AC">
      <w:pPr>
        <w:spacing w:line="240" w:lineRule="auto"/>
        <w:rPr>
          <w:rFonts w:eastAsia="Times New Roman" w:cs="Arial"/>
          <w:color w:val="000000"/>
          <w:lang w:eastAsia="bg-BG"/>
        </w:rPr>
      </w:pPr>
    </w:p>
    <w:p w14:paraId="718E7BBC" w14:textId="520B734B"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 xml:space="preserve">Установено е, че кветиапин и няколко от неговите метаболити (включително норкветиапин), са слаби инхибитори на човешкия цитохром Р450 1А2, 2С9, 2С19, </w:t>
      </w:r>
      <w:r w:rsidRPr="006C41AC">
        <w:rPr>
          <w:rFonts w:eastAsia="Times New Roman" w:cs="Arial"/>
          <w:color w:val="000000"/>
          <w:lang w:val="en-US"/>
        </w:rPr>
        <w:t xml:space="preserve">2D6 </w:t>
      </w:r>
      <w:r w:rsidRPr="006C41AC">
        <w:rPr>
          <w:rFonts w:eastAsia="Times New Roman" w:cs="Arial"/>
          <w:color w:val="000000"/>
          <w:lang w:eastAsia="bg-BG"/>
        </w:rPr>
        <w:t xml:space="preserve">и ЗА4 в условия </w:t>
      </w:r>
      <w:r w:rsidRPr="006C41AC">
        <w:rPr>
          <w:rFonts w:eastAsia="Times New Roman" w:cs="Arial"/>
          <w:i/>
          <w:iCs/>
          <w:color w:val="000000"/>
          <w:lang w:val="en-US"/>
        </w:rPr>
        <w:t>in vitro. In vitro</w:t>
      </w:r>
      <w:r w:rsidRPr="006C41AC">
        <w:rPr>
          <w:rFonts w:eastAsia="Times New Roman" w:cs="Arial"/>
          <w:color w:val="000000"/>
          <w:lang w:val="en-US"/>
        </w:rPr>
        <w:t xml:space="preserve"> CYP </w:t>
      </w:r>
      <w:r w:rsidRPr="006C41AC">
        <w:rPr>
          <w:rFonts w:eastAsia="Times New Roman" w:cs="Arial"/>
          <w:color w:val="000000"/>
          <w:lang w:eastAsia="bg-BG"/>
        </w:rPr>
        <w:t xml:space="preserve">инхибиране се наблюдава при концентрации средно 5-50 пъти по-високи от тези, съответстващи на дозов диапазон 300 до 800 </w:t>
      </w:r>
      <w:r w:rsidRPr="006C41AC">
        <w:rPr>
          <w:rFonts w:eastAsia="Times New Roman" w:cs="Arial"/>
          <w:color w:val="000000"/>
          <w:lang w:val="en-US"/>
        </w:rPr>
        <w:t xml:space="preserve">mg </w:t>
      </w:r>
      <w:r w:rsidRPr="006C41AC">
        <w:rPr>
          <w:rFonts w:eastAsia="Times New Roman" w:cs="Arial"/>
          <w:color w:val="000000"/>
          <w:lang w:eastAsia="bg-BG"/>
        </w:rPr>
        <w:t xml:space="preserve">дневно при хора. Въз основа на тези </w:t>
      </w:r>
      <w:r w:rsidRPr="006C41AC">
        <w:rPr>
          <w:rFonts w:eastAsia="Times New Roman" w:cs="Arial"/>
          <w:i/>
          <w:iCs/>
          <w:color w:val="000000"/>
          <w:lang w:val="en-US"/>
        </w:rPr>
        <w:t xml:space="preserve">in vitro </w:t>
      </w:r>
      <w:r w:rsidRPr="006C41AC">
        <w:rPr>
          <w:rFonts w:eastAsia="Times New Roman" w:cs="Arial"/>
          <w:color w:val="000000"/>
          <w:lang w:eastAsia="bg-BG"/>
        </w:rPr>
        <w:t>резултати, малко вероятно е едновременното приложение на кветиапин с други активни вещества да доведе до клинично значима инхибиция на цитохром Р450 медиирания метаболизъм на други активни вещества.</w:t>
      </w:r>
    </w:p>
    <w:p w14:paraId="022DC5C6"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Въз основа на изследвания при животни се допуска, че кветиапин може да индуцира цитохром Р450 свързаните ензими. Въпреки това, при специфични изследвания за определяне на лекарствени взаимодействия при пациенти с психоза, не е наблюдавано повишаване на активността на цитохром Р450 след приложение на кветиапин.</w:t>
      </w:r>
    </w:p>
    <w:p w14:paraId="54A4D1A4" w14:textId="77777777" w:rsidR="006C41AC" w:rsidRPr="006C41AC" w:rsidRDefault="006C41AC" w:rsidP="006C41AC">
      <w:pPr>
        <w:spacing w:line="240" w:lineRule="auto"/>
        <w:rPr>
          <w:rFonts w:eastAsia="Times New Roman" w:cs="Arial"/>
          <w:color w:val="000000"/>
          <w:u w:val="single"/>
          <w:lang w:eastAsia="bg-BG"/>
        </w:rPr>
      </w:pPr>
    </w:p>
    <w:p w14:paraId="3108F4C1" w14:textId="7D8E3C1B" w:rsidR="006C41AC" w:rsidRPr="006C41AC" w:rsidRDefault="006C41AC" w:rsidP="006C41AC">
      <w:pPr>
        <w:pStyle w:val="Heading3"/>
        <w:rPr>
          <w:rFonts w:eastAsia="Times New Roman"/>
          <w:u w:val="single"/>
          <w:lang w:eastAsia="bg-BG"/>
        </w:rPr>
      </w:pPr>
      <w:r w:rsidRPr="006C41AC">
        <w:rPr>
          <w:rFonts w:eastAsia="Times New Roman"/>
          <w:u w:val="single"/>
          <w:lang w:eastAsia="bg-BG"/>
        </w:rPr>
        <w:t>Елиминиране</w:t>
      </w:r>
    </w:p>
    <w:p w14:paraId="3FA24FF4" w14:textId="77777777" w:rsidR="006C41AC" w:rsidRPr="006C41AC" w:rsidRDefault="006C41AC" w:rsidP="006C41AC">
      <w:pPr>
        <w:spacing w:line="240" w:lineRule="auto"/>
        <w:rPr>
          <w:rFonts w:eastAsia="Times New Roman" w:cs="Arial"/>
          <w:lang w:eastAsia="bg-BG"/>
        </w:rPr>
      </w:pPr>
      <w:r w:rsidRPr="006C41AC">
        <w:rPr>
          <w:rFonts w:eastAsia="Times New Roman" w:cs="Arial"/>
          <w:color w:val="000000"/>
          <w:lang w:eastAsia="bg-BG"/>
        </w:rPr>
        <w:t xml:space="preserve">Елиминационният полуживот на кветиапин и норкветиапин са приблизително 7 и 12 часа, съответно. По-малко от 5 % от средната моларна доза-фракция на свободния кветиапин и активния в плазмата при хора метаболит норкветиапин се екскретира чрез урината. </w:t>
      </w:r>
    </w:p>
    <w:p w14:paraId="013C3372" w14:textId="77777777" w:rsidR="006C41AC" w:rsidRPr="006C41AC" w:rsidRDefault="006C41AC" w:rsidP="006C41AC">
      <w:pPr>
        <w:rPr>
          <w:rFonts w:eastAsia="Times New Roman" w:cs="Arial"/>
          <w:i/>
          <w:iCs/>
          <w:color w:val="000000"/>
          <w:u w:val="single"/>
          <w:lang w:eastAsia="bg-BG"/>
        </w:rPr>
      </w:pPr>
    </w:p>
    <w:p w14:paraId="45551830" w14:textId="0F9FD1B1" w:rsidR="007A2185" w:rsidRPr="006C41AC" w:rsidRDefault="006C41AC" w:rsidP="006C41AC">
      <w:pPr>
        <w:rPr>
          <w:rFonts w:cs="Arial"/>
        </w:rPr>
      </w:pPr>
      <w:r w:rsidRPr="006C41AC">
        <w:rPr>
          <w:rFonts w:eastAsia="Times New Roman" w:cs="Arial"/>
          <w:i/>
          <w:iCs/>
          <w:color w:val="000000"/>
          <w:u w:val="single"/>
          <w:lang w:eastAsia="bg-BG"/>
        </w:rPr>
        <w:t>Специални популации</w:t>
      </w:r>
    </w:p>
    <w:p w14:paraId="71F712BB" w14:textId="77777777" w:rsidR="006C41AC" w:rsidRDefault="006C41AC" w:rsidP="006C41AC">
      <w:pPr>
        <w:spacing w:line="240" w:lineRule="auto"/>
        <w:rPr>
          <w:rFonts w:ascii="Times New Roman" w:eastAsia="Times New Roman" w:hAnsi="Times New Roman" w:cs="Times New Roman"/>
          <w:i/>
          <w:iCs/>
          <w:color w:val="000000"/>
          <w:sz w:val="20"/>
          <w:szCs w:val="20"/>
          <w:lang w:eastAsia="bg-BG"/>
        </w:rPr>
      </w:pPr>
    </w:p>
    <w:p w14:paraId="2178977F" w14:textId="32729CD3" w:rsidR="006C41AC" w:rsidRPr="006C41AC" w:rsidRDefault="006C41AC" w:rsidP="006C41AC">
      <w:pPr>
        <w:spacing w:line="240" w:lineRule="auto"/>
        <w:rPr>
          <w:rFonts w:eastAsia="Times New Roman" w:cs="Arial"/>
          <w:szCs w:val="24"/>
          <w:lang w:eastAsia="bg-BG"/>
        </w:rPr>
      </w:pPr>
      <w:r w:rsidRPr="006C41AC">
        <w:rPr>
          <w:rFonts w:eastAsia="Times New Roman" w:cs="Arial"/>
          <w:i/>
          <w:iCs/>
          <w:color w:val="000000"/>
          <w:szCs w:val="24"/>
          <w:lang w:eastAsia="bg-BG"/>
        </w:rPr>
        <w:lastRenderedPageBreak/>
        <w:t>Пол</w:t>
      </w:r>
    </w:p>
    <w:p w14:paraId="2A58AFDD"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Фармакокинетиката на кветиапин не се различава при мъже и жени.</w:t>
      </w:r>
    </w:p>
    <w:p w14:paraId="3C3AAFAF" w14:textId="77777777" w:rsidR="006C41AC" w:rsidRPr="006C41AC" w:rsidRDefault="006C41AC" w:rsidP="006C41AC">
      <w:pPr>
        <w:spacing w:line="240" w:lineRule="auto"/>
        <w:rPr>
          <w:rFonts w:eastAsia="Times New Roman" w:cs="Arial"/>
          <w:i/>
          <w:iCs/>
          <w:color w:val="000000"/>
          <w:szCs w:val="24"/>
          <w:lang w:eastAsia="bg-BG"/>
        </w:rPr>
      </w:pPr>
    </w:p>
    <w:p w14:paraId="275F8B20" w14:textId="31343DFC" w:rsidR="006C41AC" w:rsidRPr="006C41AC" w:rsidRDefault="006C41AC" w:rsidP="006C41AC">
      <w:pPr>
        <w:spacing w:line="240" w:lineRule="auto"/>
        <w:rPr>
          <w:rFonts w:eastAsia="Times New Roman" w:cs="Arial"/>
          <w:szCs w:val="24"/>
          <w:lang w:eastAsia="bg-BG"/>
        </w:rPr>
      </w:pPr>
      <w:r w:rsidRPr="006C41AC">
        <w:rPr>
          <w:rFonts w:eastAsia="Times New Roman" w:cs="Arial"/>
          <w:i/>
          <w:iCs/>
          <w:color w:val="000000"/>
          <w:szCs w:val="24"/>
          <w:lang w:eastAsia="bg-BG"/>
        </w:rPr>
        <w:t>Старческа възраст</w:t>
      </w:r>
    </w:p>
    <w:p w14:paraId="17691C4D"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Средният клирънс на кветиапин при лица в старческа възраст е приблизително с 30 до 50 % по- нисък от този при възрастни между 18 и 65 години.</w:t>
      </w:r>
    </w:p>
    <w:p w14:paraId="12E33350" w14:textId="77777777" w:rsidR="006C41AC" w:rsidRPr="006C41AC" w:rsidRDefault="006C41AC" w:rsidP="006C41AC">
      <w:pPr>
        <w:spacing w:line="240" w:lineRule="auto"/>
        <w:rPr>
          <w:rFonts w:eastAsia="Times New Roman" w:cs="Arial"/>
          <w:i/>
          <w:iCs/>
          <w:color w:val="000000"/>
          <w:szCs w:val="24"/>
          <w:lang w:eastAsia="bg-BG"/>
        </w:rPr>
      </w:pPr>
    </w:p>
    <w:p w14:paraId="366F6900" w14:textId="0ECABDE2" w:rsidR="006C41AC" w:rsidRPr="006C41AC" w:rsidRDefault="006C41AC" w:rsidP="006C41AC">
      <w:pPr>
        <w:spacing w:line="240" w:lineRule="auto"/>
        <w:rPr>
          <w:rFonts w:eastAsia="Times New Roman" w:cs="Arial"/>
          <w:szCs w:val="24"/>
          <w:lang w:eastAsia="bg-BG"/>
        </w:rPr>
      </w:pPr>
      <w:r w:rsidRPr="006C41AC">
        <w:rPr>
          <w:rFonts w:eastAsia="Times New Roman" w:cs="Arial"/>
          <w:i/>
          <w:iCs/>
          <w:color w:val="000000"/>
          <w:szCs w:val="24"/>
          <w:lang w:eastAsia="bg-BG"/>
        </w:rPr>
        <w:t>Бъбречно увреждане</w:t>
      </w:r>
    </w:p>
    <w:p w14:paraId="6B1BF339"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 xml:space="preserve">Средният плазмен клирънс се намалява средно с 25 % при лица с тежки бъбречни нарушения (креатининов клирьнс под 30 </w:t>
      </w:r>
      <w:r w:rsidRPr="006C41AC">
        <w:rPr>
          <w:rFonts w:eastAsia="Times New Roman" w:cs="Arial"/>
          <w:color w:val="000000"/>
          <w:szCs w:val="24"/>
          <w:lang w:val="en-US"/>
        </w:rPr>
        <w:t xml:space="preserve">ml/min/l,73m2), </w:t>
      </w:r>
      <w:r w:rsidRPr="006C41AC">
        <w:rPr>
          <w:rFonts w:eastAsia="Times New Roman" w:cs="Arial"/>
          <w:color w:val="000000"/>
          <w:szCs w:val="24"/>
          <w:lang w:eastAsia="bg-BG"/>
        </w:rPr>
        <w:t>но стойностите на индивидуалния клирьнс са в границите на тези на нормалните индивиди.</w:t>
      </w:r>
    </w:p>
    <w:p w14:paraId="03592AC7" w14:textId="77777777" w:rsidR="006C41AC" w:rsidRPr="006C41AC" w:rsidRDefault="006C41AC" w:rsidP="006C41AC">
      <w:pPr>
        <w:spacing w:line="240" w:lineRule="auto"/>
        <w:rPr>
          <w:rFonts w:eastAsia="Times New Roman" w:cs="Arial"/>
          <w:i/>
          <w:iCs/>
          <w:color w:val="000000"/>
          <w:szCs w:val="24"/>
          <w:lang w:eastAsia="bg-BG"/>
        </w:rPr>
      </w:pPr>
    </w:p>
    <w:p w14:paraId="2A4EC3D3" w14:textId="29322243" w:rsidR="006C41AC" w:rsidRPr="006C41AC" w:rsidRDefault="006C41AC" w:rsidP="006C41AC">
      <w:pPr>
        <w:spacing w:line="240" w:lineRule="auto"/>
        <w:rPr>
          <w:rFonts w:eastAsia="Times New Roman" w:cs="Arial"/>
          <w:szCs w:val="24"/>
          <w:lang w:eastAsia="bg-BG"/>
        </w:rPr>
      </w:pPr>
      <w:r w:rsidRPr="006C41AC">
        <w:rPr>
          <w:rFonts w:eastAsia="Times New Roman" w:cs="Arial"/>
          <w:i/>
          <w:iCs/>
          <w:color w:val="000000"/>
          <w:szCs w:val="24"/>
          <w:lang w:eastAsia="bg-BG"/>
        </w:rPr>
        <w:t>Чернодробно увреждане</w:t>
      </w:r>
    </w:p>
    <w:p w14:paraId="2ABB41B5"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Средният плазмен клирьнс се намалява приблизително с 25 % при лица с тежки чернодробни увреждания (стабилна алкохолна цироза). Тъй като кветиапин се метаболизира екстензивно в черния дроб, увеличени плазмени концентрации се очакват при популацията с чернодробно увреждане. При тези пациенти може да бъде необходима корекция на дозата (вж. точка 4.2).</w:t>
      </w:r>
    </w:p>
    <w:p w14:paraId="498C5F55" w14:textId="77777777" w:rsidR="006C41AC" w:rsidRPr="006C41AC" w:rsidRDefault="006C41AC" w:rsidP="006C41AC">
      <w:pPr>
        <w:spacing w:line="240" w:lineRule="auto"/>
        <w:rPr>
          <w:rFonts w:eastAsia="Times New Roman" w:cs="Arial"/>
          <w:i/>
          <w:iCs/>
          <w:color w:val="000000"/>
          <w:szCs w:val="24"/>
          <w:lang w:eastAsia="bg-BG"/>
        </w:rPr>
      </w:pPr>
    </w:p>
    <w:p w14:paraId="6CD47E3D" w14:textId="658F67C2" w:rsidR="006C41AC" w:rsidRPr="006C41AC" w:rsidRDefault="006C41AC" w:rsidP="006C41AC">
      <w:pPr>
        <w:spacing w:line="240" w:lineRule="auto"/>
        <w:rPr>
          <w:rFonts w:eastAsia="Times New Roman" w:cs="Arial"/>
          <w:szCs w:val="24"/>
          <w:lang w:eastAsia="bg-BG"/>
        </w:rPr>
      </w:pPr>
      <w:r w:rsidRPr="006C41AC">
        <w:rPr>
          <w:rFonts w:eastAsia="Times New Roman" w:cs="Arial"/>
          <w:i/>
          <w:iCs/>
          <w:color w:val="000000"/>
          <w:szCs w:val="24"/>
          <w:lang w:eastAsia="bg-BG"/>
        </w:rPr>
        <w:t>Педиатрична популация</w:t>
      </w:r>
    </w:p>
    <w:p w14:paraId="4EE1BB0B" w14:textId="2E968619" w:rsidR="0091385D" w:rsidRPr="006C41AC" w:rsidRDefault="006C41AC" w:rsidP="006C41AC">
      <w:pPr>
        <w:rPr>
          <w:rFonts w:eastAsia="Times New Roman" w:cs="Arial"/>
          <w:color w:val="000000"/>
          <w:szCs w:val="24"/>
          <w:lang w:eastAsia="bg-BG"/>
        </w:rPr>
      </w:pPr>
      <w:r w:rsidRPr="006C41AC">
        <w:rPr>
          <w:rFonts w:eastAsia="Times New Roman" w:cs="Arial"/>
          <w:color w:val="000000"/>
          <w:szCs w:val="24"/>
          <w:lang w:eastAsia="bg-BG"/>
        </w:rPr>
        <w:t xml:space="preserve">Фармакокинетичните данни са събрани при 9 деца на възраст 10-12 години и 12 юноши, при които е поддържано равновесно състояние при лечение с 400 </w:t>
      </w:r>
      <w:r w:rsidRPr="006C41AC">
        <w:rPr>
          <w:rFonts w:eastAsia="Times New Roman" w:cs="Arial"/>
          <w:color w:val="000000"/>
          <w:szCs w:val="24"/>
          <w:lang w:val="en-US"/>
        </w:rPr>
        <w:t xml:space="preserve">mg </w:t>
      </w:r>
      <w:r w:rsidRPr="006C41AC">
        <w:rPr>
          <w:rFonts w:eastAsia="Times New Roman" w:cs="Arial"/>
          <w:color w:val="000000"/>
          <w:szCs w:val="24"/>
          <w:lang w:eastAsia="bg-BG"/>
        </w:rPr>
        <w:t>кветиапин два пъти дневно. В равновесно състояние, плазмените концентрации на изходното вещество, кветиапин, стандартизирани според дозата, при деца и юноши (10-17 години) са били сходни с тези при възрастни, въпреки че С</w:t>
      </w:r>
      <w:r w:rsidRPr="006C41AC">
        <w:rPr>
          <w:rFonts w:eastAsia="Times New Roman" w:cs="Arial"/>
          <w:color w:val="000000"/>
          <w:szCs w:val="24"/>
          <w:lang w:val="en-US"/>
        </w:rPr>
        <w:t>m</w:t>
      </w:r>
      <w:r w:rsidRPr="006C41AC">
        <w:rPr>
          <w:rFonts w:eastAsia="Times New Roman" w:cs="Arial"/>
          <w:color w:val="000000"/>
          <w:szCs w:val="24"/>
          <w:lang w:eastAsia="bg-BG"/>
        </w:rPr>
        <w:t xml:space="preserve">ах при деца е била в по-високия край на диапазона, наблюдаван при възрастни. </w:t>
      </w:r>
      <w:r w:rsidRPr="006C41AC">
        <w:rPr>
          <w:rFonts w:eastAsia="Times New Roman" w:cs="Arial"/>
          <w:color w:val="000000"/>
          <w:szCs w:val="24"/>
          <w:lang w:val="en-US"/>
        </w:rPr>
        <w:t xml:space="preserve">AUC </w:t>
      </w:r>
      <w:r w:rsidRPr="006C41AC">
        <w:rPr>
          <w:rFonts w:eastAsia="Times New Roman" w:cs="Arial"/>
          <w:color w:val="000000"/>
          <w:szCs w:val="24"/>
          <w:lang w:eastAsia="bg-BG"/>
        </w:rPr>
        <w:t>и С</w:t>
      </w:r>
      <w:r w:rsidRPr="006C41AC">
        <w:rPr>
          <w:rFonts w:eastAsia="Times New Roman" w:cs="Arial"/>
          <w:color w:val="000000"/>
          <w:szCs w:val="24"/>
          <w:lang w:val="en-US"/>
        </w:rPr>
        <w:t>m</w:t>
      </w:r>
      <w:r w:rsidRPr="006C41AC">
        <w:rPr>
          <w:rFonts w:eastAsia="Times New Roman" w:cs="Arial"/>
          <w:color w:val="000000"/>
          <w:szCs w:val="24"/>
          <w:lang w:eastAsia="bg-BG"/>
        </w:rPr>
        <w:t>ах за активния метаболит норкветиапин са били по-високи, приблизително съответно 62 % и 49 % при деца (10 -12 години) и съответно 28 % и 14 % при юноши (13-17 години), в сравнение с тези, установени при възрастни.</w:t>
      </w:r>
    </w:p>
    <w:p w14:paraId="5FA331CA" w14:textId="77777777" w:rsidR="006C41AC" w:rsidRPr="0091385D" w:rsidRDefault="006C41AC" w:rsidP="006C41AC"/>
    <w:p w14:paraId="648E39DA" w14:textId="44D16CBD" w:rsidR="00CF77F7" w:rsidRDefault="002C50EE" w:rsidP="004A448E">
      <w:pPr>
        <w:pStyle w:val="Heading2"/>
      </w:pPr>
      <w:r>
        <w:t>5.3. Предклинични данни за безопасност</w:t>
      </w:r>
    </w:p>
    <w:p w14:paraId="20E967BE" w14:textId="751DCF54" w:rsidR="0091385D" w:rsidRDefault="0091385D" w:rsidP="0091385D"/>
    <w:p w14:paraId="01826E8A"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 xml:space="preserve">Няма доказателства за генотоксичност в серия от </w:t>
      </w:r>
      <w:r w:rsidRPr="006C41AC">
        <w:rPr>
          <w:rFonts w:eastAsia="Times New Roman" w:cs="Arial"/>
          <w:i/>
          <w:iCs/>
          <w:color w:val="000000"/>
          <w:szCs w:val="24"/>
          <w:lang w:val="en-US"/>
        </w:rPr>
        <w:t>in vitro</w:t>
      </w:r>
      <w:r w:rsidRPr="006C41AC">
        <w:rPr>
          <w:rFonts w:eastAsia="Times New Roman" w:cs="Arial"/>
          <w:color w:val="000000"/>
          <w:szCs w:val="24"/>
          <w:lang w:val="en-US"/>
        </w:rPr>
        <w:t xml:space="preserve"> </w:t>
      </w:r>
      <w:r w:rsidRPr="006C41AC">
        <w:rPr>
          <w:rFonts w:eastAsia="Times New Roman" w:cs="Arial"/>
          <w:color w:val="000000"/>
          <w:szCs w:val="24"/>
          <w:lang w:eastAsia="bg-BG"/>
        </w:rPr>
        <w:t xml:space="preserve">и </w:t>
      </w:r>
      <w:r w:rsidRPr="006C41AC">
        <w:rPr>
          <w:rFonts w:eastAsia="Times New Roman" w:cs="Arial"/>
          <w:i/>
          <w:iCs/>
          <w:color w:val="000000"/>
          <w:szCs w:val="24"/>
          <w:lang w:val="en-US"/>
        </w:rPr>
        <w:t>in vivo</w:t>
      </w:r>
      <w:r w:rsidRPr="006C41AC">
        <w:rPr>
          <w:rFonts w:eastAsia="Times New Roman" w:cs="Arial"/>
          <w:color w:val="000000"/>
          <w:szCs w:val="24"/>
          <w:lang w:val="en-US"/>
        </w:rPr>
        <w:t xml:space="preserve"> </w:t>
      </w:r>
      <w:r w:rsidRPr="006C41AC">
        <w:rPr>
          <w:rFonts w:eastAsia="Times New Roman" w:cs="Arial"/>
          <w:color w:val="000000"/>
          <w:szCs w:val="24"/>
          <w:lang w:eastAsia="bg-BG"/>
        </w:rPr>
        <w:t>изследвания за генотоксичност. При лабораторни животни, след експозиция със съответното клинично ниво, са били наблюдавани следните отклонения, които обаче до момента не са били потвърдени в продължителни клинични изследвания:</w:t>
      </w:r>
    </w:p>
    <w:p w14:paraId="03D7603B" w14:textId="77777777"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Пигментни отлагания в щитовидната жлеза при плъхове; при дългоопашати макаци е наблюдавана хипертрофия на тироидните фоликуларни клетки, намаление на плазмените концентрации на Т3, понижаване концентрацията на хемоглобина и намаление на броя на червените и бели кръвни клетки; при кучета - помътняване на лещата и катаракта. (За катаракта/помътняване на лещата вж. точка 5.1).</w:t>
      </w:r>
    </w:p>
    <w:p w14:paraId="737696FC" w14:textId="77777777" w:rsidR="006C41AC" w:rsidRPr="006C41AC" w:rsidRDefault="006C41AC" w:rsidP="006C41AC">
      <w:pPr>
        <w:spacing w:line="240" w:lineRule="auto"/>
        <w:rPr>
          <w:rFonts w:eastAsia="Times New Roman" w:cs="Arial"/>
          <w:color w:val="000000"/>
          <w:szCs w:val="24"/>
          <w:lang w:eastAsia="bg-BG"/>
        </w:rPr>
      </w:pPr>
    </w:p>
    <w:p w14:paraId="78935E78" w14:textId="328A01DF" w:rsidR="006C41AC" w:rsidRPr="006C41AC" w:rsidRDefault="006C41AC" w:rsidP="006C41AC">
      <w:pPr>
        <w:spacing w:line="240" w:lineRule="auto"/>
        <w:rPr>
          <w:rFonts w:eastAsia="Times New Roman" w:cs="Arial"/>
          <w:szCs w:val="24"/>
          <w:lang w:eastAsia="bg-BG"/>
        </w:rPr>
      </w:pPr>
      <w:r w:rsidRPr="006C41AC">
        <w:rPr>
          <w:rFonts w:eastAsia="Times New Roman" w:cs="Arial"/>
          <w:color w:val="000000"/>
          <w:szCs w:val="24"/>
          <w:lang w:eastAsia="bg-BG"/>
        </w:rPr>
        <w:t>При проучване за ембриофетална токсичност върху зайци честотата на карпално/тарзална флексура при плода е увеличена. Този ефект се наблюдава в присъствието на явни ефекти при майката, като редуцирано наддаване на телесно тегло. Тези ефекти са били очевидни при нива на експозиция на майката подобни или малко по-високи от тези при максимална терапевтична доза при хора. Значението на тази находка за хора не е известно.</w:t>
      </w:r>
    </w:p>
    <w:p w14:paraId="5B78560C" w14:textId="77777777" w:rsidR="006C41AC" w:rsidRPr="006C41AC" w:rsidRDefault="006C41AC" w:rsidP="006C41AC">
      <w:pPr>
        <w:rPr>
          <w:rFonts w:eastAsia="Times New Roman" w:cs="Arial"/>
          <w:color w:val="000000"/>
          <w:szCs w:val="24"/>
          <w:lang w:eastAsia="bg-BG"/>
        </w:rPr>
      </w:pPr>
    </w:p>
    <w:p w14:paraId="13A7B62A" w14:textId="2868E726" w:rsidR="007A2185" w:rsidRPr="006C41AC" w:rsidRDefault="006C41AC" w:rsidP="006C41AC">
      <w:pPr>
        <w:rPr>
          <w:rFonts w:cs="Arial"/>
          <w:szCs w:val="24"/>
        </w:rPr>
      </w:pPr>
      <w:r w:rsidRPr="006C41AC">
        <w:rPr>
          <w:rFonts w:eastAsia="Times New Roman" w:cs="Arial"/>
          <w:color w:val="000000"/>
          <w:szCs w:val="24"/>
          <w:lang w:eastAsia="bg-BG"/>
        </w:rPr>
        <w:lastRenderedPageBreak/>
        <w:t>В проучване на фертилитета, проведено върху плъхове е наблюдавано пределно намаляване на мъжката плодовитост и псевдобременност, продължителни периоди на диеструс,</w:t>
      </w:r>
      <w:r w:rsidRPr="006C41AC">
        <w:rPr>
          <w:rFonts w:eastAsia="Times New Roman" w:cs="Arial"/>
          <w:color w:val="000000"/>
          <w:szCs w:val="24"/>
          <w:lang w:val="en-US"/>
        </w:rPr>
        <w:t xml:space="preserve"> </w:t>
      </w:r>
      <w:r w:rsidRPr="006C41AC">
        <w:rPr>
          <w:rFonts w:eastAsia="Times New Roman" w:cs="Arial"/>
          <w:color w:val="000000"/>
          <w:szCs w:val="24"/>
          <w:lang w:eastAsia="bg-BG"/>
        </w:rPr>
        <w:t>повишен прекоитален интервал и намалена честотата на бременност. Тези ефекти са свързани с повишени стойности на пролактина и не са директно приложими при хора, поради видовите различия в хормоналния контрол на репродукцията.</w:t>
      </w:r>
    </w:p>
    <w:p w14:paraId="12FFA9B2" w14:textId="77777777" w:rsidR="007A2185" w:rsidRPr="0091385D" w:rsidRDefault="007A2185" w:rsidP="0091385D"/>
    <w:p w14:paraId="6A7820AB" w14:textId="353DB6D2" w:rsidR="008A6AF2" w:rsidRDefault="002C50EE" w:rsidP="00395555">
      <w:pPr>
        <w:pStyle w:val="Heading1"/>
      </w:pPr>
      <w:r>
        <w:t>7. ПРИТЕЖАТЕЛ НА РАЗРЕШЕНИЕТО ЗА УПОТРЕБА</w:t>
      </w:r>
    </w:p>
    <w:p w14:paraId="1B9B651E" w14:textId="24042B6C" w:rsidR="0091385D" w:rsidRDefault="0091385D" w:rsidP="0091385D"/>
    <w:p w14:paraId="2A1EC6CA" w14:textId="77777777" w:rsidR="006C41AC" w:rsidRPr="006C41AC" w:rsidRDefault="006C41AC" w:rsidP="006C41AC">
      <w:pPr>
        <w:spacing w:line="240" w:lineRule="auto"/>
        <w:rPr>
          <w:rFonts w:eastAsia="Times New Roman" w:cs="Arial"/>
          <w:sz w:val="28"/>
          <w:szCs w:val="24"/>
          <w:lang w:val="en-US" w:eastAsia="bg-BG"/>
        </w:rPr>
      </w:pPr>
      <w:proofErr w:type="spellStart"/>
      <w:r w:rsidRPr="006C41AC">
        <w:rPr>
          <w:rFonts w:eastAsia="Times New Roman" w:cs="Arial"/>
          <w:color w:val="000000"/>
          <w:szCs w:val="20"/>
          <w:lang w:val="en-US"/>
        </w:rPr>
        <w:t>Teva</w:t>
      </w:r>
      <w:proofErr w:type="spellEnd"/>
      <w:r w:rsidRPr="006C41AC">
        <w:rPr>
          <w:rFonts w:eastAsia="Times New Roman" w:cs="Arial"/>
          <w:color w:val="000000"/>
          <w:szCs w:val="20"/>
          <w:lang w:val="en-US"/>
        </w:rPr>
        <w:t xml:space="preserve"> B.V.</w:t>
      </w:r>
    </w:p>
    <w:p w14:paraId="79BCEDAD" w14:textId="77777777" w:rsidR="006C41AC" w:rsidRPr="006C41AC" w:rsidRDefault="006C41AC" w:rsidP="006C41AC">
      <w:pPr>
        <w:spacing w:line="240" w:lineRule="auto"/>
        <w:rPr>
          <w:rFonts w:eastAsia="Times New Roman" w:cs="Arial"/>
          <w:sz w:val="28"/>
          <w:szCs w:val="24"/>
          <w:lang w:val="en-US" w:eastAsia="bg-BG"/>
        </w:rPr>
      </w:pPr>
      <w:proofErr w:type="spellStart"/>
      <w:r w:rsidRPr="006C41AC">
        <w:rPr>
          <w:rFonts w:eastAsia="Times New Roman" w:cs="Arial"/>
          <w:color w:val="000000"/>
          <w:szCs w:val="20"/>
          <w:lang w:val="en-US"/>
        </w:rPr>
        <w:t>Swensweg</w:t>
      </w:r>
      <w:proofErr w:type="spellEnd"/>
      <w:r w:rsidRPr="006C41AC">
        <w:rPr>
          <w:rFonts w:eastAsia="Times New Roman" w:cs="Arial"/>
          <w:color w:val="000000"/>
          <w:szCs w:val="20"/>
          <w:lang w:val="en-US"/>
        </w:rPr>
        <w:t xml:space="preserve"> </w:t>
      </w:r>
      <w:r w:rsidRPr="006C41AC">
        <w:rPr>
          <w:rFonts w:eastAsia="Times New Roman" w:cs="Arial"/>
          <w:color w:val="000000"/>
          <w:szCs w:val="20"/>
          <w:lang w:eastAsia="bg-BG"/>
        </w:rPr>
        <w:t>5</w:t>
      </w:r>
    </w:p>
    <w:p w14:paraId="5FF6EBD3" w14:textId="77777777" w:rsidR="006C41AC" w:rsidRPr="006C41AC" w:rsidRDefault="006C41AC" w:rsidP="006C41AC">
      <w:pPr>
        <w:spacing w:line="240" w:lineRule="auto"/>
        <w:rPr>
          <w:rFonts w:eastAsia="Times New Roman" w:cs="Arial"/>
          <w:sz w:val="28"/>
          <w:szCs w:val="24"/>
          <w:lang w:val="en-US" w:eastAsia="bg-BG"/>
        </w:rPr>
      </w:pPr>
      <w:r w:rsidRPr="006C41AC">
        <w:rPr>
          <w:rFonts w:eastAsia="Times New Roman" w:cs="Arial"/>
          <w:color w:val="000000"/>
          <w:szCs w:val="20"/>
          <w:lang w:eastAsia="bg-BG"/>
        </w:rPr>
        <w:t xml:space="preserve">2031 </w:t>
      </w:r>
      <w:r w:rsidRPr="006C41AC">
        <w:rPr>
          <w:rFonts w:eastAsia="Times New Roman" w:cs="Arial"/>
          <w:color w:val="000000"/>
          <w:szCs w:val="20"/>
          <w:lang w:val="en-US"/>
        </w:rPr>
        <w:t>GA Haarlem</w:t>
      </w:r>
    </w:p>
    <w:p w14:paraId="4F02909F" w14:textId="1EC1DFBC" w:rsidR="007A2185" w:rsidRPr="006C41AC" w:rsidRDefault="006C41AC" w:rsidP="006C41AC">
      <w:pPr>
        <w:rPr>
          <w:rFonts w:cs="Arial"/>
          <w:sz w:val="24"/>
        </w:rPr>
      </w:pPr>
      <w:r w:rsidRPr="006C41AC">
        <w:rPr>
          <w:rFonts w:eastAsia="Times New Roman" w:cs="Arial"/>
          <w:color w:val="000000"/>
          <w:szCs w:val="20"/>
          <w:lang w:eastAsia="bg-BG"/>
        </w:rPr>
        <w:t>Нидерландия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3072FB0E" w:rsidR="0091385D" w:rsidRDefault="0091385D" w:rsidP="0091385D"/>
    <w:p w14:paraId="30F346C6"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 xml:space="preserve">Сетинин 100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филмирани таблетки: </w:t>
      </w:r>
      <w:proofErr w:type="spellStart"/>
      <w:r w:rsidRPr="006C41AC">
        <w:rPr>
          <w:rFonts w:eastAsia="Times New Roman" w:cs="Arial"/>
          <w:color w:val="000000"/>
          <w:szCs w:val="20"/>
          <w:lang w:val="en-US"/>
        </w:rPr>
        <w:t>Pe</w:t>
      </w:r>
      <w:proofErr w:type="spellEnd"/>
      <w:r w:rsidRPr="006C41AC">
        <w:rPr>
          <w:rFonts w:eastAsia="Times New Roman" w:cs="Arial"/>
          <w:color w:val="000000"/>
          <w:szCs w:val="20"/>
          <w:lang w:eastAsia="bg-BG"/>
        </w:rPr>
        <w:t>г</w:t>
      </w:r>
      <w:r w:rsidRPr="006C41AC">
        <w:rPr>
          <w:rFonts w:eastAsia="Times New Roman" w:cs="Arial"/>
          <w:color w:val="000000"/>
          <w:szCs w:val="20"/>
          <w:lang w:val="en-US"/>
        </w:rPr>
        <w:t xml:space="preserve">. </w:t>
      </w:r>
      <w:r w:rsidRPr="006C41AC">
        <w:rPr>
          <w:rFonts w:eastAsia="Times New Roman" w:cs="Arial"/>
          <w:color w:val="000000"/>
          <w:szCs w:val="20"/>
          <w:lang w:eastAsia="bg-BG"/>
        </w:rPr>
        <w:t>№ 20090076</w:t>
      </w:r>
    </w:p>
    <w:p w14:paraId="46161304" w14:textId="7FEED4F8" w:rsidR="007A2185" w:rsidRPr="006C41AC" w:rsidRDefault="006C41AC" w:rsidP="006C41AC">
      <w:pPr>
        <w:rPr>
          <w:rFonts w:cs="Arial"/>
          <w:sz w:val="24"/>
        </w:rPr>
      </w:pPr>
      <w:r w:rsidRPr="006C41AC">
        <w:rPr>
          <w:rFonts w:eastAsia="Times New Roman" w:cs="Arial"/>
          <w:color w:val="000000"/>
          <w:szCs w:val="20"/>
          <w:lang w:eastAsia="bg-BG"/>
        </w:rPr>
        <w:t xml:space="preserve">Сетинин 200 </w:t>
      </w:r>
      <w:r w:rsidRPr="006C41AC">
        <w:rPr>
          <w:rFonts w:eastAsia="Times New Roman" w:cs="Arial"/>
          <w:color w:val="000000"/>
          <w:szCs w:val="20"/>
          <w:lang w:val="en-US"/>
        </w:rPr>
        <w:t xml:space="preserve">mg </w:t>
      </w:r>
      <w:r w:rsidRPr="006C41AC">
        <w:rPr>
          <w:rFonts w:eastAsia="Times New Roman" w:cs="Arial"/>
          <w:color w:val="000000"/>
          <w:szCs w:val="20"/>
          <w:lang w:eastAsia="bg-BG"/>
        </w:rPr>
        <w:t xml:space="preserve">филмирани таблетки: </w:t>
      </w:r>
      <w:proofErr w:type="spellStart"/>
      <w:r w:rsidRPr="006C41AC">
        <w:rPr>
          <w:rFonts w:eastAsia="Times New Roman" w:cs="Arial"/>
          <w:color w:val="000000"/>
          <w:szCs w:val="20"/>
          <w:lang w:val="en-US"/>
        </w:rPr>
        <w:t>Pe</w:t>
      </w:r>
      <w:proofErr w:type="spellEnd"/>
      <w:r w:rsidRPr="006C41AC">
        <w:rPr>
          <w:rFonts w:eastAsia="Times New Roman" w:cs="Arial"/>
          <w:color w:val="000000"/>
          <w:szCs w:val="20"/>
          <w:lang w:eastAsia="bg-BG"/>
        </w:rPr>
        <w:t>г</w:t>
      </w:r>
      <w:r w:rsidRPr="006C41AC">
        <w:rPr>
          <w:rFonts w:eastAsia="Times New Roman" w:cs="Arial"/>
          <w:color w:val="000000"/>
          <w:szCs w:val="20"/>
          <w:lang w:val="en-US"/>
        </w:rPr>
        <w:t xml:space="preserve">. </w:t>
      </w:r>
      <w:r w:rsidRPr="006C41AC">
        <w:rPr>
          <w:rFonts w:eastAsia="Times New Roman" w:cs="Arial"/>
          <w:color w:val="000000"/>
          <w:szCs w:val="20"/>
          <w:lang w:eastAsia="bg-BG"/>
        </w:rPr>
        <w:t>№ 20090078</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57E44C81" w:rsidR="0091385D" w:rsidRDefault="0091385D" w:rsidP="0091385D"/>
    <w:p w14:paraId="704E174E" w14:textId="77777777" w:rsidR="006C41AC" w:rsidRPr="006C41AC" w:rsidRDefault="006C41AC" w:rsidP="006C41AC">
      <w:pPr>
        <w:spacing w:line="240" w:lineRule="auto"/>
        <w:rPr>
          <w:rFonts w:eastAsia="Times New Roman" w:cs="Arial"/>
          <w:sz w:val="28"/>
          <w:szCs w:val="24"/>
          <w:lang w:eastAsia="bg-BG"/>
        </w:rPr>
      </w:pPr>
      <w:r w:rsidRPr="006C41AC">
        <w:rPr>
          <w:rFonts w:eastAsia="Times New Roman" w:cs="Arial"/>
          <w:color w:val="000000"/>
          <w:szCs w:val="20"/>
          <w:lang w:eastAsia="bg-BG"/>
        </w:rPr>
        <w:t>Дата на първо разрешаване: 04.03.2009 г.</w:t>
      </w:r>
    </w:p>
    <w:p w14:paraId="6C57D8B6" w14:textId="7EE0EFE3" w:rsidR="007A2185" w:rsidRPr="006C41AC" w:rsidRDefault="006C41AC" w:rsidP="006C41AC">
      <w:pPr>
        <w:rPr>
          <w:rFonts w:cs="Arial"/>
          <w:sz w:val="24"/>
        </w:rPr>
      </w:pPr>
      <w:r w:rsidRPr="006C41AC">
        <w:rPr>
          <w:rFonts w:eastAsia="Times New Roman" w:cs="Arial"/>
          <w:color w:val="000000"/>
          <w:szCs w:val="20"/>
          <w:lang w:eastAsia="bg-BG"/>
        </w:rPr>
        <w:t>Дата на последно подновяване: 27.03.2014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0121B4E2" w:rsidR="0091385D" w:rsidRDefault="0091385D" w:rsidP="0091385D"/>
    <w:p w14:paraId="0524F1D6" w14:textId="5B9289FB" w:rsidR="007A2185" w:rsidRPr="006C41AC" w:rsidRDefault="006C41AC" w:rsidP="0091385D">
      <w:pPr>
        <w:rPr>
          <w:rFonts w:cs="Arial"/>
          <w:sz w:val="24"/>
        </w:rPr>
      </w:pPr>
      <w:r w:rsidRPr="006C41AC">
        <w:rPr>
          <w:rFonts w:cs="Arial"/>
          <w:szCs w:val="20"/>
        </w:rPr>
        <w:t>16.03.2022</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3F6018F"/>
    <w:multiLevelType w:val="hybridMultilevel"/>
    <w:tmpl w:val="12E2D37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944AB"/>
    <w:multiLevelType w:val="hybridMultilevel"/>
    <w:tmpl w:val="1FA69F4A"/>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A6795"/>
    <w:multiLevelType w:val="hybridMultilevel"/>
    <w:tmpl w:val="0540A0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3F1C5138"/>
    <w:multiLevelType w:val="hybridMultilevel"/>
    <w:tmpl w:val="2F08A76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D5832"/>
    <w:multiLevelType w:val="hybridMultilevel"/>
    <w:tmpl w:val="7788F9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4F3322"/>
    <w:multiLevelType w:val="hybridMultilevel"/>
    <w:tmpl w:val="A93038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D3340"/>
    <w:multiLevelType w:val="hybridMultilevel"/>
    <w:tmpl w:val="A10E113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2"/>
  </w:num>
  <w:num w:numId="2">
    <w:abstractNumId w:val="0"/>
  </w:num>
  <w:num w:numId="3">
    <w:abstractNumId w:val="14"/>
  </w:num>
  <w:num w:numId="4">
    <w:abstractNumId w:val="3"/>
  </w:num>
  <w:num w:numId="5">
    <w:abstractNumId w:val="1"/>
  </w:num>
  <w:num w:numId="6">
    <w:abstractNumId w:val="19"/>
  </w:num>
  <w:num w:numId="7">
    <w:abstractNumId w:val="12"/>
  </w:num>
  <w:num w:numId="8">
    <w:abstractNumId w:val="17"/>
  </w:num>
  <w:num w:numId="9">
    <w:abstractNumId w:val="2"/>
  </w:num>
  <w:num w:numId="10">
    <w:abstractNumId w:val="4"/>
  </w:num>
  <w:num w:numId="11">
    <w:abstractNumId w:val="35"/>
  </w:num>
  <w:num w:numId="12">
    <w:abstractNumId w:val="16"/>
  </w:num>
  <w:num w:numId="13">
    <w:abstractNumId w:val="22"/>
  </w:num>
  <w:num w:numId="14">
    <w:abstractNumId w:val="13"/>
  </w:num>
  <w:num w:numId="15">
    <w:abstractNumId w:val="34"/>
  </w:num>
  <w:num w:numId="16">
    <w:abstractNumId w:val="11"/>
  </w:num>
  <w:num w:numId="17">
    <w:abstractNumId w:val="28"/>
  </w:num>
  <w:num w:numId="18">
    <w:abstractNumId w:val="8"/>
  </w:num>
  <w:num w:numId="19">
    <w:abstractNumId w:val="31"/>
  </w:num>
  <w:num w:numId="20">
    <w:abstractNumId w:val="26"/>
  </w:num>
  <w:num w:numId="21">
    <w:abstractNumId w:val="20"/>
  </w:num>
  <w:num w:numId="22">
    <w:abstractNumId w:val="30"/>
  </w:num>
  <w:num w:numId="23">
    <w:abstractNumId w:val="21"/>
  </w:num>
  <w:num w:numId="24">
    <w:abstractNumId w:val="9"/>
  </w:num>
  <w:num w:numId="25">
    <w:abstractNumId w:val="25"/>
  </w:num>
  <w:num w:numId="26">
    <w:abstractNumId w:val="24"/>
  </w:num>
  <w:num w:numId="27">
    <w:abstractNumId w:val="36"/>
  </w:num>
  <w:num w:numId="28">
    <w:abstractNumId w:val="6"/>
  </w:num>
  <w:num w:numId="29">
    <w:abstractNumId w:val="23"/>
  </w:num>
  <w:num w:numId="30">
    <w:abstractNumId w:val="40"/>
  </w:num>
  <w:num w:numId="31">
    <w:abstractNumId w:val="5"/>
  </w:num>
  <w:num w:numId="32">
    <w:abstractNumId w:val="39"/>
  </w:num>
  <w:num w:numId="33">
    <w:abstractNumId w:val="33"/>
  </w:num>
  <w:num w:numId="34">
    <w:abstractNumId w:val="37"/>
  </w:num>
  <w:num w:numId="35">
    <w:abstractNumId w:val="15"/>
  </w:num>
  <w:num w:numId="36">
    <w:abstractNumId w:val="27"/>
  </w:num>
  <w:num w:numId="37">
    <w:abstractNumId w:val="10"/>
  </w:num>
  <w:num w:numId="38">
    <w:abstractNumId w:val="7"/>
  </w:num>
  <w:num w:numId="39">
    <w:abstractNumId w:val="29"/>
  </w:num>
  <w:num w:numId="40">
    <w:abstractNumId w:val="18"/>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B2C3A"/>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5B0F27"/>
    <w:rsid w:val="00605BCA"/>
    <w:rsid w:val="006158A1"/>
    <w:rsid w:val="00617B1F"/>
    <w:rsid w:val="00672487"/>
    <w:rsid w:val="00672600"/>
    <w:rsid w:val="00681D4A"/>
    <w:rsid w:val="00682341"/>
    <w:rsid w:val="00685882"/>
    <w:rsid w:val="006C41AC"/>
    <w:rsid w:val="0075649D"/>
    <w:rsid w:val="007A2185"/>
    <w:rsid w:val="007C605B"/>
    <w:rsid w:val="008134C8"/>
    <w:rsid w:val="00814073"/>
    <w:rsid w:val="00826F0D"/>
    <w:rsid w:val="00856685"/>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B3B9C"/>
    <w:rsid w:val="00BF2600"/>
    <w:rsid w:val="00C0049F"/>
    <w:rsid w:val="00C07B84"/>
    <w:rsid w:val="00C33464"/>
    <w:rsid w:val="00C40420"/>
    <w:rsid w:val="00C809A7"/>
    <w:rsid w:val="00C83063"/>
    <w:rsid w:val="00C87E90"/>
    <w:rsid w:val="00CA1B57"/>
    <w:rsid w:val="00CF77F7"/>
    <w:rsid w:val="00D86297"/>
    <w:rsid w:val="00DD466D"/>
    <w:rsid w:val="00EB6364"/>
    <w:rsid w:val="00EC41ED"/>
    <w:rsid w:val="00ED23FF"/>
    <w:rsid w:val="00F37B64"/>
    <w:rsid w:val="00FA6BDD"/>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10353</Words>
  <Characters>59014</Characters>
  <Application>Microsoft Office Word</Application>
  <DocSecurity>0</DocSecurity>
  <Lines>491</Lines>
  <Paragraphs>138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2023-01-23T15:13:00Z</dcterms:created>
  <dcterms:modified xsi:type="dcterms:W3CDTF">2023-01-23T15:13:00Z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