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1F84F377" w:rsidR="00AA23EC" w:rsidRDefault="00DD466D" w:rsidP="00DD466D">
      <w:pPr>
        <w:pStyle w:val="Heading1"/>
      </w:pPr>
      <w:r>
        <w:t>1.ИМЕ НА ЛЕКАРСТВЕНИЯ ПРОДУКТ</w:t>
      </w:r>
    </w:p>
    <w:p w14:paraId="43630C66" w14:textId="77777777" w:rsidR="007F6360" w:rsidRDefault="007F6360" w:rsidP="007F6360">
      <w:pPr>
        <w:rPr>
          <w:lang w:eastAsia="bg-BG"/>
        </w:rPr>
      </w:pPr>
    </w:p>
    <w:p w14:paraId="0B5224B7" w14:textId="1F776B7B" w:rsidR="007F6360" w:rsidRPr="007F6360" w:rsidRDefault="007F6360" w:rsidP="007F6360">
      <w:pPr>
        <w:rPr>
          <w:sz w:val="24"/>
          <w:szCs w:val="24"/>
          <w:lang w:val="en-US"/>
        </w:rPr>
      </w:pPr>
      <w:r w:rsidRPr="007F6360">
        <w:rPr>
          <w:lang w:eastAsia="bg-BG"/>
        </w:rPr>
        <w:t xml:space="preserve">СИБЕЛИУМ 5 </w:t>
      </w:r>
      <w:r w:rsidRPr="007F6360">
        <w:rPr>
          <w:lang w:val="en-US"/>
        </w:rPr>
        <w:t xml:space="preserve">mg </w:t>
      </w:r>
      <w:r w:rsidRPr="007F6360">
        <w:rPr>
          <w:lang w:eastAsia="bg-BG"/>
        </w:rPr>
        <w:t>таблетки</w:t>
      </w:r>
    </w:p>
    <w:p w14:paraId="4A7CDD31" w14:textId="6957414B" w:rsidR="007F6360" w:rsidRPr="007F6360" w:rsidRDefault="007F6360" w:rsidP="007F6360">
      <w:r w:rsidRPr="007F6360">
        <w:rPr>
          <w:lang w:val="en-US"/>
        </w:rPr>
        <w:t xml:space="preserve">SIBELIUM </w:t>
      </w:r>
      <w:r w:rsidRPr="007F6360">
        <w:rPr>
          <w:lang w:eastAsia="bg-BG"/>
        </w:rPr>
        <w:t xml:space="preserve">5 </w:t>
      </w:r>
      <w:r w:rsidRPr="007F6360">
        <w:rPr>
          <w:lang w:val="en-US"/>
        </w:rPr>
        <w:t>mg tablets</w:t>
      </w:r>
    </w:p>
    <w:p w14:paraId="4D88B710" w14:textId="49DF802B" w:rsidR="00D86297" w:rsidRDefault="00DD466D" w:rsidP="00AA23EC">
      <w:pPr>
        <w:pStyle w:val="Heading1"/>
      </w:pPr>
      <w:r>
        <w:t>2. КАЧЕСТВЕН И КОЛИЧЕСТВЕН СЪСТАВ</w:t>
      </w:r>
    </w:p>
    <w:p w14:paraId="7DBC3BBA" w14:textId="77777777" w:rsidR="007F6360" w:rsidRDefault="007F6360" w:rsidP="007F6360">
      <w:pPr>
        <w:spacing w:line="240" w:lineRule="auto"/>
        <w:rPr>
          <w:rFonts w:ascii="Times New Roman" w:eastAsia="Times New Roman" w:hAnsi="Times New Roman" w:cs="Times New Roman"/>
          <w:color w:val="000000"/>
          <w:sz w:val="20"/>
          <w:szCs w:val="20"/>
          <w:lang w:eastAsia="bg-BG"/>
        </w:rPr>
      </w:pPr>
    </w:p>
    <w:p w14:paraId="67AED150" w14:textId="13A00A6A" w:rsidR="007F6360" w:rsidRPr="007F6360" w:rsidRDefault="007F6360" w:rsidP="007F6360">
      <w:pPr>
        <w:rPr>
          <w:sz w:val="24"/>
          <w:szCs w:val="24"/>
        </w:rPr>
      </w:pPr>
      <w:r w:rsidRPr="007F6360">
        <w:rPr>
          <w:lang w:eastAsia="bg-BG"/>
        </w:rPr>
        <w:t xml:space="preserve">Всяка таблетка съдържа 5,9 </w:t>
      </w:r>
      <w:r w:rsidRPr="007F6360">
        <w:rPr>
          <w:lang w:val="en-US"/>
        </w:rPr>
        <w:t xml:space="preserve">mg </w:t>
      </w:r>
      <w:proofErr w:type="spellStart"/>
      <w:r w:rsidRPr="007F6360">
        <w:rPr>
          <w:lang w:eastAsia="bg-BG"/>
        </w:rPr>
        <w:t>флунаризинов</w:t>
      </w:r>
      <w:proofErr w:type="spellEnd"/>
      <w:r w:rsidRPr="007F6360">
        <w:rPr>
          <w:lang w:eastAsia="bg-BG"/>
        </w:rPr>
        <w:t xml:space="preserve"> хидрохлорид (</w:t>
      </w:r>
      <w:proofErr w:type="spellStart"/>
      <w:r w:rsidRPr="007F6360">
        <w:rPr>
          <w:i/>
          <w:iCs/>
          <w:lang w:val="en-US"/>
        </w:rPr>
        <w:t>ftunarizine</w:t>
      </w:r>
      <w:proofErr w:type="spellEnd"/>
      <w:r w:rsidRPr="007F6360">
        <w:rPr>
          <w:i/>
          <w:iCs/>
          <w:lang w:val="en-US"/>
        </w:rPr>
        <w:t xml:space="preserve"> hydrochloride), </w:t>
      </w:r>
      <w:r w:rsidRPr="007F6360">
        <w:rPr>
          <w:lang w:eastAsia="bg-BG"/>
        </w:rPr>
        <w:t xml:space="preserve">еквивалентен на 5 </w:t>
      </w:r>
      <w:r w:rsidRPr="007F6360">
        <w:rPr>
          <w:lang w:val="en-US"/>
        </w:rPr>
        <w:t xml:space="preserve">mg </w:t>
      </w:r>
      <w:proofErr w:type="spellStart"/>
      <w:r w:rsidRPr="007F6360">
        <w:rPr>
          <w:lang w:eastAsia="bg-BG"/>
        </w:rPr>
        <w:t>флунаризин</w:t>
      </w:r>
      <w:proofErr w:type="spellEnd"/>
      <w:r w:rsidRPr="007F6360">
        <w:rPr>
          <w:lang w:eastAsia="bg-BG"/>
        </w:rPr>
        <w:t xml:space="preserve"> </w:t>
      </w:r>
      <w:r w:rsidRPr="007F6360">
        <w:rPr>
          <w:i/>
          <w:iCs/>
          <w:lang w:val="en-US"/>
        </w:rPr>
        <w:t>(flunarizine).</w:t>
      </w:r>
    </w:p>
    <w:p w14:paraId="532A2A27" w14:textId="77777777" w:rsidR="007F6360" w:rsidRDefault="007F6360" w:rsidP="007F6360">
      <w:pPr>
        <w:rPr>
          <w:lang w:eastAsia="bg-BG"/>
        </w:rPr>
      </w:pPr>
    </w:p>
    <w:p w14:paraId="38A0D68F" w14:textId="138AE970" w:rsidR="007F6360" w:rsidRPr="007F6360" w:rsidRDefault="007F6360" w:rsidP="007F6360">
      <w:pPr>
        <w:rPr>
          <w:sz w:val="24"/>
          <w:szCs w:val="24"/>
        </w:rPr>
      </w:pPr>
      <w:r w:rsidRPr="007F6360">
        <w:rPr>
          <w:lang w:eastAsia="bg-BG"/>
        </w:rPr>
        <w:t xml:space="preserve">Помощно вещество с известно действие: лактоза </w:t>
      </w:r>
      <w:proofErr w:type="spellStart"/>
      <w:r w:rsidRPr="007F6360">
        <w:rPr>
          <w:lang w:eastAsia="bg-BG"/>
        </w:rPr>
        <w:t>монохидрат</w:t>
      </w:r>
      <w:proofErr w:type="spellEnd"/>
      <w:r w:rsidRPr="007F6360">
        <w:rPr>
          <w:lang w:eastAsia="bg-BG"/>
        </w:rPr>
        <w:t>.</w:t>
      </w:r>
    </w:p>
    <w:p w14:paraId="1537AA3F" w14:textId="77777777" w:rsidR="007F6360" w:rsidRDefault="007F6360" w:rsidP="007F6360">
      <w:pPr>
        <w:rPr>
          <w:lang w:eastAsia="bg-BG"/>
        </w:rPr>
      </w:pPr>
    </w:p>
    <w:p w14:paraId="1E44C6AB" w14:textId="0AFC899B" w:rsidR="007F6360" w:rsidRPr="007F6360" w:rsidRDefault="007F6360" w:rsidP="007F6360">
      <w:pPr>
        <w:rPr>
          <w:sz w:val="24"/>
          <w:szCs w:val="24"/>
        </w:rPr>
      </w:pPr>
      <w:r w:rsidRPr="007F6360">
        <w:rPr>
          <w:lang w:eastAsia="bg-BG"/>
        </w:rPr>
        <w:t xml:space="preserve">Всяка таблетка съдържа по-малко от 1 </w:t>
      </w:r>
      <w:r w:rsidRPr="007F6360">
        <w:rPr>
          <w:lang w:val="en-US"/>
        </w:rPr>
        <w:t xml:space="preserve">mmol </w:t>
      </w:r>
      <w:r w:rsidRPr="007F6360">
        <w:rPr>
          <w:lang w:eastAsia="bg-BG"/>
        </w:rPr>
        <w:t xml:space="preserve">натрий (23 </w:t>
      </w:r>
      <w:r w:rsidRPr="007F6360">
        <w:rPr>
          <w:lang w:val="en-US"/>
        </w:rPr>
        <w:t xml:space="preserve">mg) </w:t>
      </w:r>
      <w:r w:rsidRPr="007F6360">
        <w:rPr>
          <w:lang w:eastAsia="bg-BG"/>
        </w:rPr>
        <w:t>т.е. практически не съдържа натрий.</w:t>
      </w:r>
    </w:p>
    <w:p w14:paraId="5E332777" w14:textId="489D9B96" w:rsidR="005A66D9" w:rsidRDefault="00DD466D" w:rsidP="00CA1B57">
      <w:pPr>
        <w:pStyle w:val="Heading1"/>
      </w:pPr>
      <w:r>
        <w:t>3. ЛЕКАРСТВЕНА ФОРМА</w:t>
      </w:r>
    </w:p>
    <w:p w14:paraId="52CF68A0" w14:textId="77777777" w:rsidR="007F6360" w:rsidRDefault="007F6360" w:rsidP="007F6360"/>
    <w:p w14:paraId="6587BC72" w14:textId="575429AB" w:rsidR="007F6360" w:rsidRPr="007F6360" w:rsidRDefault="007F6360" w:rsidP="007F6360">
      <w:r w:rsidRPr="007F6360">
        <w:t>Таблетки за перорално приложение.</w:t>
      </w:r>
    </w:p>
    <w:p w14:paraId="23554C57" w14:textId="77777777" w:rsidR="007F6360" w:rsidRPr="007F6360" w:rsidRDefault="007F6360" w:rsidP="007F6360"/>
    <w:p w14:paraId="1A5E60CD" w14:textId="77777777" w:rsidR="007F6360" w:rsidRPr="007F6360" w:rsidRDefault="007F6360" w:rsidP="007F6360">
      <w:r w:rsidRPr="007F6360">
        <w:t xml:space="preserve">5 </w:t>
      </w:r>
      <w:r w:rsidRPr="007F6360">
        <w:rPr>
          <w:lang w:val="en-US"/>
        </w:rPr>
        <w:t xml:space="preserve">mg </w:t>
      </w:r>
      <w:r w:rsidRPr="007F6360">
        <w:t xml:space="preserve">таблетки - бели, продълговати таблетки с надпис </w:t>
      </w:r>
      <w:r w:rsidRPr="007F6360">
        <w:rPr>
          <w:lang w:val="en-US"/>
        </w:rPr>
        <w:t>“J</w:t>
      </w:r>
      <w:r w:rsidRPr="007F6360">
        <w:t xml:space="preserve">-С” от едната страна и </w:t>
      </w:r>
      <w:r w:rsidRPr="007F6360">
        <w:rPr>
          <w:lang w:val="en-US"/>
        </w:rPr>
        <w:t xml:space="preserve">“FL5” </w:t>
      </w:r>
      <w:r w:rsidRPr="007F6360">
        <w:t>от другата страна.</w:t>
      </w:r>
    </w:p>
    <w:p w14:paraId="6166B251" w14:textId="77777777" w:rsidR="007F6360" w:rsidRPr="007F6360" w:rsidRDefault="007F6360" w:rsidP="007F6360"/>
    <w:p w14:paraId="490FC2C4" w14:textId="73F63D61" w:rsidR="002C50EE" w:rsidRDefault="002C50EE" w:rsidP="002C50EE">
      <w:pPr>
        <w:pStyle w:val="Heading1"/>
      </w:pPr>
      <w:r>
        <w:t>4. КЛИНИЧНИ ДАННИ</w:t>
      </w:r>
    </w:p>
    <w:p w14:paraId="1D171A12" w14:textId="20977CC6" w:rsidR="003765DC" w:rsidRDefault="002C50EE" w:rsidP="007F6360">
      <w:pPr>
        <w:pStyle w:val="Heading2"/>
      </w:pPr>
      <w:r>
        <w:t>4.1. Терапевтични показания</w:t>
      </w:r>
    </w:p>
    <w:p w14:paraId="567B6811" w14:textId="77777777" w:rsidR="007F6360" w:rsidRDefault="007F6360" w:rsidP="007F6360">
      <w:pPr>
        <w:rPr>
          <w:lang w:eastAsia="bg-BG"/>
        </w:rPr>
      </w:pPr>
    </w:p>
    <w:p w14:paraId="769E7953" w14:textId="21EB2F1E" w:rsidR="007F6360" w:rsidRPr="007F6360" w:rsidRDefault="007F6360" w:rsidP="007F6360">
      <w:pPr>
        <w:rPr>
          <w:sz w:val="24"/>
          <w:szCs w:val="24"/>
        </w:rPr>
      </w:pPr>
      <w:r w:rsidRPr="007F6360">
        <w:rPr>
          <w:lang w:eastAsia="bg-BG"/>
        </w:rPr>
        <w:t>Профилактика на класическа (с аура) или обикновена (без аура) мигрена при пациенти с тежки и чести пристъпи, които не са се повлияли добре от други видове лечение и/или другите видове лечение са причинили неприемливи нежелани реакции.</w:t>
      </w:r>
    </w:p>
    <w:p w14:paraId="38A15FF6" w14:textId="77777777" w:rsidR="007F6360" w:rsidRPr="007F6360" w:rsidRDefault="007F6360" w:rsidP="007F6360">
      <w:pPr>
        <w:rPr>
          <w:sz w:val="24"/>
          <w:szCs w:val="24"/>
        </w:rPr>
      </w:pPr>
      <w:r w:rsidRPr="007F6360">
        <w:rPr>
          <w:lang w:eastAsia="bg-BG"/>
        </w:rPr>
        <w:t>Симптоматично лечение на вестибуларен световъртеж, в резултат на установено функционално нарушение на вестибуларния апарат.</w:t>
      </w:r>
    </w:p>
    <w:p w14:paraId="6E9A8A93" w14:textId="77777777" w:rsidR="007F6360" w:rsidRPr="007F6360" w:rsidRDefault="007F6360" w:rsidP="007F6360"/>
    <w:p w14:paraId="66024DB0" w14:textId="4F01EDBF" w:rsidR="003765DC" w:rsidRDefault="002C50EE" w:rsidP="002B3C38">
      <w:pPr>
        <w:pStyle w:val="Heading2"/>
      </w:pPr>
      <w:r>
        <w:t>4.2. Дозировка и начин на приложение</w:t>
      </w:r>
    </w:p>
    <w:p w14:paraId="1E6CA814" w14:textId="77777777" w:rsidR="007F6360" w:rsidRDefault="007F6360" w:rsidP="007F6360">
      <w:pPr>
        <w:spacing w:line="240" w:lineRule="auto"/>
        <w:rPr>
          <w:rFonts w:ascii="Times New Roman" w:eastAsia="Times New Roman" w:hAnsi="Times New Roman" w:cs="Times New Roman"/>
          <w:color w:val="000000"/>
          <w:sz w:val="20"/>
          <w:szCs w:val="20"/>
          <w:lang w:eastAsia="bg-BG"/>
        </w:rPr>
      </w:pPr>
    </w:p>
    <w:p w14:paraId="6EFD6AB0" w14:textId="4F2375D7" w:rsidR="007F6360" w:rsidRPr="007F6360" w:rsidRDefault="007F6360" w:rsidP="007F6360">
      <w:pPr>
        <w:spacing w:line="240" w:lineRule="auto"/>
        <w:rPr>
          <w:rFonts w:eastAsia="Times New Roman" w:cs="Arial"/>
        </w:rPr>
      </w:pPr>
      <w:r w:rsidRPr="007F6360">
        <w:rPr>
          <w:rFonts w:eastAsia="Times New Roman" w:cs="Arial"/>
          <w:color w:val="000000"/>
          <w:lang w:eastAsia="bg-BG"/>
        </w:rPr>
        <w:t>(Вж. също точка 4.4)</w:t>
      </w:r>
    </w:p>
    <w:p w14:paraId="2F5E4901" w14:textId="77777777" w:rsidR="007F6360" w:rsidRPr="007F6360" w:rsidRDefault="007F6360" w:rsidP="007F6360">
      <w:pPr>
        <w:spacing w:line="240" w:lineRule="auto"/>
        <w:rPr>
          <w:rFonts w:eastAsia="Times New Roman" w:cs="Arial"/>
          <w:color w:val="000000"/>
          <w:u w:val="single"/>
          <w:lang w:eastAsia="bg-BG"/>
        </w:rPr>
      </w:pPr>
    </w:p>
    <w:p w14:paraId="0AF2C6DF" w14:textId="61164B94" w:rsidR="007F6360" w:rsidRPr="007F6360" w:rsidRDefault="007F6360" w:rsidP="007F6360">
      <w:pPr>
        <w:spacing w:line="240" w:lineRule="auto"/>
        <w:rPr>
          <w:rFonts w:eastAsia="Times New Roman" w:cs="Arial"/>
        </w:rPr>
      </w:pPr>
      <w:r w:rsidRPr="007F6360">
        <w:rPr>
          <w:rFonts w:eastAsia="Times New Roman" w:cs="Arial"/>
          <w:color w:val="000000"/>
          <w:u w:val="single"/>
          <w:lang w:eastAsia="bg-BG"/>
        </w:rPr>
        <w:t>Възрастни и пациенти в старческа възраст (18 години и по-възрастни)</w:t>
      </w:r>
    </w:p>
    <w:p w14:paraId="4A70B681" w14:textId="77777777" w:rsidR="007F6360" w:rsidRPr="007F6360" w:rsidRDefault="007F6360" w:rsidP="007F6360">
      <w:pPr>
        <w:spacing w:line="240" w:lineRule="auto"/>
        <w:rPr>
          <w:rFonts w:eastAsia="Times New Roman" w:cs="Arial"/>
          <w:i/>
          <w:iCs/>
          <w:color w:val="000000"/>
          <w:u w:val="single"/>
          <w:lang w:eastAsia="bg-BG"/>
        </w:rPr>
      </w:pPr>
    </w:p>
    <w:p w14:paraId="1EC3FFE7" w14:textId="08E16873" w:rsidR="007F6360" w:rsidRPr="007F6360" w:rsidRDefault="007F6360" w:rsidP="007F6360">
      <w:pPr>
        <w:spacing w:line="240" w:lineRule="auto"/>
        <w:rPr>
          <w:rFonts w:eastAsia="Times New Roman" w:cs="Arial"/>
        </w:rPr>
      </w:pPr>
      <w:r w:rsidRPr="007F6360">
        <w:rPr>
          <w:rFonts w:eastAsia="Times New Roman" w:cs="Arial"/>
          <w:i/>
          <w:iCs/>
          <w:color w:val="000000"/>
          <w:u w:val="single"/>
          <w:lang w:eastAsia="bg-BG"/>
        </w:rPr>
        <w:t>Профилактика на мигрена</w:t>
      </w:r>
    </w:p>
    <w:p w14:paraId="37AF3C0D" w14:textId="77777777" w:rsidR="007F6360" w:rsidRPr="007F6360" w:rsidRDefault="007F6360" w:rsidP="007F6360">
      <w:pPr>
        <w:spacing w:line="240" w:lineRule="auto"/>
        <w:rPr>
          <w:rFonts w:eastAsia="Times New Roman" w:cs="Arial"/>
          <w:i/>
          <w:iCs/>
          <w:color w:val="000000"/>
          <w:lang w:eastAsia="bg-BG"/>
        </w:rPr>
      </w:pPr>
    </w:p>
    <w:p w14:paraId="603CFECF" w14:textId="4978BB1E" w:rsidR="007F6360" w:rsidRPr="007F6360" w:rsidRDefault="007F6360" w:rsidP="007F6360">
      <w:pPr>
        <w:spacing w:line="240" w:lineRule="auto"/>
        <w:rPr>
          <w:rFonts w:eastAsia="Times New Roman" w:cs="Arial"/>
        </w:rPr>
      </w:pPr>
      <w:r w:rsidRPr="007F6360">
        <w:rPr>
          <w:rFonts w:eastAsia="Times New Roman" w:cs="Arial"/>
          <w:i/>
          <w:iCs/>
          <w:color w:val="000000"/>
          <w:lang w:eastAsia="bg-BG"/>
        </w:rPr>
        <w:t>Начална доза:</w:t>
      </w:r>
    </w:p>
    <w:p w14:paraId="1F082664"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 xml:space="preserve">Лечението започва с 10 </w:t>
      </w:r>
      <w:r w:rsidRPr="007F6360">
        <w:rPr>
          <w:rFonts w:eastAsia="Times New Roman" w:cs="Arial"/>
          <w:color w:val="000000"/>
          <w:lang w:val="en-US"/>
        </w:rPr>
        <w:t xml:space="preserve">mg </w:t>
      </w:r>
      <w:r w:rsidRPr="007F6360">
        <w:rPr>
          <w:rFonts w:eastAsia="Times New Roman" w:cs="Arial"/>
          <w:color w:val="000000"/>
          <w:lang w:eastAsia="bg-BG"/>
        </w:rPr>
        <w:t xml:space="preserve">дневно (вечер) за пациенти на възраст от 18 до 64 години и 5 </w:t>
      </w:r>
      <w:r w:rsidRPr="007F6360">
        <w:rPr>
          <w:rFonts w:eastAsia="Times New Roman" w:cs="Arial"/>
          <w:color w:val="000000"/>
          <w:lang w:val="en-US"/>
        </w:rPr>
        <w:t xml:space="preserve">mg </w:t>
      </w:r>
      <w:r w:rsidRPr="007F6360">
        <w:rPr>
          <w:rFonts w:eastAsia="Times New Roman" w:cs="Arial"/>
          <w:color w:val="000000"/>
          <w:lang w:eastAsia="bg-BG"/>
        </w:rPr>
        <w:t>дневно за пациенти в старческа възраст на 65 години и по-възрастни.</w:t>
      </w:r>
    </w:p>
    <w:p w14:paraId="16B57FFB"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lastRenderedPageBreak/>
        <w:t xml:space="preserve">Ако по време на лечението възникнат депресия, </w:t>
      </w:r>
      <w:proofErr w:type="spellStart"/>
      <w:r w:rsidRPr="007F6360">
        <w:rPr>
          <w:rFonts w:eastAsia="Times New Roman" w:cs="Arial"/>
          <w:color w:val="000000"/>
          <w:lang w:eastAsia="bg-BG"/>
        </w:rPr>
        <w:t>екстрапирамидни</w:t>
      </w:r>
      <w:proofErr w:type="spellEnd"/>
      <w:r w:rsidRPr="007F6360">
        <w:rPr>
          <w:rFonts w:eastAsia="Times New Roman" w:cs="Arial"/>
          <w:color w:val="000000"/>
          <w:lang w:eastAsia="bg-BG"/>
        </w:rPr>
        <w:t xml:space="preserve"> или други неприемливи</w:t>
      </w:r>
      <w:r w:rsidRPr="007F6360">
        <w:rPr>
          <w:rFonts w:eastAsia="Times New Roman" w:cs="Arial"/>
          <w:i/>
          <w:iCs/>
          <w:color w:val="000000"/>
          <w:lang w:eastAsia="bg-BG"/>
        </w:rPr>
        <w:t xml:space="preserve"> </w:t>
      </w:r>
      <w:r w:rsidRPr="007F6360">
        <w:rPr>
          <w:rFonts w:eastAsia="Times New Roman" w:cs="Arial"/>
          <w:color w:val="000000"/>
          <w:lang w:eastAsia="bg-BG"/>
        </w:rPr>
        <w:t>нежелани реакции, приемът трябва да бъде преустановен (вж. точка 4.4 и 4.8).</w:t>
      </w:r>
    </w:p>
    <w:p w14:paraId="4BFB75C2" w14:textId="7A84E252" w:rsidR="007F6360" w:rsidRPr="007F6360" w:rsidRDefault="007F6360" w:rsidP="007F6360">
      <w:pPr>
        <w:spacing w:line="240" w:lineRule="auto"/>
        <w:rPr>
          <w:rFonts w:eastAsia="Times New Roman" w:cs="Arial"/>
          <w:color w:val="000000"/>
          <w:lang w:eastAsia="bg-BG"/>
        </w:rPr>
      </w:pPr>
      <w:r w:rsidRPr="007F6360">
        <w:rPr>
          <w:rFonts w:eastAsia="Times New Roman" w:cs="Arial"/>
          <w:color w:val="000000"/>
          <w:lang w:eastAsia="bg-BG"/>
        </w:rPr>
        <w:t xml:space="preserve">Ако 2 месеца след първоначалното лечение не се наблюдава значително подобрение се счита че пациентът не се повлиява от лекарствения продукт и лечението трябва да се </w:t>
      </w:r>
      <w:r w:rsidRPr="007F6360">
        <w:rPr>
          <w:rFonts w:eastAsia="Times New Roman" w:cs="Arial"/>
          <w:color w:val="000000"/>
          <w:lang w:val="en-US"/>
        </w:rPr>
        <w:t>c</w:t>
      </w:r>
      <w:proofErr w:type="spellStart"/>
      <w:r w:rsidRPr="007F6360">
        <w:rPr>
          <w:rFonts w:eastAsia="Times New Roman" w:cs="Arial"/>
          <w:color w:val="000000"/>
          <w:lang w:eastAsia="bg-BG"/>
        </w:rPr>
        <w:t>пре</w:t>
      </w:r>
      <w:proofErr w:type="spellEnd"/>
      <w:r w:rsidRPr="007F6360">
        <w:rPr>
          <w:rFonts w:eastAsia="Times New Roman" w:cs="Arial"/>
          <w:color w:val="000000"/>
          <w:lang w:eastAsia="bg-BG"/>
        </w:rPr>
        <w:t>.</w:t>
      </w:r>
    </w:p>
    <w:p w14:paraId="3904A5CD" w14:textId="77777777" w:rsidR="007F6360" w:rsidRPr="007F6360" w:rsidRDefault="007F6360" w:rsidP="007F6360">
      <w:pPr>
        <w:spacing w:line="240" w:lineRule="auto"/>
        <w:rPr>
          <w:rFonts w:eastAsia="Times New Roman" w:cs="Arial"/>
          <w:color w:val="000000"/>
          <w:lang w:eastAsia="bg-BG"/>
        </w:rPr>
      </w:pPr>
    </w:p>
    <w:p w14:paraId="3E73FEFE" w14:textId="2297EA4F" w:rsidR="007F6360" w:rsidRPr="007F6360" w:rsidRDefault="007F6360" w:rsidP="007F6360">
      <w:pPr>
        <w:spacing w:line="240" w:lineRule="auto"/>
        <w:rPr>
          <w:rFonts w:eastAsia="Times New Roman" w:cs="Arial"/>
        </w:rPr>
      </w:pPr>
      <w:r w:rsidRPr="007F6360">
        <w:rPr>
          <w:rFonts w:eastAsia="Times New Roman" w:cs="Arial"/>
          <w:i/>
          <w:iCs/>
          <w:color w:val="000000"/>
          <w:lang w:eastAsia="bg-BG"/>
        </w:rPr>
        <w:t>Поддържащо лечение:</w:t>
      </w:r>
    </w:p>
    <w:p w14:paraId="030A2A92"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Ако пациентът се повлиява добре от лекарствения продукт и ако е необходимо поддържащо лечение, схемата на дозиране трябва да се промени, така че всяка седмица той/тя да приема същата дневна доза в продължение на 5 дни, последвани от 2 дни без прием на лекарствения продукт.</w:t>
      </w:r>
    </w:p>
    <w:p w14:paraId="380FE3C7"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Дори при добри резултати и поносимост, профилактичното поддържащо лечение трябва да бъде преустановено след 6 месеца и подновено само при подновяване на пристъпите.</w:t>
      </w:r>
    </w:p>
    <w:p w14:paraId="3E884BD0" w14:textId="77777777" w:rsidR="007F6360" w:rsidRPr="007F6360" w:rsidRDefault="007F6360" w:rsidP="007F6360">
      <w:pPr>
        <w:spacing w:line="240" w:lineRule="auto"/>
        <w:rPr>
          <w:rFonts w:eastAsia="Times New Roman" w:cs="Arial"/>
          <w:i/>
          <w:iCs/>
          <w:color w:val="000000"/>
          <w:u w:val="single"/>
          <w:lang w:eastAsia="bg-BG"/>
        </w:rPr>
      </w:pPr>
    </w:p>
    <w:p w14:paraId="54A220BC" w14:textId="02597FCB" w:rsidR="007F6360" w:rsidRPr="007F6360" w:rsidRDefault="007F6360" w:rsidP="007F6360">
      <w:pPr>
        <w:spacing w:line="240" w:lineRule="auto"/>
        <w:rPr>
          <w:rFonts w:eastAsia="Times New Roman" w:cs="Arial"/>
        </w:rPr>
      </w:pPr>
      <w:r w:rsidRPr="007F6360">
        <w:rPr>
          <w:rFonts w:eastAsia="Times New Roman" w:cs="Arial"/>
          <w:i/>
          <w:iCs/>
          <w:color w:val="000000"/>
          <w:u w:val="single"/>
          <w:lang w:eastAsia="bg-BG"/>
        </w:rPr>
        <w:t>Световъртеж</w:t>
      </w:r>
    </w:p>
    <w:p w14:paraId="3070A9A3" w14:textId="77777777" w:rsidR="007F6360" w:rsidRPr="007F6360" w:rsidRDefault="007F6360" w:rsidP="007F6360">
      <w:pPr>
        <w:spacing w:line="240" w:lineRule="auto"/>
        <w:rPr>
          <w:rFonts w:eastAsia="Times New Roman" w:cs="Arial"/>
          <w:color w:val="000000"/>
          <w:lang w:eastAsia="bg-BG"/>
        </w:rPr>
      </w:pPr>
    </w:p>
    <w:p w14:paraId="6ACEBC2A" w14:textId="0DD145D5" w:rsidR="007F6360" w:rsidRPr="007F6360" w:rsidRDefault="007F6360" w:rsidP="007F6360">
      <w:pPr>
        <w:spacing w:line="240" w:lineRule="auto"/>
        <w:rPr>
          <w:rFonts w:eastAsia="Times New Roman" w:cs="Arial"/>
        </w:rPr>
      </w:pPr>
      <w:r w:rsidRPr="007F6360">
        <w:rPr>
          <w:rFonts w:eastAsia="Times New Roman" w:cs="Arial"/>
          <w:color w:val="000000"/>
          <w:lang w:eastAsia="bg-BG"/>
        </w:rPr>
        <w:t>Прилага се същата дневна доза както при мигрена, но началното лечение не трябва да продължава след изчезване на симптомите, за което обикновено са необходими по-малко от 2 месеца.</w:t>
      </w:r>
    </w:p>
    <w:p w14:paraId="1815785E"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 xml:space="preserve">Ако обаче не се наблюдава значително подобрение след едномесечно лечение за хроничен световъртеж или двумесечно за </w:t>
      </w:r>
      <w:proofErr w:type="spellStart"/>
      <w:r w:rsidRPr="007F6360">
        <w:rPr>
          <w:rFonts w:eastAsia="Times New Roman" w:cs="Arial"/>
          <w:color w:val="000000"/>
          <w:lang w:eastAsia="bg-BG"/>
        </w:rPr>
        <w:t>пароксизмален</w:t>
      </w:r>
      <w:proofErr w:type="spellEnd"/>
      <w:r w:rsidRPr="007F6360">
        <w:rPr>
          <w:rFonts w:eastAsia="Times New Roman" w:cs="Arial"/>
          <w:color w:val="000000"/>
          <w:lang w:eastAsia="bg-BG"/>
        </w:rPr>
        <w:t xml:space="preserve"> световъртеж, се приема че пациентът не се повлиява от лекарствения продукт и прилагането му трябва да бъде преустановено.</w:t>
      </w:r>
    </w:p>
    <w:p w14:paraId="4AB3F9E6" w14:textId="77777777" w:rsidR="007F6360" w:rsidRPr="007F6360" w:rsidRDefault="007F6360" w:rsidP="007F6360">
      <w:pPr>
        <w:spacing w:line="240" w:lineRule="auto"/>
        <w:rPr>
          <w:rFonts w:eastAsia="Times New Roman" w:cs="Arial"/>
          <w:color w:val="000000"/>
          <w:u w:val="single"/>
          <w:lang w:eastAsia="bg-BG"/>
        </w:rPr>
      </w:pPr>
    </w:p>
    <w:p w14:paraId="0AB77136" w14:textId="6D28A0F6" w:rsidR="007F6360" w:rsidRPr="007F6360" w:rsidRDefault="007F6360" w:rsidP="007F6360">
      <w:pPr>
        <w:spacing w:line="240" w:lineRule="auto"/>
        <w:rPr>
          <w:rFonts w:eastAsia="Times New Roman" w:cs="Arial"/>
        </w:rPr>
      </w:pPr>
      <w:r w:rsidRPr="007F6360">
        <w:rPr>
          <w:rFonts w:eastAsia="Times New Roman" w:cs="Arial"/>
          <w:color w:val="000000"/>
          <w:u w:val="single"/>
          <w:lang w:eastAsia="bg-BG"/>
        </w:rPr>
        <w:t>Специални популации</w:t>
      </w:r>
    </w:p>
    <w:p w14:paraId="4DD4E99B" w14:textId="77777777" w:rsidR="007F6360" w:rsidRPr="007F6360" w:rsidRDefault="007F6360" w:rsidP="007F6360">
      <w:pPr>
        <w:spacing w:line="240" w:lineRule="auto"/>
        <w:rPr>
          <w:rFonts w:eastAsia="Times New Roman" w:cs="Arial"/>
          <w:i/>
          <w:iCs/>
          <w:color w:val="000000"/>
          <w:lang w:eastAsia="bg-BG"/>
        </w:rPr>
      </w:pPr>
    </w:p>
    <w:p w14:paraId="3A7EEDE6" w14:textId="7586C232" w:rsidR="007F6360" w:rsidRPr="007F6360" w:rsidRDefault="007F6360" w:rsidP="007F6360">
      <w:pPr>
        <w:spacing w:line="240" w:lineRule="auto"/>
        <w:rPr>
          <w:rFonts w:eastAsia="Times New Roman" w:cs="Arial"/>
        </w:rPr>
      </w:pPr>
      <w:r w:rsidRPr="007F6360">
        <w:rPr>
          <w:rFonts w:eastAsia="Times New Roman" w:cs="Arial"/>
          <w:i/>
          <w:iCs/>
          <w:color w:val="000000"/>
          <w:lang w:eastAsia="bg-BG"/>
        </w:rPr>
        <w:t>Педиатрични пациенти (от 6 до 17 години) - профилактика на мигрена</w:t>
      </w:r>
    </w:p>
    <w:p w14:paraId="32795CC2" w14:textId="049800AF" w:rsidR="007F6360" w:rsidRPr="007F6360" w:rsidRDefault="007F6360" w:rsidP="007F6360">
      <w:pPr>
        <w:pStyle w:val="ListParagraph"/>
        <w:numPr>
          <w:ilvl w:val="0"/>
          <w:numId w:val="26"/>
        </w:numPr>
        <w:spacing w:line="240" w:lineRule="auto"/>
        <w:rPr>
          <w:rFonts w:eastAsia="Times New Roman" w:cs="Arial"/>
        </w:rPr>
      </w:pPr>
      <w:r w:rsidRPr="007F6360">
        <w:rPr>
          <w:rFonts w:eastAsia="Times New Roman" w:cs="Arial"/>
          <w:color w:val="000000"/>
          <w:lang w:eastAsia="bg-BG"/>
        </w:rPr>
        <w:t xml:space="preserve">Препоръчваната доза е 5 </w:t>
      </w:r>
      <w:r w:rsidRPr="007F6360">
        <w:rPr>
          <w:rFonts w:eastAsia="Times New Roman" w:cs="Arial"/>
          <w:color w:val="000000"/>
          <w:lang w:val="en-US"/>
        </w:rPr>
        <w:t xml:space="preserve">mg </w:t>
      </w:r>
      <w:r w:rsidRPr="007F6360">
        <w:rPr>
          <w:rFonts w:eastAsia="Times New Roman" w:cs="Arial"/>
          <w:color w:val="000000"/>
          <w:lang w:eastAsia="bg-BG"/>
        </w:rPr>
        <w:t>веднъж дневно (през нощта).</w:t>
      </w:r>
    </w:p>
    <w:p w14:paraId="74E84DE6" w14:textId="64D63F16" w:rsidR="007F6360" w:rsidRPr="007F6360" w:rsidRDefault="007F6360" w:rsidP="007F6360">
      <w:pPr>
        <w:pStyle w:val="ListParagraph"/>
        <w:numPr>
          <w:ilvl w:val="0"/>
          <w:numId w:val="26"/>
        </w:numPr>
        <w:spacing w:line="240" w:lineRule="auto"/>
        <w:rPr>
          <w:rFonts w:eastAsia="Times New Roman" w:cs="Arial"/>
        </w:rPr>
      </w:pPr>
      <w:r w:rsidRPr="007F6360">
        <w:rPr>
          <w:rFonts w:eastAsia="Times New Roman" w:cs="Arial"/>
          <w:color w:val="000000"/>
          <w:lang w:eastAsia="bg-BG"/>
        </w:rPr>
        <w:t xml:space="preserve">Дозата може да се увеличи до 10 </w:t>
      </w:r>
      <w:r w:rsidRPr="007F6360">
        <w:rPr>
          <w:rFonts w:eastAsia="Times New Roman" w:cs="Arial"/>
          <w:color w:val="000000"/>
          <w:lang w:val="en-US"/>
        </w:rPr>
        <w:t xml:space="preserve">mg </w:t>
      </w:r>
      <w:r w:rsidRPr="007F6360">
        <w:rPr>
          <w:rFonts w:eastAsia="Times New Roman" w:cs="Arial"/>
          <w:color w:val="000000"/>
          <w:lang w:eastAsia="bg-BG"/>
        </w:rPr>
        <w:t xml:space="preserve">дневно при пациенти с тегло над 40 </w:t>
      </w:r>
      <w:r w:rsidRPr="007F6360">
        <w:rPr>
          <w:rFonts w:eastAsia="Times New Roman" w:cs="Arial"/>
          <w:color w:val="000000"/>
          <w:lang w:val="en-US"/>
        </w:rPr>
        <w:t xml:space="preserve">kg, </w:t>
      </w:r>
      <w:r w:rsidRPr="007F6360">
        <w:rPr>
          <w:rFonts w:eastAsia="Times New Roman" w:cs="Arial"/>
          <w:color w:val="000000"/>
          <w:lang w:eastAsia="bg-BG"/>
        </w:rPr>
        <w:t>ако се</w:t>
      </w:r>
    </w:p>
    <w:p w14:paraId="0F015F14"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налага.</w:t>
      </w:r>
    </w:p>
    <w:p w14:paraId="756137F5" w14:textId="77777777" w:rsidR="007F6360" w:rsidRPr="007F6360" w:rsidRDefault="007F6360" w:rsidP="007F6360">
      <w:pPr>
        <w:spacing w:line="240" w:lineRule="auto"/>
        <w:rPr>
          <w:rFonts w:eastAsia="Times New Roman" w:cs="Arial"/>
          <w:color w:val="000000"/>
          <w:lang w:eastAsia="bg-BG"/>
        </w:rPr>
      </w:pPr>
    </w:p>
    <w:p w14:paraId="42A932BF" w14:textId="7C12B972" w:rsidR="007F6360" w:rsidRPr="007F6360" w:rsidRDefault="007F6360" w:rsidP="007F6360">
      <w:pPr>
        <w:spacing w:line="240" w:lineRule="auto"/>
        <w:rPr>
          <w:rFonts w:eastAsia="Times New Roman" w:cs="Arial"/>
        </w:rPr>
      </w:pPr>
      <w:r w:rsidRPr="007F6360">
        <w:rPr>
          <w:rFonts w:eastAsia="Times New Roman" w:cs="Arial"/>
          <w:color w:val="000000"/>
          <w:lang w:eastAsia="bg-BG"/>
        </w:rPr>
        <w:t>Ако по време на лечението възникнат симптоми на депресия или други неприемливи нежелани реакции, приемът трябва да бъде преустановен (вж. точка 4.4 и 4.8).</w:t>
      </w:r>
    </w:p>
    <w:p w14:paraId="700C90DE"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Ако 3 месеца след първоначалното лечение не се наблюдава значително подобрение, се счита, че пациентът не се повлиява от лекарствения продукт и лечението трябва да се спре.</w:t>
      </w:r>
    </w:p>
    <w:p w14:paraId="3B482866" w14:textId="77777777" w:rsidR="007F6360" w:rsidRPr="007F6360" w:rsidRDefault="007F6360" w:rsidP="007F6360">
      <w:pPr>
        <w:spacing w:line="240" w:lineRule="auto"/>
        <w:rPr>
          <w:rFonts w:eastAsia="Times New Roman" w:cs="Arial"/>
          <w:color w:val="000000"/>
          <w:lang w:eastAsia="bg-BG"/>
        </w:rPr>
      </w:pPr>
    </w:p>
    <w:p w14:paraId="2D1E796E" w14:textId="75B4FC83" w:rsidR="007F6360" w:rsidRPr="007F6360" w:rsidRDefault="007F6360" w:rsidP="007F6360">
      <w:pPr>
        <w:spacing w:line="240" w:lineRule="auto"/>
        <w:rPr>
          <w:rFonts w:eastAsia="Times New Roman" w:cs="Arial"/>
        </w:rPr>
      </w:pPr>
      <w:r w:rsidRPr="007F6360">
        <w:rPr>
          <w:rFonts w:eastAsia="Times New Roman" w:cs="Arial"/>
          <w:color w:val="000000"/>
          <w:lang w:eastAsia="bg-BG"/>
        </w:rPr>
        <w:t>Препоръчваната максимална продължителност на лечението е 6 месеца.</w:t>
      </w:r>
    </w:p>
    <w:p w14:paraId="0EF55B1C" w14:textId="77777777" w:rsidR="007F6360" w:rsidRPr="007F6360" w:rsidRDefault="007F6360" w:rsidP="007F6360">
      <w:pPr>
        <w:spacing w:line="240" w:lineRule="auto"/>
        <w:rPr>
          <w:rFonts w:eastAsia="Times New Roman" w:cs="Arial"/>
          <w:i/>
          <w:iCs/>
          <w:color w:val="000000"/>
          <w:lang w:eastAsia="bg-BG"/>
        </w:rPr>
      </w:pPr>
    </w:p>
    <w:p w14:paraId="05253047" w14:textId="32EED1DA" w:rsidR="007F6360" w:rsidRPr="007F6360" w:rsidRDefault="007F6360" w:rsidP="007F6360">
      <w:pPr>
        <w:spacing w:line="240" w:lineRule="auto"/>
        <w:rPr>
          <w:rFonts w:eastAsia="Times New Roman" w:cs="Arial"/>
        </w:rPr>
      </w:pPr>
      <w:r w:rsidRPr="007F6360">
        <w:rPr>
          <w:rFonts w:eastAsia="Times New Roman" w:cs="Arial"/>
          <w:i/>
          <w:iCs/>
          <w:color w:val="000000"/>
          <w:lang w:eastAsia="bg-BG"/>
        </w:rPr>
        <w:t>Педиатрични пациенти (на 5 години и по-малки) - профилактика на мигрена</w:t>
      </w:r>
    </w:p>
    <w:p w14:paraId="7EB9D9EC"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 xml:space="preserve">Безопасността и ефикасността на </w:t>
      </w:r>
      <w:proofErr w:type="spellStart"/>
      <w:r w:rsidRPr="007F6360">
        <w:rPr>
          <w:rFonts w:eastAsia="Times New Roman" w:cs="Arial"/>
          <w:color w:val="000000"/>
          <w:lang w:eastAsia="bg-BG"/>
        </w:rPr>
        <w:t>Сибелиум</w:t>
      </w:r>
      <w:proofErr w:type="spellEnd"/>
      <w:r w:rsidRPr="007F6360">
        <w:rPr>
          <w:rFonts w:eastAsia="Times New Roman" w:cs="Arial"/>
          <w:color w:val="000000"/>
          <w:lang w:eastAsia="bg-BG"/>
        </w:rPr>
        <w:t xml:space="preserve"> за профилактика на мигрена при педиатрични пациенти на възраст на 5 години и по-малки не са установени.</w:t>
      </w:r>
    </w:p>
    <w:p w14:paraId="52B989F8" w14:textId="77777777" w:rsidR="007F6360" w:rsidRPr="007F6360" w:rsidRDefault="007F6360" w:rsidP="007F6360">
      <w:pPr>
        <w:spacing w:line="240" w:lineRule="auto"/>
        <w:rPr>
          <w:rFonts w:eastAsia="Times New Roman" w:cs="Arial"/>
          <w:i/>
          <w:iCs/>
          <w:color w:val="000000"/>
          <w:lang w:eastAsia="bg-BG"/>
        </w:rPr>
      </w:pPr>
    </w:p>
    <w:p w14:paraId="3AEA3389" w14:textId="2DACA16C" w:rsidR="007F6360" w:rsidRPr="007F6360" w:rsidRDefault="007F6360" w:rsidP="007F6360">
      <w:pPr>
        <w:spacing w:line="240" w:lineRule="auto"/>
        <w:rPr>
          <w:rFonts w:eastAsia="Times New Roman" w:cs="Arial"/>
        </w:rPr>
      </w:pPr>
      <w:r w:rsidRPr="007F6360">
        <w:rPr>
          <w:rFonts w:eastAsia="Times New Roman" w:cs="Arial"/>
          <w:i/>
          <w:iCs/>
          <w:color w:val="000000"/>
          <w:lang w:eastAsia="bg-BG"/>
        </w:rPr>
        <w:t>Педиатрични пациенти (на 17 години и по-малки) - световъртеж</w:t>
      </w:r>
    </w:p>
    <w:p w14:paraId="45C7F1E6"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 xml:space="preserve">Безопасността и ефикасността на </w:t>
      </w:r>
      <w:proofErr w:type="spellStart"/>
      <w:r w:rsidRPr="007F6360">
        <w:rPr>
          <w:rFonts w:eastAsia="Times New Roman" w:cs="Arial"/>
          <w:color w:val="000000"/>
          <w:lang w:eastAsia="bg-BG"/>
        </w:rPr>
        <w:t>Сибелиум</w:t>
      </w:r>
      <w:proofErr w:type="spellEnd"/>
      <w:r w:rsidRPr="007F6360">
        <w:rPr>
          <w:rFonts w:eastAsia="Times New Roman" w:cs="Arial"/>
          <w:color w:val="000000"/>
          <w:lang w:eastAsia="bg-BG"/>
        </w:rPr>
        <w:t xml:space="preserve"> за лечение на световъртеж при педиатрични пациенти не са установени.</w:t>
      </w:r>
    </w:p>
    <w:p w14:paraId="44756593" w14:textId="77777777" w:rsidR="007F6360" w:rsidRPr="007F6360" w:rsidRDefault="007F6360" w:rsidP="007F6360">
      <w:pPr>
        <w:spacing w:line="240" w:lineRule="auto"/>
        <w:rPr>
          <w:rFonts w:ascii="Times New Roman" w:eastAsia="Times New Roman" w:hAnsi="Times New Roman" w:cs="Times New Roman"/>
          <w:sz w:val="24"/>
          <w:szCs w:val="24"/>
        </w:rPr>
      </w:pPr>
    </w:p>
    <w:p w14:paraId="180A929A" w14:textId="77777777" w:rsidR="007F6360" w:rsidRPr="007F6360" w:rsidRDefault="007F6360" w:rsidP="007F6360"/>
    <w:p w14:paraId="1A261012" w14:textId="52EA9756" w:rsidR="003765DC" w:rsidRDefault="002C50EE" w:rsidP="002B3C38">
      <w:pPr>
        <w:pStyle w:val="Heading2"/>
      </w:pPr>
      <w:r>
        <w:lastRenderedPageBreak/>
        <w:t>4.3. Противопоказания</w:t>
      </w:r>
    </w:p>
    <w:p w14:paraId="7EB5E20A" w14:textId="77777777" w:rsidR="007F6360" w:rsidRDefault="007F6360" w:rsidP="007F6360">
      <w:pPr>
        <w:rPr>
          <w:lang w:eastAsia="bg-BG"/>
        </w:rPr>
      </w:pPr>
    </w:p>
    <w:p w14:paraId="0D5715CC" w14:textId="4115DC6C" w:rsidR="007F6360" w:rsidRPr="007F6360" w:rsidRDefault="007F6360" w:rsidP="007F6360">
      <w:pPr>
        <w:rPr>
          <w:sz w:val="24"/>
          <w:szCs w:val="24"/>
        </w:rPr>
      </w:pPr>
      <w:proofErr w:type="spellStart"/>
      <w:r w:rsidRPr="007F6360">
        <w:rPr>
          <w:lang w:eastAsia="bg-BG"/>
        </w:rPr>
        <w:t>Сибелиум</w:t>
      </w:r>
      <w:proofErr w:type="spellEnd"/>
      <w:r w:rsidRPr="007F6360">
        <w:rPr>
          <w:lang w:eastAsia="bg-BG"/>
        </w:rPr>
        <w:t xml:space="preserve"> е противопоказан при пациенти с история на депресивно заболяване или с анамнеза за рецидивираща депресия, (вж. точки 4.4 и 4.8)</w:t>
      </w:r>
    </w:p>
    <w:p w14:paraId="60EBF472" w14:textId="77777777" w:rsidR="007F6360" w:rsidRPr="007F6360" w:rsidRDefault="007F6360" w:rsidP="007F6360">
      <w:pPr>
        <w:rPr>
          <w:sz w:val="24"/>
          <w:szCs w:val="24"/>
        </w:rPr>
      </w:pPr>
      <w:proofErr w:type="spellStart"/>
      <w:r w:rsidRPr="007F6360">
        <w:rPr>
          <w:lang w:eastAsia="bg-BG"/>
        </w:rPr>
        <w:t>Сибелиум</w:t>
      </w:r>
      <w:proofErr w:type="spellEnd"/>
      <w:r w:rsidRPr="007F6360">
        <w:rPr>
          <w:lang w:eastAsia="bg-BG"/>
        </w:rPr>
        <w:t xml:space="preserve"> е противопоказан </w:t>
      </w:r>
      <w:r w:rsidRPr="007F6360">
        <w:rPr>
          <w:i/>
          <w:iCs/>
          <w:lang w:eastAsia="bg-BG"/>
        </w:rPr>
        <w:t>при пациенти с</w:t>
      </w:r>
      <w:r w:rsidRPr="007F6360">
        <w:rPr>
          <w:lang w:eastAsia="bg-BG"/>
        </w:rPr>
        <w:t xml:space="preserve"> вече съществуващи симптоми на </w:t>
      </w:r>
      <w:proofErr w:type="spellStart"/>
      <w:r w:rsidRPr="007F6360">
        <w:rPr>
          <w:lang w:eastAsia="bg-BG"/>
        </w:rPr>
        <w:t>паркинсонизъм</w:t>
      </w:r>
      <w:proofErr w:type="spellEnd"/>
      <w:r w:rsidRPr="007F6360">
        <w:rPr>
          <w:lang w:eastAsia="bg-BG"/>
        </w:rPr>
        <w:t xml:space="preserve"> или други </w:t>
      </w:r>
      <w:proofErr w:type="spellStart"/>
      <w:r w:rsidRPr="007F6360">
        <w:rPr>
          <w:lang w:eastAsia="bg-BG"/>
        </w:rPr>
        <w:t>екстрапирамидни</w:t>
      </w:r>
      <w:proofErr w:type="spellEnd"/>
      <w:r w:rsidRPr="007F6360">
        <w:rPr>
          <w:lang w:eastAsia="bg-BG"/>
        </w:rPr>
        <w:t xml:space="preserve"> смущения (вж. точки 4.4 и 4.8).</w:t>
      </w:r>
    </w:p>
    <w:p w14:paraId="0CBC8D85" w14:textId="46ED0774" w:rsidR="007F6360" w:rsidRDefault="007F6360" w:rsidP="007F6360">
      <w:proofErr w:type="spellStart"/>
      <w:r w:rsidRPr="007F6360">
        <w:rPr>
          <w:lang w:eastAsia="bg-BG"/>
        </w:rPr>
        <w:t>Сибелиум</w:t>
      </w:r>
      <w:proofErr w:type="spellEnd"/>
      <w:r w:rsidRPr="007F6360">
        <w:rPr>
          <w:lang w:eastAsia="bg-BG"/>
        </w:rPr>
        <w:t xml:space="preserve"> е противопоказан при пациенти със свръхчувствителност към</w:t>
      </w:r>
      <w:r>
        <w:rPr>
          <w:lang w:eastAsia="bg-BG"/>
        </w:rPr>
        <w:t xml:space="preserve"> </w:t>
      </w:r>
      <w:r w:rsidRPr="007F6360">
        <w:rPr>
          <w:lang w:eastAsia="bg-BG"/>
        </w:rPr>
        <w:t>активното вещество и/или към някое от помощните вещества.</w:t>
      </w:r>
    </w:p>
    <w:p w14:paraId="76F0EF8F" w14:textId="77777777" w:rsidR="007F6360" w:rsidRPr="007F6360" w:rsidRDefault="007F6360" w:rsidP="007F6360"/>
    <w:p w14:paraId="5EF6E7D6" w14:textId="0E43BC1E" w:rsidR="003765DC" w:rsidRDefault="002C50EE" w:rsidP="002B3C38">
      <w:pPr>
        <w:pStyle w:val="Heading2"/>
      </w:pPr>
      <w:r>
        <w:t>4.4. Специални предупреждения и предпазни мерки при употреба</w:t>
      </w:r>
    </w:p>
    <w:p w14:paraId="03FFBC67" w14:textId="77777777" w:rsidR="007F6360" w:rsidRDefault="007F6360" w:rsidP="007F6360">
      <w:pPr>
        <w:rPr>
          <w:sz w:val="20"/>
          <w:szCs w:val="20"/>
        </w:rPr>
      </w:pPr>
    </w:p>
    <w:p w14:paraId="57948F9B" w14:textId="04EB7F62" w:rsidR="007F6360" w:rsidRDefault="007F6360" w:rsidP="007F6360">
      <w:proofErr w:type="spellStart"/>
      <w:r>
        <w:t>Сибелиум</w:t>
      </w:r>
      <w:proofErr w:type="spellEnd"/>
      <w:r>
        <w:t xml:space="preserve"> може да засили </w:t>
      </w:r>
      <w:proofErr w:type="spellStart"/>
      <w:r>
        <w:t>екстрапирамидните</w:t>
      </w:r>
      <w:proofErr w:type="spellEnd"/>
      <w:r>
        <w:t xml:space="preserve"> и депресивни симптоми и да отключи </w:t>
      </w:r>
      <w:proofErr w:type="spellStart"/>
      <w:r>
        <w:t>паркинсонизъм</w:t>
      </w:r>
      <w:proofErr w:type="spellEnd"/>
      <w:r>
        <w:t>, особено при пациенти в старческа възраст. Ето защо при такива пациенти е необходимо повишено внимание.</w:t>
      </w:r>
    </w:p>
    <w:p w14:paraId="245ED3BF" w14:textId="77777777" w:rsidR="007F6360" w:rsidRDefault="007F6360" w:rsidP="007F6360">
      <w:pPr>
        <w:spacing w:line="240" w:lineRule="auto"/>
        <w:rPr>
          <w:rFonts w:ascii="Times New Roman" w:eastAsia="Times New Roman" w:hAnsi="Times New Roman" w:cs="Times New Roman"/>
          <w:color w:val="000000"/>
          <w:sz w:val="20"/>
          <w:szCs w:val="20"/>
          <w:lang w:eastAsia="bg-BG"/>
        </w:rPr>
      </w:pPr>
    </w:p>
    <w:p w14:paraId="7542C208" w14:textId="32132AD4" w:rsidR="007F6360" w:rsidRPr="007F6360" w:rsidRDefault="007F6360" w:rsidP="007F6360">
      <w:pPr>
        <w:rPr>
          <w:sz w:val="24"/>
          <w:szCs w:val="24"/>
        </w:rPr>
      </w:pPr>
      <w:r w:rsidRPr="007F6360">
        <w:rPr>
          <w:lang w:eastAsia="bg-BG"/>
        </w:rPr>
        <w:t xml:space="preserve">В редки случаи умората може да се засили прогресивно по време на лечението със </w:t>
      </w:r>
      <w:proofErr w:type="spellStart"/>
      <w:r w:rsidRPr="007F6360">
        <w:rPr>
          <w:lang w:eastAsia="bg-BG"/>
        </w:rPr>
        <w:t>Сибелиум</w:t>
      </w:r>
      <w:proofErr w:type="spellEnd"/>
      <w:r w:rsidRPr="007F6360">
        <w:rPr>
          <w:lang w:eastAsia="bg-BG"/>
        </w:rPr>
        <w:t>. В тези случаи терапията трябва да се прекрати.</w:t>
      </w:r>
    </w:p>
    <w:p w14:paraId="189764F6" w14:textId="77777777" w:rsidR="007F6360" w:rsidRDefault="007F6360" w:rsidP="007F6360">
      <w:pPr>
        <w:rPr>
          <w:lang w:eastAsia="bg-BG"/>
        </w:rPr>
      </w:pPr>
    </w:p>
    <w:p w14:paraId="1D1AA4F2" w14:textId="64EDF9DC" w:rsidR="007F6360" w:rsidRPr="007F6360" w:rsidRDefault="007F6360" w:rsidP="007F6360">
      <w:pPr>
        <w:rPr>
          <w:sz w:val="24"/>
          <w:szCs w:val="24"/>
        </w:rPr>
      </w:pPr>
      <w:r w:rsidRPr="007F6360">
        <w:rPr>
          <w:lang w:eastAsia="bg-BG"/>
        </w:rPr>
        <w:t xml:space="preserve">Препоръчваната доза не трябва да се превишава. Пациентите трябва да бъдат редовно проследявани, особено по време на поддържащото лечение, с оглед на ранното откриване на </w:t>
      </w:r>
      <w:proofErr w:type="spellStart"/>
      <w:r w:rsidRPr="007F6360">
        <w:rPr>
          <w:lang w:eastAsia="bg-BG"/>
        </w:rPr>
        <w:t>екстрапирамидни</w:t>
      </w:r>
      <w:proofErr w:type="spellEnd"/>
      <w:r w:rsidRPr="007F6360">
        <w:rPr>
          <w:lang w:eastAsia="bg-BG"/>
        </w:rPr>
        <w:t xml:space="preserve"> или депресивни симптоми и съответно спиране на терапията.</w:t>
      </w:r>
    </w:p>
    <w:p w14:paraId="072EC4EC" w14:textId="77777777" w:rsidR="007F6360" w:rsidRDefault="007F6360" w:rsidP="007F6360">
      <w:pPr>
        <w:rPr>
          <w:lang w:eastAsia="bg-BG"/>
        </w:rPr>
      </w:pPr>
    </w:p>
    <w:p w14:paraId="22368B18" w14:textId="0308E466" w:rsidR="007F6360" w:rsidRPr="007F6360" w:rsidRDefault="007F6360" w:rsidP="007F6360">
      <w:pPr>
        <w:rPr>
          <w:sz w:val="24"/>
          <w:szCs w:val="24"/>
        </w:rPr>
      </w:pPr>
      <w:r w:rsidRPr="007F6360">
        <w:rPr>
          <w:lang w:eastAsia="bg-BG"/>
        </w:rPr>
        <w:t>Ако по време на поддържащото лечение намалеят терапевтичните ефекти, лечението също трябва да бъде преустановено (вж. точка 4.2).</w:t>
      </w:r>
    </w:p>
    <w:p w14:paraId="0260A99A" w14:textId="77777777" w:rsidR="007F6360" w:rsidRDefault="007F6360" w:rsidP="007F6360">
      <w:pPr>
        <w:rPr>
          <w:lang w:eastAsia="bg-BG"/>
        </w:rPr>
      </w:pPr>
    </w:p>
    <w:p w14:paraId="2182CD85" w14:textId="28453721" w:rsidR="007F6360" w:rsidRPr="007F6360" w:rsidRDefault="007F6360" w:rsidP="007F6360">
      <w:pPr>
        <w:rPr>
          <w:sz w:val="24"/>
          <w:szCs w:val="24"/>
        </w:rPr>
      </w:pPr>
      <w:proofErr w:type="spellStart"/>
      <w:r w:rsidRPr="007F6360">
        <w:rPr>
          <w:lang w:eastAsia="bg-BG"/>
        </w:rPr>
        <w:t>Сибелиум</w:t>
      </w:r>
      <w:proofErr w:type="spellEnd"/>
      <w:r w:rsidRPr="007F6360">
        <w:rPr>
          <w:lang w:eastAsia="bg-BG"/>
        </w:rPr>
        <w:t xml:space="preserve"> съдържа лактоза. Пациенти с редки наследствени проблеми на непоносимост към </w:t>
      </w:r>
      <w:proofErr w:type="spellStart"/>
      <w:r w:rsidRPr="007F6360">
        <w:rPr>
          <w:lang w:eastAsia="bg-BG"/>
        </w:rPr>
        <w:t>галактоза</w:t>
      </w:r>
      <w:proofErr w:type="spellEnd"/>
      <w:r w:rsidRPr="007F6360">
        <w:rPr>
          <w:lang w:eastAsia="bg-BG"/>
        </w:rPr>
        <w:t xml:space="preserve">, пълен </w:t>
      </w:r>
      <w:proofErr w:type="spellStart"/>
      <w:r w:rsidRPr="007F6360">
        <w:rPr>
          <w:lang w:eastAsia="bg-BG"/>
        </w:rPr>
        <w:t>лактазен</w:t>
      </w:r>
      <w:proofErr w:type="spellEnd"/>
      <w:r w:rsidRPr="007F6360">
        <w:rPr>
          <w:lang w:eastAsia="bg-BG"/>
        </w:rPr>
        <w:t xml:space="preserve"> дефицит или </w:t>
      </w:r>
      <w:proofErr w:type="spellStart"/>
      <w:r w:rsidRPr="007F6360">
        <w:rPr>
          <w:lang w:eastAsia="bg-BG"/>
        </w:rPr>
        <w:t>глюкозо-галактозна</w:t>
      </w:r>
      <w:proofErr w:type="spellEnd"/>
      <w:r w:rsidRPr="007F6360">
        <w:rPr>
          <w:lang w:eastAsia="bg-BG"/>
        </w:rPr>
        <w:t xml:space="preserve"> малабсорбция не трябва да приемат това лекарство.</w:t>
      </w:r>
    </w:p>
    <w:p w14:paraId="59827C69" w14:textId="77777777" w:rsidR="007F6360" w:rsidRPr="007F6360" w:rsidRDefault="007F6360" w:rsidP="007F6360"/>
    <w:p w14:paraId="297352C8" w14:textId="51571B26" w:rsidR="003765DC" w:rsidRDefault="002C50EE" w:rsidP="002B3C38">
      <w:pPr>
        <w:pStyle w:val="Heading2"/>
      </w:pPr>
      <w:r>
        <w:t>4.5. Взаимодействие с други лекарствени продукти и други форми на взаимодействие</w:t>
      </w:r>
    </w:p>
    <w:p w14:paraId="1DD28784" w14:textId="77777777" w:rsidR="007F6360" w:rsidRDefault="007F6360" w:rsidP="007F6360">
      <w:pPr>
        <w:spacing w:line="240" w:lineRule="auto"/>
        <w:rPr>
          <w:rFonts w:ascii="Times New Roman" w:eastAsia="Times New Roman" w:hAnsi="Times New Roman" w:cs="Times New Roman"/>
          <w:color w:val="000000"/>
          <w:sz w:val="20"/>
          <w:szCs w:val="20"/>
          <w:lang w:eastAsia="bg-BG"/>
        </w:rPr>
      </w:pPr>
    </w:p>
    <w:p w14:paraId="0FEF43A1" w14:textId="3E535437" w:rsidR="007F6360" w:rsidRPr="007F6360" w:rsidRDefault="007F6360" w:rsidP="007F6360">
      <w:pPr>
        <w:rPr>
          <w:sz w:val="24"/>
          <w:szCs w:val="24"/>
        </w:rPr>
      </w:pPr>
      <w:r w:rsidRPr="007F6360">
        <w:rPr>
          <w:lang w:eastAsia="bg-BG"/>
        </w:rPr>
        <w:t xml:space="preserve">При едновременно приемане на </w:t>
      </w:r>
      <w:proofErr w:type="spellStart"/>
      <w:r w:rsidRPr="007F6360">
        <w:rPr>
          <w:lang w:eastAsia="bg-BG"/>
        </w:rPr>
        <w:t>Сибелиум</w:t>
      </w:r>
      <w:proofErr w:type="spellEnd"/>
      <w:r w:rsidRPr="007F6360">
        <w:rPr>
          <w:lang w:eastAsia="bg-BG"/>
        </w:rPr>
        <w:t xml:space="preserve"> и алкохол, </w:t>
      </w:r>
      <w:proofErr w:type="spellStart"/>
      <w:r w:rsidRPr="007F6360">
        <w:rPr>
          <w:lang w:eastAsia="bg-BG"/>
        </w:rPr>
        <w:t>хипнотици</w:t>
      </w:r>
      <w:proofErr w:type="spellEnd"/>
      <w:r w:rsidRPr="007F6360">
        <w:rPr>
          <w:lang w:eastAsia="bg-BG"/>
        </w:rPr>
        <w:t xml:space="preserve"> или </w:t>
      </w:r>
      <w:proofErr w:type="spellStart"/>
      <w:r w:rsidRPr="007F6360">
        <w:rPr>
          <w:lang w:eastAsia="bg-BG"/>
        </w:rPr>
        <w:t>транквилизанти</w:t>
      </w:r>
      <w:proofErr w:type="spellEnd"/>
      <w:r w:rsidRPr="007F6360">
        <w:rPr>
          <w:lang w:eastAsia="bg-BG"/>
        </w:rPr>
        <w:t xml:space="preserve"> може да се наблюдава прекомерно </w:t>
      </w:r>
      <w:proofErr w:type="spellStart"/>
      <w:r w:rsidRPr="007F6360">
        <w:rPr>
          <w:lang w:eastAsia="bg-BG"/>
        </w:rPr>
        <w:t>седиране</w:t>
      </w:r>
      <w:proofErr w:type="spellEnd"/>
      <w:r w:rsidRPr="007F6360">
        <w:rPr>
          <w:lang w:eastAsia="bg-BG"/>
        </w:rPr>
        <w:t>.</w:t>
      </w:r>
    </w:p>
    <w:p w14:paraId="5C5ED663" w14:textId="77777777" w:rsidR="007F6360" w:rsidRDefault="007F6360" w:rsidP="007F6360">
      <w:pPr>
        <w:rPr>
          <w:lang w:eastAsia="bg-BG"/>
        </w:rPr>
      </w:pPr>
    </w:p>
    <w:p w14:paraId="69024051" w14:textId="30A59C02" w:rsidR="007F6360" w:rsidRPr="007F6360" w:rsidRDefault="007F6360" w:rsidP="007F6360">
      <w:pPr>
        <w:rPr>
          <w:sz w:val="24"/>
          <w:szCs w:val="24"/>
        </w:rPr>
      </w:pPr>
      <w:proofErr w:type="spellStart"/>
      <w:r w:rsidRPr="007F6360">
        <w:rPr>
          <w:lang w:eastAsia="bg-BG"/>
        </w:rPr>
        <w:t>Сибелиум</w:t>
      </w:r>
      <w:proofErr w:type="spellEnd"/>
      <w:r w:rsidRPr="007F6360">
        <w:rPr>
          <w:lang w:eastAsia="bg-BG"/>
        </w:rPr>
        <w:t xml:space="preserve"> не е противопоказан при пациенти, приемащи </w:t>
      </w:r>
      <w:proofErr w:type="spellStart"/>
      <w:r w:rsidRPr="007F6360">
        <w:rPr>
          <w:lang w:eastAsia="bg-BG"/>
        </w:rPr>
        <w:t>бетаблокери</w:t>
      </w:r>
      <w:proofErr w:type="spellEnd"/>
      <w:r w:rsidRPr="007F6360">
        <w:rPr>
          <w:lang w:eastAsia="bg-BG"/>
        </w:rPr>
        <w:t>.</w:t>
      </w:r>
    </w:p>
    <w:p w14:paraId="32A2B049" w14:textId="77777777" w:rsidR="007F6360" w:rsidRDefault="007F6360" w:rsidP="007F6360">
      <w:pPr>
        <w:rPr>
          <w:lang w:eastAsia="bg-BG"/>
        </w:rPr>
      </w:pPr>
    </w:p>
    <w:p w14:paraId="44F30625" w14:textId="5FB4B578" w:rsidR="007F6360" w:rsidRDefault="007F6360" w:rsidP="007F6360">
      <w:pPr>
        <w:rPr>
          <w:lang w:eastAsia="bg-BG"/>
        </w:rPr>
      </w:pPr>
      <w:r w:rsidRPr="007F6360">
        <w:rPr>
          <w:lang w:eastAsia="bg-BG"/>
        </w:rPr>
        <w:t xml:space="preserve">Фармакокинетиката на </w:t>
      </w:r>
      <w:proofErr w:type="spellStart"/>
      <w:r w:rsidRPr="007F6360">
        <w:rPr>
          <w:lang w:eastAsia="bg-BG"/>
        </w:rPr>
        <w:t>флунаризин</w:t>
      </w:r>
      <w:proofErr w:type="spellEnd"/>
      <w:r w:rsidRPr="007F6360">
        <w:rPr>
          <w:lang w:eastAsia="bg-BG"/>
        </w:rPr>
        <w:t xml:space="preserve"> не се повлиява от </w:t>
      </w:r>
      <w:proofErr w:type="spellStart"/>
      <w:r w:rsidRPr="007F6360">
        <w:rPr>
          <w:lang w:eastAsia="bg-BG"/>
        </w:rPr>
        <w:t>топирамат</w:t>
      </w:r>
      <w:proofErr w:type="spellEnd"/>
      <w:r w:rsidRPr="007F6360">
        <w:rPr>
          <w:lang w:eastAsia="bg-BG"/>
        </w:rPr>
        <w:t xml:space="preserve">. При едновременно приложение на </w:t>
      </w:r>
    </w:p>
    <w:p w14:paraId="166A528C" w14:textId="3D536FC1" w:rsidR="007F6360" w:rsidRPr="007F6360" w:rsidRDefault="007F6360" w:rsidP="007F6360">
      <w:pPr>
        <w:rPr>
          <w:sz w:val="24"/>
          <w:szCs w:val="24"/>
        </w:rPr>
      </w:pPr>
      <w:proofErr w:type="spellStart"/>
      <w:r w:rsidRPr="007F6360">
        <w:rPr>
          <w:lang w:eastAsia="bg-BG"/>
        </w:rPr>
        <w:t>Сибелиум</w:t>
      </w:r>
      <w:proofErr w:type="spellEnd"/>
      <w:r w:rsidRPr="007F6360">
        <w:rPr>
          <w:lang w:eastAsia="bg-BG"/>
        </w:rPr>
        <w:t xml:space="preserve"> и </w:t>
      </w:r>
      <w:proofErr w:type="spellStart"/>
      <w:r w:rsidRPr="007F6360">
        <w:rPr>
          <w:lang w:eastAsia="bg-BG"/>
        </w:rPr>
        <w:t>топирамат</w:t>
      </w:r>
      <w:proofErr w:type="spellEnd"/>
      <w:r w:rsidRPr="007F6360">
        <w:rPr>
          <w:lang w:eastAsia="bg-BG"/>
        </w:rPr>
        <w:t xml:space="preserve"> 50 </w:t>
      </w:r>
      <w:r w:rsidRPr="007F6360">
        <w:rPr>
          <w:lang w:val="en-US"/>
        </w:rPr>
        <w:t xml:space="preserve">mg </w:t>
      </w:r>
      <w:r w:rsidRPr="007F6360">
        <w:rPr>
          <w:lang w:eastAsia="bg-BG"/>
        </w:rPr>
        <w:t xml:space="preserve">на всеки 12 часа се наблюдава увеличение от 16% на системната експозиция на </w:t>
      </w:r>
      <w:proofErr w:type="spellStart"/>
      <w:r w:rsidRPr="007F6360">
        <w:rPr>
          <w:lang w:eastAsia="bg-BG"/>
        </w:rPr>
        <w:t>флунаризин</w:t>
      </w:r>
      <w:proofErr w:type="spellEnd"/>
      <w:r w:rsidRPr="007F6360">
        <w:rPr>
          <w:lang w:eastAsia="bg-BG"/>
        </w:rPr>
        <w:t xml:space="preserve"> при пациенти с мигрена, в сравнение с увеличението от 14% при пациенти, лекувани само с </w:t>
      </w:r>
      <w:proofErr w:type="spellStart"/>
      <w:r w:rsidRPr="007F6360">
        <w:rPr>
          <w:lang w:eastAsia="bg-BG"/>
        </w:rPr>
        <w:t>флунаризин</w:t>
      </w:r>
      <w:proofErr w:type="spellEnd"/>
      <w:r w:rsidRPr="007F6360">
        <w:rPr>
          <w:lang w:eastAsia="bg-BG"/>
        </w:rPr>
        <w:t xml:space="preserve">. Фармакокинетиката на </w:t>
      </w:r>
      <w:proofErr w:type="spellStart"/>
      <w:r w:rsidRPr="007F6360">
        <w:rPr>
          <w:lang w:eastAsia="bg-BG"/>
        </w:rPr>
        <w:t>топирамат</w:t>
      </w:r>
      <w:proofErr w:type="spellEnd"/>
      <w:r w:rsidRPr="007F6360">
        <w:rPr>
          <w:lang w:eastAsia="bg-BG"/>
        </w:rPr>
        <w:t xml:space="preserve"> в стационарно състояние не се повлиява от </w:t>
      </w:r>
      <w:proofErr w:type="spellStart"/>
      <w:r w:rsidRPr="007F6360">
        <w:rPr>
          <w:lang w:eastAsia="bg-BG"/>
        </w:rPr>
        <w:t>флунаризин</w:t>
      </w:r>
      <w:proofErr w:type="spellEnd"/>
      <w:r w:rsidRPr="007F6360">
        <w:rPr>
          <w:lang w:eastAsia="bg-BG"/>
        </w:rPr>
        <w:t>.</w:t>
      </w:r>
    </w:p>
    <w:p w14:paraId="352175E6" w14:textId="77777777" w:rsidR="007F6360" w:rsidRDefault="007F6360" w:rsidP="007F6360">
      <w:pPr>
        <w:rPr>
          <w:lang w:eastAsia="bg-BG"/>
        </w:rPr>
      </w:pPr>
    </w:p>
    <w:p w14:paraId="15B96AB9" w14:textId="2651A561" w:rsidR="007F6360" w:rsidRDefault="007F6360" w:rsidP="007F6360">
      <w:pPr>
        <w:rPr>
          <w:lang w:eastAsia="bg-BG"/>
        </w:rPr>
      </w:pPr>
      <w:r w:rsidRPr="007F6360">
        <w:rPr>
          <w:lang w:eastAsia="bg-BG"/>
        </w:rPr>
        <w:t xml:space="preserve">Продължителното приложение на </w:t>
      </w:r>
      <w:proofErr w:type="spellStart"/>
      <w:r w:rsidRPr="007F6360">
        <w:rPr>
          <w:lang w:eastAsia="bg-BG"/>
        </w:rPr>
        <w:t>флунаризин</w:t>
      </w:r>
      <w:proofErr w:type="spellEnd"/>
      <w:r w:rsidRPr="007F6360">
        <w:rPr>
          <w:lang w:eastAsia="bg-BG"/>
        </w:rPr>
        <w:t xml:space="preserve"> не оказва влияние върху диспозицията на </w:t>
      </w:r>
      <w:proofErr w:type="spellStart"/>
      <w:r w:rsidRPr="007F6360">
        <w:rPr>
          <w:lang w:eastAsia="bg-BG"/>
        </w:rPr>
        <w:t>фенитоин</w:t>
      </w:r>
      <w:proofErr w:type="spellEnd"/>
      <w:r w:rsidRPr="007F6360">
        <w:rPr>
          <w:lang w:eastAsia="bg-BG"/>
        </w:rPr>
        <w:t xml:space="preserve">, </w:t>
      </w:r>
      <w:proofErr w:type="spellStart"/>
      <w:r w:rsidRPr="007F6360">
        <w:rPr>
          <w:lang w:eastAsia="bg-BG"/>
        </w:rPr>
        <w:t>карбамазепин</w:t>
      </w:r>
      <w:proofErr w:type="spellEnd"/>
      <w:r w:rsidRPr="007F6360">
        <w:rPr>
          <w:lang w:eastAsia="bg-BG"/>
        </w:rPr>
        <w:t xml:space="preserve">, валпроат или </w:t>
      </w:r>
      <w:proofErr w:type="spellStart"/>
      <w:r w:rsidRPr="007F6360">
        <w:rPr>
          <w:lang w:eastAsia="bg-BG"/>
        </w:rPr>
        <w:t>фенобарбитал</w:t>
      </w:r>
      <w:proofErr w:type="spellEnd"/>
      <w:r w:rsidRPr="007F6360">
        <w:rPr>
          <w:lang w:eastAsia="bg-BG"/>
        </w:rPr>
        <w:t xml:space="preserve">. Плазмените концентрации на </w:t>
      </w:r>
      <w:proofErr w:type="spellStart"/>
      <w:r w:rsidRPr="007F6360">
        <w:rPr>
          <w:lang w:eastAsia="bg-BG"/>
        </w:rPr>
        <w:lastRenderedPageBreak/>
        <w:t>флунаризин</w:t>
      </w:r>
      <w:proofErr w:type="spellEnd"/>
      <w:r w:rsidRPr="007F6360">
        <w:rPr>
          <w:lang w:eastAsia="bg-BG"/>
        </w:rPr>
        <w:t xml:space="preserve"> основно са по-ниски при пациенти с епилепсия, лекувани с тези антиепилептични средства, отколкото при здрави пациенти, приемащи подобни дози. Свързването на </w:t>
      </w:r>
      <w:proofErr w:type="spellStart"/>
      <w:r w:rsidRPr="007F6360">
        <w:rPr>
          <w:lang w:eastAsia="bg-BG"/>
        </w:rPr>
        <w:t>карбамазепин</w:t>
      </w:r>
      <w:proofErr w:type="spellEnd"/>
      <w:r w:rsidRPr="007F6360">
        <w:rPr>
          <w:lang w:eastAsia="bg-BG"/>
        </w:rPr>
        <w:t xml:space="preserve">, валпроат и </w:t>
      </w:r>
      <w:proofErr w:type="spellStart"/>
      <w:r w:rsidRPr="007F6360">
        <w:rPr>
          <w:lang w:eastAsia="bg-BG"/>
        </w:rPr>
        <w:t>фенитоин</w:t>
      </w:r>
      <w:proofErr w:type="spellEnd"/>
      <w:r w:rsidRPr="007F6360">
        <w:rPr>
          <w:lang w:eastAsia="bg-BG"/>
        </w:rPr>
        <w:t xml:space="preserve"> с плазмени протеини не се повлиява при едновременното им приложение с </w:t>
      </w:r>
      <w:proofErr w:type="spellStart"/>
      <w:r w:rsidRPr="007F6360">
        <w:rPr>
          <w:lang w:eastAsia="bg-BG"/>
        </w:rPr>
        <w:t>флунаризин</w:t>
      </w:r>
      <w:proofErr w:type="spellEnd"/>
      <w:r w:rsidRPr="007F6360">
        <w:rPr>
          <w:lang w:eastAsia="bg-BG"/>
        </w:rPr>
        <w:t>.</w:t>
      </w:r>
    </w:p>
    <w:p w14:paraId="2542514F" w14:textId="77777777" w:rsidR="007F6360" w:rsidRPr="007F6360" w:rsidRDefault="007F6360" w:rsidP="007F6360"/>
    <w:p w14:paraId="20B09708" w14:textId="7C35F9B8" w:rsidR="003765DC" w:rsidRDefault="002C50EE" w:rsidP="002B3C38">
      <w:pPr>
        <w:pStyle w:val="Heading2"/>
      </w:pPr>
      <w:r>
        <w:t xml:space="preserve">4.6. </w:t>
      </w:r>
      <w:proofErr w:type="spellStart"/>
      <w:r>
        <w:t>Фертилитет</w:t>
      </w:r>
      <w:proofErr w:type="spellEnd"/>
      <w:r>
        <w:t>, бременност и кърмене</w:t>
      </w:r>
    </w:p>
    <w:p w14:paraId="3DBA069F" w14:textId="249CE87E" w:rsidR="007F6360" w:rsidRDefault="007F6360" w:rsidP="007F6360"/>
    <w:p w14:paraId="1FB61F01" w14:textId="77777777" w:rsidR="007F6360" w:rsidRPr="007F6360" w:rsidRDefault="007F6360" w:rsidP="007F6360">
      <w:pPr>
        <w:pStyle w:val="Heading3"/>
        <w:rPr>
          <w:rFonts w:eastAsia="Times New Roman"/>
          <w:u w:val="single"/>
        </w:rPr>
      </w:pPr>
      <w:r w:rsidRPr="007F6360">
        <w:rPr>
          <w:rFonts w:eastAsia="Times New Roman"/>
          <w:u w:val="single"/>
          <w:lang w:eastAsia="bg-BG"/>
        </w:rPr>
        <w:t>Бременност</w:t>
      </w:r>
    </w:p>
    <w:p w14:paraId="28D026BB" w14:textId="77777777" w:rsidR="007F6360" w:rsidRPr="007F6360" w:rsidRDefault="007F6360" w:rsidP="007F6360">
      <w:pPr>
        <w:rPr>
          <w:sz w:val="24"/>
          <w:szCs w:val="24"/>
        </w:rPr>
      </w:pPr>
      <w:r w:rsidRPr="007F6360">
        <w:rPr>
          <w:lang w:eastAsia="bg-BG"/>
        </w:rPr>
        <w:t xml:space="preserve">Липсват данни от употребата на </w:t>
      </w:r>
      <w:proofErr w:type="spellStart"/>
      <w:r w:rsidRPr="007F6360">
        <w:rPr>
          <w:lang w:eastAsia="bg-BG"/>
        </w:rPr>
        <w:t>Сибелиум</w:t>
      </w:r>
      <w:proofErr w:type="spellEnd"/>
      <w:r w:rsidRPr="007F6360">
        <w:rPr>
          <w:lang w:eastAsia="bg-BG"/>
        </w:rPr>
        <w:t xml:space="preserve"> при бременни жени.</w:t>
      </w:r>
    </w:p>
    <w:p w14:paraId="546AA4B5" w14:textId="77777777" w:rsidR="007F6360" w:rsidRPr="007F6360" w:rsidRDefault="007F6360" w:rsidP="007F6360">
      <w:pPr>
        <w:rPr>
          <w:sz w:val="24"/>
          <w:szCs w:val="24"/>
        </w:rPr>
      </w:pPr>
      <w:r w:rsidRPr="007F6360">
        <w:rPr>
          <w:lang w:eastAsia="bg-BG"/>
        </w:rPr>
        <w:t>Проучванията при животни не показват преки или непреки вредни ефекти, свързани с бременността, ембрионалното/фетално развитие, протичането на бременността или развитието след раждането.</w:t>
      </w:r>
    </w:p>
    <w:p w14:paraId="526C2E66" w14:textId="77777777" w:rsidR="007F6360" w:rsidRDefault="007F6360" w:rsidP="007F6360">
      <w:pPr>
        <w:rPr>
          <w:lang w:eastAsia="bg-BG"/>
        </w:rPr>
      </w:pPr>
    </w:p>
    <w:p w14:paraId="1A3D8641" w14:textId="44D8F642" w:rsidR="007F6360" w:rsidRPr="007F6360" w:rsidRDefault="007F6360" w:rsidP="007F6360">
      <w:pPr>
        <w:pStyle w:val="Heading3"/>
        <w:rPr>
          <w:rFonts w:eastAsia="Times New Roman"/>
          <w:u w:val="single"/>
        </w:rPr>
      </w:pPr>
      <w:r w:rsidRPr="007F6360">
        <w:rPr>
          <w:rFonts w:eastAsia="Times New Roman"/>
          <w:u w:val="single"/>
          <w:lang w:eastAsia="bg-BG"/>
        </w:rPr>
        <w:t>Кърмене</w:t>
      </w:r>
    </w:p>
    <w:p w14:paraId="45541E91" w14:textId="77777777" w:rsidR="007F6360" w:rsidRPr="007F6360" w:rsidRDefault="007F6360" w:rsidP="007F6360">
      <w:pPr>
        <w:rPr>
          <w:sz w:val="24"/>
          <w:szCs w:val="24"/>
        </w:rPr>
      </w:pPr>
      <w:r w:rsidRPr="007F6360">
        <w:rPr>
          <w:lang w:eastAsia="bg-BG"/>
        </w:rPr>
        <w:t xml:space="preserve">Кърменето трябва да се преустанови по време на лечение със </w:t>
      </w:r>
      <w:proofErr w:type="spellStart"/>
      <w:r w:rsidRPr="007F6360">
        <w:rPr>
          <w:lang w:eastAsia="bg-BG"/>
        </w:rPr>
        <w:t>Сибелиум</w:t>
      </w:r>
      <w:proofErr w:type="spellEnd"/>
      <w:r w:rsidRPr="007F6360">
        <w:rPr>
          <w:lang w:eastAsia="bg-BG"/>
        </w:rPr>
        <w:t>.</w:t>
      </w:r>
    </w:p>
    <w:p w14:paraId="472567EF" w14:textId="77777777" w:rsidR="007F6360" w:rsidRPr="007F6360" w:rsidRDefault="007F6360" w:rsidP="007F6360">
      <w:pPr>
        <w:rPr>
          <w:sz w:val="24"/>
          <w:szCs w:val="24"/>
        </w:rPr>
      </w:pPr>
      <w:r w:rsidRPr="007F6360">
        <w:rPr>
          <w:lang w:eastAsia="bg-BG"/>
        </w:rPr>
        <w:t xml:space="preserve">Проучванията при животни показват, че </w:t>
      </w:r>
      <w:proofErr w:type="spellStart"/>
      <w:r w:rsidRPr="007F6360">
        <w:rPr>
          <w:lang w:eastAsia="bg-BG"/>
        </w:rPr>
        <w:t>флунаризин</w:t>
      </w:r>
      <w:proofErr w:type="spellEnd"/>
      <w:r w:rsidRPr="007F6360">
        <w:rPr>
          <w:lang w:eastAsia="bg-BG"/>
        </w:rPr>
        <w:t xml:space="preserve"> се </w:t>
      </w:r>
      <w:proofErr w:type="spellStart"/>
      <w:r w:rsidRPr="007F6360">
        <w:rPr>
          <w:lang w:eastAsia="bg-BG"/>
        </w:rPr>
        <w:t>екскретира</w:t>
      </w:r>
      <w:proofErr w:type="spellEnd"/>
      <w:r w:rsidRPr="007F6360">
        <w:rPr>
          <w:lang w:eastAsia="bg-BG"/>
        </w:rPr>
        <w:t xml:space="preserve"> в млякото и концентрацията в млякото е по-висока от тази в плазмата. Не е известно дали </w:t>
      </w:r>
      <w:proofErr w:type="spellStart"/>
      <w:r w:rsidRPr="007F6360">
        <w:rPr>
          <w:lang w:eastAsia="bg-BG"/>
        </w:rPr>
        <w:t>флунаризин</w:t>
      </w:r>
      <w:proofErr w:type="spellEnd"/>
      <w:r w:rsidRPr="007F6360">
        <w:rPr>
          <w:lang w:eastAsia="bg-BG"/>
        </w:rPr>
        <w:t xml:space="preserve"> се </w:t>
      </w:r>
      <w:proofErr w:type="spellStart"/>
      <w:r w:rsidRPr="007F6360">
        <w:rPr>
          <w:lang w:eastAsia="bg-BG"/>
        </w:rPr>
        <w:t>екскретира</w:t>
      </w:r>
      <w:proofErr w:type="spellEnd"/>
      <w:r w:rsidRPr="007F6360">
        <w:rPr>
          <w:lang w:eastAsia="bg-BG"/>
        </w:rPr>
        <w:t xml:space="preserve"> в човешката кърма.</w:t>
      </w:r>
    </w:p>
    <w:p w14:paraId="328FDE60" w14:textId="77777777" w:rsidR="007F6360" w:rsidRPr="007F6360" w:rsidRDefault="007F6360" w:rsidP="007F6360"/>
    <w:p w14:paraId="13465597" w14:textId="1B3CD287" w:rsidR="003765DC" w:rsidRDefault="002C50EE" w:rsidP="002B3C38">
      <w:pPr>
        <w:pStyle w:val="Heading2"/>
      </w:pPr>
      <w:r>
        <w:t>4.7. Ефекти върху способността за шофиране и работа с машини</w:t>
      </w:r>
    </w:p>
    <w:p w14:paraId="076545DC" w14:textId="5335C0F8" w:rsidR="007F6360" w:rsidRDefault="007F6360" w:rsidP="007F6360"/>
    <w:p w14:paraId="5038BED6" w14:textId="4FB14170" w:rsidR="007F6360" w:rsidRDefault="007F6360" w:rsidP="007F6360">
      <w:pPr>
        <w:rPr>
          <w:lang w:eastAsia="bg-BG"/>
        </w:rPr>
      </w:pPr>
      <w:r w:rsidRPr="007F6360">
        <w:rPr>
          <w:lang w:eastAsia="bg-BG"/>
        </w:rPr>
        <w:t>Тъй като е възможно да се появи сънливост, особено в началото на лечението, е необходимо повишено внимание при изпълнението на дейности като шофиране и работа с опаси машини.</w:t>
      </w:r>
    </w:p>
    <w:p w14:paraId="5E284452" w14:textId="77777777" w:rsidR="007F6360" w:rsidRPr="007F6360" w:rsidRDefault="007F6360" w:rsidP="007F6360">
      <w:pPr>
        <w:rPr>
          <w:sz w:val="24"/>
          <w:szCs w:val="24"/>
        </w:rPr>
      </w:pPr>
    </w:p>
    <w:p w14:paraId="5D66F04B" w14:textId="49D1E770" w:rsidR="003765DC" w:rsidRDefault="002C50EE" w:rsidP="002B3C38">
      <w:pPr>
        <w:pStyle w:val="Heading2"/>
      </w:pPr>
      <w:r>
        <w:t>4.8. Нежелани лекарствени реакции</w:t>
      </w:r>
    </w:p>
    <w:p w14:paraId="4101AD0B" w14:textId="77777777" w:rsidR="007F6360" w:rsidRDefault="007F6360" w:rsidP="007F6360">
      <w:pPr>
        <w:rPr>
          <w:lang w:eastAsia="bg-BG"/>
        </w:rPr>
      </w:pPr>
    </w:p>
    <w:p w14:paraId="2EA01F6F" w14:textId="4C24F617" w:rsidR="007F6360" w:rsidRPr="007F6360" w:rsidRDefault="007F6360" w:rsidP="007F6360">
      <w:pPr>
        <w:rPr>
          <w:sz w:val="24"/>
          <w:szCs w:val="24"/>
        </w:rPr>
      </w:pPr>
      <w:r w:rsidRPr="007F6360">
        <w:rPr>
          <w:lang w:eastAsia="bg-BG"/>
        </w:rPr>
        <w:t xml:space="preserve">В тази точка са представени нежеланите лекарствени реакции. Нежеланите лекарствени реакции са нежелани събития, които въз основа на извършена цялостна оценка на наличната информация за нежелани събития се считат за основателно свързани с употребата на </w:t>
      </w:r>
      <w:proofErr w:type="spellStart"/>
      <w:r w:rsidRPr="007F6360">
        <w:rPr>
          <w:lang w:eastAsia="bg-BG"/>
        </w:rPr>
        <w:t>флунаризинов</w:t>
      </w:r>
      <w:proofErr w:type="spellEnd"/>
      <w:r w:rsidRPr="007F6360">
        <w:rPr>
          <w:lang w:eastAsia="bg-BG"/>
        </w:rPr>
        <w:t xml:space="preserve"> хидрохлорид. В отделни случаи не може да се установи надеждна причинно- следствена връзка с </w:t>
      </w:r>
      <w:proofErr w:type="spellStart"/>
      <w:r w:rsidRPr="007F6360">
        <w:rPr>
          <w:lang w:eastAsia="bg-BG"/>
        </w:rPr>
        <w:t>флунаризинов</w:t>
      </w:r>
      <w:proofErr w:type="spellEnd"/>
      <w:r w:rsidRPr="007F6360">
        <w:rPr>
          <w:lang w:eastAsia="bg-BG"/>
        </w:rPr>
        <w:t xml:space="preserve"> хидрохлорид. Освен това, тъй като клиничните изпитвания се провеждат при най-различни условия, честотата на възникване на нежелани лекарствени реакции, наблюдавана при клиничните изпитвания на един лекарствен продукт, не може директно да се сравняват с честотата на възникване в клиничните изпитвания на друг лекарствен продукт и може да не отразяват честотата на възникване, наблюдавана в клиничната практика.</w:t>
      </w:r>
    </w:p>
    <w:p w14:paraId="11CBA27B" w14:textId="77777777" w:rsidR="007F6360" w:rsidRDefault="007F6360" w:rsidP="007F6360">
      <w:pPr>
        <w:rPr>
          <w:lang w:eastAsia="bg-BG"/>
        </w:rPr>
      </w:pPr>
    </w:p>
    <w:p w14:paraId="4FE2AC95" w14:textId="60A41522" w:rsidR="007F6360" w:rsidRPr="007F6360" w:rsidRDefault="007F6360" w:rsidP="007F6360">
      <w:pPr>
        <w:rPr>
          <w:sz w:val="24"/>
          <w:szCs w:val="24"/>
        </w:rPr>
      </w:pPr>
      <w:r w:rsidRPr="007F6360">
        <w:rPr>
          <w:lang w:eastAsia="bg-BG"/>
        </w:rPr>
        <w:t xml:space="preserve">Безопасността на </w:t>
      </w:r>
      <w:proofErr w:type="spellStart"/>
      <w:r w:rsidRPr="007F6360">
        <w:rPr>
          <w:lang w:eastAsia="bg-BG"/>
        </w:rPr>
        <w:t>Сибелиум</w:t>
      </w:r>
      <w:proofErr w:type="spellEnd"/>
      <w:r w:rsidRPr="007F6360">
        <w:rPr>
          <w:lang w:eastAsia="bg-BG"/>
        </w:rPr>
        <w:t xml:space="preserve"> е оценена при 247 пациенти, лекувани с </w:t>
      </w:r>
      <w:proofErr w:type="spellStart"/>
      <w:r w:rsidRPr="007F6360">
        <w:rPr>
          <w:lang w:eastAsia="bg-BG"/>
        </w:rPr>
        <w:t>флунаризин</w:t>
      </w:r>
      <w:proofErr w:type="spellEnd"/>
      <w:r w:rsidRPr="007F6360">
        <w:rPr>
          <w:lang w:eastAsia="bg-BG"/>
        </w:rPr>
        <w:t xml:space="preserve">, които са взели участие в две плацебо-контролирани клинични проучвания и 476 пациенти, лекувани с </w:t>
      </w:r>
      <w:proofErr w:type="spellStart"/>
      <w:r w:rsidRPr="007F6360">
        <w:rPr>
          <w:lang w:eastAsia="bg-BG"/>
        </w:rPr>
        <w:t>флунаризин</w:t>
      </w:r>
      <w:proofErr w:type="spellEnd"/>
      <w:r w:rsidRPr="007F6360">
        <w:rPr>
          <w:lang w:eastAsia="bg-BG"/>
        </w:rPr>
        <w:t xml:space="preserve">, които са взели участие в две контролирани с </w:t>
      </w:r>
      <w:proofErr w:type="spellStart"/>
      <w:r w:rsidRPr="007F6360">
        <w:rPr>
          <w:lang w:eastAsia="bg-BG"/>
        </w:rPr>
        <w:t>компаратор</w:t>
      </w:r>
      <w:proofErr w:type="spellEnd"/>
      <w:r w:rsidRPr="007F6360">
        <w:rPr>
          <w:lang w:eastAsia="bg-BG"/>
        </w:rPr>
        <w:t xml:space="preserve"> клинични проучвания за лечение на световъртеж и/или мигрена. Въз основа на обобщените данни за безопасност от тези проучвания най-често съобщаваните (честота </w:t>
      </w:r>
      <w:r w:rsidRPr="007F6360">
        <w:rPr>
          <w:lang w:val="en-US"/>
        </w:rPr>
        <w:t>≥</w:t>
      </w:r>
      <w:r w:rsidRPr="007F6360">
        <w:rPr>
          <w:lang w:eastAsia="bg-BG"/>
        </w:rPr>
        <w:t xml:space="preserve"> 4%) нежелани лекарствени реакции (НЛР) са (% честота): повишено тегло (11%); сънливост (9%), депресия (5%); повишен апетит (4%) и ринит (4%).</w:t>
      </w:r>
    </w:p>
    <w:p w14:paraId="4603A001" w14:textId="77777777" w:rsidR="007F6360" w:rsidRPr="007F6360" w:rsidRDefault="007F6360" w:rsidP="007F6360">
      <w:pPr>
        <w:rPr>
          <w:sz w:val="24"/>
          <w:szCs w:val="24"/>
        </w:rPr>
      </w:pPr>
      <w:r w:rsidRPr="007F6360">
        <w:rPr>
          <w:lang w:eastAsia="bg-BG"/>
        </w:rPr>
        <w:lastRenderedPageBreak/>
        <w:t xml:space="preserve">Освен горепосочените НЛР, таблицата по-долу показва НЛР съобщени по време на клинични проучвания и от </w:t>
      </w:r>
      <w:proofErr w:type="spellStart"/>
      <w:r w:rsidRPr="007F6360">
        <w:rPr>
          <w:lang w:eastAsia="bg-BG"/>
        </w:rPr>
        <w:t>постмаркетингов</w:t>
      </w:r>
      <w:proofErr w:type="spellEnd"/>
      <w:r w:rsidRPr="007F6360">
        <w:rPr>
          <w:lang w:eastAsia="bg-BG"/>
        </w:rPr>
        <w:t xml:space="preserve"> опит при употребата на </w:t>
      </w:r>
      <w:proofErr w:type="spellStart"/>
      <w:r w:rsidRPr="007F6360">
        <w:rPr>
          <w:lang w:eastAsia="bg-BG"/>
        </w:rPr>
        <w:t>флунаризин</w:t>
      </w:r>
      <w:proofErr w:type="spellEnd"/>
      <w:r w:rsidRPr="007F6360">
        <w:rPr>
          <w:lang w:eastAsia="bg-BG"/>
        </w:rPr>
        <w:t>. Честотите са посочени в съответствие със следната конвенция:</w:t>
      </w:r>
    </w:p>
    <w:p w14:paraId="141E11F8" w14:textId="78584CEB" w:rsidR="007F6360" w:rsidRDefault="007F6360" w:rsidP="007F6360">
      <w:pPr>
        <w:rPr>
          <w:lang w:eastAsia="bg-BG"/>
        </w:rPr>
      </w:pPr>
      <w:r w:rsidRPr="007F6360">
        <w:rPr>
          <w:lang w:eastAsia="bg-BG"/>
        </w:rPr>
        <w:t>Много чести (</w:t>
      </w:r>
      <w:r w:rsidRPr="007F6360">
        <w:rPr>
          <w:lang w:val="en-US"/>
        </w:rPr>
        <w:t>≥</w:t>
      </w:r>
      <w:r w:rsidRPr="007F6360">
        <w:rPr>
          <w:lang w:eastAsia="bg-BG"/>
        </w:rPr>
        <w:t xml:space="preserve"> 1/10); чести (</w:t>
      </w:r>
      <w:r w:rsidRPr="007F6360">
        <w:rPr>
          <w:lang w:val="en-US"/>
        </w:rPr>
        <w:t>≥</w:t>
      </w:r>
      <w:r w:rsidRPr="007F6360">
        <w:rPr>
          <w:lang w:eastAsia="bg-BG"/>
        </w:rPr>
        <w:t xml:space="preserve"> 1/100 до &lt; 1/10); нечести (</w:t>
      </w:r>
      <w:r w:rsidRPr="007F6360">
        <w:rPr>
          <w:lang w:val="en-US"/>
        </w:rPr>
        <w:t>≥</w:t>
      </w:r>
      <w:r w:rsidRPr="007F6360">
        <w:rPr>
          <w:lang w:eastAsia="bg-BG"/>
        </w:rPr>
        <w:t xml:space="preserve"> 1/1000 до &lt; 1/100); редки (</w:t>
      </w:r>
      <w:r w:rsidRPr="007F6360">
        <w:rPr>
          <w:lang w:val="en-US"/>
        </w:rPr>
        <w:t>≥</w:t>
      </w:r>
      <w:r w:rsidRPr="007F6360">
        <w:rPr>
          <w:lang w:eastAsia="bg-BG"/>
        </w:rPr>
        <w:t xml:space="preserve"> 1/10 000 до &lt;1/1000); много редки (&lt;1/10 000), с неизвестна честота (от наличните данни не може да бъде направена оценка).</w:t>
      </w:r>
    </w:p>
    <w:p w14:paraId="6E8BCFF9" w14:textId="04B6865C" w:rsidR="007F6360" w:rsidRDefault="007F6360" w:rsidP="007F6360">
      <w:pPr>
        <w:rPr>
          <w:lang w:eastAsia="bg-BG"/>
        </w:rPr>
      </w:pPr>
    </w:p>
    <w:tbl>
      <w:tblPr>
        <w:tblStyle w:val="TableGrid"/>
        <w:tblW w:w="0" w:type="auto"/>
        <w:tblLook w:val="04A0" w:firstRow="1" w:lastRow="0" w:firstColumn="1" w:lastColumn="0" w:noHBand="0" w:noVBand="1"/>
      </w:tblPr>
      <w:tblGrid>
        <w:gridCol w:w="2574"/>
        <w:gridCol w:w="1239"/>
        <w:gridCol w:w="1554"/>
        <w:gridCol w:w="2095"/>
        <w:gridCol w:w="2114"/>
      </w:tblGrid>
      <w:tr w:rsidR="007F6360" w14:paraId="40879D94" w14:textId="77777777" w:rsidTr="007F6360">
        <w:tc>
          <w:tcPr>
            <w:tcW w:w="2052" w:type="dxa"/>
            <w:vMerge w:val="restart"/>
          </w:tcPr>
          <w:p w14:paraId="792925AB" w14:textId="6BCA2529" w:rsidR="007F6360" w:rsidRPr="007F6360" w:rsidRDefault="007F6360" w:rsidP="007F6360">
            <w:pPr>
              <w:rPr>
                <w:sz w:val="20"/>
                <w:szCs w:val="20"/>
              </w:rPr>
            </w:pPr>
            <w:proofErr w:type="spellStart"/>
            <w:r w:rsidRPr="007F6360">
              <w:rPr>
                <w:rFonts w:cs="Arial"/>
                <w:b/>
                <w:bCs/>
              </w:rPr>
              <w:t>Системоорганен</w:t>
            </w:r>
            <w:proofErr w:type="spellEnd"/>
            <w:r w:rsidRPr="007F6360">
              <w:rPr>
                <w:rFonts w:cs="Arial"/>
                <w:b/>
                <w:bCs/>
              </w:rPr>
              <w:t xml:space="preserve"> клас</w:t>
            </w:r>
          </w:p>
        </w:tc>
        <w:tc>
          <w:tcPr>
            <w:tcW w:w="7524" w:type="dxa"/>
            <w:gridSpan w:val="4"/>
          </w:tcPr>
          <w:p w14:paraId="0FFEE443" w14:textId="2C57198E" w:rsidR="007F6360" w:rsidRPr="007F6360" w:rsidRDefault="007F6360" w:rsidP="007F6360">
            <w:r w:rsidRPr="007F6360">
              <w:rPr>
                <w:rFonts w:cs="Arial"/>
                <w:b/>
                <w:bCs/>
              </w:rPr>
              <w:t>Нежелани лекарствени реакции</w:t>
            </w:r>
          </w:p>
        </w:tc>
      </w:tr>
      <w:tr w:rsidR="007F6360" w14:paraId="68D8EDE7" w14:textId="77777777" w:rsidTr="007F6360">
        <w:tc>
          <w:tcPr>
            <w:tcW w:w="2052" w:type="dxa"/>
            <w:vMerge/>
          </w:tcPr>
          <w:p w14:paraId="2DB51C4B" w14:textId="77777777" w:rsidR="007F6360" w:rsidRDefault="007F6360" w:rsidP="007F6360">
            <w:pPr>
              <w:rPr>
                <w:sz w:val="24"/>
                <w:szCs w:val="24"/>
              </w:rPr>
            </w:pPr>
          </w:p>
        </w:tc>
        <w:tc>
          <w:tcPr>
            <w:tcW w:w="7524" w:type="dxa"/>
            <w:gridSpan w:val="4"/>
          </w:tcPr>
          <w:p w14:paraId="3DB877CE" w14:textId="247C28A4" w:rsidR="007F6360" w:rsidRPr="007F6360" w:rsidRDefault="007F6360" w:rsidP="007F6360">
            <w:r w:rsidRPr="007F6360">
              <w:rPr>
                <w:rFonts w:cs="Arial"/>
                <w:b/>
                <w:bCs/>
              </w:rPr>
              <w:t>Категория честота</w:t>
            </w:r>
          </w:p>
        </w:tc>
      </w:tr>
      <w:tr w:rsidR="007F6360" w14:paraId="1EA29840" w14:textId="77777777" w:rsidTr="007F6360">
        <w:tc>
          <w:tcPr>
            <w:tcW w:w="2052" w:type="dxa"/>
            <w:vMerge/>
          </w:tcPr>
          <w:p w14:paraId="652BAF7A" w14:textId="77777777" w:rsidR="007F6360" w:rsidRDefault="007F6360" w:rsidP="007F6360">
            <w:pPr>
              <w:rPr>
                <w:sz w:val="24"/>
                <w:szCs w:val="24"/>
              </w:rPr>
            </w:pPr>
          </w:p>
        </w:tc>
        <w:tc>
          <w:tcPr>
            <w:tcW w:w="1471" w:type="dxa"/>
          </w:tcPr>
          <w:p w14:paraId="57F7BF20" w14:textId="6560629D" w:rsidR="007F6360" w:rsidRPr="007F6360" w:rsidRDefault="007F6360" w:rsidP="007F6360">
            <w:r w:rsidRPr="007F6360">
              <w:rPr>
                <w:rFonts w:cs="Arial"/>
                <w:b/>
                <w:bCs/>
              </w:rPr>
              <w:t>Много чести (</w:t>
            </w:r>
            <w:r w:rsidRPr="007F6360">
              <w:rPr>
                <w:rFonts w:cs="Arial"/>
                <w:b/>
                <w:bCs/>
                <w:lang w:val="en-US"/>
              </w:rPr>
              <w:t>≥</w:t>
            </w:r>
            <w:r w:rsidRPr="007F6360">
              <w:rPr>
                <w:rFonts w:cs="Arial"/>
                <w:b/>
                <w:bCs/>
              </w:rPr>
              <w:t xml:space="preserve"> 1/10)</w:t>
            </w:r>
          </w:p>
        </w:tc>
        <w:tc>
          <w:tcPr>
            <w:tcW w:w="1697" w:type="dxa"/>
          </w:tcPr>
          <w:p w14:paraId="566C065D" w14:textId="3DB401C5" w:rsidR="007F6360" w:rsidRPr="007F6360" w:rsidRDefault="007F6360" w:rsidP="007F6360">
            <w:r w:rsidRPr="007F6360">
              <w:rPr>
                <w:rFonts w:cs="Arial"/>
                <w:b/>
                <w:bCs/>
              </w:rPr>
              <w:t>Чести (</w:t>
            </w:r>
            <w:r w:rsidRPr="007F6360">
              <w:rPr>
                <w:rFonts w:cs="Arial"/>
                <w:b/>
                <w:bCs/>
                <w:lang w:val="en-US"/>
              </w:rPr>
              <w:t>≥</w:t>
            </w:r>
            <w:r w:rsidRPr="007F6360">
              <w:rPr>
                <w:rFonts w:cs="Arial"/>
                <w:b/>
                <w:bCs/>
              </w:rPr>
              <w:t>1/100 до &lt;1/10)</w:t>
            </w:r>
          </w:p>
        </w:tc>
        <w:tc>
          <w:tcPr>
            <w:tcW w:w="2168" w:type="dxa"/>
          </w:tcPr>
          <w:p w14:paraId="093D1287" w14:textId="3DB4A926" w:rsidR="007F6360" w:rsidRPr="007F6360" w:rsidRDefault="007F6360" w:rsidP="007F6360">
            <w:r w:rsidRPr="007F6360">
              <w:rPr>
                <w:rFonts w:cs="Arial"/>
                <w:b/>
                <w:bCs/>
              </w:rPr>
              <w:t>Нечести (</w:t>
            </w:r>
            <w:r w:rsidRPr="007F6360">
              <w:rPr>
                <w:rFonts w:cs="Arial"/>
                <w:b/>
                <w:bCs/>
                <w:lang w:val="en-US"/>
              </w:rPr>
              <w:t>≥</w:t>
            </w:r>
            <w:r w:rsidRPr="007F6360">
              <w:rPr>
                <w:rFonts w:cs="Arial"/>
                <w:b/>
                <w:bCs/>
              </w:rPr>
              <w:t xml:space="preserve"> 1/1000 до &lt;1/100)</w:t>
            </w:r>
          </w:p>
        </w:tc>
        <w:tc>
          <w:tcPr>
            <w:tcW w:w="2188" w:type="dxa"/>
          </w:tcPr>
          <w:p w14:paraId="06FC785F" w14:textId="56C9F4B0" w:rsidR="007F6360" w:rsidRPr="007F6360" w:rsidRDefault="007F6360" w:rsidP="007F6360">
            <w:r w:rsidRPr="007F6360">
              <w:rPr>
                <w:rFonts w:cs="Arial"/>
                <w:b/>
                <w:bCs/>
              </w:rPr>
              <w:t>С неизвестна честота</w:t>
            </w:r>
          </w:p>
        </w:tc>
      </w:tr>
      <w:tr w:rsidR="007F6360" w14:paraId="4F37C178" w14:textId="77777777" w:rsidTr="007F6360">
        <w:tc>
          <w:tcPr>
            <w:tcW w:w="2052" w:type="dxa"/>
          </w:tcPr>
          <w:p w14:paraId="5EB78A84" w14:textId="4F893508" w:rsidR="007F6360" w:rsidRPr="007F6360" w:rsidRDefault="007F6360" w:rsidP="007F6360">
            <w:pPr>
              <w:rPr>
                <w:sz w:val="24"/>
                <w:szCs w:val="24"/>
              </w:rPr>
            </w:pPr>
            <w:r w:rsidRPr="007F6360">
              <w:rPr>
                <w:rFonts w:cs="Arial"/>
                <w:b/>
                <w:bCs/>
                <w:sz w:val="24"/>
                <w:szCs w:val="24"/>
              </w:rPr>
              <w:t xml:space="preserve">Инфекции и </w:t>
            </w:r>
            <w:proofErr w:type="spellStart"/>
            <w:r w:rsidRPr="007F6360">
              <w:rPr>
                <w:rFonts w:cs="Arial"/>
                <w:b/>
                <w:bCs/>
                <w:sz w:val="24"/>
                <w:szCs w:val="24"/>
              </w:rPr>
              <w:t>инфестации</w:t>
            </w:r>
            <w:proofErr w:type="spellEnd"/>
          </w:p>
        </w:tc>
        <w:tc>
          <w:tcPr>
            <w:tcW w:w="1471" w:type="dxa"/>
          </w:tcPr>
          <w:p w14:paraId="4249DDCB" w14:textId="77777777" w:rsidR="007F6360" w:rsidRPr="007F6360" w:rsidRDefault="007F6360" w:rsidP="007F6360">
            <w:pPr>
              <w:rPr>
                <w:sz w:val="24"/>
                <w:szCs w:val="24"/>
              </w:rPr>
            </w:pPr>
          </w:p>
        </w:tc>
        <w:tc>
          <w:tcPr>
            <w:tcW w:w="1697" w:type="dxa"/>
          </w:tcPr>
          <w:p w14:paraId="26CE878B" w14:textId="5DC457AC" w:rsidR="007F6360" w:rsidRPr="007F6360" w:rsidRDefault="007F6360" w:rsidP="007F6360">
            <w:pPr>
              <w:rPr>
                <w:sz w:val="24"/>
                <w:szCs w:val="24"/>
              </w:rPr>
            </w:pPr>
            <w:r w:rsidRPr="007F6360">
              <w:rPr>
                <w:rFonts w:cs="Arial"/>
                <w:sz w:val="24"/>
                <w:szCs w:val="24"/>
              </w:rPr>
              <w:t>Ринит</w:t>
            </w:r>
          </w:p>
        </w:tc>
        <w:tc>
          <w:tcPr>
            <w:tcW w:w="2168" w:type="dxa"/>
          </w:tcPr>
          <w:p w14:paraId="5C32AE52" w14:textId="77777777" w:rsidR="007F6360" w:rsidRPr="007F6360" w:rsidRDefault="007F6360" w:rsidP="007F6360">
            <w:pPr>
              <w:rPr>
                <w:sz w:val="24"/>
                <w:szCs w:val="24"/>
              </w:rPr>
            </w:pPr>
          </w:p>
        </w:tc>
        <w:tc>
          <w:tcPr>
            <w:tcW w:w="2188" w:type="dxa"/>
          </w:tcPr>
          <w:p w14:paraId="1F565CED" w14:textId="77777777" w:rsidR="007F6360" w:rsidRPr="007F6360" w:rsidRDefault="007F6360" w:rsidP="007F6360">
            <w:pPr>
              <w:rPr>
                <w:sz w:val="24"/>
                <w:szCs w:val="24"/>
              </w:rPr>
            </w:pPr>
          </w:p>
        </w:tc>
      </w:tr>
      <w:tr w:rsidR="007F6360" w14:paraId="11DFEF3C" w14:textId="77777777" w:rsidTr="007F6360">
        <w:tc>
          <w:tcPr>
            <w:tcW w:w="2052" w:type="dxa"/>
          </w:tcPr>
          <w:p w14:paraId="2905FC7A" w14:textId="506448E2" w:rsidR="007F6360" w:rsidRPr="007F6360" w:rsidRDefault="007F6360" w:rsidP="007F6360">
            <w:pPr>
              <w:rPr>
                <w:sz w:val="24"/>
                <w:szCs w:val="24"/>
              </w:rPr>
            </w:pPr>
            <w:r w:rsidRPr="007F6360">
              <w:rPr>
                <w:rFonts w:cs="Arial"/>
                <w:b/>
                <w:bCs/>
                <w:sz w:val="24"/>
                <w:szCs w:val="24"/>
              </w:rPr>
              <w:t xml:space="preserve">Нарушения </w:t>
            </w:r>
            <w:proofErr w:type="spellStart"/>
            <w:r w:rsidRPr="007F6360">
              <w:rPr>
                <w:rFonts w:cs="Arial"/>
                <w:b/>
                <w:bCs/>
                <w:sz w:val="24"/>
                <w:szCs w:val="24"/>
              </w:rPr>
              <w:t>иа</w:t>
            </w:r>
            <w:proofErr w:type="spellEnd"/>
            <w:r w:rsidRPr="007F6360">
              <w:rPr>
                <w:rFonts w:cs="Arial"/>
                <w:b/>
                <w:bCs/>
                <w:sz w:val="24"/>
                <w:szCs w:val="24"/>
              </w:rPr>
              <w:t xml:space="preserve"> имунната система</w:t>
            </w:r>
          </w:p>
        </w:tc>
        <w:tc>
          <w:tcPr>
            <w:tcW w:w="1471" w:type="dxa"/>
          </w:tcPr>
          <w:p w14:paraId="65B38CAA" w14:textId="77777777" w:rsidR="007F6360" w:rsidRPr="007F6360" w:rsidRDefault="007F6360" w:rsidP="007F6360">
            <w:pPr>
              <w:rPr>
                <w:sz w:val="24"/>
                <w:szCs w:val="24"/>
              </w:rPr>
            </w:pPr>
          </w:p>
        </w:tc>
        <w:tc>
          <w:tcPr>
            <w:tcW w:w="1697" w:type="dxa"/>
          </w:tcPr>
          <w:p w14:paraId="34284660" w14:textId="77777777" w:rsidR="007F6360" w:rsidRPr="007F6360" w:rsidRDefault="007F6360" w:rsidP="007F6360">
            <w:pPr>
              <w:rPr>
                <w:sz w:val="24"/>
                <w:szCs w:val="24"/>
              </w:rPr>
            </w:pPr>
          </w:p>
        </w:tc>
        <w:tc>
          <w:tcPr>
            <w:tcW w:w="2168" w:type="dxa"/>
          </w:tcPr>
          <w:p w14:paraId="0820AAF1" w14:textId="324CF96B" w:rsidR="007F6360" w:rsidRPr="007F6360" w:rsidRDefault="007F6360" w:rsidP="007F6360">
            <w:pPr>
              <w:rPr>
                <w:sz w:val="24"/>
                <w:szCs w:val="24"/>
              </w:rPr>
            </w:pPr>
            <w:proofErr w:type="spellStart"/>
            <w:r w:rsidRPr="007F6360">
              <w:rPr>
                <w:rFonts w:cs="Arial"/>
                <w:sz w:val="24"/>
                <w:szCs w:val="24"/>
              </w:rPr>
              <w:t>Свръхчувствител</w:t>
            </w:r>
            <w:proofErr w:type="spellEnd"/>
            <w:r w:rsidRPr="007F6360">
              <w:rPr>
                <w:rFonts w:cs="Arial"/>
                <w:sz w:val="24"/>
                <w:szCs w:val="24"/>
              </w:rPr>
              <w:t xml:space="preserve"> </w:t>
            </w:r>
            <w:proofErr w:type="spellStart"/>
            <w:r w:rsidRPr="007F6360">
              <w:rPr>
                <w:rFonts w:cs="Arial"/>
                <w:sz w:val="24"/>
                <w:szCs w:val="24"/>
              </w:rPr>
              <w:t>ност</w:t>
            </w:r>
            <w:proofErr w:type="spellEnd"/>
          </w:p>
        </w:tc>
        <w:tc>
          <w:tcPr>
            <w:tcW w:w="2188" w:type="dxa"/>
          </w:tcPr>
          <w:p w14:paraId="684A9FC3" w14:textId="77777777" w:rsidR="007F6360" w:rsidRPr="007F6360" w:rsidRDefault="007F6360" w:rsidP="007F6360">
            <w:pPr>
              <w:rPr>
                <w:sz w:val="24"/>
                <w:szCs w:val="24"/>
              </w:rPr>
            </w:pPr>
          </w:p>
        </w:tc>
      </w:tr>
      <w:tr w:rsidR="007F6360" w14:paraId="66563AFB" w14:textId="77777777" w:rsidTr="007F6360">
        <w:tc>
          <w:tcPr>
            <w:tcW w:w="2052" w:type="dxa"/>
          </w:tcPr>
          <w:p w14:paraId="56E979C8" w14:textId="4E094640" w:rsidR="007F6360" w:rsidRPr="007F6360" w:rsidRDefault="007F6360" w:rsidP="007F6360">
            <w:pPr>
              <w:rPr>
                <w:sz w:val="24"/>
                <w:szCs w:val="24"/>
              </w:rPr>
            </w:pPr>
            <w:r w:rsidRPr="007F6360">
              <w:rPr>
                <w:rFonts w:cs="Arial"/>
                <w:b/>
                <w:bCs/>
                <w:sz w:val="24"/>
                <w:szCs w:val="24"/>
              </w:rPr>
              <w:t>Нарушения на метаболизма и храненето</w:t>
            </w:r>
          </w:p>
        </w:tc>
        <w:tc>
          <w:tcPr>
            <w:tcW w:w="1471" w:type="dxa"/>
          </w:tcPr>
          <w:p w14:paraId="55F1D535" w14:textId="77777777" w:rsidR="007F6360" w:rsidRPr="007F6360" w:rsidRDefault="007F6360" w:rsidP="007F6360">
            <w:pPr>
              <w:rPr>
                <w:sz w:val="24"/>
                <w:szCs w:val="24"/>
              </w:rPr>
            </w:pPr>
          </w:p>
        </w:tc>
        <w:tc>
          <w:tcPr>
            <w:tcW w:w="1697" w:type="dxa"/>
          </w:tcPr>
          <w:p w14:paraId="398D2D25" w14:textId="54D8F0EC" w:rsidR="007F6360" w:rsidRPr="007F6360" w:rsidRDefault="007F6360" w:rsidP="007F6360">
            <w:pPr>
              <w:rPr>
                <w:sz w:val="24"/>
                <w:szCs w:val="24"/>
              </w:rPr>
            </w:pPr>
            <w:r w:rsidRPr="007F6360">
              <w:rPr>
                <w:rFonts w:cs="Arial"/>
                <w:sz w:val="24"/>
                <w:szCs w:val="24"/>
              </w:rPr>
              <w:t>Повишен апетит</w:t>
            </w:r>
          </w:p>
        </w:tc>
        <w:tc>
          <w:tcPr>
            <w:tcW w:w="2168" w:type="dxa"/>
          </w:tcPr>
          <w:p w14:paraId="7809A494" w14:textId="77777777" w:rsidR="007F6360" w:rsidRPr="007F6360" w:rsidRDefault="007F6360" w:rsidP="007F6360">
            <w:pPr>
              <w:rPr>
                <w:sz w:val="24"/>
                <w:szCs w:val="24"/>
              </w:rPr>
            </w:pPr>
          </w:p>
        </w:tc>
        <w:tc>
          <w:tcPr>
            <w:tcW w:w="2188" w:type="dxa"/>
          </w:tcPr>
          <w:p w14:paraId="24FBAE30" w14:textId="77777777" w:rsidR="007F6360" w:rsidRPr="007F6360" w:rsidRDefault="007F6360" w:rsidP="007F6360">
            <w:pPr>
              <w:rPr>
                <w:sz w:val="24"/>
                <w:szCs w:val="24"/>
              </w:rPr>
            </w:pPr>
          </w:p>
        </w:tc>
      </w:tr>
      <w:tr w:rsidR="007F6360" w14:paraId="5A5D0B34" w14:textId="77777777" w:rsidTr="007F6360">
        <w:tc>
          <w:tcPr>
            <w:tcW w:w="2052" w:type="dxa"/>
          </w:tcPr>
          <w:p w14:paraId="15219D55" w14:textId="219F6840" w:rsidR="007F6360" w:rsidRPr="007F6360" w:rsidRDefault="007F6360" w:rsidP="007F6360">
            <w:pPr>
              <w:rPr>
                <w:sz w:val="24"/>
                <w:szCs w:val="24"/>
              </w:rPr>
            </w:pPr>
            <w:r w:rsidRPr="007F6360">
              <w:rPr>
                <w:rFonts w:cs="Arial"/>
                <w:b/>
                <w:bCs/>
                <w:sz w:val="24"/>
                <w:szCs w:val="24"/>
              </w:rPr>
              <w:t>Психични нарушения</w:t>
            </w:r>
          </w:p>
        </w:tc>
        <w:tc>
          <w:tcPr>
            <w:tcW w:w="1471" w:type="dxa"/>
          </w:tcPr>
          <w:p w14:paraId="459D79CE" w14:textId="77777777" w:rsidR="007F6360" w:rsidRPr="007F6360" w:rsidRDefault="007F6360" w:rsidP="007F6360">
            <w:pPr>
              <w:rPr>
                <w:sz w:val="24"/>
                <w:szCs w:val="24"/>
              </w:rPr>
            </w:pPr>
          </w:p>
        </w:tc>
        <w:tc>
          <w:tcPr>
            <w:tcW w:w="1697" w:type="dxa"/>
          </w:tcPr>
          <w:p w14:paraId="4556A8F4" w14:textId="7B6F22E8" w:rsidR="007F6360" w:rsidRPr="007F6360" w:rsidRDefault="007F6360" w:rsidP="007F6360">
            <w:pPr>
              <w:rPr>
                <w:sz w:val="24"/>
                <w:szCs w:val="24"/>
              </w:rPr>
            </w:pPr>
            <w:r w:rsidRPr="007F6360">
              <w:rPr>
                <w:rFonts w:cs="Arial"/>
                <w:sz w:val="24"/>
                <w:szCs w:val="24"/>
              </w:rPr>
              <w:t>Депресия, безсъние</w:t>
            </w:r>
          </w:p>
        </w:tc>
        <w:tc>
          <w:tcPr>
            <w:tcW w:w="2168" w:type="dxa"/>
          </w:tcPr>
          <w:p w14:paraId="289C7FAB" w14:textId="719B1F4E" w:rsidR="007F6360" w:rsidRPr="007F6360" w:rsidRDefault="007F6360" w:rsidP="007F6360">
            <w:pPr>
              <w:rPr>
                <w:sz w:val="24"/>
                <w:szCs w:val="24"/>
              </w:rPr>
            </w:pPr>
            <w:r w:rsidRPr="007F6360">
              <w:rPr>
                <w:rFonts w:cs="Arial"/>
                <w:sz w:val="24"/>
                <w:szCs w:val="24"/>
              </w:rPr>
              <w:t>Депресивен симптом, нарушен сън, апатия, тревожност</w:t>
            </w:r>
          </w:p>
        </w:tc>
        <w:tc>
          <w:tcPr>
            <w:tcW w:w="2188" w:type="dxa"/>
          </w:tcPr>
          <w:p w14:paraId="16DA9399" w14:textId="77777777" w:rsidR="007F6360" w:rsidRPr="007F6360" w:rsidRDefault="007F6360" w:rsidP="007F6360">
            <w:pPr>
              <w:rPr>
                <w:sz w:val="24"/>
                <w:szCs w:val="24"/>
              </w:rPr>
            </w:pPr>
          </w:p>
        </w:tc>
      </w:tr>
      <w:tr w:rsidR="007F6360" w14:paraId="6AA78832" w14:textId="77777777" w:rsidTr="007F6360">
        <w:tc>
          <w:tcPr>
            <w:tcW w:w="2052" w:type="dxa"/>
          </w:tcPr>
          <w:p w14:paraId="3E83B3B1" w14:textId="670CEB72" w:rsidR="007F6360" w:rsidRPr="007F6360" w:rsidRDefault="007F6360" w:rsidP="007F6360">
            <w:pPr>
              <w:rPr>
                <w:sz w:val="24"/>
                <w:szCs w:val="24"/>
              </w:rPr>
            </w:pPr>
            <w:r w:rsidRPr="007F6360">
              <w:rPr>
                <w:rFonts w:cs="Arial"/>
                <w:b/>
                <w:bCs/>
                <w:sz w:val="24"/>
                <w:szCs w:val="24"/>
              </w:rPr>
              <w:t>Нарушения на нервната система</w:t>
            </w:r>
          </w:p>
        </w:tc>
        <w:tc>
          <w:tcPr>
            <w:tcW w:w="1471" w:type="dxa"/>
          </w:tcPr>
          <w:p w14:paraId="5D91530F" w14:textId="77777777" w:rsidR="007F6360" w:rsidRPr="007F6360" w:rsidRDefault="007F6360" w:rsidP="007F6360">
            <w:pPr>
              <w:rPr>
                <w:sz w:val="24"/>
                <w:szCs w:val="24"/>
              </w:rPr>
            </w:pPr>
          </w:p>
        </w:tc>
        <w:tc>
          <w:tcPr>
            <w:tcW w:w="1697" w:type="dxa"/>
          </w:tcPr>
          <w:p w14:paraId="2B2C4469" w14:textId="75B154D8" w:rsidR="007F6360" w:rsidRPr="007F6360" w:rsidRDefault="007F6360" w:rsidP="007F6360">
            <w:pPr>
              <w:rPr>
                <w:sz w:val="24"/>
                <w:szCs w:val="24"/>
              </w:rPr>
            </w:pPr>
            <w:r w:rsidRPr="007F6360">
              <w:rPr>
                <w:rFonts w:cs="Arial"/>
                <w:sz w:val="24"/>
                <w:szCs w:val="24"/>
              </w:rPr>
              <w:t>Сънливост</w:t>
            </w:r>
          </w:p>
        </w:tc>
        <w:tc>
          <w:tcPr>
            <w:tcW w:w="2168" w:type="dxa"/>
          </w:tcPr>
          <w:p w14:paraId="5C494171" w14:textId="2F10D9E8" w:rsidR="007F6360" w:rsidRPr="007F6360" w:rsidRDefault="007F6360" w:rsidP="007F6360">
            <w:pPr>
              <w:rPr>
                <w:sz w:val="24"/>
                <w:szCs w:val="24"/>
              </w:rPr>
            </w:pPr>
            <w:proofErr w:type="spellStart"/>
            <w:r w:rsidRPr="007F6360">
              <w:rPr>
                <w:rFonts w:cs="Arial"/>
                <w:sz w:val="24"/>
                <w:szCs w:val="24"/>
              </w:rPr>
              <w:t>Абнормна</w:t>
            </w:r>
            <w:proofErr w:type="spellEnd"/>
            <w:r w:rsidRPr="007F6360">
              <w:rPr>
                <w:rFonts w:cs="Arial"/>
                <w:sz w:val="24"/>
                <w:szCs w:val="24"/>
              </w:rPr>
              <w:t xml:space="preserve"> координация, дезориентация, летаргия, </w:t>
            </w:r>
            <w:proofErr w:type="spellStart"/>
            <w:r w:rsidRPr="007F6360">
              <w:rPr>
                <w:rFonts w:cs="Arial"/>
                <w:sz w:val="24"/>
                <w:szCs w:val="24"/>
              </w:rPr>
              <w:t>парестезия</w:t>
            </w:r>
            <w:proofErr w:type="spellEnd"/>
            <w:r w:rsidRPr="007F6360">
              <w:rPr>
                <w:rFonts w:cs="Arial"/>
                <w:sz w:val="24"/>
                <w:szCs w:val="24"/>
              </w:rPr>
              <w:t xml:space="preserve">, безпокойство, вялост, </w:t>
            </w:r>
            <w:proofErr w:type="spellStart"/>
            <w:r w:rsidRPr="007F6360">
              <w:rPr>
                <w:rFonts w:cs="Arial"/>
                <w:sz w:val="24"/>
                <w:szCs w:val="24"/>
              </w:rPr>
              <w:t>тинитус</w:t>
            </w:r>
            <w:proofErr w:type="spellEnd"/>
            <w:r w:rsidRPr="007F6360">
              <w:rPr>
                <w:rFonts w:cs="Arial"/>
                <w:sz w:val="24"/>
                <w:szCs w:val="24"/>
              </w:rPr>
              <w:t xml:space="preserve">, </w:t>
            </w:r>
            <w:proofErr w:type="spellStart"/>
            <w:r w:rsidRPr="007F6360">
              <w:rPr>
                <w:rFonts w:cs="Arial"/>
                <w:sz w:val="24"/>
                <w:szCs w:val="24"/>
              </w:rPr>
              <w:t>тортиколис</w:t>
            </w:r>
            <w:proofErr w:type="spellEnd"/>
          </w:p>
        </w:tc>
        <w:tc>
          <w:tcPr>
            <w:tcW w:w="2188" w:type="dxa"/>
          </w:tcPr>
          <w:p w14:paraId="016068F7" w14:textId="34846170" w:rsidR="007F6360" w:rsidRPr="007F6360" w:rsidRDefault="007F6360" w:rsidP="007F6360">
            <w:pPr>
              <w:rPr>
                <w:sz w:val="24"/>
                <w:szCs w:val="24"/>
              </w:rPr>
            </w:pPr>
            <w:proofErr w:type="spellStart"/>
            <w:r w:rsidRPr="007F6360">
              <w:rPr>
                <w:rFonts w:cs="Arial"/>
                <w:sz w:val="24"/>
                <w:szCs w:val="24"/>
              </w:rPr>
              <w:t>Акатизия</w:t>
            </w:r>
            <w:proofErr w:type="spellEnd"/>
            <w:r w:rsidRPr="007F6360">
              <w:rPr>
                <w:rFonts w:cs="Arial"/>
                <w:sz w:val="24"/>
                <w:szCs w:val="24"/>
              </w:rPr>
              <w:t xml:space="preserve">, </w:t>
            </w:r>
            <w:proofErr w:type="spellStart"/>
            <w:r w:rsidRPr="007F6360">
              <w:rPr>
                <w:rFonts w:cs="Arial"/>
                <w:sz w:val="24"/>
                <w:szCs w:val="24"/>
              </w:rPr>
              <w:t>брадикинезия</w:t>
            </w:r>
            <w:proofErr w:type="spellEnd"/>
            <w:r w:rsidRPr="007F6360">
              <w:rPr>
                <w:rFonts w:cs="Arial"/>
                <w:sz w:val="24"/>
                <w:szCs w:val="24"/>
              </w:rPr>
              <w:t xml:space="preserve">, </w:t>
            </w:r>
            <w:proofErr w:type="spellStart"/>
            <w:r w:rsidRPr="007F6360">
              <w:rPr>
                <w:rFonts w:cs="Arial"/>
                <w:sz w:val="24"/>
                <w:szCs w:val="24"/>
              </w:rPr>
              <w:t>ригиност</w:t>
            </w:r>
            <w:proofErr w:type="spellEnd"/>
            <w:r w:rsidRPr="007F6360">
              <w:rPr>
                <w:rFonts w:cs="Arial"/>
                <w:sz w:val="24"/>
                <w:szCs w:val="24"/>
              </w:rPr>
              <w:t xml:space="preserve"> от типа „зъбчато колело”, дискинезия, есенциален тремор, </w:t>
            </w:r>
            <w:proofErr w:type="spellStart"/>
            <w:r w:rsidRPr="007F6360">
              <w:rPr>
                <w:rFonts w:cs="Arial"/>
                <w:sz w:val="24"/>
                <w:szCs w:val="24"/>
              </w:rPr>
              <w:t>екстрапирамидно</w:t>
            </w:r>
            <w:proofErr w:type="spellEnd"/>
            <w:r w:rsidRPr="007F6360">
              <w:rPr>
                <w:rFonts w:cs="Arial"/>
                <w:sz w:val="24"/>
                <w:szCs w:val="24"/>
              </w:rPr>
              <w:t xml:space="preserve"> разстройство, </w:t>
            </w:r>
            <w:proofErr w:type="spellStart"/>
            <w:r w:rsidRPr="007F6360">
              <w:rPr>
                <w:rFonts w:cs="Arial"/>
                <w:sz w:val="24"/>
                <w:szCs w:val="24"/>
              </w:rPr>
              <w:t>паркинсонизъм</w:t>
            </w:r>
            <w:proofErr w:type="spellEnd"/>
            <w:r w:rsidRPr="007F6360">
              <w:rPr>
                <w:rFonts w:cs="Arial"/>
                <w:sz w:val="24"/>
                <w:szCs w:val="24"/>
              </w:rPr>
              <w:t xml:space="preserve">, нарушения на походката, </w:t>
            </w:r>
            <w:proofErr w:type="spellStart"/>
            <w:r w:rsidRPr="007F6360">
              <w:rPr>
                <w:rFonts w:cs="Arial"/>
                <w:sz w:val="24"/>
                <w:szCs w:val="24"/>
              </w:rPr>
              <w:t>седация</w:t>
            </w:r>
            <w:proofErr w:type="spellEnd"/>
            <w:r w:rsidRPr="007F6360">
              <w:rPr>
                <w:rFonts w:cs="Arial"/>
                <w:sz w:val="24"/>
                <w:szCs w:val="24"/>
              </w:rPr>
              <w:t>, тремор</w:t>
            </w:r>
          </w:p>
        </w:tc>
      </w:tr>
      <w:tr w:rsidR="007F6360" w14:paraId="27ED4E6A" w14:textId="77777777" w:rsidTr="007F6360">
        <w:tc>
          <w:tcPr>
            <w:tcW w:w="2052" w:type="dxa"/>
          </w:tcPr>
          <w:p w14:paraId="3820D669" w14:textId="6477AC1E" w:rsidR="007F6360" w:rsidRPr="007F6360" w:rsidRDefault="007F6360" w:rsidP="007F6360">
            <w:r w:rsidRPr="007F6360">
              <w:rPr>
                <w:rFonts w:cs="Arial"/>
                <w:b/>
                <w:bCs/>
              </w:rPr>
              <w:t>Сърдечни нарушения</w:t>
            </w:r>
          </w:p>
        </w:tc>
        <w:tc>
          <w:tcPr>
            <w:tcW w:w="1471" w:type="dxa"/>
          </w:tcPr>
          <w:p w14:paraId="5ECE3CD4" w14:textId="77777777" w:rsidR="007F6360" w:rsidRPr="007F6360" w:rsidRDefault="007F6360" w:rsidP="007F6360"/>
        </w:tc>
        <w:tc>
          <w:tcPr>
            <w:tcW w:w="1697" w:type="dxa"/>
          </w:tcPr>
          <w:p w14:paraId="2900842F" w14:textId="77777777" w:rsidR="007F6360" w:rsidRPr="007F6360" w:rsidRDefault="007F6360" w:rsidP="007F6360"/>
        </w:tc>
        <w:tc>
          <w:tcPr>
            <w:tcW w:w="2168" w:type="dxa"/>
          </w:tcPr>
          <w:p w14:paraId="13DBB985" w14:textId="5E12F70E" w:rsidR="007F6360" w:rsidRPr="007F6360" w:rsidRDefault="007F6360" w:rsidP="007F6360">
            <w:proofErr w:type="spellStart"/>
            <w:r w:rsidRPr="007F6360">
              <w:rPr>
                <w:rFonts w:cs="Arial"/>
              </w:rPr>
              <w:t>Палпитации</w:t>
            </w:r>
            <w:proofErr w:type="spellEnd"/>
          </w:p>
        </w:tc>
        <w:tc>
          <w:tcPr>
            <w:tcW w:w="2188" w:type="dxa"/>
          </w:tcPr>
          <w:p w14:paraId="6F68F0DD" w14:textId="77777777" w:rsidR="007F6360" w:rsidRPr="007F6360" w:rsidRDefault="007F6360" w:rsidP="007F6360"/>
        </w:tc>
      </w:tr>
      <w:tr w:rsidR="007F6360" w14:paraId="48B47200" w14:textId="77777777" w:rsidTr="007F6360">
        <w:tc>
          <w:tcPr>
            <w:tcW w:w="2052" w:type="dxa"/>
          </w:tcPr>
          <w:p w14:paraId="55E6035C" w14:textId="189CAD1A" w:rsidR="007F6360" w:rsidRPr="007F6360" w:rsidRDefault="007F6360" w:rsidP="007F6360">
            <w:r w:rsidRPr="007F6360">
              <w:rPr>
                <w:rFonts w:cs="Arial"/>
                <w:b/>
                <w:bCs/>
              </w:rPr>
              <w:t>Съдови нарушения</w:t>
            </w:r>
          </w:p>
        </w:tc>
        <w:tc>
          <w:tcPr>
            <w:tcW w:w="1471" w:type="dxa"/>
          </w:tcPr>
          <w:p w14:paraId="741BCBDE" w14:textId="77777777" w:rsidR="007F6360" w:rsidRPr="007F6360" w:rsidRDefault="007F6360" w:rsidP="007F6360"/>
        </w:tc>
        <w:tc>
          <w:tcPr>
            <w:tcW w:w="1697" w:type="dxa"/>
          </w:tcPr>
          <w:p w14:paraId="6968EF9E" w14:textId="77777777" w:rsidR="007F6360" w:rsidRPr="007F6360" w:rsidRDefault="007F6360" w:rsidP="007F6360"/>
        </w:tc>
        <w:tc>
          <w:tcPr>
            <w:tcW w:w="2168" w:type="dxa"/>
          </w:tcPr>
          <w:p w14:paraId="79BD76DB" w14:textId="4DA99031" w:rsidR="007F6360" w:rsidRPr="007F6360" w:rsidRDefault="007F6360" w:rsidP="007F6360">
            <w:r w:rsidRPr="007F6360">
              <w:rPr>
                <w:rFonts w:cs="Arial"/>
              </w:rPr>
              <w:t>Хипотония, зачервяване</w:t>
            </w:r>
          </w:p>
        </w:tc>
        <w:tc>
          <w:tcPr>
            <w:tcW w:w="2188" w:type="dxa"/>
          </w:tcPr>
          <w:p w14:paraId="7485B66D" w14:textId="77777777" w:rsidR="007F6360" w:rsidRPr="007F6360" w:rsidRDefault="007F6360" w:rsidP="007F6360"/>
        </w:tc>
      </w:tr>
      <w:tr w:rsidR="007F6360" w14:paraId="277E2677" w14:textId="77777777" w:rsidTr="007F6360">
        <w:tc>
          <w:tcPr>
            <w:tcW w:w="2052" w:type="dxa"/>
          </w:tcPr>
          <w:p w14:paraId="4D865453" w14:textId="7D0D8828" w:rsidR="007F6360" w:rsidRPr="007F6360" w:rsidRDefault="007F6360" w:rsidP="007F6360">
            <w:r w:rsidRPr="007F6360">
              <w:rPr>
                <w:rFonts w:cs="Arial"/>
                <w:b/>
                <w:bCs/>
              </w:rPr>
              <w:t>Стомашно-чревни нарушения</w:t>
            </w:r>
          </w:p>
        </w:tc>
        <w:tc>
          <w:tcPr>
            <w:tcW w:w="1471" w:type="dxa"/>
          </w:tcPr>
          <w:p w14:paraId="355DC454" w14:textId="77777777" w:rsidR="007F6360" w:rsidRPr="007F6360" w:rsidRDefault="007F6360" w:rsidP="007F6360"/>
        </w:tc>
        <w:tc>
          <w:tcPr>
            <w:tcW w:w="1697" w:type="dxa"/>
          </w:tcPr>
          <w:p w14:paraId="69418BA0" w14:textId="0B2D5701" w:rsidR="007F6360" w:rsidRPr="007F6360" w:rsidRDefault="007F6360" w:rsidP="007F6360">
            <w:r w:rsidRPr="007F6360">
              <w:rPr>
                <w:rFonts w:cs="Arial"/>
              </w:rPr>
              <w:t xml:space="preserve">Запек, болка в горната част на </w:t>
            </w:r>
            <w:r w:rsidRPr="007F6360">
              <w:rPr>
                <w:rFonts w:cs="Arial"/>
              </w:rPr>
              <w:lastRenderedPageBreak/>
              <w:t>корема, гадене</w:t>
            </w:r>
          </w:p>
        </w:tc>
        <w:tc>
          <w:tcPr>
            <w:tcW w:w="2168" w:type="dxa"/>
          </w:tcPr>
          <w:p w14:paraId="12967369" w14:textId="656F6733" w:rsidR="007F6360" w:rsidRPr="007F6360" w:rsidRDefault="007F6360" w:rsidP="007F6360">
            <w:r w:rsidRPr="007F6360">
              <w:rPr>
                <w:rFonts w:cs="Arial"/>
              </w:rPr>
              <w:lastRenderedPageBreak/>
              <w:t xml:space="preserve">Чревна обструкция, сухота в устата, </w:t>
            </w:r>
            <w:r w:rsidRPr="007F6360">
              <w:rPr>
                <w:rFonts w:cs="Arial"/>
              </w:rPr>
              <w:lastRenderedPageBreak/>
              <w:t>стомашно-чревно разстройство, диспепсия, повръщане</w:t>
            </w:r>
          </w:p>
        </w:tc>
        <w:tc>
          <w:tcPr>
            <w:tcW w:w="2188" w:type="dxa"/>
          </w:tcPr>
          <w:p w14:paraId="30D64768" w14:textId="77777777" w:rsidR="007F6360" w:rsidRPr="007F6360" w:rsidRDefault="007F6360" w:rsidP="007F6360"/>
        </w:tc>
      </w:tr>
      <w:tr w:rsidR="007F6360" w14:paraId="6C4E4468" w14:textId="77777777" w:rsidTr="007F6360">
        <w:tc>
          <w:tcPr>
            <w:tcW w:w="2052" w:type="dxa"/>
          </w:tcPr>
          <w:p w14:paraId="2D967A39" w14:textId="7DD70550" w:rsidR="007F6360" w:rsidRPr="007F6360" w:rsidRDefault="007F6360" w:rsidP="007F6360">
            <w:proofErr w:type="spellStart"/>
            <w:r w:rsidRPr="007F6360">
              <w:rPr>
                <w:rFonts w:cs="Arial"/>
                <w:b/>
                <w:bCs/>
              </w:rPr>
              <w:t>Хепатобилнарни</w:t>
            </w:r>
            <w:proofErr w:type="spellEnd"/>
            <w:r w:rsidRPr="007F6360">
              <w:rPr>
                <w:rFonts w:cs="Arial"/>
                <w:b/>
                <w:bCs/>
              </w:rPr>
              <w:t xml:space="preserve"> нарушения</w:t>
            </w:r>
          </w:p>
        </w:tc>
        <w:tc>
          <w:tcPr>
            <w:tcW w:w="1471" w:type="dxa"/>
          </w:tcPr>
          <w:p w14:paraId="00DBB221" w14:textId="77777777" w:rsidR="007F6360" w:rsidRPr="007F6360" w:rsidRDefault="007F6360" w:rsidP="007F6360"/>
        </w:tc>
        <w:tc>
          <w:tcPr>
            <w:tcW w:w="1697" w:type="dxa"/>
          </w:tcPr>
          <w:p w14:paraId="074D522A" w14:textId="77777777" w:rsidR="007F6360" w:rsidRPr="007F6360" w:rsidRDefault="007F6360" w:rsidP="007F6360"/>
        </w:tc>
        <w:tc>
          <w:tcPr>
            <w:tcW w:w="2168" w:type="dxa"/>
          </w:tcPr>
          <w:p w14:paraId="3C55D540" w14:textId="77777777" w:rsidR="007F6360" w:rsidRPr="007F6360" w:rsidRDefault="007F6360" w:rsidP="007F6360"/>
        </w:tc>
        <w:tc>
          <w:tcPr>
            <w:tcW w:w="2188" w:type="dxa"/>
          </w:tcPr>
          <w:p w14:paraId="43E2BBDF" w14:textId="3CF3BC95" w:rsidR="007F6360" w:rsidRPr="007F6360" w:rsidRDefault="007F6360" w:rsidP="007F6360">
            <w:r w:rsidRPr="007F6360">
              <w:rPr>
                <w:rFonts w:cs="Arial"/>
              </w:rPr>
              <w:t xml:space="preserve">Повишени чернодробни </w:t>
            </w:r>
            <w:proofErr w:type="spellStart"/>
            <w:r w:rsidRPr="007F6360">
              <w:rPr>
                <w:rFonts w:cs="Arial"/>
              </w:rPr>
              <w:t>трансаминази</w:t>
            </w:r>
            <w:proofErr w:type="spellEnd"/>
          </w:p>
        </w:tc>
      </w:tr>
      <w:tr w:rsidR="007F6360" w14:paraId="3963F20B" w14:textId="77777777" w:rsidTr="007F6360">
        <w:tc>
          <w:tcPr>
            <w:tcW w:w="2052" w:type="dxa"/>
          </w:tcPr>
          <w:p w14:paraId="11A3474A" w14:textId="6D9676F8" w:rsidR="007F6360" w:rsidRPr="007F6360" w:rsidRDefault="007F6360" w:rsidP="007F6360">
            <w:r w:rsidRPr="007F6360">
              <w:rPr>
                <w:rFonts w:cs="Arial"/>
                <w:b/>
                <w:bCs/>
              </w:rPr>
              <w:t>Нарушения на кожата и подкожната тъкан</w:t>
            </w:r>
          </w:p>
        </w:tc>
        <w:tc>
          <w:tcPr>
            <w:tcW w:w="1471" w:type="dxa"/>
          </w:tcPr>
          <w:p w14:paraId="3FF29EF3" w14:textId="77777777" w:rsidR="007F6360" w:rsidRPr="007F6360" w:rsidRDefault="007F6360" w:rsidP="007F6360"/>
        </w:tc>
        <w:tc>
          <w:tcPr>
            <w:tcW w:w="1697" w:type="dxa"/>
          </w:tcPr>
          <w:p w14:paraId="59C8AB8A" w14:textId="77777777" w:rsidR="007F6360" w:rsidRPr="007F6360" w:rsidRDefault="007F6360" w:rsidP="007F6360"/>
        </w:tc>
        <w:tc>
          <w:tcPr>
            <w:tcW w:w="2168" w:type="dxa"/>
          </w:tcPr>
          <w:p w14:paraId="0269B01E" w14:textId="405EF5F0" w:rsidR="007F6360" w:rsidRPr="007F6360" w:rsidRDefault="007F6360" w:rsidP="007F6360">
            <w:proofErr w:type="spellStart"/>
            <w:r w:rsidRPr="007F6360">
              <w:rPr>
                <w:rFonts w:cs="Arial"/>
              </w:rPr>
              <w:t>Хиперхидроза</w:t>
            </w:r>
            <w:proofErr w:type="spellEnd"/>
            <w:r w:rsidRPr="007F6360">
              <w:rPr>
                <w:rFonts w:cs="Arial"/>
              </w:rPr>
              <w:t>, уртикария, обрив</w:t>
            </w:r>
          </w:p>
        </w:tc>
        <w:tc>
          <w:tcPr>
            <w:tcW w:w="2188" w:type="dxa"/>
          </w:tcPr>
          <w:p w14:paraId="2B96205A" w14:textId="160DDD1E" w:rsidR="007F6360" w:rsidRPr="007F6360" w:rsidRDefault="007F6360" w:rsidP="007F6360">
            <w:r w:rsidRPr="007F6360">
              <w:rPr>
                <w:rFonts w:cs="Arial"/>
              </w:rPr>
              <w:t>Еритем, ангиоедем, сърбеж</w:t>
            </w:r>
          </w:p>
        </w:tc>
      </w:tr>
      <w:tr w:rsidR="007F6360" w14:paraId="281E0887" w14:textId="77777777" w:rsidTr="007F6360">
        <w:tc>
          <w:tcPr>
            <w:tcW w:w="2052" w:type="dxa"/>
          </w:tcPr>
          <w:p w14:paraId="4A495634" w14:textId="23A101BF" w:rsidR="007F6360" w:rsidRPr="007F6360" w:rsidRDefault="007F6360" w:rsidP="007F6360">
            <w:r w:rsidRPr="007F6360">
              <w:rPr>
                <w:rFonts w:cs="Arial"/>
                <w:b/>
                <w:bCs/>
              </w:rPr>
              <w:t>Нарушения на мускулно-скелетната система и съединителната тъкан</w:t>
            </w:r>
          </w:p>
        </w:tc>
        <w:tc>
          <w:tcPr>
            <w:tcW w:w="1471" w:type="dxa"/>
          </w:tcPr>
          <w:p w14:paraId="7A7CEA4B" w14:textId="77777777" w:rsidR="007F6360" w:rsidRPr="007F6360" w:rsidRDefault="007F6360" w:rsidP="007F6360"/>
        </w:tc>
        <w:tc>
          <w:tcPr>
            <w:tcW w:w="1697" w:type="dxa"/>
          </w:tcPr>
          <w:p w14:paraId="2535448C" w14:textId="72CCB029" w:rsidR="007F6360" w:rsidRPr="007F6360" w:rsidRDefault="007F6360" w:rsidP="007F6360">
            <w:proofErr w:type="spellStart"/>
            <w:r w:rsidRPr="007F6360">
              <w:rPr>
                <w:rFonts w:cs="Arial"/>
              </w:rPr>
              <w:t>Миалгия</w:t>
            </w:r>
            <w:proofErr w:type="spellEnd"/>
          </w:p>
        </w:tc>
        <w:tc>
          <w:tcPr>
            <w:tcW w:w="2168" w:type="dxa"/>
          </w:tcPr>
          <w:p w14:paraId="079367BC" w14:textId="318F0271" w:rsidR="007F6360" w:rsidRPr="007F6360" w:rsidRDefault="007F6360" w:rsidP="007F6360">
            <w:r w:rsidRPr="007F6360">
              <w:rPr>
                <w:rFonts w:cs="Arial"/>
              </w:rPr>
              <w:t xml:space="preserve">Мускулни спазми, мускулни </w:t>
            </w:r>
            <w:proofErr w:type="spellStart"/>
            <w:r w:rsidRPr="007F6360">
              <w:rPr>
                <w:rFonts w:cs="Arial"/>
              </w:rPr>
              <w:t>крампи</w:t>
            </w:r>
            <w:proofErr w:type="spellEnd"/>
          </w:p>
        </w:tc>
        <w:tc>
          <w:tcPr>
            <w:tcW w:w="2188" w:type="dxa"/>
          </w:tcPr>
          <w:p w14:paraId="3CFF459A" w14:textId="565D721B" w:rsidR="007F6360" w:rsidRPr="007F6360" w:rsidRDefault="007F6360" w:rsidP="007F6360">
            <w:r w:rsidRPr="007F6360">
              <w:rPr>
                <w:rFonts w:cs="Arial"/>
              </w:rPr>
              <w:t xml:space="preserve">Мускулна </w:t>
            </w:r>
            <w:proofErr w:type="spellStart"/>
            <w:r w:rsidRPr="007F6360">
              <w:rPr>
                <w:rFonts w:cs="Arial"/>
              </w:rPr>
              <w:t>ригидност</w:t>
            </w:r>
            <w:proofErr w:type="spellEnd"/>
          </w:p>
        </w:tc>
      </w:tr>
      <w:tr w:rsidR="007F6360" w14:paraId="5D47A1BC" w14:textId="77777777" w:rsidTr="007F6360">
        <w:tc>
          <w:tcPr>
            <w:tcW w:w="2052" w:type="dxa"/>
          </w:tcPr>
          <w:p w14:paraId="2339E5E2" w14:textId="59EF5378" w:rsidR="007F6360" w:rsidRPr="007F6360" w:rsidRDefault="007F6360" w:rsidP="007F6360">
            <w:r w:rsidRPr="007F6360">
              <w:rPr>
                <w:rFonts w:cs="Arial"/>
                <w:b/>
                <w:bCs/>
              </w:rPr>
              <w:t>Нарушения на възпроизводителната система и гърдата</w:t>
            </w:r>
          </w:p>
        </w:tc>
        <w:tc>
          <w:tcPr>
            <w:tcW w:w="1471" w:type="dxa"/>
          </w:tcPr>
          <w:p w14:paraId="7F34C379" w14:textId="77777777" w:rsidR="007F6360" w:rsidRPr="007F6360" w:rsidRDefault="007F6360" w:rsidP="007F6360"/>
        </w:tc>
        <w:tc>
          <w:tcPr>
            <w:tcW w:w="1697" w:type="dxa"/>
          </w:tcPr>
          <w:p w14:paraId="263BF7E3" w14:textId="4D61FE61" w:rsidR="007F6360" w:rsidRPr="007F6360" w:rsidRDefault="007F6360" w:rsidP="007F6360">
            <w:r w:rsidRPr="007F6360">
              <w:rPr>
                <w:rFonts w:cs="Arial"/>
              </w:rPr>
              <w:t>Нередовна менструация, болки в гърдата</w:t>
            </w:r>
          </w:p>
        </w:tc>
        <w:tc>
          <w:tcPr>
            <w:tcW w:w="2168" w:type="dxa"/>
          </w:tcPr>
          <w:p w14:paraId="65A18DEA" w14:textId="4368BCA2" w:rsidR="007F6360" w:rsidRPr="007F6360" w:rsidRDefault="007F6360" w:rsidP="007F6360">
            <w:proofErr w:type="spellStart"/>
            <w:r w:rsidRPr="007F6360">
              <w:rPr>
                <w:rFonts w:cs="Arial"/>
              </w:rPr>
              <w:t>Менорагия</w:t>
            </w:r>
            <w:proofErr w:type="spellEnd"/>
            <w:r w:rsidRPr="007F6360">
              <w:rPr>
                <w:rFonts w:cs="Arial"/>
              </w:rPr>
              <w:t xml:space="preserve">, нарушен менструален цикъл, </w:t>
            </w:r>
            <w:proofErr w:type="spellStart"/>
            <w:r w:rsidRPr="007F6360">
              <w:rPr>
                <w:rFonts w:cs="Arial"/>
              </w:rPr>
              <w:t>олигоменорея</w:t>
            </w:r>
            <w:proofErr w:type="spellEnd"/>
            <w:r w:rsidRPr="007F6360">
              <w:rPr>
                <w:rFonts w:cs="Arial"/>
              </w:rPr>
              <w:t>; хипертрофия на гърдата, намалено либидо</w:t>
            </w:r>
          </w:p>
        </w:tc>
        <w:tc>
          <w:tcPr>
            <w:tcW w:w="2188" w:type="dxa"/>
          </w:tcPr>
          <w:p w14:paraId="01CE2AAB" w14:textId="2419742F" w:rsidR="007F6360" w:rsidRPr="007F6360" w:rsidRDefault="007F6360" w:rsidP="007F6360">
            <w:proofErr w:type="spellStart"/>
            <w:r w:rsidRPr="007F6360">
              <w:rPr>
                <w:rFonts w:cs="Arial"/>
              </w:rPr>
              <w:t>Галакторея</w:t>
            </w:r>
            <w:proofErr w:type="spellEnd"/>
          </w:p>
        </w:tc>
      </w:tr>
      <w:tr w:rsidR="007F6360" w14:paraId="6BDDD37D" w14:textId="77777777" w:rsidTr="007F6360">
        <w:tc>
          <w:tcPr>
            <w:tcW w:w="2052" w:type="dxa"/>
          </w:tcPr>
          <w:p w14:paraId="20148B4F" w14:textId="7F8B0709" w:rsidR="007F6360" w:rsidRPr="007F6360" w:rsidRDefault="007F6360" w:rsidP="007F6360">
            <w:r w:rsidRPr="007F6360">
              <w:rPr>
                <w:rFonts w:cs="Arial"/>
                <w:b/>
                <w:bCs/>
              </w:rPr>
              <w:t>Общи нарушения и ефекти на мястото на приложение</w:t>
            </w:r>
          </w:p>
        </w:tc>
        <w:tc>
          <w:tcPr>
            <w:tcW w:w="1471" w:type="dxa"/>
          </w:tcPr>
          <w:p w14:paraId="4F31104B" w14:textId="77777777" w:rsidR="007F6360" w:rsidRPr="007F6360" w:rsidRDefault="007F6360" w:rsidP="007F6360"/>
        </w:tc>
        <w:tc>
          <w:tcPr>
            <w:tcW w:w="1697" w:type="dxa"/>
          </w:tcPr>
          <w:p w14:paraId="284AE8BC" w14:textId="1399EDEA" w:rsidR="007F6360" w:rsidRPr="007F6360" w:rsidRDefault="007F6360" w:rsidP="007F6360">
            <w:r w:rsidRPr="007F6360">
              <w:rPr>
                <w:rFonts w:cs="Arial"/>
              </w:rPr>
              <w:t>Умора</w:t>
            </w:r>
          </w:p>
        </w:tc>
        <w:tc>
          <w:tcPr>
            <w:tcW w:w="2168" w:type="dxa"/>
          </w:tcPr>
          <w:p w14:paraId="5CCF45D1" w14:textId="1348F769" w:rsidR="007F6360" w:rsidRPr="007F6360" w:rsidRDefault="007F6360" w:rsidP="007F6360">
            <w:r w:rsidRPr="007F6360">
              <w:rPr>
                <w:rFonts w:cs="Arial"/>
              </w:rPr>
              <w:t xml:space="preserve">Генерализиран едем, периферен едем, </w:t>
            </w:r>
            <w:proofErr w:type="spellStart"/>
            <w:r w:rsidRPr="007F6360">
              <w:rPr>
                <w:rFonts w:cs="Arial"/>
              </w:rPr>
              <w:t>астения</w:t>
            </w:r>
            <w:proofErr w:type="spellEnd"/>
          </w:p>
        </w:tc>
        <w:tc>
          <w:tcPr>
            <w:tcW w:w="2188" w:type="dxa"/>
          </w:tcPr>
          <w:p w14:paraId="16B654BF" w14:textId="77777777" w:rsidR="007F6360" w:rsidRPr="007F6360" w:rsidRDefault="007F6360" w:rsidP="007F6360"/>
        </w:tc>
      </w:tr>
      <w:tr w:rsidR="007F6360" w14:paraId="13DCA440" w14:textId="77777777" w:rsidTr="007F6360">
        <w:tc>
          <w:tcPr>
            <w:tcW w:w="2052" w:type="dxa"/>
          </w:tcPr>
          <w:p w14:paraId="380753C7" w14:textId="714842F8" w:rsidR="007F6360" w:rsidRPr="007F6360" w:rsidRDefault="007F6360" w:rsidP="007F6360">
            <w:r w:rsidRPr="007F6360">
              <w:rPr>
                <w:rFonts w:cs="Arial"/>
                <w:b/>
                <w:bCs/>
              </w:rPr>
              <w:t>Изследвания</w:t>
            </w:r>
          </w:p>
        </w:tc>
        <w:tc>
          <w:tcPr>
            <w:tcW w:w="1471" w:type="dxa"/>
          </w:tcPr>
          <w:p w14:paraId="0C25CC64" w14:textId="7C3E1D66" w:rsidR="007F6360" w:rsidRPr="007F6360" w:rsidRDefault="007F6360" w:rsidP="007F6360">
            <w:r w:rsidRPr="007F6360">
              <w:rPr>
                <w:rFonts w:cs="Arial"/>
              </w:rPr>
              <w:t>Повишено тегло</w:t>
            </w:r>
          </w:p>
        </w:tc>
        <w:tc>
          <w:tcPr>
            <w:tcW w:w="1697" w:type="dxa"/>
          </w:tcPr>
          <w:p w14:paraId="211EDCAA" w14:textId="77777777" w:rsidR="007F6360" w:rsidRPr="007F6360" w:rsidRDefault="007F6360" w:rsidP="007F6360"/>
        </w:tc>
        <w:tc>
          <w:tcPr>
            <w:tcW w:w="2168" w:type="dxa"/>
          </w:tcPr>
          <w:p w14:paraId="38043269" w14:textId="77777777" w:rsidR="007F6360" w:rsidRPr="007F6360" w:rsidRDefault="007F6360" w:rsidP="007F6360"/>
        </w:tc>
        <w:tc>
          <w:tcPr>
            <w:tcW w:w="2188" w:type="dxa"/>
          </w:tcPr>
          <w:p w14:paraId="140EB905" w14:textId="77777777" w:rsidR="007F6360" w:rsidRPr="007F6360" w:rsidRDefault="007F6360" w:rsidP="007F6360"/>
        </w:tc>
      </w:tr>
    </w:tbl>
    <w:p w14:paraId="694D377C" w14:textId="77777777" w:rsidR="007F6360" w:rsidRPr="007F6360" w:rsidRDefault="007F6360" w:rsidP="007F6360">
      <w:pPr>
        <w:rPr>
          <w:sz w:val="24"/>
          <w:szCs w:val="24"/>
        </w:rPr>
      </w:pPr>
    </w:p>
    <w:p w14:paraId="75AD0DF9" w14:textId="77777777" w:rsidR="007F6360" w:rsidRPr="007F6360" w:rsidRDefault="007F6360" w:rsidP="007F6360">
      <w:pPr>
        <w:spacing w:line="240" w:lineRule="auto"/>
        <w:rPr>
          <w:rFonts w:eastAsia="Times New Roman" w:cs="Arial"/>
        </w:rPr>
      </w:pPr>
      <w:r w:rsidRPr="007F6360">
        <w:rPr>
          <w:rFonts w:eastAsia="Times New Roman" w:cs="Arial"/>
          <w:color w:val="000000"/>
          <w:u w:val="single"/>
          <w:lang w:eastAsia="bg-BG"/>
        </w:rPr>
        <w:t>Съобщаване на подозирани нежелани реакции</w:t>
      </w:r>
    </w:p>
    <w:p w14:paraId="7CE1494C"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69C5D40E"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Изпълнителна агенция по лекарствата</w:t>
      </w:r>
    </w:p>
    <w:p w14:paraId="65650935"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ул. „Дамян Груев” № 8</w:t>
      </w:r>
    </w:p>
    <w:p w14:paraId="701F1436"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1303 София</w:t>
      </w:r>
    </w:p>
    <w:p w14:paraId="73575346"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Тел.: +359 2 8903417</w:t>
      </w:r>
    </w:p>
    <w:p w14:paraId="7822A7C7"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 xml:space="preserve">уебсайт: </w:t>
      </w:r>
      <w:hyperlink r:id="rId5" w:history="1">
        <w:r w:rsidRPr="007F6360">
          <w:rPr>
            <w:rFonts w:eastAsia="Times New Roman" w:cs="Arial"/>
            <w:color w:val="000000"/>
            <w:u w:val="single"/>
            <w:lang w:val="en-US"/>
          </w:rPr>
          <w:t>www.bda.bg</w:t>
        </w:r>
      </w:hyperlink>
    </w:p>
    <w:p w14:paraId="14A891E0" w14:textId="77777777" w:rsidR="007F6360" w:rsidRPr="007F6360" w:rsidRDefault="007F6360" w:rsidP="007F6360"/>
    <w:p w14:paraId="42DF9851" w14:textId="4B1D2E98" w:rsidR="003765DC" w:rsidRDefault="002C50EE" w:rsidP="002B3C38">
      <w:pPr>
        <w:pStyle w:val="Heading2"/>
      </w:pPr>
      <w:r>
        <w:t>4.9. Предозиране</w:t>
      </w:r>
    </w:p>
    <w:p w14:paraId="1CEBE82A" w14:textId="77777777" w:rsidR="007F6360" w:rsidRDefault="007F6360" w:rsidP="007F6360">
      <w:pPr>
        <w:rPr>
          <w:lang w:eastAsia="bg-BG"/>
        </w:rPr>
      </w:pPr>
    </w:p>
    <w:p w14:paraId="7571788F" w14:textId="352D10D7" w:rsidR="007F6360" w:rsidRPr="007F6360" w:rsidRDefault="007F6360" w:rsidP="007F6360">
      <w:pPr>
        <w:pStyle w:val="Heading3"/>
        <w:rPr>
          <w:rFonts w:eastAsia="Times New Roman"/>
          <w:i/>
          <w:iCs/>
        </w:rPr>
      </w:pPr>
      <w:r w:rsidRPr="007F6360">
        <w:rPr>
          <w:rFonts w:eastAsia="Times New Roman"/>
          <w:i/>
          <w:iCs/>
          <w:lang w:eastAsia="bg-BG"/>
        </w:rPr>
        <w:t>Симптоми</w:t>
      </w:r>
    </w:p>
    <w:p w14:paraId="1D2B0F98" w14:textId="77777777" w:rsidR="007F6360" w:rsidRPr="007F6360" w:rsidRDefault="007F6360" w:rsidP="007F6360">
      <w:pPr>
        <w:rPr>
          <w:sz w:val="24"/>
          <w:szCs w:val="24"/>
        </w:rPr>
      </w:pPr>
      <w:r w:rsidRPr="007F6360">
        <w:rPr>
          <w:lang w:eastAsia="bg-BG"/>
        </w:rPr>
        <w:t xml:space="preserve">Предвид фармакологичните свойства на лекарствения продукт може да се очаква </w:t>
      </w:r>
      <w:proofErr w:type="spellStart"/>
      <w:r w:rsidRPr="007F6360">
        <w:rPr>
          <w:lang w:eastAsia="bg-BG"/>
        </w:rPr>
        <w:t>появята</w:t>
      </w:r>
      <w:proofErr w:type="spellEnd"/>
      <w:r w:rsidRPr="007F6360">
        <w:rPr>
          <w:lang w:eastAsia="bg-BG"/>
        </w:rPr>
        <w:t xml:space="preserve"> на седативен ефект и </w:t>
      </w:r>
      <w:proofErr w:type="spellStart"/>
      <w:r w:rsidRPr="007F6360">
        <w:rPr>
          <w:lang w:eastAsia="bg-BG"/>
        </w:rPr>
        <w:t>астения</w:t>
      </w:r>
      <w:proofErr w:type="spellEnd"/>
      <w:r w:rsidRPr="007F6360">
        <w:rPr>
          <w:lang w:eastAsia="bg-BG"/>
        </w:rPr>
        <w:t xml:space="preserve">. Описани са няколко случая на остро предозиране (до 600 </w:t>
      </w:r>
      <w:r w:rsidRPr="007F6360">
        <w:rPr>
          <w:lang w:val="en-US"/>
        </w:rPr>
        <w:t xml:space="preserve">mg </w:t>
      </w:r>
      <w:r w:rsidRPr="007F6360">
        <w:rPr>
          <w:lang w:eastAsia="bg-BG"/>
        </w:rPr>
        <w:t xml:space="preserve">при еднократен прием), при което са наблюдавани симптоми на </w:t>
      </w:r>
      <w:proofErr w:type="spellStart"/>
      <w:r w:rsidRPr="007F6360">
        <w:rPr>
          <w:lang w:eastAsia="bg-BG"/>
        </w:rPr>
        <w:t>седация</w:t>
      </w:r>
      <w:proofErr w:type="spellEnd"/>
      <w:r w:rsidRPr="007F6360">
        <w:rPr>
          <w:lang w:eastAsia="bg-BG"/>
        </w:rPr>
        <w:t>, възбудимост и тахикардия.</w:t>
      </w:r>
    </w:p>
    <w:p w14:paraId="06C4563D" w14:textId="77777777" w:rsidR="007F6360" w:rsidRDefault="007F6360" w:rsidP="007F6360">
      <w:pPr>
        <w:rPr>
          <w:lang w:eastAsia="bg-BG"/>
        </w:rPr>
      </w:pPr>
    </w:p>
    <w:p w14:paraId="1802079F" w14:textId="78CDB5CC" w:rsidR="007F6360" w:rsidRPr="007F6360" w:rsidRDefault="007F6360" w:rsidP="007F6360">
      <w:pPr>
        <w:pStyle w:val="Heading3"/>
        <w:rPr>
          <w:rFonts w:eastAsia="Times New Roman"/>
          <w:i/>
          <w:iCs/>
        </w:rPr>
      </w:pPr>
      <w:r w:rsidRPr="007F6360">
        <w:rPr>
          <w:rFonts w:eastAsia="Times New Roman"/>
          <w:i/>
          <w:iCs/>
          <w:lang w:eastAsia="bg-BG"/>
        </w:rPr>
        <w:t>Лечение</w:t>
      </w:r>
    </w:p>
    <w:p w14:paraId="20EB2A97" w14:textId="77777777" w:rsidR="007F6360" w:rsidRPr="007F6360" w:rsidRDefault="007F6360" w:rsidP="007F6360">
      <w:pPr>
        <w:rPr>
          <w:sz w:val="24"/>
          <w:szCs w:val="24"/>
        </w:rPr>
      </w:pPr>
      <w:r w:rsidRPr="007F6360">
        <w:rPr>
          <w:lang w:eastAsia="bg-BG"/>
        </w:rPr>
        <w:t>Няма специфичен антидот. Може да се приложи активен въглен, ако се реши, че е целесъобразно.</w:t>
      </w:r>
    </w:p>
    <w:p w14:paraId="39915389" w14:textId="77777777" w:rsidR="007F6360" w:rsidRPr="007F6360" w:rsidRDefault="007F6360" w:rsidP="007F6360"/>
    <w:p w14:paraId="18EF4AFE" w14:textId="213667DB" w:rsidR="002C50EE" w:rsidRDefault="002C50EE" w:rsidP="002C50EE">
      <w:pPr>
        <w:pStyle w:val="Heading1"/>
      </w:pPr>
      <w:r>
        <w:t>5. ФАРМАКОЛОГИЧНИ СВОЙСТВА</w:t>
      </w:r>
    </w:p>
    <w:p w14:paraId="1F014A56" w14:textId="77777777" w:rsidR="007F6360" w:rsidRDefault="007F6360" w:rsidP="007F6360">
      <w:pPr>
        <w:rPr>
          <w:lang w:eastAsia="bg-BG"/>
        </w:rPr>
      </w:pPr>
    </w:p>
    <w:p w14:paraId="78537FC5" w14:textId="2C9303B0" w:rsidR="007F6360" w:rsidRDefault="007F6360" w:rsidP="007F6360">
      <w:pPr>
        <w:rPr>
          <w:lang w:eastAsia="bg-BG"/>
        </w:rPr>
      </w:pPr>
      <w:proofErr w:type="spellStart"/>
      <w:r w:rsidRPr="007F6360">
        <w:rPr>
          <w:lang w:eastAsia="bg-BG"/>
        </w:rPr>
        <w:t>Фармакотерапевтична</w:t>
      </w:r>
      <w:proofErr w:type="spellEnd"/>
      <w:r w:rsidRPr="007F6360">
        <w:rPr>
          <w:lang w:eastAsia="bg-BG"/>
        </w:rPr>
        <w:t xml:space="preserve"> група: </w:t>
      </w:r>
      <w:proofErr w:type="spellStart"/>
      <w:r w:rsidRPr="007F6360">
        <w:rPr>
          <w:lang w:eastAsia="bg-BG"/>
        </w:rPr>
        <w:t>антивертиго</w:t>
      </w:r>
      <w:proofErr w:type="spellEnd"/>
      <w:r w:rsidRPr="007F6360">
        <w:rPr>
          <w:lang w:eastAsia="bg-BG"/>
        </w:rPr>
        <w:t xml:space="preserve"> средства</w:t>
      </w:r>
    </w:p>
    <w:p w14:paraId="40EDD5A0" w14:textId="6983092E" w:rsidR="007F6360" w:rsidRDefault="007F6360" w:rsidP="007F6360">
      <w:pPr>
        <w:rPr>
          <w:lang w:eastAsia="bg-BG"/>
        </w:rPr>
      </w:pPr>
      <w:r w:rsidRPr="007F6360">
        <w:rPr>
          <w:lang w:eastAsia="bg-BG"/>
        </w:rPr>
        <w:t xml:space="preserve">АТС код: </w:t>
      </w:r>
      <w:r w:rsidRPr="007F6360">
        <w:rPr>
          <w:lang w:val="en-US"/>
        </w:rPr>
        <w:t xml:space="preserve">N07C </w:t>
      </w:r>
      <w:r w:rsidRPr="007F6360">
        <w:rPr>
          <w:lang w:eastAsia="bg-BG"/>
        </w:rPr>
        <w:t>АОЗ</w:t>
      </w:r>
    </w:p>
    <w:p w14:paraId="63040725" w14:textId="77777777" w:rsidR="007F6360" w:rsidRPr="007F6360" w:rsidRDefault="007F6360" w:rsidP="007F6360">
      <w:pPr>
        <w:rPr>
          <w:lang w:eastAsia="bg-BG"/>
        </w:rPr>
      </w:pPr>
    </w:p>
    <w:p w14:paraId="7635AD51" w14:textId="0F8D7F17" w:rsidR="003765DC" w:rsidRDefault="002C50EE" w:rsidP="002B3C38">
      <w:pPr>
        <w:pStyle w:val="Heading2"/>
      </w:pPr>
      <w:r>
        <w:t xml:space="preserve">5.1. </w:t>
      </w:r>
      <w:proofErr w:type="spellStart"/>
      <w:r>
        <w:t>Фармакодинамични</w:t>
      </w:r>
      <w:proofErr w:type="spellEnd"/>
      <w:r>
        <w:t xml:space="preserve"> свойства</w:t>
      </w:r>
    </w:p>
    <w:p w14:paraId="22F95F78" w14:textId="77777777" w:rsidR="007F6360" w:rsidRDefault="007F6360" w:rsidP="007F6360"/>
    <w:p w14:paraId="42515186" w14:textId="6FEAEFAB" w:rsidR="007F6360" w:rsidRPr="007F6360" w:rsidRDefault="007F6360" w:rsidP="007F6360">
      <w:proofErr w:type="spellStart"/>
      <w:r w:rsidRPr="007F6360">
        <w:t>Флунаризин</w:t>
      </w:r>
      <w:proofErr w:type="spellEnd"/>
      <w:r w:rsidRPr="007F6360">
        <w:t xml:space="preserve"> е селективен калциев антагонист. Той предотвратява свръхнатрупването на калций в клетката, като намалява прекомерното трансмембранно преминаване на калций. </w:t>
      </w:r>
      <w:proofErr w:type="spellStart"/>
      <w:r w:rsidRPr="007F6360">
        <w:t>Флунаризин</w:t>
      </w:r>
      <w:proofErr w:type="spellEnd"/>
      <w:r w:rsidRPr="007F6360">
        <w:t xml:space="preserve"> не оказва влияние върху </w:t>
      </w:r>
      <w:proofErr w:type="spellStart"/>
      <w:r w:rsidRPr="007F6360">
        <w:t>контрактилитета</w:t>
      </w:r>
      <w:proofErr w:type="spellEnd"/>
      <w:r w:rsidRPr="007F6360">
        <w:t xml:space="preserve"> и проводимостта на сърцето.</w:t>
      </w:r>
    </w:p>
    <w:p w14:paraId="4309F438" w14:textId="77777777" w:rsidR="007F6360" w:rsidRPr="007F6360" w:rsidRDefault="007F6360" w:rsidP="007F6360"/>
    <w:p w14:paraId="4D7DA0E3" w14:textId="53D04B3F" w:rsidR="004D4D6B" w:rsidRDefault="002C50EE" w:rsidP="002B3C38">
      <w:pPr>
        <w:pStyle w:val="Heading2"/>
      </w:pPr>
      <w:r>
        <w:t xml:space="preserve">5.2. </w:t>
      </w:r>
      <w:proofErr w:type="spellStart"/>
      <w:r>
        <w:t>Фармакокинетични</w:t>
      </w:r>
      <w:proofErr w:type="spellEnd"/>
      <w:r>
        <w:t xml:space="preserve"> свойства</w:t>
      </w:r>
    </w:p>
    <w:p w14:paraId="12C67042" w14:textId="77777777" w:rsidR="007F6360" w:rsidRDefault="007F6360" w:rsidP="007F6360">
      <w:pPr>
        <w:spacing w:line="240" w:lineRule="auto"/>
        <w:rPr>
          <w:rFonts w:ascii="Times New Roman" w:eastAsia="Times New Roman" w:hAnsi="Times New Roman" w:cs="Times New Roman"/>
          <w:color w:val="000000"/>
          <w:sz w:val="20"/>
          <w:szCs w:val="20"/>
          <w:u w:val="single"/>
          <w:lang w:eastAsia="bg-BG"/>
        </w:rPr>
      </w:pPr>
    </w:p>
    <w:p w14:paraId="5BE0CB39" w14:textId="254CEA54" w:rsidR="007F6360" w:rsidRPr="007F6360" w:rsidRDefault="007F6360" w:rsidP="007F6360">
      <w:pPr>
        <w:pStyle w:val="Heading3"/>
        <w:rPr>
          <w:rFonts w:eastAsia="Times New Roman"/>
          <w:u w:val="single"/>
        </w:rPr>
      </w:pPr>
      <w:r w:rsidRPr="007F6360">
        <w:rPr>
          <w:rFonts w:eastAsia="Times New Roman"/>
          <w:u w:val="single"/>
          <w:lang w:eastAsia="bg-BG"/>
        </w:rPr>
        <w:t>Абсорбция</w:t>
      </w:r>
    </w:p>
    <w:p w14:paraId="59E1312F" w14:textId="77777777" w:rsidR="007F6360" w:rsidRPr="007F6360" w:rsidRDefault="007F6360" w:rsidP="007F6360">
      <w:pPr>
        <w:spacing w:line="240" w:lineRule="auto"/>
        <w:rPr>
          <w:rFonts w:eastAsia="Times New Roman" w:cs="Arial"/>
        </w:rPr>
      </w:pPr>
      <w:r w:rsidRPr="007F6360">
        <w:rPr>
          <w:rFonts w:eastAsia="Times New Roman" w:cs="Arial"/>
          <w:color w:val="000000"/>
          <w:lang w:eastAsia="bg-BG"/>
        </w:rPr>
        <w:t>Лекарството се резорбира добре, като достига пикови плазмени нива в рамките на 2-4 часа и стационарно състояние след 5-6 седмици.</w:t>
      </w:r>
    </w:p>
    <w:p w14:paraId="7C5A0A5F" w14:textId="77777777" w:rsidR="007F6360" w:rsidRPr="007F6360" w:rsidRDefault="007F6360" w:rsidP="007F6360">
      <w:pPr>
        <w:spacing w:line="240" w:lineRule="auto"/>
        <w:rPr>
          <w:rFonts w:eastAsia="Times New Roman" w:cs="Arial"/>
          <w:color w:val="000000"/>
          <w:lang w:eastAsia="bg-BG"/>
        </w:rPr>
      </w:pPr>
    </w:p>
    <w:p w14:paraId="2F28ABFF" w14:textId="186F2E90" w:rsidR="007F6360" w:rsidRPr="007F6360" w:rsidRDefault="007F6360" w:rsidP="007F6360">
      <w:pPr>
        <w:spacing w:line="240" w:lineRule="auto"/>
        <w:rPr>
          <w:rFonts w:eastAsia="Times New Roman" w:cs="Arial"/>
        </w:rPr>
      </w:pPr>
      <w:proofErr w:type="spellStart"/>
      <w:r w:rsidRPr="007F6360">
        <w:rPr>
          <w:rFonts w:eastAsia="Times New Roman" w:cs="Arial"/>
          <w:color w:val="000000"/>
          <w:lang w:eastAsia="bg-BG"/>
        </w:rPr>
        <w:t>Флунаризин</w:t>
      </w:r>
      <w:proofErr w:type="spellEnd"/>
      <w:r w:rsidRPr="007F6360">
        <w:rPr>
          <w:rFonts w:eastAsia="Times New Roman" w:cs="Arial"/>
          <w:color w:val="000000"/>
          <w:lang w:eastAsia="bg-BG"/>
        </w:rPr>
        <w:t xml:space="preserve"> се резорбира добре (&gt;80%) от стомашно-чревния тракт, като достига максимални плазмени концентрации в рамките на 2-4 часа след перорално приложение. При условия на намалена стомашна киселинност (увеличени стойности на </w:t>
      </w:r>
      <w:r w:rsidRPr="007F6360">
        <w:rPr>
          <w:rFonts w:eastAsia="Times New Roman" w:cs="Arial"/>
          <w:color w:val="000000"/>
          <w:lang w:val="en-US"/>
        </w:rPr>
        <w:t xml:space="preserve">pH </w:t>
      </w:r>
      <w:r w:rsidRPr="007F6360">
        <w:rPr>
          <w:rFonts w:eastAsia="Times New Roman" w:cs="Arial"/>
          <w:color w:val="000000"/>
          <w:lang w:eastAsia="bg-BG"/>
        </w:rPr>
        <w:t>в стомаха) бионаличността може да е умерено по-ниска.</w:t>
      </w:r>
    </w:p>
    <w:p w14:paraId="0C579EAE" w14:textId="77777777" w:rsidR="007F6360" w:rsidRPr="007F6360" w:rsidRDefault="007F6360" w:rsidP="007F6360">
      <w:pPr>
        <w:spacing w:line="240" w:lineRule="auto"/>
        <w:rPr>
          <w:rFonts w:eastAsia="Times New Roman" w:cs="Arial"/>
          <w:color w:val="000000"/>
          <w:lang w:eastAsia="bg-BG"/>
        </w:rPr>
      </w:pPr>
    </w:p>
    <w:p w14:paraId="465B19E5" w14:textId="42853BE5" w:rsidR="007F6360" w:rsidRPr="007F6360" w:rsidRDefault="007F6360" w:rsidP="007F6360">
      <w:pPr>
        <w:spacing w:line="240" w:lineRule="auto"/>
        <w:rPr>
          <w:rFonts w:eastAsia="Times New Roman" w:cs="Arial"/>
        </w:rPr>
      </w:pPr>
      <w:r w:rsidRPr="007F6360">
        <w:rPr>
          <w:rFonts w:eastAsia="Times New Roman" w:cs="Arial"/>
          <w:color w:val="000000"/>
          <w:lang w:eastAsia="bg-BG"/>
        </w:rPr>
        <w:t xml:space="preserve">Плазмените концентрации на </w:t>
      </w:r>
      <w:proofErr w:type="spellStart"/>
      <w:r w:rsidRPr="007F6360">
        <w:rPr>
          <w:rFonts w:eastAsia="Times New Roman" w:cs="Arial"/>
          <w:color w:val="000000"/>
          <w:lang w:eastAsia="bg-BG"/>
        </w:rPr>
        <w:t>флунаризин</w:t>
      </w:r>
      <w:proofErr w:type="spellEnd"/>
      <w:r w:rsidRPr="007F6360">
        <w:rPr>
          <w:rFonts w:eastAsia="Times New Roman" w:cs="Arial"/>
          <w:color w:val="000000"/>
          <w:lang w:eastAsia="bg-BG"/>
        </w:rPr>
        <w:t xml:space="preserve"> достигат стационарно състояние след близо 8 седмици многократно дозиране веднъж дневно и са около 3 пъти по-високи от </w:t>
      </w:r>
      <w:proofErr w:type="spellStart"/>
      <w:r w:rsidRPr="007F6360">
        <w:rPr>
          <w:rFonts w:eastAsia="Times New Roman" w:cs="Arial"/>
          <w:color w:val="000000"/>
          <w:lang w:eastAsia="bg-BG"/>
        </w:rPr>
        <w:t>коцентрациите</w:t>
      </w:r>
      <w:proofErr w:type="spellEnd"/>
      <w:r w:rsidRPr="007F6360">
        <w:rPr>
          <w:rFonts w:eastAsia="Times New Roman" w:cs="Arial"/>
          <w:color w:val="000000"/>
          <w:lang w:eastAsia="bg-BG"/>
        </w:rPr>
        <w:t xml:space="preserve">, наблюдавани след еднократно дозиране. Стационарните концентрации на </w:t>
      </w:r>
      <w:proofErr w:type="spellStart"/>
      <w:r w:rsidRPr="007F6360">
        <w:rPr>
          <w:rFonts w:eastAsia="Times New Roman" w:cs="Arial"/>
          <w:color w:val="000000"/>
          <w:lang w:eastAsia="bg-BG"/>
        </w:rPr>
        <w:t>флунаризин</w:t>
      </w:r>
      <w:proofErr w:type="spellEnd"/>
      <w:r w:rsidRPr="007F6360">
        <w:rPr>
          <w:rFonts w:eastAsia="Times New Roman" w:cs="Arial"/>
          <w:color w:val="000000"/>
          <w:lang w:eastAsia="bg-BG"/>
        </w:rPr>
        <w:t xml:space="preserve"> са пропорционални при дози в границата 5 </w:t>
      </w:r>
      <w:r w:rsidRPr="007F6360">
        <w:rPr>
          <w:rFonts w:eastAsia="Times New Roman" w:cs="Arial"/>
          <w:color w:val="000000"/>
          <w:lang w:val="en-US"/>
        </w:rPr>
        <w:t>mg-30 mg.</w:t>
      </w:r>
    </w:p>
    <w:p w14:paraId="682DDD07" w14:textId="77777777" w:rsidR="007F6360" w:rsidRPr="007F6360" w:rsidRDefault="007F6360" w:rsidP="007F6360">
      <w:pPr>
        <w:spacing w:line="240" w:lineRule="auto"/>
        <w:rPr>
          <w:rFonts w:eastAsia="Times New Roman" w:cs="Arial"/>
          <w:color w:val="000000"/>
          <w:u w:val="single"/>
          <w:lang w:eastAsia="bg-BG"/>
        </w:rPr>
      </w:pPr>
    </w:p>
    <w:p w14:paraId="2FFD523D" w14:textId="16C03E97" w:rsidR="007F6360" w:rsidRPr="007F6360" w:rsidRDefault="007F6360" w:rsidP="007F6360">
      <w:pPr>
        <w:pStyle w:val="Heading3"/>
        <w:rPr>
          <w:rFonts w:eastAsia="Times New Roman"/>
          <w:u w:val="single"/>
        </w:rPr>
      </w:pPr>
      <w:r w:rsidRPr="007F6360">
        <w:rPr>
          <w:rFonts w:eastAsia="Times New Roman"/>
          <w:u w:val="single"/>
          <w:lang w:eastAsia="bg-BG"/>
        </w:rPr>
        <w:t>Разпределение</w:t>
      </w:r>
    </w:p>
    <w:p w14:paraId="78E382C1" w14:textId="64B955DE" w:rsidR="007F6360" w:rsidRDefault="007F6360" w:rsidP="007F6360">
      <w:pPr>
        <w:rPr>
          <w:rFonts w:eastAsia="Times New Roman" w:cs="Arial"/>
          <w:color w:val="000000"/>
          <w:lang w:eastAsia="bg-BG"/>
        </w:rPr>
      </w:pPr>
      <w:proofErr w:type="spellStart"/>
      <w:r w:rsidRPr="007F6360">
        <w:rPr>
          <w:rFonts w:eastAsia="Times New Roman" w:cs="Arial"/>
          <w:color w:val="000000"/>
          <w:lang w:eastAsia="bg-BG"/>
        </w:rPr>
        <w:t>Флунаризин</w:t>
      </w:r>
      <w:proofErr w:type="spellEnd"/>
      <w:r w:rsidRPr="007F6360">
        <w:rPr>
          <w:rFonts w:eastAsia="Times New Roman" w:cs="Arial"/>
          <w:color w:val="000000"/>
          <w:lang w:eastAsia="bg-BG"/>
        </w:rPr>
        <w:t xml:space="preserve"> е &gt;99% свързан с плазмени протеини. Има голям обем на разпределение, който е приблизително 78 </w:t>
      </w:r>
      <w:r w:rsidRPr="007F6360">
        <w:rPr>
          <w:rFonts w:eastAsia="Times New Roman" w:cs="Arial"/>
          <w:color w:val="000000"/>
          <w:lang w:val="en-US"/>
        </w:rPr>
        <w:t xml:space="preserve">l/kg </w:t>
      </w:r>
      <w:r w:rsidRPr="007F6360">
        <w:rPr>
          <w:rFonts w:eastAsia="Times New Roman" w:cs="Arial"/>
          <w:color w:val="000000"/>
          <w:lang w:eastAsia="bg-BG"/>
        </w:rPr>
        <w:t xml:space="preserve">при здрави пациенти и приблизително 207 </w:t>
      </w:r>
      <w:r w:rsidRPr="007F6360">
        <w:rPr>
          <w:rFonts w:eastAsia="Times New Roman" w:cs="Arial"/>
          <w:color w:val="000000"/>
          <w:lang w:val="en-US"/>
        </w:rPr>
        <w:t xml:space="preserve">l/kg </w:t>
      </w:r>
      <w:r w:rsidRPr="007F6360">
        <w:rPr>
          <w:rFonts w:eastAsia="Times New Roman" w:cs="Arial"/>
          <w:color w:val="000000"/>
          <w:lang w:eastAsia="bg-BG"/>
        </w:rPr>
        <w:t>при пациенти с епилепсия, което е показателно за значителното разпределение в извънсъдовите тъкани. Лекарственият продукт бързо преминава през кръвно-мозъчната бариера, концентрациите в мозъка са приблизително 10 пъти по-високи от тези в плазмата.</w:t>
      </w:r>
    </w:p>
    <w:p w14:paraId="35201ECF" w14:textId="2C4ABA06" w:rsidR="007F6360" w:rsidRDefault="007F6360" w:rsidP="007F6360">
      <w:pPr>
        <w:rPr>
          <w:rFonts w:eastAsia="Times New Roman" w:cs="Arial"/>
          <w:color w:val="000000"/>
          <w:lang w:eastAsia="bg-BG"/>
        </w:rPr>
      </w:pPr>
    </w:p>
    <w:p w14:paraId="2CB2DF48" w14:textId="77777777" w:rsidR="007F6360" w:rsidRPr="007F6360" w:rsidRDefault="007F6360" w:rsidP="007F6360">
      <w:pPr>
        <w:pStyle w:val="Heading3"/>
        <w:rPr>
          <w:rFonts w:eastAsia="Times New Roman"/>
          <w:u w:val="single"/>
        </w:rPr>
      </w:pPr>
      <w:r w:rsidRPr="007F6360">
        <w:rPr>
          <w:rFonts w:eastAsia="Times New Roman"/>
          <w:u w:val="single"/>
          <w:lang w:eastAsia="bg-BG"/>
        </w:rPr>
        <w:t>Биотрансформация</w:t>
      </w:r>
    </w:p>
    <w:p w14:paraId="652C8E58" w14:textId="77777777" w:rsidR="007F6360" w:rsidRPr="007F6360" w:rsidRDefault="007F6360" w:rsidP="007F6360">
      <w:pPr>
        <w:rPr>
          <w:sz w:val="24"/>
          <w:szCs w:val="24"/>
        </w:rPr>
      </w:pPr>
      <w:proofErr w:type="spellStart"/>
      <w:r w:rsidRPr="007F6360">
        <w:rPr>
          <w:lang w:eastAsia="bg-BG"/>
        </w:rPr>
        <w:t>Флунаризин</w:t>
      </w:r>
      <w:proofErr w:type="spellEnd"/>
      <w:r w:rsidRPr="007F6360">
        <w:rPr>
          <w:lang w:eastAsia="bg-BG"/>
        </w:rPr>
        <w:t xml:space="preserve"> се </w:t>
      </w:r>
      <w:proofErr w:type="spellStart"/>
      <w:r w:rsidRPr="007F6360">
        <w:rPr>
          <w:lang w:eastAsia="bg-BG"/>
        </w:rPr>
        <w:t>метаболизира</w:t>
      </w:r>
      <w:proofErr w:type="spellEnd"/>
      <w:r w:rsidRPr="007F6360">
        <w:rPr>
          <w:lang w:eastAsia="bg-BG"/>
        </w:rPr>
        <w:t xml:space="preserve"> в черния дроб до минимум 15 метаболита. Основният метаболитен път е </w:t>
      </w:r>
      <w:r w:rsidRPr="007F6360">
        <w:rPr>
          <w:lang w:val="en-US"/>
        </w:rPr>
        <w:t>CYP2D6.</w:t>
      </w:r>
    </w:p>
    <w:p w14:paraId="73A4757B" w14:textId="77777777" w:rsidR="007F6360" w:rsidRDefault="007F6360" w:rsidP="007F6360">
      <w:pPr>
        <w:rPr>
          <w:lang w:eastAsia="bg-BG"/>
        </w:rPr>
      </w:pPr>
    </w:p>
    <w:p w14:paraId="795DA0DB" w14:textId="0D9DA3E0" w:rsidR="007F6360" w:rsidRPr="007F6360" w:rsidRDefault="007F6360" w:rsidP="007F6360">
      <w:pPr>
        <w:pStyle w:val="Heading3"/>
        <w:rPr>
          <w:rFonts w:eastAsia="Times New Roman"/>
          <w:u w:val="single"/>
        </w:rPr>
      </w:pPr>
      <w:r w:rsidRPr="007F6360">
        <w:rPr>
          <w:rFonts w:eastAsia="Times New Roman"/>
          <w:u w:val="single"/>
          <w:lang w:eastAsia="bg-BG"/>
        </w:rPr>
        <w:lastRenderedPageBreak/>
        <w:t>Елиминиране</w:t>
      </w:r>
    </w:p>
    <w:p w14:paraId="17F0D810" w14:textId="77777777" w:rsidR="007F6360" w:rsidRPr="007F6360" w:rsidRDefault="007F6360" w:rsidP="007F6360">
      <w:pPr>
        <w:rPr>
          <w:sz w:val="24"/>
          <w:szCs w:val="24"/>
        </w:rPr>
      </w:pPr>
      <w:proofErr w:type="spellStart"/>
      <w:r w:rsidRPr="007F6360">
        <w:rPr>
          <w:lang w:eastAsia="bg-BG"/>
        </w:rPr>
        <w:t>Флунаризин</w:t>
      </w:r>
      <w:proofErr w:type="spellEnd"/>
      <w:r w:rsidRPr="007F6360">
        <w:rPr>
          <w:lang w:eastAsia="bg-BG"/>
        </w:rPr>
        <w:t xml:space="preserve"> се отделя предимно като изходно активно вещество и метаболити с изпражненията посредством жлъчката. В рамките на 24 до 48 часа след приложение приблизително 3-5% от приложената доза </w:t>
      </w:r>
      <w:proofErr w:type="spellStart"/>
      <w:r w:rsidRPr="007F6360">
        <w:rPr>
          <w:lang w:eastAsia="bg-BG"/>
        </w:rPr>
        <w:t>флунаризин</w:t>
      </w:r>
      <w:proofErr w:type="spellEnd"/>
      <w:r w:rsidRPr="007F6360">
        <w:rPr>
          <w:lang w:eastAsia="bg-BG"/>
        </w:rPr>
        <w:t xml:space="preserve"> се отделят с изпражненията като изходно активно вещество и метаболити, а по-малко от 1% се </w:t>
      </w:r>
      <w:proofErr w:type="spellStart"/>
      <w:r w:rsidRPr="007F6360">
        <w:rPr>
          <w:lang w:eastAsia="bg-BG"/>
        </w:rPr>
        <w:t>екскретират</w:t>
      </w:r>
      <w:proofErr w:type="spellEnd"/>
      <w:r w:rsidRPr="007F6360">
        <w:rPr>
          <w:lang w:eastAsia="bg-BG"/>
        </w:rPr>
        <w:t xml:space="preserve"> като непроменено активно вещество с урината. Неговото крайно време на полуживот е силно променливо и варира от 5 до 15 часа при повечето пациенти след еднократна доза. При някои пациенти се наблюдават измерими плазмени концентрации на </w:t>
      </w:r>
      <w:proofErr w:type="spellStart"/>
      <w:r w:rsidRPr="007F6360">
        <w:rPr>
          <w:lang w:eastAsia="bg-BG"/>
        </w:rPr>
        <w:t>флунаризин</w:t>
      </w:r>
      <w:proofErr w:type="spellEnd"/>
      <w:r w:rsidRPr="007F6360">
        <w:rPr>
          <w:lang w:eastAsia="bg-BG"/>
        </w:rPr>
        <w:t xml:space="preserve"> (&gt;0,5 </w:t>
      </w:r>
      <w:r w:rsidRPr="007F6360">
        <w:rPr>
          <w:lang w:val="en-US"/>
        </w:rPr>
        <w:t xml:space="preserve">ng/ml) </w:t>
      </w:r>
      <w:r w:rsidRPr="007F6360">
        <w:rPr>
          <w:lang w:eastAsia="bg-BG"/>
        </w:rPr>
        <w:t>за продължителен период от време (до 30 дни), което най-вероятно се дължи на преразпределението на лекарствения продукт от други тъкани.</w:t>
      </w:r>
    </w:p>
    <w:p w14:paraId="49CF5551" w14:textId="77777777" w:rsidR="007F6360" w:rsidRPr="007F6360" w:rsidRDefault="007F6360" w:rsidP="007F6360">
      <w:pPr>
        <w:rPr>
          <w:rFonts w:cs="Arial"/>
        </w:rPr>
      </w:pPr>
    </w:p>
    <w:p w14:paraId="1BDBE06B" w14:textId="073BD6DD" w:rsidR="004D4D6B" w:rsidRDefault="002C50EE" w:rsidP="002B3C38">
      <w:pPr>
        <w:pStyle w:val="Heading2"/>
      </w:pPr>
      <w:r>
        <w:t>5.3. Предклинични данни за безопасност</w:t>
      </w:r>
    </w:p>
    <w:p w14:paraId="013D0BE7" w14:textId="77777777" w:rsidR="007F6360" w:rsidRDefault="007F6360" w:rsidP="007F6360">
      <w:pPr>
        <w:spacing w:line="240" w:lineRule="auto"/>
        <w:rPr>
          <w:rFonts w:ascii="Times New Roman" w:eastAsia="Times New Roman" w:hAnsi="Times New Roman" w:cs="Times New Roman"/>
          <w:color w:val="000000"/>
          <w:sz w:val="20"/>
          <w:szCs w:val="20"/>
          <w:lang w:eastAsia="bg-BG"/>
        </w:rPr>
      </w:pPr>
    </w:p>
    <w:p w14:paraId="3396AEC9" w14:textId="5A4E19B5" w:rsidR="007F6360" w:rsidRPr="007F6360" w:rsidRDefault="007F6360" w:rsidP="007F6360">
      <w:pPr>
        <w:rPr>
          <w:sz w:val="24"/>
          <w:szCs w:val="24"/>
        </w:rPr>
      </w:pPr>
      <w:proofErr w:type="spellStart"/>
      <w:r w:rsidRPr="007F6360">
        <w:rPr>
          <w:lang w:eastAsia="bg-BG"/>
        </w:rPr>
        <w:t>Предклиничнн</w:t>
      </w:r>
      <w:proofErr w:type="spellEnd"/>
      <w:r w:rsidRPr="007F6360">
        <w:rPr>
          <w:lang w:eastAsia="bg-BG"/>
        </w:rPr>
        <w:t xml:space="preserve"> ефекти върху централната нервна система (напр. </w:t>
      </w:r>
      <w:proofErr w:type="spellStart"/>
      <w:r w:rsidRPr="007F6360">
        <w:rPr>
          <w:lang w:eastAsia="bg-BG"/>
        </w:rPr>
        <w:t>седация</w:t>
      </w:r>
      <w:proofErr w:type="spellEnd"/>
      <w:r w:rsidRPr="007F6360">
        <w:rPr>
          <w:lang w:eastAsia="bg-BG"/>
        </w:rPr>
        <w:t xml:space="preserve">, </w:t>
      </w:r>
      <w:proofErr w:type="spellStart"/>
      <w:r w:rsidRPr="007F6360">
        <w:rPr>
          <w:lang w:eastAsia="bg-BG"/>
        </w:rPr>
        <w:t>саливация</w:t>
      </w:r>
      <w:proofErr w:type="spellEnd"/>
      <w:r w:rsidRPr="007F6360">
        <w:rPr>
          <w:lang w:eastAsia="bg-BG"/>
        </w:rPr>
        <w:t xml:space="preserve">, </w:t>
      </w:r>
      <w:proofErr w:type="spellStart"/>
      <w:r w:rsidRPr="007F6360">
        <w:rPr>
          <w:lang w:eastAsia="bg-BG"/>
        </w:rPr>
        <w:t>атаксия</w:t>
      </w:r>
      <w:proofErr w:type="spellEnd"/>
      <w:r w:rsidRPr="007F6360">
        <w:rPr>
          <w:lang w:eastAsia="bg-BG"/>
        </w:rPr>
        <w:t>) са наблюдавани само при експозиции, за които се счита, че са в достатъчна степен по-големи от максималната експозиция при хора, което показва малка значимост по отношение на клиничната употреба.</w:t>
      </w:r>
    </w:p>
    <w:p w14:paraId="00A8799D" w14:textId="77777777" w:rsidR="007F6360" w:rsidRDefault="007F6360" w:rsidP="007F6360">
      <w:pPr>
        <w:rPr>
          <w:lang w:eastAsia="bg-BG"/>
        </w:rPr>
      </w:pPr>
    </w:p>
    <w:p w14:paraId="36BC2605" w14:textId="6230AEA2" w:rsidR="007F6360" w:rsidRPr="007F6360" w:rsidRDefault="007F6360" w:rsidP="007F6360">
      <w:pPr>
        <w:rPr>
          <w:sz w:val="24"/>
          <w:szCs w:val="24"/>
        </w:rPr>
      </w:pPr>
      <w:proofErr w:type="spellStart"/>
      <w:r w:rsidRPr="007F6360">
        <w:rPr>
          <w:lang w:eastAsia="bg-BG"/>
        </w:rPr>
        <w:t>Флунаризин</w:t>
      </w:r>
      <w:proofErr w:type="spellEnd"/>
      <w:r w:rsidRPr="007F6360">
        <w:rPr>
          <w:lang w:eastAsia="bg-BG"/>
        </w:rPr>
        <w:t xml:space="preserve"> е тестван в голям брой неклинични проучвания за безопасност, сред които: токсичност при еднократна доза след перорално (мишки, плъхове [възрастни и млади], морски свинчета), </w:t>
      </w:r>
      <w:proofErr w:type="spellStart"/>
      <w:r w:rsidRPr="007F6360">
        <w:rPr>
          <w:lang w:eastAsia="bg-BG"/>
        </w:rPr>
        <w:t>интраперитонеално</w:t>
      </w:r>
      <w:proofErr w:type="spellEnd"/>
      <w:r w:rsidRPr="007F6360">
        <w:rPr>
          <w:lang w:eastAsia="bg-BG"/>
        </w:rPr>
        <w:t xml:space="preserve"> (мишки, плъхове), подкожно (мишки, плъхове), интравенозно (мишки, плъхове) и </w:t>
      </w:r>
      <w:proofErr w:type="spellStart"/>
      <w:r w:rsidRPr="007F6360">
        <w:rPr>
          <w:lang w:eastAsia="bg-BG"/>
        </w:rPr>
        <w:t>интраартериално</w:t>
      </w:r>
      <w:proofErr w:type="spellEnd"/>
      <w:r w:rsidRPr="007F6360">
        <w:rPr>
          <w:lang w:eastAsia="bg-BG"/>
        </w:rPr>
        <w:t xml:space="preserve"> (плъхове) приложение; перорална токсичност при повтаряща се доза до 12 месеца при кучета и 18 месеца при плъхове и интравенозна токсичност до 3 месеца при кучета и 1 месец при плъхове; репродуктивни проучвания с перорални дози, изследващи фертилността и общата </w:t>
      </w:r>
      <w:proofErr w:type="spellStart"/>
      <w:r w:rsidRPr="007F6360">
        <w:rPr>
          <w:lang w:eastAsia="bg-BG"/>
        </w:rPr>
        <w:t>репродуктивност</w:t>
      </w:r>
      <w:proofErr w:type="spellEnd"/>
      <w:r w:rsidRPr="007F6360">
        <w:rPr>
          <w:lang w:eastAsia="bg-BG"/>
        </w:rPr>
        <w:t xml:space="preserve"> при плъхове, </w:t>
      </w:r>
      <w:proofErr w:type="spellStart"/>
      <w:r w:rsidRPr="007F6360">
        <w:rPr>
          <w:lang w:eastAsia="bg-BG"/>
        </w:rPr>
        <w:t>тератогенността</w:t>
      </w:r>
      <w:proofErr w:type="spellEnd"/>
      <w:r w:rsidRPr="007F6360">
        <w:rPr>
          <w:lang w:eastAsia="bg-BG"/>
        </w:rPr>
        <w:t xml:space="preserve"> и </w:t>
      </w:r>
      <w:proofErr w:type="spellStart"/>
      <w:r w:rsidRPr="007F6360">
        <w:rPr>
          <w:lang w:eastAsia="bg-BG"/>
        </w:rPr>
        <w:t>ембриотоксичността</w:t>
      </w:r>
      <w:proofErr w:type="spellEnd"/>
      <w:r w:rsidRPr="007F6360">
        <w:rPr>
          <w:lang w:eastAsia="bg-BG"/>
        </w:rPr>
        <w:t xml:space="preserve"> при плъхове и зайци, както и пери- и </w:t>
      </w:r>
      <w:proofErr w:type="spellStart"/>
      <w:r w:rsidRPr="007F6360">
        <w:rPr>
          <w:lang w:eastAsia="bg-BG"/>
        </w:rPr>
        <w:t>постнаталното</w:t>
      </w:r>
      <w:proofErr w:type="spellEnd"/>
      <w:r w:rsidRPr="007F6360">
        <w:rPr>
          <w:lang w:eastAsia="bg-BG"/>
        </w:rPr>
        <w:t xml:space="preserve"> развитие при плъхове. </w:t>
      </w:r>
      <w:proofErr w:type="spellStart"/>
      <w:r w:rsidRPr="007F6360">
        <w:rPr>
          <w:lang w:eastAsia="bg-BG"/>
        </w:rPr>
        <w:t>Мутагенностга</w:t>
      </w:r>
      <w:proofErr w:type="spellEnd"/>
      <w:r w:rsidRPr="007F6360">
        <w:rPr>
          <w:lang w:eastAsia="bg-BG"/>
        </w:rPr>
        <w:t xml:space="preserve"> е изследвана в голям брой проучвания, сред които: проучвания за </w:t>
      </w:r>
      <w:r w:rsidRPr="007F6360">
        <w:rPr>
          <w:i/>
          <w:iCs/>
          <w:lang w:val="en-US"/>
        </w:rPr>
        <w:t>in vitro</w:t>
      </w:r>
      <w:r w:rsidRPr="007F6360">
        <w:rPr>
          <w:lang w:val="en-US"/>
        </w:rPr>
        <w:t xml:space="preserve"> </w:t>
      </w:r>
      <w:r w:rsidRPr="007F6360">
        <w:rPr>
          <w:lang w:eastAsia="bg-BG"/>
        </w:rPr>
        <w:t xml:space="preserve">и/или генни мутации върху салмонела </w:t>
      </w:r>
      <w:proofErr w:type="spellStart"/>
      <w:r w:rsidRPr="007F6360">
        <w:rPr>
          <w:lang w:eastAsia="bg-BG"/>
        </w:rPr>
        <w:t>тифимуриум</w:t>
      </w:r>
      <w:proofErr w:type="spellEnd"/>
      <w:r w:rsidRPr="007F6360">
        <w:rPr>
          <w:lang w:eastAsia="bg-BG"/>
        </w:rPr>
        <w:t xml:space="preserve"> (</w:t>
      </w:r>
      <w:r w:rsidRPr="007F6360">
        <w:rPr>
          <w:i/>
          <w:iCs/>
          <w:lang w:val="en-US"/>
        </w:rPr>
        <w:t>Salmonella typhimurium)</w:t>
      </w:r>
      <w:r w:rsidRPr="007F6360">
        <w:rPr>
          <w:lang w:val="en-US"/>
        </w:rPr>
        <w:t xml:space="preserve"> </w:t>
      </w:r>
      <w:r w:rsidRPr="007F6360">
        <w:rPr>
          <w:lang w:eastAsia="bg-BG"/>
        </w:rPr>
        <w:t xml:space="preserve">и в тест за рецесивни летални мутации, свързани с пола, върху винени мушици </w:t>
      </w:r>
      <w:r w:rsidRPr="007F6360">
        <w:rPr>
          <w:i/>
          <w:iCs/>
          <w:lang w:val="en-US"/>
        </w:rPr>
        <w:t xml:space="preserve">{Drosophila melanogaster); </w:t>
      </w:r>
      <w:r w:rsidRPr="007F6360">
        <w:rPr>
          <w:lang w:eastAsia="bg-BG"/>
        </w:rPr>
        <w:t xml:space="preserve">проучвания </w:t>
      </w:r>
      <w:r w:rsidRPr="007F6360">
        <w:rPr>
          <w:i/>
          <w:iCs/>
          <w:lang w:val="en-US"/>
        </w:rPr>
        <w:t>in vitro</w:t>
      </w:r>
      <w:r w:rsidRPr="007F6360">
        <w:rPr>
          <w:lang w:val="en-US"/>
        </w:rPr>
        <w:t xml:space="preserve"> </w:t>
      </w:r>
      <w:r w:rsidRPr="007F6360">
        <w:rPr>
          <w:lang w:eastAsia="bg-BG"/>
        </w:rPr>
        <w:t xml:space="preserve">за хромозомна аберация на човешки лимфоцити, </w:t>
      </w:r>
      <w:r w:rsidRPr="007F6360">
        <w:rPr>
          <w:i/>
          <w:iCs/>
          <w:lang w:val="en-US"/>
        </w:rPr>
        <w:t>in vivo</w:t>
      </w:r>
      <w:r w:rsidRPr="007F6360">
        <w:rPr>
          <w:lang w:val="en-US"/>
        </w:rPr>
        <w:t xml:space="preserve"> </w:t>
      </w:r>
      <w:proofErr w:type="spellStart"/>
      <w:r w:rsidRPr="007F6360">
        <w:rPr>
          <w:lang w:eastAsia="bg-BG"/>
        </w:rPr>
        <w:t>микронуклеус</w:t>
      </w:r>
      <w:proofErr w:type="spellEnd"/>
      <w:r w:rsidRPr="007F6360">
        <w:rPr>
          <w:lang w:eastAsia="bg-BG"/>
        </w:rPr>
        <w:t xml:space="preserve"> тест (с микроядра) и тест за доминантни летални мутации върху мишки. </w:t>
      </w:r>
      <w:proofErr w:type="spellStart"/>
      <w:r w:rsidRPr="007F6360">
        <w:rPr>
          <w:lang w:eastAsia="bg-BG"/>
        </w:rPr>
        <w:t>Карциногенността</w:t>
      </w:r>
      <w:proofErr w:type="spellEnd"/>
      <w:r w:rsidRPr="007F6360">
        <w:rPr>
          <w:lang w:eastAsia="bg-BG"/>
        </w:rPr>
        <w:t xml:space="preserve"> е изследвана при мишки и плъхове след перорално приложение извършвано приживе. Резултатите от изследвания за токсичност при еднократна доза (мишки</w:t>
      </w:r>
      <w:r w:rsidRPr="007F6360">
        <w:rPr>
          <w:lang w:val="en-US"/>
        </w:rPr>
        <w:t>-LD</w:t>
      </w:r>
      <w:r w:rsidRPr="007F6360">
        <w:rPr>
          <w:vertAlign w:val="subscript"/>
          <w:lang w:val="en-US"/>
        </w:rPr>
        <w:t>50</w:t>
      </w:r>
      <w:r w:rsidRPr="007F6360">
        <w:rPr>
          <w:lang w:val="en-US"/>
        </w:rPr>
        <w:t xml:space="preserve"> </w:t>
      </w:r>
      <w:r w:rsidRPr="007F6360">
        <w:rPr>
          <w:lang w:eastAsia="bg-BG"/>
        </w:rPr>
        <w:t xml:space="preserve">приблизително 960-1896 </w:t>
      </w:r>
      <w:r w:rsidRPr="007F6360">
        <w:rPr>
          <w:lang w:val="en-US"/>
        </w:rPr>
        <w:t xml:space="preserve">mg/kg; </w:t>
      </w:r>
      <w:r w:rsidRPr="007F6360">
        <w:rPr>
          <w:lang w:eastAsia="bg-BG"/>
        </w:rPr>
        <w:t>плъхове-</w:t>
      </w:r>
      <w:r w:rsidRPr="007F6360">
        <w:rPr>
          <w:lang w:val="en-US"/>
        </w:rPr>
        <w:t>LD</w:t>
      </w:r>
      <w:r w:rsidRPr="007F6360">
        <w:rPr>
          <w:vertAlign w:val="subscript"/>
          <w:lang w:eastAsia="bg-BG"/>
        </w:rPr>
        <w:t>50</w:t>
      </w:r>
      <w:r w:rsidRPr="007F6360">
        <w:rPr>
          <w:lang w:eastAsia="bg-BG"/>
        </w:rPr>
        <w:t xml:space="preserve"> приблизително 343-1935 </w:t>
      </w:r>
      <w:r w:rsidRPr="007F6360">
        <w:rPr>
          <w:lang w:val="en-US"/>
        </w:rPr>
        <w:t xml:space="preserve">mg/kg) </w:t>
      </w:r>
      <w:r w:rsidRPr="007F6360">
        <w:rPr>
          <w:lang w:eastAsia="bg-BG"/>
        </w:rPr>
        <w:t xml:space="preserve">сочат широка граница на безопасност в сравнение с максималната терапевтична доза за хора на база </w:t>
      </w:r>
      <w:r w:rsidRPr="007F6360">
        <w:rPr>
          <w:lang w:val="en-US"/>
        </w:rPr>
        <w:t xml:space="preserve">mg/kg </w:t>
      </w:r>
      <w:r w:rsidRPr="007F6360">
        <w:rPr>
          <w:lang w:eastAsia="bg-BG"/>
        </w:rPr>
        <w:t xml:space="preserve">(приблизително 0,2 </w:t>
      </w:r>
      <w:r w:rsidRPr="007F6360">
        <w:rPr>
          <w:lang w:val="en-US"/>
        </w:rPr>
        <w:t xml:space="preserve">mg/kg </w:t>
      </w:r>
      <w:r w:rsidRPr="007F6360">
        <w:rPr>
          <w:lang w:eastAsia="bg-BG"/>
        </w:rPr>
        <w:t xml:space="preserve">за пациент с тегло 50 </w:t>
      </w:r>
      <w:r w:rsidRPr="007F6360">
        <w:rPr>
          <w:lang w:val="en-US"/>
        </w:rPr>
        <w:t xml:space="preserve">kg). </w:t>
      </w:r>
      <w:r w:rsidRPr="007F6360">
        <w:rPr>
          <w:lang w:eastAsia="bg-BG"/>
        </w:rPr>
        <w:t xml:space="preserve">Резултатите от изследвания за перорална токсичност при повтаряща се доза върху плъхове и кучета показва известни клинични ефекти, които може да бъдат свързани с преувеличен фармакологичен ефект, но те като цяло се наблюдават при дози, значително надвишаващи (около 400 пъти максималната терапевтична доза за хора на база </w:t>
      </w:r>
      <w:r w:rsidRPr="007F6360">
        <w:rPr>
          <w:lang w:val="en-US"/>
        </w:rPr>
        <w:t xml:space="preserve">mg/kg) </w:t>
      </w:r>
      <w:r w:rsidRPr="007F6360">
        <w:rPr>
          <w:lang w:eastAsia="bg-BG"/>
        </w:rPr>
        <w:t xml:space="preserve">границата на </w:t>
      </w:r>
      <w:proofErr w:type="spellStart"/>
      <w:r w:rsidRPr="007F6360">
        <w:rPr>
          <w:lang w:eastAsia="bg-BG"/>
        </w:rPr>
        <w:t>фармакотерапевтичната</w:t>
      </w:r>
      <w:proofErr w:type="spellEnd"/>
      <w:r w:rsidRPr="007F6360">
        <w:rPr>
          <w:lang w:eastAsia="bg-BG"/>
        </w:rPr>
        <w:t xml:space="preserve"> доза, което показва малка значимост по отношение на клиничната употреба. В проучванията на </w:t>
      </w:r>
      <w:proofErr w:type="spellStart"/>
      <w:r w:rsidRPr="007F6360">
        <w:rPr>
          <w:lang w:eastAsia="bg-BG"/>
        </w:rPr>
        <w:t>репродуктивността</w:t>
      </w:r>
      <w:proofErr w:type="spellEnd"/>
      <w:r w:rsidRPr="007F6360">
        <w:rPr>
          <w:lang w:eastAsia="bg-BG"/>
        </w:rPr>
        <w:t xml:space="preserve"> не са наблюдавани ефекти върху фертилността, нито </w:t>
      </w:r>
      <w:proofErr w:type="spellStart"/>
      <w:r w:rsidRPr="007F6360">
        <w:rPr>
          <w:lang w:eastAsia="bg-BG"/>
        </w:rPr>
        <w:t>тератогенност</w:t>
      </w:r>
      <w:proofErr w:type="spellEnd"/>
      <w:r w:rsidRPr="007F6360">
        <w:rPr>
          <w:lang w:eastAsia="bg-BG"/>
        </w:rPr>
        <w:t xml:space="preserve">. При много високи дози (около 150-400 пъти максималната терапевтична доза за хора на база </w:t>
      </w:r>
      <w:r w:rsidRPr="007F6360">
        <w:rPr>
          <w:lang w:val="en-US"/>
        </w:rPr>
        <w:t xml:space="preserve">mg/kg) </w:t>
      </w:r>
      <w:r w:rsidRPr="007F6360">
        <w:rPr>
          <w:lang w:eastAsia="bg-BG"/>
        </w:rPr>
        <w:t xml:space="preserve">феталната токсичност е вторична след майчината токсичност. </w:t>
      </w:r>
      <w:proofErr w:type="spellStart"/>
      <w:r w:rsidRPr="007F6360">
        <w:rPr>
          <w:lang w:eastAsia="bg-BG"/>
        </w:rPr>
        <w:t>Флунаризин</w:t>
      </w:r>
      <w:proofErr w:type="spellEnd"/>
      <w:r w:rsidRPr="007F6360">
        <w:rPr>
          <w:lang w:eastAsia="bg-BG"/>
        </w:rPr>
        <w:t xml:space="preserve"> не е мутагенен и не се счита за основен карциноген. Само при токсични нива на дозата при </w:t>
      </w:r>
      <w:r w:rsidRPr="007F6360">
        <w:rPr>
          <w:lang w:eastAsia="bg-BG"/>
        </w:rPr>
        <w:lastRenderedPageBreak/>
        <w:t xml:space="preserve">мишки (около 50-100 пъти максималната терапевтична доза за хора на база </w:t>
      </w:r>
      <w:r w:rsidRPr="007F6360">
        <w:rPr>
          <w:lang w:val="en-US"/>
        </w:rPr>
        <w:t xml:space="preserve">mg/kg) </w:t>
      </w:r>
      <w:r w:rsidRPr="007F6360">
        <w:rPr>
          <w:lang w:eastAsia="bg-BG"/>
        </w:rPr>
        <w:t>се наблюдават слаби ефекти под влияние на</w:t>
      </w:r>
    </w:p>
    <w:p w14:paraId="6B0B4EDA" w14:textId="77777777" w:rsidR="007F6360" w:rsidRPr="007F6360" w:rsidRDefault="007F6360" w:rsidP="007F6360">
      <w:pPr>
        <w:rPr>
          <w:sz w:val="24"/>
          <w:szCs w:val="24"/>
        </w:rPr>
      </w:pPr>
      <w:proofErr w:type="spellStart"/>
      <w:r w:rsidRPr="007F6360">
        <w:rPr>
          <w:lang w:eastAsia="bg-BG"/>
        </w:rPr>
        <w:t>пролактина</w:t>
      </w:r>
      <w:proofErr w:type="spellEnd"/>
      <w:r w:rsidRPr="007F6360">
        <w:rPr>
          <w:lang w:eastAsia="bg-BG"/>
        </w:rPr>
        <w:t xml:space="preserve"> върху развитието на млечната жлеза и </w:t>
      </w:r>
      <w:proofErr w:type="spellStart"/>
      <w:r w:rsidRPr="007F6360">
        <w:rPr>
          <w:lang w:eastAsia="bg-BG"/>
        </w:rPr>
        <w:t>туморогенеза</w:t>
      </w:r>
      <w:proofErr w:type="spellEnd"/>
      <w:r w:rsidRPr="007F6360">
        <w:rPr>
          <w:lang w:eastAsia="bg-BG"/>
        </w:rPr>
        <w:t>.</w:t>
      </w:r>
    </w:p>
    <w:p w14:paraId="2BDCF483" w14:textId="77777777" w:rsidR="007F6360" w:rsidRPr="007F6360" w:rsidRDefault="007F6360" w:rsidP="007F6360">
      <w:pPr>
        <w:rPr>
          <w:sz w:val="24"/>
          <w:szCs w:val="24"/>
        </w:rPr>
      </w:pPr>
      <w:r w:rsidRPr="007F6360">
        <w:rPr>
          <w:lang w:eastAsia="bg-BG"/>
        </w:rPr>
        <w:t xml:space="preserve">При </w:t>
      </w:r>
      <w:r w:rsidRPr="007F6360">
        <w:rPr>
          <w:i/>
          <w:iCs/>
          <w:lang w:val="en-US"/>
        </w:rPr>
        <w:t>in vivo</w:t>
      </w:r>
      <w:r w:rsidRPr="007F6360">
        <w:rPr>
          <w:lang w:val="en-US"/>
        </w:rPr>
        <w:t xml:space="preserve"> </w:t>
      </w:r>
      <w:r w:rsidRPr="007F6360">
        <w:rPr>
          <w:lang w:eastAsia="bg-BG"/>
        </w:rPr>
        <w:t xml:space="preserve">модел, анестезирано морско свинче, </w:t>
      </w:r>
      <w:proofErr w:type="spellStart"/>
      <w:r w:rsidRPr="007F6360">
        <w:rPr>
          <w:lang w:eastAsia="bg-BG"/>
        </w:rPr>
        <w:t>флунаризин</w:t>
      </w:r>
      <w:proofErr w:type="spellEnd"/>
      <w:r w:rsidRPr="007F6360">
        <w:rPr>
          <w:lang w:eastAsia="bg-BG"/>
        </w:rPr>
        <w:t xml:space="preserve"> с обща доза 9,87 </w:t>
      </w:r>
      <w:r w:rsidRPr="007F6360">
        <w:rPr>
          <w:lang w:val="en-US"/>
        </w:rPr>
        <w:t xml:space="preserve">mg/kg </w:t>
      </w:r>
      <w:r w:rsidRPr="007F6360">
        <w:rPr>
          <w:lang w:eastAsia="bg-BG"/>
        </w:rPr>
        <w:t>интравенозно (около 50 пъти максималната терапевтична доза за хора на база</w:t>
      </w:r>
      <w:r w:rsidRPr="007F6360">
        <w:rPr>
          <w:lang w:val="en-US"/>
        </w:rPr>
        <w:t xml:space="preserve"> mg/kg </w:t>
      </w:r>
      <w:r w:rsidRPr="007F6360">
        <w:rPr>
          <w:lang w:eastAsia="bg-BG"/>
        </w:rPr>
        <w:t>не</w:t>
      </w:r>
    </w:p>
    <w:p w14:paraId="1DAE9469" w14:textId="569D0E0B" w:rsidR="007F6360" w:rsidRPr="007F6360" w:rsidRDefault="007F6360" w:rsidP="007F6360">
      <w:r w:rsidRPr="007F6360">
        <w:rPr>
          <w:lang w:eastAsia="bg-BG"/>
        </w:rPr>
        <w:t xml:space="preserve">повлиява </w:t>
      </w:r>
      <w:r w:rsidRPr="007F6360">
        <w:rPr>
          <w:lang w:val="en-US"/>
        </w:rPr>
        <w:t xml:space="preserve">QTc </w:t>
      </w:r>
      <w:r w:rsidRPr="007F6360">
        <w:rPr>
          <w:lang w:eastAsia="bg-BG"/>
        </w:rPr>
        <w:t>интервалите и ЕКГ морфологията.</w:t>
      </w:r>
    </w:p>
    <w:p w14:paraId="6940F72E" w14:textId="1DFE3F03" w:rsidR="009B171C" w:rsidRDefault="002C50EE" w:rsidP="00CA1B57">
      <w:pPr>
        <w:pStyle w:val="Heading1"/>
      </w:pPr>
      <w:r>
        <w:t>7. ПРИТЕЖАТЕЛ НА РАЗРЕШЕНИЕТО ЗА УПОТРЕБА</w:t>
      </w:r>
    </w:p>
    <w:p w14:paraId="5DBB9A3F" w14:textId="77777777" w:rsidR="007F6360" w:rsidRDefault="007F6360" w:rsidP="007F6360">
      <w:pPr>
        <w:rPr>
          <w:lang w:val="en-US"/>
        </w:rPr>
      </w:pPr>
    </w:p>
    <w:p w14:paraId="4D97027C" w14:textId="7C3A2573" w:rsidR="007F6360" w:rsidRPr="007F6360" w:rsidRDefault="007F6360" w:rsidP="007F6360">
      <w:pPr>
        <w:rPr>
          <w:sz w:val="24"/>
          <w:szCs w:val="24"/>
          <w:lang w:val="en-US"/>
        </w:rPr>
      </w:pPr>
      <w:r w:rsidRPr="007F6360">
        <w:rPr>
          <w:lang w:val="en-US"/>
        </w:rPr>
        <w:t xml:space="preserve">Johnson </w:t>
      </w:r>
      <w:r w:rsidRPr="007F6360">
        <w:rPr>
          <w:lang w:eastAsia="bg-BG"/>
        </w:rPr>
        <w:t xml:space="preserve">&amp; </w:t>
      </w:r>
      <w:r w:rsidRPr="007F6360">
        <w:rPr>
          <w:lang w:val="en-US"/>
        </w:rPr>
        <w:t>Johnson d.o.o.</w:t>
      </w:r>
    </w:p>
    <w:p w14:paraId="35473A45" w14:textId="77777777" w:rsidR="007F6360" w:rsidRPr="007F6360" w:rsidRDefault="007F6360" w:rsidP="007F6360">
      <w:pPr>
        <w:rPr>
          <w:sz w:val="24"/>
          <w:szCs w:val="24"/>
          <w:lang w:val="en-US"/>
        </w:rPr>
      </w:pPr>
      <w:proofErr w:type="spellStart"/>
      <w:r w:rsidRPr="007F6360">
        <w:rPr>
          <w:lang w:val="en-US"/>
        </w:rPr>
        <w:t>Smartinska</w:t>
      </w:r>
      <w:proofErr w:type="spellEnd"/>
      <w:r w:rsidRPr="007F6360">
        <w:rPr>
          <w:lang w:val="en-US"/>
        </w:rPr>
        <w:t xml:space="preserve"> cesta 53</w:t>
      </w:r>
    </w:p>
    <w:p w14:paraId="08934023" w14:textId="77777777" w:rsidR="007F6360" w:rsidRPr="007F6360" w:rsidRDefault="007F6360" w:rsidP="007F6360">
      <w:pPr>
        <w:rPr>
          <w:sz w:val="24"/>
          <w:szCs w:val="24"/>
          <w:lang w:val="en-US"/>
        </w:rPr>
      </w:pPr>
      <w:r w:rsidRPr="007F6360">
        <w:rPr>
          <w:lang w:val="en-US"/>
        </w:rPr>
        <w:t>1000 Ljubljana</w:t>
      </w:r>
    </w:p>
    <w:p w14:paraId="141034BE" w14:textId="77777777" w:rsidR="007F6360" w:rsidRPr="007F6360" w:rsidRDefault="007F6360" w:rsidP="007F6360">
      <w:pPr>
        <w:rPr>
          <w:sz w:val="24"/>
          <w:szCs w:val="24"/>
          <w:lang w:val="en-US"/>
        </w:rPr>
      </w:pPr>
      <w:r w:rsidRPr="007F6360">
        <w:rPr>
          <w:lang w:eastAsia="bg-BG"/>
        </w:rPr>
        <w:t>Словения</w:t>
      </w:r>
    </w:p>
    <w:p w14:paraId="4CC40F13" w14:textId="77777777" w:rsidR="007F6360" w:rsidRPr="007F6360" w:rsidRDefault="007F6360" w:rsidP="007F6360">
      <w:pPr>
        <w:rPr>
          <w:sz w:val="24"/>
          <w:szCs w:val="24"/>
          <w:lang w:val="en-US"/>
        </w:rPr>
      </w:pPr>
      <w:r w:rsidRPr="007F6360">
        <w:rPr>
          <w:lang w:eastAsia="bg-BG"/>
        </w:rPr>
        <w:t xml:space="preserve">тел.: </w:t>
      </w:r>
      <w:r w:rsidRPr="007F6360">
        <w:rPr>
          <w:lang w:val="en-US"/>
        </w:rPr>
        <w:t>+359 2 489 94 00</w:t>
      </w:r>
    </w:p>
    <w:p w14:paraId="188332A2" w14:textId="77777777" w:rsidR="007F6360" w:rsidRPr="007F6360" w:rsidRDefault="007F6360" w:rsidP="007F6360">
      <w:pPr>
        <w:rPr>
          <w:sz w:val="24"/>
          <w:szCs w:val="24"/>
          <w:lang w:val="en-US"/>
        </w:rPr>
      </w:pPr>
      <w:r w:rsidRPr="007F6360">
        <w:rPr>
          <w:lang w:val="en-US"/>
        </w:rPr>
        <w:t xml:space="preserve">e-mail: </w:t>
      </w:r>
      <w:hyperlink r:id="rId6" w:history="1">
        <w:r w:rsidRPr="007F6360">
          <w:rPr>
            <w:u w:val="single"/>
            <w:lang w:val="en-US"/>
          </w:rPr>
          <w:t>JJSAFETY@its.ini.com</w:t>
        </w:r>
      </w:hyperlink>
    </w:p>
    <w:p w14:paraId="3DC4225E" w14:textId="77777777" w:rsidR="007F6360" w:rsidRPr="007F6360" w:rsidRDefault="007F6360" w:rsidP="007F6360"/>
    <w:p w14:paraId="04840D59" w14:textId="01194B44" w:rsidR="002C50EE" w:rsidRDefault="002C50EE" w:rsidP="002C50EE">
      <w:pPr>
        <w:pStyle w:val="Heading1"/>
      </w:pPr>
      <w:r>
        <w:t>8. НОМЕР НА РАЗРЕШЕНИЕТО ЗА УПОТРЕБА</w:t>
      </w:r>
    </w:p>
    <w:p w14:paraId="42692427" w14:textId="15A1E9FF" w:rsidR="007F6360" w:rsidRPr="007F6360" w:rsidRDefault="007F6360" w:rsidP="007F6360">
      <w:r>
        <w:t>20100133</w:t>
      </w:r>
    </w:p>
    <w:p w14:paraId="5900CBF3" w14:textId="7F9A9481" w:rsidR="002C50EE" w:rsidRDefault="002C50EE" w:rsidP="002C50EE">
      <w:pPr>
        <w:pStyle w:val="Heading1"/>
      </w:pPr>
      <w:r>
        <w:t>9. ДАТА НА ПЪРВО РАЗРЕШАВАНЕ/ПОДНОВЯВАНЕ НА РАЗРЕШЕНИЕТО ЗА УПОТРЕБА</w:t>
      </w:r>
    </w:p>
    <w:p w14:paraId="7723773C" w14:textId="77777777" w:rsidR="007F6360" w:rsidRPr="007F6360" w:rsidRDefault="007F6360" w:rsidP="007F6360">
      <w:pPr>
        <w:rPr>
          <w:sz w:val="24"/>
          <w:szCs w:val="24"/>
        </w:rPr>
      </w:pPr>
      <w:r w:rsidRPr="007F6360">
        <w:rPr>
          <w:lang w:eastAsia="bg-BG"/>
        </w:rPr>
        <w:t>Дата на първо разрешаване: 01 март 2010</w:t>
      </w:r>
    </w:p>
    <w:p w14:paraId="684013E5" w14:textId="26A24331" w:rsidR="007F6360" w:rsidRPr="007F6360" w:rsidRDefault="007F6360" w:rsidP="007F6360">
      <w:r w:rsidRPr="007F6360">
        <w:rPr>
          <w:lang w:eastAsia="bg-BG"/>
        </w:rPr>
        <w:t>Дата на последно подновяване: 03 февруари 2015</w:t>
      </w:r>
    </w:p>
    <w:p w14:paraId="0E9D0119" w14:textId="0245C6D7" w:rsidR="002C50EE" w:rsidRDefault="002C50EE" w:rsidP="002C50EE">
      <w:pPr>
        <w:pStyle w:val="Heading1"/>
      </w:pPr>
      <w:r>
        <w:t>10. ДАТА НА АКТУАЛИЗИРАНЕ НА ТЕКСТА</w:t>
      </w:r>
    </w:p>
    <w:bookmarkEnd w:id="0"/>
    <w:p w14:paraId="423F4C2A" w14:textId="61F2B2C2" w:rsidR="00C87E90" w:rsidRPr="003E3126" w:rsidRDefault="007F6360" w:rsidP="007F6360">
      <w:r>
        <w:t>03/2020</w:t>
      </w:r>
    </w:p>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E156E"/>
    <w:multiLevelType w:val="hybridMultilevel"/>
    <w:tmpl w:val="147C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0"/>
  </w:num>
  <w:num w:numId="4">
    <w:abstractNumId w:val="3"/>
  </w:num>
  <w:num w:numId="5">
    <w:abstractNumId w:val="1"/>
  </w:num>
  <w:num w:numId="6">
    <w:abstractNumId w:val="13"/>
  </w:num>
  <w:num w:numId="7">
    <w:abstractNumId w:val="8"/>
  </w:num>
  <w:num w:numId="8">
    <w:abstractNumId w:val="12"/>
  </w:num>
  <w:num w:numId="9">
    <w:abstractNumId w:val="2"/>
  </w:num>
  <w:num w:numId="10">
    <w:abstractNumId w:val="4"/>
  </w:num>
  <w:num w:numId="11">
    <w:abstractNumId w:val="25"/>
  </w:num>
  <w:num w:numId="12">
    <w:abstractNumId w:val="11"/>
  </w:num>
  <w:num w:numId="13">
    <w:abstractNumId w:val="16"/>
  </w:num>
  <w:num w:numId="14">
    <w:abstractNumId w:val="9"/>
  </w:num>
  <w:num w:numId="15">
    <w:abstractNumId w:val="24"/>
  </w:num>
  <w:num w:numId="16">
    <w:abstractNumId w:val="7"/>
  </w:num>
  <w:num w:numId="17">
    <w:abstractNumId w:val="19"/>
  </w:num>
  <w:num w:numId="18">
    <w:abstractNumId w:val="5"/>
  </w:num>
  <w:num w:numId="19">
    <w:abstractNumId w:val="21"/>
  </w:num>
  <w:num w:numId="20">
    <w:abstractNumId w:val="18"/>
  </w:num>
  <w:num w:numId="21">
    <w:abstractNumId w:val="14"/>
  </w:num>
  <w:num w:numId="22">
    <w:abstractNumId w:val="20"/>
  </w:num>
  <w:num w:numId="23">
    <w:abstractNumId w:val="15"/>
  </w:num>
  <w:num w:numId="24">
    <w:abstractNumId w:val="6"/>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3C38"/>
    <w:rsid w:val="002B4DBB"/>
    <w:rsid w:val="002C50EE"/>
    <w:rsid w:val="00340A0A"/>
    <w:rsid w:val="003765DC"/>
    <w:rsid w:val="003E3126"/>
    <w:rsid w:val="004D4D6B"/>
    <w:rsid w:val="00517A5B"/>
    <w:rsid w:val="00593A00"/>
    <w:rsid w:val="005A66D9"/>
    <w:rsid w:val="00605BCA"/>
    <w:rsid w:val="006158A1"/>
    <w:rsid w:val="00617B1F"/>
    <w:rsid w:val="00672487"/>
    <w:rsid w:val="00672600"/>
    <w:rsid w:val="00681D4A"/>
    <w:rsid w:val="00685882"/>
    <w:rsid w:val="0075649D"/>
    <w:rsid w:val="007F6360"/>
    <w:rsid w:val="00814073"/>
    <w:rsid w:val="00826F0D"/>
    <w:rsid w:val="00893B92"/>
    <w:rsid w:val="008C70A2"/>
    <w:rsid w:val="009773E4"/>
    <w:rsid w:val="009B171C"/>
    <w:rsid w:val="00A20351"/>
    <w:rsid w:val="00AA23EC"/>
    <w:rsid w:val="00AC63CE"/>
    <w:rsid w:val="00AE2107"/>
    <w:rsid w:val="00B275A8"/>
    <w:rsid w:val="00BF2600"/>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JSAFETY@its.ini.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2021-09-15T17:03:00Z</dcterms:created>
  <dcterms:modified xsi:type="dcterms:W3CDTF">2021-09-15T17:03:00Z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