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09CEB67B" w:rsidR="002C50EE" w:rsidRDefault="002C50EE" w:rsidP="002C50EE">
      <w:pPr>
        <w:pStyle w:val="Heading1"/>
        <w:jc w:val="center"/>
      </w:pPr>
      <w:bookmarkStart w:id="0" w:name="_Hlk63124480"/>
      <w:r>
        <w:t>КРАТКА ХАРАКТЕРИСТИКА НА ПРОДУКТА</w:t>
      </w:r>
    </w:p>
    <w:p w14:paraId="5A3B4435" w14:textId="77777777" w:rsidR="0091385D" w:rsidRPr="0091385D" w:rsidRDefault="0091385D" w:rsidP="0091385D"/>
    <w:p w14:paraId="3320F4BE" w14:textId="2EB48694" w:rsidR="00C40420" w:rsidRDefault="00DD466D" w:rsidP="004A448E">
      <w:pPr>
        <w:pStyle w:val="Heading1"/>
      </w:pPr>
      <w:r>
        <w:t>1.ИМЕ НА ЛЕКАРСТВЕНИЯ ПРОДУКТ</w:t>
      </w:r>
    </w:p>
    <w:p w14:paraId="5E9BA472" w14:textId="7B7F9CBA" w:rsidR="0091385D" w:rsidRDefault="0091385D" w:rsidP="0091385D"/>
    <w:p w14:paraId="2D761B23" w14:textId="77777777" w:rsidR="00812A1B" w:rsidRPr="00A459D7" w:rsidRDefault="00812A1B" w:rsidP="00812A1B">
      <w:pPr>
        <w:spacing w:line="240" w:lineRule="auto"/>
        <w:rPr>
          <w:rFonts w:eastAsia="Times New Roman" w:cs="Arial"/>
          <w:color w:val="000000"/>
          <w:lang w:eastAsia="bg-BG"/>
        </w:rPr>
      </w:pPr>
      <w:r w:rsidRPr="00812A1B">
        <w:rPr>
          <w:rFonts w:eastAsia="Times New Roman" w:cs="Arial"/>
          <w:color w:val="000000"/>
          <w:lang w:eastAsia="bg-BG"/>
        </w:rPr>
        <w:t xml:space="preserve">Силденафил Сандоз 25 </w:t>
      </w:r>
      <w:r w:rsidRPr="00812A1B">
        <w:rPr>
          <w:rFonts w:eastAsia="Times New Roman" w:cs="Arial"/>
          <w:color w:val="000000"/>
          <w:lang w:val="en-US"/>
        </w:rPr>
        <w:t xml:space="preserve">mg </w:t>
      </w:r>
      <w:r w:rsidRPr="00812A1B">
        <w:rPr>
          <w:rFonts w:eastAsia="Times New Roman" w:cs="Arial"/>
          <w:color w:val="000000"/>
          <w:lang w:eastAsia="bg-BG"/>
        </w:rPr>
        <w:t xml:space="preserve">таблетки </w:t>
      </w:r>
    </w:p>
    <w:p w14:paraId="0555FF01" w14:textId="518D1BF3" w:rsidR="00812A1B" w:rsidRPr="00812A1B" w:rsidRDefault="00812A1B" w:rsidP="00812A1B">
      <w:pPr>
        <w:spacing w:line="240" w:lineRule="auto"/>
        <w:rPr>
          <w:rFonts w:eastAsia="Times New Roman" w:cs="Arial"/>
          <w:lang w:val="en-US" w:eastAsia="bg-BG"/>
        </w:rPr>
      </w:pPr>
      <w:r w:rsidRPr="00812A1B">
        <w:rPr>
          <w:rFonts w:eastAsia="Times New Roman" w:cs="Arial"/>
          <w:color w:val="000000"/>
          <w:lang w:val="en-US"/>
        </w:rPr>
        <w:t xml:space="preserve">Sildenafil Sandoz </w:t>
      </w:r>
      <w:r w:rsidRPr="00812A1B">
        <w:rPr>
          <w:rFonts w:eastAsia="Times New Roman" w:cs="Arial"/>
          <w:color w:val="000000"/>
          <w:lang w:eastAsia="bg-BG"/>
        </w:rPr>
        <w:t xml:space="preserve">25 </w:t>
      </w:r>
      <w:r w:rsidRPr="00812A1B">
        <w:rPr>
          <w:rFonts w:eastAsia="Times New Roman" w:cs="Arial"/>
          <w:color w:val="000000"/>
          <w:lang w:val="en-US"/>
        </w:rPr>
        <w:t>mg tablets</w:t>
      </w:r>
    </w:p>
    <w:p w14:paraId="2476F7BB" w14:textId="77777777" w:rsidR="00812A1B" w:rsidRPr="00A459D7" w:rsidRDefault="00812A1B" w:rsidP="00812A1B">
      <w:pPr>
        <w:spacing w:line="240" w:lineRule="auto"/>
        <w:rPr>
          <w:rFonts w:eastAsia="Times New Roman" w:cs="Arial"/>
          <w:color w:val="000000"/>
          <w:lang w:eastAsia="bg-BG"/>
        </w:rPr>
      </w:pPr>
    </w:p>
    <w:p w14:paraId="4F246D8E" w14:textId="26FBC9BC" w:rsidR="00812A1B" w:rsidRPr="00812A1B" w:rsidRDefault="00812A1B" w:rsidP="00812A1B">
      <w:pPr>
        <w:spacing w:line="240" w:lineRule="auto"/>
        <w:rPr>
          <w:rFonts w:eastAsia="Times New Roman" w:cs="Arial"/>
          <w:lang w:val="en-US" w:eastAsia="bg-BG"/>
        </w:rPr>
      </w:pPr>
      <w:r w:rsidRPr="00812A1B">
        <w:rPr>
          <w:rFonts w:eastAsia="Times New Roman" w:cs="Arial"/>
          <w:color w:val="000000"/>
          <w:lang w:eastAsia="bg-BG"/>
        </w:rPr>
        <w:t xml:space="preserve">Силденафил Сандоз </w:t>
      </w:r>
      <w:r w:rsidRPr="00812A1B">
        <w:rPr>
          <w:rFonts w:eastAsia="Times New Roman" w:cs="Arial"/>
          <w:color w:val="000000"/>
          <w:lang w:val="en-US"/>
        </w:rPr>
        <w:t xml:space="preserve">50 mg </w:t>
      </w:r>
      <w:r w:rsidRPr="00812A1B">
        <w:rPr>
          <w:rFonts w:eastAsia="Times New Roman" w:cs="Arial"/>
          <w:color w:val="000000"/>
          <w:lang w:eastAsia="bg-BG"/>
        </w:rPr>
        <w:t>таблетки</w:t>
      </w:r>
    </w:p>
    <w:p w14:paraId="438BB029" w14:textId="77777777" w:rsidR="00812A1B" w:rsidRPr="00812A1B" w:rsidRDefault="00812A1B" w:rsidP="00812A1B">
      <w:pPr>
        <w:spacing w:line="240" w:lineRule="auto"/>
        <w:rPr>
          <w:rFonts w:eastAsia="Times New Roman" w:cs="Arial"/>
          <w:lang w:val="en-US" w:eastAsia="bg-BG"/>
        </w:rPr>
      </w:pPr>
      <w:r w:rsidRPr="00812A1B">
        <w:rPr>
          <w:rFonts w:eastAsia="Times New Roman" w:cs="Arial"/>
          <w:color w:val="000000"/>
          <w:lang w:val="en-US"/>
        </w:rPr>
        <w:t>Sildenafil Sandoz 50 mg tablets</w:t>
      </w:r>
    </w:p>
    <w:p w14:paraId="476500AC" w14:textId="77777777" w:rsidR="00812A1B" w:rsidRPr="00A459D7" w:rsidRDefault="00812A1B" w:rsidP="00812A1B">
      <w:pPr>
        <w:spacing w:line="240" w:lineRule="auto"/>
        <w:rPr>
          <w:rFonts w:eastAsia="Times New Roman" w:cs="Arial"/>
          <w:color w:val="000000"/>
          <w:lang w:eastAsia="bg-BG"/>
        </w:rPr>
      </w:pPr>
    </w:p>
    <w:p w14:paraId="60F1EAFC" w14:textId="030A90E3" w:rsidR="00812A1B" w:rsidRPr="00812A1B" w:rsidRDefault="00812A1B" w:rsidP="00812A1B">
      <w:pPr>
        <w:spacing w:line="240" w:lineRule="auto"/>
        <w:rPr>
          <w:rFonts w:eastAsia="Times New Roman" w:cs="Arial"/>
          <w:lang w:val="en-US" w:eastAsia="bg-BG"/>
        </w:rPr>
      </w:pPr>
      <w:r w:rsidRPr="00812A1B">
        <w:rPr>
          <w:rFonts w:eastAsia="Times New Roman" w:cs="Arial"/>
          <w:color w:val="000000"/>
          <w:lang w:eastAsia="bg-BG"/>
        </w:rPr>
        <w:t xml:space="preserve">Силденафил Сандоз 100 </w:t>
      </w:r>
      <w:r w:rsidRPr="00812A1B">
        <w:rPr>
          <w:rFonts w:eastAsia="Times New Roman" w:cs="Arial"/>
          <w:color w:val="000000"/>
          <w:lang w:val="en-US"/>
        </w:rPr>
        <w:t xml:space="preserve">mg </w:t>
      </w:r>
      <w:r w:rsidRPr="00812A1B">
        <w:rPr>
          <w:rFonts w:eastAsia="Times New Roman" w:cs="Arial"/>
          <w:color w:val="000000"/>
          <w:lang w:eastAsia="bg-BG"/>
        </w:rPr>
        <w:t>таблетки</w:t>
      </w:r>
    </w:p>
    <w:p w14:paraId="69AC8148" w14:textId="3BD0BA70" w:rsidR="00EC41ED" w:rsidRPr="00A459D7" w:rsidRDefault="00812A1B" w:rsidP="00812A1B">
      <w:pPr>
        <w:rPr>
          <w:rFonts w:cs="Arial"/>
        </w:rPr>
      </w:pPr>
      <w:r w:rsidRPr="00A459D7">
        <w:rPr>
          <w:rFonts w:eastAsia="Times New Roman" w:cs="Arial"/>
          <w:color w:val="000000"/>
          <w:lang w:val="en-US"/>
        </w:rPr>
        <w:t xml:space="preserve">Sildenafil Sandoz </w:t>
      </w:r>
      <w:r w:rsidRPr="00A459D7">
        <w:rPr>
          <w:rFonts w:eastAsia="Times New Roman" w:cs="Arial"/>
          <w:color w:val="000000"/>
          <w:lang w:eastAsia="bg-BG"/>
        </w:rPr>
        <w:t xml:space="preserve">100 </w:t>
      </w:r>
      <w:r w:rsidRPr="00A459D7">
        <w:rPr>
          <w:rFonts w:eastAsia="Times New Roman" w:cs="Arial"/>
          <w:color w:val="000000"/>
          <w:lang w:val="en-US"/>
        </w:rPr>
        <w:t>mg tablets</w:t>
      </w:r>
    </w:p>
    <w:p w14:paraId="1E8447D1" w14:textId="77777777" w:rsidR="0091385D" w:rsidRPr="0091385D" w:rsidRDefault="0091385D" w:rsidP="0091385D"/>
    <w:p w14:paraId="6920A680" w14:textId="53C3EFCC" w:rsidR="00C40420" w:rsidRDefault="00DD466D" w:rsidP="004A448E">
      <w:pPr>
        <w:pStyle w:val="Heading1"/>
      </w:pPr>
      <w:r>
        <w:t>2. КАЧЕСТВЕН И КОЛИЧЕСТВЕН СЪСТАВ</w:t>
      </w:r>
    </w:p>
    <w:p w14:paraId="1ED33AE8" w14:textId="478BAC70" w:rsidR="0091385D" w:rsidRDefault="0091385D" w:rsidP="0091385D"/>
    <w:p w14:paraId="37F4EB5D" w14:textId="77777777"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Силденафил Сандоз 25 </w:t>
      </w:r>
      <w:r w:rsidRPr="00812A1B">
        <w:rPr>
          <w:rFonts w:eastAsia="Times New Roman" w:cs="Arial"/>
          <w:i/>
          <w:iCs/>
          <w:color w:val="000000"/>
          <w:lang w:val="en-US"/>
        </w:rPr>
        <w:t xml:space="preserve">mg </w:t>
      </w:r>
      <w:r w:rsidRPr="00812A1B">
        <w:rPr>
          <w:rFonts w:eastAsia="Times New Roman" w:cs="Arial"/>
          <w:i/>
          <w:iCs/>
          <w:color w:val="000000"/>
          <w:lang w:eastAsia="bg-BG"/>
        </w:rPr>
        <w:t>таблетки</w:t>
      </w:r>
    </w:p>
    <w:p w14:paraId="49F6263A"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Всяка таблетка съдържа 25 </w:t>
      </w:r>
      <w:r w:rsidRPr="00812A1B">
        <w:rPr>
          <w:rFonts w:eastAsia="Times New Roman" w:cs="Arial"/>
          <w:color w:val="000000"/>
          <w:lang w:val="en-US"/>
        </w:rPr>
        <w:t xml:space="preserve">mg </w:t>
      </w:r>
      <w:r w:rsidRPr="00812A1B">
        <w:rPr>
          <w:rFonts w:eastAsia="Times New Roman" w:cs="Arial"/>
          <w:color w:val="000000"/>
          <w:lang w:eastAsia="bg-BG"/>
        </w:rPr>
        <w:t>силденафил (като цитрат).</w:t>
      </w:r>
    </w:p>
    <w:p w14:paraId="6439733D" w14:textId="77777777" w:rsidR="00812A1B" w:rsidRPr="00A459D7" w:rsidRDefault="00812A1B" w:rsidP="00812A1B">
      <w:pPr>
        <w:spacing w:line="240" w:lineRule="auto"/>
        <w:rPr>
          <w:rFonts w:eastAsia="Times New Roman" w:cs="Arial"/>
          <w:i/>
          <w:iCs/>
          <w:color w:val="000000"/>
          <w:lang w:eastAsia="bg-BG"/>
        </w:rPr>
      </w:pPr>
    </w:p>
    <w:p w14:paraId="032557F0" w14:textId="5CD7F75C"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Силденафил Сандоз 50 </w:t>
      </w:r>
      <w:r w:rsidRPr="00812A1B">
        <w:rPr>
          <w:rFonts w:eastAsia="Times New Roman" w:cs="Arial"/>
          <w:i/>
          <w:iCs/>
          <w:color w:val="000000"/>
          <w:lang w:val="en-US"/>
        </w:rPr>
        <w:t xml:space="preserve">mg </w:t>
      </w:r>
      <w:r w:rsidRPr="00812A1B">
        <w:rPr>
          <w:rFonts w:eastAsia="Times New Roman" w:cs="Arial"/>
          <w:i/>
          <w:iCs/>
          <w:color w:val="000000"/>
          <w:lang w:eastAsia="bg-BG"/>
        </w:rPr>
        <w:t>таблетки</w:t>
      </w:r>
    </w:p>
    <w:p w14:paraId="4AAB55FF"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Всяка таблетка съдържа 50 </w:t>
      </w:r>
      <w:r w:rsidRPr="00812A1B">
        <w:rPr>
          <w:rFonts w:eastAsia="Times New Roman" w:cs="Arial"/>
          <w:color w:val="000000"/>
          <w:lang w:val="en-US"/>
        </w:rPr>
        <w:t xml:space="preserve">mg </w:t>
      </w:r>
      <w:r w:rsidRPr="00812A1B">
        <w:rPr>
          <w:rFonts w:eastAsia="Times New Roman" w:cs="Arial"/>
          <w:color w:val="000000"/>
          <w:lang w:eastAsia="bg-BG"/>
        </w:rPr>
        <w:t>силденафил (като цитрат).</w:t>
      </w:r>
    </w:p>
    <w:p w14:paraId="2177D7DE" w14:textId="77777777" w:rsidR="00812A1B" w:rsidRPr="00A459D7" w:rsidRDefault="00812A1B" w:rsidP="00812A1B">
      <w:pPr>
        <w:spacing w:line="240" w:lineRule="auto"/>
        <w:rPr>
          <w:rFonts w:eastAsia="Times New Roman" w:cs="Arial"/>
          <w:i/>
          <w:iCs/>
          <w:color w:val="000000"/>
          <w:lang w:eastAsia="bg-BG"/>
        </w:rPr>
      </w:pPr>
    </w:p>
    <w:p w14:paraId="2A0F003E" w14:textId="0B06DDCE"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Силденафил Сандоз 100 </w:t>
      </w:r>
      <w:r w:rsidRPr="00812A1B">
        <w:rPr>
          <w:rFonts w:eastAsia="Times New Roman" w:cs="Arial"/>
          <w:i/>
          <w:iCs/>
          <w:color w:val="000000"/>
          <w:lang w:val="en-US"/>
        </w:rPr>
        <w:t xml:space="preserve">mg </w:t>
      </w:r>
      <w:r w:rsidRPr="00812A1B">
        <w:rPr>
          <w:rFonts w:eastAsia="Times New Roman" w:cs="Arial"/>
          <w:i/>
          <w:iCs/>
          <w:color w:val="000000"/>
          <w:lang w:eastAsia="bg-BG"/>
        </w:rPr>
        <w:t>таблетки</w:t>
      </w:r>
    </w:p>
    <w:p w14:paraId="1C890485"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Всяка таблетка съдържа 100 </w:t>
      </w:r>
      <w:r w:rsidRPr="00812A1B">
        <w:rPr>
          <w:rFonts w:eastAsia="Times New Roman" w:cs="Arial"/>
          <w:color w:val="000000"/>
          <w:lang w:val="en-US"/>
        </w:rPr>
        <w:t xml:space="preserve">mg </w:t>
      </w:r>
      <w:r w:rsidRPr="00812A1B">
        <w:rPr>
          <w:rFonts w:eastAsia="Times New Roman" w:cs="Arial"/>
          <w:color w:val="000000"/>
          <w:lang w:eastAsia="bg-BG"/>
        </w:rPr>
        <w:t>силденафил (като цитрат).</w:t>
      </w:r>
    </w:p>
    <w:p w14:paraId="2E68B0AD" w14:textId="77777777" w:rsidR="00812A1B" w:rsidRPr="00A459D7" w:rsidRDefault="00812A1B" w:rsidP="00812A1B">
      <w:pPr>
        <w:rPr>
          <w:rFonts w:eastAsia="Times New Roman" w:cs="Arial"/>
          <w:color w:val="000000"/>
          <w:lang w:eastAsia="bg-BG"/>
        </w:rPr>
      </w:pPr>
    </w:p>
    <w:p w14:paraId="54632B43" w14:textId="0799B2B0" w:rsidR="00EC41ED" w:rsidRPr="00A459D7" w:rsidRDefault="00812A1B" w:rsidP="00812A1B">
      <w:pPr>
        <w:rPr>
          <w:rFonts w:cs="Arial"/>
        </w:rPr>
      </w:pPr>
      <w:r w:rsidRPr="00A459D7">
        <w:rPr>
          <w:rFonts w:eastAsia="Times New Roman" w:cs="Arial"/>
          <w:color w:val="000000"/>
          <w:lang w:eastAsia="bg-BG"/>
        </w:rPr>
        <w:t>За пълния списък на помощните вещества, вижте точка 6.1.</w:t>
      </w:r>
    </w:p>
    <w:p w14:paraId="3C47C299" w14:textId="77777777" w:rsidR="00A73575" w:rsidRPr="0091385D" w:rsidRDefault="00A73575" w:rsidP="0091385D"/>
    <w:p w14:paraId="614984C4" w14:textId="3FC552C3" w:rsidR="008A6AF2" w:rsidRDefault="00DD466D" w:rsidP="002C50EE">
      <w:pPr>
        <w:pStyle w:val="Heading1"/>
      </w:pPr>
      <w:r>
        <w:t>3. ЛЕКАРСТВЕНА ФОРМА</w:t>
      </w:r>
    </w:p>
    <w:p w14:paraId="1004E96C" w14:textId="67F9C61D" w:rsidR="0091385D" w:rsidRDefault="0091385D" w:rsidP="0091385D"/>
    <w:p w14:paraId="78E92175"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Таблетка.</w:t>
      </w:r>
    </w:p>
    <w:p w14:paraId="1FC59286" w14:textId="77777777" w:rsidR="00812A1B" w:rsidRPr="00A459D7" w:rsidRDefault="00812A1B" w:rsidP="00812A1B">
      <w:pPr>
        <w:spacing w:line="240" w:lineRule="auto"/>
        <w:rPr>
          <w:rFonts w:eastAsia="Times New Roman" w:cs="Arial"/>
          <w:i/>
          <w:iCs/>
          <w:color w:val="000000"/>
          <w:lang w:eastAsia="bg-BG"/>
        </w:rPr>
      </w:pPr>
    </w:p>
    <w:p w14:paraId="22B58D33" w14:textId="0C908832"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Силденафил Сандоз 25 </w:t>
      </w:r>
      <w:r w:rsidRPr="00812A1B">
        <w:rPr>
          <w:rFonts w:eastAsia="Times New Roman" w:cs="Arial"/>
          <w:i/>
          <w:iCs/>
          <w:color w:val="000000"/>
          <w:lang w:val="en-US"/>
        </w:rPr>
        <w:t xml:space="preserve">mg </w:t>
      </w:r>
      <w:r w:rsidRPr="00812A1B">
        <w:rPr>
          <w:rFonts w:eastAsia="Times New Roman" w:cs="Arial"/>
          <w:i/>
          <w:iCs/>
          <w:color w:val="000000"/>
          <w:lang w:eastAsia="bg-BG"/>
        </w:rPr>
        <w:t>таблетки</w:t>
      </w:r>
    </w:p>
    <w:p w14:paraId="29F6B592"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Силденафил Сандоз 25 </w:t>
      </w:r>
      <w:r w:rsidRPr="00812A1B">
        <w:rPr>
          <w:rFonts w:eastAsia="Times New Roman" w:cs="Arial"/>
          <w:color w:val="000000"/>
          <w:lang w:val="en-US"/>
        </w:rPr>
        <w:t xml:space="preserve">mg </w:t>
      </w:r>
      <w:r w:rsidRPr="00812A1B">
        <w:rPr>
          <w:rFonts w:eastAsia="Times New Roman" w:cs="Arial"/>
          <w:color w:val="000000"/>
          <w:lang w:eastAsia="bg-BG"/>
        </w:rPr>
        <w:t>таблетки са светлосини кръгли таблетки, меланж, с делителна черта от едната страна и изпъкнало релефно изображение “25” от другата страна.</w:t>
      </w:r>
    </w:p>
    <w:p w14:paraId="78A065EC"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Делителната черта е само за улесняване на счупването за по-лесно поглъщане.</w:t>
      </w:r>
    </w:p>
    <w:p w14:paraId="13A2F708" w14:textId="77777777" w:rsidR="00812A1B" w:rsidRPr="00A459D7" w:rsidRDefault="00812A1B" w:rsidP="00812A1B">
      <w:pPr>
        <w:spacing w:line="240" w:lineRule="auto"/>
        <w:rPr>
          <w:rFonts w:eastAsia="Times New Roman" w:cs="Arial"/>
          <w:i/>
          <w:iCs/>
          <w:color w:val="000000"/>
          <w:lang w:eastAsia="bg-BG"/>
        </w:rPr>
      </w:pPr>
    </w:p>
    <w:p w14:paraId="3C72FE4E" w14:textId="7992E688"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Силденафил Сандоз 50 </w:t>
      </w:r>
      <w:r w:rsidRPr="00812A1B">
        <w:rPr>
          <w:rFonts w:eastAsia="Times New Roman" w:cs="Arial"/>
          <w:i/>
          <w:iCs/>
          <w:color w:val="000000"/>
          <w:lang w:val="en-US"/>
        </w:rPr>
        <w:t xml:space="preserve">mg </w:t>
      </w:r>
      <w:r w:rsidRPr="00812A1B">
        <w:rPr>
          <w:rFonts w:eastAsia="Times New Roman" w:cs="Arial"/>
          <w:i/>
          <w:iCs/>
          <w:color w:val="000000"/>
          <w:lang w:eastAsia="bg-BG"/>
        </w:rPr>
        <w:t>таблетки</w:t>
      </w:r>
    </w:p>
    <w:p w14:paraId="2292BBA6"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Силденафил Сандоз 50 </w:t>
      </w:r>
      <w:r w:rsidRPr="00812A1B">
        <w:rPr>
          <w:rFonts w:eastAsia="Times New Roman" w:cs="Arial"/>
          <w:color w:val="000000"/>
          <w:lang w:val="en-US"/>
        </w:rPr>
        <w:t xml:space="preserve">mg </w:t>
      </w:r>
      <w:r w:rsidRPr="00812A1B">
        <w:rPr>
          <w:rFonts w:eastAsia="Times New Roman" w:cs="Arial"/>
          <w:color w:val="000000"/>
          <w:lang w:eastAsia="bg-BG"/>
        </w:rPr>
        <w:t>таблетки са светлосини кръгли таблетки, меланж, с две делителни черти на кръст от едната страна и изпъкнало релефно изображение “50” от другата страна. Таблетката може да бъде разделена на равни четвъртини.</w:t>
      </w:r>
    </w:p>
    <w:p w14:paraId="72358374"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Трябва да приема или цяла таблетка или едновременно две четвъртини.</w:t>
      </w:r>
    </w:p>
    <w:p w14:paraId="7957FC27" w14:textId="77777777" w:rsidR="00812A1B" w:rsidRPr="00A459D7" w:rsidRDefault="00812A1B" w:rsidP="00812A1B">
      <w:pPr>
        <w:spacing w:line="240" w:lineRule="auto"/>
        <w:rPr>
          <w:rFonts w:eastAsia="Times New Roman" w:cs="Arial"/>
          <w:i/>
          <w:iCs/>
          <w:color w:val="000000"/>
          <w:lang w:eastAsia="bg-BG"/>
        </w:rPr>
      </w:pPr>
    </w:p>
    <w:p w14:paraId="0A00E32B" w14:textId="148CD1C4"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Силденафил Сандоз 100 </w:t>
      </w:r>
      <w:r w:rsidRPr="00812A1B">
        <w:rPr>
          <w:rFonts w:eastAsia="Times New Roman" w:cs="Arial"/>
          <w:i/>
          <w:iCs/>
          <w:color w:val="000000"/>
          <w:lang w:val="en-US"/>
        </w:rPr>
        <w:t xml:space="preserve">mg </w:t>
      </w:r>
      <w:r w:rsidRPr="00812A1B">
        <w:rPr>
          <w:rFonts w:eastAsia="Times New Roman" w:cs="Arial"/>
          <w:i/>
          <w:iCs/>
          <w:color w:val="000000"/>
          <w:lang w:eastAsia="bg-BG"/>
        </w:rPr>
        <w:t>таблетки</w:t>
      </w:r>
    </w:p>
    <w:p w14:paraId="5F179CFF"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lastRenderedPageBreak/>
        <w:t xml:space="preserve">Силденафил Сандоз 100 </w:t>
      </w:r>
      <w:r w:rsidRPr="00812A1B">
        <w:rPr>
          <w:rFonts w:eastAsia="Times New Roman" w:cs="Arial"/>
          <w:color w:val="000000"/>
          <w:lang w:val="en-US"/>
        </w:rPr>
        <w:t xml:space="preserve">mg </w:t>
      </w:r>
      <w:r w:rsidRPr="00812A1B">
        <w:rPr>
          <w:rFonts w:eastAsia="Times New Roman" w:cs="Arial"/>
          <w:color w:val="000000"/>
          <w:lang w:eastAsia="bg-BG"/>
        </w:rPr>
        <w:t>таблетки са светлосини кръгли таблетки, меланж, с две делителни черти на кръст от двете страни и изпъкнало релефно изображение “100” от едната страна.</w:t>
      </w:r>
    </w:p>
    <w:p w14:paraId="743244F0" w14:textId="27EEBB34" w:rsidR="00EC41ED" w:rsidRPr="00A459D7" w:rsidRDefault="00812A1B" w:rsidP="00812A1B">
      <w:pPr>
        <w:rPr>
          <w:rFonts w:cs="Arial"/>
        </w:rPr>
      </w:pPr>
      <w:r w:rsidRPr="00A459D7">
        <w:rPr>
          <w:rFonts w:eastAsia="Times New Roman" w:cs="Arial"/>
          <w:color w:val="000000"/>
          <w:lang w:eastAsia="bg-BG"/>
        </w:rPr>
        <w:t>Таблетката може да бъде разделена на равни четвъртини.</w:t>
      </w:r>
    </w:p>
    <w:p w14:paraId="7D287A22" w14:textId="77777777" w:rsidR="00A73575" w:rsidRPr="0091385D" w:rsidRDefault="00A73575" w:rsidP="0091385D"/>
    <w:p w14:paraId="490FC2C4" w14:textId="76FABE77" w:rsidR="002C50EE" w:rsidRDefault="002C50EE" w:rsidP="002C50EE">
      <w:pPr>
        <w:pStyle w:val="Heading1"/>
      </w:pPr>
      <w:r>
        <w:t>4. КЛИНИЧНИ ДАННИ</w:t>
      </w:r>
    </w:p>
    <w:p w14:paraId="0C69CBC7" w14:textId="77777777" w:rsidR="0091385D" w:rsidRPr="0091385D" w:rsidRDefault="0091385D" w:rsidP="0091385D"/>
    <w:p w14:paraId="0C8E6903" w14:textId="51BB3E2D" w:rsidR="008134C8" w:rsidRDefault="002C50EE" w:rsidP="004A448E">
      <w:pPr>
        <w:pStyle w:val="Heading2"/>
      </w:pPr>
      <w:r>
        <w:t>4.1. Терапевтични показания</w:t>
      </w:r>
    </w:p>
    <w:p w14:paraId="694DB563" w14:textId="4757DD71" w:rsidR="00812A1B" w:rsidRPr="00812A1B" w:rsidRDefault="00812A1B" w:rsidP="00812A1B">
      <w:pPr>
        <w:spacing w:line="240" w:lineRule="auto"/>
        <w:rPr>
          <w:rFonts w:ascii="Times New Roman" w:eastAsia="Times New Roman" w:hAnsi="Times New Roman" w:cs="Times New Roman"/>
          <w:sz w:val="24"/>
          <w:szCs w:val="24"/>
          <w:lang w:eastAsia="bg-BG"/>
        </w:rPr>
      </w:pPr>
    </w:p>
    <w:p w14:paraId="6DFA4B9D" w14:textId="06D13690" w:rsidR="0091385D" w:rsidRPr="00A459D7" w:rsidRDefault="00812A1B" w:rsidP="00A459D7">
      <w:pPr>
        <w:spacing w:line="240" w:lineRule="auto"/>
        <w:rPr>
          <w:rFonts w:eastAsia="Times New Roman" w:cs="Arial"/>
          <w:lang w:eastAsia="bg-BG"/>
        </w:rPr>
      </w:pPr>
      <w:r w:rsidRPr="00812A1B">
        <w:rPr>
          <w:rFonts w:eastAsia="Times New Roman" w:cs="Arial"/>
          <w:color w:val="000000"/>
          <w:lang w:eastAsia="bg-BG"/>
        </w:rPr>
        <w:t>Лечение на мъже с еректилна дисфункция, която представлява неспособност за</w:t>
      </w:r>
      <w:r w:rsidRPr="00812A1B">
        <w:rPr>
          <w:rFonts w:eastAsia="Times New Roman" w:cs="Arial"/>
          <w:color w:val="000000"/>
          <w:lang w:val="en-US"/>
        </w:rPr>
        <w:t xml:space="preserve"> </w:t>
      </w:r>
      <w:r w:rsidRPr="00812A1B">
        <w:rPr>
          <w:rFonts w:eastAsia="Times New Roman" w:cs="Arial"/>
          <w:color w:val="000000"/>
          <w:lang w:eastAsia="bg-BG"/>
        </w:rPr>
        <w:t>постигане или</w:t>
      </w:r>
      <w:r w:rsidR="00A459D7">
        <w:rPr>
          <w:rFonts w:eastAsia="Times New Roman" w:cs="Arial"/>
          <w:lang w:eastAsia="bg-BG"/>
        </w:rPr>
        <w:t xml:space="preserve"> </w:t>
      </w:r>
      <w:r w:rsidRPr="00A459D7">
        <w:rPr>
          <w:rFonts w:eastAsia="Times New Roman" w:cs="Arial"/>
          <w:color w:val="000000"/>
          <w:lang w:eastAsia="bg-BG"/>
        </w:rPr>
        <w:t>задържане на ерекция на пениса, достатъчна за задоволителен сексуален акт.</w:t>
      </w:r>
    </w:p>
    <w:p w14:paraId="569E44FD" w14:textId="10C9773A" w:rsidR="00812A1B" w:rsidRPr="00A459D7" w:rsidRDefault="00812A1B" w:rsidP="00812A1B">
      <w:pPr>
        <w:rPr>
          <w:rFonts w:eastAsia="Times New Roman" w:cs="Arial"/>
          <w:color w:val="000000"/>
          <w:lang w:eastAsia="bg-BG"/>
        </w:rPr>
      </w:pPr>
    </w:p>
    <w:p w14:paraId="1BEFB354" w14:textId="33593EE7" w:rsidR="00812A1B" w:rsidRPr="00A459D7" w:rsidRDefault="00812A1B" w:rsidP="00812A1B">
      <w:pPr>
        <w:rPr>
          <w:rFonts w:cs="Arial"/>
        </w:rPr>
      </w:pPr>
      <w:r w:rsidRPr="00A459D7">
        <w:rPr>
          <w:rFonts w:cs="Arial"/>
        </w:rPr>
        <w:t>За да бъде ефективен Силденафил Сандоз е необходима сексуална стимулация.</w:t>
      </w:r>
    </w:p>
    <w:p w14:paraId="642F56D9" w14:textId="77777777" w:rsidR="00EC41ED" w:rsidRPr="0091385D" w:rsidRDefault="00EC41ED" w:rsidP="0091385D"/>
    <w:p w14:paraId="30BE2C7B" w14:textId="3633C1E4" w:rsidR="008134C8" w:rsidRDefault="002C50EE" w:rsidP="004A448E">
      <w:pPr>
        <w:pStyle w:val="Heading2"/>
      </w:pPr>
      <w:r>
        <w:t>4.2. Дозировка и начин на приложение</w:t>
      </w:r>
    </w:p>
    <w:p w14:paraId="7AA22B68" w14:textId="0723B40D" w:rsidR="0091385D" w:rsidRDefault="0091385D" w:rsidP="0091385D"/>
    <w:p w14:paraId="12D0D914"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За перорална употреба.</w:t>
      </w:r>
    </w:p>
    <w:p w14:paraId="1E68D41B" w14:textId="77777777" w:rsidR="00812A1B" w:rsidRPr="00A459D7" w:rsidRDefault="00812A1B" w:rsidP="00812A1B">
      <w:pPr>
        <w:spacing w:line="240" w:lineRule="auto"/>
        <w:rPr>
          <w:rFonts w:eastAsia="Times New Roman" w:cs="Arial"/>
          <w:color w:val="000000"/>
          <w:u w:val="single"/>
          <w:lang w:eastAsia="bg-BG"/>
        </w:rPr>
      </w:pPr>
    </w:p>
    <w:p w14:paraId="71249A05" w14:textId="41EC398E" w:rsidR="00812A1B" w:rsidRPr="00812A1B" w:rsidRDefault="00812A1B" w:rsidP="00812A1B">
      <w:pPr>
        <w:spacing w:line="240" w:lineRule="auto"/>
        <w:rPr>
          <w:rFonts w:eastAsia="Times New Roman" w:cs="Arial"/>
          <w:lang w:eastAsia="bg-BG"/>
        </w:rPr>
      </w:pPr>
      <w:r w:rsidRPr="00812A1B">
        <w:rPr>
          <w:rFonts w:eastAsia="Times New Roman" w:cs="Arial"/>
          <w:color w:val="000000"/>
          <w:u w:val="single"/>
          <w:lang w:eastAsia="bg-BG"/>
        </w:rPr>
        <w:t>Употреба при възрастни</w:t>
      </w:r>
    </w:p>
    <w:p w14:paraId="2435B624"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Препоръчителната доза е 50 </w:t>
      </w:r>
      <w:r w:rsidRPr="00812A1B">
        <w:rPr>
          <w:rFonts w:eastAsia="Times New Roman" w:cs="Arial"/>
          <w:color w:val="000000"/>
          <w:lang w:val="en-US"/>
        </w:rPr>
        <w:t xml:space="preserve">mg, </w:t>
      </w:r>
      <w:r w:rsidRPr="00812A1B">
        <w:rPr>
          <w:rFonts w:eastAsia="Times New Roman" w:cs="Arial"/>
          <w:color w:val="000000"/>
          <w:lang w:eastAsia="bg-BG"/>
        </w:rPr>
        <w:t xml:space="preserve">които се вземат при нужда приблизително един час преди сексуалния акт. В зависимост от ефекта и поносимостта дозата може да бъде увеличена до 100 </w:t>
      </w:r>
      <w:r w:rsidRPr="00812A1B">
        <w:rPr>
          <w:rFonts w:eastAsia="Times New Roman" w:cs="Arial"/>
          <w:color w:val="000000"/>
          <w:lang w:val="en-US"/>
        </w:rPr>
        <w:t xml:space="preserve">mg </w:t>
      </w:r>
      <w:r w:rsidRPr="00812A1B">
        <w:rPr>
          <w:rFonts w:eastAsia="Times New Roman" w:cs="Arial"/>
          <w:color w:val="000000"/>
          <w:lang w:eastAsia="bg-BG"/>
        </w:rPr>
        <w:t xml:space="preserve">или намалена до 25 </w:t>
      </w:r>
      <w:r w:rsidRPr="00812A1B">
        <w:rPr>
          <w:rFonts w:eastAsia="Times New Roman" w:cs="Arial"/>
          <w:color w:val="000000"/>
          <w:lang w:val="en-US"/>
        </w:rPr>
        <w:t xml:space="preserve">mg. </w:t>
      </w:r>
      <w:r w:rsidRPr="00812A1B">
        <w:rPr>
          <w:rFonts w:eastAsia="Times New Roman" w:cs="Arial"/>
          <w:color w:val="000000"/>
          <w:lang w:eastAsia="bg-BG"/>
        </w:rPr>
        <w:t xml:space="preserve">Максималната препоръчителна доза е 100 </w:t>
      </w:r>
      <w:r w:rsidRPr="00812A1B">
        <w:rPr>
          <w:rFonts w:eastAsia="Times New Roman" w:cs="Arial"/>
          <w:color w:val="000000"/>
          <w:lang w:val="en-US"/>
        </w:rPr>
        <w:t xml:space="preserve">mg. </w:t>
      </w:r>
      <w:r w:rsidRPr="00812A1B">
        <w:rPr>
          <w:rFonts w:eastAsia="Times New Roman" w:cs="Arial"/>
          <w:color w:val="000000"/>
          <w:lang w:eastAsia="bg-BG"/>
        </w:rPr>
        <w:t>Максималната препоръчителна честота на приемане е веднъж дневно. При прием на Силденафил Сандоз по време на хранене началото на действието може да бъде забавено в сравнение с приема на гладно (вж. точка 5.2).</w:t>
      </w:r>
    </w:p>
    <w:p w14:paraId="3505FDF4" w14:textId="77777777" w:rsidR="00812A1B" w:rsidRPr="00A459D7" w:rsidRDefault="00812A1B" w:rsidP="00812A1B">
      <w:pPr>
        <w:spacing w:line="240" w:lineRule="auto"/>
        <w:rPr>
          <w:rFonts w:eastAsia="Times New Roman" w:cs="Arial"/>
          <w:color w:val="000000"/>
          <w:u w:val="single"/>
          <w:lang w:eastAsia="bg-BG"/>
        </w:rPr>
      </w:pPr>
    </w:p>
    <w:p w14:paraId="3B995487" w14:textId="06458B84" w:rsidR="00812A1B" w:rsidRPr="00812A1B" w:rsidRDefault="00812A1B" w:rsidP="00812A1B">
      <w:pPr>
        <w:spacing w:line="240" w:lineRule="auto"/>
        <w:rPr>
          <w:rFonts w:eastAsia="Times New Roman" w:cs="Arial"/>
          <w:lang w:eastAsia="bg-BG"/>
        </w:rPr>
      </w:pPr>
      <w:r w:rsidRPr="00812A1B">
        <w:rPr>
          <w:rFonts w:eastAsia="Times New Roman" w:cs="Arial"/>
          <w:color w:val="000000"/>
          <w:u w:val="single"/>
          <w:lang w:eastAsia="bg-BG"/>
        </w:rPr>
        <w:t>Употреба при пациенти в старческа възраст</w:t>
      </w:r>
    </w:p>
    <w:p w14:paraId="044C8388"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Корекции на дозата не са необходими при пациенти в старческа възраст.</w:t>
      </w:r>
    </w:p>
    <w:p w14:paraId="685E573C" w14:textId="77777777" w:rsidR="00812A1B" w:rsidRPr="00A459D7" w:rsidRDefault="00812A1B" w:rsidP="00812A1B">
      <w:pPr>
        <w:spacing w:line="240" w:lineRule="auto"/>
        <w:rPr>
          <w:rFonts w:eastAsia="Times New Roman" w:cs="Arial"/>
          <w:color w:val="000000"/>
          <w:u w:val="single"/>
          <w:lang w:eastAsia="bg-BG"/>
        </w:rPr>
      </w:pPr>
    </w:p>
    <w:p w14:paraId="065EACA3" w14:textId="60423E56" w:rsidR="00812A1B" w:rsidRPr="00812A1B" w:rsidRDefault="00812A1B" w:rsidP="00812A1B">
      <w:pPr>
        <w:spacing w:line="240" w:lineRule="auto"/>
        <w:rPr>
          <w:rFonts w:eastAsia="Times New Roman" w:cs="Arial"/>
          <w:lang w:eastAsia="bg-BG"/>
        </w:rPr>
      </w:pPr>
      <w:r w:rsidRPr="00812A1B">
        <w:rPr>
          <w:rFonts w:eastAsia="Times New Roman" w:cs="Arial"/>
          <w:color w:val="000000"/>
          <w:u w:val="single"/>
          <w:lang w:eastAsia="bg-BG"/>
        </w:rPr>
        <w:t>Употреба при пациенти с увредена бъбречна функция</w:t>
      </w:r>
    </w:p>
    <w:p w14:paraId="79118D7A"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Препоръките за дозиране, дадени в "Приложение при възрастни", са валидни при пациенти с леко до умерено бъбречно увреждане (креатининов клирънс = 30-80 </w:t>
      </w:r>
      <w:r w:rsidRPr="00812A1B">
        <w:rPr>
          <w:rFonts w:eastAsia="Times New Roman" w:cs="Arial"/>
          <w:color w:val="000000"/>
          <w:lang w:val="en-US"/>
        </w:rPr>
        <w:t>ml/min).</w:t>
      </w:r>
    </w:p>
    <w:p w14:paraId="5E3F8ED8" w14:textId="77777777" w:rsidR="00812A1B" w:rsidRPr="00A459D7" w:rsidRDefault="00812A1B" w:rsidP="00812A1B">
      <w:pPr>
        <w:spacing w:line="240" w:lineRule="auto"/>
        <w:rPr>
          <w:rFonts w:eastAsia="Times New Roman" w:cs="Arial"/>
          <w:color w:val="000000"/>
          <w:lang w:eastAsia="bg-BG"/>
        </w:rPr>
      </w:pPr>
    </w:p>
    <w:p w14:paraId="316D7E3A" w14:textId="369DC948"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Тъй като при пациенти с тежко бъбречно увреждане (креатининов клирънс &lt;30 </w:t>
      </w:r>
      <w:r w:rsidRPr="00812A1B">
        <w:rPr>
          <w:rFonts w:eastAsia="Times New Roman" w:cs="Arial"/>
          <w:color w:val="000000"/>
          <w:lang w:val="en-US"/>
        </w:rPr>
        <w:t xml:space="preserve">ml/min) </w:t>
      </w:r>
      <w:r w:rsidRPr="00812A1B">
        <w:rPr>
          <w:rFonts w:eastAsia="Times New Roman" w:cs="Arial"/>
          <w:color w:val="000000"/>
          <w:lang w:eastAsia="bg-BG"/>
        </w:rPr>
        <w:t xml:space="preserve">клирънсът на силденафил е намален, трябва да се има предвид доза от 25 </w:t>
      </w:r>
      <w:r w:rsidRPr="00812A1B">
        <w:rPr>
          <w:rFonts w:eastAsia="Times New Roman" w:cs="Arial"/>
          <w:color w:val="000000"/>
          <w:lang w:val="en-US"/>
        </w:rPr>
        <w:t xml:space="preserve">mg. </w:t>
      </w:r>
      <w:r w:rsidRPr="00812A1B">
        <w:rPr>
          <w:rFonts w:eastAsia="Times New Roman" w:cs="Arial"/>
          <w:color w:val="000000"/>
          <w:lang w:eastAsia="bg-BG"/>
        </w:rPr>
        <w:t xml:space="preserve">В зависимост от ефекта и поносимостта дозата може да бъде увеличена до 50 </w:t>
      </w:r>
      <w:r w:rsidRPr="00812A1B">
        <w:rPr>
          <w:rFonts w:eastAsia="Times New Roman" w:cs="Arial"/>
          <w:color w:val="000000"/>
          <w:lang w:val="en-US"/>
        </w:rPr>
        <w:t xml:space="preserve">mg </w:t>
      </w:r>
      <w:r w:rsidRPr="00812A1B">
        <w:rPr>
          <w:rFonts w:eastAsia="Times New Roman" w:cs="Arial"/>
          <w:color w:val="000000"/>
          <w:lang w:eastAsia="bg-BG"/>
        </w:rPr>
        <w:t xml:space="preserve">или 100 </w:t>
      </w:r>
      <w:r w:rsidRPr="00812A1B">
        <w:rPr>
          <w:rFonts w:eastAsia="Times New Roman" w:cs="Arial"/>
          <w:color w:val="000000"/>
          <w:lang w:val="en-US"/>
        </w:rPr>
        <w:t>mg.</w:t>
      </w:r>
    </w:p>
    <w:p w14:paraId="40679169" w14:textId="77777777" w:rsidR="00812A1B" w:rsidRPr="00A459D7" w:rsidRDefault="00812A1B" w:rsidP="00812A1B">
      <w:pPr>
        <w:spacing w:line="240" w:lineRule="auto"/>
        <w:rPr>
          <w:rFonts w:eastAsia="Times New Roman" w:cs="Arial"/>
          <w:color w:val="000000"/>
          <w:u w:val="single"/>
          <w:lang w:eastAsia="bg-BG"/>
        </w:rPr>
      </w:pPr>
    </w:p>
    <w:p w14:paraId="5090491E" w14:textId="324FF49A" w:rsidR="00812A1B" w:rsidRPr="00812A1B" w:rsidRDefault="00812A1B" w:rsidP="00812A1B">
      <w:pPr>
        <w:spacing w:line="240" w:lineRule="auto"/>
        <w:rPr>
          <w:rFonts w:eastAsia="Times New Roman" w:cs="Arial"/>
          <w:lang w:eastAsia="bg-BG"/>
        </w:rPr>
      </w:pPr>
      <w:r w:rsidRPr="00812A1B">
        <w:rPr>
          <w:rFonts w:eastAsia="Times New Roman" w:cs="Arial"/>
          <w:color w:val="000000"/>
          <w:u w:val="single"/>
          <w:lang w:eastAsia="bg-BG"/>
        </w:rPr>
        <w:t>Употреба при пациенти с увредена чернодробна функция</w:t>
      </w:r>
    </w:p>
    <w:p w14:paraId="4A51D9C4"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Тъй като при пациенти с чернодробно увреждане (напр. цироза) клирънсът на силденафил е намален, трябва да се има предвид доза от 25 </w:t>
      </w:r>
      <w:r w:rsidRPr="00812A1B">
        <w:rPr>
          <w:rFonts w:eastAsia="Times New Roman" w:cs="Arial"/>
          <w:color w:val="000000"/>
          <w:lang w:val="en-US"/>
        </w:rPr>
        <w:t xml:space="preserve">mg. </w:t>
      </w:r>
      <w:r w:rsidRPr="00812A1B">
        <w:rPr>
          <w:rFonts w:eastAsia="Times New Roman" w:cs="Arial"/>
          <w:color w:val="000000"/>
          <w:lang w:eastAsia="bg-BG"/>
        </w:rPr>
        <w:t xml:space="preserve">В зависимост от ефекта и поносимостта дозата може да бъде увеличена до 50 </w:t>
      </w:r>
      <w:r w:rsidRPr="00812A1B">
        <w:rPr>
          <w:rFonts w:eastAsia="Times New Roman" w:cs="Arial"/>
          <w:color w:val="000000"/>
          <w:lang w:val="en-US"/>
        </w:rPr>
        <w:t xml:space="preserve">mg </w:t>
      </w:r>
      <w:r w:rsidRPr="00812A1B">
        <w:rPr>
          <w:rFonts w:eastAsia="Times New Roman" w:cs="Arial"/>
          <w:color w:val="000000"/>
          <w:lang w:eastAsia="bg-BG"/>
        </w:rPr>
        <w:t xml:space="preserve">или 100 </w:t>
      </w:r>
      <w:r w:rsidRPr="00812A1B">
        <w:rPr>
          <w:rFonts w:eastAsia="Times New Roman" w:cs="Arial"/>
          <w:color w:val="000000"/>
          <w:lang w:val="en-US"/>
        </w:rPr>
        <w:t>mg.</w:t>
      </w:r>
    </w:p>
    <w:p w14:paraId="38BFD4B5" w14:textId="77777777" w:rsidR="00812A1B" w:rsidRPr="00A459D7" w:rsidRDefault="00812A1B" w:rsidP="00812A1B">
      <w:pPr>
        <w:spacing w:line="240" w:lineRule="auto"/>
        <w:rPr>
          <w:rFonts w:eastAsia="Times New Roman" w:cs="Arial"/>
          <w:color w:val="000000"/>
          <w:u w:val="single"/>
          <w:lang w:eastAsia="bg-BG"/>
        </w:rPr>
      </w:pPr>
    </w:p>
    <w:p w14:paraId="411C1430" w14:textId="632C6231" w:rsidR="00812A1B" w:rsidRPr="00812A1B" w:rsidRDefault="00812A1B" w:rsidP="00812A1B">
      <w:pPr>
        <w:spacing w:line="240" w:lineRule="auto"/>
        <w:rPr>
          <w:rFonts w:eastAsia="Times New Roman" w:cs="Arial"/>
          <w:lang w:eastAsia="bg-BG"/>
        </w:rPr>
      </w:pPr>
      <w:r w:rsidRPr="00812A1B">
        <w:rPr>
          <w:rFonts w:eastAsia="Times New Roman" w:cs="Arial"/>
          <w:color w:val="000000"/>
          <w:u w:val="single"/>
          <w:lang w:eastAsia="bg-BG"/>
        </w:rPr>
        <w:t>Употреба при деца и юноши</w:t>
      </w:r>
    </w:p>
    <w:p w14:paraId="6D3F4310"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Силденафил Сандоз не е показан при лица под 18-годишна възраст.</w:t>
      </w:r>
    </w:p>
    <w:p w14:paraId="5BABA6D7" w14:textId="77777777" w:rsidR="00812A1B" w:rsidRPr="00A459D7" w:rsidRDefault="00812A1B" w:rsidP="00812A1B">
      <w:pPr>
        <w:spacing w:line="240" w:lineRule="auto"/>
        <w:rPr>
          <w:rFonts w:eastAsia="Times New Roman" w:cs="Arial"/>
          <w:color w:val="000000"/>
          <w:u w:val="single"/>
          <w:lang w:eastAsia="bg-BG"/>
        </w:rPr>
      </w:pPr>
    </w:p>
    <w:p w14:paraId="2EFC9D8C" w14:textId="33B902C2" w:rsidR="00812A1B" w:rsidRPr="00812A1B" w:rsidRDefault="00812A1B" w:rsidP="00812A1B">
      <w:pPr>
        <w:spacing w:line="240" w:lineRule="auto"/>
        <w:rPr>
          <w:rFonts w:eastAsia="Times New Roman" w:cs="Arial"/>
          <w:lang w:eastAsia="bg-BG"/>
        </w:rPr>
      </w:pPr>
      <w:r w:rsidRPr="00812A1B">
        <w:rPr>
          <w:rFonts w:eastAsia="Times New Roman" w:cs="Arial"/>
          <w:color w:val="000000"/>
          <w:u w:val="single"/>
          <w:lang w:eastAsia="bg-BG"/>
        </w:rPr>
        <w:t>Употреба при пациенти, приемащи други лекарства</w:t>
      </w:r>
    </w:p>
    <w:p w14:paraId="2C34CA85"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lastRenderedPageBreak/>
        <w:t xml:space="preserve">С изключение на ритонавир, за който не се препоръчва едновременна употреба със силденафил (вж. точка 4.4), при пациенти, получаващи едновременно лечение с </w:t>
      </w:r>
      <w:r w:rsidRPr="00812A1B">
        <w:rPr>
          <w:rFonts w:eastAsia="Times New Roman" w:cs="Arial"/>
          <w:color w:val="000000"/>
          <w:lang w:val="en-US"/>
        </w:rPr>
        <w:t xml:space="preserve">CYP3A4 </w:t>
      </w:r>
      <w:r w:rsidRPr="00812A1B">
        <w:rPr>
          <w:rFonts w:eastAsia="Times New Roman" w:cs="Arial"/>
          <w:color w:val="000000"/>
          <w:lang w:eastAsia="bg-BG"/>
        </w:rPr>
        <w:t xml:space="preserve">инхибитори (вж. точка 4.5.), трябва да се има предвид начална доза от 25 </w:t>
      </w:r>
      <w:r w:rsidRPr="00812A1B">
        <w:rPr>
          <w:rFonts w:eastAsia="Times New Roman" w:cs="Arial"/>
          <w:color w:val="000000"/>
          <w:lang w:val="en-US"/>
        </w:rPr>
        <w:t>mg.</w:t>
      </w:r>
    </w:p>
    <w:p w14:paraId="52A23430" w14:textId="77777777" w:rsidR="00812A1B" w:rsidRPr="00A459D7" w:rsidRDefault="00812A1B" w:rsidP="00812A1B">
      <w:pPr>
        <w:rPr>
          <w:rFonts w:eastAsia="Times New Roman" w:cs="Arial"/>
          <w:color w:val="000000"/>
          <w:lang w:eastAsia="bg-BG"/>
        </w:rPr>
      </w:pPr>
    </w:p>
    <w:p w14:paraId="7FBF1BCE" w14:textId="3426E168" w:rsidR="00EC41ED" w:rsidRPr="00A459D7" w:rsidRDefault="00812A1B" w:rsidP="00812A1B">
      <w:pPr>
        <w:rPr>
          <w:rFonts w:cs="Arial"/>
        </w:rPr>
      </w:pPr>
      <w:r w:rsidRPr="00A459D7">
        <w:rPr>
          <w:rFonts w:eastAsia="Times New Roman" w:cs="Arial"/>
          <w:color w:val="000000"/>
          <w:lang w:eastAsia="bg-BG"/>
        </w:rPr>
        <w:t xml:space="preserve">Пациентите трябва да бъдат стабилни по отношение на терапията с алфа-блокери преди започване на лечение със силденафил, за да се намали възможността за развитие на ортостатична хипотония. В допълнение, трябва да се има предвид започване на силденафил с доза от 25 </w:t>
      </w:r>
      <w:r w:rsidRPr="00A459D7">
        <w:rPr>
          <w:rFonts w:eastAsia="Times New Roman" w:cs="Arial"/>
          <w:color w:val="000000"/>
          <w:lang w:val="en-US"/>
        </w:rPr>
        <w:t xml:space="preserve">mg </w:t>
      </w:r>
      <w:r w:rsidRPr="00A459D7">
        <w:rPr>
          <w:rFonts w:eastAsia="Times New Roman" w:cs="Arial"/>
          <w:color w:val="000000"/>
          <w:lang w:eastAsia="bg-BG"/>
        </w:rPr>
        <w:t>(вж. точка 4.4 и 4.5)</w:t>
      </w:r>
    </w:p>
    <w:p w14:paraId="132F3111" w14:textId="77777777" w:rsidR="005B0F27" w:rsidRPr="0091385D" w:rsidRDefault="005B0F27" w:rsidP="0091385D"/>
    <w:p w14:paraId="28C984E8" w14:textId="0756AE28" w:rsidR="008134C8" w:rsidRDefault="002C50EE" w:rsidP="004A448E">
      <w:pPr>
        <w:pStyle w:val="Heading2"/>
      </w:pPr>
      <w:r>
        <w:t>4.3. Противопоказания</w:t>
      </w:r>
    </w:p>
    <w:p w14:paraId="2363D607" w14:textId="619A99CE" w:rsidR="0091385D" w:rsidRDefault="0091385D" w:rsidP="0091385D"/>
    <w:p w14:paraId="730F65F8"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Свръхчувствителност към активното вещество или някое от помощните вещества.</w:t>
      </w:r>
    </w:p>
    <w:p w14:paraId="41D50FFD" w14:textId="77777777" w:rsidR="00812A1B" w:rsidRPr="00A459D7" w:rsidRDefault="00812A1B" w:rsidP="00812A1B">
      <w:pPr>
        <w:spacing w:line="240" w:lineRule="auto"/>
        <w:rPr>
          <w:rFonts w:eastAsia="Times New Roman" w:cs="Arial"/>
          <w:color w:val="000000"/>
          <w:lang w:eastAsia="bg-BG"/>
        </w:rPr>
      </w:pPr>
    </w:p>
    <w:p w14:paraId="4DA7F3F9" w14:textId="5DF51E68"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В съответствие с неговите известни ефекти върху метаболитния път азотен оксид/цикличен гуанозин монофосфат </w:t>
      </w:r>
      <w:r w:rsidRPr="00812A1B">
        <w:rPr>
          <w:rFonts w:eastAsia="Times New Roman" w:cs="Arial"/>
          <w:color w:val="000000"/>
          <w:lang w:val="en-US"/>
        </w:rPr>
        <w:t xml:space="preserve">(cGMP) </w:t>
      </w:r>
      <w:r w:rsidRPr="00812A1B">
        <w:rPr>
          <w:rFonts w:eastAsia="Times New Roman" w:cs="Arial"/>
          <w:color w:val="000000"/>
          <w:lang w:eastAsia="bg-BG"/>
        </w:rPr>
        <w:t>(вж. точка 5.1) силденафил е показал потенциране на хипотензивните ефекти на нитратите и следователно едновременното му приложение със съединения, отделящи азотен оксид (като амил нитрит) или нитрати под всякаква форма е</w:t>
      </w:r>
      <w:r w:rsidR="00A459D7">
        <w:rPr>
          <w:rFonts w:eastAsia="Times New Roman" w:cs="Arial"/>
          <w:lang w:eastAsia="bg-BG"/>
        </w:rPr>
        <w:t xml:space="preserve"> </w:t>
      </w:r>
      <w:r w:rsidRPr="00812A1B">
        <w:rPr>
          <w:rFonts w:eastAsia="Times New Roman" w:cs="Arial"/>
          <w:color w:val="000000"/>
          <w:lang w:eastAsia="bg-BG"/>
        </w:rPr>
        <w:t>противопоказано.</w:t>
      </w:r>
    </w:p>
    <w:p w14:paraId="3449C584" w14:textId="77777777" w:rsidR="00812A1B" w:rsidRPr="00A459D7" w:rsidRDefault="00812A1B" w:rsidP="00812A1B">
      <w:pPr>
        <w:spacing w:line="240" w:lineRule="auto"/>
        <w:rPr>
          <w:rFonts w:eastAsia="Times New Roman" w:cs="Arial"/>
          <w:color w:val="000000"/>
          <w:lang w:eastAsia="bg-BG"/>
        </w:rPr>
      </w:pPr>
    </w:p>
    <w:p w14:paraId="030B6A4D" w14:textId="0741CDD9" w:rsidR="00EC41ED" w:rsidRPr="00A459D7" w:rsidRDefault="00812A1B" w:rsidP="00A459D7">
      <w:pPr>
        <w:spacing w:line="240" w:lineRule="auto"/>
        <w:rPr>
          <w:rFonts w:eastAsia="Times New Roman" w:cs="Arial"/>
          <w:lang w:eastAsia="bg-BG"/>
        </w:rPr>
      </w:pPr>
      <w:r w:rsidRPr="00812A1B">
        <w:rPr>
          <w:rFonts w:eastAsia="Times New Roman" w:cs="Arial"/>
          <w:color w:val="000000"/>
          <w:lang w:eastAsia="bg-BG"/>
        </w:rPr>
        <w:t>Средствата за лечение на еректилната дисфункция, включително силденафил, не трябва да бъдат</w:t>
      </w:r>
      <w:r w:rsidR="00A459D7">
        <w:rPr>
          <w:rFonts w:eastAsia="Times New Roman" w:cs="Arial"/>
          <w:lang w:eastAsia="bg-BG"/>
        </w:rPr>
        <w:t xml:space="preserve"> </w:t>
      </w:r>
      <w:r w:rsidRPr="00812A1B">
        <w:rPr>
          <w:rFonts w:eastAsia="Times New Roman" w:cs="Arial"/>
          <w:color w:val="000000"/>
          <w:lang w:eastAsia="bg-BG"/>
        </w:rPr>
        <w:t>прилагани при мъже, на които не се препоръчва сексуална активност (например, пациенти с тежки</w:t>
      </w:r>
      <w:r w:rsidR="00A459D7">
        <w:rPr>
          <w:rFonts w:eastAsia="Times New Roman" w:cs="Arial"/>
          <w:lang w:eastAsia="bg-BG"/>
        </w:rPr>
        <w:t xml:space="preserve"> </w:t>
      </w:r>
      <w:r w:rsidRPr="00A459D7">
        <w:rPr>
          <w:rFonts w:eastAsia="Times New Roman" w:cs="Arial"/>
          <w:color w:val="000000"/>
          <w:lang w:eastAsia="bg-BG"/>
        </w:rPr>
        <w:t>сърдечно-съдови нарушения като нестабилна стенокардия или тежка сърдечна недостатъчност).</w:t>
      </w:r>
    </w:p>
    <w:p w14:paraId="31B39DC6" w14:textId="0D2B2A2E" w:rsidR="0091385D" w:rsidRPr="00A459D7" w:rsidRDefault="0091385D" w:rsidP="0091385D">
      <w:pPr>
        <w:rPr>
          <w:rFonts w:cs="Arial"/>
        </w:rPr>
      </w:pPr>
    </w:p>
    <w:p w14:paraId="5A11C180"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Силденафил Сандоз е противоказан при пациенти, които имат загуба на зрението при едното око поради неартериитна предна исхемична оптична невропатия (НАИОН), независимо дали тези епизоди са били свързани или не с предходен прием на инхибитор на фосфодиестераза тип 5 (вж. точка 4.4).</w:t>
      </w:r>
    </w:p>
    <w:p w14:paraId="3C63AE38" w14:textId="77777777" w:rsidR="00812A1B" w:rsidRPr="00A459D7" w:rsidRDefault="00812A1B" w:rsidP="00812A1B">
      <w:pPr>
        <w:rPr>
          <w:rFonts w:eastAsia="Times New Roman" w:cs="Arial"/>
          <w:color w:val="000000"/>
          <w:lang w:eastAsia="bg-BG"/>
        </w:rPr>
      </w:pPr>
    </w:p>
    <w:p w14:paraId="4BFDD64A" w14:textId="0C232C35" w:rsidR="00812A1B" w:rsidRPr="00A459D7" w:rsidRDefault="00812A1B" w:rsidP="00812A1B">
      <w:pPr>
        <w:rPr>
          <w:rFonts w:cs="Arial"/>
        </w:rPr>
      </w:pPr>
      <w:r w:rsidRPr="00A459D7">
        <w:rPr>
          <w:rFonts w:eastAsia="Times New Roman" w:cs="Arial"/>
          <w:color w:val="000000"/>
          <w:lang w:eastAsia="bg-BG"/>
        </w:rPr>
        <w:t xml:space="preserve">Безопасността на силденафил не е проучена при следните подгрупи пациенти и следователно употребата му е противопоказана: тежко чернодробно увреждане, хипотония (кръвно налягане &lt; 90/50 </w:t>
      </w:r>
      <w:r w:rsidRPr="00A459D7">
        <w:rPr>
          <w:rFonts w:eastAsia="Times New Roman" w:cs="Arial"/>
          <w:color w:val="000000"/>
          <w:lang w:val="en-US"/>
        </w:rPr>
        <w:t xml:space="preserve">mm Hg), </w:t>
      </w:r>
      <w:r w:rsidRPr="00A459D7">
        <w:rPr>
          <w:rFonts w:eastAsia="Times New Roman" w:cs="Arial"/>
          <w:color w:val="000000"/>
          <w:lang w:eastAsia="bg-BG"/>
        </w:rPr>
        <w:t xml:space="preserve">анамнеза за скорошен инсулт или миокарден инфаркт и известни наследствени дегенеративни заболявания на ретината като </w:t>
      </w:r>
      <w:r w:rsidRPr="00A459D7">
        <w:rPr>
          <w:rFonts w:eastAsia="Times New Roman" w:cs="Arial"/>
          <w:i/>
          <w:iCs/>
          <w:color w:val="000000"/>
          <w:lang w:val="en-US"/>
        </w:rPr>
        <w:t xml:space="preserve">retinitis </w:t>
      </w:r>
      <w:proofErr w:type="spellStart"/>
      <w:r w:rsidRPr="00A459D7">
        <w:rPr>
          <w:rFonts w:eastAsia="Times New Roman" w:cs="Arial"/>
          <w:i/>
          <w:iCs/>
          <w:color w:val="000000"/>
          <w:lang w:val="en-US"/>
        </w:rPr>
        <w:t>pigmentosa</w:t>
      </w:r>
      <w:proofErr w:type="spellEnd"/>
      <w:r w:rsidRPr="00A459D7">
        <w:rPr>
          <w:rFonts w:eastAsia="Times New Roman" w:cs="Arial"/>
          <w:color w:val="000000"/>
          <w:lang w:val="en-US"/>
        </w:rPr>
        <w:t xml:space="preserve"> </w:t>
      </w:r>
      <w:r w:rsidRPr="00A459D7">
        <w:rPr>
          <w:rFonts w:eastAsia="Times New Roman" w:cs="Arial"/>
          <w:color w:val="000000"/>
          <w:lang w:eastAsia="bg-BG"/>
        </w:rPr>
        <w:t>(малка част от тези пациенти имат генетични аномалии, засягащи фосфодиестеразите на ретината).</w:t>
      </w:r>
    </w:p>
    <w:p w14:paraId="3DBCCA3F" w14:textId="77777777" w:rsidR="00812A1B" w:rsidRPr="0091385D" w:rsidRDefault="00812A1B" w:rsidP="0091385D"/>
    <w:p w14:paraId="212F509C" w14:textId="52B87D4F" w:rsidR="004F498A" w:rsidRDefault="002C50EE" w:rsidP="004A448E">
      <w:pPr>
        <w:pStyle w:val="Heading2"/>
      </w:pPr>
      <w:r>
        <w:t>4.4. Специални предупреждения и предпазни мерки при употреба</w:t>
      </w:r>
    </w:p>
    <w:p w14:paraId="0AAC2B60" w14:textId="1E0703C7" w:rsidR="0091385D" w:rsidRDefault="0091385D" w:rsidP="0091385D"/>
    <w:p w14:paraId="54A8883D"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Преди да бъде назначено медикаментозно лечение е необходимо снемане на медицинска анамнеза и физикален статус за диагностициране на еректилната дисфункция и определяне на възможните причини.</w:t>
      </w:r>
    </w:p>
    <w:p w14:paraId="59C68B7C" w14:textId="77777777" w:rsidR="00812A1B" w:rsidRPr="00A459D7" w:rsidRDefault="00812A1B" w:rsidP="00812A1B">
      <w:pPr>
        <w:spacing w:line="240" w:lineRule="auto"/>
        <w:rPr>
          <w:rFonts w:eastAsia="Times New Roman" w:cs="Arial"/>
          <w:color w:val="000000"/>
          <w:lang w:eastAsia="bg-BG"/>
        </w:rPr>
      </w:pPr>
    </w:p>
    <w:p w14:paraId="607F6326" w14:textId="321E91A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Преди започване на каквото и да е лечение за еректилна дисфункция лекарите трябва да преценят сърдечно-съдовия статус на пациентите си, тъй като съществува степен на сърдечен риск, свързан със сексуалната активност. Силденафил има съдоразширяващи свойства, водещи до леко и преходно понижение на кръвното налягане (вж. точка 5.1). Преди предписването на силденафил лекарите трябва внимателно да преценят дали техните пациенти с определени съпътстващи заболявания биха могли да се повлияят неблагоприятно от тези вазодилатативни ефекти, особено в комбинация със сексуална </w:t>
      </w:r>
      <w:r w:rsidRPr="00812A1B">
        <w:rPr>
          <w:rFonts w:eastAsia="Times New Roman" w:cs="Arial"/>
          <w:color w:val="000000"/>
          <w:lang w:eastAsia="bg-BG"/>
        </w:rPr>
        <w:lastRenderedPageBreak/>
        <w:t>активност. Пациенти с повишена чувствителност към вазодилататори са тези с обструкция на левокамерния изходен тракт (например аортна стеноза, хипертрофична обструктивна кардиомиопатия) и тези с редкия синдром на мултиплена системна атрофия, манифестиращ се с тежко нарушен вегетативен контрол на кръвното налягане.</w:t>
      </w:r>
    </w:p>
    <w:p w14:paraId="1E338ACC" w14:textId="77777777" w:rsidR="00812A1B" w:rsidRPr="00A459D7" w:rsidRDefault="00812A1B" w:rsidP="00812A1B">
      <w:pPr>
        <w:spacing w:line="240" w:lineRule="auto"/>
        <w:rPr>
          <w:rFonts w:eastAsia="Times New Roman" w:cs="Arial"/>
          <w:color w:val="000000"/>
          <w:lang w:eastAsia="bg-BG"/>
        </w:rPr>
      </w:pPr>
    </w:p>
    <w:p w14:paraId="120BA497" w14:textId="77E819D2"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Силденафил Сандоз потенцира хипотензивния ефект на нитратите (вж. точка 4.3).</w:t>
      </w:r>
    </w:p>
    <w:p w14:paraId="20E2A69D" w14:textId="77777777" w:rsidR="00812A1B" w:rsidRPr="00A459D7" w:rsidRDefault="00812A1B" w:rsidP="00812A1B">
      <w:pPr>
        <w:spacing w:line="240" w:lineRule="auto"/>
        <w:rPr>
          <w:rFonts w:eastAsia="Times New Roman" w:cs="Arial"/>
          <w:color w:val="000000"/>
          <w:lang w:eastAsia="bg-BG"/>
        </w:rPr>
      </w:pPr>
    </w:p>
    <w:p w14:paraId="63B5EB07" w14:textId="3A60712D" w:rsidR="00812A1B" w:rsidRPr="00812A1B" w:rsidRDefault="00812A1B" w:rsidP="00812A1B">
      <w:pPr>
        <w:spacing w:line="240" w:lineRule="auto"/>
        <w:rPr>
          <w:rFonts w:eastAsia="Times New Roman" w:cs="Arial"/>
          <w:color w:val="000000"/>
          <w:lang w:eastAsia="bg-BG"/>
        </w:rPr>
      </w:pPr>
      <w:r w:rsidRPr="00812A1B">
        <w:rPr>
          <w:rFonts w:eastAsia="Times New Roman" w:cs="Arial"/>
          <w:color w:val="000000"/>
          <w:lang w:eastAsia="bg-BG"/>
        </w:rPr>
        <w:t>Има постмаркетингови съобщения за сериозни сърдечно-съдови събития, като миокарден инфаркт, нестабилна стенокардия, внезапна сърдечна смърт, камерни аритмии, хеморагичен инсулт, преходно нарушение на мозъчното кръвообращение, хипертония и хипотония, съвпадащи по време с употребата на Силденафил Сандоз. Повечето, но не всички, от тези пациенти са имали предшестващи сърдечно-съдови рискови фактори. Повечето събития, за които се съобщава, са настъпили по време на или скоро след сексуална активност, а някои са възникнали скоро след приема на Силденафил Сандоз без сексуална активност. Не е възможно да бъде определено дали тези инциденти са свързани пряко с горните или други фактори.</w:t>
      </w:r>
    </w:p>
    <w:p w14:paraId="017C4910" w14:textId="77777777" w:rsidR="00812A1B" w:rsidRPr="00A459D7" w:rsidRDefault="00812A1B" w:rsidP="00812A1B">
      <w:pPr>
        <w:spacing w:line="240" w:lineRule="auto"/>
        <w:rPr>
          <w:rFonts w:eastAsia="Times New Roman" w:cs="Arial"/>
          <w:color w:val="000000"/>
          <w:lang w:eastAsia="bg-BG"/>
        </w:rPr>
      </w:pPr>
    </w:p>
    <w:p w14:paraId="550651E5" w14:textId="1D19CA8D"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Средствата за лечение на еректилната дисфункция, включително силденафил, трябва да бъдат използвани внимателно при пациенти с анатомична деформация на пениса (като ангулация, кавернозна фиброза или болест на </w:t>
      </w:r>
      <w:proofErr w:type="spellStart"/>
      <w:r w:rsidRPr="00812A1B">
        <w:rPr>
          <w:rFonts w:eastAsia="Times New Roman" w:cs="Arial"/>
          <w:color w:val="000000"/>
          <w:lang w:val="en-US"/>
        </w:rPr>
        <w:t>Peyronie</w:t>
      </w:r>
      <w:proofErr w:type="spellEnd"/>
      <w:r w:rsidRPr="00812A1B">
        <w:rPr>
          <w:rFonts w:eastAsia="Times New Roman" w:cs="Arial"/>
          <w:color w:val="000000"/>
          <w:lang w:val="en-US"/>
        </w:rPr>
        <w:t xml:space="preserve">) </w:t>
      </w:r>
      <w:r w:rsidRPr="00812A1B">
        <w:rPr>
          <w:rFonts w:eastAsia="Times New Roman" w:cs="Arial"/>
          <w:color w:val="000000"/>
          <w:lang w:eastAsia="bg-BG"/>
        </w:rPr>
        <w:t>или при пациенти със състояния, които може да предразполагат към приапизъм (като сърповидно-клетъчна анемия, мултиплен миелом или левкемия).</w:t>
      </w:r>
    </w:p>
    <w:p w14:paraId="0042C8B0" w14:textId="77777777" w:rsidR="00812A1B" w:rsidRPr="00A459D7" w:rsidRDefault="00812A1B" w:rsidP="00812A1B">
      <w:pPr>
        <w:spacing w:line="240" w:lineRule="auto"/>
        <w:rPr>
          <w:rFonts w:eastAsia="Times New Roman" w:cs="Arial"/>
          <w:color w:val="000000"/>
          <w:lang w:eastAsia="bg-BG"/>
        </w:rPr>
      </w:pPr>
    </w:p>
    <w:p w14:paraId="253DAA26" w14:textId="77777777" w:rsidR="00812A1B" w:rsidRPr="00A459D7" w:rsidRDefault="00812A1B" w:rsidP="00812A1B">
      <w:pPr>
        <w:spacing w:line="240" w:lineRule="auto"/>
        <w:rPr>
          <w:rFonts w:eastAsia="Times New Roman" w:cs="Arial"/>
          <w:lang w:eastAsia="bg-BG"/>
        </w:rPr>
      </w:pPr>
      <w:r w:rsidRPr="00812A1B">
        <w:rPr>
          <w:rFonts w:eastAsia="Times New Roman" w:cs="Arial"/>
          <w:color w:val="000000"/>
          <w:lang w:eastAsia="bg-BG"/>
        </w:rPr>
        <w:t>Безопасността и ефективността на комбинациите на силденафил с други начини за лечение на еректилна дисфункция не са проучени. Поради това прилагането на такива комбинации не се препоръчва.</w:t>
      </w:r>
    </w:p>
    <w:p w14:paraId="47FE0C51" w14:textId="77777777" w:rsidR="00812A1B" w:rsidRPr="00A459D7" w:rsidRDefault="00812A1B" w:rsidP="00812A1B">
      <w:pPr>
        <w:spacing w:line="240" w:lineRule="auto"/>
        <w:rPr>
          <w:rFonts w:eastAsia="Times New Roman" w:cs="Arial"/>
          <w:lang w:eastAsia="bg-BG"/>
        </w:rPr>
      </w:pPr>
    </w:p>
    <w:p w14:paraId="31DB7993" w14:textId="77777777" w:rsidR="00812A1B" w:rsidRPr="00A459D7" w:rsidRDefault="00812A1B" w:rsidP="00812A1B">
      <w:pPr>
        <w:spacing w:line="240" w:lineRule="auto"/>
        <w:rPr>
          <w:rFonts w:eastAsia="Times New Roman" w:cs="Arial"/>
          <w:color w:val="000000"/>
          <w:lang w:eastAsia="bg-BG"/>
        </w:rPr>
      </w:pPr>
      <w:r w:rsidRPr="00812A1B">
        <w:rPr>
          <w:rFonts w:eastAsia="Times New Roman" w:cs="Arial"/>
          <w:color w:val="000000"/>
          <w:lang w:eastAsia="bg-BG"/>
        </w:rPr>
        <w:t xml:space="preserve">Съобщавани са зрителни дефекти и случаи на неартериитна предна исхемична оптична невропатия във връзка с прием на силденафил и други инхибитори на фосфодиестераза тип 5. Пациентът трябва да бъде посъветван, че в случай на внезапни нарушения на зрението, трябва да спре приема на Силденафил Сандоз и незабавно да се консултира с лекар (вж. точка 4.3). </w:t>
      </w:r>
    </w:p>
    <w:p w14:paraId="17C0A65B" w14:textId="77777777" w:rsidR="00812A1B" w:rsidRPr="00A459D7" w:rsidRDefault="00812A1B" w:rsidP="00812A1B">
      <w:pPr>
        <w:spacing w:line="240" w:lineRule="auto"/>
        <w:rPr>
          <w:rFonts w:eastAsia="Times New Roman" w:cs="Arial"/>
          <w:color w:val="000000"/>
          <w:lang w:eastAsia="bg-BG"/>
        </w:rPr>
      </w:pPr>
    </w:p>
    <w:p w14:paraId="5707748F" w14:textId="4BD3CF33"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Едновременната употреба на силденафил и ритонавир не се препоръчва (вж. точка 4.5).</w:t>
      </w:r>
    </w:p>
    <w:p w14:paraId="540F7860" w14:textId="77777777" w:rsidR="00812A1B" w:rsidRPr="00812A1B" w:rsidRDefault="00812A1B" w:rsidP="00812A1B">
      <w:pPr>
        <w:spacing w:line="240" w:lineRule="auto"/>
        <w:rPr>
          <w:rFonts w:eastAsia="Times New Roman" w:cs="Arial"/>
          <w:lang w:eastAsia="bg-BG"/>
        </w:rPr>
      </w:pPr>
    </w:p>
    <w:p w14:paraId="37A3C6F2" w14:textId="77777777" w:rsidR="00812A1B" w:rsidRPr="00A459D7" w:rsidRDefault="00812A1B" w:rsidP="00812A1B">
      <w:pPr>
        <w:rPr>
          <w:rFonts w:eastAsia="Times New Roman" w:cs="Arial"/>
          <w:lang w:eastAsia="bg-BG"/>
        </w:rPr>
      </w:pPr>
      <w:r w:rsidRPr="00A459D7">
        <w:rPr>
          <w:rFonts w:eastAsia="Times New Roman" w:cs="Arial"/>
          <w:color w:val="000000"/>
          <w:lang w:eastAsia="bg-BG"/>
        </w:rPr>
        <w:t xml:space="preserve">Препоръчва се внимание, когато силденафил се прилага на пациенти, които приемат алфа - блокери, тъй като едновременното приложение може да доведе до симптоматична хипотония при малкото чувствителни индивиди (вж. точка 4.5). Това е най-вероятно да се прояви през първите 4 часа след приема на силденафил. Пациентите трябва да бъдат хемодинамично стабилни по отношение на терапията с алфа-блокери преди започване на лечение със силденафил, за да се намали възможността за развитие на ортостатична хипотония. Трябва да се има предвид започване на лечението със силденафил с доза от 25 </w:t>
      </w:r>
      <w:r w:rsidRPr="00A459D7">
        <w:rPr>
          <w:rFonts w:eastAsia="Times New Roman" w:cs="Arial"/>
          <w:color w:val="000000"/>
          <w:lang w:val="en-US"/>
        </w:rPr>
        <w:t xml:space="preserve">mg </w:t>
      </w:r>
      <w:r w:rsidRPr="00A459D7">
        <w:rPr>
          <w:rFonts w:eastAsia="Times New Roman" w:cs="Arial"/>
          <w:color w:val="000000"/>
          <w:lang w:eastAsia="bg-BG"/>
        </w:rPr>
        <w:t>(вж. точка 4.2). В допълнение, лекарите трябва да посъветват пациентите какво да правят в случай на поява на симптоми на ортостатична хипотония.</w:t>
      </w:r>
    </w:p>
    <w:p w14:paraId="11D6F22B" w14:textId="77777777" w:rsidR="00812A1B" w:rsidRPr="00A459D7" w:rsidRDefault="00812A1B" w:rsidP="00812A1B">
      <w:pPr>
        <w:spacing w:line="240" w:lineRule="auto"/>
        <w:rPr>
          <w:rFonts w:eastAsia="Times New Roman" w:cs="Arial"/>
          <w:color w:val="000000"/>
          <w:lang w:eastAsia="bg-BG"/>
        </w:rPr>
      </w:pPr>
    </w:p>
    <w:p w14:paraId="2113FB6C" w14:textId="3D48183F"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Проучвания върху човешки тромбоцити показват, че силденафил потенцира </w:t>
      </w:r>
      <w:r w:rsidRPr="00812A1B">
        <w:rPr>
          <w:rFonts w:eastAsia="Times New Roman" w:cs="Arial"/>
          <w:i/>
          <w:iCs/>
          <w:color w:val="000000"/>
          <w:lang w:val="en-US"/>
        </w:rPr>
        <w:t xml:space="preserve">in vitro </w:t>
      </w:r>
      <w:r w:rsidRPr="00812A1B">
        <w:rPr>
          <w:rFonts w:eastAsia="Times New Roman" w:cs="Arial"/>
          <w:color w:val="000000"/>
          <w:lang w:eastAsia="bg-BG"/>
        </w:rPr>
        <w:t>антиагрегантните свойства на натриевия нитропрусид. Липсва информация за безопасната употреба на силденафил при пациенти с нарушения на кръвосъсирването или активна пептична язва. Следователно, силденафил трябва да бъде прилаган при такива пациенти само след внимателна оценка полза-риск.</w:t>
      </w:r>
    </w:p>
    <w:p w14:paraId="0CA59914" w14:textId="77777777" w:rsidR="00812A1B" w:rsidRPr="00A459D7" w:rsidRDefault="00812A1B" w:rsidP="00812A1B">
      <w:pPr>
        <w:rPr>
          <w:rFonts w:eastAsia="Times New Roman" w:cs="Arial"/>
          <w:color w:val="000000"/>
          <w:lang w:eastAsia="bg-BG"/>
        </w:rPr>
      </w:pPr>
    </w:p>
    <w:p w14:paraId="0E28BBDE" w14:textId="7E1527D2" w:rsidR="007A2185" w:rsidRPr="00A459D7" w:rsidRDefault="00812A1B" w:rsidP="00812A1B">
      <w:pPr>
        <w:rPr>
          <w:rFonts w:cs="Arial"/>
        </w:rPr>
      </w:pPr>
      <w:r w:rsidRPr="00A459D7">
        <w:rPr>
          <w:rFonts w:eastAsia="Times New Roman" w:cs="Arial"/>
          <w:color w:val="000000"/>
          <w:lang w:eastAsia="bg-BG"/>
        </w:rPr>
        <w:t>Силденафил Сандоз не е показан за употреба при жени.</w:t>
      </w:r>
    </w:p>
    <w:p w14:paraId="24E3E82F" w14:textId="77777777" w:rsidR="0091385D" w:rsidRPr="0091385D" w:rsidRDefault="0091385D" w:rsidP="0091385D"/>
    <w:p w14:paraId="619DED1E" w14:textId="564F257F"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55E4B7C" w14:textId="7D829F6C" w:rsidR="0091385D" w:rsidRDefault="0091385D" w:rsidP="0091385D"/>
    <w:p w14:paraId="6A8C00C5"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u w:val="single"/>
          <w:lang w:eastAsia="bg-BG"/>
        </w:rPr>
        <w:t>Ефекти на други лекарствени продукти върху силденафил</w:t>
      </w:r>
    </w:p>
    <w:p w14:paraId="3A8A52E4" w14:textId="77777777" w:rsidR="00812A1B" w:rsidRPr="00A459D7" w:rsidRDefault="00812A1B" w:rsidP="00812A1B">
      <w:pPr>
        <w:spacing w:line="240" w:lineRule="auto"/>
        <w:rPr>
          <w:rFonts w:eastAsia="Times New Roman" w:cs="Arial"/>
          <w:i/>
          <w:iCs/>
          <w:color w:val="000000"/>
          <w:lang w:eastAsia="bg-BG"/>
        </w:rPr>
      </w:pPr>
    </w:p>
    <w:p w14:paraId="18066B79" w14:textId="5A66F322"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Проучвания </w:t>
      </w:r>
      <w:r w:rsidRPr="00812A1B">
        <w:rPr>
          <w:rFonts w:eastAsia="Times New Roman" w:cs="Arial"/>
          <w:i/>
          <w:iCs/>
          <w:color w:val="000000"/>
          <w:lang w:val="en-US"/>
        </w:rPr>
        <w:t>in vitro</w:t>
      </w:r>
    </w:p>
    <w:p w14:paraId="4955B5A2"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Метаболизмът на силденафил по принцип се осъществява с помощта на изоензими ЗА4 (основен път) и 2С9 (второстепенен път) на цитохром Р450 </w:t>
      </w:r>
      <w:r w:rsidRPr="00812A1B">
        <w:rPr>
          <w:rFonts w:eastAsia="Times New Roman" w:cs="Arial"/>
          <w:color w:val="000000"/>
          <w:lang w:val="en-US"/>
        </w:rPr>
        <w:t xml:space="preserve">(CYP). </w:t>
      </w:r>
      <w:r w:rsidRPr="00812A1B">
        <w:rPr>
          <w:rFonts w:eastAsia="Times New Roman" w:cs="Arial"/>
          <w:color w:val="000000"/>
          <w:lang w:eastAsia="bg-BG"/>
        </w:rPr>
        <w:t>Поради това инхибиторите на тези изоензими могат да доведат до намаление на клирънса на силденафил.</w:t>
      </w:r>
    </w:p>
    <w:p w14:paraId="5FBC6B22" w14:textId="77777777" w:rsidR="00812A1B" w:rsidRPr="00A459D7" w:rsidRDefault="00812A1B" w:rsidP="00812A1B">
      <w:pPr>
        <w:spacing w:line="240" w:lineRule="auto"/>
        <w:rPr>
          <w:rFonts w:eastAsia="Times New Roman" w:cs="Arial"/>
          <w:i/>
          <w:iCs/>
          <w:color w:val="000000"/>
          <w:lang w:eastAsia="bg-BG"/>
        </w:rPr>
      </w:pPr>
    </w:p>
    <w:p w14:paraId="7825D5EC" w14:textId="0271B86A"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Проучвания </w:t>
      </w:r>
      <w:r w:rsidRPr="00812A1B">
        <w:rPr>
          <w:rFonts w:eastAsia="Times New Roman" w:cs="Arial"/>
          <w:i/>
          <w:iCs/>
          <w:color w:val="000000"/>
          <w:lang w:val="en-US"/>
        </w:rPr>
        <w:t>in vivo</w:t>
      </w:r>
    </w:p>
    <w:p w14:paraId="5E8CC946"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Популационният фармакокинетичен анализ на данните от клинични проучвания показва намаление на клирънса на силденафил при едновременно приложение с инхибитори на </w:t>
      </w:r>
      <w:r w:rsidRPr="00812A1B">
        <w:rPr>
          <w:rFonts w:eastAsia="Times New Roman" w:cs="Arial"/>
          <w:color w:val="000000"/>
          <w:lang w:val="en-US"/>
        </w:rPr>
        <w:t xml:space="preserve">CYP3A4 </w:t>
      </w:r>
      <w:r w:rsidRPr="00812A1B">
        <w:rPr>
          <w:rFonts w:eastAsia="Times New Roman" w:cs="Arial"/>
          <w:color w:val="000000"/>
          <w:lang w:eastAsia="bg-BG"/>
        </w:rPr>
        <w:t xml:space="preserve">(като кетоконазол, еритромицин, циметидин). Въпреки че не е било наблюдавано повишаване на честотата на нежеланите реакции при тези пациенти, когато силденафил се прилага едновременно с инхибитори на </w:t>
      </w:r>
      <w:r w:rsidRPr="00812A1B">
        <w:rPr>
          <w:rFonts w:eastAsia="Times New Roman" w:cs="Arial"/>
          <w:color w:val="000000"/>
          <w:lang w:val="en-US"/>
        </w:rPr>
        <w:t xml:space="preserve">CYP3A4, </w:t>
      </w:r>
      <w:r w:rsidRPr="00812A1B">
        <w:rPr>
          <w:rFonts w:eastAsia="Times New Roman" w:cs="Arial"/>
          <w:color w:val="000000"/>
          <w:lang w:eastAsia="bg-BG"/>
        </w:rPr>
        <w:t xml:space="preserve">трябва да се има предвид начална доза от 25 </w:t>
      </w:r>
      <w:r w:rsidRPr="00812A1B">
        <w:rPr>
          <w:rFonts w:eastAsia="Times New Roman" w:cs="Arial"/>
          <w:color w:val="000000"/>
          <w:lang w:val="en-US"/>
        </w:rPr>
        <w:t>mg.</w:t>
      </w:r>
    </w:p>
    <w:p w14:paraId="3CA0DE02" w14:textId="77777777" w:rsidR="00812A1B" w:rsidRPr="00A459D7" w:rsidRDefault="00812A1B" w:rsidP="00812A1B">
      <w:pPr>
        <w:spacing w:line="240" w:lineRule="auto"/>
        <w:rPr>
          <w:rFonts w:eastAsia="Times New Roman" w:cs="Arial"/>
          <w:color w:val="000000"/>
          <w:lang w:eastAsia="bg-BG"/>
        </w:rPr>
      </w:pPr>
    </w:p>
    <w:p w14:paraId="5A127D16" w14:textId="0AD586CB"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Едновременният прием на </w:t>
      </w:r>
      <w:r w:rsidRPr="00812A1B">
        <w:rPr>
          <w:rFonts w:eastAsia="Times New Roman" w:cs="Arial"/>
          <w:color w:val="000000"/>
          <w:lang w:val="en-US"/>
        </w:rPr>
        <w:t>HIV</w:t>
      </w:r>
      <w:r w:rsidRPr="00812A1B">
        <w:rPr>
          <w:rFonts w:eastAsia="Times New Roman" w:cs="Arial"/>
          <w:color w:val="000000"/>
          <w:lang w:eastAsia="bg-BG"/>
        </w:rPr>
        <w:t xml:space="preserve">-протеазния инхибитор ритонавир, който е много мощен инхибитор на цитохром Р450 (500 </w:t>
      </w:r>
      <w:r w:rsidRPr="00812A1B">
        <w:rPr>
          <w:rFonts w:eastAsia="Times New Roman" w:cs="Arial"/>
          <w:color w:val="000000"/>
          <w:lang w:val="en-US"/>
        </w:rPr>
        <w:t xml:space="preserve">mg </w:t>
      </w:r>
      <w:r w:rsidRPr="00812A1B">
        <w:rPr>
          <w:rFonts w:eastAsia="Times New Roman" w:cs="Arial"/>
          <w:color w:val="000000"/>
          <w:lang w:eastAsia="bg-BG"/>
        </w:rPr>
        <w:t xml:space="preserve">двукратно дневно), и силденафил (100 </w:t>
      </w:r>
      <w:r w:rsidRPr="00812A1B">
        <w:rPr>
          <w:rFonts w:eastAsia="Times New Roman" w:cs="Arial"/>
          <w:color w:val="000000"/>
          <w:lang w:val="en-US"/>
        </w:rPr>
        <w:t xml:space="preserve">mg </w:t>
      </w:r>
      <w:r w:rsidRPr="00812A1B">
        <w:rPr>
          <w:rFonts w:eastAsia="Times New Roman" w:cs="Arial"/>
          <w:color w:val="000000"/>
          <w:lang w:eastAsia="bg-BG"/>
        </w:rPr>
        <w:t>еднократна доза) е довел до нарастване с 300% (4-кратно) на С</w:t>
      </w:r>
      <w:r w:rsidRPr="00812A1B">
        <w:rPr>
          <w:rFonts w:eastAsia="Times New Roman" w:cs="Arial"/>
          <w:color w:val="000000"/>
          <w:vertAlign w:val="subscript"/>
          <w:lang w:val="en-US"/>
        </w:rPr>
        <w:t>max</w:t>
      </w:r>
      <w:r w:rsidRPr="00812A1B">
        <w:rPr>
          <w:rFonts w:eastAsia="Times New Roman" w:cs="Arial"/>
          <w:color w:val="000000"/>
          <w:lang w:eastAsia="bg-BG"/>
        </w:rPr>
        <w:t xml:space="preserve"> на силденафил и с 1 000% (11-кратно) на плазмената </w:t>
      </w:r>
      <w:r w:rsidRPr="00812A1B">
        <w:rPr>
          <w:rFonts w:eastAsia="Times New Roman" w:cs="Arial"/>
          <w:color w:val="000000"/>
          <w:lang w:val="en-US"/>
        </w:rPr>
        <w:t xml:space="preserve">AUC </w:t>
      </w:r>
      <w:r w:rsidRPr="00812A1B">
        <w:rPr>
          <w:rFonts w:eastAsia="Times New Roman" w:cs="Arial"/>
          <w:color w:val="000000"/>
          <w:lang w:eastAsia="bg-BG"/>
        </w:rPr>
        <w:t xml:space="preserve">на силденафил. На 24-ия час плазмените нива на силденафил все още са били около 200 </w:t>
      </w:r>
      <w:r w:rsidRPr="00812A1B">
        <w:rPr>
          <w:rFonts w:eastAsia="Times New Roman" w:cs="Arial"/>
          <w:color w:val="000000"/>
          <w:lang w:val="en-US"/>
        </w:rPr>
        <w:t xml:space="preserve">ng/ml </w:t>
      </w:r>
      <w:r w:rsidRPr="00812A1B">
        <w:rPr>
          <w:rFonts w:eastAsia="Times New Roman" w:cs="Arial"/>
          <w:color w:val="000000"/>
          <w:lang w:eastAsia="bg-BG"/>
        </w:rPr>
        <w:t xml:space="preserve">в сравнение с нивата от 5 </w:t>
      </w:r>
      <w:r w:rsidRPr="00812A1B">
        <w:rPr>
          <w:rFonts w:eastAsia="Times New Roman" w:cs="Arial"/>
          <w:color w:val="000000"/>
          <w:lang w:val="en-US"/>
        </w:rPr>
        <w:t xml:space="preserve">ng/ml </w:t>
      </w:r>
      <w:r w:rsidRPr="00812A1B">
        <w:rPr>
          <w:rFonts w:eastAsia="Times New Roman" w:cs="Arial"/>
          <w:color w:val="000000"/>
          <w:lang w:eastAsia="bg-BG"/>
        </w:rPr>
        <w:t xml:space="preserve">при самостоятелен прием на силденафил. Това съответства на изразените ефекти на ритонавир върху широк кръг субстрати на Р450. Силденафил не е оказал влияние върху фармакокинетиката на ритонавир. Въз основа на тези фармакокинетични резултати едновременното приложение на силденафил и ритонавир не се препоръчва (вж. точка 4.4) и при никакви обстоятелства максималната доза на силденафил не трябва да надхвърля 25 </w:t>
      </w:r>
      <w:r w:rsidRPr="00812A1B">
        <w:rPr>
          <w:rFonts w:eastAsia="Times New Roman" w:cs="Arial"/>
          <w:color w:val="000000"/>
          <w:lang w:val="en-US"/>
        </w:rPr>
        <w:t xml:space="preserve">mg </w:t>
      </w:r>
      <w:r w:rsidRPr="00812A1B">
        <w:rPr>
          <w:rFonts w:eastAsia="Times New Roman" w:cs="Arial"/>
          <w:color w:val="000000"/>
          <w:lang w:eastAsia="bg-BG"/>
        </w:rPr>
        <w:t>в рамките на 48 часа.</w:t>
      </w:r>
    </w:p>
    <w:p w14:paraId="407CB26B" w14:textId="77777777" w:rsidR="00812A1B" w:rsidRPr="00A459D7" w:rsidRDefault="00812A1B" w:rsidP="00812A1B">
      <w:pPr>
        <w:spacing w:line="240" w:lineRule="auto"/>
        <w:rPr>
          <w:rFonts w:eastAsia="Times New Roman" w:cs="Arial"/>
          <w:color w:val="000000"/>
          <w:lang w:eastAsia="bg-BG"/>
        </w:rPr>
      </w:pPr>
    </w:p>
    <w:p w14:paraId="12559C19" w14:textId="570045A5"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Едновременният прием на </w:t>
      </w:r>
      <w:r w:rsidRPr="00812A1B">
        <w:rPr>
          <w:rFonts w:eastAsia="Times New Roman" w:cs="Arial"/>
          <w:color w:val="000000"/>
          <w:lang w:val="en-US"/>
        </w:rPr>
        <w:t>HTV</w:t>
      </w:r>
      <w:r w:rsidRPr="00812A1B">
        <w:rPr>
          <w:rFonts w:eastAsia="Times New Roman" w:cs="Arial"/>
          <w:color w:val="000000"/>
          <w:lang w:eastAsia="bg-BG"/>
        </w:rPr>
        <w:t xml:space="preserve">-протеазния инхибитор саквинавир, който е инхибитор на </w:t>
      </w:r>
      <w:r w:rsidRPr="00812A1B">
        <w:rPr>
          <w:rFonts w:eastAsia="Times New Roman" w:cs="Arial"/>
          <w:color w:val="000000"/>
          <w:lang w:val="en-US"/>
        </w:rPr>
        <w:t xml:space="preserve">CYP3A4, </w:t>
      </w:r>
      <w:r w:rsidRPr="00812A1B">
        <w:rPr>
          <w:rFonts w:eastAsia="Times New Roman" w:cs="Arial"/>
          <w:color w:val="000000"/>
          <w:lang w:eastAsia="bg-BG"/>
        </w:rPr>
        <w:t xml:space="preserve">след достигане на равновесни концентрации (1200 </w:t>
      </w:r>
      <w:r w:rsidRPr="00812A1B">
        <w:rPr>
          <w:rFonts w:eastAsia="Times New Roman" w:cs="Arial"/>
          <w:color w:val="000000"/>
          <w:lang w:val="en-US"/>
        </w:rPr>
        <w:t xml:space="preserve">mg </w:t>
      </w:r>
      <w:r w:rsidRPr="00812A1B">
        <w:rPr>
          <w:rFonts w:eastAsia="Times New Roman" w:cs="Arial"/>
          <w:color w:val="000000"/>
          <w:lang w:eastAsia="bg-BG"/>
        </w:rPr>
        <w:t xml:space="preserve">три пъти дневно) и силденафил (100 </w:t>
      </w:r>
      <w:r w:rsidRPr="00812A1B">
        <w:rPr>
          <w:rFonts w:eastAsia="Times New Roman" w:cs="Arial"/>
          <w:color w:val="000000"/>
          <w:lang w:val="en-US"/>
        </w:rPr>
        <w:t xml:space="preserve">mg </w:t>
      </w:r>
      <w:r w:rsidRPr="00812A1B">
        <w:rPr>
          <w:rFonts w:eastAsia="Times New Roman" w:cs="Arial"/>
          <w:color w:val="000000"/>
          <w:lang w:eastAsia="bg-BG"/>
        </w:rPr>
        <w:t>еднократна доза) е довел до нарастване със 140% на С</w:t>
      </w:r>
      <w:r w:rsidRPr="00812A1B">
        <w:rPr>
          <w:rFonts w:eastAsia="Times New Roman" w:cs="Arial"/>
          <w:color w:val="000000"/>
          <w:lang w:val="en-US"/>
        </w:rPr>
        <w:t>m</w:t>
      </w:r>
      <w:r w:rsidRPr="00812A1B">
        <w:rPr>
          <w:rFonts w:eastAsia="Times New Roman" w:cs="Arial"/>
          <w:color w:val="000000"/>
          <w:lang w:eastAsia="bg-BG"/>
        </w:rPr>
        <w:t xml:space="preserve">ах на силденафил и с 210% на </w:t>
      </w:r>
      <w:r w:rsidRPr="00812A1B">
        <w:rPr>
          <w:rFonts w:eastAsia="Times New Roman" w:cs="Arial"/>
          <w:color w:val="000000"/>
          <w:lang w:val="en-US"/>
        </w:rPr>
        <w:t xml:space="preserve">AUC </w:t>
      </w:r>
      <w:r w:rsidRPr="00812A1B">
        <w:rPr>
          <w:rFonts w:eastAsia="Times New Roman" w:cs="Arial"/>
          <w:color w:val="000000"/>
          <w:lang w:eastAsia="bg-BG"/>
        </w:rPr>
        <w:t xml:space="preserve">на силденафил. Силденафил не е оказал влияние върху фармакокинетиката на саквинавир (вж. точка 4.2). Предполага се, че по-мощни инхибитори на </w:t>
      </w:r>
      <w:r w:rsidRPr="00812A1B">
        <w:rPr>
          <w:rFonts w:eastAsia="Times New Roman" w:cs="Arial"/>
          <w:color w:val="000000"/>
          <w:lang w:val="en-US"/>
        </w:rPr>
        <w:t xml:space="preserve">CYP3A4 </w:t>
      </w:r>
      <w:r w:rsidRPr="00812A1B">
        <w:rPr>
          <w:rFonts w:eastAsia="Times New Roman" w:cs="Arial"/>
          <w:color w:val="000000"/>
          <w:lang w:eastAsia="bg-BG"/>
        </w:rPr>
        <w:t>като кетоконазол и итраконазол биха имали още по-силен ефект.</w:t>
      </w:r>
    </w:p>
    <w:p w14:paraId="397B81D8" w14:textId="77777777" w:rsidR="00812A1B" w:rsidRPr="00A459D7" w:rsidRDefault="00812A1B" w:rsidP="00812A1B">
      <w:pPr>
        <w:spacing w:line="240" w:lineRule="auto"/>
        <w:rPr>
          <w:rFonts w:eastAsia="Times New Roman" w:cs="Arial"/>
          <w:color w:val="000000"/>
          <w:lang w:eastAsia="bg-BG"/>
        </w:rPr>
      </w:pPr>
    </w:p>
    <w:p w14:paraId="5B2761C5" w14:textId="4B105E41" w:rsidR="0091385D" w:rsidRPr="00A459D7" w:rsidRDefault="00812A1B" w:rsidP="00812A1B">
      <w:pPr>
        <w:spacing w:line="240" w:lineRule="auto"/>
        <w:rPr>
          <w:rFonts w:eastAsia="Times New Roman" w:cs="Arial"/>
          <w:color w:val="000000"/>
          <w:lang w:eastAsia="bg-BG"/>
        </w:rPr>
      </w:pPr>
      <w:r w:rsidRPr="00812A1B">
        <w:rPr>
          <w:rFonts w:eastAsia="Times New Roman" w:cs="Arial"/>
          <w:color w:val="000000"/>
          <w:lang w:eastAsia="bg-BG"/>
        </w:rPr>
        <w:t xml:space="preserve">При едновременно приложение на силденафил в еднократна доза от 100 </w:t>
      </w:r>
      <w:r w:rsidRPr="00812A1B">
        <w:rPr>
          <w:rFonts w:eastAsia="Times New Roman" w:cs="Arial"/>
          <w:color w:val="000000"/>
          <w:lang w:val="en-US"/>
        </w:rPr>
        <w:t xml:space="preserve">mg </w:t>
      </w:r>
      <w:r w:rsidRPr="00812A1B">
        <w:rPr>
          <w:rFonts w:eastAsia="Times New Roman" w:cs="Arial"/>
          <w:color w:val="000000"/>
          <w:lang w:eastAsia="bg-BG"/>
        </w:rPr>
        <w:t xml:space="preserve">и специфичния </w:t>
      </w:r>
      <w:r w:rsidRPr="00812A1B">
        <w:rPr>
          <w:rFonts w:eastAsia="Times New Roman" w:cs="Arial"/>
          <w:color w:val="000000"/>
          <w:lang w:val="en-US"/>
        </w:rPr>
        <w:t xml:space="preserve">CYP3A4 </w:t>
      </w:r>
      <w:r w:rsidRPr="00812A1B">
        <w:rPr>
          <w:rFonts w:eastAsia="Times New Roman" w:cs="Arial"/>
          <w:color w:val="000000"/>
          <w:lang w:eastAsia="bg-BG"/>
        </w:rPr>
        <w:t xml:space="preserve">инхибитор еритромицин след достигане на равновесни концентрации (500 </w:t>
      </w:r>
      <w:r w:rsidRPr="00812A1B">
        <w:rPr>
          <w:rFonts w:eastAsia="Times New Roman" w:cs="Arial"/>
          <w:color w:val="000000"/>
          <w:lang w:val="en-US"/>
        </w:rPr>
        <w:t xml:space="preserve">mg </w:t>
      </w:r>
      <w:r w:rsidRPr="00812A1B">
        <w:rPr>
          <w:rFonts w:eastAsia="Times New Roman" w:cs="Arial"/>
          <w:color w:val="000000"/>
          <w:lang w:eastAsia="bg-BG"/>
        </w:rPr>
        <w:t xml:space="preserve">двукратно дневно за 5 дни) е било наблюдавано увеличение със 182% на системната експозиция </w:t>
      </w:r>
      <w:r w:rsidRPr="00812A1B">
        <w:rPr>
          <w:rFonts w:eastAsia="Times New Roman" w:cs="Arial"/>
          <w:color w:val="000000"/>
          <w:lang w:val="en-US"/>
        </w:rPr>
        <w:t xml:space="preserve">(AUC) </w:t>
      </w:r>
      <w:r w:rsidRPr="00812A1B">
        <w:rPr>
          <w:rFonts w:eastAsia="Times New Roman" w:cs="Arial"/>
          <w:color w:val="000000"/>
          <w:lang w:eastAsia="bg-BG"/>
        </w:rPr>
        <w:t xml:space="preserve">на силденафил. При здрави мъже доброволци не е бил наблюдаван ефект на азитромицин (500 </w:t>
      </w:r>
      <w:r w:rsidRPr="00812A1B">
        <w:rPr>
          <w:rFonts w:eastAsia="Times New Roman" w:cs="Arial"/>
          <w:color w:val="000000"/>
          <w:lang w:val="en-US"/>
        </w:rPr>
        <w:t>mg</w:t>
      </w:r>
      <w:r w:rsidRPr="00812A1B">
        <w:rPr>
          <w:rFonts w:eastAsia="Times New Roman" w:cs="Arial"/>
          <w:color w:val="000000"/>
          <w:u w:val="single"/>
          <w:lang w:val="en-US"/>
        </w:rPr>
        <w:t xml:space="preserve"> </w:t>
      </w:r>
      <w:r w:rsidRPr="00812A1B">
        <w:rPr>
          <w:rFonts w:eastAsia="Times New Roman" w:cs="Arial"/>
          <w:color w:val="000000"/>
          <w:lang w:eastAsia="bg-BG"/>
        </w:rPr>
        <w:t xml:space="preserve">дневно за 3 дни) върху </w:t>
      </w:r>
      <w:r w:rsidRPr="00812A1B">
        <w:rPr>
          <w:rFonts w:eastAsia="Times New Roman" w:cs="Arial"/>
          <w:color w:val="000000"/>
          <w:lang w:val="en-US"/>
        </w:rPr>
        <w:t xml:space="preserve">AUC, </w:t>
      </w:r>
      <w:proofErr w:type="spellStart"/>
      <w:r w:rsidRPr="00812A1B">
        <w:rPr>
          <w:rFonts w:eastAsia="Times New Roman" w:cs="Arial"/>
          <w:color w:val="000000"/>
          <w:lang w:val="en-US"/>
        </w:rPr>
        <w:t>C</w:t>
      </w:r>
      <w:r w:rsidRPr="00812A1B">
        <w:rPr>
          <w:rFonts w:eastAsia="Times New Roman" w:cs="Arial"/>
          <w:color w:val="000000"/>
          <w:vertAlign w:val="subscript"/>
          <w:lang w:val="en-US"/>
        </w:rPr>
        <w:t>max</w:t>
      </w:r>
      <w:proofErr w:type="spellEnd"/>
      <w:r w:rsidRPr="00812A1B">
        <w:rPr>
          <w:rFonts w:eastAsia="Times New Roman" w:cs="Arial"/>
          <w:color w:val="000000"/>
          <w:lang w:val="en-US"/>
        </w:rPr>
        <w:t xml:space="preserve">, </w:t>
      </w:r>
      <w:proofErr w:type="spellStart"/>
      <w:r w:rsidRPr="00812A1B">
        <w:rPr>
          <w:rFonts w:eastAsia="Times New Roman" w:cs="Arial"/>
          <w:color w:val="000000"/>
          <w:lang w:val="en-US"/>
        </w:rPr>
        <w:t>t</w:t>
      </w:r>
      <w:r w:rsidRPr="00812A1B">
        <w:rPr>
          <w:rFonts w:eastAsia="Times New Roman" w:cs="Arial"/>
          <w:color w:val="000000"/>
          <w:vertAlign w:val="subscript"/>
          <w:lang w:val="en-US"/>
        </w:rPr>
        <w:t>max</w:t>
      </w:r>
      <w:proofErr w:type="spellEnd"/>
      <w:r w:rsidRPr="00812A1B">
        <w:rPr>
          <w:rFonts w:eastAsia="Times New Roman" w:cs="Arial"/>
          <w:color w:val="000000"/>
          <w:lang w:val="en-US"/>
        </w:rPr>
        <w:t xml:space="preserve">, </w:t>
      </w:r>
      <w:r w:rsidRPr="00812A1B">
        <w:rPr>
          <w:rFonts w:eastAsia="Times New Roman" w:cs="Arial"/>
          <w:color w:val="000000"/>
          <w:lang w:eastAsia="bg-BG"/>
        </w:rPr>
        <w:t>елиминационната константа или времето на</w:t>
      </w:r>
      <w:r w:rsidRPr="00812A1B">
        <w:rPr>
          <w:rFonts w:eastAsia="Times New Roman" w:cs="Arial"/>
          <w:color w:val="000000"/>
          <w:lang w:val="en-US"/>
        </w:rPr>
        <w:t xml:space="preserve"> </w:t>
      </w:r>
      <w:r w:rsidRPr="00812A1B">
        <w:rPr>
          <w:rFonts w:eastAsia="Times New Roman" w:cs="Arial"/>
          <w:color w:val="000000"/>
          <w:lang w:eastAsia="bg-BG"/>
        </w:rPr>
        <w:t xml:space="preserve">полуживот на силденафил или неговите основни метаболити в циркулацията. Циметидин (800 </w:t>
      </w:r>
      <w:r w:rsidRPr="00812A1B">
        <w:rPr>
          <w:rFonts w:eastAsia="Times New Roman" w:cs="Arial"/>
          <w:color w:val="000000"/>
          <w:lang w:val="en-US"/>
        </w:rPr>
        <w:t xml:space="preserve">mg), </w:t>
      </w:r>
      <w:r w:rsidRPr="00812A1B">
        <w:rPr>
          <w:rFonts w:eastAsia="Times New Roman" w:cs="Arial"/>
          <w:color w:val="000000"/>
          <w:lang w:eastAsia="bg-BG"/>
        </w:rPr>
        <w:t xml:space="preserve">който е цитохром Р450 инхибитор и неспецифичен </w:t>
      </w:r>
      <w:r w:rsidRPr="00812A1B">
        <w:rPr>
          <w:rFonts w:eastAsia="Times New Roman" w:cs="Arial"/>
          <w:color w:val="000000"/>
          <w:lang w:val="en-US"/>
        </w:rPr>
        <w:t xml:space="preserve">CYP3A4 </w:t>
      </w:r>
      <w:r w:rsidRPr="00812A1B">
        <w:rPr>
          <w:rFonts w:eastAsia="Times New Roman" w:cs="Arial"/>
          <w:color w:val="000000"/>
          <w:lang w:eastAsia="bg-BG"/>
        </w:rPr>
        <w:t>инхибитор, е предизвикал нарастване с 56</w:t>
      </w:r>
      <w:r w:rsidRPr="00812A1B">
        <w:rPr>
          <w:rFonts w:eastAsia="Times New Roman" w:cs="Arial"/>
          <w:color w:val="000000"/>
          <w:lang w:val="en-US"/>
        </w:rPr>
        <w:t xml:space="preserve"> %</w:t>
      </w:r>
      <w:r w:rsidRPr="00A459D7">
        <w:rPr>
          <w:rFonts w:eastAsia="Times New Roman" w:cs="Arial"/>
          <w:lang w:eastAsia="bg-BG"/>
        </w:rPr>
        <w:t xml:space="preserve"> </w:t>
      </w:r>
      <w:r w:rsidRPr="00812A1B">
        <w:rPr>
          <w:rFonts w:eastAsia="Times New Roman" w:cs="Arial"/>
          <w:color w:val="000000"/>
          <w:lang w:eastAsia="bg-BG"/>
        </w:rPr>
        <w:t xml:space="preserve">на </w:t>
      </w:r>
      <w:r w:rsidRPr="00812A1B">
        <w:rPr>
          <w:rFonts w:eastAsia="Times New Roman" w:cs="Arial"/>
          <w:color w:val="000000"/>
          <w:lang w:eastAsia="bg-BG"/>
        </w:rPr>
        <w:lastRenderedPageBreak/>
        <w:t>плазмената концентрация на силденафил при едновременно приложение със силденафил (50</w:t>
      </w:r>
      <w:r w:rsidRPr="00A459D7">
        <w:rPr>
          <w:rFonts w:eastAsia="Times New Roman" w:cs="Arial"/>
          <w:lang w:eastAsia="bg-BG"/>
        </w:rPr>
        <w:t xml:space="preserve"> </w:t>
      </w:r>
      <w:r w:rsidRPr="00A459D7">
        <w:rPr>
          <w:rFonts w:eastAsia="Times New Roman" w:cs="Arial"/>
          <w:color w:val="000000"/>
          <w:lang w:val="en-US"/>
        </w:rPr>
        <w:t xml:space="preserve">mg) </w:t>
      </w:r>
      <w:r w:rsidRPr="00A459D7">
        <w:rPr>
          <w:rFonts w:eastAsia="Times New Roman" w:cs="Arial"/>
          <w:color w:val="000000"/>
          <w:lang w:eastAsia="bg-BG"/>
        </w:rPr>
        <w:t>при здрави доброволци.</w:t>
      </w:r>
    </w:p>
    <w:p w14:paraId="4DFCCFA9" w14:textId="76B75D62" w:rsidR="00812A1B" w:rsidRPr="00A459D7" w:rsidRDefault="00812A1B" w:rsidP="00812A1B">
      <w:pPr>
        <w:spacing w:line="240" w:lineRule="auto"/>
        <w:rPr>
          <w:rFonts w:eastAsia="Times New Roman" w:cs="Arial"/>
          <w:color w:val="000000"/>
          <w:lang w:eastAsia="bg-BG"/>
        </w:rPr>
      </w:pPr>
    </w:p>
    <w:p w14:paraId="6796771C"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Сокът от грейпфрут е слаб инхибитор на </w:t>
      </w:r>
      <w:r w:rsidRPr="00812A1B">
        <w:rPr>
          <w:rFonts w:eastAsia="Times New Roman" w:cs="Arial"/>
          <w:color w:val="000000"/>
          <w:lang w:val="en-US"/>
        </w:rPr>
        <w:t>CYP3</w:t>
      </w:r>
      <w:r w:rsidRPr="00812A1B">
        <w:rPr>
          <w:rFonts w:eastAsia="Times New Roman" w:cs="Arial"/>
          <w:color w:val="000000"/>
          <w:lang w:eastAsia="bg-BG"/>
        </w:rPr>
        <w:t>А4-медиирания метаболизъм в чревната стена и може да доведе до умерено нарастване на плазмените нива на силденафил.</w:t>
      </w:r>
    </w:p>
    <w:p w14:paraId="24EE0DA4" w14:textId="77777777" w:rsidR="00812A1B" w:rsidRPr="00A459D7" w:rsidRDefault="00812A1B" w:rsidP="00812A1B">
      <w:pPr>
        <w:spacing w:line="240" w:lineRule="auto"/>
        <w:rPr>
          <w:rFonts w:eastAsia="Times New Roman" w:cs="Arial"/>
          <w:color w:val="000000"/>
          <w:lang w:eastAsia="bg-BG"/>
        </w:rPr>
      </w:pPr>
    </w:p>
    <w:p w14:paraId="1264509B" w14:textId="365CE5F1"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Еднократни дози антиацид (магнезиев хидроксид/алуминиев хидроксид) не са повлияли бионаличността на силденафил.</w:t>
      </w:r>
    </w:p>
    <w:p w14:paraId="79372DAE" w14:textId="77777777" w:rsidR="00812A1B" w:rsidRPr="00A459D7" w:rsidRDefault="00812A1B" w:rsidP="00812A1B">
      <w:pPr>
        <w:spacing w:line="240" w:lineRule="auto"/>
        <w:rPr>
          <w:rFonts w:eastAsia="Times New Roman" w:cs="Arial"/>
          <w:color w:val="000000"/>
          <w:lang w:eastAsia="bg-BG"/>
        </w:rPr>
      </w:pPr>
    </w:p>
    <w:p w14:paraId="2D74FF36" w14:textId="7F624D2A"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Въпреки че не са провеждани специфични проучвания за лекарствени взаимодействия с всички лекарствени продукти, популационният фармакокинетичен анализ не е показал ефект върху фармакокинетиката на силденафил при едновременно приложение на лекарства, принадлежащи към групата на инхибиторите на </w:t>
      </w:r>
      <w:r w:rsidRPr="00812A1B">
        <w:rPr>
          <w:rFonts w:eastAsia="Times New Roman" w:cs="Arial"/>
          <w:color w:val="000000"/>
          <w:lang w:val="en-US"/>
        </w:rPr>
        <w:t xml:space="preserve">CYP2C9 </w:t>
      </w:r>
      <w:r w:rsidRPr="00812A1B">
        <w:rPr>
          <w:rFonts w:eastAsia="Times New Roman" w:cs="Arial"/>
          <w:color w:val="000000"/>
          <w:lang w:eastAsia="bg-BG"/>
        </w:rPr>
        <w:t xml:space="preserve">(като толбутамид, варфарин, фенитоин), </w:t>
      </w:r>
      <w:r w:rsidRPr="00812A1B">
        <w:rPr>
          <w:rFonts w:eastAsia="Times New Roman" w:cs="Arial"/>
          <w:color w:val="000000"/>
          <w:lang w:val="en-US"/>
        </w:rPr>
        <w:t xml:space="preserve">CYP2D6 </w:t>
      </w:r>
      <w:r w:rsidRPr="00812A1B">
        <w:rPr>
          <w:rFonts w:eastAsia="Times New Roman" w:cs="Arial"/>
          <w:color w:val="000000"/>
          <w:lang w:eastAsia="bg-BG"/>
        </w:rPr>
        <w:t>(като селективните инхибитори на обратния захват на серотонина, трицикличните антидепресанти), тиазидите и сродни диуретици, бримковите и калий-съхраняващи диуретици, инхибиторите на ангиотензин-конвертиращия ензим, блокери на калциевите канали, бета-адренорецепторните антагонисти или индукторите на СУР450-медиирания метаболизъм (като рифампицин, барбитурати).</w:t>
      </w:r>
    </w:p>
    <w:p w14:paraId="770E6C6B" w14:textId="77777777" w:rsidR="00812A1B" w:rsidRPr="00A459D7" w:rsidRDefault="00812A1B" w:rsidP="00812A1B">
      <w:pPr>
        <w:spacing w:line="240" w:lineRule="auto"/>
        <w:rPr>
          <w:rFonts w:eastAsia="Times New Roman" w:cs="Arial"/>
          <w:color w:val="000000"/>
          <w:lang w:eastAsia="bg-BG"/>
        </w:rPr>
      </w:pPr>
    </w:p>
    <w:p w14:paraId="7C6F773B" w14:textId="5B8E242B"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Никорандил е хибрид между активатор на калиевите канали и нитрат. Поради нитратната си компонента съществува възможност за сериозно взаимодействие със силденафил.</w:t>
      </w:r>
    </w:p>
    <w:p w14:paraId="29898317" w14:textId="77777777" w:rsidR="00812A1B" w:rsidRPr="00A459D7" w:rsidRDefault="00812A1B" w:rsidP="00812A1B">
      <w:pPr>
        <w:spacing w:line="240" w:lineRule="auto"/>
        <w:rPr>
          <w:rFonts w:eastAsia="Times New Roman" w:cs="Arial"/>
          <w:color w:val="000000"/>
          <w:u w:val="single"/>
          <w:lang w:eastAsia="bg-BG"/>
        </w:rPr>
      </w:pPr>
    </w:p>
    <w:p w14:paraId="5B3E109D" w14:textId="3A7EB243" w:rsidR="00812A1B" w:rsidRPr="00812A1B" w:rsidRDefault="00812A1B" w:rsidP="00812A1B">
      <w:pPr>
        <w:spacing w:line="240" w:lineRule="auto"/>
        <w:rPr>
          <w:rFonts w:eastAsia="Times New Roman" w:cs="Arial"/>
          <w:lang w:eastAsia="bg-BG"/>
        </w:rPr>
      </w:pPr>
      <w:r w:rsidRPr="00812A1B">
        <w:rPr>
          <w:rFonts w:eastAsia="Times New Roman" w:cs="Arial"/>
          <w:color w:val="000000"/>
          <w:u w:val="single"/>
          <w:lang w:eastAsia="bg-BG"/>
        </w:rPr>
        <w:t>Ефекти на силденафил върху други лекарствени продукти</w:t>
      </w:r>
    </w:p>
    <w:p w14:paraId="3F51A6F4" w14:textId="77777777" w:rsidR="00812A1B" w:rsidRPr="00A459D7" w:rsidRDefault="00812A1B" w:rsidP="00812A1B">
      <w:pPr>
        <w:spacing w:line="240" w:lineRule="auto"/>
        <w:rPr>
          <w:rFonts w:eastAsia="Times New Roman" w:cs="Arial"/>
          <w:i/>
          <w:iCs/>
          <w:color w:val="000000"/>
          <w:lang w:eastAsia="bg-BG"/>
        </w:rPr>
      </w:pPr>
    </w:p>
    <w:p w14:paraId="77102C60" w14:textId="5AA9CE06"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Проучвания </w:t>
      </w:r>
      <w:r w:rsidRPr="00812A1B">
        <w:rPr>
          <w:rFonts w:eastAsia="Times New Roman" w:cs="Arial"/>
          <w:i/>
          <w:iCs/>
          <w:color w:val="000000"/>
          <w:lang w:val="en-US"/>
        </w:rPr>
        <w:t>in vitro</w:t>
      </w:r>
    </w:p>
    <w:p w14:paraId="42835ACE"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Силденафил е слаб инхибитор на цитохром Р450 изоензими 1А2, 2С9, 2С19, </w:t>
      </w:r>
      <w:r w:rsidRPr="00812A1B">
        <w:rPr>
          <w:rFonts w:eastAsia="Times New Roman" w:cs="Arial"/>
          <w:color w:val="000000"/>
          <w:lang w:val="en-US"/>
        </w:rPr>
        <w:t xml:space="preserve">2D6, </w:t>
      </w:r>
      <w:r w:rsidRPr="00812A1B">
        <w:rPr>
          <w:rFonts w:eastAsia="Times New Roman" w:cs="Arial"/>
          <w:color w:val="000000"/>
          <w:lang w:eastAsia="bg-BG"/>
        </w:rPr>
        <w:t>2Е1 и ЗА4 (</w:t>
      </w:r>
      <w:r w:rsidRPr="00812A1B">
        <w:rPr>
          <w:rFonts w:eastAsia="Times New Roman" w:cs="Arial"/>
          <w:color w:val="000000"/>
          <w:lang w:val="en-US"/>
        </w:rPr>
        <w:t>I</w:t>
      </w:r>
      <w:r w:rsidRPr="00812A1B">
        <w:rPr>
          <w:rFonts w:eastAsia="Times New Roman" w:cs="Arial"/>
          <w:color w:val="000000"/>
          <w:lang w:eastAsia="bg-BG"/>
        </w:rPr>
        <w:t>С50&gt; 150 μМ). Като се има предвид, че пиковата плазмена концентрация след прием на силденафил в препоръчителните дози е приблизително 1 μМ, не би могло да се очаква Силденафил Сандоз да повлияе клирънса на субстратите на тези изоензими.</w:t>
      </w:r>
    </w:p>
    <w:p w14:paraId="3E338CB5" w14:textId="77777777" w:rsidR="00812A1B" w:rsidRPr="00A459D7" w:rsidRDefault="00812A1B" w:rsidP="00812A1B">
      <w:pPr>
        <w:spacing w:line="240" w:lineRule="auto"/>
        <w:rPr>
          <w:rFonts w:eastAsia="Times New Roman" w:cs="Arial"/>
          <w:color w:val="000000"/>
          <w:lang w:eastAsia="bg-BG"/>
        </w:rPr>
      </w:pPr>
    </w:p>
    <w:p w14:paraId="443F7B75" w14:textId="54E05BEE"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Липсват данни за взаимодействието между силденафил и неспецифичните фосфодиестеразни инхибитори като теофилин или дипиридамол.</w:t>
      </w:r>
    </w:p>
    <w:p w14:paraId="3A69ED2C" w14:textId="77777777" w:rsidR="00812A1B" w:rsidRPr="00A459D7" w:rsidRDefault="00812A1B" w:rsidP="00812A1B">
      <w:pPr>
        <w:spacing w:line="240" w:lineRule="auto"/>
        <w:rPr>
          <w:rFonts w:eastAsia="Times New Roman" w:cs="Arial"/>
          <w:i/>
          <w:iCs/>
          <w:color w:val="000000"/>
          <w:lang w:eastAsia="bg-BG"/>
        </w:rPr>
      </w:pPr>
    </w:p>
    <w:p w14:paraId="5270238D" w14:textId="1B76DF87"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 xml:space="preserve">Проучвания </w:t>
      </w:r>
      <w:r w:rsidRPr="00812A1B">
        <w:rPr>
          <w:rFonts w:eastAsia="Times New Roman" w:cs="Arial"/>
          <w:i/>
          <w:iCs/>
          <w:color w:val="000000"/>
          <w:lang w:val="en-US"/>
        </w:rPr>
        <w:t>in vivo</w:t>
      </w:r>
    </w:p>
    <w:p w14:paraId="3310AF37"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В съответствие с познатите си действия върху пътя азотен оксид/цГМФ (вж. точка 5.1) силденафил показа потенциране на хипотензивните ефекти на нитратите и следователно, едновременното му приложение със съединения, отделящи азотен оксид или нитрати под каквато и да е форма е противопоказано (вж. точка 4.3).</w:t>
      </w:r>
    </w:p>
    <w:p w14:paraId="1BA4D0CC" w14:textId="77777777" w:rsidR="00812A1B" w:rsidRPr="00A459D7" w:rsidRDefault="00812A1B" w:rsidP="00812A1B">
      <w:pPr>
        <w:spacing w:line="240" w:lineRule="auto"/>
        <w:rPr>
          <w:rFonts w:eastAsia="Times New Roman" w:cs="Arial"/>
          <w:color w:val="000000"/>
          <w:lang w:eastAsia="bg-BG"/>
        </w:rPr>
      </w:pPr>
    </w:p>
    <w:p w14:paraId="221EA667" w14:textId="641BDAC6"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Едновременното приложение на силденафил на пациенти, които приемат алфа-блокери, може да доведе до симптоматична хипотония при малкото чувствителни индивиди. Това е най-вероятно да се прояви през първите 4 часа след приема на силденафил (вж. точки 4.2 и 4.4). В три клинични проучвания за специфични лекарствени взаимодействия алфа-блокерът доксазозин (4 </w:t>
      </w:r>
      <w:r w:rsidRPr="00812A1B">
        <w:rPr>
          <w:rFonts w:eastAsia="Times New Roman" w:cs="Arial"/>
          <w:color w:val="000000"/>
          <w:lang w:val="en-US"/>
        </w:rPr>
        <w:t xml:space="preserve">mg </w:t>
      </w:r>
      <w:r w:rsidRPr="00812A1B">
        <w:rPr>
          <w:rFonts w:eastAsia="Times New Roman" w:cs="Arial"/>
          <w:color w:val="000000"/>
          <w:lang w:eastAsia="bg-BG"/>
        </w:rPr>
        <w:t xml:space="preserve">и 8 </w:t>
      </w:r>
      <w:r w:rsidRPr="00812A1B">
        <w:rPr>
          <w:rFonts w:eastAsia="Times New Roman" w:cs="Arial"/>
          <w:color w:val="000000"/>
          <w:lang w:val="en-US"/>
        </w:rPr>
        <w:t xml:space="preserve">mg) </w:t>
      </w:r>
      <w:r w:rsidRPr="00812A1B">
        <w:rPr>
          <w:rFonts w:eastAsia="Times New Roman" w:cs="Arial"/>
          <w:color w:val="000000"/>
          <w:lang w:eastAsia="bg-BG"/>
        </w:rPr>
        <w:t xml:space="preserve">и силденафил (25 </w:t>
      </w:r>
      <w:r w:rsidRPr="00812A1B">
        <w:rPr>
          <w:rFonts w:eastAsia="Times New Roman" w:cs="Arial"/>
          <w:color w:val="000000"/>
          <w:lang w:val="en-US"/>
        </w:rPr>
        <w:t xml:space="preserve">mg, </w:t>
      </w:r>
      <w:r w:rsidRPr="00812A1B">
        <w:rPr>
          <w:rFonts w:eastAsia="Times New Roman" w:cs="Arial"/>
          <w:color w:val="000000"/>
          <w:lang w:eastAsia="bg-BG"/>
        </w:rPr>
        <w:t xml:space="preserve">50 </w:t>
      </w:r>
      <w:r w:rsidRPr="00812A1B">
        <w:rPr>
          <w:rFonts w:eastAsia="Times New Roman" w:cs="Arial"/>
          <w:color w:val="000000"/>
          <w:lang w:val="en-US"/>
        </w:rPr>
        <w:t xml:space="preserve">mg </w:t>
      </w:r>
      <w:r w:rsidRPr="00812A1B">
        <w:rPr>
          <w:rFonts w:eastAsia="Times New Roman" w:cs="Arial"/>
          <w:color w:val="000000"/>
          <w:lang w:eastAsia="bg-BG"/>
        </w:rPr>
        <w:t xml:space="preserve">или 100 </w:t>
      </w:r>
      <w:r w:rsidRPr="00812A1B">
        <w:rPr>
          <w:rFonts w:eastAsia="Times New Roman" w:cs="Arial"/>
          <w:color w:val="000000"/>
          <w:lang w:val="en-US"/>
        </w:rPr>
        <w:t xml:space="preserve">mg) </w:t>
      </w:r>
      <w:r w:rsidRPr="00812A1B">
        <w:rPr>
          <w:rFonts w:eastAsia="Times New Roman" w:cs="Arial"/>
          <w:color w:val="000000"/>
          <w:lang w:eastAsia="bg-BG"/>
        </w:rPr>
        <w:t xml:space="preserve">са били приложени едновременно на пациенти с доброкачествена хиперплазия на простата (ДХП), стабилизирани на терапия с доксазозин. В тези изпитвани популации е наблюдавано средно допълнително намаление на кръвното налягане в легнало положение съответно 7/7 </w:t>
      </w:r>
      <w:r w:rsidRPr="00812A1B">
        <w:rPr>
          <w:rFonts w:eastAsia="Times New Roman" w:cs="Arial"/>
          <w:color w:val="000000"/>
          <w:lang w:val="en-US"/>
        </w:rPr>
        <w:t xml:space="preserve">mmHg, </w:t>
      </w:r>
      <w:r w:rsidRPr="00812A1B">
        <w:rPr>
          <w:rFonts w:eastAsia="Times New Roman" w:cs="Arial"/>
          <w:color w:val="000000"/>
          <w:lang w:eastAsia="bg-BG"/>
        </w:rPr>
        <w:t xml:space="preserve">9/5 </w:t>
      </w:r>
      <w:r w:rsidRPr="00812A1B">
        <w:rPr>
          <w:rFonts w:eastAsia="Times New Roman" w:cs="Arial"/>
          <w:color w:val="000000"/>
          <w:lang w:val="en-US"/>
        </w:rPr>
        <w:t xml:space="preserve">mmHg </w:t>
      </w:r>
      <w:r w:rsidRPr="00812A1B">
        <w:rPr>
          <w:rFonts w:eastAsia="Times New Roman" w:cs="Arial"/>
          <w:color w:val="000000"/>
          <w:lang w:eastAsia="bg-BG"/>
        </w:rPr>
        <w:t xml:space="preserve">и 8/4 </w:t>
      </w:r>
      <w:r w:rsidRPr="00812A1B">
        <w:rPr>
          <w:rFonts w:eastAsia="Times New Roman" w:cs="Arial"/>
          <w:color w:val="000000"/>
          <w:lang w:val="en-US"/>
        </w:rPr>
        <w:t xml:space="preserve">mmHg, </w:t>
      </w:r>
      <w:r w:rsidRPr="00812A1B">
        <w:rPr>
          <w:rFonts w:eastAsia="Times New Roman" w:cs="Arial"/>
          <w:color w:val="000000"/>
          <w:lang w:eastAsia="bg-BG"/>
        </w:rPr>
        <w:t xml:space="preserve">и средно допълнително намаление на кръвното налягане в изправено положение съответно 6/6 </w:t>
      </w:r>
      <w:r w:rsidRPr="00812A1B">
        <w:rPr>
          <w:rFonts w:eastAsia="Times New Roman" w:cs="Arial"/>
          <w:color w:val="000000"/>
          <w:lang w:val="en-US"/>
        </w:rPr>
        <w:t xml:space="preserve">mmHg, 1 </w:t>
      </w:r>
      <w:r w:rsidRPr="00812A1B">
        <w:rPr>
          <w:rFonts w:eastAsia="Times New Roman" w:cs="Arial"/>
          <w:color w:val="000000"/>
          <w:lang w:eastAsia="bg-BG"/>
        </w:rPr>
        <w:t xml:space="preserve">1/4 </w:t>
      </w:r>
      <w:r w:rsidRPr="00812A1B">
        <w:rPr>
          <w:rFonts w:eastAsia="Times New Roman" w:cs="Arial"/>
          <w:color w:val="000000"/>
          <w:lang w:val="en-US"/>
        </w:rPr>
        <w:t xml:space="preserve">mmHg </w:t>
      </w:r>
      <w:r w:rsidRPr="00812A1B">
        <w:rPr>
          <w:rFonts w:eastAsia="Times New Roman" w:cs="Arial"/>
          <w:color w:val="000000"/>
          <w:lang w:eastAsia="bg-BG"/>
        </w:rPr>
        <w:t xml:space="preserve">и 4/5 </w:t>
      </w:r>
      <w:r w:rsidRPr="00812A1B">
        <w:rPr>
          <w:rFonts w:eastAsia="Times New Roman" w:cs="Arial"/>
          <w:color w:val="000000"/>
          <w:lang w:val="en-US"/>
        </w:rPr>
        <w:t xml:space="preserve">mmHg. </w:t>
      </w:r>
      <w:r w:rsidRPr="00812A1B">
        <w:rPr>
          <w:rFonts w:eastAsia="Times New Roman" w:cs="Arial"/>
          <w:color w:val="000000"/>
          <w:lang w:eastAsia="bg-BG"/>
        </w:rPr>
        <w:t xml:space="preserve">Когато силденафил и доксазозин са били приложени едновременно при пациенти, стабилизирани на терапия с доксазозин, са получени редки съобщения за </w:t>
      </w:r>
      <w:r w:rsidRPr="00812A1B">
        <w:rPr>
          <w:rFonts w:eastAsia="Times New Roman" w:cs="Arial"/>
          <w:color w:val="000000"/>
          <w:lang w:eastAsia="bg-BG"/>
        </w:rPr>
        <w:lastRenderedPageBreak/>
        <w:t>пациенти, които са получили симптоматична ортостатична хипотония. Тези съобщения включват виене на свят и замаяност, но не и синкоп.</w:t>
      </w:r>
    </w:p>
    <w:p w14:paraId="07CD2547" w14:textId="77777777" w:rsidR="00812A1B" w:rsidRPr="00A459D7" w:rsidRDefault="00812A1B" w:rsidP="00812A1B">
      <w:pPr>
        <w:spacing w:line="240" w:lineRule="auto"/>
        <w:rPr>
          <w:rFonts w:eastAsia="Times New Roman" w:cs="Arial"/>
          <w:color w:val="000000"/>
          <w:lang w:eastAsia="bg-BG"/>
        </w:rPr>
      </w:pPr>
    </w:p>
    <w:p w14:paraId="0CE27398" w14:textId="4509108F"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При едновременното прилагане на силденафил (50 </w:t>
      </w:r>
      <w:r w:rsidRPr="00812A1B">
        <w:rPr>
          <w:rFonts w:eastAsia="Times New Roman" w:cs="Arial"/>
          <w:color w:val="000000"/>
          <w:lang w:val="en-US"/>
        </w:rPr>
        <w:t xml:space="preserve">mg) </w:t>
      </w:r>
      <w:r w:rsidRPr="00812A1B">
        <w:rPr>
          <w:rFonts w:eastAsia="Times New Roman" w:cs="Arial"/>
          <w:color w:val="000000"/>
          <w:lang w:eastAsia="bg-BG"/>
        </w:rPr>
        <w:t xml:space="preserve">и толбутамид (250 </w:t>
      </w:r>
      <w:r w:rsidRPr="00812A1B">
        <w:rPr>
          <w:rFonts w:eastAsia="Times New Roman" w:cs="Arial"/>
          <w:color w:val="000000"/>
          <w:lang w:val="en-US"/>
        </w:rPr>
        <w:t xml:space="preserve">mg) </w:t>
      </w:r>
      <w:r w:rsidRPr="00812A1B">
        <w:rPr>
          <w:rFonts w:eastAsia="Times New Roman" w:cs="Arial"/>
          <w:color w:val="000000"/>
          <w:lang w:eastAsia="bg-BG"/>
        </w:rPr>
        <w:t xml:space="preserve">или варфарин (40 </w:t>
      </w:r>
      <w:r w:rsidRPr="00812A1B">
        <w:rPr>
          <w:rFonts w:eastAsia="Times New Roman" w:cs="Arial"/>
          <w:color w:val="000000"/>
          <w:lang w:val="en-US"/>
        </w:rPr>
        <w:t xml:space="preserve">mg), </w:t>
      </w:r>
      <w:r w:rsidRPr="00812A1B">
        <w:rPr>
          <w:rFonts w:eastAsia="Times New Roman" w:cs="Arial"/>
          <w:color w:val="000000"/>
          <w:lang w:eastAsia="bg-BG"/>
        </w:rPr>
        <w:t xml:space="preserve">които се метаболизират от </w:t>
      </w:r>
      <w:r w:rsidRPr="00812A1B">
        <w:rPr>
          <w:rFonts w:eastAsia="Times New Roman" w:cs="Arial"/>
          <w:color w:val="000000"/>
          <w:lang w:val="en-US"/>
        </w:rPr>
        <w:t xml:space="preserve">CYP2C9, </w:t>
      </w:r>
      <w:r w:rsidRPr="00812A1B">
        <w:rPr>
          <w:rFonts w:eastAsia="Times New Roman" w:cs="Arial"/>
          <w:color w:val="000000"/>
          <w:lang w:eastAsia="bg-BG"/>
        </w:rPr>
        <w:t>не е забелязано сигнификантно взаимодействие.</w:t>
      </w:r>
    </w:p>
    <w:p w14:paraId="5BAE33E0" w14:textId="77777777" w:rsidR="00812A1B" w:rsidRPr="00A459D7" w:rsidRDefault="00812A1B" w:rsidP="00812A1B">
      <w:pPr>
        <w:spacing w:line="240" w:lineRule="auto"/>
        <w:rPr>
          <w:rFonts w:eastAsia="Times New Roman" w:cs="Arial"/>
          <w:color w:val="000000"/>
          <w:lang w:eastAsia="bg-BG"/>
        </w:rPr>
      </w:pPr>
    </w:p>
    <w:p w14:paraId="66794E35" w14:textId="4C43AF70"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Силденафил (50 </w:t>
      </w:r>
      <w:r w:rsidRPr="00812A1B">
        <w:rPr>
          <w:rFonts w:eastAsia="Times New Roman" w:cs="Arial"/>
          <w:color w:val="000000"/>
          <w:lang w:val="en-US"/>
        </w:rPr>
        <w:t xml:space="preserve">mg) </w:t>
      </w:r>
      <w:r w:rsidRPr="00812A1B">
        <w:rPr>
          <w:rFonts w:eastAsia="Times New Roman" w:cs="Arial"/>
          <w:color w:val="000000"/>
          <w:lang w:eastAsia="bg-BG"/>
        </w:rPr>
        <w:t xml:space="preserve">не е потенцирал допълнително удължаването на времето на кървене, предизвикано от ацетил салициловата киселина (150 </w:t>
      </w:r>
      <w:r w:rsidRPr="00812A1B">
        <w:rPr>
          <w:rFonts w:eastAsia="Times New Roman" w:cs="Arial"/>
          <w:color w:val="000000"/>
          <w:lang w:val="en-US"/>
        </w:rPr>
        <w:t>mg).</w:t>
      </w:r>
    </w:p>
    <w:p w14:paraId="399961A4" w14:textId="77777777" w:rsidR="00812A1B" w:rsidRPr="00A459D7" w:rsidRDefault="00812A1B" w:rsidP="00812A1B">
      <w:pPr>
        <w:spacing w:line="240" w:lineRule="auto"/>
        <w:rPr>
          <w:rFonts w:eastAsia="Times New Roman" w:cs="Arial"/>
          <w:color w:val="000000"/>
          <w:lang w:eastAsia="bg-BG"/>
        </w:rPr>
      </w:pPr>
    </w:p>
    <w:p w14:paraId="73867461" w14:textId="53F007E1" w:rsidR="00812A1B" w:rsidRPr="00A459D7"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Силденафил (50 </w:t>
      </w:r>
      <w:r w:rsidRPr="00812A1B">
        <w:rPr>
          <w:rFonts w:eastAsia="Times New Roman" w:cs="Arial"/>
          <w:color w:val="000000"/>
          <w:lang w:val="en-US"/>
        </w:rPr>
        <w:t xml:space="preserve">mg) </w:t>
      </w:r>
      <w:r w:rsidRPr="00812A1B">
        <w:rPr>
          <w:rFonts w:eastAsia="Times New Roman" w:cs="Arial"/>
          <w:color w:val="000000"/>
          <w:lang w:eastAsia="bg-BG"/>
        </w:rPr>
        <w:t>не е потенцирал допълнително хипотензивните ефекти на алкохола при</w:t>
      </w:r>
      <w:r w:rsidR="00A459D7">
        <w:rPr>
          <w:rFonts w:eastAsia="Times New Roman" w:cs="Arial"/>
          <w:lang w:eastAsia="bg-BG"/>
        </w:rPr>
        <w:t xml:space="preserve"> </w:t>
      </w:r>
      <w:r w:rsidRPr="00A459D7">
        <w:rPr>
          <w:rFonts w:eastAsia="Times New Roman" w:cs="Arial"/>
          <w:color w:val="000000"/>
          <w:lang w:eastAsia="bg-BG"/>
        </w:rPr>
        <w:t xml:space="preserve">здрави доброволци със средни </w:t>
      </w:r>
      <w:bookmarkStart w:id="1" w:name="_GoBack"/>
      <w:bookmarkEnd w:id="1"/>
      <w:r w:rsidRPr="00A459D7">
        <w:rPr>
          <w:rFonts w:eastAsia="Times New Roman" w:cs="Arial"/>
          <w:color w:val="000000"/>
          <w:lang w:eastAsia="bg-BG"/>
        </w:rPr>
        <w:t>максимални концентрации на алкохол в кръвта 80</w:t>
      </w:r>
      <w:r w:rsidRPr="00A459D7">
        <w:rPr>
          <w:rFonts w:eastAsia="Times New Roman" w:cs="Arial"/>
          <w:color w:val="000000"/>
          <w:lang w:val="en-US"/>
        </w:rPr>
        <w:t xml:space="preserve"> mg/dl.</w:t>
      </w:r>
    </w:p>
    <w:p w14:paraId="0395BD2E" w14:textId="1CEAE70C" w:rsidR="007A2185" w:rsidRPr="00A459D7" w:rsidRDefault="007A2185" w:rsidP="0091385D">
      <w:pPr>
        <w:rPr>
          <w:rFonts w:cs="Arial"/>
        </w:rPr>
      </w:pPr>
    </w:p>
    <w:p w14:paraId="16811409"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Като цяло антихипертензивните лекарства, принадлежащи към следните класове: диуретици, бета- блокери, АСЕ инхибитори, ангиотензин II антагонисти, антихипертензивни средства (вазодилататори и централно действащи), адренергични блокери, инхибитори на калциевите канали и алфа-адренорецепторни блокери, не са показали различен профил на нежелани лекарствени реакции при пациенти, получаващи силденафил спрямо плацебо. В клинично проучване за специфично лекарствено взаимодействие, при което на хипертоници е бил приложен силденафил (100 </w:t>
      </w:r>
      <w:r w:rsidRPr="00812A1B">
        <w:rPr>
          <w:rFonts w:eastAsia="Times New Roman" w:cs="Arial"/>
          <w:color w:val="000000"/>
          <w:lang w:val="en-US"/>
        </w:rPr>
        <w:t xml:space="preserve">mg) </w:t>
      </w:r>
      <w:r w:rsidRPr="00812A1B">
        <w:rPr>
          <w:rFonts w:eastAsia="Times New Roman" w:cs="Arial"/>
          <w:color w:val="000000"/>
          <w:lang w:eastAsia="bg-BG"/>
        </w:rPr>
        <w:t xml:space="preserve">едновременно с амлодипин, е настъпило допълнително понижение на систолното кръвно налягане в легнало положение с 8 </w:t>
      </w:r>
      <w:r w:rsidRPr="00812A1B">
        <w:rPr>
          <w:rFonts w:eastAsia="Times New Roman" w:cs="Arial"/>
          <w:color w:val="000000"/>
          <w:lang w:val="en-US"/>
        </w:rPr>
        <w:t xml:space="preserve">mmHg. </w:t>
      </w:r>
      <w:r w:rsidRPr="00812A1B">
        <w:rPr>
          <w:rFonts w:eastAsia="Times New Roman" w:cs="Arial"/>
          <w:color w:val="000000"/>
          <w:lang w:eastAsia="bg-BG"/>
        </w:rPr>
        <w:t xml:space="preserve">Съответното допълнително понижение на диастолното кръвно налягане в легнало положение е било 7 </w:t>
      </w:r>
      <w:r w:rsidRPr="00812A1B">
        <w:rPr>
          <w:rFonts w:eastAsia="Times New Roman" w:cs="Arial"/>
          <w:color w:val="000000"/>
          <w:lang w:val="en-US"/>
        </w:rPr>
        <w:t xml:space="preserve">mmHg. </w:t>
      </w:r>
      <w:r w:rsidRPr="00812A1B">
        <w:rPr>
          <w:rFonts w:eastAsia="Times New Roman" w:cs="Arial"/>
          <w:color w:val="000000"/>
          <w:lang w:eastAsia="bg-BG"/>
        </w:rPr>
        <w:t>Тези допълнителни понижения на кръвното налягане са били от сходна величина с тези, наблюдавани при здрави доброволци, получаващи само силденафил (вж. точка 5.1).</w:t>
      </w:r>
    </w:p>
    <w:p w14:paraId="1C2CEA30" w14:textId="77777777" w:rsidR="00812A1B" w:rsidRPr="00A459D7" w:rsidRDefault="00812A1B" w:rsidP="00812A1B">
      <w:pPr>
        <w:rPr>
          <w:rFonts w:eastAsia="Times New Roman" w:cs="Arial"/>
          <w:color w:val="000000"/>
          <w:lang w:eastAsia="bg-BG"/>
        </w:rPr>
      </w:pPr>
    </w:p>
    <w:p w14:paraId="7AAE6F07" w14:textId="68F1B801" w:rsidR="00812A1B" w:rsidRPr="00A459D7" w:rsidRDefault="00812A1B" w:rsidP="00812A1B">
      <w:pPr>
        <w:rPr>
          <w:rFonts w:cs="Arial"/>
        </w:rPr>
      </w:pPr>
      <w:r w:rsidRPr="00A459D7">
        <w:rPr>
          <w:rFonts w:eastAsia="Times New Roman" w:cs="Arial"/>
          <w:color w:val="000000"/>
          <w:lang w:eastAsia="bg-BG"/>
        </w:rPr>
        <w:t xml:space="preserve">Силденафил (100 </w:t>
      </w:r>
      <w:r w:rsidRPr="00A459D7">
        <w:rPr>
          <w:rFonts w:eastAsia="Times New Roman" w:cs="Arial"/>
          <w:color w:val="000000"/>
          <w:lang w:val="en-US"/>
        </w:rPr>
        <w:t xml:space="preserve">mg) </w:t>
      </w:r>
      <w:r w:rsidRPr="00A459D7">
        <w:rPr>
          <w:rFonts w:eastAsia="Times New Roman" w:cs="Arial"/>
          <w:color w:val="000000"/>
          <w:lang w:eastAsia="bg-BG"/>
        </w:rPr>
        <w:t xml:space="preserve">не е повлиял фармакокинетиката в стационарно състояние на </w:t>
      </w:r>
      <w:r w:rsidRPr="00A459D7">
        <w:rPr>
          <w:rFonts w:eastAsia="Times New Roman" w:cs="Arial"/>
          <w:color w:val="000000"/>
          <w:lang w:val="en-US"/>
        </w:rPr>
        <w:t xml:space="preserve">HIV- </w:t>
      </w:r>
      <w:r w:rsidRPr="00A459D7">
        <w:rPr>
          <w:rFonts w:eastAsia="Times New Roman" w:cs="Arial"/>
          <w:color w:val="000000"/>
          <w:lang w:eastAsia="bg-BG"/>
        </w:rPr>
        <w:t xml:space="preserve">протеазните инхибитори саквинавир и ритонавир, които са субстрати на </w:t>
      </w:r>
      <w:r w:rsidRPr="00A459D7">
        <w:rPr>
          <w:rFonts w:eastAsia="Times New Roman" w:cs="Arial"/>
          <w:color w:val="000000"/>
          <w:lang w:val="en-US"/>
        </w:rPr>
        <w:t>CYP3A4.</w:t>
      </w:r>
    </w:p>
    <w:p w14:paraId="70B796EC" w14:textId="77777777" w:rsidR="00812A1B" w:rsidRPr="0091385D" w:rsidRDefault="00812A1B" w:rsidP="0091385D"/>
    <w:p w14:paraId="394A7584" w14:textId="10DEA5B3" w:rsidR="004F498A" w:rsidRDefault="002C50EE" w:rsidP="004A448E">
      <w:pPr>
        <w:pStyle w:val="Heading2"/>
      </w:pPr>
      <w:r>
        <w:t>4.6. Фертилитет, бременност и кърмене</w:t>
      </w:r>
    </w:p>
    <w:p w14:paraId="4887836B" w14:textId="0528FAED" w:rsidR="0091385D" w:rsidRDefault="0091385D" w:rsidP="0091385D"/>
    <w:p w14:paraId="423A03E8" w14:textId="77777777"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Силденафил Сандоз не е показан за употреба при жени.</w:t>
      </w:r>
    </w:p>
    <w:p w14:paraId="6A8BD28C" w14:textId="77777777" w:rsidR="00812A1B" w:rsidRPr="00A459D7" w:rsidRDefault="00812A1B" w:rsidP="00812A1B">
      <w:pPr>
        <w:rPr>
          <w:rFonts w:eastAsia="Times New Roman" w:cs="Arial"/>
          <w:color w:val="000000"/>
          <w:szCs w:val="20"/>
          <w:lang w:eastAsia="bg-BG"/>
        </w:rPr>
      </w:pPr>
    </w:p>
    <w:p w14:paraId="102F0D07" w14:textId="1FB47F7E" w:rsidR="007A2185" w:rsidRPr="00A459D7" w:rsidRDefault="00812A1B" w:rsidP="00812A1B">
      <w:pPr>
        <w:rPr>
          <w:rFonts w:cs="Arial"/>
          <w:sz w:val="24"/>
        </w:rPr>
      </w:pPr>
      <w:r w:rsidRPr="00A459D7">
        <w:rPr>
          <w:rFonts w:eastAsia="Times New Roman" w:cs="Arial"/>
          <w:color w:val="000000"/>
          <w:szCs w:val="20"/>
          <w:lang w:eastAsia="bg-BG"/>
        </w:rPr>
        <w:t>В проучвания за влияние на силденафил върху репродуктивната способност при плъхове и зайци не са били наблюдавани значими нежелани лекарствени реакции след пероралното му приложение.</w:t>
      </w:r>
    </w:p>
    <w:p w14:paraId="3E8789C3" w14:textId="77777777" w:rsidR="0091385D" w:rsidRPr="0091385D" w:rsidRDefault="0091385D" w:rsidP="0091385D"/>
    <w:p w14:paraId="064DF1DE" w14:textId="70BCC16C" w:rsidR="00CF77F7" w:rsidRDefault="002C50EE" w:rsidP="004A448E">
      <w:pPr>
        <w:pStyle w:val="Heading2"/>
      </w:pPr>
      <w:r>
        <w:t>4.7. Ефекти върху способността за шофиране и работа с машини</w:t>
      </w:r>
    </w:p>
    <w:p w14:paraId="1455464C" w14:textId="78136F1E" w:rsidR="0091385D" w:rsidRDefault="0091385D" w:rsidP="0091385D"/>
    <w:p w14:paraId="1C8CD6A6" w14:textId="77777777"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Не са проведени проучвания за влиянието върху способността за шофиране и работа с машини.</w:t>
      </w:r>
    </w:p>
    <w:p w14:paraId="5AEE1CE5" w14:textId="77777777" w:rsidR="00812A1B" w:rsidRPr="00A459D7" w:rsidRDefault="00812A1B" w:rsidP="00812A1B">
      <w:pPr>
        <w:rPr>
          <w:rFonts w:eastAsia="Times New Roman" w:cs="Arial"/>
          <w:color w:val="000000"/>
          <w:szCs w:val="20"/>
          <w:lang w:eastAsia="bg-BG"/>
        </w:rPr>
      </w:pPr>
    </w:p>
    <w:p w14:paraId="1C9ABB96" w14:textId="1C433FAA" w:rsidR="007A2185" w:rsidRPr="00A459D7" w:rsidRDefault="00812A1B" w:rsidP="00812A1B">
      <w:pPr>
        <w:rPr>
          <w:rFonts w:cs="Arial"/>
          <w:sz w:val="24"/>
        </w:rPr>
      </w:pPr>
      <w:r w:rsidRPr="00A459D7">
        <w:rPr>
          <w:rFonts w:eastAsia="Times New Roman" w:cs="Arial"/>
          <w:color w:val="000000"/>
          <w:szCs w:val="20"/>
          <w:lang w:eastAsia="bg-BG"/>
        </w:rPr>
        <w:t>Тъй като в клинични проучвания със силденафил се съобщава за поява на световъртеж и промени в зрението, пациентите трябва да имат представа за реакциите си към Силденафил Сандоз преди да шофират или да работят с машини.</w:t>
      </w:r>
    </w:p>
    <w:p w14:paraId="35801A15" w14:textId="77777777" w:rsidR="0091385D" w:rsidRPr="0091385D" w:rsidRDefault="0091385D" w:rsidP="0091385D"/>
    <w:p w14:paraId="4838F52A" w14:textId="058F0B9C" w:rsidR="0091385D" w:rsidRDefault="002C50EE" w:rsidP="007A2185">
      <w:pPr>
        <w:pStyle w:val="Heading2"/>
      </w:pPr>
      <w:r>
        <w:lastRenderedPageBreak/>
        <w:t>4.8. Нежелани лекарствени реакции</w:t>
      </w:r>
    </w:p>
    <w:p w14:paraId="76E0B7A2" w14:textId="5BBD2581" w:rsidR="005B0F27" w:rsidRDefault="005B0F27" w:rsidP="0091385D"/>
    <w:p w14:paraId="38D816C7" w14:textId="77777777"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Профилът на безопастност на Силденафил Сандоз е базиран на 8 691 пациенти, които са получавали препоръчвания дозов режим в 67 плацебо контролирани клинични проучвания. Най- често съобщаваните нежелани реакции в клиничните проучвания сред пациентите, на които е прилаган силденафил, са били главоболие, зачервяване, диспепсия, зрителни нарушения, назална конгестия, замайване и нарушение в цветното зрение.</w:t>
      </w:r>
    </w:p>
    <w:p w14:paraId="77BC469B" w14:textId="77777777" w:rsidR="00812A1B" w:rsidRPr="00A459D7" w:rsidRDefault="00812A1B" w:rsidP="00812A1B">
      <w:pPr>
        <w:spacing w:line="240" w:lineRule="auto"/>
        <w:rPr>
          <w:rFonts w:eastAsia="Times New Roman" w:cs="Arial"/>
          <w:color w:val="000000"/>
          <w:szCs w:val="20"/>
          <w:lang w:eastAsia="bg-BG"/>
        </w:rPr>
      </w:pPr>
    </w:p>
    <w:p w14:paraId="54EE9201" w14:textId="2C91FDA4"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Нежелани лекарствени реакции по време на постмаркетингово наблюдение са събирани и покриват приблизителен период от &gt;9 години. Честотата на тези нежелани реакции не може да се определи с достоверност, тъй като не всички нежелани реакции са съобщени на притежателя на разрешението за употреба и включени в базата данни за безопасност.</w:t>
      </w:r>
    </w:p>
    <w:p w14:paraId="114D1F09" w14:textId="77777777" w:rsidR="00812A1B" w:rsidRPr="00A459D7" w:rsidRDefault="00812A1B" w:rsidP="00812A1B">
      <w:pPr>
        <w:spacing w:line="240" w:lineRule="auto"/>
        <w:rPr>
          <w:rFonts w:eastAsia="Times New Roman" w:cs="Arial"/>
          <w:color w:val="000000"/>
          <w:szCs w:val="20"/>
          <w:lang w:eastAsia="bg-BG"/>
        </w:rPr>
      </w:pPr>
    </w:p>
    <w:p w14:paraId="5F6415AA" w14:textId="0CED93D6"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В таблицата по-долу всички клинично важни нежелани реакции, които са наблюдавани в клинични проучвания с честота по-голяма от тази на плацебо, са описани по системо-органен клас и честота (много чести (≥1/10), чести (≥1/100 до &lt;1/10), нечести (≥1/1 000 </w:t>
      </w:r>
      <w:r w:rsidRPr="00812A1B">
        <w:rPr>
          <w:rFonts w:eastAsia="Times New Roman" w:cs="Arial"/>
          <w:color w:val="000000"/>
          <w:szCs w:val="20"/>
          <w:lang w:val="en-US"/>
        </w:rPr>
        <w:t xml:space="preserve">to </w:t>
      </w:r>
      <w:r w:rsidRPr="00812A1B">
        <w:rPr>
          <w:rFonts w:eastAsia="Times New Roman" w:cs="Arial"/>
          <w:color w:val="000000"/>
          <w:szCs w:val="20"/>
          <w:lang w:eastAsia="bg-BG"/>
        </w:rPr>
        <w:t>&lt;1/100), редки (≥1/10 000 до &lt;1/1 000).</w:t>
      </w:r>
    </w:p>
    <w:p w14:paraId="2A70D016" w14:textId="77777777" w:rsidR="00812A1B" w:rsidRPr="00A459D7" w:rsidRDefault="00812A1B" w:rsidP="00812A1B">
      <w:pPr>
        <w:spacing w:line="240" w:lineRule="auto"/>
        <w:rPr>
          <w:rFonts w:eastAsia="Times New Roman" w:cs="Arial"/>
          <w:color w:val="000000"/>
          <w:szCs w:val="20"/>
          <w:lang w:eastAsia="bg-BG"/>
        </w:rPr>
      </w:pPr>
    </w:p>
    <w:p w14:paraId="1DA00AC7" w14:textId="56AC48C7"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В допълнение, честотата на клинично важни нежелани реакции, съобщени по време на постмаркетинговия период, е включена като неизвестна.</w:t>
      </w:r>
    </w:p>
    <w:p w14:paraId="218BDF7A" w14:textId="77777777" w:rsidR="00812A1B" w:rsidRPr="00A459D7" w:rsidRDefault="00812A1B" w:rsidP="00812A1B">
      <w:pPr>
        <w:rPr>
          <w:rFonts w:eastAsia="Times New Roman" w:cs="Arial"/>
          <w:color w:val="000000"/>
          <w:szCs w:val="20"/>
          <w:lang w:eastAsia="bg-BG"/>
        </w:rPr>
      </w:pPr>
    </w:p>
    <w:p w14:paraId="0254AACC" w14:textId="44EBB502" w:rsidR="007A2185" w:rsidRPr="00A459D7" w:rsidRDefault="00812A1B" w:rsidP="00812A1B">
      <w:pPr>
        <w:rPr>
          <w:rFonts w:cs="Arial"/>
          <w:sz w:val="24"/>
        </w:rPr>
      </w:pPr>
      <w:r w:rsidRPr="00A459D7">
        <w:rPr>
          <w:rFonts w:eastAsia="Times New Roman" w:cs="Arial"/>
          <w:color w:val="000000"/>
          <w:szCs w:val="20"/>
          <w:lang w:eastAsia="bg-BG"/>
        </w:rPr>
        <w:t>При всяко групиране в зависимост от честотата нежеланите лекарствени реакции</w:t>
      </w:r>
      <w:r w:rsidRPr="00A459D7">
        <w:rPr>
          <w:rFonts w:eastAsia="Times New Roman" w:cs="Arial"/>
          <w:color w:val="000000"/>
          <w:szCs w:val="20"/>
          <w:lang w:val="en-US"/>
        </w:rPr>
        <w:t xml:space="preserve"> </w:t>
      </w:r>
      <w:r w:rsidRPr="00A459D7">
        <w:rPr>
          <w:rFonts w:eastAsia="Times New Roman" w:cs="Arial"/>
          <w:color w:val="000000"/>
          <w:szCs w:val="20"/>
          <w:lang w:eastAsia="bg-BG"/>
        </w:rPr>
        <w:t>се изброяват в низходящ ред по отношение на тяхната сериозност.</w:t>
      </w:r>
    </w:p>
    <w:p w14:paraId="443BC107" w14:textId="0E090551" w:rsidR="005B0F27" w:rsidRPr="00A459D7" w:rsidRDefault="005B0F27" w:rsidP="0091385D">
      <w:pPr>
        <w:rPr>
          <w:rFonts w:cs="Arial"/>
          <w:sz w:val="24"/>
        </w:rPr>
      </w:pPr>
    </w:p>
    <w:p w14:paraId="5B25CE2D" w14:textId="69923820" w:rsidR="00812A1B" w:rsidRPr="00A459D7" w:rsidRDefault="00812A1B" w:rsidP="0091385D">
      <w:pPr>
        <w:rPr>
          <w:rFonts w:cs="Arial"/>
          <w:b/>
          <w:bCs/>
          <w:szCs w:val="20"/>
          <w:u w:val="single"/>
        </w:rPr>
      </w:pPr>
      <w:r w:rsidRPr="00A459D7">
        <w:rPr>
          <w:rFonts w:cs="Arial"/>
          <w:b/>
          <w:bCs/>
          <w:szCs w:val="20"/>
          <w:u w:val="single"/>
        </w:rPr>
        <w:t>Таблица 1: Клинично важни нежелани реакции, съобщени с честота, по-голяма от</w:t>
      </w:r>
      <w:r w:rsidRPr="00A459D7">
        <w:rPr>
          <w:rFonts w:cs="Arial"/>
          <w:b/>
          <w:bCs/>
          <w:szCs w:val="20"/>
          <w:u w:val="single"/>
        </w:rPr>
        <w:t xml:space="preserve"> </w:t>
      </w:r>
      <w:r w:rsidRPr="00A459D7">
        <w:rPr>
          <w:rFonts w:cs="Arial"/>
          <w:b/>
          <w:bCs/>
          <w:szCs w:val="20"/>
          <w:u w:val="single"/>
        </w:rPr>
        <w:t>честотата им в групата на плацебо в контролирани</w:t>
      </w:r>
      <w:r w:rsidRPr="00A459D7">
        <w:rPr>
          <w:rFonts w:cs="Arial"/>
          <w:b/>
          <w:bCs/>
          <w:szCs w:val="20"/>
          <w:u w:val="single"/>
        </w:rPr>
        <w:t xml:space="preserve"> клинични проучвания</w:t>
      </w:r>
      <w:r w:rsidRPr="00A459D7">
        <w:rPr>
          <w:rFonts w:cs="Arial"/>
          <w:b/>
          <w:bCs/>
          <w:szCs w:val="20"/>
          <w:u w:val="single"/>
        </w:rPr>
        <w:t xml:space="preserve"> и клинично</w:t>
      </w:r>
      <w:r w:rsidRPr="00A459D7">
        <w:rPr>
          <w:rFonts w:cs="Arial"/>
          <w:b/>
          <w:bCs/>
          <w:szCs w:val="20"/>
          <w:u w:val="single"/>
        </w:rPr>
        <w:t xml:space="preserve"> </w:t>
      </w:r>
      <w:r w:rsidRPr="00A459D7">
        <w:rPr>
          <w:rFonts w:cs="Arial"/>
          <w:b/>
          <w:bCs/>
          <w:szCs w:val="20"/>
          <w:u w:val="single"/>
        </w:rPr>
        <w:t>важни нежелани реакции, съобщени по време на постмаркетинговия период</w:t>
      </w:r>
    </w:p>
    <w:p w14:paraId="29800BB4" w14:textId="304DB755" w:rsidR="00812A1B" w:rsidRDefault="00812A1B" w:rsidP="0091385D">
      <w:pPr>
        <w:rPr>
          <w:b/>
          <w:bCs/>
          <w:sz w:val="20"/>
          <w:szCs w:val="20"/>
          <w:u w:val="single"/>
        </w:rPr>
      </w:pPr>
    </w:p>
    <w:tbl>
      <w:tblPr>
        <w:tblStyle w:val="TableGrid"/>
        <w:tblW w:w="0" w:type="auto"/>
        <w:tblLook w:val="04A0" w:firstRow="1" w:lastRow="0" w:firstColumn="1" w:lastColumn="0" w:noHBand="0" w:noVBand="1"/>
      </w:tblPr>
      <w:tblGrid>
        <w:gridCol w:w="4675"/>
        <w:gridCol w:w="4675"/>
      </w:tblGrid>
      <w:tr w:rsidR="00A459D7" w14:paraId="4D0929D7" w14:textId="77777777" w:rsidTr="00812A1B">
        <w:tc>
          <w:tcPr>
            <w:tcW w:w="4675" w:type="dxa"/>
          </w:tcPr>
          <w:p w14:paraId="336E922E" w14:textId="2C580EB9" w:rsidR="00A459D7" w:rsidRPr="00A459D7" w:rsidRDefault="00A459D7" w:rsidP="00A459D7">
            <w:pPr>
              <w:rPr>
                <w:rFonts w:cs="Arial"/>
                <w:b/>
                <w:bCs/>
                <w:u w:val="single"/>
              </w:rPr>
            </w:pPr>
            <w:r w:rsidRPr="00A459D7">
              <w:rPr>
                <w:rFonts w:cs="Arial"/>
                <w:b/>
                <w:bCs/>
              </w:rPr>
              <w:t>Системо-органен клас</w:t>
            </w:r>
          </w:p>
        </w:tc>
        <w:tc>
          <w:tcPr>
            <w:tcW w:w="4675" w:type="dxa"/>
          </w:tcPr>
          <w:p w14:paraId="33EAAD5A" w14:textId="49398994" w:rsidR="00A459D7" w:rsidRPr="00A459D7" w:rsidRDefault="00A459D7" w:rsidP="00A459D7">
            <w:pPr>
              <w:rPr>
                <w:rFonts w:cs="Arial"/>
                <w:b/>
                <w:bCs/>
                <w:u w:val="single"/>
              </w:rPr>
            </w:pPr>
            <w:r w:rsidRPr="00A459D7">
              <w:rPr>
                <w:rFonts w:cs="Arial"/>
                <w:b/>
                <w:bCs/>
              </w:rPr>
              <w:t>Нежелани реакции</w:t>
            </w:r>
          </w:p>
        </w:tc>
      </w:tr>
      <w:tr w:rsidR="00A459D7" w14:paraId="23C161F1" w14:textId="77777777" w:rsidTr="00D8024E">
        <w:tc>
          <w:tcPr>
            <w:tcW w:w="4675" w:type="dxa"/>
            <w:vAlign w:val="bottom"/>
          </w:tcPr>
          <w:p w14:paraId="3F5FD05A" w14:textId="77777777" w:rsidR="00A459D7" w:rsidRPr="00A459D7" w:rsidRDefault="00A459D7" w:rsidP="00A459D7">
            <w:pPr>
              <w:rPr>
                <w:rFonts w:cs="Arial"/>
              </w:rPr>
            </w:pPr>
            <w:r w:rsidRPr="00A459D7">
              <w:rPr>
                <w:rFonts w:cs="Arial"/>
                <w:b/>
                <w:bCs/>
              </w:rPr>
              <w:t>Нарушения на имунната система</w:t>
            </w:r>
          </w:p>
          <w:p w14:paraId="7396F644" w14:textId="59C8E183" w:rsidR="00A459D7" w:rsidRPr="00A459D7" w:rsidRDefault="00A459D7" w:rsidP="00A459D7">
            <w:pPr>
              <w:rPr>
                <w:rFonts w:cs="Arial"/>
                <w:b/>
                <w:bCs/>
                <w:u w:val="single"/>
              </w:rPr>
            </w:pPr>
            <w:r w:rsidRPr="00A459D7">
              <w:rPr>
                <w:rFonts w:cs="Arial"/>
              </w:rPr>
              <w:t>Редки</w:t>
            </w:r>
          </w:p>
        </w:tc>
        <w:tc>
          <w:tcPr>
            <w:tcW w:w="4675" w:type="dxa"/>
            <w:vAlign w:val="bottom"/>
          </w:tcPr>
          <w:p w14:paraId="017294C1" w14:textId="0A80501C" w:rsidR="00A459D7" w:rsidRPr="00A459D7" w:rsidRDefault="00A459D7" w:rsidP="00A459D7">
            <w:pPr>
              <w:rPr>
                <w:rFonts w:cs="Arial"/>
                <w:b/>
                <w:bCs/>
                <w:u w:val="single"/>
              </w:rPr>
            </w:pPr>
            <w:r w:rsidRPr="00A459D7">
              <w:rPr>
                <w:rFonts w:cs="Arial"/>
              </w:rPr>
              <w:t>Реакции на свръхчувствителност</w:t>
            </w:r>
          </w:p>
        </w:tc>
      </w:tr>
      <w:tr w:rsidR="00A459D7" w14:paraId="01617D47" w14:textId="77777777" w:rsidTr="00812A1B">
        <w:tc>
          <w:tcPr>
            <w:tcW w:w="4675" w:type="dxa"/>
          </w:tcPr>
          <w:p w14:paraId="778DFCC3" w14:textId="77777777" w:rsidR="00A459D7" w:rsidRPr="00A459D7" w:rsidRDefault="00A459D7" w:rsidP="00A459D7">
            <w:pPr>
              <w:rPr>
                <w:rFonts w:cs="Arial"/>
              </w:rPr>
            </w:pPr>
            <w:r w:rsidRPr="00A459D7">
              <w:rPr>
                <w:rFonts w:cs="Arial"/>
                <w:b/>
                <w:bCs/>
              </w:rPr>
              <w:t>Нарушения на нервната система</w:t>
            </w:r>
          </w:p>
          <w:p w14:paraId="4CD72C60" w14:textId="1D26C6B1" w:rsidR="00A459D7" w:rsidRPr="00A459D7" w:rsidRDefault="00A459D7" w:rsidP="00A459D7">
            <w:pPr>
              <w:rPr>
                <w:rFonts w:cs="Arial"/>
                <w:b/>
                <w:bCs/>
                <w:u w:val="single"/>
              </w:rPr>
            </w:pPr>
            <w:r w:rsidRPr="00A459D7">
              <w:rPr>
                <w:rFonts w:cs="Arial"/>
              </w:rPr>
              <w:t>Много чести</w:t>
            </w:r>
          </w:p>
        </w:tc>
        <w:tc>
          <w:tcPr>
            <w:tcW w:w="4675" w:type="dxa"/>
          </w:tcPr>
          <w:p w14:paraId="75CE2B56" w14:textId="73A145E5" w:rsidR="00A459D7" w:rsidRPr="00A459D7" w:rsidRDefault="00A459D7" w:rsidP="00A459D7">
            <w:pPr>
              <w:rPr>
                <w:rFonts w:cs="Arial"/>
                <w:b/>
                <w:bCs/>
                <w:u w:val="single"/>
              </w:rPr>
            </w:pPr>
            <w:r w:rsidRPr="00A459D7">
              <w:rPr>
                <w:rFonts w:cs="Arial"/>
              </w:rPr>
              <w:t>Главоболие</w:t>
            </w:r>
          </w:p>
        </w:tc>
      </w:tr>
      <w:tr w:rsidR="00A459D7" w14:paraId="5FEF191E" w14:textId="77777777" w:rsidTr="00812A1B">
        <w:tc>
          <w:tcPr>
            <w:tcW w:w="4675" w:type="dxa"/>
          </w:tcPr>
          <w:p w14:paraId="140FCA2A" w14:textId="0D035AFB" w:rsidR="00A459D7" w:rsidRPr="00A459D7" w:rsidRDefault="00A459D7" w:rsidP="00A459D7">
            <w:pPr>
              <w:rPr>
                <w:rFonts w:cs="Arial"/>
                <w:b/>
                <w:bCs/>
                <w:u w:val="single"/>
              </w:rPr>
            </w:pPr>
            <w:r w:rsidRPr="00A459D7">
              <w:rPr>
                <w:rFonts w:cs="Arial"/>
              </w:rPr>
              <w:t>Чести</w:t>
            </w:r>
          </w:p>
        </w:tc>
        <w:tc>
          <w:tcPr>
            <w:tcW w:w="4675" w:type="dxa"/>
          </w:tcPr>
          <w:p w14:paraId="3CCB57AB" w14:textId="54C5FB2A" w:rsidR="00A459D7" w:rsidRPr="00A459D7" w:rsidRDefault="00A459D7" w:rsidP="00A459D7">
            <w:pPr>
              <w:rPr>
                <w:rFonts w:cs="Arial"/>
                <w:b/>
                <w:bCs/>
                <w:u w:val="single"/>
              </w:rPr>
            </w:pPr>
            <w:r w:rsidRPr="00A459D7">
              <w:rPr>
                <w:rFonts w:cs="Arial"/>
              </w:rPr>
              <w:t>Замайване</w:t>
            </w:r>
          </w:p>
        </w:tc>
      </w:tr>
      <w:tr w:rsidR="00A459D7" w14:paraId="7B296CAD" w14:textId="77777777" w:rsidTr="00D8024E">
        <w:tc>
          <w:tcPr>
            <w:tcW w:w="4675" w:type="dxa"/>
            <w:vAlign w:val="bottom"/>
          </w:tcPr>
          <w:p w14:paraId="72A37BE5" w14:textId="4A416C00" w:rsidR="00A459D7" w:rsidRPr="00A459D7" w:rsidRDefault="00A459D7" w:rsidP="00A459D7">
            <w:pPr>
              <w:rPr>
                <w:rFonts w:cs="Arial"/>
                <w:b/>
                <w:bCs/>
                <w:u w:val="single"/>
              </w:rPr>
            </w:pPr>
            <w:r w:rsidRPr="00A459D7">
              <w:rPr>
                <w:rFonts w:cs="Arial"/>
              </w:rPr>
              <w:t>Нечести</w:t>
            </w:r>
          </w:p>
        </w:tc>
        <w:tc>
          <w:tcPr>
            <w:tcW w:w="4675" w:type="dxa"/>
            <w:vAlign w:val="bottom"/>
          </w:tcPr>
          <w:p w14:paraId="04D504E5" w14:textId="4AD90B80" w:rsidR="00A459D7" w:rsidRPr="00A459D7" w:rsidRDefault="00A459D7" w:rsidP="00A459D7">
            <w:pPr>
              <w:rPr>
                <w:rFonts w:cs="Arial"/>
                <w:b/>
                <w:bCs/>
                <w:u w:val="single"/>
              </w:rPr>
            </w:pPr>
            <w:r w:rsidRPr="00A459D7">
              <w:rPr>
                <w:rFonts w:cs="Arial"/>
              </w:rPr>
              <w:t>Сънливост, хипестезия</w:t>
            </w:r>
          </w:p>
        </w:tc>
      </w:tr>
      <w:tr w:rsidR="00A459D7" w14:paraId="0D86CE51" w14:textId="77777777" w:rsidTr="00812A1B">
        <w:tc>
          <w:tcPr>
            <w:tcW w:w="4675" w:type="dxa"/>
          </w:tcPr>
          <w:p w14:paraId="7F3B1E7B" w14:textId="039AFCA1" w:rsidR="00A459D7" w:rsidRPr="00A459D7" w:rsidRDefault="00A459D7" w:rsidP="00A459D7">
            <w:pPr>
              <w:rPr>
                <w:rFonts w:cs="Arial"/>
                <w:b/>
                <w:bCs/>
                <w:u w:val="single"/>
              </w:rPr>
            </w:pPr>
            <w:r w:rsidRPr="00A459D7">
              <w:rPr>
                <w:rFonts w:cs="Arial"/>
              </w:rPr>
              <w:t>Редки</w:t>
            </w:r>
          </w:p>
        </w:tc>
        <w:tc>
          <w:tcPr>
            <w:tcW w:w="4675" w:type="dxa"/>
          </w:tcPr>
          <w:p w14:paraId="1A0D5BC8" w14:textId="6BDA58C5" w:rsidR="00A459D7" w:rsidRPr="00A459D7" w:rsidRDefault="00A459D7" w:rsidP="00A459D7">
            <w:pPr>
              <w:rPr>
                <w:rFonts w:cs="Arial"/>
                <w:b/>
                <w:bCs/>
                <w:u w:val="single"/>
              </w:rPr>
            </w:pPr>
            <w:r w:rsidRPr="00A459D7">
              <w:rPr>
                <w:rFonts w:cs="Arial"/>
              </w:rPr>
              <w:t>Мозъчносъдов инцидент, синкоп</w:t>
            </w:r>
          </w:p>
        </w:tc>
      </w:tr>
      <w:tr w:rsidR="00A459D7" w14:paraId="7D57A72B" w14:textId="77777777" w:rsidTr="00812A1B">
        <w:tc>
          <w:tcPr>
            <w:tcW w:w="4675" w:type="dxa"/>
          </w:tcPr>
          <w:p w14:paraId="07A5B7EB" w14:textId="328C64D2" w:rsidR="00A459D7" w:rsidRPr="00A459D7" w:rsidRDefault="00A459D7" w:rsidP="00A459D7">
            <w:pPr>
              <w:rPr>
                <w:rFonts w:cs="Arial"/>
                <w:b/>
                <w:bCs/>
                <w:u w:val="single"/>
              </w:rPr>
            </w:pPr>
            <w:r w:rsidRPr="00A459D7">
              <w:rPr>
                <w:rFonts w:cs="Arial"/>
              </w:rPr>
              <w:t>С неизвестна честота</w:t>
            </w:r>
          </w:p>
        </w:tc>
        <w:tc>
          <w:tcPr>
            <w:tcW w:w="4675" w:type="dxa"/>
          </w:tcPr>
          <w:p w14:paraId="7B8D7893" w14:textId="4F048B74" w:rsidR="00A459D7" w:rsidRPr="00A459D7" w:rsidRDefault="00A459D7" w:rsidP="00A459D7">
            <w:pPr>
              <w:rPr>
                <w:rFonts w:cs="Arial"/>
                <w:b/>
                <w:bCs/>
                <w:u w:val="single"/>
              </w:rPr>
            </w:pPr>
            <w:r w:rsidRPr="00A459D7">
              <w:rPr>
                <w:rFonts w:cs="Arial"/>
              </w:rPr>
              <w:t>Транзиторна исхемична атака, гърч, рецидив на гърч</w:t>
            </w:r>
          </w:p>
        </w:tc>
      </w:tr>
      <w:tr w:rsidR="00A459D7" w14:paraId="5B73F5FA" w14:textId="77777777" w:rsidTr="00D8024E">
        <w:tc>
          <w:tcPr>
            <w:tcW w:w="4675" w:type="dxa"/>
          </w:tcPr>
          <w:p w14:paraId="7C66BFB2" w14:textId="77777777" w:rsidR="00A459D7" w:rsidRPr="00A459D7" w:rsidRDefault="00A459D7" w:rsidP="00A459D7">
            <w:pPr>
              <w:rPr>
                <w:rFonts w:cs="Arial"/>
              </w:rPr>
            </w:pPr>
            <w:r w:rsidRPr="00A459D7">
              <w:rPr>
                <w:rFonts w:cs="Arial"/>
                <w:b/>
                <w:bCs/>
              </w:rPr>
              <w:t>Нарушения на очите</w:t>
            </w:r>
          </w:p>
          <w:p w14:paraId="26B521EC" w14:textId="0CD518B6" w:rsidR="00A459D7" w:rsidRPr="00A459D7" w:rsidRDefault="00A459D7" w:rsidP="00A459D7">
            <w:pPr>
              <w:rPr>
                <w:rFonts w:cs="Arial"/>
                <w:b/>
                <w:bCs/>
                <w:u w:val="single"/>
              </w:rPr>
            </w:pPr>
            <w:r w:rsidRPr="00A459D7">
              <w:rPr>
                <w:rFonts w:cs="Arial"/>
              </w:rPr>
              <w:t>Чести</w:t>
            </w:r>
          </w:p>
        </w:tc>
        <w:tc>
          <w:tcPr>
            <w:tcW w:w="4675" w:type="dxa"/>
            <w:vAlign w:val="bottom"/>
          </w:tcPr>
          <w:p w14:paraId="0DE3139C" w14:textId="6621BA22" w:rsidR="00A459D7" w:rsidRPr="00A459D7" w:rsidRDefault="00A459D7" w:rsidP="00A459D7">
            <w:pPr>
              <w:rPr>
                <w:rFonts w:cs="Arial"/>
                <w:b/>
                <w:bCs/>
                <w:u w:val="single"/>
              </w:rPr>
            </w:pPr>
            <w:r w:rsidRPr="00A459D7">
              <w:rPr>
                <w:rFonts w:cs="Arial"/>
              </w:rPr>
              <w:t>Нарушения на зрението, нарушение в цветното</w:t>
            </w:r>
          </w:p>
        </w:tc>
      </w:tr>
      <w:tr w:rsidR="00A459D7" w14:paraId="2067355B" w14:textId="77777777" w:rsidTr="00812A1B">
        <w:tc>
          <w:tcPr>
            <w:tcW w:w="4675" w:type="dxa"/>
          </w:tcPr>
          <w:p w14:paraId="0AB05B67" w14:textId="36EE9726" w:rsidR="00A459D7" w:rsidRPr="00A459D7" w:rsidRDefault="00A459D7" w:rsidP="00A459D7">
            <w:pPr>
              <w:rPr>
                <w:rFonts w:cs="Arial"/>
                <w:b/>
                <w:bCs/>
                <w:u w:val="single"/>
              </w:rPr>
            </w:pPr>
            <w:r w:rsidRPr="00A459D7">
              <w:rPr>
                <w:rFonts w:cs="Arial"/>
              </w:rPr>
              <w:t>Нечести</w:t>
            </w:r>
          </w:p>
        </w:tc>
        <w:tc>
          <w:tcPr>
            <w:tcW w:w="4675" w:type="dxa"/>
          </w:tcPr>
          <w:p w14:paraId="2AAF4141" w14:textId="7A295CC0" w:rsidR="00A459D7" w:rsidRPr="00A459D7" w:rsidRDefault="00A459D7" w:rsidP="00A459D7">
            <w:pPr>
              <w:rPr>
                <w:rFonts w:cs="Arial"/>
                <w:b/>
                <w:bCs/>
                <w:u w:val="single"/>
              </w:rPr>
            </w:pPr>
            <w:r w:rsidRPr="00A459D7">
              <w:rPr>
                <w:rFonts w:cs="Arial"/>
              </w:rPr>
              <w:t>Конюктивални нарушения, нарушения на очите,</w:t>
            </w:r>
          </w:p>
        </w:tc>
      </w:tr>
      <w:tr w:rsidR="00A459D7" w14:paraId="6C5BA44C" w14:textId="77777777" w:rsidTr="00D8024E">
        <w:tc>
          <w:tcPr>
            <w:tcW w:w="4675" w:type="dxa"/>
            <w:vAlign w:val="bottom"/>
          </w:tcPr>
          <w:p w14:paraId="32769643" w14:textId="1FD82AB0" w:rsidR="00A459D7" w:rsidRPr="00A459D7" w:rsidRDefault="00A459D7" w:rsidP="00A459D7">
            <w:pPr>
              <w:rPr>
                <w:rFonts w:cs="Arial"/>
                <w:b/>
                <w:bCs/>
                <w:u w:val="single"/>
              </w:rPr>
            </w:pPr>
            <w:r w:rsidRPr="00A459D7">
              <w:rPr>
                <w:rFonts w:cs="Arial"/>
              </w:rPr>
              <w:t>С неизвестна честота</w:t>
            </w:r>
          </w:p>
        </w:tc>
        <w:tc>
          <w:tcPr>
            <w:tcW w:w="4675" w:type="dxa"/>
            <w:vAlign w:val="bottom"/>
          </w:tcPr>
          <w:p w14:paraId="0A6F56A5" w14:textId="42EA5C02" w:rsidR="00A459D7" w:rsidRPr="00A459D7" w:rsidRDefault="00A459D7" w:rsidP="00A459D7">
            <w:pPr>
              <w:rPr>
                <w:rFonts w:cs="Arial"/>
                <w:b/>
                <w:bCs/>
                <w:u w:val="single"/>
              </w:rPr>
            </w:pPr>
            <w:r w:rsidRPr="00A459D7">
              <w:rPr>
                <w:rFonts w:cs="Arial"/>
              </w:rPr>
              <w:t xml:space="preserve">нарушения в слъзоотделянето, други нарушения на очите Неартериитна предна исхемична невропатия на </w:t>
            </w:r>
            <w:proofErr w:type="spellStart"/>
            <w:r w:rsidRPr="00A459D7">
              <w:rPr>
                <w:rFonts w:cs="Arial"/>
                <w:lang w:val="en-US"/>
              </w:rPr>
              <w:t>n.opticus</w:t>
            </w:r>
            <w:proofErr w:type="spellEnd"/>
          </w:p>
        </w:tc>
      </w:tr>
      <w:tr w:rsidR="00A459D7" w14:paraId="25C5494D" w14:textId="77777777" w:rsidTr="00D8024E">
        <w:tc>
          <w:tcPr>
            <w:tcW w:w="4675" w:type="dxa"/>
            <w:vAlign w:val="bottom"/>
          </w:tcPr>
          <w:p w14:paraId="12BAE5D5" w14:textId="33D889CD" w:rsidR="00A459D7" w:rsidRPr="00A459D7" w:rsidRDefault="00A459D7" w:rsidP="00A459D7">
            <w:pPr>
              <w:rPr>
                <w:rFonts w:cs="Arial"/>
                <w:b/>
                <w:bCs/>
                <w:u w:val="single"/>
              </w:rPr>
            </w:pPr>
            <w:r w:rsidRPr="00A459D7">
              <w:rPr>
                <w:rFonts w:cs="Arial"/>
                <w:b/>
                <w:bCs/>
              </w:rPr>
              <w:lastRenderedPageBreak/>
              <w:t>Нарушения на ухото и лабиринта</w:t>
            </w:r>
          </w:p>
        </w:tc>
        <w:tc>
          <w:tcPr>
            <w:tcW w:w="4675" w:type="dxa"/>
            <w:vAlign w:val="bottom"/>
          </w:tcPr>
          <w:p w14:paraId="152B457B" w14:textId="77777777" w:rsidR="00A459D7" w:rsidRPr="00A459D7" w:rsidRDefault="00A459D7" w:rsidP="00A459D7">
            <w:pPr>
              <w:rPr>
                <w:rFonts w:cs="Arial"/>
              </w:rPr>
            </w:pPr>
            <w:r w:rsidRPr="00A459D7">
              <w:rPr>
                <w:rFonts w:cs="Arial"/>
              </w:rPr>
              <w:t>(оптичния нерв)(НАИОН), ретинална съдова оклузия, нарушение в зрителното поле</w:t>
            </w:r>
          </w:p>
          <w:p w14:paraId="270FD759" w14:textId="38154884" w:rsidR="00A459D7" w:rsidRPr="00A459D7" w:rsidRDefault="00A459D7" w:rsidP="00A459D7">
            <w:pPr>
              <w:rPr>
                <w:rFonts w:cs="Arial"/>
                <w:b/>
                <w:bCs/>
                <w:u w:val="single"/>
              </w:rPr>
            </w:pPr>
            <w:r w:rsidRPr="00A459D7">
              <w:rPr>
                <w:rFonts w:cs="Arial"/>
              </w:rPr>
              <w:t>Вертиго, шум в ушите</w:t>
            </w:r>
          </w:p>
        </w:tc>
      </w:tr>
      <w:tr w:rsidR="00A459D7" w14:paraId="68923E63" w14:textId="77777777" w:rsidTr="00812A1B">
        <w:tc>
          <w:tcPr>
            <w:tcW w:w="4675" w:type="dxa"/>
          </w:tcPr>
          <w:p w14:paraId="1C99CBE4" w14:textId="0FF61E7A" w:rsidR="00A459D7" w:rsidRPr="00A459D7" w:rsidRDefault="00A459D7" w:rsidP="00A459D7">
            <w:pPr>
              <w:rPr>
                <w:rFonts w:cs="Arial"/>
                <w:b/>
                <w:bCs/>
                <w:u w:val="single"/>
              </w:rPr>
            </w:pPr>
            <w:r w:rsidRPr="00A459D7">
              <w:rPr>
                <w:rFonts w:cs="Arial"/>
              </w:rPr>
              <w:t>Нечести</w:t>
            </w:r>
          </w:p>
        </w:tc>
        <w:tc>
          <w:tcPr>
            <w:tcW w:w="4675" w:type="dxa"/>
          </w:tcPr>
          <w:p w14:paraId="532FB727" w14:textId="6FFBDA27" w:rsidR="00A459D7" w:rsidRPr="00A459D7" w:rsidRDefault="00A459D7" w:rsidP="00A459D7">
            <w:pPr>
              <w:rPr>
                <w:rFonts w:cs="Arial"/>
                <w:b/>
                <w:bCs/>
                <w:u w:val="single"/>
              </w:rPr>
            </w:pPr>
            <w:r w:rsidRPr="00A459D7">
              <w:rPr>
                <w:rFonts w:cs="Arial"/>
              </w:rPr>
              <w:t>Глухота*</w:t>
            </w:r>
          </w:p>
        </w:tc>
      </w:tr>
      <w:tr w:rsidR="00A459D7" w14:paraId="42005BAE" w14:textId="77777777" w:rsidTr="003C1205">
        <w:tc>
          <w:tcPr>
            <w:tcW w:w="4675" w:type="dxa"/>
          </w:tcPr>
          <w:p w14:paraId="2BECEDF9" w14:textId="77777777" w:rsidR="00A459D7" w:rsidRPr="00A459D7" w:rsidRDefault="00A459D7" w:rsidP="00A459D7">
            <w:pPr>
              <w:rPr>
                <w:rFonts w:cs="Arial"/>
              </w:rPr>
            </w:pPr>
            <w:r w:rsidRPr="00A459D7">
              <w:rPr>
                <w:rFonts w:cs="Arial"/>
              </w:rPr>
              <w:t>Редки</w:t>
            </w:r>
          </w:p>
          <w:p w14:paraId="3B724133" w14:textId="77777777" w:rsidR="00A459D7" w:rsidRPr="00A459D7" w:rsidRDefault="00A459D7" w:rsidP="00A459D7">
            <w:pPr>
              <w:rPr>
                <w:rFonts w:cs="Arial"/>
              </w:rPr>
            </w:pPr>
            <w:r w:rsidRPr="00A459D7">
              <w:rPr>
                <w:rFonts w:cs="Arial"/>
                <w:b/>
                <w:bCs/>
              </w:rPr>
              <w:t>Съдови нарушения</w:t>
            </w:r>
          </w:p>
          <w:p w14:paraId="4D705965" w14:textId="293C0FE7" w:rsidR="00A459D7" w:rsidRPr="00A459D7" w:rsidRDefault="00A459D7" w:rsidP="00A459D7">
            <w:pPr>
              <w:rPr>
                <w:rFonts w:cs="Arial"/>
                <w:b/>
                <w:bCs/>
                <w:u w:val="single"/>
              </w:rPr>
            </w:pPr>
            <w:r w:rsidRPr="00A459D7">
              <w:rPr>
                <w:rFonts w:cs="Arial"/>
              </w:rPr>
              <w:t>Чести</w:t>
            </w:r>
          </w:p>
        </w:tc>
        <w:tc>
          <w:tcPr>
            <w:tcW w:w="4675" w:type="dxa"/>
            <w:vAlign w:val="bottom"/>
          </w:tcPr>
          <w:p w14:paraId="6A225413" w14:textId="003AEA9D" w:rsidR="00A459D7" w:rsidRPr="00A459D7" w:rsidRDefault="00A459D7" w:rsidP="00A459D7">
            <w:pPr>
              <w:rPr>
                <w:rFonts w:cs="Arial"/>
                <w:b/>
                <w:bCs/>
                <w:u w:val="single"/>
              </w:rPr>
            </w:pPr>
            <w:r w:rsidRPr="00A459D7">
              <w:rPr>
                <w:rFonts w:cs="Arial"/>
              </w:rPr>
              <w:t>Зачервяване</w:t>
            </w:r>
          </w:p>
        </w:tc>
      </w:tr>
      <w:tr w:rsidR="00A459D7" w14:paraId="2B833147" w14:textId="77777777" w:rsidTr="00812A1B">
        <w:tc>
          <w:tcPr>
            <w:tcW w:w="4675" w:type="dxa"/>
          </w:tcPr>
          <w:p w14:paraId="22CA08F1" w14:textId="6F472668" w:rsidR="00A459D7" w:rsidRPr="00A459D7" w:rsidRDefault="00A459D7" w:rsidP="00A459D7">
            <w:pPr>
              <w:rPr>
                <w:rFonts w:cs="Arial"/>
                <w:b/>
                <w:bCs/>
                <w:u w:val="single"/>
              </w:rPr>
            </w:pPr>
            <w:r w:rsidRPr="00A459D7">
              <w:rPr>
                <w:rFonts w:cs="Arial"/>
              </w:rPr>
              <w:t>Редки</w:t>
            </w:r>
          </w:p>
        </w:tc>
        <w:tc>
          <w:tcPr>
            <w:tcW w:w="4675" w:type="dxa"/>
          </w:tcPr>
          <w:p w14:paraId="3BC5BA27" w14:textId="1799456B" w:rsidR="00A459D7" w:rsidRPr="00A459D7" w:rsidRDefault="00A459D7" w:rsidP="00A459D7">
            <w:pPr>
              <w:rPr>
                <w:rFonts w:cs="Arial"/>
                <w:b/>
                <w:bCs/>
                <w:u w:val="single"/>
              </w:rPr>
            </w:pPr>
            <w:r w:rsidRPr="00A459D7">
              <w:rPr>
                <w:rFonts w:cs="Arial"/>
              </w:rPr>
              <w:t>Хипертония, хипотония</w:t>
            </w:r>
          </w:p>
        </w:tc>
      </w:tr>
      <w:tr w:rsidR="00A459D7" w14:paraId="29FECCF3" w14:textId="77777777" w:rsidTr="003C1205">
        <w:tc>
          <w:tcPr>
            <w:tcW w:w="4675" w:type="dxa"/>
          </w:tcPr>
          <w:p w14:paraId="6E08CF71" w14:textId="77777777" w:rsidR="00A459D7" w:rsidRPr="00A459D7" w:rsidRDefault="00A459D7" w:rsidP="00A459D7">
            <w:pPr>
              <w:rPr>
                <w:rFonts w:cs="Arial"/>
              </w:rPr>
            </w:pPr>
            <w:r w:rsidRPr="00A459D7">
              <w:rPr>
                <w:rFonts w:cs="Arial"/>
                <w:b/>
                <w:bCs/>
              </w:rPr>
              <w:t>Сърдечни нарушения</w:t>
            </w:r>
          </w:p>
          <w:p w14:paraId="630632BA" w14:textId="630B1D62" w:rsidR="00A459D7" w:rsidRPr="00A459D7" w:rsidRDefault="00A459D7" w:rsidP="00A459D7">
            <w:pPr>
              <w:rPr>
                <w:rFonts w:cs="Arial"/>
                <w:b/>
                <w:bCs/>
                <w:u w:val="single"/>
              </w:rPr>
            </w:pPr>
            <w:r w:rsidRPr="00A459D7">
              <w:rPr>
                <w:rFonts w:cs="Arial"/>
              </w:rPr>
              <w:t>Нечести</w:t>
            </w:r>
          </w:p>
        </w:tc>
        <w:tc>
          <w:tcPr>
            <w:tcW w:w="4675" w:type="dxa"/>
            <w:vAlign w:val="bottom"/>
          </w:tcPr>
          <w:p w14:paraId="7FD503C6" w14:textId="3C7311D7" w:rsidR="00A459D7" w:rsidRPr="00A459D7" w:rsidRDefault="00A459D7" w:rsidP="00A459D7">
            <w:pPr>
              <w:rPr>
                <w:rFonts w:cs="Arial"/>
                <w:b/>
                <w:bCs/>
                <w:u w:val="single"/>
              </w:rPr>
            </w:pPr>
            <w:r w:rsidRPr="00A459D7">
              <w:rPr>
                <w:rFonts w:cs="Arial"/>
              </w:rPr>
              <w:t>Палпитации, тахикардия</w:t>
            </w:r>
          </w:p>
        </w:tc>
      </w:tr>
      <w:tr w:rsidR="00A459D7" w14:paraId="2A39799C" w14:textId="77777777" w:rsidTr="00812A1B">
        <w:tc>
          <w:tcPr>
            <w:tcW w:w="4675" w:type="dxa"/>
          </w:tcPr>
          <w:p w14:paraId="2F09503C" w14:textId="25804BC2" w:rsidR="00A459D7" w:rsidRPr="00A459D7" w:rsidRDefault="00A459D7" w:rsidP="00A459D7">
            <w:pPr>
              <w:rPr>
                <w:rFonts w:cs="Arial"/>
                <w:b/>
                <w:bCs/>
                <w:u w:val="single"/>
              </w:rPr>
            </w:pPr>
            <w:r w:rsidRPr="00A459D7">
              <w:rPr>
                <w:rFonts w:cs="Arial"/>
              </w:rPr>
              <w:t>Редки</w:t>
            </w:r>
          </w:p>
        </w:tc>
        <w:tc>
          <w:tcPr>
            <w:tcW w:w="4675" w:type="dxa"/>
          </w:tcPr>
          <w:p w14:paraId="1357CBFE" w14:textId="45E72579" w:rsidR="00A459D7" w:rsidRPr="00A459D7" w:rsidRDefault="00A459D7" w:rsidP="00A459D7">
            <w:pPr>
              <w:rPr>
                <w:rFonts w:cs="Arial"/>
                <w:b/>
                <w:bCs/>
                <w:u w:val="single"/>
              </w:rPr>
            </w:pPr>
            <w:r w:rsidRPr="00A459D7">
              <w:rPr>
                <w:rFonts w:cs="Arial"/>
              </w:rPr>
              <w:t>Миокарден инфаркт, предсърдна фибрилация</w:t>
            </w:r>
          </w:p>
        </w:tc>
      </w:tr>
      <w:tr w:rsidR="00A459D7" w14:paraId="495490B0" w14:textId="77777777" w:rsidTr="00812A1B">
        <w:tc>
          <w:tcPr>
            <w:tcW w:w="4675" w:type="dxa"/>
          </w:tcPr>
          <w:p w14:paraId="79FB2132" w14:textId="4F955E2F" w:rsidR="00A459D7" w:rsidRPr="00A459D7" w:rsidRDefault="00A459D7" w:rsidP="00A459D7">
            <w:pPr>
              <w:rPr>
                <w:rFonts w:cs="Arial"/>
                <w:b/>
                <w:bCs/>
                <w:u w:val="single"/>
              </w:rPr>
            </w:pPr>
            <w:r w:rsidRPr="00A459D7">
              <w:rPr>
                <w:rFonts w:cs="Arial"/>
              </w:rPr>
              <w:t>С неизвестна честота</w:t>
            </w:r>
          </w:p>
        </w:tc>
        <w:tc>
          <w:tcPr>
            <w:tcW w:w="4675" w:type="dxa"/>
          </w:tcPr>
          <w:p w14:paraId="32357EF7" w14:textId="304B1900" w:rsidR="00A459D7" w:rsidRPr="00A459D7" w:rsidRDefault="00A459D7" w:rsidP="00A459D7">
            <w:pPr>
              <w:rPr>
                <w:rFonts w:cs="Arial"/>
                <w:b/>
                <w:bCs/>
                <w:u w:val="single"/>
              </w:rPr>
            </w:pPr>
            <w:r w:rsidRPr="00A459D7">
              <w:rPr>
                <w:rFonts w:cs="Arial"/>
              </w:rPr>
              <w:t>Камерна аритмия, нестабилна стенокардия, внезапна</w:t>
            </w:r>
          </w:p>
        </w:tc>
      </w:tr>
      <w:tr w:rsidR="00A459D7" w14:paraId="4ED58A5B" w14:textId="77777777" w:rsidTr="003C1205">
        <w:tc>
          <w:tcPr>
            <w:tcW w:w="4675" w:type="dxa"/>
            <w:vAlign w:val="bottom"/>
          </w:tcPr>
          <w:p w14:paraId="4C0AEC5E" w14:textId="77777777" w:rsidR="00A459D7" w:rsidRPr="00A459D7" w:rsidRDefault="00A459D7" w:rsidP="00A459D7">
            <w:pPr>
              <w:rPr>
                <w:rFonts w:cs="Arial"/>
              </w:rPr>
            </w:pPr>
            <w:r w:rsidRPr="00A459D7">
              <w:rPr>
                <w:rFonts w:cs="Arial"/>
                <w:b/>
                <w:bCs/>
              </w:rPr>
              <w:t>Респираторни, гръдни и медиастинални нарушения</w:t>
            </w:r>
          </w:p>
          <w:p w14:paraId="4C3F8A4D" w14:textId="5A1AA40B" w:rsidR="00A459D7" w:rsidRPr="00A459D7" w:rsidRDefault="00A459D7" w:rsidP="00A459D7">
            <w:pPr>
              <w:rPr>
                <w:rFonts w:cs="Arial"/>
                <w:b/>
                <w:bCs/>
                <w:u w:val="single"/>
              </w:rPr>
            </w:pPr>
            <w:r w:rsidRPr="00A459D7">
              <w:rPr>
                <w:rFonts w:cs="Arial"/>
              </w:rPr>
              <w:t>Чести</w:t>
            </w:r>
          </w:p>
        </w:tc>
        <w:tc>
          <w:tcPr>
            <w:tcW w:w="4675" w:type="dxa"/>
            <w:vAlign w:val="bottom"/>
          </w:tcPr>
          <w:p w14:paraId="4B14284A" w14:textId="77777777" w:rsidR="00A459D7" w:rsidRPr="00A459D7" w:rsidRDefault="00A459D7" w:rsidP="00A459D7">
            <w:pPr>
              <w:rPr>
                <w:rFonts w:cs="Arial"/>
              </w:rPr>
            </w:pPr>
            <w:r w:rsidRPr="00A459D7">
              <w:rPr>
                <w:rFonts w:cs="Arial"/>
              </w:rPr>
              <w:t>сърдечна смърт</w:t>
            </w:r>
          </w:p>
          <w:p w14:paraId="3CA9880F" w14:textId="5F5A871B" w:rsidR="00A459D7" w:rsidRPr="00A459D7" w:rsidRDefault="00A459D7" w:rsidP="00A459D7">
            <w:pPr>
              <w:rPr>
                <w:rFonts w:cs="Arial"/>
                <w:b/>
                <w:bCs/>
                <w:u w:val="single"/>
              </w:rPr>
            </w:pPr>
            <w:r w:rsidRPr="00A459D7">
              <w:rPr>
                <w:rFonts w:cs="Arial"/>
              </w:rPr>
              <w:t>Назална конгестия</w:t>
            </w:r>
          </w:p>
        </w:tc>
      </w:tr>
      <w:tr w:rsidR="00A459D7" w14:paraId="446A7ABB" w14:textId="77777777" w:rsidTr="003C1205">
        <w:tc>
          <w:tcPr>
            <w:tcW w:w="4675" w:type="dxa"/>
            <w:vAlign w:val="bottom"/>
          </w:tcPr>
          <w:p w14:paraId="712995E7" w14:textId="2EFE0A0D" w:rsidR="00A459D7" w:rsidRPr="00A459D7" w:rsidRDefault="00A459D7" w:rsidP="00A459D7">
            <w:pPr>
              <w:rPr>
                <w:rFonts w:cs="Arial"/>
                <w:b/>
                <w:bCs/>
                <w:u w:val="single"/>
              </w:rPr>
            </w:pPr>
            <w:r w:rsidRPr="00A459D7">
              <w:rPr>
                <w:rFonts w:cs="Arial"/>
              </w:rPr>
              <w:t>Редки</w:t>
            </w:r>
          </w:p>
        </w:tc>
        <w:tc>
          <w:tcPr>
            <w:tcW w:w="4675" w:type="dxa"/>
            <w:vAlign w:val="bottom"/>
          </w:tcPr>
          <w:p w14:paraId="6368BEBE" w14:textId="62D45622" w:rsidR="00A459D7" w:rsidRPr="00A459D7" w:rsidRDefault="00A459D7" w:rsidP="00A459D7">
            <w:pPr>
              <w:rPr>
                <w:rFonts w:cs="Arial"/>
                <w:b/>
                <w:bCs/>
                <w:u w:val="single"/>
              </w:rPr>
            </w:pPr>
            <w:r w:rsidRPr="00A459D7">
              <w:rPr>
                <w:rFonts w:cs="Arial"/>
              </w:rPr>
              <w:t>Епистаксис</w:t>
            </w:r>
          </w:p>
        </w:tc>
      </w:tr>
      <w:tr w:rsidR="00A459D7" w14:paraId="2E923B91" w14:textId="77777777" w:rsidTr="003C1205">
        <w:tc>
          <w:tcPr>
            <w:tcW w:w="4675" w:type="dxa"/>
          </w:tcPr>
          <w:p w14:paraId="06F94626" w14:textId="77777777" w:rsidR="00A459D7" w:rsidRPr="00A459D7" w:rsidRDefault="00A459D7" w:rsidP="00A459D7">
            <w:pPr>
              <w:rPr>
                <w:rFonts w:cs="Arial"/>
              </w:rPr>
            </w:pPr>
            <w:r w:rsidRPr="00A459D7">
              <w:rPr>
                <w:rFonts w:cs="Arial"/>
                <w:b/>
                <w:bCs/>
              </w:rPr>
              <w:t>Стомашно-чревни нарушения</w:t>
            </w:r>
          </w:p>
          <w:p w14:paraId="43F32D80" w14:textId="2404D395" w:rsidR="00A459D7" w:rsidRPr="00A459D7" w:rsidRDefault="00A459D7" w:rsidP="00A459D7">
            <w:pPr>
              <w:rPr>
                <w:rFonts w:cs="Arial"/>
                <w:b/>
                <w:bCs/>
                <w:u w:val="single"/>
              </w:rPr>
            </w:pPr>
            <w:r w:rsidRPr="00A459D7">
              <w:rPr>
                <w:rFonts w:cs="Arial"/>
              </w:rPr>
              <w:t>Чести</w:t>
            </w:r>
          </w:p>
        </w:tc>
        <w:tc>
          <w:tcPr>
            <w:tcW w:w="4675" w:type="dxa"/>
            <w:vAlign w:val="bottom"/>
          </w:tcPr>
          <w:p w14:paraId="632571F9" w14:textId="6835C24F" w:rsidR="00A459D7" w:rsidRPr="00A459D7" w:rsidRDefault="00A459D7" w:rsidP="00A459D7">
            <w:pPr>
              <w:rPr>
                <w:rFonts w:cs="Arial"/>
                <w:b/>
                <w:bCs/>
                <w:u w:val="single"/>
              </w:rPr>
            </w:pPr>
            <w:r w:rsidRPr="00A459D7">
              <w:rPr>
                <w:rFonts w:cs="Arial"/>
              </w:rPr>
              <w:t>Диспепсия</w:t>
            </w:r>
          </w:p>
        </w:tc>
      </w:tr>
      <w:tr w:rsidR="00A459D7" w14:paraId="59DD8BA4" w14:textId="77777777" w:rsidTr="00812A1B">
        <w:tc>
          <w:tcPr>
            <w:tcW w:w="4675" w:type="dxa"/>
          </w:tcPr>
          <w:p w14:paraId="3B0408E9" w14:textId="716C3FF7" w:rsidR="00A459D7" w:rsidRPr="00A459D7" w:rsidRDefault="00A459D7" w:rsidP="00A459D7">
            <w:pPr>
              <w:rPr>
                <w:rFonts w:cs="Arial"/>
                <w:b/>
                <w:bCs/>
                <w:u w:val="single"/>
              </w:rPr>
            </w:pPr>
            <w:r w:rsidRPr="00A459D7">
              <w:rPr>
                <w:rFonts w:cs="Arial"/>
              </w:rPr>
              <w:t>Нечести</w:t>
            </w:r>
          </w:p>
        </w:tc>
        <w:tc>
          <w:tcPr>
            <w:tcW w:w="4675" w:type="dxa"/>
          </w:tcPr>
          <w:p w14:paraId="24D6A751" w14:textId="60DEDCD1" w:rsidR="00A459D7" w:rsidRPr="00A459D7" w:rsidRDefault="00A459D7" w:rsidP="00A459D7">
            <w:pPr>
              <w:rPr>
                <w:rFonts w:cs="Arial"/>
                <w:b/>
                <w:bCs/>
                <w:u w:val="single"/>
              </w:rPr>
            </w:pPr>
            <w:r w:rsidRPr="00A459D7">
              <w:rPr>
                <w:rFonts w:cs="Arial"/>
              </w:rPr>
              <w:t>Повръщане, гадене, сухота в устата</w:t>
            </w:r>
          </w:p>
        </w:tc>
      </w:tr>
      <w:tr w:rsidR="00A459D7" w14:paraId="3722F779" w14:textId="77777777" w:rsidTr="003C1205">
        <w:tc>
          <w:tcPr>
            <w:tcW w:w="4675" w:type="dxa"/>
          </w:tcPr>
          <w:p w14:paraId="60CA21F4" w14:textId="77777777" w:rsidR="00A459D7" w:rsidRPr="00A459D7" w:rsidRDefault="00A459D7" w:rsidP="00A459D7">
            <w:pPr>
              <w:rPr>
                <w:rFonts w:cs="Arial"/>
              </w:rPr>
            </w:pPr>
            <w:r w:rsidRPr="00A459D7">
              <w:rPr>
                <w:rFonts w:cs="Arial"/>
                <w:b/>
                <w:bCs/>
              </w:rPr>
              <w:t>Нарушения на кожата</w:t>
            </w:r>
          </w:p>
          <w:p w14:paraId="2342FBC8" w14:textId="45857A49" w:rsidR="00A459D7" w:rsidRPr="00A459D7" w:rsidRDefault="00A459D7" w:rsidP="00A459D7">
            <w:pPr>
              <w:rPr>
                <w:rFonts w:cs="Arial"/>
                <w:b/>
                <w:bCs/>
                <w:u w:val="single"/>
              </w:rPr>
            </w:pPr>
            <w:r w:rsidRPr="00A459D7">
              <w:rPr>
                <w:rFonts w:cs="Arial"/>
              </w:rPr>
              <w:t>Нечести</w:t>
            </w:r>
          </w:p>
        </w:tc>
        <w:tc>
          <w:tcPr>
            <w:tcW w:w="4675" w:type="dxa"/>
            <w:vAlign w:val="bottom"/>
          </w:tcPr>
          <w:p w14:paraId="5BC1DC08" w14:textId="2CB12AE5" w:rsidR="00A459D7" w:rsidRPr="00A459D7" w:rsidRDefault="00A459D7" w:rsidP="00A459D7">
            <w:pPr>
              <w:rPr>
                <w:rFonts w:cs="Arial"/>
                <w:b/>
                <w:bCs/>
                <w:u w:val="single"/>
              </w:rPr>
            </w:pPr>
            <w:r w:rsidRPr="00A459D7">
              <w:rPr>
                <w:rFonts w:cs="Arial"/>
              </w:rPr>
              <w:t>Кожен обрив</w:t>
            </w:r>
          </w:p>
        </w:tc>
      </w:tr>
      <w:tr w:rsidR="00A459D7" w14:paraId="7D8CFBE1" w14:textId="77777777" w:rsidTr="00812A1B">
        <w:tc>
          <w:tcPr>
            <w:tcW w:w="4675" w:type="dxa"/>
          </w:tcPr>
          <w:p w14:paraId="537CAB42" w14:textId="4CF52CAC" w:rsidR="00A459D7" w:rsidRPr="00A459D7" w:rsidRDefault="00A459D7" w:rsidP="00A459D7">
            <w:pPr>
              <w:rPr>
                <w:rFonts w:cs="Arial"/>
                <w:b/>
                <w:bCs/>
                <w:u w:val="single"/>
              </w:rPr>
            </w:pPr>
            <w:r w:rsidRPr="00A459D7">
              <w:rPr>
                <w:rFonts w:cs="Arial"/>
              </w:rPr>
              <w:t>С неизвестна честота</w:t>
            </w:r>
          </w:p>
        </w:tc>
        <w:tc>
          <w:tcPr>
            <w:tcW w:w="4675" w:type="dxa"/>
          </w:tcPr>
          <w:p w14:paraId="70C2D5B2" w14:textId="74BFA5B0" w:rsidR="00A459D7" w:rsidRPr="00A459D7" w:rsidRDefault="00A459D7" w:rsidP="00A459D7">
            <w:pPr>
              <w:rPr>
                <w:rFonts w:cs="Arial"/>
                <w:b/>
                <w:bCs/>
                <w:u w:val="single"/>
              </w:rPr>
            </w:pPr>
            <w:r w:rsidRPr="00A459D7">
              <w:rPr>
                <w:rFonts w:cs="Arial"/>
              </w:rPr>
              <w:t xml:space="preserve">Синдром на </w:t>
            </w:r>
            <w:r w:rsidRPr="00A459D7">
              <w:rPr>
                <w:rFonts w:cs="Arial"/>
                <w:lang w:val="en-US"/>
              </w:rPr>
              <w:t xml:space="preserve">Steven-Johnson, </w:t>
            </w:r>
            <w:r w:rsidRPr="00A459D7">
              <w:rPr>
                <w:rFonts w:cs="Arial"/>
              </w:rPr>
              <w:t>токсична епидермална</w:t>
            </w:r>
          </w:p>
        </w:tc>
      </w:tr>
      <w:tr w:rsidR="00A459D7" w14:paraId="297C0A09" w14:textId="77777777" w:rsidTr="00555363">
        <w:tc>
          <w:tcPr>
            <w:tcW w:w="4675" w:type="dxa"/>
            <w:vAlign w:val="bottom"/>
          </w:tcPr>
          <w:p w14:paraId="16F643DE" w14:textId="77777777" w:rsidR="00A459D7" w:rsidRPr="00A459D7" w:rsidRDefault="00A459D7" w:rsidP="00A459D7">
            <w:pPr>
              <w:rPr>
                <w:rFonts w:cs="Arial"/>
                <w:b/>
                <w:bCs/>
              </w:rPr>
            </w:pPr>
            <w:r w:rsidRPr="00A459D7">
              <w:rPr>
                <w:rFonts w:cs="Arial"/>
                <w:b/>
                <w:bCs/>
              </w:rPr>
              <w:t xml:space="preserve">Нарушения на мускулно- скелетната система и съединителната тъкан </w:t>
            </w:r>
          </w:p>
          <w:p w14:paraId="24A7EE6F" w14:textId="5E5250E5" w:rsidR="00A459D7" w:rsidRPr="00A459D7" w:rsidRDefault="00A459D7" w:rsidP="00A459D7">
            <w:pPr>
              <w:rPr>
                <w:rFonts w:cs="Arial"/>
                <w:b/>
                <w:bCs/>
                <w:u w:val="single"/>
              </w:rPr>
            </w:pPr>
            <w:r w:rsidRPr="00A459D7">
              <w:rPr>
                <w:rFonts w:cs="Arial"/>
              </w:rPr>
              <w:t>Нечести</w:t>
            </w:r>
          </w:p>
        </w:tc>
        <w:tc>
          <w:tcPr>
            <w:tcW w:w="4675" w:type="dxa"/>
            <w:vAlign w:val="bottom"/>
          </w:tcPr>
          <w:p w14:paraId="0FFE4574" w14:textId="77777777" w:rsidR="00A459D7" w:rsidRPr="00A459D7" w:rsidRDefault="00A459D7" w:rsidP="00A459D7">
            <w:pPr>
              <w:rPr>
                <w:rFonts w:cs="Arial"/>
              </w:rPr>
            </w:pPr>
            <w:r w:rsidRPr="00A459D7">
              <w:rPr>
                <w:rFonts w:cs="Arial"/>
              </w:rPr>
              <w:t>некролиза</w:t>
            </w:r>
          </w:p>
          <w:p w14:paraId="5972F05D" w14:textId="28BB2A84" w:rsidR="00A459D7" w:rsidRPr="00A459D7" w:rsidRDefault="00A459D7" w:rsidP="00A459D7">
            <w:pPr>
              <w:rPr>
                <w:rFonts w:cs="Arial"/>
                <w:b/>
                <w:bCs/>
                <w:u w:val="single"/>
              </w:rPr>
            </w:pPr>
            <w:r w:rsidRPr="00A459D7">
              <w:rPr>
                <w:rFonts w:cs="Arial"/>
              </w:rPr>
              <w:t>Миалгия</w:t>
            </w:r>
          </w:p>
        </w:tc>
      </w:tr>
      <w:tr w:rsidR="00A459D7" w14:paraId="11C6B822" w14:textId="77777777" w:rsidTr="00555363">
        <w:tc>
          <w:tcPr>
            <w:tcW w:w="4675" w:type="dxa"/>
          </w:tcPr>
          <w:p w14:paraId="2F5AC659" w14:textId="77777777" w:rsidR="00A459D7" w:rsidRPr="00A459D7" w:rsidRDefault="00A459D7" w:rsidP="00A459D7">
            <w:pPr>
              <w:rPr>
                <w:rFonts w:cs="Arial"/>
              </w:rPr>
            </w:pPr>
            <w:r w:rsidRPr="00A459D7">
              <w:rPr>
                <w:rFonts w:cs="Arial"/>
                <w:b/>
                <w:bCs/>
              </w:rPr>
              <w:t>Нарушения на възпроизводителната система и гърдата</w:t>
            </w:r>
          </w:p>
          <w:p w14:paraId="1699C47A" w14:textId="4878073E" w:rsidR="00A459D7" w:rsidRPr="00A459D7" w:rsidRDefault="00A459D7" w:rsidP="00A459D7">
            <w:pPr>
              <w:rPr>
                <w:rFonts w:cs="Arial"/>
                <w:b/>
                <w:bCs/>
                <w:u w:val="single"/>
              </w:rPr>
            </w:pPr>
            <w:r w:rsidRPr="00A459D7">
              <w:rPr>
                <w:rFonts w:cs="Arial"/>
              </w:rPr>
              <w:t>С неизвестна честота</w:t>
            </w:r>
          </w:p>
        </w:tc>
        <w:tc>
          <w:tcPr>
            <w:tcW w:w="4675" w:type="dxa"/>
            <w:vAlign w:val="bottom"/>
          </w:tcPr>
          <w:p w14:paraId="2413418E" w14:textId="3FBAB73B" w:rsidR="00A459D7" w:rsidRPr="00A459D7" w:rsidRDefault="00A459D7" w:rsidP="00A459D7">
            <w:pPr>
              <w:rPr>
                <w:rFonts w:cs="Arial"/>
                <w:b/>
                <w:bCs/>
                <w:u w:val="single"/>
              </w:rPr>
            </w:pPr>
            <w:r w:rsidRPr="00A459D7">
              <w:rPr>
                <w:rFonts w:cs="Arial"/>
              </w:rPr>
              <w:t>Приапизъм, удължена ерекция</w:t>
            </w:r>
          </w:p>
        </w:tc>
      </w:tr>
      <w:tr w:rsidR="00A459D7" w14:paraId="6EA0CAB2" w14:textId="77777777" w:rsidTr="00E3481B">
        <w:trPr>
          <w:trHeight w:val="501"/>
        </w:trPr>
        <w:tc>
          <w:tcPr>
            <w:tcW w:w="9350" w:type="dxa"/>
            <w:gridSpan w:val="2"/>
            <w:vAlign w:val="bottom"/>
          </w:tcPr>
          <w:p w14:paraId="026F78AA" w14:textId="77777777" w:rsidR="00A459D7" w:rsidRPr="00A459D7" w:rsidRDefault="00A459D7" w:rsidP="00A459D7">
            <w:pPr>
              <w:rPr>
                <w:rFonts w:cs="Arial"/>
                <w:b/>
                <w:bCs/>
                <w:u w:val="single"/>
              </w:rPr>
            </w:pPr>
            <w:r w:rsidRPr="00A459D7">
              <w:rPr>
                <w:rFonts w:cs="Arial"/>
                <w:b/>
                <w:bCs/>
              </w:rPr>
              <w:t>Общи нарушения и ефекти на</w:t>
            </w:r>
          </w:p>
          <w:p w14:paraId="0AAECAA5" w14:textId="0974BBB9" w:rsidR="00A459D7" w:rsidRPr="00A459D7" w:rsidRDefault="00A459D7" w:rsidP="00A459D7">
            <w:pPr>
              <w:rPr>
                <w:rFonts w:cs="Arial"/>
                <w:b/>
                <w:bCs/>
                <w:u w:val="single"/>
              </w:rPr>
            </w:pPr>
            <w:r w:rsidRPr="00A459D7">
              <w:rPr>
                <w:rFonts w:cs="Arial"/>
                <w:b/>
                <w:bCs/>
              </w:rPr>
              <w:t>мястото на приложение</w:t>
            </w:r>
          </w:p>
        </w:tc>
      </w:tr>
      <w:tr w:rsidR="00A459D7" w14:paraId="652AC755" w14:textId="77777777" w:rsidTr="00812A1B">
        <w:tc>
          <w:tcPr>
            <w:tcW w:w="4675" w:type="dxa"/>
          </w:tcPr>
          <w:p w14:paraId="1CA31BB3" w14:textId="2DC735DC" w:rsidR="00A459D7" w:rsidRPr="00A459D7" w:rsidRDefault="00A459D7" w:rsidP="00A459D7">
            <w:pPr>
              <w:rPr>
                <w:rFonts w:cs="Arial"/>
                <w:b/>
                <w:bCs/>
                <w:u w:val="single"/>
              </w:rPr>
            </w:pPr>
            <w:r w:rsidRPr="00A459D7">
              <w:rPr>
                <w:rFonts w:cs="Arial"/>
              </w:rPr>
              <w:t>Нечести</w:t>
            </w:r>
          </w:p>
        </w:tc>
        <w:tc>
          <w:tcPr>
            <w:tcW w:w="4675" w:type="dxa"/>
          </w:tcPr>
          <w:p w14:paraId="386A6829" w14:textId="4E69FA1C" w:rsidR="00A459D7" w:rsidRPr="00A459D7" w:rsidRDefault="00A459D7" w:rsidP="00A459D7">
            <w:pPr>
              <w:rPr>
                <w:rFonts w:cs="Arial"/>
                <w:b/>
                <w:bCs/>
                <w:u w:val="single"/>
              </w:rPr>
            </w:pPr>
            <w:r w:rsidRPr="00A459D7">
              <w:rPr>
                <w:rFonts w:cs="Arial"/>
              </w:rPr>
              <w:t>Гръдна болка, умора</w:t>
            </w:r>
          </w:p>
        </w:tc>
      </w:tr>
      <w:tr w:rsidR="00A459D7" w14:paraId="729C7EE4" w14:textId="77777777" w:rsidTr="001B522C">
        <w:tc>
          <w:tcPr>
            <w:tcW w:w="9350" w:type="dxa"/>
            <w:gridSpan w:val="2"/>
            <w:vAlign w:val="bottom"/>
          </w:tcPr>
          <w:p w14:paraId="3D9AB19C" w14:textId="2F6D756E" w:rsidR="00A459D7" w:rsidRPr="00A459D7" w:rsidRDefault="00A459D7" w:rsidP="00A459D7">
            <w:pPr>
              <w:rPr>
                <w:rFonts w:cs="Arial"/>
                <w:b/>
                <w:bCs/>
                <w:u w:val="single"/>
              </w:rPr>
            </w:pPr>
            <w:r w:rsidRPr="00A459D7">
              <w:rPr>
                <w:rFonts w:cs="Arial"/>
                <w:b/>
                <w:bCs/>
              </w:rPr>
              <w:t>Изследвания</w:t>
            </w:r>
          </w:p>
        </w:tc>
      </w:tr>
      <w:tr w:rsidR="00A459D7" w14:paraId="36CE11C9" w14:textId="77777777" w:rsidTr="00812A1B">
        <w:tc>
          <w:tcPr>
            <w:tcW w:w="4675" w:type="dxa"/>
          </w:tcPr>
          <w:p w14:paraId="78BCED22" w14:textId="4CF628F3" w:rsidR="00A459D7" w:rsidRPr="00A459D7" w:rsidRDefault="00A459D7" w:rsidP="00A459D7">
            <w:pPr>
              <w:rPr>
                <w:rFonts w:cs="Arial"/>
                <w:b/>
                <w:bCs/>
                <w:u w:val="single"/>
              </w:rPr>
            </w:pPr>
            <w:r w:rsidRPr="00A459D7">
              <w:rPr>
                <w:rFonts w:cs="Arial"/>
              </w:rPr>
              <w:t>Нечести</w:t>
            </w:r>
          </w:p>
        </w:tc>
        <w:tc>
          <w:tcPr>
            <w:tcW w:w="4675" w:type="dxa"/>
          </w:tcPr>
          <w:p w14:paraId="02E21862" w14:textId="1A8DDEB4" w:rsidR="00A459D7" w:rsidRPr="00A459D7" w:rsidRDefault="00A459D7" w:rsidP="00A459D7">
            <w:pPr>
              <w:rPr>
                <w:rFonts w:cs="Arial"/>
                <w:b/>
                <w:bCs/>
                <w:u w:val="single"/>
              </w:rPr>
            </w:pPr>
            <w:r w:rsidRPr="00A459D7">
              <w:rPr>
                <w:rFonts w:cs="Arial"/>
              </w:rPr>
              <w:t>Увеличена сърдечна честота</w:t>
            </w:r>
          </w:p>
        </w:tc>
      </w:tr>
    </w:tbl>
    <w:p w14:paraId="35766024" w14:textId="01AA55EF" w:rsidR="00812A1B" w:rsidRPr="00A459D7" w:rsidRDefault="00812A1B" w:rsidP="0091385D">
      <w:pPr>
        <w:rPr>
          <w:rFonts w:cs="Arial"/>
          <w:b/>
          <w:bCs/>
          <w:szCs w:val="20"/>
          <w:u w:val="single"/>
        </w:rPr>
      </w:pPr>
      <w:r w:rsidRPr="00A459D7">
        <w:rPr>
          <w:rFonts w:cs="Arial"/>
          <w:szCs w:val="20"/>
        </w:rPr>
        <w:t>* Нарушения на ухото: внезапна глухота, внезапно намаление или загуба на слух е съобщена в малък брой случаи при постмаркетингови и клинични проучвания при употребата на всички инхибитори на фосфодиестераза тип 5, включително силденафил.</w:t>
      </w:r>
    </w:p>
    <w:p w14:paraId="547CD739" w14:textId="77777777" w:rsidR="00812A1B" w:rsidRPr="0091385D" w:rsidRDefault="00812A1B" w:rsidP="0091385D"/>
    <w:p w14:paraId="0A023CE0" w14:textId="13F87CFD" w:rsidR="00CF77F7" w:rsidRDefault="002C50EE" w:rsidP="004A448E">
      <w:pPr>
        <w:pStyle w:val="Heading2"/>
      </w:pPr>
      <w:r>
        <w:t>4.9. Предозиране</w:t>
      </w:r>
    </w:p>
    <w:p w14:paraId="3EDFC3FC" w14:textId="771B3817" w:rsidR="0091385D" w:rsidRDefault="0091385D" w:rsidP="0091385D"/>
    <w:p w14:paraId="2DD9B150" w14:textId="77777777"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В проучвания върху доброволци с еднократни дози до 800 </w:t>
      </w:r>
      <w:r w:rsidRPr="00812A1B">
        <w:rPr>
          <w:rFonts w:eastAsia="Times New Roman" w:cs="Arial"/>
          <w:color w:val="000000"/>
          <w:szCs w:val="20"/>
          <w:lang w:val="en-US"/>
        </w:rPr>
        <w:t xml:space="preserve">mg </w:t>
      </w:r>
      <w:r w:rsidRPr="00812A1B">
        <w:rPr>
          <w:rFonts w:eastAsia="Times New Roman" w:cs="Arial"/>
          <w:color w:val="000000"/>
          <w:szCs w:val="20"/>
          <w:lang w:eastAsia="bg-BG"/>
        </w:rPr>
        <w:t xml:space="preserve">нежеланите реакции са били подобни на тези, които се наблюдават при по-ниски дози, но тяхната честота и тежест са били по- големи. Дози от 200 </w:t>
      </w:r>
      <w:r w:rsidRPr="00812A1B">
        <w:rPr>
          <w:rFonts w:eastAsia="Times New Roman" w:cs="Arial"/>
          <w:color w:val="000000"/>
          <w:szCs w:val="20"/>
          <w:lang w:val="en-US"/>
        </w:rPr>
        <w:t xml:space="preserve">mg </w:t>
      </w:r>
      <w:r w:rsidRPr="00812A1B">
        <w:rPr>
          <w:rFonts w:eastAsia="Times New Roman" w:cs="Arial"/>
          <w:color w:val="000000"/>
          <w:szCs w:val="20"/>
          <w:lang w:eastAsia="bg-BG"/>
        </w:rPr>
        <w:t xml:space="preserve">не са довели до повишение на ефективността, </w:t>
      </w:r>
      <w:r w:rsidRPr="00812A1B">
        <w:rPr>
          <w:rFonts w:eastAsia="Times New Roman" w:cs="Arial"/>
          <w:color w:val="000000"/>
          <w:szCs w:val="20"/>
          <w:lang w:eastAsia="bg-BG"/>
        </w:rPr>
        <w:lastRenderedPageBreak/>
        <w:t>но честотата на нежеланите реакции (главоболие, зачервяване, виене на свят, диспепсия, назална конгестия, нарушено зрение) е нараствала.</w:t>
      </w:r>
    </w:p>
    <w:p w14:paraId="585D5F8D" w14:textId="77777777" w:rsidR="00812A1B" w:rsidRPr="00A459D7" w:rsidRDefault="00812A1B" w:rsidP="00812A1B">
      <w:pPr>
        <w:rPr>
          <w:rFonts w:eastAsia="Times New Roman" w:cs="Arial"/>
          <w:color w:val="000000"/>
          <w:szCs w:val="20"/>
          <w:lang w:eastAsia="bg-BG"/>
        </w:rPr>
      </w:pPr>
    </w:p>
    <w:p w14:paraId="6A43B8F3" w14:textId="67FFB8B1" w:rsidR="007A2185" w:rsidRPr="00A459D7" w:rsidRDefault="00812A1B" w:rsidP="00812A1B">
      <w:pPr>
        <w:rPr>
          <w:rFonts w:cs="Arial"/>
          <w:sz w:val="24"/>
        </w:rPr>
      </w:pPr>
      <w:r w:rsidRPr="00A459D7">
        <w:rPr>
          <w:rFonts w:eastAsia="Times New Roman" w:cs="Arial"/>
          <w:color w:val="000000"/>
          <w:szCs w:val="20"/>
          <w:lang w:eastAsia="bg-BG"/>
        </w:rPr>
        <w:t>В случай на предозиране стандартните медицински мероприятия трябва да бъдат съобразени с конкретните нужди. Хемодиализата не ускорява клирънса на силденафил, тъй като той се свързва във висок процент с плазмените протеини и не се елиминира с урината.</w:t>
      </w:r>
    </w:p>
    <w:p w14:paraId="48FF1584" w14:textId="77777777" w:rsidR="0091385D" w:rsidRPr="0091385D" w:rsidRDefault="0091385D" w:rsidP="0091385D"/>
    <w:p w14:paraId="02081B24" w14:textId="7CE94171" w:rsidR="00395555" w:rsidRDefault="002C50EE" w:rsidP="008A6AF2">
      <w:pPr>
        <w:pStyle w:val="Heading1"/>
      </w:pPr>
      <w:r>
        <w:t>5. ФАРМАКОЛОГИЧНИ СВОЙСТВА</w:t>
      </w:r>
    </w:p>
    <w:p w14:paraId="1B8079C0" w14:textId="77777777" w:rsidR="0091385D" w:rsidRPr="0091385D" w:rsidRDefault="0091385D" w:rsidP="0091385D"/>
    <w:p w14:paraId="32B6DE66" w14:textId="2ACB6B3B" w:rsidR="00CF77F7" w:rsidRDefault="002C50EE" w:rsidP="004A448E">
      <w:pPr>
        <w:pStyle w:val="Heading2"/>
      </w:pPr>
      <w:r>
        <w:t>5.1. Фармакодинамични свойства</w:t>
      </w:r>
    </w:p>
    <w:p w14:paraId="58DD7DEA" w14:textId="73F11A6B" w:rsidR="0091385D" w:rsidRDefault="0091385D" w:rsidP="0091385D"/>
    <w:p w14:paraId="7DC4285A" w14:textId="77777777"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Фармакотерапевтична група: Лекарства, които се използват при еректилна дисфункция. АТС код: </w:t>
      </w:r>
      <w:r w:rsidRPr="00812A1B">
        <w:rPr>
          <w:rFonts w:eastAsia="Times New Roman" w:cs="Arial"/>
          <w:color w:val="000000"/>
          <w:szCs w:val="20"/>
          <w:lang w:val="en-US"/>
        </w:rPr>
        <w:t xml:space="preserve">G04B </w:t>
      </w:r>
      <w:r w:rsidRPr="00812A1B">
        <w:rPr>
          <w:rFonts w:eastAsia="Times New Roman" w:cs="Arial"/>
          <w:color w:val="000000"/>
          <w:szCs w:val="20"/>
          <w:lang w:eastAsia="bg-BG"/>
        </w:rPr>
        <w:t>ЕОЗ.</w:t>
      </w:r>
    </w:p>
    <w:p w14:paraId="7A3C78BA" w14:textId="77777777" w:rsidR="00812A1B" w:rsidRPr="00A459D7" w:rsidRDefault="00812A1B" w:rsidP="00812A1B">
      <w:pPr>
        <w:spacing w:line="240" w:lineRule="auto"/>
        <w:rPr>
          <w:rFonts w:eastAsia="Times New Roman" w:cs="Arial"/>
          <w:color w:val="000000"/>
          <w:szCs w:val="20"/>
          <w:lang w:eastAsia="bg-BG"/>
        </w:rPr>
      </w:pPr>
    </w:p>
    <w:p w14:paraId="694CFBAE" w14:textId="38D90FB6"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Силденафил е лекарствен продукт за перорален прием при лечение на еректилната дисфункция. В естествени условия, т.е. при сексуална стимулация, той възстановява нарушената еректилна функция чрез увеличаване на кръвотока към пениса.</w:t>
      </w:r>
    </w:p>
    <w:p w14:paraId="31690A82" w14:textId="77777777" w:rsidR="00812A1B" w:rsidRPr="00A459D7" w:rsidRDefault="00812A1B" w:rsidP="00812A1B">
      <w:pPr>
        <w:spacing w:line="240" w:lineRule="auto"/>
        <w:rPr>
          <w:rFonts w:eastAsia="Times New Roman" w:cs="Arial"/>
          <w:color w:val="000000"/>
          <w:szCs w:val="20"/>
          <w:lang w:eastAsia="bg-BG"/>
        </w:rPr>
      </w:pPr>
    </w:p>
    <w:p w14:paraId="49602D22" w14:textId="7CF07FF0"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Физиологичният механизъм, отговорен за ерекцията на пениса, включва освобождаване на азотен оксид </w:t>
      </w:r>
      <w:r w:rsidRPr="00812A1B">
        <w:rPr>
          <w:rFonts w:eastAsia="Times New Roman" w:cs="Arial"/>
          <w:color w:val="000000"/>
          <w:szCs w:val="20"/>
          <w:lang w:val="en-US"/>
        </w:rPr>
        <w:t xml:space="preserve">(NO) </w:t>
      </w:r>
      <w:r w:rsidRPr="00812A1B">
        <w:rPr>
          <w:rFonts w:eastAsia="Times New Roman" w:cs="Arial"/>
          <w:color w:val="000000"/>
          <w:szCs w:val="20"/>
          <w:lang w:eastAsia="bg-BG"/>
        </w:rPr>
        <w:t>в кавернозното тяло по време на сексуална стимулация. След това азотният оксид активира ензима гуанилат циклаза, което води до повишаване на нивата на цикличен гуанозин монофосфат (цГМФ), а това води до отпускане на гладката мускулатура в кавернозното тяло и приток на кръв към него.</w:t>
      </w:r>
    </w:p>
    <w:p w14:paraId="0C254871" w14:textId="77777777" w:rsidR="00812A1B" w:rsidRPr="00A459D7" w:rsidRDefault="00812A1B" w:rsidP="00812A1B">
      <w:pPr>
        <w:spacing w:line="240" w:lineRule="auto"/>
        <w:rPr>
          <w:rFonts w:eastAsia="Times New Roman" w:cs="Arial"/>
          <w:color w:val="000000"/>
          <w:szCs w:val="20"/>
          <w:lang w:eastAsia="bg-BG"/>
        </w:rPr>
      </w:pPr>
    </w:p>
    <w:p w14:paraId="09B052E9" w14:textId="25C4DB7E"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Силденафил е мощен и селективен инхибитор на цГМФ-специфичната фосфодиестераза тип 5 (ФДЕ5) в корпус кавернозум, където ФДЕ5 е отговорна за разграждането на цГМФ. Силденафил има периферно действие върху ерекцията. Силденафил няма пряк релаксиращ ефект върху изолиран човешки корпус кавернозум, но мощно усилва релаксиращия ефект на азотния оксид върху тази тъкан. При активиране на метаболитната верига азотен оксид/цГМФ, както става при сексуална стимулация, инхибирането на ФДЕ5 от силденафил води до повишени нива на цГМФ в кавернозното тяло. Следователно, за да може силденафил да осъществи своите желани благоприятни фармакологични ефекти, е необходима сексуална стимулация.</w:t>
      </w:r>
    </w:p>
    <w:p w14:paraId="255B0C51" w14:textId="77777777" w:rsidR="00812A1B" w:rsidRPr="00A459D7" w:rsidRDefault="00812A1B" w:rsidP="00812A1B">
      <w:pPr>
        <w:spacing w:line="240" w:lineRule="auto"/>
        <w:rPr>
          <w:rFonts w:eastAsia="Times New Roman" w:cs="Arial"/>
          <w:color w:val="000000"/>
          <w:szCs w:val="20"/>
          <w:lang w:eastAsia="bg-BG"/>
        </w:rPr>
      </w:pPr>
    </w:p>
    <w:p w14:paraId="4C697B27" w14:textId="0D58DE76"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Проучванията </w:t>
      </w:r>
      <w:r w:rsidRPr="00812A1B">
        <w:rPr>
          <w:rFonts w:eastAsia="Times New Roman" w:cs="Arial"/>
          <w:i/>
          <w:iCs/>
          <w:color w:val="000000"/>
          <w:szCs w:val="20"/>
          <w:lang w:val="en-US"/>
        </w:rPr>
        <w:t>in vitro</w:t>
      </w:r>
      <w:r w:rsidRPr="00812A1B">
        <w:rPr>
          <w:rFonts w:eastAsia="Times New Roman" w:cs="Arial"/>
          <w:color w:val="000000"/>
          <w:szCs w:val="20"/>
          <w:lang w:val="en-US"/>
        </w:rPr>
        <w:t xml:space="preserve"> </w:t>
      </w:r>
      <w:r w:rsidRPr="00812A1B">
        <w:rPr>
          <w:rFonts w:eastAsia="Times New Roman" w:cs="Arial"/>
          <w:color w:val="000000"/>
          <w:szCs w:val="20"/>
          <w:lang w:eastAsia="bg-BG"/>
        </w:rPr>
        <w:t>са показали, че силденафил е селективен по отношение на ФДЕ5, която участва в процеса на ерекция. Неговият ефект върху ФДЕ5 е по-мощен, отколкото върху другите известни фосфодиестерази. Той е 10-кратно по-селективен за ФДЕ5, отколкото за ФДЕ6, която участва в процеса на фототрансдукция в ретината. В максимални препоръчителни дози селективността му е 80-кратно по-висока за ФДЕ5, отколкото за ФДЕ1 и над 700-кратно по- висока, отколкото за ФДЕ2, 3, 4, 7, 8, 9, 10 и 11. По конкретно, силденафил има 4000 пъти по- голяма селективност за ФДЕ5, отколкото за ФДЕЗ - изоформата на цАМФ-специфичната фосфодиестераза, участваща в контрола на сърдечния контрактилитет.</w:t>
      </w:r>
    </w:p>
    <w:p w14:paraId="25B2FE2D" w14:textId="77777777" w:rsidR="00812A1B" w:rsidRPr="00A459D7" w:rsidRDefault="00812A1B" w:rsidP="00812A1B">
      <w:pPr>
        <w:spacing w:line="240" w:lineRule="auto"/>
        <w:rPr>
          <w:rFonts w:eastAsia="Times New Roman" w:cs="Arial"/>
          <w:color w:val="000000"/>
          <w:szCs w:val="20"/>
          <w:lang w:eastAsia="bg-BG"/>
        </w:rPr>
      </w:pPr>
    </w:p>
    <w:p w14:paraId="20B2EA6D" w14:textId="77777777" w:rsidR="00812A1B" w:rsidRPr="00A459D7" w:rsidRDefault="00812A1B" w:rsidP="00812A1B">
      <w:pPr>
        <w:rPr>
          <w:rFonts w:eastAsia="Times New Roman" w:cs="Arial"/>
          <w:sz w:val="28"/>
          <w:szCs w:val="24"/>
          <w:lang w:eastAsia="bg-BG"/>
        </w:rPr>
      </w:pPr>
      <w:r w:rsidRPr="00812A1B">
        <w:rPr>
          <w:rFonts w:eastAsia="Times New Roman" w:cs="Arial"/>
          <w:color w:val="000000"/>
          <w:szCs w:val="20"/>
          <w:lang w:eastAsia="bg-BG"/>
        </w:rPr>
        <w:t xml:space="preserve">Проведени са две клинични проучвания със специфичен дизайн за да се оцени времето, което е необходимо, за да се получи ерекция в отговор на сексуална стимулация след прием на лекарството. В проучване с използване на плетизмография на пениса </w:t>
      </w:r>
      <w:r w:rsidRPr="00812A1B">
        <w:rPr>
          <w:rFonts w:eastAsia="Times New Roman" w:cs="Arial"/>
          <w:color w:val="000000"/>
          <w:szCs w:val="20"/>
          <w:lang w:val="en-US"/>
        </w:rPr>
        <w:t>(</w:t>
      </w:r>
      <w:proofErr w:type="spellStart"/>
      <w:r w:rsidRPr="00812A1B">
        <w:rPr>
          <w:rFonts w:eastAsia="Times New Roman" w:cs="Arial"/>
          <w:color w:val="000000"/>
          <w:szCs w:val="20"/>
          <w:lang w:val="en-US"/>
        </w:rPr>
        <w:t>RigiScan</w:t>
      </w:r>
      <w:proofErr w:type="spellEnd"/>
      <w:r w:rsidRPr="00812A1B">
        <w:rPr>
          <w:rFonts w:eastAsia="Times New Roman" w:cs="Arial"/>
          <w:color w:val="000000"/>
          <w:szCs w:val="20"/>
          <w:lang w:val="en-US"/>
        </w:rPr>
        <w:t xml:space="preserve">) </w:t>
      </w:r>
      <w:r w:rsidRPr="00812A1B">
        <w:rPr>
          <w:rFonts w:eastAsia="Times New Roman" w:cs="Arial"/>
          <w:color w:val="000000"/>
          <w:szCs w:val="20"/>
          <w:lang w:eastAsia="bg-BG"/>
        </w:rPr>
        <w:lastRenderedPageBreak/>
        <w:t>при пациенти които са приели силденафил на гладно, средният период до началото на ефекта при тези от тях, които са получили ерекция, характеризираща се с 60% ригидност (достатъчна за осъществяване на</w:t>
      </w:r>
      <w:r w:rsidRPr="00A459D7">
        <w:rPr>
          <w:rFonts w:eastAsia="Times New Roman" w:cs="Arial"/>
          <w:sz w:val="28"/>
          <w:szCs w:val="24"/>
          <w:lang w:eastAsia="bg-BG"/>
        </w:rPr>
        <w:t xml:space="preserve"> </w:t>
      </w:r>
      <w:r w:rsidRPr="00A459D7">
        <w:rPr>
          <w:rFonts w:eastAsia="Times New Roman" w:cs="Arial"/>
          <w:color w:val="000000"/>
          <w:szCs w:val="20"/>
          <w:lang w:eastAsia="bg-BG"/>
        </w:rPr>
        <w:t xml:space="preserve">полов акт), е бил 25 минути (от 12 до 37 минути). В друго проучване с </w:t>
      </w:r>
      <w:proofErr w:type="spellStart"/>
      <w:r w:rsidRPr="00A459D7">
        <w:rPr>
          <w:rFonts w:eastAsia="Times New Roman" w:cs="Arial"/>
          <w:color w:val="000000"/>
          <w:szCs w:val="20"/>
          <w:lang w:val="en-US"/>
        </w:rPr>
        <w:t>RigiScan</w:t>
      </w:r>
      <w:proofErr w:type="spellEnd"/>
      <w:r w:rsidRPr="00A459D7">
        <w:rPr>
          <w:rFonts w:eastAsia="Times New Roman" w:cs="Arial"/>
          <w:color w:val="000000"/>
          <w:szCs w:val="20"/>
          <w:lang w:eastAsia="bg-BG"/>
        </w:rPr>
        <w:t xml:space="preserve"> силденафил дори и 4-5 часа след приема е давал възможност за получаване на ерекция в отговор на сексуална стимулация.</w:t>
      </w:r>
    </w:p>
    <w:p w14:paraId="4E1A6B00" w14:textId="77777777" w:rsidR="00812A1B" w:rsidRPr="00A459D7" w:rsidRDefault="00812A1B" w:rsidP="00812A1B">
      <w:pPr>
        <w:spacing w:line="240" w:lineRule="auto"/>
        <w:rPr>
          <w:rFonts w:eastAsia="Times New Roman" w:cs="Arial"/>
          <w:color w:val="000000"/>
          <w:szCs w:val="20"/>
          <w:lang w:eastAsia="bg-BG"/>
        </w:rPr>
      </w:pPr>
    </w:p>
    <w:p w14:paraId="0AD82BBF" w14:textId="0CFFD852"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Силденафил предизвиква леки и преходни понижения на кръвното налягане, които в мнозинството от случаите протичат без клинична симптоматика. Средната стойност на максималното понижение на систолното кръвно налягане в легнало положение след перорален прием на 100 </w:t>
      </w:r>
      <w:r w:rsidRPr="00812A1B">
        <w:rPr>
          <w:rFonts w:eastAsia="Times New Roman" w:cs="Arial"/>
          <w:color w:val="000000"/>
          <w:szCs w:val="20"/>
          <w:lang w:val="en-US"/>
        </w:rPr>
        <w:t xml:space="preserve">mg </w:t>
      </w:r>
      <w:r w:rsidRPr="00812A1B">
        <w:rPr>
          <w:rFonts w:eastAsia="Times New Roman" w:cs="Arial"/>
          <w:color w:val="000000"/>
          <w:szCs w:val="20"/>
          <w:lang w:eastAsia="bg-BG"/>
        </w:rPr>
        <w:t xml:space="preserve">силденафил е била 8,4 </w:t>
      </w:r>
      <w:r w:rsidRPr="00812A1B">
        <w:rPr>
          <w:rFonts w:eastAsia="Times New Roman" w:cs="Arial"/>
          <w:color w:val="000000"/>
          <w:szCs w:val="20"/>
          <w:lang w:val="en-US"/>
        </w:rPr>
        <w:t xml:space="preserve">mmHg. </w:t>
      </w:r>
      <w:r w:rsidRPr="00812A1B">
        <w:rPr>
          <w:rFonts w:eastAsia="Times New Roman" w:cs="Arial"/>
          <w:color w:val="000000"/>
          <w:szCs w:val="20"/>
          <w:lang w:eastAsia="bg-BG"/>
        </w:rPr>
        <w:t xml:space="preserve">Съответната промяна в диастолното кръвно налягане в легнало положение е била 5,5 </w:t>
      </w:r>
      <w:r w:rsidRPr="00812A1B">
        <w:rPr>
          <w:rFonts w:eastAsia="Times New Roman" w:cs="Arial"/>
          <w:color w:val="000000"/>
          <w:szCs w:val="20"/>
          <w:lang w:val="en-US"/>
        </w:rPr>
        <w:t xml:space="preserve">mmHg. </w:t>
      </w:r>
      <w:r w:rsidRPr="00812A1B">
        <w:rPr>
          <w:rFonts w:eastAsia="Times New Roman" w:cs="Arial"/>
          <w:color w:val="000000"/>
          <w:szCs w:val="20"/>
          <w:lang w:eastAsia="bg-BG"/>
        </w:rPr>
        <w:t xml:space="preserve">Тези понижения на кръвното налягане съответстват на вазодилатативния ефект на силденафил, който вероятно се дължи на повишението на нивата на цГМФ в гладката мускулатура на кръвоносните съдове. При здрави доброволци единична перорална доза до 100 </w:t>
      </w:r>
      <w:r w:rsidRPr="00812A1B">
        <w:rPr>
          <w:rFonts w:eastAsia="Times New Roman" w:cs="Arial"/>
          <w:color w:val="000000"/>
          <w:szCs w:val="20"/>
          <w:lang w:val="en-US"/>
        </w:rPr>
        <w:t xml:space="preserve">mg </w:t>
      </w:r>
      <w:r w:rsidRPr="00812A1B">
        <w:rPr>
          <w:rFonts w:eastAsia="Times New Roman" w:cs="Arial"/>
          <w:color w:val="000000"/>
          <w:szCs w:val="20"/>
          <w:lang w:eastAsia="bg-BG"/>
        </w:rPr>
        <w:t>силденафил не води до клинично значими промени в ЕКГ.</w:t>
      </w:r>
    </w:p>
    <w:p w14:paraId="22130831" w14:textId="4A348DB9"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В проучване върху хемодинамичните ефекти на еднократна перорална доза от 100 </w:t>
      </w:r>
      <w:r w:rsidRPr="00812A1B">
        <w:rPr>
          <w:rFonts w:eastAsia="Times New Roman" w:cs="Arial"/>
          <w:color w:val="000000"/>
          <w:szCs w:val="20"/>
          <w:lang w:val="en-US"/>
        </w:rPr>
        <w:t xml:space="preserve">mg </w:t>
      </w:r>
      <w:r w:rsidRPr="00812A1B">
        <w:rPr>
          <w:rFonts w:eastAsia="Times New Roman" w:cs="Arial"/>
          <w:color w:val="000000"/>
          <w:szCs w:val="20"/>
          <w:lang w:eastAsia="bg-BG"/>
        </w:rPr>
        <w:t>силденафил при 14 пациента с тежка ИБС (&gt;70% стеноза на поне една коронарна артерия), средните стойности на систолното и диастолно налягане в покой са се понижили съответно със 7% и 6% спрямо изходните. Средното систолно налягане в белодробната артерия се е понижило с 9%. Силденафил не е предизвикал промяна в сърдечния дебит и не е нарушил кръвотока през стеснените коронарни артерии.</w:t>
      </w:r>
    </w:p>
    <w:p w14:paraId="782F509D" w14:textId="77777777" w:rsidR="00812A1B" w:rsidRPr="00A459D7" w:rsidRDefault="00812A1B" w:rsidP="00812A1B">
      <w:pPr>
        <w:spacing w:line="240" w:lineRule="auto"/>
        <w:rPr>
          <w:rFonts w:eastAsia="Times New Roman" w:cs="Arial"/>
          <w:color w:val="000000"/>
          <w:szCs w:val="20"/>
          <w:lang w:eastAsia="bg-BG"/>
        </w:rPr>
      </w:pPr>
    </w:p>
    <w:p w14:paraId="4F2E166B" w14:textId="537986A5"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В двойно-сляпо, плацебо-контролирано проучване, включващо тест с натоварване, при 144 пациента с еректилна дисфункция и хронична стабилна стенокардия, които са провеждали редовна антиангинозна терапия (с изключение на нитрати), не са били установени клинично значими промени в продължителността на времето до поява на лимитираща стенокардия при употреба на силденафил.</w:t>
      </w:r>
    </w:p>
    <w:p w14:paraId="278925BD" w14:textId="77777777" w:rsidR="00812A1B" w:rsidRPr="00A459D7" w:rsidRDefault="00812A1B" w:rsidP="00812A1B">
      <w:pPr>
        <w:spacing w:line="240" w:lineRule="auto"/>
        <w:rPr>
          <w:rFonts w:eastAsia="Times New Roman" w:cs="Arial"/>
          <w:color w:val="000000"/>
          <w:szCs w:val="20"/>
          <w:lang w:eastAsia="bg-BG"/>
        </w:rPr>
      </w:pPr>
    </w:p>
    <w:p w14:paraId="361EDFD0" w14:textId="1B83BA27"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Един час след прием на 100 </w:t>
      </w:r>
      <w:r w:rsidRPr="00812A1B">
        <w:rPr>
          <w:rFonts w:eastAsia="Times New Roman" w:cs="Arial"/>
          <w:color w:val="000000"/>
          <w:szCs w:val="20"/>
          <w:lang w:val="en-US"/>
        </w:rPr>
        <w:t xml:space="preserve">mg </w:t>
      </w:r>
      <w:r w:rsidRPr="00812A1B">
        <w:rPr>
          <w:rFonts w:eastAsia="Times New Roman" w:cs="Arial"/>
          <w:color w:val="000000"/>
          <w:szCs w:val="20"/>
          <w:lang w:eastAsia="bg-BG"/>
        </w:rPr>
        <w:t xml:space="preserve">силденафил при малък брой пациенти са се появили леки и преходни промени в способността за различаване на цветовете (синьо/зелено), изследвана с помощта на теста за разграничаване на 100 цветови оттенъка на </w:t>
      </w:r>
      <w:proofErr w:type="spellStart"/>
      <w:r w:rsidRPr="00812A1B">
        <w:rPr>
          <w:rFonts w:eastAsia="Times New Roman" w:cs="Arial"/>
          <w:color w:val="000000"/>
          <w:szCs w:val="20"/>
          <w:lang w:val="en-US"/>
        </w:rPr>
        <w:t>Famsworth-Munsell</w:t>
      </w:r>
      <w:proofErr w:type="spellEnd"/>
      <w:r w:rsidRPr="00812A1B">
        <w:rPr>
          <w:rFonts w:eastAsia="Times New Roman" w:cs="Arial"/>
          <w:color w:val="000000"/>
          <w:szCs w:val="20"/>
          <w:lang w:val="en-US"/>
        </w:rPr>
        <w:t xml:space="preserve">, </w:t>
      </w:r>
      <w:r w:rsidRPr="00812A1B">
        <w:rPr>
          <w:rFonts w:eastAsia="Times New Roman" w:cs="Arial"/>
          <w:color w:val="000000"/>
          <w:szCs w:val="20"/>
          <w:lang w:eastAsia="bg-BG"/>
        </w:rPr>
        <w:t>като 2 часа след приема на лекарството ефектът е отзвучал напълно. Вероятният механизъм на тази промяна в способността за различаване на цветове е свързан с инхибирането на ФДЕ6, която участва във фототрансдукционната каскада на ретината. Силденафил няма никакъв ефект върху зрителната острота или усещането за контраст. В плацебо-контролирано проучване при малък брой пациенти с доказана ранна възрастово-обусловена дегенерация на макулата (</w:t>
      </w:r>
      <w:r w:rsidRPr="00812A1B">
        <w:rPr>
          <w:rFonts w:eastAsia="Times New Roman" w:cs="Arial"/>
          <w:color w:val="000000"/>
          <w:szCs w:val="20"/>
          <w:lang w:val="en-US"/>
        </w:rPr>
        <w:t>n</w:t>
      </w:r>
      <w:r w:rsidRPr="00812A1B">
        <w:rPr>
          <w:rFonts w:eastAsia="Times New Roman" w:cs="Arial"/>
          <w:color w:val="000000"/>
          <w:szCs w:val="20"/>
          <w:lang w:eastAsia="bg-BG"/>
        </w:rPr>
        <w:t xml:space="preserve"> = 9) силденафил (100 </w:t>
      </w:r>
      <w:r w:rsidRPr="00812A1B">
        <w:rPr>
          <w:rFonts w:eastAsia="Times New Roman" w:cs="Arial"/>
          <w:color w:val="000000"/>
          <w:szCs w:val="20"/>
          <w:lang w:val="en-US"/>
        </w:rPr>
        <w:t xml:space="preserve">mg </w:t>
      </w:r>
      <w:r w:rsidRPr="00812A1B">
        <w:rPr>
          <w:rFonts w:eastAsia="Times New Roman" w:cs="Arial"/>
          <w:color w:val="000000"/>
          <w:szCs w:val="20"/>
          <w:lang w:eastAsia="bg-BG"/>
        </w:rPr>
        <w:t xml:space="preserve">еднократна доза) не е довел до сигнификантни промени в проведените зрителни тестове (зрителна острота, решетка на </w:t>
      </w:r>
      <w:proofErr w:type="spellStart"/>
      <w:r w:rsidRPr="00812A1B">
        <w:rPr>
          <w:rFonts w:eastAsia="Times New Roman" w:cs="Arial"/>
          <w:color w:val="000000"/>
          <w:szCs w:val="20"/>
          <w:lang w:val="en-US"/>
        </w:rPr>
        <w:t>Amsler</w:t>
      </w:r>
      <w:proofErr w:type="spellEnd"/>
      <w:r w:rsidRPr="00812A1B">
        <w:rPr>
          <w:rFonts w:eastAsia="Times New Roman" w:cs="Arial"/>
          <w:color w:val="000000"/>
          <w:szCs w:val="20"/>
          <w:lang w:val="en-US"/>
        </w:rPr>
        <w:t xml:space="preserve">, </w:t>
      </w:r>
      <w:r w:rsidRPr="00812A1B">
        <w:rPr>
          <w:rFonts w:eastAsia="Times New Roman" w:cs="Arial"/>
          <w:color w:val="000000"/>
          <w:szCs w:val="20"/>
          <w:lang w:eastAsia="bg-BG"/>
        </w:rPr>
        <w:t xml:space="preserve">цветова дискриминация на симулирана пътна светлинна сигнализация, периметри на </w:t>
      </w:r>
      <w:r w:rsidRPr="00812A1B">
        <w:rPr>
          <w:rFonts w:eastAsia="Times New Roman" w:cs="Arial"/>
          <w:color w:val="000000"/>
          <w:szCs w:val="20"/>
          <w:lang w:val="en-US"/>
        </w:rPr>
        <w:t xml:space="preserve">Humphrey </w:t>
      </w:r>
      <w:r w:rsidRPr="00812A1B">
        <w:rPr>
          <w:rFonts w:eastAsia="Times New Roman" w:cs="Arial"/>
          <w:color w:val="000000"/>
          <w:szCs w:val="20"/>
          <w:lang w:eastAsia="bg-BG"/>
        </w:rPr>
        <w:t>и фотострес).</w:t>
      </w:r>
    </w:p>
    <w:p w14:paraId="52727AA3" w14:textId="77777777" w:rsidR="00812A1B" w:rsidRPr="00A459D7" w:rsidRDefault="00812A1B" w:rsidP="00812A1B">
      <w:pPr>
        <w:spacing w:line="240" w:lineRule="auto"/>
        <w:rPr>
          <w:rFonts w:eastAsia="Times New Roman" w:cs="Arial"/>
          <w:color w:val="000000"/>
          <w:szCs w:val="20"/>
          <w:lang w:eastAsia="bg-BG"/>
        </w:rPr>
      </w:pPr>
    </w:p>
    <w:p w14:paraId="597CF957" w14:textId="3FC70E0A"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Не е била установена промяна в мотилитета или морфологията на сперматозоидите след единична перорална доза от 100 </w:t>
      </w:r>
      <w:r w:rsidRPr="00812A1B">
        <w:rPr>
          <w:rFonts w:eastAsia="Times New Roman" w:cs="Arial"/>
          <w:color w:val="000000"/>
          <w:szCs w:val="20"/>
          <w:lang w:val="en-US"/>
        </w:rPr>
        <w:t xml:space="preserve">mg </w:t>
      </w:r>
      <w:r w:rsidRPr="00812A1B">
        <w:rPr>
          <w:rFonts w:eastAsia="Times New Roman" w:cs="Arial"/>
          <w:color w:val="000000"/>
          <w:szCs w:val="20"/>
          <w:lang w:eastAsia="bg-BG"/>
        </w:rPr>
        <w:t>силденафил при здрави доброволци.</w:t>
      </w:r>
    </w:p>
    <w:p w14:paraId="3F5BCCA8" w14:textId="77777777" w:rsidR="00812A1B" w:rsidRPr="00A459D7" w:rsidRDefault="00812A1B" w:rsidP="00812A1B">
      <w:pPr>
        <w:spacing w:line="240" w:lineRule="auto"/>
        <w:rPr>
          <w:rFonts w:eastAsia="Times New Roman" w:cs="Arial"/>
          <w:i/>
          <w:iCs/>
          <w:color w:val="000000"/>
          <w:szCs w:val="20"/>
          <w:lang w:eastAsia="bg-BG"/>
        </w:rPr>
      </w:pPr>
    </w:p>
    <w:p w14:paraId="2A766316" w14:textId="5D2DC141" w:rsidR="00812A1B" w:rsidRPr="00812A1B" w:rsidRDefault="00812A1B" w:rsidP="00812A1B">
      <w:pPr>
        <w:spacing w:line="240" w:lineRule="auto"/>
        <w:rPr>
          <w:rFonts w:eastAsia="Times New Roman" w:cs="Arial"/>
          <w:sz w:val="28"/>
          <w:szCs w:val="24"/>
          <w:lang w:eastAsia="bg-BG"/>
        </w:rPr>
      </w:pPr>
      <w:r w:rsidRPr="00812A1B">
        <w:rPr>
          <w:rFonts w:eastAsia="Times New Roman" w:cs="Arial"/>
          <w:i/>
          <w:iCs/>
          <w:color w:val="000000"/>
          <w:szCs w:val="20"/>
          <w:lang w:eastAsia="bg-BG"/>
        </w:rPr>
        <w:t>Допълнителна информация за клинични проучвания</w:t>
      </w:r>
    </w:p>
    <w:p w14:paraId="1AC40CB9" w14:textId="77777777"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В клинични проучвания силденафил е бил приложен при повече от 8 000 пациенти на възраст 19</w:t>
      </w:r>
      <w:r w:rsidRPr="00812A1B">
        <w:rPr>
          <w:rFonts w:eastAsia="Times New Roman" w:cs="Arial"/>
          <w:color w:val="000000"/>
          <w:szCs w:val="20"/>
          <w:lang w:eastAsia="bg-BG"/>
        </w:rPr>
        <w:softHyphen/>
        <w:t xml:space="preserve">87 години. Били са представени следните групи пациенти: пациенти в старческа възраст (19,9%), пациенти с хипертония (30,9%), захарен диабет (20,3%), исхемична болест на сърцето (5,8%), хиперлипидемия (19,8%), травми на гръбначния мозък (0,6%), депресия (5,2%), трансуретрална резекция на простатата (ТУРП) (3,7%), </w:t>
      </w:r>
      <w:r w:rsidRPr="00812A1B">
        <w:rPr>
          <w:rFonts w:eastAsia="Times New Roman" w:cs="Arial"/>
          <w:color w:val="000000"/>
          <w:szCs w:val="20"/>
          <w:lang w:eastAsia="bg-BG"/>
        </w:rPr>
        <w:lastRenderedPageBreak/>
        <w:t>радикална простатектомия (3,3%). Следните групи не са били достатъчно представени или са били изключени от клиничните проучвания: пациенти с операция в малкия таз, пациенти след лъчетерапия, пациенти с тежко бъбречно или чернодробно увреждане и пациенти с някои сърдечно-съдови проблеми (вж. точка 4.3).</w:t>
      </w:r>
    </w:p>
    <w:p w14:paraId="2C831214" w14:textId="77777777" w:rsidR="00A459D7" w:rsidRPr="00A459D7" w:rsidRDefault="00A459D7" w:rsidP="00812A1B">
      <w:pPr>
        <w:spacing w:line="240" w:lineRule="auto"/>
        <w:rPr>
          <w:rFonts w:eastAsia="Times New Roman" w:cs="Arial"/>
          <w:color w:val="000000"/>
          <w:szCs w:val="20"/>
          <w:lang w:eastAsia="bg-BG"/>
        </w:rPr>
      </w:pPr>
    </w:p>
    <w:p w14:paraId="6E28E4DA" w14:textId="5BECF515" w:rsidR="00812A1B" w:rsidRPr="00812A1B" w:rsidRDefault="00812A1B" w:rsidP="00812A1B">
      <w:pPr>
        <w:spacing w:line="240" w:lineRule="auto"/>
        <w:rPr>
          <w:rFonts w:eastAsia="Times New Roman" w:cs="Arial"/>
          <w:sz w:val="28"/>
          <w:szCs w:val="24"/>
          <w:lang w:eastAsia="bg-BG"/>
        </w:rPr>
      </w:pPr>
      <w:r w:rsidRPr="00812A1B">
        <w:rPr>
          <w:rFonts w:eastAsia="Times New Roman" w:cs="Arial"/>
          <w:color w:val="000000"/>
          <w:szCs w:val="20"/>
          <w:lang w:eastAsia="bg-BG"/>
        </w:rPr>
        <w:t xml:space="preserve">В проучванията с фиксирани дози, процентът на пациентите, съобщаващи, че лечението е подобрило тяхната ерекция, е бил 62% (25 </w:t>
      </w:r>
      <w:r w:rsidRPr="00812A1B">
        <w:rPr>
          <w:rFonts w:eastAsia="Times New Roman" w:cs="Arial"/>
          <w:color w:val="000000"/>
          <w:szCs w:val="20"/>
          <w:lang w:val="en-US"/>
        </w:rPr>
        <w:t xml:space="preserve">mg), </w:t>
      </w:r>
      <w:r w:rsidRPr="00812A1B">
        <w:rPr>
          <w:rFonts w:eastAsia="Times New Roman" w:cs="Arial"/>
          <w:color w:val="000000"/>
          <w:szCs w:val="20"/>
          <w:lang w:eastAsia="bg-BG"/>
        </w:rPr>
        <w:t xml:space="preserve">74% (50 </w:t>
      </w:r>
      <w:r w:rsidRPr="00812A1B">
        <w:rPr>
          <w:rFonts w:eastAsia="Times New Roman" w:cs="Arial"/>
          <w:color w:val="000000"/>
          <w:szCs w:val="20"/>
          <w:lang w:val="en-US"/>
        </w:rPr>
        <w:t xml:space="preserve">mg) </w:t>
      </w:r>
      <w:r w:rsidRPr="00812A1B">
        <w:rPr>
          <w:rFonts w:eastAsia="Times New Roman" w:cs="Arial"/>
          <w:color w:val="000000"/>
          <w:szCs w:val="20"/>
          <w:lang w:eastAsia="bg-BG"/>
        </w:rPr>
        <w:t xml:space="preserve">и 82% (100 </w:t>
      </w:r>
      <w:r w:rsidRPr="00812A1B">
        <w:rPr>
          <w:rFonts w:eastAsia="Times New Roman" w:cs="Arial"/>
          <w:color w:val="000000"/>
          <w:szCs w:val="20"/>
          <w:lang w:val="en-US"/>
        </w:rPr>
        <w:t xml:space="preserve">mg) </w:t>
      </w:r>
      <w:r w:rsidRPr="00812A1B">
        <w:rPr>
          <w:rFonts w:eastAsia="Times New Roman" w:cs="Arial"/>
          <w:color w:val="000000"/>
          <w:szCs w:val="20"/>
          <w:lang w:eastAsia="bg-BG"/>
        </w:rPr>
        <w:t>спрямо 25% при плацебо. В контролирани клинични проучвания честотата на прекъсване на лечението със силденафил е била ниска и подобна на тази при плацебо. За всички проучвания процентът на пациентите, съобщаващи за подобрение след лечение със силденафил, е била, както следва:</w:t>
      </w:r>
    </w:p>
    <w:p w14:paraId="038F692B" w14:textId="31E0829F" w:rsidR="007A2185" w:rsidRPr="00A459D7" w:rsidRDefault="00812A1B" w:rsidP="00812A1B">
      <w:pPr>
        <w:spacing w:line="240" w:lineRule="auto"/>
        <w:rPr>
          <w:rFonts w:eastAsia="Times New Roman" w:cs="Arial"/>
          <w:sz w:val="28"/>
          <w:szCs w:val="24"/>
          <w:lang w:eastAsia="bg-BG"/>
        </w:rPr>
      </w:pPr>
      <w:r w:rsidRPr="00A459D7">
        <w:rPr>
          <w:rFonts w:eastAsia="Times New Roman" w:cs="Arial"/>
          <w:color w:val="000000"/>
          <w:szCs w:val="20"/>
          <w:lang w:eastAsia="bg-BG"/>
        </w:rPr>
        <w:t>психогенна еректилна дисфункция (84%), смесена еректилна дисфункция (77%), органична еректилна дисфункция (68%), пациенти в старческа възраст (67%), захарен диабет (59%),</w:t>
      </w:r>
      <w:r w:rsidRPr="00A459D7">
        <w:rPr>
          <w:rFonts w:eastAsia="Times New Roman" w:cs="Arial"/>
          <w:color w:val="000000"/>
          <w:szCs w:val="20"/>
          <w:lang w:val="en-US"/>
        </w:rPr>
        <w:t xml:space="preserve"> </w:t>
      </w:r>
      <w:r w:rsidRPr="00A459D7">
        <w:rPr>
          <w:rFonts w:eastAsia="Times New Roman" w:cs="Arial"/>
          <w:color w:val="000000"/>
          <w:szCs w:val="20"/>
          <w:lang w:eastAsia="bg-BG"/>
        </w:rPr>
        <w:t>ИБС (69%), хипертония (68%), ТУРП (61%), радикална простатектомия (43%), травма на гръбначния мозък (83%), депресия (75%). В дългосрочни проучвания безопасността и ефективността на силденафил са се запазили.</w:t>
      </w:r>
    </w:p>
    <w:p w14:paraId="36152471" w14:textId="77777777" w:rsidR="0091385D" w:rsidRPr="0091385D" w:rsidRDefault="0091385D" w:rsidP="0091385D"/>
    <w:p w14:paraId="5031193D" w14:textId="408B9A83" w:rsidR="0091385D" w:rsidRDefault="002C50EE" w:rsidP="007A2185">
      <w:pPr>
        <w:pStyle w:val="Heading2"/>
      </w:pPr>
      <w:r>
        <w:t>5.2. Фармакокинетични свойства</w:t>
      </w:r>
    </w:p>
    <w:p w14:paraId="46B35D05" w14:textId="621A5ADC" w:rsidR="007A2185" w:rsidRDefault="007A2185" w:rsidP="007A2185"/>
    <w:p w14:paraId="26E993BE" w14:textId="77777777" w:rsidR="00812A1B" w:rsidRPr="00A459D7" w:rsidRDefault="00812A1B" w:rsidP="00A459D7">
      <w:pPr>
        <w:pStyle w:val="Heading3"/>
        <w:rPr>
          <w:rFonts w:eastAsia="Times New Roman"/>
          <w:u w:val="single"/>
          <w:lang w:eastAsia="bg-BG"/>
        </w:rPr>
      </w:pPr>
      <w:r w:rsidRPr="00A459D7">
        <w:rPr>
          <w:rFonts w:eastAsia="Times New Roman"/>
          <w:u w:val="single"/>
          <w:lang w:eastAsia="bg-BG"/>
        </w:rPr>
        <w:t>Абсорбция:</w:t>
      </w:r>
    </w:p>
    <w:p w14:paraId="69D5B5D0"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Силденафил се абсорбира бързо. Наблюдаваните максимални плазмени концентрации се достигат в рамките на 30 до 120 минути (средна стойност 60 минути) след перорален прием на гладно. Средната абсолютна перорална бионаличност е 41% (диапазон 25-63%). След перорален прием на силденафил, </w:t>
      </w:r>
      <w:r w:rsidRPr="00812A1B">
        <w:rPr>
          <w:rFonts w:eastAsia="Times New Roman" w:cs="Arial"/>
          <w:color w:val="000000"/>
          <w:lang w:val="en-US"/>
        </w:rPr>
        <w:t xml:space="preserve">AUC </w:t>
      </w:r>
      <w:r w:rsidRPr="00812A1B">
        <w:rPr>
          <w:rFonts w:eastAsia="Times New Roman" w:cs="Arial"/>
          <w:color w:val="000000"/>
          <w:lang w:eastAsia="bg-BG"/>
        </w:rPr>
        <w:t>и С</w:t>
      </w:r>
      <w:r w:rsidRPr="00812A1B">
        <w:rPr>
          <w:rFonts w:eastAsia="Times New Roman" w:cs="Arial"/>
          <w:color w:val="000000"/>
          <w:vertAlign w:val="subscript"/>
          <w:lang w:val="en-US"/>
        </w:rPr>
        <w:t>max</w:t>
      </w:r>
      <w:r w:rsidRPr="00812A1B">
        <w:rPr>
          <w:rFonts w:eastAsia="Times New Roman" w:cs="Arial"/>
          <w:color w:val="000000"/>
          <w:lang w:eastAsia="bg-BG"/>
        </w:rPr>
        <w:t xml:space="preserve"> нарастват пропорционално на дозата в препоръчаните дозови граници (25-100 </w:t>
      </w:r>
      <w:r w:rsidRPr="00812A1B">
        <w:rPr>
          <w:rFonts w:eastAsia="Times New Roman" w:cs="Arial"/>
          <w:color w:val="000000"/>
          <w:lang w:val="en-US"/>
        </w:rPr>
        <w:t>mg).</w:t>
      </w:r>
    </w:p>
    <w:p w14:paraId="751C737A" w14:textId="77777777" w:rsidR="00812A1B" w:rsidRPr="00A459D7" w:rsidRDefault="00812A1B" w:rsidP="00812A1B">
      <w:pPr>
        <w:spacing w:line="240" w:lineRule="auto"/>
        <w:rPr>
          <w:rFonts w:eastAsia="Times New Roman" w:cs="Arial"/>
          <w:color w:val="000000"/>
          <w:lang w:eastAsia="bg-BG"/>
        </w:rPr>
      </w:pPr>
    </w:p>
    <w:p w14:paraId="46ACEBF1" w14:textId="660551B5"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Когато силденафил се вземе по време на хранене, скоростта на абсорбция намалява, като средното забавяне на </w:t>
      </w:r>
      <w:proofErr w:type="spellStart"/>
      <w:r w:rsidRPr="00812A1B">
        <w:rPr>
          <w:rFonts w:eastAsia="Times New Roman" w:cs="Arial"/>
          <w:color w:val="000000"/>
          <w:lang w:val="en-US"/>
        </w:rPr>
        <w:t>tmax</w:t>
      </w:r>
      <w:proofErr w:type="spellEnd"/>
      <w:r w:rsidRPr="00812A1B">
        <w:rPr>
          <w:rFonts w:eastAsia="Times New Roman" w:cs="Arial"/>
          <w:color w:val="000000"/>
          <w:lang w:val="en-US"/>
        </w:rPr>
        <w:t xml:space="preserve"> e</w:t>
      </w:r>
      <w:r w:rsidRPr="00812A1B">
        <w:rPr>
          <w:rFonts w:eastAsia="Times New Roman" w:cs="Arial"/>
          <w:color w:val="000000"/>
          <w:lang w:eastAsia="bg-BG"/>
        </w:rPr>
        <w:t xml:space="preserve"> 60 минути, а средното понижение на С</w:t>
      </w:r>
      <w:r w:rsidRPr="00812A1B">
        <w:rPr>
          <w:rFonts w:eastAsia="Times New Roman" w:cs="Arial"/>
          <w:color w:val="000000"/>
          <w:vertAlign w:val="subscript"/>
          <w:lang w:val="en-US"/>
        </w:rPr>
        <w:t>max</w:t>
      </w:r>
      <w:r w:rsidRPr="00812A1B">
        <w:rPr>
          <w:rFonts w:eastAsia="Times New Roman" w:cs="Arial"/>
          <w:color w:val="000000"/>
          <w:lang w:eastAsia="bg-BG"/>
        </w:rPr>
        <w:t xml:space="preserve"> е с 29%.</w:t>
      </w:r>
    </w:p>
    <w:p w14:paraId="2C6CD3C7" w14:textId="77777777" w:rsidR="00812A1B" w:rsidRPr="00A459D7" w:rsidRDefault="00812A1B" w:rsidP="00812A1B">
      <w:pPr>
        <w:spacing w:line="240" w:lineRule="auto"/>
        <w:rPr>
          <w:rFonts w:eastAsia="Times New Roman" w:cs="Arial"/>
          <w:i/>
          <w:iCs/>
          <w:color w:val="000000"/>
          <w:lang w:eastAsia="bg-BG"/>
        </w:rPr>
      </w:pPr>
    </w:p>
    <w:p w14:paraId="72E44E4B" w14:textId="544D16B4" w:rsidR="00812A1B" w:rsidRPr="00A459D7" w:rsidRDefault="00812A1B" w:rsidP="00A459D7">
      <w:pPr>
        <w:pStyle w:val="Heading3"/>
        <w:rPr>
          <w:rFonts w:eastAsia="Times New Roman"/>
          <w:u w:val="single"/>
          <w:lang w:eastAsia="bg-BG"/>
        </w:rPr>
      </w:pPr>
      <w:r w:rsidRPr="00A459D7">
        <w:rPr>
          <w:rFonts w:eastAsia="Times New Roman"/>
          <w:u w:val="single"/>
          <w:lang w:eastAsia="bg-BG"/>
        </w:rPr>
        <w:t>Разпределение:</w:t>
      </w:r>
    </w:p>
    <w:p w14:paraId="3B9C99F8"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Средният обем на разпределение в равновесно състояние </w:t>
      </w:r>
      <w:r w:rsidRPr="00812A1B">
        <w:rPr>
          <w:rFonts w:eastAsia="Times New Roman" w:cs="Arial"/>
          <w:color w:val="000000"/>
          <w:lang w:val="en-US"/>
        </w:rPr>
        <w:t>(</w:t>
      </w:r>
      <w:proofErr w:type="spellStart"/>
      <w:r w:rsidRPr="00812A1B">
        <w:rPr>
          <w:rFonts w:eastAsia="Times New Roman" w:cs="Arial"/>
          <w:color w:val="000000"/>
          <w:lang w:val="en-US"/>
        </w:rPr>
        <w:t>Vd</w:t>
      </w:r>
      <w:proofErr w:type="spellEnd"/>
      <w:r w:rsidRPr="00812A1B">
        <w:rPr>
          <w:rFonts w:eastAsia="Times New Roman" w:cs="Arial"/>
          <w:color w:val="000000"/>
          <w:lang w:val="en-US"/>
        </w:rPr>
        <w:t xml:space="preserve">) </w:t>
      </w:r>
      <w:r w:rsidRPr="00812A1B">
        <w:rPr>
          <w:rFonts w:eastAsia="Times New Roman" w:cs="Arial"/>
          <w:color w:val="000000"/>
          <w:lang w:eastAsia="bg-BG"/>
        </w:rPr>
        <w:t xml:space="preserve">на силденафил е 105 1, което говори за разпределение в тъканите. След еднократна перорална доза от 100 </w:t>
      </w:r>
      <w:r w:rsidRPr="00812A1B">
        <w:rPr>
          <w:rFonts w:eastAsia="Times New Roman" w:cs="Arial"/>
          <w:color w:val="000000"/>
          <w:lang w:val="en-US"/>
        </w:rPr>
        <w:t xml:space="preserve">mg </w:t>
      </w:r>
      <w:r w:rsidRPr="00812A1B">
        <w:rPr>
          <w:rFonts w:eastAsia="Times New Roman" w:cs="Arial"/>
          <w:color w:val="000000"/>
          <w:lang w:eastAsia="bg-BG"/>
        </w:rPr>
        <w:t xml:space="preserve">средната максимална плазмена концентрация на силденафил е приблизително 440 </w:t>
      </w:r>
      <w:r w:rsidRPr="00812A1B">
        <w:rPr>
          <w:rFonts w:eastAsia="Times New Roman" w:cs="Arial"/>
          <w:color w:val="000000"/>
          <w:lang w:val="en-US"/>
        </w:rPr>
        <w:t xml:space="preserve">ng/ml (CV </w:t>
      </w:r>
      <w:r w:rsidRPr="00812A1B">
        <w:rPr>
          <w:rFonts w:eastAsia="Times New Roman" w:cs="Arial"/>
          <w:color w:val="000000"/>
          <w:lang w:eastAsia="bg-BG"/>
        </w:rPr>
        <w:t xml:space="preserve">40%). Тъй като силденафил (и неговият основен циркулиращ </w:t>
      </w:r>
      <w:r w:rsidRPr="00812A1B">
        <w:rPr>
          <w:rFonts w:eastAsia="Times New Roman" w:cs="Arial"/>
          <w:color w:val="000000"/>
          <w:lang w:val="en-US"/>
        </w:rPr>
        <w:t>N</w:t>
      </w:r>
      <w:r w:rsidRPr="00812A1B">
        <w:rPr>
          <w:rFonts w:eastAsia="Times New Roman" w:cs="Arial"/>
          <w:color w:val="000000"/>
          <w:lang w:eastAsia="bg-BG"/>
        </w:rPr>
        <w:t xml:space="preserve">-дезметил метаболит) е свързан с плазмените белтъци в 96%, това води до средна максимална концентрация на свободната форма на силденафил в плазмата от 18 </w:t>
      </w:r>
      <w:r w:rsidRPr="00812A1B">
        <w:rPr>
          <w:rFonts w:eastAsia="Times New Roman" w:cs="Arial"/>
          <w:color w:val="000000"/>
          <w:lang w:val="en-US"/>
        </w:rPr>
        <w:t xml:space="preserve">ng/ml </w:t>
      </w:r>
      <w:r w:rsidRPr="00812A1B">
        <w:rPr>
          <w:rFonts w:eastAsia="Times New Roman" w:cs="Arial"/>
          <w:color w:val="000000"/>
          <w:lang w:eastAsia="bg-BG"/>
        </w:rPr>
        <w:t xml:space="preserve">(38 </w:t>
      </w:r>
      <w:r w:rsidRPr="00812A1B">
        <w:rPr>
          <w:rFonts w:eastAsia="Times New Roman" w:cs="Arial"/>
          <w:color w:val="000000"/>
          <w:lang w:val="en-US"/>
        </w:rPr>
        <w:t>n</w:t>
      </w:r>
      <w:r w:rsidRPr="00812A1B">
        <w:rPr>
          <w:rFonts w:eastAsia="Times New Roman" w:cs="Arial"/>
          <w:color w:val="000000"/>
          <w:lang w:eastAsia="bg-BG"/>
        </w:rPr>
        <w:t>М). Свързването с протеините е независимо от общата лекарствена концентрация.</w:t>
      </w:r>
    </w:p>
    <w:p w14:paraId="5B96778F" w14:textId="77777777" w:rsidR="00812A1B" w:rsidRPr="00A459D7" w:rsidRDefault="00812A1B" w:rsidP="00812A1B">
      <w:pPr>
        <w:spacing w:line="240" w:lineRule="auto"/>
        <w:rPr>
          <w:rFonts w:eastAsia="Times New Roman" w:cs="Arial"/>
          <w:color w:val="000000"/>
          <w:lang w:eastAsia="bg-BG"/>
        </w:rPr>
      </w:pPr>
    </w:p>
    <w:p w14:paraId="01CB895A" w14:textId="5F8710A5"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При здрави доброволци, получаващи силденафил (100 </w:t>
      </w:r>
      <w:r w:rsidRPr="00812A1B">
        <w:rPr>
          <w:rFonts w:eastAsia="Times New Roman" w:cs="Arial"/>
          <w:color w:val="000000"/>
          <w:lang w:val="en-US"/>
        </w:rPr>
        <w:t xml:space="preserve">mg </w:t>
      </w:r>
      <w:r w:rsidRPr="00812A1B">
        <w:rPr>
          <w:rFonts w:eastAsia="Times New Roman" w:cs="Arial"/>
          <w:color w:val="000000"/>
          <w:lang w:eastAsia="bg-BG"/>
        </w:rPr>
        <w:t xml:space="preserve">в еднократна доза), под 0,0002% (средно 188 </w:t>
      </w:r>
      <w:r w:rsidRPr="00812A1B">
        <w:rPr>
          <w:rFonts w:eastAsia="Times New Roman" w:cs="Arial"/>
          <w:color w:val="000000"/>
          <w:lang w:val="en-US"/>
        </w:rPr>
        <w:t xml:space="preserve">ng) </w:t>
      </w:r>
      <w:r w:rsidRPr="00812A1B">
        <w:rPr>
          <w:rFonts w:eastAsia="Times New Roman" w:cs="Arial"/>
          <w:color w:val="000000"/>
          <w:lang w:eastAsia="bg-BG"/>
        </w:rPr>
        <w:t>от приложената доза е била установена в еякулата 90 минути след приема.</w:t>
      </w:r>
    </w:p>
    <w:p w14:paraId="08AF9E00" w14:textId="77777777" w:rsidR="00812A1B" w:rsidRPr="00A459D7" w:rsidRDefault="00812A1B" w:rsidP="00812A1B">
      <w:pPr>
        <w:spacing w:line="240" w:lineRule="auto"/>
        <w:rPr>
          <w:rFonts w:eastAsia="Times New Roman" w:cs="Arial"/>
          <w:i/>
          <w:iCs/>
          <w:color w:val="000000"/>
          <w:lang w:eastAsia="bg-BG"/>
        </w:rPr>
      </w:pPr>
    </w:p>
    <w:p w14:paraId="7860F565" w14:textId="3310057F" w:rsidR="00812A1B" w:rsidRPr="00A459D7" w:rsidRDefault="00812A1B" w:rsidP="00A459D7">
      <w:pPr>
        <w:pStyle w:val="Heading3"/>
        <w:rPr>
          <w:rFonts w:eastAsia="Times New Roman"/>
          <w:u w:val="single"/>
          <w:lang w:eastAsia="bg-BG"/>
        </w:rPr>
      </w:pPr>
      <w:r w:rsidRPr="00A459D7">
        <w:rPr>
          <w:rFonts w:eastAsia="Times New Roman"/>
          <w:u w:val="single"/>
          <w:lang w:eastAsia="bg-BG"/>
        </w:rPr>
        <w:t>Метаболизъм:</w:t>
      </w:r>
    </w:p>
    <w:p w14:paraId="3AB30A45"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Силденафил се метаболизира главно от изоензимите на чернодробните микрозомални </w:t>
      </w:r>
      <w:r w:rsidRPr="00812A1B">
        <w:rPr>
          <w:rFonts w:eastAsia="Times New Roman" w:cs="Arial"/>
          <w:color w:val="000000"/>
          <w:lang w:val="en-US"/>
        </w:rPr>
        <w:t xml:space="preserve">CYP3A4 </w:t>
      </w:r>
      <w:r w:rsidRPr="00812A1B">
        <w:rPr>
          <w:rFonts w:eastAsia="Times New Roman" w:cs="Arial"/>
          <w:color w:val="000000"/>
          <w:lang w:eastAsia="bg-BG"/>
        </w:rPr>
        <w:t xml:space="preserve">(основен път) и </w:t>
      </w:r>
      <w:r w:rsidRPr="00812A1B">
        <w:rPr>
          <w:rFonts w:eastAsia="Times New Roman" w:cs="Arial"/>
          <w:color w:val="000000"/>
          <w:lang w:val="en-US"/>
        </w:rPr>
        <w:t xml:space="preserve">CYP2C9 </w:t>
      </w:r>
      <w:r w:rsidRPr="00812A1B">
        <w:rPr>
          <w:rFonts w:eastAsia="Times New Roman" w:cs="Arial"/>
          <w:color w:val="000000"/>
          <w:lang w:eastAsia="bg-BG"/>
        </w:rPr>
        <w:t xml:space="preserve">(второстепенен път). Основният циркулиращ метаболит се получава в резултат на </w:t>
      </w:r>
      <w:r w:rsidRPr="00812A1B">
        <w:rPr>
          <w:rFonts w:eastAsia="Times New Roman" w:cs="Arial"/>
          <w:color w:val="000000"/>
          <w:lang w:val="en-US"/>
        </w:rPr>
        <w:t>N</w:t>
      </w:r>
      <w:r w:rsidRPr="00812A1B">
        <w:rPr>
          <w:rFonts w:eastAsia="Times New Roman" w:cs="Arial"/>
          <w:color w:val="000000"/>
          <w:lang w:eastAsia="bg-BG"/>
        </w:rPr>
        <w:t xml:space="preserve">-дезметилирането на силденафил. Този метаболит има профил на фосфодиестеразна селективност, подобен на този на силденафил, и </w:t>
      </w:r>
      <w:r w:rsidRPr="00812A1B">
        <w:rPr>
          <w:rFonts w:eastAsia="Times New Roman" w:cs="Arial"/>
          <w:i/>
          <w:iCs/>
          <w:color w:val="000000"/>
          <w:lang w:val="en-US"/>
        </w:rPr>
        <w:t>in vitro</w:t>
      </w:r>
      <w:r w:rsidRPr="00812A1B">
        <w:rPr>
          <w:rFonts w:eastAsia="Times New Roman" w:cs="Arial"/>
          <w:color w:val="000000"/>
          <w:lang w:val="en-US"/>
        </w:rPr>
        <w:t xml:space="preserve"> </w:t>
      </w:r>
      <w:r w:rsidRPr="00812A1B">
        <w:rPr>
          <w:rFonts w:eastAsia="Times New Roman" w:cs="Arial"/>
          <w:color w:val="000000"/>
          <w:lang w:eastAsia="bg-BG"/>
        </w:rPr>
        <w:t xml:space="preserve">мощност спрямо ФДЕ5 приблизително 50% от тази на изходното активно вещество. Плазмените концентрации на метаболита са приблизително 40% от тези на силденафил. </w:t>
      </w:r>
      <w:r w:rsidRPr="00812A1B">
        <w:rPr>
          <w:rFonts w:eastAsia="Times New Roman" w:cs="Arial"/>
          <w:color w:val="000000"/>
          <w:lang w:val="en-US"/>
        </w:rPr>
        <w:lastRenderedPageBreak/>
        <w:t>N</w:t>
      </w:r>
      <w:r w:rsidRPr="00812A1B">
        <w:rPr>
          <w:rFonts w:eastAsia="Times New Roman" w:cs="Arial"/>
          <w:color w:val="000000"/>
          <w:lang w:eastAsia="bg-BG"/>
        </w:rPr>
        <w:t>-дезметил метаболитът се метаболизира допълнително и има време на полуживот около 4 часа.</w:t>
      </w:r>
    </w:p>
    <w:p w14:paraId="6E32EF37" w14:textId="77777777" w:rsidR="00812A1B" w:rsidRPr="00A459D7" w:rsidRDefault="00812A1B" w:rsidP="00812A1B">
      <w:pPr>
        <w:spacing w:line="240" w:lineRule="auto"/>
        <w:rPr>
          <w:rFonts w:eastAsia="Times New Roman" w:cs="Arial"/>
          <w:i/>
          <w:iCs/>
          <w:color w:val="000000"/>
          <w:lang w:eastAsia="bg-BG"/>
        </w:rPr>
      </w:pPr>
    </w:p>
    <w:p w14:paraId="019DDD1A" w14:textId="76211516" w:rsidR="00812A1B" w:rsidRPr="00A459D7" w:rsidRDefault="00812A1B" w:rsidP="00A459D7">
      <w:pPr>
        <w:pStyle w:val="Heading3"/>
        <w:rPr>
          <w:rFonts w:eastAsia="Times New Roman"/>
          <w:u w:val="single"/>
          <w:lang w:eastAsia="bg-BG"/>
        </w:rPr>
      </w:pPr>
      <w:r w:rsidRPr="00A459D7">
        <w:rPr>
          <w:rFonts w:eastAsia="Times New Roman"/>
          <w:u w:val="single"/>
          <w:lang w:eastAsia="bg-BG"/>
        </w:rPr>
        <w:t>Елиминиране:</w:t>
      </w:r>
    </w:p>
    <w:p w14:paraId="2037CE5E"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Тоталният телесен клирънс на силденафил е 41</w:t>
      </w:r>
      <w:r w:rsidRPr="00812A1B">
        <w:rPr>
          <w:rFonts w:eastAsia="Times New Roman" w:cs="Arial"/>
          <w:color w:val="000000"/>
          <w:lang w:val="en-US"/>
        </w:rPr>
        <w:t xml:space="preserve"> l/h </w:t>
      </w:r>
      <w:r w:rsidRPr="00812A1B">
        <w:rPr>
          <w:rFonts w:eastAsia="Times New Roman" w:cs="Arial"/>
          <w:color w:val="000000"/>
          <w:lang w:eastAsia="bg-BG"/>
        </w:rPr>
        <w:t>с време на полуживот в крайна фаза 3-5 часа. След перорално или венозно приложение силденафил се екскретира под формата на метаболити предимно с изпражненията (приблизително 80% от приложената перорална доза) и в по-малка степен с урината (приблизително 13% от приложената перорална доза).</w:t>
      </w:r>
    </w:p>
    <w:p w14:paraId="230AF336" w14:textId="77777777" w:rsidR="00812A1B" w:rsidRPr="00A459D7" w:rsidRDefault="00812A1B" w:rsidP="00812A1B">
      <w:pPr>
        <w:spacing w:line="240" w:lineRule="auto"/>
        <w:rPr>
          <w:rFonts w:eastAsia="Times New Roman" w:cs="Arial"/>
          <w:i/>
          <w:iCs/>
          <w:color w:val="000000"/>
          <w:lang w:eastAsia="bg-BG"/>
        </w:rPr>
      </w:pPr>
    </w:p>
    <w:p w14:paraId="17F4AE2A" w14:textId="3F1BA80E" w:rsidR="00812A1B" w:rsidRPr="00812A1B" w:rsidRDefault="00812A1B" w:rsidP="00812A1B">
      <w:pPr>
        <w:spacing w:line="240" w:lineRule="auto"/>
        <w:rPr>
          <w:rFonts w:eastAsia="Times New Roman" w:cs="Arial"/>
          <w:lang w:eastAsia="bg-BG"/>
        </w:rPr>
      </w:pPr>
      <w:r w:rsidRPr="00812A1B">
        <w:rPr>
          <w:rFonts w:eastAsia="Times New Roman" w:cs="Arial"/>
          <w:i/>
          <w:iCs/>
          <w:color w:val="000000"/>
          <w:lang w:eastAsia="bg-BG"/>
        </w:rPr>
        <w:t>Фармакокинетика при специални групи пациенти</w:t>
      </w:r>
    </w:p>
    <w:p w14:paraId="30837B3D" w14:textId="77777777" w:rsidR="00812A1B" w:rsidRPr="00A459D7" w:rsidRDefault="00812A1B" w:rsidP="00812A1B">
      <w:pPr>
        <w:spacing w:line="240" w:lineRule="auto"/>
        <w:rPr>
          <w:rFonts w:eastAsia="Times New Roman" w:cs="Arial"/>
          <w:i/>
          <w:iCs/>
          <w:color w:val="000000"/>
          <w:u w:val="single"/>
          <w:lang w:eastAsia="bg-BG"/>
        </w:rPr>
      </w:pPr>
    </w:p>
    <w:p w14:paraId="20CA4136" w14:textId="488EFCC2" w:rsidR="00812A1B" w:rsidRPr="00812A1B" w:rsidRDefault="00812A1B" w:rsidP="00812A1B">
      <w:pPr>
        <w:spacing w:line="240" w:lineRule="auto"/>
        <w:rPr>
          <w:rFonts w:eastAsia="Times New Roman" w:cs="Arial"/>
          <w:lang w:eastAsia="bg-BG"/>
        </w:rPr>
      </w:pPr>
      <w:r w:rsidRPr="00812A1B">
        <w:rPr>
          <w:rFonts w:eastAsia="Times New Roman" w:cs="Arial"/>
          <w:i/>
          <w:iCs/>
          <w:color w:val="000000"/>
          <w:u w:val="single"/>
          <w:lang w:eastAsia="bg-BG"/>
        </w:rPr>
        <w:t>Пациенти в старческа възраст:</w:t>
      </w:r>
    </w:p>
    <w:p w14:paraId="0A347C71"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Здрави доброволци пациенти в старческа възраст (на 65 или повече години) са имали намален клирънс на силденафил, което е довело до плазмени концентрации на силденафил и на активния </w:t>
      </w:r>
      <w:r w:rsidRPr="00812A1B">
        <w:rPr>
          <w:rFonts w:eastAsia="Times New Roman" w:cs="Arial"/>
          <w:color w:val="000000"/>
          <w:lang w:val="en-US"/>
        </w:rPr>
        <w:t>N</w:t>
      </w:r>
      <w:r w:rsidRPr="00812A1B">
        <w:rPr>
          <w:rFonts w:eastAsia="Times New Roman" w:cs="Arial"/>
          <w:color w:val="000000"/>
          <w:lang w:eastAsia="bg-BG"/>
        </w:rPr>
        <w:t>-дезметилиран метаболит по-високи с около 90% в сравнение с установените при здрави по- млади доброволци (18-45 години). Поради възрастови разлики в свързването с плазмените протеини съответното увеличение на концентрацията на свободен силденафил в плазмата е с около 40%.</w:t>
      </w:r>
    </w:p>
    <w:p w14:paraId="1B7A9410" w14:textId="77777777" w:rsidR="00812A1B" w:rsidRPr="00A459D7" w:rsidRDefault="00812A1B" w:rsidP="00812A1B">
      <w:pPr>
        <w:spacing w:line="240" w:lineRule="auto"/>
        <w:rPr>
          <w:rFonts w:eastAsia="Times New Roman" w:cs="Arial"/>
          <w:i/>
          <w:iCs/>
          <w:color w:val="000000"/>
          <w:u w:val="single"/>
          <w:lang w:eastAsia="bg-BG"/>
        </w:rPr>
      </w:pPr>
    </w:p>
    <w:p w14:paraId="1A969F48" w14:textId="7C7E7C7C" w:rsidR="00812A1B" w:rsidRPr="00812A1B" w:rsidRDefault="00812A1B" w:rsidP="00812A1B">
      <w:pPr>
        <w:spacing w:line="240" w:lineRule="auto"/>
        <w:rPr>
          <w:rFonts w:eastAsia="Times New Roman" w:cs="Arial"/>
          <w:lang w:eastAsia="bg-BG"/>
        </w:rPr>
      </w:pPr>
      <w:r w:rsidRPr="00812A1B">
        <w:rPr>
          <w:rFonts w:eastAsia="Times New Roman" w:cs="Arial"/>
          <w:i/>
          <w:iCs/>
          <w:color w:val="000000"/>
          <w:u w:val="single"/>
          <w:lang w:eastAsia="bg-BG"/>
        </w:rPr>
        <w:t>Бъбречна недостатъчност:</w:t>
      </w:r>
    </w:p>
    <w:p w14:paraId="281C8230" w14:textId="6D15E852" w:rsidR="00812A1B" w:rsidRPr="00A459D7" w:rsidRDefault="00812A1B" w:rsidP="00812A1B">
      <w:pPr>
        <w:spacing w:line="240" w:lineRule="auto"/>
        <w:rPr>
          <w:rFonts w:eastAsia="Times New Roman" w:cs="Arial"/>
          <w:lang w:eastAsia="bg-BG"/>
        </w:rPr>
      </w:pPr>
      <w:r w:rsidRPr="00812A1B">
        <w:rPr>
          <w:rFonts w:eastAsia="Times New Roman" w:cs="Arial"/>
          <w:color w:val="000000"/>
          <w:lang w:eastAsia="bg-BG"/>
        </w:rPr>
        <w:t>При доброволци с леко до умерено нарушение на бъбречната функция (креатининов клирънс = 30</w:t>
      </w:r>
      <w:r w:rsidRPr="00812A1B">
        <w:rPr>
          <w:rFonts w:eastAsia="Times New Roman" w:cs="Arial"/>
          <w:color w:val="000000"/>
          <w:lang w:eastAsia="bg-BG"/>
        </w:rPr>
        <w:softHyphen/>
        <w:t xml:space="preserve">80 </w:t>
      </w:r>
      <w:r w:rsidRPr="00812A1B">
        <w:rPr>
          <w:rFonts w:eastAsia="Times New Roman" w:cs="Arial"/>
          <w:color w:val="000000"/>
          <w:lang w:val="en-US"/>
        </w:rPr>
        <w:t xml:space="preserve">ml/min) </w:t>
      </w:r>
      <w:r w:rsidRPr="00812A1B">
        <w:rPr>
          <w:rFonts w:eastAsia="Times New Roman" w:cs="Arial"/>
          <w:color w:val="000000"/>
          <w:lang w:eastAsia="bg-BG"/>
        </w:rPr>
        <w:t xml:space="preserve">фармакокинетиката на силденафил е останала непроменена след прием на еднократна перорална доза от 50 </w:t>
      </w:r>
      <w:r w:rsidRPr="00812A1B">
        <w:rPr>
          <w:rFonts w:eastAsia="Times New Roman" w:cs="Arial"/>
          <w:color w:val="000000"/>
          <w:lang w:val="en-US"/>
        </w:rPr>
        <w:t xml:space="preserve">mg. </w:t>
      </w:r>
      <w:r w:rsidRPr="00812A1B">
        <w:rPr>
          <w:rFonts w:eastAsia="Times New Roman" w:cs="Arial"/>
          <w:color w:val="000000"/>
          <w:lang w:eastAsia="bg-BG"/>
        </w:rPr>
        <w:t xml:space="preserve">Средните стойности на </w:t>
      </w:r>
      <w:r w:rsidRPr="00812A1B">
        <w:rPr>
          <w:rFonts w:eastAsia="Times New Roman" w:cs="Arial"/>
          <w:color w:val="000000"/>
          <w:lang w:val="en-US"/>
        </w:rPr>
        <w:t xml:space="preserve">AUC </w:t>
      </w:r>
      <w:r w:rsidRPr="00812A1B">
        <w:rPr>
          <w:rFonts w:eastAsia="Times New Roman" w:cs="Arial"/>
          <w:color w:val="000000"/>
          <w:lang w:eastAsia="bg-BG"/>
        </w:rPr>
        <w:t>и С</w:t>
      </w:r>
      <w:r w:rsidRPr="00812A1B">
        <w:rPr>
          <w:rFonts w:eastAsia="Times New Roman" w:cs="Arial"/>
          <w:color w:val="000000"/>
          <w:vertAlign w:val="subscript"/>
          <w:lang w:eastAsia="bg-BG"/>
        </w:rPr>
        <w:t>тах</w:t>
      </w:r>
      <w:r w:rsidRPr="00812A1B">
        <w:rPr>
          <w:rFonts w:eastAsia="Times New Roman" w:cs="Arial"/>
          <w:color w:val="000000"/>
          <w:lang w:eastAsia="bg-BG"/>
        </w:rPr>
        <w:t xml:space="preserve"> на </w:t>
      </w:r>
      <w:r w:rsidRPr="00812A1B">
        <w:rPr>
          <w:rFonts w:eastAsia="Times New Roman" w:cs="Arial"/>
          <w:color w:val="000000"/>
          <w:lang w:val="en-US"/>
        </w:rPr>
        <w:t>N</w:t>
      </w:r>
      <w:r w:rsidRPr="00812A1B">
        <w:rPr>
          <w:rFonts w:eastAsia="Times New Roman" w:cs="Arial"/>
          <w:color w:val="000000"/>
          <w:lang w:eastAsia="bg-BG"/>
        </w:rPr>
        <w:t>-дезметилирания метаболит са нараснали съответно със 126% и 73% в сравнение със съответни по възраст доброволци без нарушение на бъбречната функция. Поради високите интериндивидуални вариации, обач</w:t>
      </w:r>
      <w:r w:rsidRPr="00812A1B">
        <w:rPr>
          <w:rFonts w:eastAsia="Times New Roman" w:cs="Arial"/>
          <w:color w:val="000000"/>
          <w:lang w:val="en-US"/>
        </w:rPr>
        <w:t xml:space="preserve">e </w:t>
      </w:r>
      <w:r w:rsidRPr="00812A1B">
        <w:rPr>
          <w:rFonts w:eastAsia="Times New Roman" w:cs="Arial"/>
          <w:color w:val="000000"/>
          <w:lang w:eastAsia="bg-BG"/>
        </w:rPr>
        <w:t xml:space="preserve">тези разлики не са били статистически значими. При доброволци с тежко увреждане на бъбречната функция (креатининов клирънс &lt;30 </w:t>
      </w:r>
      <w:r w:rsidRPr="00812A1B">
        <w:rPr>
          <w:rFonts w:eastAsia="Times New Roman" w:cs="Arial"/>
          <w:color w:val="000000"/>
          <w:lang w:val="en-US"/>
        </w:rPr>
        <w:t xml:space="preserve">ml/min) </w:t>
      </w:r>
      <w:r w:rsidRPr="00812A1B">
        <w:rPr>
          <w:rFonts w:eastAsia="Times New Roman" w:cs="Arial"/>
          <w:color w:val="000000"/>
          <w:lang w:eastAsia="bg-BG"/>
        </w:rPr>
        <w:t xml:space="preserve">клирънсът на силденафил е бил намален, което е довело до средно нарастване на </w:t>
      </w:r>
      <w:r w:rsidRPr="00812A1B">
        <w:rPr>
          <w:rFonts w:eastAsia="Times New Roman" w:cs="Arial"/>
          <w:color w:val="000000"/>
          <w:lang w:val="en-US"/>
        </w:rPr>
        <w:t xml:space="preserve">AUC </w:t>
      </w:r>
      <w:r w:rsidRPr="00812A1B">
        <w:rPr>
          <w:rFonts w:eastAsia="Times New Roman" w:cs="Arial"/>
          <w:color w:val="000000"/>
          <w:lang w:eastAsia="bg-BG"/>
        </w:rPr>
        <w:t>и С</w:t>
      </w:r>
      <w:r w:rsidRPr="00812A1B">
        <w:rPr>
          <w:rFonts w:eastAsia="Times New Roman" w:cs="Arial"/>
          <w:color w:val="000000"/>
          <w:vertAlign w:val="subscript"/>
          <w:lang w:eastAsia="bg-BG"/>
        </w:rPr>
        <w:t>тах</w:t>
      </w:r>
      <w:r w:rsidRPr="00812A1B">
        <w:rPr>
          <w:rFonts w:eastAsia="Times New Roman" w:cs="Arial"/>
          <w:color w:val="000000"/>
          <w:lang w:eastAsia="bg-BG"/>
        </w:rPr>
        <w:t xml:space="preserve"> със съответно 100% и 88% в сравнение със съответни по възраст доброволци без бъбречно увреждане. Освен това стойностите на </w:t>
      </w:r>
      <w:r w:rsidRPr="00812A1B">
        <w:rPr>
          <w:rFonts w:eastAsia="Times New Roman" w:cs="Arial"/>
          <w:color w:val="000000"/>
          <w:lang w:val="en-US"/>
        </w:rPr>
        <w:t xml:space="preserve">AUC </w:t>
      </w:r>
      <w:r w:rsidRPr="00812A1B">
        <w:rPr>
          <w:rFonts w:eastAsia="Times New Roman" w:cs="Arial"/>
          <w:color w:val="000000"/>
          <w:lang w:eastAsia="bg-BG"/>
        </w:rPr>
        <w:t xml:space="preserve">и </w:t>
      </w:r>
      <w:proofErr w:type="spellStart"/>
      <w:r w:rsidRPr="00812A1B">
        <w:rPr>
          <w:rFonts w:eastAsia="Times New Roman" w:cs="Arial"/>
          <w:color w:val="000000"/>
          <w:lang w:val="en-US"/>
        </w:rPr>
        <w:t>Cmax</w:t>
      </w:r>
      <w:proofErr w:type="spellEnd"/>
      <w:r w:rsidRPr="00812A1B">
        <w:rPr>
          <w:rFonts w:eastAsia="Times New Roman" w:cs="Arial"/>
          <w:color w:val="000000"/>
          <w:lang w:val="en-US"/>
        </w:rPr>
        <w:t xml:space="preserve"> </w:t>
      </w:r>
      <w:r w:rsidRPr="00812A1B">
        <w:rPr>
          <w:rFonts w:eastAsia="Times New Roman" w:cs="Arial"/>
          <w:color w:val="000000"/>
          <w:lang w:eastAsia="bg-BG"/>
        </w:rPr>
        <w:t xml:space="preserve">на </w:t>
      </w:r>
      <w:r w:rsidRPr="00A459D7">
        <w:rPr>
          <w:rFonts w:eastAsia="Times New Roman" w:cs="Arial"/>
          <w:color w:val="000000"/>
          <w:lang w:eastAsia="bg-BG"/>
        </w:rPr>
        <w:t>дезметилирания метаболит са нараснали сигнификантно, съответно със 79% и 200%.</w:t>
      </w:r>
    </w:p>
    <w:p w14:paraId="431D9CEF" w14:textId="77777777" w:rsidR="00812A1B" w:rsidRPr="00A459D7" w:rsidRDefault="00812A1B" w:rsidP="007A2185">
      <w:pPr>
        <w:rPr>
          <w:rFonts w:cs="Arial"/>
        </w:rPr>
      </w:pPr>
    </w:p>
    <w:p w14:paraId="25F70534" w14:textId="77777777" w:rsidR="00812A1B" w:rsidRPr="00812A1B" w:rsidRDefault="00812A1B" w:rsidP="00812A1B">
      <w:pPr>
        <w:spacing w:line="240" w:lineRule="auto"/>
        <w:rPr>
          <w:rFonts w:eastAsia="Times New Roman" w:cs="Arial"/>
          <w:lang w:eastAsia="bg-BG"/>
        </w:rPr>
      </w:pPr>
      <w:r w:rsidRPr="00812A1B">
        <w:rPr>
          <w:rFonts w:eastAsia="Times New Roman" w:cs="Arial"/>
          <w:i/>
          <w:iCs/>
          <w:color w:val="000000"/>
          <w:u w:val="single"/>
          <w:lang w:eastAsia="bg-BG"/>
        </w:rPr>
        <w:t>Чернодробна недостатъчност:</w:t>
      </w:r>
    </w:p>
    <w:p w14:paraId="108F5CDB" w14:textId="77777777" w:rsidR="00812A1B" w:rsidRPr="00812A1B" w:rsidRDefault="00812A1B" w:rsidP="00812A1B">
      <w:pPr>
        <w:spacing w:line="240" w:lineRule="auto"/>
        <w:rPr>
          <w:rFonts w:eastAsia="Times New Roman" w:cs="Arial"/>
          <w:lang w:eastAsia="bg-BG"/>
        </w:rPr>
      </w:pPr>
      <w:r w:rsidRPr="00812A1B">
        <w:rPr>
          <w:rFonts w:eastAsia="Times New Roman" w:cs="Arial"/>
          <w:color w:val="000000"/>
          <w:lang w:eastAsia="bg-BG"/>
        </w:rPr>
        <w:t xml:space="preserve">При доброволци с лека до умерена степен на чернодробна цироза (А и В по </w:t>
      </w:r>
      <w:r w:rsidRPr="00812A1B">
        <w:rPr>
          <w:rFonts w:eastAsia="Times New Roman" w:cs="Arial"/>
          <w:color w:val="000000"/>
          <w:lang w:val="en-US"/>
        </w:rPr>
        <w:t xml:space="preserve">Child-Pugh) </w:t>
      </w:r>
      <w:r w:rsidRPr="00812A1B">
        <w:rPr>
          <w:rFonts w:eastAsia="Times New Roman" w:cs="Arial"/>
          <w:color w:val="000000"/>
          <w:lang w:eastAsia="bg-BG"/>
        </w:rPr>
        <w:t xml:space="preserve">клирънсът на силденафил е бил намален, което е довело до нарастване на </w:t>
      </w:r>
      <w:r w:rsidRPr="00812A1B">
        <w:rPr>
          <w:rFonts w:eastAsia="Times New Roman" w:cs="Arial"/>
          <w:color w:val="000000"/>
          <w:lang w:val="en-US"/>
        </w:rPr>
        <w:t xml:space="preserve">AUC </w:t>
      </w:r>
      <w:r w:rsidRPr="00812A1B">
        <w:rPr>
          <w:rFonts w:eastAsia="Times New Roman" w:cs="Arial"/>
          <w:color w:val="000000"/>
          <w:lang w:eastAsia="bg-BG"/>
        </w:rPr>
        <w:t>(с 84%) и на С</w:t>
      </w:r>
      <w:r w:rsidRPr="00812A1B">
        <w:rPr>
          <w:rFonts w:eastAsia="Times New Roman" w:cs="Arial"/>
          <w:color w:val="000000"/>
          <w:vertAlign w:val="subscript"/>
          <w:lang w:val="en-US"/>
        </w:rPr>
        <w:t>max</w:t>
      </w:r>
      <w:r w:rsidRPr="00812A1B">
        <w:rPr>
          <w:rFonts w:eastAsia="Times New Roman" w:cs="Arial"/>
          <w:color w:val="000000"/>
          <w:lang w:eastAsia="bg-BG"/>
        </w:rPr>
        <w:t xml:space="preserve"> (с 47%) в сравнение със съответни по възраст доброволци без чернодробно увреждане.</w:t>
      </w:r>
    </w:p>
    <w:p w14:paraId="45551830" w14:textId="66EA038A" w:rsidR="007A2185" w:rsidRPr="00A459D7" w:rsidRDefault="00812A1B" w:rsidP="00812A1B">
      <w:pPr>
        <w:rPr>
          <w:rFonts w:cs="Arial"/>
        </w:rPr>
      </w:pPr>
      <w:r w:rsidRPr="00A459D7">
        <w:rPr>
          <w:rFonts w:eastAsia="Times New Roman" w:cs="Arial"/>
          <w:color w:val="000000"/>
          <w:lang w:eastAsia="bg-BG"/>
        </w:rPr>
        <w:t>Фармакокинетиката на силденафил при пациенти с тежко нарушена чернодробна функция не е проучена.</w:t>
      </w:r>
    </w:p>
    <w:p w14:paraId="4EE1BB0B" w14:textId="77777777" w:rsidR="0091385D" w:rsidRPr="0091385D" w:rsidRDefault="0091385D" w:rsidP="0091385D"/>
    <w:p w14:paraId="648E39DA" w14:textId="44D16CBD" w:rsidR="00CF77F7" w:rsidRDefault="002C50EE" w:rsidP="004A448E">
      <w:pPr>
        <w:pStyle w:val="Heading2"/>
      </w:pPr>
      <w:r>
        <w:t>5.3. Предклинични данни за безопасност</w:t>
      </w:r>
    </w:p>
    <w:p w14:paraId="20E967BE" w14:textId="751DCF54" w:rsidR="0091385D" w:rsidRDefault="0091385D" w:rsidP="0091385D"/>
    <w:p w14:paraId="13A7B62A" w14:textId="3FEB45D7" w:rsidR="007A2185" w:rsidRPr="00A459D7" w:rsidRDefault="00812A1B" w:rsidP="0091385D">
      <w:pPr>
        <w:rPr>
          <w:rFonts w:cs="Arial"/>
        </w:rPr>
      </w:pPr>
      <w:r w:rsidRPr="00A459D7">
        <w:rPr>
          <w:rFonts w:cs="Arial"/>
        </w:rPr>
        <w:t>Неклиничните данни не показват особен риск за хората на база на конвенционалните фармакологични изпитвания за безопасност, хронична токсичност, генотоксичност, карциногенен потенциал и репродуктивна токсичност.</w:t>
      </w:r>
    </w:p>
    <w:p w14:paraId="12FFA9B2" w14:textId="77777777" w:rsidR="007A2185" w:rsidRPr="0091385D" w:rsidRDefault="007A2185" w:rsidP="0091385D"/>
    <w:p w14:paraId="6A7820AB" w14:textId="353DB6D2" w:rsidR="008A6AF2" w:rsidRDefault="002C50EE" w:rsidP="00395555">
      <w:pPr>
        <w:pStyle w:val="Heading1"/>
      </w:pPr>
      <w:r>
        <w:lastRenderedPageBreak/>
        <w:t>7. ПРИТЕЖАТЕЛ НА РАЗРЕШЕНИЕТО ЗА УПОТРЕБА</w:t>
      </w:r>
    </w:p>
    <w:p w14:paraId="1B9B651E" w14:textId="24042B6C" w:rsidR="0091385D" w:rsidRDefault="0091385D" w:rsidP="0091385D"/>
    <w:p w14:paraId="16C80556" w14:textId="77777777" w:rsidR="00812A1B" w:rsidRPr="00812A1B" w:rsidRDefault="00812A1B" w:rsidP="00812A1B">
      <w:pPr>
        <w:spacing w:line="240" w:lineRule="auto"/>
        <w:rPr>
          <w:rFonts w:eastAsia="Times New Roman" w:cs="Arial"/>
          <w:lang w:val="en-US" w:eastAsia="bg-BG"/>
        </w:rPr>
      </w:pPr>
      <w:r w:rsidRPr="00812A1B">
        <w:rPr>
          <w:rFonts w:eastAsia="Times New Roman" w:cs="Arial"/>
          <w:color w:val="000000"/>
          <w:lang w:val="en-US"/>
        </w:rPr>
        <w:t xml:space="preserve">Sandoz </w:t>
      </w:r>
      <w:proofErr w:type="spellStart"/>
      <w:r w:rsidRPr="00812A1B">
        <w:rPr>
          <w:rFonts w:eastAsia="Times New Roman" w:cs="Arial"/>
          <w:color w:val="000000"/>
          <w:lang w:val="en-US"/>
        </w:rPr>
        <w:t>d.d</w:t>
      </w:r>
      <w:proofErr w:type="spellEnd"/>
      <w:r w:rsidRPr="00812A1B">
        <w:rPr>
          <w:rFonts w:eastAsia="Times New Roman" w:cs="Arial"/>
          <w:color w:val="000000"/>
          <w:lang w:val="en-US"/>
        </w:rPr>
        <w:t>.</w:t>
      </w:r>
    </w:p>
    <w:p w14:paraId="4D71B665" w14:textId="77777777" w:rsidR="00812A1B" w:rsidRPr="00A459D7" w:rsidRDefault="00812A1B" w:rsidP="00812A1B">
      <w:pPr>
        <w:rPr>
          <w:rFonts w:eastAsia="Times New Roman" w:cs="Arial"/>
          <w:color w:val="000000"/>
          <w:lang w:val="en-US"/>
        </w:rPr>
      </w:pPr>
      <w:proofErr w:type="spellStart"/>
      <w:r w:rsidRPr="00A459D7">
        <w:rPr>
          <w:rFonts w:eastAsia="Times New Roman" w:cs="Arial"/>
          <w:color w:val="000000"/>
          <w:lang w:val="en-US"/>
        </w:rPr>
        <w:t>Verovskova</w:t>
      </w:r>
      <w:proofErr w:type="spellEnd"/>
      <w:r w:rsidRPr="00A459D7">
        <w:rPr>
          <w:rFonts w:eastAsia="Times New Roman" w:cs="Arial"/>
          <w:color w:val="000000"/>
          <w:lang w:val="en-US"/>
        </w:rPr>
        <w:t xml:space="preserve"> 57 </w:t>
      </w:r>
    </w:p>
    <w:p w14:paraId="6B48BD16" w14:textId="608AF1F9" w:rsidR="00812A1B" w:rsidRPr="00A459D7" w:rsidRDefault="00812A1B" w:rsidP="00812A1B">
      <w:pPr>
        <w:rPr>
          <w:rFonts w:eastAsia="Times New Roman" w:cs="Arial"/>
          <w:color w:val="000000"/>
          <w:lang w:val="en-US"/>
        </w:rPr>
      </w:pPr>
      <w:r w:rsidRPr="00A459D7">
        <w:rPr>
          <w:rFonts w:eastAsia="Times New Roman" w:cs="Arial"/>
          <w:color w:val="000000"/>
          <w:lang w:val="en-US"/>
        </w:rPr>
        <w:t xml:space="preserve">1000 Ljubljana </w:t>
      </w:r>
    </w:p>
    <w:p w14:paraId="4F02909F" w14:textId="088ED9DE" w:rsidR="007A2185" w:rsidRPr="00A459D7" w:rsidRDefault="00812A1B" w:rsidP="00812A1B">
      <w:pPr>
        <w:rPr>
          <w:rFonts w:cs="Arial"/>
        </w:rPr>
      </w:pPr>
      <w:r w:rsidRPr="00A459D7">
        <w:rPr>
          <w:rFonts w:eastAsia="Times New Roman" w:cs="Arial"/>
          <w:color w:val="000000"/>
          <w:lang w:eastAsia="bg-BG"/>
        </w:rPr>
        <w:t>Словения</w:t>
      </w:r>
    </w:p>
    <w:p w14:paraId="129C7566" w14:textId="77777777" w:rsidR="0091385D" w:rsidRPr="0091385D" w:rsidRDefault="0091385D" w:rsidP="0091385D"/>
    <w:p w14:paraId="7BA1BA64" w14:textId="17509450" w:rsidR="00CF77F7" w:rsidRDefault="002C50EE" w:rsidP="004A448E">
      <w:pPr>
        <w:pStyle w:val="Heading1"/>
      </w:pPr>
      <w:r>
        <w:t>8. НОМЕР НА РАЗРЕШЕНИЕТО ЗА УПОТРЕБА</w:t>
      </w:r>
    </w:p>
    <w:p w14:paraId="095674C4" w14:textId="3072FB0E" w:rsidR="0091385D" w:rsidRDefault="0091385D" w:rsidP="0091385D"/>
    <w:p w14:paraId="46161304" w14:textId="77777777" w:rsidR="007A2185" w:rsidRDefault="007A2185" w:rsidP="0091385D"/>
    <w:p w14:paraId="62EF7F8B" w14:textId="77777777" w:rsidR="0091385D" w:rsidRPr="0091385D" w:rsidRDefault="0091385D" w:rsidP="0091385D"/>
    <w:p w14:paraId="2CCB5832" w14:textId="18FCD95B" w:rsidR="007C605B" w:rsidRDefault="002C50EE" w:rsidP="007C605B">
      <w:pPr>
        <w:pStyle w:val="Heading1"/>
      </w:pPr>
      <w:r>
        <w:t>9. ДАТА НА ПЪРВО РАЗРЕШАВАНЕ/ПОДНОВЯВАНЕ НА РАЗРЕШЕНИЕТО ЗА УПОТРЕБА</w:t>
      </w:r>
    </w:p>
    <w:p w14:paraId="372B3414" w14:textId="57E44C81" w:rsidR="0091385D" w:rsidRDefault="0091385D" w:rsidP="0091385D"/>
    <w:p w14:paraId="6C57D8B6" w14:textId="77777777" w:rsidR="007A2185" w:rsidRDefault="007A2185" w:rsidP="0091385D"/>
    <w:p w14:paraId="0A56E09D" w14:textId="77777777" w:rsidR="0091385D" w:rsidRPr="0091385D" w:rsidRDefault="0091385D" w:rsidP="0091385D"/>
    <w:p w14:paraId="0E9D0119" w14:textId="1FEC128A" w:rsidR="002C50EE" w:rsidRDefault="002C50EE" w:rsidP="002C50EE">
      <w:pPr>
        <w:pStyle w:val="Heading1"/>
      </w:pPr>
      <w:r>
        <w:t>10. ДАТА НА АКТУАЛИЗИРАНЕ НА ТЕКСТА</w:t>
      </w:r>
    </w:p>
    <w:p w14:paraId="3E8FFCC4" w14:textId="0121B4E2" w:rsidR="0091385D" w:rsidRDefault="0091385D" w:rsidP="0091385D"/>
    <w:p w14:paraId="0524F1D6" w14:textId="77777777" w:rsidR="007A2185" w:rsidRDefault="007A2185" w:rsidP="0091385D"/>
    <w:p w14:paraId="6B00148E" w14:textId="77777777" w:rsidR="0091385D" w:rsidRPr="0091385D" w:rsidRDefault="0091385D" w:rsidP="0091385D"/>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3A6795"/>
    <w:multiLevelType w:val="hybridMultilevel"/>
    <w:tmpl w:val="0540A0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6"/>
  </w:num>
  <w:num w:numId="7">
    <w:abstractNumId w:val="10"/>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1"/>
  </w:num>
  <w:num w:numId="15">
    <w:abstractNumId w:val="29"/>
  </w:num>
  <w:num w:numId="16">
    <w:abstractNumId w:val="9"/>
  </w:num>
  <w:num w:numId="17">
    <w:abstractNumId w:val="24"/>
  </w:num>
  <w:num w:numId="18">
    <w:abstractNumId w:val="7"/>
  </w:num>
  <w:num w:numId="19">
    <w:abstractNumId w:val="26"/>
  </w:num>
  <w:num w:numId="20">
    <w:abstractNumId w:val="23"/>
  </w:num>
  <w:num w:numId="21">
    <w:abstractNumId w:val="17"/>
  </w:num>
  <w:num w:numId="22">
    <w:abstractNumId w:val="25"/>
  </w:num>
  <w:num w:numId="23">
    <w:abstractNumId w:val="18"/>
  </w:num>
  <w:num w:numId="24">
    <w:abstractNumId w:val="8"/>
  </w:num>
  <w:num w:numId="25">
    <w:abstractNumId w:val="22"/>
  </w:num>
  <w:num w:numId="26">
    <w:abstractNumId w:val="21"/>
  </w:num>
  <w:num w:numId="27">
    <w:abstractNumId w:val="31"/>
  </w:num>
  <w:num w:numId="28">
    <w:abstractNumId w:val="6"/>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B0F27"/>
    <w:rsid w:val="00605BCA"/>
    <w:rsid w:val="006158A1"/>
    <w:rsid w:val="00617B1F"/>
    <w:rsid w:val="00672487"/>
    <w:rsid w:val="00672600"/>
    <w:rsid w:val="00681D4A"/>
    <w:rsid w:val="00682341"/>
    <w:rsid w:val="00685882"/>
    <w:rsid w:val="0075649D"/>
    <w:rsid w:val="007A2185"/>
    <w:rsid w:val="007C605B"/>
    <w:rsid w:val="00812A1B"/>
    <w:rsid w:val="008134C8"/>
    <w:rsid w:val="00814073"/>
    <w:rsid w:val="00826F0D"/>
    <w:rsid w:val="00893B92"/>
    <w:rsid w:val="008A6AF2"/>
    <w:rsid w:val="008C70A2"/>
    <w:rsid w:val="008F1AF3"/>
    <w:rsid w:val="0091385D"/>
    <w:rsid w:val="009773E4"/>
    <w:rsid w:val="009B171C"/>
    <w:rsid w:val="009F1313"/>
    <w:rsid w:val="00A20351"/>
    <w:rsid w:val="00A459D7"/>
    <w:rsid w:val="00A65A81"/>
    <w:rsid w:val="00A73575"/>
    <w:rsid w:val="00AA23EC"/>
    <w:rsid w:val="00AC63CE"/>
    <w:rsid w:val="00AE2107"/>
    <w:rsid w:val="00B275A8"/>
    <w:rsid w:val="00BB3B9C"/>
    <w:rsid w:val="00BF2600"/>
    <w:rsid w:val="00C0049F"/>
    <w:rsid w:val="00C07B84"/>
    <w:rsid w:val="00C33464"/>
    <w:rsid w:val="00C40420"/>
    <w:rsid w:val="00C809A7"/>
    <w:rsid w:val="00C83063"/>
    <w:rsid w:val="00C87E90"/>
    <w:rsid w:val="00CA1B57"/>
    <w:rsid w:val="00CF77F7"/>
    <w:rsid w:val="00D86297"/>
    <w:rsid w:val="00DD466D"/>
    <w:rsid w:val="00EB6364"/>
    <w:rsid w:val="00EC41ED"/>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4959</Words>
  <Characters>28269</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2023-04-05T17:33:00Z</dcterms:created>
  <dcterms:modified xsi:type="dcterms:W3CDTF">2023-04-05T17:33:00Z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