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09CEB67B" w:rsidR="002C50EE" w:rsidRDefault="002C50EE" w:rsidP="002C50EE">
      <w:pPr>
        <w:pStyle w:val="Heading1"/>
        <w:jc w:val="center"/>
      </w:pPr>
      <w:bookmarkStart w:id="0" w:name="_Hlk63124480"/>
      <w:r>
        <w:t>КРАТКА ХАРАКТЕРИСТИКА НА ПРОДУКТА</w:t>
      </w:r>
    </w:p>
    <w:p w14:paraId="5A3B4435" w14:textId="77777777" w:rsidR="0091385D" w:rsidRPr="0091385D" w:rsidRDefault="0091385D" w:rsidP="0091385D"/>
    <w:p w14:paraId="3320F4BE" w14:textId="2EB48694" w:rsidR="00C40420" w:rsidRDefault="00DD466D" w:rsidP="004A448E">
      <w:pPr>
        <w:pStyle w:val="Heading1"/>
      </w:pPr>
      <w:r>
        <w:t>1.ИМЕ НА ЛЕКАРСТВЕНИЯ ПРОДУКТ</w:t>
      </w:r>
    </w:p>
    <w:p w14:paraId="5E9BA472" w14:textId="28012C85" w:rsidR="0091385D" w:rsidRDefault="0091385D" w:rsidP="0091385D"/>
    <w:p w14:paraId="041ED91E" w14:textId="77777777" w:rsidR="00FE2848" w:rsidRPr="00FE2848" w:rsidRDefault="00FE2848" w:rsidP="00FE2848">
      <w:pPr>
        <w:spacing w:line="240" w:lineRule="auto"/>
        <w:rPr>
          <w:rFonts w:eastAsia="Times New Roman" w:cs="Arial"/>
          <w:lang w:val="en-US" w:eastAsia="bg-BG"/>
        </w:rPr>
      </w:pPr>
      <w:r w:rsidRPr="00FE2848">
        <w:rPr>
          <w:rFonts w:eastAsia="Times New Roman" w:cs="Arial"/>
          <w:color w:val="000000"/>
          <w:lang w:eastAsia="bg-BG"/>
        </w:rPr>
        <w:t xml:space="preserve">Симвакор 10 </w:t>
      </w:r>
      <w:r w:rsidRPr="00FE2848">
        <w:rPr>
          <w:rFonts w:eastAsia="Times New Roman" w:cs="Arial"/>
          <w:color w:val="000000"/>
          <w:lang w:val="en-US"/>
        </w:rPr>
        <w:t xml:space="preserve">mg </w:t>
      </w:r>
      <w:r w:rsidRPr="00FE2848">
        <w:rPr>
          <w:rFonts w:eastAsia="Times New Roman" w:cs="Arial"/>
          <w:color w:val="000000"/>
          <w:lang w:eastAsia="bg-BG"/>
        </w:rPr>
        <w:t>филмирани таблетки</w:t>
      </w:r>
    </w:p>
    <w:p w14:paraId="2E7C0CB2" w14:textId="77777777" w:rsidR="00FE2848" w:rsidRPr="00FE2848" w:rsidRDefault="00FE2848" w:rsidP="00FE2848">
      <w:pPr>
        <w:spacing w:line="240" w:lineRule="auto"/>
        <w:rPr>
          <w:rFonts w:eastAsia="Times New Roman" w:cs="Arial"/>
          <w:lang w:val="en-US" w:eastAsia="bg-BG"/>
        </w:rPr>
      </w:pPr>
      <w:r w:rsidRPr="00FE2848">
        <w:rPr>
          <w:rFonts w:eastAsia="Times New Roman" w:cs="Arial"/>
          <w:color w:val="000000"/>
          <w:lang w:eastAsia="bg-BG"/>
        </w:rPr>
        <w:t xml:space="preserve">Симвакор 20 </w:t>
      </w:r>
      <w:r w:rsidRPr="00FE2848">
        <w:rPr>
          <w:rFonts w:eastAsia="Times New Roman" w:cs="Arial"/>
          <w:color w:val="000000"/>
          <w:lang w:val="en-US"/>
        </w:rPr>
        <w:t xml:space="preserve">mg </w:t>
      </w:r>
      <w:r w:rsidRPr="00FE2848">
        <w:rPr>
          <w:rFonts w:eastAsia="Times New Roman" w:cs="Arial"/>
          <w:color w:val="000000"/>
          <w:lang w:eastAsia="bg-BG"/>
        </w:rPr>
        <w:t>филмирани таблетки</w:t>
      </w:r>
    </w:p>
    <w:p w14:paraId="67FFD65D" w14:textId="77777777" w:rsidR="00FE2848" w:rsidRPr="00FE2848" w:rsidRDefault="00FE2848" w:rsidP="00FE2848">
      <w:pPr>
        <w:spacing w:line="240" w:lineRule="auto"/>
        <w:rPr>
          <w:rFonts w:eastAsia="Times New Roman" w:cs="Arial"/>
          <w:lang w:val="en-US" w:eastAsia="bg-BG"/>
        </w:rPr>
      </w:pPr>
      <w:r w:rsidRPr="00FE2848">
        <w:rPr>
          <w:rFonts w:eastAsia="Times New Roman" w:cs="Arial"/>
          <w:color w:val="000000"/>
          <w:lang w:eastAsia="bg-BG"/>
        </w:rPr>
        <w:t xml:space="preserve">Симвакор 40 </w:t>
      </w:r>
      <w:r w:rsidRPr="00FE2848">
        <w:rPr>
          <w:rFonts w:eastAsia="Times New Roman" w:cs="Arial"/>
          <w:color w:val="000000"/>
          <w:lang w:val="en-US"/>
        </w:rPr>
        <w:t xml:space="preserve">mg </w:t>
      </w:r>
      <w:r w:rsidRPr="00FE2848">
        <w:rPr>
          <w:rFonts w:eastAsia="Times New Roman" w:cs="Arial"/>
          <w:color w:val="000000"/>
          <w:lang w:eastAsia="bg-BG"/>
        </w:rPr>
        <w:t>филмирани таблетки</w:t>
      </w:r>
    </w:p>
    <w:p w14:paraId="738F0BA9" w14:textId="77777777" w:rsidR="00FE2848" w:rsidRPr="00FE2848" w:rsidRDefault="00FE2848" w:rsidP="00FE2848">
      <w:pPr>
        <w:spacing w:line="240" w:lineRule="auto"/>
        <w:rPr>
          <w:rFonts w:eastAsia="Times New Roman" w:cs="Arial"/>
          <w:color w:val="000000"/>
          <w:lang w:val="en-US"/>
        </w:rPr>
      </w:pPr>
    </w:p>
    <w:p w14:paraId="5CCF957C" w14:textId="7335D73C" w:rsidR="00FE2848" w:rsidRPr="00FE2848" w:rsidRDefault="00FE2848" w:rsidP="00FE2848">
      <w:pPr>
        <w:spacing w:line="240" w:lineRule="auto"/>
        <w:rPr>
          <w:rFonts w:eastAsia="Times New Roman" w:cs="Arial"/>
          <w:lang w:val="en-US" w:eastAsia="bg-BG"/>
        </w:rPr>
      </w:pPr>
      <w:proofErr w:type="spellStart"/>
      <w:r w:rsidRPr="00FE2848">
        <w:rPr>
          <w:rFonts w:eastAsia="Times New Roman" w:cs="Arial"/>
          <w:color w:val="000000"/>
          <w:lang w:val="en-US"/>
        </w:rPr>
        <w:t>Simvacor</w:t>
      </w:r>
      <w:proofErr w:type="spellEnd"/>
      <w:r w:rsidRPr="00FE2848">
        <w:rPr>
          <w:rFonts w:eastAsia="Times New Roman" w:cs="Arial"/>
          <w:color w:val="000000"/>
          <w:lang w:val="en-US"/>
        </w:rPr>
        <w:t xml:space="preserve"> </w:t>
      </w:r>
      <w:r w:rsidRPr="00FE2848">
        <w:rPr>
          <w:rFonts w:eastAsia="Times New Roman" w:cs="Arial"/>
          <w:color w:val="000000"/>
          <w:lang w:eastAsia="bg-BG"/>
        </w:rPr>
        <w:t xml:space="preserve">10 </w:t>
      </w:r>
      <w:r w:rsidRPr="00FE2848">
        <w:rPr>
          <w:rFonts w:eastAsia="Times New Roman" w:cs="Arial"/>
          <w:color w:val="000000"/>
          <w:lang w:val="en-US"/>
        </w:rPr>
        <w:t>mg film-coated tablets</w:t>
      </w:r>
    </w:p>
    <w:p w14:paraId="22A69EE0" w14:textId="77777777" w:rsidR="00FE2848" w:rsidRPr="00FE2848" w:rsidRDefault="00FE2848" w:rsidP="00FE2848">
      <w:pPr>
        <w:spacing w:line="240" w:lineRule="auto"/>
        <w:rPr>
          <w:rFonts w:eastAsia="Times New Roman" w:cs="Arial"/>
          <w:lang w:val="en-US" w:eastAsia="bg-BG"/>
        </w:rPr>
      </w:pPr>
      <w:proofErr w:type="spellStart"/>
      <w:r w:rsidRPr="00FE2848">
        <w:rPr>
          <w:rFonts w:eastAsia="Times New Roman" w:cs="Arial"/>
          <w:color w:val="000000"/>
          <w:lang w:val="en-US"/>
        </w:rPr>
        <w:t>Simvacor</w:t>
      </w:r>
      <w:proofErr w:type="spellEnd"/>
      <w:r w:rsidRPr="00FE2848">
        <w:rPr>
          <w:rFonts w:eastAsia="Times New Roman" w:cs="Arial"/>
          <w:color w:val="000000"/>
          <w:lang w:val="en-US"/>
        </w:rPr>
        <w:t xml:space="preserve"> 20 mg film-coated tablets</w:t>
      </w:r>
    </w:p>
    <w:p w14:paraId="5015A1FD" w14:textId="6D29AF45" w:rsidR="00A73575" w:rsidRPr="00FE2848" w:rsidRDefault="00FE2848" w:rsidP="00FE2848">
      <w:pPr>
        <w:rPr>
          <w:rFonts w:cs="Arial"/>
        </w:rPr>
      </w:pPr>
      <w:proofErr w:type="spellStart"/>
      <w:r w:rsidRPr="00FE2848">
        <w:rPr>
          <w:rFonts w:eastAsia="Times New Roman" w:cs="Arial"/>
          <w:color w:val="000000"/>
          <w:lang w:val="en-US"/>
        </w:rPr>
        <w:t>Simvacor</w:t>
      </w:r>
      <w:proofErr w:type="spellEnd"/>
      <w:r w:rsidRPr="00FE2848">
        <w:rPr>
          <w:rFonts w:eastAsia="Times New Roman" w:cs="Arial"/>
          <w:color w:val="000000"/>
          <w:lang w:val="en-US"/>
        </w:rPr>
        <w:t xml:space="preserve"> 40 mg film-coated tablets</w:t>
      </w:r>
    </w:p>
    <w:p w14:paraId="1E8447D1" w14:textId="77777777" w:rsidR="0091385D" w:rsidRPr="0091385D" w:rsidRDefault="0091385D" w:rsidP="0091385D"/>
    <w:p w14:paraId="6920A680" w14:textId="53C3EFCC" w:rsidR="00C40420" w:rsidRDefault="00DD466D" w:rsidP="004A448E">
      <w:pPr>
        <w:pStyle w:val="Heading1"/>
      </w:pPr>
      <w:r>
        <w:t>2. КАЧЕСТВЕН И КОЛИЧЕСТВЕН СЪСТАВ</w:t>
      </w:r>
    </w:p>
    <w:p w14:paraId="1ED33AE8" w14:textId="288788EF" w:rsidR="0091385D" w:rsidRDefault="0091385D" w:rsidP="0091385D"/>
    <w:p w14:paraId="04CACB5D" w14:textId="77777777" w:rsidR="00FE2848" w:rsidRPr="00FE2848" w:rsidRDefault="00FE2848" w:rsidP="00FE2848">
      <w:pPr>
        <w:spacing w:line="240" w:lineRule="auto"/>
        <w:rPr>
          <w:rFonts w:eastAsia="Times New Roman" w:cs="Arial"/>
          <w:lang w:eastAsia="bg-BG"/>
        </w:rPr>
      </w:pPr>
      <w:r w:rsidRPr="00FE2848">
        <w:rPr>
          <w:rFonts w:eastAsia="Times New Roman" w:cs="Arial"/>
          <w:color w:val="000000"/>
          <w:lang w:eastAsia="bg-BG"/>
        </w:rPr>
        <w:t xml:space="preserve">Всяка таблетка съдържа съответно 10 </w:t>
      </w:r>
      <w:r w:rsidRPr="00FE2848">
        <w:rPr>
          <w:rFonts w:eastAsia="Times New Roman" w:cs="Arial"/>
          <w:color w:val="000000"/>
          <w:lang w:val="en-US"/>
        </w:rPr>
        <w:t xml:space="preserve">mg, </w:t>
      </w:r>
      <w:r w:rsidRPr="00FE2848">
        <w:rPr>
          <w:rFonts w:eastAsia="Times New Roman" w:cs="Arial"/>
          <w:color w:val="000000"/>
          <w:lang w:eastAsia="bg-BG"/>
        </w:rPr>
        <w:t xml:space="preserve">20 </w:t>
      </w:r>
      <w:r w:rsidRPr="00FE2848">
        <w:rPr>
          <w:rFonts w:eastAsia="Times New Roman" w:cs="Arial"/>
          <w:color w:val="000000"/>
          <w:lang w:val="en-US"/>
        </w:rPr>
        <w:t xml:space="preserve">mg </w:t>
      </w:r>
      <w:r w:rsidRPr="00FE2848">
        <w:rPr>
          <w:rFonts w:eastAsia="Times New Roman" w:cs="Arial"/>
          <w:color w:val="000000"/>
          <w:lang w:eastAsia="bg-BG"/>
        </w:rPr>
        <w:t xml:space="preserve">или 40 </w:t>
      </w:r>
      <w:r w:rsidRPr="00FE2848">
        <w:rPr>
          <w:rFonts w:eastAsia="Times New Roman" w:cs="Arial"/>
          <w:color w:val="000000"/>
          <w:lang w:val="en-US"/>
        </w:rPr>
        <w:t xml:space="preserve">mg </w:t>
      </w:r>
      <w:r w:rsidRPr="00FE2848">
        <w:rPr>
          <w:rFonts w:eastAsia="Times New Roman" w:cs="Arial"/>
          <w:color w:val="000000"/>
          <w:lang w:eastAsia="bg-BG"/>
        </w:rPr>
        <w:t xml:space="preserve">симвастатин </w:t>
      </w:r>
      <w:r w:rsidRPr="00FE2848">
        <w:rPr>
          <w:rFonts w:eastAsia="Times New Roman" w:cs="Arial"/>
          <w:color w:val="000000"/>
          <w:lang w:val="en-US"/>
        </w:rPr>
        <w:t>(simvastatin)</w:t>
      </w:r>
      <w:r w:rsidRPr="00FE2848">
        <w:rPr>
          <w:rFonts w:eastAsia="Times New Roman" w:cs="Arial"/>
          <w:color w:val="000000"/>
          <w:lang w:eastAsia="bg-BG"/>
        </w:rPr>
        <w:t>.</w:t>
      </w:r>
    </w:p>
    <w:p w14:paraId="0604C53C" w14:textId="77777777" w:rsidR="00FE2848" w:rsidRPr="00FE2848" w:rsidRDefault="00FE2848" w:rsidP="00FE2848">
      <w:pPr>
        <w:spacing w:line="240" w:lineRule="auto"/>
        <w:rPr>
          <w:rFonts w:eastAsia="Times New Roman" w:cs="Arial"/>
          <w:color w:val="000000"/>
          <w:u w:val="single"/>
          <w:lang w:eastAsia="bg-BG"/>
        </w:rPr>
      </w:pPr>
    </w:p>
    <w:p w14:paraId="72E86CAC" w14:textId="2910D694" w:rsidR="00FE2848" w:rsidRPr="00FE2848" w:rsidRDefault="00FE2848" w:rsidP="00FE2848">
      <w:pPr>
        <w:spacing w:line="240" w:lineRule="auto"/>
        <w:rPr>
          <w:rFonts w:eastAsia="Times New Roman" w:cs="Arial"/>
          <w:lang w:eastAsia="bg-BG"/>
        </w:rPr>
      </w:pPr>
      <w:r w:rsidRPr="00FE2848">
        <w:rPr>
          <w:rFonts w:eastAsia="Times New Roman" w:cs="Arial"/>
          <w:color w:val="000000"/>
          <w:u w:val="single"/>
          <w:lang w:eastAsia="bg-BG"/>
        </w:rPr>
        <w:t>Помощно вещество с известно действие</w:t>
      </w:r>
      <w:r w:rsidRPr="00FE2848">
        <w:rPr>
          <w:rFonts w:eastAsia="Times New Roman" w:cs="Arial"/>
          <w:color w:val="000000"/>
          <w:lang w:eastAsia="bg-BG"/>
        </w:rPr>
        <w:t>: Всяка таблетка съдържа лактоза монохидрат.</w:t>
      </w:r>
    </w:p>
    <w:p w14:paraId="0D26EAF8" w14:textId="77777777" w:rsidR="00FE2848" w:rsidRPr="00FE2848" w:rsidRDefault="00FE2848" w:rsidP="00FE2848">
      <w:pPr>
        <w:rPr>
          <w:rFonts w:eastAsia="Times New Roman" w:cs="Arial"/>
          <w:color w:val="000000"/>
          <w:lang w:eastAsia="bg-BG"/>
        </w:rPr>
      </w:pPr>
    </w:p>
    <w:p w14:paraId="03110A50" w14:textId="1E0DA95C" w:rsidR="0091385D" w:rsidRPr="00FE2848" w:rsidRDefault="00FE2848" w:rsidP="00FE2848">
      <w:pPr>
        <w:rPr>
          <w:rFonts w:cs="Arial"/>
        </w:rPr>
      </w:pPr>
      <w:r w:rsidRPr="00FE2848">
        <w:rPr>
          <w:rFonts w:eastAsia="Times New Roman" w:cs="Arial"/>
          <w:color w:val="000000"/>
          <w:lang w:eastAsia="bg-BG"/>
        </w:rPr>
        <w:t>За пълния списък на помощните вещества, вижте точка 6.1.</w:t>
      </w:r>
    </w:p>
    <w:p w14:paraId="3C47C299" w14:textId="77777777" w:rsidR="00A73575" w:rsidRPr="0091385D" w:rsidRDefault="00A73575" w:rsidP="0091385D"/>
    <w:p w14:paraId="614984C4" w14:textId="3FC552C3" w:rsidR="008A6AF2" w:rsidRDefault="00DD466D" w:rsidP="002C50EE">
      <w:pPr>
        <w:pStyle w:val="Heading1"/>
      </w:pPr>
      <w:r>
        <w:t>3. ЛЕКАРСТВЕНА ФОРМА</w:t>
      </w:r>
    </w:p>
    <w:p w14:paraId="1004E96C" w14:textId="277B91E7" w:rsidR="0091385D" w:rsidRDefault="0091385D" w:rsidP="0091385D"/>
    <w:p w14:paraId="4129ADBB" w14:textId="0FABEF35" w:rsidR="0091385D" w:rsidRPr="00FE2848" w:rsidRDefault="00FE2848" w:rsidP="0091385D">
      <w:pPr>
        <w:rPr>
          <w:rFonts w:cs="Arial"/>
        </w:rPr>
      </w:pPr>
      <w:r w:rsidRPr="00FE2848">
        <w:rPr>
          <w:rFonts w:cs="Arial"/>
        </w:rPr>
        <w:t>Филмирана таблетка.</w:t>
      </w:r>
    </w:p>
    <w:p w14:paraId="7D287A22" w14:textId="77777777" w:rsidR="00A73575" w:rsidRPr="0091385D" w:rsidRDefault="00A73575" w:rsidP="0091385D"/>
    <w:p w14:paraId="490FC2C4" w14:textId="76FABE77" w:rsidR="002C50EE" w:rsidRDefault="002C50EE" w:rsidP="002C50EE">
      <w:pPr>
        <w:pStyle w:val="Heading1"/>
      </w:pPr>
      <w:r>
        <w:t>4. КЛИНИЧНИ ДАННИ</w:t>
      </w:r>
    </w:p>
    <w:p w14:paraId="0C69CBC7" w14:textId="77777777" w:rsidR="0091385D" w:rsidRPr="0091385D" w:rsidRDefault="0091385D" w:rsidP="0091385D"/>
    <w:p w14:paraId="0C8E6903" w14:textId="51BB3E2D" w:rsidR="008134C8" w:rsidRDefault="002C50EE" w:rsidP="004A448E">
      <w:pPr>
        <w:pStyle w:val="Heading2"/>
      </w:pPr>
      <w:r>
        <w:t>4.1. Терапевтични показания</w:t>
      </w:r>
    </w:p>
    <w:p w14:paraId="174D169F" w14:textId="0369962D" w:rsidR="0091385D" w:rsidRDefault="0091385D" w:rsidP="0091385D"/>
    <w:p w14:paraId="61ABF46A" w14:textId="77777777" w:rsidR="00FE2848" w:rsidRPr="00FE2848" w:rsidRDefault="00FE2848" w:rsidP="00FE2848">
      <w:pPr>
        <w:spacing w:line="240" w:lineRule="auto"/>
        <w:rPr>
          <w:rFonts w:eastAsia="Times New Roman" w:cs="Arial"/>
          <w:lang w:eastAsia="bg-BG"/>
        </w:rPr>
      </w:pPr>
      <w:r w:rsidRPr="00FE2848">
        <w:rPr>
          <w:rFonts w:eastAsia="Times New Roman" w:cs="Arial"/>
          <w:color w:val="000000"/>
          <w:u w:val="single"/>
          <w:lang w:eastAsia="bg-BG"/>
        </w:rPr>
        <w:t>Хиперхолестеролемия</w:t>
      </w:r>
    </w:p>
    <w:p w14:paraId="1CCC6106" w14:textId="77777777" w:rsidR="00FE2848" w:rsidRPr="00FE2848" w:rsidRDefault="00FE2848" w:rsidP="00FE2848">
      <w:pPr>
        <w:spacing w:line="240" w:lineRule="auto"/>
        <w:rPr>
          <w:rFonts w:eastAsia="Times New Roman" w:cs="Arial"/>
          <w:lang w:eastAsia="bg-BG"/>
        </w:rPr>
      </w:pPr>
      <w:r w:rsidRPr="00FE2848">
        <w:rPr>
          <w:rFonts w:eastAsia="Times New Roman" w:cs="Arial"/>
          <w:color w:val="000000"/>
          <w:lang w:eastAsia="bg-BG"/>
        </w:rPr>
        <w:t>Симвакор е показан за лечение на първична хиперхолестеролемия или смесена дислипидемия, като допълнение към диета, когато повлияването от диетата не е достатъчно и отговорът на други нефармакологични мерки (напр. физически упражнения, намаляване на теглото) не е адекватен.</w:t>
      </w:r>
    </w:p>
    <w:p w14:paraId="3E68DD8F" w14:textId="77777777" w:rsidR="00FE2848" w:rsidRPr="00FE2848" w:rsidRDefault="00FE2848" w:rsidP="00FE2848">
      <w:pPr>
        <w:spacing w:line="240" w:lineRule="auto"/>
        <w:rPr>
          <w:rFonts w:eastAsia="Times New Roman" w:cs="Arial"/>
          <w:color w:val="000000"/>
          <w:lang w:eastAsia="bg-BG"/>
        </w:rPr>
      </w:pPr>
    </w:p>
    <w:p w14:paraId="67B2E6D6" w14:textId="293A58AE" w:rsidR="00FE2848" w:rsidRPr="00FE2848" w:rsidRDefault="00FE2848" w:rsidP="00FE2848">
      <w:pPr>
        <w:spacing w:line="240" w:lineRule="auto"/>
        <w:rPr>
          <w:rFonts w:eastAsia="Times New Roman" w:cs="Arial"/>
          <w:lang w:eastAsia="bg-BG"/>
        </w:rPr>
      </w:pPr>
      <w:r w:rsidRPr="00FE2848">
        <w:rPr>
          <w:rFonts w:eastAsia="Times New Roman" w:cs="Arial"/>
          <w:color w:val="000000"/>
          <w:lang w:eastAsia="bg-BG"/>
        </w:rPr>
        <w:t xml:space="preserve">Симвакор е показан за лечение на хомозиготна фамилна хиперхолестеролемия (ХоФХ), като допълнение към диета и други липидопонижаващи терапии (напр. </w:t>
      </w:r>
      <w:r w:rsidRPr="00FE2848">
        <w:rPr>
          <w:rFonts w:eastAsia="Times New Roman" w:cs="Arial"/>
          <w:color w:val="000000"/>
          <w:lang w:val="en-US"/>
        </w:rPr>
        <w:t xml:space="preserve">LDL </w:t>
      </w:r>
      <w:r w:rsidRPr="00FE2848">
        <w:rPr>
          <w:rFonts w:eastAsia="Times New Roman" w:cs="Arial"/>
          <w:color w:val="000000"/>
          <w:lang w:eastAsia="bg-BG"/>
        </w:rPr>
        <w:t>афереза) или ако такива терапии не са подходящи.</w:t>
      </w:r>
    </w:p>
    <w:p w14:paraId="597CA003" w14:textId="77777777" w:rsidR="00FE2848" w:rsidRPr="00FE2848" w:rsidRDefault="00FE2848" w:rsidP="00FE2848">
      <w:pPr>
        <w:spacing w:line="240" w:lineRule="auto"/>
        <w:rPr>
          <w:rFonts w:eastAsia="Times New Roman" w:cs="Arial"/>
          <w:color w:val="000000"/>
          <w:u w:val="single"/>
          <w:lang w:eastAsia="bg-BG"/>
        </w:rPr>
      </w:pPr>
    </w:p>
    <w:p w14:paraId="554EA0C5" w14:textId="58088253" w:rsidR="00FE2848" w:rsidRPr="00FE2848" w:rsidRDefault="00FE2848" w:rsidP="00FE2848">
      <w:pPr>
        <w:spacing w:line="240" w:lineRule="auto"/>
        <w:rPr>
          <w:rFonts w:eastAsia="Times New Roman" w:cs="Arial"/>
          <w:lang w:eastAsia="bg-BG"/>
        </w:rPr>
      </w:pPr>
      <w:r w:rsidRPr="00FE2848">
        <w:rPr>
          <w:rFonts w:eastAsia="Times New Roman" w:cs="Arial"/>
          <w:color w:val="000000"/>
          <w:u w:val="single"/>
          <w:lang w:eastAsia="bg-BG"/>
        </w:rPr>
        <w:t>Профилактика на сърдечно съдови заболявания</w:t>
      </w:r>
    </w:p>
    <w:p w14:paraId="04B2E99C" w14:textId="447A772A" w:rsidR="0091385D" w:rsidRPr="00FE2848" w:rsidRDefault="00FE2848" w:rsidP="00FE2848">
      <w:pPr>
        <w:rPr>
          <w:rFonts w:cs="Arial"/>
        </w:rPr>
      </w:pPr>
      <w:r w:rsidRPr="00FE2848">
        <w:rPr>
          <w:rFonts w:eastAsia="Times New Roman" w:cs="Arial"/>
          <w:color w:val="000000"/>
          <w:lang w:eastAsia="bg-BG"/>
        </w:rPr>
        <w:t xml:space="preserve">Намаляване на сърдечно-съдовата заболеваемост и смъртност при пациенти с изявено атеросклеротично сърдечно-съдово заболяване или захарен диабет с нормални или </w:t>
      </w:r>
      <w:r w:rsidRPr="00FE2848">
        <w:rPr>
          <w:rFonts w:eastAsia="Times New Roman" w:cs="Arial"/>
          <w:color w:val="000000"/>
          <w:lang w:eastAsia="bg-BG"/>
        </w:rPr>
        <w:lastRenderedPageBreak/>
        <w:t>повишени нива на холестерола, като допълнение към корекцията на други рискови фактори и друга кардиопротективна терапия (вж. точка 5.1)</w:t>
      </w:r>
    </w:p>
    <w:p w14:paraId="6DFA4B9D" w14:textId="77777777" w:rsidR="0091385D" w:rsidRPr="0091385D" w:rsidRDefault="0091385D" w:rsidP="0091385D"/>
    <w:p w14:paraId="30BE2C7B" w14:textId="3633C1E4" w:rsidR="008134C8" w:rsidRDefault="002C50EE" w:rsidP="004A448E">
      <w:pPr>
        <w:pStyle w:val="Heading2"/>
      </w:pPr>
      <w:r>
        <w:t>4.2. Дозировка и начин на приложение</w:t>
      </w:r>
    </w:p>
    <w:p w14:paraId="7AA22B68" w14:textId="3A681DFB" w:rsidR="0091385D" w:rsidRDefault="0091385D" w:rsidP="0091385D"/>
    <w:p w14:paraId="478CBAD9" w14:textId="77777777" w:rsidR="00FE2848" w:rsidRPr="00FE2848" w:rsidRDefault="00FE2848" w:rsidP="00FE2848">
      <w:pPr>
        <w:spacing w:line="240" w:lineRule="auto"/>
        <w:rPr>
          <w:rFonts w:eastAsia="Times New Roman" w:cs="Arial"/>
          <w:lang w:eastAsia="bg-BG"/>
        </w:rPr>
      </w:pPr>
      <w:r w:rsidRPr="00FE2848">
        <w:rPr>
          <w:rFonts w:eastAsia="Times New Roman" w:cs="Arial"/>
          <w:color w:val="000000"/>
          <w:lang w:eastAsia="bg-BG"/>
        </w:rPr>
        <w:t xml:space="preserve">Дозировката на Симвакор варира от 5 до 80 </w:t>
      </w:r>
      <w:r w:rsidRPr="00FE2848">
        <w:rPr>
          <w:rFonts w:eastAsia="Times New Roman" w:cs="Arial"/>
          <w:color w:val="000000"/>
          <w:lang w:val="en-US"/>
        </w:rPr>
        <w:t xml:space="preserve">mg </w:t>
      </w:r>
      <w:r w:rsidRPr="00FE2848">
        <w:rPr>
          <w:rFonts w:eastAsia="Times New Roman" w:cs="Arial"/>
          <w:color w:val="000000"/>
          <w:lang w:eastAsia="bg-BG"/>
        </w:rPr>
        <w:t xml:space="preserve">на ден, приеман веднъж дневно вечер. Когато е необходимо, коригирането на дозата се прави през интервали от не по- малко от 4 седмици, до максималната доза от 80 </w:t>
      </w:r>
      <w:r w:rsidRPr="00FE2848">
        <w:rPr>
          <w:rFonts w:eastAsia="Times New Roman" w:cs="Arial"/>
          <w:color w:val="000000"/>
          <w:lang w:val="en-US"/>
        </w:rPr>
        <w:t xml:space="preserve">mg </w:t>
      </w:r>
      <w:r w:rsidRPr="00FE2848">
        <w:rPr>
          <w:rFonts w:eastAsia="Times New Roman" w:cs="Arial"/>
          <w:color w:val="000000"/>
          <w:lang w:eastAsia="bg-BG"/>
        </w:rPr>
        <w:t xml:space="preserve">веднъж дневно вечер. Дозата от 80 </w:t>
      </w:r>
      <w:r w:rsidRPr="00FE2848">
        <w:rPr>
          <w:rFonts w:eastAsia="Times New Roman" w:cs="Arial"/>
          <w:color w:val="000000"/>
          <w:lang w:val="en-US"/>
        </w:rPr>
        <w:t xml:space="preserve">mg </w:t>
      </w:r>
      <w:r w:rsidRPr="00FE2848">
        <w:rPr>
          <w:rFonts w:eastAsia="Times New Roman" w:cs="Arial"/>
          <w:color w:val="000000"/>
          <w:lang w:eastAsia="bg-BG"/>
        </w:rPr>
        <w:t>се препоръчва само при пациенти с тежка хиперхолестеролемия и с висок риск за сърдечно-съдови усложнения, при които терапевтичните цели не са постигнати с по-ниски дози и в случай, че очакваната полза надвишава потенциалните рискове (вж. точки 4.4 и 5.1).</w:t>
      </w:r>
    </w:p>
    <w:p w14:paraId="317A7453" w14:textId="77777777" w:rsidR="00FE2848" w:rsidRPr="00FE2848" w:rsidRDefault="00FE2848" w:rsidP="00FE2848">
      <w:pPr>
        <w:rPr>
          <w:rFonts w:eastAsia="Times New Roman" w:cs="Arial"/>
          <w:i/>
          <w:iCs/>
          <w:color w:val="000000"/>
          <w:lang w:eastAsia="bg-BG"/>
        </w:rPr>
      </w:pPr>
    </w:p>
    <w:p w14:paraId="475300EC" w14:textId="0DB69B8F" w:rsidR="0091385D" w:rsidRPr="00FE2848" w:rsidRDefault="00FE2848" w:rsidP="00FE2848">
      <w:pPr>
        <w:rPr>
          <w:rFonts w:cs="Arial"/>
        </w:rPr>
      </w:pPr>
      <w:r w:rsidRPr="00FE2848">
        <w:rPr>
          <w:rFonts w:eastAsia="Times New Roman" w:cs="Arial"/>
          <w:i/>
          <w:iCs/>
          <w:color w:val="000000"/>
          <w:lang w:eastAsia="bg-BG"/>
        </w:rPr>
        <w:t>Хипехолестеролемия</w:t>
      </w:r>
    </w:p>
    <w:p w14:paraId="0E9E263A" w14:textId="77777777" w:rsidR="00FE2848" w:rsidRPr="00FE2848" w:rsidRDefault="00FE2848" w:rsidP="00FE2848">
      <w:pPr>
        <w:spacing w:line="240" w:lineRule="auto"/>
        <w:rPr>
          <w:rFonts w:eastAsia="Times New Roman" w:cs="Arial"/>
          <w:lang w:eastAsia="bg-BG"/>
        </w:rPr>
      </w:pPr>
      <w:r w:rsidRPr="00FE2848">
        <w:rPr>
          <w:rFonts w:eastAsia="Times New Roman" w:cs="Arial"/>
          <w:color w:val="000000"/>
          <w:lang w:eastAsia="bg-BG"/>
        </w:rPr>
        <w:t>Пациентът трябва да бъде поставен на стандартна холестерол-понижаваща диета, преди прилагането на Симвакор, като спазването на тази диета трябва да продължи и по време на лечението със Симвакор.</w:t>
      </w:r>
    </w:p>
    <w:p w14:paraId="1E07543B" w14:textId="77777777" w:rsidR="00FE2848" w:rsidRPr="00FE2848" w:rsidRDefault="00FE2848" w:rsidP="00FE2848">
      <w:pPr>
        <w:spacing w:line="240" w:lineRule="auto"/>
        <w:rPr>
          <w:rFonts w:eastAsia="Times New Roman" w:cs="Arial"/>
          <w:color w:val="000000"/>
          <w:lang w:eastAsia="bg-BG"/>
        </w:rPr>
      </w:pPr>
    </w:p>
    <w:p w14:paraId="642D4760" w14:textId="7D0759A7" w:rsidR="00FE2848" w:rsidRPr="00FE2848" w:rsidRDefault="00FE2848" w:rsidP="00FE2848">
      <w:pPr>
        <w:spacing w:line="240" w:lineRule="auto"/>
        <w:rPr>
          <w:rFonts w:eastAsia="Times New Roman" w:cs="Arial"/>
          <w:lang w:eastAsia="bg-BG"/>
        </w:rPr>
      </w:pPr>
      <w:r w:rsidRPr="00FE2848">
        <w:rPr>
          <w:rFonts w:eastAsia="Times New Roman" w:cs="Arial"/>
          <w:color w:val="000000"/>
          <w:lang w:eastAsia="bg-BG"/>
        </w:rPr>
        <w:t xml:space="preserve">Обичайната начална доза е 10-20 </w:t>
      </w:r>
      <w:r w:rsidRPr="00FE2848">
        <w:rPr>
          <w:rFonts w:eastAsia="Times New Roman" w:cs="Arial"/>
          <w:color w:val="000000"/>
          <w:lang w:val="en-US"/>
        </w:rPr>
        <w:t xml:space="preserve">mg </w:t>
      </w:r>
      <w:r w:rsidRPr="00FE2848">
        <w:rPr>
          <w:rFonts w:eastAsia="Times New Roman" w:cs="Arial"/>
          <w:color w:val="000000"/>
          <w:lang w:eastAsia="bg-BG"/>
        </w:rPr>
        <w:t xml:space="preserve">дневно, която се приема като еднократна доза вечер. При пациенти, при които е необходимо голямо намаляване на </w:t>
      </w:r>
      <w:r w:rsidRPr="00FE2848">
        <w:rPr>
          <w:rFonts w:eastAsia="Times New Roman" w:cs="Arial"/>
          <w:color w:val="000000"/>
          <w:lang w:val="en-US"/>
        </w:rPr>
        <w:t>LDL</w:t>
      </w:r>
      <w:r w:rsidRPr="00FE2848">
        <w:rPr>
          <w:rFonts w:eastAsia="Times New Roman" w:cs="Arial"/>
          <w:color w:val="000000"/>
          <w:lang w:eastAsia="bg-BG"/>
        </w:rPr>
        <w:t xml:space="preserve">-холестерола (повече от 45%) може да се започне с доза 20-40 </w:t>
      </w:r>
      <w:r w:rsidRPr="00FE2848">
        <w:rPr>
          <w:rFonts w:eastAsia="Times New Roman" w:cs="Arial"/>
          <w:color w:val="000000"/>
          <w:lang w:val="en-US"/>
        </w:rPr>
        <w:t xml:space="preserve">mg </w:t>
      </w:r>
      <w:r w:rsidRPr="00FE2848">
        <w:rPr>
          <w:rFonts w:eastAsia="Times New Roman" w:cs="Arial"/>
          <w:color w:val="000000"/>
          <w:lang w:eastAsia="bg-BG"/>
        </w:rPr>
        <w:t>дневно, която се приема като еднократна доза вечер. Ако се налагт корекции на дозата, трябва да се направят както е посочено по-горе.</w:t>
      </w:r>
    </w:p>
    <w:p w14:paraId="14EA568F" w14:textId="77777777" w:rsidR="00FE2848" w:rsidRPr="00FE2848" w:rsidRDefault="00FE2848" w:rsidP="00FE2848">
      <w:pPr>
        <w:spacing w:line="240" w:lineRule="auto"/>
        <w:rPr>
          <w:rFonts w:eastAsia="Times New Roman" w:cs="Arial"/>
          <w:i/>
          <w:iCs/>
          <w:color w:val="000000"/>
          <w:lang w:eastAsia="bg-BG"/>
        </w:rPr>
      </w:pPr>
    </w:p>
    <w:p w14:paraId="38181294" w14:textId="2CB77403" w:rsidR="00FE2848" w:rsidRPr="00FE2848" w:rsidRDefault="00FE2848" w:rsidP="00FE2848">
      <w:pPr>
        <w:spacing w:line="240" w:lineRule="auto"/>
        <w:rPr>
          <w:rFonts w:eastAsia="Times New Roman" w:cs="Arial"/>
          <w:lang w:eastAsia="bg-BG"/>
        </w:rPr>
      </w:pPr>
      <w:r w:rsidRPr="00FE2848">
        <w:rPr>
          <w:rFonts w:eastAsia="Times New Roman" w:cs="Arial"/>
          <w:i/>
          <w:iCs/>
          <w:color w:val="000000"/>
          <w:lang w:eastAsia="bg-BG"/>
        </w:rPr>
        <w:t>Хомозиготна фамилна хиперхолестеролемия</w:t>
      </w:r>
    </w:p>
    <w:p w14:paraId="0E8D9667" w14:textId="77777777" w:rsidR="00FE2848" w:rsidRPr="00FE2848" w:rsidRDefault="00FE2848" w:rsidP="00FE2848">
      <w:pPr>
        <w:spacing w:line="240" w:lineRule="auto"/>
        <w:rPr>
          <w:rFonts w:eastAsia="Times New Roman" w:cs="Arial"/>
          <w:lang w:eastAsia="bg-BG"/>
        </w:rPr>
      </w:pPr>
      <w:r w:rsidRPr="00FE2848">
        <w:rPr>
          <w:rFonts w:eastAsia="Times New Roman" w:cs="Arial"/>
          <w:color w:val="000000"/>
          <w:lang w:eastAsia="bg-BG"/>
        </w:rPr>
        <w:t xml:space="preserve">На базата на резултати от контролирано проучване, препоръчителната начална доза при пациенти с хомозиготна фамилна хиперхолестеролемия е Симвакор 40 </w:t>
      </w:r>
      <w:r w:rsidRPr="00FE2848">
        <w:rPr>
          <w:rFonts w:eastAsia="Times New Roman" w:cs="Arial"/>
          <w:color w:val="000000"/>
          <w:lang w:val="en-US"/>
        </w:rPr>
        <w:t xml:space="preserve">mg </w:t>
      </w:r>
      <w:r w:rsidRPr="00FE2848">
        <w:rPr>
          <w:rFonts w:eastAsia="Times New Roman" w:cs="Arial"/>
          <w:color w:val="000000"/>
          <w:lang w:eastAsia="bg-BG"/>
        </w:rPr>
        <w:t xml:space="preserve">дневно вечер. Симвакор трябва да се използва като допълнение към други липодопонижаващи терапии (напр. </w:t>
      </w:r>
      <w:r w:rsidRPr="00FE2848">
        <w:rPr>
          <w:rFonts w:eastAsia="Times New Roman" w:cs="Arial"/>
          <w:color w:val="000000"/>
          <w:lang w:val="en-US"/>
        </w:rPr>
        <w:t xml:space="preserve">LDL </w:t>
      </w:r>
      <w:r w:rsidRPr="00FE2848">
        <w:rPr>
          <w:rFonts w:eastAsia="Times New Roman" w:cs="Arial"/>
          <w:color w:val="000000"/>
          <w:lang w:eastAsia="bg-BG"/>
        </w:rPr>
        <w:t>афераза) при тези пациенти или ако такива терапии не са налични.</w:t>
      </w:r>
    </w:p>
    <w:p w14:paraId="4EC500FC" w14:textId="77777777" w:rsidR="00FE2848" w:rsidRPr="00FE2848" w:rsidRDefault="00FE2848" w:rsidP="00FE2848">
      <w:pPr>
        <w:spacing w:line="240" w:lineRule="auto"/>
        <w:rPr>
          <w:rFonts w:eastAsia="Times New Roman" w:cs="Arial"/>
          <w:color w:val="000000"/>
          <w:lang w:eastAsia="bg-BG"/>
        </w:rPr>
      </w:pPr>
    </w:p>
    <w:p w14:paraId="68CFB0B4" w14:textId="1A3718F4" w:rsidR="00FE2848" w:rsidRPr="00FE2848" w:rsidRDefault="00FE2848" w:rsidP="00FE2848">
      <w:pPr>
        <w:spacing w:line="240" w:lineRule="auto"/>
        <w:rPr>
          <w:rFonts w:eastAsia="Times New Roman" w:cs="Arial"/>
          <w:lang w:eastAsia="bg-BG"/>
        </w:rPr>
      </w:pPr>
      <w:r w:rsidRPr="00FE2848">
        <w:rPr>
          <w:rFonts w:eastAsia="Times New Roman" w:cs="Arial"/>
          <w:color w:val="000000"/>
          <w:lang w:eastAsia="bg-BG"/>
        </w:rPr>
        <w:t xml:space="preserve">При пациенти, приемащи ломитапид едновременно със Симвакор, дозата на Симвакор не трябва да превишава 40 </w:t>
      </w:r>
      <w:r w:rsidRPr="00FE2848">
        <w:rPr>
          <w:rFonts w:eastAsia="Times New Roman" w:cs="Arial"/>
          <w:color w:val="000000"/>
          <w:lang w:val="en-US"/>
        </w:rPr>
        <w:t xml:space="preserve">mg </w:t>
      </w:r>
      <w:r w:rsidRPr="00FE2848">
        <w:rPr>
          <w:rFonts w:eastAsia="Times New Roman" w:cs="Arial"/>
          <w:color w:val="000000"/>
          <w:lang w:eastAsia="bg-BG"/>
        </w:rPr>
        <w:t>дневно (вж. точки 4.3, 4.4 и 4.5).</w:t>
      </w:r>
    </w:p>
    <w:p w14:paraId="700FE455" w14:textId="77777777" w:rsidR="00FE2848" w:rsidRPr="00FE2848" w:rsidRDefault="00FE2848" w:rsidP="00FE2848">
      <w:pPr>
        <w:spacing w:line="240" w:lineRule="auto"/>
        <w:rPr>
          <w:rFonts w:eastAsia="Times New Roman" w:cs="Arial"/>
          <w:i/>
          <w:iCs/>
          <w:color w:val="000000"/>
          <w:lang w:eastAsia="bg-BG"/>
        </w:rPr>
      </w:pPr>
    </w:p>
    <w:p w14:paraId="02BAC794" w14:textId="6CB82928" w:rsidR="00FE2848" w:rsidRPr="00FE2848" w:rsidRDefault="00FE2848" w:rsidP="00FE2848">
      <w:pPr>
        <w:spacing w:line="240" w:lineRule="auto"/>
        <w:rPr>
          <w:rFonts w:eastAsia="Times New Roman" w:cs="Arial"/>
          <w:lang w:eastAsia="bg-BG"/>
        </w:rPr>
      </w:pPr>
      <w:r w:rsidRPr="00FE2848">
        <w:rPr>
          <w:rFonts w:eastAsia="Times New Roman" w:cs="Arial"/>
          <w:i/>
          <w:iCs/>
          <w:color w:val="000000"/>
          <w:lang w:eastAsia="bg-BG"/>
        </w:rPr>
        <w:t>Профилактика на сърдечно-съдови заболявания</w:t>
      </w:r>
    </w:p>
    <w:p w14:paraId="5287389B" w14:textId="77777777" w:rsidR="00FE2848" w:rsidRPr="00FE2848" w:rsidRDefault="00FE2848" w:rsidP="00FE2848">
      <w:pPr>
        <w:spacing w:line="240" w:lineRule="auto"/>
        <w:rPr>
          <w:rFonts w:eastAsia="Times New Roman" w:cs="Arial"/>
          <w:lang w:eastAsia="bg-BG"/>
        </w:rPr>
      </w:pPr>
      <w:r w:rsidRPr="00FE2848">
        <w:rPr>
          <w:rFonts w:eastAsia="Times New Roman" w:cs="Arial"/>
          <w:color w:val="000000"/>
          <w:lang w:eastAsia="bg-BG"/>
        </w:rPr>
        <w:t xml:space="preserve">Обичайната доза на Симвакор е 20 до 40 </w:t>
      </w:r>
      <w:r w:rsidRPr="00FE2848">
        <w:rPr>
          <w:rFonts w:eastAsia="Times New Roman" w:cs="Arial"/>
          <w:color w:val="000000"/>
          <w:lang w:val="en-US"/>
        </w:rPr>
        <w:t xml:space="preserve">mg </w:t>
      </w:r>
      <w:r w:rsidRPr="00FE2848">
        <w:rPr>
          <w:rFonts w:eastAsia="Times New Roman" w:cs="Arial"/>
          <w:color w:val="000000"/>
          <w:lang w:eastAsia="bg-BG"/>
        </w:rPr>
        <w:t>дневно, приета като еднократна доза вечер при пациенти с висок риск от исхемична болест на сърцето (ИБС, със или без хиперлипидемия). Лекарствената терапия може да започне едновременно с диета и физически упражнения. Ако се налагат корекции на дозата, трябва да се направят както е посочено по-горе.</w:t>
      </w:r>
    </w:p>
    <w:p w14:paraId="6BA9D0B2" w14:textId="77777777" w:rsidR="00FE2848" w:rsidRPr="00FE2848" w:rsidRDefault="00FE2848" w:rsidP="00FE2848">
      <w:pPr>
        <w:spacing w:line="240" w:lineRule="auto"/>
        <w:rPr>
          <w:rFonts w:eastAsia="Times New Roman" w:cs="Arial"/>
          <w:i/>
          <w:iCs/>
          <w:color w:val="000000"/>
          <w:lang w:eastAsia="bg-BG"/>
        </w:rPr>
      </w:pPr>
    </w:p>
    <w:p w14:paraId="289362DC" w14:textId="4B753CC9" w:rsidR="00FE2848" w:rsidRPr="00FE2848" w:rsidRDefault="00FE2848" w:rsidP="00FE2848">
      <w:pPr>
        <w:spacing w:line="240" w:lineRule="auto"/>
        <w:rPr>
          <w:rFonts w:eastAsia="Times New Roman" w:cs="Arial"/>
          <w:lang w:eastAsia="bg-BG"/>
        </w:rPr>
      </w:pPr>
      <w:r w:rsidRPr="00FE2848">
        <w:rPr>
          <w:rFonts w:eastAsia="Times New Roman" w:cs="Arial"/>
          <w:i/>
          <w:iCs/>
          <w:color w:val="000000"/>
          <w:lang w:eastAsia="bg-BG"/>
        </w:rPr>
        <w:t>Придружаваща терапия</w:t>
      </w:r>
    </w:p>
    <w:p w14:paraId="39446684" w14:textId="77777777" w:rsidR="00FE2848" w:rsidRPr="00FE2848" w:rsidRDefault="00FE2848" w:rsidP="00FE2848">
      <w:pPr>
        <w:spacing w:line="240" w:lineRule="auto"/>
        <w:rPr>
          <w:rFonts w:eastAsia="Times New Roman" w:cs="Arial"/>
          <w:lang w:eastAsia="bg-BG"/>
        </w:rPr>
      </w:pPr>
      <w:r w:rsidRPr="00FE2848">
        <w:rPr>
          <w:rFonts w:eastAsia="Times New Roman" w:cs="Arial"/>
          <w:color w:val="000000"/>
          <w:lang w:eastAsia="bg-BG"/>
        </w:rPr>
        <w:t>Симвакор е ефективен самостоятелно или в комбинация със секвестранти на жлъчните киселини. Приемът на дозата трябва да бъде или &gt; 2 часа преди или &gt; 4 часа след приема на секвестранти на жлъчните киселини.</w:t>
      </w:r>
    </w:p>
    <w:p w14:paraId="4232A3EB" w14:textId="77777777" w:rsidR="00FE2848" w:rsidRPr="00FE2848" w:rsidRDefault="00FE2848" w:rsidP="00FE2848">
      <w:pPr>
        <w:spacing w:line="240" w:lineRule="auto"/>
        <w:rPr>
          <w:rFonts w:eastAsia="Times New Roman" w:cs="Arial"/>
          <w:color w:val="000000"/>
          <w:lang w:eastAsia="bg-BG"/>
        </w:rPr>
      </w:pPr>
    </w:p>
    <w:p w14:paraId="101DB291" w14:textId="5017F584" w:rsidR="00FE2848" w:rsidRPr="00FE2848" w:rsidRDefault="00FE2848" w:rsidP="00FE2848">
      <w:pPr>
        <w:spacing w:line="240" w:lineRule="auto"/>
        <w:rPr>
          <w:rFonts w:eastAsia="Times New Roman" w:cs="Arial"/>
          <w:lang w:eastAsia="bg-BG"/>
        </w:rPr>
      </w:pPr>
      <w:r w:rsidRPr="00FE2848">
        <w:rPr>
          <w:rFonts w:eastAsia="Times New Roman" w:cs="Arial"/>
          <w:color w:val="000000"/>
          <w:lang w:eastAsia="bg-BG"/>
        </w:rPr>
        <w:t xml:space="preserve">При пациенти, приемащи Симвакор едновременно с фибрата, други освен гемфиброзил (вж. точка 4.3) или фенофибрат, дозата на Симвакор не трябва да превишава 10 </w:t>
      </w:r>
      <w:r w:rsidRPr="00FE2848">
        <w:rPr>
          <w:rFonts w:eastAsia="Times New Roman" w:cs="Arial"/>
          <w:color w:val="000000"/>
          <w:lang w:val="en-US"/>
        </w:rPr>
        <w:t xml:space="preserve">mg </w:t>
      </w:r>
      <w:r w:rsidRPr="00FE2848">
        <w:rPr>
          <w:rFonts w:eastAsia="Times New Roman" w:cs="Arial"/>
          <w:color w:val="000000"/>
          <w:lang w:eastAsia="bg-BG"/>
        </w:rPr>
        <w:t xml:space="preserve">дневно. При пациенти, приемащи Симвакор заедно с амиодарон, амлодипин, верапамил, дилтиазем или продукти, съдържащи елбасвир или гразопревир, дозата на Симвакор не трябва да превишава 20 </w:t>
      </w:r>
      <w:r w:rsidRPr="00FE2848">
        <w:rPr>
          <w:rFonts w:eastAsia="Times New Roman" w:cs="Arial"/>
          <w:color w:val="000000"/>
          <w:lang w:val="en-US"/>
        </w:rPr>
        <w:t xml:space="preserve">mg </w:t>
      </w:r>
      <w:r w:rsidRPr="00FE2848">
        <w:rPr>
          <w:rFonts w:eastAsia="Times New Roman" w:cs="Arial"/>
          <w:color w:val="000000"/>
          <w:lang w:eastAsia="bg-BG"/>
        </w:rPr>
        <w:t>дневно (вж. точки 4.4 и 4.5).</w:t>
      </w:r>
    </w:p>
    <w:p w14:paraId="0AC1E4DA" w14:textId="77777777" w:rsidR="00FE2848" w:rsidRPr="00FE2848" w:rsidRDefault="00FE2848" w:rsidP="00FE2848">
      <w:pPr>
        <w:spacing w:line="240" w:lineRule="auto"/>
        <w:rPr>
          <w:rFonts w:eastAsia="Times New Roman" w:cs="Arial"/>
          <w:i/>
          <w:iCs/>
          <w:color w:val="000000"/>
          <w:lang w:eastAsia="bg-BG"/>
        </w:rPr>
      </w:pPr>
    </w:p>
    <w:p w14:paraId="5E582BA2" w14:textId="097FE6B2" w:rsidR="00FE2848" w:rsidRPr="00FE2848" w:rsidRDefault="00FE2848" w:rsidP="00FE2848">
      <w:pPr>
        <w:spacing w:line="240" w:lineRule="auto"/>
        <w:rPr>
          <w:rFonts w:eastAsia="Times New Roman" w:cs="Arial"/>
          <w:lang w:eastAsia="bg-BG"/>
        </w:rPr>
      </w:pPr>
      <w:r w:rsidRPr="00FE2848">
        <w:rPr>
          <w:rFonts w:eastAsia="Times New Roman" w:cs="Arial"/>
          <w:i/>
          <w:iCs/>
          <w:color w:val="000000"/>
          <w:lang w:eastAsia="bg-BG"/>
        </w:rPr>
        <w:lastRenderedPageBreak/>
        <w:t>Пациенти с бъбречно увреждане</w:t>
      </w:r>
    </w:p>
    <w:p w14:paraId="778EC036" w14:textId="77777777" w:rsidR="00FE2848" w:rsidRPr="00FE2848" w:rsidRDefault="00FE2848" w:rsidP="00FE2848">
      <w:pPr>
        <w:spacing w:line="240" w:lineRule="auto"/>
        <w:rPr>
          <w:rFonts w:eastAsia="Times New Roman" w:cs="Arial"/>
          <w:lang w:eastAsia="bg-BG"/>
        </w:rPr>
      </w:pPr>
      <w:r w:rsidRPr="00FE2848">
        <w:rPr>
          <w:rFonts w:eastAsia="Times New Roman" w:cs="Arial"/>
          <w:color w:val="000000"/>
          <w:lang w:eastAsia="bg-BG"/>
        </w:rPr>
        <w:t>При пациенти с умерено бъбречно увреждане не е необходима корекция на дозата.</w:t>
      </w:r>
    </w:p>
    <w:p w14:paraId="3A70DA11" w14:textId="77777777" w:rsidR="00FE2848" w:rsidRPr="00FE2848" w:rsidRDefault="00FE2848" w:rsidP="00FE2848">
      <w:pPr>
        <w:spacing w:line="240" w:lineRule="auto"/>
        <w:rPr>
          <w:rFonts w:eastAsia="Times New Roman" w:cs="Arial"/>
          <w:lang w:eastAsia="bg-BG"/>
        </w:rPr>
      </w:pPr>
      <w:r w:rsidRPr="00FE2848">
        <w:rPr>
          <w:rFonts w:eastAsia="Times New Roman" w:cs="Arial"/>
          <w:color w:val="000000"/>
          <w:lang w:eastAsia="bg-BG"/>
        </w:rPr>
        <w:t xml:space="preserve">При пациенти с тежко бъбречно увреждане (креатининов клирънс &lt;30 </w:t>
      </w:r>
      <w:r w:rsidRPr="00FE2848">
        <w:rPr>
          <w:rFonts w:eastAsia="Times New Roman" w:cs="Arial"/>
          <w:color w:val="000000"/>
          <w:lang w:val="en-US"/>
        </w:rPr>
        <w:t xml:space="preserve">ml/min) </w:t>
      </w:r>
      <w:r w:rsidRPr="00FE2848">
        <w:rPr>
          <w:rFonts w:eastAsia="Times New Roman" w:cs="Arial"/>
          <w:color w:val="000000"/>
          <w:lang w:eastAsia="bg-BG"/>
        </w:rPr>
        <w:t xml:space="preserve">дози, превишаващи 10 </w:t>
      </w:r>
      <w:r w:rsidRPr="00FE2848">
        <w:rPr>
          <w:rFonts w:eastAsia="Times New Roman" w:cs="Arial"/>
          <w:color w:val="000000"/>
          <w:lang w:val="en-US"/>
        </w:rPr>
        <w:t xml:space="preserve">mg </w:t>
      </w:r>
      <w:r w:rsidRPr="00FE2848">
        <w:rPr>
          <w:rFonts w:eastAsia="Times New Roman" w:cs="Arial"/>
          <w:color w:val="000000"/>
          <w:lang w:eastAsia="bg-BG"/>
        </w:rPr>
        <w:t>дневно, трябва внимателно да бъдат обсъдени и ако се приеме, че са необходими, да бъдат прилагани с голямо внимание.</w:t>
      </w:r>
    </w:p>
    <w:p w14:paraId="705860A1" w14:textId="77777777" w:rsidR="00FE2848" w:rsidRPr="00FE2848" w:rsidRDefault="00FE2848" w:rsidP="00FE2848">
      <w:pPr>
        <w:spacing w:line="240" w:lineRule="auto"/>
        <w:rPr>
          <w:rFonts w:eastAsia="Times New Roman" w:cs="Arial"/>
          <w:i/>
          <w:iCs/>
          <w:color w:val="000000"/>
          <w:lang w:eastAsia="bg-BG"/>
        </w:rPr>
      </w:pPr>
    </w:p>
    <w:p w14:paraId="166AA129" w14:textId="69014246" w:rsidR="00FE2848" w:rsidRPr="00FE2848" w:rsidRDefault="00FE2848" w:rsidP="00FE2848">
      <w:pPr>
        <w:spacing w:line="240" w:lineRule="auto"/>
        <w:rPr>
          <w:rFonts w:eastAsia="Times New Roman" w:cs="Arial"/>
          <w:lang w:eastAsia="bg-BG"/>
        </w:rPr>
      </w:pPr>
      <w:r w:rsidRPr="00FE2848">
        <w:rPr>
          <w:rFonts w:eastAsia="Times New Roman" w:cs="Arial"/>
          <w:i/>
          <w:iCs/>
          <w:color w:val="000000"/>
          <w:lang w:eastAsia="bg-BG"/>
        </w:rPr>
        <w:t>Пациенти в старческа възраст</w:t>
      </w:r>
    </w:p>
    <w:p w14:paraId="13B5535A" w14:textId="77777777" w:rsidR="00FE2848" w:rsidRPr="00FE2848" w:rsidRDefault="00FE2848" w:rsidP="00FE2848">
      <w:pPr>
        <w:spacing w:line="240" w:lineRule="auto"/>
        <w:rPr>
          <w:rFonts w:eastAsia="Times New Roman" w:cs="Arial"/>
          <w:lang w:eastAsia="bg-BG"/>
        </w:rPr>
      </w:pPr>
      <w:r w:rsidRPr="00FE2848">
        <w:rPr>
          <w:rFonts w:eastAsia="Times New Roman" w:cs="Arial"/>
          <w:color w:val="000000"/>
          <w:lang w:eastAsia="bg-BG"/>
        </w:rPr>
        <w:t>Не е необходима корекция на дозата.</w:t>
      </w:r>
    </w:p>
    <w:p w14:paraId="01104A5B" w14:textId="77777777" w:rsidR="00FE2848" w:rsidRPr="00FE2848" w:rsidRDefault="00FE2848" w:rsidP="00FE2848">
      <w:pPr>
        <w:spacing w:line="240" w:lineRule="auto"/>
        <w:rPr>
          <w:rFonts w:eastAsia="Times New Roman" w:cs="Arial"/>
          <w:i/>
          <w:iCs/>
          <w:color w:val="000000"/>
          <w:lang w:eastAsia="bg-BG"/>
        </w:rPr>
      </w:pPr>
    </w:p>
    <w:p w14:paraId="2E4B52AD" w14:textId="49B6B37B" w:rsidR="00FE2848" w:rsidRPr="00FE2848" w:rsidRDefault="00FE2848" w:rsidP="00FE2848">
      <w:pPr>
        <w:spacing w:line="240" w:lineRule="auto"/>
        <w:rPr>
          <w:rFonts w:eastAsia="Times New Roman" w:cs="Arial"/>
          <w:lang w:eastAsia="bg-BG"/>
        </w:rPr>
      </w:pPr>
      <w:r w:rsidRPr="00FE2848">
        <w:rPr>
          <w:rFonts w:eastAsia="Times New Roman" w:cs="Arial"/>
          <w:i/>
          <w:iCs/>
          <w:color w:val="000000"/>
          <w:lang w:eastAsia="bg-BG"/>
        </w:rPr>
        <w:t>Педиатрична популация</w:t>
      </w:r>
    </w:p>
    <w:p w14:paraId="1AAF8C6B" w14:textId="77777777" w:rsidR="00FE2848" w:rsidRPr="00FE2848" w:rsidRDefault="00FE2848" w:rsidP="00FE2848">
      <w:pPr>
        <w:spacing w:line="240" w:lineRule="auto"/>
        <w:rPr>
          <w:rFonts w:eastAsia="Times New Roman" w:cs="Arial"/>
          <w:lang w:eastAsia="bg-BG"/>
        </w:rPr>
      </w:pPr>
      <w:r w:rsidRPr="00FE2848">
        <w:rPr>
          <w:rFonts w:eastAsia="Times New Roman" w:cs="Arial"/>
          <w:color w:val="000000"/>
          <w:lang w:eastAsia="bg-BG"/>
        </w:rPr>
        <w:t xml:space="preserve">За деца и юноши (момчета II степен по Танер и нагоре и момичета, които са поне една година след първата им менструация на възраст 10-17 години) с хетерозиготна фамилна хиперхолестеролемия, препоръчителната обичайна начална доза е 10 </w:t>
      </w:r>
      <w:r w:rsidRPr="00FE2848">
        <w:rPr>
          <w:rFonts w:eastAsia="Times New Roman" w:cs="Arial"/>
          <w:color w:val="000000"/>
          <w:lang w:val="en-US"/>
        </w:rPr>
        <w:t xml:space="preserve">mg </w:t>
      </w:r>
      <w:r w:rsidRPr="00FE2848">
        <w:rPr>
          <w:rFonts w:eastAsia="Times New Roman" w:cs="Arial"/>
          <w:color w:val="000000"/>
          <w:lang w:eastAsia="bg-BG"/>
        </w:rPr>
        <w:t>веднъж дневно вечер. Децата и юношите трябва да бъдат поставени на стандартна холестерол-понижаваща диета преди започване на лечението със симвастатин; тази диета трябва да продължи и по време на лечението със симвастатин.</w:t>
      </w:r>
    </w:p>
    <w:p w14:paraId="4CE38952" w14:textId="77777777" w:rsidR="00FE2848" w:rsidRPr="00FE2848" w:rsidRDefault="00FE2848" w:rsidP="00FE2848">
      <w:pPr>
        <w:spacing w:line="240" w:lineRule="auto"/>
        <w:rPr>
          <w:rFonts w:eastAsia="Times New Roman" w:cs="Arial"/>
          <w:color w:val="000000"/>
          <w:lang w:eastAsia="bg-BG"/>
        </w:rPr>
      </w:pPr>
    </w:p>
    <w:p w14:paraId="6ACAF645" w14:textId="755A54ED" w:rsidR="0091385D" w:rsidRPr="00FE2848" w:rsidRDefault="00FE2848" w:rsidP="00FE2848">
      <w:pPr>
        <w:spacing w:line="240" w:lineRule="auto"/>
        <w:rPr>
          <w:rFonts w:eastAsia="Times New Roman" w:cs="Arial"/>
          <w:lang w:eastAsia="bg-BG"/>
        </w:rPr>
      </w:pPr>
      <w:r w:rsidRPr="00FE2848">
        <w:rPr>
          <w:rFonts w:eastAsia="Times New Roman" w:cs="Arial"/>
          <w:color w:val="000000"/>
          <w:lang w:eastAsia="bg-BG"/>
        </w:rPr>
        <w:t xml:space="preserve">Препоръчителният дозов интервал е 10-40 </w:t>
      </w:r>
      <w:r w:rsidRPr="00FE2848">
        <w:rPr>
          <w:rFonts w:eastAsia="Times New Roman" w:cs="Arial"/>
          <w:color w:val="000000"/>
          <w:lang w:val="en-US"/>
        </w:rPr>
        <w:t xml:space="preserve">mg </w:t>
      </w:r>
      <w:r w:rsidRPr="00FE2848">
        <w:rPr>
          <w:rFonts w:eastAsia="Times New Roman" w:cs="Arial"/>
          <w:color w:val="000000"/>
          <w:lang w:eastAsia="bg-BG"/>
        </w:rPr>
        <w:t xml:space="preserve">дневно, максималната препоръчителна доза е 40 </w:t>
      </w:r>
      <w:r w:rsidRPr="00FE2848">
        <w:rPr>
          <w:rFonts w:eastAsia="Times New Roman" w:cs="Arial"/>
          <w:color w:val="000000"/>
          <w:lang w:val="en-US"/>
        </w:rPr>
        <w:t>mg</w:t>
      </w:r>
      <w:r w:rsidRPr="00FE2848">
        <w:rPr>
          <w:rFonts w:eastAsia="Times New Roman" w:cs="Arial"/>
          <w:color w:val="000000"/>
          <w:lang w:eastAsia="bg-BG"/>
        </w:rPr>
        <w:t xml:space="preserve"> дневно. Дозите трябва да бъдат индивидуализирани, според препоръчаната цел на терапията</w:t>
      </w:r>
      <w:r>
        <w:rPr>
          <w:rFonts w:eastAsia="Times New Roman" w:cs="Arial"/>
          <w:lang w:val="en-US" w:eastAsia="bg-BG"/>
        </w:rPr>
        <w:t xml:space="preserve"> </w:t>
      </w:r>
      <w:r w:rsidRPr="00FE2848">
        <w:rPr>
          <w:rFonts w:eastAsia="Times New Roman" w:cs="Arial"/>
          <w:color w:val="000000"/>
          <w:lang w:eastAsia="bg-BG"/>
        </w:rPr>
        <w:t>съгласно препоръките за педиатрично лечение (вж. точки 4.4 и 5.1). Коригиране на дозата трябва да се прави през интервал от 4 седмици или повече.</w:t>
      </w:r>
    </w:p>
    <w:p w14:paraId="7C97CDC4" w14:textId="2578F831" w:rsidR="00FE2848" w:rsidRDefault="00FE2848" w:rsidP="0091385D"/>
    <w:p w14:paraId="6FB5F84A" w14:textId="77777777" w:rsidR="00FE2848" w:rsidRPr="00FE2848" w:rsidRDefault="00FE2848" w:rsidP="00FE2848">
      <w:pPr>
        <w:spacing w:line="240" w:lineRule="auto"/>
        <w:rPr>
          <w:rFonts w:eastAsia="Times New Roman" w:cs="Arial"/>
          <w:sz w:val="28"/>
          <w:szCs w:val="24"/>
          <w:lang w:eastAsia="bg-BG"/>
        </w:rPr>
      </w:pPr>
      <w:r w:rsidRPr="00FE2848">
        <w:rPr>
          <w:rFonts w:eastAsia="Times New Roman" w:cs="Arial"/>
          <w:color w:val="000000"/>
          <w:szCs w:val="20"/>
          <w:lang w:eastAsia="bg-BG"/>
        </w:rPr>
        <w:t>Опитът със Симвакор при деца преди употребата е ограничен.</w:t>
      </w:r>
    </w:p>
    <w:p w14:paraId="5076BD9A" w14:textId="77777777" w:rsidR="00FE2848" w:rsidRPr="00FE2848" w:rsidRDefault="00FE2848" w:rsidP="00FE2848">
      <w:pPr>
        <w:spacing w:line="240" w:lineRule="auto"/>
        <w:rPr>
          <w:rFonts w:eastAsia="Times New Roman" w:cs="Arial"/>
          <w:color w:val="000000"/>
          <w:szCs w:val="20"/>
          <w:u w:val="single"/>
          <w:lang w:eastAsia="bg-BG"/>
        </w:rPr>
      </w:pPr>
    </w:p>
    <w:p w14:paraId="33031636" w14:textId="49334F51" w:rsidR="00FE2848" w:rsidRPr="00FE2848" w:rsidRDefault="00FE2848" w:rsidP="00FE2848">
      <w:pPr>
        <w:pStyle w:val="Heading3"/>
        <w:rPr>
          <w:rFonts w:eastAsia="Times New Roman"/>
          <w:sz w:val="28"/>
          <w:u w:val="single"/>
          <w:lang w:eastAsia="bg-BG"/>
        </w:rPr>
      </w:pPr>
      <w:r w:rsidRPr="00FE2848">
        <w:rPr>
          <w:rFonts w:eastAsia="Times New Roman"/>
          <w:u w:val="single"/>
          <w:lang w:eastAsia="bg-BG"/>
        </w:rPr>
        <w:t>Начин на приложение</w:t>
      </w:r>
    </w:p>
    <w:p w14:paraId="2CD63F73" w14:textId="1877DBAE" w:rsidR="00FE2848" w:rsidRPr="00FE2848" w:rsidRDefault="00FE2848" w:rsidP="00FE2848">
      <w:pPr>
        <w:rPr>
          <w:rFonts w:cs="Arial"/>
          <w:sz w:val="24"/>
        </w:rPr>
      </w:pPr>
      <w:r w:rsidRPr="00FE2848">
        <w:rPr>
          <w:rFonts w:eastAsia="Times New Roman" w:cs="Arial"/>
          <w:color w:val="000000"/>
          <w:szCs w:val="20"/>
          <w:lang w:eastAsia="bg-BG"/>
        </w:rPr>
        <w:t>Симвакор е предназначен за перорално приложение. Симвакор може да бъде прилаган като еднократна доза вечер.</w:t>
      </w:r>
    </w:p>
    <w:p w14:paraId="4E663182" w14:textId="77777777" w:rsidR="00FE2848" w:rsidRPr="0091385D" w:rsidRDefault="00FE2848" w:rsidP="0091385D"/>
    <w:p w14:paraId="28C984E8" w14:textId="0756AE28" w:rsidR="008134C8" w:rsidRDefault="002C50EE" w:rsidP="004A448E">
      <w:pPr>
        <w:pStyle w:val="Heading2"/>
      </w:pPr>
      <w:r>
        <w:t>4.3. Противопоказания</w:t>
      </w:r>
    </w:p>
    <w:p w14:paraId="2363D607" w14:textId="48168570" w:rsidR="0091385D" w:rsidRDefault="0091385D" w:rsidP="0091385D"/>
    <w:p w14:paraId="219D173D" w14:textId="77777777" w:rsidR="00FE2848" w:rsidRPr="00FE2848" w:rsidRDefault="00FE2848" w:rsidP="00FE2848">
      <w:pPr>
        <w:pStyle w:val="ListParagraph"/>
        <w:numPr>
          <w:ilvl w:val="0"/>
          <w:numId w:val="35"/>
        </w:numPr>
        <w:spacing w:line="240" w:lineRule="auto"/>
        <w:rPr>
          <w:rFonts w:eastAsia="Times New Roman" w:cs="Arial"/>
          <w:color w:val="000000"/>
          <w:szCs w:val="20"/>
          <w:lang w:eastAsia="bg-BG"/>
        </w:rPr>
      </w:pPr>
      <w:r w:rsidRPr="00FE2848">
        <w:rPr>
          <w:rFonts w:eastAsia="Times New Roman" w:cs="Arial"/>
          <w:color w:val="000000"/>
          <w:szCs w:val="20"/>
          <w:lang w:eastAsia="bg-BG"/>
        </w:rPr>
        <w:t>Свръхчувствителност към активното вещество или към някое от помощните вещества, изборени в точка 6.1.</w:t>
      </w:r>
    </w:p>
    <w:p w14:paraId="397AA0CB" w14:textId="77777777" w:rsidR="00FE2848" w:rsidRPr="00FE2848" w:rsidRDefault="00FE2848" w:rsidP="00FE2848">
      <w:pPr>
        <w:pStyle w:val="ListParagraph"/>
        <w:numPr>
          <w:ilvl w:val="0"/>
          <w:numId w:val="35"/>
        </w:numPr>
        <w:spacing w:line="240" w:lineRule="auto"/>
        <w:rPr>
          <w:rFonts w:eastAsia="Times New Roman" w:cs="Arial"/>
          <w:color w:val="000000"/>
          <w:szCs w:val="20"/>
          <w:lang w:eastAsia="bg-BG"/>
        </w:rPr>
      </w:pPr>
      <w:r w:rsidRPr="00FE2848">
        <w:rPr>
          <w:rFonts w:eastAsia="Times New Roman" w:cs="Arial"/>
          <w:color w:val="000000"/>
          <w:szCs w:val="20"/>
          <w:lang w:eastAsia="bg-BG"/>
        </w:rPr>
        <w:t>Активно чернодробно заболяване или неизяснено персистиращо повишение на серумните трансаминази.</w:t>
      </w:r>
    </w:p>
    <w:p w14:paraId="4191D529" w14:textId="77777777" w:rsidR="00FE2848" w:rsidRPr="00FE2848" w:rsidRDefault="00FE2848" w:rsidP="00FE2848">
      <w:pPr>
        <w:pStyle w:val="ListParagraph"/>
        <w:numPr>
          <w:ilvl w:val="0"/>
          <w:numId w:val="35"/>
        </w:numPr>
        <w:spacing w:line="240" w:lineRule="auto"/>
        <w:rPr>
          <w:rFonts w:eastAsia="Times New Roman" w:cs="Arial"/>
          <w:color w:val="000000"/>
          <w:szCs w:val="20"/>
          <w:lang w:eastAsia="bg-BG"/>
        </w:rPr>
      </w:pPr>
      <w:r w:rsidRPr="00FE2848">
        <w:rPr>
          <w:rFonts w:eastAsia="Times New Roman" w:cs="Arial"/>
          <w:color w:val="000000"/>
          <w:szCs w:val="20"/>
          <w:lang w:eastAsia="bg-BG"/>
        </w:rPr>
        <w:t>Бременност и кърмене (вж. точка 4.6).</w:t>
      </w:r>
    </w:p>
    <w:p w14:paraId="00139528" w14:textId="77777777" w:rsidR="00FE2848" w:rsidRPr="00FE2848" w:rsidRDefault="00FE2848" w:rsidP="00FE2848">
      <w:pPr>
        <w:pStyle w:val="ListParagraph"/>
        <w:numPr>
          <w:ilvl w:val="0"/>
          <w:numId w:val="35"/>
        </w:numPr>
        <w:spacing w:line="240" w:lineRule="auto"/>
        <w:rPr>
          <w:rFonts w:eastAsia="Times New Roman" w:cs="Arial"/>
          <w:color w:val="000000"/>
          <w:szCs w:val="20"/>
          <w:lang w:eastAsia="bg-BG"/>
        </w:rPr>
      </w:pPr>
      <w:r w:rsidRPr="00FE2848">
        <w:rPr>
          <w:rFonts w:eastAsia="Times New Roman" w:cs="Arial"/>
          <w:color w:val="000000"/>
          <w:szCs w:val="20"/>
          <w:lang w:eastAsia="bg-BG"/>
        </w:rPr>
        <w:t xml:space="preserve">Едновременно приложение на мощни инхибитори на </w:t>
      </w:r>
      <w:r w:rsidRPr="00FE2848">
        <w:rPr>
          <w:rFonts w:eastAsia="Times New Roman" w:cs="Arial"/>
          <w:color w:val="000000"/>
          <w:szCs w:val="20"/>
          <w:lang w:val="en-US"/>
        </w:rPr>
        <w:t xml:space="preserve">CYP3A4 </w:t>
      </w:r>
      <w:r w:rsidRPr="00FE2848">
        <w:rPr>
          <w:rFonts w:eastAsia="Times New Roman" w:cs="Arial"/>
          <w:color w:val="000000"/>
          <w:szCs w:val="20"/>
          <w:lang w:eastAsia="bg-BG"/>
        </w:rPr>
        <w:t xml:space="preserve">(средства, които повишават </w:t>
      </w:r>
      <w:r w:rsidRPr="00FE2848">
        <w:rPr>
          <w:rFonts w:eastAsia="Times New Roman" w:cs="Arial"/>
          <w:color w:val="000000"/>
          <w:szCs w:val="20"/>
          <w:lang w:val="en-US"/>
        </w:rPr>
        <w:t xml:space="preserve">AUC </w:t>
      </w:r>
      <w:r w:rsidRPr="00FE2848">
        <w:rPr>
          <w:rFonts w:eastAsia="Times New Roman" w:cs="Arial"/>
          <w:color w:val="000000"/>
          <w:szCs w:val="20"/>
          <w:lang w:eastAsia="bg-BG"/>
        </w:rPr>
        <w:t xml:space="preserve">приблизително 5 пъти или повече) (напр. итраконазол, кетоконазол, позаконазол, вориконазол, </w:t>
      </w:r>
      <w:r w:rsidRPr="00FE2848">
        <w:rPr>
          <w:rFonts w:eastAsia="Times New Roman" w:cs="Arial"/>
          <w:color w:val="000000"/>
          <w:szCs w:val="20"/>
          <w:lang w:val="en-US"/>
        </w:rPr>
        <w:t>HIV</w:t>
      </w:r>
      <w:r w:rsidRPr="00FE2848">
        <w:rPr>
          <w:rFonts w:eastAsia="Times New Roman" w:cs="Arial"/>
          <w:color w:val="000000"/>
          <w:szCs w:val="20"/>
          <w:lang w:eastAsia="bg-BG"/>
        </w:rPr>
        <w:t>-протеазни инхибитори (напр.нелфинавир), боцепревир, телапревир, еритромицин, кларитромицин, телитромицин, нефазодон и лекарствени продукти, съдържащи кобицистат) (вж. точки 4.4 и 4.5).</w:t>
      </w:r>
    </w:p>
    <w:p w14:paraId="4BB17E0F" w14:textId="77777777" w:rsidR="00FE2848" w:rsidRPr="00FE2848" w:rsidRDefault="00FE2848" w:rsidP="00FE2848">
      <w:pPr>
        <w:pStyle w:val="ListParagraph"/>
        <w:numPr>
          <w:ilvl w:val="0"/>
          <w:numId w:val="35"/>
        </w:numPr>
        <w:spacing w:line="240" w:lineRule="auto"/>
        <w:rPr>
          <w:rFonts w:eastAsia="Times New Roman" w:cs="Arial"/>
          <w:color w:val="000000"/>
          <w:szCs w:val="20"/>
          <w:lang w:eastAsia="bg-BG"/>
        </w:rPr>
      </w:pPr>
      <w:r w:rsidRPr="00FE2848">
        <w:rPr>
          <w:rFonts w:eastAsia="Times New Roman" w:cs="Arial"/>
          <w:color w:val="000000"/>
          <w:szCs w:val="20"/>
          <w:lang w:eastAsia="bg-BG"/>
        </w:rPr>
        <w:t>Едновременно приложение на гемфиброзил, циклоспорин или даназол (вж.точки 4.4 и 4.5).</w:t>
      </w:r>
    </w:p>
    <w:p w14:paraId="2309EAB0" w14:textId="27DFE2A2" w:rsidR="0091385D" w:rsidRPr="00912B18" w:rsidRDefault="00FE2848" w:rsidP="00FE2848">
      <w:pPr>
        <w:pStyle w:val="ListParagraph"/>
        <w:numPr>
          <w:ilvl w:val="0"/>
          <w:numId w:val="35"/>
        </w:numPr>
        <w:spacing w:line="240" w:lineRule="auto"/>
        <w:rPr>
          <w:rFonts w:eastAsia="Times New Roman" w:cs="Arial"/>
          <w:color w:val="000000"/>
          <w:szCs w:val="20"/>
          <w:lang w:eastAsia="bg-BG"/>
        </w:rPr>
      </w:pPr>
      <w:r w:rsidRPr="00FE2848">
        <w:rPr>
          <w:rFonts w:eastAsia="Times New Roman" w:cs="Arial"/>
          <w:color w:val="000000"/>
          <w:szCs w:val="20"/>
          <w:lang w:eastAsia="bg-BG"/>
        </w:rPr>
        <w:t xml:space="preserve">Едновременно приложение на ломитапид със Симвакор в дози &gt; 40 </w:t>
      </w:r>
      <w:r w:rsidRPr="00FE2848">
        <w:rPr>
          <w:rFonts w:eastAsia="Times New Roman" w:cs="Arial"/>
          <w:color w:val="000000"/>
          <w:szCs w:val="20"/>
          <w:lang w:val="en-US"/>
        </w:rPr>
        <w:t xml:space="preserve">mg </w:t>
      </w:r>
      <w:r w:rsidRPr="00FE2848">
        <w:rPr>
          <w:rFonts w:eastAsia="Times New Roman" w:cs="Arial"/>
          <w:color w:val="000000"/>
          <w:szCs w:val="20"/>
          <w:lang w:eastAsia="bg-BG"/>
        </w:rPr>
        <w:t>при пациенти с</w:t>
      </w:r>
      <w:r w:rsidR="00912B18">
        <w:rPr>
          <w:rFonts w:eastAsia="Times New Roman" w:cs="Arial"/>
          <w:color w:val="000000"/>
          <w:szCs w:val="20"/>
          <w:lang w:val="en-US" w:eastAsia="bg-BG"/>
        </w:rPr>
        <w:t xml:space="preserve"> </w:t>
      </w:r>
      <w:r w:rsidRPr="00912B18">
        <w:rPr>
          <w:rFonts w:eastAsia="Times New Roman" w:cs="Arial"/>
          <w:color w:val="000000"/>
          <w:szCs w:val="20"/>
          <w:lang w:eastAsia="bg-BG"/>
        </w:rPr>
        <w:t>ХоФХ (вж. точки 4.2, 4.4 и 4.5).</w:t>
      </w:r>
    </w:p>
    <w:p w14:paraId="31B39DC6" w14:textId="77777777" w:rsidR="0091385D" w:rsidRPr="0091385D" w:rsidRDefault="0091385D" w:rsidP="0091385D"/>
    <w:p w14:paraId="212F509C" w14:textId="52B87D4F" w:rsidR="004F498A" w:rsidRDefault="002C50EE" w:rsidP="004A448E">
      <w:pPr>
        <w:pStyle w:val="Heading2"/>
      </w:pPr>
      <w:r>
        <w:t>4.4. Специални предупреждения и предпазни мерки при употреба</w:t>
      </w:r>
    </w:p>
    <w:p w14:paraId="0AAC2B60" w14:textId="0A08B607" w:rsidR="0091385D" w:rsidRDefault="0091385D" w:rsidP="0091385D"/>
    <w:p w14:paraId="4A1E9CD2" w14:textId="77777777" w:rsidR="00FE2848" w:rsidRPr="00FE2848" w:rsidRDefault="00FE2848" w:rsidP="00FE2848">
      <w:pPr>
        <w:spacing w:line="240" w:lineRule="auto"/>
        <w:rPr>
          <w:rFonts w:eastAsia="Times New Roman" w:cs="Arial"/>
          <w:sz w:val="28"/>
          <w:szCs w:val="24"/>
          <w:lang w:eastAsia="bg-BG"/>
        </w:rPr>
      </w:pPr>
      <w:bookmarkStart w:id="1" w:name="bookmark0"/>
      <w:r w:rsidRPr="00FE2848">
        <w:rPr>
          <w:rFonts w:eastAsia="Times New Roman" w:cs="Arial"/>
          <w:b/>
          <w:bCs/>
          <w:color w:val="000000"/>
          <w:szCs w:val="20"/>
          <w:lang w:eastAsia="bg-BG"/>
        </w:rPr>
        <w:t>Миопатия/ рабдомиолиза</w:t>
      </w:r>
      <w:bookmarkEnd w:id="1"/>
    </w:p>
    <w:p w14:paraId="1372FD4F" w14:textId="77777777" w:rsidR="00FE2848" w:rsidRPr="00FE2848" w:rsidRDefault="00FE2848" w:rsidP="00FE2848">
      <w:pPr>
        <w:spacing w:line="240" w:lineRule="auto"/>
        <w:rPr>
          <w:rFonts w:eastAsia="Times New Roman" w:cs="Arial"/>
          <w:sz w:val="28"/>
          <w:szCs w:val="24"/>
          <w:lang w:eastAsia="bg-BG"/>
        </w:rPr>
      </w:pPr>
      <w:r w:rsidRPr="00FE2848">
        <w:rPr>
          <w:rFonts w:eastAsia="Times New Roman" w:cs="Arial"/>
          <w:color w:val="000000"/>
          <w:szCs w:val="20"/>
          <w:lang w:eastAsia="bg-BG"/>
        </w:rPr>
        <w:lastRenderedPageBreak/>
        <w:t xml:space="preserve">Симвастатин, както и други инхибитори на 3-хидрокси-3-метилглутарил-коензим </w:t>
      </w:r>
      <w:r w:rsidRPr="00FE2848">
        <w:rPr>
          <w:rFonts w:eastAsia="Times New Roman" w:cs="Arial"/>
          <w:color w:val="000000"/>
          <w:szCs w:val="20"/>
          <w:lang w:val="en-US"/>
        </w:rPr>
        <w:t xml:space="preserve">A (HMG-CoA) </w:t>
      </w:r>
      <w:r w:rsidRPr="00FE2848">
        <w:rPr>
          <w:rFonts w:eastAsia="Times New Roman" w:cs="Arial"/>
          <w:color w:val="000000"/>
          <w:szCs w:val="20"/>
          <w:lang w:eastAsia="bg-BG"/>
        </w:rPr>
        <w:t xml:space="preserve">- редуктазата понякога причиняват миопатия, която се манифестира с мускулна болка, болезненост или слабост, свързани с покачване на нивата на креатин киназата (СК) повече от 10 пъти над горната граница на нормата (ГГН). Миопатията понякога приема формата на рабдомиолиза, със или без остра бъбречна недостатъчност вследствие на миоглобинурия, и в редки случаи е настъпвал фатален изход. Рискът от миопатия може да се увеличи при високи нива на </w:t>
      </w:r>
      <w:r w:rsidRPr="00FE2848">
        <w:rPr>
          <w:rFonts w:eastAsia="Times New Roman" w:cs="Arial"/>
          <w:color w:val="000000"/>
          <w:szCs w:val="20"/>
          <w:lang w:val="en-US"/>
        </w:rPr>
        <w:t xml:space="preserve">HMG-CoA </w:t>
      </w:r>
      <w:r w:rsidRPr="00FE2848">
        <w:rPr>
          <w:rFonts w:eastAsia="Times New Roman" w:cs="Arial"/>
          <w:color w:val="000000"/>
          <w:szCs w:val="20"/>
          <w:lang w:eastAsia="bg-BG"/>
        </w:rPr>
        <w:t>- редуктазно инхибиторната активност в плазмата (като повишени плазмени нива на симвастатин и симвастатинова киселина), които може да се дължат отчасти на взаимодействащи лекарствени продукти, които повлияват метаболизма и/или транспортните пътища на симвастатин (вж. точка 4.5).</w:t>
      </w:r>
    </w:p>
    <w:p w14:paraId="17AEA746" w14:textId="77777777" w:rsidR="00FE2848" w:rsidRPr="00FE2848" w:rsidRDefault="00FE2848" w:rsidP="00FE2848">
      <w:pPr>
        <w:spacing w:line="240" w:lineRule="auto"/>
        <w:rPr>
          <w:rFonts w:eastAsia="Times New Roman" w:cs="Arial"/>
          <w:color w:val="000000"/>
          <w:szCs w:val="20"/>
          <w:lang w:eastAsia="bg-BG"/>
        </w:rPr>
      </w:pPr>
    </w:p>
    <w:p w14:paraId="3D6C6B15" w14:textId="5B278F3B" w:rsidR="00FE2848" w:rsidRPr="00FE2848" w:rsidRDefault="00FE2848" w:rsidP="00FE2848">
      <w:pPr>
        <w:spacing w:line="240" w:lineRule="auto"/>
        <w:rPr>
          <w:rFonts w:eastAsia="Times New Roman" w:cs="Arial"/>
          <w:sz w:val="28"/>
          <w:szCs w:val="24"/>
          <w:lang w:eastAsia="bg-BG"/>
        </w:rPr>
      </w:pPr>
      <w:r w:rsidRPr="00FE2848">
        <w:rPr>
          <w:rFonts w:eastAsia="Times New Roman" w:cs="Arial"/>
          <w:color w:val="000000"/>
          <w:szCs w:val="20"/>
          <w:lang w:eastAsia="bg-BG"/>
        </w:rPr>
        <w:t xml:space="preserve">Както и други инхибитори на </w:t>
      </w:r>
      <w:r w:rsidRPr="00FE2848">
        <w:rPr>
          <w:rFonts w:eastAsia="Times New Roman" w:cs="Arial"/>
          <w:color w:val="000000"/>
          <w:szCs w:val="20"/>
          <w:lang w:val="en-US"/>
        </w:rPr>
        <w:t xml:space="preserve">HMG-CoA </w:t>
      </w:r>
      <w:r w:rsidRPr="00FE2848">
        <w:rPr>
          <w:rFonts w:eastAsia="Times New Roman" w:cs="Arial"/>
          <w:color w:val="000000"/>
          <w:szCs w:val="20"/>
          <w:lang w:eastAsia="bg-BG"/>
        </w:rPr>
        <w:t xml:space="preserve">редуктазата, рискът от миопатия/рабдомиолиза, показва зависимост от дозата. В база данни от клинично изпитване, в което 41 413 пациенти са лекувани със симвастатин, 24 747 (приблизително 60%) от тях са включени в проучвания с медиана на проследяването от поне 4 години, честотата на миопатия е приблизително 0,03%, 0,08% и 0,61% за дозите от 20,40 и 80 </w:t>
      </w:r>
      <w:r w:rsidRPr="00FE2848">
        <w:rPr>
          <w:rFonts w:eastAsia="Times New Roman" w:cs="Arial"/>
          <w:color w:val="000000"/>
          <w:szCs w:val="20"/>
          <w:lang w:val="en-US"/>
        </w:rPr>
        <w:t xml:space="preserve">mg </w:t>
      </w:r>
      <w:r w:rsidRPr="00FE2848">
        <w:rPr>
          <w:rFonts w:eastAsia="Times New Roman" w:cs="Arial"/>
          <w:color w:val="000000"/>
          <w:szCs w:val="20"/>
          <w:lang w:eastAsia="bg-BG"/>
        </w:rPr>
        <w:t>дневно съответно. В тези клинични изпитвания пациентите са внимателно проследявани и някои лекарствени продукти, участващи в лекарствени взаимодействия, са изключени.</w:t>
      </w:r>
    </w:p>
    <w:p w14:paraId="387427CC" w14:textId="77777777" w:rsidR="00FE2848" w:rsidRPr="00FE2848" w:rsidRDefault="00FE2848" w:rsidP="00FE2848">
      <w:pPr>
        <w:spacing w:line="240" w:lineRule="auto"/>
        <w:rPr>
          <w:rFonts w:eastAsia="Times New Roman" w:cs="Arial"/>
          <w:color w:val="000000"/>
          <w:szCs w:val="20"/>
          <w:lang w:eastAsia="bg-BG"/>
        </w:rPr>
      </w:pPr>
    </w:p>
    <w:p w14:paraId="0354E4FE" w14:textId="187AC214" w:rsidR="00FE2848" w:rsidRPr="00FE2848" w:rsidRDefault="00FE2848" w:rsidP="00FE2848">
      <w:pPr>
        <w:spacing w:line="240" w:lineRule="auto"/>
        <w:rPr>
          <w:rFonts w:eastAsia="Times New Roman" w:cs="Arial"/>
          <w:sz w:val="28"/>
          <w:szCs w:val="24"/>
          <w:lang w:eastAsia="bg-BG"/>
        </w:rPr>
      </w:pPr>
      <w:r w:rsidRPr="00FE2848">
        <w:rPr>
          <w:rFonts w:eastAsia="Times New Roman" w:cs="Arial"/>
          <w:color w:val="000000"/>
          <w:szCs w:val="20"/>
          <w:lang w:eastAsia="bg-BG"/>
        </w:rPr>
        <w:t xml:space="preserve">В клинично изпитване, в което пациенти с анамнеза за инфаркт на миокарда са лекувани със симвастатин 80 </w:t>
      </w:r>
      <w:r w:rsidRPr="00FE2848">
        <w:rPr>
          <w:rFonts w:eastAsia="Times New Roman" w:cs="Arial"/>
          <w:color w:val="000000"/>
          <w:szCs w:val="20"/>
          <w:lang w:val="en-US"/>
        </w:rPr>
        <w:t xml:space="preserve">mg </w:t>
      </w:r>
      <w:r w:rsidRPr="00FE2848">
        <w:rPr>
          <w:rFonts w:eastAsia="Times New Roman" w:cs="Arial"/>
          <w:color w:val="000000"/>
          <w:szCs w:val="20"/>
          <w:lang w:eastAsia="bg-BG"/>
        </w:rPr>
        <w:t xml:space="preserve">дневно (медиана на проследяването 6,7 години), честотата на миопатия е приблизително 1,0% сравнено с 0,02% при пациентите на лечение с доза от 20 </w:t>
      </w:r>
      <w:r w:rsidRPr="00FE2848">
        <w:rPr>
          <w:rFonts w:eastAsia="Times New Roman" w:cs="Arial"/>
          <w:color w:val="000000"/>
          <w:szCs w:val="20"/>
          <w:lang w:val="en-US"/>
        </w:rPr>
        <w:t xml:space="preserve">mg </w:t>
      </w:r>
      <w:r w:rsidRPr="00FE2848">
        <w:rPr>
          <w:rFonts w:eastAsia="Times New Roman" w:cs="Arial"/>
          <w:color w:val="000000"/>
          <w:szCs w:val="20"/>
          <w:lang w:eastAsia="bg-BG"/>
        </w:rPr>
        <w:t>дневно. Приблизително половината от тези случаи на миопатия са настъпили през първата година от лечението. Честотата на развитие на миопатия през всяка следваща година от лечението е приблизително 0,1% (вж.точки 4.8 и 5.1).</w:t>
      </w:r>
    </w:p>
    <w:p w14:paraId="64728590" w14:textId="77777777" w:rsidR="00FE2848" w:rsidRPr="00FE2848" w:rsidRDefault="00FE2848" w:rsidP="00FE2848">
      <w:pPr>
        <w:spacing w:line="240" w:lineRule="auto"/>
        <w:rPr>
          <w:rFonts w:eastAsia="Times New Roman" w:cs="Arial"/>
          <w:color w:val="000000"/>
          <w:szCs w:val="20"/>
          <w:lang w:eastAsia="bg-BG"/>
        </w:rPr>
      </w:pPr>
    </w:p>
    <w:p w14:paraId="127B8402" w14:textId="77777777" w:rsidR="00FE2848" w:rsidRPr="00FE2848" w:rsidRDefault="00FE2848" w:rsidP="00FE2848">
      <w:pPr>
        <w:rPr>
          <w:rFonts w:eastAsia="Times New Roman" w:cs="Arial"/>
          <w:sz w:val="28"/>
          <w:szCs w:val="24"/>
          <w:lang w:eastAsia="bg-BG"/>
        </w:rPr>
      </w:pPr>
      <w:r w:rsidRPr="00FE2848">
        <w:rPr>
          <w:rFonts w:eastAsia="Times New Roman" w:cs="Arial"/>
          <w:color w:val="000000"/>
          <w:szCs w:val="20"/>
          <w:lang w:eastAsia="bg-BG"/>
        </w:rPr>
        <w:t xml:space="preserve">При пациенти на лечение със симвастатин 80 </w:t>
      </w:r>
      <w:r w:rsidRPr="00FE2848">
        <w:rPr>
          <w:rFonts w:eastAsia="Times New Roman" w:cs="Arial"/>
          <w:color w:val="000000"/>
          <w:szCs w:val="20"/>
          <w:lang w:val="en-US"/>
        </w:rPr>
        <w:t xml:space="preserve">mg, </w:t>
      </w:r>
      <w:r w:rsidRPr="00FE2848">
        <w:rPr>
          <w:rFonts w:eastAsia="Times New Roman" w:cs="Arial"/>
          <w:color w:val="000000"/>
          <w:szCs w:val="20"/>
          <w:lang w:eastAsia="bg-BG"/>
        </w:rPr>
        <w:t xml:space="preserve">рискът от миопатия е по-висок, околкото при пациенти на лечение с други статини със сходна ефикасност по отношение на понижаването на </w:t>
      </w:r>
      <w:r w:rsidRPr="00FE2848">
        <w:rPr>
          <w:rFonts w:eastAsia="Times New Roman" w:cs="Arial"/>
          <w:color w:val="000000"/>
          <w:szCs w:val="20"/>
          <w:lang w:val="en-US"/>
        </w:rPr>
        <w:t xml:space="preserve">LDL-C. </w:t>
      </w:r>
      <w:r w:rsidRPr="00FE2848">
        <w:rPr>
          <w:rFonts w:eastAsia="Times New Roman" w:cs="Arial"/>
          <w:color w:val="000000"/>
          <w:szCs w:val="20"/>
          <w:lang w:eastAsia="bg-BG"/>
        </w:rPr>
        <w:t xml:space="preserve">Следователно дозата симвастатин 80 </w:t>
      </w:r>
      <w:r w:rsidRPr="00FE2848">
        <w:rPr>
          <w:rFonts w:eastAsia="Times New Roman" w:cs="Arial"/>
          <w:color w:val="000000"/>
          <w:szCs w:val="20"/>
          <w:lang w:val="en-US"/>
        </w:rPr>
        <w:t xml:space="preserve">mg </w:t>
      </w:r>
      <w:r w:rsidRPr="00FE2848">
        <w:rPr>
          <w:rFonts w:eastAsia="Times New Roman" w:cs="Arial"/>
          <w:color w:val="000000"/>
          <w:szCs w:val="20"/>
          <w:lang w:eastAsia="bg-BG"/>
        </w:rPr>
        <w:t>трябва да се използва само при пациенти с тежка хиперхолестеролемия и с висок риск от сърдечно-съдови усложнения, при които с по-ниски дози</w:t>
      </w:r>
      <w:r w:rsidRPr="00FE2848">
        <w:rPr>
          <w:rFonts w:eastAsia="Times New Roman" w:cs="Arial"/>
          <w:color w:val="000000"/>
          <w:szCs w:val="20"/>
          <w:lang w:val="en-US" w:eastAsia="bg-BG"/>
        </w:rPr>
        <w:t xml:space="preserve"> </w:t>
      </w:r>
      <w:r w:rsidRPr="00FE2848">
        <w:rPr>
          <w:rFonts w:eastAsia="Times New Roman" w:cs="Arial"/>
          <w:color w:val="000000"/>
          <w:szCs w:val="20"/>
          <w:lang w:eastAsia="bg-BG"/>
        </w:rPr>
        <w:t>не са постигнати терапевтичните цели и в случай, че очакваната полза надвишава потенциалните</w:t>
      </w:r>
      <w:r>
        <w:rPr>
          <w:rFonts w:eastAsia="Times New Roman" w:cs="Arial"/>
          <w:color w:val="000000"/>
          <w:szCs w:val="20"/>
          <w:lang w:val="en-US" w:eastAsia="bg-BG"/>
        </w:rPr>
        <w:t xml:space="preserve"> </w:t>
      </w:r>
      <w:r w:rsidRPr="00FE2848">
        <w:rPr>
          <w:rFonts w:eastAsia="Times New Roman" w:cs="Arial"/>
          <w:color w:val="000000"/>
          <w:szCs w:val="20"/>
          <w:lang w:eastAsia="bg-BG"/>
        </w:rPr>
        <w:t xml:space="preserve">рискове. При пациенти, приемащи симвастатин 80 </w:t>
      </w:r>
      <w:r w:rsidRPr="00FE2848">
        <w:rPr>
          <w:rFonts w:eastAsia="Times New Roman" w:cs="Arial"/>
          <w:color w:val="000000"/>
          <w:szCs w:val="20"/>
          <w:lang w:val="en-US"/>
        </w:rPr>
        <w:t xml:space="preserve">mg, </w:t>
      </w:r>
      <w:r w:rsidRPr="00FE2848">
        <w:rPr>
          <w:rFonts w:eastAsia="Times New Roman" w:cs="Arial"/>
          <w:color w:val="000000"/>
          <w:szCs w:val="20"/>
          <w:lang w:eastAsia="bg-BG"/>
        </w:rPr>
        <w:t>при които се налага прием и на лекарствен продукт, участващ в лекарствени взаимодействия, трябва да се използва по-ниска доза на симвастатин или алтернативно лечение с друг статии, който е с по-нисък потенциал за лекарствени взаимодействия (вж. по-долу Мерки за намаляване на риска от миопатия, причинена от лекарствени взаимодействия на продукта и точки 4.2,4.3 и 4.5).</w:t>
      </w:r>
    </w:p>
    <w:p w14:paraId="000224B0" w14:textId="77777777" w:rsidR="00FE2848" w:rsidRPr="00FE2848" w:rsidRDefault="00FE2848" w:rsidP="00FE2848">
      <w:pPr>
        <w:spacing w:line="240" w:lineRule="auto"/>
        <w:rPr>
          <w:rFonts w:eastAsia="Times New Roman" w:cs="Arial"/>
          <w:color w:val="000000"/>
          <w:szCs w:val="20"/>
          <w:lang w:eastAsia="bg-BG"/>
        </w:rPr>
      </w:pPr>
    </w:p>
    <w:p w14:paraId="2783F793" w14:textId="0D2282D7" w:rsidR="00FE2848" w:rsidRPr="00FE2848" w:rsidRDefault="00FE2848" w:rsidP="00FE2848">
      <w:pPr>
        <w:spacing w:line="240" w:lineRule="auto"/>
        <w:rPr>
          <w:rFonts w:eastAsia="Times New Roman" w:cs="Arial"/>
          <w:sz w:val="28"/>
          <w:szCs w:val="24"/>
          <w:lang w:eastAsia="bg-BG"/>
        </w:rPr>
      </w:pPr>
      <w:r w:rsidRPr="00FE2848">
        <w:rPr>
          <w:rFonts w:eastAsia="Times New Roman" w:cs="Arial"/>
          <w:color w:val="000000"/>
          <w:szCs w:val="20"/>
          <w:lang w:eastAsia="bg-BG"/>
        </w:rPr>
        <w:t xml:space="preserve">В клинично изпитване, при което пациенти с висок риск от сърдечно-съдово заболяване са лекувани със симвастатин 40 </w:t>
      </w:r>
      <w:r w:rsidRPr="00FE2848">
        <w:rPr>
          <w:rFonts w:eastAsia="Times New Roman" w:cs="Arial"/>
          <w:color w:val="000000"/>
          <w:szCs w:val="20"/>
          <w:lang w:val="en-US"/>
        </w:rPr>
        <w:t xml:space="preserve">mg </w:t>
      </w:r>
      <w:r w:rsidRPr="00FE2848">
        <w:rPr>
          <w:rFonts w:eastAsia="Times New Roman" w:cs="Arial"/>
          <w:color w:val="000000"/>
          <w:szCs w:val="20"/>
          <w:lang w:eastAsia="bg-BG"/>
        </w:rPr>
        <w:t>дневно (медиана на проследяването 3,9 години), честотата на миопатия е приблизително 0,05% при некитайци (</w:t>
      </w:r>
      <w:r w:rsidRPr="00FE2848">
        <w:rPr>
          <w:rFonts w:eastAsia="Times New Roman" w:cs="Arial"/>
          <w:color w:val="000000"/>
          <w:szCs w:val="20"/>
          <w:lang w:val="en-US"/>
        </w:rPr>
        <w:t>n</w:t>
      </w:r>
      <w:r w:rsidRPr="00FE2848">
        <w:rPr>
          <w:rFonts w:eastAsia="Times New Roman" w:cs="Arial"/>
          <w:color w:val="000000"/>
          <w:szCs w:val="20"/>
          <w:lang w:eastAsia="bg-BG"/>
        </w:rPr>
        <w:t>=7 367), сравнено с 0,24% при китайци (</w:t>
      </w:r>
      <w:r w:rsidRPr="00FE2848">
        <w:rPr>
          <w:rFonts w:eastAsia="Times New Roman" w:cs="Arial"/>
          <w:color w:val="000000"/>
          <w:szCs w:val="20"/>
          <w:lang w:val="en-US"/>
        </w:rPr>
        <w:t>n</w:t>
      </w:r>
      <w:r w:rsidRPr="00FE2848">
        <w:rPr>
          <w:rFonts w:eastAsia="Times New Roman" w:cs="Arial"/>
          <w:color w:val="000000"/>
          <w:szCs w:val="20"/>
          <w:lang w:eastAsia="bg-BG"/>
        </w:rPr>
        <w:t>=5 468). Тъй като в това клинично изпитване от азиатското население са оценени само китайци, при предписване на симвастатин на пациенти от Азия трябва да се подхожда с повишено внимание и да се употребява най-ниската доза, ако е необходимо.</w:t>
      </w:r>
    </w:p>
    <w:p w14:paraId="2437ACA2" w14:textId="77777777" w:rsidR="00FE2848" w:rsidRPr="00FE2848" w:rsidRDefault="00FE2848" w:rsidP="00FE2848">
      <w:pPr>
        <w:spacing w:line="240" w:lineRule="auto"/>
        <w:rPr>
          <w:rFonts w:eastAsia="Times New Roman" w:cs="Arial"/>
          <w:i/>
          <w:iCs/>
          <w:color w:val="000000"/>
          <w:szCs w:val="20"/>
          <w:u w:val="single"/>
          <w:lang w:eastAsia="bg-BG"/>
        </w:rPr>
      </w:pPr>
    </w:p>
    <w:p w14:paraId="0CBD9ABF" w14:textId="69A22997" w:rsidR="00FE2848" w:rsidRPr="00FE2848" w:rsidRDefault="00FE2848" w:rsidP="00FE2848">
      <w:pPr>
        <w:spacing w:line="240" w:lineRule="auto"/>
        <w:rPr>
          <w:rFonts w:eastAsia="Times New Roman" w:cs="Arial"/>
          <w:sz w:val="28"/>
          <w:szCs w:val="24"/>
          <w:lang w:eastAsia="bg-BG"/>
        </w:rPr>
      </w:pPr>
      <w:r w:rsidRPr="00FE2848">
        <w:rPr>
          <w:rFonts w:eastAsia="Times New Roman" w:cs="Arial"/>
          <w:i/>
          <w:iCs/>
          <w:color w:val="000000"/>
          <w:szCs w:val="20"/>
          <w:u w:val="single"/>
          <w:lang w:eastAsia="bg-BG"/>
        </w:rPr>
        <w:t>Понижена функция на транспортните протеини</w:t>
      </w:r>
    </w:p>
    <w:p w14:paraId="60E64AC8" w14:textId="77777777" w:rsidR="00FE2848" w:rsidRPr="00FE2848" w:rsidRDefault="00FE2848" w:rsidP="00FE2848">
      <w:pPr>
        <w:spacing w:line="240" w:lineRule="auto"/>
        <w:rPr>
          <w:rFonts w:eastAsia="Times New Roman" w:cs="Arial"/>
          <w:sz w:val="28"/>
          <w:szCs w:val="24"/>
          <w:lang w:eastAsia="bg-BG"/>
        </w:rPr>
      </w:pPr>
      <w:r w:rsidRPr="00FE2848">
        <w:rPr>
          <w:rFonts w:eastAsia="Times New Roman" w:cs="Arial"/>
          <w:color w:val="000000"/>
          <w:szCs w:val="20"/>
          <w:lang w:eastAsia="bg-BG"/>
        </w:rPr>
        <w:t xml:space="preserve">Понижената функция на чернодробните транспортни протеини ОАТР може да увеличи системната експозиция към симвастатинова киселина и да увеличи риска от миопатия и </w:t>
      </w:r>
      <w:r w:rsidRPr="00FE2848">
        <w:rPr>
          <w:rFonts w:eastAsia="Times New Roman" w:cs="Arial"/>
          <w:color w:val="000000"/>
          <w:szCs w:val="20"/>
          <w:lang w:eastAsia="bg-BG"/>
        </w:rPr>
        <w:lastRenderedPageBreak/>
        <w:t xml:space="preserve">рабдомиолиза. Понижената функция може да се прояви в резултат на инхибиране от взаимодействащи лекарства (напр. циклоспорин) или при пациенти, които носят генотип </w:t>
      </w:r>
      <w:r w:rsidRPr="00FE2848">
        <w:rPr>
          <w:rFonts w:eastAsia="Times New Roman" w:cs="Arial"/>
          <w:color w:val="000000"/>
          <w:szCs w:val="20"/>
          <w:lang w:val="en-US"/>
        </w:rPr>
        <w:t xml:space="preserve">SLCO1B1 </w:t>
      </w:r>
      <w:r w:rsidRPr="00FE2848">
        <w:rPr>
          <w:rFonts w:eastAsia="Times New Roman" w:cs="Arial"/>
          <w:color w:val="000000"/>
          <w:szCs w:val="20"/>
          <w:lang w:eastAsia="bg-BG"/>
        </w:rPr>
        <w:t>с.521Т&gt;С.</w:t>
      </w:r>
    </w:p>
    <w:p w14:paraId="7DCFB9BD" w14:textId="77777777" w:rsidR="00FE2848" w:rsidRPr="00FE2848" w:rsidRDefault="00FE2848" w:rsidP="00FE2848">
      <w:pPr>
        <w:spacing w:line="240" w:lineRule="auto"/>
        <w:rPr>
          <w:rFonts w:eastAsia="Times New Roman" w:cs="Arial"/>
          <w:sz w:val="28"/>
          <w:szCs w:val="24"/>
          <w:lang w:eastAsia="bg-BG"/>
        </w:rPr>
      </w:pPr>
      <w:r w:rsidRPr="00FE2848">
        <w:rPr>
          <w:rFonts w:eastAsia="Times New Roman" w:cs="Arial"/>
          <w:color w:val="000000"/>
          <w:szCs w:val="20"/>
          <w:lang w:eastAsia="bg-BG"/>
        </w:rPr>
        <w:t xml:space="preserve">Пациентите, носещи генен алел </w:t>
      </w:r>
      <w:r w:rsidRPr="00FE2848">
        <w:rPr>
          <w:rFonts w:eastAsia="Times New Roman" w:cs="Arial"/>
          <w:color w:val="000000"/>
          <w:szCs w:val="20"/>
          <w:lang w:val="en-US"/>
        </w:rPr>
        <w:t xml:space="preserve">SLCO1B1 </w:t>
      </w:r>
      <w:r w:rsidRPr="00FE2848">
        <w:rPr>
          <w:rFonts w:eastAsia="Times New Roman" w:cs="Arial"/>
          <w:color w:val="000000"/>
          <w:szCs w:val="20"/>
          <w:lang w:eastAsia="bg-BG"/>
        </w:rPr>
        <w:t xml:space="preserve">(с.521Т &gt; С) с кодиране за по-малко активен ОАТР1В1 протеин, имат повишена системна експозиция към симвастатинова киселина и повишен риск от миопатия. Рискът от миопатия, свързана с висока доза (80 </w:t>
      </w:r>
      <w:r w:rsidRPr="00FE2848">
        <w:rPr>
          <w:rFonts w:eastAsia="Times New Roman" w:cs="Arial"/>
          <w:color w:val="000000"/>
          <w:szCs w:val="20"/>
          <w:lang w:val="en-US"/>
        </w:rPr>
        <w:t xml:space="preserve">mg) </w:t>
      </w:r>
      <w:r w:rsidRPr="00FE2848">
        <w:rPr>
          <w:rFonts w:eastAsia="Times New Roman" w:cs="Arial"/>
          <w:color w:val="000000"/>
          <w:szCs w:val="20"/>
          <w:lang w:eastAsia="bg-BG"/>
        </w:rPr>
        <w:t xml:space="preserve">симвастатин, е общо около 1% без проведени генетични тестове. Въз основа на резултатите от </w:t>
      </w:r>
      <w:r w:rsidRPr="00FE2848">
        <w:rPr>
          <w:rFonts w:eastAsia="Times New Roman" w:cs="Arial"/>
          <w:color w:val="000000"/>
          <w:szCs w:val="20"/>
          <w:lang w:val="en-US"/>
        </w:rPr>
        <w:t xml:space="preserve">SEARCH </w:t>
      </w:r>
      <w:r w:rsidRPr="00FE2848">
        <w:rPr>
          <w:rFonts w:eastAsia="Times New Roman" w:cs="Arial"/>
          <w:color w:val="000000"/>
          <w:szCs w:val="20"/>
          <w:lang w:eastAsia="bg-BG"/>
        </w:rPr>
        <w:t xml:space="preserve">изпитването, хомозиготни носители на С алел (наричани също СС), лекувани с 80 </w:t>
      </w:r>
      <w:r w:rsidRPr="00FE2848">
        <w:rPr>
          <w:rFonts w:eastAsia="Times New Roman" w:cs="Arial"/>
          <w:color w:val="000000"/>
          <w:szCs w:val="20"/>
          <w:lang w:val="en-US"/>
        </w:rPr>
        <w:t xml:space="preserve">mg, </w:t>
      </w:r>
      <w:r w:rsidRPr="00FE2848">
        <w:rPr>
          <w:rFonts w:eastAsia="Times New Roman" w:cs="Arial"/>
          <w:color w:val="000000"/>
          <w:szCs w:val="20"/>
          <w:lang w:eastAsia="bg-BG"/>
        </w:rPr>
        <w:t xml:space="preserve">имат 15% риск от развитие на миопатия в рамките на една година, докато рискът при хетерозиготни носители на С алела (СТ) е 1,5 %. Съответният риск е 0,3 % при пациенти, които имат най-често срещания генотип (ТТ) (вж. точка 5.2). Определянето на генотипа за присъствието на алела С трябва да се счита като част от оценката на съотношението полза/риск, където е възможно, преди предписването на симвастатин 80 </w:t>
      </w:r>
      <w:r w:rsidRPr="00FE2848">
        <w:rPr>
          <w:rFonts w:eastAsia="Times New Roman" w:cs="Arial"/>
          <w:color w:val="000000"/>
          <w:szCs w:val="20"/>
          <w:lang w:val="en-US"/>
        </w:rPr>
        <w:t xml:space="preserve">mg </w:t>
      </w:r>
      <w:r w:rsidRPr="00FE2848">
        <w:rPr>
          <w:rFonts w:eastAsia="Times New Roman" w:cs="Arial"/>
          <w:color w:val="000000"/>
          <w:szCs w:val="20"/>
          <w:lang w:eastAsia="bg-BG"/>
        </w:rPr>
        <w:t>за отделни пациенти и трябва да се избягват високи дози при открити носители на СС генотип. Въпреки това, липсата на този ген при определяне на генотипа не изключва развитието на миопатия.</w:t>
      </w:r>
    </w:p>
    <w:p w14:paraId="2F16BBC3" w14:textId="77777777" w:rsidR="00FE2848" w:rsidRPr="00FE2848" w:rsidRDefault="00FE2848" w:rsidP="00FE2848">
      <w:pPr>
        <w:spacing w:line="240" w:lineRule="auto"/>
        <w:rPr>
          <w:rFonts w:eastAsia="Times New Roman" w:cs="Arial"/>
          <w:i/>
          <w:iCs/>
          <w:color w:val="000000"/>
          <w:szCs w:val="20"/>
          <w:lang w:eastAsia="bg-BG"/>
        </w:rPr>
      </w:pPr>
    </w:p>
    <w:p w14:paraId="251574C2" w14:textId="21254D64" w:rsidR="00FE2848" w:rsidRPr="00FE2848" w:rsidRDefault="00FE2848" w:rsidP="00FE2848">
      <w:pPr>
        <w:spacing w:line="240" w:lineRule="auto"/>
        <w:rPr>
          <w:rFonts w:eastAsia="Times New Roman" w:cs="Arial"/>
          <w:sz w:val="28"/>
          <w:szCs w:val="24"/>
          <w:lang w:eastAsia="bg-BG"/>
        </w:rPr>
      </w:pPr>
      <w:r w:rsidRPr="00FE2848">
        <w:rPr>
          <w:rFonts w:eastAsia="Times New Roman" w:cs="Arial"/>
          <w:i/>
          <w:iCs/>
          <w:color w:val="000000"/>
          <w:szCs w:val="20"/>
          <w:lang w:eastAsia="bg-BG"/>
        </w:rPr>
        <w:t>Определяне на креатин киназата</w:t>
      </w:r>
    </w:p>
    <w:p w14:paraId="432CFBEF" w14:textId="77777777" w:rsidR="00FE2848" w:rsidRPr="00FE2848" w:rsidRDefault="00FE2848" w:rsidP="00FE2848">
      <w:pPr>
        <w:spacing w:line="240" w:lineRule="auto"/>
        <w:rPr>
          <w:rFonts w:eastAsia="Times New Roman" w:cs="Arial"/>
          <w:sz w:val="28"/>
          <w:szCs w:val="24"/>
          <w:lang w:eastAsia="bg-BG"/>
        </w:rPr>
      </w:pPr>
      <w:r w:rsidRPr="00FE2848">
        <w:rPr>
          <w:rFonts w:eastAsia="Times New Roman" w:cs="Arial"/>
          <w:color w:val="000000"/>
          <w:szCs w:val="20"/>
          <w:lang w:eastAsia="bg-BG"/>
        </w:rPr>
        <w:t>Креатин киназата (СК) не трябва да се определя след тежки физически натоварвания или при наличието на други вероятни алтернативни причини за повишение на СК, тъй като в тези случаи интерпретацията на установените стойности е затруднена. Ако изходните стойности на СК са значително повишени (&gt; 5 пъти ГГН), определянето на стойностите следва да бъде повторено в рамките на 5 до 7 дни по-късно за потвърждение на получените резултати.</w:t>
      </w:r>
    </w:p>
    <w:p w14:paraId="7C87D2F3" w14:textId="77777777" w:rsidR="00FE2848" w:rsidRPr="00FE2848" w:rsidRDefault="00FE2848" w:rsidP="00FE2848">
      <w:pPr>
        <w:spacing w:line="240" w:lineRule="auto"/>
        <w:rPr>
          <w:rFonts w:eastAsia="Times New Roman" w:cs="Arial"/>
          <w:i/>
          <w:iCs/>
          <w:color w:val="000000"/>
          <w:szCs w:val="20"/>
          <w:lang w:eastAsia="bg-BG"/>
        </w:rPr>
      </w:pPr>
    </w:p>
    <w:p w14:paraId="2FC9E847" w14:textId="162DF7CB" w:rsidR="00FE2848" w:rsidRPr="00FE2848" w:rsidRDefault="00FE2848" w:rsidP="00FE2848">
      <w:pPr>
        <w:spacing w:line="240" w:lineRule="auto"/>
        <w:rPr>
          <w:rFonts w:eastAsia="Times New Roman" w:cs="Arial"/>
          <w:sz w:val="28"/>
          <w:szCs w:val="24"/>
          <w:lang w:eastAsia="bg-BG"/>
        </w:rPr>
      </w:pPr>
      <w:r w:rsidRPr="00FE2848">
        <w:rPr>
          <w:rFonts w:eastAsia="Times New Roman" w:cs="Arial"/>
          <w:i/>
          <w:iCs/>
          <w:color w:val="000000"/>
          <w:szCs w:val="20"/>
          <w:lang w:eastAsia="bg-BG"/>
        </w:rPr>
        <w:t>Преди началото на лечението</w:t>
      </w:r>
    </w:p>
    <w:p w14:paraId="6FE0A735" w14:textId="77777777" w:rsidR="00FE2848" w:rsidRPr="00FE2848" w:rsidRDefault="00FE2848" w:rsidP="00FE2848">
      <w:pPr>
        <w:spacing w:line="240" w:lineRule="auto"/>
        <w:rPr>
          <w:rFonts w:eastAsia="Times New Roman" w:cs="Arial"/>
          <w:sz w:val="28"/>
          <w:szCs w:val="24"/>
          <w:lang w:eastAsia="bg-BG"/>
        </w:rPr>
      </w:pPr>
      <w:r w:rsidRPr="00FE2848">
        <w:rPr>
          <w:rFonts w:eastAsia="Times New Roman" w:cs="Arial"/>
          <w:color w:val="000000"/>
          <w:szCs w:val="20"/>
          <w:lang w:eastAsia="bg-BG"/>
        </w:rPr>
        <w:t>Всички пациенти, които започват лечение със симвастатин, както и тези, при които дозата на симвастатин е била увеличена, следва да бъдат уведомени за съществуващия риск от миопатия, както и да им се разясни, че е необходимо незабавно да съобщават за всяка необяснима болка в мускулите, болезненост или слабост.</w:t>
      </w:r>
    </w:p>
    <w:p w14:paraId="1AFF4C56" w14:textId="77777777" w:rsidR="00FE2848" w:rsidRPr="00FE2848" w:rsidRDefault="00FE2848" w:rsidP="00FE2848">
      <w:pPr>
        <w:spacing w:line="240" w:lineRule="auto"/>
        <w:rPr>
          <w:rFonts w:eastAsia="Times New Roman" w:cs="Arial"/>
          <w:color w:val="000000"/>
          <w:szCs w:val="20"/>
          <w:lang w:eastAsia="bg-BG"/>
        </w:rPr>
      </w:pPr>
    </w:p>
    <w:p w14:paraId="187B9E08" w14:textId="306482EB" w:rsidR="00FE2848" w:rsidRPr="00FE2848" w:rsidRDefault="00FE2848" w:rsidP="00FE2848">
      <w:pPr>
        <w:spacing w:line="240" w:lineRule="auto"/>
        <w:rPr>
          <w:rFonts w:eastAsia="Times New Roman" w:cs="Arial"/>
          <w:color w:val="000000"/>
          <w:szCs w:val="20"/>
          <w:lang w:eastAsia="bg-BG"/>
        </w:rPr>
      </w:pPr>
      <w:r w:rsidRPr="00FE2848">
        <w:rPr>
          <w:rFonts w:eastAsia="Times New Roman" w:cs="Arial"/>
          <w:color w:val="000000"/>
          <w:szCs w:val="20"/>
          <w:lang w:eastAsia="bg-BG"/>
        </w:rPr>
        <w:t>Особено внимание трябва да се обърне на пациентите с предразполагащи фактори за рабдомиолиза. С цел да се установи изходната стойност на СК за референтна оценка, тя трябва да бъде измерена преди началото на лечението при следните случаи:</w:t>
      </w:r>
    </w:p>
    <w:p w14:paraId="0D73D950" w14:textId="77777777" w:rsidR="00FE2848" w:rsidRPr="00FE2848" w:rsidRDefault="00FE2848" w:rsidP="00FE2848">
      <w:pPr>
        <w:spacing w:line="240" w:lineRule="auto"/>
        <w:rPr>
          <w:rFonts w:eastAsia="Times New Roman" w:cs="Arial"/>
          <w:sz w:val="28"/>
          <w:szCs w:val="24"/>
          <w:lang w:eastAsia="bg-BG"/>
        </w:rPr>
      </w:pPr>
    </w:p>
    <w:p w14:paraId="5C3CDD8F" w14:textId="77777777" w:rsidR="00FE2848" w:rsidRDefault="00FE2848" w:rsidP="00FE2848">
      <w:pPr>
        <w:pStyle w:val="ListParagraph"/>
        <w:numPr>
          <w:ilvl w:val="0"/>
          <w:numId w:val="36"/>
        </w:numPr>
        <w:spacing w:line="240" w:lineRule="auto"/>
        <w:rPr>
          <w:rFonts w:eastAsia="Times New Roman" w:cs="Arial"/>
          <w:color w:val="000000"/>
          <w:szCs w:val="20"/>
          <w:lang w:eastAsia="bg-BG"/>
        </w:rPr>
      </w:pPr>
      <w:r w:rsidRPr="00FE2848">
        <w:rPr>
          <w:rFonts w:eastAsia="Times New Roman" w:cs="Arial"/>
          <w:color w:val="000000"/>
          <w:szCs w:val="20"/>
          <w:lang w:eastAsia="bg-BG"/>
        </w:rPr>
        <w:t>Пациенти в старческа възраст (възраст ≥ 65 години);</w:t>
      </w:r>
    </w:p>
    <w:p w14:paraId="75D539DB" w14:textId="77777777" w:rsidR="00FE2848" w:rsidRDefault="00FE2848" w:rsidP="00FE2848">
      <w:pPr>
        <w:pStyle w:val="ListParagraph"/>
        <w:numPr>
          <w:ilvl w:val="0"/>
          <w:numId w:val="36"/>
        </w:numPr>
        <w:spacing w:line="240" w:lineRule="auto"/>
        <w:rPr>
          <w:rFonts w:eastAsia="Times New Roman" w:cs="Arial"/>
          <w:color w:val="000000"/>
          <w:szCs w:val="20"/>
          <w:lang w:eastAsia="bg-BG"/>
        </w:rPr>
      </w:pPr>
      <w:r w:rsidRPr="00FE2848">
        <w:rPr>
          <w:rFonts w:eastAsia="Times New Roman" w:cs="Arial"/>
          <w:color w:val="000000"/>
          <w:szCs w:val="20"/>
          <w:lang w:eastAsia="bg-BG"/>
        </w:rPr>
        <w:t>Женски пол;</w:t>
      </w:r>
    </w:p>
    <w:p w14:paraId="4B4FB86F" w14:textId="77777777" w:rsidR="00FE2848" w:rsidRDefault="00FE2848" w:rsidP="00FE2848">
      <w:pPr>
        <w:pStyle w:val="ListParagraph"/>
        <w:numPr>
          <w:ilvl w:val="0"/>
          <w:numId w:val="36"/>
        </w:numPr>
        <w:spacing w:line="240" w:lineRule="auto"/>
        <w:rPr>
          <w:rFonts w:eastAsia="Times New Roman" w:cs="Arial"/>
          <w:color w:val="000000"/>
          <w:szCs w:val="20"/>
          <w:lang w:eastAsia="bg-BG"/>
        </w:rPr>
      </w:pPr>
      <w:r w:rsidRPr="00FE2848">
        <w:rPr>
          <w:rFonts w:eastAsia="Times New Roman" w:cs="Arial"/>
          <w:color w:val="000000"/>
          <w:szCs w:val="20"/>
          <w:lang w:eastAsia="bg-BG"/>
        </w:rPr>
        <w:t>Бъбречно увреждане;</w:t>
      </w:r>
    </w:p>
    <w:p w14:paraId="58EF30AC" w14:textId="77777777" w:rsidR="00FE2848" w:rsidRDefault="00FE2848" w:rsidP="00FE2848">
      <w:pPr>
        <w:pStyle w:val="ListParagraph"/>
        <w:numPr>
          <w:ilvl w:val="0"/>
          <w:numId w:val="36"/>
        </w:numPr>
        <w:spacing w:line="240" w:lineRule="auto"/>
        <w:rPr>
          <w:rFonts w:eastAsia="Times New Roman" w:cs="Arial"/>
          <w:color w:val="000000"/>
          <w:szCs w:val="20"/>
          <w:lang w:eastAsia="bg-BG"/>
        </w:rPr>
      </w:pPr>
      <w:r w:rsidRPr="00FE2848">
        <w:rPr>
          <w:rFonts w:eastAsia="Times New Roman" w:cs="Arial"/>
          <w:color w:val="000000"/>
          <w:szCs w:val="20"/>
          <w:lang w:eastAsia="bg-BG"/>
        </w:rPr>
        <w:t>Неконтролиран хипотиреоидизъм;</w:t>
      </w:r>
      <w:r w:rsidRPr="00FE2848">
        <w:rPr>
          <w:rFonts w:eastAsia="Times New Roman" w:cs="Arial"/>
          <w:color w:val="000000"/>
          <w:szCs w:val="20"/>
          <w:lang w:eastAsia="bg-BG"/>
        </w:rPr>
        <w:tab/>
      </w:r>
    </w:p>
    <w:p w14:paraId="3BEEF10E" w14:textId="77777777" w:rsidR="00FE2848" w:rsidRDefault="00FE2848" w:rsidP="00FE2848">
      <w:pPr>
        <w:pStyle w:val="ListParagraph"/>
        <w:numPr>
          <w:ilvl w:val="0"/>
          <w:numId w:val="36"/>
        </w:numPr>
        <w:spacing w:line="240" w:lineRule="auto"/>
        <w:rPr>
          <w:rFonts w:eastAsia="Times New Roman" w:cs="Arial"/>
          <w:color w:val="000000"/>
          <w:szCs w:val="20"/>
          <w:lang w:eastAsia="bg-BG"/>
        </w:rPr>
      </w:pPr>
      <w:r w:rsidRPr="00FE2848">
        <w:rPr>
          <w:rFonts w:eastAsia="Times New Roman" w:cs="Arial"/>
          <w:color w:val="000000"/>
          <w:szCs w:val="20"/>
          <w:lang w:eastAsia="bg-BG"/>
        </w:rPr>
        <w:t>Предхождаща индивидуална или фамилна анамнеза на мускулни нарушен</w:t>
      </w:r>
      <w:r>
        <w:rPr>
          <w:rFonts w:eastAsia="Times New Roman" w:cs="Arial"/>
          <w:color w:val="000000"/>
          <w:szCs w:val="20"/>
          <w:lang w:eastAsia="bg-BG"/>
        </w:rPr>
        <w:t>ия</w:t>
      </w:r>
    </w:p>
    <w:p w14:paraId="427E2FF9" w14:textId="77777777" w:rsidR="00FE2848" w:rsidRDefault="00FE2848" w:rsidP="00FE2848">
      <w:pPr>
        <w:pStyle w:val="ListParagraph"/>
        <w:numPr>
          <w:ilvl w:val="0"/>
          <w:numId w:val="36"/>
        </w:numPr>
        <w:spacing w:line="240" w:lineRule="auto"/>
        <w:rPr>
          <w:rFonts w:eastAsia="Times New Roman" w:cs="Arial"/>
          <w:color w:val="000000"/>
          <w:szCs w:val="20"/>
          <w:lang w:eastAsia="bg-BG"/>
        </w:rPr>
      </w:pPr>
      <w:r w:rsidRPr="00FE2848">
        <w:rPr>
          <w:rFonts w:eastAsia="Times New Roman" w:cs="Arial"/>
          <w:color w:val="000000"/>
          <w:szCs w:val="20"/>
          <w:lang w:eastAsia="bg-BG"/>
        </w:rPr>
        <w:t>Предхождаща анамнеза за мускулна токсичност при използването на статини или фибрати</w:t>
      </w:r>
    </w:p>
    <w:p w14:paraId="0B3BEE35" w14:textId="7E033B92" w:rsidR="0091385D" w:rsidRDefault="00FE2848" w:rsidP="00FE2848">
      <w:pPr>
        <w:pStyle w:val="ListParagraph"/>
        <w:numPr>
          <w:ilvl w:val="0"/>
          <w:numId w:val="36"/>
        </w:numPr>
        <w:spacing w:line="240" w:lineRule="auto"/>
        <w:rPr>
          <w:rFonts w:eastAsia="Times New Roman" w:cs="Arial"/>
          <w:color w:val="000000"/>
          <w:szCs w:val="20"/>
          <w:lang w:eastAsia="bg-BG"/>
        </w:rPr>
      </w:pPr>
      <w:r w:rsidRPr="00FE2848">
        <w:rPr>
          <w:rFonts w:eastAsia="Times New Roman" w:cs="Arial"/>
          <w:color w:val="000000"/>
          <w:szCs w:val="20"/>
          <w:lang w:eastAsia="bg-BG"/>
        </w:rPr>
        <w:t>Злоупотреба с алкохол.</w:t>
      </w:r>
    </w:p>
    <w:p w14:paraId="5D114141" w14:textId="39E653F1" w:rsidR="00FE2848" w:rsidRDefault="00FE2848" w:rsidP="00FE2848">
      <w:pPr>
        <w:spacing w:line="240" w:lineRule="auto"/>
        <w:rPr>
          <w:rFonts w:eastAsia="Times New Roman" w:cs="Arial"/>
          <w:color w:val="000000"/>
          <w:szCs w:val="20"/>
          <w:lang w:val="en-US" w:eastAsia="bg-BG"/>
        </w:rPr>
      </w:pPr>
    </w:p>
    <w:p w14:paraId="48F7ABD8" w14:textId="77777777" w:rsidR="00FE2848" w:rsidRPr="00FE2848" w:rsidRDefault="00FE2848" w:rsidP="00FE2848">
      <w:pPr>
        <w:spacing w:line="240" w:lineRule="auto"/>
        <w:rPr>
          <w:rFonts w:eastAsia="Times New Roman" w:cs="Arial"/>
          <w:sz w:val="28"/>
          <w:szCs w:val="24"/>
          <w:lang w:eastAsia="bg-BG"/>
        </w:rPr>
      </w:pPr>
      <w:r w:rsidRPr="00FE2848">
        <w:rPr>
          <w:rFonts w:eastAsia="Times New Roman" w:cs="Arial"/>
          <w:color w:val="000000"/>
          <w:szCs w:val="20"/>
          <w:lang w:eastAsia="bg-BG"/>
        </w:rPr>
        <w:t>При тези ситуации, рискът от провеждане на лечение трябва да се оценява във връзка с вероятните благоприятни резултати, като се препоръчва клинично мониториране. В случай, че при пациента са наблюдавани проблеми с мускулите при предхождащо прилагане на фибрат или статии, то лечението с друг представител на този клас трябва да се започне с повишено внимание. Ако стойностите на СК са значително повишени в началото ( &gt; 5 пъти ГГН), не трябва да се започва лечение.</w:t>
      </w:r>
    </w:p>
    <w:p w14:paraId="45C52D72" w14:textId="77777777" w:rsidR="00FE2848" w:rsidRPr="00FE2848" w:rsidRDefault="00FE2848" w:rsidP="00FE2848">
      <w:pPr>
        <w:spacing w:line="240" w:lineRule="auto"/>
        <w:rPr>
          <w:rFonts w:eastAsia="Times New Roman" w:cs="Arial"/>
          <w:i/>
          <w:iCs/>
          <w:color w:val="000000"/>
          <w:szCs w:val="20"/>
          <w:lang w:eastAsia="bg-BG"/>
        </w:rPr>
      </w:pPr>
    </w:p>
    <w:p w14:paraId="608852F6" w14:textId="66397833" w:rsidR="00FE2848" w:rsidRPr="00FE2848" w:rsidRDefault="00FE2848" w:rsidP="00FE2848">
      <w:pPr>
        <w:spacing w:line="240" w:lineRule="auto"/>
        <w:rPr>
          <w:rFonts w:eastAsia="Times New Roman" w:cs="Arial"/>
          <w:sz w:val="28"/>
          <w:szCs w:val="24"/>
          <w:lang w:eastAsia="bg-BG"/>
        </w:rPr>
      </w:pPr>
      <w:r w:rsidRPr="00FE2848">
        <w:rPr>
          <w:rFonts w:eastAsia="Times New Roman" w:cs="Arial"/>
          <w:i/>
          <w:iCs/>
          <w:color w:val="000000"/>
          <w:szCs w:val="20"/>
          <w:lang w:eastAsia="bg-BG"/>
        </w:rPr>
        <w:t>По време на лечението</w:t>
      </w:r>
    </w:p>
    <w:p w14:paraId="68E38ADF" w14:textId="77777777" w:rsidR="00FE2848" w:rsidRPr="00FE2848" w:rsidRDefault="00FE2848" w:rsidP="00FE2848">
      <w:pPr>
        <w:spacing w:line="240" w:lineRule="auto"/>
        <w:rPr>
          <w:rFonts w:eastAsia="Times New Roman" w:cs="Arial"/>
          <w:sz w:val="28"/>
          <w:szCs w:val="24"/>
          <w:lang w:eastAsia="bg-BG"/>
        </w:rPr>
      </w:pPr>
      <w:r w:rsidRPr="00FE2848">
        <w:rPr>
          <w:rFonts w:eastAsia="Times New Roman" w:cs="Arial"/>
          <w:color w:val="000000"/>
          <w:szCs w:val="20"/>
          <w:lang w:eastAsia="bg-BG"/>
        </w:rPr>
        <w:t>Стойностите на СК трябва да се определят, в случай че при пациента се появят оплаквания от болка в мускулите, слабост или крампи по време на лечението със статии. Лечението трябва да се прекрати, ако се установи значително повишение на стойностите на СК (&gt; 5 пъти ГГН) без да има тежки физически натоварвания. Ако мускулните симптоми са тежки и предизвикват ежедневен дискомфорт, дори ако стойностите на СК са &lt; 5 пъти ГГН, трябва да се обсъди прекратяване на лечението. Ако се подозира по някаква причина миопатия, лечението трябва да се прекрати.</w:t>
      </w:r>
    </w:p>
    <w:p w14:paraId="40966F52" w14:textId="77777777" w:rsidR="00FE2848" w:rsidRPr="00FE2848" w:rsidRDefault="00FE2848" w:rsidP="00FE2848">
      <w:pPr>
        <w:spacing w:line="240" w:lineRule="auto"/>
        <w:rPr>
          <w:rFonts w:eastAsia="Times New Roman" w:cs="Arial"/>
          <w:color w:val="000000"/>
          <w:szCs w:val="20"/>
          <w:lang w:eastAsia="bg-BG"/>
        </w:rPr>
      </w:pPr>
    </w:p>
    <w:p w14:paraId="7C536F3D" w14:textId="4C0D983E" w:rsidR="00FE2848" w:rsidRPr="00FE2848" w:rsidRDefault="00FE2848" w:rsidP="00FE2848">
      <w:pPr>
        <w:spacing w:line="240" w:lineRule="auto"/>
        <w:rPr>
          <w:rFonts w:eastAsia="Times New Roman" w:cs="Arial"/>
          <w:sz w:val="28"/>
          <w:szCs w:val="24"/>
          <w:lang w:eastAsia="bg-BG"/>
        </w:rPr>
      </w:pPr>
      <w:r w:rsidRPr="00FE2848">
        <w:rPr>
          <w:rFonts w:eastAsia="Times New Roman" w:cs="Arial"/>
          <w:color w:val="000000"/>
          <w:szCs w:val="20"/>
          <w:lang w:eastAsia="bg-BG"/>
        </w:rPr>
        <w:t>По време на или след лечение с някои статини е имало редки съобщения за имуномедиирана некротизираща миопатия (ИМНМ). Клинично ИМНМ се характеризира с персистираща проксимална мускулна слабост и повишени серумни нива на креатин киназата, които персистират въпреки прекратяването на лечението със статини (вж. точка 4.8).</w:t>
      </w:r>
    </w:p>
    <w:p w14:paraId="00EAD582" w14:textId="77777777" w:rsidR="00FE2848" w:rsidRPr="00FE2848" w:rsidRDefault="00FE2848" w:rsidP="00FE2848">
      <w:pPr>
        <w:spacing w:line="240" w:lineRule="auto"/>
        <w:rPr>
          <w:rFonts w:eastAsia="Times New Roman" w:cs="Arial"/>
          <w:color w:val="000000"/>
          <w:szCs w:val="20"/>
          <w:lang w:eastAsia="bg-BG"/>
        </w:rPr>
      </w:pPr>
    </w:p>
    <w:p w14:paraId="27DF7C62" w14:textId="0FA67BDF" w:rsidR="00FE2848" w:rsidRPr="00FE2848" w:rsidRDefault="00FE2848" w:rsidP="00FE2848">
      <w:pPr>
        <w:spacing w:line="240" w:lineRule="auto"/>
        <w:rPr>
          <w:rFonts w:eastAsia="Times New Roman" w:cs="Arial"/>
          <w:sz w:val="28"/>
          <w:szCs w:val="24"/>
          <w:lang w:eastAsia="bg-BG"/>
        </w:rPr>
      </w:pPr>
      <w:r w:rsidRPr="00FE2848">
        <w:rPr>
          <w:rFonts w:eastAsia="Times New Roman" w:cs="Arial"/>
          <w:color w:val="000000"/>
          <w:szCs w:val="20"/>
          <w:lang w:eastAsia="bg-BG"/>
        </w:rPr>
        <w:t>Ако симптомите отшумят и нивата на СК се възстановят до нормалните, възможно е да се обсъди повторно лечение с този или алтернативен статии при най-ниска доза и строго мониториране.</w:t>
      </w:r>
    </w:p>
    <w:p w14:paraId="10726557" w14:textId="77777777" w:rsidR="00FE2848" w:rsidRPr="00FE2848" w:rsidRDefault="00FE2848" w:rsidP="00FE2848">
      <w:pPr>
        <w:spacing w:line="240" w:lineRule="auto"/>
        <w:rPr>
          <w:rFonts w:eastAsia="Times New Roman" w:cs="Arial"/>
          <w:color w:val="000000"/>
          <w:szCs w:val="20"/>
          <w:lang w:eastAsia="bg-BG"/>
        </w:rPr>
      </w:pPr>
    </w:p>
    <w:p w14:paraId="43B393F1" w14:textId="0A3AE511" w:rsidR="00FE2848" w:rsidRPr="00FE2848" w:rsidRDefault="00FE2848" w:rsidP="00FE2848">
      <w:pPr>
        <w:spacing w:line="240" w:lineRule="auto"/>
        <w:rPr>
          <w:rFonts w:eastAsia="Times New Roman" w:cs="Arial"/>
          <w:sz w:val="28"/>
          <w:szCs w:val="24"/>
          <w:lang w:eastAsia="bg-BG"/>
        </w:rPr>
      </w:pPr>
      <w:r w:rsidRPr="00FE2848">
        <w:rPr>
          <w:rFonts w:eastAsia="Times New Roman" w:cs="Arial"/>
          <w:color w:val="000000"/>
          <w:szCs w:val="20"/>
          <w:lang w:eastAsia="bg-BG"/>
        </w:rPr>
        <w:t xml:space="preserve">По-висок процент на миопатия е наблюдаван при пациенти с титриране на дозата до 80 </w:t>
      </w:r>
      <w:r w:rsidRPr="00FE2848">
        <w:rPr>
          <w:rFonts w:eastAsia="Times New Roman" w:cs="Arial"/>
          <w:color w:val="000000"/>
          <w:szCs w:val="20"/>
          <w:lang w:val="en-US"/>
        </w:rPr>
        <w:t xml:space="preserve">mg </w:t>
      </w:r>
      <w:r w:rsidRPr="00FE2848">
        <w:rPr>
          <w:rFonts w:eastAsia="Times New Roman" w:cs="Arial"/>
          <w:color w:val="000000"/>
          <w:szCs w:val="20"/>
          <w:lang w:eastAsia="bg-BG"/>
        </w:rPr>
        <w:t>симвастатин (вж. точка 5.1). Препоръчва се периодично определяне на стойностите на СК, тъй като те могат да бъдат полезни при идентифициране на субклинични случаи на миопатия. Няма доказателство, че такова мониториране ще предотврати миопатия.</w:t>
      </w:r>
    </w:p>
    <w:p w14:paraId="39F86B58" w14:textId="77777777" w:rsidR="00FE2848" w:rsidRPr="00FE2848" w:rsidRDefault="00FE2848" w:rsidP="00FE2848">
      <w:pPr>
        <w:spacing w:line="240" w:lineRule="auto"/>
        <w:rPr>
          <w:rFonts w:eastAsia="Times New Roman" w:cs="Arial"/>
          <w:color w:val="000000"/>
          <w:szCs w:val="20"/>
          <w:lang w:eastAsia="bg-BG"/>
        </w:rPr>
      </w:pPr>
    </w:p>
    <w:p w14:paraId="5B3F644F" w14:textId="441A2489" w:rsidR="00FE2848" w:rsidRPr="00FE2848" w:rsidRDefault="00FE2848" w:rsidP="00FE2848">
      <w:pPr>
        <w:spacing w:line="240" w:lineRule="auto"/>
        <w:rPr>
          <w:rFonts w:eastAsia="Times New Roman" w:cs="Arial"/>
          <w:sz w:val="28"/>
          <w:szCs w:val="24"/>
          <w:lang w:eastAsia="bg-BG"/>
        </w:rPr>
      </w:pPr>
      <w:r w:rsidRPr="00FE2848">
        <w:rPr>
          <w:rFonts w:eastAsia="Times New Roman" w:cs="Arial"/>
          <w:color w:val="000000"/>
          <w:szCs w:val="20"/>
          <w:lang w:eastAsia="bg-BG"/>
        </w:rPr>
        <w:t>Лечението със симвастатин трябва да бъде прекратено временно за няколко дни преди планирана голяма оперативна интервенция, както и в случаите на последващи големи медицински или хирургични интервенции.</w:t>
      </w:r>
    </w:p>
    <w:p w14:paraId="470FCC37" w14:textId="77777777" w:rsidR="00FE2848" w:rsidRPr="00FE2848" w:rsidRDefault="00FE2848" w:rsidP="00FE2848">
      <w:pPr>
        <w:spacing w:line="240" w:lineRule="auto"/>
        <w:rPr>
          <w:rFonts w:eastAsia="Times New Roman" w:cs="Arial"/>
          <w:i/>
          <w:iCs/>
          <w:color w:val="000000"/>
          <w:szCs w:val="20"/>
          <w:lang w:eastAsia="bg-BG"/>
        </w:rPr>
      </w:pPr>
    </w:p>
    <w:p w14:paraId="29F809C9" w14:textId="43DE6D31" w:rsidR="00FE2848" w:rsidRPr="00FE2848" w:rsidRDefault="00FE2848" w:rsidP="00FE2848">
      <w:pPr>
        <w:spacing w:line="240" w:lineRule="auto"/>
        <w:rPr>
          <w:rFonts w:eastAsia="Times New Roman" w:cs="Arial"/>
          <w:sz w:val="28"/>
          <w:szCs w:val="24"/>
          <w:lang w:eastAsia="bg-BG"/>
        </w:rPr>
      </w:pPr>
      <w:r w:rsidRPr="00FE2848">
        <w:rPr>
          <w:rFonts w:eastAsia="Times New Roman" w:cs="Arial"/>
          <w:i/>
          <w:iCs/>
          <w:color w:val="000000"/>
          <w:szCs w:val="20"/>
          <w:lang w:eastAsia="bg-BG"/>
        </w:rPr>
        <w:t>Мерки за понижаване на риска от изява на миопатия, предизвикани от взаимодействие с други лекарствени продукти (вж. също точка 4.5)</w:t>
      </w:r>
    </w:p>
    <w:p w14:paraId="51EFE901" w14:textId="77777777" w:rsidR="00FE2848" w:rsidRPr="00FE2848" w:rsidRDefault="00FE2848" w:rsidP="00FE2848">
      <w:pPr>
        <w:spacing w:line="240" w:lineRule="auto"/>
        <w:rPr>
          <w:rFonts w:eastAsia="Times New Roman" w:cs="Arial"/>
          <w:color w:val="000000"/>
          <w:szCs w:val="20"/>
          <w:lang w:eastAsia="bg-BG"/>
        </w:rPr>
      </w:pPr>
    </w:p>
    <w:p w14:paraId="2B9C2AC1" w14:textId="386D3DFD" w:rsidR="00FE2848" w:rsidRPr="00FE2848" w:rsidRDefault="00FE2848" w:rsidP="00FE2848">
      <w:pPr>
        <w:spacing w:line="240" w:lineRule="auto"/>
        <w:rPr>
          <w:rFonts w:eastAsia="Times New Roman" w:cs="Arial"/>
          <w:sz w:val="28"/>
          <w:szCs w:val="24"/>
          <w:lang w:eastAsia="bg-BG"/>
        </w:rPr>
      </w:pPr>
      <w:r w:rsidRPr="00FE2848">
        <w:rPr>
          <w:rFonts w:eastAsia="Times New Roman" w:cs="Arial"/>
          <w:color w:val="000000"/>
          <w:szCs w:val="20"/>
          <w:lang w:eastAsia="bg-BG"/>
        </w:rPr>
        <w:t xml:space="preserve">Рискът от миопатия и рабдомиолиза е значително повишен, когато симвастатин се прилага едновременно с мощни инхибитови на </w:t>
      </w:r>
      <w:r w:rsidRPr="00FE2848">
        <w:rPr>
          <w:rFonts w:eastAsia="Times New Roman" w:cs="Arial"/>
          <w:color w:val="000000"/>
          <w:szCs w:val="20"/>
          <w:lang w:val="en-US"/>
        </w:rPr>
        <w:t xml:space="preserve">CYP3A4 </w:t>
      </w:r>
      <w:r w:rsidRPr="00FE2848">
        <w:rPr>
          <w:rFonts w:eastAsia="Times New Roman" w:cs="Arial"/>
          <w:color w:val="000000"/>
          <w:szCs w:val="20"/>
          <w:lang w:eastAsia="bg-BG"/>
        </w:rPr>
        <w:t xml:space="preserve">(като итраконазол, кетоконазол, позаконазол, вориконазол, еритромицин, кларитромицин, телитромицин, </w:t>
      </w:r>
      <w:r w:rsidRPr="00FE2848">
        <w:rPr>
          <w:rFonts w:eastAsia="Times New Roman" w:cs="Arial"/>
          <w:color w:val="000000"/>
          <w:szCs w:val="20"/>
          <w:lang w:val="en-US"/>
        </w:rPr>
        <w:t>HIV</w:t>
      </w:r>
      <w:r w:rsidRPr="00FE2848">
        <w:rPr>
          <w:rFonts w:eastAsia="Times New Roman" w:cs="Arial"/>
          <w:color w:val="000000"/>
          <w:szCs w:val="20"/>
          <w:lang w:eastAsia="bg-BG"/>
        </w:rPr>
        <w:t>-протеазни инхибитори (напр. нелфинавир), боцепревир, телапревир, нефазодон, лекарствени продукти, съдържащи кобицистат), както и гемфиброзил, циклоспорин и даназол. Употребата на тези лекарствени продукти е противопоказана (вж. точка 4.3).</w:t>
      </w:r>
    </w:p>
    <w:p w14:paraId="2120F393" w14:textId="77777777" w:rsidR="00FE2848" w:rsidRPr="00FE2848" w:rsidRDefault="00FE2848" w:rsidP="00FE2848">
      <w:pPr>
        <w:spacing w:line="240" w:lineRule="auto"/>
        <w:rPr>
          <w:rFonts w:eastAsia="Times New Roman" w:cs="Arial"/>
          <w:sz w:val="28"/>
          <w:szCs w:val="24"/>
          <w:lang w:eastAsia="bg-BG"/>
        </w:rPr>
      </w:pPr>
      <w:r w:rsidRPr="00FE2848">
        <w:rPr>
          <w:rFonts w:eastAsia="Times New Roman" w:cs="Arial"/>
          <w:color w:val="000000"/>
          <w:szCs w:val="20"/>
          <w:lang w:eastAsia="bg-BG"/>
        </w:rPr>
        <w:t>Рискът от миопатия и рабдомиолиза също нараства при едновременна употреба на амиодарон, амлодипин, верапамил или дилтиазем с определени дози симвастатин (вж. точки 4.2 и 4.5). Рискът от миопатия, включително рабдомиолиза, може да се увеличи при едновременно лечение с фузидова киселина и статини (вж. точка 4.5). При пациенти с ХоФХ, рискът може да се повиши при едновременната употреба на ломитапид със симвастатин.</w:t>
      </w:r>
    </w:p>
    <w:p w14:paraId="267E8118" w14:textId="77777777" w:rsidR="00FE2848" w:rsidRPr="00FE2848" w:rsidRDefault="00FE2848" w:rsidP="00FE2848">
      <w:pPr>
        <w:spacing w:line="240" w:lineRule="auto"/>
        <w:rPr>
          <w:rFonts w:eastAsia="Times New Roman" w:cs="Arial"/>
          <w:color w:val="000000"/>
          <w:szCs w:val="20"/>
          <w:lang w:eastAsia="bg-BG"/>
        </w:rPr>
      </w:pPr>
    </w:p>
    <w:p w14:paraId="505CC18B" w14:textId="77777777" w:rsidR="00FE2848" w:rsidRPr="00FE2848" w:rsidRDefault="00FE2848" w:rsidP="00FE2848">
      <w:pPr>
        <w:rPr>
          <w:rFonts w:eastAsia="Times New Roman" w:cs="Arial"/>
          <w:sz w:val="28"/>
          <w:szCs w:val="24"/>
          <w:lang w:eastAsia="bg-BG"/>
        </w:rPr>
      </w:pPr>
      <w:r w:rsidRPr="00FE2848">
        <w:rPr>
          <w:rFonts w:eastAsia="Times New Roman" w:cs="Arial"/>
          <w:color w:val="000000"/>
          <w:szCs w:val="20"/>
          <w:lang w:eastAsia="bg-BG"/>
        </w:rPr>
        <w:t xml:space="preserve">Следователно относно </w:t>
      </w:r>
      <w:r w:rsidRPr="00FE2848">
        <w:rPr>
          <w:rFonts w:eastAsia="Times New Roman" w:cs="Arial"/>
          <w:color w:val="000000"/>
          <w:szCs w:val="20"/>
          <w:lang w:val="en-US"/>
        </w:rPr>
        <w:t xml:space="preserve">CYP3A4 </w:t>
      </w:r>
      <w:r w:rsidRPr="00FE2848">
        <w:rPr>
          <w:rFonts w:eastAsia="Times New Roman" w:cs="Arial"/>
          <w:color w:val="000000"/>
          <w:szCs w:val="20"/>
          <w:lang w:eastAsia="bg-BG"/>
        </w:rPr>
        <w:t xml:space="preserve">инхибиторите, употребата на симвастатин едновременно с итраконазол, кетоконазол, позаконазол, вориконазол, </w:t>
      </w:r>
      <w:r w:rsidRPr="00FE2848">
        <w:rPr>
          <w:rFonts w:eastAsia="Times New Roman" w:cs="Arial"/>
          <w:color w:val="000000"/>
          <w:szCs w:val="20"/>
          <w:lang w:val="en-US"/>
        </w:rPr>
        <w:t>HIV</w:t>
      </w:r>
      <w:r w:rsidRPr="00FE2848">
        <w:rPr>
          <w:rFonts w:eastAsia="Times New Roman" w:cs="Arial"/>
          <w:color w:val="000000"/>
          <w:szCs w:val="20"/>
          <w:lang w:eastAsia="bg-BG"/>
        </w:rPr>
        <w:t xml:space="preserve">-протеазни инхибитори (напр. нелфинавир), боцепревир, телапревир, еритромицин, кларитромицин, телитромицин, нефазодон и лекарствени продукти, съдържащи кобицистат е противопоказана (вж. точки 4.3 и 4.5). Ако  лечението с мощни </w:t>
      </w:r>
      <w:r w:rsidRPr="00FE2848">
        <w:rPr>
          <w:rFonts w:eastAsia="Times New Roman" w:cs="Arial"/>
          <w:color w:val="000000"/>
          <w:szCs w:val="20"/>
          <w:lang w:val="en-US"/>
        </w:rPr>
        <w:t xml:space="preserve">CYP3A4 </w:t>
      </w:r>
      <w:r w:rsidRPr="00FE2848">
        <w:rPr>
          <w:rFonts w:eastAsia="Times New Roman" w:cs="Arial"/>
          <w:color w:val="000000"/>
          <w:szCs w:val="20"/>
          <w:lang w:eastAsia="bg-BG"/>
        </w:rPr>
        <w:t xml:space="preserve">инхибитори (средства, които повишават </w:t>
      </w:r>
      <w:r w:rsidRPr="00FE2848">
        <w:rPr>
          <w:rFonts w:eastAsia="Times New Roman" w:cs="Arial"/>
          <w:color w:val="000000"/>
          <w:szCs w:val="20"/>
          <w:lang w:eastAsia="bg-BG"/>
        </w:rPr>
        <w:lastRenderedPageBreak/>
        <w:t>площта под кривата (</w:t>
      </w:r>
      <w:r w:rsidRPr="00FE2848">
        <w:rPr>
          <w:rFonts w:eastAsia="Times New Roman" w:cs="Arial"/>
          <w:color w:val="000000"/>
          <w:szCs w:val="20"/>
          <w:lang w:val="en-US"/>
        </w:rPr>
        <w:t>AUC</w:t>
      </w:r>
      <w:r w:rsidRPr="00FE2848">
        <w:rPr>
          <w:rFonts w:eastAsia="Times New Roman" w:cs="Arial"/>
          <w:color w:val="000000"/>
          <w:szCs w:val="20"/>
          <w:lang w:eastAsia="bg-BG"/>
        </w:rPr>
        <w:t>) приблизително 5 пъти или повече) не може да се избегне, лечението със симвастатин трябвда да се спре (и да се обмисли употребата на алтернативен статии), докато продължава приемът на тези лекарствени продукти. Освен това трябва да се внимава, когато се комбинира симвастатин с други</w:t>
      </w:r>
      <w:r>
        <w:rPr>
          <w:rFonts w:eastAsia="Times New Roman" w:cs="Arial"/>
          <w:color w:val="000000"/>
          <w:szCs w:val="20"/>
          <w:lang w:val="en-US" w:eastAsia="bg-BG"/>
        </w:rPr>
        <w:t xml:space="preserve"> </w:t>
      </w:r>
      <w:r w:rsidRPr="00FE2848">
        <w:rPr>
          <w:rFonts w:eastAsia="Times New Roman" w:cs="Arial"/>
          <w:color w:val="000000"/>
          <w:szCs w:val="20"/>
          <w:lang w:eastAsia="bg-BG"/>
        </w:rPr>
        <w:t>не</w:t>
      </w:r>
      <w:r w:rsidRPr="00FE2848">
        <w:rPr>
          <w:rFonts w:ascii="Times New Roman" w:eastAsia="Times New Roman" w:hAnsi="Times New Roman" w:cs="Times New Roman"/>
          <w:color w:val="000000"/>
          <w:sz w:val="20"/>
          <w:szCs w:val="20"/>
          <w:lang w:eastAsia="bg-BG"/>
        </w:rPr>
        <w:t xml:space="preserve"> </w:t>
      </w:r>
      <w:r w:rsidRPr="00FE2848">
        <w:rPr>
          <w:rFonts w:eastAsia="Times New Roman" w:cs="Arial"/>
          <w:color w:val="000000"/>
          <w:szCs w:val="20"/>
          <w:lang w:eastAsia="bg-BG"/>
        </w:rPr>
        <w:t xml:space="preserve">толкова мощни инхибитори на </w:t>
      </w:r>
      <w:r w:rsidRPr="00FE2848">
        <w:rPr>
          <w:rFonts w:eastAsia="Times New Roman" w:cs="Arial"/>
          <w:color w:val="000000"/>
          <w:szCs w:val="20"/>
          <w:lang w:val="en-US"/>
        </w:rPr>
        <w:t xml:space="preserve">CYP3A4 </w:t>
      </w:r>
      <w:r w:rsidRPr="00FE2848">
        <w:rPr>
          <w:rFonts w:eastAsia="Times New Roman" w:cs="Arial"/>
          <w:color w:val="000000"/>
          <w:szCs w:val="20"/>
          <w:lang w:eastAsia="bg-BG"/>
        </w:rPr>
        <w:t>като флуконазол, верапамил, дилтиазем (вж. точки 4.2 и 4.5). Едновременният прием на симвастатин и сок от грейпфрут трябва да се избягва.</w:t>
      </w:r>
    </w:p>
    <w:p w14:paraId="56A60D58" w14:textId="77777777" w:rsidR="00FE2848" w:rsidRPr="00FE2848" w:rsidRDefault="00FE2848" w:rsidP="00FE2848">
      <w:pPr>
        <w:spacing w:line="240" w:lineRule="auto"/>
        <w:rPr>
          <w:rFonts w:eastAsia="Times New Roman" w:cs="Arial"/>
          <w:color w:val="000000"/>
          <w:szCs w:val="20"/>
          <w:lang w:eastAsia="bg-BG"/>
        </w:rPr>
      </w:pPr>
    </w:p>
    <w:p w14:paraId="1179D9F3" w14:textId="20B18E1F" w:rsidR="00FE2848" w:rsidRPr="00FE2848" w:rsidRDefault="00FE2848" w:rsidP="00FE2848">
      <w:pPr>
        <w:spacing w:line="240" w:lineRule="auto"/>
        <w:rPr>
          <w:rFonts w:eastAsia="Times New Roman" w:cs="Arial"/>
          <w:sz w:val="28"/>
          <w:szCs w:val="24"/>
          <w:lang w:eastAsia="bg-BG"/>
        </w:rPr>
      </w:pPr>
      <w:r w:rsidRPr="00FE2848">
        <w:rPr>
          <w:rFonts w:eastAsia="Times New Roman" w:cs="Arial"/>
          <w:color w:val="000000"/>
          <w:szCs w:val="20"/>
          <w:lang w:eastAsia="bg-BG"/>
        </w:rPr>
        <w:t xml:space="preserve">Употребата на симвастатин с гемфиброзил е противопоказана (вж. точка 4.3). Поради повишения риск от миопатия и рабдомиолиза, дозата на симвастатин не трябва да надвишава 10 </w:t>
      </w:r>
      <w:r w:rsidRPr="00FE2848">
        <w:rPr>
          <w:rFonts w:eastAsia="Times New Roman" w:cs="Arial"/>
          <w:color w:val="000000"/>
          <w:szCs w:val="20"/>
          <w:lang w:val="en-US"/>
        </w:rPr>
        <w:t xml:space="preserve">mg </w:t>
      </w:r>
      <w:r w:rsidRPr="00FE2848">
        <w:rPr>
          <w:rFonts w:eastAsia="Times New Roman" w:cs="Arial"/>
          <w:color w:val="000000"/>
          <w:szCs w:val="20"/>
          <w:lang w:eastAsia="bg-BG"/>
        </w:rPr>
        <w:t>дневно при пациенти, приемащи симвастатин заедно с други фибрати, с изключение на фенофибрат (вж. точки 4,2 и 4.5). Предписването на симвастатин с фенофибрат трябва да се извършва с повишено внимание, тъй като всеки един от тези агенти може да причини миопатия, когато се приема самостоятелно.</w:t>
      </w:r>
    </w:p>
    <w:p w14:paraId="0D4B66C0" w14:textId="77777777" w:rsidR="00FE2848" w:rsidRPr="00FE2848" w:rsidRDefault="00FE2848" w:rsidP="00FE2848">
      <w:pPr>
        <w:spacing w:line="240" w:lineRule="auto"/>
        <w:rPr>
          <w:rFonts w:eastAsia="Times New Roman" w:cs="Arial"/>
          <w:color w:val="000000"/>
          <w:szCs w:val="20"/>
          <w:lang w:eastAsia="bg-BG"/>
        </w:rPr>
      </w:pPr>
    </w:p>
    <w:p w14:paraId="0AAAFAB3" w14:textId="01574DAC" w:rsidR="00FE2848" w:rsidRPr="00FE2848" w:rsidRDefault="00FE2848" w:rsidP="00FE2848">
      <w:pPr>
        <w:spacing w:line="240" w:lineRule="auto"/>
        <w:rPr>
          <w:rFonts w:eastAsia="Times New Roman" w:cs="Arial"/>
          <w:sz w:val="28"/>
          <w:szCs w:val="24"/>
          <w:lang w:eastAsia="bg-BG"/>
        </w:rPr>
      </w:pPr>
      <w:r w:rsidRPr="00FE2848">
        <w:rPr>
          <w:rFonts w:eastAsia="Times New Roman" w:cs="Arial"/>
          <w:color w:val="000000"/>
          <w:szCs w:val="20"/>
          <w:lang w:eastAsia="bg-BG"/>
        </w:rPr>
        <w:t>Симвастатин не трябва да се приема едновременно с фузидова киселина за системна употреба или в рамките на 7 дни от прекратяване на лечението с фузидова киселина. При пациенти, при които системната употреба на фузидова киселина е считана за крайно необходима, лечението със статии трябва да бъде преустановено по време на лечението с фузидова киселина. Налице са съобщени за рабдомиолиза (включително и смъртни случаи), при пациенти, приемащи фузидова киселина и статини в комбинация (вж, точка 4.5). Пациентите трябва незабавно да потърсят медицинска помощ, ако почувстват някакви симптоми като мускулна слабост, болка или болезненост.</w:t>
      </w:r>
    </w:p>
    <w:p w14:paraId="5C605A13" w14:textId="77777777" w:rsidR="00FE2848" w:rsidRPr="00FE2848" w:rsidRDefault="00FE2848" w:rsidP="00FE2848">
      <w:pPr>
        <w:spacing w:line="240" w:lineRule="auto"/>
        <w:rPr>
          <w:rFonts w:eastAsia="Times New Roman" w:cs="Arial"/>
          <w:sz w:val="28"/>
          <w:szCs w:val="24"/>
          <w:lang w:eastAsia="bg-BG"/>
        </w:rPr>
      </w:pPr>
      <w:r w:rsidRPr="00FE2848">
        <w:rPr>
          <w:rFonts w:eastAsia="Times New Roman" w:cs="Arial"/>
          <w:color w:val="000000"/>
          <w:szCs w:val="20"/>
          <w:lang w:eastAsia="bg-BG"/>
        </w:rPr>
        <w:t>Лечението със статия може да се поднови 7 дни след последната доза фузидова киселина. При изключителни обстоятелства, където се налага продължителна системна употреба на фузидова киселина, напр. при лечение на тежки инфекции, необходимостта от едновременната употреба на симвастатин и фузидова киселина трябва да бъде обмислена на индивидуална основа и само под стриктно лекарско наблюдение.</w:t>
      </w:r>
    </w:p>
    <w:p w14:paraId="4517B1B9" w14:textId="77777777" w:rsidR="00FE2848" w:rsidRPr="00FE2848" w:rsidRDefault="00FE2848" w:rsidP="00FE2848">
      <w:pPr>
        <w:spacing w:line="240" w:lineRule="auto"/>
        <w:rPr>
          <w:rFonts w:eastAsia="Times New Roman" w:cs="Arial"/>
          <w:color w:val="000000"/>
          <w:szCs w:val="20"/>
          <w:lang w:eastAsia="bg-BG"/>
        </w:rPr>
      </w:pPr>
    </w:p>
    <w:p w14:paraId="776C7BD1" w14:textId="4C3269F5" w:rsidR="00FE2848" w:rsidRPr="00FE2848" w:rsidRDefault="00FE2848" w:rsidP="00FE2848">
      <w:pPr>
        <w:spacing w:line="240" w:lineRule="auto"/>
        <w:rPr>
          <w:rFonts w:eastAsia="Times New Roman" w:cs="Arial"/>
          <w:sz w:val="28"/>
          <w:szCs w:val="24"/>
          <w:lang w:eastAsia="bg-BG"/>
        </w:rPr>
      </w:pPr>
      <w:r w:rsidRPr="00FE2848">
        <w:rPr>
          <w:rFonts w:eastAsia="Times New Roman" w:cs="Arial"/>
          <w:color w:val="000000"/>
          <w:szCs w:val="20"/>
          <w:lang w:eastAsia="bg-BG"/>
        </w:rPr>
        <w:t xml:space="preserve">Едновременната употреба на симвастатин в дози, по-високи от 20 </w:t>
      </w:r>
      <w:r w:rsidRPr="00FE2848">
        <w:rPr>
          <w:rFonts w:eastAsia="Times New Roman" w:cs="Arial"/>
          <w:color w:val="000000"/>
          <w:szCs w:val="20"/>
          <w:lang w:val="en-US"/>
        </w:rPr>
        <w:t xml:space="preserve">mg </w:t>
      </w:r>
      <w:r w:rsidRPr="00FE2848">
        <w:rPr>
          <w:rFonts w:eastAsia="Times New Roman" w:cs="Arial"/>
          <w:color w:val="000000"/>
          <w:szCs w:val="20"/>
          <w:lang w:eastAsia="bg-BG"/>
        </w:rPr>
        <w:t xml:space="preserve">дневно с амиодарон, амлодипин, верапамил или дилтиазем трябва да се избягва. При пациенти с ХоФХ, едновременната употреба на симвастатин в дози по-големи от 40 </w:t>
      </w:r>
      <w:r w:rsidRPr="00FE2848">
        <w:rPr>
          <w:rFonts w:eastAsia="Times New Roman" w:cs="Arial"/>
          <w:color w:val="000000"/>
          <w:szCs w:val="20"/>
          <w:lang w:val="en-US"/>
        </w:rPr>
        <w:t xml:space="preserve">mg </w:t>
      </w:r>
      <w:r w:rsidRPr="00FE2848">
        <w:rPr>
          <w:rFonts w:eastAsia="Times New Roman" w:cs="Arial"/>
          <w:color w:val="000000"/>
          <w:szCs w:val="20"/>
          <w:lang w:eastAsia="bg-BG"/>
        </w:rPr>
        <w:t>дневно с ломитапид трябва да се избягва (вж, точки 4.2, 4.3 и 4.5).</w:t>
      </w:r>
    </w:p>
    <w:p w14:paraId="49BA0B7B" w14:textId="77777777" w:rsidR="00FE2848" w:rsidRPr="00FE2848" w:rsidRDefault="00FE2848" w:rsidP="00FE2848">
      <w:pPr>
        <w:spacing w:line="240" w:lineRule="auto"/>
        <w:rPr>
          <w:rFonts w:eastAsia="Times New Roman" w:cs="Arial"/>
          <w:color w:val="000000"/>
          <w:szCs w:val="20"/>
          <w:lang w:eastAsia="bg-BG"/>
        </w:rPr>
      </w:pPr>
    </w:p>
    <w:p w14:paraId="17D6F6DE" w14:textId="3909D841" w:rsidR="00FE2848" w:rsidRPr="00FE2848" w:rsidRDefault="00FE2848" w:rsidP="00FE2848">
      <w:pPr>
        <w:spacing w:line="240" w:lineRule="auto"/>
        <w:rPr>
          <w:rFonts w:eastAsia="Times New Roman" w:cs="Arial"/>
          <w:sz w:val="28"/>
          <w:szCs w:val="24"/>
          <w:lang w:eastAsia="bg-BG"/>
        </w:rPr>
      </w:pPr>
      <w:r w:rsidRPr="00FE2848">
        <w:rPr>
          <w:rFonts w:eastAsia="Times New Roman" w:cs="Arial"/>
          <w:color w:val="000000"/>
          <w:szCs w:val="20"/>
          <w:lang w:eastAsia="bg-BG"/>
        </w:rPr>
        <w:t xml:space="preserve">Пациентите, приемащи едновременно със симвастатин други лекарствени продукти, определяни като умерено мощни инхибитори на </w:t>
      </w:r>
      <w:r w:rsidRPr="00FE2848">
        <w:rPr>
          <w:rFonts w:eastAsia="Times New Roman" w:cs="Arial"/>
          <w:color w:val="000000"/>
          <w:szCs w:val="20"/>
          <w:lang w:val="en-US"/>
        </w:rPr>
        <w:t xml:space="preserve">CYP3 </w:t>
      </w:r>
      <w:r w:rsidRPr="00FE2848">
        <w:rPr>
          <w:rFonts w:eastAsia="Times New Roman" w:cs="Arial"/>
          <w:color w:val="000000"/>
          <w:szCs w:val="20"/>
          <w:lang w:eastAsia="bg-BG"/>
        </w:rPr>
        <w:t xml:space="preserve">А4, особено във високи дози симвастатин, може да са с повишен риск от миопатия. Може да се наложи коригиране на дозата на симвастатин при едновременно приложение на симвастатин с умерено мощни инхибитори на </w:t>
      </w:r>
      <w:r w:rsidRPr="00FE2848">
        <w:rPr>
          <w:rFonts w:eastAsia="Times New Roman" w:cs="Arial"/>
          <w:color w:val="000000"/>
          <w:szCs w:val="20"/>
          <w:lang w:val="en-US"/>
        </w:rPr>
        <w:t>CYP1</w:t>
      </w:r>
      <w:r w:rsidRPr="00FE2848">
        <w:rPr>
          <w:rFonts w:eastAsia="Times New Roman" w:cs="Arial"/>
          <w:color w:val="000000"/>
          <w:szCs w:val="20"/>
          <w:lang w:eastAsia="bg-BG"/>
        </w:rPr>
        <w:t xml:space="preserve">А4 (агенти, увеличаващи </w:t>
      </w:r>
      <w:r w:rsidRPr="00FE2848">
        <w:rPr>
          <w:rFonts w:eastAsia="Times New Roman" w:cs="Arial"/>
          <w:color w:val="000000"/>
          <w:szCs w:val="20"/>
          <w:lang w:val="en-US"/>
        </w:rPr>
        <w:t xml:space="preserve">AUC </w:t>
      </w:r>
      <w:r w:rsidRPr="00FE2848">
        <w:rPr>
          <w:rFonts w:eastAsia="Times New Roman" w:cs="Arial"/>
          <w:color w:val="000000"/>
          <w:szCs w:val="20"/>
          <w:lang w:eastAsia="bg-BG"/>
        </w:rPr>
        <w:t xml:space="preserve">приблизително 2-5 пъти). За някои определени умерени инхибитори на </w:t>
      </w:r>
      <w:r w:rsidRPr="00FE2848">
        <w:rPr>
          <w:rFonts w:eastAsia="Times New Roman" w:cs="Arial"/>
          <w:color w:val="000000"/>
          <w:szCs w:val="20"/>
          <w:lang w:val="en-US"/>
        </w:rPr>
        <w:t xml:space="preserve">CYP3A4 </w:t>
      </w:r>
      <w:r w:rsidRPr="00FE2848">
        <w:rPr>
          <w:rFonts w:eastAsia="Times New Roman" w:cs="Arial"/>
          <w:color w:val="000000"/>
          <w:szCs w:val="20"/>
          <w:lang w:eastAsia="bg-BG"/>
        </w:rPr>
        <w:t xml:space="preserve">като дилтиазем, максималната препоръчителна доза на симвастатин е 20 </w:t>
      </w:r>
      <w:r w:rsidRPr="00FE2848">
        <w:rPr>
          <w:rFonts w:eastAsia="Times New Roman" w:cs="Arial"/>
          <w:color w:val="000000"/>
          <w:szCs w:val="20"/>
          <w:lang w:val="en-US"/>
        </w:rPr>
        <w:t xml:space="preserve">mg </w:t>
      </w:r>
      <w:r w:rsidRPr="00FE2848">
        <w:rPr>
          <w:rFonts w:eastAsia="Times New Roman" w:cs="Arial"/>
          <w:color w:val="000000"/>
          <w:szCs w:val="20"/>
          <w:lang w:eastAsia="bg-BG"/>
        </w:rPr>
        <w:t>(вж. точка 4.2).</w:t>
      </w:r>
    </w:p>
    <w:p w14:paraId="4593A51F" w14:textId="77777777" w:rsidR="00FE2848" w:rsidRPr="00FE2848" w:rsidRDefault="00FE2848" w:rsidP="00FE2848">
      <w:pPr>
        <w:spacing w:line="240" w:lineRule="auto"/>
        <w:rPr>
          <w:rFonts w:eastAsia="Times New Roman" w:cs="Arial"/>
          <w:color w:val="000000"/>
          <w:szCs w:val="20"/>
          <w:lang w:eastAsia="bg-BG"/>
        </w:rPr>
      </w:pPr>
    </w:p>
    <w:p w14:paraId="2CC95287" w14:textId="48321D1C" w:rsidR="00FE2848" w:rsidRPr="00FE2848" w:rsidRDefault="00FE2848" w:rsidP="00FE2848">
      <w:pPr>
        <w:spacing w:line="240" w:lineRule="auto"/>
        <w:rPr>
          <w:rFonts w:eastAsia="Times New Roman" w:cs="Arial"/>
          <w:sz w:val="28"/>
          <w:szCs w:val="24"/>
          <w:lang w:eastAsia="bg-BG"/>
        </w:rPr>
      </w:pPr>
      <w:r w:rsidRPr="00FE2848">
        <w:rPr>
          <w:rFonts w:eastAsia="Times New Roman" w:cs="Arial"/>
          <w:color w:val="000000"/>
          <w:szCs w:val="20"/>
          <w:lang w:eastAsia="bg-BG"/>
        </w:rPr>
        <w:t xml:space="preserve">Симвастатин е субстрат на ефлуксния транспортер на протеина на резистентност на рака на гърдата </w:t>
      </w:r>
      <w:r w:rsidRPr="00FE2848">
        <w:rPr>
          <w:rFonts w:eastAsia="Times New Roman" w:cs="Arial"/>
          <w:color w:val="000000"/>
          <w:szCs w:val="20"/>
          <w:lang w:val="en-US"/>
        </w:rPr>
        <w:t xml:space="preserve">(Breast Cancer Resistant Protein, BCRP). </w:t>
      </w:r>
      <w:r w:rsidRPr="00FE2848">
        <w:rPr>
          <w:rFonts w:eastAsia="Times New Roman" w:cs="Arial"/>
          <w:color w:val="000000"/>
          <w:szCs w:val="20"/>
          <w:lang w:eastAsia="bg-BG"/>
        </w:rPr>
        <w:t xml:space="preserve">Едновременно приложение на продукти, които са инхибитори на </w:t>
      </w:r>
      <w:r w:rsidRPr="00FE2848">
        <w:rPr>
          <w:rFonts w:eastAsia="Times New Roman" w:cs="Arial"/>
          <w:color w:val="000000"/>
          <w:szCs w:val="20"/>
          <w:lang w:val="en-US"/>
        </w:rPr>
        <w:t xml:space="preserve">BCRP </w:t>
      </w:r>
      <w:r w:rsidRPr="00FE2848">
        <w:rPr>
          <w:rFonts w:eastAsia="Times New Roman" w:cs="Arial"/>
          <w:color w:val="000000"/>
          <w:szCs w:val="20"/>
          <w:lang w:eastAsia="bg-BG"/>
        </w:rPr>
        <w:t xml:space="preserve">(напр. елбасвир и гразопревир) може да доведе до повишени плазмени концентрации на симвастатин и повишен риск от миопатия; следователно трябва да се обмисли коригиране на дозата симвастатин в зависимост от предписаната доза. Едновременното приложение на елбасвир и гразопревир със симвастатин не е проучено; все пак дозата на симвастатин не трябва да надвишава 20 </w:t>
      </w:r>
      <w:r w:rsidRPr="00FE2848">
        <w:rPr>
          <w:rFonts w:eastAsia="Times New Roman" w:cs="Arial"/>
          <w:color w:val="000000"/>
          <w:szCs w:val="20"/>
          <w:lang w:val="en-US"/>
        </w:rPr>
        <w:t xml:space="preserve">mg </w:t>
      </w:r>
      <w:r w:rsidRPr="00FE2848">
        <w:rPr>
          <w:rFonts w:eastAsia="Times New Roman" w:cs="Arial"/>
          <w:color w:val="000000"/>
          <w:szCs w:val="20"/>
          <w:lang w:eastAsia="bg-BG"/>
        </w:rPr>
        <w:t>дневно при пациенти, получаващи съпътстващо лечение с продукт, съдържащ елбасвир или гразопревир (вж. точка 4.5).</w:t>
      </w:r>
    </w:p>
    <w:p w14:paraId="59C5212D" w14:textId="77777777" w:rsidR="00FE2848" w:rsidRPr="00FE2848" w:rsidRDefault="00FE2848" w:rsidP="00FE2848">
      <w:pPr>
        <w:spacing w:line="240" w:lineRule="auto"/>
        <w:rPr>
          <w:rFonts w:eastAsia="Times New Roman" w:cs="Arial"/>
          <w:color w:val="000000"/>
          <w:szCs w:val="20"/>
          <w:lang w:eastAsia="bg-BG"/>
        </w:rPr>
      </w:pPr>
    </w:p>
    <w:p w14:paraId="426FE181" w14:textId="4EFCF80E" w:rsidR="00FE2848" w:rsidRPr="00FE2848" w:rsidRDefault="00FE2848" w:rsidP="00FE2848">
      <w:pPr>
        <w:spacing w:line="240" w:lineRule="auto"/>
        <w:rPr>
          <w:rFonts w:eastAsia="Times New Roman" w:cs="Arial"/>
          <w:sz w:val="28"/>
          <w:szCs w:val="24"/>
          <w:lang w:eastAsia="bg-BG"/>
        </w:rPr>
      </w:pPr>
      <w:r w:rsidRPr="00FE2848">
        <w:rPr>
          <w:rFonts w:eastAsia="Times New Roman" w:cs="Arial"/>
          <w:color w:val="000000"/>
          <w:szCs w:val="20"/>
          <w:lang w:eastAsia="bg-BG"/>
        </w:rPr>
        <w:t xml:space="preserve">Рядко случаи на миопатия/рабдомиолиза са свързани с едновременното приложение на </w:t>
      </w:r>
      <w:r w:rsidRPr="00FE2848">
        <w:rPr>
          <w:rFonts w:eastAsia="Times New Roman" w:cs="Arial"/>
          <w:color w:val="000000"/>
          <w:szCs w:val="20"/>
          <w:lang w:val="en-US"/>
        </w:rPr>
        <w:t xml:space="preserve">HMG-CoA </w:t>
      </w:r>
      <w:r w:rsidRPr="00FE2848">
        <w:rPr>
          <w:rFonts w:eastAsia="Times New Roman" w:cs="Arial"/>
          <w:color w:val="000000"/>
          <w:szCs w:val="20"/>
          <w:lang w:eastAsia="bg-BG"/>
        </w:rPr>
        <w:t xml:space="preserve">редуктазни имхибитори и ниацин (никотинова киселина) в липодомодифициращи дози (≥ 1 </w:t>
      </w:r>
      <w:r w:rsidRPr="00FE2848">
        <w:rPr>
          <w:rFonts w:eastAsia="Times New Roman" w:cs="Arial"/>
          <w:color w:val="000000"/>
          <w:szCs w:val="20"/>
          <w:lang w:val="en-US"/>
        </w:rPr>
        <w:t xml:space="preserve">g </w:t>
      </w:r>
      <w:r w:rsidRPr="00FE2848">
        <w:rPr>
          <w:rFonts w:eastAsia="Times New Roman" w:cs="Arial"/>
          <w:color w:val="000000"/>
          <w:szCs w:val="20"/>
          <w:lang w:eastAsia="bg-BG"/>
        </w:rPr>
        <w:t>дневно), всеки един от които може да причини миопатия в случай, че се прилага самостоятелно.</w:t>
      </w:r>
    </w:p>
    <w:p w14:paraId="26BD80A5" w14:textId="77777777" w:rsidR="00FE2848" w:rsidRPr="00FE2848" w:rsidRDefault="00FE2848" w:rsidP="00FE2848">
      <w:pPr>
        <w:spacing w:line="240" w:lineRule="auto"/>
        <w:rPr>
          <w:rFonts w:eastAsia="Times New Roman" w:cs="Arial"/>
          <w:color w:val="000000"/>
          <w:szCs w:val="20"/>
          <w:lang w:eastAsia="bg-BG"/>
        </w:rPr>
      </w:pPr>
    </w:p>
    <w:p w14:paraId="592AF13F" w14:textId="6E573185" w:rsidR="00FE2848" w:rsidRPr="00FE2848" w:rsidRDefault="00FE2848" w:rsidP="00FE2848">
      <w:pPr>
        <w:spacing w:line="240" w:lineRule="auto"/>
        <w:rPr>
          <w:rFonts w:eastAsia="Times New Roman" w:cs="Arial"/>
          <w:sz w:val="28"/>
          <w:szCs w:val="24"/>
          <w:lang w:eastAsia="bg-BG"/>
        </w:rPr>
      </w:pPr>
      <w:r w:rsidRPr="00FE2848">
        <w:rPr>
          <w:rFonts w:eastAsia="Times New Roman" w:cs="Arial"/>
          <w:color w:val="000000"/>
          <w:szCs w:val="20"/>
          <w:lang w:eastAsia="bg-BG"/>
        </w:rPr>
        <w:t xml:space="preserve">В клинично изпитване (медиана на проследяването 3,9 години), включващо пациенти с висок риск за сърдечно-съдово заболяване и с добре контролирани нива на </w:t>
      </w:r>
      <w:r w:rsidRPr="00FE2848">
        <w:rPr>
          <w:rFonts w:eastAsia="Times New Roman" w:cs="Arial"/>
          <w:color w:val="000000"/>
          <w:szCs w:val="20"/>
          <w:lang w:val="en-US"/>
        </w:rPr>
        <w:t xml:space="preserve">LDL-C, </w:t>
      </w:r>
      <w:r w:rsidRPr="00FE2848">
        <w:rPr>
          <w:rFonts w:eastAsia="Times New Roman" w:cs="Arial"/>
          <w:color w:val="000000"/>
          <w:szCs w:val="20"/>
          <w:lang w:eastAsia="bg-BG"/>
        </w:rPr>
        <w:t xml:space="preserve">лекувани със симвастатин 40 </w:t>
      </w:r>
      <w:r w:rsidRPr="00FE2848">
        <w:rPr>
          <w:rFonts w:eastAsia="Times New Roman" w:cs="Arial"/>
          <w:color w:val="000000"/>
          <w:szCs w:val="20"/>
          <w:lang w:val="en-US"/>
        </w:rPr>
        <w:t xml:space="preserve">mg </w:t>
      </w:r>
      <w:r w:rsidRPr="00FE2848">
        <w:rPr>
          <w:rFonts w:eastAsia="Times New Roman" w:cs="Arial"/>
          <w:color w:val="000000"/>
          <w:szCs w:val="20"/>
          <w:lang w:eastAsia="bg-BG"/>
        </w:rPr>
        <w:t xml:space="preserve">дневно със или без езетимиб 10 </w:t>
      </w:r>
      <w:r w:rsidRPr="00FE2848">
        <w:rPr>
          <w:rFonts w:eastAsia="Times New Roman" w:cs="Arial"/>
          <w:color w:val="000000"/>
          <w:szCs w:val="20"/>
          <w:lang w:val="en-US"/>
        </w:rPr>
        <w:t xml:space="preserve">mg </w:t>
      </w:r>
      <w:r w:rsidRPr="00FE2848">
        <w:rPr>
          <w:rFonts w:eastAsia="Times New Roman" w:cs="Arial"/>
          <w:color w:val="000000"/>
          <w:szCs w:val="20"/>
          <w:lang w:eastAsia="bg-BG"/>
        </w:rPr>
        <w:t xml:space="preserve">не е имало допълнителна полза върху сърдечно- съдовите резултати при добавянето на ниацин (никотинова киселина) в липидомодифициращи дози (≥ 1 </w:t>
      </w:r>
      <w:r w:rsidRPr="00FE2848">
        <w:rPr>
          <w:rFonts w:eastAsia="Times New Roman" w:cs="Arial"/>
          <w:color w:val="000000"/>
          <w:szCs w:val="20"/>
          <w:lang w:val="en-US"/>
        </w:rPr>
        <w:t xml:space="preserve">g </w:t>
      </w:r>
      <w:r w:rsidRPr="00FE2848">
        <w:rPr>
          <w:rFonts w:eastAsia="Times New Roman" w:cs="Arial"/>
          <w:color w:val="000000"/>
          <w:szCs w:val="20"/>
          <w:lang w:eastAsia="bg-BG"/>
        </w:rPr>
        <w:t>дневно). Следователно, лекарите обмислящи комбинирано лечение със симвастатин и</w:t>
      </w:r>
    </w:p>
    <w:p w14:paraId="58A3BF6F" w14:textId="77777777" w:rsidR="00FE2848" w:rsidRPr="005F7E5F" w:rsidRDefault="00FE2848" w:rsidP="00FE2848">
      <w:pPr>
        <w:rPr>
          <w:rFonts w:eastAsia="Times New Roman" w:cs="Arial"/>
          <w:sz w:val="28"/>
          <w:szCs w:val="24"/>
          <w:lang w:eastAsia="bg-BG"/>
        </w:rPr>
      </w:pPr>
      <w:r w:rsidRPr="00FE2848">
        <w:rPr>
          <w:rFonts w:eastAsia="Times New Roman" w:cs="Arial"/>
          <w:color w:val="000000"/>
          <w:szCs w:val="20"/>
          <w:lang w:eastAsia="bg-BG"/>
        </w:rPr>
        <w:t xml:space="preserve">ниацин (никотинова киселина) в липидомодифициращи дози (≥ 1 </w:t>
      </w:r>
      <w:r w:rsidRPr="00FE2848">
        <w:rPr>
          <w:rFonts w:eastAsia="Times New Roman" w:cs="Arial"/>
          <w:color w:val="000000"/>
          <w:szCs w:val="20"/>
          <w:lang w:val="en-US"/>
        </w:rPr>
        <w:t xml:space="preserve">g </w:t>
      </w:r>
      <w:r w:rsidRPr="00FE2848">
        <w:rPr>
          <w:rFonts w:eastAsia="Times New Roman" w:cs="Arial"/>
          <w:color w:val="000000"/>
          <w:szCs w:val="20"/>
          <w:lang w:eastAsia="bg-BG"/>
        </w:rPr>
        <w:t>дневно), или продукти, съдържащи ниацин, трябва внимателно да оценят потенциалните ползи и рискове и рискове и трябва</w:t>
      </w:r>
      <w:r>
        <w:rPr>
          <w:rFonts w:eastAsia="Times New Roman" w:cs="Arial"/>
          <w:color w:val="000000"/>
          <w:szCs w:val="20"/>
          <w:lang w:val="en-US" w:eastAsia="bg-BG"/>
        </w:rPr>
        <w:t xml:space="preserve"> </w:t>
      </w:r>
      <w:r w:rsidRPr="005F7E5F">
        <w:rPr>
          <w:rFonts w:eastAsia="Times New Roman" w:cs="Arial"/>
          <w:color w:val="000000"/>
          <w:szCs w:val="20"/>
          <w:lang w:eastAsia="bg-BG"/>
        </w:rPr>
        <w:t>внимателно да проследяват пациентите за признаци и симптоми на мускулна болка, болезненост или слабост, особено по време на първите месеци от лечението и когато дозата на някои от тези продукти се увеличава.</w:t>
      </w:r>
    </w:p>
    <w:p w14:paraId="61273C26" w14:textId="77777777" w:rsidR="00FE2848" w:rsidRPr="005F7E5F" w:rsidRDefault="00FE2848" w:rsidP="00FE2848">
      <w:pPr>
        <w:spacing w:line="240" w:lineRule="auto"/>
        <w:rPr>
          <w:rFonts w:eastAsia="Times New Roman" w:cs="Arial"/>
          <w:color w:val="000000"/>
          <w:szCs w:val="20"/>
          <w:lang w:eastAsia="bg-BG"/>
        </w:rPr>
      </w:pPr>
    </w:p>
    <w:p w14:paraId="1CF3E0BD" w14:textId="25E51A1B" w:rsidR="00FE2848" w:rsidRPr="00FE2848" w:rsidRDefault="00FE2848" w:rsidP="00FE2848">
      <w:pPr>
        <w:spacing w:line="240" w:lineRule="auto"/>
        <w:rPr>
          <w:rFonts w:eastAsia="Times New Roman" w:cs="Arial"/>
          <w:sz w:val="28"/>
          <w:szCs w:val="24"/>
          <w:lang w:eastAsia="bg-BG"/>
        </w:rPr>
      </w:pPr>
      <w:r w:rsidRPr="00FE2848">
        <w:rPr>
          <w:rFonts w:eastAsia="Times New Roman" w:cs="Arial"/>
          <w:color w:val="000000"/>
          <w:szCs w:val="20"/>
          <w:lang w:eastAsia="bg-BG"/>
        </w:rPr>
        <w:t xml:space="preserve">Освен това, честотата на миопатия в това изпитване е приблизително 0,24% при китайци, лекувани или със симвастатин 40 </w:t>
      </w:r>
      <w:r w:rsidRPr="00FE2848">
        <w:rPr>
          <w:rFonts w:eastAsia="Times New Roman" w:cs="Arial"/>
          <w:color w:val="000000"/>
          <w:szCs w:val="20"/>
          <w:lang w:val="en-US"/>
        </w:rPr>
        <w:t xml:space="preserve">mg, </w:t>
      </w:r>
      <w:r w:rsidRPr="00FE2848">
        <w:rPr>
          <w:rFonts w:eastAsia="Times New Roman" w:cs="Arial"/>
          <w:color w:val="000000"/>
          <w:szCs w:val="20"/>
          <w:lang w:eastAsia="bg-BG"/>
        </w:rPr>
        <w:t xml:space="preserve">или с езетимиб/симвастатин 10 </w:t>
      </w:r>
      <w:r w:rsidRPr="00FE2848">
        <w:rPr>
          <w:rFonts w:eastAsia="Times New Roman" w:cs="Arial"/>
          <w:color w:val="000000"/>
          <w:szCs w:val="20"/>
          <w:lang w:val="en-US"/>
        </w:rPr>
        <w:t xml:space="preserve">mg/40 mg, </w:t>
      </w:r>
      <w:r w:rsidRPr="00FE2848">
        <w:rPr>
          <w:rFonts w:eastAsia="Times New Roman" w:cs="Arial"/>
          <w:color w:val="000000"/>
          <w:szCs w:val="20"/>
          <w:lang w:eastAsia="bg-BG"/>
        </w:rPr>
        <w:t xml:space="preserve">сравнено с 1,24% при китайци, лекувани със симвастатин 40 </w:t>
      </w:r>
      <w:r w:rsidRPr="00FE2848">
        <w:rPr>
          <w:rFonts w:eastAsia="Times New Roman" w:cs="Arial"/>
          <w:color w:val="000000"/>
          <w:szCs w:val="20"/>
          <w:lang w:val="en-US"/>
        </w:rPr>
        <w:t xml:space="preserve">mg, </w:t>
      </w:r>
      <w:r w:rsidRPr="00FE2848">
        <w:rPr>
          <w:rFonts w:eastAsia="Times New Roman" w:cs="Arial"/>
          <w:color w:val="000000"/>
          <w:szCs w:val="20"/>
          <w:lang w:eastAsia="bg-BG"/>
        </w:rPr>
        <w:t xml:space="preserve">или с езетимиб/симвастатин </w:t>
      </w:r>
      <w:r w:rsidRPr="00FE2848">
        <w:rPr>
          <w:rFonts w:eastAsia="Times New Roman" w:cs="Arial"/>
          <w:color w:val="000000"/>
          <w:szCs w:val="20"/>
          <w:lang w:val="en-US"/>
        </w:rPr>
        <w:t xml:space="preserve">10mg/40 mg, </w:t>
      </w:r>
      <w:r w:rsidRPr="00FE2848">
        <w:rPr>
          <w:rFonts w:eastAsia="Times New Roman" w:cs="Arial"/>
          <w:color w:val="000000"/>
          <w:szCs w:val="20"/>
          <w:lang w:eastAsia="bg-BG"/>
        </w:rPr>
        <w:t xml:space="preserve">на които е приложено едновременно никотинова киселина/ларопипрант 2000 </w:t>
      </w:r>
      <w:r w:rsidRPr="00FE2848">
        <w:rPr>
          <w:rFonts w:eastAsia="Times New Roman" w:cs="Arial"/>
          <w:color w:val="000000"/>
          <w:szCs w:val="20"/>
          <w:lang w:val="en-US"/>
        </w:rPr>
        <w:t xml:space="preserve">mg/40 mg, </w:t>
      </w:r>
      <w:r w:rsidRPr="00FE2848">
        <w:rPr>
          <w:rFonts w:eastAsia="Times New Roman" w:cs="Arial"/>
          <w:color w:val="000000"/>
          <w:szCs w:val="20"/>
          <w:lang w:eastAsia="bg-BG"/>
        </w:rPr>
        <w:t xml:space="preserve">с удължено освобождаване. Въпреки, че в това клинично изпитване са оценени само китайци от азиатско население, тъй като честотата на миопатия е по-висока при китайци, отколкото при некитайци, едновременното приложение на симвастатин с ниацин (никотинова киселина) в липидомодифициращи дози (≥ 1 </w:t>
      </w:r>
      <w:r w:rsidRPr="00FE2848">
        <w:rPr>
          <w:rFonts w:eastAsia="Times New Roman" w:cs="Arial"/>
          <w:color w:val="000000"/>
          <w:szCs w:val="20"/>
          <w:lang w:val="en-US"/>
        </w:rPr>
        <w:t xml:space="preserve">g </w:t>
      </w:r>
      <w:r w:rsidRPr="00FE2848">
        <w:rPr>
          <w:rFonts w:eastAsia="Times New Roman" w:cs="Arial"/>
          <w:color w:val="000000"/>
          <w:szCs w:val="20"/>
          <w:lang w:eastAsia="bg-BG"/>
        </w:rPr>
        <w:t>дневно) не се препоръчва при азиатци.</w:t>
      </w:r>
    </w:p>
    <w:p w14:paraId="35561E56" w14:textId="77777777" w:rsidR="00FE2848" w:rsidRPr="005F7E5F" w:rsidRDefault="00FE2848" w:rsidP="00FE2848">
      <w:pPr>
        <w:spacing w:line="240" w:lineRule="auto"/>
        <w:rPr>
          <w:rFonts w:eastAsia="Times New Roman" w:cs="Arial"/>
          <w:color w:val="000000"/>
          <w:szCs w:val="20"/>
          <w:lang w:eastAsia="bg-BG"/>
        </w:rPr>
      </w:pPr>
    </w:p>
    <w:p w14:paraId="53017D37" w14:textId="393B5C71" w:rsidR="00FE2848" w:rsidRPr="00FE2848" w:rsidRDefault="00FE2848" w:rsidP="00FE2848">
      <w:pPr>
        <w:spacing w:line="240" w:lineRule="auto"/>
        <w:rPr>
          <w:rFonts w:eastAsia="Times New Roman" w:cs="Arial"/>
          <w:sz w:val="28"/>
          <w:szCs w:val="24"/>
          <w:lang w:eastAsia="bg-BG"/>
        </w:rPr>
      </w:pPr>
      <w:r w:rsidRPr="00FE2848">
        <w:rPr>
          <w:rFonts w:eastAsia="Times New Roman" w:cs="Arial"/>
          <w:color w:val="000000"/>
          <w:szCs w:val="20"/>
          <w:lang w:eastAsia="bg-BG"/>
        </w:rPr>
        <w:t>Аципимокс е структурно свързан с ниацин. Въпреки, че аципимокс не е проучван, рискът от мускулна токсичност може да бъде сходен с този при ниацин.</w:t>
      </w:r>
    </w:p>
    <w:p w14:paraId="27EF643C" w14:textId="77777777" w:rsidR="00FE2848" w:rsidRPr="005F7E5F" w:rsidRDefault="00FE2848" w:rsidP="00FE2848">
      <w:pPr>
        <w:spacing w:line="240" w:lineRule="auto"/>
        <w:rPr>
          <w:rFonts w:eastAsia="Times New Roman" w:cs="Arial"/>
          <w:color w:val="000000"/>
          <w:szCs w:val="20"/>
          <w:u w:val="single"/>
          <w:lang w:eastAsia="bg-BG"/>
        </w:rPr>
      </w:pPr>
    </w:p>
    <w:p w14:paraId="7B2D768D" w14:textId="1C91FEF9" w:rsidR="00FE2848" w:rsidRPr="00FE2848" w:rsidRDefault="00FE2848" w:rsidP="00FE2848">
      <w:pPr>
        <w:spacing w:line="240" w:lineRule="auto"/>
        <w:rPr>
          <w:rFonts w:eastAsia="Times New Roman" w:cs="Arial"/>
          <w:sz w:val="28"/>
          <w:szCs w:val="24"/>
          <w:lang w:eastAsia="bg-BG"/>
        </w:rPr>
      </w:pPr>
      <w:r w:rsidRPr="00FE2848">
        <w:rPr>
          <w:rFonts w:eastAsia="Times New Roman" w:cs="Arial"/>
          <w:color w:val="000000"/>
          <w:szCs w:val="20"/>
          <w:u w:val="single"/>
          <w:lang w:eastAsia="bg-BG"/>
        </w:rPr>
        <w:t>Даптомицин</w:t>
      </w:r>
    </w:p>
    <w:p w14:paraId="1A29FBAE" w14:textId="77777777" w:rsidR="00FE2848" w:rsidRPr="00FE2848" w:rsidRDefault="00FE2848" w:rsidP="00FE2848">
      <w:pPr>
        <w:spacing w:line="240" w:lineRule="auto"/>
        <w:rPr>
          <w:rFonts w:eastAsia="Times New Roman" w:cs="Arial"/>
          <w:sz w:val="28"/>
          <w:szCs w:val="24"/>
          <w:lang w:eastAsia="bg-BG"/>
        </w:rPr>
      </w:pPr>
      <w:r w:rsidRPr="00FE2848">
        <w:rPr>
          <w:rFonts w:eastAsia="Times New Roman" w:cs="Arial"/>
          <w:color w:val="000000"/>
          <w:szCs w:val="20"/>
          <w:lang w:eastAsia="bg-BG"/>
        </w:rPr>
        <w:t xml:space="preserve">Съобщавани са случаи на миопатия и/или рабдомиолиза при </w:t>
      </w:r>
      <w:r w:rsidRPr="00FE2848">
        <w:rPr>
          <w:rFonts w:eastAsia="Times New Roman" w:cs="Arial"/>
          <w:color w:val="000000"/>
          <w:szCs w:val="20"/>
          <w:lang w:val="en-US"/>
        </w:rPr>
        <w:t xml:space="preserve">HMG-CoA </w:t>
      </w:r>
      <w:r w:rsidRPr="00FE2848">
        <w:rPr>
          <w:rFonts w:eastAsia="Times New Roman" w:cs="Arial"/>
          <w:color w:val="000000"/>
          <w:szCs w:val="20"/>
          <w:lang w:eastAsia="bg-BG"/>
        </w:rPr>
        <w:t xml:space="preserve">редуктазни инхибитори (напр. симвастатин) едновременно прилагани с даптомицин. Необходимо е повишено внимание когато се предписват </w:t>
      </w:r>
      <w:r w:rsidRPr="00FE2848">
        <w:rPr>
          <w:rFonts w:eastAsia="Times New Roman" w:cs="Arial"/>
          <w:color w:val="000000"/>
          <w:szCs w:val="20"/>
          <w:lang w:val="en-US"/>
        </w:rPr>
        <w:t xml:space="preserve">HMG-CoA </w:t>
      </w:r>
      <w:r w:rsidRPr="00FE2848">
        <w:rPr>
          <w:rFonts w:eastAsia="Times New Roman" w:cs="Arial"/>
          <w:color w:val="000000"/>
          <w:szCs w:val="20"/>
          <w:lang w:eastAsia="bg-BG"/>
        </w:rPr>
        <w:t xml:space="preserve">редуктазни инхибитори в комбинация с даптомицин, тъй като всеки от тях може да причини миопатия и/или рабдомиолиза, когато се прилагат самостоятелно. Трябва да се обмисли временно спиране на симвастатин при пациенти, приемащи даптомицин, освен ако ползите от едновременното приложение не надхвърлят риска. Консултирайте се с информацията за предписване на даптомицин, за да получите допълнителна информация за това потенциално взаимодействие с </w:t>
      </w:r>
      <w:r w:rsidRPr="00FE2848">
        <w:rPr>
          <w:rFonts w:eastAsia="Times New Roman" w:cs="Arial"/>
          <w:color w:val="000000"/>
          <w:szCs w:val="20"/>
          <w:lang w:val="en-US"/>
        </w:rPr>
        <w:t xml:space="preserve">HMG-CoA </w:t>
      </w:r>
      <w:r w:rsidRPr="00FE2848">
        <w:rPr>
          <w:rFonts w:eastAsia="Times New Roman" w:cs="Arial"/>
          <w:color w:val="000000"/>
          <w:szCs w:val="20"/>
          <w:lang w:eastAsia="bg-BG"/>
        </w:rPr>
        <w:t>редуктазни инхибитори (напр. симвастатин) и за допълнително указания, свързани с мониторирането. (Вижте точка 4.5).</w:t>
      </w:r>
    </w:p>
    <w:p w14:paraId="0B81A6F5" w14:textId="77777777" w:rsidR="00FE2848" w:rsidRPr="005F7E5F" w:rsidRDefault="00FE2848" w:rsidP="00FE2848">
      <w:pPr>
        <w:spacing w:line="240" w:lineRule="auto"/>
        <w:rPr>
          <w:rFonts w:eastAsia="Times New Roman" w:cs="Arial"/>
          <w:color w:val="000000"/>
          <w:szCs w:val="20"/>
          <w:u w:val="single"/>
          <w:lang w:eastAsia="bg-BG"/>
        </w:rPr>
      </w:pPr>
    </w:p>
    <w:p w14:paraId="57A910CF" w14:textId="4F730B34" w:rsidR="00FE2848" w:rsidRPr="00FE2848" w:rsidRDefault="00FE2848" w:rsidP="00FE2848">
      <w:pPr>
        <w:spacing w:line="240" w:lineRule="auto"/>
        <w:rPr>
          <w:rFonts w:eastAsia="Times New Roman" w:cs="Arial"/>
          <w:sz w:val="28"/>
          <w:szCs w:val="24"/>
          <w:lang w:eastAsia="bg-BG"/>
        </w:rPr>
      </w:pPr>
      <w:r w:rsidRPr="00FE2848">
        <w:rPr>
          <w:rFonts w:eastAsia="Times New Roman" w:cs="Arial"/>
          <w:color w:val="000000"/>
          <w:szCs w:val="20"/>
          <w:u w:val="single"/>
          <w:lang w:eastAsia="bg-BG"/>
        </w:rPr>
        <w:t>Чернодробни ефекти</w:t>
      </w:r>
    </w:p>
    <w:p w14:paraId="0BF6C3CC" w14:textId="77777777" w:rsidR="00FE2848" w:rsidRPr="00FE2848" w:rsidRDefault="00FE2848" w:rsidP="00FE2848">
      <w:pPr>
        <w:spacing w:line="240" w:lineRule="auto"/>
        <w:rPr>
          <w:rFonts w:eastAsia="Times New Roman" w:cs="Arial"/>
          <w:sz w:val="28"/>
          <w:szCs w:val="24"/>
          <w:lang w:eastAsia="bg-BG"/>
        </w:rPr>
      </w:pPr>
      <w:r w:rsidRPr="00FE2848">
        <w:rPr>
          <w:rFonts w:eastAsia="Times New Roman" w:cs="Arial"/>
          <w:color w:val="000000"/>
          <w:szCs w:val="20"/>
          <w:lang w:eastAsia="bg-BG"/>
        </w:rPr>
        <w:t>При клинични изпитания са наблюдавани персистиращи покачвания (до повече от 3 пъти над горната граница на нормата) на нивата на серумните трансаминази при малък брой възрастни пациенти, които са получавали симвастатин. Когато терапията е била прекъсвана или спирана при тези пациенти, нивата на трансаминазите са спадали постепенно до предтерапевтичните.</w:t>
      </w:r>
    </w:p>
    <w:p w14:paraId="69D7F2FF" w14:textId="77777777" w:rsidR="00FE2848" w:rsidRPr="005F7E5F" w:rsidRDefault="00FE2848" w:rsidP="00FE2848">
      <w:pPr>
        <w:spacing w:line="240" w:lineRule="auto"/>
        <w:rPr>
          <w:rFonts w:eastAsia="Times New Roman" w:cs="Arial"/>
          <w:color w:val="000000"/>
          <w:szCs w:val="20"/>
          <w:lang w:eastAsia="bg-BG"/>
        </w:rPr>
      </w:pPr>
    </w:p>
    <w:p w14:paraId="14C2207C" w14:textId="08E96E21" w:rsidR="00FE2848" w:rsidRPr="00FE2848" w:rsidRDefault="00FE2848" w:rsidP="00FE2848">
      <w:pPr>
        <w:spacing w:line="240" w:lineRule="auto"/>
        <w:rPr>
          <w:rFonts w:eastAsia="Times New Roman" w:cs="Arial"/>
          <w:sz w:val="28"/>
          <w:szCs w:val="24"/>
          <w:lang w:eastAsia="bg-BG"/>
        </w:rPr>
      </w:pPr>
      <w:r w:rsidRPr="00FE2848">
        <w:rPr>
          <w:rFonts w:eastAsia="Times New Roman" w:cs="Arial"/>
          <w:color w:val="000000"/>
          <w:szCs w:val="20"/>
          <w:lang w:eastAsia="bg-BG"/>
        </w:rPr>
        <w:lastRenderedPageBreak/>
        <w:t xml:space="preserve">Препоръчително е провеждането на функционални чернодробни изследвания преди започване на лечението и след това, когато е клинично показано. При пациентите, при които дозата е увеличена до 80 </w:t>
      </w:r>
      <w:r w:rsidRPr="00FE2848">
        <w:rPr>
          <w:rFonts w:eastAsia="Times New Roman" w:cs="Arial"/>
          <w:color w:val="000000"/>
          <w:szCs w:val="20"/>
          <w:lang w:val="en-US"/>
        </w:rPr>
        <w:t xml:space="preserve">mg, </w:t>
      </w:r>
      <w:r w:rsidRPr="00FE2848">
        <w:rPr>
          <w:rFonts w:eastAsia="Times New Roman" w:cs="Arial"/>
          <w:color w:val="000000"/>
          <w:szCs w:val="20"/>
          <w:lang w:eastAsia="bg-BG"/>
        </w:rPr>
        <w:t xml:space="preserve">трябва да се направи допълнително изследване преди увеличението, 3 месеца след увеличението до 80 </w:t>
      </w:r>
      <w:r w:rsidRPr="00FE2848">
        <w:rPr>
          <w:rFonts w:eastAsia="Times New Roman" w:cs="Arial"/>
          <w:color w:val="000000"/>
          <w:szCs w:val="20"/>
          <w:lang w:val="en-US"/>
        </w:rPr>
        <w:t xml:space="preserve">mg </w:t>
      </w:r>
      <w:r w:rsidRPr="00FE2848">
        <w:rPr>
          <w:rFonts w:eastAsia="Times New Roman" w:cs="Arial"/>
          <w:color w:val="000000"/>
          <w:szCs w:val="20"/>
          <w:lang w:eastAsia="bg-BG"/>
        </w:rPr>
        <w:t>и след това периодично по време на лечението (например на 6 месеца) през първата година на лечението. Специално внимание трябва да се обърне на пациенти, при които се наблюдава покачване на серумните нива на трансаминазите, и при такива пациенти изследването би трябвало да се повтори своевременно и след това да се повтаря достатъчно често. Ако нивата на трансаминазите показват тенденция за повишаване, особено ако те се повишават до 3 пъти над горната граница на нормата и персистират, прилагането на симвастатин трябва да се прекрати. Трябва да се има предвид, че АЛАТ може да произхожда от мускулите, ето защо повишаването на АЛАТ и СК може да означава н</w:t>
      </w:r>
      <w:r w:rsidR="005F7E5F" w:rsidRPr="005F7E5F">
        <w:rPr>
          <w:rFonts w:eastAsia="Times New Roman" w:cs="Arial"/>
          <w:color w:val="000000"/>
          <w:szCs w:val="20"/>
          <w:lang w:eastAsia="bg-BG"/>
        </w:rPr>
        <w:t xml:space="preserve">аличие на миопатия (вж. по-горе </w:t>
      </w:r>
      <w:r w:rsidRPr="00FE2848">
        <w:rPr>
          <w:rFonts w:eastAsia="Times New Roman" w:cs="Arial"/>
          <w:i/>
          <w:iCs/>
          <w:color w:val="000000"/>
          <w:szCs w:val="20"/>
          <w:lang w:eastAsia="bg-BG"/>
        </w:rPr>
        <w:t>Миопатия/Рабдомиолиза).</w:t>
      </w:r>
    </w:p>
    <w:p w14:paraId="490E94E6" w14:textId="77777777" w:rsidR="00FE2848" w:rsidRPr="005F7E5F" w:rsidRDefault="00FE2848" w:rsidP="00FE2848">
      <w:pPr>
        <w:spacing w:line="240" w:lineRule="auto"/>
        <w:rPr>
          <w:rFonts w:eastAsia="Times New Roman" w:cs="Arial"/>
          <w:color w:val="000000"/>
          <w:szCs w:val="20"/>
          <w:lang w:eastAsia="bg-BG"/>
        </w:rPr>
      </w:pPr>
    </w:p>
    <w:p w14:paraId="7664F170" w14:textId="72BC9E37" w:rsidR="00FE2848" w:rsidRPr="00FE2848" w:rsidRDefault="00FE2848" w:rsidP="00FE2848">
      <w:pPr>
        <w:spacing w:line="240" w:lineRule="auto"/>
        <w:rPr>
          <w:rFonts w:eastAsia="Times New Roman" w:cs="Arial"/>
          <w:sz w:val="28"/>
          <w:szCs w:val="24"/>
          <w:lang w:eastAsia="bg-BG"/>
        </w:rPr>
      </w:pPr>
      <w:r w:rsidRPr="00FE2848">
        <w:rPr>
          <w:rFonts w:eastAsia="Times New Roman" w:cs="Arial"/>
          <w:color w:val="000000"/>
          <w:szCs w:val="20"/>
          <w:lang w:eastAsia="bg-BG"/>
        </w:rPr>
        <w:t>По време на постмаркетинговия опит рядко са съобщавани случаи на фатална и нефатална чернодробна недостатъчност при пациенти, приемащи статини, включително симвастатин. Ако се прояви тежко чернодробно увреждане с клинични симптоми и/или хипербилирубинемия или жълтеница по време на лечение със симвастатин, незабавно прекратете лечението. Ако не бъде открита друга етиология, не започвайте отново лечението със симвастатин.</w:t>
      </w:r>
    </w:p>
    <w:p w14:paraId="6DFF4A87" w14:textId="77777777" w:rsidR="005F7E5F" w:rsidRPr="005F7E5F" w:rsidRDefault="005F7E5F" w:rsidP="00FE2848">
      <w:pPr>
        <w:spacing w:line="240" w:lineRule="auto"/>
        <w:rPr>
          <w:rFonts w:eastAsia="Times New Roman" w:cs="Arial"/>
          <w:color w:val="000000"/>
          <w:szCs w:val="20"/>
          <w:lang w:eastAsia="bg-BG"/>
        </w:rPr>
      </w:pPr>
    </w:p>
    <w:p w14:paraId="198F3EF7" w14:textId="63D49905" w:rsidR="00FE2848" w:rsidRPr="00FE2848" w:rsidRDefault="00FE2848" w:rsidP="00FE2848">
      <w:pPr>
        <w:spacing w:line="240" w:lineRule="auto"/>
        <w:rPr>
          <w:rFonts w:eastAsia="Times New Roman" w:cs="Arial"/>
          <w:sz w:val="28"/>
          <w:szCs w:val="24"/>
          <w:lang w:eastAsia="bg-BG"/>
        </w:rPr>
      </w:pPr>
      <w:r w:rsidRPr="00FE2848">
        <w:rPr>
          <w:rFonts w:eastAsia="Times New Roman" w:cs="Arial"/>
          <w:color w:val="000000"/>
          <w:szCs w:val="20"/>
          <w:lang w:eastAsia="bg-BG"/>
        </w:rPr>
        <w:t>Лекарството трябва да се използва внимателно при пациенти, които употребяват значителни количества алкохол.</w:t>
      </w:r>
    </w:p>
    <w:p w14:paraId="77466D1B" w14:textId="77777777" w:rsidR="005F7E5F" w:rsidRPr="005F7E5F" w:rsidRDefault="005F7E5F" w:rsidP="00FE2848">
      <w:pPr>
        <w:spacing w:line="240" w:lineRule="auto"/>
        <w:rPr>
          <w:rFonts w:eastAsia="Times New Roman" w:cs="Arial"/>
          <w:color w:val="000000"/>
          <w:szCs w:val="20"/>
          <w:lang w:eastAsia="bg-BG"/>
        </w:rPr>
      </w:pPr>
    </w:p>
    <w:p w14:paraId="4003C78A" w14:textId="77777777" w:rsidR="005F7E5F" w:rsidRPr="005F7E5F" w:rsidRDefault="00FE2848" w:rsidP="005F7E5F">
      <w:pPr>
        <w:rPr>
          <w:rFonts w:eastAsia="Times New Roman" w:cs="Arial"/>
          <w:sz w:val="28"/>
          <w:szCs w:val="24"/>
          <w:lang w:eastAsia="bg-BG"/>
        </w:rPr>
      </w:pPr>
      <w:r w:rsidRPr="005F7E5F">
        <w:rPr>
          <w:rFonts w:eastAsia="Times New Roman" w:cs="Arial"/>
          <w:color w:val="000000"/>
          <w:szCs w:val="20"/>
          <w:lang w:eastAsia="bg-BG"/>
        </w:rPr>
        <w:t>Както и други липидопонижаващи продукти, се съобщава за умерени (&lt;3 пъти ГГН)</w:t>
      </w:r>
      <w:r w:rsidRPr="005F7E5F">
        <w:rPr>
          <w:rFonts w:eastAsia="Times New Roman" w:cs="Arial"/>
          <w:color w:val="000000"/>
          <w:szCs w:val="20"/>
          <w:lang w:val="en-US"/>
        </w:rPr>
        <w:t xml:space="preserve"> </w:t>
      </w:r>
      <w:r w:rsidRPr="005F7E5F">
        <w:rPr>
          <w:rFonts w:eastAsia="Times New Roman" w:cs="Arial"/>
          <w:color w:val="000000"/>
          <w:szCs w:val="20"/>
          <w:lang w:eastAsia="bg-BG"/>
        </w:rPr>
        <w:t>покачвания на серумните трансаминази след терапия със симвастатин. Тези промени настъпват скоро след</w:t>
      </w:r>
      <w:r w:rsidR="005F7E5F">
        <w:rPr>
          <w:rFonts w:eastAsia="Times New Roman" w:cs="Arial"/>
          <w:color w:val="000000"/>
          <w:szCs w:val="20"/>
          <w:lang w:val="en-US" w:eastAsia="bg-BG"/>
        </w:rPr>
        <w:t xml:space="preserve"> </w:t>
      </w:r>
      <w:r w:rsidR="005F7E5F" w:rsidRPr="005F7E5F">
        <w:rPr>
          <w:rFonts w:eastAsia="Times New Roman" w:cs="Arial"/>
          <w:color w:val="000000"/>
          <w:szCs w:val="20"/>
          <w:lang w:eastAsia="bg-BG"/>
        </w:rPr>
        <w:t>началото на терапията със симвастатин, често са преходни, не са придружени от други симптоми и не налагат прекъсване на лечението.</w:t>
      </w:r>
    </w:p>
    <w:p w14:paraId="7D8DB1C3" w14:textId="77777777" w:rsidR="005F7E5F" w:rsidRPr="005F7E5F" w:rsidRDefault="005F7E5F" w:rsidP="005F7E5F">
      <w:pPr>
        <w:spacing w:line="240" w:lineRule="auto"/>
        <w:rPr>
          <w:rFonts w:eastAsia="Times New Roman" w:cs="Arial"/>
          <w:color w:val="000000"/>
          <w:szCs w:val="20"/>
          <w:u w:val="single"/>
          <w:lang w:eastAsia="bg-BG"/>
        </w:rPr>
      </w:pPr>
    </w:p>
    <w:p w14:paraId="6C0AE2DB" w14:textId="1017D687" w:rsidR="005F7E5F" w:rsidRPr="005F7E5F" w:rsidRDefault="005F7E5F" w:rsidP="005F7E5F">
      <w:pPr>
        <w:spacing w:line="240" w:lineRule="auto"/>
        <w:rPr>
          <w:rFonts w:eastAsia="Times New Roman" w:cs="Arial"/>
          <w:sz w:val="28"/>
          <w:szCs w:val="24"/>
          <w:lang w:eastAsia="bg-BG"/>
        </w:rPr>
      </w:pPr>
      <w:r w:rsidRPr="005F7E5F">
        <w:rPr>
          <w:rFonts w:eastAsia="Times New Roman" w:cs="Arial"/>
          <w:color w:val="000000"/>
          <w:szCs w:val="20"/>
          <w:u w:val="single"/>
          <w:lang w:eastAsia="bg-BG"/>
        </w:rPr>
        <w:t>Захарен диабет</w:t>
      </w:r>
    </w:p>
    <w:p w14:paraId="78ADD0B5" w14:textId="77777777" w:rsidR="005F7E5F" w:rsidRPr="005F7E5F" w:rsidRDefault="005F7E5F" w:rsidP="005F7E5F">
      <w:pPr>
        <w:spacing w:line="240" w:lineRule="auto"/>
        <w:rPr>
          <w:rFonts w:eastAsia="Times New Roman" w:cs="Arial"/>
          <w:sz w:val="28"/>
          <w:szCs w:val="24"/>
          <w:lang w:eastAsia="bg-BG"/>
        </w:rPr>
      </w:pPr>
      <w:r w:rsidRPr="005F7E5F">
        <w:rPr>
          <w:rFonts w:eastAsia="Times New Roman" w:cs="Arial"/>
          <w:color w:val="000000"/>
          <w:szCs w:val="20"/>
          <w:lang w:eastAsia="bg-BG"/>
        </w:rPr>
        <w:t xml:space="preserve">Някои данни предполагат, че статините, като клас, повишават кръвната захар и при някои пациенти, с висок риск от развитие на диабет, могат да създадат ниво на хипергликемия, при което е показана стандартна грижа за диабета. Този риск обаче се компенсира чрез понижаване на съдовия риск със статини и следователно не трябва да бъде причина за преустановяване на лечението със статии. Пациентите с риск (глюкоза на гладно 5,6 до 6,9 </w:t>
      </w:r>
      <w:proofErr w:type="spellStart"/>
      <w:r w:rsidRPr="005F7E5F">
        <w:rPr>
          <w:rFonts w:eastAsia="Times New Roman" w:cs="Arial"/>
          <w:color w:val="000000"/>
          <w:szCs w:val="20"/>
          <w:lang w:val="en-US"/>
        </w:rPr>
        <w:t>mmol</w:t>
      </w:r>
      <w:proofErr w:type="spellEnd"/>
      <w:r w:rsidRPr="005F7E5F">
        <w:rPr>
          <w:rFonts w:eastAsia="Times New Roman" w:cs="Arial"/>
          <w:color w:val="000000"/>
          <w:szCs w:val="20"/>
          <w:lang w:val="en-US"/>
        </w:rPr>
        <w:t xml:space="preserve">/l </w:t>
      </w:r>
      <w:r w:rsidRPr="005F7E5F">
        <w:rPr>
          <w:rFonts w:eastAsia="Times New Roman" w:cs="Arial"/>
          <w:color w:val="000000"/>
          <w:szCs w:val="20"/>
          <w:lang w:eastAsia="bg-BG"/>
        </w:rPr>
        <w:t xml:space="preserve">индекс на телесна маса </w:t>
      </w:r>
      <w:r w:rsidRPr="005F7E5F">
        <w:rPr>
          <w:rFonts w:eastAsia="Times New Roman" w:cs="Arial"/>
          <w:color w:val="000000"/>
          <w:szCs w:val="20"/>
          <w:lang w:val="en-US"/>
        </w:rPr>
        <w:t xml:space="preserve">(BMI) </w:t>
      </w:r>
      <w:r w:rsidRPr="005F7E5F">
        <w:rPr>
          <w:rFonts w:eastAsia="Times New Roman" w:cs="Arial"/>
          <w:color w:val="000000"/>
          <w:szCs w:val="20"/>
          <w:lang w:eastAsia="bg-BG"/>
        </w:rPr>
        <w:t xml:space="preserve">&gt; 30 </w:t>
      </w:r>
      <w:r w:rsidRPr="005F7E5F">
        <w:rPr>
          <w:rFonts w:eastAsia="Times New Roman" w:cs="Arial"/>
          <w:color w:val="000000"/>
          <w:szCs w:val="20"/>
          <w:lang w:val="en-US"/>
        </w:rPr>
        <w:t>kg/m</w:t>
      </w:r>
      <w:r w:rsidRPr="005F7E5F">
        <w:rPr>
          <w:rFonts w:eastAsia="Times New Roman" w:cs="Arial"/>
          <w:color w:val="000000"/>
          <w:szCs w:val="20"/>
          <w:vertAlign w:val="superscript"/>
          <w:lang w:val="en-US"/>
        </w:rPr>
        <w:t>2</w:t>
      </w:r>
      <w:r w:rsidRPr="005F7E5F">
        <w:rPr>
          <w:rFonts w:eastAsia="Times New Roman" w:cs="Arial"/>
          <w:color w:val="000000"/>
          <w:szCs w:val="20"/>
          <w:lang w:val="en-US"/>
        </w:rPr>
        <w:t xml:space="preserve">, </w:t>
      </w:r>
      <w:r w:rsidRPr="005F7E5F">
        <w:rPr>
          <w:rFonts w:eastAsia="Times New Roman" w:cs="Arial"/>
          <w:color w:val="000000"/>
          <w:szCs w:val="20"/>
          <w:lang w:eastAsia="bg-BG"/>
        </w:rPr>
        <w:t>повишени триглицериди, хипертония), трябва да бъдат мониторирани клинично и биохимично съгласно националните препоръки.</w:t>
      </w:r>
    </w:p>
    <w:p w14:paraId="68C95D94" w14:textId="77777777" w:rsidR="005F7E5F" w:rsidRPr="005F7E5F" w:rsidRDefault="005F7E5F" w:rsidP="005F7E5F">
      <w:pPr>
        <w:spacing w:line="240" w:lineRule="auto"/>
        <w:rPr>
          <w:rFonts w:eastAsia="Times New Roman" w:cs="Arial"/>
          <w:color w:val="000000"/>
          <w:szCs w:val="20"/>
          <w:u w:val="single"/>
          <w:lang w:eastAsia="bg-BG"/>
        </w:rPr>
      </w:pPr>
    </w:p>
    <w:p w14:paraId="3F2CB859" w14:textId="060E2C62" w:rsidR="005F7E5F" w:rsidRPr="005F7E5F" w:rsidRDefault="005F7E5F" w:rsidP="005F7E5F">
      <w:pPr>
        <w:spacing w:line="240" w:lineRule="auto"/>
        <w:rPr>
          <w:rFonts w:eastAsia="Times New Roman" w:cs="Arial"/>
          <w:sz w:val="28"/>
          <w:szCs w:val="24"/>
          <w:lang w:eastAsia="bg-BG"/>
        </w:rPr>
      </w:pPr>
      <w:r w:rsidRPr="005F7E5F">
        <w:rPr>
          <w:rFonts w:eastAsia="Times New Roman" w:cs="Arial"/>
          <w:color w:val="000000"/>
          <w:szCs w:val="20"/>
          <w:u w:val="single"/>
          <w:lang w:eastAsia="bg-BG"/>
        </w:rPr>
        <w:t>Интерстициална белодробна болест</w:t>
      </w:r>
    </w:p>
    <w:p w14:paraId="31A90D44" w14:textId="77777777" w:rsidR="005F7E5F" w:rsidRPr="005F7E5F" w:rsidRDefault="005F7E5F" w:rsidP="005F7E5F">
      <w:pPr>
        <w:spacing w:line="240" w:lineRule="auto"/>
        <w:rPr>
          <w:rFonts w:eastAsia="Times New Roman" w:cs="Arial"/>
          <w:sz w:val="28"/>
          <w:szCs w:val="24"/>
          <w:lang w:eastAsia="bg-BG"/>
        </w:rPr>
      </w:pPr>
      <w:r w:rsidRPr="005F7E5F">
        <w:rPr>
          <w:rFonts w:eastAsia="Times New Roman" w:cs="Arial"/>
          <w:color w:val="000000"/>
          <w:szCs w:val="20"/>
          <w:lang w:eastAsia="bg-BG"/>
        </w:rPr>
        <w:t>Има съобщения за интерстициална белодробна болест при употреба на някои статини, включително симвастатин, особено при продължително лечение (вж. точка 4.8). Симптомите могат да включват диспнея, непродуктивна кашлица и влошаване на общото състояние (умора, загуба на тегло и треска). При подозрение за интерстициална белодробна болест, терапията със статии трябва да бъде преустановена.</w:t>
      </w:r>
    </w:p>
    <w:p w14:paraId="6C39F238" w14:textId="77777777" w:rsidR="005F7E5F" w:rsidRPr="005F7E5F" w:rsidRDefault="005F7E5F" w:rsidP="005F7E5F">
      <w:pPr>
        <w:spacing w:line="240" w:lineRule="auto"/>
        <w:rPr>
          <w:rFonts w:eastAsia="Times New Roman" w:cs="Arial"/>
          <w:color w:val="000000"/>
          <w:szCs w:val="20"/>
          <w:u w:val="single"/>
          <w:lang w:eastAsia="bg-BG"/>
        </w:rPr>
      </w:pPr>
    </w:p>
    <w:p w14:paraId="3D6EC8DD" w14:textId="287D5BDD" w:rsidR="005F7E5F" w:rsidRPr="005F7E5F" w:rsidRDefault="005F7E5F" w:rsidP="005F7E5F">
      <w:pPr>
        <w:spacing w:line="240" w:lineRule="auto"/>
        <w:rPr>
          <w:rFonts w:eastAsia="Times New Roman" w:cs="Arial"/>
          <w:sz w:val="28"/>
          <w:szCs w:val="24"/>
          <w:lang w:eastAsia="bg-BG"/>
        </w:rPr>
      </w:pPr>
      <w:r w:rsidRPr="005F7E5F">
        <w:rPr>
          <w:rFonts w:eastAsia="Times New Roman" w:cs="Arial"/>
          <w:color w:val="000000"/>
          <w:szCs w:val="20"/>
          <w:u w:val="single"/>
          <w:lang w:eastAsia="bg-BG"/>
        </w:rPr>
        <w:t>Педиатрична популация</w:t>
      </w:r>
    </w:p>
    <w:p w14:paraId="5E1C93FC" w14:textId="77777777" w:rsidR="005F7E5F" w:rsidRPr="005F7E5F" w:rsidRDefault="005F7E5F" w:rsidP="005F7E5F">
      <w:pPr>
        <w:spacing w:line="240" w:lineRule="auto"/>
        <w:rPr>
          <w:rFonts w:eastAsia="Times New Roman" w:cs="Arial"/>
          <w:sz w:val="28"/>
          <w:szCs w:val="24"/>
          <w:lang w:eastAsia="bg-BG"/>
        </w:rPr>
      </w:pPr>
      <w:r w:rsidRPr="005F7E5F">
        <w:rPr>
          <w:rFonts w:eastAsia="Times New Roman" w:cs="Arial"/>
          <w:color w:val="000000"/>
          <w:szCs w:val="20"/>
          <w:lang w:eastAsia="bg-BG"/>
        </w:rPr>
        <w:t xml:space="preserve">Безопасността и ефикасността на симвастатин при пациенти на възраст от 10 до 17 години, с хетерозиготна фамилна хиперхолестеролемия, е била оценена в едно контролирано клинично изпитване при младежи II степен по Танер и нагоре и девойки </w:t>
      </w:r>
      <w:r w:rsidRPr="005F7E5F">
        <w:rPr>
          <w:rFonts w:eastAsia="Times New Roman" w:cs="Arial"/>
          <w:color w:val="000000"/>
          <w:szCs w:val="20"/>
          <w:lang w:eastAsia="bg-BG"/>
        </w:rPr>
        <w:lastRenderedPageBreak/>
        <w:t xml:space="preserve">поне една година след първата им менструация. Пациентите, лекувани със симвастатин са имали профил на безопасност като цяло подобен на този при пациентите лекувани с плацебо. Дози по-високи от 40 </w:t>
      </w:r>
      <w:r w:rsidRPr="005F7E5F">
        <w:rPr>
          <w:rFonts w:eastAsia="Times New Roman" w:cs="Arial"/>
          <w:color w:val="000000"/>
          <w:szCs w:val="20"/>
          <w:lang w:val="en-US"/>
        </w:rPr>
        <w:t xml:space="preserve">mg </w:t>
      </w:r>
      <w:r w:rsidRPr="005F7E5F">
        <w:rPr>
          <w:rFonts w:eastAsia="Times New Roman" w:cs="Arial"/>
          <w:color w:val="000000"/>
          <w:szCs w:val="20"/>
          <w:lang w:eastAsia="bg-BG"/>
        </w:rPr>
        <w:t>не са били изследвани при тази популация. В това ограничено, контролирано проучване не е установен забележим ефект върху растежа или сексуалното узряване на младежите или девойките или какъвто и да било ефект върху продължителността на менструалния цикъл при момичетата (вж. точки 4.2, 4.8 и 5.1). По време на лечението със симвастатин, на девойките трябва да бъдат предложени подходящи методи за контрацепция (вж. точки 4.3 и 4.6). Ефикасността и безопасността не са били изследвани при пациенти на възраст &lt; 18 години за период на лечение с продължителност &gt; 48 седмици и не е известен дългосрочния ефект върху физическото, интелектуално и сексуално развитие. Симвастатин не е бил проучван при пациенти на възраст под 10 години, както и при деца преди пубертета и момичета, които не са имали менструация.</w:t>
      </w:r>
    </w:p>
    <w:p w14:paraId="5C579F0B" w14:textId="77777777" w:rsidR="005F7E5F" w:rsidRPr="005F7E5F" w:rsidRDefault="005F7E5F" w:rsidP="005F7E5F">
      <w:pPr>
        <w:spacing w:line="240" w:lineRule="auto"/>
        <w:rPr>
          <w:rFonts w:eastAsia="Times New Roman" w:cs="Arial"/>
          <w:color w:val="000000"/>
          <w:szCs w:val="20"/>
          <w:u w:val="single"/>
          <w:lang w:eastAsia="bg-BG"/>
        </w:rPr>
      </w:pPr>
    </w:p>
    <w:p w14:paraId="09661240" w14:textId="6DEA9B60" w:rsidR="005F7E5F" w:rsidRPr="005F7E5F" w:rsidRDefault="005F7E5F" w:rsidP="005F7E5F">
      <w:pPr>
        <w:spacing w:line="240" w:lineRule="auto"/>
        <w:rPr>
          <w:rFonts w:eastAsia="Times New Roman" w:cs="Arial"/>
          <w:sz w:val="28"/>
          <w:szCs w:val="24"/>
          <w:lang w:eastAsia="bg-BG"/>
        </w:rPr>
      </w:pPr>
      <w:r w:rsidRPr="005F7E5F">
        <w:rPr>
          <w:rFonts w:eastAsia="Times New Roman" w:cs="Arial"/>
          <w:color w:val="000000"/>
          <w:szCs w:val="20"/>
          <w:u w:val="single"/>
          <w:lang w:eastAsia="bg-BG"/>
        </w:rPr>
        <w:t>Помощни вещества</w:t>
      </w:r>
    </w:p>
    <w:p w14:paraId="542F28E1" w14:textId="2BD6E3B7" w:rsidR="00FE2848" w:rsidRPr="005F7E5F" w:rsidRDefault="005F7E5F" w:rsidP="005F7E5F">
      <w:pPr>
        <w:spacing w:line="240" w:lineRule="auto"/>
        <w:rPr>
          <w:rFonts w:eastAsia="Times New Roman" w:cs="Arial"/>
          <w:color w:val="000000"/>
          <w:sz w:val="36"/>
          <w:szCs w:val="20"/>
          <w:lang w:val="en-US" w:eastAsia="bg-BG"/>
        </w:rPr>
      </w:pPr>
      <w:r w:rsidRPr="005F7E5F">
        <w:rPr>
          <w:rFonts w:eastAsia="Times New Roman" w:cs="Arial"/>
          <w:color w:val="000000"/>
          <w:szCs w:val="20"/>
          <w:lang w:eastAsia="bg-BG"/>
        </w:rPr>
        <w:t xml:space="preserve">Този продукт съдържа лактоза. Пациенти с редки наследствени проблеми на галактозна непоносимост, </w:t>
      </w:r>
      <w:r w:rsidRPr="005F7E5F">
        <w:rPr>
          <w:rFonts w:eastAsia="Times New Roman" w:cs="Arial"/>
          <w:color w:val="000000"/>
          <w:szCs w:val="20"/>
          <w:lang w:val="en-US"/>
        </w:rPr>
        <w:t xml:space="preserve">Lapp </w:t>
      </w:r>
      <w:r w:rsidRPr="005F7E5F">
        <w:rPr>
          <w:rFonts w:eastAsia="Times New Roman" w:cs="Arial"/>
          <w:color w:val="000000"/>
          <w:szCs w:val="20"/>
          <w:lang w:eastAsia="bg-BG"/>
        </w:rPr>
        <w:t>лактазен дефицит или глюкозо-галактозна малабсорбция не трябва да приемат това лекарство.</w:t>
      </w:r>
    </w:p>
    <w:p w14:paraId="24E3E82F" w14:textId="77777777" w:rsidR="0091385D" w:rsidRPr="0091385D" w:rsidRDefault="0091385D" w:rsidP="0091385D"/>
    <w:p w14:paraId="619DED1E" w14:textId="564F257F"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55E4B7C" w14:textId="7D829F6C" w:rsidR="0091385D" w:rsidRDefault="0091385D" w:rsidP="0091385D"/>
    <w:p w14:paraId="76497690" w14:textId="77777777" w:rsidR="005F7E5F" w:rsidRPr="005F7E5F" w:rsidRDefault="005F7E5F" w:rsidP="005F7E5F">
      <w:pPr>
        <w:spacing w:line="240" w:lineRule="auto"/>
        <w:rPr>
          <w:rFonts w:eastAsia="Times New Roman" w:cs="Arial"/>
          <w:sz w:val="28"/>
          <w:szCs w:val="24"/>
          <w:lang w:eastAsia="bg-BG"/>
        </w:rPr>
      </w:pPr>
      <w:r w:rsidRPr="005F7E5F">
        <w:rPr>
          <w:rFonts w:eastAsia="Times New Roman" w:cs="Arial"/>
          <w:color w:val="000000"/>
          <w:szCs w:val="20"/>
          <w:lang w:eastAsia="bg-BG"/>
        </w:rPr>
        <w:t xml:space="preserve">Множество механизми могат да допринесат за потенциални взаимодействия с </w:t>
      </w:r>
      <w:r w:rsidRPr="005F7E5F">
        <w:rPr>
          <w:rFonts w:eastAsia="Times New Roman" w:cs="Arial"/>
          <w:color w:val="000000"/>
          <w:szCs w:val="20"/>
          <w:lang w:val="en-US"/>
        </w:rPr>
        <w:t xml:space="preserve">HMG-CoA </w:t>
      </w:r>
      <w:r w:rsidRPr="005F7E5F">
        <w:rPr>
          <w:rFonts w:eastAsia="Times New Roman" w:cs="Arial"/>
          <w:color w:val="000000"/>
          <w:szCs w:val="20"/>
          <w:lang w:eastAsia="bg-BG"/>
        </w:rPr>
        <w:t xml:space="preserve">редуктазни инхибитори. Лекарствени или растителни продукти, които инхибират метаболитните пътища на определени ензими (напр. </w:t>
      </w:r>
      <w:r w:rsidRPr="005F7E5F">
        <w:rPr>
          <w:rFonts w:eastAsia="Times New Roman" w:cs="Arial"/>
          <w:color w:val="000000"/>
          <w:szCs w:val="20"/>
          <w:lang w:val="en-US"/>
        </w:rPr>
        <w:t xml:space="preserve">CYP3A4) </w:t>
      </w:r>
      <w:r w:rsidRPr="005F7E5F">
        <w:rPr>
          <w:rFonts w:eastAsia="Times New Roman" w:cs="Arial"/>
          <w:color w:val="000000"/>
          <w:szCs w:val="20"/>
          <w:lang w:eastAsia="bg-BG"/>
        </w:rPr>
        <w:t>и/или транспортери (напр. ОАТР1В), могат да повишат плазмените концентрации на симвастатин и симвастатиновата киселина и могат да доведат до повишен риск от миопатия/рабдомиолиза.</w:t>
      </w:r>
    </w:p>
    <w:p w14:paraId="534D395A" w14:textId="77777777" w:rsidR="005F7E5F" w:rsidRPr="005F7E5F" w:rsidRDefault="005F7E5F" w:rsidP="005F7E5F">
      <w:pPr>
        <w:spacing w:line="240" w:lineRule="auto"/>
        <w:rPr>
          <w:rFonts w:eastAsia="Times New Roman" w:cs="Arial"/>
          <w:color w:val="000000"/>
          <w:szCs w:val="20"/>
          <w:lang w:eastAsia="bg-BG"/>
        </w:rPr>
      </w:pPr>
    </w:p>
    <w:p w14:paraId="7B5676DB" w14:textId="7E7E6DF5" w:rsidR="005F7E5F" w:rsidRPr="005F7E5F" w:rsidRDefault="005F7E5F" w:rsidP="005F7E5F">
      <w:pPr>
        <w:spacing w:line="240" w:lineRule="auto"/>
        <w:rPr>
          <w:rFonts w:eastAsia="Times New Roman" w:cs="Arial"/>
          <w:sz w:val="28"/>
          <w:szCs w:val="24"/>
          <w:lang w:eastAsia="bg-BG"/>
        </w:rPr>
      </w:pPr>
      <w:r w:rsidRPr="005F7E5F">
        <w:rPr>
          <w:rFonts w:eastAsia="Times New Roman" w:cs="Arial"/>
          <w:color w:val="000000"/>
          <w:szCs w:val="20"/>
          <w:lang w:eastAsia="bg-BG"/>
        </w:rPr>
        <w:t>Консултирайте се с информацията за предписване на всички едновременно приемани лекарства, за да получите допълнителна информация за техните потенциални взаимодействия със симвастатин и/или потенциала за промени на ензима или транспортера, и за възможно коригиране на дозата или схемата на прилагане</w:t>
      </w:r>
    </w:p>
    <w:p w14:paraId="08B40DB4" w14:textId="77777777" w:rsidR="005F7E5F" w:rsidRPr="005F7E5F" w:rsidRDefault="005F7E5F" w:rsidP="005F7E5F">
      <w:pPr>
        <w:rPr>
          <w:rFonts w:eastAsia="Times New Roman" w:cs="Arial"/>
          <w:color w:val="000000"/>
          <w:szCs w:val="20"/>
          <w:lang w:eastAsia="bg-BG"/>
        </w:rPr>
      </w:pPr>
    </w:p>
    <w:p w14:paraId="172AE819" w14:textId="7FB2C81D" w:rsidR="0091385D" w:rsidRPr="005F7E5F" w:rsidRDefault="005F7E5F" w:rsidP="005F7E5F">
      <w:pPr>
        <w:rPr>
          <w:rFonts w:cs="Arial"/>
          <w:sz w:val="24"/>
        </w:rPr>
      </w:pPr>
      <w:r w:rsidRPr="005F7E5F">
        <w:rPr>
          <w:rFonts w:eastAsia="Times New Roman" w:cs="Arial"/>
          <w:color w:val="000000"/>
          <w:szCs w:val="20"/>
          <w:lang w:eastAsia="bg-BG"/>
        </w:rPr>
        <w:t>Проучвания за взаимодействията са провеждани само при възрастни.</w:t>
      </w:r>
    </w:p>
    <w:p w14:paraId="5B2761C5" w14:textId="63A97A92" w:rsidR="0091385D" w:rsidRDefault="0091385D" w:rsidP="0091385D"/>
    <w:p w14:paraId="77D025D3" w14:textId="53530095" w:rsidR="005F7E5F" w:rsidRPr="005F7E5F" w:rsidRDefault="005F7E5F" w:rsidP="0091385D">
      <w:pPr>
        <w:rPr>
          <w:rFonts w:cs="Arial"/>
          <w:b/>
          <w:bCs/>
        </w:rPr>
      </w:pPr>
      <w:r w:rsidRPr="005F7E5F">
        <w:rPr>
          <w:rFonts w:cs="Arial"/>
          <w:b/>
          <w:bCs/>
        </w:rPr>
        <w:t>Фармакодинамични взаимодействия</w:t>
      </w:r>
    </w:p>
    <w:p w14:paraId="16176407" w14:textId="77777777" w:rsidR="005F7E5F" w:rsidRPr="005F7E5F" w:rsidRDefault="005F7E5F" w:rsidP="005F7E5F">
      <w:pPr>
        <w:spacing w:line="240" w:lineRule="auto"/>
        <w:rPr>
          <w:rFonts w:eastAsia="Times New Roman" w:cs="Arial"/>
          <w:lang w:eastAsia="bg-BG"/>
        </w:rPr>
      </w:pPr>
      <w:r w:rsidRPr="005F7E5F">
        <w:rPr>
          <w:rFonts w:eastAsia="Times New Roman" w:cs="Arial"/>
          <w:i/>
          <w:iCs/>
          <w:color w:val="000000"/>
          <w:lang w:eastAsia="bg-BG"/>
        </w:rPr>
        <w:t>Взаимодействия с липидопонижаващи лекарствени продукти, които може да причинят миопатия, когато се прилагат самостоятелно</w:t>
      </w:r>
    </w:p>
    <w:p w14:paraId="1A651CB7" w14:textId="77777777" w:rsidR="005F7E5F" w:rsidRPr="005F7E5F" w:rsidRDefault="005F7E5F" w:rsidP="005F7E5F">
      <w:pPr>
        <w:spacing w:line="240" w:lineRule="auto"/>
        <w:rPr>
          <w:rFonts w:eastAsia="Times New Roman" w:cs="Arial"/>
          <w:lang w:eastAsia="bg-BG"/>
        </w:rPr>
      </w:pPr>
      <w:r w:rsidRPr="005F7E5F">
        <w:rPr>
          <w:rFonts w:eastAsia="Times New Roman" w:cs="Arial"/>
          <w:color w:val="000000"/>
          <w:lang w:eastAsia="bg-BG"/>
        </w:rPr>
        <w:t xml:space="preserve">Рискът от миопатия, включително рабдомиолиза, се повишава при едновременно приложение на симвастатин с фибрати. Допълнително съществува фармакокинетично взаимодействие на симвастатин с гемфиброзил, водещо до повишени плазмени нива на симвастатин (виж по-долу Фармакокинетични взаимодействия и точки 4.3 и 4.4). Когато симвастатин и фенофибрат се прилагат заедно, не е доказано, че рискът от миопатия превишава сумата от индивидуалните рискове на всеки агент. За други фибрати няма адекватни фармакокинетични данни и данни за проследяване на лекарствената безопасност. Рядко случаи на миопатия/рабдомиолиза са свързани с едновременната употреба на симвастатин и ниацин в липидомодифициращи дози (≥ 1 </w:t>
      </w:r>
      <w:r w:rsidRPr="005F7E5F">
        <w:rPr>
          <w:rFonts w:eastAsia="Times New Roman" w:cs="Arial"/>
          <w:color w:val="000000"/>
          <w:lang w:val="en-US"/>
        </w:rPr>
        <w:t xml:space="preserve">g </w:t>
      </w:r>
      <w:r w:rsidRPr="005F7E5F">
        <w:rPr>
          <w:rFonts w:eastAsia="Times New Roman" w:cs="Arial"/>
          <w:color w:val="000000"/>
          <w:lang w:eastAsia="bg-BG"/>
        </w:rPr>
        <w:t>дневно) (вж. точка 4.4).</w:t>
      </w:r>
    </w:p>
    <w:p w14:paraId="365F7AC8" w14:textId="77777777" w:rsidR="005F7E5F" w:rsidRPr="005F7E5F" w:rsidRDefault="005F7E5F" w:rsidP="005F7E5F">
      <w:pPr>
        <w:spacing w:line="240" w:lineRule="auto"/>
        <w:rPr>
          <w:rFonts w:eastAsia="Times New Roman" w:cs="Arial"/>
          <w:b/>
          <w:bCs/>
          <w:color w:val="000000"/>
          <w:lang w:eastAsia="bg-BG"/>
        </w:rPr>
      </w:pPr>
    </w:p>
    <w:p w14:paraId="340B467D" w14:textId="53E94095" w:rsidR="005F7E5F" w:rsidRPr="005F7E5F" w:rsidRDefault="005F7E5F" w:rsidP="005F7E5F">
      <w:pPr>
        <w:spacing w:line="240" w:lineRule="auto"/>
        <w:rPr>
          <w:rFonts w:eastAsia="Times New Roman" w:cs="Arial"/>
          <w:lang w:eastAsia="bg-BG"/>
        </w:rPr>
      </w:pPr>
      <w:r w:rsidRPr="005F7E5F">
        <w:rPr>
          <w:rFonts w:eastAsia="Times New Roman" w:cs="Arial"/>
          <w:b/>
          <w:bCs/>
          <w:color w:val="000000"/>
          <w:lang w:eastAsia="bg-BG"/>
        </w:rPr>
        <w:lastRenderedPageBreak/>
        <w:t>Фармакокинетични взаимодействия</w:t>
      </w:r>
    </w:p>
    <w:p w14:paraId="2F9BF11E" w14:textId="77777777" w:rsidR="005F7E5F" w:rsidRPr="005F7E5F" w:rsidRDefault="005F7E5F" w:rsidP="005F7E5F">
      <w:pPr>
        <w:spacing w:line="240" w:lineRule="auto"/>
        <w:rPr>
          <w:rFonts w:eastAsia="Times New Roman" w:cs="Arial"/>
          <w:lang w:eastAsia="bg-BG"/>
        </w:rPr>
      </w:pPr>
      <w:r w:rsidRPr="005F7E5F">
        <w:rPr>
          <w:rFonts w:eastAsia="Times New Roman" w:cs="Arial"/>
          <w:color w:val="000000"/>
          <w:lang w:eastAsia="bg-BG"/>
        </w:rPr>
        <w:t>В таблицата по долу са обобщени препоръките за предписване на взаимодействащи си агенти (допълнителни подробности са представени в текста; вж. също точки 4.2,4.3 и 4.4).</w:t>
      </w:r>
    </w:p>
    <w:p w14:paraId="0802B7E6" w14:textId="77777777" w:rsidR="005F7E5F" w:rsidRPr="005F7E5F" w:rsidRDefault="005F7E5F" w:rsidP="005F7E5F">
      <w:pPr>
        <w:rPr>
          <w:rFonts w:eastAsia="Times New Roman" w:cs="Arial"/>
          <w:color w:val="000000"/>
          <w:lang w:eastAsia="bg-BG"/>
        </w:rPr>
      </w:pPr>
    </w:p>
    <w:p w14:paraId="324A249A" w14:textId="07F61EA8" w:rsidR="005F7E5F" w:rsidRPr="005F7E5F" w:rsidRDefault="005F7E5F" w:rsidP="005F7E5F">
      <w:pPr>
        <w:rPr>
          <w:rFonts w:cs="Arial"/>
        </w:rPr>
      </w:pPr>
      <w:r w:rsidRPr="005F7E5F">
        <w:rPr>
          <w:rFonts w:eastAsia="Times New Roman" w:cs="Arial"/>
          <w:color w:val="000000"/>
          <w:lang w:eastAsia="bg-BG"/>
        </w:rPr>
        <w:t>Лекарствени взаимодействия, свързани с повишен риск от миопатия/рабдомиолиза</w:t>
      </w:r>
    </w:p>
    <w:tbl>
      <w:tblPr>
        <w:tblStyle w:val="TableGrid"/>
        <w:tblW w:w="0" w:type="auto"/>
        <w:tblLook w:val="04A0" w:firstRow="1" w:lastRow="0" w:firstColumn="1" w:lastColumn="0" w:noHBand="0" w:noVBand="1"/>
      </w:tblPr>
      <w:tblGrid>
        <w:gridCol w:w="4678"/>
        <w:gridCol w:w="4672"/>
      </w:tblGrid>
      <w:tr w:rsidR="005F7E5F" w:rsidRPr="005F7E5F" w14:paraId="4D6AD233" w14:textId="77777777" w:rsidTr="005F7E5F">
        <w:tc>
          <w:tcPr>
            <w:tcW w:w="4750" w:type="dxa"/>
          </w:tcPr>
          <w:p w14:paraId="366B407D" w14:textId="76A4E00F" w:rsidR="005F7E5F" w:rsidRPr="005F7E5F" w:rsidRDefault="005F7E5F" w:rsidP="005F7E5F">
            <w:pPr>
              <w:rPr>
                <w:rFonts w:cs="Arial"/>
              </w:rPr>
            </w:pPr>
            <w:r w:rsidRPr="005F7E5F">
              <w:rPr>
                <w:rFonts w:cs="Arial"/>
                <w:b/>
                <w:bCs/>
              </w:rPr>
              <w:t>Взаимодействащи агенти</w:t>
            </w:r>
          </w:p>
        </w:tc>
        <w:tc>
          <w:tcPr>
            <w:tcW w:w="4750" w:type="dxa"/>
          </w:tcPr>
          <w:p w14:paraId="4B95D074" w14:textId="2E349982" w:rsidR="005F7E5F" w:rsidRPr="005F7E5F" w:rsidRDefault="005F7E5F" w:rsidP="005F7E5F">
            <w:pPr>
              <w:rPr>
                <w:rFonts w:cs="Arial"/>
              </w:rPr>
            </w:pPr>
            <w:r w:rsidRPr="005F7E5F">
              <w:rPr>
                <w:rFonts w:cs="Arial"/>
                <w:b/>
                <w:bCs/>
              </w:rPr>
              <w:t>Препоръки за предписване</w:t>
            </w:r>
          </w:p>
        </w:tc>
      </w:tr>
      <w:tr w:rsidR="005F7E5F" w:rsidRPr="005F7E5F" w14:paraId="3E3E5055" w14:textId="77777777" w:rsidTr="005F7E5F">
        <w:tc>
          <w:tcPr>
            <w:tcW w:w="4750" w:type="dxa"/>
          </w:tcPr>
          <w:p w14:paraId="32F1E605" w14:textId="77777777" w:rsidR="005F7E5F" w:rsidRPr="005F7E5F" w:rsidRDefault="005F7E5F" w:rsidP="005F7E5F">
            <w:pPr>
              <w:rPr>
                <w:rFonts w:cs="Arial"/>
              </w:rPr>
            </w:pPr>
            <w:r w:rsidRPr="005F7E5F">
              <w:rPr>
                <w:rFonts w:cs="Arial"/>
              </w:rPr>
              <w:t xml:space="preserve">Мощни инхибитори на </w:t>
            </w:r>
            <w:r w:rsidRPr="005F7E5F">
              <w:rPr>
                <w:rFonts w:cs="Arial"/>
                <w:lang w:val="en-US"/>
              </w:rPr>
              <w:t xml:space="preserve">CYP3A4 </w:t>
            </w:r>
            <w:r w:rsidRPr="005F7E5F">
              <w:rPr>
                <w:rFonts w:cs="Arial"/>
              </w:rPr>
              <w:t>напр.:</w:t>
            </w:r>
          </w:p>
          <w:p w14:paraId="051226D6" w14:textId="77777777" w:rsidR="005F7E5F" w:rsidRPr="005F7E5F" w:rsidRDefault="005F7E5F" w:rsidP="005F7E5F">
            <w:pPr>
              <w:rPr>
                <w:rFonts w:cs="Arial"/>
              </w:rPr>
            </w:pPr>
            <w:r w:rsidRPr="005F7E5F">
              <w:rPr>
                <w:rFonts w:cs="Arial"/>
              </w:rPr>
              <w:t>Итраконазол</w:t>
            </w:r>
          </w:p>
          <w:p w14:paraId="24688B21" w14:textId="77777777" w:rsidR="005F7E5F" w:rsidRPr="005F7E5F" w:rsidRDefault="005F7E5F" w:rsidP="005F7E5F">
            <w:pPr>
              <w:rPr>
                <w:rFonts w:cs="Arial"/>
              </w:rPr>
            </w:pPr>
            <w:r w:rsidRPr="005F7E5F">
              <w:rPr>
                <w:rFonts w:cs="Arial"/>
              </w:rPr>
              <w:t>Кетоконазол</w:t>
            </w:r>
          </w:p>
          <w:p w14:paraId="59AE2AFB" w14:textId="77777777" w:rsidR="005F7E5F" w:rsidRPr="005F7E5F" w:rsidRDefault="005F7E5F" w:rsidP="005F7E5F">
            <w:pPr>
              <w:rPr>
                <w:rFonts w:cs="Arial"/>
              </w:rPr>
            </w:pPr>
            <w:r w:rsidRPr="005F7E5F">
              <w:rPr>
                <w:rFonts w:cs="Arial"/>
              </w:rPr>
              <w:t>Позаконазол</w:t>
            </w:r>
          </w:p>
          <w:p w14:paraId="09B3CFA8" w14:textId="77777777" w:rsidR="005F7E5F" w:rsidRPr="005F7E5F" w:rsidRDefault="005F7E5F" w:rsidP="005F7E5F">
            <w:pPr>
              <w:rPr>
                <w:rFonts w:cs="Arial"/>
              </w:rPr>
            </w:pPr>
            <w:r w:rsidRPr="005F7E5F">
              <w:rPr>
                <w:rFonts w:cs="Arial"/>
              </w:rPr>
              <w:t>Вориконазол</w:t>
            </w:r>
          </w:p>
          <w:p w14:paraId="523205CB" w14:textId="77777777" w:rsidR="005F7E5F" w:rsidRPr="005F7E5F" w:rsidRDefault="005F7E5F" w:rsidP="005F7E5F">
            <w:pPr>
              <w:rPr>
                <w:rFonts w:cs="Arial"/>
              </w:rPr>
            </w:pPr>
            <w:r w:rsidRPr="005F7E5F">
              <w:rPr>
                <w:rFonts w:cs="Arial"/>
              </w:rPr>
              <w:t>Еритромицин</w:t>
            </w:r>
          </w:p>
          <w:p w14:paraId="64152B90" w14:textId="77777777" w:rsidR="005F7E5F" w:rsidRPr="005F7E5F" w:rsidRDefault="005F7E5F" w:rsidP="005F7E5F">
            <w:pPr>
              <w:rPr>
                <w:rFonts w:cs="Arial"/>
              </w:rPr>
            </w:pPr>
            <w:r w:rsidRPr="005F7E5F">
              <w:rPr>
                <w:rFonts w:cs="Arial"/>
              </w:rPr>
              <w:t>Кларитромицин</w:t>
            </w:r>
          </w:p>
          <w:p w14:paraId="1B3525F5" w14:textId="77777777" w:rsidR="005F7E5F" w:rsidRPr="005F7E5F" w:rsidRDefault="005F7E5F" w:rsidP="005F7E5F">
            <w:pPr>
              <w:rPr>
                <w:rFonts w:cs="Arial"/>
              </w:rPr>
            </w:pPr>
            <w:r w:rsidRPr="005F7E5F">
              <w:rPr>
                <w:rFonts w:cs="Arial"/>
              </w:rPr>
              <w:t>Телитромицин</w:t>
            </w:r>
          </w:p>
          <w:p w14:paraId="60FDD808" w14:textId="77777777" w:rsidR="005F7E5F" w:rsidRPr="005F7E5F" w:rsidRDefault="005F7E5F" w:rsidP="005F7E5F">
            <w:pPr>
              <w:rPr>
                <w:rFonts w:cs="Arial"/>
              </w:rPr>
            </w:pPr>
            <w:r w:rsidRPr="005F7E5F">
              <w:rPr>
                <w:rFonts w:cs="Arial"/>
                <w:lang w:val="en-US"/>
              </w:rPr>
              <w:t>HIV</w:t>
            </w:r>
            <w:r w:rsidRPr="005F7E5F">
              <w:rPr>
                <w:rFonts w:cs="Arial"/>
              </w:rPr>
              <w:t>-протеазни инхибитори (напр. нелфинавир)</w:t>
            </w:r>
          </w:p>
          <w:p w14:paraId="0555954F" w14:textId="77777777" w:rsidR="005F7E5F" w:rsidRPr="005F7E5F" w:rsidRDefault="005F7E5F" w:rsidP="005F7E5F">
            <w:pPr>
              <w:rPr>
                <w:rFonts w:cs="Arial"/>
              </w:rPr>
            </w:pPr>
            <w:r w:rsidRPr="005F7E5F">
              <w:rPr>
                <w:rFonts w:cs="Arial"/>
              </w:rPr>
              <w:t>Боцепревир</w:t>
            </w:r>
          </w:p>
          <w:p w14:paraId="3F4DA87A" w14:textId="77777777" w:rsidR="005F7E5F" w:rsidRPr="005F7E5F" w:rsidRDefault="005F7E5F" w:rsidP="005F7E5F">
            <w:pPr>
              <w:rPr>
                <w:rFonts w:cs="Arial"/>
              </w:rPr>
            </w:pPr>
            <w:r w:rsidRPr="005F7E5F">
              <w:rPr>
                <w:rFonts w:cs="Arial"/>
              </w:rPr>
              <w:t>Телапревир</w:t>
            </w:r>
          </w:p>
          <w:p w14:paraId="214533AD" w14:textId="77777777" w:rsidR="005F7E5F" w:rsidRPr="005F7E5F" w:rsidRDefault="005F7E5F" w:rsidP="005F7E5F">
            <w:pPr>
              <w:rPr>
                <w:rFonts w:cs="Arial"/>
              </w:rPr>
            </w:pPr>
            <w:r w:rsidRPr="005F7E5F">
              <w:rPr>
                <w:rFonts w:cs="Arial"/>
              </w:rPr>
              <w:t>Нефазадон</w:t>
            </w:r>
          </w:p>
          <w:p w14:paraId="76DC4824" w14:textId="77777777" w:rsidR="005F7E5F" w:rsidRPr="005F7E5F" w:rsidRDefault="005F7E5F" w:rsidP="005F7E5F">
            <w:pPr>
              <w:rPr>
                <w:rFonts w:cs="Arial"/>
              </w:rPr>
            </w:pPr>
            <w:r w:rsidRPr="005F7E5F">
              <w:rPr>
                <w:rFonts w:cs="Arial"/>
              </w:rPr>
              <w:t>Кобицистат</w:t>
            </w:r>
          </w:p>
          <w:p w14:paraId="7BC8742D" w14:textId="77777777" w:rsidR="005F7E5F" w:rsidRPr="005F7E5F" w:rsidRDefault="005F7E5F" w:rsidP="005F7E5F">
            <w:pPr>
              <w:rPr>
                <w:rFonts w:cs="Arial"/>
              </w:rPr>
            </w:pPr>
            <w:r w:rsidRPr="005F7E5F">
              <w:rPr>
                <w:rFonts w:cs="Arial"/>
              </w:rPr>
              <w:t>Циклоспорин</w:t>
            </w:r>
          </w:p>
          <w:p w14:paraId="541DE027" w14:textId="77777777" w:rsidR="005F7E5F" w:rsidRPr="005F7E5F" w:rsidRDefault="005F7E5F" w:rsidP="005F7E5F">
            <w:pPr>
              <w:rPr>
                <w:rFonts w:cs="Arial"/>
              </w:rPr>
            </w:pPr>
            <w:r w:rsidRPr="005F7E5F">
              <w:rPr>
                <w:rFonts w:cs="Arial"/>
              </w:rPr>
              <w:t>Даназол</w:t>
            </w:r>
          </w:p>
          <w:p w14:paraId="160EC320" w14:textId="192D111C" w:rsidR="005F7E5F" w:rsidRPr="005F7E5F" w:rsidRDefault="005F7E5F" w:rsidP="005F7E5F">
            <w:pPr>
              <w:rPr>
                <w:rFonts w:cs="Arial"/>
              </w:rPr>
            </w:pPr>
            <w:r w:rsidRPr="005F7E5F">
              <w:rPr>
                <w:rFonts w:cs="Arial"/>
              </w:rPr>
              <w:t>Гемфиброзил</w:t>
            </w:r>
          </w:p>
        </w:tc>
        <w:tc>
          <w:tcPr>
            <w:tcW w:w="4750" w:type="dxa"/>
          </w:tcPr>
          <w:p w14:paraId="4F6058DF" w14:textId="70F629F3" w:rsidR="005F7E5F" w:rsidRPr="005F7E5F" w:rsidRDefault="005F7E5F" w:rsidP="005F7E5F">
            <w:pPr>
              <w:rPr>
                <w:rFonts w:cs="Arial"/>
              </w:rPr>
            </w:pPr>
            <w:r w:rsidRPr="005F7E5F">
              <w:rPr>
                <w:rFonts w:cs="Arial"/>
              </w:rPr>
              <w:t>Противопоказани със симвастатин</w:t>
            </w:r>
          </w:p>
        </w:tc>
      </w:tr>
      <w:tr w:rsidR="005F7E5F" w:rsidRPr="005F7E5F" w14:paraId="661E30A6" w14:textId="77777777" w:rsidTr="005F7E5F">
        <w:tc>
          <w:tcPr>
            <w:tcW w:w="4750" w:type="dxa"/>
          </w:tcPr>
          <w:p w14:paraId="779CA73D" w14:textId="2EB433C2" w:rsidR="005F7E5F" w:rsidRPr="005F7E5F" w:rsidRDefault="005F7E5F" w:rsidP="005F7E5F">
            <w:pPr>
              <w:rPr>
                <w:rFonts w:cs="Arial"/>
              </w:rPr>
            </w:pPr>
            <w:r w:rsidRPr="005F7E5F">
              <w:rPr>
                <w:rFonts w:cs="Arial"/>
              </w:rPr>
              <w:t>Други фибрати (освен фенофибрат)</w:t>
            </w:r>
          </w:p>
        </w:tc>
        <w:tc>
          <w:tcPr>
            <w:tcW w:w="4750" w:type="dxa"/>
          </w:tcPr>
          <w:p w14:paraId="4FC8D19C" w14:textId="52326348" w:rsidR="005F7E5F" w:rsidRPr="005F7E5F" w:rsidRDefault="005F7E5F" w:rsidP="005F7E5F">
            <w:pPr>
              <w:rPr>
                <w:rFonts w:cs="Arial"/>
              </w:rPr>
            </w:pPr>
            <w:r w:rsidRPr="005F7E5F">
              <w:rPr>
                <w:rFonts w:cs="Arial"/>
              </w:rPr>
              <w:t xml:space="preserve">Да не се превишава дозата от 10 </w:t>
            </w:r>
            <w:r w:rsidRPr="005F7E5F">
              <w:rPr>
                <w:rFonts w:cs="Arial"/>
                <w:lang w:val="en-US"/>
              </w:rPr>
              <w:t xml:space="preserve">mg </w:t>
            </w:r>
            <w:r w:rsidRPr="005F7E5F">
              <w:rPr>
                <w:rFonts w:cs="Arial"/>
              </w:rPr>
              <w:t>симвастатин дневно</w:t>
            </w:r>
          </w:p>
        </w:tc>
      </w:tr>
      <w:tr w:rsidR="005F7E5F" w:rsidRPr="005F7E5F" w14:paraId="2AF991E6" w14:textId="77777777" w:rsidTr="005F7E5F">
        <w:tc>
          <w:tcPr>
            <w:tcW w:w="4750" w:type="dxa"/>
          </w:tcPr>
          <w:p w14:paraId="2F3D4E7C" w14:textId="721797C5" w:rsidR="005F7E5F" w:rsidRPr="005F7E5F" w:rsidRDefault="005F7E5F" w:rsidP="005F7E5F">
            <w:pPr>
              <w:rPr>
                <w:rFonts w:cs="Arial"/>
              </w:rPr>
            </w:pPr>
            <w:r w:rsidRPr="005F7E5F">
              <w:rPr>
                <w:rFonts w:cs="Arial"/>
              </w:rPr>
              <w:t>Фузидова киселина</w:t>
            </w:r>
          </w:p>
        </w:tc>
        <w:tc>
          <w:tcPr>
            <w:tcW w:w="4750" w:type="dxa"/>
          </w:tcPr>
          <w:p w14:paraId="5DF8C064" w14:textId="0E265FDF" w:rsidR="005F7E5F" w:rsidRPr="005F7E5F" w:rsidRDefault="005F7E5F" w:rsidP="005F7E5F">
            <w:pPr>
              <w:rPr>
                <w:rFonts w:cs="Arial"/>
              </w:rPr>
            </w:pPr>
            <w:r w:rsidRPr="005F7E5F">
              <w:rPr>
                <w:rFonts w:cs="Arial"/>
              </w:rPr>
              <w:t>Не се препоръчва със симвастатин</w:t>
            </w:r>
          </w:p>
        </w:tc>
      </w:tr>
      <w:tr w:rsidR="005F7E5F" w:rsidRPr="005F7E5F" w14:paraId="37D1E6E2" w14:textId="77777777" w:rsidTr="005F7E5F">
        <w:tc>
          <w:tcPr>
            <w:tcW w:w="4750" w:type="dxa"/>
          </w:tcPr>
          <w:p w14:paraId="435EE8AA" w14:textId="7138B8DD" w:rsidR="005F7E5F" w:rsidRPr="005F7E5F" w:rsidRDefault="005F7E5F" w:rsidP="005F7E5F">
            <w:pPr>
              <w:rPr>
                <w:rFonts w:cs="Arial"/>
              </w:rPr>
            </w:pPr>
            <w:r w:rsidRPr="005F7E5F">
              <w:rPr>
                <w:rFonts w:cs="Arial"/>
              </w:rPr>
              <w:t xml:space="preserve">Ниацин (никотинова киселина) (≥ 1 </w:t>
            </w:r>
            <w:r w:rsidRPr="005F7E5F">
              <w:rPr>
                <w:rFonts w:cs="Arial"/>
                <w:lang w:val="en-US"/>
              </w:rPr>
              <w:t xml:space="preserve">g </w:t>
            </w:r>
            <w:r w:rsidRPr="005F7E5F">
              <w:rPr>
                <w:rFonts w:cs="Arial"/>
              </w:rPr>
              <w:t>дневно)</w:t>
            </w:r>
          </w:p>
        </w:tc>
        <w:tc>
          <w:tcPr>
            <w:tcW w:w="4750" w:type="dxa"/>
          </w:tcPr>
          <w:p w14:paraId="2B109FDF" w14:textId="2818E1BC" w:rsidR="005F7E5F" w:rsidRPr="005F7E5F" w:rsidRDefault="005F7E5F" w:rsidP="005F7E5F">
            <w:pPr>
              <w:rPr>
                <w:rFonts w:cs="Arial"/>
              </w:rPr>
            </w:pPr>
            <w:r w:rsidRPr="005F7E5F">
              <w:rPr>
                <w:rFonts w:cs="Arial"/>
              </w:rPr>
              <w:t>Не се препоръчва със симвастатин при азиатци</w:t>
            </w:r>
          </w:p>
        </w:tc>
      </w:tr>
      <w:tr w:rsidR="005F7E5F" w:rsidRPr="005F7E5F" w14:paraId="08EDD9A5" w14:textId="77777777" w:rsidTr="005F7E5F">
        <w:tc>
          <w:tcPr>
            <w:tcW w:w="4750" w:type="dxa"/>
          </w:tcPr>
          <w:p w14:paraId="0A9340C6" w14:textId="71051B02" w:rsidR="005F7E5F" w:rsidRPr="005F7E5F" w:rsidRDefault="005F7E5F" w:rsidP="005F7E5F">
            <w:pPr>
              <w:rPr>
                <w:rFonts w:cs="Arial"/>
              </w:rPr>
            </w:pPr>
            <w:r w:rsidRPr="005F7E5F">
              <w:rPr>
                <w:rFonts w:cs="Arial"/>
              </w:rPr>
              <w:t>Амиодарон Амлодипин Верапамил Дилтиазем Елбасвир Гразопревир</w:t>
            </w:r>
          </w:p>
        </w:tc>
        <w:tc>
          <w:tcPr>
            <w:tcW w:w="4750" w:type="dxa"/>
          </w:tcPr>
          <w:p w14:paraId="4E28A925" w14:textId="6BEA134F" w:rsidR="005F7E5F" w:rsidRPr="005F7E5F" w:rsidRDefault="005F7E5F" w:rsidP="005F7E5F">
            <w:pPr>
              <w:rPr>
                <w:rFonts w:cs="Arial"/>
              </w:rPr>
            </w:pPr>
            <w:r w:rsidRPr="005F7E5F">
              <w:rPr>
                <w:rFonts w:cs="Arial"/>
              </w:rPr>
              <w:t xml:space="preserve">Да не се превишава дозата от 20 </w:t>
            </w:r>
            <w:r w:rsidRPr="005F7E5F">
              <w:rPr>
                <w:rFonts w:cs="Arial"/>
                <w:lang w:val="en-US"/>
              </w:rPr>
              <w:t xml:space="preserve">mg </w:t>
            </w:r>
            <w:r w:rsidRPr="005F7E5F">
              <w:rPr>
                <w:rFonts w:cs="Arial"/>
              </w:rPr>
              <w:t>симвастатин дневно</w:t>
            </w:r>
          </w:p>
        </w:tc>
      </w:tr>
      <w:tr w:rsidR="005F7E5F" w:rsidRPr="005F7E5F" w14:paraId="064EA894" w14:textId="77777777" w:rsidTr="005F7E5F">
        <w:tc>
          <w:tcPr>
            <w:tcW w:w="4750" w:type="dxa"/>
          </w:tcPr>
          <w:p w14:paraId="27C34351" w14:textId="0DF3BA02" w:rsidR="005F7E5F" w:rsidRPr="005F7E5F" w:rsidRDefault="005F7E5F" w:rsidP="005F7E5F">
            <w:pPr>
              <w:rPr>
                <w:rFonts w:cs="Arial"/>
              </w:rPr>
            </w:pPr>
            <w:r w:rsidRPr="005F7E5F">
              <w:rPr>
                <w:rFonts w:cs="Arial"/>
              </w:rPr>
              <w:t>Ломитапид</w:t>
            </w:r>
          </w:p>
        </w:tc>
        <w:tc>
          <w:tcPr>
            <w:tcW w:w="4750" w:type="dxa"/>
          </w:tcPr>
          <w:p w14:paraId="08FA52FF" w14:textId="5A339F63" w:rsidR="005F7E5F" w:rsidRPr="005F7E5F" w:rsidRDefault="005F7E5F" w:rsidP="005F7E5F">
            <w:pPr>
              <w:rPr>
                <w:rFonts w:cs="Arial"/>
              </w:rPr>
            </w:pPr>
            <w:r w:rsidRPr="005F7E5F">
              <w:rPr>
                <w:rFonts w:cs="Arial"/>
              </w:rPr>
              <w:t xml:space="preserve">Да не се превишава дозата от 40 </w:t>
            </w:r>
            <w:r w:rsidRPr="005F7E5F">
              <w:rPr>
                <w:rFonts w:cs="Arial"/>
                <w:lang w:val="en-US"/>
              </w:rPr>
              <w:t xml:space="preserve">mg </w:t>
            </w:r>
            <w:r w:rsidRPr="005F7E5F">
              <w:rPr>
                <w:rFonts w:cs="Arial"/>
              </w:rPr>
              <w:t>симвастатин дневно при пациенти с ХоФХ</w:t>
            </w:r>
          </w:p>
        </w:tc>
      </w:tr>
      <w:tr w:rsidR="005F7E5F" w:rsidRPr="005F7E5F" w14:paraId="466C28F1" w14:textId="77777777" w:rsidTr="005F7E5F">
        <w:tc>
          <w:tcPr>
            <w:tcW w:w="4750" w:type="dxa"/>
          </w:tcPr>
          <w:p w14:paraId="12A5E220" w14:textId="09768FCE" w:rsidR="005F7E5F" w:rsidRPr="005F7E5F" w:rsidRDefault="005F7E5F" w:rsidP="005F7E5F">
            <w:pPr>
              <w:rPr>
                <w:rFonts w:cs="Arial"/>
              </w:rPr>
            </w:pPr>
            <w:r w:rsidRPr="005F7E5F">
              <w:rPr>
                <w:rFonts w:cs="Arial"/>
              </w:rPr>
              <w:t>Даптомицин</w:t>
            </w:r>
          </w:p>
        </w:tc>
        <w:tc>
          <w:tcPr>
            <w:tcW w:w="4750" w:type="dxa"/>
          </w:tcPr>
          <w:p w14:paraId="24778876" w14:textId="77777777" w:rsidR="005F7E5F" w:rsidRPr="005F7E5F" w:rsidRDefault="005F7E5F" w:rsidP="005F7E5F">
            <w:pPr>
              <w:rPr>
                <w:rFonts w:cs="Arial"/>
              </w:rPr>
            </w:pPr>
            <w:r w:rsidRPr="005F7E5F">
              <w:rPr>
                <w:rFonts w:cs="Arial"/>
              </w:rPr>
              <w:t>Трябва да се обмисли временно спиране на симвастатин при пациенти, приемащи даптомицин, освен ако ползите от</w:t>
            </w:r>
          </w:p>
          <w:p w14:paraId="18BADA4E" w14:textId="77777777" w:rsidR="005F7E5F" w:rsidRPr="005F7E5F" w:rsidRDefault="005F7E5F" w:rsidP="005F7E5F">
            <w:pPr>
              <w:rPr>
                <w:rFonts w:cs="Arial"/>
              </w:rPr>
            </w:pPr>
            <w:r w:rsidRPr="005F7E5F">
              <w:rPr>
                <w:rFonts w:cs="Arial"/>
              </w:rPr>
              <w:t>едновременното приложение не надхвърлят</w:t>
            </w:r>
          </w:p>
          <w:p w14:paraId="00E0AD7C" w14:textId="5355A818" w:rsidR="005F7E5F" w:rsidRPr="005F7E5F" w:rsidRDefault="005F7E5F" w:rsidP="005F7E5F">
            <w:pPr>
              <w:rPr>
                <w:rFonts w:cs="Arial"/>
              </w:rPr>
            </w:pPr>
            <w:r w:rsidRPr="005F7E5F">
              <w:rPr>
                <w:rFonts w:cs="Arial"/>
              </w:rPr>
              <w:t>риска (вж. точка 4.4)</w:t>
            </w:r>
          </w:p>
        </w:tc>
      </w:tr>
      <w:tr w:rsidR="005F7E5F" w:rsidRPr="005F7E5F" w14:paraId="62276381" w14:textId="77777777" w:rsidTr="005F7E5F">
        <w:tc>
          <w:tcPr>
            <w:tcW w:w="4750" w:type="dxa"/>
          </w:tcPr>
          <w:p w14:paraId="3E6B768D" w14:textId="181E7EAE" w:rsidR="005F7E5F" w:rsidRPr="005F7E5F" w:rsidRDefault="005F7E5F" w:rsidP="005F7E5F">
            <w:pPr>
              <w:rPr>
                <w:rFonts w:cs="Arial"/>
              </w:rPr>
            </w:pPr>
            <w:r w:rsidRPr="005F7E5F">
              <w:rPr>
                <w:rFonts w:cs="Arial"/>
              </w:rPr>
              <w:t>Сок от грейпфрут</w:t>
            </w:r>
          </w:p>
        </w:tc>
        <w:tc>
          <w:tcPr>
            <w:tcW w:w="4750" w:type="dxa"/>
          </w:tcPr>
          <w:p w14:paraId="3BAFCBBA" w14:textId="64EEAA82" w:rsidR="005F7E5F" w:rsidRPr="005F7E5F" w:rsidRDefault="005F7E5F" w:rsidP="005F7E5F">
            <w:pPr>
              <w:rPr>
                <w:rFonts w:cs="Arial"/>
              </w:rPr>
            </w:pPr>
            <w:r w:rsidRPr="005F7E5F">
              <w:rPr>
                <w:rFonts w:cs="Arial"/>
              </w:rPr>
              <w:t>Да се избягва сок от грейпфрут по време на прием на симвастатин</w:t>
            </w:r>
          </w:p>
        </w:tc>
      </w:tr>
    </w:tbl>
    <w:p w14:paraId="74278432" w14:textId="6B55B41D" w:rsidR="005F7E5F" w:rsidRPr="005F7E5F" w:rsidRDefault="005F7E5F" w:rsidP="0091385D">
      <w:pPr>
        <w:rPr>
          <w:rFonts w:cs="Arial"/>
        </w:rPr>
      </w:pPr>
    </w:p>
    <w:p w14:paraId="51EBBA44" w14:textId="44BC15E1" w:rsidR="005F7E5F" w:rsidRPr="005F7E5F" w:rsidRDefault="005F7E5F" w:rsidP="0091385D">
      <w:pPr>
        <w:rPr>
          <w:rFonts w:cs="Arial"/>
        </w:rPr>
      </w:pPr>
      <w:r w:rsidRPr="005F7E5F">
        <w:rPr>
          <w:rFonts w:cs="Arial"/>
          <w:i/>
          <w:iCs/>
          <w:u w:val="single"/>
        </w:rPr>
        <w:t>Влияние на други лекарствени продукти върху симвастатин</w:t>
      </w:r>
    </w:p>
    <w:p w14:paraId="416BF9BD" w14:textId="77777777" w:rsidR="005F7E5F" w:rsidRPr="005F7E5F" w:rsidRDefault="005F7E5F" w:rsidP="005F7E5F">
      <w:pPr>
        <w:spacing w:line="240" w:lineRule="auto"/>
        <w:rPr>
          <w:rFonts w:eastAsia="Times New Roman" w:cs="Arial"/>
          <w:lang w:eastAsia="bg-BG"/>
        </w:rPr>
      </w:pPr>
      <w:r w:rsidRPr="005F7E5F">
        <w:rPr>
          <w:rFonts w:eastAsia="Times New Roman" w:cs="Arial"/>
          <w:i/>
          <w:iCs/>
          <w:color w:val="000000"/>
          <w:u w:val="single"/>
          <w:lang w:eastAsia="bg-BG"/>
        </w:rPr>
        <w:t xml:space="preserve">Взаимодействие, включващи инхибитори на </w:t>
      </w:r>
      <w:r w:rsidRPr="005F7E5F">
        <w:rPr>
          <w:rFonts w:eastAsia="Times New Roman" w:cs="Arial"/>
          <w:i/>
          <w:iCs/>
          <w:color w:val="000000"/>
          <w:u w:val="single"/>
          <w:lang w:val="en-US"/>
        </w:rPr>
        <w:t>CYP3A4</w:t>
      </w:r>
    </w:p>
    <w:p w14:paraId="66588F70" w14:textId="77777777" w:rsidR="005F7E5F" w:rsidRPr="005F7E5F" w:rsidRDefault="005F7E5F" w:rsidP="005F7E5F">
      <w:pPr>
        <w:spacing w:line="240" w:lineRule="auto"/>
        <w:rPr>
          <w:rFonts w:eastAsia="Times New Roman" w:cs="Arial"/>
          <w:lang w:eastAsia="bg-BG"/>
        </w:rPr>
      </w:pPr>
      <w:r w:rsidRPr="005F7E5F">
        <w:rPr>
          <w:rFonts w:eastAsia="Times New Roman" w:cs="Arial"/>
          <w:color w:val="000000"/>
          <w:lang w:eastAsia="bg-BG"/>
        </w:rPr>
        <w:t xml:space="preserve">Симвастатин е субстрат на цитохорм Р450 ЗА4. Мощните инхибитори на цитрохом Р450 ЗА4 увеличават риска от миопатия и рабдомиолиза, като повишават плазмената концентрация на инхибитора на </w:t>
      </w:r>
      <w:r w:rsidRPr="005F7E5F">
        <w:rPr>
          <w:rFonts w:eastAsia="Times New Roman" w:cs="Arial"/>
          <w:color w:val="000000"/>
          <w:lang w:val="en-US"/>
        </w:rPr>
        <w:t xml:space="preserve">HMG-CoA </w:t>
      </w:r>
      <w:r w:rsidRPr="005F7E5F">
        <w:rPr>
          <w:rFonts w:eastAsia="Times New Roman" w:cs="Arial"/>
          <w:color w:val="000000"/>
          <w:lang w:eastAsia="bg-BG"/>
        </w:rPr>
        <w:t xml:space="preserve">редуктазата по време на лечението със симвастатин. Такива инхибитори са итраконазол, кетоконазол, позаконазол, вориконазол, еритромицин, кларитромицин, телитромицин, </w:t>
      </w:r>
      <w:r w:rsidRPr="005F7E5F">
        <w:rPr>
          <w:rFonts w:eastAsia="Times New Roman" w:cs="Arial"/>
          <w:color w:val="000000"/>
          <w:lang w:val="en-US"/>
        </w:rPr>
        <w:t>HIV</w:t>
      </w:r>
      <w:r w:rsidRPr="005F7E5F">
        <w:rPr>
          <w:rFonts w:eastAsia="Times New Roman" w:cs="Arial"/>
          <w:color w:val="000000"/>
          <w:lang w:eastAsia="bg-BG"/>
        </w:rPr>
        <w:t xml:space="preserve">-протеазни инхибитори (напр. </w:t>
      </w:r>
      <w:r w:rsidRPr="005F7E5F">
        <w:rPr>
          <w:rFonts w:eastAsia="Times New Roman" w:cs="Arial"/>
          <w:color w:val="000000"/>
          <w:lang w:eastAsia="bg-BG"/>
        </w:rPr>
        <w:lastRenderedPageBreak/>
        <w:t>нелфинавир), боцепревир, телапревир, нефазодон и лекарствени продукти, съдържащи кобицистат. Едновременно прилагане на итраконазол води до над 10-кратно увеличение на експозицията на симвастатиновата киселина (активния метаболит-бета-хидроксикиселина). Телитромицин предизвиква 11-кратно увеличение на екзпозицията на симвастатиновата киселина.</w:t>
      </w:r>
    </w:p>
    <w:p w14:paraId="0636BEF6" w14:textId="77777777" w:rsidR="005F7E5F" w:rsidRPr="005F7E5F" w:rsidRDefault="005F7E5F" w:rsidP="005F7E5F">
      <w:pPr>
        <w:spacing w:line="240" w:lineRule="auto"/>
        <w:rPr>
          <w:rFonts w:eastAsia="Times New Roman" w:cs="Arial"/>
          <w:color w:val="000000"/>
          <w:lang w:eastAsia="bg-BG"/>
        </w:rPr>
      </w:pPr>
    </w:p>
    <w:p w14:paraId="6E83BC56" w14:textId="66989270" w:rsidR="005F7E5F" w:rsidRPr="005F7E5F" w:rsidRDefault="005F7E5F" w:rsidP="005F7E5F">
      <w:pPr>
        <w:spacing w:line="240" w:lineRule="auto"/>
        <w:rPr>
          <w:rFonts w:eastAsia="Times New Roman" w:cs="Arial"/>
          <w:lang w:eastAsia="bg-BG"/>
        </w:rPr>
      </w:pPr>
      <w:r w:rsidRPr="005F7E5F">
        <w:rPr>
          <w:rFonts w:eastAsia="Times New Roman" w:cs="Arial"/>
          <w:color w:val="000000"/>
          <w:lang w:eastAsia="bg-BG"/>
        </w:rPr>
        <w:t xml:space="preserve">Комбинирането с итраконазол, кетоконазол, позаконазол, вориконазол, </w:t>
      </w:r>
      <w:r w:rsidRPr="005F7E5F">
        <w:rPr>
          <w:rFonts w:eastAsia="Times New Roman" w:cs="Arial"/>
          <w:color w:val="000000"/>
          <w:lang w:val="en-US"/>
        </w:rPr>
        <w:t>HIV</w:t>
      </w:r>
      <w:r w:rsidRPr="005F7E5F">
        <w:rPr>
          <w:rFonts w:eastAsia="Times New Roman" w:cs="Arial"/>
          <w:color w:val="000000"/>
          <w:lang w:eastAsia="bg-BG"/>
        </w:rPr>
        <w:t xml:space="preserve">-протеазни инхибитори (напр. нелфинавир), боцепревир, телапревир, еритромицин, кларитромицин, телитромицин, нефазодон и лекарствени продукти, съдържащи кобицистат е противопоказано, както и с гемфиброзил, циклоспорин и даназол (вж. точка 4.3). В случаите, когато лечението с мощни инхибитори на </w:t>
      </w:r>
      <w:r w:rsidRPr="005F7E5F">
        <w:rPr>
          <w:rFonts w:eastAsia="Times New Roman" w:cs="Arial"/>
          <w:color w:val="000000"/>
          <w:lang w:val="en-US"/>
        </w:rPr>
        <w:t xml:space="preserve">CYP3A4 </w:t>
      </w:r>
      <w:r w:rsidRPr="005F7E5F">
        <w:rPr>
          <w:rFonts w:eastAsia="Times New Roman" w:cs="Arial"/>
          <w:color w:val="000000"/>
          <w:lang w:eastAsia="bg-BG"/>
        </w:rPr>
        <w:t xml:space="preserve">(средства, които повишават </w:t>
      </w:r>
      <w:r w:rsidRPr="005F7E5F">
        <w:rPr>
          <w:rFonts w:eastAsia="Times New Roman" w:cs="Arial"/>
          <w:color w:val="000000"/>
          <w:lang w:val="en-US"/>
        </w:rPr>
        <w:t xml:space="preserve">AUC </w:t>
      </w:r>
      <w:r w:rsidRPr="005F7E5F">
        <w:rPr>
          <w:rFonts w:eastAsia="Times New Roman" w:cs="Arial"/>
          <w:color w:val="000000"/>
          <w:lang w:eastAsia="bg-BG"/>
        </w:rPr>
        <w:t xml:space="preserve">приблизително 5 пъти или повече) не може да се избегне, терапията със симвастатин трябва да се прекрати по време на терапевтичния курс (и да се обмисли употребата на алтернативен статии). Трябва да се подхожда внимателно и при комбинирането на симвастатин с други, по-слаби, инхибитори на </w:t>
      </w:r>
      <w:r w:rsidRPr="005F7E5F">
        <w:rPr>
          <w:rFonts w:eastAsia="Times New Roman" w:cs="Arial"/>
          <w:color w:val="000000"/>
          <w:lang w:val="en-US"/>
        </w:rPr>
        <w:t>CYP3</w:t>
      </w:r>
      <w:r w:rsidRPr="005F7E5F">
        <w:rPr>
          <w:rFonts w:eastAsia="Times New Roman" w:cs="Arial"/>
          <w:color w:val="000000"/>
          <w:lang w:eastAsia="bg-BG"/>
        </w:rPr>
        <w:t>А4: флуконазол, верапамил или дилтиазем (вж. точки 4.2 и 4.4).</w:t>
      </w:r>
    </w:p>
    <w:p w14:paraId="6CBA4F93" w14:textId="77777777" w:rsidR="005F7E5F" w:rsidRPr="005F7E5F" w:rsidRDefault="005F7E5F" w:rsidP="005F7E5F">
      <w:pPr>
        <w:spacing w:line="240" w:lineRule="auto"/>
        <w:rPr>
          <w:rFonts w:eastAsia="Times New Roman" w:cs="Arial"/>
          <w:i/>
          <w:iCs/>
          <w:color w:val="000000"/>
          <w:lang w:eastAsia="bg-BG"/>
        </w:rPr>
      </w:pPr>
    </w:p>
    <w:p w14:paraId="4EDD2AB9" w14:textId="4DC07E4E" w:rsidR="005F7E5F" w:rsidRPr="005F7E5F" w:rsidRDefault="005F7E5F" w:rsidP="005F7E5F">
      <w:pPr>
        <w:spacing w:line="240" w:lineRule="auto"/>
        <w:rPr>
          <w:rFonts w:eastAsia="Times New Roman" w:cs="Arial"/>
          <w:lang w:eastAsia="bg-BG"/>
        </w:rPr>
      </w:pPr>
      <w:r w:rsidRPr="005F7E5F">
        <w:rPr>
          <w:rFonts w:eastAsia="Times New Roman" w:cs="Arial"/>
          <w:i/>
          <w:iCs/>
          <w:color w:val="000000"/>
          <w:lang w:eastAsia="bg-BG"/>
        </w:rPr>
        <w:t>Флуконазол</w:t>
      </w:r>
    </w:p>
    <w:p w14:paraId="15BCE23D" w14:textId="77777777" w:rsidR="005F7E5F" w:rsidRPr="005F7E5F" w:rsidRDefault="005F7E5F" w:rsidP="005F7E5F">
      <w:pPr>
        <w:spacing w:line="240" w:lineRule="auto"/>
        <w:rPr>
          <w:rFonts w:eastAsia="Times New Roman" w:cs="Arial"/>
          <w:lang w:eastAsia="bg-BG"/>
        </w:rPr>
      </w:pPr>
      <w:r w:rsidRPr="005F7E5F">
        <w:rPr>
          <w:rFonts w:eastAsia="Times New Roman" w:cs="Arial"/>
          <w:color w:val="000000"/>
          <w:lang w:eastAsia="bg-BG"/>
        </w:rPr>
        <w:t>Рядко се съобщава за случаи на рабдомиолиза, свързани с едновременното приложение на симвастатин и флуконазол (вж. точка 4,4).</w:t>
      </w:r>
    </w:p>
    <w:p w14:paraId="1C0A2F2C" w14:textId="77777777" w:rsidR="005F7E5F" w:rsidRPr="005F7E5F" w:rsidRDefault="005F7E5F" w:rsidP="005F7E5F">
      <w:pPr>
        <w:spacing w:line="240" w:lineRule="auto"/>
        <w:rPr>
          <w:rFonts w:eastAsia="Times New Roman" w:cs="Arial"/>
          <w:i/>
          <w:iCs/>
          <w:color w:val="000000"/>
          <w:lang w:eastAsia="bg-BG"/>
        </w:rPr>
      </w:pPr>
    </w:p>
    <w:p w14:paraId="0A3FE846" w14:textId="396CBFE3" w:rsidR="005F7E5F" w:rsidRPr="005F7E5F" w:rsidRDefault="005F7E5F" w:rsidP="005F7E5F">
      <w:pPr>
        <w:spacing w:line="240" w:lineRule="auto"/>
        <w:rPr>
          <w:rFonts w:eastAsia="Times New Roman" w:cs="Arial"/>
          <w:lang w:eastAsia="bg-BG"/>
        </w:rPr>
      </w:pPr>
      <w:r w:rsidRPr="005F7E5F">
        <w:rPr>
          <w:rFonts w:eastAsia="Times New Roman" w:cs="Arial"/>
          <w:i/>
          <w:iCs/>
          <w:color w:val="000000"/>
          <w:lang w:eastAsia="bg-BG"/>
        </w:rPr>
        <w:t>Циклоспорин</w:t>
      </w:r>
    </w:p>
    <w:p w14:paraId="50BE7C0D" w14:textId="77777777" w:rsidR="005F7E5F" w:rsidRPr="005F7E5F" w:rsidRDefault="005F7E5F" w:rsidP="005F7E5F">
      <w:pPr>
        <w:spacing w:line="240" w:lineRule="auto"/>
        <w:rPr>
          <w:rFonts w:eastAsia="Times New Roman" w:cs="Arial"/>
          <w:lang w:eastAsia="bg-BG"/>
        </w:rPr>
      </w:pPr>
      <w:r w:rsidRPr="005F7E5F">
        <w:rPr>
          <w:rFonts w:eastAsia="Times New Roman" w:cs="Arial"/>
          <w:color w:val="000000"/>
          <w:lang w:eastAsia="bg-BG"/>
        </w:rPr>
        <w:t xml:space="preserve">Рискът от миопатия/рабдомиолиза се увеличава при едновременното приложение на циклоспорин със симвастатин; поради тази причина употребата с циклоспорин е противопоказана (вж. точки 4.3 и 4.4). Въпреки, че механизмът не е напълно изяснен, употребата на циклоспорин е показала увеличаване на </w:t>
      </w:r>
      <w:r w:rsidRPr="005F7E5F">
        <w:rPr>
          <w:rFonts w:eastAsia="Times New Roman" w:cs="Arial"/>
          <w:color w:val="000000"/>
          <w:lang w:val="en-US"/>
        </w:rPr>
        <w:t xml:space="preserve">AUC </w:t>
      </w:r>
      <w:r w:rsidRPr="005F7E5F">
        <w:rPr>
          <w:rFonts w:eastAsia="Times New Roman" w:cs="Arial"/>
          <w:color w:val="000000"/>
          <w:lang w:eastAsia="bg-BG"/>
        </w:rPr>
        <w:t xml:space="preserve">на инхибиторите на </w:t>
      </w:r>
      <w:r w:rsidRPr="005F7E5F">
        <w:rPr>
          <w:rFonts w:eastAsia="Times New Roman" w:cs="Arial"/>
          <w:color w:val="000000"/>
          <w:lang w:val="en-US"/>
        </w:rPr>
        <w:t xml:space="preserve">HMG-CoA </w:t>
      </w:r>
      <w:r w:rsidRPr="005F7E5F">
        <w:rPr>
          <w:rFonts w:eastAsia="Times New Roman" w:cs="Arial"/>
          <w:color w:val="000000"/>
          <w:lang w:eastAsia="bg-BG"/>
        </w:rPr>
        <w:t xml:space="preserve">редуктазата. Увеличението на </w:t>
      </w:r>
      <w:r w:rsidRPr="005F7E5F">
        <w:rPr>
          <w:rFonts w:eastAsia="Times New Roman" w:cs="Arial"/>
          <w:color w:val="000000"/>
          <w:lang w:val="en-US"/>
        </w:rPr>
        <w:t xml:space="preserve">AUC </w:t>
      </w:r>
      <w:r w:rsidRPr="005F7E5F">
        <w:rPr>
          <w:rFonts w:eastAsia="Times New Roman" w:cs="Arial"/>
          <w:color w:val="000000"/>
          <w:lang w:eastAsia="bg-BG"/>
        </w:rPr>
        <w:t xml:space="preserve">на симвастатинова киселина вероятно частично се дължи на инхибиране на </w:t>
      </w:r>
      <w:r w:rsidRPr="005F7E5F">
        <w:rPr>
          <w:rFonts w:eastAsia="Times New Roman" w:cs="Arial"/>
          <w:color w:val="000000"/>
          <w:lang w:val="en-US"/>
        </w:rPr>
        <w:t xml:space="preserve">CYP3A4 </w:t>
      </w:r>
      <w:r w:rsidRPr="005F7E5F">
        <w:rPr>
          <w:rFonts w:eastAsia="Times New Roman" w:cs="Arial"/>
          <w:color w:val="000000"/>
          <w:lang w:eastAsia="bg-BG"/>
        </w:rPr>
        <w:t>и/или ОАТР1В1.</w:t>
      </w:r>
    </w:p>
    <w:p w14:paraId="2B215954" w14:textId="77777777" w:rsidR="005F7E5F" w:rsidRPr="005F7E5F" w:rsidRDefault="005F7E5F" w:rsidP="005F7E5F">
      <w:pPr>
        <w:spacing w:line="240" w:lineRule="auto"/>
        <w:rPr>
          <w:rFonts w:eastAsia="Times New Roman" w:cs="Arial"/>
          <w:i/>
          <w:iCs/>
          <w:color w:val="000000"/>
          <w:lang w:eastAsia="bg-BG"/>
        </w:rPr>
      </w:pPr>
    </w:p>
    <w:p w14:paraId="36A9E886" w14:textId="1B6FCD3D" w:rsidR="005F7E5F" w:rsidRPr="005F7E5F" w:rsidRDefault="005F7E5F" w:rsidP="005F7E5F">
      <w:pPr>
        <w:spacing w:line="240" w:lineRule="auto"/>
        <w:rPr>
          <w:rFonts w:eastAsia="Times New Roman" w:cs="Arial"/>
          <w:lang w:eastAsia="bg-BG"/>
        </w:rPr>
      </w:pPr>
      <w:r w:rsidRPr="005F7E5F">
        <w:rPr>
          <w:rFonts w:eastAsia="Times New Roman" w:cs="Arial"/>
          <w:i/>
          <w:iCs/>
          <w:color w:val="000000"/>
          <w:lang w:eastAsia="bg-BG"/>
        </w:rPr>
        <w:t>Даназол</w:t>
      </w:r>
    </w:p>
    <w:p w14:paraId="2F4A2270" w14:textId="77777777" w:rsidR="005F7E5F" w:rsidRPr="005F7E5F" w:rsidRDefault="005F7E5F" w:rsidP="005F7E5F">
      <w:pPr>
        <w:spacing w:line="240" w:lineRule="auto"/>
        <w:rPr>
          <w:rFonts w:eastAsia="Times New Roman" w:cs="Arial"/>
          <w:lang w:eastAsia="bg-BG"/>
        </w:rPr>
      </w:pPr>
      <w:r w:rsidRPr="005F7E5F">
        <w:rPr>
          <w:rFonts w:eastAsia="Times New Roman" w:cs="Arial"/>
          <w:color w:val="000000"/>
          <w:lang w:eastAsia="bg-BG"/>
        </w:rPr>
        <w:t>Рискът от миопатия и рабдомиолиза се увеличава при едновременното приложение на даназол със симвастатин; поради тази причина употребата с даназол е противопоказана (вж. точки 4.3 и 4.4).</w:t>
      </w:r>
    </w:p>
    <w:p w14:paraId="5D72E2B3" w14:textId="77777777" w:rsidR="005F7E5F" w:rsidRPr="005F7E5F" w:rsidRDefault="005F7E5F" w:rsidP="005F7E5F">
      <w:pPr>
        <w:spacing w:line="240" w:lineRule="auto"/>
        <w:rPr>
          <w:rFonts w:eastAsia="Times New Roman" w:cs="Arial"/>
          <w:i/>
          <w:iCs/>
          <w:color w:val="000000"/>
          <w:lang w:eastAsia="bg-BG"/>
        </w:rPr>
      </w:pPr>
    </w:p>
    <w:p w14:paraId="4A1800A6" w14:textId="6470FBA5" w:rsidR="005F7E5F" w:rsidRPr="005F7E5F" w:rsidRDefault="005F7E5F" w:rsidP="005F7E5F">
      <w:pPr>
        <w:spacing w:line="240" w:lineRule="auto"/>
        <w:rPr>
          <w:rFonts w:eastAsia="Times New Roman" w:cs="Arial"/>
          <w:lang w:eastAsia="bg-BG"/>
        </w:rPr>
      </w:pPr>
      <w:r w:rsidRPr="005F7E5F">
        <w:rPr>
          <w:rFonts w:eastAsia="Times New Roman" w:cs="Arial"/>
          <w:i/>
          <w:iCs/>
          <w:color w:val="000000"/>
          <w:lang w:eastAsia="bg-BG"/>
        </w:rPr>
        <w:t>Гемфиброзил</w:t>
      </w:r>
    </w:p>
    <w:p w14:paraId="15DDB19B" w14:textId="77777777" w:rsidR="005F7E5F" w:rsidRPr="005F7E5F" w:rsidRDefault="005F7E5F" w:rsidP="005F7E5F">
      <w:pPr>
        <w:spacing w:line="240" w:lineRule="auto"/>
        <w:rPr>
          <w:rFonts w:eastAsia="Times New Roman" w:cs="Arial"/>
          <w:lang w:eastAsia="bg-BG"/>
        </w:rPr>
      </w:pPr>
      <w:r w:rsidRPr="005F7E5F">
        <w:rPr>
          <w:rFonts w:eastAsia="Times New Roman" w:cs="Arial"/>
          <w:color w:val="000000"/>
          <w:lang w:eastAsia="bg-BG"/>
        </w:rPr>
        <w:t xml:space="preserve">Гемфиброзил увеличава </w:t>
      </w:r>
      <w:r w:rsidRPr="005F7E5F">
        <w:rPr>
          <w:rFonts w:eastAsia="Times New Roman" w:cs="Arial"/>
          <w:color w:val="000000"/>
          <w:lang w:val="en-US"/>
        </w:rPr>
        <w:t xml:space="preserve">AUC </w:t>
      </w:r>
      <w:r w:rsidRPr="005F7E5F">
        <w:rPr>
          <w:rFonts w:eastAsia="Times New Roman" w:cs="Arial"/>
          <w:color w:val="000000"/>
          <w:lang w:eastAsia="bg-BG"/>
        </w:rPr>
        <w:t>на симвастатиновата киселина с 1,9 пъти, което вероятно се дължи на инхибирането на пътя на глюкуронирането и/или ОАТР1В1 (вж. точки 4.3 и 4.4).</w:t>
      </w:r>
    </w:p>
    <w:p w14:paraId="74F33DDA" w14:textId="77777777" w:rsidR="005F7E5F" w:rsidRPr="005F7E5F" w:rsidRDefault="005F7E5F" w:rsidP="005F7E5F">
      <w:pPr>
        <w:spacing w:line="240" w:lineRule="auto"/>
        <w:rPr>
          <w:rFonts w:eastAsia="Times New Roman" w:cs="Arial"/>
          <w:lang w:eastAsia="bg-BG"/>
        </w:rPr>
      </w:pPr>
      <w:r w:rsidRPr="005F7E5F">
        <w:rPr>
          <w:rFonts w:eastAsia="Times New Roman" w:cs="Arial"/>
          <w:color w:val="000000"/>
          <w:lang w:eastAsia="bg-BG"/>
        </w:rPr>
        <w:t>Едновременното приложение с гемфиброзил е противопоказано.</w:t>
      </w:r>
    </w:p>
    <w:p w14:paraId="2AB7B394" w14:textId="77777777" w:rsidR="005F7E5F" w:rsidRPr="005F7E5F" w:rsidRDefault="005F7E5F" w:rsidP="005F7E5F">
      <w:pPr>
        <w:spacing w:line="240" w:lineRule="auto"/>
        <w:rPr>
          <w:rFonts w:eastAsia="Times New Roman" w:cs="Arial"/>
          <w:i/>
          <w:iCs/>
          <w:color w:val="000000"/>
          <w:lang w:eastAsia="bg-BG"/>
        </w:rPr>
      </w:pPr>
    </w:p>
    <w:p w14:paraId="3298DD64" w14:textId="07B5DAD3" w:rsidR="005F7E5F" w:rsidRPr="005F7E5F" w:rsidRDefault="005F7E5F" w:rsidP="005F7E5F">
      <w:pPr>
        <w:spacing w:line="240" w:lineRule="auto"/>
        <w:rPr>
          <w:rFonts w:eastAsia="Times New Roman" w:cs="Arial"/>
          <w:lang w:eastAsia="bg-BG"/>
        </w:rPr>
      </w:pPr>
      <w:r w:rsidRPr="005F7E5F">
        <w:rPr>
          <w:rFonts w:eastAsia="Times New Roman" w:cs="Arial"/>
          <w:i/>
          <w:iCs/>
          <w:color w:val="000000"/>
          <w:lang w:eastAsia="bg-BG"/>
        </w:rPr>
        <w:t>Фузидова киселина</w:t>
      </w:r>
    </w:p>
    <w:p w14:paraId="2D720F49" w14:textId="77777777" w:rsidR="005F7E5F" w:rsidRPr="005F7E5F" w:rsidRDefault="005F7E5F" w:rsidP="005F7E5F">
      <w:pPr>
        <w:spacing w:line="240" w:lineRule="auto"/>
        <w:rPr>
          <w:rFonts w:eastAsia="Times New Roman" w:cs="Arial"/>
          <w:lang w:eastAsia="bg-BG"/>
        </w:rPr>
      </w:pPr>
      <w:r w:rsidRPr="005F7E5F">
        <w:rPr>
          <w:rFonts w:eastAsia="Times New Roman" w:cs="Arial"/>
          <w:color w:val="000000"/>
          <w:lang w:eastAsia="bg-BG"/>
        </w:rPr>
        <w:t>Рискът от миопатия, включително рабдомиолиза може да се повиши при едновременното системно приложение на фузидова киселина и статини. Механизмът на това взаимодействие (дали е фармакодинамичен или фармакокинетичен, или и двете) все още не е известен. При пациенти, приемащи тази комбинация, са съобщавани случаи на рабдомиолиза (включително някои с фатален изход). Едновременно приложение на тази комбинация може да причини повишаване на плазмените концентрации на двете лекарства. Ако лечението с фузидова киселина за системна употреба е необходимо, лечението със симвастатин трябва да бъде прекратено по време на лечението с фузидова киселина. Вижте също точка 4.4.</w:t>
      </w:r>
    </w:p>
    <w:p w14:paraId="01AE6A3C" w14:textId="77777777" w:rsidR="005F7E5F" w:rsidRPr="005F7E5F" w:rsidRDefault="005F7E5F" w:rsidP="005F7E5F">
      <w:pPr>
        <w:spacing w:line="240" w:lineRule="auto"/>
        <w:rPr>
          <w:rFonts w:eastAsia="Times New Roman" w:cs="Arial"/>
          <w:i/>
          <w:iCs/>
          <w:color w:val="000000"/>
          <w:lang w:eastAsia="bg-BG"/>
        </w:rPr>
      </w:pPr>
    </w:p>
    <w:p w14:paraId="0BC121B7" w14:textId="428BA10E" w:rsidR="005F7E5F" w:rsidRPr="005F7E5F" w:rsidRDefault="005F7E5F" w:rsidP="005F7E5F">
      <w:pPr>
        <w:spacing w:line="240" w:lineRule="auto"/>
        <w:rPr>
          <w:rFonts w:eastAsia="Times New Roman" w:cs="Arial"/>
          <w:lang w:eastAsia="bg-BG"/>
        </w:rPr>
      </w:pPr>
      <w:r w:rsidRPr="005F7E5F">
        <w:rPr>
          <w:rFonts w:eastAsia="Times New Roman" w:cs="Arial"/>
          <w:i/>
          <w:iCs/>
          <w:color w:val="000000"/>
          <w:lang w:eastAsia="bg-BG"/>
        </w:rPr>
        <w:lastRenderedPageBreak/>
        <w:t>Амиодарон</w:t>
      </w:r>
    </w:p>
    <w:p w14:paraId="561DFF64" w14:textId="77777777" w:rsidR="005F7E5F" w:rsidRPr="005F7E5F" w:rsidRDefault="005F7E5F" w:rsidP="005F7E5F">
      <w:pPr>
        <w:rPr>
          <w:rFonts w:eastAsia="Times New Roman" w:cs="Arial"/>
          <w:lang w:eastAsia="bg-BG"/>
        </w:rPr>
      </w:pPr>
      <w:r w:rsidRPr="005F7E5F">
        <w:rPr>
          <w:rFonts w:eastAsia="Times New Roman" w:cs="Arial"/>
          <w:color w:val="000000"/>
          <w:lang w:eastAsia="bg-BG"/>
        </w:rPr>
        <w:t>Рискът от миопатия и рабдомиолиза се увеличава при едновременно приложение на амиодарон със симвастатин (вж. точка 4.4). В клинично изпитване, за миопатия се съобщава при 6%</w:t>
      </w:r>
      <w:r w:rsidRPr="005F7E5F">
        <w:rPr>
          <w:rFonts w:eastAsia="Times New Roman" w:cs="Arial"/>
          <w:color w:val="000000"/>
          <w:lang w:val="en-US"/>
        </w:rPr>
        <w:t xml:space="preserve"> </w:t>
      </w:r>
      <w:r w:rsidRPr="005F7E5F">
        <w:rPr>
          <w:rFonts w:eastAsia="Times New Roman" w:cs="Arial"/>
          <w:color w:val="000000"/>
          <w:lang w:eastAsia="bg-BG"/>
        </w:rPr>
        <w:t>от</w:t>
      </w:r>
      <w:r w:rsidRPr="005F7E5F">
        <w:rPr>
          <w:rFonts w:eastAsia="Times New Roman" w:cs="Arial"/>
          <w:color w:val="000000"/>
          <w:lang w:val="en-US" w:eastAsia="bg-BG"/>
        </w:rPr>
        <w:t xml:space="preserve"> </w:t>
      </w:r>
      <w:r w:rsidRPr="005F7E5F">
        <w:rPr>
          <w:rFonts w:eastAsia="Times New Roman" w:cs="Arial"/>
          <w:color w:val="000000"/>
          <w:lang w:eastAsia="bg-BG"/>
        </w:rPr>
        <w:t xml:space="preserve">пациентите, приемащи симвастатин 80 </w:t>
      </w:r>
      <w:r w:rsidRPr="005F7E5F">
        <w:rPr>
          <w:rFonts w:eastAsia="Times New Roman" w:cs="Arial"/>
          <w:color w:val="000000"/>
          <w:lang w:val="en-US"/>
        </w:rPr>
        <w:t xml:space="preserve">mg </w:t>
      </w:r>
      <w:r w:rsidRPr="005F7E5F">
        <w:rPr>
          <w:rFonts w:eastAsia="Times New Roman" w:cs="Arial"/>
          <w:color w:val="000000"/>
          <w:lang w:eastAsia="bg-BG"/>
        </w:rPr>
        <w:t xml:space="preserve">и амиодарон. Следователно дозата на симвастатин не трябва да превишава 20 </w:t>
      </w:r>
      <w:r w:rsidRPr="005F7E5F">
        <w:rPr>
          <w:rFonts w:eastAsia="Times New Roman" w:cs="Arial"/>
          <w:color w:val="000000"/>
          <w:lang w:val="en-US"/>
        </w:rPr>
        <w:t xml:space="preserve">mg </w:t>
      </w:r>
      <w:r w:rsidRPr="005F7E5F">
        <w:rPr>
          <w:rFonts w:eastAsia="Times New Roman" w:cs="Arial"/>
          <w:color w:val="000000"/>
          <w:lang w:eastAsia="bg-BG"/>
        </w:rPr>
        <w:t>дневно при пациенти, получаващи съпътстваща терапия с амиодарон.</w:t>
      </w:r>
    </w:p>
    <w:p w14:paraId="2B879447" w14:textId="77777777" w:rsidR="005F7E5F" w:rsidRPr="005F7E5F" w:rsidRDefault="005F7E5F" w:rsidP="005F7E5F">
      <w:pPr>
        <w:spacing w:line="240" w:lineRule="auto"/>
        <w:rPr>
          <w:rFonts w:eastAsia="Times New Roman" w:cs="Arial"/>
          <w:i/>
          <w:iCs/>
          <w:color w:val="000000"/>
          <w:lang w:eastAsia="bg-BG"/>
        </w:rPr>
      </w:pPr>
    </w:p>
    <w:p w14:paraId="57DB841B" w14:textId="5CB51F88" w:rsidR="005F7E5F" w:rsidRPr="005F7E5F" w:rsidRDefault="005F7E5F" w:rsidP="005F7E5F">
      <w:pPr>
        <w:spacing w:line="240" w:lineRule="auto"/>
        <w:rPr>
          <w:rFonts w:eastAsia="Times New Roman" w:cs="Arial"/>
          <w:i/>
          <w:iCs/>
          <w:color w:val="000000"/>
          <w:lang w:eastAsia="bg-BG"/>
        </w:rPr>
      </w:pPr>
      <w:r w:rsidRPr="005F7E5F">
        <w:rPr>
          <w:rFonts w:eastAsia="Times New Roman" w:cs="Arial"/>
          <w:i/>
          <w:iCs/>
          <w:color w:val="000000"/>
          <w:lang w:eastAsia="bg-BG"/>
        </w:rPr>
        <w:t>Калциеви антагонисти</w:t>
      </w:r>
    </w:p>
    <w:p w14:paraId="18CBC79A" w14:textId="77777777" w:rsidR="005F7E5F" w:rsidRPr="005F7E5F" w:rsidRDefault="005F7E5F" w:rsidP="005F7E5F">
      <w:pPr>
        <w:spacing w:line="240" w:lineRule="auto"/>
        <w:rPr>
          <w:rFonts w:eastAsia="Times New Roman" w:cs="Arial"/>
          <w:lang w:eastAsia="bg-BG"/>
        </w:rPr>
      </w:pPr>
    </w:p>
    <w:p w14:paraId="1B67E56A" w14:textId="77777777" w:rsidR="005F7E5F" w:rsidRPr="005F7E5F" w:rsidRDefault="005F7E5F" w:rsidP="005F7E5F">
      <w:pPr>
        <w:pStyle w:val="ListParagraph"/>
        <w:numPr>
          <w:ilvl w:val="0"/>
          <w:numId w:val="37"/>
        </w:numPr>
        <w:spacing w:line="240" w:lineRule="auto"/>
        <w:rPr>
          <w:rFonts w:eastAsia="Times New Roman" w:cs="Arial"/>
          <w:color w:val="000000"/>
          <w:lang w:eastAsia="bg-BG"/>
        </w:rPr>
      </w:pPr>
      <w:r w:rsidRPr="005F7E5F">
        <w:rPr>
          <w:rFonts w:eastAsia="Times New Roman" w:cs="Arial"/>
          <w:color w:val="000000"/>
          <w:lang w:eastAsia="bg-BG"/>
        </w:rPr>
        <w:t>Верапамил</w:t>
      </w:r>
    </w:p>
    <w:p w14:paraId="7BD8D2AB" w14:textId="77777777" w:rsidR="005F7E5F" w:rsidRPr="005F7E5F" w:rsidRDefault="005F7E5F" w:rsidP="005F7E5F">
      <w:pPr>
        <w:spacing w:line="240" w:lineRule="auto"/>
        <w:rPr>
          <w:rFonts w:eastAsia="Times New Roman" w:cs="Arial"/>
          <w:lang w:eastAsia="bg-BG"/>
        </w:rPr>
      </w:pPr>
      <w:r w:rsidRPr="005F7E5F">
        <w:rPr>
          <w:rFonts w:eastAsia="Times New Roman" w:cs="Arial"/>
          <w:color w:val="000000"/>
          <w:lang w:eastAsia="bg-BG"/>
        </w:rPr>
        <w:t xml:space="preserve">Рискът от миопатия и рабдомиолиза се повишава при едновременно приложение на верапамил със симвастатин 40 </w:t>
      </w:r>
      <w:r w:rsidRPr="005F7E5F">
        <w:rPr>
          <w:rFonts w:eastAsia="Times New Roman" w:cs="Arial"/>
          <w:color w:val="000000"/>
          <w:lang w:val="en-US"/>
        </w:rPr>
        <w:t xml:space="preserve">mg </w:t>
      </w:r>
      <w:r w:rsidRPr="005F7E5F">
        <w:rPr>
          <w:rFonts w:eastAsia="Times New Roman" w:cs="Arial"/>
          <w:color w:val="000000"/>
          <w:lang w:eastAsia="bg-BG"/>
        </w:rPr>
        <w:t xml:space="preserve">и 80 </w:t>
      </w:r>
      <w:r w:rsidRPr="005F7E5F">
        <w:rPr>
          <w:rFonts w:eastAsia="Times New Roman" w:cs="Arial"/>
          <w:color w:val="000000"/>
          <w:lang w:val="en-US"/>
        </w:rPr>
        <w:t xml:space="preserve">mg </w:t>
      </w:r>
      <w:r w:rsidRPr="005F7E5F">
        <w:rPr>
          <w:rFonts w:eastAsia="Times New Roman" w:cs="Arial"/>
          <w:color w:val="000000"/>
          <w:lang w:eastAsia="bg-BG"/>
        </w:rPr>
        <w:t xml:space="preserve">(вж. точка 4.4). В едно фармакокинетично проучване, едновременното приложение на симвастатин с верапамил е предизвикало 2,3-кратно увеличение на експозицията на симвастатинова киселина, което вероятно се дължи частично на ихибирането на </w:t>
      </w:r>
      <w:r w:rsidRPr="005F7E5F">
        <w:rPr>
          <w:rFonts w:eastAsia="Times New Roman" w:cs="Arial"/>
          <w:color w:val="000000"/>
          <w:lang w:val="en-US"/>
        </w:rPr>
        <w:t>CYP3A4.</w:t>
      </w:r>
    </w:p>
    <w:p w14:paraId="4816EF0B" w14:textId="514109A4" w:rsidR="005F7E5F" w:rsidRPr="005F7E5F" w:rsidRDefault="005F7E5F" w:rsidP="005F7E5F">
      <w:pPr>
        <w:spacing w:line="240" w:lineRule="auto"/>
        <w:rPr>
          <w:rFonts w:eastAsia="Times New Roman" w:cs="Arial"/>
          <w:color w:val="000000"/>
          <w:lang w:eastAsia="bg-BG"/>
        </w:rPr>
      </w:pPr>
      <w:r w:rsidRPr="005F7E5F">
        <w:rPr>
          <w:rFonts w:eastAsia="Times New Roman" w:cs="Arial"/>
          <w:color w:val="000000"/>
          <w:lang w:eastAsia="bg-BG"/>
        </w:rPr>
        <w:t xml:space="preserve">Поради тази причина, дозата на симвастатин не трябва да надвишава 20 </w:t>
      </w:r>
      <w:r w:rsidRPr="005F7E5F">
        <w:rPr>
          <w:rFonts w:eastAsia="Times New Roman" w:cs="Arial"/>
          <w:color w:val="000000"/>
          <w:lang w:val="en-US"/>
        </w:rPr>
        <w:t xml:space="preserve">mg </w:t>
      </w:r>
      <w:r w:rsidRPr="005F7E5F">
        <w:rPr>
          <w:rFonts w:eastAsia="Times New Roman" w:cs="Arial"/>
          <w:color w:val="000000"/>
          <w:lang w:eastAsia="bg-BG"/>
        </w:rPr>
        <w:t>дневно при пациенти, които получават съпровождаща терапия с верапамил.</w:t>
      </w:r>
    </w:p>
    <w:p w14:paraId="471BA7DB" w14:textId="77777777" w:rsidR="005F7E5F" w:rsidRPr="005F7E5F" w:rsidRDefault="005F7E5F" w:rsidP="005F7E5F">
      <w:pPr>
        <w:spacing w:line="240" w:lineRule="auto"/>
        <w:rPr>
          <w:rFonts w:eastAsia="Times New Roman" w:cs="Arial"/>
          <w:lang w:eastAsia="bg-BG"/>
        </w:rPr>
      </w:pPr>
    </w:p>
    <w:p w14:paraId="32DD5BD4" w14:textId="77777777" w:rsidR="005F7E5F" w:rsidRPr="005F7E5F" w:rsidRDefault="005F7E5F" w:rsidP="005F7E5F">
      <w:pPr>
        <w:pStyle w:val="ListParagraph"/>
        <w:numPr>
          <w:ilvl w:val="0"/>
          <w:numId w:val="37"/>
        </w:numPr>
        <w:spacing w:line="240" w:lineRule="auto"/>
        <w:rPr>
          <w:rFonts w:eastAsia="Times New Roman" w:cs="Arial"/>
          <w:color w:val="000000"/>
          <w:lang w:eastAsia="bg-BG"/>
        </w:rPr>
      </w:pPr>
      <w:r w:rsidRPr="005F7E5F">
        <w:rPr>
          <w:rFonts w:eastAsia="Times New Roman" w:cs="Arial"/>
          <w:color w:val="000000"/>
          <w:lang w:eastAsia="bg-BG"/>
        </w:rPr>
        <w:t>Дилтиазем</w:t>
      </w:r>
    </w:p>
    <w:p w14:paraId="71189DE4" w14:textId="7051833C" w:rsidR="005F7E5F" w:rsidRPr="005F7E5F" w:rsidRDefault="005F7E5F" w:rsidP="005F7E5F">
      <w:pPr>
        <w:spacing w:line="240" w:lineRule="auto"/>
        <w:rPr>
          <w:rFonts w:eastAsia="Times New Roman" w:cs="Arial"/>
          <w:color w:val="000000"/>
          <w:lang w:eastAsia="bg-BG"/>
        </w:rPr>
      </w:pPr>
      <w:r w:rsidRPr="005F7E5F">
        <w:rPr>
          <w:rFonts w:eastAsia="Times New Roman" w:cs="Arial"/>
          <w:color w:val="000000"/>
          <w:lang w:eastAsia="bg-BG"/>
        </w:rPr>
        <w:t xml:space="preserve">Рискът от миопатия и рабдомиолиза се повишава при едновременно приложение на дилтиазем и симвастатин 80 </w:t>
      </w:r>
      <w:r w:rsidRPr="005F7E5F">
        <w:rPr>
          <w:rFonts w:eastAsia="Times New Roman" w:cs="Arial"/>
          <w:color w:val="000000"/>
          <w:lang w:val="en-US"/>
        </w:rPr>
        <w:t xml:space="preserve">mg </w:t>
      </w:r>
      <w:r w:rsidRPr="005F7E5F">
        <w:rPr>
          <w:rFonts w:eastAsia="Times New Roman" w:cs="Arial"/>
          <w:color w:val="000000"/>
          <w:lang w:eastAsia="bg-BG"/>
        </w:rPr>
        <w:t xml:space="preserve">(вж. точка 4.4). В едно фармакокинетично проучване, едновременното приложение на дилтиазем със симвастатин е довело до 2,7-кратно повишение на експозицията на симвастатинова киселина, което вероятно се дължи на инхибирането на </w:t>
      </w:r>
      <w:r w:rsidRPr="005F7E5F">
        <w:rPr>
          <w:rFonts w:eastAsia="Times New Roman" w:cs="Arial"/>
          <w:color w:val="000000"/>
          <w:lang w:val="en-US"/>
        </w:rPr>
        <w:t xml:space="preserve">CYP3A4. </w:t>
      </w:r>
      <w:r w:rsidRPr="005F7E5F">
        <w:rPr>
          <w:rFonts w:eastAsia="Times New Roman" w:cs="Arial"/>
          <w:color w:val="000000"/>
          <w:lang w:eastAsia="bg-BG"/>
        </w:rPr>
        <w:t xml:space="preserve">Затова дозата на симвастатин не трябва да надхвърля 20 </w:t>
      </w:r>
      <w:r w:rsidRPr="005F7E5F">
        <w:rPr>
          <w:rFonts w:eastAsia="Times New Roman" w:cs="Arial"/>
          <w:color w:val="000000"/>
          <w:lang w:val="en-US"/>
        </w:rPr>
        <w:t xml:space="preserve">mg </w:t>
      </w:r>
      <w:r w:rsidRPr="005F7E5F">
        <w:rPr>
          <w:rFonts w:eastAsia="Times New Roman" w:cs="Arial"/>
          <w:color w:val="000000"/>
          <w:lang w:eastAsia="bg-BG"/>
        </w:rPr>
        <w:t>дневно при пациенти на едновременно лечение с дилтиазем.</w:t>
      </w:r>
    </w:p>
    <w:p w14:paraId="02249A53" w14:textId="77777777" w:rsidR="005F7E5F" w:rsidRPr="005F7E5F" w:rsidRDefault="005F7E5F" w:rsidP="005F7E5F">
      <w:pPr>
        <w:spacing w:line="240" w:lineRule="auto"/>
        <w:rPr>
          <w:rFonts w:eastAsia="Times New Roman" w:cs="Arial"/>
          <w:lang w:eastAsia="bg-BG"/>
        </w:rPr>
      </w:pPr>
    </w:p>
    <w:p w14:paraId="586E37C7" w14:textId="77777777" w:rsidR="005F7E5F" w:rsidRPr="005F7E5F" w:rsidRDefault="005F7E5F" w:rsidP="005F7E5F">
      <w:pPr>
        <w:pStyle w:val="ListParagraph"/>
        <w:numPr>
          <w:ilvl w:val="0"/>
          <w:numId w:val="37"/>
        </w:numPr>
        <w:spacing w:line="240" w:lineRule="auto"/>
        <w:rPr>
          <w:rFonts w:eastAsia="Times New Roman" w:cs="Arial"/>
          <w:color w:val="000000"/>
          <w:lang w:eastAsia="bg-BG"/>
        </w:rPr>
      </w:pPr>
      <w:r w:rsidRPr="005F7E5F">
        <w:rPr>
          <w:rFonts w:eastAsia="Times New Roman" w:cs="Arial"/>
          <w:color w:val="000000"/>
          <w:lang w:eastAsia="bg-BG"/>
        </w:rPr>
        <w:t>Амлодипин</w:t>
      </w:r>
    </w:p>
    <w:p w14:paraId="175EA231" w14:textId="77777777" w:rsidR="005F7E5F" w:rsidRPr="005F7E5F" w:rsidRDefault="005F7E5F" w:rsidP="005F7E5F">
      <w:pPr>
        <w:spacing w:line="240" w:lineRule="auto"/>
        <w:rPr>
          <w:rFonts w:eastAsia="Times New Roman" w:cs="Arial"/>
          <w:lang w:eastAsia="bg-BG"/>
        </w:rPr>
      </w:pPr>
      <w:r w:rsidRPr="005F7E5F">
        <w:rPr>
          <w:rFonts w:eastAsia="Times New Roman" w:cs="Arial"/>
          <w:color w:val="000000"/>
          <w:lang w:eastAsia="bg-BG"/>
        </w:rPr>
        <w:t>Пациенти на амлодипин, лекувани едновременно със симвастатин, са с повишен риск от миопатия.</w:t>
      </w:r>
    </w:p>
    <w:p w14:paraId="2480DD90" w14:textId="77777777" w:rsidR="005F7E5F" w:rsidRPr="005F7E5F" w:rsidRDefault="005F7E5F" w:rsidP="005F7E5F">
      <w:pPr>
        <w:spacing w:line="240" w:lineRule="auto"/>
        <w:rPr>
          <w:rFonts w:eastAsia="Times New Roman" w:cs="Arial"/>
          <w:lang w:eastAsia="bg-BG"/>
        </w:rPr>
      </w:pPr>
      <w:r w:rsidRPr="005F7E5F">
        <w:rPr>
          <w:rFonts w:eastAsia="Times New Roman" w:cs="Arial"/>
          <w:color w:val="000000"/>
          <w:lang w:eastAsia="bg-BG"/>
        </w:rPr>
        <w:t xml:space="preserve">В едно фармакокинетично проучване едновременното приложение на амлодипин със симвастатин е довело до 1,6-кратно повишение в експозицията на симвастатинова киселина. Следователно дозата на симвастатин не трябва да надвишава 20 </w:t>
      </w:r>
      <w:r w:rsidRPr="005F7E5F">
        <w:rPr>
          <w:rFonts w:eastAsia="Times New Roman" w:cs="Arial"/>
          <w:color w:val="000000"/>
          <w:lang w:val="en-US"/>
        </w:rPr>
        <w:t xml:space="preserve">mg </w:t>
      </w:r>
      <w:r w:rsidRPr="005F7E5F">
        <w:rPr>
          <w:rFonts w:eastAsia="Times New Roman" w:cs="Arial"/>
          <w:color w:val="000000"/>
          <w:lang w:eastAsia="bg-BG"/>
        </w:rPr>
        <w:t>дневно при пациенти на едновременно лечение с амлодипин.</w:t>
      </w:r>
    </w:p>
    <w:p w14:paraId="0F1694A7" w14:textId="77777777" w:rsidR="005F7E5F" w:rsidRPr="005F7E5F" w:rsidRDefault="005F7E5F" w:rsidP="005F7E5F">
      <w:pPr>
        <w:spacing w:line="240" w:lineRule="auto"/>
        <w:rPr>
          <w:rFonts w:eastAsia="Times New Roman" w:cs="Arial"/>
          <w:i/>
          <w:iCs/>
          <w:color w:val="000000"/>
          <w:lang w:eastAsia="bg-BG"/>
        </w:rPr>
      </w:pPr>
    </w:p>
    <w:p w14:paraId="7EC093C8" w14:textId="6D591F67" w:rsidR="005F7E5F" w:rsidRPr="005F7E5F" w:rsidRDefault="005F7E5F" w:rsidP="005F7E5F">
      <w:pPr>
        <w:spacing w:line="240" w:lineRule="auto"/>
        <w:rPr>
          <w:rFonts w:eastAsia="Times New Roman" w:cs="Arial"/>
          <w:lang w:eastAsia="bg-BG"/>
        </w:rPr>
      </w:pPr>
      <w:r w:rsidRPr="005F7E5F">
        <w:rPr>
          <w:rFonts w:eastAsia="Times New Roman" w:cs="Arial"/>
          <w:i/>
          <w:iCs/>
          <w:color w:val="000000"/>
          <w:lang w:eastAsia="bg-BG"/>
        </w:rPr>
        <w:t>Ломитапид</w:t>
      </w:r>
    </w:p>
    <w:p w14:paraId="3CF261E2" w14:textId="77777777" w:rsidR="005F7E5F" w:rsidRPr="005F7E5F" w:rsidRDefault="005F7E5F" w:rsidP="005F7E5F">
      <w:pPr>
        <w:spacing w:line="240" w:lineRule="auto"/>
        <w:rPr>
          <w:rFonts w:eastAsia="Times New Roman" w:cs="Arial"/>
          <w:lang w:eastAsia="bg-BG"/>
        </w:rPr>
      </w:pPr>
      <w:r w:rsidRPr="005F7E5F">
        <w:rPr>
          <w:rFonts w:eastAsia="Times New Roman" w:cs="Arial"/>
          <w:color w:val="000000"/>
          <w:lang w:eastAsia="bg-BG"/>
        </w:rPr>
        <w:t xml:space="preserve">При едновременно приложение на ломитапид със симвастатин, рискът от миопатия и рабдомиолиза може да се повиши (вж. точки 4.3 и 4.4). Следователно, при пациенти с ХоФХ, дозата на симвастатин не трябва да надвишава 40 </w:t>
      </w:r>
      <w:r w:rsidRPr="005F7E5F">
        <w:rPr>
          <w:rFonts w:eastAsia="Times New Roman" w:cs="Arial"/>
          <w:color w:val="000000"/>
          <w:lang w:val="en-US"/>
        </w:rPr>
        <w:t xml:space="preserve">mg </w:t>
      </w:r>
      <w:r w:rsidRPr="005F7E5F">
        <w:rPr>
          <w:rFonts w:eastAsia="Times New Roman" w:cs="Arial"/>
          <w:color w:val="000000"/>
          <w:lang w:eastAsia="bg-BG"/>
        </w:rPr>
        <w:t>дневно при съпътстващи терапия с ломитапид.</w:t>
      </w:r>
    </w:p>
    <w:p w14:paraId="49D0E11E" w14:textId="77777777" w:rsidR="005F7E5F" w:rsidRPr="005F7E5F" w:rsidRDefault="005F7E5F" w:rsidP="005F7E5F">
      <w:pPr>
        <w:spacing w:line="240" w:lineRule="auto"/>
        <w:rPr>
          <w:rFonts w:eastAsia="Times New Roman" w:cs="Arial"/>
          <w:i/>
          <w:iCs/>
          <w:color w:val="000000"/>
          <w:lang w:eastAsia="bg-BG"/>
        </w:rPr>
      </w:pPr>
    </w:p>
    <w:p w14:paraId="39A1E941" w14:textId="17484021" w:rsidR="005F7E5F" w:rsidRPr="005F7E5F" w:rsidRDefault="005F7E5F" w:rsidP="005F7E5F">
      <w:pPr>
        <w:spacing w:line="240" w:lineRule="auto"/>
        <w:rPr>
          <w:rFonts w:eastAsia="Times New Roman" w:cs="Arial"/>
          <w:lang w:eastAsia="bg-BG"/>
        </w:rPr>
      </w:pPr>
      <w:r w:rsidRPr="005F7E5F">
        <w:rPr>
          <w:rFonts w:eastAsia="Times New Roman" w:cs="Arial"/>
          <w:i/>
          <w:iCs/>
          <w:color w:val="000000"/>
          <w:lang w:eastAsia="bg-BG"/>
        </w:rPr>
        <w:t xml:space="preserve">Умерено мощни инхибитори на </w:t>
      </w:r>
      <w:r w:rsidRPr="005F7E5F">
        <w:rPr>
          <w:rFonts w:eastAsia="Times New Roman" w:cs="Arial"/>
          <w:i/>
          <w:iCs/>
          <w:color w:val="000000"/>
          <w:lang w:val="en-US"/>
        </w:rPr>
        <w:t>CYP3A4</w:t>
      </w:r>
    </w:p>
    <w:p w14:paraId="137E2767" w14:textId="77777777" w:rsidR="005F7E5F" w:rsidRPr="005F7E5F" w:rsidRDefault="005F7E5F" w:rsidP="005F7E5F">
      <w:pPr>
        <w:spacing w:line="240" w:lineRule="auto"/>
        <w:rPr>
          <w:rFonts w:eastAsia="Times New Roman" w:cs="Arial"/>
          <w:lang w:eastAsia="bg-BG"/>
        </w:rPr>
      </w:pPr>
      <w:r w:rsidRPr="005F7E5F">
        <w:rPr>
          <w:rFonts w:eastAsia="Times New Roman" w:cs="Arial"/>
          <w:color w:val="000000"/>
          <w:lang w:eastAsia="bg-BG"/>
        </w:rPr>
        <w:t xml:space="preserve">Пациентите, приемащи едновременно със симвастатин други лекарствени продукти, опредляни като умерено мощни инхибитори на </w:t>
      </w:r>
      <w:r w:rsidRPr="005F7E5F">
        <w:rPr>
          <w:rFonts w:eastAsia="Times New Roman" w:cs="Arial"/>
          <w:color w:val="000000"/>
          <w:lang w:val="en-US"/>
        </w:rPr>
        <w:t xml:space="preserve">CYP3A4, </w:t>
      </w:r>
      <w:r w:rsidRPr="005F7E5F">
        <w:rPr>
          <w:rFonts w:eastAsia="Times New Roman" w:cs="Arial"/>
          <w:color w:val="000000"/>
          <w:lang w:eastAsia="bg-BG"/>
        </w:rPr>
        <w:t>особено ако са на висока доза симвастатин, може да са с повишен риск от миопатия (вж. точка 4.4).</w:t>
      </w:r>
    </w:p>
    <w:p w14:paraId="3EA9E879" w14:textId="77777777" w:rsidR="005F7E5F" w:rsidRPr="005F7E5F" w:rsidRDefault="005F7E5F" w:rsidP="005F7E5F">
      <w:pPr>
        <w:spacing w:line="240" w:lineRule="auto"/>
        <w:rPr>
          <w:rFonts w:eastAsia="Times New Roman" w:cs="Arial"/>
          <w:i/>
          <w:iCs/>
          <w:color w:val="000000"/>
          <w:lang w:eastAsia="bg-BG"/>
        </w:rPr>
      </w:pPr>
    </w:p>
    <w:p w14:paraId="69BA4427" w14:textId="4B27530D" w:rsidR="005F7E5F" w:rsidRPr="005F7E5F" w:rsidRDefault="005F7E5F" w:rsidP="005F7E5F">
      <w:pPr>
        <w:spacing w:line="240" w:lineRule="auto"/>
        <w:rPr>
          <w:rFonts w:eastAsia="Times New Roman" w:cs="Arial"/>
          <w:lang w:eastAsia="bg-BG"/>
        </w:rPr>
      </w:pPr>
      <w:r w:rsidRPr="005F7E5F">
        <w:rPr>
          <w:rFonts w:eastAsia="Times New Roman" w:cs="Arial"/>
          <w:i/>
          <w:iCs/>
          <w:color w:val="000000"/>
          <w:lang w:eastAsia="bg-BG"/>
        </w:rPr>
        <w:t>Инхибитори на транспортния протеин ОАТР1В1</w:t>
      </w:r>
    </w:p>
    <w:p w14:paraId="29D56CAD" w14:textId="77777777" w:rsidR="005F7E5F" w:rsidRPr="005F7E5F" w:rsidRDefault="005F7E5F" w:rsidP="005F7E5F">
      <w:pPr>
        <w:spacing w:line="240" w:lineRule="auto"/>
        <w:rPr>
          <w:rFonts w:eastAsia="Times New Roman" w:cs="Arial"/>
          <w:lang w:eastAsia="bg-BG"/>
        </w:rPr>
      </w:pPr>
      <w:r w:rsidRPr="005F7E5F">
        <w:rPr>
          <w:rFonts w:eastAsia="Times New Roman" w:cs="Arial"/>
          <w:color w:val="000000"/>
          <w:lang w:eastAsia="bg-BG"/>
        </w:rPr>
        <w:t xml:space="preserve">Симвастатиновата киселина е субстрат на транспортния протеин ОАТР1В1. Едновременното приложение на лекарствени продукти, които са инхибитори на транспортния протеин ОАТР1В1, може да доведе до повишаване на плазмените </w:t>
      </w:r>
      <w:r w:rsidRPr="005F7E5F">
        <w:rPr>
          <w:rFonts w:eastAsia="Times New Roman" w:cs="Arial"/>
          <w:color w:val="000000"/>
          <w:lang w:eastAsia="bg-BG"/>
        </w:rPr>
        <w:lastRenderedPageBreak/>
        <w:t>концентрации на симвастатиновата киселина и повишен риск от миопатия (вж. точки 4.3 и 4.4).</w:t>
      </w:r>
    </w:p>
    <w:p w14:paraId="1BA0F677" w14:textId="77777777" w:rsidR="005F7E5F" w:rsidRPr="005F7E5F" w:rsidRDefault="005F7E5F" w:rsidP="005F7E5F">
      <w:pPr>
        <w:spacing w:line="240" w:lineRule="auto"/>
        <w:rPr>
          <w:rFonts w:eastAsia="Times New Roman" w:cs="Arial"/>
          <w:i/>
          <w:iCs/>
          <w:color w:val="000000"/>
          <w:lang w:eastAsia="bg-BG"/>
        </w:rPr>
      </w:pPr>
    </w:p>
    <w:p w14:paraId="7BB700E3" w14:textId="0C650C99" w:rsidR="005F7E5F" w:rsidRPr="005F7E5F" w:rsidRDefault="005F7E5F" w:rsidP="005F7E5F">
      <w:pPr>
        <w:spacing w:line="240" w:lineRule="auto"/>
        <w:rPr>
          <w:rFonts w:eastAsia="Times New Roman" w:cs="Arial"/>
          <w:lang w:eastAsia="bg-BG"/>
        </w:rPr>
      </w:pPr>
      <w:r w:rsidRPr="005F7E5F">
        <w:rPr>
          <w:rFonts w:eastAsia="Times New Roman" w:cs="Arial"/>
          <w:i/>
          <w:iCs/>
          <w:color w:val="000000"/>
          <w:lang w:eastAsia="bg-BG"/>
        </w:rPr>
        <w:t xml:space="preserve">Инхибитори на протеина на резистентност на рака на гърдата </w:t>
      </w:r>
      <w:r w:rsidRPr="005F7E5F">
        <w:rPr>
          <w:rFonts w:eastAsia="Times New Roman" w:cs="Arial"/>
          <w:i/>
          <w:iCs/>
          <w:color w:val="000000"/>
          <w:lang w:val="en-US"/>
        </w:rPr>
        <w:t>(BCRP)</w:t>
      </w:r>
    </w:p>
    <w:p w14:paraId="36A9EEB7" w14:textId="77777777" w:rsidR="005F7E5F" w:rsidRPr="005F7E5F" w:rsidRDefault="005F7E5F" w:rsidP="005F7E5F">
      <w:pPr>
        <w:spacing w:line="240" w:lineRule="auto"/>
        <w:rPr>
          <w:rFonts w:eastAsia="Times New Roman" w:cs="Arial"/>
          <w:lang w:eastAsia="bg-BG"/>
        </w:rPr>
      </w:pPr>
      <w:r w:rsidRPr="005F7E5F">
        <w:rPr>
          <w:rFonts w:eastAsia="Times New Roman" w:cs="Arial"/>
          <w:color w:val="000000"/>
          <w:lang w:eastAsia="bg-BG"/>
        </w:rPr>
        <w:t xml:space="preserve">Едновременно приложение на лекарствени продукти, които са инхибитори на </w:t>
      </w:r>
      <w:r w:rsidRPr="005F7E5F">
        <w:rPr>
          <w:rFonts w:eastAsia="Times New Roman" w:cs="Arial"/>
          <w:color w:val="000000"/>
          <w:lang w:val="en-US"/>
        </w:rPr>
        <w:t xml:space="preserve">BCRP, </w:t>
      </w:r>
      <w:r w:rsidRPr="005F7E5F">
        <w:rPr>
          <w:rFonts w:eastAsia="Times New Roman" w:cs="Arial"/>
          <w:color w:val="000000"/>
          <w:lang w:eastAsia="bg-BG"/>
        </w:rPr>
        <w:t>включително продукти съдържащи елбасвир или гразопревир може да доведе до повишени плазмени концентрации на симвастатин и повишен риск от миопатия (вж. точки 4.2 и 4.2).</w:t>
      </w:r>
    </w:p>
    <w:p w14:paraId="130BEA47" w14:textId="77777777" w:rsidR="005F7E5F" w:rsidRPr="005F7E5F" w:rsidRDefault="005F7E5F" w:rsidP="005F7E5F">
      <w:pPr>
        <w:spacing w:line="240" w:lineRule="auto"/>
        <w:rPr>
          <w:rFonts w:eastAsia="Times New Roman" w:cs="Arial"/>
          <w:i/>
          <w:iCs/>
          <w:color w:val="000000"/>
          <w:lang w:eastAsia="bg-BG"/>
        </w:rPr>
      </w:pPr>
    </w:p>
    <w:p w14:paraId="3037ABD6" w14:textId="091C0581" w:rsidR="005F7E5F" w:rsidRPr="005F7E5F" w:rsidRDefault="005F7E5F" w:rsidP="005F7E5F">
      <w:pPr>
        <w:spacing w:line="240" w:lineRule="auto"/>
        <w:rPr>
          <w:rFonts w:eastAsia="Times New Roman" w:cs="Arial"/>
          <w:lang w:eastAsia="bg-BG"/>
        </w:rPr>
      </w:pPr>
      <w:r w:rsidRPr="005F7E5F">
        <w:rPr>
          <w:rFonts w:eastAsia="Times New Roman" w:cs="Arial"/>
          <w:i/>
          <w:iCs/>
          <w:color w:val="000000"/>
          <w:lang w:eastAsia="bg-BG"/>
        </w:rPr>
        <w:t>Ниацин (никотинова киселина)</w:t>
      </w:r>
    </w:p>
    <w:p w14:paraId="5D3377FB" w14:textId="77777777" w:rsidR="005F7E5F" w:rsidRPr="005F7E5F" w:rsidRDefault="005F7E5F" w:rsidP="005F7E5F">
      <w:pPr>
        <w:rPr>
          <w:rFonts w:eastAsia="Times New Roman" w:cs="Arial"/>
          <w:sz w:val="28"/>
          <w:szCs w:val="24"/>
          <w:lang w:eastAsia="bg-BG"/>
        </w:rPr>
      </w:pPr>
      <w:r w:rsidRPr="005F7E5F">
        <w:rPr>
          <w:rFonts w:eastAsia="Times New Roman" w:cs="Arial"/>
          <w:color w:val="000000"/>
          <w:lang w:eastAsia="bg-BG"/>
        </w:rPr>
        <w:t xml:space="preserve">Рядко са съобщавани случаи на миопатия/рабдомиолиза, свързани с едновременното приложение на симвастатин с липидомодифициращи дози (≥ 1 </w:t>
      </w:r>
      <w:r w:rsidRPr="005F7E5F">
        <w:rPr>
          <w:rFonts w:eastAsia="Times New Roman" w:cs="Arial"/>
          <w:color w:val="000000"/>
          <w:lang w:val="en-US"/>
        </w:rPr>
        <w:t xml:space="preserve">g </w:t>
      </w:r>
      <w:r w:rsidRPr="005F7E5F">
        <w:rPr>
          <w:rFonts w:eastAsia="Times New Roman" w:cs="Arial"/>
          <w:color w:val="000000"/>
          <w:lang w:eastAsia="bg-BG"/>
        </w:rPr>
        <w:t>дневно) и ниацин (никотинова киселина).</w:t>
      </w:r>
      <w:r w:rsidRPr="005F7E5F">
        <w:rPr>
          <w:rFonts w:eastAsia="Times New Roman" w:cs="Arial"/>
          <w:color w:val="000000"/>
          <w:lang w:val="en-US"/>
        </w:rPr>
        <w:t xml:space="preserve"> </w:t>
      </w:r>
      <w:r w:rsidRPr="005F7E5F">
        <w:rPr>
          <w:rFonts w:eastAsia="Times New Roman" w:cs="Arial"/>
          <w:color w:val="000000"/>
          <w:lang w:eastAsia="bg-BG"/>
        </w:rPr>
        <w:t>В едно фармакокинетично проучване едновременното приложение на еднократна доза от 2</w:t>
      </w:r>
      <w:r w:rsidRPr="005F7E5F">
        <w:rPr>
          <w:rFonts w:eastAsia="Times New Roman" w:cs="Arial"/>
          <w:color w:val="000000"/>
          <w:lang w:val="en-US"/>
        </w:rPr>
        <w:t xml:space="preserve"> g</w:t>
      </w:r>
      <w:r>
        <w:rPr>
          <w:rFonts w:eastAsia="Times New Roman" w:cs="Arial"/>
          <w:lang w:val="en-US" w:eastAsia="bg-BG"/>
        </w:rPr>
        <w:t xml:space="preserve"> </w:t>
      </w:r>
      <w:r w:rsidRPr="005F7E5F">
        <w:rPr>
          <w:rFonts w:eastAsia="Times New Roman" w:cs="Arial"/>
          <w:color w:val="000000"/>
          <w:lang w:eastAsia="bg-BG"/>
        </w:rPr>
        <w:t xml:space="preserve">никотинова киселина с удължено освобождаване със симвастатин 20 </w:t>
      </w:r>
      <w:r w:rsidRPr="005F7E5F">
        <w:rPr>
          <w:rFonts w:eastAsia="Times New Roman" w:cs="Arial"/>
          <w:color w:val="000000"/>
          <w:lang w:val="en-US"/>
        </w:rPr>
        <w:t xml:space="preserve">mg </w:t>
      </w:r>
      <w:r w:rsidRPr="005F7E5F">
        <w:rPr>
          <w:rFonts w:eastAsia="Times New Roman" w:cs="Arial"/>
          <w:color w:val="000000"/>
          <w:lang w:eastAsia="bg-BG"/>
        </w:rPr>
        <w:t>е довели до умерено</w:t>
      </w:r>
      <w:r>
        <w:rPr>
          <w:rFonts w:eastAsia="Times New Roman" w:cs="Arial"/>
          <w:color w:val="000000"/>
          <w:lang w:val="en-US" w:eastAsia="bg-BG"/>
        </w:rPr>
        <w:t xml:space="preserve"> </w:t>
      </w:r>
      <w:r w:rsidRPr="005F7E5F">
        <w:rPr>
          <w:rFonts w:eastAsia="Times New Roman" w:cs="Arial"/>
          <w:color w:val="000000"/>
          <w:szCs w:val="20"/>
          <w:lang w:eastAsia="bg-BG"/>
        </w:rPr>
        <w:t xml:space="preserve">увеличение на </w:t>
      </w:r>
      <w:r w:rsidRPr="005F7E5F">
        <w:rPr>
          <w:rFonts w:eastAsia="Times New Roman" w:cs="Arial"/>
          <w:color w:val="000000"/>
          <w:szCs w:val="20"/>
          <w:lang w:val="en-US"/>
        </w:rPr>
        <w:t xml:space="preserve">AUC </w:t>
      </w:r>
      <w:r w:rsidRPr="005F7E5F">
        <w:rPr>
          <w:rFonts w:eastAsia="Times New Roman" w:cs="Arial"/>
          <w:color w:val="000000"/>
          <w:szCs w:val="20"/>
          <w:lang w:eastAsia="bg-BG"/>
        </w:rPr>
        <w:t>на симвастатин и симвастатинова киселина и в С</w:t>
      </w:r>
      <w:r w:rsidRPr="005F7E5F">
        <w:rPr>
          <w:rFonts w:eastAsia="Times New Roman" w:cs="Arial"/>
          <w:color w:val="000000"/>
          <w:szCs w:val="20"/>
          <w:vertAlign w:val="subscript"/>
          <w:lang w:val="en-US"/>
        </w:rPr>
        <w:t>max</w:t>
      </w:r>
      <w:r w:rsidRPr="005F7E5F">
        <w:rPr>
          <w:rFonts w:eastAsia="Times New Roman" w:cs="Arial"/>
          <w:color w:val="000000"/>
          <w:szCs w:val="20"/>
          <w:lang w:eastAsia="bg-BG"/>
        </w:rPr>
        <w:t xml:space="preserve"> на плазмените концентрации на симвастатинова киселина.</w:t>
      </w:r>
    </w:p>
    <w:p w14:paraId="04D27D4D" w14:textId="77777777" w:rsidR="005F7E5F" w:rsidRPr="005F7E5F" w:rsidRDefault="005F7E5F" w:rsidP="005F7E5F">
      <w:pPr>
        <w:spacing w:line="240" w:lineRule="auto"/>
        <w:rPr>
          <w:rFonts w:eastAsia="Times New Roman" w:cs="Arial"/>
          <w:i/>
          <w:iCs/>
          <w:color w:val="000000"/>
          <w:szCs w:val="20"/>
          <w:lang w:eastAsia="bg-BG"/>
        </w:rPr>
      </w:pPr>
    </w:p>
    <w:p w14:paraId="1A8EBE77" w14:textId="1E036F53" w:rsidR="005F7E5F" w:rsidRPr="005F7E5F" w:rsidRDefault="005F7E5F" w:rsidP="005F7E5F">
      <w:pPr>
        <w:spacing w:line="240" w:lineRule="auto"/>
        <w:rPr>
          <w:rFonts w:eastAsia="Times New Roman" w:cs="Arial"/>
          <w:sz w:val="28"/>
          <w:szCs w:val="24"/>
          <w:lang w:eastAsia="bg-BG"/>
        </w:rPr>
      </w:pPr>
      <w:r w:rsidRPr="005F7E5F">
        <w:rPr>
          <w:rFonts w:eastAsia="Times New Roman" w:cs="Arial"/>
          <w:i/>
          <w:iCs/>
          <w:color w:val="000000"/>
          <w:szCs w:val="20"/>
          <w:lang w:eastAsia="bg-BG"/>
        </w:rPr>
        <w:t>Сок от грейпфрут</w:t>
      </w:r>
    </w:p>
    <w:p w14:paraId="712D8C61" w14:textId="77777777" w:rsidR="005F7E5F" w:rsidRPr="005F7E5F" w:rsidRDefault="005F7E5F" w:rsidP="005F7E5F">
      <w:pPr>
        <w:spacing w:line="240" w:lineRule="auto"/>
        <w:rPr>
          <w:rFonts w:eastAsia="Times New Roman" w:cs="Arial"/>
          <w:sz w:val="28"/>
          <w:szCs w:val="24"/>
          <w:lang w:eastAsia="bg-BG"/>
        </w:rPr>
      </w:pPr>
      <w:r w:rsidRPr="005F7E5F">
        <w:rPr>
          <w:rFonts w:eastAsia="Times New Roman" w:cs="Arial"/>
          <w:color w:val="000000"/>
          <w:szCs w:val="20"/>
          <w:lang w:eastAsia="bg-BG"/>
        </w:rPr>
        <w:t xml:space="preserve">Сокът от грейпфрут инхибира цитохром Р450 ЗА4. Едновременният прием на големи количества (над 1 литър дневно) сок от грейпфрут и симвастатин води до 7-кратно повишение на експозицията към симвастатинова киселина. Приемът на 240 </w:t>
      </w:r>
      <w:r w:rsidRPr="005F7E5F">
        <w:rPr>
          <w:rFonts w:eastAsia="Times New Roman" w:cs="Arial"/>
          <w:color w:val="000000"/>
          <w:szCs w:val="20"/>
          <w:lang w:val="en-US"/>
        </w:rPr>
        <w:t xml:space="preserve">ml </w:t>
      </w:r>
      <w:r w:rsidRPr="005F7E5F">
        <w:rPr>
          <w:rFonts w:eastAsia="Times New Roman" w:cs="Arial"/>
          <w:color w:val="000000"/>
          <w:szCs w:val="20"/>
          <w:lang w:eastAsia="bg-BG"/>
        </w:rPr>
        <w:t>сок от грейпфрут сутрин и приемът на симвастатин вечер също са предизвикали 1,9-кратно увеличение. Трябва да се избягва прием на сок от грейпфрут по време на лечение със симвастатин.</w:t>
      </w:r>
    </w:p>
    <w:p w14:paraId="2993968D" w14:textId="77777777" w:rsidR="005F7E5F" w:rsidRPr="005F7E5F" w:rsidRDefault="005F7E5F" w:rsidP="005F7E5F">
      <w:pPr>
        <w:spacing w:line="240" w:lineRule="auto"/>
        <w:rPr>
          <w:rFonts w:eastAsia="Times New Roman" w:cs="Arial"/>
          <w:i/>
          <w:iCs/>
          <w:color w:val="000000"/>
          <w:szCs w:val="20"/>
          <w:lang w:eastAsia="bg-BG"/>
        </w:rPr>
      </w:pPr>
    </w:p>
    <w:p w14:paraId="7B6F6B6E" w14:textId="3360F494" w:rsidR="005F7E5F" w:rsidRPr="005F7E5F" w:rsidRDefault="005F7E5F" w:rsidP="005F7E5F">
      <w:pPr>
        <w:spacing w:line="240" w:lineRule="auto"/>
        <w:rPr>
          <w:rFonts w:eastAsia="Times New Roman" w:cs="Arial"/>
          <w:sz w:val="28"/>
          <w:szCs w:val="24"/>
          <w:lang w:eastAsia="bg-BG"/>
        </w:rPr>
      </w:pPr>
      <w:r w:rsidRPr="005F7E5F">
        <w:rPr>
          <w:rFonts w:eastAsia="Times New Roman" w:cs="Arial"/>
          <w:i/>
          <w:iCs/>
          <w:color w:val="000000"/>
          <w:szCs w:val="20"/>
          <w:lang w:eastAsia="bg-BG"/>
        </w:rPr>
        <w:t>Колхицин</w:t>
      </w:r>
    </w:p>
    <w:p w14:paraId="7C796773" w14:textId="77777777" w:rsidR="005F7E5F" w:rsidRPr="005F7E5F" w:rsidRDefault="005F7E5F" w:rsidP="005F7E5F">
      <w:pPr>
        <w:spacing w:line="240" w:lineRule="auto"/>
        <w:rPr>
          <w:rFonts w:eastAsia="Times New Roman" w:cs="Arial"/>
          <w:sz w:val="28"/>
          <w:szCs w:val="24"/>
          <w:lang w:eastAsia="bg-BG"/>
        </w:rPr>
      </w:pPr>
      <w:r w:rsidRPr="005F7E5F">
        <w:rPr>
          <w:rFonts w:eastAsia="Times New Roman" w:cs="Arial"/>
          <w:color w:val="000000"/>
          <w:szCs w:val="20"/>
          <w:lang w:eastAsia="bg-BG"/>
        </w:rPr>
        <w:t>При пациенти с бъбречно увреждане, приемащи едновременно колхицин и симвастатин, има съобщения за миопатия и рабдомиолиза. При пациенти, приемащи тази комбинация, се препоръчва стриктно клинично проследяване.</w:t>
      </w:r>
    </w:p>
    <w:p w14:paraId="0A81DF52" w14:textId="77777777" w:rsidR="005F7E5F" w:rsidRPr="005F7E5F" w:rsidRDefault="005F7E5F" w:rsidP="005F7E5F">
      <w:pPr>
        <w:spacing w:line="240" w:lineRule="auto"/>
        <w:rPr>
          <w:rFonts w:eastAsia="Times New Roman" w:cs="Arial"/>
          <w:color w:val="000000"/>
          <w:szCs w:val="20"/>
          <w:lang w:eastAsia="bg-BG"/>
        </w:rPr>
      </w:pPr>
    </w:p>
    <w:p w14:paraId="588296CB" w14:textId="1A3F53E3" w:rsidR="005F7E5F" w:rsidRPr="005F7E5F" w:rsidRDefault="005F7E5F" w:rsidP="005F7E5F">
      <w:pPr>
        <w:spacing w:line="240" w:lineRule="auto"/>
        <w:rPr>
          <w:rFonts w:eastAsia="Times New Roman" w:cs="Arial"/>
          <w:sz w:val="28"/>
          <w:szCs w:val="24"/>
          <w:lang w:eastAsia="bg-BG"/>
        </w:rPr>
      </w:pPr>
      <w:r w:rsidRPr="005F7E5F">
        <w:rPr>
          <w:rFonts w:eastAsia="Times New Roman" w:cs="Arial"/>
          <w:color w:val="000000"/>
          <w:szCs w:val="20"/>
          <w:lang w:eastAsia="bg-BG"/>
        </w:rPr>
        <w:t>Даптомицин</w:t>
      </w:r>
    </w:p>
    <w:p w14:paraId="24DFD8DE" w14:textId="77777777" w:rsidR="005F7E5F" w:rsidRPr="005F7E5F" w:rsidRDefault="005F7E5F" w:rsidP="005F7E5F">
      <w:pPr>
        <w:spacing w:line="240" w:lineRule="auto"/>
        <w:rPr>
          <w:rFonts w:eastAsia="Times New Roman" w:cs="Arial"/>
          <w:sz w:val="28"/>
          <w:szCs w:val="24"/>
          <w:lang w:eastAsia="bg-BG"/>
        </w:rPr>
      </w:pPr>
      <w:r w:rsidRPr="005F7E5F">
        <w:rPr>
          <w:rFonts w:eastAsia="Times New Roman" w:cs="Arial"/>
          <w:color w:val="000000"/>
          <w:szCs w:val="20"/>
          <w:lang w:eastAsia="bg-BG"/>
        </w:rPr>
        <w:t xml:space="preserve">Рискът от миопатия и/или рабдомиолиза може да бъде повишен при едновременно прилагане на </w:t>
      </w:r>
      <w:r w:rsidRPr="005F7E5F">
        <w:rPr>
          <w:rFonts w:eastAsia="Times New Roman" w:cs="Arial"/>
          <w:color w:val="000000"/>
          <w:szCs w:val="20"/>
          <w:lang w:val="en-US"/>
        </w:rPr>
        <w:t xml:space="preserve">HMG-CoA </w:t>
      </w:r>
      <w:r w:rsidRPr="005F7E5F">
        <w:rPr>
          <w:rFonts w:eastAsia="Times New Roman" w:cs="Arial"/>
          <w:color w:val="000000"/>
          <w:szCs w:val="20"/>
          <w:lang w:eastAsia="bg-BG"/>
        </w:rPr>
        <w:t>редуктазни инхибитори (напр. симвастатин) и даптомицин (вж.точка 4.4).</w:t>
      </w:r>
    </w:p>
    <w:p w14:paraId="4C0295F2" w14:textId="77777777" w:rsidR="005F7E5F" w:rsidRPr="005F7E5F" w:rsidRDefault="005F7E5F" w:rsidP="005F7E5F">
      <w:pPr>
        <w:spacing w:line="240" w:lineRule="auto"/>
        <w:rPr>
          <w:rFonts w:eastAsia="Times New Roman" w:cs="Arial"/>
          <w:i/>
          <w:iCs/>
          <w:color w:val="000000"/>
          <w:szCs w:val="20"/>
          <w:lang w:eastAsia="bg-BG"/>
        </w:rPr>
      </w:pPr>
    </w:p>
    <w:p w14:paraId="3A8F7E70" w14:textId="485A51D8" w:rsidR="005F7E5F" w:rsidRPr="005F7E5F" w:rsidRDefault="005F7E5F" w:rsidP="005F7E5F">
      <w:pPr>
        <w:spacing w:line="240" w:lineRule="auto"/>
        <w:rPr>
          <w:rFonts w:eastAsia="Times New Roman" w:cs="Arial"/>
          <w:sz w:val="28"/>
          <w:szCs w:val="24"/>
          <w:lang w:eastAsia="bg-BG"/>
        </w:rPr>
      </w:pPr>
      <w:r w:rsidRPr="005F7E5F">
        <w:rPr>
          <w:rFonts w:eastAsia="Times New Roman" w:cs="Arial"/>
          <w:i/>
          <w:iCs/>
          <w:color w:val="000000"/>
          <w:szCs w:val="20"/>
          <w:lang w:eastAsia="bg-BG"/>
        </w:rPr>
        <w:t>Рифампицин</w:t>
      </w:r>
    </w:p>
    <w:p w14:paraId="2DF25499" w14:textId="77777777" w:rsidR="005F7E5F" w:rsidRPr="005F7E5F" w:rsidRDefault="005F7E5F" w:rsidP="005F7E5F">
      <w:pPr>
        <w:spacing w:line="240" w:lineRule="auto"/>
        <w:rPr>
          <w:rFonts w:eastAsia="Times New Roman" w:cs="Arial"/>
          <w:sz w:val="28"/>
          <w:szCs w:val="24"/>
          <w:lang w:eastAsia="bg-BG"/>
        </w:rPr>
      </w:pPr>
      <w:r w:rsidRPr="005F7E5F">
        <w:rPr>
          <w:rFonts w:eastAsia="Times New Roman" w:cs="Arial"/>
          <w:color w:val="000000"/>
          <w:szCs w:val="20"/>
          <w:lang w:eastAsia="bg-BG"/>
        </w:rPr>
        <w:t xml:space="preserve">Тъй като рифампицин е мощен индуктор на </w:t>
      </w:r>
      <w:r w:rsidRPr="005F7E5F">
        <w:rPr>
          <w:rFonts w:eastAsia="Times New Roman" w:cs="Arial"/>
          <w:color w:val="000000"/>
          <w:szCs w:val="20"/>
          <w:lang w:val="en-US"/>
        </w:rPr>
        <w:t xml:space="preserve">CYP3A4, </w:t>
      </w:r>
      <w:r w:rsidRPr="005F7E5F">
        <w:rPr>
          <w:rFonts w:eastAsia="Times New Roman" w:cs="Arial"/>
          <w:color w:val="000000"/>
          <w:szCs w:val="20"/>
          <w:lang w:eastAsia="bg-BG"/>
        </w:rPr>
        <w:t xml:space="preserve">ефикасността на симвастатин може да се загуби при пациенти на продължително лечение с рифампицин (напр. лечение на туберколоза). Във фармакокинетично проучване при здрави доброволци, площта под кривата на плазмената концентрация </w:t>
      </w:r>
      <w:r w:rsidRPr="005F7E5F">
        <w:rPr>
          <w:rFonts w:eastAsia="Times New Roman" w:cs="Arial"/>
          <w:color w:val="000000"/>
          <w:szCs w:val="20"/>
          <w:lang w:val="en-US"/>
        </w:rPr>
        <w:t xml:space="preserve">(AUC) </w:t>
      </w:r>
      <w:r w:rsidRPr="005F7E5F">
        <w:rPr>
          <w:rFonts w:eastAsia="Times New Roman" w:cs="Arial"/>
          <w:color w:val="000000"/>
          <w:szCs w:val="20"/>
          <w:lang w:eastAsia="bg-BG"/>
        </w:rPr>
        <w:t>на симвастатинова киселина е понижена с 93% при едновременното приложение на рифампицин.</w:t>
      </w:r>
    </w:p>
    <w:p w14:paraId="57E35C57" w14:textId="77777777" w:rsidR="005F7E5F" w:rsidRPr="005F7E5F" w:rsidRDefault="005F7E5F" w:rsidP="005F7E5F">
      <w:pPr>
        <w:spacing w:line="240" w:lineRule="auto"/>
        <w:rPr>
          <w:rFonts w:eastAsia="Times New Roman" w:cs="Arial"/>
          <w:i/>
          <w:iCs/>
          <w:color w:val="000000"/>
          <w:szCs w:val="20"/>
          <w:lang w:eastAsia="bg-BG"/>
        </w:rPr>
      </w:pPr>
    </w:p>
    <w:p w14:paraId="44A4371E" w14:textId="788D181F" w:rsidR="005F7E5F" w:rsidRPr="005F7E5F" w:rsidRDefault="005F7E5F" w:rsidP="005F7E5F">
      <w:pPr>
        <w:spacing w:line="240" w:lineRule="auto"/>
        <w:rPr>
          <w:rFonts w:eastAsia="Times New Roman" w:cs="Arial"/>
          <w:sz w:val="28"/>
          <w:szCs w:val="24"/>
          <w:lang w:eastAsia="bg-BG"/>
        </w:rPr>
      </w:pPr>
      <w:r w:rsidRPr="005F7E5F">
        <w:rPr>
          <w:rFonts w:eastAsia="Times New Roman" w:cs="Arial"/>
          <w:i/>
          <w:iCs/>
          <w:color w:val="000000"/>
          <w:szCs w:val="20"/>
          <w:lang w:eastAsia="bg-BG"/>
        </w:rPr>
        <w:t xml:space="preserve">Ефекти на симвастатин върху фармакокинетиката на други лекарствени продукти </w:t>
      </w:r>
      <w:r w:rsidRPr="005F7E5F">
        <w:rPr>
          <w:rFonts w:eastAsia="Times New Roman" w:cs="Arial"/>
          <w:color w:val="000000"/>
          <w:szCs w:val="20"/>
          <w:lang w:eastAsia="bg-BG"/>
        </w:rPr>
        <w:t>Симвастатин няма инхибиращо въздействие върху цитрохром Р4503А4. Затова не се очаква симвастатин да повлияе върху плазмените концентрации на веществата, които се метаболизират посредством цитохром Р4503А4.</w:t>
      </w:r>
    </w:p>
    <w:p w14:paraId="0410189E" w14:textId="77777777" w:rsidR="005F7E5F" w:rsidRPr="005F7E5F" w:rsidRDefault="005F7E5F" w:rsidP="005F7E5F">
      <w:pPr>
        <w:spacing w:line="240" w:lineRule="auto"/>
        <w:rPr>
          <w:rFonts w:eastAsia="Times New Roman" w:cs="Arial"/>
          <w:i/>
          <w:iCs/>
          <w:color w:val="000000"/>
          <w:szCs w:val="20"/>
          <w:lang w:eastAsia="bg-BG"/>
        </w:rPr>
      </w:pPr>
    </w:p>
    <w:p w14:paraId="6AE342F4" w14:textId="448A2DE9" w:rsidR="005F7E5F" w:rsidRPr="005F7E5F" w:rsidRDefault="005F7E5F" w:rsidP="005F7E5F">
      <w:pPr>
        <w:spacing w:line="240" w:lineRule="auto"/>
        <w:rPr>
          <w:rFonts w:eastAsia="Times New Roman" w:cs="Arial"/>
          <w:sz w:val="28"/>
          <w:szCs w:val="24"/>
          <w:lang w:eastAsia="bg-BG"/>
        </w:rPr>
      </w:pPr>
      <w:r w:rsidRPr="005F7E5F">
        <w:rPr>
          <w:rFonts w:eastAsia="Times New Roman" w:cs="Arial"/>
          <w:i/>
          <w:iCs/>
          <w:color w:val="000000"/>
          <w:szCs w:val="20"/>
          <w:lang w:eastAsia="bg-BG"/>
        </w:rPr>
        <w:t>Перорални антикоагуланти</w:t>
      </w:r>
    </w:p>
    <w:p w14:paraId="0BC7938C" w14:textId="2B8C684D" w:rsidR="005F7E5F" w:rsidRPr="005F7E5F" w:rsidRDefault="005F7E5F" w:rsidP="005F7E5F">
      <w:pPr>
        <w:spacing w:line="240" w:lineRule="auto"/>
        <w:rPr>
          <w:rFonts w:eastAsia="Times New Roman" w:cs="Arial"/>
          <w:sz w:val="24"/>
          <w:lang w:val="en-US" w:eastAsia="bg-BG"/>
        </w:rPr>
      </w:pPr>
      <w:r w:rsidRPr="005F7E5F">
        <w:rPr>
          <w:rFonts w:eastAsia="Times New Roman" w:cs="Arial"/>
          <w:color w:val="000000"/>
          <w:szCs w:val="20"/>
          <w:lang w:eastAsia="bg-BG"/>
        </w:rPr>
        <w:lastRenderedPageBreak/>
        <w:t xml:space="preserve">В две клинично проучвания, едното при здрави доброволци, а другото при пациенти с хиперхолестеролемия, приложението на симвастатин 20-40 </w:t>
      </w:r>
      <w:r w:rsidRPr="005F7E5F">
        <w:rPr>
          <w:rFonts w:eastAsia="Times New Roman" w:cs="Arial"/>
          <w:color w:val="000000"/>
          <w:szCs w:val="20"/>
          <w:lang w:val="en-US"/>
        </w:rPr>
        <w:t xml:space="preserve">mg </w:t>
      </w:r>
      <w:r w:rsidRPr="005F7E5F">
        <w:rPr>
          <w:rFonts w:eastAsia="Times New Roman" w:cs="Arial"/>
          <w:color w:val="000000"/>
          <w:szCs w:val="20"/>
          <w:lang w:eastAsia="bg-BG"/>
        </w:rPr>
        <w:t xml:space="preserve">дневно е потенцирало в умерена степен ефекта на кумариновите антикоагуланти: протромбиновото време, оценено посредством международното нормализирано отношение </w:t>
      </w:r>
      <w:r w:rsidRPr="005F7E5F">
        <w:rPr>
          <w:rFonts w:eastAsia="Times New Roman" w:cs="Arial"/>
          <w:color w:val="000000"/>
          <w:szCs w:val="20"/>
          <w:lang w:val="en-US"/>
        </w:rPr>
        <w:t xml:space="preserve">(INR), </w:t>
      </w:r>
      <w:r w:rsidRPr="005F7E5F">
        <w:rPr>
          <w:rFonts w:eastAsia="Times New Roman" w:cs="Arial"/>
          <w:color w:val="000000"/>
          <w:szCs w:val="20"/>
          <w:lang w:eastAsia="bg-BG"/>
        </w:rPr>
        <w:t xml:space="preserve">е нарасло спрямо изходното от 1,7 до 1,8 и от 2,6 до 3,4 съответно в групата на доброволците и групата на пациентите. В много редки случаи са били докладвани повишени стойности на </w:t>
      </w:r>
      <w:r w:rsidRPr="005F7E5F">
        <w:rPr>
          <w:rFonts w:eastAsia="Times New Roman" w:cs="Arial"/>
          <w:color w:val="000000"/>
          <w:szCs w:val="20"/>
          <w:lang w:val="en-US"/>
        </w:rPr>
        <w:t xml:space="preserve">1NR. </w:t>
      </w:r>
      <w:r w:rsidRPr="005F7E5F">
        <w:rPr>
          <w:rFonts w:eastAsia="Times New Roman" w:cs="Arial"/>
          <w:color w:val="000000"/>
          <w:szCs w:val="20"/>
          <w:lang w:eastAsia="bg-BG"/>
        </w:rPr>
        <w:t>При пациенти, които приемат кумаринови антикоагуланти, протромбиновото време трябва да се определя преди да се започне приема на симвастатин и достатъчно често след това в началото на лечението, за да е сигурно, че няма, значителни промени в протромбиновото време. След стабилизиране на протромбиновото време, интервалите за проследяване на протромбиновото време могат да бъдат обичайните, които се препоръчват при пациенти на лечение с кумаринови антикоагуланти. Същата процедура се повтаря, в случай че дозата на симвастатин се промени или лечението бъде прекратено. Лечението със симвастатин не се асоциира с кървене или с промени в протромбиновото време при пациентите, които не взимат антикоагуланти.</w:t>
      </w:r>
    </w:p>
    <w:p w14:paraId="3F685EBA" w14:textId="77777777" w:rsidR="005F7E5F" w:rsidRPr="0091385D" w:rsidRDefault="005F7E5F" w:rsidP="0091385D"/>
    <w:p w14:paraId="394A7584" w14:textId="10DEA5B3" w:rsidR="004F498A" w:rsidRDefault="002C50EE" w:rsidP="004A448E">
      <w:pPr>
        <w:pStyle w:val="Heading2"/>
      </w:pPr>
      <w:r>
        <w:t>4.6. Фертилитет, бременност и кърмене</w:t>
      </w:r>
    </w:p>
    <w:p w14:paraId="4887836B" w14:textId="11C96CFA" w:rsidR="0091385D" w:rsidRDefault="0091385D" w:rsidP="0091385D"/>
    <w:p w14:paraId="36A27105" w14:textId="77777777" w:rsidR="005F7E5F" w:rsidRPr="005F7E5F" w:rsidRDefault="005F7E5F" w:rsidP="005F7E5F">
      <w:pPr>
        <w:pStyle w:val="Heading3"/>
        <w:rPr>
          <w:rFonts w:eastAsia="Times New Roman"/>
          <w:u w:val="single"/>
          <w:lang w:eastAsia="bg-BG"/>
        </w:rPr>
      </w:pPr>
      <w:r w:rsidRPr="005F7E5F">
        <w:rPr>
          <w:rFonts w:eastAsia="Times New Roman"/>
          <w:u w:val="single"/>
          <w:lang w:eastAsia="bg-BG"/>
        </w:rPr>
        <w:t>Бременност</w:t>
      </w:r>
    </w:p>
    <w:p w14:paraId="03FD367E" w14:textId="77777777" w:rsidR="005F7E5F" w:rsidRPr="005F7E5F" w:rsidRDefault="005F7E5F" w:rsidP="005F7E5F">
      <w:pPr>
        <w:spacing w:line="240" w:lineRule="auto"/>
        <w:rPr>
          <w:rFonts w:eastAsia="Times New Roman" w:cs="Arial"/>
          <w:color w:val="000000"/>
          <w:lang w:eastAsia="bg-BG"/>
        </w:rPr>
      </w:pPr>
    </w:p>
    <w:p w14:paraId="10D69D41" w14:textId="17391592" w:rsidR="005F7E5F" w:rsidRPr="005F7E5F" w:rsidRDefault="005F7E5F" w:rsidP="005F7E5F">
      <w:pPr>
        <w:spacing w:line="240" w:lineRule="auto"/>
        <w:rPr>
          <w:rFonts w:eastAsia="Times New Roman" w:cs="Arial"/>
          <w:lang w:eastAsia="bg-BG"/>
        </w:rPr>
      </w:pPr>
      <w:r w:rsidRPr="005F7E5F">
        <w:rPr>
          <w:rFonts w:eastAsia="Times New Roman" w:cs="Arial"/>
          <w:color w:val="000000"/>
          <w:lang w:eastAsia="bg-BG"/>
        </w:rPr>
        <w:t>Симвакор е противопоказен по време на бременност (вж. точка 4.3).</w:t>
      </w:r>
    </w:p>
    <w:p w14:paraId="03356619" w14:textId="77777777" w:rsidR="005F7E5F" w:rsidRPr="005F7E5F" w:rsidRDefault="005F7E5F" w:rsidP="005F7E5F">
      <w:pPr>
        <w:rPr>
          <w:rFonts w:eastAsia="Times New Roman" w:cs="Arial"/>
          <w:color w:val="000000"/>
          <w:lang w:eastAsia="bg-BG"/>
        </w:rPr>
      </w:pPr>
    </w:p>
    <w:p w14:paraId="07F2BF67" w14:textId="77777777" w:rsidR="005F7E5F" w:rsidRPr="005F7E5F" w:rsidRDefault="005F7E5F" w:rsidP="005F7E5F">
      <w:pPr>
        <w:rPr>
          <w:rFonts w:eastAsia="Times New Roman" w:cs="Arial"/>
          <w:lang w:eastAsia="bg-BG"/>
        </w:rPr>
      </w:pPr>
      <w:r w:rsidRPr="005F7E5F">
        <w:rPr>
          <w:rFonts w:eastAsia="Times New Roman" w:cs="Arial"/>
          <w:color w:val="000000"/>
          <w:lang w:eastAsia="bg-BG"/>
        </w:rPr>
        <w:t xml:space="preserve">Безопасността при бременни жени не е установена. Няма контролирани клинични проучвания със симвастатин, проведени при бременни жени. Рядко са получавани съобщения за вродени аномалии, вследствие на вътрематочно излагане на </w:t>
      </w:r>
      <w:r w:rsidRPr="005F7E5F">
        <w:rPr>
          <w:rFonts w:eastAsia="Times New Roman" w:cs="Arial"/>
          <w:color w:val="000000"/>
          <w:lang w:val="en-US"/>
        </w:rPr>
        <w:t xml:space="preserve">HMG-CoA </w:t>
      </w:r>
      <w:r w:rsidRPr="005F7E5F">
        <w:rPr>
          <w:rFonts w:eastAsia="Times New Roman" w:cs="Arial"/>
          <w:color w:val="000000"/>
          <w:lang w:eastAsia="bg-BG"/>
        </w:rPr>
        <w:t>редуктазни инхибитори. Обаче, при</w:t>
      </w:r>
      <w:r w:rsidRPr="005F7E5F">
        <w:rPr>
          <w:rFonts w:eastAsia="Times New Roman" w:cs="Arial"/>
          <w:color w:val="000000"/>
          <w:lang w:val="en-US" w:eastAsia="bg-BG"/>
        </w:rPr>
        <w:t xml:space="preserve"> </w:t>
      </w:r>
      <w:r w:rsidRPr="005F7E5F">
        <w:rPr>
          <w:rFonts w:eastAsia="Times New Roman" w:cs="Arial"/>
          <w:color w:val="000000"/>
          <w:lang w:eastAsia="bg-BG"/>
        </w:rPr>
        <w:t xml:space="preserve">анализ направен на приблизително 200 проспективно проследени бременности, изложени по време на първия триместър на симвастатин или други структурно близки </w:t>
      </w:r>
      <w:r w:rsidRPr="005F7E5F">
        <w:rPr>
          <w:rFonts w:eastAsia="Times New Roman" w:cs="Arial"/>
          <w:color w:val="000000"/>
          <w:lang w:val="en-US"/>
        </w:rPr>
        <w:t xml:space="preserve">HMG-CoA </w:t>
      </w:r>
      <w:r w:rsidRPr="005F7E5F">
        <w:rPr>
          <w:rFonts w:eastAsia="Times New Roman" w:cs="Arial"/>
          <w:color w:val="000000"/>
          <w:lang w:eastAsia="bg-BG"/>
        </w:rPr>
        <w:t>редуктазни инхибитори, честотата на вродените аномалии е сравнима с тази наблюдавана в общата популация. В този анализ броят на бременностите е достатъчен, за да се изключи два пъти и половина или повече пъти увеличение на вродените аномалии над базисната честота.</w:t>
      </w:r>
    </w:p>
    <w:p w14:paraId="06A5812D" w14:textId="77777777" w:rsidR="005F7E5F" w:rsidRPr="005F7E5F" w:rsidRDefault="005F7E5F" w:rsidP="005F7E5F">
      <w:pPr>
        <w:spacing w:line="240" w:lineRule="auto"/>
        <w:rPr>
          <w:rFonts w:eastAsia="Times New Roman" w:cs="Arial"/>
          <w:lang w:eastAsia="bg-BG"/>
        </w:rPr>
      </w:pPr>
      <w:r w:rsidRPr="005F7E5F">
        <w:rPr>
          <w:rFonts w:eastAsia="Times New Roman" w:cs="Arial"/>
          <w:color w:val="000000"/>
          <w:lang w:eastAsia="bg-BG"/>
        </w:rPr>
        <w:t xml:space="preserve">Въпреки, че няма доказателства, че честотата на вродените аномалии сред поколението на пациентки, приемали симвастатин или други структурно близки </w:t>
      </w:r>
      <w:r w:rsidRPr="005F7E5F">
        <w:rPr>
          <w:rFonts w:eastAsia="Times New Roman" w:cs="Arial"/>
          <w:color w:val="000000"/>
          <w:lang w:val="en-US"/>
        </w:rPr>
        <w:t xml:space="preserve">HMG-CoA </w:t>
      </w:r>
      <w:r w:rsidRPr="005F7E5F">
        <w:rPr>
          <w:rFonts w:eastAsia="Times New Roman" w:cs="Arial"/>
          <w:color w:val="000000"/>
          <w:lang w:eastAsia="bg-BG"/>
        </w:rPr>
        <w:t>редуктазни инхибитори, се различава от тази, наблюдавана в общата популация, лечението със симвастатин по време на бременността може да намали феталните нива на мевалонат, който е прекурсор на холестероловата биосинтеза. Атеросклерозата е хроничен процес и прекъсването на терапията с понижаващи липидите лекарства по време на бременност има малко влияние върху дълговременния риск, свързан с първичната хиперхолестеролемия. Поради тези причини, симвастатин не трябва да се използва при бременни жени, при жени възнамеряващи да забременеят или тези, за които се предполага, че са бременни. Лечението със симвастатин трябва да се прекъсне по време на бременността или докато се установи, че жената не е бременна (виж точки 4.3 и 5.3).</w:t>
      </w:r>
    </w:p>
    <w:p w14:paraId="19964150" w14:textId="77777777" w:rsidR="005F7E5F" w:rsidRPr="005F7E5F" w:rsidRDefault="005F7E5F" w:rsidP="005F7E5F">
      <w:pPr>
        <w:spacing w:line="240" w:lineRule="auto"/>
        <w:rPr>
          <w:rFonts w:eastAsia="Times New Roman" w:cs="Arial"/>
          <w:b/>
          <w:bCs/>
          <w:color w:val="000000"/>
          <w:u w:val="single"/>
          <w:lang w:eastAsia="bg-BG"/>
        </w:rPr>
      </w:pPr>
    </w:p>
    <w:p w14:paraId="16595C03" w14:textId="535C5E30" w:rsidR="005F7E5F" w:rsidRPr="005F7E5F" w:rsidRDefault="005F7E5F" w:rsidP="005F7E5F">
      <w:pPr>
        <w:pStyle w:val="Heading3"/>
        <w:rPr>
          <w:rFonts w:eastAsia="Times New Roman"/>
          <w:u w:val="single"/>
          <w:lang w:eastAsia="bg-BG"/>
        </w:rPr>
      </w:pPr>
      <w:r w:rsidRPr="005F7E5F">
        <w:rPr>
          <w:rFonts w:eastAsia="Times New Roman"/>
          <w:u w:val="single"/>
          <w:lang w:eastAsia="bg-BG"/>
        </w:rPr>
        <w:t>Кърмене</w:t>
      </w:r>
    </w:p>
    <w:p w14:paraId="7D2BAF8F" w14:textId="77777777" w:rsidR="005F7E5F" w:rsidRPr="005F7E5F" w:rsidRDefault="005F7E5F" w:rsidP="005F7E5F">
      <w:pPr>
        <w:spacing w:line="240" w:lineRule="auto"/>
        <w:rPr>
          <w:rFonts w:eastAsia="Times New Roman" w:cs="Arial"/>
          <w:lang w:eastAsia="bg-BG"/>
        </w:rPr>
      </w:pPr>
      <w:r w:rsidRPr="005F7E5F">
        <w:rPr>
          <w:rFonts w:eastAsia="Times New Roman" w:cs="Arial"/>
          <w:color w:val="000000"/>
          <w:lang w:eastAsia="bg-BG"/>
        </w:rPr>
        <w:t>Не е известно дали симвастатин или неговите метаболити се екскретират в кърмата. Тъй като много лекарства се екскретират в кърмата и поради потенциалния риск за сериозни нежелани реакции, жените, получаващи симвастатин, не трябва да кърмят (виж точка 4.3).</w:t>
      </w:r>
    </w:p>
    <w:p w14:paraId="24F82D39" w14:textId="77777777" w:rsidR="005F7E5F" w:rsidRPr="005F7E5F" w:rsidRDefault="005F7E5F" w:rsidP="005F7E5F">
      <w:pPr>
        <w:spacing w:line="240" w:lineRule="auto"/>
        <w:rPr>
          <w:rFonts w:eastAsia="Times New Roman" w:cs="Arial"/>
          <w:b/>
          <w:bCs/>
          <w:color w:val="000000"/>
          <w:u w:val="single"/>
          <w:lang w:eastAsia="bg-BG"/>
        </w:rPr>
      </w:pPr>
      <w:bookmarkStart w:id="2" w:name="bookmark2"/>
    </w:p>
    <w:p w14:paraId="0FFB044D" w14:textId="345466CA" w:rsidR="005F7E5F" w:rsidRPr="005F7E5F" w:rsidRDefault="005F7E5F" w:rsidP="005F7E5F">
      <w:pPr>
        <w:pStyle w:val="Heading3"/>
        <w:rPr>
          <w:rFonts w:eastAsia="Times New Roman"/>
          <w:u w:val="single"/>
          <w:lang w:eastAsia="bg-BG"/>
        </w:rPr>
      </w:pPr>
      <w:r w:rsidRPr="005F7E5F">
        <w:rPr>
          <w:rFonts w:eastAsia="Times New Roman"/>
          <w:u w:val="single"/>
          <w:lang w:eastAsia="bg-BG"/>
        </w:rPr>
        <w:lastRenderedPageBreak/>
        <w:t>Фертилитет</w:t>
      </w:r>
      <w:bookmarkEnd w:id="2"/>
    </w:p>
    <w:p w14:paraId="776662C5" w14:textId="2BE0C17C" w:rsidR="0091385D" w:rsidRPr="005F7E5F" w:rsidRDefault="005F7E5F" w:rsidP="005F7E5F">
      <w:pPr>
        <w:rPr>
          <w:rFonts w:cs="Arial"/>
          <w:lang w:val="en-US"/>
        </w:rPr>
      </w:pPr>
      <w:r w:rsidRPr="005F7E5F">
        <w:rPr>
          <w:rFonts w:eastAsia="Times New Roman" w:cs="Arial"/>
          <w:color w:val="000000"/>
          <w:lang w:eastAsia="bg-BG"/>
        </w:rPr>
        <w:t>Липсват клинични данни относно ефектите на симвастатин върху фертилитета при хора. Симвастатин не е имал ефект върху фертилитета при мъжки и женски плъхове (вж. точка 4.3).</w:t>
      </w:r>
    </w:p>
    <w:p w14:paraId="3E8789C3" w14:textId="77777777" w:rsidR="0091385D" w:rsidRPr="0091385D" w:rsidRDefault="0091385D" w:rsidP="0091385D"/>
    <w:p w14:paraId="064DF1DE" w14:textId="70BCC16C" w:rsidR="00CF77F7" w:rsidRDefault="002C50EE" w:rsidP="004A448E">
      <w:pPr>
        <w:pStyle w:val="Heading2"/>
      </w:pPr>
      <w:r>
        <w:t>4.7. Ефекти върху способността за шофиране и работа с машини</w:t>
      </w:r>
    </w:p>
    <w:p w14:paraId="1455464C" w14:textId="2676810A" w:rsidR="0091385D" w:rsidRDefault="0091385D" w:rsidP="0091385D"/>
    <w:p w14:paraId="2B4135A6" w14:textId="75159447" w:rsidR="0091385D" w:rsidRPr="005F7E5F" w:rsidRDefault="005F7E5F" w:rsidP="0091385D">
      <w:pPr>
        <w:rPr>
          <w:rFonts w:cs="Arial"/>
          <w:sz w:val="24"/>
        </w:rPr>
      </w:pPr>
      <w:r w:rsidRPr="005F7E5F">
        <w:rPr>
          <w:rFonts w:cs="Arial"/>
          <w:szCs w:val="20"/>
        </w:rPr>
        <w:t>Симвастатин не повлиява или повлиява пренебрежимо способността за шофиране и работа с машини. Въпреки това, при шофиране или работа с машини, трябва да се има предвид, че при постмаркетинговия опит има редки съобщения за замайване.</w:t>
      </w:r>
    </w:p>
    <w:p w14:paraId="35801A15" w14:textId="77777777" w:rsidR="0091385D" w:rsidRPr="0091385D" w:rsidRDefault="0091385D" w:rsidP="0091385D"/>
    <w:p w14:paraId="37A3FD9F" w14:textId="0E7561E3" w:rsidR="00CF77F7" w:rsidRDefault="002C50EE" w:rsidP="004A448E">
      <w:pPr>
        <w:pStyle w:val="Heading2"/>
      </w:pPr>
      <w:r>
        <w:t>4.8. Нежелани лекарствени реакции</w:t>
      </w:r>
    </w:p>
    <w:p w14:paraId="4838F52A" w14:textId="4C2232D6" w:rsidR="0091385D" w:rsidRDefault="0091385D" w:rsidP="0091385D"/>
    <w:p w14:paraId="7793E4F5" w14:textId="77777777" w:rsidR="005F7E5F" w:rsidRPr="005F7E5F" w:rsidRDefault="005F7E5F" w:rsidP="005F7E5F">
      <w:pPr>
        <w:spacing w:line="240" w:lineRule="auto"/>
        <w:rPr>
          <w:rFonts w:eastAsia="Times New Roman" w:cs="Arial"/>
          <w:sz w:val="28"/>
          <w:szCs w:val="24"/>
          <w:lang w:eastAsia="bg-BG"/>
        </w:rPr>
      </w:pPr>
      <w:r w:rsidRPr="005F7E5F">
        <w:rPr>
          <w:rFonts w:eastAsia="Times New Roman" w:cs="Arial"/>
          <w:color w:val="000000"/>
          <w:szCs w:val="20"/>
          <w:lang w:eastAsia="bg-BG"/>
        </w:rPr>
        <w:t xml:space="preserve">Честотата на следните нежелани лекарствени реакции, които са съобщавани през периода на клинични изпитвания и/или през постмаркетинговия период, е определена според тяхната честота в големи, продължителни, плацебо-контролирани клинични изпитвания, включително </w:t>
      </w:r>
      <w:r w:rsidRPr="005F7E5F">
        <w:rPr>
          <w:rFonts w:eastAsia="Times New Roman" w:cs="Arial"/>
          <w:color w:val="000000"/>
          <w:szCs w:val="20"/>
          <w:lang w:val="en-US"/>
        </w:rPr>
        <w:t xml:space="preserve">HPS (Heart Protection Study </w:t>
      </w:r>
      <w:r w:rsidRPr="005F7E5F">
        <w:rPr>
          <w:rFonts w:eastAsia="Times New Roman" w:cs="Arial"/>
          <w:color w:val="000000"/>
          <w:szCs w:val="20"/>
          <w:lang w:eastAsia="bg-BG"/>
        </w:rPr>
        <w:t xml:space="preserve">- Проучване за коронарна кардиопротекция) и </w:t>
      </w:r>
      <w:r w:rsidRPr="005F7E5F">
        <w:rPr>
          <w:rFonts w:eastAsia="Times New Roman" w:cs="Arial"/>
          <w:color w:val="000000"/>
          <w:szCs w:val="20"/>
          <w:lang w:val="en-US"/>
        </w:rPr>
        <w:t xml:space="preserve">4S (Scandinavian Simvastatin Survival Study </w:t>
      </w:r>
      <w:r w:rsidRPr="005F7E5F">
        <w:rPr>
          <w:rFonts w:eastAsia="Times New Roman" w:cs="Arial"/>
          <w:color w:val="000000"/>
          <w:szCs w:val="20"/>
          <w:lang w:eastAsia="bg-BG"/>
        </w:rPr>
        <w:t xml:space="preserve">- Скандинавско проучване за преживяемост при симвастатин) с 20 536 и 4 444 пациенти съответно (вж. точка </w:t>
      </w:r>
      <w:r w:rsidRPr="005F7E5F">
        <w:rPr>
          <w:rFonts w:eastAsia="Times New Roman" w:cs="Arial"/>
          <w:i/>
          <w:iCs/>
          <w:color w:val="000000"/>
          <w:szCs w:val="20"/>
          <w:lang w:eastAsia="bg-BG"/>
        </w:rPr>
        <w:t>5.1).</w:t>
      </w:r>
      <w:r w:rsidRPr="005F7E5F">
        <w:rPr>
          <w:rFonts w:eastAsia="Times New Roman" w:cs="Arial"/>
          <w:color w:val="000000"/>
          <w:szCs w:val="20"/>
          <w:lang w:eastAsia="bg-BG"/>
        </w:rPr>
        <w:t xml:space="preserve"> В </w:t>
      </w:r>
      <w:r w:rsidRPr="005F7E5F">
        <w:rPr>
          <w:rFonts w:eastAsia="Times New Roman" w:cs="Arial"/>
          <w:color w:val="000000"/>
          <w:szCs w:val="20"/>
          <w:lang w:val="en-US"/>
        </w:rPr>
        <w:t xml:space="preserve">HPS </w:t>
      </w:r>
      <w:r w:rsidRPr="005F7E5F">
        <w:rPr>
          <w:rFonts w:eastAsia="Times New Roman" w:cs="Arial"/>
          <w:color w:val="000000"/>
          <w:szCs w:val="20"/>
          <w:lang w:eastAsia="bg-BG"/>
        </w:rPr>
        <w:t xml:space="preserve">са документирани само сериозните нежелани лекарствени реакции като миалгия, повишаване на серумните трансаминази и СК. В </w:t>
      </w:r>
      <w:r w:rsidRPr="005F7E5F">
        <w:rPr>
          <w:rFonts w:eastAsia="Times New Roman" w:cs="Arial"/>
          <w:color w:val="000000"/>
          <w:szCs w:val="20"/>
          <w:lang w:val="en-US"/>
        </w:rPr>
        <w:t xml:space="preserve">4S </w:t>
      </w:r>
      <w:r w:rsidRPr="005F7E5F">
        <w:rPr>
          <w:rFonts w:eastAsia="Times New Roman" w:cs="Arial"/>
          <w:color w:val="000000"/>
          <w:szCs w:val="20"/>
          <w:lang w:eastAsia="bg-BG"/>
        </w:rPr>
        <w:t>са документирани всички нежелани лекарствени реакции описани по-долу. Ако честотата при симвастатин е била по-малка или подобна на тази при плацебо в тези изпитвания и е имало подобни, обясними, причинно-свързани спонтанно докладвани събития, тези нежелани лекарствени реакции са класифицирани като „редки”.</w:t>
      </w:r>
    </w:p>
    <w:p w14:paraId="2158CF3C" w14:textId="77777777" w:rsidR="005F7E5F" w:rsidRPr="005F7E5F" w:rsidRDefault="005F7E5F" w:rsidP="005F7E5F">
      <w:pPr>
        <w:spacing w:line="240" w:lineRule="auto"/>
        <w:rPr>
          <w:rFonts w:eastAsia="Times New Roman" w:cs="Arial"/>
          <w:color w:val="000000"/>
          <w:szCs w:val="20"/>
          <w:lang w:eastAsia="bg-BG"/>
        </w:rPr>
      </w:pPr>
    </w:p>
    <w:p w14:paraId="3E703C94" w14:textId="11959AAD" w:rsidR="005F7E5F" w:rsidRPr="005F7E5F" w:rsidRDefault="005F7E5F" w:rsidP="005F7E5F">
      <w:pPr>
        <w:rPr>
          <w:rFonts w:eastAsia="Times New Roman" w:cs="Arial"/>
          <w:lang w:eastAsia="bg-BG"/>
        </w:rPr>
      </w:pPr>
      <w:r w:rsidRPr="005F7E5F">
        <w:rPr>
          <w:rFonts w:eastAsia="Times New Roman" w:cs="Arial"/>
          <w:color w:val="000000"/>
          <w:szCs w:val="20"/>
          <w:lang w:eastAsia="bg-BG"/>
        </w:rPr>
        <w:t xml:space="preserve">В проучването </w:t>
      </w:r>
      <w:r w:rsidRPr="005F7E5F">
        <w:rPr>
          <w:rFonts w:eastAsia="Times New Roman" w:cs="Arial"/>
          <w:color w:val="000000"/>
          <w:szCs w:val="20"/>
          <w:lang w:val="en-US"/>
        </w:rPr>
        <w:t xml:space="preserve">HPS </w:t>
      </w:r>
      <w:r w:rsidRPr="005F7E5F">
        <w:rPr>
          <w:rFonts w:eastAsia="Times New Roman" w:cs="Arial"/>
          <w:color w:val="000000"/>
          <w:szCs w:val="20"/>
          <w:lang w:eastAsia="bg-BG"/>
        </w:rPr>
        <w:t xml:space="preserve">(вж. точка 5.1), включващо 20 536 пациенти е прилаган симвастатин 40 </w:t>
      </w:r>
      <w:r w:rsidRPr="005F7E5F">
        <w:rPr>
          <w:rFonts w:eastAsia="Times New Roman" w:cs="Arial"/>
          <w:color w:val="000000"/>
          <w:szCs w:val="20"/>
          <w:lang w:val="en-US"/>
        </w:rPr>
        <w:t xml:space="preserve">mg </w:t>
      </w:r>
      <w:r w:rsidRPr="005F7E5F">
        <w:rPr>
          <w:rFonts w:eastAsia="Times New Roman" w:cs="Arial"/>
          <w:color w:val="000000"/>
          <w:szCs w:val="20"/>
          <w:lang w:eastAsia="bg-BG"/>
        </w:rPr>
        <w:t xml:space="preserve">(п=10 269) дневно или плацебо (п=10 267), за периода на проучването от средно 5 години, профилът на безопасност е бил подобен при пациентите третирани със симвастатин 40 </w:t>
      </w:r>
      <w:r w:rsidRPr="005F7E5F">
        <w:rPr>
          <w:rFonts w:eastAsia="Times New Roman" w:cs="Arial"/>
          <w:color w:val="000000"/>
          <w:szCs w:val="20"/>
          <w:lang w:val="en-US"/>
        </w:rPr>
        <w:t xml:space="preserve">mg </w:t>
      </w:r>
      <w:r w:rsidRPr="005F7E5F">
        <w:rPr>
          <w:rFonts w:eastAsia="Times New Roman" w:cs="Arial"/>
          <w:color w:val="000000"/>
          <w:szCs w:val="20"/>
          <w:lang w:eastAsia="bg-BG"/>
        </w:rPr>
        <w:t>и тези,</w:t>
      </w:r>
      <w:r w:rsidRPr="005F7E5F">
        <w:rPr>
          <w:rFonts w:eastAsia="Times New Roman" w:cs="Arial"/>
          <w:color w:val="000000"/>
          <w:szCs w:val="20"/>
          <w:u w:val="single"/>
          <w:lang w:eastAsia="bg-BG"/>
        </w:rPr>
        <w:t xml:space="preserve"> </w:t>
      </w:r>
      <w:r w:rsidRPr="005F7E5F">
        <w:rPr>
          <w:rFonts w:eastAsia="Times New Roman" w:cs="Arial"/>
          <w:color w:val="000000"/>
          <w:szCs w:val="20"/>
          <w:lang w:eastAsia="bg-BG"/>
        </w:rPr>
        <w:t xml:space="preserve">третирани с плацебо. Честотите на прекъсване на терапията поради нежелани лекарствени реакции са сходни (4,8 % при пациентите, лекувани със симвастатин 40 </w:t>
      </w:r>
      <w:r w:rsidRPr="005F7E5F">
        <w:rPr>
          <w:rFonts w:eastAsia="Times New Roman" w:cs="Arial"/>
          <w:color w:val="000000"/>
          <w:szCs w:val="20"/>
          <w:lang w:val="en-US"/>
        </w:rPr>
        <w:t xml:space="preserve">mg </w:t>
      </w:r>
      <w:r w:rsidRPr="005F7E5F">
        <w:rPr>
          <w:rFonts w:eastAsia="Times New Roman" w:cs="Arial"/>
          <w:color w:val="000000"/>
          <w:szCs w:val="20"/>
          <w:lang w:eastAsia="bg-BG"/>
        </w:rPr>
        <w:t xml:space="preserve">и 5,1 % при пациентите на плацебо). Честотата на миопатия е била &lt;0,1% при пациентите, лекувани със симвастатин 40 </w:t>
      </w:r>
      <w:r w:rsidRPr="005F7E5F">
        <w:rPr>
          <w:rFonts w:eastAsia="Times New Roman" w:cs="Arial"/>
          <w:color w:val="000000"/>
          <w:szCs w:val="20"/>
          <w:lang w:val="en-US"/>
        </w:rPr>
        <w:t>mg</w:t>
      </w:r>
      <w:r w:rsidRPr="005F7E5F">
        <w:rPr>
          <w:rFonts w:eastAsia="Times New Roman" w:cs="Arial"/>
          <w:color w:val="000000"/>
          <w:szCs w:val="20"/>
          <w:lang w:eastAsia="bg-BG"/>
        </w:rPr>
        <w:t xml:space="preserve"> Честотата на повишени трансаминази (&gt;3 пъти ГГН, потвърдено с повторни изследвания)</w:t>
      </w:r>
      <w:r w:rsidRPr="005F7E5F">
        <w:rPr>
          <w:rFonts w:eastAsia="Times New Roman" w:cs="Arial"/>
          <w:color w:val="000000"/>
          <w:szCs w:val="20"/>
          <w:lang w:val="en-US"/>
        </w:rPr>
        <w:t xml:space="preserve"> </w:t>
      </w:r>
      <w:r w:rsidRPr="005F7E5F">
        <w:rPr>
          <w:rFonts w:eastAsia="Times New Roman" w:cs="Arial"/>
          <w:color w:val="000000"/>
          <w:szCs w:val="20"/>
          <w:lang w:eastAsia="bg-BG"/>
        </w:rPr>
        <w:t>е 0,21%</w:t>
      </w:r>
      <w:r w:rsidRPr="005F7E5F">
        <w:rPr>
          <w:rFonts w:eastAsia="Times New Roman" w:cs="Arial"/>
          <w:color w:val="000000"/>
          <w:szCs w:val="20"/>
          <w:lang w:val="en-US"/>
        </w:rPr>
        <w:t xml:space="preserve"> (n=2</w:t>
      </w:r>
      <w:r w:rsidRPr="005F7E5F">
        <w:rPr>
          <w:rFonts w:eastAsia="Times New Roman" w:cs="Arial"/>
          <w:color w:val="000000"/>
          <w:szCs w:val="20"/>
          <w:lang w:eastAsia="bg-BG"/>
        </w:rPr>
        <w:t xml:space="preserve">1) при пациентите лекувани със симвастатин 40 </w:t>
      </w:r>
      <w:r w:rsidRPr="005F7E5F">
        <w:rPr>
          <w:rFonts w:eastAsia="Times New Roman" w:cs="Arial"/>
          <w:color w:val="000000"/>
          <w:szCs w:val="20"/>
          <w:lang w:val="en-US"/>
        </w:rPr>
        <w:t xml:space="preserve">mg </w:t>
      </w:r>
      <w:r w:rsidRPr="005F7E5F">
        <w:rPr>
          <w:rFonts w:eastAsia="Times New Roman" w:cs="Arial"/>
          <w:color w:val="000000"/>
          <w:szCs w:val="20"/>
          <w:lang w:eastAsia="bg-BG"/>
        </w:rPr>
        <w:t>и 0,09% (</w:t>
      </w:r>
      <w:r w:rsidRPr="005F7E5F">
        <w:rPr>
          <w:rFonts w:eastAsia="Times New Roman" w:cs="Arial"/>
          <w:color w:val="000000"/>
          <w:szCs w:val="20"/>
          <w:lang w:val="en-US"/>
        </w:rPr>
        <w:t>n</w:t>
      </w:r>
      <w:r w:rsidRPr="005F7E5F">
        <w:rPr>
          <w:rFonts w:eastAsia="Times New Roman" w:cs="Arial"/>
          <w:color w:val="000000"/>
          <w:szCs w:val="20"/>
          <w:lang w:eastAsia="bg-BG"/>
        </w:rPr>
        <w:t>=9) при пациенти на плацебо,</w:t>
      </w:r>
      <w:r>
        <w:rPr>
          <w:rFonts w:eastAsia="Times New Roman" w:cs="Arial"/>
          <w:color w:val="000000"/>
          <w:szCs w:val="20"/>
          <w:lang w:val="en-US" w:eastAsia="bg-BG"/>
        </w:rPr>
        <w:t xml:space="preserve"> </w:t>
      </w:r>
      <w:r w:rsidRPr="005F7E5F">
        <w:rPr>
          <w:rFonts w:eastAsia="Times New Roman" w:cs="Arial"/>
          <w:color w:val="000000"/>
          <w:lang w:eastAsia="bg-BG"/>
        </w:rPr>
        <w:t>Честотата на нежеланите лекарствени реакции са класифицирани както следва: Много чести (≥</w:t>
      </w:r>
      <w:r w:rsidRPr="005F7E5F">
        <w:rPr>
          <w:rFonts w:eastAsia="Times New Roman" w:cs="Arial"/>
          <w:color w:val="000000"/>
          <w:lang w:val="en-US"/>
        </w:rPr>
        <w:t xml:space="preserve"> </w:t>
      </w:r>
      <w:r w:rsidRPr="005F7E5F">
        <w:rPr>
          <w:rFonts w:eastAsia="Times New Roman" w:cs="Arial"/>
          <w:color w:val="000000"/>
          <w:lang w:eastAsia="bg-BG"/>
        </w:rPr>
        <w:t>1/10); Чести (≥1/100 до &lt;1/10); Нечести (≥</w:t>
      </w:r>
      <w:r w:rsidRPr="005F7E5F">
        <w:rPr>
          <w:rFonts w:eastAsia="Times New Roman" w:cs="Arial"/>
          <w:color w:val="000000"/>
          <w:lang w:val="en-US"/>
        </w:rPr>
        <w:t xml:space="preserve"> </w:t>
      </w:r>
      <w:r w:rsidRPr="005F7E5F">
        <w:rPr>
          <w:rFonts w:eastAsia="Times New Roman" w:cs="Arial"/>
          <w:color w:val="000000"/>
          <w:lang w:eastAsia="bg-BG"/>
        </w:rPr>
        <w:t>1/1 000 до &lt;1/100); Редки (≥</w:t>
      </w:r>
      <w:r w:rsidRPr="005F7E5F">
        <w:rPr>
          <w:rFonts w:eastAsia="Times New Roman" w:cs="Arial"/>
          <w:color w:val="000000"/>
          <w:lang w:val="en-US"/>
        </w:rPr>
        <w:t xml:space="preserve"> </w:t>
      </w:r>
      <w:r w:rsidRPr="005F7E5F">
        <w:rPr>
          <w:rFonts w:eastAsia="Times New Roman" w:cs="Arial"/>
          <w:color w:val="000000"/>
          <w:lang w:eastAsia="bg-BG"/>
        </w:rPr>
        <w:t>1/10 000 до &lt;1/1 000);</w:t>
      </w:r>
      <w:r w:rsidRPr="005F7E5F">
        <w:rPr>
          <w:rFonts w:eastAsia="Times New Roman" w:cs="Arial"/>
          <w:lang w:val="en-US" w:eastAsia="bg-BG"/>
        </w:rPr>
        <w:t xml:space="preserve"> </w:t>
      </w:r>
      <w:r w:rsidRPr="005F7E5F">
        <w:rPr>
          <w:rFonts w:eastAsia="Times New Roman" w:cs="Arial"/>
          <w:color w:val="000000"/>
          <w:lang w:eastAsia="bg-BG"/>
        </w:rPr>
        <w:t>Много редки (&lt;1/10 000), с неизвестна честота (от наличните данни не може да бъде направена оценка).</w:t>
      </w:r>
    </w:p>
    <w:p w14:paraId="1C7D746D" w14:textId="77777777" w:rsidR="005F7E5F" w:rsidRPr="005F7E5F" w:rsidRDefault="005F7E5F" w:rsidP="005F7E5F">
      <w:pPr>
        <w:spacing w:line="240" w:lineRule="auto"/>
        <w:rPr>
          <w:rFonts w:eastAsia="Times New Roman" w:cs="Arial"/>
          <w:color w:val="000000"/>
          <w:u w:val="single"/>
          <w:lang w:eastAsia="bg-BG"/>
        </w:rPr>
      </w:pPr>
    </w:p>
    <w:p w14:paraId="72D0DF71" w14:textId="36B0175F" w:rsidR="005F7E5F" w:rsidRPr="005F7E5F" w:rsidRDefault="005F7E5F" w:rsidP="005F7E5F">
      <w:pPr>
        <w:spacing w:line="240" w:lineRule="auto"/>
        <w:rPr>
          <w:rFonts w:eastAsia="Times New Roman" w:cs="Arial"/>
          <w:lang w:eastAsia="bg-BG"/>
        </w:rPr>
      </w:pPr>
      <w:r w:rsidRPr="005F7E5F">
        <w:rPr>
          <w:rFonts w:eastAsia="Times New Roman" w:cs="Arial"/>
          <w:color w:val="000000"/>
          <w:u w:val="single"/>
          <w:lang w:eastAsia="bg-BG"/>
        </w:rPr>
        <w:t>Нарушения на кръвта и лимфната система:</w:t>
      </w:r>
    </w:p>
    <w:p w14:paraId="5218DE8C" w14:textId="77777777" w:rsidR="005F7E5F" w:rsidRPr="005F7E5F" w:rsidRDefault="005F7E5F" w:rsidP="005F7E5F">
      <w:pPr>
        <w:spacing w:line="240" w:lineRule="auto"/>
        <w:rPr>
          <w:rFonts w:eastAsia="Times New Roman" w:cs="Arial"/>
          <w:lang w:eastAsia="bg-BG"/>
        </w:rPr>
      </w:pPr>
      <w:r w:rsidRPr="005F7E5F">
        <w:rPr>
          <w:rFonts w:eastAsia="Times New Roman" w:cs="Arial"/>
          <w:i/>
          <w:iCs/>
          <w:color w:val="000000"/>
          <w:lang w:eastAsia="bg-BG"/>
        </w:rPr>
        <w:t>Редки:</w:t>
      </w:r>
      <w:r w:rsidRPr="005F7E5F">
        <w:rPr>
          <w:rFonts w:eastAsia="Times New Roman" w:cs="Arial"/>
          <w:color w:val="000000"/>
          <w:lang w:eastAsia="bg-BG"/>
        </w:rPr>
        <w:t xml:space="preserve"> анемия</w:t>
      </w:r>
    </w:p>
    <w:p w14:paraId="1F1E7B4D" w14:textId="77777777" w:rsidR="005F7E5F" w:rsidRPr="005F7E5F" w:rsidRDefault="005F7E5F" w:rsidP="005F7E5F">
      <w:pPr>
        <w:spacing w:line="240" w:lineRule="auto"/>
        <w:rPr>
          <w:rFonts w:eastAsia="Times New Roman" w:cs="Arial"/>
          <w:lang w:eastAsia="bg-BG"/>
        </w:rPr>
      </w:pPr>
      <w:r w:rsidRPr="005F7E5F">
        <w:rPr>
          <w:rFonts w:eastAsia="Times New Roman" w:cs="Arial"/>
          <w:color w:val="000000"/>
          <w:lang w:eastAsia="bg-BG"/>
        </w:rPr>
        <w:t>Нарушения на имунната система:</w:t>
      </w:r>
    </w:p>
    <w:p w14:paraId="6F6CF5A9" w14:textId="77777777" w:rsidR="005F7E5F" w:rsidRPr="005F7E5F" w:rsidRDefault="005F7E5F" w:rsidP="005F7E5F">
      <w:pPr>
        <w:spacing w:line="240" w:lineRule="auto"/>
        <w:rPr>
          <w:rFonts w:eastAsia="Times New Roman" w:cs="Arial"/>
          <w:lang w:eastAsia="bg-BG"/>
        </w:rPr>
      </w:pPr>
      <w:r w:rsidRPr="005F7E5F">
        <w:rPr>
          <w:rFonts w:eastAsia="Times New Roman" w:cs="Arial"/>
          <w:i/>
          <w:iCs/>
          <w:color w:val="000000"/>
          <w:lang w:eastAsia="bg-BG"/>
        </w:rPr>
        <w:t>Много редки:</w:t>
      </w:r>
      <w:r w:rsidRPr="005F7E5F">
        <w:rPr>
          <w:rFonts w:eastAsia="Times New Roman" w:cs="Arial"/>
          <w:color w:val="000000"/>
          <w:lang w:eastAsia="bg-BG"/>
        </w:rPr>
        <w:t xml:space="preserve"> анафилаксия</w:t>
      </w:r>
    </w:p>
    <w:p w14:paraId="2673772F" w14:textId="77777777" w:rsidR="005F7E5F" w:rsidRPr="005F7E5F" w:rsidRDefault="005F7E5F" w:rsidP="005F7E5F">
      <w:pPr>
        <w:spacing w:line="240" w:lineRule="auto"/>
        <w:rPr>
          <w:rFonts w:eastAsia="Times New Roman" w:cs="Arial"/>
          <w:color w:val="000000"/>
          <w:u w:val="single"/>
          <w:lang w:eastAsia="bg-BG"/>
        </w:rPr>
      </w:pPr>
    </w:p>
    <w:p w14:paraId="4219598B" w14:textId="7E65E79D" w:rsidR="005F7E5F" w:rsidRPr="005F7E5F" w:rsidRDefault="005F7E5F" w:rsidP="005F7E5F">
      <w:pPr>
        <w:spacing w:line="240" w:lineRule="auto"/>
        <w:rPr>
          <w:rFonts w:eastAsia="Times New Roman" w:cs="Arial"/>
          <w:lang w:eastAsia="bg-BG"/>
        </w:rPr>
      </w:pPr>
      <w:r w:rsidRPr="005F7E5F">
        <w:rPr>
          <w:rFonts w:eastAsia="Times New Roman" w:cs="Arial"/>
          <w:color w:val="000000"/>
          <w:u w:val="single"/>
          <w:lang w:eastAsia="bg-BG"/>
        </w:rPr>
        <w:t>Психични нарушения:</w:t>
      </w:r>
    </w:p>
    <w:p w14:paraId="618CFACB" w14:textId="77777777" w:rsidR="005F7E5F" w:rsidRPr="005F7E5F" w:rsidRDefault="005F7E5F" w:rsidP="005F7E5F">
      <w:pPr>
        <w:spacing w:line="240" w:lineRule="auto"/>
        <w:rPr>
          <w:rFonts w:eastAsia="Times New Roman" w:cs="Arial"/>
          <w:lang w:eastAsia="bg-BG"/>
        </w:rPr>
      </w:pPr>
      <w:r w:rsidRPr="005F7E5F">
        <w:rPr>
          <w:rFonts w:eastAsia="Times New Roman" w:cs="Arial"/>
          <w:i/>
          <w:iCs/>
          <w:color w:val="000000"/>
          <w:lang w:eastAsia="bg-BG"/>
        </w:rPr>
        <w:t>Много редки:</w:t>
      </w:r>
      <w:r w:rsidRPr="005F7E5F">
        <w:rPr>
          <w:rFonts w:eastAsia="Times New Roman" w:cs="Arial"/>
          <w:color w:val="000000"/>
          <w:lang w:eastAsia="bg-BG"/>
        </w:rPr>
        <w:t xml:space="preserve"> безсъние</w:t>
      </w:r>
    </w:p>
    <w:p w14:paraId="787E1AA7" w14:textId="77777777" w:rsidR="005F7E5F" w:rsidRPr="005F7E5F" w:rsidRDefault="005F7E5F" w:rsidP="005F7E5F">
      <w:pPr>
        <w:spacing w:line="240" w:lineRule="auto"/>
        <w:rPr>
          <w:rFonts w:eastAsia="Times New Roman" w:cs="Arial"/>
          <w:lang w:eastAsia="bg-BG"/>
        </w:rPr>
      </w:pPr>
      <w:r w:rsidRPr="005F7E5F">
        <w:rPr>
          <w:rFonts w:eastAsia="Times New Roman" w:cs="Arial"/>
          <w:color w:val="000000"/>
          <w:lang w:eastAsia="bg-BG"/>
        </w:rPr>
        <w:t xml:space="preserve">С </w:t>
      </w:r>
      <w:r w:rsidRPr="005F7E5F">
        <w:rPr>
          <w:rFonts w:eastAsia="Times New Roman" w:cs="Arial"/>
          <w:i/>
          <w:iCs/>
          <w:color w:val="000000"/>
          <w:lang w:eastAsia="bg-BG"/>
        </w:rPr>
        <w:t>неизвестна честота:</w:t>
      </w:r>
      <w:r w:rsidRPr="005F7E5F">
        <w:rPr>
          <w:rFonts w:eastAsia="Times New Roman" w:cs="Arial"/>
          <w:color w:val="000000"/>
          <w:lang w:eastAsia="bg-BG"/>
        </w:rPr>
        <w:t xml:space="preserve"> депресия</w:t>
      </w:r>
    </w:p>
    <w:p w14:paraId="7C87BCE0" w14:textId="77777777" w:rsidR="005F7E5F" w:rsidRPr="005F7E5F" w:rsidRDefault="005F7E5F" w:rsidP="005F7E5F">
      <w:pPr>
        <w:spacing w:line="240" w:lineRule="auto"/>
        <w:rPr>
          <w:rFonts w:eastAsia="Times New Roman" w:cs="Arial"/>
          <w:color w:val="000000"/>
          <w:u w:val="single"/>
          <w:lang w:eastAsia="bg-BG"/>
        </w:rPr>
      </w:pPr>
    </w:p>
    <w:p w14:paraId="18D181DD" w14:textId="0B349D6B" w:rsidR="005F7E5F" w:rsidRPr="005F7E5F" w:rsidRDefault="005F7E5F" w:rsidP="005F7E5F">
      <w:pPr>
        <w:spacing w:line="240" w:lineRule="auto"/>
        <w:rPr>
          <w:rFonts w:eastAsia="Times New Roman" w:cs="Arial"/>
          <w:lang w:eastAsia="bg-BG"/>
        </w:rPr>
      </w:pPr>
      <w:r w:rsidRPr="005F7E5F">
        <w:rPr>
          <w:rFonts w:eastAsia="Times New Roman" w:cs="Arial"/>
          <w:color w:val="000000"/>
          <w:u w:val="single"/>
          <w:lang w:eastAsia="bg-BG"/>
        </w:rPr>
        <w:t>Нарушения на нервната система:</w:t>
      </w:r>
    </w:p>
    <w:p w14:paraId="386FC53D" w14:textId="77777777" w:rsidR="005F7E5F" w:rsidRPr="005F7E5F" w:rsidRDefault="005F7E5F" w:rsidP="005F7E5F">
      <w:pPr>
        <w:spacing w:line="240" w:lineRule="auto"/>
        <w:rPr>
          <w:rFonts w:eastAsia="Times New Roman" w:cs="Arial"/>
          <w:lang w:eastAsia="bg-BG"/>
        </w:rPr>
      </w:pPr>
      <w:r w:rsidRPr="005F7E5F">
        <w:rPr>
          <w:rFonts w:eastAsia="Times New Roman" w:cs="Arial"/>
          <w:i/>
          <w:iCs/>
          <w:color w:val="000000"/>
          <w:lang w:eastAsia="bg-BG"/>
        </w:rPr>
        <w:t>Редки:</w:t>
      </w:r>
      <w:r w:rsidRPr="005F7E5F">
        <w:rPr>
          <w:rFonts w:eastAsia="Times New Roman" w:cs="Arial"/>
          <w:color w:val="000000"/>
          <w:lang w:eastAsia="bg-BG"/>
        </w:rPr>
        <w:t xml:space="preserve"> главоболие, парестезия, замаяност, периферна невропатия</w:t>
      </w:r>
    </w:p>
    <w:p w14:paraId="32EE99B7" w14:textId="77777777" w:rsidR="005F7E5F" w:rsidRPr="005F7E5F" w:rsidRDefault="005F7E5F" w:rsidP="005F7E5F">
      <w:pPr>
        <w:spacing w:line="240" w:lineRule="auto"/>
        <w:rPr>
          <w:rFonts w:eastAsia="Times New Roman" w:cs="Arial"/>
          <w:lang w:eastAsia="bg-BG"/>
        </w:rPr>
      </w:pPr>
      <w:r w:rsidRPr="005F7E5F">
        <w:rPr>
          <w:rFonts w:eastAsia="Times New Roman" w:cs="Arial"/>
          <w:i/>
          <w:iCs/>
          <w:color w:val="000000"/>
          <w:lang w:eastAsia="bg-BG"/>
        </w:rPr>
        <w:t>Много редки:</w:t>
      </w:r>
      <w:r w:rsidRPr="005F7E5F">
        <w:rPr>
          <w:rFonts w:eastAsia="Times New Roman" w:cs="Arial"/>
          <w:color w:val="000000"/>
          <w:lang w:eastAsia="bg-BG"/>
        </w:rPr>
        <w:t xml:space="preserve"> увреждане на паметта</w:t>
      </w:r>
    </w:p>
    <w:p w14:paraId="2A6F4EF4" w14:textId="77777777" w:rsidR="005F7E5F" w:rsidRPr="005F7E5F" w:rsidRDefault="005F7E5F" w:rsidP="005F7E5F">
      <w:pPr>
        <w:spacing w:line="240" w:lineRule="auto"/>
        <w:rPr>
          <w:rFonts w:eastAsia="Times New Roman" w:cs="Arial"/>
          <w:color w:val="000000"/>
          <w:u w:val="single"/>
          <w:lang w:eastAsia="bg-BG"/>
        </w:rPr>
      </w:pPr>
    </w:p>
    <w:p w14:paraId="068BD22F" w14:textId="77AC5CC1" w:rsidR="005F7E5F" w:rsidRPr="005F7E5F" w:rsidRDefault="005F7E5F" w:rsidP="005F7E5F">
      <w:pPr>
        <w:spacing w:line="240" w:lineRule="auto"/>
        <w:rPr>
          <w:rFonts w:eastAsia="Times New Roman" w:cs="Arial"/>
          <w:lang w:eastAsia="bg-BG"/>
        </w:rPr>
      </w:pPr>
      <w:r w:rsidRPr="005F7E5F">
        <w:rPr>
          <w:rFonts w:eastAsia="Times New Roman" w:cs="Arial"/>
          <w:color w:val="000000"/>
          <w:u w:val="single"/>
          <w:lang w:eastAsia="bg-BG"/>
        </w:rPr>
        <w:t>Респираторни, гръдни и медиастиални нарушения:</w:t>
      </w:r>
    </w:p>
    <w:p w14:paraId="3D0AFA3D" w14:textId="77777777" w:rsidR="005F7E5F" w:rsidRPr="005F7E5F" w:rsidRDefault="005F7E5F" w:rsidP="005F7E5F">
      <w:pPr>
        <w:spacing w:line="240" w:lineRule="auto"/>
        <w:rPr>
          <w:rFonts w:eastAsia="Times New Roman" w:cs="Arial"/>
          <w:lang w:eastAsia="bg-BG"/>
        </w:rPr>
      </w:pPr>
      <w:r w:rsidRPr="005F7E5F">
        <w:rPr>
          <w:rFonts w:eastAsia="Times New Roman" w:cs="Arial"/>
          <w:i/>
          <w:iCs/>
          <w:color w:val="000000"/>
          <w:lang w:eastAsia="bg-BG"/>
        </w:rPr>
        <w:t>С неизвестна честота:</w:t>
      </w:r>
      <w:r w:rsidRPr="005F7E5F">
        <w:rPr>
          <w:rFonts w:eastAsia="Times New Roman" w:cs="Arial"/>
          <w:color w:val="000000"/>
          <w:lang w:eastAsia="bg-BG"/>
        </w:rPr>
        <w:t xml:space="preserve"> интерстициална белодробна болест (вж. точка 4.4).</w:t>
      </w:r>
    </w:p>
    <w:p w14:paraId="67991AF7" w14:textId="77777777" w:rsidR="005F7E5F" w:rsidRPr="005F7E5F" w:rsidRDefault="005F7E5F" w:rsidP="005F7E5F">
      <w:pPr>
        <w:spacing w:line="240" w:lineRule="auto"/>
        <w:rPr>
          <w:rFonts w:eastAsia="Times New Roman" w:cs="Arial"/>
          <w:color w:val="000000"/>
          <w:u w:val="single"/>
          <w:lang w:eastAsia="bg-BG"/>
        </w:rPr>
      </w:pPr>
    </w:p>
    <w:p w14:paraId="692ED398" w14:textId="761A3CBD" w:rsidR="005F7E5F" w:rsidRPr="005F7E5F" w:rsidRDefault="005F7E5F" w:rsidP="005F7E5F">
      <w:pPr>
        <w:spacing w:line="240" w:lineRule="auto"/>
        <w:rPr>
          <w:rFonts w:eastAsia="Times New Roman" w:cs="Arial"/>
          <w:lang w:eastAsia="bg-BG"/>
        </w:rPr>
      </w:pPr>
      <w:r w:rsidRPr="005F7E5F">
        <w:rPr>
          <w:rFonts w:eastAsia="Times New Roman" w:cs="Arial"/>
          <w:color w:val="000000"/>
          <w:u w:val="single"/>
          <w:lang w:eastAsia="bg-BG"/>
        </w:rPr>
        <w:t>Стомашно-чревни нарушения:</w:t>
      </w:r>
    </w:p>
    <w:p w14:paraId="44785B77" w14:textId="77777777" w:rsidR="005F7E5F" w:rsidRPr="005F7E5F" w:rsidRDefault="005F7E5F" w:rsidP="005F7E5F">
      <w:pPr>
        <w:spacing w:line="240" w:lineRule="auto"/>
        <w:rPr>
          <w:rFonts w:eastAsia="Times New Roman" w:cs="Arial"/>
          <w:lang w:eastAsia="bg-BG"/>
        </w:rPr>
      </w:pPr>
      <w:r w:rsidRPr="005F7E5F">
        <w:rPr>
          <w:rFonts w:eastAsia="Times New Roman" w:cs="Arial"/>
          <w:i/>
          <w:iCs/>
          <w:color w:val="000000"/>
          <w:lang w:eastAsia="bg-BG"/>
        </w:rPr>
        <w:t>Редки:</w:t>
      </w:r>
      <w:r w:rsidRPr="005F7E5F">
        <w:rPr>
          <w:rFonts w:eastAsia="Times New Roman" w:cs="Arial"/>
          <w:color w:val="000000"/>
          <w:lang w:eastAsia="bg-BG"/>
        </w:rPr>
        <w:t xml:space="preserve"> констипация, абдоминална болка, флатуленция, диспепсия, диария, гадене; повръщане, панкреатит</w:t>
      </w:r>
    </w:p>
    <w:p w14:paraId="588EB748" w14:textId="77777777" w:rsidR="005F7E5F" w:rsidRPr="005F7E5F" w:rsidRDefault="005F7E5F" w:rsidP="005F7E5F">
      <w:pPr>
        <w:spacing w:line="240" w:lineRule="auto"/>
        <w:rPr>
          <w:rFonts w:eastAsia="Times New Roman" w:cs="Arial"/>
          <w:color w:val="000000"/>
          <w:u w:val="single"/>
          <w:lang w:eastAsia="bg-BG"/>
        </w:rPr>
      </w:pPr>
    </w:p>
    <w:p w14:paraId="5859B7A0" w14:textId="3DAAB280" w:rsidR="005F7E5F" w:rsidRPr="005F7E5F" w:rsidRDefault="005F7E5F" w:rsidP="005F7E5F">
      <w:pPr>
        <w:spacing w:line="240" w:lineRule="auto"/>
        <w:rPr>
          <w:rFonts w:eastAsia="Times New Roman" w:cs="Arial"/>
          <w:lang w:eastAsia="bg-BG"/>
        </w:rPr>
      </w:pPr>
      <w:r w:rsidRPr="005F7E5F">
        <w:rPr>
          <w:rFonts w:eastAsia="Times New Roman" w:cs="Arial"/>
          <w:color w:val="000000"/>
          <w:u w:val="single"/>
          <w:lang w:eastAsia="bg-BG"/>
        </w:rPr>
        <w:t>Хепатобилиарни нарушения:</w:t>
      </w:r>
    </w:p>
    <w:p w14:paraId="04E65556" w14:textId="77777777" w:rsidR="005F7E5F" w:rsidRPr="005F7E5F" w:rsidRDefault="005F7E5F" w:rsidP="005F7E5F">
      <w:pPr>
        <w:spacing w:line="240" w:lineRule="auto"/>
        <w:rPr>
          <w:rFonts w:eastAsia="Times New Roman" w:cs="Arial"/>
          <w:lang w:eastAsia="bg-BG"/>
        </w:rPr>
      </w:pPr>
      <w:r w:rsidRPr="005F7E5F">
        <w:rPr>
          <w:rFonts w:eastAsia="Times New Roman" w:cs="Arial"/>
          <w:i/>
          <w:iCs/>
          <w:color w:val="000000"/>
          <w:lang w:eastAsia="bg-BG"/>
        </w:rPr>
        <w:t>Редки:</w:t>
      </w:r>
      <w:r w:rsidRPr="005F7E5F">
        <w:rPr>
          <w:rFonts w:eastAsia="Times New Roman" w:cs="Arial"/>
          <w:color w:val="000000"/>
          <w:lang w:eastAsia="bg-BG"/>
        </w:rPr>
        <w:t xml:space="preserve"> хепатит/иктер</w:t>
      </w:r>
    </w:p>
    <w:p w14:paraId="1364806A" w14:textId="77777777" w:rsidR="005F7E5F" w:rsidRPr="005F7E5F" w:rsidRDefault="005F7E5F" w:rsidP="005F7E5F">
      <w:pPr>
        <w:spacing w:line="240" w:lineRule="auto"/>
        <w:rPr>
          <w:rFonts w:eastAsia="Times New Roman" w:cs="Arial"/>
          <w:lang w:eastAsia="bg-BG"/>
        </w:rPr>
      </w:pPr>
      <w:r w:rsidRPr="005F7E5F">
        <w:rPr>
          <w:rFonts w:eastAsia="Times New Roman" w:cs="Arial"/>
          <w:i/>
          <w:iCs/>
          <w:color w:val="000000"/>
          <w:lang w:eastAsia="bg-BG"/>
        </w:rPr>
        <w:t>Много редки:</w:t>
      </w:r>
      <w:r w:rsidRPr="005F7E5F">
        <w:rPr>
          <w:rFonts w:eastAsia="Times New Roman" w:cs="Arial"/>
          <w:color w:val="000000"/>
          <w:lang w:eastAsia="bg-BG"/>
        </w:rPr>
        <w:t xml:space="preserve"> фатална и нефатална чернодробна недостатъчност</w:t>
      </w:r>
    </w:p>
    <w:p w14:paraId="264EF21B" w14:textId="77777777" w:rsidR="005F7E5F" w:rsidRPr="005F7E5F" w:rsidRDefault="005F7E5F" w:rsidP="005F7E5F">
      <w:pPr>
        <w:spacing w:line="240" w:lineRule="auto"/>
        <w:rPr>
          <w:rFonts w:eastAsia="Times New Roman" w:cs="Arial"/>
          <w:color w:val="000000"/>
          <w:u w:val="single"/>
          <w:lang w:eastAsia="bg-BG"/>
        </w:rPr>
      </w:pPr>
    </w:p>
    <w:p w14:paraId="119F1084" w14:textId="3F1867B2" w:rsidR="005F7E5F" w:rsidRPr="005F7E5F" w:rsidRDefault="005F7E5F" w:rsidP="005F7E5F">
      <w:pPr>
        <w:spacing w:line="240" w:lineRule="auto"/>
        <w:rPr>
          <w:rFonts w:eastAsia="Times New Roman" w:cs="Arial"/>
          <w:lang w:eastAsia="bg-BG"/>
        </w:rPr>
      </w:pPr>
      <w:r w:rsidRPr="005F7E5F">
        <w:rPr>
          <w:rFonts w:eastAsia="Times New Roman" w:cs="Arial"/>
          <w:color w:val="000000"/>
          <w:u w:val="single"/>
          <w:lang w:eastAsia="bg-BG"/>
        </w:rPr>
        <w:t>Нарушения на кожата и подкожната тъкан:</w:t>
      </w:r>
    </w:p>
    <w:p w14:paraId="1E495FA9" w14:textId="77777777" w:rsidR="005F7E5F" w:rsidRPr="005F7E5F" w:rsidRDefault="005F7E5F" w:rsidP="005F7E5F">
      <w:pPr>
        <w:spacing w:line="240" w:lineRule="auto"/>
        <w:rPr>
          <w:rFonts w:eastAsia="Times New Roman" w:cs="Arial"/>
          <w:lang w:eastAsia="bg-BG"/>
        </w:rPr>
      </w:pPr>
      <w:r w:rsidRPr="005F7E5F">
        <w:rPr>
          <w:rFonts w:eastAsia="Times New Roman" w:cs="Arial"/>
          <w:i/>
          <w:iCs/>
          <w:color w:val="000000"/>
          <w:lang w:eastAsia="bg-BG"/>
        </w:rPr>
        <w:t>Редки:</w:t>
      </w:r>
      <w:r w:rsidRPr="005F7E5F">
        <w:rPr>
          <w:rFonts w:eastAsia="Times New Roman" w:cs="Arial"/>
          <w:color w:val="000000"/>
          <w:lang w:eastAsia="bg-BG"/>
        </w:rPr>
        <w:t xml:space="preserve"> обрив, сърбеж, алопеция</w:t>
      </w:r>
    </w:p>
    <w:p w14:paraId="52A19AC9" w14:textId="77777777" w:rsidR="005F7E5F" w:rsidRPr="005F7E5F" w:rsidRDefault="005F7E5F" w:rsidP="005F7E5F">
      <w:pPr>
        <w:spacing w:line="240" w:lineRule="auto"/>
        <w:rPr>
          <w:rFonts w:eastAsia="Times New Roman" w:cs="Arial"/>
          <w:color w:val="000000"/>
          <w:u w:val="single"/>
          <w:lang w:eastAsia="bg-BG"/>
        </w:rPr>
      </w:pPr>
    </w:p>
    <w:p w14:paraId="7FE7A9B6" w14:textId="2D4F3499" w:rsidR="005F7E5F" w:rsidRPr="005F7E5F" w:rsidRDefault="005F7E5F" w:rsidP="005F7E5F">
      <w:pPr>
        <w:spacing w:line="240" w:lineRule="auto"/>
        <w:rPr>
          <w:rFonts w:eastAsia="Times New Roman" w:cs="Arial"/>
          <w:lang w:eastAsia="bg-BG"/>
        </w:rPr>
      </w:pPr>
      <w:r w:rsidRPr="005F7E5F">
        <w:rPr>
          <w:rFonts w:eastAsia="Times New Roman" w:cs="Arial"/>
          <w:color w:val="000000"/>
          <w:u w:val="single"/>
          <w:lang w:eastAsia="bg-BG"/>
        </w:rPr>
        <w:t>Нарушения на мускулно-скелетната система и съединителна тъкан:</w:t>
      </w:r>
    </w:p>
    <w:p w14:paraId="7566AAB8" w14:textId="77777777" w:rsidR="005F7E5F" w:rsidRPr="005F7E5F" w:rsidRDefault="005F7E5F" w:rsidP="005F7E5F">
      <w:pPr>
        <w:spacing w:line="240" w:lineRule="auto"/>
        <w:rPr>
          <w:rFonts w:eastAsia="Times New Roman" w:cs="Arial"/>
          <w:lang w:eastAsia="bg-BG"/>
        </w:rPr>
      </w:pPr>
      <w:r w:rsidRPr="005F7E5F">
        <w:rPr>
          <w:rFonts w:eastAsia="Times New Roman" w:cs="Arial"/>
          <w:i/>
          <w:iCs/>
          <w:color w:val="000000"/>
          <w:lang w:eastAsia="bg-BG"/>
        </w:rPr>
        <w:t>Редки:</w:t>
      </w:r>
      <w:r w:rsidRPr="005F7E5F">
        <w:rPr>
          <w:rFonts w:eastAsia="Times New Roman" w:cs="Arial"/>
          <w:color w:val="000000"/>
          <w:lang w:eastAsia="bg-BG"/>
        </w:rPr>
        <w:t xml:space="preserve"> миопатия* (включително миозит), рабдомиолиза със или без остра бъбречна недостатъчност (вж. точка 4.4), миалгия, мускулни крампи</w:t>
      </w:r>
    </w:p>
    <w:p w14:paraId="72D70CF1" w14:textId="77777777" w:rsidR="005F7E5F" w:rsidRPr="005F7E5F" w:rsidRDefault="005F7E5F" w:rsidP="005F7E5F">
      <w:pPr>
        <w:spacing w:line="240" w:lineRule="auto"/>
        <w:rPr>
          <w:rFonts w:eastAsia="Times New Roman" w:cs="Arial"/>
          <w:color w:val="000000"/>
          <w:lang w:eastAsia="bg-BG"/>
        </w:rPr>
      </w:pPr>
    </w:p>
    <w:p w14:paraId="7EB03B91" w14:textId="1CBBFC9E" w:rsidR="005F7E5F" w:rsidRPr="005F7E5F" w:rsidRDefault="005F7E5F" w:rsidP="005F7E5F">
      <w:pPr>
        <w:spacing w:line="240" w:lineRule="auto"/>
        <w:rPr>
          <w:rFonts w:eastAsia="Times New Roman" w:cs="Arial"/>
          <w:lang w:eastAsia="bg-BG"/>
        </w:rPr>
      </w:pPr>
      <w:r w:rsidRPr="005F7E5F">
        <w:rPr>
          <w:rFonts w:eastAsia="Times New Roman" w:cs="Arial"/>
          <w:color w:val="000000"/>
          <w:lang w:eastAsia="bg-BG"/>
        </w:rPr>
        <w:t xml:space="preserve">*В едно клинично проучване миопатия се среща обичайно при пациенти, лекувани със симвастатин 80 </w:t>
      </w:r>
      <w:r w:rsidRPr="005F7E5F">
        <w:rPr>
          <w:rFonts w:eastAsia="Times New Roman" w:cs="Arial"/>
          <w:color w:val="000000"/>
          <w:lang w:val="en-US"/>
        </w:rPr>
        <w:t xml:space="preserve">mg </w:t>
      </w:r>
      <w:r w:rsidRPr="005F7E5F">
        <w:rPr>
          <w:rFonts w:eastAsia="Times New Roman" w:cs="Arial"/>
          <w:color w:val="000000"/>
          <w:lang w:eastAsia="bg-BG"/>
        </w:rPr>
        <w:t xml:space="preserve">дневно в сравнение с пациентите, лекувани със симвастатин 20 </w:t>
      </w:r>
      <w:r w:rsidRPr="005F7E5F">
        <w:rPr>
          <w:rFonts w:eastAsia="Times New Roman" w:cs="Arial"/>
          <w:color w:val="000000"/>
          <w:lang w:val="en-US"/>
        </w:rPr>
        <w:t xml:space="preserve">mg </w:t>
      </w:r>
      <w:r w:rsidRPr="005F7E5F">
        <w:rPr>
          <w:rFonts w:eastAsia="Times New Roman" w:cs="Arial"/>
          <w:color w:val="000000"/>
          <w:lang w:eastAsia="bg-BG"/>
        </w:rPr>
        <w:t>дневно (съответно 1,0% спрямо 0,02%)(вж. точки 4.4 и 4.5).</w:t>
      </w:r>
    </w:p>
    <w:p w14:paraId="49EA2B14" w14:textId="77777777" w:rsidR="005F7E5F" w:rsidRPr="005F7E5F" w:rsidRDefault="005F7E5F" w:rsidP="005F7E5F">
      <w:pPr>
        <w:spacing w:line="240" w:lineRule="auto"/>
        <w:rPr>
          <w:rFonts w:eastAsia="Times New Roman" w:cs="Arial"/>
          <w:lang w:eastAsia="bg-BG"/>
        </w:rPr>
      </w:pPr>
      <w:r w:rsidRPr="005F7E5F">
        <w:rPr>
          <w:rFonts w:eastAsia="Times New Roman" w:cs="Arial"/>
          <w:color w:val="000000"/>
          <w:lang w:eastAsia="bg-BG"/>
        </w:rPr>
        <w:t xml:space="preserve">С </w:t>
      </w:r>
      <w:r w:rsidRPr="005F7E5F">
        <w:rPr>
          <w:rFonts w:eastAsia="Times New Roman" w:cs="Arial"/>
          <w:i/>
          <w:iCs/>
          <w:color w:val="000000"/>
          <w:lang w:eastAsia="bg-BG"/>
        </w:rPr>
        <w:t>неизвестна честота:</w:t>
      </w:r>
      <w:r w:rsidRPr="005F7E5F">
        <w:rPr>
          <w:rFonts w:eastAsia="Times New Roman" w:cs="Arial"/>
          <w:color w:val="000000"/>
          <w:lang w:eastAsia="bg-BG"/>
        </w:rPr>
        <w:t xml:space="preserve"> тендинопатия, понякога усложнена с руптура; имуномедиирана некротизираща миопатия (ИМНМ)**</w:t>
      </w:r>
    </w:p>
    <w:p w14:paraId="37836C6B" w14:textId="77777777" w:rsidR="005F7E5F" w:rsidRPr="005F7E5F" w:rsidRDefault="005F7E5F" w:rsidP="005F7E5F">
      <w:pPr>
        <w:spacing w:line="240" w:lineRule="auto"/>
        <w:rPr>
          <w:rFonts w:eastAsia="Times New Roman" w:cs="Arial"/>
          <w:lang w:eastAsia="bg-BG"/>
        </w:rPr>
      </w:pPr>
      <w:r w:rsidRPr="005F7E5F">
        <w:rPr>
          <w:rFonts w:eastAsia="Times New Roman" w:cs="Arial"/>
          <w:color w:val="000000"/>
          <w:lang w:eastAsia="bg-BG"/>
        </w:rPr>
        <w:t>**Много рядко са съобщавани случаи на имуномедиирана некротизираща миопатия (ИМНМ), автоимунна миопатия, по време на или след лечение с някои статини. Клинично ИМНМ се характеризира с: пресистираща проксимална мускулна слабост и повишени серумни нива на креатин киназата, които персистират, въпреки прекратяването на лечението със статии; мускулна биопсия, показваща некротизираща миопатия без значимо възпаление; подобрение с имуносуперсивни средства (вж. точка 4.4).</w:t>
      </w:r>
    </w:p>
    <w:p w14:paraId="02B7F1A4" w14:textId="77777777" w:rsidR="005F7E5F" w:rsidRPr="005F7E5F" w:rsidRDefault="005F7E5F" w:rsidP="005F7E5F">
      <w:pPr>
        <w:spacing w:line="240" w:lineRule="auto"/>
        <w:rPr>
          <w:rFonts w:eastAsia="Times New Roman" w:cs="Arial"/>
          <w:color w:val="000000"/>
          <w:u w:val="single"/>
          <w:lang w:eastAsia="bg-BG"/>
        </w:rPr>
      </w:pPr>
    </w:p>
    <w:p w14:paraId="47E309A8" w14:textId="3241005E" w:rsidR="005F7E5F" w:rsidRPr="005F7E5F" w:rsidRDefault="005F7E5F" w:rsidP="005F7E5F">
      <w:pPr>
        <w:spacing w:line="240" w:lineRule="auto"/>
        <w:rPr>
          <w:rFonts w:eastAsia="Times New Roman" w:cs="Arial"/>
          <w:lang w:eastAsia="bg-BG"/>
        </w:rPr>
      </w:pPr>
      <w:r w:rsidRPr="005F7E5F">
        <w:rPr>
          <w:rFonts w:eastAsia="Times New Roman" w:cs="Arial"/>
          <w:color w:val="000000"/>
          <w:u w:val="single"/>
          <w:lang w:eastAsia="bg-BG"/>
        </w:rPr>
        <w:t>Нарушения на възпроизводителната система и гърдата:</w:t>
      </w:r>
    </w:p>
    <w:p w14:paraId="6BF64221" w14:textId="77777777" w:rsidR="005F7E5F" w:rsidRPr="005F7E5F" w:rsidRDefault="005F7E5F" w:rsidP="005F7E5F">
      <w:pPr>
        <w:spacing w:line="240" w:lineRule="auto"/>
        <w:rPr>
          <w:rFonts w:eastAsia="Times New Roman" w:cs="Arial"/>
          <w:lang w:eastAsia="bg-BG"/>
        </w:rPr>
      </w:pPr>
      <w:r w:rsidRPr="005F7E5F">
        <w:rPr>
          <w:rFonts w:eastAsia="Times New Roman" w:cs="Arial"/>
          <w:i/>
          <w:iCs/>
          <w:color w:val="000000"/>
          <w:lang w:eastAsia="bg-BG"/>
        </w:rPr>
        <w:t>С неизвестна честота:</w:t>
      </w:r>
      <w:r w:rsidRPr="005F7E5F">
        <w:rPr>
          <w:rFonts w:eastAsia="Times New Roman" w:cs="Arial"/>
          <w:color w:val="000000"/>
          <w:lang w:eastAsia="bg-BG"/>
        </w:rPr>
        <w:t xml:space="preserve"> еректилна дисфункция</w:t>
      </w:r>
    </w:p>
    <w:p w14:paraId="5A48B47D" w14:textId="77777777" w:rsidR="005F7E5F" w:rsidRPr="005F7E5F" w:rsidRDefault="005F7E5F" w:rsidP="005F7E5F">
      <w:pPr>
        <w:spacing w:line="240" w:lineRule="auto"/>
        <w:rPr>
          <w:rFonts w:eastAsia="Times New Roman" w:cs="Arial"/>
          <w:color w:val="000000"/>
          <w:u w:val="single"/>
          <w:lang w:eastAsia="bg-BG"/>
        </w:rPr>
      </w:pPr>
    </w:p>
    <w:p w14:paraId="6153CC7F" w14:textId="335B8D4E" w:rsidR="005F7E5F" w:rsidRPr="005F7E5F" w:rsidRDefault="005F7E5F" w:rsidP="005F7E5F">
      <w:pPr>
        <w:spacing w:line="240" w:lineRule="auto"/>
        <w:rPr>
          <w:rFonts w:eastAsia="Times New Roman" w:cs="Arial"/>
          <w:lang w:eastAsia="bg-BG"/>
        </w:rPr>
      </w:pPr>
      <w:r w:rsidRPr="005F7E5F">
        <w:rPr>
          <w:rFonts w:eastAsia="Times New Roman" w:cs="Arial"/>
          <w:color w:val="000000"/>
          <w:u w:val="single"/>
          <w:lang w:eastAsia="bg-BG"/>
        </w:rPr>
        <w:t>Общи нарушения и ефекти на мястото на приложение:</w:t>
      </w:r>
    </w:p>
    <w:p w14:paraId="570508C4" w14:textId="65BDCBBC" w:rsidR="0091385D" w:rsidRPr="005F7E5F" w:rsidRDefault="005F7E5F" w:rsidP="005F7E5F">
      <w:pPr>
        <w:spacing w:line="240" w:lineRule="auto"/>
        <w:rPr>
          <w:rFonts w:eastAsia="Times New Roman" w:cs="Arial"/>
          <w:color w:val="000000"/>
          <w:lang w:eastAsia="bg-BG"/>
        </w:rPr>
      </w:pPr>
      <w:r w:rsidRPr="005F7E5F">
        <w:rPr>
          <w:rFonts w:eastAsia="Times New Roman" w:cs="Arial"/>
          <w:i/>
          <w:iCs/>
          <w:color w:val="000000"/>
          <w:lang w:eastAsia="bg-BG"/>
        </w:rPr>
        <w:t>Редки:</w:t>
      </w:r>
      <w:r w:rsidRPr="005F7E5F">
        <w:rPr>
          <w:rFonts w:eastAsia="Times New Roman" w:cs="Arial"/>
          <w:color w:val="000000"/>
          <w:lang w:eastAsia="bg-BG"/>
        </w:rPr>
        <w:t xml:space="preserve"> астения</w:t>
      </w:r>
    </w:p>
    <w:p w14:paraId="3D3DDD1E" w14:textId="09588F02" w:rsidR="005F7E5F" w:rsidRPr="005F7E5F" w:rsidRDefault="005F7E5F" w:rsidP="005F7E5F">
      <w:pPr>
        <w:spacing w:line="240" w:lineRule="auto"/>
        <w:rPr>
          <w:rFonts w:eastAsia="Times New Roman" w:cs="Arial"/>
          <w:color w:val="000000"/>
          <w:lang w:eastAsia="bg-BG"/>
        </w:rPr>
      </w:pPr>
    </w:p>
    <w:p w14:paraId="1C9CFFC1" w14:textId="77777777" w:rsidR="005F7E5F" w:rsidRPr="005F7E5F" w:rsidRDefault="005F7E5F" w:rsidP="005F7E5F">
      <w:pPr>
        <w:spacing w:line="240" w:lineRule="auto"/>
        <w:rPr>
          <w:rFonts w:eastAsia="Times New Roman" w:cs="Arial"/>
          <w:lang w:eastAsia="bg-BG"/>
        </w:rPr>
      </w:pPr>
      <w:r w:rsidRPr="005F7E5F">
        <w:rPr>
          <w:rFonts w:eastAsia="Times New Roman" w:cs="Arial"/>
          <w:color w:val="000000"/>
          <w:lang w:eastAsia="bg-BG"/>
        </w:rPr>
        <w:t>Рядко се съобщава за изразен синдром на свръхчувствителност, който да включва някои от следните симптоми: ангиоедем, лупус-подобен синдром, ревматична полимиалгия, дерматомизит, васкулит, тромбоцитопения, еозинофилия, повишена СУЕ, артрит и артралгия, уртикария, фоточувствителност, висока температура, зачервяване, диспнея и отпадналост.</w:t>
      </w:r>
    </w:p>
    <w:p w14:paraId="618E0849" w14:textId="77777777" w:rsidR="005F7E5F" w:rsidRPr="005F7E5F" w:rsidRDefault="005F7E5F" w:rsidP="005F7E5F">
      <w:pPr>
        <w:spacing w:line="240" w:lineRule="auto"/>
        <w:rPr>
          <w:rFonts w:eastAsia="Times New Roman" w:cs="Arial"/>
          <w:color w:val="000000"/>
          <w:u w:val="single"/>
          <w:lang w:eastAsia="bg-BG"/>
        </w:rPr>
      </w:pPr>
    </w:p>
    <w:p w14:paraId="4E0C3E64" w14:textId="54A88F4B" w:rsidR="005F7E5F" w:rsidRPr="005F7E5F" w:rsidRDefault="005F7E5F" w:rsidP="005F7E5F">
      <w:pPr>
        <w:spacing w:line="240" w:lineRule="auto"/>
        <w:rPr>
          <w:rFonts w:eastAsia="Times New Roman" w:cs="Arial"/>
          <w:lang w:eastAsia="bg-BG"/>
        </w:rPr>
      </w:pPr>
      <w:r w:rsidRPr="005F7E5F">
        <w:rPr>
          <w:rFonts w:eastAsia="Times New Roman" w:cs="Arial"/>
          <w:color w:val="000000"/>
          <w:u w:val="single"/>
          <w:lang w:eastAsia="bg-BG"/>
        </w:rPr>
        <w:t>Изследвания:</w:t>
      </w:r>
    </w:p>
    <w:p w14:paraId="46C273C5" w14:textId="77777777" w:rsidR="005F7E5F" w:rsidRPr="005F7E5F" w:rsidRDefault="005F7E5F" w:rsidP="005F7E5F">
      <w:pPr>
        <w:spacing w:line="240" w:lineRule="auto"/>
        <w:rPr>
          <w:rFonts w:eastAsia="Times New Roman" w:cs="Arial"/>
          <w:lang w:eastAsia="bg-BG"/>
        </w:rPr>
      </w:pPr>
      <w:r w:rsidRPr="005F7E5F">
        <w:rPr>
          <w:rFonts w:eastAsia="Times New Roman" w:cs="Arial"/>
          <w:i/>
          <w:iCs/>
          <w:color w:val="000000"/>
          <w:lang w:eastAsia="bg-BG"/>
        </w:rPr>
        <w:t>Редки:</w:t>
      </w:r>
      <w:r w:rsidRPr="005F7E5F">
        <w:rPr>
          <w:rFonts w:eastAsia="Times New Roman" w:cs="Arial"/>
          <w:color w:val="000000"/>
          <w:lang w:eastAsia="bg-BG"/>
        </w:rPr>
        <w:t xml:space="preserve"> повишени стойности на серумните трансаминази (аланин аминотрансфераза, аспартат, аминотрансфераза, γ-глутамил транспептиза) (вж. точка 4.4 Чернодробни </w:t>
      </w:r>
      <w:r w:rsidRPr="005F7E5F">
        <w:rPr>
          <w:rFonts w:eastAsia="Times New Roman" w:cs="Arial"/>
          <w:color w:val="000000"/>
          <w:lang w:eastAsia="bg-BG"/>
        </w:rPr>
        <w:lastRenderedPageBreak/>
        <w:t>ефекти), повишаване на стойностите на алкалната фосфатаза; покачване на нивата на серумната креатин киназа (СК) (вж. точка 4.4).</w:t>
      </w:r>
    </w:p>
    <w:p w14:paraId="699CC8C5" w14:textId="77777777" w:rsidR="005F7E5F" w:rsidRPr="005F7E5F" w:rsidRDefault="005F7E5F" w:rsidP="005F7E5F">
      <w:pPr>
        <w:spacing w:line="240" w:lineRule="auto"/>
        <w:rPr>
          <w:rFonts w:eastAsia="Times New Roman" w:cs="Arial"/>
          <w:color w:val="000000"/>
          <w:lang w:eastAsia="bg-BG"/>
        </w:rPr>
      </w:pPr>
    </w:p>
    <w:p w14:paraId="2CE0268F" w14:textId="20E0C2C5" w:rsidR="005F7E5F" w:rsidRPr="005F7E5F" w:rsidRDefault="005F7E5F" w:rsidP="005F7E5F">
      <w:pPr>
        <w:spacing w:line="240" w:lineRule="auto"/>
        <w:rPr>
          <w:rFonts w:eastAsia="Times New Roman" w:cs="Arial"/>
          <w:lang w:eastAsia="bg-BG"/>
        </w:rPr>
      </w:pPr>
      <w:r w:rsidRPr="005F7E5F">
        <w:rPr>
          <w:rFonts w:eastAsia="Times New Roman" w:cs="Arial"/>
          <w:color w:val="000000"/>
          <w:lang w:eastAsia="bg-BG"/>
        </w:rPr>
        <w:t xml:space="preserve">Повишаване на </w:t>
      </w:r>
      <w:r w:rsidRPr="005F7E5F">
        <w:rPr>
          <w:rFonts w:eastAsia="Times New Roman" w:cs="Arial"/>
          <w:color w:val="000000"/>
          <w:lang w:val="en-US"/>
        </w:rPr>
        <w:t xml:space="preserve">HbA1c </w:t>
      </w:r>
      <w:r w:rsidRPr="005F7E5F">
        <w:rPr>
          <w:rFonts w:eastAsia="Times New Roman" w:cs="Arial"/>
          <w:color w:val="000000"/>
          <w:lang w:eastAsia="bg-BG"/>
        </w:rPr>
        <w:t>и серумните нива на глюкоза на гладно са съобщавани при статини, включително симвастатин.</w:t>
      </w:r>
    </w:p>
    <w:p w14:paraId="2A0533CE" w14:textId="77777777" w:rsidR="005F7E5F" w:rsidRPr="005F7E5F" w:rsidRDefault="005F7E5F" w:rsidP="005F7E5F">
      <w:pPr>
        <w:spacing w:line="240" w:lineRule="auto"/>
        <w:rPr>
          <w:rFonts w:eastAsia="Times New Roman" w:cs="Arial"/>
          <w:color w:val="000000"/>
          <w:lang w:eastAsia="bg-BG"/>
        </w:rPr>
      </w:pPr>
    </w:p>
    <w:p w14:paraId="2E33F532" w14:textId="3ECF192A" w:rsidR="005F7E5F" w:rsidRPr="005F7E5F" w:rsidRDefault="005F7E5F" w:rsidP="005F7E5F">
      <w:pPr>
        <w:spacing w:line="240" w:lineRule="auto"/>
        <w:rPr>
          <w:rFonts w:eastAsia="Times New Roman" w:cs="Arial"/>
          <w:lang w:eastAsia="bg-BG"/>
        </w:rPr>
      </w:pPr>
      <w:r w:rsidRPr="005F7E5F">
        <w:rPr>
          <w:rFonts w:eastAsia="Times New Roman" w:cs="Arial"/>
          <w:color w:val="000000"/>
          <w:lang w:eastAsia="bg-BG"/>
        </w:rPr>
        <w:t>При постмаркетинговия опит рядко са съобщавани случаи на когнитивно увреждане (напр. загуба на паметта, разсеяност, амнезия, увреждане на паметта, объркване), свързани с употребата на статини, включително симвастатин. Съобщенията обикновено не са сериозни и са обратими при прекъсване на лечението със статии, с различно време на поява на симптомите (1 ден до години) и отзвучаване на симптомите (медиана 3 седмици).</w:t>
      </w:r>
    </w:p>
    <w:p w14:paraId="565FE0B0" w14:textId="77777777" w:rsidR="005F7E5F" w:rsidRPr="005F7E5F" w:rsidRDefault="005F7E5F" w:rsidP="005F7E5F">
      <w:pPr>
        <w:spacing w:line="240" w:lineRule="auto"/>
        <w:rPr>
          <w:rFonts w:eastAsia="Times New Roman" w:cs="Arial"/>
          <w:color w:val="000000"/>
          <w:lang w:eastAsia="bg-BG"/>
        </w:rPr>
      </w:pPr>
    </w:p>
    <w:p w14:paraId="1A525050" w14:textId="24A12D9F" w:rsidR="005F7E5F" w:rsidRPr="005F7E5F" w:rsidRDefault="005F7E5F" w:rsidP="005F7E5F">
      <w:pPr>
        <w:spacing w:line="240" w:lineRule="auto"/>
        <w:rPr>
          <w:rFonts w:eastAsia="Times New Roman" w:cs="Arial"/>
          <w:lang w:eastAsia="bg-BG"/>
        </w:rPr>
      </w:pPr>
      <w:r w:rsidRPr="005F7E5F">
        <w:rPr>
          <w:rFonts w:eastAsia="Times New Roman" w:cs="Arial"/>
          <w:color w:val="000000"/>
          <w:lang w:eastAsia="bg-BG"/>
        </w:rPr>
        <w:t>Следните допълнителни нежелани реакции са съобщени при някои статини:</w:t>
      </w:r>
    </w:p>
    <w:p w14:paraId="74841353" w14:textId="77777777" w:rsidR="005F7E5F" w:rsidRPr="005F7E5F" w:rsidRDefault="005F7E5F" w:rsidP="005F7E5F">
      <w:pPr>
        <w:pStyle w:val="ListParagraph"/>
        <w:numPr>
          <w:ilvl w:val="0"/>
          <w:numId w:val="37"/>
        </w:numPr>
        <w:spacing w:line="240" w:lineRule="auto"/>
        <w:rPr>
          <w:rFonts w:eastAsia="Times New Roman" w:cs="Arial"/>
          <w:color w:val="000000"/>
          <w:lang w:eastAsia="bg-BG"/>
        </w:rPr>
      </w:pPr>
      <w:r w:rsidRPr="005F7E5F">
        <w:rPr>
          <w:rFonts w:eastAsia="Times New Roman" w:cs="Arial"/>
          <w:color w:val="000000"/>
          <w:lang w:eastAsia="bg-BG"/>
        </w:rPr>
        <w:t>Нарушения на съня, включително кошмари</w:t>
      </w:r>
    </w:p>
    <w:p w14:paraId="2BB77BDA" w14:textId="77777777" w:rsidR="005F7E5F" w:rsidRPr="005F7E5F" w:rsidRDefault="005F7E5F" w:rsidP="005F7E5F">
      <w:pPr>
        <w:pStyle w:val="ListParagraph"/>
        <w:numPr>
          <w:ilvl w:val="0"/>
          <w:numId w:val="37"/>
        </w:numPr>
        <w:spacing w:line="240" w:lineRule="auto"/>
        <w:rPr>
          <w:rFonts w:eastAsia="Times New Roman" w:cs="Arial"/>
          <w:color w:val="000000"/>
          <w:lang w:eastAsia="bg-BG"/>
        </w:rPr>
      </w:pPr>
      <w:r w:rsidRPr="005F7E5F">
        <w:rPr>
          <w:rFonts w:eastAsia="Times New Roman" w:cs="Arial"/>
          <w:color w:val="000000"/>
          <w:lang w:eastAsia="bg-BG"/>
        </w:rPr>
        <w:t>Сексуална дисфункция</w:t>
      </w:r>
    </w:p>
    <w:p w14:paraId="1890691A" w14:textId="33DC7669" w:rsidR="005F7E5F" w:rsidRPr="005F7E5F" w:rsidRDefault="005F7E5F" w:rsidP="005F7E5F">
      <w:pPr>
        <w:pStyle w:val="ListParagraph"/>
        <w:numPr>
          <w:ilvl w:val="0"/>
          <w:numId w:val="37"/>
        </w:numPr>
        <w:spacing w:line="240" w:lineRule="auto"/>
        <w:rPr>
          <w:rFonts w:eastAsia="Times New Roman" w:cs="Arial"/>
          <w:color w:val="000000"/>
          <w:lang w:eastAsia="bg-BG"/>
        </w:rPr>
      </w:pPr>
      <w:r w:rsidRPr="005F7E5F">
        <w:rPr>
          <w:rFonts w:eastAsia="Times New Roman" w:cs="Arial"/>
          <w:color w:val="000000"/>
          <w:lang w:eastAsia="bg-BG"/>
        </w:rPr>
        <w:t xml:space="preserve">Захарен диабет: Честотата зависи от наличието или отсъствието на рискови фактори (глюкоза в кръвта на гладно ≥ 5,6 </w:t>
      </w:r>
      <w:proofErr w:type="spellStart"/>
      <w:r w:rsidRPr="005F7E5F">
        <w:rPr>
          <w:rFonts w:eastAsia="Times New Roman" w:cs="Arial"/>
          <w:color w:val="000000"/>
          <w:lang w:val="en-US"/>
        </w:rPr>
        <w:t>mmol</w:t>
      </w:r>
      <w:proofErr w:type="spellEnd"/>
      <w:r w:rsidRPr="005F7E5F">
        <w:rPr>
          <w:rFonts w:eastAsia="Times New Roman" w:cs="Arial"/>
          <w:color w:val="000000"/>
          <w:lang w:val="en-US"/>
        </w:rPr>
        <w:t xml:space="preserve">/l, BMI </w:t>
      </w:r>
      <w:r w:rsidRPr="005F7E5F">
        <w:rPr>
          <w:rFonts w:eastAsia="Times New Roman" w:cs="Arial"/>
          <w:color w:val="000000"/>
          <w:lang w:eastAsia="bg-BG"/>
        </w:rPr>
        <w:t xml:space="preserve">&gt; 30 </w:t>
      </w:r>
      <w:r w:rsidRPr="005F7E5F">
        <w:rPr>
          <w:rFonts w:eastAsia="Times New Roman" w:cs="Arial"/>
          <w:color w:val="000000"/>
          <w:lang w:val="en-US"/>
        </w:rPr>
        <w:t>kg/m</w:t>
      </w:r>
      <w:r w:rsidRPr="005F7E5F">
        <w:rPr>
          <w:rFonts w:eastAsia="Times New Roman" w:cs="Arial"/>
          <w:color w:val="000000"/>
          <w:vertAlign w:val="superscript"/>
          <w:lang w:val="en-US"/>
        </w:rPr>
        <w:t>2</w:t>
      </w:r>
      <w:r w:rsidRPr="005F7E5F">
        <w:rPr>
          <w:rFonts w:eastAsia="Times New Roman" w:cs="Arial"/>
          <w:color w:val="000000"/>
          <w:lang w:val="en-US"/>
        </w:rPr>
        <w:t xml:space="preserve">, </w:t>
      </w:r>
      <w:r w:rsidRPr="005F7E5F">
        <w:rPr>
          <w:rFonts w:eastAsia="Times New Roman" w:cs="Arial"/>
          <w:color w:val="000000"/>
          <w:lang w:eastAsia="bg-BG"/>
        </w:rPr>
        <w:t>повишени триглицериди, анамнеза за хипертония).</w:t>
      </w:r>
    </w:p>
    <w:p w14:paraId="03D2211E" w14:textId="77777777" w:rsidR="005F7E5F" w:rsidRPr="005F7E5F" w:rsidRDefault="005F7E5F" w:rsidP="005F7E5F">
      <w:pPr>
        <w:spacing w:line="240" w:lineRule="auto"/>
        <w:rPr>
          <w:rFonts w:eastAsia="Times New Roman" w:cs="Arial"/>
          <w:color w:val="000000"/>
          <w:u w:val="single"/>
          <w:lang w:eastAsia="bg-BG"/>
        </w:rPr>
      </w:pPr>
    </w:p>
    <w:p w14:paraId="771CC8B5" w14:textId="373B950F" w:rsidR="005F7E5F" w:rsidRPr="005F7E5F" w:rsidRDefault="005F7E5F" w:rsidP="005F7E5F">
      <w:pPr>
        <w:spacing w:line="240" w:lineRule="auto"/>
        <w:rPr>
          <w:rFonts w:eastAsia="Times New Roman" w:cs="Arial"/>
          <w:lang w:eastAsia="bg-BG"/>
        </w:rPr>
      </w:pPr>
      <w:r w:rsidRPr="005F7E5F">
        <w:rPr>
          <w:rFonts w:eastAsia="Times New Roman" w:cs="Arial"/>
          <w:color w:val="000000"/>
          <w:u w:val="single"/>
          <w:lang w:eastAsia="bg-BG"/>
        </w:rPr>
        <w:t>Педиатрична популация</w:t>
      </w:r>
    </w:p>
    <w:p w14:paraId="264CC5C9" w14:textId="77777777" w:rsidR="005F7E5F" w:rsidRPr="005F7E5F" w:rsidRDefault="005F7E5F" w:rsidP="005F7E5F">
      <w:pPr>
        <w:spacing w:line="240" w:lineRule="auto"/>
        <w:rPr>
          <w:rFonts w:eastAsia="Times New Roman" w:cs="Arial"/>
          <w:lang w:eastAsia="bg-BG"/>
        </w:rPr>
      </w:pPr>
      <w:r w:rsidRPr="005F7E5F">
        <w:rPr>
          <w:rFonts w:eastAsia="Times New Roman" w:cs="Arial"/>
          <w:color w:val="000000"/>
          <w:lang w:eastAsia="bg-BG"/>
        </w:rPr>
        <w:t>В 48 седмично проучване, включващо деца и юноши (младежи II степен по Танер и нагоре и девойки, които са поне една година след първата им менструация) на възраст от 10 до 17 години, с хетерозиготна фамилна хиперхолестеролемия (</w:t>
      </w:r>
      <w:r w:rsidRPr="005F7E5F">
        <w:rPr>
          <w:rFonts w:eastAsia="Times New Roman" w:cs="Arial"/>
          <w:color w:val="000000"/>
          <w:lang w:val="en-US"/>
        </w:rPr>
        <w:t>n</w:t>
      </w:r>
      <w:r w:rsidRPr="005F7E5F">
        <w:rPr>
          <w:rFonts w:eastAsia="Times New Roman" w:cs="Arial"/>
          <w:color w:val="000000"/>
          <w:lang w:eastAsia="bg-BG"/>
        </w:rPr>
        <w:t>=175), профилът на безопасност и поносимост на групата, лекувана със симвастатин е бил подобен на този при групата, лекувана с плацебо. В дългосрочен план ефектът върху физическото, интелектуално и сексуално развитие не е известен. В момента няма достатъчно налични данни след една година на лечение (вж. точки 4.2, 4.4 и 5.1).</w:t>
      </w:r>
    </w:p>
    <w:p w14:paraId="3DB7F7B7" w14:textId="77777777" w:rsidR="005F7E5F" w:rsidRPr="005F7E5F" w:rsidRDefault="005F7E5F" w:rsidP="005F7E5F">
      <w:pPr>
        <w:spacing w:line="240" w:lineRule="auto"/>
        <w:rPr>
          <w:rFonts w:eastAsia="Times New Roman" w:cs="Arial"/>
          <w:b/>
          <w:bCs/>
          <w:color w:val="000000"/>
          <w:u w:val="single"/>
          <w:lang w:eastAsia="bg-BG"/>
        </w:rPr>
      </w:pPr>
    </w:p>
    <w:p w14:paraId="6A4C7793" w14:textId="2F4D2602" w:rsidR="005F7E5F" w:rsidRPr="005F7E5F" w:rsidRDefault="005F7E5F" w:rsidP="005F7E5F">
      <w:pPr>
        <w:spacing w:line="240" w:lineRule="auto"/>
        <w:rPr>
          <w:rFonts w:eastAsia="Times New Roman" w:cs="Arial"/>
          <w:lang w:eastAsia="bg-BG"/>
        </w:rPr>
      </w:pPr>
      <w:r w:rsidRPr="005F7E5F">
        <w:rPr>
          <w:rFonts w:eastAsia="Times New Roman" w:cs="Arial"/>
          <w:b/>
          <w:bCs/>
          <w:color w:val="000000"/>
          <w:u w:val="single"/>
          <w:lang w:eastAsia="bg-BG"/>
        </w:rPr>
        <w:t>Съобщаване на подозирани нежелани реакции</w:t>
      </w:r>
    </w:p>
    <w:p w14:paraId="12942E27" w14:textId="77777777" w:rsidR="005F7E5F" w:rsidRPr="005F7E5F" w:rsidRDefault="005F7E5F" w:rsidP="005F7E5F">
      <w:pPr>
        <w:spacing w:line="240" w:lineRule="auto"/>
        <w:rPr>
          <w:rFonts w:eastAsia="Times New Roman" w:cs="Arial"/>
          <w:lang w:eastAsia="bg-BG"/>
        </w:rPr>
      </w:pPr>
      <w:r w:rsidRPr="005F7E5F">
        <w:rPr>
          <w:rFonts w:eastAsia="Times New Roman" w:cs="Arial"/>
          <w:color w:val="000000"/>
          <w:lang w:eastAsia="bg-BG"/>
        </w:rPr>
        <w:t>Съобщаването на подозирани нежелани лекарствени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националната система за съобщаване на Изпълнителната агенция по лекарствата.</w:t>
      </w:r>
    </w:p>
    <w:p w14:paraId="7F8EFF20" w14:textId="77777777" w:rsidR="005F7E5F" w:rsidRPr="005F7E5F" w:rsidRDefault="005F7E5F" w:rsidP="005F7E5F">
      <w:pPr>
        <w:spacing w:line="240" w:lineRule="auto"/>
        <w:rPr>
          <w:rFonts w:eastAsia="Times New Roman" w:cs="Arial"/>
          <w:b/>
          <w:bCs/>
          <w:color w:val="000000"/>
          <w:lang w:eastAsia="bg-BG"/>
        </w:rPr>
      </w:pPr>
    </w:p>
    <w:p w14:paraId="59BB4949" w14:textId="55A6EAEA" w:rsidR="005F7E5F" w:rsidRPr="005F7E5F" w:rsidRDefault="005F7E5F" w:rsidP="005F7E5F">
      <w:pPr>
        <w:spacing w:line="240" w:lineRule="auto"/>
        <w:rPr>
          <w:rFonts w:eastAsia="Times New Roman" w:cs="Arial"/>
          <w:lang w:eastAsia="bg-BG"/>
        </w:rPr>
      </w:pPr>
      <w:r w:rsidRPr="005F7E5F">
        <w:rPr>
          <w:rFonts w:eastAsia="Times New Roman" w:cs="Arial"/>
          <w:b/>
          <w:bCs/>
          <w:color w:val="000000"/>
          <w:lang w:eastAsia="bg-BG"/>
        </w:rPr>
        <w:t>Контакти:</w:t>
      </w:r>
    </w:p>
    <w:p w14:paraId="00F75B6D" w14:textId="77777777" w:rsidR="005F7E5F" w:rsidRPr="005F7E5F" w:rsidRDefault="005F7E5F" w:rsidP="005F7E5F">
      <w:pPr>
        <w:spacing w:line="240" w:lineRule="auto"/>
        <w:rPr>
          <w:rFonts w:eastAsia="Times New Roman" w:cs="Arial"/>
          <w:lang w:eastAsia="bg-BG"/>
        </w:rPr>
      </w:pPr>
      <w:r w:rsidRPr="005F7E5F">
        <w:rPr>
          <w:rFonts w:eastAsia="Times New Roman" w:cs="Arial"/>
          <w:color w:val="000000"/>
          <w:lang w:eastAsia="bg-BG"/>
        </w:rPr>
        <w:t>Изпълнителна агенция по лекарствата.</w:t>
      </w:r>
    </w:p>
    <w:p w14:paraId="2C7B1946" w14:textId="77777777" w:rsidR="005F7E5F" w:rsidRPr="005F7E5F" w:rsidRDefault="005F7E5F" w:rsidP="005F7E5F">
      <w:pPr>
        <w:spacing w:line="240" w:lineRule="auto"/>
        <w:rPr>
          <w:rFonts w:eastAsia="Times New Roman" w:cs="Arial"/>
          <w:lang w:eastAsia="bg-BG"/>
        </w:rPr>
      </w:pPr>
      <w:r w:rsidRPr="005F7E5F">
        <w:rPr>
          <w:rFonts w:eastAsia="Times New Roman" w:cs="Arial"/>
          <w:color w:val="000000"/>
          <w:lang w:eastAsia="bg-BG"/>
        </w:rPr>
        <w:t>ул. „Дамян Груев” № 8</w:t>
      </w:r>
    </w:p>
    <w:p w14:paraId="09856083" w14:textId="77777777" w:rsidR="005F7E5F" w:rsidRPr="005F7E5F" w:rsidRDefault="005F7E5F" w:rsidP="005F7E5F">
      <w:pPr>
        <w:spacing w:line="240" w:lineRule="auto"/>
        <w:rPr>
          <w:rFonts w:eastAsia="Times New Roman" w:cs="Arial"/>
          <w:lang w:eastAsia="bg-BG"/>
        </w:rPr>
      </w:pPr>
      <w:r w:rsidRPr="005F7E5F">
        <w:rPr>
          <w:rFonts w:eastAsia="Times New Roman" w:cs="Arial"/>
          <w:color w:val="000000"/>
          <w:lang w:eastAsia="bg-BG"/>
        </w:rPr>
        <w:t>1303 София</w:t>
      </w:r>
    </w:p>
    <w:p w14:paraId="5CD4248B" w14:textId="77777777" w:rsidR="005F7E5F" w:rsidRPr="005F7E5F" w:rsidRDefault="005F7E5F" w:rsidP="005F7E5F">
      <w:pPr>
        <w:spacing w:line="240" w:lineRule="auto"/>
        <w:rPr>
          <w:rFonts w:eastAsia="Times New Roman" w:cs="Arial"/>
          <w:lang w:eastAsia="bg-BG"/>
        </w:rPr>
      </w:pPr>
      <w:r w:rsidRPr="005F7E5F">
        <w:rPr>
          <w:rFonts w:eastAsia="Times New Roman" w:cs="Arial"/>
          <w:color w:val="000000"/>
          <w:lang w:eastAsia="bg-BG"/>
        </w:rPr>
        <w:t>Тел.:+35 928903417</w:t>
      </w:r>
    </w:p>
    <w:p w14:paraId="257301AA" w14:textId="518ACB5D" w:rsidR="005F7E5F" w:rsidRPr="005F7E5F" w:rsidRDefault="005F7E5F" w:rsidP="005F7E5F">
      <w:pPr>
        <w:spacing w:line="240" w:lineRule="auto"/>
        <w:rPr>
          <w:rFonts w:eastAsia="Times New Roman" w:cs="Arial"/>
          <w:lang w:val="en-US" w:eastAsia="bg-BG"/>
        </w:rPr>
      </w:pPr>
      <w:r w:rsidRPr="005F7E5F">
        <w:rPr>
          <w:rFonts w:eastAsia="Times New Roman" w:cs="Arial"/>
          <w:color w:val="000000"/>
          <w:lang w:eastAsia="bg-BG"/>
        </w:rPr>
        <w:t xml:space="preserve">уебсайт: </w:t>
      </w:r>
      <w:hyperlink r:id="rId5" w:history="1">
        <w:r w:rsidRPr="005F7E5F">
          <w:rPr>
            <w:rFonts w:eastAsia="Times New Roman" w:cs="Arial"/>
            <w:color w:val="000000"/>
            <w:u w:val="single"/>
            <w:lang w:val="en-US"/>
          </w:rPr>
          <w:t>www.bda.bg</w:t>
        </w:r>
      </w:hyperlink>
    </w:p>
    <w:p w14:paraId="43E3C48F" w14:textId="77777777" w:rsidR="0091385D" w:rsidRPr="0091385D" w:rsidRDefault="0091385D" w:rsidP="0091385D"/>
    <w:p w14:paraId="0A023CE0" w14:textId="13F87CFD" w:rsidR="00CF77F7" w:rsidRDefault="002C50EE" w:rsidP="004A448E">
      <w:pPr>
        <w:pStyle w:val="Heading2"/>
      </w:pPr>
      <w:r>
        <w:t>4.9. Предозиране</w:t>
      </w:r>
    </w:p>
    <w:p w14:paraId="3EDFC3FC" w14:textId="296E7EBA" w:rsidR="0091385D" w:rsidRDefault="0091385D" w:rsidP="0091385D"/>
    <w:p w14:paraId="0F0079CB" w14:textId="64325E0B" w:rsidR="0091385D" w:rsidRPr="005F7E5F" w:rsidRDefault="005F7E5F" w:rsidP="0091385D">
      <w:pPr>
        <w:rPr>
          <w:rFonts w:cs="Arial"/>
          <w:szCs w:val="20"/>
        </w:rPr>
      </w:pPr>
      <w:r w:rsidRPr="005F7E5F">
        <w:rPr>
          <w:rFonts w:cs="Arial"/>
          <w:szCs w:val="20"/>
        </w:rPr>
        <w:t xml:space="preserve">Към момента има съобщения за няколко случая на предозиране; максималната приета доза е била 3,6 </w:t>
      </w:r>
      <w:r w:rsidRPr="005F7E5F">
        <w:rPr>
          <w:rFonts w:cs="Arial"/>
          <w:szCs w:val="20"/>
          <w:lang w:val="en-US"/>
        </w:rPr>
        <w:t xml:space="preserve">g. </w:t>
      </w:r>
      <w:r w:rsidRPr="005F7E5F">
        <w:rPr>
          <w:rFonts w:cs="Arial"/>
          <w:szCs w:val="20"/>
        </w:rPr>
        <w:t>Всички пациенти са се възстановили без последствия. Няма специфично лечение в случайна предозиране. В такива случаи трябва да бъдат приложени симптоматични и поддържащи мерки.</w:t>
      </w:r>
    </w:p>
    <w:p w14:paraId="48FF1584" w14:textId="5C35C960" w:rsidR="0091385D" w:rsidRPr="0091385D" w:rsidRDefault="0091385D" w:rsidP="0091385D"/>
    <w:p w14:paraId="02081B24" w14:textId="7CE94171" w:rsidR="00395555" w:rsidRDefault="002C50EE" w:rsidP="008A6AF2">
      <w:pPr>
        <w:pStyle w:val="Heading1"/>
      </w:pPr>
      <w:r>
        <w:lastRenderedPageBreak/>
        <w:t>5. ФАРМАКОЛОГИЧНИ СВОЙСТВА</w:t>
      </w:r>
    </w:p>
    <w:p w14:paraId="1B8079C0" w14:textId="77777777" w:rsidR="0091385D" w:rsidRPr="0091385D" w:rsidRDefault="0091385D" w:rsidP="0091385D"/>
    <w:p w14:paraId="32B6DE66" w14:textId="2ACB6B3B" w:rsidR="00CF77F7" w:rsidRDefault="002C50EE" w:rsidP="004A448E">
      <w:pPr>
        <w:pStyle w:val="Heading2"/>
      </w:pPr>
      <w:r>
        <w:t>5.1. Фармакодинамични свойства</w:t>
      </w:r>
    </w:p>
    <w:p w14:paraId="58DD7DEA" w14:textId="44345EC9" w:rsidR="0091385D" w:rsidRDefault="0091385D" w:rsidP="0091385D"/>
    <w:p w14:paraId="167B4012" w14:textId="77777777" w:rsidR="00912B18" w:rsidRPr="005F7E5F" w:rsidRDefault="00912B18" w:rsidP="00912B18">
      <w:pPr>
        <w:spacing w:line="240" w:lineRule="auto"/>
        <w:rPr>
          <w:rFonts w:eastAsia="Times New Roman" w:cs="Arial"/>
          <w:sz w:val="28"/>
          <w:szCs w:val="24"/>
          <w:lang w:eastAsia="bg-BG"/>
        </w:rPr>
      </w:pPr>
      <w:r w:rsidRPr="005F7E5F">
        <w:rPr>
          <w:rFonts w:eastAsia="Times New Roman" w:cs="Arial"/>
          <w:color w:val="000000"/>
          <w:szCs w:val="20"/>
          <w:lang w:eastAsia="bg-BG"/>
        </w:rPr>
        <w:t xml:space="preserve">Фармакотерапевтична група: </w:t>
      </w:r>
      <w:r w:rsidRPr="005F7E5F">
        <w:rPr>
          <w:rFonts w:eastAsia="Times New Roman" w:cs="Arial"/>
          <w:color w:val="000000"/>
          <w:szCs w:val="20"/>
          <w:lang w:val="en-US"/>
        </w:rPr>
        <w:t xml:space="preserve">HMG-CoA </w:t>
      </w:r>
      <w:r w:rsidRPr="005F7E5F">
        <w:rPr>
          <w:rFonts w:eastAsia="Times New Roman" w:cs="Arial"/>
          <w:color w:val="000000"/>
          <w:szCs w:val="20"/>
          <w:lang w:eastAsia="bg-BG"/>
        </w:rPr>
        <w:t xml:space="preserve">редуктазни инхибитори. АТС код: С 10 </w:t>
      </w:r>
      <w:r w:rsidRPr="005F7E5F">
        <w:rPr>
          <w:rFonts w:eastAsia="Times New Roman" w:cs="Arial"/>
          <w:color w:val="000000"/>
          <w:szCs w:val="20"/>
          <w:lang w:val="en-US"/>
        </w:rPr>
        <w:t xml:space="preserve">A </w:t>
      </w:r>
      <w:r w:rsidRPr="005F7E5F">
        <w:rPr>
          <w:rFonts w:eastAsia="Times New Roman" w:cs="Arial"/>
          <w:color w:val="000000"/>
          <w:szCs w:val="20"/>
          <w:lang w:eastAsia="bg-BG"/>
        </w:rPr>
        <w:t>А01</w:t>
      </w:r>
    </w:p>
    <w:p w14:paraId="11559E00" w14:textId="77777777" w:rsidR="00912B18" w:rsidRPr="005F7E5F" w:rsidRDefault="00912B18" w:rsidP="00912B18">
      <w:pPr>
        <w:spacing w:line="240" w:lineRule="auto"/>
        <w:rPr>
          <w:rFonts w:eastAsia="Times New Roman" w:cs="Arial"/>
          <w:color w:val="000000"/>
          <w:szCs w:val="20"/>
          <w:u w:val="single"/>
          <w:lang w:eastAsia="bg-BG"/>
        </w:rPr>
      </w:pPr>
    </w:p>
    <w:p w14:paraId="1C9B26F7" w14:textId="77777777" w:rsidR="00912B18" w:rsidRPr="005F7E5F" w:rsidRDefault="00912B18" w:rsidP="00912B18">
      <w:pPr>
        <w:spacing w:line="240" w:lineRule="auto"/>
        <w:rPr>
          <w:rFonts w:eastAsia="Times New Roman" w:cs="Arial"/>
          <w:sz w:val="28"/>
          <w:szCs w:val="24"/>
          <w:lang w:eastAsia="bg-BG"/>
        </w:rPr>
      </w:pPr>
      <w:r w:rsidRPr="005F7E5F">
        <w:rPr>
          <w:rFonts w:eastAsia="Times New Roman" w:cs="Arial"/>
          <w:color w:val="000000"/>
          <w:szCs w:val="20"/>
          <w:u w:val="single"/>
          <w:lang w:eastAsia="bg-BG"/>
        </w:rPr>
        <w:t>Механизъм на действие</w:t>
      </w:r>
    </w:p>
    <w:p w14:paraId="073297B8" w14:textId="77777777" w:rsidR="00912B18" w:rsidRPr="005F7E5F" w:rsidRDefault="00912B18" w:rsidP="00912B18">
      <w:pPr>
        <w:spacing w:line="240" w:lineRule="auto"/>
        <w:rPr>
          <w:rFonts w:eastAsia="Times New Roman" w:cs="Arial"/>
          <w:sz w:val="28"/>
          <w:szCs w:val="24"/>
          <w:lang w:eastAsia="bg-BG"/>
        </w:rPr>
      </w:pPr>
      <w:r w:rsidRPr="005F7E5F">
        <w:rPr>
          <w:rFonts w:eastAsia="Times New Roman" w:cs="Arial"/>
          <w:color w:val="000000"/>
          <w:szCs w:val="20"/>
          <w:lang w:eastAsia="bg-BG"/>
        </w:rPr>
        <w:t xml:space="preserve">След перорално приложение, симвастатин, който е неактивен лактон, се хидролизира в черния дроб до съответната активна β-хидроски киселина, която е мощен инхибитов на </w:t>
      </w:r>
      <w:r w:rsidRPr="005F7E5F">
        <w:rPr>
          <w:rFonts w:eastAsia="Times New Roman" w:cs="Arial"/>
          <w:color w:val="000000"/>
          <w:szCs w:val="20"/>
          <w:lang w:val="en-US"/>
        </w:rPr>
        <w:t xml:space="preserve">HMG-CoA </w:t>
      </w:r>
      <w:r w:rsidRPr="005F7E5F">
        <w:rPr>
          <w:rFonts w:eastAsia="Times New Roman" w:cs="Arial"/>
          <w:color w:val="000000"/>
          <w:szCs w:val="20"/>
          <w:lang w:eastAsia="bg-BG"/>
        </w:rPr>
        <w:t xml:space="preserve">редуктазата (3-хидрокси-3-метилглутарил СоА редуктаза). Този ензим катализира конвертирането на </w:t>
      </w:r>
      <w:r w:rsidRPr="005F7E5F">
        <w:rPr>
          <w:rFonts w:eastAsia="Times New Roman" w:cs="Arial"/>
          <w:color w:val="000000"/>
          <w:szCs w:val="20"/>
          <w:lang w:val="en-US"/>
        </w:rPr>
        <w:t xml:space="preserve">HMG-CoA </w:t>
      </w:r>
      <w:r w:rsidRPr="005F7E5F">
        <w:rPr>
          <w:rFonts w:eastAsia="Times New Roman" w:cs="Arial"/>
          <w:color w:val="000000"/>
          <w:szCs w:val="20"/>
          <w:lang w:eastAsia="bg-BG"/>
        </w:rPr>
        <w:t>в мевалонат, ранен и скоростоопределящ етап в биосинтеза на холестерол.</w:t>
      </w:r>
    </w:p>
    <w:p w14:paraId="3AF313FC" w14:textId="77777777" w:rsidR="00912B18" w:rsidRPr="005F7E5F" w:rsidRDefault="00912B18" w:rsidP="00912B18">
      <w:pPr>
        <w:spacing w:line="240" w:lineRule="auto"/>
        <w:rPr>
          <w:rFonts w:eastAsia="Times New Roman" w:cs="Arial"/>
          <w:color w:val="000000"/>
          <w:szCs w:val="20"/>
          <w:lang w:eastAsia="bg-BG"/>
        </w:rPr>
      </w:pPr>
    </w:p>
    <w:p w14:paraId="1A526F7C" w14:textId="77777777" w:rsidR="00912B18" w:rsidRPr="005F7E5F" w:rsidRDefault="00912B18" w:rsidP="00912B18">
      <w:pPr>
        <w:spacing w:line="240" w:lineRule="auto"/>
        <w:rPr>
          <w:rFonts w:eastAsia="Times New Roman" w:cs="Arial"/>
          <w:sz w:val="28"/>
          <w:szCs w:val="24"/>
          <w:lang w:eastAsia="bg-BG"/>
        </w:rPr>
      </w:pPr>
      <w:r w:rsidRPr="005F7E5F">
        <w:rPr>
          <w:rFonts w:eastAsia="Times New Roman" w:cs="Arial"/>
          <w:color w:val="000000"/>
          <w:szCs w:val="20"/>
          <w:lang w:eastAsia="bg-BG"/>
        </w:rPr>
        <w:t xml:space="preserve">Симвастатин е показал, че намалява, както нормалните, така и повишените концентрации на </w:t>
      </w:r>
      <w:r w:rsidRPr="005F7E5F">
        <w:rPr>
          <w:rFonts w:eastAsia="Times New Roman" w:cs="Arial"/>
          <w:color w:val="000000"/>
          <w:szCs w:val="20"/>
          <w:lang w:val="en-US"/>
        </w:rPr>
        <w:t xml:space="preserve">LDL- </w:t>
      </w:r>
      <w:r w:rsidRPr="005F7E5F">
        <w:rPr>
          <w:rFonts w:eastAsia="Times New Roman" w:cs="Arial"/>
          <w:color w:val="000000"/>
          <w:szCs w:val="20"/>
          <w:lang w:eastAsia="bg-BG"/>
        </w:rPr>
        <w:t xml:space="preserve">С. </w:t>
      </w:r>
      <w:r w:rsidRPr="005F7E5F">
        <w:rPr>
          <w:rFonts w:eastAsia="Times New Roman" w:cs="Arial"/>
          <w:color w:val="000000"/>
          <w:szCs w:val="20"/>
          <w:lang w:val="en-US"/>
        </w:rPr>
        <w:t xml:space="preserve">LDL </w:t>
      </w:r>
      <w:r w:rsidRPr="005F7E5F">
        <w:rPr>
          <w:rFonts w:eastAsia="Times New Roman" w:cs="Arial"/>
          <w:color w:val="000000"/>
          <w:szCs w:val="20"/>
          <w:lang w:eastAsia="bg-BG"/>
        </w:rPr>
        <w:t xml:space="preserve">се формира от липопротеини с много ниска плътност </w:t>
      </w:r>
      <w:r w:rsidRPr="005F7E5F">
        <w:rPr>
          <w:rFonts w:eastAsia="Times New Roman" w:cs="Arial"/>
          <w:color w:val="000000"/>
          <w:szCs w:val="20"/>
          <w:lang w:val="en-US"/>
        </w:rPr>
        <w:t xml:space="preserve">(VLDL) </w:t>
      </w:r>
      <w:r w:rsidRPr="005F7E5F">
        <w:rPr>
          <w:rFonts w:eastAsia="Times New Roman" w:cs="Arial"/>
          <w:color w:val="000000"/>
          <w:szCs w:val="20"/>
          <w:lang w:eastAsia="bg-BG"/>
        </w:rPr>
        <w:t xml:space="preserve">и се катаболизира, предимно от </w:t>
      </w:r>
      <w:r w:rsidRPr="005F7E5F">
        <w:rPr>
          <w:rFonts w:eastAsia="Times New Roman" w:cs="Arial"/>
          <w:color w:val="000000"/>
          <w:szCs w:val="20"/>
          <w:lang w:val="en-US"/>
        </w:rPr>
        <w:t>LDL</w:t>
      </w:r>
      <w:r w:rsidRPr="005F7E5F">
        <w:rPr>
          <w:rFonts w:eastAsia="Times New Roman" w:cs="Arial"/>
          <w:color w:val="000000"/>
          <w:szCs w:val="20"/>
          <w:lang w:eastAsia="bg-BG"/>
        </w:rPr>
        <w:t xml:space="preserve">-рецептор с висок афинитет. Механизмът на </w:t>
      </w:r>
      <w:r w:rsidRPr="005F7E5F">
        <w:rPr>
          <w:rFonts w:eastAsia="Times New Roman" w:cs="Arial"/>
          <w:color w:val="000000"/>
          <w:szCs w:val="20"/>
          <w:lang w:val="en-US"/>
        </w:rPr>
        <w:t>LDL</w:t>
      </w:r>
      <w:r w:rsidRPr="005F7E5F">
        <w:rPr>
          <w:rFonts w:eastAsia="Times New Roman" w:cs="Arial"/>
          <w:color w:val="000000"/>
          <w:szCs w:val="20"/>
          <w:lang w:eastAsia="bg-BG"/>
        </w:rPr>
        <w:t xml:space="preserve">-понижаващия ефект на симвастатин може да включва както редукцията на концентрацията на </w:t>
      </w:r>
      <w:r w:rsidRPr="005F7E5F">
        <w:rPr>
          <w:rFonts w:eastAsia="Times New Roman" w:cs="Arial"/>
          <w:color w:val="000000"/>
          <w:szCs w:val="20"/>
          <w:lang w:val="en-US"/>
        </w:rPr>
        <w:t>VLDL</w:t>
      </w:r>
      <w:r w:rsidRPr="005F7E5F">
        <w:rPr>
          <w:rFonts w:eastAsia="Times New Roman" w:cs="Arial"/>
          <w:color w:val="000000"/>
          <w:szCs w:val="20"/>
          <w:lang w:eastAsia="bg-BG"/>
        </w:rPr>
        <w:t xml:space="preserve">-холестерола, така и индукцията на </w:t>
      </w:r>
      <w:r w:rsidRPr="005F7E5F">
        <w:rPr>
          <w:rFonts w:eastAsia="Times New Roman" w:cs="Arial"/>
          <w:color w:val="000000"/>
          <w:szCs w:val="20"/>
          <w:lang w:val="en-US"/>
        </w:rPr>
        <w:t>LDL</w:t>
      </w:r>
      <w:r w:rsidRPr="005F7E5F">
        <w:rPr>
          <w:rFonts w:eastAsia="Times New Roman" w:cs="Arial"/>
          <w:color w:val="000000"/>
          <w:szCs w:val="20"/>
          <w:lang w:eastAsia="bg-BG"/>
        </w:rPr>
        <w:t xml:space="preserve">-рецептора, довеждайки до намалено произвеждане и увеличен катаболизъм на </w:t>
      </w:r>
      <w:r w:rsidRPr="005F7E5F">
        <w:rPr>
          <w:rFonts w:eastAsia="Times New Roman" w:cs="Arial"/>
          <w:color w:val="000000"/>
          <w:szCs w:val="20"/>
          <w:lang w:val="en-US"/>
        </w:rPr>
        <w:t>LDL</w:t>
      </w:r>
      <w:r w:rsidRPr="005F7E5F">
        <w:rPr>
          <w:rFonts w:eastAsia="Times New Roman" w:cs="Arial"/>
          <w:color w:val="000000"/>
          <w:szCs w:val="20"/>
          <w:lang w:eastAsia="bg-BG"/>
        </w:rPr>
        <w:t xml:space="preserve">-С. По време на терапията със симвастатин, съществено спада и аполипопротеин В. Освен това, симвастатин умерено увеличава </w:t>
      </w:r>
      <w:r w:rsidRPr="005F7E5F">
        <w:rPr>
          <w:rFonts w:eastAsia="Times New Roman" w:cs="Arial"/>
          <w:color w:val="000000"/>
          <w:szCs w:val="20"/>
          <w:lang w:val="en-US"/>
        </w:rPr>
        <w:t xml:space="preserve">HDL-C </w:t>
      </w:r>
      <w:r w:rsidRPr="005F7E5F">
        <w:rPr>
          <w:rFonts w:eastAsia="Times New Roman" w:cs="Arial"/>
          <w:color w:val="000000"/>
          <w:szCs w:val="20"/>
          <w:lang w:eastAsia="bg-BG"/>
        </w:rPr>
        <w:t xml:space="preserve">и понижава плазмените триглицериди. В резултат на тези промени, се редуцират съотношенията на общия холестерол към </w:t>
      </w:r>
      <w:r w:rsidRPr="005F7E5F">
        <w:rPr>
          <w:rFonts w:eastAsia="Times New Roman" w:cs="Arial"/>
          <w:color w:val="000000"/>
          <w:szCs w:val="20"/>
          <w:lang w:val="en-US"/>
        </w:rPr>
        <w:t xml:space="preserve">HDL-C </w:t>
      </w:r>
      <w:r w:rsidRPr="005F7E5F">
        <w:rPr>
          <w:rFonts w:eastAsia="Times New Roman" w:cs="Arial"/>
          <w:color w:val="000000"/>
          <w:szCs w:val="20"/>
          <w:lang w:eastAsia="bg-BG"/>
        </w:rPr>
        <w:t xml:space="preserve">и </w:t>
      </w:r>
      <w:r w:rsidRPr="005F7E5F">
        <w:rPr>
          <w:rFonts w:eastAsia="Times New Roman" w:cs="Arial"/>
          <w:color w:val="000000"/>
          <w:szCs w:val="20"/>
          <w:lang w:val="en-US"/>
        </w:rPr>
        <w:t>LDL</w:t>
      </w:r>
      <w:r w:rsidRPr="005F7E5F">
        <w:rPr>
          <w:rFonts w:eastAsia="Times New Roman" w:cs="Arial"/>
          <w:color w:val="000000"/>
          <w:szCs w:val="20"/>
          <w:lang w:eastAsia="bg-BG"/>
        </w:rPr>
        <w:t xml:space="preserve">-С към </w:t>
      </w:r>
      <w:r w:rsidRPr="005F7E5F">
        <w:rPr>
          <w:rFonts w:eastAsia="Times New Roman" w:cs="Arial"/>
          <w:color w:val="000000"/>
          <w:szCs w:val="20"/>
          <w:lang w:val="en-US"/>
        </w:rPr>
        <w:t>HDL-C.</w:t>
      </w:r>
    </w:p>
    <w:p w14:paraId="678B9FB7" w14:textId="77777777" w:rsidR="00912B18" w:rsidRPr="005F7E5F" w:rsidRDefault="00912B18" w:rsidP="00912B18">
      <w:pPr>
        <w:spacing w:line="240" w:lineRule="auto"/>
        <w:rPr>
          <w:rFonts w:eastAsia="Times New Roman" w:cs="Arial"/>
          <w:color w:val="000000"/>
          <w:szCs w:val="20"/>
          <w:u w:val="single"/>
          <w:lang w:eastAsia="bg-BG"/>
        </w:rPr>
      </w:pPr>
    </w:p>
    <w:p w14:paraId="727B2E1B" w14:textId="77777777" w:rsidR="00912B18" w:rsidRPr="005F7E5F" w:rsidRDefault="00912B18" w:rsidP="00912B18">
      <w:pPr>
        <w:spacing w:line="240" w:lineRule="auto"/>
        <w:rPr>
          <w:rFonts w:eastAsia="Times New Roman" w:cs="Arial"/>
          <w:sz w:val="28"/>
          <w:szCs w:val="24"/>
          <w:lang w:eastAsia="bg-BG"/>
        </w:rPr>
      </w:pPr>
      <w:r w:rsidRPr="005F7E5F">
        <w:rPr>
          <w:rFonts w:eastAsia="Times New Roman" w:cs="Arial"/>
          <w:color w:val="000000"/>
          <w:szCs w:val="20"/>
          <w:u w:val="single"/>
          <w:lang w:eastAsia="bg-BG"/>
        </w:rPr>
        <w:t>Клинична ефикасност и безопасност</w:t>
      </w:r>
    </w:p>
    <w:p w14:paraId="7AA4C0F5" w14:textId="77777777" w:rsidR="00912B18" w:rsidRPr="005F7E5F" w:rsidRDefault="00912B18" w:rsidP="00912B18">
      <w:pPr>
        <w:spacing w:line="240" w:lineRule="auto"/>
        <w:rPr>
          <w:rFonts w:eastAsia="Times New Roman" w:cs="Arial"/>
          <w:i/>
          <w:iCs/>
          <w:color w:val="000000"/>
          <w:szCs w:val="20"/>
          <w:lang w:eastAsia="bg-BG"/>
        </w:rPr>
      </w:pPr>
    </w:p>
    <w:p w14:paraId="1D8B80A6" w14:textId="77777777" w:rsidR="00912B18" w:rsidRPr="005F7E5F" w:rsidRDefault="00912B18" w:rsidP="00912B18">
      <w:pPr>
        <w:spacing w:line="240" w:lineRule="auto"/>
        <w:rPr>
          <w:rFonts w:eastAsia="Times New Roman" w:cs="Arial"/>
          <w:sz w:val="28"/>
          <w:szCs w:val="24"/>
          <w:lang w:eastAsia="bg-BG"/>
        </w:rPr>
      </w:pPr>
      <w:r w:rsidRPr="005F7E5F">
        <w:rPr>
          <w:rFonts w:eastAsia="Times New Roman" w:cs="Arial"/>
          <w:i/>
          <w:iCs/>
          <w:color w:val="000000"/>
          <w:szCs w:val="20"/>
          <w:lang w:eastAsia="bg-BG"/>
        </w:rPr>
        <w:t>Висок риск от исхемична болест на сърцето (ИБС) или доказана ИБС</w:t>
      </w:r>
    </w:p>
    <w:p w14:paraId="0BD32DB6" w14:textId="77777777" w:rsidR="00912B18" w:rsidRPr="005F7E5F" w:rsidRDefault="00912B18" w:rsidP="00912B18">
      <w:pPr>
        <w:spacing w:line="240" w:lineRule="auto"/>
        <w:rPr>
          <w:rFonts w:eastAsia="Times New Roman" w:cs="Arial"/>
          <w:sz w:val="28"/>
          <w:szCs w:val="24"/>
          <w:lang w:eastAsia="bg-BG"/>
        </w:rPr>
      </w:pPr>
      <w:r w:rsidRPr="005F7E5F">
        <w:rPr>
          <w:rFonts w:eastAsia="Times New Roman" w:cs="Arial"/>
          <w:color w:val="000000"/>
          <w:szCs w:val="20"/>
          <w:lang w:eastAsia="bg-BG"/>
        </w:rPr>
        <w:t xml:space="preserve">В проучването за коронарна протекция </w:t>
      </w:r>
      <w:r w:rsidRPr="005F7E5F">
        <w:rPr>
          <w:rFonts w:eastAsia="Times New Roman" w:cs="Arial"/>
          <w:color w:val="000000"/>
          <w:szCs w:val="20"/>
          <w:lang w:val="en-US"/>
        </w:rPr>
        <w:t xml:space="preserve">(Heart Protection Study, HPS) </w:t>
      </w:r>
      <w:r w:rsidRPr="005F7E5F">
        <w:rPr>
          <w:rFonts w:eastAsia="Times New Roman" w:cs="Arial"/>
          <w:color w:val="000000"/>
          <w:szCs w:val="20"/>
          <w:lang w:eastAsia="bg-BG"/>
        </w:rPr>
        <w:t xml:space="preserve">ефектите от терапията със симвастатин са оценени при 20 536 пациенти (на възраст 40-80 години), със или без хиперлипидемия и с исхемична болест на сърцето, други оклузивни артериални заболявания или захарен диабет. В това проучване, 10 269 пациенти са лекувани със симвастатин 40 </w:t>
      </w:r>
      <w:r w:rsidRPr="005F7E5F">
        <w:rPr>
          <w:rFonts w:eastAsia="Times New Roman" w:cs="Arial"/>
          <w:color w:val="000000"/>
          <w:szCs w:val="20"/>
          <w:lang w:val="en-US"/>
        </w:rPr>
        <w:t xml:space="preserve">mg </w:t>
      </w:r>
      <w:r w:rsidRPr="005F7E5F">
        <w:rPr>
          <w:rFonts w:eastAsia="Times New Roman" w:cs="Arial"/>
          <w:color w:val="000000"/>
          <w:szCs w:val="20"/>
          <w:lang w:eastAsia="bg-BG"/>
        </w:rPr>
        <w:t xml:space="preserve">дневно и 10 267 пациенти са били на плацебо средно за период от 5 години. Изходните нива на </w:t>
      </w:r>
      <w:r w:rsidRPr="005F7E5F">
        <w:rPr>
          <w:rFonts w:eastAsia="Times New Roman" w:cs="Arial"/>
          <w:color w:val="000000"/>
          <w:szCs w:val="20"/>
          <w:lang w:val="en-US"/>
        </w:rPr>
        <w:t>LDL</w:t>
      </w:r>
      <w:r w:rsidRPr="005F7E5F">
        <w:rPr>
          <w:rFonts w:eastAsia="Times New Roman" w:cs="Arial"/>
          <w:color w:val="000000"/>
          <w:szCs w:val="20"/>
          <w:lang w:eastAsia="bg-BG"/>
        </w:rPr>
        <w:t xml:space="preserve">-С са били както следва: под 116 </w:t>
      </w:r>
      <w:r w:rsidRPr="005F7E5F">
        <w:rPr>
          <w:rFonts w:eastAsia="Times New Roman" w:cs="Arial"/>
          <w:color w:val="000000"/>
          <w:szCs w:val="20"/>
          <w:lang w:val="en-US"/>
        </w:rPr>
        <w:t xml:space="preserve">mg/dl </w:t>
      </w:r>
      <w:r w:rsidRPr="005F7E5F">
        <w:rPr>
          <w:rFonts w:eastAsia="Times New Roman" w:cs="Arial"/>
          <w:color w:val="000000"/>
          <w:szCs w:val="20"/>
          <w:lang w:eastAsia="bg-BG"/>
        </w:rPr>
        <w:t xml:space="preserve">при 6 793 пациенти (33%), между 116 и 135 </w:t>
      </w:r>
      <w:r w:rsidRPr="005F7E5F">
        <w:rPr>
          <w:rFonts w:eastAsia="Times New Roman" w:cs="Arial"/>
          <w:color w:val="000000"/>
          <w:szCs w:val="20"/>
          <w:lang w:val="en-US"/>
        </w:rPr>
        <w:t xml:space="preserve">mg/dl </w:t>
      </w:r>
      <w:r w:rsidRPr="005F7E5F">
        <w:rPr>
          <w:rFonts w:eastAsia="Times New Roman" w:cs="Arial"/>
          <w:color w:val="000000"/>
          <w:szCs w:val="20"/>
          <w:lang w:eastAsia="bg-BG"/>
        </w:rPr>
        <w:t xml:space="preserve">при 5 063' пациенти (25 %) и по-големи от 135 </w:t>
      </w:r>
      <w:r w:rsidRPr="005F7E5F">
        <w:rPr>
          <w:rFonts w:eastAsia="Times New Roman" w:cs="Arial"/>
          <w:color w:val="000000"/>
          <w:szCs w:val="20"/>
          <w:lang w:val="en-US"/>
        </w:rPr>
        <w:t xml:space="preserve">mg/dl </w:t>
      </w:r>
      <w:r w:rsidRPr="005F7E5F">
        <w:rPr>
          <w:rFonts w:eastAsia="Times New Roman" w:cs="Arial"/>
          <w:color w:val="000000"/>
          <w:szCs w:val="20"/>
          <w:lang w:eastAsia="bg-BG"/>
        </w:rPr>
        <w:t>при 8 680 пациенти (42%).</w:t>
      </w:r>
    </w:p>
    <w:p w14:paraId="3F8D4495" w14:textId="77777777" w:rsidR="00912B18" w:rsidRPr="005F7E5F" w:rsidRDefault="00912B18" w:rsidP="00912B18">
      <w:pPr>
        <w:spacing w:line="240" w:lineRule="auto"/>
        <w:rPr>
          <w:rFonts w:eastAsia="Times New Roman" w:cs="Arial"/>
          <w:color w:val="000000"/>
          <w:szCs w:val="20"/>
          <w:lang w:eastAsia="bg-BG"/>
        </w:rPr>
      </w:pPr>
    </w:p>
    <w:p w14:paraId="298CDB14" w14:textId="77777777" w:rsidR="00912B18" w:rsidRPr="005F7E5F" w:rsidRDefault="00912B18" w:rsidP="00912B18">
      <w:pPr>
        <w:spacing w:line="240" w:lineRule="auto"/>
        <w:rPr>
          <w:rFonts w:eastAsia="Times New Roman" w:cs="Arial"/>
          <w:sz w:val="28"/>
          <w:szCs w:val="24"/>
          <w:lang w:eastAsia="bg-BG"/>
        </w:rPr>
      </w:pPr>
      <w:r w:rsidRPr="005F7E5F">
        <w:rPr>
          <w:rFonts w:eastAsia="Times New Roman" w:cs="Arial"/>
          <w:color w:val="000000"/>
          <w:szCs w:val="20"/>
          <w:lang w:eastAsia="bg-BG"/>
        </w:rPr>
        <w:t xml:space="preserve">Лечението със симвастатин 40 </w:t>
      </w:r>
      <w:r w:rsidRPr="005F7E5F">
        <w:rPr>
          <w:rFonts w:eastAsia="Times New Roman" w:cs="Arial"/>
          <w:color w:val="000000"/>
          <w:szCs w:val="20"/>
          <w:lang w:val="en-US"/>
        </w:rPr>
        <w:t xml:space="preserve">mg </w:t>
      </w:r>
      <w:r w:rsidRPr="005F7E5F">
        <w:rPr>
          <w:rFonts w:eastAsia="Times New Roman" w:cs="Arial"/>
          <w:color w:val="000000"/>
          <w:szCs w:val="20"/>
          <w:lang w:eastAsia="bg-BG"/>
        </w:rPr>
        <w:t>дневно спрямо плацебо е довело до значително намаляване на общата смъртност (1 328 [12.9 %] при пациентите, лекувани със симвастатин, спрямо 1 507 [14,7%] при пациентите, лекувани с плацебо; р=0,0003), поради намаляване с 18 % на смъртността от коронарни заболявания (587 [5,7%] спрямо 707 [6,9]; р=0,0005; понижаване на абсолютния риск с 1,2%). Намаляването на смъртността поради несъдови заболявания не показва статистическа значимост. Симвастатин също така намалява риска от големи коронарни инциденти (съставен краен показател, включващ нефаталния инфаркт на миокарда или смърт при ИБС) с 27% (р&lt;0,0001).</w:t>
      </w:r>
    </w:p>
    <w:p w14:paraId="1BBD44AB" w14:textId="77777777" w:rsidR="00912B18" w:rsidRDefault="00912B18" w:rsidP="00912B18">
      <w:pPr>
        <w:rPr>
          <w:rFonts w:eastAsia="Times New Roman" w:cs="Arial"/>
          <w:color w:val="000000"/>
          <w:szCs w:val="20"/>
          <w:lang w:eastAsia="bg-BG"/>
        </w:rPr>
      </w:pPr>
      <w:r w:rsidRPr="005F7E5F">
        <w:rPr>
          <w:rFonts w:eastAsia="Times New Roman" w:cs="Arial"/>
          <w:color w:val="000000"/>
          <w:szCs w:val="20"/>
          <w:lang w:eastAsia="bg-BG"/>
        </w:rPr>
        <w:t xml:space="preserve">Симвастатин намалява необходимостта от коронарни реваскуларизационни процедури (включително трансплантация на коронарен артериален байпас и перкутанна транслуменална коронарна ангиопластика), както и необходимостта от периферни и други некоронарни реваскуларизационни процедури, с 30% (р&lt;0,0001) и 16% (р=0,006) </w:t>
      </w:r>
      <w:r w:rsidRPr="005F7E5F">
        <w:rPr>
          <w:rFonts w:eastAsia="Times New Roman" w:cs="Arial"/>
          <w:color w:val="000000"/>
          <w:szCs w:val="20"/>
          <w:lang w:eastAsia="bg-BG"/>
        </w:rPr>
        <w:lastRenderedPageBreak/>
        <w:t xml:space="preserve">съответно. Симвастатин намалява риска от мозъчен инсулт с 25% (р&lt;0,0001), което се дължи на 30% намаление на исхемичния инсулт (р&lt;0,0001). В допълнение, в подгрупата на пациентите със захарен диабет, симвастатин намалява риска от развитие на усложнения от страна на големите кръвоносни съдове, включително периферни реваскуларизационни процедури (операция или ангиопластика), ампултации на долни крайници, или улкуси на краката с 21% (р=0,0293). Пропорционалното понижаване на честотата на събитията е подобно при всяка от проучваните подгрупи пациенти, включително при тези без коронарни заболяване, но с мозъчно-съдово или периферно артериално заболяване, мъже и жени, при пациентите на възраст под или над 70 години при започване на проучването, при наличие или отсъствие на хипертония и особено при тези с </w:t>
      </w:r>
      <w:r w:rsidRPr="005F7E5F">
        <w:rPr>
          <w:rFonts w:eastAsia="Times New Roman" w:cs="Arial"/>
          <w:color w:val="000000"/>
          <w:szCs w:val="20"/>
          <w:lang w:val="en-US"/>
        </w:rPr>
        <w:t xml:space="preserve">LDL </w:t>
      </w:r>
      <w:r w:rsidRPr="005F7E5F">
        <w:rPr>
          <w:rFonts w:eastAsia="Times New Roman" w:cs="Arial"/>
          <w:color w:val="000000"/>
          <w:szCs w:val="20"/>
          <w:lang w:eastAsia="bg-BG"/>
        </w:rPr>
        <w:t xml:space="preserve">холестерол под 3,0 </w:t>
      </w:r>
      <w:proofErr w:type="spellStart"/>
      <w:r w:rsidRPr="005F7E5F">
        <w:rPr>
          <w:rFonts w:eastAsia="Times New Roman" w:cs="Arial"/>
          <w:color w:val="000000"/>
          <w:szCs w:val="20"/>
          <w:lang w:val="en-US"/>
        </w:rPr>
        <w:t>mmol</w:t>
      </w:r>
      <w:proofErr w:type="spellEnd"/>
      <w:r w:rsidRPr="005F7E5F">
        <w:rPr>
          <w:rFonts w:eastAsia="Times New Roman" w:cs="Arial"/>
          <w:color w:val="000000"/>
          <w:szCs w:val="20"/>
          <w:lang w:val="en-US"/>
        </w:rPr>
        <w:t xml:space="preserve">/l </w:t>
      </w:r>
      <w:r w:rsidRPr="005F7E5F">
        <w:rPr>
          <w:rFonts w:eastAsia="Times New Roman" w:cs="Arial"/>
          <w:color w:val="000000"/>
          <w:szCs w:val="20"/>
          <w:lang w:eastAsia="bg-BG"/>
        </w:rPr>
        <w:t>при започване на проучването.</w:t>
      </w:r>
    </w:p>
    <w:p w14:paraId="470002A7" w14:textId="77777777" w:rsidR="00912B18" w:rsidRDefault="00912B18" w:rsidP="00912B18">
      <w:pPr>
        <w:rPr>
          <w:rFonts w:eastAsia="Times New Roman" w:cs="Arial"/>
          <w:color w:val="000000"/>
          <w:szCs w:val="20"/>
          <w:lang w:eastAsia="bg-BG"/>
        </w:rPr>
      </w:pPr>
    </w:p>
    <w:p w14:paraId="667292CA" w14:textId="77777777" w:rsidR="00912B18" w:rsidRPr="005F7E5F" w:rsidRDefault="00912B18" w:rsidP="00912B18">
      <w:pPr>
        <w:spacing w:line="240" w:lineRule="auto"/>
        <w:rPr>
          <w:rFonts w:eastAsia="Times New Roman" w:cs="Arial"/>
          <w:sz w:val="28"/>
          <w:szCs w:val="24"/>
          <w:lang w:eastAsia="bg-BG"/>
        </w:rPr>
      </w:pPr>
      <w:r w:rsidRPr="005F7E5F">
        <w:rPr>
          <w:rFonts w:eastAsia="Times New Roman" w:cs="Arial"/>
          <w:color w:val="000000"/>
          <w:szCs w:val="20"/>
          <w:lang w:eastAsia="bg-BG"/>
        </w:rPr>
        <w:t xml:space="preserve">При Скандинавското проучване за преживяемост при симвастатин </w:t>
      </w:r>
      <w:r w:rsidRPr="005F7E5F">
        <w:rPr>
          <w:rFonts w:eastAsia="Times New Roman" w:cs="Arial"/>
          <w:color w:val="000000"/>
          <w:szCs w:val="20"/>
          <w:lang w:val="en-US"/>
        </w:rPr>
        <w:t xml:space="preserve">(Scandinavian Simvastatin Survival Study, 4S) </w:t>
      </w:r>
      <w:r w:rsidRPr="005F7E5F">
        <w:rPr>
          <w:rFonts w:eastAsia="Times New Roman" w:cs="Arial"/>
          <w:color w:val="000000"/>
          <w:szCs w:val="20"/>
          <w:lang w:eastAsia="bg-BG"/>
        </w:rPr>
        <w:t xml:space="preserve">ефектът от терапията със симвастатин върху общата смъртност е оценен при 4 444 пациенти с ИБС и изходни нива на общ холестерол 212-309 </w:t>
      </w:r>
      <w:r w:rsidRPr="005F7E5F">
        <w:rPr>
          <w:rFonts w:eastAsia="Times New Roman" w:cs="Arial"/>
          <w:color w:val="000000"/>
          <w:szCs w:val="20"/>
          <w:lang w:val="en-US"/>
        </w:rPr>
        <w:t xml:space="preserve">mg/dl </w:t>
      </w:r>
      <w:r w:rsidRPr="005F7E5F">
        <w:rPr>
          <w:rFonts w:eastAsia="Times New Roman" w:cs="Arial"/>
          <w:color w:val="000000"/>
          <w:szCs w:val="20"/>
          <w:lang w:eastAsia="bg-BG"/>
        </w:rPr>
        <w:t xml:space="preserve">(5,5-8,0 </w:t>
      </w:r>
      <w:proofErr w:type="spellStart"/>
      <w:r w:rsidRPr="005F7E5F">
        <w:rPr>
          <w:rFonts w:eastAsia="Times New Roman" w:cs="Arial"/>
          <w:color w:val="000000"/>
          <w:szCs w:val="20"/>
          <w:lang w:val="en-US"/>
        </w:rPr>
        <w:t>mmol</w:t>
      </w:r>
      <w:proofErr w:type="spellEnd"/>
      <w:r w:rsidRPr="005F7E5F">
        <w:rPr>
          <w:rFonts w:eastAsia="Times New Roman" w:cs="Arial"/>
          <w:color w:val="000000"/>
          <w:szCs w:val="20"/>
          <w:lang w:val="en-US"/>
        </w:rPr>
        <w:t xml:space="preserve">/l). </w:t>
      </w:r>
      <w:r w:rsidRPr="005F7E5F">
        <w:rPr>
          <w:rFonts w:eastAsia="Times New Roman" w:cs="Arial"/>
          <w:color w:val="000000"/>
          <w:szCs w:val="20"/>
          <w:lang w:eastAsia="bg-BG"/>
        </w:rPr>
        <w:t xml:space="preserve">При това мултицентрово, рандомизирано двойно сляпо, плацебо -контролирано проучване, пациентите с ангина пекторис или преживян миокарден инфаркт (МИ) са подложени на диета, стандартни грижи и симвастатин 20-40 </w:t>
      </w:r>
      <w:r w:rsidRPr="005F7E5F">
        <w:rPr>
          <w:rFonts w:eastAsia="Times New Roman" w:cs="Arial"/>
          <w:color w:val="000000"/>
          <w:szCs w:val="20"/>
          <w:lang w:val="en-US"/>
        </w:rPr>
        <w:t xml:space="preserve">mg </w:t>
      </w:r>
      <w:r w:rsidRPr="005F7E5F">
        <w:rPr>
          <w:rFonts w:eastAsia="Times New Roman" w:cs="Arial"/>
          <w:color w:val="000000"/>
          <w:szCs w:val="20"/>
          <w:lang w:eastAsia="bg-BG"/>
        </w:rPr>
        <w:t>дневно (</w:t>
      </w:r>
      <w:r w:rsidRPr="005F7E5F">
        <w:rPr>
          <w:rFonts w:eastAsia="Times New Roman" w:cs="Arial"/>
          <w:color w:val="000000"/>
          <w:szCs w:val="20"/>
          <w:lang w:val="en-US"/>
        </w:rPr>
        <w:t>n</w:t>
      </w:r>
      <w:r w:rsidRPr="005F7E5F">
        <w:rPr>
          <w:rFonts w:eastAsia="Times New Roman" w:cs="Arial"/>
          <w:color w:val="000000"/>
          <w:szCs w:val="20"/>
          <w:lang w:eastAsia="bg-BG"/>
        </w:rPr>
        <w:t>=2 221) или плацебо (</w:t>
      </w:r>
      <w:r w:rsidRPr="005F7E5F">
        <w:rPr>
          <w:rFonts w:eastAsia="Times New Roman" w:cs="Arial"/>
          <w:color w:val="000000"/>
          <w:szCs w:val="20"/>
          <w:lang w:val="en-US"/>
        </w:rPr>
        <w:t>n</w:t>
      </w:r>
      <w:r w:rsidRPr="005F7E5F">
        <w:rPr>
          <w:rFonts w:eastAsia="Times New Roman" w:cs="Arial"/>
          <w:color w:val="000000"/>
          <w:szCs w:val="20"/>
          <w:lang w:eastAsia="bg-BG"/>
        </w:rPr>
        <w:t>=2 223) средно за период 5,4 години. Симвастатин намалява риска от смърт с 30% (намаляване на абсолютния риск с 3,3%). Рискът от смърт при ИБС намалява с 42% (намаляване на абсолютния риск с 3,5%). Симвастатин също така намалява риска от появата на големи коронарни събития (смърт при ИБС плюс клинично доказани и „тихи” нефатални МИ) с 34%. Освен това, симвастатин значително намалява риска от фатални и нефатални мозъчно-съдови инциденти (инсулт и транзиторни исхемични атаки) с 28%. Не са открити статистически значими разлики между групите по отношение на не- кардиоваскулаторната смъртност.</w:t>
      </w:r>
    </w:p>
    <w:p w14:paraId="54762C38" w14:textId="77777777" w:rsidR="00912B18" w:rsidRPr="005F7E5F" w:rsidRDefault="00912B18" w:rsidP="00912B18">
      <w:pPr>
        <w:spacing w:line="240" w:lineRule="auto"/>
        <w:rPr>
          <w:rFonts w:eastAsia="Times New Roman" w:cs="Arial"/>
          <w:color w:val="000000"/>
          <w:szCs w:val="20"/>
          <w:lang w:eastAsia="bg-BG"/>
        </w:rPr>
      </w:pPr>
    </w:p>
    <w:p w14:paraId="548B3C34" w14:textId="77777777" w:rsidR="00912B18" w:rsidRPr="005F7E5F" w:rsidRDefault="00912B18" w:rsidP="00912B18">
      <w:pPr>
        <w:spacing w:line="240" w:lineRule="auto"/>
        <w:rPr>
          <w:rFonts w:eastAsia="Times New Roman" w:cs="Arial"/>
          <w:sz w:val="28"/>
          <w:szCs w:val="24"/>
          <w:lang w:eastAsia="bg-BG"/>
        </w:rPr>
      </w:pPr>
      <w:r w:rsidRPr="005F7E5F">
        <w:rPr>
          <w:rFonts w:eastAsia="Times New Roman" w:cs="Arial"/>
          <w:color w:val="000000"/>
          <w:szCs w:val="20"/>
          <w:lang w:eastAsia="bg-BG"/>
        </w:rPr>
        <w:t xml:space="preserve">Проучването на ефективността от допълнително понижаване на холестерола и хомоцистеина </w:t>
      </w:r>
      <w:r w:rsidRPr="005F7E5F">
        <w:rPr>
          <w:rFonts w:eastAsia="Times New Roman" w:cs="Arial"/>
          <w:color w:val="000000"/>
          <w:szCs w:val="20"/>
          <w:lang w:val="en-US"/>
        </w:rPr>
        <w:t xml:space="preserve">(The Study of the Effectiveness of Additional Reductions in Cholesterol and Homocysteine, SEARCH) </w:t>
      </w:r>
      <w:r w:rsidRPr="005F7E5F">
        <w:rPr>
          <w:rFonts w:eastAsia="Times New Roman" w:cs="Arial"/>
          <w:color w:val="000000"/>
          <w:szCs w:val="20"/>
          <w:lang w:eastAsia="bg-BG"/>
        </w:rPr>
        <w:t xml:space="preserve">оценява ефекта на лечението със симвастатин 80 </w:t>
      </w:r>
      <w:r w:rsidRPr="005F7E5F">
        <w:rPr>
          <w:rFonts w:eastAsia="Times New Roman" w:cs="Arial"/>
          <w:color w:val="000000"/>
          <w:szCs w:val="20"/>
          <w:lang w:val="en-US"/>
        </w:rPr>
        <w:t xml:space="preserve">mg </w:t>
      </w:r>
      <w:r w:rsidRPr="005F7E5F">
        <w:rPr>
          <w:rFonts w:eastAsia="Times New Roman" w:cs="Arial"/>
          <w:color w:val="000000"/>
          <w:szCs w:val="20"/>
          <w:lang w:eastAsia="bg-BG"/>
        </w:rPr>
        <w:t xml:space="preserve">спрямо 20 </w:t>
      </w:r>
      <w:r w:rsidRPr="005F7E5F">
        <w:rPr>
          <w:rFonts w:eastAsia="Times New Roman" w:cs="Arial"/>
          <w:color w:val="000000"/>
          <w:szCs w:val="20"/>
          <w:lang w:val="en-US"/>
        </w:rPr>
        <w:t xml:space="preserve">mg </w:t>
      </w:r>
      <w:r w:rsidRPr="005F7E5F">
        <w:rPr>
          <w:rFonts w:eastAsia="Times New Roman" w:cs="Arial"/>
          <w:color w:val="000000"/>
          <w:szCs w:val="20"/>
          <w:lang w:eastAsia="bg-BG"/>
        </w:rPr>
        <w:t xml:space="preserve">(медиана на проследяването 6,7 години) върху големи съдови събития </w:t>
      </w:r>
      <w:r w:rsidRPr="005F7E5F">
        <w:rPr>
          <w:rFonts w:eastAsia="Times New Roman" w:cs="Arial"/>
          <w:color w:val="000000"/>
          <w:szCs w:val="20"/>
          <w:lang w:val="en-US"/>
        </w:rPr>
        <w:t xml:space="preserve">(MVE; </w:t>
      </w:r>
      <w:r w:rsidRPr="005F7E5F">
        <w:rPr>
          <w:rFonts w:eastAsia="Times New Roman" w:cs="Arial"/>
          <w:color w:val="000000"/>
          <w:szCs w:val="20"/>
          <w:lang w:eastAsia="bg-BG"/>
        </w:rPr>
        <w:t xml:space="preserve">дефинирани като ИБС, нефатален инфаркт на миокарда (МИ), коронарна реваскуларизационна процедура, нефатален и фатален мозъчен инсулт или периферна реваскуларизационна процедура) при 12 064 пациенти с анамнеза за инфаркт на миокарда. Няма значима разлика в честотата на </w:t>
      </w:r>
      <w:r w:rsidRPr="005F7E5F">
        <w:rPr>
          <w:rFonts w:eastAsia="Times New Roman" w:cs="Arial"/>
          <w:color w:val="000000"/>
          <w:szCs w:val="20"/>
          <w:lang w:val="en-US"/>
        </w:rPr>
        <w:t xml:space="preserve">MVE </w:t>
      </w:r>
      <w:r w:rsidRPr="005F7E5F">
        <w:rPr>
          <w:rFonts w:eastAsia="Times New Roman" w:cs="Arial"/>
          <w:color w:val="000000"/>
          <w:szCs w:val="20"/>
          <w:lang w:eastAsia="bg-BG"/>
        </w:rPr>
        <w:t xml:space="preserve">между двете групи; симвастатин 20 </w:t>
      </w:r>
      <w:r w:rsidRPr="005F7E5F">
        <w:rPr>
          <w:rFonts w:eastAsia="Times New Roman" w:cs="Arial"/>
          <w:color w:val="000000"/>
          <w:szCs w:val="20"/>
          <w:lang w:val="en-US"/>
        </w:rPr>
        <w:t xml:space="preserve">mg </w:t>
      </w:r>
      <w:r w:rsidRPr="005F7E5F">
        <w:rPr>
          <w:rFonts w:eastAsia="Times New Roman" w:cs="Arial"/>
          <w:color w:val="000000"/>
          <w:szCs w:val="20"/>
          <w:lang w:eastAsia="bg-BG"/>
        </w:rPr>
        <w:t>(</w:t>
      </w:r>
      <w:r w:rsidRPr="005F7E5F">
        <w:rPr>
          <w:rFonts w:eastAsia="Times New Roman" w:cs="Arial"/>
          <w:color w:val="000000"/>
          <w:szCs w:val="20"/>
          <w:lang w:val="en-US"/>
        </w:rPr>
        <w:t>n</w:t>
      </w:r>
      <w:r w:rsidRPr="005F7E5F">
        <w:rPr>
          <w:rFonts w:eastAsia="Times New Roman" w:cs="Arial"/>
          <w:color w:val="000000"/>
          <w:szCs w:val="20"/>
          <w:lang w:eastAsia="bg-BG"/>
        </w:rPr>
        <w:t xml:space="preserve">=1 553; 25,7%) спрямо симвастатин 80 </w:t>
      </w:r>
      <w:r w:rsidRPr="005F7E5F">
        <w:rPr>
          <w:rFonts w:eastAsia="Times New Roman" w:cs="Arial"/>
          <w:color w:val="000000"/>
          <w:szCs w:val="20"/>
          <w:lang w:val="en-US"/>
        </w:rPr>
        <w:t xml:space="preserve">mg </w:t>
      </w:r>
      <w:r w:rsidRPr="005F7E5F">
        <w:rPr>
          <w:rFonts w:eastAsia="Times New Roman" w:cs="Arial"/>
          <w:color w:val="000000"/>
          <w:szCs w:val="20"/>
          <w:lang w:eastAsia="bg-BG"/>
        </w:rPr>
        <w:t>(</w:t>
      </w:r>
      <w:r w:rsidRPr="005F7E5F">
        <w:rPr>
          <w:rFonts w:eastAsia="Times New Roman" w:cs="Arial"/>
          <w:color w:val="000000"/>
          <w:szCs w:val="20"/>
          <w:lang w:val="en-US"/>
        </w:rPr>
        <w:t>n</w:t>
      </w:r>
      <w:r w:rsidRPr="005F7E5F">
        <w:rPr>
          <w:rFonts w:eastAsia="Times New Roman" w:cs="Arial"/>
          <w:color w:val="000000"/>
          <w:szCs w:val="20"/>
          <w:lang w:eastAsia="bg-BG"/>
        </w:rPr>
        <w:t xml:space="preserve">=1 447; 24,5%); относителен риск 0,94, 95% доверителен интервал: 0,88 до 1,01. Абсолютната разлика в </w:t>
      </w:r>
      <w:r w:rsidRPr="005F7E5F">
        <w:rPr>
          <w:rFonts w:eastAsia="Times New Roman" w:cs="Arial"/>
          <w:color w:val="000000"/>
          <w:szCs w:val="20"/>
          <w:lang w:val="en-US"/>
        </w:rPr>
        <w:t>LDL</w:t>
      </w:r>
      <w:r w:rsidRPr="005F7E5F">
        <w:rPr>
          <w:rFonts w:eastAsia="Times New Roman" w:cs="Arial"/>
          <w:color w:val="000000"/>
          <w:szCs w:val="20"/>
          <w:lang w:eastAsia="bg-BG"/>
        </w:rPr>
        <w:t xml:space="preserve">-холестерола между двете групи по време на курса на проучването е 0,35+0,01 </w:t>
      </w:r>
      <w:proofErr w:type="spellStart"/>
      <w:r w:rsidRPr="005F7E5F">
        <w:rPr>
          <w:rFonts w:eastAsia="Times New Roman" w:cs="Arial"/>
          <w:color w:val="000000"/>
          <w:szCs w:val="20"/>
          <w:lang w:val="en-US"/>
        </w:rPr>
        <w:t>mmol</w:t>
      </w:r>
      <w:proofErr w:type="spellEnd"/>
      <w:r w:rsidRPr="005F7E5F">
        <w:rPr>
          <w:rFonts w:eastAsia="Times New Roman" w:cs="Arial"/>
          <w:color w:val="000000"/>
          <w:szCs w:val="20"/>
          <w:lang w:val="en-US"/>
        </w:rPr>
        <w:t xml:space="preserve">/l. </w:t>
      </w:r>
      <w:r w:rsidRPr="005F7E5F">
        <w:rPr>
          <w:rFonts w:eastAsia="Times New Roman" w:cs="Arial"/>
          <w:color w:val="000000"/>
          <w:szCs w:val="20"/>
          <w:lang w:eastAsia="bg-BG"/>
        </w:rPr>
        <w:t xml:space="preserve">Профилът на безопасност е сходен в двете групи на лечение с изключение на честотата на миопатия, която е приблизително 1,0% при пациенти на лечение със симвастатин 80 </w:t>
      </w:r>
      <w:r w:rsidRPr="005F7E5F">
        <w:rPr>
          <w:rFonts w:eastAsia="Times New Roman" w:cs="Arial"/>
          <w:color w:val="000000"/>
          <w:szCs w:val="20"/>
          <w:lang w:val="en-US"/>
        </w:rPr>
        <w:t xml:space="preserve">mg </w:t>
      </w:r>
      <w:r w:rsidRPr="005F7E5F">
        <w:rPr>
          <w:rFonts w:eastAsia="Times New Roman" w:cs="Arial"/>
          <w:color w:val="000000"/>
          <w:szCs w:val="20"/>
          <w:lang w:eastAsia="bg-BG"/>
        </w:rPr>
        <w:t xml:space="preserve">спрямо 0,02% при пациенти на лечение със симвастатин 20 </w:t>
      </w:r>
      <w:r w:rsidRPr="005F7E5F">
        <w:rPr>
          <w:rFonts w:eastAsia="Times New Roman" w:cs="Arial"/>
          <w:color w:val="000000"/>
          <w:szCs w:val="20"/>
          <w:lang w:val="en-US"/>
        </w:rPr>
        <w:t xml:space="preserve">mg. </w:t>
      </w:r>
      <w:r w:rsidRPr="005F7E5F">
        <w:rPr>
          <w:rFonts w:eastAsia="Times New Roman" w:cs="Arial"/>
          <w:color w:val="000000"/>
          <w:szCs w:val="20"/>
          <w:lang w:eastAsia="bg-BG"/>
        </w:rPr>
        <w:t>Приблизително половината от тези случаи на миопатия се срещат по време на първата година от лечението. Честотата на миопатия през всяка следваща година на лечението е приблизително 0,1 %.</w:t>
      </w:r>
    </w:p>
    <w:p w14:paraId="7C918B40" w14:textId="77777777" w:rsidR="00912B18" w:rsidRPr="005F7E5F" w:rsidRDefault="00912B18" w:rsidP="00912B18">
      <w:pPr>
        <w:spacing w:line="240" w:lineRule="auto"/>
        <w:rPr>
          <w:rFonts w:eastAsia="Times New Roman" w:cs="Arial"/>
          <w:i/>
          <w:iCs/>
          <w:color w:val="000000"/>
          <w:szCs w:val="20"/>
          <w:lang w:eastAsia="bg-BG"/>
        </w:rPr>
      </w:pPr>
    </w:p>
    <w:p w14:paraId="769819D2" w14:textId="77777777" w:rsidR="00912B18" w:rsidRPr="005F7E5F" w:rsidRDefault="00912B18" w:rsidP="00912B18">
      <w:pPr>
        <w:spacing w:line="240" w:lineRule="auto"/>
        <w:rPr>
          <w:rFonts w:eastAsia="Times New Roman" w:cs="Arial"/>
          <w:sz w:val="28"/>
          <w:szCs w:val="24"/>
          <w:lang w:eastAsia="bg-BG"/>
        </w:rPr>
      </w:pPr>
      <w:r w:rsidRPr="005F7E5F">
        <w:rPr>
          <w:rFonts w:eastAsia="Times New Roman" w:cs="Arial"/>
          <w:i/>
          <w:iCs/>
          <w:color w:val="000000"/>
          <w:szCs w:val="20"/>
          <w:lang w:eastAsia="bg-BG"/>
        </w:rPr>
        <w:t>Първична хиперхолестеролемия и комбинирана хиперлипидемия</w:t>
      </w:r>
    </w:p>
    <w:p w14:paraId="44238BFE" w14:textId="77777777" w:rsidR="00912B18" w:rsidRPr="005F7E5F" w:rsidRDefault="00912B18" w:rsidP="00912B18">
      <w:pPr>
        <w:spacing w:line="240" w:lineRule="auto"/>
        <w:rPr>
          <w:rFonts w:eastAsia="Times New Roman" w:cs="Arial"/>
          <w:sz w:val="28"/>
          <w:szCs w:val="24"/>
          <w:lang w:eastAsia="bg-BG"/>
        </w:rPr>
      </w:pPr>
      <w:r w:rsidRPr="005F7E5F">
        <w:rPr>
          <w:rFonts w:eastAsia="Times New Roman" w:cs="Arial"/>
          <w:color w:val="000000"/>
          <w:szCs w:val="20"/>
          <w:lang w:eastAsia="bg-BG"/>
        </w:rPr>
        <w:t xml:space="preserve">При проучвания, сравняващи ефикасността и безопасността на симвастатин 10,20,40 и 80 </w:t>
      </w:r>
      <w:r w:rsidRPr="005F7E5F">
        <w:rPr>
          <w:rFonts w:eastAsia="Times New Roman" w:cs="Arial"/>
          <w:color w:val="000000"/>
          <w:szCs w:val="20"/>
          <w:lang w:val="en-US"/>
        </w:rPr>
        <w:t xml:space="preserve">mg </w:t>
      </w:r>
      <w:r w:rsidRPr="005F7E5F">
        <w:rPr>
          <w:rFonts w:eastAsia="Times New Roman" w:cs="Arial"/>
          <w:color w:val="000000"/>
          <w:szCs w:val="20"/>
          <w:lang w:eastAsia="bg-BG"/>
        </w:rPr>
        <w:t xml:space="preserve">дневно при пациенти с хиперхолестеролемия, средните понижения на </w:t>
      </w:r>
      <w:r w:rsidRPr="005F7E5F">
        <w:rPr>
          <w:rFonts w:eastAsia="Times New Roman" w:cs="Arial"/>
          <w:color w:val="000000"/>
          <w:szCs w:val="20"/>
          <w:lang w:val="en-US"/>
        </w:rPr>
        <w:t xml:space="preserve">LDL-C </w:t>
      </w:r>
      <w:r w:rsidRPr="005F7E5F">
        <w:rPr>
          <w:rFonts w:eastAsia="Times New Roman" w:cs="Arial"/>
          <w:color w:val="000000"/>
          <w:szCs w:val="20"/>
          <w:lang w:eastAsia="bg-BG"/>
        </w:rPr>
        <w:t xml:space="preserve">са съответно 30, 38, 41 и 47%. При проучвания с пациенти с комбинирана (смесена) хиперлипидемия, приемащи 40 </w:t>
      </w:r>
      <w:r w:rsidRPr="005F7E5F">
        <w:rPr>
          <w:rFonts w:eastAsia="Times New Roman" w:cs="Arial"/>
          <w:color w:val="000000"/>
          <w:szCs w:val="20"/>
          <w:lang w:val="en-US"/>
        </w:rPr>
        <w:t xml:space="preserve">mg </w:t>
      </w:r>
      <w:r w:rsidRPr="005F7E5F">
        <w:rPr>
          <w:rFonts w:eastAsia="Times New Roman" w:cs="Arial"/>
          <w:color w:val="000000"/>
          <w:szCs w:val="20"/>
          <w:lang w:eastAsia="bg-BG"/>
        </w:rPr>
        <w:t xml:space="preserve">и 80 </w:t>
      </w:r>
      <w:r w:rsidRPr="005F7E5F">
        <w:rPr>
          <w:rFonts w:eastAsia="Times New Roman" w:cs="Arial"/>
          <w:color w:val="000000"/>
          <w:szCs w:val="20"/>
          <w:lang w:val="en-US"/>
        </w:rPr>
        <w:t xml:space="preserve">mg </w:t>
      </w:r>
      <w:r w:rsidRPr="005F7E5F">
        <w:rPr>
          <w:rFonts w:eastAsia="Times New Roman" w:cs="Arial"/>
          <w:color w:val="000000"/>
          <w:szCs w:val="20"/>
          <w:lang w:eastAsia="bg-BG"/>
        </w:rPr>
        <w:t xml:space="preserve">симвастатин, средното намаление на </w:t>
      </w:r>
      <w:r w:rsidRPr="005F7E5F">
        <w:rPr>
          <w:rFonts w:eastAsia="Times New Roman" w:cs="Arial"/>
          <w:color w:val="000000"/>
          <w:szCs w:val="20"/>
          <w:lang w:eastAsia="bg-BG"/>
        </w:rPr>
        <w:lastRenderedPageBreak/>
        <w:t xml:space="preserve">триглицеридите е съответно 28 и 33% (плацебо: 2%), а средното повишаване на </w:t>
      </w:r>
      <w:r w:rsidRPr="005F7E5F">
        <w:rPr>
          <w:rFonts w:eastAsia="Times New Roman" w:cs="Arial"/>
          <w:color w:val="000000"/>
          <w:szCs w:val="20"/>
          <w:lang w:val="en-US"/>
        </w:rPr>
        <w:t xml:space="preserve">HDL-C </w:t>
      </w:r>
      <w:r w:rsidRPr="005F7E5F">
        <w:rPr>
          <w:rFonts w:eastAsia="Times New Roman" w:cs="Arial"/>
          <w:color w:val="000000"/>
          <w:szCs w:val="20"/>
          <w:lang w:eastAsia="bg-BG"/>
        </w:rPr>
        <w:t>е съответно 13 и 16% (плацебо: 3%).</w:t>
      </w:r>
    </w:p>
    <w:p w14:paraId="22BE6F1C" w14:textId="77777777" w:rsidR="00912B18" w:rsidRPr="005F7E5F" w:rsidRDefault="00912B18" w:rsidP="00912B18">
      <w:pPr>
        <w:spacing w:line="240" w:lineRule="auto"/>
        <w:rPr>
          <w:rFonts w:eastAsia="Times New Roman" w:cs="Arial"/>
          <w:i/>
          <w:iCs/>
          <w:color w:val="000000"/>
          <w:szCs w:val="20"/>
          <w:lang w:eastAsia="bg-BG"/>
        </w:rPr>
      </w:pPr>
    </w:p>
    <w:p w14:paraId="7EB944DC" w14:textId="77777777" w:rsidR="00912B18" w:rsidRPr="005F7E5F" w:rsidRDefault="00912B18" w:rsidP="00912B18">
      <w:pPr>
        <w:spacing w:line="240" w:lineRule="auto"/>
        <w:rPr>
          <w:rFonts w:eastAsia="Times New Roman" w:cs="Arial"/>
          <w:sz w:val="28"/>
          <w:szCs w:val="24"/>
          <w:lang w:eastAsia="bg-BG"/>
        </w:rPr>
      </w:pPr>
      <w:r w:rsidRPr="005F7E5F">
        <w:rPr>
          <w:rFonts w:eastAsia="Times New Roman" w:cs="Arial"/>
          <w:i/>
          <w:iCs/>
          <w:color w:val="000000"/>
          <w:szCs w:val="20"/>
          <w:lang w:eastAsia="bg-BG"/>
        </w:rPr>
        <w:t>Педиатрична популация</w:t>
      </w:r>
    </w:p>
    <w:p w14:paraId="249394E6" w14:textId="77777777" w:rsidR="00912B18" w:rsidRPr="005F7E5F" w:rsidRDefault="00912B18" w:rsidP="00912B18">
      <w:pPr>
        <w:spacing w:line="240" w:lineRule="auto"/>
        <w:rPr>
          <w:rFonts w:eastAsia="Times New Roman" w:cs="Arial"/>
          <w:sz w:val="28"/>
          <w:szCs w:val="24"/>
          <w:lang w:eastAsia="bg-BG"/>
        </w:rPr>
      </w:pPr>
      <w:r w:rsidRPr="005F7E5F">
        <w:rPr>
          <w:rFonts w:eastAsia="Times New Roman" w:cs="Arial"/>
          <w:color w:val="000000"/>
          <w:szCs w:val="20"/>
          <w:lang w:eastAsia="bg-BG"/>
        </w:rPr>
        <w:t xml:space="preserve">В едно двойно-сляпо, плацебо-контролирано проучване, 175 пациенти (99 младежи II степен по Танер и нагоре и 76 девойки, които са поне една година след първата им менструация) на възраст от 10 до 17 години (средна възраст 14,1 години), с хетерозиготна фамилна хиперхолестеролемия (ХеФХ), са рандомизирани да получават симвастатин или плацебо в продължение на 24 седмици (основно проучване). За включване в проучването се изисква </w:t>
      </w:r>
      <w:r w:rsidRPr="005F7E5F">
        <w:rPr>
          <w:rFonts w:eastAsia="Times New Roman" w:cs="Arial"/>
          <w:color w:val="000000"/>
          <w:szCs w:val="20"/>
          <w:lang w:val="en-US"/>
        </w:rPr>
        <w:t xml:space="preserve">LDL-C </w:t>
      </w:r>
      <w:r w:rsidRPr="005F7E5F">
        <w:rPr>
          <w:rFonts w:eastAsia="Times New Roman" w:cs="Arial"/>
          <w:color w:val="000000"/>
          <w:szCs w:val="20"/>
          <w:lang w:eastAsia="bg-BG"/>
        </w:rPr>
        <w:t xml:space="preserve">между 160 и 400 </w:t>
      </w:r>
      <w:r w:rsidRPr="005F7E5F">
        <w:rPr>
          <w:rFonts w:eastAsia="Times New Roman" w:cs="Arial"/>
          <w:color w:val="000000"/>
          <w:szCs w:val="20"/>
          <w:lang w:val="en-US"/>
        </w:rPr>
        <w:t xml:space="preserve">mg/dl </w:t>
      </w:r>
      <w:r w:rsidRPr="005F7E5F">
        <w:rPr>
          <w:rFonts w:eastAsia="Times New Roman" w:cs="Arial"/>
          <w:color w:val="000000"/>
          <w:szCs w:val="20"/>
          <w:lang w:eastAsia="bg-BG"/>
        </w:rPr>
        <w:t xml:space="preserve">на изходното ниво и поне един родител с ниво на </w:t>
      </w:r>
      <w:r w:rsidRPr="005F7E5F">
        <w:rPr>
          <w:rFonts w:eastAsia="Times New Roman" w:cs="Arial"/>
          <w:color w:val="000000"/>
          <w:szCs w:val="20"/>
          <w:lang w:val="en-US"/>
        </w:rPr>
        <w:t>LDL-C&gt;1</w:t>
      </w:r>
      <w:r w:rsidRPr="005F7E5F">
        <w:rPr>
          <w:rFonts w:eastAsia="Times New Roman" w:cs="Arial"/>
          <w:color w:val="000000"/>
          <w:szCs w:val="20"/>
          <w:lang w:eastAsia="bg-BG"/>
        </w:rPr>
        <w:t xml:space="preserve">89 </w:t>
      </w:r>
      <w:r w:rsidRPr="005F7E5F">
        <w:rPr>
          <w:rFonts w:eastAsia="Times New Roman" w:cs="Arial"/>
          <w:color w:val="000000"/>
          <w:szCs w:val="20"/>
          <w:lang w:val="en-US"/>
        </w:rPr>
        <w:t xml:space="preserve">mg/dl. </w:t>
      </w:r>
      <w:r w:rsidRPr="005F7E5F">
        <w:rPr>
          <w:rFonts w:eastAsia="Times New Roman" w:cs="Arial"/>
          <w:color w:val="000000"/>
          <w:szCs w:val="20"/>
          <w:lang w:eastAsia="bg-BG"/>
        </w:rPr>
        <w:t xml:space="preserve">Дозировката на симвастатин (веднъж дневно, вечер) е 10 </w:t>
      </w:r>
      <w:r w:rsidRPr="005F7E5F">
        <w:rPr>
          <w:rFonts w:eastAsia="Times New Roman" w:cs="Arial"/>
          <w:color w:val="000000"/>
          <w:szCs w:val="20"/>
          <w:lang w:val="en-US"/>
        </w:rPr>
        <w:t xml:space="preserve">mg </w:t>
      </w:r>
      <w:r w:rsidRPr="005F7E5F">
        <w:rPr>
          <w:rFonts w:eastAsia="Times New Roman" w:cs="Arial"/>
          <w:color w:val="000000"/>
          <w:szCs w:val="20"/>
          <w:lang w:eastAsia="bg-BG"/>
        </w:rPr>
        <w:t xml:space="preserve">през първите 8 седмици, 20 </w:t>
      </w:r>
      <w:r w:rsidRPr="005F7E5F">
        <w:rPr>
          <w:rFonts w:eastAsia="Times New Roman" w:cs="Arial"/>
          <w:color w:val="000000"/>
          <w:szCs w:val="20"/>
          <w:lang w:val="en-US"/>
        </w:rPr>
        <w:t xml:space="preserve">mg </w:t>
      </w:r>
      <w:r w:rsidRPr="005F7E5F">
        <w:rPr>
          <w:rFonts w:eastAsia="Times New Roman" w:cs="Arial"/>
          <w:color w:val="000000"/>
          <w:szCs w:val="20"/>
          <w:lang w:eastAsia="bg-BG"/>
        </w:rPr>
        <w:t xml:space="preserve">през вторите 8 седмици, и 40 </w:t>
      </w:r>
      <w:r w:rsidRPr="005F7E5F">
        <w:rPr>
          <w:rFonts w:eastAsia="Times New Roman" w:cs="Arial"/>
          <w:color w:val="000000"/>
          <w:szCs w:val="20"/>
          <w:lang w:val="en-US"/>
        </w:rPr>
        <w:t xml:space="preserve">mg </w:t>
      </w:r>
      <w:r w:rsidRPr="005F7E5F">
        <w:rPr>
          <w:rFonts w:eastAsia="Times New Roman" w:cs="Arial"/>
          <w:color w:val="000000"/>
          <w:szCs w:val="20"/>
          <w:lang w:eastAsia="bg-BG"/>
        </w:rPr>
        <w:t xml:space="preserve">след това. В разширението от 24 седмици, 144 пациенти са предпочели да продължат терапията и са получавали 40 </w:t>
      </w:r>
      <w:r w:rsidRPr="005F7E5F">
        <w:rPr>
          <w:rFonts w:eastAsia="Times New Roman" w:cs="Arial"/>
          <w:color w:val="000000"/>
          <w:szCs w:val="20"/>
          <w:lang w:val="en-US"/>
        </w:rPr>
        <w:t xml:space="preserve">mg </w:t>
      </w:r>
      <w:r w:rsidRPr="005F7E5F">
        <w:rPr>
          <w:rFonts w:eastAsia="Times New Roman" w:cs="Arial"/>
          <w:color w:val="000000"/>
          <w:szCs w:val="20"/>
          <w:lang w:eastAsia="bg-BG"/>
        </w:rPr>
        <w:t>симвастатин или плацебо.</w:t>
      </w:r>
    </w:p>
    <w:p w14:paraId="4CC40176" w14:textId="77777777" w:rsidR="00912B18" w:rsidRPr="005F7E5F" w:rsidRDefault="00912B18" w:rsidP="00912B18">
      <w:pPr>
        <w:spacing w:line="240" w:lineRule="auto"/>
        <w:rPr>
          <w:rFonts w:eastAsia="Times New Roman" w:cs="Arial"/>
          <w:sz w:val="28"/>
          <w:szCs w:val="24"/>
          <w:lang w:eastAsia="bg-BG"/>
        </w:rPr>
      </w:pPr>
    </w:p>
    <w:p w14:paraId="1678F7C4" w14:textId="77777777" w:rsidR="00912B18" w:rsidRPr="005F7E5F" w:rsidRDefault="00912B18" w:rsidP="00912B18">
      <w:pPr>
        <w:spacing w:line="240" w:lineRule="auto"/>
        <w:rPr>
          <w:rFonts w:eastAsia="Times New Roman" w:cs="Arial"/>
          <w:sz w:val="28"/>
          <w:szCs w:val="24"/>
          <w:lang w:eastAsia="bg-BG"/>
        </w:rPr>
      </w:pPr>
      <w:r w:rsidRPr="005F7E5F">
        <w:rPr>
          <w:rFonts w:eastAsia="Times New Roman" w:cs="Arial"/>
          <w:color w:val="000000"/>
          <w:szCs w:val="20"/>
          <w:lang w:eastAsia="bg-BG"/>
        </w:rPr>
        <w:t xml:space="preserve">Симвастатин значително намалява плазмените нива на </w:t>
      </w:r>
      <w:r w:rsidRPr="005F7E5F">
        <w:rPr>
          <w:rFonts w:eastAsia="Times New Roman" w:cs="Arial"/>
          <w:color w:val="000000"/>
          <w:szCs w:val="20"/>
          <w:lang w:val="en-US"/>
        </w:rPr>
        <w:t xml:space="preserve">LDL-C, TG, </w:t>
      </w:r>
      <w:r w:rsidRPr="005F7E5F">
        <w:rPr>
          <w:rFonts w:eastAsia="Times New Roman" w:cs="Arial"/>
          <w:color w:val="000000"/>
          <w:szCs w:val="20"/>
          <w:lang w:eastAsia="bg-BG"/>
        </w:rPr>
        <w:t>и Аро В. Резултатите от разширението до 48 седмици са сравними с получените при основното проучване.</w:t>
      </w:r>
    </w:p>
    <w:p w14:paraId="39C5E342" w14:textId="77777777" w:rsidR="00912B18" w:rsidRPr="005F7E5F" w:rsidRDefault="00912B18" w:rsidP="00912B18">
      <w:pPr>
        <w:spacing w:line="240" w:lineRule="auto"/>
        <w:rPr>
          <w:rFonts w:eastAsia="Times New Roman" w:cs="Arial"/>
          <w:sz w:val="28"/>
          <w:szCs w:val="24"/>
          <w:lang w:eastAsia="bg-BG"/>
        </w:rPr>
      </w:pPr>
      <w:r w:rsidRPr="005F7E5F">
        <w:rPr>
          <w:rFonts w:eastAsia="Times New Roman" w:cs="Arial"/>
          <w:color w:val="000000"/>
          <w:szCs w:val="20"/>
          <w:lang w:eastAsia="bg-BG"/>
        </w:rPr>
        <w:t xml:space="preserve">След 24 седмично лечение е достигнато средно ниво на </w:t>
      </w:r>
      <w:r w:rsidRPr="005F7E5F">
        <w:rPr>
          <w:rFonts w:eastAsia="Times New Roman" w:cs="Arial"/>
          <w:color w:val="000000"/>
          <w:szCs w:val="20"/>
          <w:lang w:val="en-US"/>
        </w:rPr>
        <w:t xml:space="preserve">LDL-C </w:t>
      </w:r>
      <w:r w:rsidRPr="005F7E5F">
        <w:rPr>
          <w:rFonts w:eastAsia="Times New Roman" w:cs="Arial"/>
          <w:color w:val="000000"/>
          <w:szCs w:val="20"/>
          <w:lang w:eastAsia="bg-BG"/>
        </w:rPr>
        <w:t xml:space="preserve">124,9 </w:t>
      </w:r>
      <w:r w:rsidRPr="005F7E5F">
        <w:rPr>
          <w:rFonts w:eastAsia="Times New Roman" w:cs="Arial"/>
          <w:color w:val="000000"/>
          <w:szCs w:val="20"/>
          <w:lang w:val="en-US"/>
        </w:rPr>
        <w:t xml:space="preserve">mg/dl </w:t>
      </w:r>
      <w:r w:rsidRPr="005F7E5F">
        <w:rPr>
          <w:rFonts w:eastAsia="Times New Roman" w:cs="Arial"/>
          <w:color w:val="000000"/>
          <w:szCs w:val="20"/>
          <w:lang w:eastAsia="bg-BG"/>
        </w:rPr>
        <w:t xml:space="preserve">(граници: </w:t>
      </w:r>
      <w:r w:rsidRPr="005F7E5F">
        <w:rPr>
          <w:rFonts w:eastAsia="Times New Roman" w:cs="Arial"/>
          <w:color w:val="000000"/>
          <w:szCs w:val="20"/>
          <w:lang w:val="en-US"/>
        </w:rPr>
        <w:t xml:space="preserve">64,0-289,0 mg/dl) </w:t>
      </w:r>
      <w:r w:rsidRPr="005F7E5F">
        <w:rPr>
          <w:rFonts w:eastAsia="Times New Roman" w:cs="Arial"/>
          <w:color w:val="000000"/>
          <w:szCs w:val="20"/>
          <w:lang w:eastAsia="bg-BG"/>
        </w:rPr>
        <w:t xml:space="preserve">при групата, лекувана със симвастатин 40 </w:t>
      </w:r>
      <w:r w:rsidRPr="005F7E5F">
        <w:rPr>
          <w:rFonts w:eastAsia="Times New Roman" w:cs="Arial"/>
          <w:color w:val="000000"/>
          <w:szCs w:val="20"/>
          <w:lang w:val="en-US"/>
        </w:rPr>
        <w:t xml:space="preserve">mg, </w:t>
      </w:r>
      <w:r w:rsidRPr="005F7E5F">
        <w:rPr>
          <w:rFonts w:eastAsia="Times New Roman" w:cs="Arial"/>
          <w:color w:val="000000"/>
          <w:szCs w:val="20"/>
          <w:lang w:eastAsia="bg-BG"/>
        </w:rPr>
        <w:t xml:space="preserve">сравнено с 207,8 </w:t>
      </w:r>
      <w:r w:rsidRPr="005F7E5F">
        <w:rPr>
          <w:rFonts w:eastAsia="Times New Roman" w:cs="Arial"/>
          <w:color w:val="000000"/>
          <w:szCs w:val="20"/>
          <w:lang w:val="en-US"/>
        </w:rPr>
        <w:t xml:space="preserve">mg/dl </w:t>
      </w:r>
      <w:r w:rsidRPr="005F7E5F">
        <w:rPr>
          <w:rFonts w:eastAsia="Times New Roman" w:cs="Arial"/>
          <w:color w:val="000000"/>
          <w:szCs w:val="20"/>
          <w:lang w:eastAsia="bg-BG"/>
        </w:rPr>
        <w:t>(граници:</w:t>
      </w:r>
      <w:r w:rsidRPr="005F7E5F">
        <w:rPr>
          <w:rFonts w:eastAsia="Times New Roman" w:cs="Arial"/>
          <w:color w:val="000000"/>
          <w:szCs w:val="20"/>
          <w:lang w:val="en-US"/>
        </w:rPr>
        <w:t xml:space="preserve"> 128,0-334,0 mg/dl) </w:t>
      </w:r>
      <w:r w:rsidRPr="005F7E5F">
        <w:rPr>
          <w:rFonts w:eastAsia="Times New Roman" w:cs="Arial"/>
          <w:color w:val="000000"/>
          <w:szCs w:val="20"/>
          <w:lang w:eastAsia="bg-BG"/>
        </w:rPr>
        <w:t>при групата, лекувана с плацебо.</w:t>
      </w:r>
    </w:p>
    <w:p w14:paraId="77AC38A2" w14:textId="77777777" w:rsidR="00912B18" w:rsidRPr="005F7E5F" w:rsidRDefault="00912B18" w:rsidP="00912B18">
      <w:pPr>
        <w:rPr>
          <w:rFonts w:eastAsia="Times New Roman" w:cs="Arial"/>
          <w:color w:val="000000"/>
          <w:szCs w:val="20"/>
          <w:lang w:eastAsia="bg-BG"/>
        </w:rPr>
      </w:pPr>
    </w:p>
    <w:p w14:paraId="2505A101" w14:textId="77777777" w:rsidR="00912B18" w:rsidRPr="005F7E5F" w:rsidRDefault="00912B18" w:rsidP="00912B18">
      <w:pPr>
        <w:rPr>
          <w:rFonts w:eastAsia="Times New Roman" w:cs="Arial"/>
          <w:sz w:val="28"/>
          <w:szCs w:val="24"/>
          <w:lang w:eastAsia="bg-BG"/>
        </w:rPr>
      </w:pPr>
      <w:r w:rsidRPr="005F7E5F">
        <w:rPr>
          <w:rFonts w:eastAsia="Times New Roman" w:cs="Arial"/>
          <w:color w:val="000000"/>
          <w:szCs w:val="20"/>
          <w:lang w:eastAsia="bg-BG"/>
        </w:rPr>
        <w:t xml:space="preserve">След 24 седмично лечение със симвастатин (с нарастващи дози от 10, 20 до 40 </w:t>
      </w:r>
      <w:r w:rsidRPr="005F7E5F">
        <w:rPr>
          <w:rFonts w:eastAsia="Times New Roman" w:cs="Arial"/>
          <w:color w:val="000000"/>
          <w:szCs w:val="20"/>
          <w:lang w:val="en-US"/>
        </w:rPr>
        <w:t xml:space="preserve">mg </w:t>
      </w:r>
      <w:r w:rsidRPr="005F7E5F">
        <w:rPr>
          <w:rFonts w:eastAsia="Times New Roman" w:cs="Arial"/>
          <w:color w:val="000000"/>
          <w:szCs w:val="20"/>
          <w:lang w:eastAsia="bg-BG"/>
        </w:rPr>
        <w:t xml:space="preserve">дневно при интервал от 8 седмици) симвастатин понижава средното ниво на </w:t>
      </w:r>
      <w:r w:rsidRPr="005F7E5F">
        <w:rPr>
          <w:rFonts w:eastAsia="Times New Roman" w:cs="Arial"/>
          <w:color w:val="000000"/>
          <w:szCs w:val="20"/>
          <w:lang w:val="en-US"/>
        </w:rPr>
        <w:t xml:space="preserve">LDL-C </w:t>
      </w:r>
      <w:r w:rsidRPr="005F7E5F">
        <w:rPr>
          <w:rFonts w:eastAsia="Times New Roman" w:cs="Arial"/>
          <w:color w:val="000000"/>
          <w:szCs w:val="20"/>
          <w:lang w:eastAsia="bg-BG"/>
        </w:rPr>
        <w:t>с 36,8 % (плацебо:</w:t>
      </w:r>
      <w:r w:rsidRPr="005F7E5F">
        <w:rPr>
          <w:rFonts w:eastAsia="Times New Roman" w:cs="Arial"/>
          <w:color w:val="000000"/>
          <w:szCs w:val="20"/>
          <w:lang w:val="en-US"/>
        </w:rPr>
        <w:t xml:space="preserve"> 1,1% </w:t>
      </w:r>
      <w:r w:rsidRPr="005F7E5F">
        <w:rPr>
          <w:rFonts w:eastAsia="Times New Roman" w:cs="Arial"/>
          <w:color w:val="000000"/>
          <w:szCs w:val="20"/>
          <w:lang w:eastAsia="bg-BG"/>
        </w:rPr>
        <w:t xml:space="preserve">увеличение от изходното ниво), средните нива на Аро В с 32,4% (плацебо: 0,5 %) и средната стойност на </w:t>
      </w:r>
      <w:r w:rsidRPr="005F7E5F">
        <w:rPr>
          <w:rFonts w:eastAsia="Times New Roman" w:cs="Arial"/>
          <w:color w:val="000000"/>
          <w:szCs w:val="20"/>
          <w:lang w:val="en-US"/>
        </w:rPr>
        <w:t xml:space="preserve">TG </w:t>
      </w:r>
      <w:r w:rsidRPr="005F7E5F">
        <w:rPr>
          <w:rFonts w:eastAsia="Times New Roman" w:cs="Arial"/>
          <w:color w:val="000000"/>
          <w:szCs w:val="20"/>
          <w:lang w:eastAsia="bg-BG"/>
        </w:rPr>
        <w:t xml:space="preserve">нивата със 7,9 % (плацебо: 3,2%), и е увеличил средните </w:t>
      </w:r>
      <w:r w:rsidRPr="005F7E5F">
        <w:rPr>
          <w:rFonts w:eastAsia="Times New Roman" w:cs="Arial"/>
          <w:color w:val="000000"/>
          <w:szCs w:val="20"/>
          <w:lang w:val="en-US"/>
        </w:rPr>
        <w:t xml:space="preserve">HDL-C </w:t>
      </w:r>
      <w:r w:rsidRPr="005F7E5F">
        <w:rPr>
          <w:rFonts w:eastAsia="Times New Roman" w:cs="Arial"/>
          <w:color w:val="000000"/>
          <w:szCs w:val="20"/>
          <w:lang w:eastAsia="bg-BG"/>
        </w:rPr>
        <w:t>нива с 8,3 % (плацебо: 3,6%). В дългосрочен план ползата на симвастатин при сърдечно-съдовите случаи при деца с ХеФХ е неизвестна.</w:t>
      </w:r>
    </w:p>
    <w:p w14:paraId="63FE6A78" w14:textId="77777777" w:rsidR="00912B18" w:rsidRPr="005F7E5F" w:rsidRDefault="00912B18" w:rsidP="00912B18">
      <w:pPr>
        <w:rPr>
          <w:rFonts w:eastAsia="Times New Roman" w:cs="Arial"/>
          <w:color w:val="000000"/>
          <w:szCs w:val="20"/>
          <w:lang w:eastAsia="bg-BG"/>
        </w:rPr>
      </w:pPr>
    </w:p>
    <w:p w14:paraId="324765E5" w14:textId="77777777" w:rsidR="00912B18" w:rsidRPr="005F7E5F" w:rsidRDefault="00912B18" w:rsidP="00912B18">
      <w:pPr>
        <w:rPr>
          <w:rFonts w:cs="Arial"/>
          <w:sz w:val="24"/>
        </w:rPr>
      </w:pPr>
      <w:r w:rsidRPr="005F7E5F">
        <w:rPr>
          <w:rFonts w:eastAsia="Times New Roman" w:cs="Arial"/>
          <w:color w:val="000000"/>
          <w:szCs w:val="20"/>
          <w:lang w:eastAsia="bg-BG"/>
        </w:rPr>
        <w:t xml:space="preserve">Безопасността и ефикасността на дози, надвишаващи 40 </w:t>
      </w:r>
      <w:r w:rsidRPr="005F7E5F">
        <w:rPr>
          <w:rFonts w:eastAsia="Times New Roman" w:cs="Arial"/>
          <w:color w:val="000000"/>
          <w:szCs w:val="20"/>
          <w:lang w:val="en-US"/>
        </w:rPr>
        <w:t xml:space="preserve">mg </w:t>
      </w:r>
      <w:r w:rsidRPr="005F7E5F">
        <w:rPr>
          <w:rFonts w:eastAsia="Times New Roman" w:cs="Arial"/>
          <w:color w:val="000000"/>
          <w:szCs w:val="20"/>
          <w:lang w:eastAsia="bg-BG"/>
        </w:rPr>
        <w:t>дневно не са получени при деца с хетерозиготна фамилна хиперхолестеролемия. В дългосрочен план ефикасността от лечението със симвастатин в детска възраст за намаляване заболеваемостта и смъртността в зряла възраст не е установена.</w:t>
      </w:r>
    </w:p>
    <w:p w14:paraId="36152471" w14:textId="781CD608" w:rsidR="0091385D" w:rsidRPr="0091385D" w:rsidRDefault="0091385D" w:rsidP="0091385D"/>
    <w:p w14:paraId="35F84B81" w14:textId="6423E5BB" w:rsidR="00CF77F7" w:rsidRDefault="002C50EE" w:rsidP="004A448E">
      <w:pPr>
        <w:pStyle w:val="Heading2"/>
      </w:pPr>
      <w:r>
        <w:t>5.2. Фармакокинетични свойства</w:t>
      </w:r>
    </w:p>
    <w:p w14:paraId="5031193D" w14:textId="06A21EFE" w:rsidR="0091385D" w:rsidRDefault="0091385D" w:rsidP="0091385D"/>
    <w:p w14:paraId="2B474D39" w14:textId="5969F87C" w:rsidR="00912B18" w:rsidRPr="00912B18" w:rsidRDefault="00912B18" w:rsidP="00912B18">
      <w:pPr>
        <w:rPr>
          <w:sz w:val="24"/>
        </w:rPr>
      </w:pPr>
      <w:r w:rsidRPr="00912B18">
        <w:rPr>
          <w:szCs w:val="20"/>
        </w:rPr>
        <w:t xml:space="preserve">Симвастатин е неактивен лактон, който </w:t>
      </w:r>
      <w:r w:rsidRPr="00912B18">
        <w:rPr>
          <w:i/>
          <w:iCs/>
          <w:szCs w:val="20"/>
          <w:lang w:val="en-US"/>
        </w:rPr>
        <w:t>in vivo</w:t>
      </w:r>
      <w:r w:rsidRPr="00912B18">
        <w:rPr>
          <w:szCs w:val="20"/>
          <w:lang w:val="en-US"/>
        </w:rPr>
        <w:t xml:space="preserve"> </w:t>
      </w:r>
      <w:r w:rsidRPr="00912B18">
        <w:rPr>
          <w:szCs w:val="20"/>
        </w:rPr>
        <w:t xml:space="preserve">веднага </w:t>
      </w:r>
      <w:r>
        <w:rPr>
          <w:szCs w:val="20"/>
        </w:rPr>
        <w:t xml:space="preserve">се хидролизира до съответната </w:t>
      </w:r>
      <w:r>
        <w:rPr>
          <w:rFonts w:cs="Arial"/>
          <w:color w:val="202122"/>
          <w:sz w:val="25"/>
          <w:szCs w:val="25"/>
          <w:shd w:val="clear" w:color="auto" w:fill="F8F9FA"/>
        </w:rPr>
        <w:t>β</w:t>
      </w:r>
      <w:r w:rsidRPr="00912B18">
        <w:rPr>
          <w:szCs w:val="20"/>
        </w:rPr>
        <w:t xml:space="preserve">- хидроксикиселина, мощен инхибитор на </w:t>
      </w:r>
      <w:r w:rsidRPr="00912B18">
        <w:rPr>
          <w:szCs w:val="20"/>
          <w:lang w:val="en-US"/>
        </w:rPr>
        <w:t xml:space="preserve">HMG-CoA </w:t>
      </w:r>
      <w:r w:rsidRPr="00912B18">
        <w:rPr>
          <w:szCs w:val="20"/>
        </w:rPr>
        <w:t>редуктазата.</w:t>
      </w:r>
    </w:p>
    <w:p w14:paraId="696A3EAC" w14:textId="77777777" w:rsidR="00912B18" w:rsidRPr="00912B18" w:rsidRDefault="00912B18" w:rsidP="00912B18">
      <w:pPr>
        <w:rPr>
          <w:sz w:val="24"/>
        </w:rPr>
      </w:pPr>
      <w:r w:rsidRPr="00912B18">
        <w:rPr>
          <w:szCs w:val="20"/>
        </w:rPr>
        <w:t>Хидролизата се осъществява главно в черния дроб; скоростта на хидролизата в човешката плазма е много ниска.</w:t>
      </w:r>
    </w:p>
    <w:p w14:paraId="316212D2" w14:textId="77777777" w:rsidR="00912B18" w:rsidRPr="00912B18" w:rsidRDefault="00912B18" w:rsidP="00912B18">
      <w:pPr>
        <w:rPr>
          <w:szCs w:val="20"/>
        </w:rPr>
      </w:pPr>
    </w:p>
    <w:p w14:paraId="2BF34AD1" w14:textId="6E39904F" w:rsidR="00912B18" w:rsidRPr="00912B18" w:rsidRDefault="00912B18" w:rsidP="00912B18">
      <w:pPr>
        <w:rPr>
          <w:sz w:val="24"/>
        </w:rPr>
      </w:pPr>
      <w:r w:rsidRPr="00912B18">
        <w:rPr>
          <w:szCs w:val="20"/>
        </w:rPr>
        <w:t>Фармакокинетичните свойства са били оценени при възрастни. Няма налични фармакокинетични данни при деца и юноши.</w:t>
      </w:r>
    </w:p>
    <w:p w14:paraId="779D725F" w14:textId="77777777" w:rsidR="00912B18" w:rsidRPr="00912B18" w:rsidRDefault="00912B18" w:rsidP="00912B18">
      <w:pPr>
        <w:rPr>
          <w:szCs w:val="20"/>
          <w:u w:val="single"/>
        </w:rPr>
      </w:pPr>
    </w:p>
    <w:p w14:paraId="2F89F0D8" w14:textId="4C586EBF" w:rsidR="00912B18" w:rsidRPr="00912B18" w:rsidRDefault="00912B18" w:rsidP="00912B18">
      <w:pPr>
        <w:pStyle w:val="Heading3"/>
        <w:rPr>
          <w:color w:val="auto"/>
          <w:u w:val="single"/>
        </w:rPr>
      </w:pPr>
      <w:r w:rsidRPr="00912B18">
        <w:rPr>
          <w:u w:val="single"/>
        </w:rPr>
        <w:t>Абсорбция</w:t>
      </w:r>
    </w:p>
    <w:p w14:paraId="59E95BCB" w14:textId="77777777" w:rsidR="00912B18" w:rsidRPr="00912B18" w:rsidRDefault="00912B18" w:rsidP="00912B18">
      <w:pPr>
        <w:rPr>
          <w:sz w:val="24"/>
        </w:rPr>
      </w:pPr>
      <w:r w:rsidRPr="00912B18">
        <w:rPr>
          <w:szCs w:val="20"/>
        </w:rPr>
        <w:t xml:space="preserve">При хора симвастатин се абсорбира добре и претърпява значителен </w:t>
      </w:r>
      <w:r w:rsidRPr="00912B18">
        <w:rPr>
          <w:szCs w:val="20"/>
          <w:lang w:val="en-US"/>
        </w:rPr>
        <w:t xml:space="preserve">firs-pass </w:t>
      </w:r>
      <w:r w:rsidRPr="00912B18">
        <w:rPr>
          <w:szCs w:val="20"/>
        </w:rPr>
        <w:t xml:space="preserve">метаболизъм в черния дроб. Метаболизмът в черния дроб зависи от чернодробния кръвоток. Черният дроб е основното място на действие на активната форма. Бионаличността на </w:t>
      </w:r>
      <w:r w:rsidRPr="00912B18">
        <w:rPr>
          <w:szCs w:val="20"/>
          <w:lang w:val="en-US"/>
        </w:rPr>
        <w:t>p</w:t>
      </w:r>
      <w:r w:rsidRPr="00912B18">
        <w:rPr>
          <w:szCs w:val="20"/>
        </w:rPr>
        <w:t xml:space="preserve">-хидроксикиселината в системното кръвообръщение след перорален </w:t>
      </w:r>
      <w:r w:rsidRPr="00912B18">
        <w:rPr>
          <w:szCs w:val="20"/>
        </w:rPr>
        <w:lastRenderedPageBreak/>
        <w:t>прием на симвастатин е по-малко от 5% от приетата доза. Максимална плазмена концентрация на активните инхибитори се достига приблизително 1-2 часа след приложението на симвастатин. Едновременният прием на храна не влияе на абсорбцията.</w:t>
      </w:r>
    </w:p>
    <w:p w14:paraId="2A42A86B" w14:textId="77777777" w:rsidR="00912B18" w:rsidRPr="00912B18" w:rsidRDefault="00912B18" w:rsidP="00912B18">
      <w:pPr>
        <w:rPr>
          <w:szCs w:val="20"/>
        </w:rPr>
      </w:pPr>
    </w:p>
    <w:p w14:paraId="687365F7" w14:textId="7D60694D" w:rsidR="00912B18" w:rsidRPr="00912B18" w:rsidRDefault="00912B18" w:rsidP="00912B18">
      <w:pPr>
        <w:rPr>
          <w:sz w:val="24"/>
        </w:rPr>
      </w:pPr>
      <w:r w:rsidRPr="00912B18">
        <w:rPr>
          <w:szCs w:val="20"/>
        </w:rPr>
        <w:t>Фармакокинетичните свойства на еднократна и многократни дози симвастатин показва, че не настъпва кумулиране на лекарството след многократно дозиране.</w:t>
      </w:r>
    </w:p>
    <w:p w14:paraId="4286E6FE" w14:textId="77777777" w:rsidR="00912B18" w:rsidRPr="00912B18" w:rsidRDefault="00912B18" w:rsidP="00912B18">
      <w:pPr>
        <w:rPr>
          <w:szCs w:val="20"/>
          <w:u w:val="single"/>
        </w:rPr>
      </w:pPr>
    </w:p>
    <w:p w14:paraId="2E1BB229" w14:textId="26D13264" w:rsidR="00912B18" w:rsidRPr="00912B18" w:rsidRDefault="00912B18" w:rsidP="00912B18">
      <w:pPr>
        <w:pStyle w:val="Heading3"/>
        <w:rPr>
          <w:color w:val="auto"/>
          <w:u w:val="single"/>
        </w:rPr>
      </w:pPr>
      <w:r w:rsidRPr="00912B18">
        <w:rPr>
          <w:u w:val="single"/>
        </w:rPr>
        <w:t>Разпределение</w:t>
      </w:r>
    </w:p>
    <w:p w14:paraId="778EAB47" w14:textId="77777777" w:rsidR="00912B18" w:rsidRPr="00912B18" w:rsidRDefault="00912B18" w:rsidP="00912B18">
      <w:pPr>
        <w:rPr>
          <w:sz w:val="24"/>
        </w:rPr>
      </w:pPr>
      <w:r w:rsidRPr="00912B18">
        <w:rPr>
          <w:szCs w:val="20"/>
        </w:rPr>
        <w:t>Свързването на симвастатин и неговите активни метаболити с плазмените протеини е &gt;95%.</w:t>
      </w:r>
    </w:p>
    <w:p w14:paraId="7CECE319" w14:textId="77777777" w:rsidR="00912B18" w:rsidRPr="00912B18" w:rsidRDefault="00912B18" w:rsidP="00912B18">
      <w:pPr>
        <w:rPr>
          <w:szCs w:val="20"/>
          <w:u w:val="single"/>
        </w:rPr>
      </w:pPr>
    </w:p>
    <w:p w14:paraId="374DC193" w14:textId="7E4D7776" w:rsidR="00912B18" w:rsidRPr="00912B18" w:rsidRDefault="00912B18" w:rsidP="00912B18">
      <w:pPr>
        <w:pStyle w:val="Heading3"/>
        <w:rPr>
          <w:color w:val="auto"/>
          <w:u w:val="single"/>
        </w:rPr>
      </w:pPr>
      <w:r w:rsidRPr="00912B18">
        <w:rPr>
          <w:u w:val="single"/>
        </w:rPr>
        <w:t>Елиминиране</w:t>
      </w:r>
    </w:p>
    <w:p w14:paraId="3D07E4C4" w14:textId="77777777" w:rsidR="00912B18" w:rsidRPr="00912B18" w:rsidRDefault="00912B18" w:rsidP="00912B18">
      <w:pPr>
        <w:rPr>
          <w:sz w:val="24"/>
        </w:rPr>
      </w:pPr>
      <w:r w:rsidRPr="00912B18">
        <w:rPr>
          <w:szCs w:val="20"/>
        </w:rPr>
        <w:t xml:space="preserve">Симвастатин е субстрат на </w:t>
      </w:r>
      <w:r w:rsidRPr="00912B18">
        <w:rPr>
          <w:szCs w:val="20"/>
          <w:lang w:val="en-US"/>
        </w:rPr>
        <w:t xml:space="preserve">CYP3A4 </w:t>
      </w:r>
      <w:r w:rsidRPr="00912B18">
        <w:rPr>
          <w:szCs w:val="20"/>
        </w:rPr>
        <w:t xml:space="preserve">(вж. точки 4.3 и 4,5). Основните метаболити на симвастатин в човешката плазма са |3-хидроксикиселината и още четири активни метаболита. След перорална доза на радиоактивно белязан симвастатин при хора за 96 часа 13 % от радиоактивността се отделя с урината и 60 % във фекалиите. Количеството, възстановено във фекалиите, представлява еквивалентен на абсорбираният лекарствен продукт, отделени в жлъчката, както и неабсорбирания лекарствен продукт. След интравенозна инжекция на метаболита </w:t>
      </w:r>
      <w:r w:rsidRPr="00912B18">
        <w:rPr>
          <w:szCs w:val="20"/>
          <w:lang w:val="en-US"/>
        </w:rPr>
        <w:t>p</w:t>
      </w:r>
      <w:r w:rsidRPr="00912B18">
        <w:rPr>
          <w:szCs w:val="20"/>
        </w:rPr>
        <w:t>-хидроксикиселина неговият полуживот е средно 1,9 часа. Средно само 0,3 % от интравенозната доза се екскретира в урината като инхибитори.</w:t>
      </w:r>
    </w:p>
    <w:p w14:paraId="0A2D4011" w14:textId="77777777" w:rsidR="00912B18" w:rsidRPr="00912B18" w:rsidRDefault="00912B18" w:rsidP="00912B18">
      <w:pPr>
        <w:rPr>
          <w:szCs w:val="20"/>
        </w:rPr>
      </w:pPr>
    </w:p>
    <w:p w14:paraId="72E00E2A" w14:textId="76B49E63" w:rsidR="00912B18" w:rsidRPr="00912B18" w:rsidRDefault="00912B18" w:rsidP="00912B18">
      <w:pPr>
        <w:rPr>
          <w:sz w:val="24"/>
        </w:rPr>
      </w:pPr>
      <w:r w:rsidRPr="00912B18">
        <w:rPr>
          <w:szCs w:val="20"/>
        </w:rPr>
        <w:t>Симвастатиновата киселина се поема активно в хепотацитите чрез ОАТР1В1 транспортера.</w:t>
      </w:r>
    </w:p>
    <w:p w14:paraId="5A29EBD2" w14:textId="77777777" w:rsidR="00912B18" w:rsidRPr="00912B18" w:rsidRDefault="00912B18" w:rsidP="00912B18">
      <w:pPr>
        <w:rPr>
          <w:szCs w:val="20"/>
        </w:rPr>
      </w:pPr>
    </w:p>
    <w:p w14:paraId="188C4EBB" w14:textId="04FF88A6" w:rsidR="00912B18" w:rsidRPr="00912B18" w:rsidRDefault="00912B18" w:rsidP="00912B18">
      <w:pPr>
        <w:rPr>
          <w:sz w:val="24"/>
        </w:rPr>
      </w:pPr>
      <w:r w:rsidRPr="00912B18">
        <w:rPr>
          <w:szCs w:val="20"/>
        </w:rPr>
        <w:t xml:space="preserve">Симвастатин е субстрат на ефлуксния транспортер </w:t>
      </w:r>
      <w:r w:rsidRPr="00912B18">
        <w:rPr>
          <w:szCs w:val="20"/>
          <w:lang w:val="en-US"/>
        </w:rPr>
        <w:t>BCRP.</w:t>
      </w:r>
    </w:p>
    <w:p w14:paraId="6129090F" w14:textId="77777777" w:rsidR="00912B18" w:rsidRPr="00912B18" w:rsidRDefault="00912B18" w:rsidP="00912B18">
      <w:pPr>
        <w:rPr>
          <w:i/>
          <w:iCs/>
          <w:szCs w:val="20"/>
        </w:rPr>
      </w:pPr>
    </w:p>
    <w:p w14:paraId="59B51DF2" w14:textId="35DC5802" w:rsidR="00912B18" w:rsidRPr="00912B18" w:rsidRDefault="00912B18" w:rsidP="00912B18">
      <w:pPr>
        <w:rPr>
          <w:sz w:val="24"/>
        </w:rPr>
      </w:pPr>
      <w:r w:rsidRPr="00912B18">
        <w:rPr>
          <w:i/>
          <w:iCs/>
          <w:szCs w:val="20"/>
        </w:rPr>
        <w:t>Специални популации</w:t>
      </w:r>
    </w:p>
    <w:p w14:paraId="144AA7BB" w14:textId="77777777" w:rsidR="00912B18" w:rsidRPr="00912B18" w:rsidRDefault="00912B18" w:rsidP="00912B18">
      <w:pPr>
        <w:rPr>
          <w:sz w:val="24"/>
        </w:rPr>
      </w:pPr>
      <w:r w:rsidRPr="00912B18">
        <w:rPr>
          <w:i/>
          <w:iCs/>
          <w:szCs w:val="20"/>
          <w:lang w:val="en-US"/>
        </w:rPr>
        <w:t xml:space="preserve">SLCO1B1 </w:t>
      </w:r>
      <w:r w:rsidRPr="00912B18">
        <w:rPr>
          <w:i/>
          <w:iCs/>
          <w:szCs w:val="20"/>
        </w:rPr>
        <w:t>полиморфизъм</w:t>
      </w:r>
    </w:p>
    <w:p w14:paraId="148BA3FC" w14:textId="5723E744" w:rsidR="0091385D" w:rsidRPr="00912B18" w:rsidRDefault="00912B18" w:rsidP="00912B18">
      <w:pPr>
        <w:rPr>
          <w:sz w:val="24"/>
        </w:rPr>
      </w:pPr>
      <w:r w:rsidRPr="00912B18">
        <w:rPr>
          <w:szCs w:val="20"/>
        </w:rPr>
        <w:t xml:space="preserve">Носители на </w:t>
      </w:r>
      <w:r w:rsidRPr="00912B18">
        <w:rPr>
          <w:szCs w:val="20"/>
          <w:lang w:val="en-US"/>
        </w:rPr>
        <w:t xml:space="preserve">SLCO1B1 </w:t>
      </w:r>
      <w:r w:rsidRPr="00912B18">
        <w:rPr>
          <w:szCs w:val="20"/>
        </w:rPr>
        <w:t xml:space="preserve">ген с.521Т&gt;С алел имат по-ниска ОАТР1В1 активност. Средната експозиция </w:t>
      </w:r>
      <w:r w:rsidRPr="00912B18">
        <w:rPr>
          <w:szCs w:val="20"/>
          <w:lang w:val="en-US"/>
        </w:rPr>
        <w:t xml:space="preserve">(AUC) </w:t>
      </w:r>
      <w:r w:rsidRPr="00912B18">
        <w:rPr>
          <w:szCs w:val="20"/>
        </w:rPr>
        <w:t>на главния активен метаболит симвастатиновата киселина е 120%</w:t>
      </w:r>
      <w:r w:rsidRPr="00912B18">
        <w:rPr>
          <w:szCs w:val="20"/>
          <w:lang w:val="en-US"/>
        </w:rPr>
        <w:t xml:space="preserve"> </w:t>
      </w:r>
      <w:r w:rsidRPr="00912B18">
        <w:rPr>
          <w:szCs w:val="20"/>
        </w:rPr>
        <w:t>в хетерозиготни носители (СТ) на алел С и 221% в хомозиготни (СС) носители в сравнение с тази на пациенти, които имат най-често срещания генотип (ТТ). Алелът С има честота от 18%</w:t>
      </w:r>
      <w:r w:rsidRPr="00912B18">
        <w:rPr>
          <w:szCs w:val="20"/>
          <w:lang w:val="en-US"/>
        </w:rPr>
        <w:t xml:space="preserve"> </w:t>
      </w:r>
      <w:r w:rsidRPr="00912B18">
        <w:rPr>
          <w:szCs w:val="20"/>
        </w:rPr>
        <w:t>сред</w:t>
      </w:r>
      <w:r>
        <w:rPr>
          <w:sz w:val="24"/>
          <w:lang w:val="en-US"/>
        </w:rPr>
        <w:t xml:space="preserve"> </w:t>
      </w:r>
      <w:r w:rsidRPr="00912B18">
        <w:rPr>
          <w:szCs w:val="20"/>
        </w:rPr>
        <w:t xml:space="preserve">населението на Европа. При пациенти с </w:t>
      </w:r>
      <w:r w:rsidRPr="00912B18">
        <w:rPr>
          <w:szCs w:val="20"/>
          <w:lang w:val="en-US"/>
        </w:rPr>
        <w:t xml:space="preserve">SLCO1B1 </w:t>
      </w:r>
      <w:r w:rsidRPr="00912B18">
        <w:rPr>
          <w:szCs w:val="20"/>
        </w:rPr>
        <w:t>полиморфизъм има риск от повишена</w:t>
      </w:r>
      <w:r w:rsidRPr="00912B18">
        <w:rPr>
          <w:szCs w:val="20"/>
          <w:lang w:val="en-US"/>
        </w:rPr>
        <w:t xml:space="preserve"> </w:t>
      </w:r>
      <w:r w:rsidRPr="00912B18">
        <w:rPr>
          <w:szCs w:val="20"/>
        </w:rPr>
        <w:t>експозиция на симвастатинова киселина, което може да доведе до повишен риск от рабдомиолиза (вж.точка 4.4).</w:t>
      </w:r>
    </w:p>
    <w:p w14:paraId="4EE1BB0B" w14:textId="77777777" w:rsidR="0091385D" w:rsidRPr="0091385D" w:rsidRDefault="0091385D" w:rsidP="0091385D"/>
    <w:p w14:paraId="648E39DA" w14:textId="44D16CBD" w:rsidR="00CF77F7" w:rsidRDefault="002C50EE" w:rsidP="004A448E">
      <w:pPr>
        <w:pStyle w:val="Heading2"/>
      </w:pPr>
      <w:r>
        <w:t>5.3. Предклинични данни за безопасност</w:t>
      </w:r>
    </w:p>
    <w:p w14:paraId="31455D09" w14:textId="4D0EFBF5" w:rsidR="0091385D" w:rsidRDefault="0091385D" w:rsidP="0091385D"/>
    <w:p w14:paraId="52E4D01A" w14:textId="42EBE431" w:rsidR="0091385D" w:rsidRPr="00912B18" w:rsidRDefault="00912B18" w:rsidP="0091385D">
      <w:pPr>
        <w:rPr>
          <w:sz w:val="24"/>
        </w:rPr>
      </w:pPr>
      <w:r w:rsidRPr="00912B18">
        <w:rPr>
          <w:szCs w:val="20"/>
        </w:rPr>
        <w:t>Въз основа на конвенционални проучвания при животни по отношение на фармакодинамиката, токсичност при многократно дозиране, генотоксичност и канцерогенност, няма други рискове за пациента, освен очакваните в резултат на фармакологичния механизъм. При максимално поносимите дози, прилагани при плъхове и зайци, симвастатин не предизвиква фетални малформации и няма ефект върху фертилитета, репродуктивните функции и неонаталното развитие.</w:t>
      </w:r>
    </w:p>
    <w:p w14:paraId="20E967BE" w14:textId="77777777" w:rsidR="0091385D" w:rsidRPr="0091385D" w:rsidRDefault="0091385D" w:rsidP="0091385D"/>
    <w:p w14:paraId="6A7820AB" w14:textId="353DB6D2" w:rsidR="008A6AF2" w:rsidRDefault="002C50EE" w:rsidP="00395555">
      <w:pPr>
        <w:pStyle w:val="Heading1"/>
      </w:pPr>
      <w:r>
        <w:lastRenderedPageBreak/>
        <w:t>7. ПРИТЕЖАТЕЛ НА РАЗРЕШЕНИЕТО ЗА УПОТРЕБА</w:t>
      </w:r>
    </w:p>
    <w:p w14:paraId="1B9B651E" w14:textId="3382E6AC" w:rsidR="0091385D" w:rsidRDefault="0091385D" w:rsidP="0091385D"/>
    <w:p w14:paraId="0CD795F6" w14:textId="77777777" w:rsidR="00912B18" w:rsidRPr="00912B18" w:rsidRDefault="00912B18" w:rsidP="00912B18">
      <w:pPr>
        <w:spacing w:line="240" w:lineRule="auto"/>
        <w:rPr>
          <w:rFonts w:eastAsia="Times New Roman" w:cs="Arial"/>
          <w:lang w:eastAsia="bg-BG"/>
        </w:rPr>
      </w:pPr>
      <w:r w:rsidRPr="00912B18">
        <w:rPr>
          <w:rFonts w:eastAsia="Times New Roman" w:cs="Arial"/>
          <w:color w:val="000000"/>
          <w:lang w:eastAsia="bg-BG"/>
        </w:rPr>
        <w:t>“Чайкафарма Висококачествените Лекарства” АД</w:t>
      </w:r>
    </w:p>
    <w:p w14:paraId="45A0C95F" w14:textId="77777777" w:rsidR="00912B18" w:rsidRPr="00912B18" w:rsidRDefault="00912B18" w:rsidP="00912B18">
      <w:pPr>
        <w:spacing w:line="240" w:lineRule="auto"/>
        <w:rPr>
          <w:rFonts w:eastAsia="Times New Roman" w:cs="Arial"/>
          <w:lang w:eastAsia="bg-BG"/>
        </w:rPr>
      </w:pPr>
      <w:r w:rsidRPr="00912B18">
        <w:rPr>
          <w:rFonts w:eastAsia="Times New Roman" w:cs="Arial"/>
          <w:color w:val="000000"/>
          <w:lang w:eastAsia="bg-BG"/>
        </w:rPr>
        <w:t>бул. “Г.М. Димитров” № 1, гр. София 1172, България</w:t>
      </w:r>
    </w:p>
    <w:p w14:paraId="445A1488" w14:textId="77777777" w:rsidR="00912B18" w:rsidRPr="00912B18" w:rsidRDefault="00912B18" w:rsidP="00912B18">
      <w:pPr>
        <w:spacing w:line="240" w:lineRule="auto"/>
        <w:rPr>
          <w:rFonts w:eastAsia="Times New Roman" w:cs="Arial"/>
          <w:lang w:eastAsia="bg-BG"/>
        </w:rPr>
      </w:pPr>
      <w:r w:rsidRPr="00912B18">
        <w:rPr>
          <w:rFonts w:eastAsia="Times New Roman" w:cs="Arial"/>
          <w:color w:val="000000"/>
          <w:lang w:eastAsia="bg-BG"/>
        </w:rPr>
        <w:t>тел.: 02/ 962 54 54</w:t>
      </w:r>
    </w:p>
    <w:p w14:paraId="4ED28923" w14:textId="77777777" w:rsidR="00912B18" w:rsidRPr="00912B18" w:rsidRDefault="00912B18" w:rsidP="00912B18">
      <w:pPr>
        <w:spacing w:line="240" w:lineRule="auto"/>
        <w:rPr>
          <w:rFonts w:eastAsia="Times New Roman" w:cs="Arial"/>
          <w:lang w:eastAsia="bg-BG"/>
        </w:rPr>
      </w:pPr>
      <w:r w:rsidRPr="00912B18">
        <w:rPr>
          <w:rFonts w:eastAsia="Times New Roman" w:cs="Arial"/>
          <w:color w:val="000000"/>
          <w:lang w:eastAsia="bg-BG"/>
        </w:rPr>
        <w:t>факс: 02/ 960 37 03</w:t>
      </w:r>
    </w:p>
    <w:p w14:paraId="3FD825DB" w14:textId="7DE3D47C" w:rsidR="0091385D" w:rsidRPr="00912B18" w:rsidRDefault="00912B18" w:rsidP="00912B18">
      <w:pPr>
        <w:rPr>
          <w:rFonts w:cs="Arial"/>
        </w:rPr>
      </w:pPr>
      <w:proofErr w:type="gramStart"/>
      <w:r w:rsidRPr="00912B18">
        <w:rPr>
          <w:rFonts w:eastAsia="Times New Roman" w:cs="Arial"/>
          <w:color w:val="000000"/>
          <w:lang w:val="en-US"/>
        </w:rPr>
        <w:t>e-mail</w:t>
      </w:r>
      <w:proofErr w:type="gramEnd"/>
      <w:r w:rsidRPr="00912B18">
        <w:rPr>
          <w:rFonts w:eastAsia="Times New Roman" w:cs="Arial"/>
          <w:color w:val="000000"/>
          <w:lang w:val="en-US"/>
        </w:rPr>
        <w:t xml:space="preserve">: </w:t>
      </w:r>
      <w:hyperlink r:id="rId6" w:history="1">
        <w:r w:rsidRPr="00912B18">
          <w:rPr>
            <w:rFonts w:eastAsia="Times New Roman" w:cs="Arial"/>
            <w:color w:val="000000"/>
            <w:lang w:val="en-US"/>
          </w:rPr>
          <w:t>info@tchaikapharma.com</w:t>
        </w:r>
      </w:hyperlink>
    </w:p>
    <w:p w14:paraId="129C7566" w14:textId="77777777" w:rsidR="0091385D" w:rsidRPr="0091385D" w:rsidRDefault="0091385D" w:rsidP="0091385D"/>
    <w:p w14:paraId="7BA1BA64" w14:textId="17509450" w:rsidR="00CF77F7" w:rsidRDefault="002C50EE" w:rsidP="004A448E">
      <w:pPr>
        <w:pStyle w:val="Heading1"/>
      </w:pPr>
      <w:r>
        <w:t>8. НОМЕР НА РАЗРЕШЕНИЕТО ЗА УПОТРЕБА</w:t>
      </w:r>
    </w:p>
    <w:p w14:paraId="095674C4" w14:textId="54CA436A" w:rsidR="0091385D" w:rsidRDefault="0091385D" w:rsidP="0091385D"/>
    <w:p w14:paraId="7EB0B902" w14:textId="77777777" w:rsidR="00912B18" w:rsidRPr="00912B18" w:rsidRDefault="00912B18" w:rsidP="00912B18">
      <w:pPr>
        <w:spacing w:line="240" w:lineRule="auto"/>
        <w:rPr>
          <w:rFonts w:eastAsia="Times New Roman" w:cs="Arial"/>
          <w:lang w:eastAsia="bg-BG"/>
        </w:rPr>
      </w:pPr>
      <w:r w:rsidRPr="00912B18">
        <w:rPr>
          <w:rFonts w:eastAsia="Times New Roman" w:cs="Arial"/>
          <w:color w:val="000000"/>
          <w:lang w:eastAsia="bg-BG"/>
        </w:rPr>
        <w:t xml:space="preserve">Симвакор 10 </w:t>
      </w:r>
      <w:r w:rsidRPr="00912B18">
        <w:rPr>
          <w:rFonts w:eastAsia="Times New Roman" w:cs="Arial"/>
          <w:color w:val="000000"/>
          <w:lang w:val="en-US"/>
        </w:rPr>
        <w:t xml:space="preserve">mg </w:t>
      </w:r>
      <w:r w:rsidRPr="00912B18">
        <w:rPr>
          <w:rFonts w:eastAsia="Times New Roman" w:cs="Arial"/>
          <w:color w:val="000000"/>
          <w:lang w:eastAsia="bg-BG"/>
        </w:rPr>
        <w:t xml:space="preserve">филмирани таблети х 30 </w:t>
      </w:r>
      <w:proofErr w:type="spellStart"/>
      <w:r w:rsidRPr="00912B18">
        <w:rPr>
          <w:rFonts w:eastAsia="Times New Roman" w:cs="Arial"/>
          <w:color w:val="000000"/>
          <w:lang w:val="en-US"/>
        </w:rPr>
        <w:t>pe</w:t>
      </w:r>
      <w:proofErr w:type="spellEnd"/>
      <w:r w:rsidRPr="00912B18">
        <w:rPr>
          <w:rFonts w:eastAsia="Times New Roman" w:cs="Arial"/>
          <w:color w:val="000000"/>
          <w:lang w:eastAsia="bg-BG"/>
        </w:rPr>
        <w:t>г</w:t>
      </w:r>
      <w:r w:rsidRPr="00912B18">
        <w:rPr>
          <w:rFonts w:eastAsia="Times New Roman" w:cs="Arial"/>
          <w:color w:val="000000"/>
          <w:lang w:val="en-US"/>
        </w:rPr>
        <w:t xml:space="preserve">. </w:t>
      </w:r>
      <w:r w:rsidRPr="00912B18">
        <w:rPr>
          <w:rFonts w:eastAsia="Times New Roman" w:cs="Arial"/>
          <w:color w:val="000000"/>
          <w:lang w:eastAsia="bg-BG"/>
        </w:rPr>
        <w:t>№ 20060572</w:t>
      </w:r>
    </w:p>
    <w:p w14:paraId="5CB67018" w14:textId="77777777" w:rsidR="00912B18" w:rsidRPr="00912B18" w:rsidRDefault="00912B18" w:rsidP="00912B18">
      <w:pPr>
        <w:spacing w:line="240" w:lineRule="auto"/>
        <w:rPr>
          <w:rFonts w:eastAsia="Times New Roman" w:cs="Arial"/>
          <w:lang w:eastAsia="bg-BG"/>
        </w:rPr>
      </w:pPr>
      <w:r w:rsidRPr="00912B18">
        <w:rPr>
          <w:rFonts w:eastAsia="Times New Roman" w:cs="Arial"/>
          <w:color w:val="000000"/>
          <w:lang w:eastAsia="bg-BG"/>
        </w:rPr>
        <w:t xml:space="preserve">Симвакор 20 </w:t>
      </w:r>
      <w:r w:rsidRPr="00912B18">
        <w:rPr>
          <w:rFonts w:eastAsia="Times New Roman" w:cs="Arial"/>
          <w:color w:val="000000"/>
          <w:lang w:val="en-US"/>
        </w:rPr>
        <w:t xml:space="preserve">mg </w:t>
      </w:r>
      <w:r w:rsidRPr="00912B18">
        <w:rPr>
          <w:rFonts w:eastAsia="Times New Roman" w:cs="Arial"/>
          <w:color w:val="000000"/>
          <w:lang w:eastAsia="bg-BG"/>
        </w:rPr>
        <w:t xml:space="preserve">филмирани таблети х 30 </w:t>
      </w:r>
      <w:proofErr w:type="spellStart"/>
      <w:r w:rsidRPr="00912B18">
        <w:rPr>
          <w:rFonts w:eastAsia="Times New Roman" w:cs="Arial"/>
          <w:color w:val="000000"/>
          <w:lang w:val="en-US"/>
        </w:rPr>
        <w:t>pe</w:t>
      </w:r>
      <w:proofErr w:type="spellEnd"/>
      <w:r w:rsidRPr="00912B18">
        <w:rPr>
          <w:rFonts w:eastAsia="Times New Roman" w:cs="Arial"/>
          <w:color w:val="000000"/>
          <w:lang w:eastAsia="bg-BG"/>
        </w:rPr>
        <w:t>г</w:t>
      </w:r>
      <w:r w:rsidRPr="00912B18">
        <w:rPr>
          <w:rFonts w:eastAsia="Times New Roman" w:cs="Arial"/>
          <w:color w:val="000000"/>
          <w:lang w:val="en-US"/>
        </w:rPr>
        <w:t xml:space="preserve">. </w:t>
      </w:r>
      <w:r w:rsidRPr="00912B18">
        <w:rPr>
          <w:rFonts w:eastAsia="Times New Roman" w:cs="Arial"/>
          <w:color w:val="000000"/>
          <w:lang w:eastAsia="bg-BG"/>
        </w:rPr>
        <w:t>№ 20060573</w:t>
      </w:r>
    </w:p>
    <w:p w14:paraId="6E892CE5" w14:textId="5DF737FC" w:rsidR="0091385D" w:rsidRPr="00912B18" w:rsidRDefault="00912B18" w:rsidP="00912B18">
      <w:pPr>
        <w:rPr>
          <w:rFonts w:cs="Arial"/>
        </w:rPr>
      </w:pPr>
      <w:r w:rsidRPr="00912B18">
        <w:rPr>
          <w:rFonts w:eastAsia="Times New Roman" w:cs="Arial"/>
          <w:color w:val="000000"/>
          <w:lang w:eastAsia="bg-BG"/>
        </w:rPr>
        <w:t xml:space="preserve">Симвакор 40 </w:t>
      </w:r>
      <w:r w:rsidRPr="00912B18">
        <w:rPr>
          <w:rFonts w:eastAsia="Times New Roman" w:cs="Arial"/>
          <w:color w:val="000000"/>
          <w:lang w:val="en-US"/>
        </w:rPr>
        <w:t xml:space="preserve">mg </w:t>
      </w:r>
      <w:r w:rsidRPr="00912B18">
        <w:rPr>
          <w:rFonts w:eastAsia="Times New Roman" w:cs="Arial"/>
          <w:color w:val="000000"/>
          <w:lang w:eastAsia="bg-BG"/>
        </w:rPr>
        <w:t xml:space="preserve">филмирани таблети х 30 </w:t>
      </w:r>
      <w:proofErr w:type="spellStart"/>
      <w:r w:rsidRPr="00912B18">
        <w:rPr>
          <w:rFonts w:eastAsia="Times New Roman" w:cs="Arial"/>
          <w:color w:val="000000"/>
          <w:lang w:val="en-US"/>
        </w:rPr>
        <w:t>pe</w:t>
      </w:r>
      <w:proofErr w:type="spellEnd"/>
      <w:r w:rsidRPr="00912B18">
        <w:rPr>
          <w:rFonts w:eastAsia="Times New Roman" w:cs="Arial"/>
          <w:color w:val="000000"/>
          <w:lang w:eastAsia="bg-BG"/>
        </w:rPr>
        <w:t>г</w:t>
      </w:r>
      <w:r w:rsidRPr="00912B18">
        <w:rPr>
          <w:rFonts w:eastAsia="Times New Roman" w:cs="Arial"/>
          <w:color w:val="000000"/>
          <w:lang w:val="en-US"/>
        </w:rPr>
        <w:t xml:space="preserve">. </w:t>
      </w:r>
      <w:r w:rsidRPr="00912B18">
        <w:rPr>
          <w:rFonts w:eastAsia="Times New Roman" w:cs="Arial"/>
          <w:color w:val="000000"/>
          <w:lang w:eastAsia="bg-BG"/>
        </w:rPr>
        <w:t>№ 20060574</w:t>
      </w:r>
    </w:p>
    <w:p w14:paraId="62EF7F8B" w14:textId="77777777" w:rsidR="0091385D" w:rsidRPr="0091385D" w:rsidRDefault="0091385D" w:rsidP="0091385D"/>
    <w:p w14:paraId="2CCB5832" w14:textId="18FCD95B" w:rsidR="007C605B" w:rsidRDefault="002C50EE" w:rsidP="007C605B">
      <w:pPr>
        <w:pStyle w:val="Heading1"/>
      </w:pPr>
      <w:r>
        <w:t>9. ДАТ</w:t>
      </w:r>
      <w:bookmarkStart w:id="3" w:name="_GoBack"/>
      <w:bookmarkEnd w:id="3"/>
      <w:r>
        <w:t>А НА ПЪРВО РАЗРЕШАВАНЕ/ПОДНОВЯВАНЕ НА РАЗРЕШЕНИЕТО ЗА УПОТРЕБА</w:t>
      </w:r>
    </w:p>
    <w:p w14:paraId="372B3414" w14:textId="0F79A9B4" w:rsidR="0091385D" w:rsidRDefault="0091385D" w:rsidP="0091385D"/>
    <w:p w14:paraId="39997056" w14:textId="77777777" w:rsidR="00912B18" w:rsidRPr="00912B18" w:rsidRDefault="00912B18" w:rsidP="00912B18">
      <w:pPr>
        <w:spacing w:line="240" w:lineRule="auto"/>
        <w:rPr>
          <w:rFonts w:eastAsia="Times New Roman" w:cs="Arial"/>
          <w:lang w:eastAsia="bg-BG"/>
        </w:rPr>
      </w:pPr>
      <w:r w:rsidRPr="00912B18">
        <w:rPr>
          <w:rFonts w:eastAsia="Times New Roman" w:cs="Arial"/>
          <w:color w:val="000000"/>
          <w:lang w:eastAsia="bg-BG"/>
        </w:rPr>
        <w:t>Дата на първо разрешаване: 23.10.2006</w:t>
      </w:r>
    </w:p>
    <w:p w14:paraId="497007FA" w14:textId="4E776DD4" w:rsidR="0091385D" w:rsidRPr="00912B18" w:rsidRDefault="00912B18" w:rsidP="00912B18">
      <w:pPr>
        <w:rPr>
          <w:rFonts w:cs="Arial"/>
        </w:rPr>
      </w:pPr>
      <w:r w:rsidRPr="00912B18">
        <w:rPr>
          <w:rFonts w:eastAsia="Times New Roman" w:cs="Arial"/>
          <w:color w:val="000000"/>
          <w:lang w:eastAsia="bg-BG"/>
        </w:rPr>
        <w:t>Дата на последно подновяване: 07.03.2012</w:t>
      </w:r>
    </w:p>
    <w:p w14:paraId="0A56E09D" w14:textId="77777777" w:rsidR="0091385D" w:rsidRPr="0091385D" w:rsidRDefault="0091385D" w:rsidP="0091385D"/>
    <w:p w14:paraId="0E9D0119" w14:textId="1FEC128A" w:rsidR="002C50EE" w:rsidRDefault="002C50EE" w:rsidP="002C50EE">
      <w:pPr>
        <w:pStyle w:val="Heading1"/>
      </w:pPr>
      <w:r>
        <w:t>10. ДАТА НА АКТУАЛИЗИРАНЕ НА ТЕКСТА</w:t>
      </w:r>
    </w:p>
    <w:p w14:paraId="3E8FFCC4" w14:textId="34E0D3BB" w:rsidR="0091385D" w:rsidRDefault="0091385D" w:rsidP="0091385D"/>
    <w:p w14:paraId="30276F52" w14:textId="4898F850" w:rsidR="0091385D" w:rsidRPr="00912B18" w:rsidRDefault="00912B18" w:rsidP="0091385D">
      <w:pPr>
        <w:rPr>
          <w:rFonts w:cs="Arial"/>
        </w:rPr>
      </w:pPr>
      <w:r w:rsidRPr="00912B18">
        <w:rPr>
          <w:rFonts w:cs="Arial"/>
        </w:rPr>
        <w:t>Юни, 2020</w:t>
      </w:r>
    </w:p>
    <w:p w14:paraId="6B00148E" w14:textId="77777777" w:rsidR="0091385D" w:rsidRPr="0091385D" w:rsidRDefault="0091385D" w:rsidP="0091385D"/>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501C49"/>
    <w:multiLevelType w:val="hybridMultilevel"/>
    <w:tmpl w:val="57BC1FD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1"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6"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1"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CF26DD"/>
    <w:multiLevelType w:val="hybridMultilevel"/>
    <w:tmpl w:val="3E9E944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6D508C"/>
    <w:multiLevelType w:val="hybridMultilevel"/>
    <w:tmpl w:val="C108E3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8"/>
  </w:num>
  <w:num w:numId="2">
    <w:abstractNumId w:val="0"/>
  </w:num>
  <w:num w:numId="3">
    <w:abstractNumId w:val="13"/>
  </w:num>
  <w:num w:numId="4">
    <w:abstractNumId w:val="3"/>
  </w:num>
  <w:num w:numId="5">
    <w:abstractNumId w:val="1"/>
  </w:num>
  <w:num w:numId="6">
    <w:abstractNumId w:val="16"/>
  </w:num>
  <w:num w:numId="7">
    <w:abstractNumId w:val="11"/>
  </w:num>
  <w:num w:numId="8">
    <w:abstractNumId w:val="15"/>
  </w:num>
  <w:num w:numId="9">
    <w:abstractNumId w:val="2"/>
  </w:num>
  <w:num w:numId="10">
    <w:abstractNumId w:val="4"/>
  </w:num>
  <w:num w:numId="11">
    <w:abstractNumId w:val="31"/>
  </w:num>
  <w:num w:numId="12">
    <w:abstractNumId w:val="14"/>
  </w:num>
  <w:num w:numId="13">
    <w:abstractNumId w:val="19"/>
  </w:num>
  <w:num w:numId="14">
    <w:abstractNumId w:val="12"/>
  </w:num>
  <w:num w:numId="15">
    <w:abstractNumId w:val="30"/>
  </w:num>
  <w:num w:numId="16">
    <w:abstractNumId w:val="10"/>
  </w:num>
  <w:num w:numId="17">
    <w:abstractNumId w:val="24"/>
  </w:num>
  <w:num w:numId="18">
    <w:abstractNumId w:val="8"/>
  </w:num>
  <w:num w:numId="19">
    <w:abstractNumId w:val="27"/>
  </w:num>
  <w:num w:numId="20">
    <w:abstractNumId w:val="23"/>
  </w:num>
  <w:num w:numId="21">
    <w:abstractNumId w:val="17"/>
  </w:num>
  <w:num w:numId="22">
    <w:abstractNumId w:val="25"/>
  </w:num>
  <w:num w:numId="23">
    <w:abstractNumId w:val="18"/>
  </w:num>
  <w:num w:numId="24">
    <w:abstractNumId w:val="9"/>
  </w:num>
  <w:num w:numId="25">
    <w:abstractNumId w:val="22"/>
  </w:num>
  <w:num w:numId="26">
    <w:abstractNumId w:val="21"/>
  </w:num>
  <w:num w:numId="27">
    <w:abstractNumId w:val="32"/>
  </w:num>
  <w:num w:numId="28">
    <w:abstractNumId w:val="7"/>
  </w:num>
  <w:num w:numId="29">
    <w:abstractNumId w:val="20"/>
  </w:num>
  <w:num w:numId="30">
    <w:abstractNumId w:val="36"/>
  </w:num>
  <w:num w:numId="31">
    <w:abstractNumId w:val="5"/>
  </w:num>
  <w:num w:numId="32">
    <w:abstractNumId w:val="35"/>
  </w:num>
  <w:num w:numId="33">
    <w:abstractNumId w:val="29"/>
  </w:num>
  <w:num w:numId="34">
    <w:abstractNumId w:val="33"/>
  </w:num>
  <w:num w:numId="35">
    <w:abstractNumId w:val="34"/>
  </w:num>
  <w:num w:numId="36">
    <w:abstractNumId w:val="26"/>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5F7E5F"/>
    <w:rsid w:val="00605BCA"/>
    <w:rsid w:val="006158A1"/>
    <w:rsid w:val="00617B1F"/>
    <w:rsid w:val="00672487"/>
    <w:rsid w:val="00672600"/>
    <w:rsid w:val="00681D4A"/>
    <w:rsid w:val="00685882"/>
    <w:rsid w:val="0075649D"/>
    <w:rsid w:val="007C605B"/>
    <w:rsid w:val="008134C8"/>
    <w:rsid w:val="00814073"/>
    <w:rsid w:val="00826F0D"/>
    <w:rsid w:val="00893B92"/>
    <w:rsid w:val="008A6AF2"/>
    <w:rsid w:val="008C70A2"/>
    <w:rsid w:val="008F1AF3"/>
    <w:rsid w:val="00912B18"/>
    <w:rsid w:val="0091385D"/>
    <w:rsid w:val="009773E4"/>
    <w:rsid w:val="009B171C"/>
    <w:rsid w:val="009F1313"/>
    <w:rsid w:val="00A20351"/>
    <w:rsid w:val="00A65A81"/>
    <w:rsid w:val="00A73575"/>
    <w:rsid w:val="00AA23EC"/>
    <w:rsid w:val="00AC63CE"/>
    <w:rsid w:val="00AE2107"/>
    <w:rsid w:val="00B275A8"/>
    <w:rsid w:val="00BF2600"/>
    <w:rsid w:val="00C0049F"/>
    <w:rsid w:val="00C07B84"/>
    <w:rsid w:val="00C33464"/>
    <w:rsid w:val="00C40420"/>
    <w:rsid w:val="00C809A7"/>
    <w:rsid w:val="00C83063"/>
    <w:rsid w:val="00C87E90"/>
    <w:rsid w:val="00CA1B57"/>
    <w:rsid w:val="00CF77F7"/>
    <w:rsid w:val="00D86297"/>
    <w:rsid w:val="00DD466D"/>
    <w:rsid w:val="00E23590"/>
    <w:rsid w:val="00EB6364"/>
    <w:rsid w:val="00F37B64"/>
    <w:rsid w:val="00FD69E8"/>
    <w:rsid w:val="00FE2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chaikapharma.com" TargetMode="Externa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9101</Words>
  <Characters>51882</Characters>
  <Application>Microsoft Office Word</Application>
  <DocSecurity>0</DocSecurity>
  <Lines>432</Lines>
  <Paragraphs>121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2</cp:revision>
  <dcterms:created xsi:type="dcterms:W3CDTF">2022-11-01T15:21:00Z</dcterms:created>
  <dcterms:modified xsi:type="dcterms:W3CDTF">2022-11-01T15:21:00Z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