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3BB84A24" w14:textId="77777777" w:rsidR="00F96FCF" w:rsidRPr="00F96FCF" w:rsidRDefault="00F96FCF" w:rsidP="00F96FCF">
      <w:pPr>
        <w:spacing w:line="240" w:lineRule="auto"/>
        <w:rPr>
          <w:rFonts w:eastAsia="Times New Roman" w:cs="Arial"/>
          <w:sz w:val="24"/>
          <w:szCs w:val="24"/>
          <w:lang w:val="en-US" w:eastAsia="bg-BG"/>
        </w:rPr>
      </w:pPr>
      <w:r w:rsidRPr="00F96FCF">
        <w:rPr>
          <w:rFonts w:eastAsia="Times New Roman" w:cs="Arial"/>
          <w:color w:val="000000"/>
          <w:lang w:eastAsia="bg-BG"/>
        </w:rPr>
        <w:t xml:space="preserve">Симвастатин Акорд 10 </w:t>
      </w:r>
      <w:r w:rsidRPr="00F96FCF">
        <w:rPr>
          <w:rFonts w:eastAsia="Times New Roman" w:cs="Arial"/>
          <w:color w:val="000000"/>
          <w:lang w:val="en-US"/>
        </w:rPr>
        <w:t xml:space="preserve">mg </w:t>
      </w:r>
      <w:r w:rsidRPr="00F96FCF">
        <w:rPr>
          <w:rFonts w:eastAsia="Times New Roman" w:cs="Arial"/>
          <w:color w:val="000000"/>
          <w:lang w:eastAsia="bg-BG"/>
        </w:rPr>
        <w:t>филмирани таблетки</w:t>
      </w:r>
    </w:p>
    <w:p w14:paraId="28011681" w14:textId="77777777" w:rsidR="00F96FCF" w:rsidRPr="00F96FCF" w:rsidRDefault="00F96FCF" w:rsidP="00F96FCF">
      <w:pPr>
        <w:spacing w:line="240" w:lineRule="auto"/>
        <w:rPr>
          <w:rFonts w:eastAsia="Times New Roman" w:cs="Arial"/>
          <w:sz w:val="24"/>
          <w:szCs w:val="24"/>
          <w:lang w:val="en-US" w:eastAsia="bg-BG"/>
        </w:rPr>
      </w:pPr>
      <w:r w:rsidRPr="00F96FCF">
        <w:rPr>
          <w:rFonts w:eastAsia="Times New Roman" w:cs="Arial"/>
          <w:color w:val="000000"/>
          <w:lang w:val="en-US"/>
        </w:rPr>
        <w:t xml:space="preserve">Simvastatin Accord </w:t>
      </w:r>
      <w:r w:rsidRPr="00F96FCF">
        <w:rPr>
          <w:rFonts w:eastAsia="Times New Roman" w:cs="Arial"/>
          <w:color w:val="000000"/>
          <w:lang w:eastAsia="bg-BG"/>
        </w:rPr>
        <w:t xml:space="preserve">10 </w:t>
      </w:r>
      <w:r w:rsidRPr="00F96FCF">
        <w:rPr>
          <w:rFonts w:eastAsia="Times New Roman" w:cs="Arial"/>
          <w:color w:val="000000"/>
          <w:lang w:val="en-US"/>
        </w:rPr>
        <w:t>mg film-coated tablets</w:t>
      </w:r>
    </w:p>
    <w:p w14:paraId="0880D9BB" w14:textId="77777777" w:rsidR="00F96FCF" w:rsidRPr="00F96FCF" w:rsidRDefault="00F96FCF" w:rsidP="00F96FCF">
      <w:pPr>
        <w:spacing w:line="240" w:lineRule="auto"/>
        <w:rPr>
          <w:rFonts w:eastAsia="Times New Roman" w:cs="Arial"/>
          <w:color w:val="000000"/>
          <w:lang w:eastAsia="bg-BG"/>
        </w:rPr>
      </w:pPr>
      <w:bookmarkStart w:id="1" w:name="_GoBack"/>
      <w:bookmarkEnd w:id="1"/>
    </w:p>
    <w:p w14:paraId="4CC91B05" w14:textId="75C7AE91" w:rsidR="00F96FCF" w:rsidRPr="00F96FCF" w:rsidRDefault="00F96FCF" w:rsidP="00F96FCF">
      <w:pPr>
        <w:spacing w:line="240" w:lineRule="auto"/>
        <w:rPr>
          <w:rFonts w:eastAsia="Times New Roman" w:cs="Arial"/>
          <w:sz w:val="24"/>
          <w:szCs w:val="24"/>
          <w:lang w:val="en-US" w:eastAsia="bg-BG"/>
        </w:rPr>
      </w:pPr>
      <w:r w:rsidRPr="00F96FCF">
        <w:rPr>
          <w:rFonts w:eastAsia="Times New Roman" w:cs="Arial"/>
          <w:color w:val="000000"/>
          <w:lang w:eastAsia="bg-BG"/>
        </w:rPr>
        <w:t xml:space="preserve">Симвастатин Акорд </w:t>
      </w:r>
      <w:r w:rsidRPr="00F96FCF">
        <w:rPr>
          <w:rFonts w:eastAsia="Times New Roman" w:cs="Arial"/>
          <w:color w:val="000000"/>
          <w:lang w:val="en-US"/>
        </w:rPr>
        <w:t xml:space="preserve">20 mg </w:t>
      </w:r>
      <w:r w:rsidRPr="00F96FCF">
        <w:rPr>
          <w:rFonts w:eastAsia="Times New Roman" w:cs="Arial"/>
          <w:color w:val="000000"/>
          <w:lang w:eastAsia="bg-BG"/>
        </w:rPr>
        <w:t>филмирани таблетки</w:t>
      </w:r>
    </w:p>
    <w:p w14:paraId="5A1E6595" w14:textId="77777777" w:rsidR="00F96FCF" w:rsidRPr="00F96FCF" w:rsidRDefault="00F96FCF" w:rsidP="00F96FCF">
      <w:pPr>
        <w:spacing w:line="240" w:lineRule="auto"/>
        <w:rPr>
          <w:rFonts w:eastAsia="Times New Roman" w:cs="Arial"/>
          <w:sz w:val="24"/>
          <w:szCs w:val="24"/>
          <w:lang w:val="en-US" w:eastAsia="bg-BG"/>
        </w:rPr>
      </w:pPr>
      <w:r w:rsidRPr="00F96FCF">
        <w:rPr>
          <w:rFonts w:eastAsia="Times New Roman" w:cs="Arial"/>
          <w:color w:val="000000"/>
          <w:lang w:val="en-US"/>
        </w:rPr>
        <w:t>Simvastatin Accord 20 mg film-coated tablets</w:t>
      </w:r>
    </w:p>
    <w:p w14:paraId="36CEBA10" w14:textId="77777777" w:rsidR="00F96FCF" w:rsidRPr="00F96FCF" w:rsidRDefault="00F96FCF" w:rsidP="00F96FCF">
      <w:pPr>
        <w:spacing w:line="240" w:lineRule="auto"/>
        <w:rPr>
          <w:rFonts w:eastAsia="Times New Roman" w:cs="Arial"/>
          <w:color w:val="000000"/>
          <w:lang w:eastAsia="bg-BG"/>
        </w:rPr>
      </w:pPr>
    </w:p>
    <w:p w14:paraId="5B2BEC01" w14:textId="522D8185" w:rsidR="00F96FCF" w:rsidRPr="00F96FCF" w:rsidRDefault="00F96FCF" w:rsidP="00F96FCF">
      <w:pPr>
        <w:spacing w:line="240" w:lineRule="auto"/>
        <w:rPr>
          <w:rFonts w:eastAsia="Times New Roman" w:cs="Arial"/>
          <w:sz w:val="24"/>
          <w:szCs w:val="24"/>
          <w:lang w:val="en-US" w:eastAsia="bg-BG"/>
        </w:rPr>
      </w:pPr>
      <w:r w:rsidRPr="00F96FCF">
        <w:rPr>
          <w:rFonts w:eastAsia="Times New Roman" w:cs="Arial"/>
          <w:color w:val="000000"/>
          <w:lang w:eastAsia="bg-BG"/>
        </w:rPr>
        <w:t xml:space="preserve">Симвастатин Акорд </w:t>
      </w:r>
      <w:r w:rsidRPr="00F96FCF">
        <w:rPr>
          <w:rFonts w:eastAsia="Times New Roman" w:cs="Arial"/>
          <w:color w:val="000000"/>
          <w:lang w:val="en-US"/>
        </w:rPr>
        <w:t xml:space="preserve">40 mg </w:t>
      </w:r>
      <w:r w:rsidRPr="00F96FCF">
        <w:rPr>
          <w:rFonts w:eastAsia="Times New Roman" w:cs="Arial"/>
          <w:color w:val="000000"/>
          <w:lang w:eastAsia="bg-BG"/>
        </w:rPr>
        <w:t>филмирани таблетки</w:t>
      </w:r>
    </w:p>
    <w:p w14:paraId="5015A1FD" w14:textId="3F09CB43" w:rsidR="00A73575" w:rsidRPr="00F96FCF" w:rsidRDefault="00F96FCF" w:rsidP="00F96FCF">
      <w:pPr>
        <w:rPr>
          <w:rFonts w:cs="Arial"/>
        </w:rPr>
      </w:pPr>
      <w:r w:rsidRPr="00F96FCF">
        <w:rPr>
          <w:rFonts w:eastAsia="Times New Roman" w:cs="Arial"/>
          <w:color w:val="000000"/>
          <w:lang w:val="en-US"/>
        </w:rPr>
        <w:t>Simvastatin Accord 40 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075AFF52" w14:textId="7777777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Всяка филмирана таблетка от 10 </w:t>
      </w:r>
      <w:r w:rsidRPr="00F96FCF">
        <w:rPr>
          <w:rFonts w:eastAsia="Times New Roman" w:cs="Arial"/>
          <w:color w:val="000000"/>
          <w:lang w:val="en-US"/>
        </w:rPr>
        <w:t xml:space="preserve">mg </w:t>
      </w:r>
      <w:r w:rsidRPr="00F96FCF">
        <w:rPr>
          <w:rFonts w:eastAsia="Times New Roman" w:cs="Arial"/>
          <w:color w:val="000000"/>
          <w:lang w:eastAsia="bg-BG"/>
        </w:rPr>
        <w:t xml:space="preserve">съдържа 10 </w:t>
      </w:r>
      <w:r w:rsidRPr="00F96FCF">
        <w:rPr>
          <w:rFonts w:eastAsia="Times New Roman" w:cs="Arial"/>
          <w:color w:val="000000"/>
          <w:lang w:val="en-US"/>
        </w:rPr>
        <w:t xml:space="preserve">mg </w:t>
      </w:r>
      <w:r w:rsidRPr="00F96FCF">
        <w:rPr>
          <w:rFonts w:eastAsia="Times New Roman" w:cs="Arial"/>
          <w:color w:val="000000"/>
          <w:lang w:eastAsia="bg-BG"/>
        </w:rPr>
        <w:t>симвастатин.</w:t>
      </w:r>
    </w:p>
    <w:p w14:paraId="14DF316A" w14:textId="77777777" w:rsidR="00F96FCF" w:rsidRPr="00F96FCF" w:rsidRDefault="00F96FCF" w:rsidP="00F96FCF">
      <w:pPr>
        <w:spacing w:line="240" w:lineRule="auto"/>
        <w:rPr>
          <w:rFonts w:eastAsia="Times New Roman" w:cs="Arial"/>
          <w:color w:val="000000"/>
          <w:lang w:eastAsia="bg-BG"/>
        </w:rPr>
      </w:pPr>
    </w:p>
    <w:p w14:paraId="4901952D" w14:textId="697DA992"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Помощно вещество с известно действие:</w:t>
      </w:r>
    </w:p>
    <w:p w14:paraId="5CC4B584" w14:textId="7777777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Всяка филмирана таблетка от 10 </w:t>
      </w:r>
      <w:r w:rsidRPr="00F96FCF">
        <w:rPr>
          <w:rFonts w:eastAsia="Times New Roman" w:cs="Arial"/>
          <w:color w:val="000000"/>
          <w:lang w:val="en-US"/>
        </w:rPr>
        <w:t xml:space="preserve">mg </w:t>
      </w:r>
      <w:r w:rsidRPr="00F96FCF">
        <w:rPr>
          <w:rFonts w:eastAsia="Times New Roman" w:cs="Arial"/>
          <w:color w:val="000000"/>
          <w:lang w:eastAsia="bg-BG"/>
        </w:rPr>
        <w:t xml:space="preserve">съдържа 70 </w:t>
      </w:r>
      <w:r w:rsidRPr="00F96FCF">
        <w:rPr>
          <w:rFonts w:eastAsia="Times New Roman" w:cs="Arial"/>
          <w:color w:val="000000"/>
          <w:lang w:val="en-US"/>
        </w:rPr>
        <w:t xml:space="preserve">mg </w:t>
      </w:r>
      <w:r w:rsidRPr="00F96FCF">
        <w:rPr>
          <w:rFonts w:eastAsia="Times New Roman" w:cs="Arial"/>
          <w:color w:val="000000"/>
          <w:lang w:eastAsia="bg-BG"/>
        </w:rPr>
        <w:t>лактоза монохидрат.</w:t>
      </w:r>
    </w:p>
    <w:p w14:paraId="03F5B8E3" w14:textId="77777777" w:rsidR="00F96FCF" w:rsidRPr="00F96FCF" w:rsidRDefault="00F96FCF" w:rsidP="00F96FCF">
      <w:pPr>
        <w:spacing w:line="240" w:lineRule="auto"/>
        <w:rPr>
          <w:rFonts w:eastAsia="Times New Roman" w:cs="Arial"/>
          <w:color w:val="000000"/>
          <w:lang w:eastAsia="bg-BG"/>
        </w:rPr>
      </w:pPr>
    </w:p>
    <w:p w14:paraId="01745E73" w14:textId="65A4F271"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Всяка филмирана таблетка от 20 </w:t>
      </w:r>
      <w:r w:rsidRPr="00F96FCF">
        <w:rPr>
          <w:rFonts w:eastAsia="Times New Roman" w:cs="Arial"/>
          <w:color w:val="000000"/>
          <w:lang w:val="en-US"/>
        </w:rPr>
        <w:t xml:space="preserve">mg </w:t>
      </w:r>
      <w:r w:rsidRPr="00F96FCF">
        <w:rPr>
          <w:rFonts w:eastAsia="Times New Roman" w:cs="Arial"/>
          <w:color w:val="000000"/>
          <w:lang w:eastAsia="bg-BG"/>
        </w:rPr>
        <w:t xml:space="preserve">съдържа 20 </w:t>
      </w:r>
      <w:r w:rsidRPr="00F96FCF">
        <w:rPr>
          <w:rFonts w:eastAsia="Times New Roman" w:cs="Arial"/>
          <w:color w:val="000000"/>
          <w:lang w:val="en-US"/>
        </w:rPr>
        <w:t xml:space="preserve">mg </w:t>
      </w:r>
      <w:r w:rsidRPr="00F96FCF">
        <w:rPr>
          <w:rFonts w:eastAsia="Times New Roman" w:cs="Arial"/>
          <w:color w:val="000000"/>
          <w:lang w:eastAsia="bg-BG"/>
        </w:rPr>
        <w:t>симвастатин.</w:t>
      </w:r>
    </w:p>
    <w:p w14:paraId="46D80D29" w14:textId="77777777" w:rsidR="00F96FCF" w:rsidRPr="00F96FCF" w:rsidRDefault="00F96FCF" w:rsidP="00F96FCF">
      <w:pPr>
        <w:spacing w:line="240" w:lineRule="auto"/>
        <w:rPr>
          <w:rFonts w:eastAsia="Times New Roman" w:cs="Arial"/>
          <w:color w:val="000000"/>
          <w:lang w:eastAsia="bg-BG"/>
        </w:rPr>
      </w:pPr>
    </w:p>
    <w:p w14:paraId="68581EEB" w14:textId="08BC9CCD"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Помощно вещество с известно действие:</w:t>
      </w:r>
    </w:p>
    <w:p w14:paraId="17A6FF9B" w14:textId="7777777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Всяка филмирана таблетка от 20 </w:t>
      </w:r>
      <w:r w:rsidRPr="00F96FCF">
        <w:rPr>
          <w:rFonts w:eastAsia="Times New Roman" w:cs="Arial"/>
          <w:color w:val="000000"/>
          <w:lang w:val="en-US"/>
        </w:rPr>
        <w:t xml:space="preserve">mg </w:t>
      </w:r>
      <w:r w:rsidRPr="00F96FCF">
        <w:rPr>
          <w:rFonts w:eastAsia="Times New Roman" w:cs="Arial"/>
          <w:color w:val="000000"/>
          <w:lang w:eastAsia="bg-BG"/>
        </w:rPr>
        <w:t xml:space="preserve">съдържа 140 </w:t>
      </w:r>
      <w:r w:rsidRPr="00F96FCF">
        <w:rPr>
          <w:rFonts w:eastAsia="Times New Roman" w:cs="Arial"/>
          <w:color w:val="000000"/>
          <w:lang w:val="en-US"/>
        </w:rPr>
        <w:t xml:space="preserve">mg </w:t>
      </w:r>
      <w:r w:rsidRPr="00F96FCF">
        <w:rPr>
          <w:rFonts w:eastAsia="Times New Roman" w:cs="Arial"/>
          <w:color w:val="000000"/>
          <w:lang w:eastAsia="bg-BG"/>
        </w:rPr>
        <w:t>лактоза монохидрат.</w:t>
      </w:r>
    </w:p>
    <w:p w14:paraId="38ED6D25" w14:textId="77777777" w:rsidR="00F96FCF" w:rsidRPr="00F96FCF" w:rsidRDefault="00F96FCF" w:rsidP="00F96FCF">
      <w:pPr>
        <w:spacing w:line="240" w:lineRule="auto"/>
        <w:rPr>
          <w:rFonts w:eastAsia="Times New Roman" w:cs="Arial"/>
          <w:color w:val="000000"/>
          <w:lang w:eastAsia="bg-BG"/>
        </w:rPr>
      </w:pPr>
    </w:p>
    <w:p w14:paraId="7CA8A144" w14:textId="04C29C28"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Всяка филмирана таблетка от 40 </w:t>
      </w:r>
      <w:r w:rsidRPr="00F96FCF">
        <w:rPr>
          <w:rFonts w:eastAsia="Times New Roman" w:cs="Arial"/>
          <w:color w:val="000000"/>
          <w:lang w:val="en-US"/>
        </w:rPr>
        <w:t xml:space="preserve">mg </w:t>
      </w:r>
      <w:r w:rsidRPr="00F96FCF">
        <w:rPr>
          <w:rFonts w:eastAsia="Times New Roman" w:cs="Arial"/>
          <w:color w:val="000000"/>
          <w:lang w:eastAsia="bg-BG"/>
        </w:rPr>
        <w:t xml:space="preserve">съдържа 40 </w:t>
      </w:r>
      <w:r w:rsidRPr="00F96FCF">
        <w:rPr>
          <w:rFonts w:eastAsia="Times New Roman" w:cs="Arial"/>
          <w:color w:val="000000"/>
          <w:lang w:val="en-US"/>
        </w:rPr>
        <w:t xml:space="preserve">mg </w:t>
      </w:r>
      <w:r w:rsidRPr="00F96FCF">
        <w:rPr>
          <w:rFonts w:eastAsia="Times New Roman" w:cs="Arial"/>
          <w:color w:val="000000"/>
          <w:lang w:eastAsia="bg-BG"/>
        </w:rPr>
        <w:t>симвастатин.</w:t>
      </w:r>
    </w:p>
    <w:p w14:paraId="2E1C24CD" w14:textId="77777777" w:rsidR="00F96FCF" w:rsidRPr="00F96FCF" w:rsidRDefault="00F96FCF" w:rsidP="00F96FCF">
      <w:pPr>
        <w:spacing w:line="240" w:lineRule="auto"/>
        <w:rPr>
          <w:rFonts w:eastAsia="Times New Roman" w:cs="Arial"/>
          <w:color w:val="000000"/>
          <w:lang w:eastAsia="bg-BG"/>
        </w:rPr>
      </w:pPr>
    </w:p>
    <w:p w14:paraId="6C3FA43D" w14:textId="1C9C2AA1"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Помощно вещество с известно действие:</w:t>
      </w:r>
    </w:p>
    <w:p w14:paraId="608C9FC9" w14:textId="7777777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Всяка филмирана таблетка от 40 </w:t>
      </w:r>
      <w:r w:rsidRPr="00F96FCF">
        <w:rPr>
          <w:rFonts w:eastAsia="Times New Roman" w:cs="Arial"/>
          <w:color w:val="000000"/>
          <w:lang w:val="en-US"/>
        </w:rPr>
        <w:t xml:space="preserve">mg </w:t>
      </w:r>
      <w:r w:rsidRPr="00F96FCF">
        <w:rPr>
          <w:rFonts w:eastAsia="Times New Roman" w:cs="Arial"/>
          <w:color w:val="000000"/>
          <w:lang w:eastAsia="bg-BG"/>
        </w:rPr>
        <w:t xml:space="preserve">съдържа 280 </w:t>
      </w:r>
      <w:r w:rsidRPr="00F96FCF">
        <w:rPr>
          <w:rFonts w:eastAsia="Times New Roman" w:cs="Arial"/>
          <w:color w:val="000000"/>
          <w:lang w:val="en-US"/>
        </w:rPr>
        <w:t xml:space="preserve">mg </w:t>
      </w:r>
      <w:r w:rsidRPr="00F96FCF">
        <w:rPr>
          <w:rFonts w:eastAsia="Times New Roman" w:cs="Arial"/>
          <w:color w:val="000000"/>
          <w:lang w:eastAsia="bg-BG"/>
        </w:rPr>
        <w:t>лактоза монохидрат.</w:t>
      </w:r>
    </w:p>
    <w:p w14:paraId="6DC97BF2" w14:textId="77777777" w:rsidR="00F96FCF" w:rsidRPr="00F96FCF" w:rsidRDefault="00F96FCF" w:rsidP="00F96FCF">
      <w:pPr>
        <w:rPr>
          <w:rFonts w:eastAsia="Times New Roman" w:cs="Arial"/>
          <w:color w:val="000000"/>
          <w:lang w:eastAsia="bg-BG"/>
        </w:rPr>
      </w:pPr>
    </w:p>
    <w:p w14:paraId="03110A50" w14:textId="51776E26" w:rsidR="0091385D" w:rsidRPr="00F96FCF" w:rsidRDefault="00F96FCF" w:rsidP="00F96FCF">
      <w:pPr>
        <w:rPr>
          <w:rFonts w:cs="Arial"/>
        </w:rPr>
      </w:pPr>
      <w:r w:rsidRPr="00F96FCF">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6477A678" w14:textId="7777777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Филмирана таблетка.</w:t>
      </w:r>
    </w:p>
    <w:p w14:paraId="1E127B7D" w14:textId="77777777" w:rsidR="00F96FCF" w:rsidRPr="00F96FCF" w:rsidRDefault="00F96FCF" w:rsidP="00F96FCF">
      <w:pPr>
        <w:spacing w:line="240" w:lineRule="auto"/>
        <w:rPr>
          <w:rFonts w:eastAsia="Times New Roman" w:cs="Arial"/>
          <w:color w:val="000000"/>
          <w:lang w:eastAsia="bg-BG"/>
        </w:rPr>
      </w:pPr>
    </w:p>
    <w:p w14:paraId="5D3A37D0" w14:textId="2604B7F8"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Симвастатин Акорд 10 </w:t>
      </w:r>
      <w:r w:rsidRPr="00F96FCF">
        <w:rPr>
          <w:rFonts w:eastAsia="Times New Roman" w:cs="Arial"/>
          <w:color w:val="000000"/>
          <w:lang w:val="en-US"/>
        </w:rPr>
        <w:t xml:space="preserve">mg </w:t>
      </w:r>
      <w:r w:rsidRPr="00F96FCF">
        <w:rPr>
          <w:rFonts w:eastAsia="Times New Roman" w:cs="Arial"/>
          <w:color w:val="000000"/>
          <w:lang w:eastAsia="bg-BG"/>
        </w:rPr>
        <w:t>филмирани таблетки:</w:t>
      </w:r>
    </w:p>
    <w:p w14:paraId="28BAA28F" w14:textId="77777777" w:rsidR="00F96FCF" w:rsidRPr="00F96FCF" w:rsidRDefault="00F96FCF" w:rsidP="00F96FCF">
      <w:pPr>
        <w:spacing w:line="240" w:lineRule="auto"/>
        <w:rPr>
          <w:rFonts w:eastAsia="Times New Roman" w:cs="Arial"/>
          <w:color w:val="000000"/>
          <w:lang w:eastAsia="bg-BG"/>
        </w:rPr>
      </w:pPr>
    </w:p>
    <w:p w14:paraId="1D7C07D2" w14:textId="46182E72"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Светлорозови, кръгли, двойноизпъкнали, филмирани таблетки, с вдлъбнато релефно означение </w:t>
      </w:r>
      <w:r w:rsidRPr="00F96FCF">
        <w:rPr>
          <w:rFonts w:eastAsia="Times New Roman" w:cs="Arial"/>
          <w:color w:val="000000"/>
          <w:lang w:val="en-US"/>
        </w:rPr>
        <w:t xml:space="preserve">"CS" </w:t>
      </w:r>
      <w:r w:rsidRPr="00F96FCF">
        <w:rPr>
          <w:rFonts w:eastAsia="Times New Roman" w:cs="Arial"/>
          <w:color w:val="000000"/>
          <w:lang w:eastAsia="bg-BG"/>
        </w:rPr>
        <w:t>от едната страна и гладки от другата страна.</w:t>
      </w:r>
    </w:p>
    <w:p w14:paraId="2AF965D9" w14:textId="77777777" w:rsidR="00F96FCF" w:rsidRPr="00F96FCF" w:rsidRDefault="00F96FCF" w:rsidP="00F96FCF">
      <w:pPr>
        <w:spacing w:line="240" w:lineRule="auto"/>
        <w:rPr>
          <w:rFonts w:eastAsia="Times New Roman" w:cs="Arial"/>
          <w:color w:val="000000"/>
          <w:lang w:eastAsia="bg-BG"/>
        </w:rPr>
      </w:pPr>
    </w:p>
    <w:p w14:paraId="3A44D44A" w14:textId="1AFB04F2"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Симвастатин Акорд 20 </w:t>
      </w:r>
      <w:r w:rsidRPr="00F96FCF">
        <w:rPr>
          <w:rFonts w:eastAsia="Times New Roman" w:cs="Arial"/>
          <w:color w:val="000000"/>
          <w:lang w:val="en-US"/>
        </w:rPr>
        <w:t xml:space="preserve">mg </w:t>
      </w:r>
      <w:r w:rsidRPr="00F96FCF">
        <w:rPr>
          <w:rFonts w:eastAsia="Times New Roman" w:cs="Arial"/>
          <w:color w:val="000000"/>
          <w:lang w:eastAsia="bg-BG"/>
        </w:rPr>
        <w:t>филмирани таблетки:</w:t>
      </w:r>
    </w:p>
    <w:p w14:paraId="6B34167A" w14:textId="77777777" w:rsidR="00F96FCF" w:rsidRPr="00F96FCF" w:rsidRDefault="00F96FCF" w:rsidP="00F96FCF">
      <w:pPr>
        <w:spacing w:line="240" w:lineRule="auto"/>
        <w:rPr>
          <w:rFonts w:eastAsia="Times New Roman" w:cs="Arial"/>
          <w:color w:val="000000"/>
          <w:lang w:eastAsia="bg-BG"/>
        </w:rPr>
      </w:pPr>
    </w:p>
    <w:p w14:paraId="7D90DBEB" w14:textId="3CC4F692"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lastRenderedPageBreak/>
        <w:t>Светлорозови, кръгли, двойноизпъкнали, филмирани таблетки, с вдлъбнато релефно означение "СТ" от едната страна и гладки от другата страна.</w:t>
      </w:r>
    </w:p>
    <w:p w14:paraId="242BF62F" w14:textId="77777777" w:rsidR="00F96FCF" w:rsidRPr="00F96FCF" w:rsidRDefault="00F96FCF" w:rsidP="00F96FCF">
      <w:pPr>
        <w:spacing w:line="240" w:lineRule="auto"/>
        <w:rPr>
          <w:rFonts w:eastAsia="Times New Roman" w:cs="Arial"/>
          <w:color w:val="000000"/>
          <w:lang w:eastAsia="bg-BG"/>
        </w:rPr>
      </w:pPr>
    </w:p>
    <w:p w14:paraId="3951B9B0" w14:textId="484F458C"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Симвастатин Акорд 40 </w:t>
      </w:r>
      <w:r w:rsidRPr="00F96FCF">
        <w:rPr>
          <w:rFonts w:eastAsia="Times New Roman" w:cs="Arial"/>
          <w:color w:val="000000"/>
          <w:lang w:val="en-US"/>
        </w:rPr>
        <w:t xml:space="preserve">mg </w:t>
      </w:r>
      <w:r w:rsidRPr="00F96FCF">
        <w:rPr>
          <w:rFonts w:eastAsia="Times New Roman" w:cs="Arial"/>
          <w:color w:val="000000"/>
          <w:lang w:eastAsia="bg-BG"/>
        </w:rPr>
        <w:t>филмирани таблетки:</w:t>
      </w:r>
    </w:p>
    <w:p w14:paraId="48F10D5D" w14:textId="77777777" w:rsidR="00F96FCF" w:rsidRPr="00F96FCF" w:rsidRDefault="00F96FCF" w:rsidP="00F96FCF">
      <w:pPr>
        <w:rPr>
          <w:rFonts w:eastAsia="Times New Roman" w:cs="Arial"/>
          <w:color w:val="000000"/>
          <w:lang w:eastAsia="bg-BG"/>
        </w:rPr>
      </w:pPr>
    </w:p>
    <w:p w14:paraId="4129ADBB" w14:textId="4590393F" w:rsidR="0091385D" w:rsidRPr="00F96FCF" w:rsidRDefault="00F96FCF" w:rsidP="00F96FCF">
      <w:pPr>
        <w:rPr>
          <w:rFonts w:cs="Arial"/>
        </w:rPr>
      </w:pPr>
      <w:r w:rsidRPr="00F96FCF">
        <w:rPr>
          <w:rFonts w:eastAsia="Times New Roman" w:cs="Arial"/>
          <w:color w:val="000000"/>
          <w:lang w:eastAsia="bg-BG"/>
        </w:rPr>
        <w:t>Розови, кръгли, двойноизпъкнали, филмирани таблетки, с вдлъбнато релефно означение "</w:t>
      </w:r>
      <w:r w:rsidRPr="00F96FCF">
        <w:rPr>
          <w:rFonts w:eastAsia="Times New Roman" w:cs="Arial"/>
          <w:color w:val="000000"/>
          <w:lang w:val="en-US"/>
        </w:rPr>
        <w:t>CU</w:t>
      </w:r>
      <w:r w:rsidRPr="00F96FCF">
        <w:rPr>
          <w:rFonts w:eastAsia="Times New Roman" w:cs="Arial"/>
          <w:color w:val="000000"/>
          <w:lang w:eastAsia="bg-BG"/>
        </w:rPr>
        <w:t>"</w:t>
      </w:r>
      <w:r w:rsidRPr="00F96FCF">
        <w:rPr>
          <w:rFonts w:eastAsia="Times New Roman" w:cs="Arial"/>
          <w:color w:val="000000"/>
          <w:lang w:val="en-US"/>
        </w:rPr>
        <w:t xml:space="preserve"> </w:t>
      </w:r>
      <w:r w:rsidRPr="00F96FCF">
        <w:rPr>
          <w:rFonts w:eastAsia="Times New Roman" w:cs="Arial"/>
          <w:color w:val="000000"/>
          <w:lang w:eastAsia="bg-BG"/>
        </w:rPr>
        <w:t>от едната страна и гладки от другата страна.</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73696680" w14:textId="7777777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Хиперхолестеролемия</w:t>
      </w:r>
    </w:p>
    <w:p w14:paraId="2D8E3E6D" w14:textId="7777777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Лечение на първична хиперхолестеролемия или смесена дислипидемия, като допълнение към диетата, когато лечението с диета и други нефармакологични средства (напр. упражнения, намаляване на телесното тегло) не са показали ефективност.</w:t>
      </w:r>
    </w:p>
    <w:p w14:paraId="0368093C" w14:textId="77777777" w:rsidR="00F96FCF" w:rsidRPr="00F96FCF" w:rsidRDefault="00F96FCF" w:rsidP="00F96FCF">
      <w:pPr>
        <w:spacing w:line="240" w:lineRule="auto"/>
        <w:rPr>
          <w:rFonts w:eastAsia="Times New Roman" w:cs="Arial"/>
          <w:color w:val="000000"/>
          <w:lang w:eastAsia="bg-BG"/>
        </w:rPr>
      </w:pPr>
    </w:p>
    <w:p w14:paraId="44FDB43D" w14:textId="7B6C438A"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Лечение на хомозиготна фамилна хиперхолестеролемия (ХоФХ), като допълнение към диетата и друго липидопонижаващо лечение (напр. </w:t>
      </w:r>
      <w:r w:rsidRPr="00F96FCF">
        <w:rPr>
          <w:rFonts w:eastAsia="Times New Roman" w:cs="Arial"/>
          <w:color w:val="000000"/>
          <w:lang w:val="en-US"/>
        </w:rPr>
        <w:t>LDL</w:t>
      </w:r>
      <w:r w:rsidRPr="00F96FCF">
        <w:rPr>
          <w:rFonts w:eastAsia="Times New Roman" w:cs="Arial"/>
          <w:color w:val="000000"/>
          <w:lang w:eastAsia="bg-BG"/>
        </w:rPr>
        <w:t>-афереза) или в случай че такива терапевтични мерки са неподходящи.</w:t>
      </w:r>
    </w:p>
    <w:p w14:paraId="5DEB9D95" w14:textId="77777777" w:rsidR="00F96FCF" w:rsidRPr="00F96FCF" w:rsidRDefault="00F96FCF" w:rsidP="00F96FCF">
      <w:pPr>
        <w:spacing w:line="240" w:lineRule="auto"/>
        <w:rPr>
          <w:rFonts w:eastAsia="Times New Roman" w:cs="Arial"/>
          <w:color w:val="000000"/>
          <w:u w:val="single"/>
          <w:lang w:eastAsia="bg-BG"/>
        </w:rPr>
      </w:pPr>
    </w:p>
    <w:p w14:paraId="53F85D6D" w14:textId="4936FF44"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Профилактика на сърдечносъдови заболявания</w:t>
      </w:r>
    </w:p>
    <w:p w14:paraId="04B2E99C" w14:textId="7A25138F" w:rsidR="0091385D" w:rsidRPr="00F96FCF" w:rsidRDefault="00F96FCF" w:rsidP="00F96FCF">
      <w:pPr>
        <w:rPr>
          <w:rFonts w:cs="Arial"/>
        </w:rPr>
      </w:pPr>
      <w:r w:rsidRPr="00F96FCF">
        <w:rPr>
          <w:rFonts w:eastAsia="Times New Roman" w:cs="Arial"/>
          <w:color w:val="000000"/>
          <w:lang w:eastAsia="bg-BG"/>
        </w:rPr>
        <w:t>За намаляване на заболеваемостта и смъртността от сърдечносъдови заболявания при пациенти с изразени атеросклеротични заболявания на сърдечносъдовата система или захарен диабет, с нормални или повишени нива на холестерола, като допълнително лечение за корекция на странични рискови фактори и други кардиопротекгивни лечения (вж. точка 5.1).</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259F0F4B" w14:textId="77777777" w:rsidR="00F96FCF" w:rsidRPr="00F96FCF" w:rsidRDefault="00F96FCF" w:rsidP="00F96FCF">
      <w:pPr>
        <w:pStyle w:val="Heading3"/>
        <w:rPr>
          <w:rFonts w:eastAsia="Times New Roman"/>
          <w:u w:val="single"/>
          <w:lang w:eastAsia="bg-BG"/>
        </w:rPr>
      </w:pPr>
      <w:r w:rsidRPr="00F96FCF">
        <w:rPr>
          <w:rFonts w:eastAsia="Times New Roman"/>
          <w:u w:val="single"/>
          <w:lang w:eastAsia="bg-BG"/>
        </w:rPr>
        <w:t>Дозировка</w:t>
      </w:r>
    </w:p>
    <w:p w14:paraId="621A7B9F" w14:textId="7777777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Дозовият интервал е между 5-80 </w:t>
      </w:r>
      <w:r w:rsidRPr="00F96FCF">
        <w:rPr>
          <w:rFonts w:eastAsia="Times New Roman" w:cs="Arial"/>
          <w:color w:val="000000"/>
          <w:lang w:val="en-US"/>
        </w:rPr>
        <w:t xml:space="preserve">mg </w:t>
      </w:r>
      <w:r w:rsidRPr="00F96FCF">
        <w:rPr>
          <w:rFonts w:eastAsia="Times New Roman" w:cs="Arial"/>
          <w:color w:val="000000"/>
          <w:lang w:eastAsia="bg-BG"/>
        </w:rPr>
        <w:t xml:space="preserve">симвастатин дневно, приемани перорално като еднократна доза вечер. Ако е необходима корекция на дозата, тя трябва да се прави на интервали не по-малки от 4 седмици, до максималната доза 80 </w:t>
      </w:r>
      <w:r w:rsidRPr="00F96FCF">
        <w:rPr>
          <w:rFonts w:eastAsia="Times New Roman" w:cs="Arial"/>
          <w:color w:val="000000"/>
          <w:lang w:val="en-US"/>
        </w:rPr>
        <w:t xml:space="preserve">mg </w:t>
      </w:r>
      <w:r w:rsidRPr="00F96FCF">
        <w:rPr>
          <w:rFonts w:eastAsia="Times New Roman" w:cs="Arial"/>
          <w:color w:val="000000"/>
          <w:lang w:eastAsia="bg-BG"/>
        </w:rPr>
        <w:t xml:space="preserve">дневно, приемана като еднократна доза вечер. Дозата от 80 </w:t>
      </w:r>
      <w:r w:rsidRPr="00F96FCF">
        <w:rPr>
          <w:rFonts w:eastAsia="Times New Roman" w:cs="Arial"/>
          <w:color w:val="000000"/>
          <w:lang w:val="en-US"/>
        </w:rPr>
        <w:t xml:space="preserve">mg </w:t>
      </w:r>
      <w:r w:rsidRPr="00F96FCF">
        <w:rPr>
          <w:rFonts w:eastAsia="Times New Roman" w:cs="Arial"/>
          <w:color w:val="000000"/>
          <w:lang w:eastAsia="bg-BG"/>
        </w:rPr>
        <w:t>се препоръчва само при пациенти с тежка хиперхолестеролемия и с висок риск от сърдечносъдови усложнения, при които не са постигнали прицелните нива на холестерола при по- ниски дози и когато се очаква ползите да превишават потенциалните рискове (вж. точки 4.4 и 5.1)</w:t>
      </w:r>
    </w:p>
    <w:p w14:paraId="41307C4C" w14:textId="77777777" w:rsidR="00F96FCF" w:rsidRPr="00F96FCF" w:rsidRDefault="00F96FCF" w:rsidP="00F96FCF">
      <w:pPr>
        <w:spacing w:line="240" w:lineRule="auto"/>
        <w:rPr>
          <w:rFonts w:eastAsia="Times New Roman" w:cs="Arial"/>
          <w:color w:val="000000"/>
          <w:u w:val="single"/>
          <w:lang w:eastAsia="bg-BG"/>
        </w:rPr>
      </w:pPr>
    </w:p>
    <w:p w14:paraId="2D0578A0" w14:textId="73F2B5AC"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Хиперхолестеролемия</w:t>
      </w:r>
    </w:p>
    <w:p w14:paraId="0BA0068E" w14:textId="77777777" w:rsidR="00F96FCF" w:rsidRPr="00F96FCF" w:rsidRDefault="00F96FCF" w:rsidP="00F96FCF">
      <w:pPr>
        <w:spacing w:line="240" w:lineRule="auto"/>
        <w:rPr>
          <w:rFonts w:eastAsia="Times New Roman" w:cs="Arial"/>
          <w:color w:val="000000"/>
          <w:lang w:eastAsia="bg-BG"/>
        </w:rPr>
      </w:pPr>
    </w:p>
    <w:p w14:paraId="45F16140" w14:textId="7C1D505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Пациентът следва да бъде поставен на стандартна холестерол-понижаваща диета, която да продължи по време на лечението със Симвастатин Акорд. Обичайната начална доза е 10-20 </w:t>
      </w:r>
      <w:r w:rsidRPr="00F96FCF">
        <w:rPr>
          <w:rFonts w:eastAsia="Times New Roman" w:cs="Arial"/>
          <w:color w:val="000000"/>
          <w:lang w:val="en-US"/>
        </w:rPr>
        <w:t xml:space="preserve">mg </w:t>
      </w:r>
      <w:r w:rsidRPr="00F96FCF">
        <w:rPr>
          <w:rFonts w:eastAsia="Times New Roman" w:cs="Arial"/>
          <w:color w:val="000000"/>
          <w:lang w:eastAsia="bg-BG"/>
        </w:rPr>
        <w:t xml:space="preserve">дневно, приемани като еднократна доза вечер. Пациенти, които се нуждаят от сериозно понижаване на </w:t>
      </w:r>
      <w:r w:rsidRPr="00F96FCF">
        <w:rPr>
          <w:rFonts w:eastAsia="Times New Roman" w:cs="Arial"/>
          <w:color w:val="000000"/>
          <w:lang w:val="en-US"/>
        </w:rPr>
        <w:t xml:space="preserve">LDL-C </w:t>
      </w:r>
      <w:r w:rsidRPr="00F96FCF">
        <w:rPr>
          <w:rFonts w:eastAsia="Times New Roman" w:cs="Arial"/>
          <w:color w:val="000000"/>
          <w:lang w:eastAsia="bg-BG"/>
        </w:rPr>
        <w:t xml:space="preserve">(повече от 45%), могат да започнат с начален прием </w:t>
      </w:r>
      <w:r w:rsidRPr="00F96FCF">
        <w:rPr>
          <w:rFonts w:eastAsia="Times New Roman" w:cs="Arial"/>
          <w:color w:val="000000"/>
          <w:lang w:val="en-US"/>
        </w:rPr>
        <w:t xml:space="preserve">20-40-mg/ </w:t>
      </w:r>
      <w:r w:rsidRPr="00F96FCF">
        <w:rPr>
          <w:rFonts w:eastAsia="Times New Roman" w:cs="Arial"/>
          <w:color w:val="000000"/>
          <w:lang w:eastAsia="bg-BG"/>
        </w:rPr>
        <w:t>дневно, приемани като еднократна доза вечер. Ако е необходимо адаптиране на дозата, то трябва да се провежда, както е описано по-горе.</w:t>
      </w:r>
    </w:p>
    <w:p w14:paraId="415D153E" w14:textId="77777777" w:rsidR="00F96FCF" w:rsidRPr="00F96FCF" w:rsidRDefault="00F96FCF" w:rsidP="00F96FCF">
      <w:pPr>
        <w:spacing w:line="240" w:lineRule="auto"/>
        <w:rPr>
          <w:rFonts w:eastAsia="Times New Roman" w:cs="Arial"/>
          <w:color w:val="000000"/>
          <w:u w:val="single"/>
          <w:lang w:eastAsia="bg-BG"/>
        </w:rPr>
      </w:pPr>
    </w:p>
    <w:p w14:paraId="582CA6E5" w14:textId="15282D43"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Хомозиготна Фамилна хиперхолестеролемия</w:t>
      </w:r>
    </w:p>
    <w:p w14:paraId="70EC1444" w14:textId="77777777" w:rsidR="00F96FCF" w:rsidRPr="00F96FCF" w:rsidRDefault="00F96FCF" w:rsidP="00F96FCF">
      <w:pPr>
        <w:spacing w:line="240" w:lineRule="auto"/>
        <w:rPr>
          <w:rFonts w:eastAsia="Times New Roman" w:cs="Arial"/>
          <w:color w:val="000000"/>
          <w:lang w:eastAsia="bg-BG"/>
        </w:rPr>
      </w:pPr>
    </w:p>
    <w:p w14:paraId="440B8671" w14:textId="2B04C451"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Въз основа на резултатите от контролирано клинично проучване, препоръчваната начална доза е 40 </w:t>
      </w:r>
      <w:r w:rsidRPr="00F96FCF">
        <w:rPr>
          <w:rFonts w:eastAsia="Times New Roman" w:cs="Arial"/>
          <w:color w:val="000000"/>
          <w:lang w:val="en-US"/>
        </w:rPr>
        <w:t xml:space="preserve">mg </w:t>
      </w:r>
      <w:r w:rsidRPr="00F96FCF">
        <w:rPr>
          <w:rFonts w:eastAsia="Times New Roman" w:cs="Arial"/>
          <w:color w:val="000000"/>
          <w:lang w:eastAsia="bg-BG"/>
        </w:rPr>
        <w:t xml:space="preserve">дневно вечер. При такива пациенти, Симвастатин Акорд трябва да се използва като допълнение към друга липидопонижаваща терапия (като </w:t>
      </w:r>
      <w:r w:rsidRPr="00F96FCF">
        <w:rPr>
          <w:rFonts w:eastAsia="Times New Roman" w:cs="Arial"/>
          <w:color w:val="000000"/>
          <w:lang w:val="en-US"/>
        </w:rPr>
        <w:t>LDL</w:t>
      </w:r>
      <w:r w:rsidRPr="00F96FCF">
        <w:rPr>
          <w:rFonts w:eastAsia="Times New Roman" w:cs="Arial"/>
          <w:color w:val="000000"/>
          <w:lang w:eastAsia="bg-BG"/>
        </w:rPr>
        <w:t>-афереза) или в случай, че такова лечение не е налично.</w:t>
      </w:r>
    </w:p>
    <w:p w14:paraId="6C9BB94D" w14:textId="77777777" w:rsidR="00F96FCF" w:rsidRPr="00F96FCF" w:rsidRDefault="00F96FCF" w:rsidP="00F96FCF">
      <w:pPr>
        <w:spacing w:line="240" w:lineRule="auto"/>
        <w:rPr>
          <w:rFonts w:eastAsia="Times New Roman" w:cs="Arial"/>
          <w:color w:val="000000"/>
          <w:lang w:eastAsia="bg-BG"/>
        </w:rPr>
      </w:pPr>
    </w:p>
    <w:p w14:paraId="0931826F" w14:textId="5FF8F354"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При пациенти, приемащи ломитапид съвместно със симвастатин, дозата на симвастатин не трябва да превишава 40 </w:t>
      </w:r>
      <w:r w:rsidRPr="00F96FCF">
        <w:rPr>
          <w:rFonts w:eastAsia="Times New Roman" w:cs="Arial"/>
          <w:color w:val="000000"/>
          <w:lang w:val="en-US"/>
        </w:rPr>
        <w:t>mg</w:t>
      </w:r>
      <w:r w:rsidRPr="00F96FCF">
        <w:rPr>
          <w:rFonts w:eastAsia="Times New Roman" w:cs="Arial"/>
          <w:color w:val="000000"/>
          <w:lang w:eastAsia="bg-BG"/>
        </w:rPr>
        <w:t>/ден (вж. точки 4.3, 4.4 и 4.5).</w:t>
      </w:r>
    </w:p>
    <w:p w14:paraId="40F05BA7" w14:textId="77777777" w:rsidR="00F96FCF" w:rsidRPr="00F96FCF" w:rsidRDefault="00F96FCF" w:rsidP="00F96FCF">
      <w:pPr>
        <w:spacing w:line="240" w:lineRule="auto"/>
        <w:rPr>
          <w:rFonts w:eastAsia="Times New Roman" w:cs="Arial"/>
          <w:color w:val="000000"/>
          <w:u w:val="single"/>
          <w:lang w:eastAsia="bg-BG"/>
        </w:rPr>
      </w:pPr>
    </w:p>
    <w:p w14:paraId="4B658695" w14:textId="2BD2616D"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Профилактика на сърдечносъдови заболявания</w:t>
      </w:r>
    </w:p>
    <w:p w14:paraId="5981737B" w14:textId="77777777" w:rsidR="00F96FCF" w:rsidRPr="00F96FCF" w:rsidRDefault="00F96FCF" w:rsidP="00F96FCF">
      <w:pPr>
        <w:spacing w:line="240" w:lineRule="auto"/>
        <w:rPr>
          <w:rFonts w:eastAsia="Times New Roman" w:cs="Arial"/>
          <w:color w:val="000000"/>
          <w:lang w:eastAsia="bg-BG"/>
        </w:rPr>
      </w:pPr>
    </w:p>
    <w:p w14:paraId="475300EC" w14:textId="4427C162" w:rsidR="0091385D"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Обичайната доза Симвастатин Акорд е 20 до 40 </w:t>
      </w:r>
      <w:r w:rsidRPr="00F96FCF">
        <w:rPr>
          <w:rFonts w:eastAsia="Times New Roman" w:cs="Arial"/>
          <w:color w:val="000000"/>
          <w:lang w:val="en-US"/>
        </w:rPr>
        <w:t xml:space="preserve">mg </w:t>
      </w:r>
      <w:r w:rsidRPr="00F96FCF">
        <w:rPr>
          <w:rFonts w:eastAsia="Times New Roman" w:cs="Arial"/>
          <w:color w:val="000000"/>
          <w:lang w:eastAsia="bg-BG"/>
        </w:rPr>
        <w:t>дневно, приемани като еднократна доза вечер при пациенти с голям риск за развиване на коронарни сърдечни заболявания (</w:t>
      </w:r>
      <w:r w:rsidRPr="00F96FCF">
        <w:rPr>
          <w:rFonts w:eastAsia="Times New Roman" w:cs="Arial"/>
          <w:color w:val="000000"/>
          <w:lang w:val="en-US"/>
        </w:rPr>
        <w:t>CHD</w:t>
      </w:r>
      <w:r w:rsidRPr="00F96FCF">
        <w:rPr>
          <w:rFonts w:eastAsia="Times New Roman" w:cs="Arial"/>
          <w:color w:val="000000"/>
          <w:lang w:eastAsia="bg-BG"/>
        </w:rPr>
        <w:t xml:space="preserve"> със или без  хиперлипидемия). Лекарств</w:t>
      </w:r>
      <w:r>
        <w:rPr>
          <w:rFonts w:eastAsia="Times New Roman" w:cs="Arial"/>
          <w:color w:val="000000"/>
          <w:lang w:eastAsia="bg-BG"/>
        </w:rPr>
        <w:t xml:space="preserve">ената терапия трябва да започне </w:t>
      </w:r>
      <w:r w:rsidRPr="00F96FCF">
        <w:rPr>
          <w:rFonts w:eastAsia="Times New Roman" w:cs="Arial"/>
          <w:color w:val="000000"/>
          <w:lang w:eastAsia="bg-BG"/>
        </w:rPr>
        <w:t>едновременно с диета и физически</w:t>
      </w:r>
      <w:r>
        <w:rPr>
          <w:rFonts w:eastAsia="Times New Roman" w:cs="Arial"/>
          <w:sz w:val="24"/>
          <w:szCs w:val="24"/>
          <w:lang w:eastAsia="bg-BG"/>
        </w:rPr>
        <w:t xml:space="preserve"> </w:t>
      </w:r>
      <w:r w:rsidRPr="00F96FCF">
        <w:rPr>
          <w:rFonts w:eastAsia="Times New Roman" w:cs="Arial"/>
          <w:color w:val="000000"/>
          <w:lang w:eastAsia="bg-BG"/>
        </w:rPr>
        <w:t>упражнения. Ако е необходимо титриране на дозата, то трябва да се проведе както е описано по-горе.</w:t>
      </w:r>
    </w:p>
    <w:p w14:paraId="6ACAF645" w14:textId="4432A372" w:rsidR="0091385D" w:rsidRDefault="0091385D" w:rsidP="0091385D"/>
    <w:p w14:paraId="0BA33A8C" w14:textId="7777777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Комбинирана терапия</w:t>
      </w:r>
    </w:p>
    <w:p w14:paraId="154FEBFC" w14:textId="77777777" w:rsidR="00F96FCF" w:rsidRPr="00F96FCF" w:rsidRDefault="00F96FCF" w:rsidP="00F96FCF">
      <w:pPr>
        <w:spacing w:line="240" w:lineRule="auto"/>
        <w:rPr>
          <w:rFonts w:eastAsia="Times New Roman" w:cs="Arial"/>
          <w:color w:val="000000"/>
          <w:lang w:eastAsia="bg-BG"/>
        </w:rPr>
      </w:pPr>
    </w:p>
    <w:p w14:paraId="1009C489" w14:textId="68A822E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Симвастатин Акорд е ефикасен при самостоятелно приложение или в комбинация със секвестранти на жлъчна киселина. Приемането на дозата следва да се прави &gt;</w:t>
      </w:r>
      <w:r w:rsidRPr="00F96FCF">
        <w:rPr>
          <w:rFonts w:eastAsia="Times New Roman" w:cs="Arial"/>
          <w:i/>
          <w:iCs/>
          <w:color w:val="000000"/>
          <w:lang w:eastAsia="bg-BG"/>
        </w:rPr>
        <w:t xml:space="preserve"> 1</w:t>
      </w:r>
      <w:r w:rsidRPr="00F96FCF">
        <w:rPr>
          <w:rFonts w:eastAsia="Times New Roman" w:cs="Arial"/>
          <w:color w:val="000000"/>
          <w:lang w:eastAsia="bg-BG"/>
        </w:rPr>
        <w:t xml:space="preserve"> часа преди или &gt; 4 часа след приемането на лекарства, секвениращи жлъчната киселина.</w:t>
      </w:r>
    </w:p>
    <w:p w14:paraId="0D5F3DEE" w14:textId="77777777" w:rsidR="00F96FCF" w:rsidRPr="00F96FCF" w:rsidRDefault="00F96FCF" w:rsidP="00F96FCF">
      <w:pPr>
        <w:spacing w:line="240" w:lineRule="auto"/>
        <w:rPr>
          <w:rFonts w:eastAsia="Times New Roman" w:cs="Arial"/>
          <w:color w:val="000000"/>
          <w:lang w:eastAsia="bg-BG"/>
        </w:rPr>
      </w:pPr>
    </w:p>
    <w:p w14:paraId="61C56DAC" w14:textId="361CE3E3"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При пациенти приемащи симвастатин едновременно с фибрати, различни от гемфиброзил (вж. точка 4.3) или фенофибрат, дозата на симвастатин не трябва да превишава 10 </w:t>
      </w:r>
      <w:r w:rsidRPr="00F96FCF">
        <w:rPr>
          <w:rFonts w:eastAsia="Times New Roman" w:cs="Arial"/>
          <w:color w:val="000000"/>
          <w:lang w:val="en-US"/>
        </w:rPr>
        <w:t>mg</w:t>
      </w:r>
      <w:r w:rsidRPr="00F96FCF">
        <w:rPr>
          <w:rFonts w:eastAsia="Times New Roman" w:cs="Arial"/>
          <w:color w:val="000000"/>
          <w:lang w:eastAsia="bg-BG"/>
        </w:rPr>
        <w:t xml:space="preserve">/ден. При пациенти, приемащи амиодарон, амлодипин, верапамил, дилтиазем или лекарствени продукти, съдържащи елбасвир или гразопревир, едновременно със симвастатин, дозата на симвастатин не трябва да превишава 20 </w:t>
      </w:r>
      <w:r w:rsidRPr="00F96FCF">
        <w:rPr>
          <w:rFonts w:eastAsia="Times New Roman" w:cs="Arial"/>
          <w:color w:val="000000"/>
          <w:lang w:val="en-US"/>
        </w:rPr>
        <w:t>mg</w:t>
      </w:r>
      <w:r w:rsidRPr="00F96FCF">
        <w:rPr>
          <w:rFonts w:eastAsia="Times New Roman" w:cs="Arial"/>
          <w:color w:val="000000"/>
          <w:lang w:eastAsia="bg-BG"/>
        </w:rPr>
        <w:t>/дневно (вж. точки 4.4 и 4.5).</w:t>
      </w:r>
    </w:p>
    <w:p w14:paraId="7D0A0F3A" w14:textId="77777777" w:rsidR="00F96FCF" w:rsidRPr="00F96FCF" w:rsidRDefault="00F96FCF" w:rsidP="00F96FCF">
      <w:pPr>
        <w:spacing w:line="240" w:lineRule="auto"/>
        <w:rPr>
          <w:rFonts w:eastAsia="Times New Roman" w:cs="Arial"/>
          <w:color w:val="000000"/>
          <w:u w:val="single"/>
          <w:lang w:eastAsia="bg-BG"/>
        </w:rPr>
      </w:pPr>
    </w:p>
    <w:p w14:paraId="6E0D3846" w14:textId="19D78B5C"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Бъбречно нарушение</w:t>
      </w:r>
    </w:p>
    <w:p w14:paraId="05B386A8" w14:textId="77777777" w:rsidR="00F96FCF" w:rsidRPr="00F96FCF" w:rsidRDefault="00F96FCF" w:rsidP="00F96FCF">
      <w:pPr>
        <w:spacing w:line="240" w:lineRule="auto"/>
        <w:rPr>
          <w:rFonts w:eastAsia="Times New Roman" w:cs="Arial"/>
          <w:color w:val="000000"/>
          <w:lang w:eastAsia="bg-BG"/>
        </w:rPr>
      </w:pPr>
    </w:p>
    <w:p w14:paraId="0C34B8A3" w14:textId="25E2B7D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Не се налага промяна на дозата при пациенти с умерено бъбречно нарушение.</w:t>
      </w:r>
    </w:p>
    <w:p w14:paraId="7334DA40" w14:textId="77777777" w:rsidR="00F96FCF" w:rsidRPr="00F96FCF" w:rsidRDefault="00F96FCF" w:rsidP="00F96FCF">
      <w:pPr>
        <w:spacing w:line="240" w:lineRule="auto"/>
        <w:rPr>
          <w:rFonts w:eastAsia="Times New Roman" w:cs="Arial"/>
          <w:color w:val="000000"/>
          <w:lang w:eastAsia="bg-BG"/>
        </w:rPr>
      </w:pPr>
    </w:p>
    <w:p w14:paraId="5D9C0B92" w14:textId="05F716DD"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При пациенти с тежко бъбречно нарушение (креатининов клирънс &lt;30 </w:t>
      </w:r>
      <w:r w:rsidRPr="00F96FCF">
        <w:rPr>
          <w:rFonts w:eastAsia="Times New Roman" w:cs="Arial"/>
          <w:color w:val="000000"/>
          <w:lang w:val="en-US"/>
        </w:rPr>
        <w:t xml:space="preserve">ml/min), </w:t>
      </w:r>
      <w:r w:rsidRPr="00F96FCF">
        <w:rPr>
          <w:rFonts w:eastAsia="Times New Roman" w:cs="Arial"/>
          <w:color w:val="000000"/>
          <w:lang w:eastAsia="bg-BG"/>
        </w:rPr>
        <w:t xml:space="preserve">дози над 10 </w:t>
      </w:r>
      <w:r w:rsidRPr="00F96FCF">
        <w:rPr>
          <w:rFonts w:eastAsia="Times New Roman" w:cs="Arial"/>
          <w:color w:val="000000"/>
          <w:lang w:val="en-US"/>
        </w:rPr>
        <w:t>mg/</w:t>
      </w:r>
      <w:r w:rsidRPr="00F96FCF">
        <w:rPr>
          <w:rFonts w:eastAsia="Times New Roman" w:cs="Arial"/>
          <w:color w:val="000000"/>
          <w:lang w:eastAsia="bg-BG"/>
        </w:rPr>
        <w:t>дневно трябва да се обмислят внимателно и да се прилагат с повишено внимание, ако се прецени за необходимо.</w:t>
      </w:r>
    </w:p>
    <w:p w14:paraId="67AD8CD2" w14:textId="77777777" w:rsidR="00F96FCF" w:rsidRPr="00F96FCF" w:rsidRDefault="00F96FCF" w:rsidP="00F96FCF">
      <w:pPr>
        <w:spacing w:line="240" w:lineRule="auto"/>
        <w:rPr>
          <w:rFonts w:eastAsia="Times New Roman" w:cs="Arial"/>
          <w:color w:val="000000"/>
          <w:u w:val="single"/>
          <w:lang w:eastAsia="bg-BG"/>
        </w:rPr>
      </w:pPr>
    </w:p>
    <w:p w14:paraId="4674CF62" w14:textId="4DA5AB68"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Старческа възраст</w:t>
      </w:r>
    </w:p>
    <w:p w14:paraId="20191346" w14:textId="77777777" w:rsidR="00F96FCF" w:rsidRPr="00F96FCF" w:rsidRDefault="00F96FCF" w:rsidP="00F96FCF">
      <w:pPr>
        <w:spacing w:line="240" w:lineRule="auto"/>
        <w:rPr>
          <w:rFonts w:eastAsia="Times New Roman" w:cs="Arial"/>
          <w:color w:val="000000"/>
          <w:lang w:eastAsia="bg-BG"/>
        </w:rPr>
      </w:pPr>
    </w:p>
    <w:p w14:paraId="0A44B94C" w14:textId="2737BB4C"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Не се налага титриране на дозата.</w:t>
      </w:r>
    </w:p>
    <w:p w14:paraId="0C6BFD57" w14:textId="77777777" w:rsidR="00F96FCF" w:rsidRPr="00F96FCF" w:rsidRDefault="00F96FCF" w:rsidP="00F96FCF">
      <w:pPr>
        <w:spacing w:line="240" w:lineRule="auto"/>
        <w:rPr>
          <w:rFonts w:eastAsia="Times New Roman" w:cs="Arial"/>
          <w:color w:val="000000"/>
          <w:u w:val="single"/>
          <w:lang w:eastAsia="bg-BG"/>
        </w:rPr>
      </w:pPr>
    </w:p>
    <w:p w14:paraId="09855228" w14:textId="08003E8B"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Педиатрична популапия</w:t>
      </w:r>
    </w:p>
    <w:p w14:paraId="12502212" w14:textId="77777777" w:rsidR="00F96FCF" w:rsidRPr="00F96FCF" w:rsidRDefault="00F96FCF" w:rsidP="00F96FCF">
      <w:pPr>
        <w:spacing w:line="240" w:lineRule="auto"/>
        <w:rPr>
          <w:rFonts w:eastAsia="Times New Roman" w:cs="Arial"/>
          <w:color w:val="000000"/>
          <w:lang w:eastAsia="bg-BG"/>
        </w:rPr>
      </w:pPr>
    </w:p>
    <w:p w14:paraId="0AD467AA" w14:textId="7777777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При деца и юноши (момчета в стадий II по </w:t>
      </w:r>
      <w:r w:rsidRPr="00F96FCF">
        <w:rPr>
          <w:rFonts w:eastAsia="Times New Roman" w:cs="Arial"/>
          <w:color w:val="000000"/>
          <w:lang w:val="en-US"/>
        </w:rPr>
        <w:t xml:space="preserve">Tanner </w:t>
      </w:r>
      <w:r w:rsidRPr="00F96FCF">
        <w:rPr>
          <w:rFonts w:eastAsia="Times New Roman" w:cs="Arial"/>
          <w:color w:val="000000"/>
          <w:lang w:eastAsia="bg-BG"/>
        </w:rPr>
        <w:t xml:space="preserve">и по-големи и момичета поне една година след първия менструален цикъл, 10-17 годишна възраст) с хетерозиготна фамилна хиперхолестеролемия, препоръчителната начална доза е 10 </w:t>
      </w:r>
      <w:r w:rsidRPr="00F96FCF">
        <w:rPr>
          <w:rFonts w:eastAsia="Times New Roman" w:cs="Arial"/>
          <w:color w:val="000000"/>
          <w:lang w:val="en-US"/>
        </w:rPr>
        <w:t xml:space="preserve">mg </w:t>
      </w:r>
      <w:r w:rsidRPr="00F96FCF">
        <w:rPr>
          <w:rFonts w:eastAsia="Times New Roman" w:cs="Arial"/>
          <w:color w:val="000000"/>
          <w:lang w:eastAsia="bg-BG"/>
        </w:rPr>
        <w:t xml:space="preserve">веднъж дневно, вечер. Децата и юношите трябва да бъдат подложени на стандартна понижаваща </w:t>
      </w:r>
      <w:r w:rsidRPr="00F96FCF">
        <w:rPr>
          <w:rFonts w:eastAsia="Times New Roman" w:cs="Arial"/>
          <w:color w:val="000000"/>
          <w:lang w:eastAsia="bg-BG"/>
        </w:rPr>
        <w:lastRenderedPageBreak/>
        <w:t>холестерола диета, преди началото на лечението със симвастатин. Тази диета трябва да продължи по време на лечението със симвастатин.</w:t>
      </w:r>
    </w:p>
    <w:p w14:paraId="4B60F3C1" w14:textId="77777777" w:rsidR="00F96FCF" w:rsidRPr="00F96FCF" w:rsidRDefault="00F96FCF" w:rsidP="00F96FCF">
      <w:pPr>
        <w:spacing w:line="240" w:lineRule="auto"/>
        <w:rPr>
          <w:rFonts w:eastAsia="Times New Roman" w:cs="Arial"/>
          <w:sz w:val="24"/>
          <w:szCs w:val="24"/>
          <w:lang w:eastAsia="bg-BG"/>
        </w:rPr>
      </w:pPr>
    </w:p>
    <w:p w14:paraId="4F5B094A" w14:textId="1199911E"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Препоръчителната доза варира между 10-40 </w:t>
      </w:r>
      <w:r w:rsidRPr="00F96FCF">
        <w:rPr>
          <w:rFonts w:eastAsia="Times New Roman" w:cs="Arial"/>
          <w:color w:val="000000"/>
          <w:lang w:val="en-US"/>
        </w:rPr>
        <w:t>mg</w:t>
      </w:r>
      <w:r w:rsidRPr="00F96FCF">
        <w:rPr>
          <w:rFonts w:eastAsia="Times New Roman" w:cs="Arial"/>
          <w:color w:val="000000"/>
          <w:lang w:eastAsia="bg-BG"/>
        </w:rPr>
        <w:t xml:space="preserve">/дневно. Максималната препоръчителна доза е 40 </w:t>
      </w:r>
      <w:r w:rsidRPr="00F96FCF">
        <w:rPr>
          <w:rFonts w:eastAsia="Times New Roman" w:cs="Arial"/>
          <w:color w:val="000000"/>
          <w:lang w:val="en-US"/>
        </w:rPr>
        <w:t>mg</w:t>
      </w:r>
      <w:r w:rsidRPr="00F96FCF">
        <w:rPr>
          <w:rFonts w:eastAsia="Times New Roman" w:cs="Arial"/>
          <w:color w:val="000000"/>
          <w:lang w:eastAsia="bg-BG"/>
        </w:rPr>
        <w:t>/дневно. Дозите трябва да се определят индивидуално според целта на терапията, съгласно препоръките за педиатрично лечение (вж. точки 4.4 и 5.1). Адаптиране на дозата трябва да се извършва през интервали от 4 седмици или повече.</w:t>
      </w:r>
    </w:p>
    <w:p w14:paraId="528C1179" w14:textId="77777777" w:rsidR="00F96FCF" w:rsidRPr="00F96FCF" w:rsidRDefault="00F96FCF" w:rsidP="00F96FCF">
      <w:pPr>
        <w:spacing w:line="240" w:lineRule="auto"/>
        <w:rPr>
          <w:rFonts w:eastAsia="Times New Roman" w:cs="Arial"/>
          <w:color w:val="000000"/>
          <w:lang w:eastAsia="bg-BG"/>
        </w:rPr>
      </w:pPr>
    </w:p>
    <w:p w14:paraId="72804873" w14:textId="5404ADCA"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Опитът със симвастатин при деца, които не са навлезли в пубертета, е ограничен.</w:t>
      </w:r>
    </w:p>
    <w:p w14:paraId="4BCB5EE7" w14:textId="77777777" w:rsidR="00F96FCF" w:rsidRPr="00F96FCF" w:rsidRDefault="00F96FCF" w:rsidP="00F96FCF">
      <w:pPr>
        <w:spacing w:line="240" w:lineRule="auto"/>
        <w:rPr>
          <w:rFonts w:eastAsia="Times New Roman" w:cs="Arial"/>
          <w:color w:val="000000"/>
          <w:u w:val="single"/>
          <w:lang w:eastAsia="bg-BG"/>
        </w:rPr>
      </w:pPr>
    </w:p>
    <w:p w14:paraId="3E686B8C" w14:textId="7D0534E6" w:rsidR="00F96FCF" w:rsidRPr="00F96FCF" w:rsidRDefault="00F96FCF" w:rsidP="00F96FCF">
      <w:pPr>
        <w:pStyle w:val="Heading3"/>
        <w:rPr>
          <w:rFonts w:eastAsia="Times New Roman"/>
          <w:u w:val="single"/>
          <w:lang w:eastAsia="bg-BG"/>
        </w:rPr>
      </w:pPr>
      <w:r w:rsidRPr="00F96FCF">
        <w:rPr>
          <w:rFonts w:eastAsia="Times New Roman"/>
          <w:u w:val="single"/>
          <w:lang w:eastAsia="bg-BG"/>
        </w:rPr>
        <w:t>Начин на приложение</w:t>
      </w:r>
    </w:p>
    <w:p w14:paraId="65B513E5" w14:textId="46F2B8CB" w:rsidR="00F96FCF" w:rsidRPr="00F96FCF" w:rsidRDefault="00F96FCF" w:rsidP="00F96FCF">
      <w:pPr>
        <w:rPr>
          <w:rFonts w:cs="Arial"/>
        </w:rPr>
      </w:pPr>
      <w:r w:rsidRPr="00F96FCF">
        <w:rPr>
          <w:rFonts w:eastAsia="Times New Roman" w:cs="Arial"/>
          <w:color w:val="000000"/>
          <w:lang w:eastAsia="bg-BG"/>
        </w:rPr>
        <w:t>Симвастатин е предназначен за перорално приложение. Може да се прилага като еднократна доза вечер.</w:t>
      </w:r>
    </w:p>
    <w:p w14:paraId="34693BB3" w14:textId="77777777" w:rsidR="00F96FCF" w:rsidRPr="0091385D" w:rsidRDefault="00F96FCF"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6EE6147E" w14:textId="77777777" w:rsidR="00F96FCF" w:rsidRPr="00F96FCF" w:rsidRDefault="00F96FCF" w:rsidP="00F96FCF">
      <w:pPr>
        <w:pStyle w:val="ListParagraph"/>
        <w:numPr>
          <w:ilvl w:val="0"/>
          <w:numId w:val="35"/>
        </w:numPr>
        <w:spacing w:line="240" w:lineRule="auto"/>
        <w:rPr>
          <w:rFonts w:eastAsia="Times New Roman" w:cs="Arial"/>
          <w:color w:val="000000"/>
          <w:lang w:eastAsia="bg-BG"/>
        </w:rPr>
      </w:pPr>
      <w:r w:rsidRPr="00F96FCF">
        <w:rPr>
          <w:rFonts w:eastAsia="Times New Roman" w:cs="Arial"/>
          <w:color w:val="000000"/>
          <w:lang w:eastAsia="bg-BG"/>
        </w:rPr>
        <w:t>Свръхчувствителност към активното вещество или към някое от помощните вещества, изброени в точка 6.1.</w:t>
      </w:r>
    </w:p>
    <w:p w14:paraId="3E6D97A3" w14:textId="77777777" w:rsidR="00F96FCF" w:rsidRPr="00F96FCF" w:rsidRDefault="00F96FCF" w:rsidP="00F96FCF">
      <w:pPr>
        <w:pStyle w:val="ListParagraph"/>
        <w:numPr>
          <w:ilvl w:val="0"/>
          <w:numId w:val="35"/>
        </w:numPr>
        <w:spacing w:line="240" w:lineRule="auto"/>
        <w:rPr>
          <w:rFonts w:eastAsia="Times New Roman" w:cs="Arial"/>
          <w:color w:val="000000"/>
          <w:lang w:eastAsia="bg-BG"/>
        </w:rPr>
      </w:pPr>
      <w:r w:rsidRPr="00F96FCF">
        <w:rPr>
          <w:rFonts w:eastAsia="Times New Roman" w:cs="Arial"/>
          <w:color w:val="000000"/>
          <w:lang w:eastAsia="bg-BG"/>
        </w:rPr>
        <w:t>Активно чернодробно заболяване или необяснимо персистиране на повишени нива на серумните трансаминази.</w:t>
      </w:r>
    </w:p>
    <w:p w14:paraId="6A255869" w14:textId="77777777" w:rsidR="00F96FCF" w:rsidRPr="00F96FCF" w:rsidRDefault="00F96FCF" w:rsidP="00F96FCF">
      <w:pPr>
        <w:pStyle w:val="ListParagraph"/>
        <w:numPr>
          <w:ilvl w:val="0"/>
          <w:numId w:val="35"/>
        </w:numPr>
        <w:spacing w:line="240" w:lineRule="auto"/>
        <w:rPr>
          <w:rFonts w:eastAsia="Times New Roman" w:cs="Arial"/>
          <w:color w:val="000000"/>
          <w:lang w:eastAsia="bg-BG"/>
        </w:rPr>
      </w:pPr>
      <w:r w:rsidRPr="00F96FCF">
        <w:rPr>
          <w:rFonts w:eastAsia="Times New Roman" w:cs="Arial"/>
          <w:color w:val="000000"/>
          <w:lang w:eastAsia="bg-BG"/>
        </w:rPr>
        <w:t>Бременност и кърмене(вж. точка 4.6).</w:t>
      </w:r>
    </w:p>
    <w:p w14:paraId="4DAD4E8C" w14:textId="05B0DCB7" w:rsidR="00F96FCF" w:rsidRPr="00F96FCF" w:rsidRDefault="00F96FCF" w:rsidP="00F96FCF">
      <w:pPr>
        <w:pStyle w:val="ListParagraph"/>
        <w:numPr>
          <w:ilvl w:val="0"/>
          <w:numId w:val="35"/>
        </w:numPr>
        <w:spacing w:line="240" w:lineRule="auto"/>
        <w:rPr>
          <w:rFonts w:eastAsia="Times New Roman" w:cs="Arial"/>
          <w:color w:val="000000"/>
          <w:lang w:eastAsia="bg-BG"/>
        </w:rPr>
      </w:pPr>
      <w:r w:rsidRPr="00F96FCF">
        <w:rPr>
          <w:rFonts w:eastAsia="Times New Roman" w:cs="Arial"/>
          <w:color w:val="000000"/>
          <w:lang w:eastAsia="bg-BG"/>
        </w:rPr>
        <w:t xml:space="preserve">Едновременно приложение с мощни инхибитори на </w:t>
      </w:r>
      <w:r w:rsidRPr="00F96FCF">
        <w:rPr>
          <w:rFonts w:eastAsia="Times New Roman" w:cs="Arial"/>
          <w:color w:val="000000"/>
          <w:lang w:val="en-US"/>
        </w:rPr>
        <w:t xml:space="preserve">CYP3A4 </w:t>
      </w:r>
      <w:r w:rsidRPr="00F96FCF">
        <w:rPr>
          <w:rFonts w:eastAsia="Times New Roman" w:cs="Arial"/>
          <w:color w:val="000000"/>
          <w:lang w:eastAsia="bg-BG"/>
        </w:rPr>
        <w:t>(вещества, които увеличават</w:t>
      </w:r>
      <w:r w:rsidRPr="00F96FCF">
        <w:rPr>
          <w:rFonts w:eastAsia="Times New Roman" w:cs="Arial"/>
          <w:color w:val="000000"/>
          <w:lang w:val="en-US"/>
        </w:rPr>
        <w:t xml:space="preserve"> AUC </w:t>
      </w:r>
      <w:r w:rsidRPr="00F96FCF">
        <w:rPr>
          <w:rFonts w:eastAsia="Times New Roman" w:cs="Arial"/>
          <w:color w:val="000000"/>
          <w:lang w:eastAsia="bg-BG"/>
        </w:rPr>
        <w:t xml:space="preserve">приблизително петократно или повече) (напр. итраконазол, кетоконазол, позаконазол, вориконазол, </w:t>
      </w:r>
      <w:r w:rsidRPr="00F96FCF">
        <w:rPr>
          <w:rFonts w:eastAsia="Times New Roman" w:cs="Arial"/>
          <w:color w:val="000000"/>
          <w:lang w:val="en-US"/>
        </w:rPr>
        <w:t xml:space="preserve">HIV </w:t>
      </w:r>
      <w:r w:rsidRPr="00F96FCF">
        <w:rPr>
          <w:rFonts w:eastAsia="Times New Roman" w:cs="Arial"/>
          <w:color w:val="000000"/>
          <w:lang w:eastAsia="bg-BG"/>
        </w:rPr>
        <w:t>протеазни инхибитори (напр. нелфинавир, боцепревир, телапревир, еритромицин, кларитромицин, телитромицин, нефазодон и лекарствени продукти, съдържащи кобицистат) (вж. точки 4.4 и 4.5).</w:t>
      </w:r>
    </w:p>
    <w:p w14:paraId="4958369F" w14:textId="77777777" w:rsidR="00F96FCF" w:rsidRPr="00F96FCF" w:rsidRDefault="00F96FCF" w:rsidP="00F96FCF">
      <w:pPr>
        <w:pStyle w:val="ListParagraph"/>
        <w:numPr>
          <w:ilvl w:val="0"/>
          <w:numId w:val="35"/>
        </w:numPr>
        <w:spacing w:line="240" w:lineRule="auto"/>
        <w:rPr>
          <w:rFonts w:eastAsia="Times New Roman" w:cs="Arial"/>
          <w:color w:val="000000"/>
          <w:lang w:eastAsia="bg-BG"/>
        </w:rPr>
      </w:pPr>
      <w:r w:rsidRPr="00F96FCF">
        <w:rPr>
          <w:rFonts w:eastAsia="Times New Roman" w:cs="Arial"/>
          <w:color w:val="000000"/>
          <w:lang w:eastAsia="bg-BG"/>
        </w:rPr>
        <w:t>Едновременно приложение с гемфиброзил, циклоспорин или даназол (вж. точки 4.4 и 4.5).</w:t>
      </w:r>
    </w:p>
    <w:p w14:paraId="31B39DC6" w14:textId="0C2F45A2" w:rsidR="0091385D" w:rsidRPr="00F96FCF" w:rsidRDefault="00F96FCF" w:rsidP="00F96FCF">
      <w:pPr>
        <w:pStyle w:val="ListParagraph"/>
        <w:numPr>
          <w:ilvl w:val="0"/>
          <w:numId w:val="35"/>
        </w:numPr>
        <w:spacing w:line="240" w:lineRule="auto"/>
        <w:rPr>
          <w:rFonts w:eastAsia="Times New Roman" w:cs="Arial"/>
          <w:color w:val="000000"/>
          <w:lang w:eastAsia="bg-BG"/>
        </w:rPr>
      </w:pPr>
      <w:r w:rsidRPr="00F96FCF">
        <w:rPr>
          <w:rFonts w:eastAsia="Times New Roman" w:cs="Arial"/>
          <w:color w:val="000000"/>
          <w:lang w:eastAsia="bg-BG"/>
        </w:rPr>
        <w:t xml:space="preserve">Едновременно приложение на ломитапид със симвастатин в дози на &gt; 40 </w:t>
      </w:r>
      <w:r w:rsidRPr="00F96FCF">
        <w:rPr>
          <w:rFonts w:eastAsia="Times New Roman" w:cs="Arial"/>
          <w:color w:val="000000"/>
          <w:lang w:val="en-US"/>
        </w:rPr>
        <w:t xml:space="preserve">mg </w:t>
      </w:r>
      <w:r w:rsidRPr="00F96FCF">
        <w:rPr>
          <w:rFonts w:eastAsia="Times New Roman" w:cs="Arial"/>
          <w:color w:val="000000"/>
          <w:lang w:eastAsia="bg-BG"/>
        </w:rPr>
        <w:t>при пациенти с ХоФХ (вж. точки 4.2, 4.4 и 4.5).</w:t>
      </w:r>
    </w:p>
    <w:p w14:paraId="1BB606F6" w14:textId="77777777" w:rsidR="00F96FCF" w:rsidRPr="0091385D" w:rsidRDefault="00F96FCF"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0832587D" w14:textId="7777777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Миопатия/Рабдомиолиза</w:t>
      </w:r>
    </w:p>
    <w:p w14:paraId="02AACCEA" w14:textId="77777777" w:rsidR="00F96FCF" w:rsidRPr="00F96FCF" w:rsidRDefault="00F96FCF" w:rsidP="00F96FCF">
      <w:pPr>
        <w:spacing w:line="240" w:lineRule="auto"/>
        <w:rPr>
          <w:rFonts w:eastAsia="Times New Roman" w:cs="Arial"/>
          <w:color w:val="000000"/>
          <w:lang w:eastAsia="bg-BG"/>
        </w:rPr>
      </w:pPr>
    </w:p>
    <w:p w14:paraId="0E796B03" w14:textId="0A914904"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Подобно на другите </w:t>
      </w:r>
      <w:r w:rsidRPr="00F96FCF">
        <w:rPr>
          <w:rFonts w:eastAsia="Times New Roman" w:cs="Arial"/>
          <w:color w:val="000000"/>
          <w:lang w:val="en-US"/>
        </w:rPr>
        <w:t xml:space="preserve">HMG-CoA </w:t>
      </w:r>
      <w:r w:rsidRPr="00F96FCF">
        <w:rPr>
          <w:rFonts w:eastAsia="Times New Roman" w:cs="Arial"/>
          <w:color w:val="000000"/>
          <w:lang w:eastAsia="bg-BG"/>
        </w:rPr>
        <w:t xml:space="preserve">редуктазни инхибитори, в редки случаи симвастатин може да предизвика развитие на миопатия, която се проявява с мускулни болки, чувствителност или слабост и повишаване нивото на креатин киназата (СК) повече от десет пъти над горната граница на нормалните стойности </w:t>
      </w:r>
      <w:r w:rsidRPr="00F96FCF">
        <w:rPr>
          <w:rFonts w:eastAsia="Times New Roman" w:cs="Arial"/>
          <w:color w:val="000000"/>
          <w:lang w:val="en-US"/>
        </w:rPr>
        <w:t xml:space="preserve">(ULN). </w:t>
      </w:r>
      <w:r w:rsidRPr="00F96FCF">
        <w:rPr>
          <w:rFonts w:eastAsia="Times New Roman" w:cs="Arial"/>
          <w:color w:val="000000"/>
          <w:lang w:eastAsia="bg-BG"/>
        </w:rPr>
        <w:t xml:space="preserve">Понякога миопатията протича под формата на рабдомиолиза със или без остра бъбречна недостатъчност, развиваща се вторично в следствие на миоглобинурия и в много редки случаи може да е фатална за пациента. Рискът от миопатия се повишава от високите нива на </w:t>
      </w:r>
      <w:r w:rsidRPr="00F96FCF">
        <w:rPr>
          <w:rFonts w:eastAsia="Times New Roman" w:cs="Arial"/>
          <w:color w:val="000000"/>
          <w:lang w:val="en-US"/>
        </w:rPr>
        <w:t xml:space="preserve">HMG-CoA </w:t>
      </w:r>
      <w:r w:rsidRPr="00F96FCF">
        <w:rPr>
          <w:rFonts w:eastAsia="Times New Roman" w:cs="Arial"/>
          <w:color w:val="000000"/>
          <w:lang w:eastAsia="bg-BG"/>
        </w:rPr>
        <w:t>редуктазни инхибитори в плазмата (т.е. повишени плазмени нива на симвастатин и на симвастатинова киселина), което може да се дължи отчасти на взаимодействащи лекарства, които повлияват метаболизма на симвастатин и/или транспортерните механизми (вж. точка 4.5).</w:t>
      </w:r>
    </w:p>
    <w:p w14:paraId="75146011" w14:textId="77777777" w:rsidR="00F96FCF" w:rsidRPr="00F96FCF" w:rsidRDefault="00F96FCF" w:rsidP="00F96FCF">
      <w:pPr>
        <w:spacing w:line="240" w:lineRule="auto"/>
        <w:rPr>
          <w:rFonts w:eastAsia="Times New Roman" w:cs="Arial"/>
          <w:color w:val="000000"/>
          <w:lang w:eastAsia="bg-BG"/>
        </w:rPr>
      </w:pPr>
    </w:p>
    <w:p w14:paraId="630AFD06" w14:textId="6D83D1CC"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lastRenderedPageBreak/>
        <w:t xml:space="preserve">Както и при другите </w:t>
      </w:r>
      <w:r w:rsidRPr="00F96FCF">
        <w:rPr>
          <w:rFonts w:eastAsia="Times New Roman" w:cs="Arial"/>
          <w:color w:val="000000"/>
          <w:lang w:val="en-US"/>
        </w:rPr>
        <w:t xml:space="preserve">HMG-CoA </w:t>
      </w:r>
      <w:r w:rsidRPr="00F96FCF">
        <w:rPr>
          <w:rFonts w:eastAsia="Times New Roman" w:cs="Arial"/>
          <w:color w:val="000000"/>
          <w:lang w:eastAsia="bg-BG"/>
        </w:rPr>
        <w:t xml:space="preserve">редуктазни инхибитори, рискът от миопатия/рабдомиолиза е дозозависим. При проведени клинични проучвания, 41 413 пациенти са били лекувани със симвастатин, от които 24 747 (приблизително 60%) са били включени в проучвания със среден период на проследяване от поне 4 години, честотата на миопатия е приблизително 0,03%, 0,08% и 0,61% съответно при дози от 20, 40 и 80 </w:t>
      </w:r>
      <w:r w:rsidRPr="00F96FCF">
        <w:rPr>
          <w:rFonts w:eastAsia="Times New Roman" w:cs="Arial"/>
          <w:color w:val="000000"/>
          <w:lang w:val="en-US"/>
        </w:rPr>
        <w:t>mg</w:t>
      </w:r>
      <w:r w:rsidRPr="00F96FCF">
        <w:rPr>
          <w:rFonts w:eastAsia="Times New Roman" w:cs="Arial"/>
          <w:color w:val="000000"/>
          <w:lang w:eastAsia="bg-BG"/>
        </w:rPr>
        <w:t>/дневно. В тези проучвания, пациентите са били внимателно мониторирани и някои лекарствени продукти, които биха предизвикали взаимодействия са били изключени.</w:t>
      </w:r>
    </w:p>
    <w:p w14:paraId="545D6E85" w14:textId="77777777" w:rsidR="00F96FCF" w:rsidRPr="00F96FCF" w:rsidRDefault="00F96FCF" w:rsidP="00F96FCF">
      <w:pPr>
        <w:spacing w:line="240" w:lineRule="auto"/>
        <w:rPr>
          <w:rFonts w:eastAsia="Times New Roman" w:cs="Arial"/>
          <w:color w:val="000000"/>
          <w:lang w:eastAsia="bg-BG"/>
        </w:rPr>
      </w:pPr>
    </w:p>
    <w:p w14:paraId="3799AC17" w14:textId="29B65EBE"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При клинично изпитване, в което пациенти с анамнеза за инфаркт на миокарда, са били лекувани със симвастатин 80 </w:t>
      </w:r>
      <w:r w:rsidRPr="00F96FCF">
        <w:rPr>
          <w:rFonts w:eastAsia="Times New Roman" w:cs="Arial"/>
          <w:color w:val="000000"/>
          <w:lang w:val="en-US"/>
        </w:rPr>
        <w:t>mg</w:t>
      </w:r>
      <w:r w:rsidRPr="00F96FCF">
        <w:rPr>
          <w:rFonts w:eastAsia="Times New Roman" w:cs="Arial"/>
          <w:color w:val="000000"/>
          <w:lang w:eastAsia="bg-BG"/>
        </w:rPr>
        <w:t xml:space="preserve">/ден (среден период на проследяване от 6,7 години), честотата на миопатия е била приблизително 1,0% в сравнение с 0,02% за пациенти, приемали 20 </w:t>
      </w:r>
      <w:r w:rsidRPr="00F96FCF">
        <w:rPr>
          <w:rFonts w:eastAsia="Times New Roman" w:cs="Arial"/>
          <w:color w:val="000000"/>
          <w:lang w:val="en-US"/>
        </w:rPr>
        <w:t>mg</w:t>
      </w:r>
      <w:r w:rsidRPr="00F96FCF">
        <w:rPr>
          <w:rFonts w:eastAsia="Times New Roman" w:cs="Arial"/>
          <w:color w:val="000000"/>
          <w:lang w:eastAsia="bg-BG"/>
        </w:rPr>
        <w:t>/дневно. Около половината от тези случаи на миопатия са се случили през първата година на лечението. Честотата на миопатия за всяка следваща година от лечението е било приблизително 0,1% (вж. точки 4.8 и 5.1).</w:t>
      </w:r>
    </w:p>
    <w:p w14:paraId="2161867C" w14:textId="77777777" w:rsidR="00F96FCF" w:rsidRPr="00F96FCF" w:rsidRDefault="00F96FCF" w:rsidP="00F96FCF">
      <w:pPr>
        <w:spacing w:line="240" w:lineRule="auto"/>
        <w:rPr>
          <w:rFonts w:eastAsia="Times New Roman" w:cs="Arial"/>
          <w:color w:val="000000"/>
          <w:lang w:eastAsia="bg-BG"/>
        </w:rPr>
      </w:pPr>
    </w:p>
    <w:p w14:paraId="1D6BD130" w14:textId="1F65D9CE"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Рискът от миопатия е по-голям при пациенти, приемащи симвастатин 80 </w:t>
      </w:r>
      <w:r w:rsidRPr="00F96FCF">
        <w:rPr>
          <w:rFonts w:eastAsia="Times New Roman" w:cs="Arial"/>
          <w:color w:val="000000"/>
          <w:lang w:val="en-US"/>
        </w:rPr>
        <w:t xml:space="preserve">mg </w:t>
      </w:r>
      <w:r w:rsidRPr="00F96FCF">
        <w:rPr>
          <w:rFonts w:eastAsia="Times New Roman" w:cs="Arial"/>
          <w:color w:val="000000"/>
          <w:lang w:eastAsia="bg-BG"/>
        </w:rPr>
        <w:t xml:space="preserve">в сравнение с терапии с други статини с подобна ефикасност при понижаване на </w:t>
      </w:r>
      <w:r w:rsidRPr="00F96FCF">
        <w:rPr>
          <w:rFonts w:eastAsia="Times New Roman" w:cs="Arial"/>
          <w:color w:val="000000"/>
          <w:lang w:val="en-US"/>
        </w:rPr>
        <w:t xml:space="preserve">LDL-C. </w:t>
      </w:r>
      <w:r w:rsidRPr="00F96FCF">
        <w:rPr>
          <w:rFonts w:eastAsia="Times New Roman" w:cs="Arial"/>
          <w:color w:val="000000"/>
          <w:lang w:eastAsia="bg-BG"/>
        </w:rPr>
        <w:t xml:space="preserve">Поради това, дозата от 80 </w:t>
      </w:r>
      <w:r w:rsidRPr="00F96FCF">
        <w:rPr>
          <w:rFonts w:eastAsia="Times New Roman" w:cs="Arial"/>
          <w:color w:val="000000"/>
          <w:lang w:val="en-US"/>
        </w:rPr>
        <w:t xml:space="preserve">mg </w:t>
      </w:r>
      <w:r w:rsidRPr="00F96FCF">
        <w:rPr>
          <w:rFonts w:eastAsia="Times New Roman" w:cs="Arial"/>
          <w:color w:val="000000"/>
          <w:lang w:eastAsia="bg-BG"/>
        </w:rPr>
        <w:t xml:space="preserve">симвастатин, трябва да се използва при пациенти с тежка хиперхолестеролемия и с висок риск от сърдечносъдови усложнения, които не са постигнали терапевтичната ефикасност с по-ниските дози и когато ползите надвишават потенциалните рискове. При пациенти, приемащи симвастатин 80 </w:t>
      </w:r>
      <w:r w:rsidRPr="00F96FCF">
        <w:rPr>
          <w:rFonts w:eastAsia="Times New Roman" w:cs="Arial"/>
          <w:color w:val="000000"/>
          <w:lang w:val="en-US"/>
        </w:rPr>
        <w:t xml:space="preserve">mg, </w:t>
      </w:r>
      <w:r w:rsidRPr="00F96FCF">
        <w:rPr>
          <w:rFonts w:eastAsia="Times New Roman" w:cs="Arial"/>
          <w:color w:val="000000"/>
          <w:lang w:eastAsia="bg-BG"/>
        </w:rPr>
        <w:t xml:space="preserve">за които е нужен взаимодействащ агент, трябва да се прилага по-ниска доза симвастатин или алтернативен статин, който има по-малък потенциал за лекарствени взаимодействия (вж. по- долу </w:t>
      </w:r>
      <w:r w:rsidRPr="00F96FCF">
        <w:rPr>
          <w:rFonts w:eastAsia="Times New Roman" w:cs="Arial"/>
          <w:i/>
          <w:iCs/>
          <w:color w:val="000000"/>
          <w:lang w:eastAsia="bg-BG"/>
        </w:rPr>
        <w:t>,.Мерки за намаляване на риска от миопатия, причинена от лекарствени взаимодействия</w:t>
      </w:r>
      <w:r w:rsidRPr="00F96FCF">
        <w:rPr>
          <w:rFonts w:eastAsia="Times New Roman" w:cs="Arial"/>
          <w:color w:val="000000"/>
          <w:lang w:eastAsia="bg-BG"/>
        </w:rPr>
        <w:t>” и точки 4.2,4.3 и 4.5).</w:t>
      </w:r>
    </w:p>
    <w:p w14:paraId="4BB0CD34" w14:textId="77777777" w:rsidR="00F96FCF" w:rsidRPr="00F96FCF" w:rsidRDefault="00F96FCF" w:rsidP="00F96FCF">
      <w:pPr>
        <w:rPr>
          <w:rFonts w:eastAsia="Times New Roman" w:cs="Arial"/>
          <w:color w:val="000000"/>
          <w:lang w:eastAsia="bg-BG"/>
        </w:rPr>
      </w:pPr>
    </w:p>
    <w:p w14:paraId="0B3BEE35" w14:textId="7AF41325" w:rsidR="0091385D" w:rsidRDefault="00F96FCF" w:rsidP="00F96FCF">
      <w:pPr>
        <w:rPr>
          <w:rFonts w:eastAsia="Times New Roman" w:cs="Arial"/>
          <w:color w:val="000000"/>
          <w:lang w:eastAsia="bg-BG"/>
        </w:rPr>
      </w:pPr>
      <w:r w:rsidRPr="00F96FCF">
        <w:rPr>
          <w:rFonts w:eastAsia="Times New Roman" w:cs="Arial"/>
          <w:color w:val="000000"/>
          <w:lang w:eastAsia="bg-BG"/>
        </w:rPr>
        <w:t xml:space="preserve">В клинично изпитване, при което пациенти с висок риск от сърдечносъдово заболяване са лекувани със симвастатин 40 </w:t>
      </w:r>
      <w:r w:rsidRPr="00F96FCF">
        <w:rPr>
          <w:rFonts w:eastAsia="Times New Roman" w:cs="Arial"/>
          <w:color w:val="000000"/>
          <w:lang w:val="en-US"/>
        </w:rPr>
        <w:t>mg</w:t>
      </w:r>
      <w:r w:rsidRPr="00F96FCF">
        <w:rPr>
          <w:rFonts w:eastAsia="Times New Roman" w:cs="Arial"/>
          <w:color w:val="000000"/>
          <w:lang w:eastAsia="bg-BG"/>
        </w:rPr>
        <w:t>/ден (среден период на проследяването 3,9 години), честотата на миопатия е била приблизително 0,05 % при некигайци (</w:t>
      </w:r>
      <w:r w:rsidRPr="00F96FCF">
        <w:rPr>
          <w:rFonts w:eastAsia="Times New Roman" w:cs="Arial"/>
          <w:color w:val="000000"/>
          <w:lang w:val="en-US"/>
        </w:rPr>
        <w:t>n</w:t>
      </w:r>
      <w:r w:rsidRPr="00F96FCF">
        <w:rPr>
          <w:rFonts w:eastAsia="Times New Roman" w:cs="Arial"/>
          <w:color w:val="000000"/>
          <w:lang w:eastAsia="bg-BG"/>
        </w:rPr>
        <w:t>=7 367), в сравнение 0,24%</w:t>
      </w:r>
      <w:r w:rsidRPr="00F96FCF">
        <w:rPr>
          <w:rFonts w:eastAsia="Times New Roman" w:cs="Arial"/>
          <w:color w:val="000000"/>
          <w:lang w:val="en-US"/>
        </w:rPr>
        <w:t xml:space="preserve"> </w:t>
      </w:r>
      <w:r w:rsidRPr="00F96FCF">
        <w:rPr>
          <w:rFonts w:eastAsia="Times New Roman" w:cs="Arial"/>
          <w:color w:val="000000"/>
          <w:lang w:eastAsia="bg-BG"/>
        </w:rPr>
        <w:t>при китайци (</w:t>
      </w:r>
      <w:r w:rsidRPr="00F96FCF">
        <w:rPr>
          <w:rFonts w:eastAsia="Times New Roman" w:cs="Arial"/>
          <w:color w:val="000000"/>
          <w:lang w:val="en-US"/>
        </w:rPr>
        <w:t>n</w:t>
      </w:r>
      <w:r w:rsidRPr="00F96FCF">
        <w:rPr>
          <w:rFonts w:eastAsia="Times New Roman" w:cs="Arial"/>
          <w:color w:val="000000"/>
          <w:lang w:eastAsia="bg-BG"/>
        </w:rPr>
        <w:t xml:space="preserve"> =5468). Тъй като в това клинично изпитване от азиатското население са оценени само китайци, при предписване на симвастатин на пациенти от Азия трябва да се подхожда с повишено внимание и да се употребява най-ниската необходима доза.</w:t>
      </w:r>
    </w:p>
    <w:p w14:paraId="008F5F51" w14:textId="1748570F" w:rsidR="00F96FCF" w:rsidRDefault="00F96FCF" w:rsidP="00F96FCF">
      <w:pPr>
        <w:rPr>
          <w:rFonts w:eastAsia="Times New Roman" w:cs="Arial"/>
          <w:color w:val="000000"/>
          <w:lang w:eastAsia="bg-BG"/>
        </w:rPr>
      </w:pPr>
    </w:p>
    <w:p w14:paraId="6093C96F" w14:textId="7777777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Понижена функция на транспортните протеини</w:t>
      </w:r>
    </w:p>
    <w:p w14:paraId="2182DFA4" w14:textId="77777777" w:rsidR="00F96FCF" w:rsidRPr="00F96FCF" w:rsidRDefault="00F96FCF" w:rsidP="00F96FCF">
      <w:pPr>
        <w:spacing w:line="240" w:lineRule="auto"/>
        <w:rPr>
          <w:rFonts w:eastAsia="Times New Roman" w:cs="Arial"/>
          <w:color w:val="000000"/>
          <w:lang w:eastAsia="bg-BG"/>
        </w:rPr>
      </w:pPr>
    </w:p>
    <w:p w14:paraId="20A3982B" w14:textId="0BFDC533"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Понижената функция на чернодробните транспортни протеини ОАТР може да увеличи системната експозиция към симвастатинова киселина и да повиши риска от миопатия и рабдомиолиза. Понижената функция може да се появи в резултат на инхибиране от взаимодействащи лекарства (напр. циклоспорин) или при пациенти, които са носители на генотипа </w:t>
      </w:r>
      <w:r w:rsidRPr="00F96FCF">
        <w:rPr>
          <w:rFonts w:eastAsia="Times New Roman" w:cs="Arial"/>
          <w:color w:val="000000"/>
          <w:lang w:val="en-US"/>
        </w:rPr>
        <w:t xml:space="preserve">SLCOIBI </w:t>
      </w:r>
      <w:r w:rsidRPr="00F96FCF">
        <w:rPr>
          <w:rFonts w:eastAsia="Times New Roman" w:cs="Arial"/>
          <w:color w:val="000000"/>
          <w:lang w:eastAsia="bg-BG"/>
        </w:rPr>
        <w:t>с.521Т&gt; С.</w:t>
      </w:r>
    </w:p>
    <w:p w14:paraId="50008753" w14:textId="77777777" w:rsidR="00F96FCF" w:rsidRPr="00F96FCF" w:rsidRDefault="00F96FCF" w:rsidP="00F96FCF">
      <w:pPr>
        <w:spacing w:line="240" w:lineRule="auto"/>
        <w:rPr>
          <w:rFonts w:eastAsia="Times New Roman" w:cs="Arial"/>
          <w:color w:val="000000"/>
          <w:lang w:eastAsia="bg-BG"/>
        </w:rPr>
      </w:pPr>
    </w:p>
    <w:p w14:paraId="3F11723A" w14:textId="34CA4D34"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Пациентите, носители на генен алел </w:t>
      </w:r>
      <w:r w:rsidRPr="00F96FCF">
        <w:rPr>
          <w:rFonts w:eastAsia="Times New Roman" w:cs="Arial"/>
          <w:color w:val="000000"/>
          <w:lang w:val="en-US"/>
        </w:rPr>
        <w:t xml:space="preserve">SLCOIBI </w:t>
      </w:r>
      <w:r w:rsidRPr="00F96FCF">
        <w:rPr>
          <w:rFonts w:eastAsia="Times New Roman" w:cs="Arial"/>
          <w:color w:val="000000"/>
          <w:lang w:eastAsia="bg-BG"/>
        </w:rPr>
        <w:t xml:space="preserve">(с.521Т&gt; С) с кодиране за по-слабо активен ОАТР1В1 протеин, имат повишена системна експозиция на симвастатинова киселина и повишен риск от миопатия. Рискът от миопатия, свързана с висока доза (80 </w:t>
      </w:r>
      <w:r w:rsidRPr="00F96FCF">
        <w:rPr>
          <w:rFonts w:eastAsia="Times New Roman" w:cs="Arial"/>
          <w:color w:val="000000"/>
          <w:lang w:val="en-US"/>
        </w:rPr>
        <w:t xml:space="preserve">mg) </w:t>
      </w:r>
      <w:r w:rsidRPr="00F96FCF">
        <w:rPr>
          <w:rFonts w:eastAsia="Times New Roman" w:cs="Arial"/>
          <w:color w:val="000000"/>
          <w:lang w:eastAsia="bg-BG"/>
        </w:rPr>
        <w:t xml:space="preserve">симвастатин, е като цяло, без генетични изследвания, около 1%. Въз основа на резултатите от изпитването </w:t>
      </w:r>
      <w:r w:rsidRPr="00F96FCF">
        <w:rPr>
          <w:rFonts w:eastAsia="Times New Roman" w:cs="Arial"/>
          <w:color w:val="000000"/>
          <w:lang w:val="en-US"/>
        </w:rPr>
        <w:t xml:space="preserve">SEARCH, </w:t>
      </w:r>
      <w:r w:rsidRPr="00F96FCF">
        <w:rPr>
          <w:rFonts w:eastAsia="Times New Roman" w:cs="Arial"/>
          <w:color w:val="000000"/>
          <w:lang w:eastAsia="bg-BG"/>
        </w:rPr>
        <w:t xml:space="preserve">хомозиготни носители на С алел (наричани също СС), лекувани с 80 </w:t>
      </w:r>
      <w:r w:rsidRPr="00F96FCF">
        <w:rPr>
          <w:rFonts w:eastAsia="Times New Roman" w:cs="Arial"/>
          <w:color w:val="000000"/>
          <w:lang w:val="en-US"/>
        </w:rPr>
        <w:t xml:space="preserve">mg, </w:t>
      </w:r>
      <w:r w:rsidRPr="00F96FCF">
        <w:rPr>
          <w:rFonts w:eastAsia="Times New Roman" w:cs="Arial"/>
          <w:color w:val="000000"/>
          <w:lang w:eastAsia="bg-BG"/>
        </w:rPr>
        <w:t xml:space="preserve">имат 15% риск от развитие на миопатия в рамките на една година, докато рискът при хетерозиготни носители на С апела (СТ) е 1,5%. Съответният риск е 0,3% при пациенти, които имат най-често срещания генотип (ТТ) (вж. точка 5.2). </w:t>
      </w:r>
      <w:r w:rsidRPr="00F96FCF">
        <w:rPr>
          <w:rFonts w:eastAsia="Times New Roman" w:cs="Arial"/>
          <w:color w:val="000000"/>
          <w:lang w:eastAsia="bg-BG"/>
        </w:rPr>
        <w:lastRenderedPageBreak/>
        <w:t>Определянето на генотипа за присъствието на алела С трябва да се счита като част от оценката на съотношението полза/риск, където е възможно, преди предписването на симвастатин на отделните пациенти и трябва да се избягват високи дози при открити носители на СС генотип. Въпреки това, липсата на този ген при определяне на генотипа не изключва развитието на миопатия.</w:t>
      </w:r>
    </w:p>
    <w:p w14:paraId="240AC664" w14:textId="77777777" w:rsidR="00F96FCF" w:rsidRPr="00F96FCF" w:rsidRDefault="00F96FCF" w:rsidP="00F96FCF">
      <w:pPr>
        <w:spacing w:line="240" w:lineRule="auto"/>
        <w:rPr>
          <w:rFonts w:eastAsia="Times New Roman" w:cs="Arial"/>
          <w:color w:val="000000"/>
          <w:u w:val="single"/>
          <w:lang w:eastAsia="bg-BG"/>
        </w:rPr>
      </w:pPr>
    </w:p>
    <w:p w14:paraId="1B57F549" w14:textId="3F546746"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Измерване на креатинкиназата</w:t>
      </w:r>
    </w:p>
    <w:p w14:paraId="0F4FC60A" w14:textId="77777777" w:rsidR="00F96FCF" w:rsidRPr="00F96FCF" w:rsidRDefault="00F96FCF" w:rsidP="00F96FCF">
      <w:pPr>
        <w:spacing w:line="240" w:lineRule="auto"/>
        <w:rPr>
          <w:rFonts w:eastAsia="Times New Roman" w:cs="Arial"/>
          <w:color w:val="000000"/>
          <w:lang w:eastAsia="bg-BG"/>
        </w:rPr>
      </w:pPr>
    </w:p>
    <w:p w14:paraId="1869BFAC" w14:textId="4C69BBA0"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Креатинкиназата (СК) не трябва да се измерва след тежки физически натоварвания или при наличие на други възможни причини за повишаването й, тъй като това би довело до затруднена интерпретация на резултатите. Ако нивата на СК са значително по-високи от нормалните стойности (&gt; 5 над </w:t>
      </w:r>
      <w:r w:rsidRPr="00F96FCF">
        <w:rPr>
          <w:rFonts w:eastAsia="Times New Roman" w:cs="Arial"/>
          <w:color w:val="000000"/>
          <w:lang w:val="en-US"/>
        </w:rPr>
        <w:t xml:space="preserve">ULN), </w:t>
      </w:r>
      <w:r w:rsidRPr="00F96FCF">
        <w:rPr>
          <w:rFonts w:eastAsia="Times New Roman" w:cs="Arial"/>
          <w:color w:val="000000"/>
          <w:lang w:eastAsia="bg-BG"/>
        </w:rPr>
        <w:t>трябва да се проведе повторно изпитване в рамките на 5 до 7 дни за потвърждаване на резултатите.</w:t>
      </w:r>
    </w:p>
    <w:p w14:paraId="30F4F153" w14:textId="77777777" w:rsidR="00F96FCF" w:rsidRPr="00F96FCF" w:rsidRDefault="00F96FCF" w:rsidP="00F96FCF">
      <w:pPr>
        <w:spacing w:line="240" w:lineRule="auto"/>
        <w:rPr>
          <w:rFonts w:eastAsia="Times New Roman" w:cs="Arial"/>
          <w:color w:val="000000"/>
          <w:u w:val="single"/>
          <w:lang w:eastAsia="bg-BG"/>
        </w:rPr>
      </w:pPr>
    </w:p>
    <w:p w14:paraId="2BEAEE45" w14:textId="026D2A1B"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Преди започване на лечението</w:t>
      </w:r>
    </w:p>
    <w:p w14:paraId="4A06707B" w14:textId="77777777" w:rsidR="00F96FCF" w:rsidRPr="00F96FCF" w:rsidRDefault="00F96FCF" w:rsidP="00F96FCF">
      <w:pPr>
        <w:spacing w:line="240" w:lineRule="auto"/>
        <w:rPr>
          <w:rFonts w:eastAsia="Times New Roman" w:cs="Arial"/>
          <w:color w:val="000000"/>
          <w:lang w:eastAsia="bg-BG"/>
        </w:rPr>
      </w:pPr>
    </w:p>
    <w:p w14:paraId="6EC39D2A" w14:textId="3FDADABE"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Всички пациенти, които започват лечение със симвастатин, или такива при които дозата на симвастатин е увеличена, трябва да бъдат уведомени за риска от миопатия и да бъдат посъветвани да съобщават своевременно за всяка необяснима мускулна болка, чувствителност или слабост.</w:t>
      </w:r>
    </w:p>
    <w:p w14:paraId="6659BDA0" w14:textId="77777777" w:rsidR="00F96FCF" w:rsidRPr="00F96FCF" w:rsidRDefault="00F96FCF" w:rsidP="00F96FCF">
      <w:pPr>
        <w:spacing w:line="240" w:lineRule="auto"/>
        <w:rPr>
          <w:rFonts w:eastAsia="Times New Roman" w:cs="Arial"/>
          <w:color w:val="000000"/>
          <w:lang w:eastAsia="bg-BG"/>
        </w:rPr>
      </w:pPr>
    </w:p>
    <w:p w14:paraId="617134C4" w14:textId="1BCC94F2" w:rsidR="00F96FCF" w:rsidRPr="00F96FCF" w:rsidRDefault="00F96FCF" w:rsidP="00F96FCF">
      <w:pPr>
        <w:spacing w:line="240" w:lineRule="auto"/>
        <w:rPr>
          <w:rFonts w:eastAsia="Times New Roman" w:cs="Arial"/>
          <w:color w:val="000000"/>
          <w:lang w:eastAsia="bg-BG"/>
        </w:rPr>
      </w:pPr>
      <w:r w:rsidRPr="00F96FCF">
        <w:rPr>
          <w:rFonts w:eastAsia="Times New Roman" w:cs="Arial"/>
          <w:color w:val="000000"/>
          <w:lang w:eastAsia="bg-BG"/>
        </w:rPr>
        <w:t>При пациенти с предразполагащи фактори за развитие на рабдомиолиза трябва да се обърне особено внимание. За да се определи изходна референтна стойност, нивата на СК трябва да се изследват преди започване на лечението във всяка от следните ситуации:</w:t>
      </w:r>
    </w:p>
    <w:p w14:paraId="127AB805" w14:textId="77777777" w:rsidR="00F96FCF" w:rsidRPr="00F96FCF" w:rsidRDefault="00F96FCF" w:rsidP="00F96FCF">
      <w:pPr>
        <w:spacing w:line="240" w:lineRule="auto"/>
        <w:rPr>
          <w:rFonts w:eastAsia="Times New Roman" w:cs="Arial"/>
          <w:sz w:val="24"/>
          <w:szCs w:val="24"/>
          <w:lang w:eastAsia="bg-BG"/>
        </w:rPr>
      </w:pPr>
    </w:p>
    <w:p w14:paraId="0DF85B2B" w14:textId="77777777" w:rsidR="00F96FCF" w:rsidRPr="00F96FCF" w:rsidRDefault="00F96FCF" w:rsidP="00F96FCF">
      <w:pPr>
        <w:pStyle w:val="ListParagraph"/>
        <w:numPr>
          <w:ilvl w:val="0"/>
          <w:numId w:val="36"/>
        </w:numPr>
        <w:spacing w:line="240" w:lineRule="auto"/>
        <w:rPr>
          <w:rFonts w:eastAsia="Times New Roman" w:cs="Arial"/>
          <w:color w:val="000000"/>
          <w:lang w:eastAsia="bg-BG"/>
        </w:rPr>
      </w:pPr>
      <w:r w:rsidRPr="00F96FCF">
        <w:rPr>
          <w:rFonts w:eastAsia="Times New Roman" w:cs="Arial"/>
          <w:color w:val="000000"/>
          <w:lang w:eastAsia="bg-BG"/>
        </w:rPr>
        <w:t>Пациенти в старческа възраст (възраст ≥65 години);</w:t>
      </w:r>
    </w:p>
    <w:p w14:paraId="39E01A94" w14:textId="77777777" w:rsidR="00F96FCF" w:rsidRPr="00F96FCF" w:rsidRDefault="00F96FCF" w:rsidP="00F96FCF">
      <w:pPr>
        <w:pStyle w:val="ListParagraph"/>
        <w:numPr>
          <w:ilvl w:val="0"/>
          <w:numId w:val="36"/>
        </w:numPr>
        <w:spacing w:line="240" w:lineRule="auto"/>
        <w:rPr>
          <w:rFonts w:eastAsia="Times New Roman" w:cs="Arial"/>
          <w:color w:val="000000"/>
          <w:lang w:eastAsia="bg-BG"/>
        </w:rPr>
      </w:pPr>
      <w:r w:rsidRPr="00F96FCF">
        <w:rPr>
          <w:rFonts w:eastAsia="Times New Roman" w:cs="Arial"/>
          <w:color w:val="000000"/>
          <w:lang w:eastAsia="bg-BG"/>
        </w:rPr>
        <w:t>Пациенти от женски пол;</w:t>
      </w:r>
    </w:p>
    <w:p w14:paraId="7FB18A72" w14:textId="77777777" w:rsidR="00F96FCF" w:rsidRPr="00F96FCF" w:rsidRDefault="00F96FCF" w:rsidP="00F96FCF">
      <w:pPr>
        <w:pStyle w:val="ListParagraph"/>
        <w:numPr>
          <w:ilvl w:val="0"/>
          <w:numId w:val="36"/>
        </w:numPr>
        <w:spacing w:line="240" w:lineRule="auto"/>
        <w:rPr>
          <w:rFonts w:eastAsia="Times New Roman" w:cs="Arial"/>
          <w:color w:val="000000"/>
          <w:lang w:eastAsia="bg-BG"/>
        </w:rPr>
      </w:pPr>
      <w:r w:rsidRPr="00F96FCF">
        <w:rPr>
          <w:rFonts w:eastAsia="Times New Roman" w:cs="Arial"/>
          <w:color w:val="000000"/>
          <w:lang w:eastAsia="bg-BG"/>
        </w:rPr>
        <w:t>Бъбречно увреждане;</w:t>
      </w:r>
    </w:p>
    <w:p w14:paraId="26BAFD0D" w14:textId="77777777" w:rsidR="00F96FCF" w:rsidRPr="00F96FCF" w:rsidRDefault="00F96FCF" w:rsidP="00F96FCF">
      <w:pPr>
        <w:pStyle w:val="ListParagraph"/>
        <w:numPr>
          <w:ilvl w:val="0"/>
          <w:numId w:val="36"/>
        </w:numPr>
        <w:spacing w:line="240" w:lineRule="auto"/>
        <w:rPr>
          <w:rFonts w:eastAsia="Times New Roman" w:cs="Arial"/>
          <w:color w:val="000000"/>
          <w:lang w:eastAsia="bg-BG"/>
        </w:rPr>
      </w:pPr>
      <w:r w:rsidRPr="00F96FCF">
        <w:rPr>
          <w:rFonts w:eastAsia="Times New Roman" w:cs="Arial"/>
          <w:color w:val="000000"/>
          <w:lang w:eastAsia="bg-BG"/>
        </w:rPr>
        <w:t>Неконтролиран хипотиреоидизъм;</w:t>
      </w:r>
    </w:p>
    <w:p w14:paraId="5788D1F5" w14:textId="77777777" w:rsidR="00F96FCF" w:rsidRPr="00F96FCF" w:rsidRDefault="00F96FCF" w:rsidP="00F96FCF">
      <w:pPr>
        <w:pStyle w:val="ListParagraph"/>
        <w:numPr>
          <w:ilvl w:val="0"/>
          <w:numId w:val="36"/>
        </w:numPr>
        <w:spacing w:line="240" w:lineRule="auto"/>
        <w:rPr>
          <w:rFonts w:eastAsia="Times New Roman" w:cs="Arial"/>
          <w:color w:val="000000"/>
          <w:lang w:eastAsia="bg-BG"/>
        </w:rPr>
      </w:pPr>
      <w:r w:rsidRPr="00F96FCF">
        <w:rPr>
          <w:rFonts w:eastAsia="Times New Roman" w:cs="Arial"/>
          <w:color w:val="000000"/>
          <w:lang w:eastAsia="bg-BG"/>
        </w:rPr>
        <w:t>Лична или фамилна анамнеза за наследствени заболявалия на мускулите;</w:t>
      </w:r>
    </w:p>
    <w:p w14:paraId="5BE699C6" w14:textId="77777777" w:rsidR="00F96FCF" w:rsidRPr="00F96FCF" w:rsidRDefault="00F96FCF" w:rsidP="00F96FCF">
      <w:pPr>
        <w:pStyle w:val="ListParagraph"/>
        <w:numPr>
          <w:ilvl w:val="0"/>
          <w:numId w:val="36"/>
        </w:numPr>
        <w:spacing w:line="240" w:lineRule="auto"/>
        <w:rPr>
          <w:rFonts w:eastAsia="Times New Roman" w:cs="Arial"/>
          <w:color w:val="000000"/>
          <w:lang w:eastAsia="bg-BG"/>
        </w:rPr>
      </w:pPr>
      <w:r w:rsidRPr="00F96FCF">
        <w:rPr>
          <w:rFonts w:eastAsia="Times New Roman" w:cs="Arial"/>
          <w:color w:val="000000"/>
          <w:lang w:eastAsia="bg-BG"/>
        </w:rPr>
        <w:t>Предходни прояви на мускулна токсичност от лечение със статини или фибрата;</w:t>
      </w:r>
    </w:p>
    <w:p w14:paraId="6B65CA9C" w14:textId="79520DC1" w:rsidR="00F96FCF" w:rsidRPr="00F96FCF" w:rsidRDefault="00F96FCF" w:rsidP="00F96FCF">
      <w:pPr>
        <w:pStyle w:val="ListParagraph"/>
        <w:numPr>
          <w:ilvl w:val="0"/>
          <w:numId w:val="36"/>
        </w:numPr>
        <w:spacing w:line="240" w:lineRule="auto"/>
        <w:rPr>
          <w:rFonts w:eastAsia="Times New Roman" w:cs="Arial"/>
          <w:color w:val="000000"/>
          <w:lang w:eastAsia="bg-BG"/>
        </w:rPr>
      </w:pPr>
      <w:r w:rsidRPr="00F96FCF">
        <w:rPr>
          <w:rFonts w:eastAsia="Times New Roman" w:cs="Arial"/>
          <w:color w:val="000000"/>
          <w:lang w:eastAsia="bg-BG"/>
        </w:rPr>
        <w:t>Злоупотреба с алкохол.</w:t>
      </w:r>
    </w:p>
    <w:p w14:paraId="0C1C8523" w14:textId="77777777" w:rsidR="00F96FCF" w:rsidRPr="00F96FCF" w:rsidRDefault="00F96FCF" w:rsidP="00F96FCF">
      <w:pPr>
        <w:rPr>
          <w:rFonts w:eastAsia="Times New Roman" w:cs="Arial"/>
          <w:color w:val="000000"/>
          <w:lang w:eastAsia="bg-BG"/>
        </w:rPr>
      </w:pPr>
    </w:p>
    <w:p w14:paraId="4D408981" w14:textId="74160721" w:rsidR="00F96FCF" w:rsidRPr="00F96FCF" w:rsidRDefault="00F96FCF" w:rsidP="00F96FCF">
      <w:pPr>
        <w:rPr>
          <w:rFonts w:cs="Arial"/>
        </w:rPr>
      </w:pPr>
      <w:r w:rsidRPr="00F96FCF">
        <w:rPr>
          <w:rFonts w:eastAsia="Times New Roman" w:cs="Arial"/>
          <w:color w:val="000000"/>
          <w:lang w:eastAsia="bg-BG"/>
        </w:rPr>
        <w:t>В такива ситуации трябва да се обсъди риска, свързан с провеждане на лечение спрямо възможните ползи за пациента, като се препоръчва клинично мониториране. Ако пациентът има анамнеза за мускулно заболяване по време на прием на фибрат или статии, лечение с друг представител от същия клас лекарствени продукти трябва да бъде назначавано с особено внимание. Ако нивата на СК са значително по-високи от нормалните стойности (&gt;</w:t>
      </w:r>
      <w:r w:rsidRPr="00F96FCF">
        <w:rPr>
          <w:rFonts w:eastAsia="Times New Roman" w:cs="Arial"/>
          <w:color w:val="000000"/>
          <w:lang w:val="en-US"/>
        </w:rPr>
        <w:t xml:space="preserve"> 5 </w:t>
      </w:r>
      <w:r w:rsidRPr="00F96FCF">
        <w:rPr>
          <w:rFonts w:eastAsia="Times New Roman" w:cs="Arial"/>
          <w:color w:val="000000"/>
          <w:lang w:eastAsia="bg-BG"/>
        </w:rPr>
        <w:t xml:space="preserve">над </w:t>
      </w:r>
      <w:r w:rsidRPr="00F96FCF">
        <w:rPr>
          <w:rFonts w:eastAsia="Times New Roman" w:cs="Arial"/>
          <w:color w:val="000000"/>
          <w:lang w:val="en-US"/>
        </w:rPr>
        <w:t>ULN),</w:t>
      </w:r>
      <w:r w:rsidRPr="00F96FCF">
        <w:rPr>
          <w:rFonts w:eastAsia="Times New Roman" w:cs="Arial"/>
          <w:color w:val="000000"/>
          <w:lang w:eastAsia="bg-BG"/>
        </w:rPr>
        <w:t xml:space="preserve"> подобно лечение не трябва да бъде започвано.</w:t>
      </w:r>
    </w:p>
    <w:p w14:paraId="24E3E82F" w14:textId="52F6E8D9" w:rsidR="0091385D" w:rsidRDefault="0091385D" w:rsidP="0091385D"/>
    <w:p w14:paraId="502CC3CA" w14:textId="77777777" w:rsidR="00F96FCF" w:rsidRDefault="00F96FCF" w:rsidP="00F96FCF">
      <w:r>
        <w:rPr>
          <w:u w:val="single"/>
        </w:rPr>
        <w:t>По време на лечението</w:t>
      </w:r>
    </w:p>
    <w:p w14:paraId="3D87D04D" w14:textId="77777777" w:rsidR="00F96FCF" w:rsidRDefault="00F96FCF" w:rsidP="00F96FCF"/>
    <w:p w14:paraId="605FFFA9" w14:textId="42CFEB6F" w:rsidR="00F96FCF" w:rsidRDefault="00F96FCF" w:rsidP="00F96FCF">
      <w:r>
        <w:t xml:space="preserve">Ако по време на лечение със статини се появи мускулна болка, слабост или крампи, трябва да се изследват нивата на СК на пациента. Ако се установи, че нивата са значително по-високи от нормалните (&gt; 5 над </w:t>
      </w:r>
      <w:r>
        <w:rPr>
          <w:lang w:val="en-US"/>
        </w:rPr>
        <w:t xml:space="preserve">ULN), </w:t>
      </w:r>
      <w:r>
        <w:t xml:space="preserve">при отсъствие на физическо натоварване, лечението трябва да бъде преустановено. Ако мускулните симптоми са силни и причиняват ежедневен дискомфорт, дори и нивата на СК да са под 5 х </w:t>
      </w:r>
      <w:r>
        <w:rPr>
          <w:lang w:val="en-US"/>
        </w:rPr>
        <w:t xml:space="preserve">ULN, </w:t>
      </w:r>
      <w:r>
        <w:lastRenderedPageBreak/>
        <w:t>трябва да се помисли за преустановяване на лечението. Ако има съмнения за миопатия поради други причини, лечението трябва да бъде прекратено.</w:t>
      </w:r>
    </w:p>
    <w:p w14:paraId="52C1A8B4" w14:textId="77777777" w:rsidR="00F96FCF" w:rsidRDefault="00F96FCF" w:rsidP="00F96FCF"/>
    <w:p w14:paraId="5DDFEA15" w14:textId="1E4EDEAF" w:rsidR="00F96FCF" w:rsidRDefault="00F96FCF" w:rsidP="00F96FCF">
      <w:r>
        <w:t>По време на или след лечение с някои статини е имало много редки съобщения за имуномедиирана некротизираща миопатия (ИМНМ). Клинично ИМНМ се характеризира с персистираща проксимална мускулна слабост и повишени серумни нива на креатин киназата, които персистират въпреки прекратяването на лечението със статини (вж. точка 4.8).</w:t>
      </w:r>
    </w:p>
    <w:p w14:paraId="2E92257C" w14:textId="77777777" w:rsidR="00F96FCF" w:rsidRDefault="00F96FCF" w:rsidP="00F96FCF"/>
    <w:p w14:paraId="722412D9" w14:textId="6A71E604" w:rsidR="00F96FCF" w:rsidRDefault="00F96FCF" w:rsidP="00F96FCF">
      <w:r>
        <w:t>Ако симптомите изчезнат и нивата на СК се възстановят, може да се обмисли подновяване на лечението със стотина или започване на лечение с алтернативен статии с най-ниска доза и непрекъснат мониторинг.</w:t>
      </w:r>
    </w:p>
    <w:p w14:paraId="2E3AB8F4" w14:textId="77777777" w:rsidR="00F96FCF" w:rsidRDefault="00F96FCF" w:rsidP="00F96FCF"/>
    <w:p w14:paraId="6CF40C42" w14:textId="37B4CD74" w:rsidR="00F96FCF" w:rsidRDefault="00F96FCF" w:rsidP="00F96FCF">
      <w:r>
        <w:t xml:space="preserve">По-висока честота на миопатия е наблюдавана при пациенти, титрирани с доза до 80 </w:t>
      </w:r>
      <w:r>
        <w:rPr>
          <w:lang w:val="en-US"/>
        </w:rPr>
        <w:t xml:space="preserve">mg </w:t>
      </w:r>
      <w:r>
        <w:t>(вж. точка 5.1). Периодичните измервания на СК се препоръчват, тъй като може да са полезни при определяне на субклиничните случаи на миопатия. Въпреки това не е сигурно, че такова мониториране ще предотврати миопатията.</w:t>
      </w:r>
    </w:p>
    <w:p w14:paraId="3C62E127" w14:textId="77777777" w:rsidR="00F96FCF" w:rsidRDefault="00F96FCF" w:rsidP="00F96FCF"/>
    <w:p w14:paraId="698742E0" w14:textId="1DD62C01" w:rsidR="00F96FCF" w:rsidRDefault="00F96FCF" w:rsidP="00F96FCF">
      <w:r>
        <w:t>Лечението със симвастатин трябва да бъде временно спряно няколко дни преди планова операция и ако се появи сериозна медицинска или хирургична намеса или състояние.</w:t>
      </w:r>
    </w:p>
    <w:p w14:paraId="013FA32D" w14:textId="77777777" w:rsidR="00F96FCF" w:rsidRDefault="00F96FCF" w:rsidP="00F96FCF">
      <w:pPr>
        <w:rPr>
          <w:i/>
          <w:iCs/>
        </w:rPr>
      </w:pPr>
    </w:p>
    <w:p w14:paraId="051D71CE" w14:textId="38647740" w:rsidR="00F96FCF" w:rsidRDefault="00F96FCF" w:rsidP="00F96FCF">
      <w:r>
        <w:rPr>
          <w:i/>
          <w:iCs/>
        </w:rPr>
        <w:t>Мерки за намаляване на риска от миопатия, причинена от лекарствени взаимодействия (вж. също точка 4.5)</w:t>
      </w:r>
    </w:p>
    <w:p w14:paraId="684D6CF1" w14:textId="77777777" w:rsidR="00F96FCF" w:rsidRDefault="00F96FCF" w:rsidP="00F96FCF"/>
    <w:p w14:paraId="55A3AAED" w14:textId="0163AF6C" w:rsidR="00F96FCF" w:rsidRDefault="00F96FCF" w:rsidP="00F96FCF">
      <w:r>
        <w:t xml:space="preserve">Рискът от миопатия и рабдомиолиза се повишава значително при едновременното приложение на симвастатин с мощни инхибитори на </w:t>
      </w:r>
      <w:r>
        <w:rPr>
          <w:lang w:val="en-US"/>
        </w:rPr>
        <w:t xml:space="preserve">CYP3A4 </w:t>
      </w:r>
      <w:r>
        <w:t xml:space="preserve">(като итраконазол, кетоконазол, позаконазол, вориконазол, еритромицин, кларитромицин, телитромицин, </w:t>
      </w:r>
      <w:r>
        <w:rPr>
          <w:lang w:val="en-US"/>
        </w:rPr>
        <w:t>HIV</w:t>
      </w:r>
      <w:r>
        <w:t>-протеазни инхибитори (напр. нелфинавир), боцепревир, телапревир, нефазодон, лекарствени продукти, съдържащи кобицистат), както и гемфиброзил, циклоспорин и даназол. Използването на тези лекарствени продукти е противопоказано (вж. точка 4.3).</w:t>
      </w:r>
    </w:p>
    <w:p w14:paraId="66E216BF" w14:textId="77777777" w:rsidR="00F96FCF" w:rsidRDefault="00F96FCF" w:rsidP="00F96FCF"/>
    <w:p w14:paraId="02E11DB1" w14:textId="7D59536A" w:rsidR="00F96FCF" w:rsidRDefault="00F96FCF" w:rsidP="00F96FCF">
      <w:r>
        <w:t>Рискът от миопатия и рабдомиолиза се повишава също и при едновременното приложение на амиодарон, амлодипин, верапамил или дилтиазем с определени дози симвастатин (вж. точки 4.2 и 4.5).</w:t>
      </w:r>
    </w:p>
    <w:p w14:paraId="3F22639E" w14:textId="77777777" w:rsidR="00F96FCF" w:rsidRDefault="00F96FCF" w:rsidP="00F96FCF"/>
    <w:p w14:paraId="113CCFBE" w14:textId="0A8F865D" w:rsidR="00F96FCF" w:rsidRDefault="00F96FCF" w:rsidP="00F96FCF">
      <w:r>
        <w:t>Рискът от миопатия, включително рабдомиолиза може да се повиши при едновременното приложение на фузидова киселина и статини (вж. точка 4.5). При пациенти с ХоФХ, рискът може да се повиши при едновременната употреба на ломитапид и симвастатин.</w:t>
      </w:r>
    </w:p>
    <w:p w14:paraId="372528B1" w14:textId="77777777" w:rsidR="00F96FCF" w:rsidRDefault="00F96FCF" w:rsidP="00F96FCF"/>
    <w:p w14:paraId="64FA6798" w14:textId="25548954" w:rsidR="00F96FCF" w:rsidRDefault="00F96FCF" w:rsidP="00F96FCF">
      <w:r>
        <w:t xml:space="preserve">Следователно, по отношение на </w:t>
      </w:r>
      <w:r>
        <w:rPr>
          <w:lang w:val="en-US"/>
        </w:rPr>
        <w:t xml:space="preserve">CYP3A4 </w:t>
      </w:r>
      <w:r>
        <w:t xml:space="preserve">инхибиторите, употребата на симвастатин едновременно с итраконазол, кетоконазол, позаконазол, вориконазол, </w:t>
      </w:r>
      <w:r>
        <w:rPr>
          <w:lang w:val="en-US"/>
        </w:rPr>
        <w:t>HIV</w:t>
      </w:r>
      <w:r>
        <w:t>-протеазни инхибитори (напр. нелфинавир), боцепревир, телапревир, еритромицин, кларитромицин, телитромицин, нефазодон и лекарствени продукти, които съдържат кобицистат е противопоказана (вж. точки 4.3 и 4.5).</w:t>
      </w:r>
    </w:p>
    <w:p w14:paraId="63D8B8CD" w14:textId="77777777" w:rsidR="00F96FCF" w:rsidRDefault="00F96FCF" w:rsidP="00F96FCF"/>
    <w:p w14:paraId="654F9E34" w14:textId="45635407" w:rsidR="00F96FCF" w:rsidRDefault="00F96FCF" w:rsidP="00F96FCF">
      <w:r>
        <w:t xml:space="preserve">В случай, че се налага лечение с мощни инхибитори на </w:t>
      </w:r>
      <w:r>
        <w:rPr>
          <w:lang w:val="en-US"/>
        </w:rPr>
        <w:t xml:space="preserve">CYP3A4 </w:t>
      </w:r>
      <w:r>
        <w:t xml:space="preserve">(средства, които повишават </w:t>
      </w:r>
      <w:r>
        <w:rPr>
          <w:lang w:val="en-US"/>
        </w:rPr>
        <w:t>AUC</w:t>
      </w:r>
      <w:r>
        <w:t xml:space="preserve"> приблизително 5 пъти или повече), приемът на симвастатин трябва да се преустанови (и да се  използват други алтернативи на статините) за периода на другото </w:t>
      </w:r>
      <w:r>
        <w:lastRenderedPageBreak/>
        <w:t>лечение. Освен това е необходимо повишено внимание при комбиниране на симвастатин с други не толкова мощни</w:t>
      </w:r>
      <w:r>
        <w:rPr>
          <w:lang w:val="en-US"/>
        </w:rPr>
        <w:t xml:space="preserve"> CYP3A4 </w:t>
      </w:r>
      <w:r>
        <w:t>инхибитори: флуконазол, верапамил, дилтиазем (вж. точки 4.2 и 4.5).</w:t>
      </w:r>
    </w:p>
    <w:p w14:paraId="0E9B7ADF" w14:textId="7DC566D1" w:rsidR="00F96FCF" w:rsidRDefault="00F96FCF" w:rsidP="00F96FCF"/>
    <w:p w14:paraId="2DECF478" w14:textId="77777777" w:rsidR="00F96FCF" w:rsidRDefault="00F96FCF" w:rsidP="00F96FCF">
      <w:r>
        <w:t>Консумацията на сок от грейпфрут трябва да се избягва по време на лечението със симвастатин.</w:t>
      </w:r>
    </w:p>
    <w:p w14:paraId="3A0AC063" w14:textId="77777777" w:rsidR="00F96FCF" w:rsidRDefault="00F96FCF" w:rsidP="00F96FCF"/>
    <w:p w14:paraId="766B70BD" w14:textId="3801D9BC" w:rsidR="00F96FCF" w:rsidRDefault="00F96FCF" w:rsidP="00F96FCF">
      <w:r>
        <w:t xml:space="preserve">Употребата на симвастатин с гемфиброзил е противопоказана (вж. точка 4.3). Поради повишен риск от миопатия и рабдомиолиза, дозата на симвастатин не трябва да превишава 10 </w:t>
      </w:r>
      <w:r>
        <w:rPr>
          <w:lang w:val="en-US"/>
        </w:rPr>
        <w:t xml:space="preserve">mg </w:t>
      </w:r>
      <w:r>
        <w:t>дневно при пациенти, приемащи симвастатин с други фибрата, с изключение на фенофибрат (вж. точки 4.2 и 4.5). Необходимо е повишено внимание при предписване на фенофибрат със симвастатин, тъй като всяко от тези средства може да причини миопатия, когато се прилага самостоятелно.</w:t>
      </w:r>
    </w:p>
    <w:p w14:paraId="520EC763" w14:textId="77777777" w:rsidR="00F96FCF" w:rsidRDefault="00F96FCF" w:rsidP="00F96FCF"/>
    <w:p w14:paraId="12D0F800" w14:textId="49836D8E" w:rsidR="00F96FCF" w:rsidRDefault="00F96FCF" w:rsidP="00F96FCF">
      <w:r>
        <w:t>Симвастатин не трябва да се прилага едновременно със системно-действащи форми на фузидова киселина или в рамките на седем дни след спирането на лечението с фузидова киселина. При пациенти, при които приемът на фузидова киселина се счита за съществено необходим, лечението със статини трябва да се преустанови за времето на лечение с фузидова киселина. Има съобщения за случаи на рабдомиолиза (включително и с летален изход) при пациенти, приемащи фузидова киселина и статини в комбинация (вж. точка 4.5). Пациентът трябва да бъде посъветван незабавно да потърси лекарска консултация, ако изпитва някакви симптоми на мускулна слабост, болки или чувствителност. Лечението със статини може да бъде подновено седем дни след последната доза на фузидовата киселина. При изключителни обстоятелства, например в които е необходимо продължителното системно приложение на фузидова киселина за лечение на тежки инфекции, необходимостта от едновременното приложение на симвастатин и фузидова киселина трябва да се разглежда отделно за всеки случай и под строго лекарско наблюдение.</w:t>
      </w:r>
    </w:p>
    <w:p w14:paraId="60EFF48A" w14:textId="77777777" w:rsidR="00F96FCF" w:rsidRDefault="00F96FCF" w:rsidP="00F96FCF"/>
    <w:p w14:paraId="75C6DCDB" w14:textId="1C0402E6" w:rsidR="00F96FCF" w:rsidRDefault="00F96FCF" w:rsidP="00F96FCF">
      <w:r>
        <w:t xml:space="preserve">Комбинираната употреба на симвастатин в дози по-високи от 20 </w:t>
      </w:r>
      <w:r>
        <w:rPr>
          <w:lang w:val="en-US"/>
        </w:rPr>
        <w:t xml:space="preserve">mg </w:t>
      </w:r>
      <w:r>
        <w:t xml:space="preserve">дневно с амиодарон, амлодипин, верапамил или дилтиазем трябва да се избягва. При пациенти с ХоФХ, едновременната употреба на симвастатин в дози по-големи от 40 </w:t>
      </w:r>
      <w:r>
        <w:rPr>
          <w:lang w:val="en-US"/>
        </w:rPr>
        <w:t xml:space="preserve">mg </w:t>
      </w:r>
      <w:r>
        <w:t>дневно с ломитапид е противопоказана (вж. точки 4.2, 4.3 и 4.5).</w:t>
      </w:r>
    </w:p>
    <w:p w14:paraId="422DE786" w14:textId="77777777" w:rsidR="00F96FCF" w:rsidRDefault="00F96FCF" w:rsidP="00F96FCF"/>
    <w:p w14:paraId="6913BAFD" w14:textId="70853ACE" w:rsidR="00F96FCF" w:rsidRDefault="00F96FCF" w:rsidP="00F96FCF">
      <w:r>
        <w:t xml:space="preserve">Пациентите, приемащи симвастатин (особено във високи дози) едновременно с други лекарства, за които е известно, че имат умерено инхибиращ ефект върху </w:t>
      </w:r>
      <w:r>
        <w:rPr>
          <w:lang w:val="en-US"/>
        </w:rPr>
        <w:t xml:space="preserve">CYP3A4, </w:t>
      </w:r>
      <w:r>
        <w:t xml:space="preserve">са с повишен риск от миопатия. При успоредното приложение на симвастатин с умерен инхибитор на </w:t>
      </w:r>
      <w:r>
        <w:rPr>
          <w:lang w:val="en-US"/>
        </w:rPr>
        <w:t xml:space="preserve">CYP3A4 </w:t>
      </w:r>
      <w:r>
        <w:t xml:space="preserve">(агенти, които повишават </w:t>
      </w:r>
      <w:r>
        <w:rPr>
          <w:lang w:val="en-US"/>
        </w:rPr>
        <w:t xml:space="preserve">AUC </w:t>
      </w:r>
      <w:r>
        <w:t xml:space="preserve">приблизително 2 до 5пъти), може да се наложи корекция на дозата на симвастатин. За някои умерени СУРЗА4 инхибитори, като например дилтиазем, се препоръчва максимална доза от 20 </w:t>
      </w:r>
      <w:r>
        <w:rPr>
          <w:lang w:val="en-US"/>
        </w:rPr>
        <w:t xml:space="preserve">mg </w:t>
      </w:r>
      <w:r>
        <w:t>симвастатин (вж. точка 4.2).</w:t>
      </w:r>
    </w:p>
    <w:p w14:paraId="0A62A79D" w14:textId="77777777" w:rsidR="00F96FCF" w:rsidRDefault="00F96FCF" w:rsidP="00F96FCF"/>
    <w:p w14:paraId="34F95873" w14:textId="7617CEBA" w:rsidR="00F96FCF" w:rsidRDefault="00F96FCF" w:rsidP="00F96FCF">
      <w:r>
        <w:t xml:space="preserve">Симвастатин е субстрат на ефлуксния транспортер на протеина на резистентност на рака на гърдата </w:t>
      </w:r>
      <w:r>
        <w:rPr>
          <w:lang w:val="en-US"/>
        </w:rPr>
        <w:t xml:space="preserve">(Breast Cancer Resistant Protein, BCRP). </w:t>
      </w:r>
      <w:r>
        <w:t xml:space="preserve">Едновременно приложение на продукта, които са инхибитори на </w:t>
      </w:r>
      <w:r>
        <w:rPr>
          <w:lang w:val="en-US"/>
        </w:rPr>
        <w:t xml:space="preserve">BCRP </w:t>
      </w:r>
      <w:r>
        <w:t xml:space="preserve">(напр. елбасвир и гразопревир), може да доведе до повишени плазмени концентрации на симвастатин и повишен риск от миопатия; следователно трябва да се обмисли коригиране на дозата симвастатин в зависимост от предписаната доза. Едновременното приложение на елбасвир и гразопревир със </w:t>
      </w:r>
      <w:r>
        <w:lastRenderedPageBreak/>
        <w:t xml:space="preserve">симвастатин не е проучено; все пак </w:t>
      </w:r>
      <w:r>
        <w:rPr>
          <w:b/>
          <w:bCs/>
        </w:rPr>
        <w:t xml:space="preserve">дозата на симвастатин не трябва да надвишава 20 </w:t>
      </w:r>
      <w:r>
        <w:rPr>
          <w:b/>
          <w:bCs/>
          <w:lang w:val="en-US"/>
        </w:rPr>
        <w:t xml:space="preserve">mg </w:t>
      </w:r>
      <w:r>
        <w:rPr>
          <w:b/>
          <w:bCs/>
        </w:rPr>
        <w:t xml:space="preserve">дневно при пациенти, получаващи съпътстващо лечение с продукти, съдържащи елбасвир или гразопревир </w:t>
      </w:r>
      <w:r>
        <w:t>(вж. точка 4.5).</w:t>
      </w:r>
    </w:p>
    <w:p w14:paraId="1FA6FF17" w14:textId="77777777" w:rsidR="00F96FCF" w:rsidRDefault="00F96FCF" w:rsidP="00F96FCF"/>
    <w:p w14:paraId="5CC2F3C4" w14:textId="2F8515ED" w:rsidR="00F96FCF" w:rsidRDefault="00F96FCF" w:rsidP="00F96FCF">
      <w:r>
        <w:t xml:space="preserve">Редки случаи на миопатия/рабдомиолиза са били асоциирани с едновременното приложение на </w:t>
      </w:r>
      <w:r>
        <w:rPr>
          <w:lang w:val="en-US"/>
        </w:rPr>
        <w:t xml:space="preserve">HMG-CoA </w:t>
      </w:r>
      <w:r>
        <w:t xml:space="preserve">редуктазни инхибитори и ниацин (никотинова киселина) в липидомодифициращи дози (≥ 1 </w:t>
      </w:r>
      <w:r>
        <w:rPr>
          <w:lang w:val="en-US"/>
        </w:rPr>
        <w:t>g</w:t>
      </w:r>
      <w:r>
        <w:t>/дневно), всеки един от които може да причини миопатия, когато се прилага самостоятелно.</w:t>
      </w:r>
    </w:p>
    <w:p w14:paraId="704C05BD" w14:textId="77777777" w:rsidR="00F96FCF" w:rsidRDefault="00F96FCF" w:rsidP="00F96FCF"/>
    <w:p w14:paraId="3A6C8D38" w14:textId="6926537A" w:rsidR="001E796D" w:rsidRPr="001E796D" w:rsidRDefault="00F96FCF" w:rsidP="001E796D">
      <w:pPr>
        <w:spacing w:line="240" w:lineRule="auto"/>
        <w:rPr>
          <w:rFonts w:eastAsia="Times New Roman" w:cs="Arial"/>
          <w:sz w:val="24"/>
          <w:szCs w:val="24"/>
          <w:lang w:eastAsia="bg-BG"/>
        </w:rPr>
      </w:pPr>
      <w:r>
        <w:t xml:space="preserve">В клинично изпитване (медиана на проследяването 3,9 години), включващо пациенти с висок риск за сърдечно-съдово заболяване и с добре контролирани нива на </w:t>
      </w:r>
      <w:r>
        <w:rPr>
          <w:lang w:val="en-US"/>
        </w:rPr>
        <w:t xml:space="preserve">LDL-C, </w:t>
      </w:r>
      <w:r>
        <w:t xml:space="preserve">лекувани със симвастатин 40 </w:t>
      </w:r>
      <w:r>
        <w:rPr>
          <w:lang w:val="en-US"/>
        </w:rPr>
        <w:t xml:space="preserve">mg </w:t>
      </w:r>
      <w:r>
        <w:t xml:space="preserve">дневно със или без езетимиб 10 </w:t>
      </w:r>
      <w:r>
        <w:rPr>
          <w:lang w:val="en-US"/>
        </w:rPr>
        <w:t xml:space="preserve">mg, </w:t>
      </w:r>
      <w:r>
        <w:t>не е имало допълнителна полза върх</w:t>
      </w:r>
      <w:r w:rsidRPr="001E796D">
        <w:t>у сър</w:t>
      </w:r>
      <w:r>
        <w:t>дечно- съдовите резултати при добавянето на ниацин (никотинова кисели</w:t>
      </w:r>
      <w:r w:rsidR="001E796D">
        <w:t>на) в липидомодифициращи дози (≥</w:t>
      </w:r>
      <w:r w:rsidR="001E796D">
        <w:rPr>
          <w:lang w:val="en-US"/>
        </w:rPr>
        <w:t xml:space="preserve"> </w:t>
      </w:r>
      <w:r>
        <w:t xml:space="preserve">1 </w:t>
      </w:r>
      <w:r>
        <w:rPr>
          <w:lang w:val="en-US"/>
        </w:rPr>
        <w:t>g</w:t>
      </w:r>
      <w:r>
        <w:t>/дневно). Следователно, лекарите, които планират комбинирана терапия със симвастатин и ниацин (никотинова киселина) в липидо-модифициращи дози (≥</w:t>
      </w:r>
      <w:r>
        <w:rPr>
          <w:lang w:val="en-US"/>
        </w:rPr>
        <w:t xml:space="preserve"> 1 g/</w:t>
      </w:r>
      <w:r>
        <w:t>дневно)</w:t>
      </w:r>
      <w:r>
        <w:rPr>
          <w:lang w:val="en-US"/>
        </w:rPr>
        <w:t xml:space="preserve"> </w:t>
      </w:r>
      <w:r>
        <w:t xml:space="preserve">или продукти, които съдържат ниацин, трябва внимателно да оценят потенциалните ползи и рискове и </w:t>
      </w:r>
      <w:r>
        <w:rPr>
          <w:lang w:val="en-US"/>
        </w:rPr>
        <w:t xml:space="preserve"> </w:t>
      </w:r>
      <w:r>
        <w:t>внимателно да проследяват пациентите за признаци или симптоми на мускулна болка</w:t>
      </w:r>
      <w:r w:rsidR="001E796D">
        <w:rPr>
          <w:lang w:val="en-US"/>
        </w:rPr>
        <w:t xml:space="preserve">, </w:t>
      </w:r>
      <w:r w:rsidR="001E796D" w:rsidRPr="001E796D">
        <w:rPr>
          <w:rFonts w:eastAsia="Times New Roman" w:cs="Arial"/>
          <w:color w:val="000000"/>
          <w:lang w:eastAsia="bg-BG"/>
        </w:rPr>
        <w:t>болезненост или слабост, особено по време на първите месеци от терапията и когато дозата на някой от лекарствените продукти се повишава.</w:t>
      </w:r>
    </w:p>
    <w:p w14:paraId="71727CA6" w14:textId="77777777" w:rsidR="001E796D" w:rsidRPr="001E796D" w:rsidRDefault="001E796D" w:rsidP="001E796D">
      <w:pPr>
        <w:spacing w:line="240" w:lineRule="auto"/>
        <w:rPr>
          <w:rFonts w:eastAsia="Times New Roman" w:cs="Arial"/>
          <w:color w:val="000000"/>
          <w:lang w:eastAsia="bg-BG"/>
        </w:rPr>
      </w:pPr>
    </w:p>
    <w:p w14:paraId="5024EE4E" w14:textId="7777777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 xml:space="preserve">Освен това, честотата на миопатия в това изпитване е приблизително 0,24% при китайци, лекувани със симвастатин 40 </w:t>
      </w:r>
      <w:r w:rsidRPr="001E796D">
        <w:rPr>
          <w:rFonts w:eastAsia="Times New Roman" w:cs="Arial"/>
          <w:color w:val="000000"/>
          <w:lang w:val="en-US"/>
        </w:rPr>
        <w:t xml:space="preserve">mg </w:t>
      </w:r>
      <w:r w:rsidRPr="001E796D">
        <w:rPr>
          <w:rFonts w:eastAsia="Times New Roman" w:cs="Arial"/>
          <w:color w:val="000000"/>
          <w:lang w:eastAsia="bg-BG"/>
        </w:rPr>
        <w:t xml:space="preserve">или с езетимиб/симвастатин 10 </w:t>
      </w:r>
      <w:r w:rsidRPr="001E796D">
        <w:rPr>
          <w:rFonts w:eastAsia="Times New Roman" w:cs="Arial"/>
          <w:color w:val="000000"/>
          <w:lang w:val="en-US"/>
        </w:rPr>
        <w:t xml:space="preserve">mg/40 mg, </w:t>
      </w:r>
      <w:r w:rsidRPr="001E796D">
        <w:rPr>
          <w:rFonts w:eastAsia="Times New Roman" w:cs="Arial"/>
          <w:color w:val="000000"/>
          <w:lang w:eastAsia="bg-BG"/>
        </w:rPr>
        <w:t xml:space="preserve">сравнено с 1,24% при китайци, лекувани със симвастатин 40 </w:t>
      </w:r>
      <w:r w:rsidRPr="001E796D">
        <w:rPr>
          <w:rFonts w:eastAsia="Times New Roman" w:cs="Arial"/>
          <w:color w:val="000000"/>
          <w:lang w:val="en-US"/>
        </w:rPr>
        <w:t xml:space="preserve">mg </w:t>
      </w:r>
      <w:r w:rsidRPr="001E796D">
        <w:rPr>
          <w:rFonts w:eastAsia="Times New Roman" w:cs="Arial"/>
          <w:color w:val="000000"/>
          <w:lang w:eastAsia="bg-BG"/>
        </w:rPr>
        <w:t xml:space="preserve">или с езетимиб/симвастатин 10 </w:t>
      </w:r>
      <w:r w:rsidRPr="001E796D">
        <w:rPr>
          <w:rFonts w:eastAsia="Times New Roman" w:cs="Arial"/>
          <w:color w:val="000000"/>
          <w:lang w:val="en-US"/>
        </w:rPr>
        <w:t xml:space="preserve">mg/40 mg, </w:t>
      </w:r>
      <w:r w:rsidRPr="001E796D">
        <w:rPr>
          <w:rFonts w:eastAsia="Times New Roman" w:cs="Arial"/>
          <w:color w:val="000000"/>
          <w:lang w:eastAsia="bg-BG"/>
        </w:rPr>
        <w:t xml:space="preserve">на които е приложено едновременно никотинова киселина/ларопипрант 2000 </w:t>
      </w:r>
      <w:r w:rsidRPr="001E796D">
        <w:rPr>
          <w:rFonts w:eastAsia="Times New Roman" w:cs="Arial"/>
          <w:color w:val="000000"/>
          <w:lang w:val="en-US"/>
        </w:rPr>
        <w:t xml:space="preserve">mg/40 mg </w:t>
      </w:r>
      <w:r w:rsidRPr="001E796D">
        <w:rPr>
          <w:rFonts w:eastAsia="Times New Roman" w:cs="Arial"/>
          <w:color w:val="000000"/>
          <w:lang w:eastAsia="bg-BG"/>
        </w:rPr>
        <w:t xml:space="preserve">с удължено освобождаване. Въпреки че в това клинично изпитване от азиатското население са оценени само китайци, тъй като честотата на миопатия е по-висока при китайци, отколкото при некитайци, едновременното приложение на симвастатин с липидопонижаващи дози (≥1 </w:t>
      </w:r>
      <w:r w:rsidRPr="001E796D">
        <w:rPr>
          <w:rFonts w:eastAsia="Times New Roman" w:cs="Arial"/>
          <w:color w:val="000000"/>
          <w:lang w:val="en-US"/>
        </w:rPr>
        <w:t>g</w:t>
      </w:r>
      <w:r w:rsidRPr="001E796D">
        <w:rPr>
          <w:rFonts w:eastAsia="Times New Roman" w:cs="Arial"/>
          <w:color w:val="000000"/>
          <w:lang w:eastAsia="bg-BG"/>
        </w:rPr>
        <w:t>/ден) ниацин (никотинова киселина) не се препоръчва при азиатци.</w:t>
      </w:r>
    </w:p>
    <w:p w14:paraId="33D705DF" w14:textId="77777777" w:rsidR="001E796D" w:rsidRPr="001E796D" w:rsidRDefault="001E796D" w:rsidP="001E796D">
      <w:pPr>
        <w:spacing w:line="240" w:lineRule="auto"/>
        <w:rPr>
          <w:rFonts w:eastAsia="Times New Roman" w:cs="Arial"/>
          <w:color w:val="000000"/>
          <w:lang w:eastAsia="bg-BG"/>
        </w:rPr>
      </w:pPr>
    </w:p>
    <w:p w14:paraId="5B090630" w14:textId="7777777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Активното вещество аципимокс е структурно свързано с ниацин. Въпреки че аципимокс не е проучван, рискът от мускулна токсичност може да бъде сходен с този при ниацин;</w:t>
      </w:r>
    </w:p>
    <w:p w14:paraId="043F58E6" w14:textId="77777777" w:rsidR="001E796D" w:rsidRPr="001E796D" w:rsidRDefault="001E796D" w:rsidP="001E796D">
      <w:pPr>
        <w:spacing w:line="240" w:lineRule="auto"/>
        <w:rPr>
          <w:rFonts w:eastAsia="Times New Roman" w:cs="Arial"/>
          <w:color w:val="000000"/>
          <w:u w:val="single"/>
          <w:lang w:eastAsia="bg-BG"/>
        </w:rPr>
      </w:pPr>
    </w:p>
    <w:p w14:paraId="0D4233E5" w14:textId="7777777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u w:val="single"/>
          <w:lang w:eastAsia="bg-BG"/>
        </w:rPr>
        <w:t>Даптомипин</w:t>
      </w:r>
    </w:p>
    <w:p w14:paraId="3FCD7E7B" w14:textId="7777777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 xml:space="preserve">Съобщавани са случаи на миопатия и/или рабдомиолиза при </w:t>
      </w:r>
      <w:r w:rsidRPr="001E796D">
        <w:rPr>
          <w:rFonts w:eastAsia="Times New Roman" w:cs="Arial"/>
          <w:color w:val="000000"/>
          <w:lang w:val="en-US"/>
        </w:rPr>
        <w:t xml:space="preserve">HMG-CoA </w:t>
      </w:r>
      <w:r w:rsidRPr="001E796D">
        <w:rPr>
          <w:rFonts w:eastAsia="Times New Roman" w:cs="Arial"/>
          <w:color w:val="000000"/>
          <w:lang w:eastAsia="bg-BG"/>
        </w:rPr>
        <w:t xml:space="preserve">редуктазни инхибитори (напр. симвастатин) едновременно прилагани с даптомицин. Необходимо е повишено внимание, когато се предписват </w:t>
      </w:r>
      <w:r w:rsidRPr="001E796D">
        <w:rPr>
          <w:rFonts w:eastAsia="Times New Roman" w:cs="Arial"/>
          <w:color w:val="000000"/>
          <w:lang w:val="en-US"/>
        </w:rPr>
        <w:t xml:space="preserve">HMG-CoA </w:t>
      </w:r>
      <w:r w:rsidRPr="001E796D">
        <w:rPr>
          <w:rFonts w:eastAsia="Times New Roman" w:cs="Arial"/>
          <w:color w:val="000000"/>
          <w:lang w:eastAsia="bg-BG"/>
        </w:rPr>
        <w:t xml:space="preserve">редуктазни инхибитори в комбинация с даптомицин, тъй като всеки от тях може да причини миопатия и/или рабдомиолиза, когато се прилагат самостоятелно. Трябва да се обмисли временно спиране на симвастатин при пациенти, приемащи даптомицин, освен ако ползите от едновременното приложение не надхвърлят риска. Консултирайте се с информацията за предписване на даптомицин, за да получите допълнителна информация за това потенциално взаимодействие с </w:t>
      </w:r>
      <w:r w:rsidRPr="001E796D">
        <w:rPr>
          <w:rFonts w:eastAsia="Times New Roman" w:cs="Arial"/>
          <w:color w:val="000000"/>
          <w:lang w:val="en-US"/>
        </w:rPr>
        <w:t xml:space="preserve">HMG-CoA </w:t>
      </w:r>
      <w:r w:rsidRPr="001E796D">
        <w:rPr>
          <w:rFonts w:eastAsia="Times New Roman" w:cs="Arial"/>
          <w:color w:val="000000"/>
          <w:lang w:eastAsia="bg-BG"/>
        </w:rPr>
        <w:t>редуктазни инхибитори (напр. симвастатин) и за допълнителни указания, свързани с мониторирането (вижте точка 4.5).</w:t>
      </w:r>
    </w:p>
    <w:p w14:paraId="497A078E" w14:textId="77777777" w:rsidR="001E796D" w:rsidRPr="001E796D" w:rsidRDefault="001E796D" w:rsidP="001E796D">
      <w:pPr>
        <w:spacing w:line="240" w:lineRule="auto"/>
        <w:rPr>
          <w:rFonts w:eastAsia="Times New Roman" w:cs="Arial"/>
          <w:color w:val="000000"/>
          <w:u w:val="single"/>
          <w:lang w:eastAsia="bg-BG"/>
        </w:rPr>
      </w:pPr>
    </w:p>
    <w:p w14:paraId="6980A860" w14:textId="7777777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u w:val="single"/>
          <w:lang w:eastAsia="bg-BG"/>
        </w:rPr>
        <w:t>Чернодробни ефекти</w:t>
      </w:r>
    </w:p>
    <w:p w14:paraId="07C86A42" w14:textId="77777777" w:rsidR="001E796D" w:rsidRPr="001E796D" w:rsidRDefault="001E796D" w:rsidP="001E796D">
      <w:pPr>
        <w:spacing w:line="240" w:lineRule="auto"/>
        <w:rPr>
          <w:rFonts w:eastAsia="Times New Roman" w:cs="Arial"/>
          <w:sz w:val="24"/>
          <w:szCs w:val="24"/>
          <w:lang w:eastAsia="bg-BG"/>
        </w:rPr>
      </w:pPr>
    </w:p>
    <w:p w14:paraId="2EA1115D" w14:textId="7777777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 xml:space="preserve">В клинични проучвания при няколко възрастни пациенти, приемащи симвастатин, са наблюдавани постоянно повишени нива на серумните трансаминази (до &gt; 3 х </w:t>
      </w:r>
      <w:r w:rsidRPr="001E796D">
        <w:rPr>
          <w:rFonts w:eastAsia="Times New Roman" w:cs="Arial"/>
          <w:color w:val="000000"/>
          <w:lang w:val="en-US"/>
        </w:rPr>
        <w:t xml:space="preserve">ULN). </w:t>
      </w:r>
      <w:r w:rsidRPr="001E796D">
        <w:rPr>
          <w:rFonts w:eastAsia="Times New Roman" w:cs="Arial"/>
          <w:color w:val="000000"/>
          <w:lang w:eastAsia="bg-BG"/>
        </w:rPr>
        <w:t xml:space="preserve">При </w:t>
      </w:r>
      <w:r w:rsidRPr="001E796D">
        <w:rPr>
          <w:rFonts w:eastAsia="Times New Roman" w:cs="Arial"/>
          <w:color w:val="000000"/>
          <w:lang w:eastAsia="bg-BG"/>
        </w:rPr>
        <w:lastRenderedPageBreak/>
        <w:t>спиране или преустановяване на лечението със симвастатин нивата на серумните трансаминази обикновено бавно са се понижавали до изходните стойности.</w:t>
      </w:r>
    </w:p>
    <w:p w14:paraId="7423D6C7" w14:textId="77777777" w:rsidR="001E796D" w:rsidRPr="001E796D" w:rsidRDefault="001E796D" w:rsidP="001E796D">
      <w:pPr>
        <w:spacing w:line="240" w:lineRule="auto"/>
        <w:rPr>
          <w:rFonts w:eastAsia="Times New Roman" w:cs="Arial"/>
          <w:color w:val="000000"/>
          <w:lang w:eastAsia="bg-BG"/>
        </w:rPr>
      </w:pPr>
    </w:p>
    <w:p w14:paraId="1DF380C3" w14:textId="7777777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 xml:space="preserve">Преди започване на лечението и след това се препоръчва изследване на чернодробната функция и особено когато е клинично показано. При пациенти, които приемат дози до 80 </w:t>
      </w:r>
      <w:r w:rsidRPr="001E796D">
        <w:rPr>
          <w:rFonts w:eastAsia="Times New Roman" w:cs="Arial"/>
          <w:color w:val="000000"/>
          <w:lang w:val="en-US"/>
        </w:rPr>
        <w:t xml:space="preserve">mg </w:t>
      </w:r>
      <w:r w:rsidRPr="001E796D">
        <w:rPr>
          <w:rFonts w:eastAsia="Times New Roman" w:cs="Arial"/>
          <w:color w:val="000000"/>
          <w:lang w:eastAsia="bg-BG"/>
        </w:rPr>
        <w:t xml:space="preserve">трябва да се провеждат допълнителни изследвания преди титриране на дозата, 3 месеца след титриране на дозата до 80 </w:t>
      </w:r>
      <w:r w:rsidRPr="001E796D">
        <w:rPr>
          <w:rFonts w:eastAsia="Times New Roman" w:cs="Arial"/>
          <w:color w:val="000000"/>
          <w:lang w:val="en-US"/>
        </w:rPr>
        <w:t xml:space="preserve">mg, </w:t>
      </w:r>
      <w:r w:rsidRPr="001E796D">
        <w:rPr>
          <w:rFonts w:eastAsia="Times New Roman" w:cs="Arial"/>
          <w:color w:val="000000"/>
          <w:lang w:eastAsia="bg-BG"/>
        </w:rPr>
        <w:t xml:space="preserve">и периодично след това (напр. веднъж на половин година) през първата година от лечението. Специално внимание трябва да се обърне на пациентите, при които нивата на серумните трансаминази се повишават, като при тях измерването трябва да се повтори веднага и да се провежда по-често. Ако се наблюдава тенденция за повишаване на нивата на серумните трансаминази и особено, ако повишението им е повече от три пъти над горната граница на </w:t>
      </w:r>
      <w:r w:rsidRPr="001E796D">
        <w:rPr>
          <w:rFonts w:eastAsia="Times New Roman" w:cs="Arial"/>
          <w:color w:val="000000"/>
          <w:lang w:val="en-US"/>
        </w:rPr>
        <w:t xml:space="preserve">ULN </w:t>
      </w:r>
      <w:r w:rsidRPr="001E796D">
        <w:rPr>
          <w:rFonts w:eastAsia="Times New Roman" w:cs="Arial"/>
          <w:color w:val="000000"/>
          <w:lang w:eastAsia="bg-BG"/>
        </w:rPr>
        <w:t xml:space="preserve">и е трайно, лечението със симвастатин трябва да бъде преустановено. Следва да се има предвид, че </w:t>
      </w:r>
      <w:r w:rsidRPr="001E796D">
        <w:rPr>
          <w:rFonts w:eastAsia="Times New Roman" w:cs="Arial"/>
          <w:color w:val="000000"/>
          <w:lang w:val="en-US"/>
        </w:rPr>
        <w:t xml:space="preserve">ALT </w:t>
      </w:r>
      <w:r w:rsidRPr="001E796D">
        <w:rPr>
          <w:rFonts w:eastAsia="Times New Roman" w:cs="Arial"/>
          <w:color w:val="000000"/>
          <w:lang w:eastAsia="bg-BG"/>
        </w:rPr>
        <w:t xml:space="preserve">има мускулен произход, следователно увеличаването на </w:t>
      </w:r>
      <w:r w:rsidRPr="001E796D">
        <w:rPr>
          <w:rFonts w:eastAsia="Times New Roman" w:cs="Arial"/>
          <w:color w:val="000000"/>
          <w:lang w:val="en-US"/>
        </w:rPr>
        <w:t xml:space="preserve">ALT </w:t>
      </w:r>
      <w:r w:rsidRPr="001E796D">
        <w:rPr>
          <w:rFonts w:eastAsia="Times New Roman" w:cs="Arial"/>
          <w:color w:val="000000"/>
          <w:lang w:eastAsia="bg-BG"/>
        </w:rPr>
        <w:t xml:space="preserve">с креатинкиназата може да бъде индикация за миопатия (вж. по-горе </w:t>
      </w:r>
      <w:r w:rsidRPr="001E796D">
        <w:rPr>
          <w:rFonts w:eastAsia="Times New Roman" w:cs="Arial"/>
          <w:i/>
          <w:iCs/>
          <w:color w:val="000000"/>
          <w:lang w:eastAsia="bg-BG"/>
        </w:rPr>
        <w:t>,,Миопатия/Рабдомиолиза</w:t>
      </w:r>
      <w:r w:rsidRPr="001E796D">
        <w:rPr>
          <w:rFonts w:eastAsia="Times New Roman" w:cs="Arial"/>
          <w:i/>
          <w:iCs/>
          <w:color w:val="000000"/>
          <w:vertAlign w:val="superscript"/>
          <w:lang w:eastAsia="bg-BG"/>
        </w:rPr>
        <w:t>,г</w:t>
      </w:r>
      <w:r w:rsidRPr="001E796D">
        <w:rPr>
          <w:rFonts w:eastAsia="Times New Roman" w:cs="Arial"/>
          <w:i/>
          <w:iCs/>
          <w:color w:val="000000"/>
          <w:lang w:eastAsia="bg-BG"/>
        </w:rPr>
        <w:t>).</w:t>
      </w:r>
    </w:p>
    <w:p w14:paraId="219F850B" w14:textId="77777777" w:rsidR="001E796D" w:rsidRPr="001E796D" w:rsidRDefault="001E796D" w:rsidP="001E796D">
      <w:pPr>
        <w:spacing w:line="240" w:lineRule="auto"/>
        <w:rPr>
          <w:rFonts w:eastAsia="Times New Roman" w:cs="Arial"/>
          <w:color w:val="000000"/>
          <w:lang w:eastAsia="bg-BG"/>
        </w:rPr>
      </w:pPr>
    </w:p>
    <w:p w14:paraId="7FBFC66B" w14:textId="7777777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Има редки пост-маркетингови съобщения за фатална и нефатална чернодробна недостатъчност при пациенти, приемащи статини, включително симвастатин. По време на лечението със симвастатин, ако увреждането на черния дроб е сериозно с клинични симптоми на хипербилирубинемия и/или жълтеница, незабавно прекъснете лечението. Дори ако не се открие друга етиологията, не започвайте отново лечение със симвастатин.</w:t>
      </w:r>
    </w:p>
    <w:p w14:paraId="7B2BE563" w14:textId="77777777" w:rsidR="001E796D" w:rsidRPr="001E796D" w:rsidRDefault="001E796D" w:rsidP="001E796D">
      <w:pPr>
        <w:rPr>
          <w:rFonts w:eastAsia="Times New Roman" w:cs="Arial"/>
          <w:color w:val="000000"/>
          <w:lang w:eastAsia="bg-BG"/>
        </w:rPr>
      </w:pPr>
    </w:p>
    <w:p w14:paraId="5E0C042B" w14:textId="15FD3AC8" w:rsidR="001E796D" w:rsidRDefault="001E796D" w:rsidP="001E796D">
      <w:pPr>
        <w:rPr>
          <w:rFonts w:eastAsia="Times New Roman" w:cs="Arial"/>
          <w:color w:val="000000"/>
          <w:lang w:eastAsia="bg-BG"/>
        </w:rPr>
      </w:pPr>
      <w:r w:rsidRPr="001E796D">
        <w:rPr>
          <w:rFonts w:eastAsia="Times New Roman" w:cs="Arial"/>
          <w:color w:val="000000"/>
          <w:lang w:eastAsia="bg-BG"/>
        </w:rPr>
        <w:t>Продуктът трябва да се назначава с внимание при пациенти, които консумират значителни количества алкохол.</w:t>
      </w:r>
    </w:p>
    <w:p w14:paraId="2EC4D62F" w14:textId="5059A682" w:rsidR="001E796D" w:rsidRDefault="001E796D" w:rsidP="001E796D">
      <w:pPr>
        <w:rPr>
          <w:rFonts w:eastAsia="Times New Roman" w:cs="Arial"/>
          <w:color w:val="000000"/>
          <w:lang w:eastAsia="bg-BG"/>
        </w:rPr>
      </w:pPr>
    </w:p>
    <w:p w14:paraId="1ED71869" w14:textId="7777777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 xml:space="preserve">Както и при други липидо-понижаващи средства и при лечение със симвастатин има съобщения за умерено повишаване на серумните трансаминази (&lt; 3 х </w:t>
      </w:r>
      <w:r w:rsidRPr="001E796D">
        <w:rPr>
          <w:rFonts w:eastAsia="Times New Roman" w:cs="Arial"/>
          <w:color w:val="000000"/>
          <w:lang w:val="en-US"/>
        </w:rPr>
        <w:t xml:space="preserve">ULN). </w:t>
      </w:r>
      <w:r w:rsidRPr="001E796D">
        <w:rPr>
          <w:rFonts w:eastAsia="Times New Roman" w:cs="Arial"/>
          <w:color w:val="000000"/>
          <w:lang w:eastAsia="bg-BG"/>
        </w:rPr>
        <w:t>Тези промени са възниквали скоро след започване на терапия със симвастатин често са били преходни, не са били придружавани от клинични прояви и не са изисквали прекъсване на лечението.</w:t>
      </w:r>
    </w:p>
    <w:p w14:paraId="0206216B" w14:textId="77777777" w:rsidR="001E796D" w:rsidRPr="001E796D" w:rsidRDefault="001E796D" w:rsidP="001E796D">
      <w:pPr>
        <w:spacing w:line="240" w:lineRule="auto"/>
        <w:rPr>
          <w:rFonts w:eastAsia="Times New Roman" w:cs="Arial"/>
          <w:color w:val="000000"/>
          <w:u w:val="single"/>
          <w:lang w:eastAsia="bg-BG"/>
        </w:rPr>
      </w:pPr>
    </w:p>
    <w:p w14:paraId="3CD03781" w14:textId="05E374D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u w:val="single"/>
          <w:lang w:eastAsia="bg-BG"/>
        </w:rPr>
        <w:t>Захарен диабет</w:t>
      </w:r>
    </w:p>
    <w:p w14:paraId="1AEE3505" w14:textId="7777777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 xml:space="preserve">Някои данни показват, че статините като клас повишават кръвната глюкоза и при някои пациенти, изложени на висок риск от развитие на диабет, могат да доведат до ниво на хипергликемия, при което е подходящо да се приложи антидиабетно лечение. Този риск обаче се компенсира от намаляване на съдовия риск със статини и затова не трябва да бъде причина за спиране на лечението със статини. Пациентите в риск (глюкоза на гладно от 5,6 до 6,9 </w:t>
      </w:r>
      <w:proofErr w:type="spellStart"/>
      <w:r w:rsidRPr="001E796D">
        <w:rPr>
          <w:rFonts w:eastAsia="Times New Roman" w:cs="Arial"/>
          <w:color w:val="000000"/>
          <w:lang w:val="en-US"/>
        </w:rPr>
        <w:t>mmol</w:t>
      </w:r>
      <w:proofErr w:type="spellEnd"/>
      <w:r w:rsidRPr="001E796D">
        <w:rPr>
          <w:rFonts w:eastAsia="Times New Roman" w:cs="Arial"/>
          <w:color w:val="000000"/>
          <w:lang w:val="en-US"/>
        </w:rPr>
        <w:t xml:space="preserve">/L, </w:t>
      </w:r>
      <w:r w:rsidRPr="001E796D">
        <w:rPr>
          <w:rFonts w:eastAsia="Times New Roman" w:cs="Arial"/>
          <w:color w:val="000000"/>
          <w:lang w:eastAsia="bg-BG"/>
        </w:rPr>
        <w:t xml:space="preserve">ИТМ&gt; </w:t>
      </w:r>
      <w:r w:rsidRPr="001E796D">
        <w:rPr>
          <w:rFonts w:eastAsia="Times New Roman" w:cs="Arial"/>
          <w:color w:val="000000"/>
          <w:lang w:val="en-US"/>
        </w:rPr>
        <w:t>30</w:t>
      </w:r>
      <w:r w:rsidRPr="001E796D">
        <w:rPr>
          <w:rFonts w:eastAsia="Times New Roman" w:cs="Arial"/>
          <w:color w:val="000000"/>
          <w:lang w:eastAsia="bg-BG"/>
        </w:rPr>
        <w:t xml:space="preserve"> </w:t>
      </w:r>
      <w:r w:rsidRPr="001E796D">
        <w:rPr>
          <w:rFonts w:eastAsia="Times New Roman" w:cs="Arial"/>
          <w:color w:val="000000"/>
          <w:lang w:val="en-US"/>
        </w:rPr>
        <w:t>kg/m</w:t>
      </w:r>
      <w:r w:rsidRPr="001E796D">
        <w:rPr>
          <w:rFonts w:eastAsia="Times New Roman" w:cs="Arial"/>
          <w:color w:val="000000"/>
          <w:vertAlign w:val="superscript"/>
          <w:lang w:val="en-US"/>
        </w:rPr>
        <w:t>2</w:t>
      </w:r>
      <w:r w:rsidRPr="001E796D">
        <w:rPr>
          <w:rFonts w:eastAsia="Times New Roman" w:cs="Arial"/>
          <w:color w:val="000000"/>
          <w:lang w:val="en-US"/>
        </w:rPr>
        <w:t xml:space="preserve">, </w:t>
      </w:r>
      <w:r w:rsidRPr="001E796D">
        <w:rPr>
          <w:rFonts w:eastAsia="Times New Roman" w:cs="Arial"/>
          <w:color w:val="000000"/>
          <w:lang w:eastAsia="bg-BG"/>
        </w:rPr>
        <w:t>повишени триглицериди, хипертония), трябва да бъдат клинично и биохимично проследявани в съответствие с националните ръководства.</w:t>
      </w:r>
    </w:p>
    <w:p w14:paraId="74B93BD7" w14:textId="77777777" w:rsidR="001E796D" w:rsidRPr="001E796D" w:rsidRDefault="001E796D" w:rsidP="001E796D">
      <w:pPr>
        <w:spacing w:line="240" w:lineRule="auto"/>
        <w:rPr>
          <w:rFonts w:eastAsia="Times New Roman" w:cs="Arial"/>
          <w:color w:val="000000"/>
          <w:u w:val="single"/>
          <w:lang w:eastAsia="bg-BG"/>
        </w:rPr>
      </w:pPr>
    </w:p>
    <w:p w14:paraId="3F74BC89" w14:textId="403CBA06"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u w:val="single"/>
          <w:lang w:eastAsia="bg-BG"/>
        </w:rPr>
        <w:t>Интерстициална белодробна болест</w:t>
      </w:r>
    </w:p>
    <w:p w14:paraId="19A6AC8A" w14:textId="77777777" w:rsidR="001E796D" w:rsidRPr="001E796D" w:rsidRDefault="001E796D" w:rsidP="001E796D">
      <w:pPr>
        <w:spacing w:line="240" w:lineRule="auto"/>
        <w:rPr>
          <w:rFonts w:eastAsia="Times New Roman" w:cs="Arial"/>
          <w:color w:val="000000"/>
          <w:lang w:eastAsia="bg-BG"/>
        </w:rPr>
      </w:pPr>
    </w:p>
    <w:p w14:paraId="7C71A4B0" w14:textId="013998C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При някои статини, включително симвастатин, особено при дългосрочна терапия (вж. точка 4.8), са съобщени случаи на интерстициално белодробно заболяване. Проявите могат да включват диспнея, непродуктивна кашлица и влошаване на общото състояние (отпадналост, загуба на тегло и висока температура). Ако се подозира, че пациент е развил интерстициално белодробно заболяване, терапията със статини трябва да се прекрати.</w:t>
      </w:r>
    </w:p>
    <w:p w14:paraId="6F91E632" w14:textId="77777777" w:rsidR="001E796D" w:rsidRPr="001E796D" w:rsidRDefault="001E796D" w:rsidP="001E796D">
      <w:pPr>
        <w:spacing w:line="240" w:lineRule="auto"/>
        <w:rPr>
          <w:rFonts w:eastAsia="Times New Roman" w:cs="Arial"/>
          <w:color w:val="000000"/>
          <w:u w:val="single"/>
          <w:lang w:eastAsia="bg-BG"/>
        </w:rPr>
      </w:pPr>
    </w:p>
    <w:p w14:paraId="2EC7FABC" w14:textId="2A35DDFC"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u w:val="single"/>
          <w:lang w:eastAsia="bg-BG"/>
        </w:rPr>
        <w:lastRenderedPageBreak/>
        <w:t>Педиатрична популация</w:t>
      </w:r>
    </w:p>
    <w:p w14:paraId="65A67EEA" w14:textId="77777777" w:rsidR="001E796D" w:rsidRPr="001E796D" w:rsidRDefault="001E796D" w:rsidP="001E796D">
      <w:pPr>
        <w:spacing w:line="240" w:lineRule="auto"/>
        <w:rPr>
          <w:rFonts w:eastAsia="Times New Roman" w:cs="Arial"/>
          <w:color w:val="000000"/>
          <w:lang w:eastAsia="bg-BG"/>
        </w:rPr>
      </w:pPr>
    </w:p>
    <w:p w14:paraId="48EACF72" w14:textId="4B3905F6"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 xml:space="preserve">Безопасността и ефективността на симвастатин при пациенти на възраст 10*17 години с хетерозиготна фамилна хиперхолестеролемия са били оценени в контролирано клинично изпитване на момчета II стадий или повече по </w:t>
      </w:r>
      <w:r w:rsidRPr="001E796D">
        <w:rPr>
          <w:rFonts w:eastAsia="Times New Roman" w:cs="Arial"/>
          <w:color w:val="000000"/>
          <w:lang w:val="en-US"/>
        </w:rPr>
        <w:t xml:space="preserve">Tanner </w:t>
      </w:r>
      <w:r w:rsidRPr="001E796D">
        <w:rPr>
          <w:rFonts w:eastAsia="Times New Roman" w:cs="Arial"/>
          <w:color w:val="000000"/>
          <w:lang w:eastAsia="bg-BG"/>
        </w:rPr>
        <w:t xml:space="preserve">и момичета поне една година след първия менструален цикъл. Пациентите, лекувани със симвастатин са имали профил на нежелани реакции като цяло подобен на този при пациенти, лекувани с плацебо. </w:t>
      </w:r>
      <w:r w:rsidRPr="001E796D">
        <w:rPr>
          <w:rFonts w:eastAsia="Times New Roman" w:cs="Arial"/>
          <w:b/>
          <w:bCs/>
          <w:color w:val="000000"/>
          <w:lang w:eastAsia="bg-BG"/>
        </w:rPr>
        <w:t xml:space="preserve">Дози, по-високи от 40 </w:t>
      </w:r>
      <w:r w:rsidRPr="001E796D">
        <w:rPr>
          <w:rFonts w:eastAsia="Times New Roman" w:cs="Arial"/>
          <w:b/>
          <w:bCs/>
          <w:color w:val="000000"/>
          <w:lang w:val="en-US"/>
        </w:rPr>
        <w:t xml:space="preserve">mg, </w:t>
      </w:r>
      <w:r w:rsidRPr="001E796D">
        <w:rPr>
          <w:rFonts w:eastAsia="Times New Roman" w:cs="Arial"/>
          <w:b/>
          <w:bCs/>
          <w:color w:val="000000"/>
          <w:lang w:eastAsia="bg-BG"/>
        </w:rPr>
        <w:t xml:space="preserve">не са били проучвани в тази популация. </w:t>
      </w:r>
      <w:r w:rsidRPr="001E796D">
        <w:rPr>
          <w:rFonts w:eastAsia="Times New Roman" w:cs="Arial"/>
          <w:color w:val="000000"/>
          <w:lang w:eastAsia="bg-BG"/>
        </w:rPr>
        <w:t>В това ограничено контролирано изпитване, няма забележим ефект върху растежа или сексуалното съзряване на юношите и девойките или някакъв ефект върху продължителността на менструалния цикъл на девойките (вж. точки 4.2, 4.8 и 5.1). Девойките трябва да бъдат посъветвани за подходящи контрацептивни методи, докато са подложени на терапия със симвастатин (вж. точки 4.3 и 4.6). При пациенти на възраст под 18 години, ефикасността и безопасността не са били проучвани за периоди на лечение, по-дълги от 48 седмици и дългосрочните ефекти върху физическото, интелектуалното и сексуалното съзряване не са известни. Симвастатин не е бил проучван при пациенти на възраст под 10 години, нито при деца, които не са навлезли в пубертета и момичета, които не са имали все още менструален цикъл.</w:t>
      </w:r>
    </w:p>
    <w:p w14:paraId="5694550B" w14:textId="77777777" w:rsidR="001E796D" w:rsidRPr="001E796D" w:rsidRDefault="001E796D" w:rsidP="001E796D">
      <w:pPr>
        <w:spacing w:line="240" w:lineRule="auto"/>
        <w:rPr>
          <w:rFonts w:eastAsia="Times New Roman" w:cs="Arial"/>
          <w:color w:val="000000"/>
          <w:u w:val="single"/>
          <w:lang w:eastAsia="bg-BG"/>
        </w:rPr>
      </w:pPr>
    </w:p>
    <w:p w14:paraId="73251763" w14:textId="3F5FBAF6"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u w:val="single"/>
          <w:lang w:eastAsia="bg-BG"/>
        </w:rPr>
        <w:t>Помощни вещества</w:t>
      </w:r>
    </w:p>
    <w:p w14:paraId="014E8337" w14:textId="77777777" w:rsidR="001E796D" w:rsidRPr="001E796D" w:rsidRDefault="001E796D" w:rsidP="001E796D">
      <w:pPr>
        <w:rPr>
          <w:rFonts w:eastAsia="Times New Roman" w:cs="Arial"/>
          <w:color w:val="000000"/>
          <w:lang w:eastAsia="bg-BG"/>
        </w:rPr>
      </w:pPr>
    </w:p>
    <w:p w14:paraId="1A55B67A" w14:textId="138F737F" w:rsidR="001E796D" w:rsidRPr="001E796D" w:rsidRDefault="001E796D" w:rsidP="001E796D">
      <w:pPr>
        <w:rPr>
          <w:rFonts w:cs="Arial"/>
        </w:rPr>
      </w:pPr>
      <w:r w:rsidRPr="001E796D">
        <w:rPr>
          <w:rFonts w:eastAsia="Times New Roman" w:cs="Arial"/>
          <w:color w:val="000000"/>
          <w:lang w:eastAsia="bg-BG"/>
        </w:rPr>
        <w:t xml:space="preserve">Този продукт съдържа лактоза. Пациенти с редки наследствени проблеми на галактозна непоносимост, </w:t>
      </w:r>
      <w:r w:rsidRPr="001E796D">
        <w:rPr>
          <w:rFonts w:eastAsia="Times New Roman" w:cs="Arial"/>
          <w:color w:val="000000"/>
          <w:lang w:val="en-US"/>
        </w:rPr>
        <w:t xml:space="preserve">Lapp </w:t>
      </w:r>
      <w:r w:rsidRPr="001E796D">
        <w:rPr>
          <w:rFonts w:eastAsia="Times New Roman" w:cs="Arial"/>
          <w:color w:val="000000"/>
          <w:lang w:eastAsia="bg-BG"/>
        </w:rPr>
        <w:t>лактазен дефицит или глюкозо-галактозна малабсорбация не трябва да приемат това лекарство.</w:t>
      </w:r>
    </w:p>
    <w:p w14:paraId="38AAA847" w14:textId="03A840E2" w:rsidR="00F96FCF" w:rsidRPr="001E796D" w:rsidRDefault="001E796D" w:rsidP="0091385D">
      <w:pPr>
        <w:rPr>
          <w:lang w:val="en-US"/>
        </w:rPr>
      </w:pPr>
      <w:r>
        <w:rPr>
          <w:lang w:val="en-US"/>
        </w:rPr>
        <w:t xml:space="preserve"> </w:t>
      </w:r>
    </w:p>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385DBC60" w14:textId="7777777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 xml:space="preserve">Многобройни механизми могат да допринесат за потенциални взаимодействия с </w:t>
      </w:r>
      <w:r w:rsidRPr="001E796D">
        <w:rPr>
          <w:rFonts w:eastAsia="Times New Roman" w:cs="Arial"/>
          <w:color w:val="000000"/>
          <w:lang w:val="en-US"/>
        </w:rPr>
        <w:t xml:space="preserve">HMG </w:t>
      </w:r>
      <w:r w:rsidRPr="001E796D">
        <w:rPr>
          <w:rFonts w:eastAsia="Times New Roman" w:cs="Arial"/>
          <w:color w:val="000000"/>
          <w:lang w:eastAsia="bg-BG"/>
        </w:rPr>
        <w:t xml:space="preserve">Со-А редуктазните инхибитори. Лекарства или билкови продукти, които инхибират някои ензимни (например </w:t>
      </w:r>
      <w:r w:rsidRPr="001E796D">
        <w:rPr>
          <w:rFonts w:eastAsia="Times New Roman" w:cs="Arial"/>
          <w:color w:val="000000"/>
          <w:lang w:val="en-US"/>
        </w:rPr>
        <w:t xml:space="preserve">CYP3A4) </w:t>
      </w:r>
      <w:r w:rsidRPr="001E796D">
        <w:rPr>
          <w:rFonts w:eastAsia="Times New Roman" w:cs="Arial"/>
          <w:color w:val="000000"/>
          <w:lang w:eastAsia="bg-BG"/>
        </w:rPr>
        <w:t>и/или транспортерни (например ОАТР1В) пътища, могат да повишат плазмените концентрации на симвастатин и на симвастатиновата киселина и да доведат до повишен риск от миопатия/рабдомиолиза.</w:t>
      </w:r>
    </w:p>
    <w:p w14:paraId="11D8893E" w14:textId="77777777" w:rsidR="001E796D" w:rsidRPr="001E796D" w:rsidRDefault="001E796D" w:rsidP="001E796D">
      <w:pPr>
        <w:spacing w:line="240" w:lineRule="auto"/>
        <w:rPr>
          <w:rFonts w:eastAsia="Times New Roman" w:cs="Arial"/>
          <w:color w:val="000000"/>
          <w:lang w:eastAsia="bg-BG"/>
        </w:rPr>
      </w:pPr>
    </w:p>
    <w:p w14:paraId="70DA6A83" w14:textId="0D03CFEC"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Направете справка с кратките характеристики на всички едновременно прилагани лекарства, за да</w:t>
      </w:r>
      <w:r>
        <w:rPr>
          <w:rFonts w:eastAsia="Times New Roman" w:cs="Arial"/>
          <w:sz w:val="24"/>
          <w:szCs w:val="24"/>
          <w:lang w:val="en-US" w:eastAsia="bg-BG"/>
        </w:rPr>
        <w:t xml:space="preserve"> </w:t>
      </w:r>
      <w:r w:rsidRPr="001E796D">
        <w:rPr>
          <w:rFonts w:eastAsia="Times New Roman" w:cs="Arial"/>
          <w:color w:val="000000"/>
          <w:lang w:eastAsia="bg-BG"/>
        </w:rPr>
        <w:t>получите допълнителна информация за техните потенциални взаимодейсвия със симвастатин</w:t>
      </w:r>
      <w:r w:rsidRPr="001E796D">
        <w:rPr>
          <w:rFonts w:eastAsia="Times New Roman" w:cs="Arial"/>
          <w:color w:val="000000"/>
          <w:lang w:val="en-US" w:eastAsia="bg-BG"/>
        </w:rPr>
        <w:t xml:space="preserve"> </w:t>
      </w:r>
      <w:r w:rsidRPr="001E796D">
        <w:rPr>
          <w:rFonts w:eastAsia="Times New Roman" w:cs="Arial"/>
          <w:color w:val="000000"/>
          <w:lang w:eastAsia="bg-BG"/>
        </w:rPr>
        <w:t>и/или възможността за ензимни или транспортни изменения, и възможните корекции на дозата и терапевтичните режими.</w:t>
      </w:r>
    </w:p>
    <w:p w14:paraId="4F267314" w14:textId="77777777" w:rsidR="001E796D" w:rsidRPr="001E796D" w:rsidRDefault="001E796D" w:rsidP="001E796D">
      <w:pPr>
        <w:spacing w:line="240" w:lineRule="auto"/>
        <w:rPr>
          <w:rFonts w:eastAsia="Times New Roman" w:cs="Arial"/>
          <w:color w:val="000000"/>
          <w:lang w:eastAsia="bg-BG"/>
        </w:rPr>
      </w:pPr>
    </w:p>
    <w:p w14:paraId="0635047A" w14:textId="58F52201"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Проучвания за взаимодействия са извършвани само при възрастни.</w:t>
      </w:r>
    </w:p>
    <w:p w14:paraId="1654285C" w14:textId="77777777" w:rsidR="001E796D" w:rsidRPr="001E796D" w:rsidRDefault="001E796D" w:rsidP="001E796D">
      <w:pPr>
        <w:spacing w:line="240" w:lineRule="auto"/>
        <w:rPr>
          <w:rFonts w:eastAsia="Times New Roman" w:cs="Arial"/>
          <w:color w:val="000000"/>
          <w:u w:val="single"/>
          <w:lang w:eastAsia="bg-BG"/>
        </w:rPr>
      </w:pPr>
    </w:p>
    <w:p w14:paraId="3AF96A8D" w14:textId="2113F96A"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u w:val="single"/>
          <w:lang w:eastAsia="bg-BG"/>
        </w:rPr>
        <w:t>Фармакодинамични взаимодействия</w:t>
      </w:r>
    </w:p>
    <w:p w14:paraId="63C35DDF" w14:textId="77777777" w:rsidR="001E796D" w:rsidRPr="001E796D" w:rsidRDefault="001E796D" w:rsidP="001E796D">
      <w:pPr>
        <w:spacing w:line="240" w:lineRule="auto"/>
        <w:rPr>
          <w:rFonts w:eastAsia="Times New Roman" w:cs="Arial"/>
          <w:i/>
          <w:iCs/>
          <w:color w:val="000000"/>
          <w:lang w:eastAsia="bg-BG"/>
        </w:rPr>
      </w:pPr>
    </w:p>
    <w:p w14:paraId="0D797FD6" w14:textId="359D0486" w:rsidR="001E796D" w:rsidRPr="001E796D" w:rsidRDefault="001E796D" w:rsidP="001E796D">
      <w:pPr>
        <w:spacing w:line="240" w:lineRule="auto"/>
        <w:rPr>
          <w:rFonts w:eastAsia="Times New Roman" w:cs="Arial"/>
          <w:sz w:val="24"/>
          <w:szCs w:val="24"/>
          <w:lang w:eastAsia="bg-BG"/>
        </w:rPr>
      </w:pPr>
      <w:r w:rsidRPr="001E796D">
        <w:rPr>
          <w:rFonts w:eastAsia="Times New Roman" w:cs="Arial"/>
          <w:i/>
          <w:iCs/>
          <w:color w:val="000000"/>
          <w:lang w:eastAsia="bg-BG"/>
        </w:rPr>
        <w:t>Взаимодействия с други липидопонижаващи лекарствени продукти, които приемани самостоятелно, могат да предизвикат миопатия</w:t>
      </w:r>
    </w:p>
    <w:p w14:paraId="1FA71768" w14:textId="77777777" w:rsidR="001E796D" w:rsidRPr="001E796D" w:rsidRDefault="001E796D" w:rsidP="001E796D">
      <w:pPr>
        <w:spacing w:line="240" w:lineRule="auto"/>
        <w:rPr>
          <w:rFonts w:eastAsia="Times New Roman" w:cs="Arial"/>
          <w:color w:val="000000"/>
          <w:lang w:eastAsia="bg-BG"/>
        </w:rPr>
      </w:pPr>
    </w:p>
    <w:p w14:paraId="0929FBB4" w14:textId="1119A3A1"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 xml:space="preserve">Рискът от развитие на миопатия, включително рабдомиолиза, се повишава при едновременното приложение с фибрати. Освен това съществува фармакокинетично взаимодействие с гемфиброзил, което води до повишаване на плазмените нива на симвастатин (вж. по-долу, </w:t>
      </w:r>
      <w:r w:rsidRPr="001E796D">
        <w:rPr>
          <w:rFonts w:eastAsia="Times New Roman" w:cs="Arial"/>
          <w:i/>
          <w:iCs/>
          <w:color w:val="000000"/>
          <w:lang w:eastAsia="bg-BG"/>
        </w:rPr>
        <w:t>„Фармакокинетични взаимодействия</w:t>
      </w:r>
      <w:r w:rsidRPr="001E796D">
        <w:rPr>
          <w:rFonts w:eastAsia="Times New Roman" w:cs="Arial"/>
          <w:color w:val="000000"/>
          <w:lang w:eastAsia="bg-BG"/>
        </w:rPr>
        <w:t xml:space="preserve"> *’ и точки 4.3 и 4.4). </w:t>
      </w:r>
      <w:r w:rsidRPr="001E796D">
        <w:rPr>
          <w:rFonts w:eastAsia="Times New Roman" w:cs="Arial"/>
          <w:color w:val="000000"/>
          <w:lang w:eastAsia="bg-BG"/>
        </w:rPr>
        <w:lastRenderedPageBreak/>
        <w:t>Когато симвастатин и фенофибрат се прилагат едновременно няма доказателства, че рискът от развитие на миопатия е равен на сумата от индивидуалния риск за всеки лекарствен продукт. За другите фибрата няма налични данни относно лекарствената безопасност и фармакокинетиката. Редки случаи на миопатая/рабдомиолиза са били асоциирани с едновременното приложение на симвастатин и липидомодифициращи дози (≥</w:t>
      </w:r>
      <w:r w:rsidRPr="001E796D">
        <w:rPr>
          <w:rFonts w:eastAsia="Times New Roman" w:cs="Arial"/>
          <w:color w:val="000000"/>
          <w:lang w:val="en-US"/>
        </w:rPr>
        <w:t xml:space="preserve"> </w:t>
      </w:r>
      <w:r w:rsidRPr="001E796D">
        <w:rPr>
          <w:rFonts w:eastAsia="Times New Roman" w:cs="Arial"/>
          <w:color w:val="000000"/>
          <w:lang w:eastAsia="bg-BG"/>
        </w:rPr>
        <w:t xml:space="preserve">1 </w:t>
      </w:r>
      <w:r w:rsidRPr="001E796D">
        <w:rPr>
          <w:rFonts w:eastAsia="Times New Roman" w:cs="Arial"/>
          <w:color w:val="000000"/>
          <w:lang w:val="en-US"/>
        </w:rPr>
        <w:t>g</w:t>
      </w:r>
      <w:r w:rsidRPr="001E796D">
        <w:rPr>
          <w:rFonts w:eastAsia="Times New Roman" w:cs="Arial"/>
          <w:color w:val="000000"/>
          <w:lang w:eastAsia="bg-BG"/>
        </w:rPr>
        <w:t>/дневно) ниацин (вж. точка 4.4).</w:t>
      </w:r>
    </w:p>
    <w:p w14:paraId="06062DA9" w14:textId="77777777" w:rsidR="001E796D" w:rsidRPr="001E796D" w:rsidRDefault="001E796D" w:rsidP="001E796D">
      <w:pPr>
        <w:spacing w:line="240" w:lineRule="auto"/>
        <w:rPr>
          <w:rFonts w:eastAsia="Times New Roman" w:cs="Arial"/>
          <w:color w:val="000000"/>
          <w:u w:val="single"/>
          <w:lang w:eastAsia="bg-BG"/>
        </w:rPr>
      </w:pPr>
    </w:p>
    <w:p w14:paraId="2AA9DC64" w14:textId="6839A1EF"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u w:val="single"/>
          <w:lang w:eastAsia="bg-BG"/>
        </w:rPr>
        <w:t>Фармакокинетични взаимодействия</w:t>
      </w:r>
    </w:p>
    <w:p w14:paraId="7BC94A9A" w14:textId="77777777" w:rsidR="001E796D" w:rsidRPr="001E796D" w:rsidRDefault="001E796D" w:rsidP="001E796D">
      <w:pPr>
        <w:rPr>
          <w:rFonts w:eastAsia="Times New Roman" w:cs="Arial"/>
          <w:color w:val="000000"/>
          <w:lang w:eastAsia="bg-BG"/>
        </w:rPr>
      </w:pPr>
    </w:p>
    <w:p w14:paraId="5B2761C5" w14:textId="36126C16" w:rsidR="0091385D" w:rsidRPr="001E796D" w:rsidRDefault="001E796D" w:rsidP="001E796D">
      <w:pPr>
        <w:rPr>
          <w:rFonts w:cs="Arial"/>
          <w:lang w:val="en-US"/>
        </w:rPr>
      </w:pPr>
      <w:r w:rsidRPr="001E796D">
        <w:rPr>
          <w:rFonts w:eastAsia="Times New Roman" w:cs="Arial"/>
          <w:color w:val="000000"/>
          <w:lang w:eastAsia="bg-BG"/>
        </w:rPr>
        <w:t>Препоръките за предписване в случаи на взаимодействия с други лекарствени продукта са обобщени в таблицата по-долу (допълнителна информация може да бъде намерена в точки 4.2, 4.3 и 4.4).</w:t>
      </w:r>
    </w:p>
    <w:tbl>
      <w:tblPr>
        <w:tblStyle w:val="TableGrid"/>
        <w:tblW w:w="0" w:type="auto"/>
        <w:tblLook w:val="04A0" w:firstRow="1" w:lastRow="0" w:firstColumn="1" w:lastColumn="0" w:noHBand="0" w:noVBand="1"/>
      </w:tblPr>
      <w:tblGrid>
        <w:gridCol w:w="4750"/>
        <w:gridCol w:w="4750"/>
      </w:tblGrid>
      <w:tr w:rsidR="001E796D" w14:paraId="417C46FB" w14:textId="77777777" w:rsidTr="0025330E">
        <w:tc>
          <w:tcPr>
            <w:tcW w:w="9500" w:type="dxa"/>
            <w:gridSpan w:val="2"/>
          </w:tcPr>
          <w:p w14:paraId="52F2A3A1" w14:textId="0CEDF6AC" w:rsidR="001E796D" w:rsidRDefault="001E796D" w:rsidP="0091385D">
            <w:r>
              <w:rPr>
                <w:b/>
                <w:bCs/>
              </w:rPr>
              <w:t>Взаимодействия с лекарствени продукти, свързани с повишен риск от развитие на миопатия/рабдомиолиза</w:t>
            </w:r>
          </w:p>
        </w:tc>
      </w:tr>
      <w:tr w:rsidR="001E796D" w14:paraId="75865CD6" w14:textId="77777777" w:rsidTr="001E796D">
        <w:tc>
          <w:tcPr>
            <w:tcW w:w="4750" w:type="dxa"/>
          </w:tcPr>
          <w:p w14:paraId="57BBEFD0" w14:textId="361F7A13" w:rsidR="001E796D" w:rsidRDefault="001E796D" w:rsidP="001E796D">
            <w:r>
              <w:rPr>
                <w:b/>
                <w:bCs/>
              </w:rPr>
              <w:t>Взаимодействащ лекарствен продукт</w:t>
            </w:r>
          </w:p>
        </w:tc>
        <w:tc>
          <w:tcPr>
            <w:tcW w:w="4750" w:type="dxa"/>
          </w:tcPr>
          <w:p w14:paraId="5FEBD63A" w14:textId="709AECE9" w:rsidR="001E796D" w:rsidRDefault="001E796D" w:rsidP="001E796D">
            <w:r>
              <w:rPr>
                <w:b/>
                <w:bCs/>
              </w:rPr>
              <w:t>Препоръки за предписване</w:t>
            </w:r>
          </w:p>
        </w:tc>
      </w:tr>
      <w:tr w:rsidR="001E796D" w14:paraId="7C190615" w14:textId="77777777" w:rsidTr="001E796D">
        <w:tc>
          <w:tcPr>
            <w:tcW w:w="4750" w:type="dxa"/>
          </w:tcPr>
          <w:p w14:paraId="027FA7D3" w14:textId="77777777" w:rsidR="001E796D" w:rsidRDefault="001E796D" w:rsidP="001E796D">
            <w:r>
              <w:rPr>
                <w:i/>
                <w:iCs/>
              </w:rPr>
              <w:t xml:space="preserve">Мощни инхибитори на </w:t>
            </w:r>
            <w:r>
              <w:rPr>
                <w:i/>
                <w:iCs/>
                <w:lang w:val="en-US"/>
              </w:rPr>
              <w:t xml:space="preserve">CYP3A4 </w:t>
            </w:r>
            <w:r>
              <w:rPr>
                <w:i/>
                <w:iCs/>
              </w:rPr>
              <w:t>като:</w:t>
            </w:r>
          </w:p>
          <w:p w14:paraId="765602D2" w14:textId="77777777" w:rsidR="001E796D" w:rsidRDefault="001E796D" w:rsidP="001E796D">
            <w:r>
              <w:t>Итраконазол</w:t>
            </w:r>
          </w:p>
          <w:p w14:paraId="5CB722D5" w14:textId="77777777" w:rsidR="001E796D" w:rsidRDefault="001E796D" w:rsidP="001E796D">
            <w:r>
              <w:t>Кетоконазол</w:t>
            </w:r>
          </w:p>
          <w:p w14:paraId="78C02F8D" w14:textId="77777777" w:rsidR="001E796D" w:rsidRDefault="001E796D" w:rsidP="001E796D">
            <w:r>
              <w:t>Позаконазол</w:t>
            </w:r>
          </w:p>
          <w:p w14:paraId="7FED1CD2" w14:textId="77777777" w:rsidR="001E796D" w:rsidRDefault="001E796D" w:rsidP="001E796D">
            <w:r>
              <w:t>Вориконазол</w:t>
            </w:r>
          </w:p>
          <w:p w14:paraId="46779402" w14:textId="77777777" w:rsidR="001E796D" w:rsidRDefault="001E796D" w:rsidP="001E796D">
            <w:r>
              <w:t>Еритромицин</w:t>
            </w:r>
          </w:p>
          <w:p w14:paraId="7475E3F8" w14:textId="77777777" w:rsidR="001E796D" w:rsidRDefault="001E796D" w:rsidP="001E796D">
            <w:r>
              <w:t>Кларитромицин</w:t>
            </w:r>
          </w:p>
          <w:p w14:paraId="69B799BA" w14:textId="77777777" w:rsidR="001E796D" w:rsidRDefault="001E796D" w:rsidP="001E796D">
            <w:r>
              <w:t>Телитромицин</w:t>
            </w:r>
          </w:p>
          <w:p w14:paraId="43915F7E" w14:textId="77777777" w:rsidR="001E796D" w:rsidRDefault="001E796D" w:rsidP="001E796D">
            <w:r>
              <w:rPr>
                <w:lang w:val="en-US"/>
              </w:rPr>
              <w:t>Hl</w:t>
            </w:r>
            <w:r>
              <w:t>V протеазни инхибитори (напр.</w:t>
            </w:r>
          </w:p>
          <w:p w14:paraId="3B094655" w14:textId="77777777" w:rsidR="001E796D" w:rsidRDefault="001E796D" w:rsidP="001E796D">
            <w:r>
              <w:t>нелфинавир)</w:t>
            </w:r>
          </w:p>
          <w:p w14:paraId="6DDBF162" w14:textId="77777777" w:rsidR="001E796D" w:rsidRDefault="001E796D" w:rsidP="001E796D">
            <w:r>
              <w:t>Нефазодон</w:t>
            </w:r>
          </w:p>
          <w:p w14:paraId="29C839E2" w14:textId="77777777" w:rsidR="001E796D" w:rsidRDefault="001E796D" w:rsidP="001E796D">
            <w:r>
              <w:t>Кобицистат</w:t>
            </w:r>
          </w:p>
          <w:p w14:paraId="0161618E" w14:textId="77777777" w:rsidR="001E796D" w:rsidRDefault="001E796D" w:rsidP="001E796D">
            <w:r>
              <w:t>Боцепривир</w:t>
            </w:r>
          </w:p>
          <w:p w14:paraId="0FE83EE2" w14:textId="77777777" w:rsidR="001E796D" w:rsidRDefault="001E796D" w:rsidP="001E796D">
            <w:r>
              <w:t>Телапревир</w:t>
            </w:r>
          </w:p>
          <w:p w14:paraId="5BC123B7" w14:textId="77777777" w:rsidR="001E796D" w:rsidRDefault="001E796D" w:rsidP="001E796D">
            <w:r>
              <w:t>Циклоспорин</w:t>
            </w:r>
          </w:p>
          <w:p w14:paraId="1B8410FE" w14:textId="77777777" w:rsidR="001E796D" w:rsidRDefault="001E796D" w:rsidP="001E796D">
            <w:r>
              <w:t>Даназол</w:t>
            </w:r>
          </w:p>
          <w:p w14:paraId="3EA481EB" w14:textId="348C927A" w:rsidR="001E796D" w:rsidRDefault="001E796D" w:rsidP="001E796D">
            <w:r>
              <w:t>Гемфиброзил</w:t>
            </w:r>
          </w:p>
        </w:tc>
        <w:tc>
          <w:tcPr>
            <w:tcW w:w="4750" w:type="dxa"/>
          </w:tcPr>
          <w:p w14:paraId="4818D7BB" w14:textId="0FDC20A0" w:rsidR="001E796D" w:rsidRDefault="001E796D" w:rsidP="001E796D">
            <w:r>
              <w:rPr>
                <w:b/>
                <w:bCs/>
              </w:rPr>
              <w:t>Противопоказани със симвастатин</w:t>
            </w:r>
          </w:p>
        </w:tc>
      </w:tr>
      <w:tr w:rsidR="001E796D" w14:paraId="31CCFFF5" w14:textId="77777777" w:rsidTr="001E796D">
        <w:tc>
          <w:tcPr>
            <w:tcW w:w="4750" w:type="dxa"/>
          </w:tcPr>
          <w:p w14:paraId="670B5C12" w14:textId="0ADC467C" w:rsidR="001E796D" w:rsidRDefault="001E796D" w:rsidP="001E796D">
            <w:r>
              <w:t>Други фибрати (с изключение на фенофибрат)</w:t>
            </w:r>
          </w:p>
        </w:tc>
        <w:tc>
          <w:tcPr>
            <w:tcW w:w="4750" w:type="dxa"/>
          </w:tcPr>
          <w:p w14:paraId="39D815E7" w14:textId="3F88CAE7" w:rsidR="001E796D" w:rsidRDefault="001E796D" w:rsidP="001E796D">
            <w:r>
              <w:t xml:space="preserve">Да не се надвишава дневна доза от 10 </w:t>
            </w:r>
            <w:r>
              <w:rPr>
                <w:lang w:val="en-US"/>
              </w:rPr>
              <w:t xml:space="preserve">mg </w:t>
            </w:r>
            <w:r>
              <w:t>симвастатин</w:t>
            </w:r>
          </w:p>
        </w:tc>
      </w:tr>
      <w:tr w:rsidR="001E796D" w14:paraId="46C09446" w14:textId="77777777" w:rsidTr="001E796D">
        <w:tc>
          <w:tcPr>
            <w:tcW w:w="4750" w:type="dxa"/>
          </w:tcPr>
          <w:p w14:paraId="208426F5" w14:textId="7DDCE12C" w:rsidR="001E796D" w:rsidRDefault="001E796D" w:rsidP="001E796D">
            <w:r>
              <w:t>Фузидова киселина</w:t>
            </w:r>
          </w:p>
        </w:tc>
        <w:tc>
          <w:tcPr>
            <w:tcW w:w="4750" w:type="dxa"/>
          </w:tcPr>
          <w:p w14:paraId="08D74D63" w14:textId="1DB74C59" w:rsidR="001E796D" w:rsidRDefault="001E796D" w:rsidP="001E796D">
            <w:r>
              <w:t>Не се препоръчва употребата й със симвастатин</w:t>
            </w:r>
          </w:p>
        </w:tc>
      </w:tr>
      <w:tr w:rsidR="001E796D" w14:paraId="7DEDA010" w14:textId="77777777" w:rsidTr="001E796D">
        <w:tc>
          <w:tcPr>
            <w:tcW w:w="4750" w:type="dxa"/>
          </w:tcPr>
          <w:p w14:paraId="65051BF1" w14:textId="1BF8B372" w:rsidR="001E796D" w:rsidRDefault="001E796D" w:rsidP="001E796D">
            <w:r>
              <w:t xml:space="preserve">Ниацин (никотинова киселина(&gt; 1 </w:t>
            </w:r>
            <w:r>
              <w:rPr>
                <w:lang w:val="en-US"/>
              </w:rPr>
              <w:t>g</w:t>
            </w:r>
            <w:r>
              <w:t>/ден)</w:t>
            </w:r>
          </w:p>
        </w:tc>
        <w:tc>
          <w:tcPr>
            <w:tcW w:w="4750" w:type="dxa"/>
          </w:tcPr>
          <w:p w14:paraId="100DD694" w14:textId="2F08F056" w:rsidR="001E796D" w:rsidRDefault="001E796D" w:rsidP="001E796D">
            <w:r>
              <w:t>Не се препоръчва със симвастатин при пациенти от азиатски произход</w:t>
            </w:r>
          </w:p>
        </w:tc>
      </w:tr>
      <w:tr w:rsidR="001E796D" w14:paraId="3C9E19EA" w14:textId="77777777" w:rsidTr="001E796D">
        <w:tc>
          <w:tcPr>
            <w:tcW w:w="4750" w:type="dxa"/>
          </w:tcPr>
          <w:p w14:paraId="04F8D781" w14:textId="77777777" w:rsidR="001E796D" w:rsidRDefault="001E796D" w:rsidP="001E796D">
            <w:r>
              <w:t>Амиодарон Верапамил Дилтиазем</w:t>
            </w:r>
          </w:p>
          <w:p w14:paraId="20227DC6" w14:textId="5970358C" w:rsidR="001E796D" w:rsidRDefault="001E796D" w:rsidP="001E796D">
            <w:r>
              <w:t xml:space="preserve"> Амлодипин</w:t>
            </w:r>
          </w:p>
        </w:tc>
        <w:tc>
          <w:tcPr>
            <w:tcW w:w="4750" w:type="dxa"/>
          </w:tcPr>
          <w:p w14:paraId="663FE76C" w14:textId="40C312DA" w:rsidR="001E796D" w:rsidRDefault="001E796D" w:rsidP="001E796D">
            <w:r>
              <w:t xml:space="preserve">Да не се надвишава дневна доза от 30 </w:t>
            </w:r>
            <w:r>
              <w:rPr>
                <w:lang w:val="en-US"/>
              </w:rPr>
              <w:t xml:space="preserve">mg </w:t>
            </w:r>
            <w:r>
              <w:t>симвастатин</w:t>
            </w:r>
          </w:p>
        </w:tc>
      </w:tr>
      <w:tr w:rsidR="001E796D" w14:paraId="7D250E5D" w14:textId="77777777" w:rsidTr="0025330E">
        <w:tc>
          <w:tcPr>
            <w:tcW w:w="9500" w:type="dxa"/>
            <w:gridSpan w:val="2"/>
          </w:tcPr>
          <w:p w14:paraId="1AAE3D8D" w14:textId="77777777" w:rsidR="001E796D" w:rsidRDefault="001E796D" w:rsidP="0091385D">
            <w:r>
              <w:t xml:space="preserve">Елбасвир </w:t>
            </w:r>
          </w:p>
          <w:p w14:paraId="0D1F1995" w14:textId="35D07F3E" w:rsidR="001E796D" w:rsidRDefault="001E796D" w:rsidP="0091385D">
            <w:r>
              <w:t>Гразопревир</w:t>
            </w:r>
          </w:p>
        </w:tc>
      </w:tr>
      <w:tr w:rsidR="001E796D" w14:paraId="2B5D5C1A" w14:textId="77777777" w:rsidTr="001E796D">
        <w:tc>
          <w:tcPr>
            <w:tcW w:w="4750" w:type="dxa"/>
          </w:tcPr>
          <w:p w14:paraId="11A5108E" w14:textId="6AA2C42B" w:rsidR="001E796D" w:rsidRDefault="001E796D" w:rsidP="001E796D">
            <w:r>
              <w:t>Ломитапид</w:t>
            </w:r>
          </w:p>
        </w:tc>
        <w:tc>
          <w:tcPr>
            <w:tcW w:w="4750" w:type="dxa"/>
          </w:tcPr>
          <w:p w14:paraId="0478DA5A" w14:textId="014C992A" w:rsidR="001E796D" w:rsidRDefault="001E796D" w:rsidP="001E796D">
            <w:r>
              <w:t xml:space="preserve">Да не се превишава дозата от 40 </w:t>
            </w:r>
            <w:r>
              <w:rPr>
                <w:lang w:val="en-US"/>
              </w:rPr>
              <w:t xml:space="preserve">mg </w:t>
            </w:r>
            <w:r>
              <w:t>симвастатин дневно при пациенти с ХоФХ</w:t>
            </w:r>
          </w:p>
        </w:tc>
      </w:tr>
      <w:tr w:rsidR="001E796D" w14:paraId="12D1260A" w14:textId="77777777" w:rsidTr="001E796D">
        <w:tc>
          <w:tcPr>
            <w:tcW w:w="4750" w:type="dxa"/>
          </w:tcPr>
          <w:p w14:paraId="37A32E22" w14:textId="729C972D" w:rsidR="001E796D" w:rsidRDefault="001E796D" w:rsidP="001E796D">
            <w:r>
              <w:t>Даптомицин</w:t>
            </w:r>
          </w:p>
        </w:tc>
        <w:tc>
          <w:tcPr>
            <w:tcW w:w="4750" w:type="dxa"/>
          </w:tcPr>
          <w:p w14:paraId="0A2D9C48" w14:textId="7C609F04" w:rsidR="001E796D" w:rsidRDefault="001E796D" w:rsidP="001E796D">
            <w:r>
              <w:t xml:space="preserve">Трябва да се обмисли временно спиране на симвастатин при пациенти, приемащи даптомицин, освен ако ползите от едновременното приложение не </w:t>
            </w:r>
            <w:r>
              <w:lastRenderedPageBreak/>
              <w:t>надхвърлят риска (вж. точка 4.4)</w:t>
            </w:r>
          </w:p>
        </w:tc>
      </w:tr>
      <w:tr w:rsidR="001E796D" w14:paraId="6700921B" w14:textId="77777777" w:rsidTr="001E796D">
        <w:tc>
          <w:tcPr>
            <w:tcW w:w="4750" w:type="dxa"/>
          </w:tcPr>
          <w:p w14:paraId="7CAD03BA" w14:textId="21C169FF" w:rsidR="001E796D" w:rsidRDefault="001E796D" w:rsidP="001E796D">
            <w:r>
              <w:lastRenderedPageBreak/>
              <w:t>Сок от грейпфрут</w:t>
            </w:r>
          </w:p>
        </w:tc>
        <w:tc>
          <w:tcPr>
            <w:tcW w:w="4750" w:type="dxa"/>
          </w:tcPr>
          <w:p w14:paraId="1474FC52" w14:textId="140C13C3" w:rsidR="001E796D" w:rsidRDefault="001E796D" w:rsidP="001E796D">
            <w:r>
              <w:t>Да се избягва консумацията на сок от грейпфрут по време на лечение със симвастатин</w:t>
            </w:r>
          </w:p>
        </w:tc>
      </w:tr>
    </w:tbl>
    <w:p w14:paraId="58D8A30A" w14:textId="297BFD66" w:rsidR="001E796D" w:rsidRDefault="001E796D" w:rsidP="0091385D"/>
    <w:p w14:paraId="7A78AC8E" w14:textId="77777777" w:rsidR="001E796D" w:rsidRPr="001E796D" w:rsidRDefault="001E796D" w:rsidP="001E796D">
      <w:pPr>
        <w:spacing w:line="240" w:lineRule="auto"/>
        <w:rPr>
          <w:rFonts w:eastAsia="Times New Roman" w:cs="Arial"/>
          <w:sz w:val="24"/>
          <w:szCs w:val="24"/>
          <w:lang w:eastAsia="bg-BG"/>
        </w:rPr>
      </w:pPr>
      <w:bookmarkStart w:id="2" w:name="bookmark0"/>
      <w:r w:rsidRPr="001E796D">
        <w:rPr>
          <w:rFonts w:eastAsia="Times New Roman" w:cs="Arial"/>
          <w:b/>
          <w:bCs/>
          <w:color w:val="000000"/>
          <w:lang w:eastAsia="bg-BG"/>
        </w:rPr>
        <w:t>Ефекти на други лекарствени продукти върху симвастатин</w:t>
      </w:r>
      <w:bookmarkEnd w:id="2"/>
    </w:p>
    <w:p w14:paraId="349D720A" w14:textId="77777777" w:rsidR="001E796D" w:rsidRPr="001E796D" w:rsidRDefault="001E796D" w:rsidP="001E796D">
      <w:pPr>
        <w:spacing w:line="240" w:lineRule="auto"/>
        <w:rPr>
          <w:rFonts w:eastAsia="Times New Roman" w:cs="Arial"/>
          <w:i/>
          <w:iCs/>
          <w:color w:val="000000"/>
          <w:lang w:eastAsia="bg-BG"/>
        </w:rPr>
      </w:pPr>
    </w:p>
    <w:p w14:paraId="0280B495" w14:textId="2F49931C" w:rsidR="001E796D" w:rsidRPr="001E796D" w:rsidRDefault="001E796D" w:rsidP="001E796D">
      <w:pPr>
        <w:spacing w:line="240" w:lineRule="auto"/>
        <w:rPr>
          <w:rFonts w:eastAsia="Times New Roman" w:cs="Arial"/>
          <w:sz w:val="24"/>
          <w:szCs w:val="24"/>
          <w:lang w:eastAsia="bg-BG"/>
        </w:rPr>
      </w:pPr>
      <w:r w:rsidRPr="001E796D">
        <w:rPr>
          <w:rFonts w:eastAsia="Times New Roman" w:cs="Arial"/>
          <w:i/>
          <w:iCs/>
          <w:color w:val="000000"/>
          <w:lang w:eastAsia="bg-BG"/>
        </w:rPr>
        <w:t xml:space="preserve">Взаимодействия, включващи инхибитори на </w:t>
      </w:r>
      <w:r w:rsidRPr="001E796D">
        <w:rPr>
          <w:rFonts w:eastAsia="Times New Roman" w:cs="Arial"/>
          <w:i/>
          <w:iCs/>
          <w:color w:val="000000"/>
          <w:lang w:val="en-US"/>
        </w:rPr>
        <w:t>CYP3A4</w:t>
      </w:r>
    </w:p>
    <w:p w14:paraId="2806B0A7" w14:textId="77777777" w:rsidR="001E796D" w:rsidRPr="001E796D" w:rsidRDefault="001E796D" w:rsidP="001E796D">
      <w:pPr>
        <w:spacing w:line="240" w:lineRule="auto"/>
        <w:rPr>
          <w:rFonts w:eastAsia="Times New Roman" w:cs="Arial"/>
          <w:color w:val="000000"/>
          <w:lang w:eastAsia="bg-BG"/>
        </w:rPr>
      </w:pPr>
    </w:p>
    <w:p w14:paraId="1E9C684F" w14:textId="172CAD72"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 xml:space="preserve">Симвастатин е субстрат на цитохром Р450 ЗА4. Мощните инхибитори на цитохром Р450 3А4 повишават риска от развитие на миопатия и рабдомиолиза чрез повишаване на концентрацията на </w:t>
      </w:r>
      <w:r w:rsidRPr="001E796D">
        <w:rPr>
          <w:rFonts w:eastAsia="Times New Roman" w:cs="Arial"/>
          <w:color w:val="000000"/>
          <w:lang w:val="en-US"/>
        </w:rPr>
        <w:t xml:space="preserve">HMG-CoA </w:t>
      </w:r>
      <w:r w:rsidRPr="001E796D">
        <w:rPr>
          <w:rFonts w:eastAsia="Times New Roman" w:cs="Arial"/>
          <w:color w:val="000000"/>
          <w:lang w:eastAsia="bg-BG"/>
        </w:rPr>
        <w:t xml:space="preserve">редуктазна инхибиторна активност в плазмата по време на лечението със симвастатин. Такива инхибитори са итраконазол, кетоконазол, позаконазол, вориконазол, еритромицин, кларитромицин, телитромицин, </w:t>
      </w:r>
      <w:r w:rsidRPr="001E796D">
        <w:rPr>
          <w:rFonts w:eastAsia="Times New Roman" w:cs="Arial"/>
          <w:color w:val="000000"/>
          <w:lang w:val="en-US"/>
        </w:rPr>
        <w:t>HIV</w:t>
      </w:r>
      <w:r w:rsidRPr="001E796D">
        <w:rPr>
          <w:rFonts w:eastAsia="Times New Roman" w:cs="Arial"/>
          <w:color w:val="000000"/>
          <w:lang w:eastAsia="bg-BG"/>
        </w:rPr>
        <w:t>-протеазни инхибитори (напр. нелфинавир), боцепревир, телапревир, нефазодон и лекарствени продукти, съдържащи кобицистат. Едновременното приложение на итраконазол води до повече от 10-кратно повишаване на експозицията на симвастатинова киселина (активният метаболит бета-хидроксикиселина). Телитромицин предизвиква 11-кратно повишаване на експозицията на симвастатинова киселина.</w:t>
      </w:r>
    </w:p>
    <w:p w14:paraId="5351F786" w14:textId="77777777" w:rsidR="001E796D" w:rsidRPr="001E796D" w:rsidRDefault="001E796D" w:rsidP="001E796D">
      <w:pPr>
        <w:spacing w:line="240" w:lineRule="auto"/>
        <w:rPr>
          <w:rFonts w:eastAsia="Times New Roman" w:cs="Arial"/>
          <w:color w:val="000000"/>
          <w:lang w:eastAsia="bg-BG"/>
        </w:rPr>
      </w:pPr>
    </w:p>
    <w:p w14:paraId="715A70AC" w14:textId="4BECB7BF"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 xml:space="preserve">Комбинацията с итраконазол, кетоконазол, позаконазол, вориконазол, </w:t>
      </w:r>
      <w:r w:rsidRPr="001E796D">
        <w:rPr>
          <w:rFonts w:eastAsia="Times New Roman" w:cs="Arial"/>
          <w:color w:val="000000"/>
          <w:lang w:val="en-US"/>
        </w:rPr>
        <w:t>HIV</w:t>
      </w:r>
      <w:r w:rsidRPr="001E796D">
        <w:rPr>
          <w:rFonts w:eastAsia="Times New Roman" w:cs="Arial"/>
          <w:color w:val="000000"/>
          <w:lang w:eastAsia="bg-BG"/>
        </w:rPr>
        <w:t xml:space="preserve">-протеазни инхибитори (напр. нелфинавир), боцепревир, телапревир, еритромицин, кларитромицин, телитромицин, нефазодон и лекарствени продукти, съдържащи кобицистат е противопоказана, както и гемфиброзил, циклоспорин и даназол (вж. точка 4.3). Ако лечението с мощни инхибитори на </w:t>
      </w:r>
      <w:r w:rsidRPr="001E796D">
        <w:rPr>
          <w:rFonts w:eastAsia="Times New Roman" w:cs="Arial"/>
          <w:color w:val="000000"/>
          <w:lang w:val="en-US"/>
        </w:rPr>
        <w:t xml:space="preserve">CYP3A4 </w:t>
      </w:r>
      <w:r w:rsidRPr="001E796D">
        <w:rPr>
          <w:rFonts w:eastAsia="Times New Roman" w:cs="Arial"/>
          <w:color w:val="000000"/>
          <w:lang w:eastAsia="bg-BG"/>
        </w:rPr>
        <w:t xml:space="preserve">(средства, които повишават </w:t>
      </w:r>
      <w:r w:rsidRPr="001E796D">
        <w:rPr>
          <w:rFonts w:eastAsia="Times New Roman" w:cs="Arial"/>
          <w:color w:val="000000"/>
          <w:lang w:val="en-US"/>
        </w:rPr>
        <w:t xml:space="preserve">AUC </w:t>
      </w:r>
      <w:r w:rsidRPr="001E796D">
        <w:rPr>
          <w:rFonts w:eastAsia="Times New Roman" w:cs="Arial"/>
          <w:color w:val="000000"/>
          <w:lang w:eastAsia="bg-BG"/>
        </w:rPr>
        <w:t xml:space="preserve">приблизително 5 пъти или повече) е неизбежно, приемът на симвастатин трябва да бъде преустановен (и да се използват алтерлнативи на статините) за периода на другото лечение. Комбинацията на Комбинацията на симвастатин с други не толкова мощни инхибитори на </w:t>
      </w:r>
      <w:r w:rsidRPr="001E796D">
        <w:rPr>
          <w:rFonts w:eastAsia="Times New Roman" w:cs="Arial"/>
          <w:color w:val="000000"/>
          <w:lang w:val="en-US"/>
        </w:rPr>
        <w:t xml:space="preserve">CYP3A4: </w:t>
      </w:r>
      <w:r w:rsidRPr="001E796D">
        <w:rPr>
          <w:rFonts w:eastAsia="Times New Roman" w:cs="Arial"/>
          <w:color w:val="000000"/>
          <w:lang w:eastAsia="bg-BG"/>
        </w:rPr>
        <w:t>флуконазол, верапамил или дилтиазем (вж. точки 4.2 и 4.4) също изисква повишено внимание.</w:t>
      </w:r>
    </w:p>
    <w:p w14:paraId="0FDC539B" w14:textId="77777777" w:rsidR="001E796D" w:rsidRPr="001E796D" w:rsidRDefault="001E796D" w:rsidP="001E796D">
      <w:pPr>
        <w:spacing w:line="240" w:lineRule="auto"/>
        <w:rPr>
          <w:rFonts w:eastAsia="Times New Roman" w:cs="Arial"/>
          <w:i/>
          <w:iCs/>
          <w:color w:val="000000"/>
          <w:lang w:eastAsia="bg-BG"/>
        </w:rPr>
      </w:pPr>
    </w:p>
    <w:p w14:paraId="35A15C63" w14:textId="0A91A10E" w:rsidR="001E796D" w:rsidRPr="001E796D" w:rsidRDefault="001E796D" w:rsidP="001E796D">
      <w:pPr>
        <w:spacing w:line="240" w:lineRule="auto"/>
        <w:rPr>
          <w:rFonts w:eastAsia="Times New Roman" w:cs="Arial"/>
          <w:sz w:val="24"/>
          <w:szCs w:val="24"/>
          <w:lang w:eastAsia="bg-BG"/>
        </w:rPr>
      </w:pPr>
      <w:r w:rsidRPr="001E796D">
        <w:rPr>
          <w:rFonts w:eastAsia="Times New Roman" w:cs="Arial"/>
          <w:i/>
          <w:iCs/>
          <w:color w:val="000000"/>
          <w:lang w:eastAsia="bg-BG"/>
        </w:rPr>
        <w:t>Флуконазол</w:t>
      </w:r>
    </w:p>
    <w:p w14:paraId="57650C49" w14:textId="77777777" w:rsidR="001E796D" w:rsidRPr="001E796D" w:rsidRDefault="001E796D" w:rsidP="001E796D">
      <w:pPr>
        <w:spacing w:line="240" w:lineRule="auto"/>
        <w:rPr>
          <w:rFonts w:eastAsia="Times New Roman" w:cs="Arial"/>
          <w:color w:val="000000"/>
          <w:lang w:eastAsia="bg-BG"/>
        </w:rPr>
      </w:pPr>
    </w:p>
    <w:p w14:paraId="0A621D02" w14:textId="128019A8"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Докладвани са редки случаи на рабдомиолиза, свързана с едновременното приложение на симвастатин и флуконазол (вж. точка 4.4).</w:t>
      </w:r>
    </w:p>
    <w:p w14:paraId="26F608B5" w14:textId="77777777" w:rsidR="001E796D" w:rsidRPr="001E796D" w:rsidRDefault="001E796D" w:rsidP="001E796D">
      <w:pPr>
        <w:spacing w:line="240" w:lineRule="auto"/>
        <w:rPr>
          <w:rFonts w:eastAsia="Times New Roman" w:cs="Arial"/>
          <w:i/>
          <w:iCs/>
          <w:color w:val="000000"/>
          <w:lang w:eastAsia="bg-BG"/>
        </w:rPr>
      </w:pPr>
    </w:p>
    <w:p w14:paraId="70FF7D70" w14:textId="5A952695" w:rsidR="001E796D" w:rsidRPr="001E796D" w:rsidRDefault="001E796D" w:rsidP="001E796D">
      <w:pPr>
        <w:spacing w:line="240" w:lineRule="auto"/>
        <w:rPr>
          <w:rFonts w:eastAsia="Times New Roman" w:cs="Arial"/>
          <w:sz w:val="24"/>
          <w:szCs w:val="24"/>
          <w:lang w:eastAsia="bg-BG"/>
        </w:rPr>
      </w:pPr>
      <w:r w:rsidRPr="001E796D">
        <w:rPr>
          <w:rFonts w:eastAsia="Times New Roman" w:cs="Arial"/>
          <w:i/>
          <w:iCs/>
          <w:color w:val="000000"/>
          <w:lang w:eastAsia="bg-BG"/>
        </w:rPr>
        <w:t>Циклоспорин</w:t>
      </w:r>
    </w:p>
    <w:p w14:paraId="18C7CC02" w14:textId="77777777" w:rsidR="001E796D" w:rsidRPr="001E796D" w:rsidRDefault="001E796D" w:rsidP="001E796D">
      <w:pPr>
        <w:spacing w:line="240" w:lineRule="auto"/>
        <w:rPr>
          <w:rFonts w:eastAsia="Times New Roman" w:cs="Arial"/>
          <w:color w:val="000000"/>
          <w:lang w:eastAsia="bg-BG"/>
        </w:rPr>
      </w:pPr>
    </w:p>
    <w:p w14:paraId="147C15DF" w14:textId="47B8D4C8"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 xml:space="preserve">Рискът от развитие на миопатия/рабдомиолиза се повишава от едновременното приложение на циклоспорин със симвастатин, поради което използването с циклоспорин е противопоказано (вж. точка 4.3 и 4.4). Въпреки, че механизмът не е напълно изяснен, установено е, че циклоспорин води до повишаване на площта под кривата </w:t>
      </w:r>
      <w:r w:rsidRPr="001E796D">
        <w:rPr>
          <w:rFonts w:eastAsia="Times New Roman" w:cs="Arial"/>
          <w:color w:val="000000"/>
          <w:lang w:val="en-US"/>
        </w:rPr>
        <w:t xml:space="preserve">(AUC) </w:t>
      </w:r>
      <w:r w:rsidRPr="001E796D">
        <w:rPr>
          <w:rFonts w:eastAsia="Times New Roman" w:cs="Arial"/>
          <w:color w:val="000000"/>
          <w:lang w:eastAsia="bg-BG"/>
        </w:rPr>
        <w:t xml:space="preserve">на </w:t>
      </w:r>
      <w:r w:rsidRPr="001E796D">
        <w:rPr>
          <w:rFonts w:eastAsia="Times New Roman" w:cs="Arial"/>
          <w:color w:val="000000"/>
          <w:lang w:val="en-US"/>
        </w:rPr>
        <w:t xml:space="preserve">HMG-CoA </w:t>
      </w:r>
      <w:r w:rsidRPr="001E796D">
        <w:rPr>
          <w:rFonts w:eastAsia="Times New Roman" w:cs="Arial"/>
          <w:color w:val="000000"/>
          <w:lang w:eastAsia="bg-BG"/>
        </w:rPr>
        <w:t xml:space="preserve">редуктазни инхибитори. Повишаване на </w:t>
      </w:r>
      <w:r w:rsidRPr="001E796D">
        <w:rPr>
          <w:rFonts w:eastAsia="Times New Roman" w:cs="Arial"/>
          <w:color w:val="000000"/>
          <w:lang w:val="en-US"/>
        </w:rPr>
        <w:t xml:space="preserve">AUC </w:t>
      </w:r>
      <w:r w:rsidRPr="001E796D">
        <w:rPr>
          <w:rFonts w:eastAsia="Times New Roman" w:cs="Arial"/>
          <w:color w:val="000000"/>
          <w:lang w:eastAsia="bg-BG"/>
        </w:rPr>
        <w:t xml:space="preserve">на симвастатиновата киселина вероятно се дължи от части на инхибирането на </w:t>
      </w:r>
      <w:r w:rsidRPr="001E796D">
        <w:rPr>
          <w:rFonts w:eastAsia="Times New Roman" w:cs="Arial"/>
          <w:color w:val="000000"/>
          <w:lang w:val="en-US"/>
        </w:rPr>
        <w:t xml:space="preserve">CYP3A4 </w:t>
      </w:r>
      <w:r w:rsidRPr="001E796D">
        <w:rPr>
          <w:rFonts w:eastAsia="Times New Roman" w:cs="Arial"/>
          <w:color w:val="000000"/>
          <w:lang w:eastAsia="bg-BG"/>
        </w:rPr>
        <w:t>и/или ОАТР1В1.</w:t>
      </w:r>
    </w:p>
    <w:p w14:paraId="0956D0E6" w14:textId="77777777" w:rsidR="001E796D" w:rsidRPr="001E796D" w:rsidRDefault="001E796D" w:rsidP="001E796D">
      <w:pPr>
        <w:spacing w:line="240" w:lineRule="auto"/>
        <w:rPr>
          <w:rFonts w:eastAsia="Times New Roman" w:cs="Arial"/>
          <w:color w:val="000000"/>
          <w:vertAlign w:val="superscript"/>
          <w:lang w:eastAsia="bg-BG"/>
        </w:rPr>
      </w:pPr>
    </w:p>
    <w:p w14:paraId="775FB9F1" w14:textId="2FBBA191" w:rsidR="001E796D" w:rsidRPr="001E796D" w:rsidRDefault="001E796D" w:rsidP="001E796D">
      <w:pPr>
        <w:spacing w:line="240" w:lineRule="auto"/>
        <w:rPr>
          <w:rFonts w:eastAsia="Times New Roman" w:cs="Arial"/>
          <w:i/>
          <w:sz w:val="24"/>
          <w:szCs w:val="24"/>
          <w:lang w:eastAsia="bg-BG"/>
        </w:rPr>
      </w:pPr>
      <w:r w:rsidRPr="001E796D">
        <w:rPr>
          <w:rFonts w:eastAsia="Times New Roman" w:cs="Arial"/>
          <w:i/>
          <w:color w:val="000000"/>
          <w:lang w:eastAsia="bg-BG"/>
        </w:rPr>
        <w:t>Даназол</w:t>
      </w:r>
    </w:p>
    <w:p w14:paraId="1A31BDBA" w14:textId="77777777" w:rsidR="001E796D" w:rsidRPr="001E796D" w:rsidRDefault="001E796D" w:rsidP="001E796D">
      <w:pPr>
        <w:rPr>
          <w:rFonts w:eastAsia="Times New Roman" w:cs="Arial"/>
          <w:color w:val="000000"/>
          <w:lang w:eastAsia="bg-BG"/>
        </w:rPr>
      </w:pPr>
    </w:p>
    <w:p w14:paraId="0FE5DE9D" w14:textId="77777777" w:rsidR="0025330E" w:rsidRDefault="001E796D" w:rsidP="0025330E">
      <w:pPr>
        <w:rPr>
          <w:rFonts w:eastAsia="Times New Roman" w:cs="Arial"/>
          <w:color w:val="000000"/>
          <w:lang w:eastAsia="bg-BG"/>
        </w:rPr>
      </w:pPr>
      <w:r w:rsidRPr="001E796D">
        <w:rPr>
          <w:rFonts w:eastAsia="Times New Roman" w:cs="Arial"/>
          <w:color w:val="000000"/>
          <w:lang w:eastAsia="bg-BG"/>
        </w:rPr>
        <w:t>Рискът от развитие на миопатия и рабдомиолиза се увеличава при едновренно приложение на даназол със симвастатин, затова използването с даназол е противопоказано (вж. точки 4.3 и 4.4).</w:t>
      </w:r>
    </w:p>
    <w:p w14:paraId="2A77B111" w14:textId="77777777" w:rsidR="0025330E" w:rsidRDefault="0025330E" w:rsidP="0025330E">
      <w:pPr>
        <w:rPr>
          <w:rFonts w:eastAsia="Times New Roman" w:cs="Arial"/>
          <w:color w:val="000000"/>
          <w:lang w:eastAsia="bg-BG"/>
        </w:rPr>
      </w:pPr>
    </w:p>
    <w:p w14:paraId="01C0069A" w14:textId="0099E1CA" w:rsidR="0025330E" w:rsidRPr="0025330E" w:rsidRDefault="0025330E" w:rsidP="0025330E">
      <w:pPr>
        <w:rPr>
          <w:rFonts w:eastAsia="Times New Roman" w:cs="Arial"/>
          <w:color w:val="000000"/>
          <w:lang w:eastAsia="bg-BG"/>
        </w:rPr>
      </w:pPr>
      <w:r w:rsidRPr="0025330E">
        <w:rPr>
          <w:rFonts w:eastAsia="Times New Roman" w:cs="Arial"/>
          <w:i/>
          <w:iCs/>
          <w:color w:val="000000"/>
          <w:lang w:eastAsia="bg-BG"/>
        </w:rPr>
        <w:t>Гемфиброзил</w:t>
      </w:r>
    </w:p>
    <w:p w14:paraId="789F551B" w14:textId="77777777" w:rsidR="0025330E" w:rsidRPr="0025330E" w:rsidRDefault="0025330E" w:rsidP="0025330E">
      <w:pPr>
        <w:spacing w:line="240" w:lineRule="auto"/>
        <w:rPr>
          <w:rFonts w:eastAsia="Times New Roman" w:cs="Arial"/>
          <w:color w:val="000000"/>
          <w:lang w:eastAsia="bg-BG"/>
        </w:rPr>
      </w:pPr>
    </w:p>
    <w:p w14:paraId="3EC9EFBA" w14:textId="4CD092DF"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Гемфиброзил повишава </w:t>
      </w:r>
      <w:r w:rsidRPr="0025330E">
        <w:rPr>
          <w:rFonts w:eastAsia="Times New Roman" w:cs="Arial"/>
          <w:color w:val="000000"/>
          <w:lang w:val="en-US"/>
        </w:rPr>
        <w:t xml:space="preserve">AUC </w:t>
      </w:r>
      <w:r w:rsidRPr="0025330E">
        <w:rPr>
          <w:rFonts w:eastAsia="Times New Roman" w:cs="Arial"/>
          <w:color w:val="000000"/>
          <w:lang w:eastAsia="bg-BG"/>
        </w:rPr>
        <w:t>на симвастатиновата киселина с 1,9 пъти, вероятно поради инхибирането на пътя на глюкоронидацияга и/или ОАТР1В1 (вж. точки 4.3 и 4.4). Едновременното приложение с гемфиброзил е противопоказано.</w:t>
      </w:r>
    </w:p>
    <w:p w14:paraId="11D55429" w14:textId="77777777" w:rsidR="0025330E" w:rsidRPr="0025330E" w:rsidRDefault="0025330E" w:rsidP="0025330E">
      <w:pPr>
        <w:spacing w:line="240" w:lineRule="auto"/>
        <w:rPr>
          <w:rFonts w:eastAsia="Times New Roman" w:cs="Arial"/>
          <w:i/>
          <w:iCs/>
          <w:color w:val="000000"/>
          <w:lang w:eastAsia="bg-BG"/>
        </w:rPr>
      </w:pPr>
    </w:p>
    <w:p w14:paraId="63FE8BBC" w14:textId="282AED10" w:rsidR="0025330E" w:rsidRPr="0025330E" w:rsidRDefault="0025330E" w:rsidP="0025330E">
      <w:pPr>
        <w:spacing w:line="240" w:lineRule="auto"/>
        <w:rPr>
          <w:rFonts w:eastAsia="Times New Roman" w:cs="Arial"/>
          <w:sz w:val="24"/>
          <w:szCs w:val="24"/>
          <w:lang w:eastAsia="bg-BG"/>
        </w:rPr>
      </w:pPr>
      <w:r w:rsidRPr="0025330E">
        <w:rPr>
          <w:rFonts w:eastAsia="Times New Roman" w:cs="Arial"/>
          <w:i/>
          <w:iCs/>
          <w:color w:val="000000"/>
          <w:lang w:eastAsia="bg-BG"/>
        </w:rPr>
        <w:t>Фузидова киселина</w:t>
      </w:r>
    </w:p>
    <w:p w14:paraId="67E2A18E" w14:textId="77777777" w:rsidR="0025330E" w:rsidRPr="0025330E" w:rsidRDefault="0025330E" w:rsidP="0025330E">
      <w:pPr>
        <w:spacing w:line="240" w:lineRule="auto"/>
        <w:rPr>
          <w:rFonts w:eastAsia="Times New Roman" w:cs="Arial"/>
          <w:color w:val="000000"/>
          <w:lang w:eastAsia="bg-BG"/>
        </w:rPr>
      </w:pPr>
    </w:p>
    <w:p w14:paraId="3743A1FC" w14:textId="400A581A"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Рискът от миопатия, включително рабдомиолиза, може да бъде повишен от едновременното системно приложение на фузидова киселина заедно със статини. Механизмът на това взаимодействие (независимо дали е фармакодинамичен, фармакокинетичен, или и двете) е все още неизвестен. Има съобщения за случаи на рабдомиолиза (включително и с летален изход) при пациенти, приемащи тази комбинация.</w:t>
      </w:r>
    </w:p>
    <w:p w14:paraId="38AA0F99" w14:textId="77777777"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Съвместното приложение на тази комбинация може да повиши плазмените концентрации на двата продукта. Ако лечението с фузидова киселина със системно действие е наложително, лечението със симвастатин трябва да се прекрати за периода на лечение с фузидова киселина. Вижте също точка 4.4.</w:t>
      </w:r>
    </w:p>
    <w:p w14:paraId="3BBA3659" w14:textId="77777777" w:rsidR="0025330E" w:rsidRPr="0025330E" w:rsidRDefault="0025330E" w:rsidP="0025330E">
      <w:pPr>
        <w:spacing w:line="240" w:lineRule="auto"/>
        <w:rPr>
          <w:rFonts w:eastAsia="Times New Roman" w:cs="Arial"/>
          <w:i/>
          <w:iCs/>
          <w:color w:val="000000"/>
          <w:lang w:eastAsia="bg-BG"/>
        </w:rPr>
      </w:pPr>
    </w:p>
    <w:p w14:paraId="6F252C42" w14:textId="30976995" w:rsidR="0025330E" w:rsidRPr="0025330E" w:rsidRDefault="0025330E" w:rsidP="0025330E">
      <w:pPr>
        <w:spacing w:line="240" w:lineRule="auto"/>
        <w:rPr>
          <w:rFonts w:eastAsia="Times New Roman" w:cs="Arial"/>
          <w:sz w:val="24"/>
          <w:szCs w:val="24"/>
          <w:lang w:eastAsia="bg-BG"/>
        </w:rPr>
      </w:pPr>
      <w:r w:rsidRPr="0025330E">
        <w:rPr>
          <w:rFonts w:eastAsia="Times New Roman" w:cs="Arial"/>
          <w:i/>
          <w:iCs/>
          <w:color w:val="000000"/>
          <w:lang w:eastAsia="bg-BG"/>
        </w:rPr>
        <w:t>Амиодарон</w:t>
      </w:r>
    </w:p>
    <w:p w14:paraId="7C56C75B" w14:textId="77777777" w:rsidR="0025330E" w:rsidRPr="0025330E" w:rsidRDefault="0025330E" w:rsidP="0025330E">
      <w:pPr>
        <w:spacing w:line="240" w:lineRule="auto"/>
        <w:rPr>
          <w:rFonts w:eastAsia="Times New Roman" w:cs="Arial"/>
          <w:color w:val="000000"/>
          <w:lang w:eastAsia="bg-BG"/>
        </w:rPr>
      </w:pPr>
    </w:p>
    <w:p w14:paraId="001FCB5A" w14:textId="71C3B72A"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 xml:space="preserve">Рискът от миопатия и рабдомиолиза се увеличава при едновременно приложение на амиодарон със симвастатин (вж. точки 4.4). В клинично проучване за миопатия било съобщено при 6% от пациентите, приемащи симвастатин 80 </w:t>
      </w:r>
      <w:r w:rsidRPr="0025330E">
        <w:rPr>
          <w:rFonts w:eastAsia="Times New Roman" w:cs="Arial"/>
          <w:color w:val="000000"/>
          <w:lang w:val="en-US"/>
        </w:rPr>
        <w:t xml:space="preserve">mg </w:t>
      </w:r>
      <w:r w:rsidRPr="0025330E">
        <w:rPr>
          <w:rFonts w:eastAsia="Times New Roman" w:cs="Arial"/>
          <w:color w:val="000000"/>
          <w:lang w:eastAsia="bg-BG"/>
        </w:rPr>
        <w:t xml:space="preserve">и амиодарон. Следователно дозата на симвастатин не трябва да надвишава 20 </w:t>
      </w:r>
      <w:r w:rsidRPr="0025330E">
        <w:rPr>
          <w:rFonts w:eastAsia="Times New Roman" w:cs="Arial"/>
          <w:color w:val="000000"/>
          <w:lang w:val="en-US"/>
        </w:rPr>
        <w:t xml:space="preserve">mg </w:t>
      </w:r>
      <w:r w:rsidRPr="0025330E">
        <w:rPr>
          <w:rFonts w:eastAsia="Times New Roman" w:cs="Arial"/>
          <w:color w:val="000000"/>
          <w:lang w:eastAsia="bg-BG"/>
        </w:rPr>
        <w:t>дневно при пациенти, които получават едновременно лечение с амиодарон.</w:t>
      </w:r>
    </w:p>
    <w:p w14:paraId="36BF61D8" w14:textId="77777777" w:rsidR="0025330E" w:rsidRPr="0025330E" w:rsidRDefault="0025330E" w:rsidP="0025330E">
      <w:pPr>
        <w:spacing w:line="240" w:lineRule="auto"/>
        <w:rPr>
          <w:rFonts w:eastAsia="Times New Roman" w:cs="Arial"/>
          <w:i/>
          <w:iCs/>
          <w:color w:val="000000"/>
          <w:lang w:eastAsia="bg-BG"/>
        </w:rPr>
      </w:pPr>
    </w:p>
    <w:p w14:paraId="5EC8FA69" w14:textId="671973BB" w:rsidR="0025330E" w:rsidRPr="0025330E" w:rsidRDefault="0025330E" w:rsidP="0025330E">
      <w:pPr>
        <w:spacing w:line="240" w:lineRule="auto"/>
        <w:rPr>
          <w:rFonts w:eastAsia="Times New Roman" w:cs="Arial"/>
          <w:i/>
          <w:iCs/>
          <w:color w:val="000000"/>
          <w:lang w:eastAsia="bg-BG"/>
        </w:rPr>
      </w:pPr>
      <w:r w:rsidRPr="0025330E">
        <w:rPr>
          <w:rFonts w:eastAsia="Times New Roman" w:cs="Arial"/>
          <w:i/>
          <w:iCs/>
          <w:color w:val="000000"/>
          <w:lang w:eastAsia="bg-BG"/>
        </w:rPr>
        <w:t>Блокери на калциевите канали</w:t>
      </w:r>
    </w:p>
    <w:p w14:paraId="5679CC16" w14:textId="77777777" w:rsidR="0025330E" w:rsidRPr="0025330E" w:rsidRDefault="0025330E" w:rsidP="0025330E">
      <w:pPr>
        <w:spacing w:line="240" w:lineRule="auto"/>
        <w:rPr>
          <w:rFonts w:eastAsia="Times New Roman" w:cs="Arial"/>
          <w:lang w:eastAsia="bg-BG"/>
        </w:rPr>
      </w:pPr>
    </w:p>
    <w:p w14:paraId="5F3B6942" w14:textId="77777777" w:rsidR="0025330E" w:rsidRPr="0025330E" w:rsidRDefault="0025330E" w:rsidP="0025330E">
      <w:pPr>
        <w:numPr>
          <w:ilvl w:val="0"/>
          <w:numId w:val="2"/>
        </w:numPr>
        <w:spacing w:line="240" w:lineRule="auto"/>
        <w:rPr>
          <w:rFonts w:eastAsia="Times New Roman" w:cs="Arial"/>
          <w:i/>
          <w:iCs/>
          <w:color w:val="000000"/>
          <w:lang w:eastAsia="bg-BG"/>
        </w:rPr>
      </w:pPr>
      <w:r w:rsidRPr="0025330E">
        <w:rPr>
          <w:rFonts w:eastAsia="Times New Roman" w:cs="Arial"/>
          <w:i/>
          <w:iCs/>
          <w:color w:val="000000"/>
          <w:lang w:eastAsia="bg-BG"/>
        </w:rPr>
        <w:t>Верапамил</w:t>
      </w:r>
    </w:p>
    <w:p w14:paraId="0541EC69" w14:textId="19974B33" w:rsidR="0025330E" w:rsidRPr="0025330E" w:rsidRDefault="0025330E" w:rsidP="0025330E">
      <w:pPr>
        <w:spacing w:line="240" w:lineRule="auto"/>
        <w:rPr>
          <w:rFonts w:eastAsia="Times New Roman" w:cs="Arial"/>
          <w:color w:val="000000"/>
          <w:lang w:val="en-US"/>
        </w:rPr>
      </w:pPr>
      <w:r w:rsidRPr="0025330E">
        <w:rPr>
          <w:rFonts w:eastAsia="Times New Roman" w:cs="Arial"/>
          <w:color w:val="000000"/>
          <w:lang w:eastAsia="bg-BG"/>
        </w:rPr>
        <w:t xml:space="preserve">Рискът от миопатия и рабдомиолиза е повишен при едновременното приложение на верапамил с 40 </w:t>
      </w:r>
      <w:r w:rsidRPr="0025330E">
        <w:rPr>
          <w:rFonts w:eastAsia="Times New Roman" w:cs="Arial"/>
          <w:color w:val="000000"/>
          <w:lang w:val="en-US"/>
        </w:rPr>
        <w:t xml:space="preserve">mg </w:t>
      </w:r>
      <w:r w:rsidRPr="0025330E">
        <w:rPr>
          <w:rFonts w:eastAsia="Times New Roman" w:cs="Arial"/>
          <w:color w:val="000000"/>
          <w:lang w:eastAsia="bg-BG"/>
        </w:rPr>
        <w:t xml:space="preserve">или 80 </w:t>
      </w:r>
      <w:r w:rsidRPr="0025330E">
        <w:rPr>
          <w:rFonts w:eastAsia="Times New Roman" w:cs="Arial"/>
          <w:color w:val="000000"/>
          <w:lang w:val="en-US"/>
        </w:rPr>
        <w:t xml:space="preserve">mg </w:t>
      </w:r>
      <w:r w:rsidRPr="0025330E">
        <w:rPr>
          <w:rFonts w:eastAsia="Times New Roman" w:cs="Arial"/>
          <w:color w:val="000000"/>
          <w:lang w:eastAsia="bg-BG"/>
        </w:rPr>
        <w:t xml:space="preserve">симвастатин (вж. точка 4.4). В едно фармакокинетично проучване едновременното приложение на верапамил води до 2,3-кратно повишаване на експозицията на симвастатиновата киселина, което вероятно се дължи от части на инхибирането на </w:t>
      </w:r>
      <w:r w:rsidRPr="0025330E">
        <w:rPr>
          <w:rFonts w:eastAsia="Times New Roman" w:cs="Arial"/>
          <w:color w:val="000000"/>
          <w:lang w:val="en-US"/>
        </w:rPr>
        <w:t xml:space="preserve">CYP3A4. </w:t>
      </w:r>
      <w:r w:rsidRPr="0025330E">
        <w:rPr>
          <w:rFonts w:eastAsia="Times New Roman" w:cs="Arial"/>
          <w:color w:val="000000"/>
          <w:lang w:eastAsia="bg-BG"/>
        </w:rPr>
        <w:t xml:space="preserve">Затова при пациенти, получаващи едновременно лечение с верапамил, дневната доза на симвастатин не трябва да надвишава 20 </w:t>
      </w:r>
      <w:r w:rsidRPr="0025330E">
        <w:rPr>
          <w:rFonts w:eastAsia="Times New Roman" w:cs="Arial"/>
          <w:color w:val="000000"/>
          <w:lang w:val="en-US"/>
        </w:rPr>
        <w:t>mg.</w:t>
      </w:r>
    </w:p>
    <w:p w14:paraId="5C2CA9E2" w14:textId="77777777" w:rsidR="0025330E" w:rsidRPr="0025330E" w:rsidRDefault="0025330E" w:rsidP="0025330E">
      <w:pPr>
        <w:spacing w:line="240" w:lineRule="auto"/>
        <w:rPr>
          <w:rFonts w:eastAsia="Times New Roman" w:cs="Arial"/>
          <w:lang w:eastAsia="bg-BG"/>
        </w:rPr>
      </w:pPr>
    </w:p>
    <w:p w14:paraId="4D172D0B" w14:textId="77777777" w:rsidR="0025330E" w:rsidRPr="0025330E" w:rsidRDefault="0025330E" w:rsidP="0025330E">
      <w:pPr>
        <w:numPr>
          <w:ilvl w:val="0"/>
          <w:numId w:val="2"/>
        </w:numPr>
        <w:spacing w:line="240" w:lineRule="auto"/>
        <w:rPr>
          <w:rFonts w:eastAsia="Times New Roman" w:cs="Arial"/>
          <w:i/>
          <w:iCs/>
          <w:color w:val="000000"/>
          <w:lang w:eastAsia="bg-BG"/>
        </w:rPr>
      </w:pPr>
      <w:r w:rsidRPr="0025330E">
        <w:rPr>
          <w:rFonts w:eastAsia="Times New Roman" w:cs="Arial"/>
          <w:i/>
          <w:iCs/>
          <w:color w:val="000000"/>
          <w:lang w:eastAsia="bg-BG"/>
        </w:rPr>
        <w:t>Дилтиазем</w:t>
      </w:r>
    </w:p>
    <w:p w14:paraId="0D27E1FB" w14:textId="387E3272" w:rsidR="0025330E" w:rsidRPr="0025330E" w:rsidRDefault="0025330E" w:rsidP="0025330E">
      <w:pPr>
        <w:spacing w:line="240" w:lineRule="auto"/>
        <w:rPr>
          <w:rFonts w:eastAsia="Times New Roman" w:cs="Arial"/>
          <w:color w:val="000000"/>
          <w:lang w:val="en-US"/>
        </w:rPr>
      </w:pPr>
      <w:r w:rsidRPr="0025330E">
        <w:rPr>
          <w:rFonts w:eastAsia="Times New Roman" w:cs="Arial"/>
          <w:color w:val="000000"/>
          <w:lang w:eastAsia="bg-BG"/>
        </w:rPr>
        <w:t xml:space="preserve">Рискът от миопатия и рабдомиолиза е повишен от едновременното приложение на дилтиазем с 80 </w:t>
      </w:r>
      <w:r w:rsidRPr="0025330E">
        <w:rPr>
          <w:rFonts w:eastAsia="Times New Roman" w:cs="Arial"/>
          <w:color w:val="000000"/>
          <w:lang w:val="en-US"/>
        </w:rPr>
        <w:t xml:space="preserve">mg </w:t>
      </w:r>
      <w:r w:rsidRPr="0025330E">
        <w:rPr>
          <w:rFonts w:eastAsia="Times New Roman" w:cs="Arial"/>
          <w:color w:val="000000"/>
          <w:lang w:eastAsia="bg-BG"/>
        </w:rPr>
        <w:t xml:space="preserve">симвастатин (вж. точка 4.4). В едно фармакокинетично проучване, едновременното приложение на дилтиазем води до 2,7-кратно нарастване на експозицията на симвастатинова киселина, което вероятно се дължи на инхибирането на </w:t>
      </w:r>
      <w:r w:rsidRPr="0025330E">
        <w:rPr>
          <w:rFonts w:eastAsia="Times New Roman" w:cs="Arial"/>
          <w:color w:val="000000"/>
          <w:lang w:val="en-US"/>
        </w:rPr>
        <w:t xml:space="preserve">CYP3A4. </w:t>
      </w:r>
      <w:r w:rsidRPr="0025330E">
        <w:rPr>
          <w:rFonts w:eastAsia="Times New Roman" w:cs="Arial"/>
          <w:color w:val="000000"/>
          <w:lang w:eastAsia="bg-BG"/>
        </w:rPr>
        <w:t xml:space="preserve">Затова при пациенти, лекувани едновременно с дилтиазем, дневната дозата на симвастатин не трябва да надвишава 20 </w:t>
      </w:r>
      <w:r w:rsidRPr="0025330E">
        <w:rPr>
          <w:rFonts w:eastAsia="Times New Roman" w:cs="Arial"/>
          <w:color w:val="000000"/>
          <w:lang w:val="en-US"/>
        </w:rPr>
        <w:t>mg.</w:t>
      </w:r>
    </w:p>
    <w:p w14:paraId="5C62161B" w14:textId="77777777" w:rsidR="0025330E" w:rsidRPr="0025330E" w:rsidRDefault="0025330E" w:rsidP="0025330E">
      <w:pPr>
        <w:spacing w:line="240" w:lineRule="auto"/>
        <w:rPr>
          <w:rFonts w:eastAsia="Times New Roman" w:cs="Arial"/>
          <w:lang w:eastAsia="bg-BG"/>
        </w:rPr>
      </w:pPr>
    </w:p>
    <w:p w14:paraId="4E150BA3" w14:textId="77777777" w:rsidR="0025330E" w:rsidRPr="0025330E" w:rsidRDefault="0025330E" w:rsidP="0025330E">
      <w:pPr>
        <w:numPr>
          <w:ilvl w:val="0"/>
          <w:numId w:val="2"/>
        </w:numPr>
        <w:spacing w:line="240" w:lineRule="auto"/>
        <w:rPr>
          <w:rFonts w:eastAsia="Times New Roman" w:cs="Arial"/>
          <w:i/>
          <w:iCs/>
          <w:color w:val="000000"/>
          <w:lang w:eastAsia="bg-BG"/>
        </w:rPr>
      </w:pPr>
      <w:r w:rsidRPr="0025330E">
        <w:rPr>
          <w:rFonts w:eastAsia="Times New Roman" w:cs="Arial"/>
          <w:i/>
          <w:iCs/>
          <w:color w:val="000000"/>
          <w:lang w:eastAsia="bg-BG"/>
        </w:rPr>
        <w:t>Амлодипин</w:t>
      </w:r>
    </w:p>
    <w:p w14:paraId="186C4190" w14:textId="39F6E9B8" w:rsidR="0025330E" w:rsidRPr="0025330E" w:rsidRDefault="0025330E" w:rsidP="0025330E">
      <w:pPr>
        <w:spacing w:line="240" w:lineRule="auto"/>
        <w:rPr>
          <w:rFonts w:eastAsia="Times New Roman" w:cs="Arial"/>
          <w:color w:val="000000"/>
          <w:lang w:eastAsia="bg-BG"/>
        </w:rPr>
      </w:pPr>
      <w:r w:rsidRPr="0025330E">
        <w:rPr>
          <w:rFonts w:eastAsia="Times New Roman" w:cs="Arial"/>
          <w:color w:val="000000"/>
          <w:lang w:eastAsia="bg-BG"/>
        </w:rPr>
        <w:t xml:space="preserve">Пациенти на амлодипин, лекувани едновременно със симвастатин са в повишен риск от миопатия. Във фармакокинетично проучване, едновременното приложение на амлодипин е причинило 1,6 пъти повишение в експозицията на симвастатинова киселина. </w:t>
      </w:r>
      <w:r w:rsidRPr="0025330E">
        <w:rPr>
          <w:rFonts w:eastAsia="Times New Roman" w:cs="Arial"/>
          <w:color w:val="000000"/>
          <w:lang w:eastAsia="bg-BG"/>
        </w:rPr>
        <w:lastRenderedPageBreak/>
        <w:t>Следователно дозата на симвастатин не трябва да надвишава 20</w:t>
      </w:r>
      <w:r w:rsidRPr="0025330E">
        <w:rPr>
          <w:rFonts w:eastAsia="Times New Roman" w:cs="Arial"/>
          <w:color w:val="000000"/>
          <w:lang w:val="en-US"/>
        </w:rPr>
        <w:t xml:space="preserve"> mg/</w:t>
      </w:r>
      <w:r w:rsidRPr="0025330E">
        <w:rPr>
          <w:rFonts w:eastAsia="Times New Roman" w:cs="Arial"/>
          <w:color w:val="000000"/>
          <w:lang w:eastAsia="bg-BG"/>
        </w:rPr>
        <w:t>дневно при пациенти, лекувани едновременно с амлодипин.</w:t>
      </w:r>
    </w:p>
    <w:p w14:paraId="5070FE80" w14:textId="77777777" w:rsidR="0025330E" w:rsidRPr="0025330E" w:rsidRDefault="0025330E" w:rsidP="0025330E">
      <w:pPr>
        <w:spacing w:line="240" w:lineRule="auto"/>
        <w:rPr>
          <w:rFonts w:eastAsia="Times New Roman" w:cs="Arial"/>
          <w:lang w:eastAsia="bg-BG"/>
        </w:rPr>
      </w:pPr>
    </w:p>
    <w:p w14:paraId="2481126E" w14:textId="267EB586" w:rsidR="0025330E" w:rsidRPr="0025330E" w:rsidRDefault="0025330E" w:rsidP="0025330E">
      <w:pPr>
        <w:numPr>
          <w:ilvl w:val="0"/>
          <w:numId w:val="2"/>
        </w:numPr>
        <w:spacing w:line="240" w:lineRule="auto"/>
        <w:rPr>
          <w:rFonts w:eastAsia="Times New Roman" w:cs="Arial"/>
          <w:i/>
          <w:iCs/>
          <w:color w:val="000000"/>
          <w:lang w:eastAsia="bg-BG"/>
        </w:rPr>
      </w:pPr>
      <w:r w:rsidRPr="0025330E">
        <w:rPr>
          <w:rFonts w:eastAsia="Times New Roman" w:cs="Arial"/>
          <w:i/>
          <w:iCs/>
          <w:color w:val="000000"/>
          <w:lang w:eastAsia="bg-BG"/>
        </w:rPr>
        <w:t>Ломитапид</w:t>
      </w:r>
    </w:p>
    <w:p w14:paraId="06ACBDB6" w14:textId="77777777"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При едновременно приложение на ломитапид със симвастатин, рискът от миопатия и</w:t>
      </w:r>
    </w:p>
    <w:p w14:paraId="433B1069" w14:textId="77777777" w:rsidR="0025330E" w:rsidRPr="0025330E" w:rsidRDefault="0025330E" w:rsidP="0025330E">
      <w:pPr>
        <w:rPr>
          <w:rFonts w:eastAsia="Times New Roman" w:cs="Arial"/>
          <w:lang w:eastAsia="bg-BG"/>
        </w:rPr>
      </w:pPr>
      <w:r w:rsidRPr="0025330E">
        <w:rPr>
          <w:rFonts w:eastAsia="Times New Roman" w:cs="Arial"/>
          <w:color w:val="000000"/>
          <w:lang w:eastAsia="bg-BG"/>
        </w:rPr>
        <w:t xml:space="preserve">рабдомиолиза може да се повиши (вижте точки 4.3 и 4.4). Следователно, при пациенти сХоФХ, дозата на симвастатин не трябва да надвишава 40 </w:t>
      </w:r>
      <w:r w:rsidRPr="0025330E">
        <w:rPr>
          <w:rFonts w:eastAsia="Times New Roman" w:cs="Arial"/>
          <w:color w:val="000000"/>
          <w:lang w:val="en-US"/>
        </w:rPr>
        <w:t xml:space="preserve">mg </w:t>
      </w:r>
      <w:r w:rsidRPr="0025330E">
        <w:rPr>
          <w:rFonts w:eastAsia="Times New Roman" w:cs="Arial"/>
          <w:color w:val="000000"/>
          <w:lang w:eastAsia="bg-BG"/>
        </w:rPr>
        <w:t>дневно при съпътстваща терапия с ломитапид.</w:t>
      </w:r>
    </w:p>
    <w:p w14:paraId="07402EDE" w14:textId="77777777" w:rsidR="0025330E" w:rsidRPr="0025330E" w:rsidRDefault="0025330E" w:rsidP="0025330E">
      <w:pPr>
        <w:spacing w:line="240" w:lineRule="auto"/>
        <w:rPr>
          <w:rFonts w:eastAsia="Times New Roman" w:cs="Arial"/>
          <w:i/>
          <w:iCs/>
          <w:color w:val="000000"/>
          <w:lang w:eastAsia="bg-BG"/>
        </w:rPr>
      </w:pPr>
    </w:p>
    <w:p w14:paraId="4BF16B61" w14:textId="2B556CEB"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 xml:space="preserve">Умерени инхибитори на </w:t>
      </w:r>
      <w:r w:rsidRPr="0025330E">
        <w:rPr>
          <w:rFonts w:eastAsia="Times New Roman" w:cs="Arial"/>
          <w:i/>
          <w:iCs/>
          <w:color w:val="000000"/>
          <w:lang w:val="en-US"/>
        </w:rPr>
        <w:t>CYP3A4</w:t>
      </w:r>
    </w:p>
    <w:p w14:paraId="3436848E" w14:textId="77777777" w:rsidR="0025330E" w:rsidRPr="0025330E" w:rsidRDefault="0025330E" w:rsidP="0025330E">
      <w:pPr>
        <w:spacing w:line="240" w:lineRule="auto"/>
        <w:rPr>
          <w:rFonts w:eastAsia="Times New Roman" w:cs="Arial"/>
          <w:color w:val="000000"/>
          <w:lang w:eastAsia="bg-BG"/>
        </w:rPr>
      </w:pPr>
    </w:p>
    <w:p w14:paraId="07B153EA" w14:textId="4452B6AB"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 xml:space="preserve">Пациентите, приемащи други лекарства, известни с умерено инхибиращия си ефект върху </w:t>
      </w:r>
      <w:r w:rsidRPr="0025330E">
        <w:rPr>
          <w:rFonts w:eastAsia="Times New Roman" w:cs="Arial"/>
          <w:color w:val="000000"/>
          <w:lang w:val="en-US"/>
        </w:rPr>
        <w:t>CYP3</w:t>
      </w:r>
      <w:r w:rsidRPr="0025330E">
        <w:rPr>
          <w:rFonts w:eastAsia="Times New Roman" w:cs="Arial"/>
          <w:color w:val="000000"/>
          <w:lang w:eastAsia="bg-BG"/>
        </w:rPr>
        <w:t>А4 едновременно със симвастатин, по-специално с по-високи дози симвастатин, може да са с повишен риск от миопатия. (вж. точка 4.4).</w:t>
      </w:r>
    </w:p>
    <w:p w14:paraId="59A8A1F4" w14:textId="77777777" w:rsidR="0025330E" w:rsidRPr="0025330E" w:rsidRDefault="0025330E" w:rsidP="0025330E">
      <w:pPr>
        <w:spacing w:line="240" w:lineRule="auto"/>
        <w:rPr>
          <w:rFonts w:eastAsia="Times New Roman" w:cs="Arial"/>
          <w:i/>
          <w:iCs/>
          <w:color w:val="000000"/>
          <w:lang w:eastAsia="bg-BG"/>
        </w:rPr>
      </w:pPr>
    </w:p>
    <w:p w14:paraId="38ECEC29" w14:textId="6F9F9F21"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Инхибитори на транспортния протеин ОАТР1В1</w:t>
      </w:r>
    </w:p>
    <w:p w14:paraId="548271D2" w14:textId="77777777" w:rsidR="0025330E" w:rsidRPr="0025330E" w:rsidRDefault="0025330E" w:rsidP="0025330E">
      <w:pPr>
        <w:spacing w:line="240" w:lineRule="auto"/>
        <w:rPr>
          <w:rFonts w:eastAsia="Times New Roman" w:cs="Arial"/>
          <w:color w:val="000000"/>
          <w:lang w:eastAsia="bg-BG"/>
        </w:rPr>
      </w:pPr>
    </w:p>
    <w:p w14:paraId="742CA48D" w14:textId="3559E3BC"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Симвастатиновата киселина е субстрат на транспортния протеин ОАТР1В1. Едновременното приложение на лекарствени продукти, които са инхибитори на транспортния протеин ОАТР1В1, може да доведе до повишаване на плазмените концентрации на симвастатинова киселина и повишен риск от миопатия (вж. точки 43 и 4.4).</w:t>
      </w:r>
    </w:p>
    <w:p w14:paraId="21DB95EE" w14:textId="77777777" w:rsidR="0025330E" w:rsidRPr="0025330E" w:rsidRDefault="0025330E" w:rsidP="0025330E">
      <w:pPr>
        <w:spacing w:line="240" w:lineRule="auto"/>
        <w:rPr>
          <w:rFonts w:eastAsia="Times New Roman" w:cs="Arial"/>
          <w:i/>
          <w:iCs/>
          <w:color w:val="000000"/>
          <w:lang w:eastAsia="bg-BG"/>
        </w:rPr>
      </w:pPr>
    </w:p>
    <w:p w14:paraId="6FB1B63F" w14:textId="3AA9DEF8"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 xml:space="preserve">Инхибитори на протеина на резистентност на рака на гърдата </w:t>
      </w:r>
      <w:r w:rsidRPr="0025330E">
        <w:rPr>
          <w:rFonts w:eastAsia="Times New Roman" w:cs="Arial"/>
          <w:i/>
          <w:iCs/>
          <w:color w:val="000000"/>
          <w:lang w:val="en-US"/>
        </w:rPr>
        <w:t>(BCRP)</w:t>
      </w:r>
    </w:p>
    <w:p w14:paraId="08A2FBB9" w14:textId="77777777" w:rsidR="0025330E" w:rsidRPr="0025330E" w:rsidRDefault="0025330E" w:rsidP="0025330E">
      <w:pPr>
        <w:spacing w:line="240" w:lineRule="auto"/>
        <w:rPr>
          <w:rFonts w:eastAsia="Times New Roman" w:cs="Arial"/>
          <w:color w:val="000000"/>
          <w:lang w:eastAsia="bg-BG"/>
        </w:rPr>
      </w:pPr>
    </w:p>
    <w:p w14:paraId="0FA98700" w14:textId="00138A08"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 xml:space="preserve">Едновременно приложение на лекарствени продукти, които са инхибитори на </w:t>
      </w:r>
      <w:r w:rsidRPr="0025330E">
        <w:rPr>
          <w:rFonts w:eastAsia="Times New Roman" w:cs="Arial"/>
          <w:color w:val="000000"/>
          <w:lang w:val="en-US"/>
        </w:rPr>
        <w:t xml:space="preserve">BCRP, </w:t>
      </w:r>
      <w:r w:rsidRPr="0025330E">
        <w:rPr>
          <w:rFonts w:eastAsia="Times New Roman" w:cs="Arial"/>
          <w:color w:val="000000"/>
          <w:lang w:eastAsia="bg-BG"/>
        </w:rPr>
        <w:t>включително продукти съдържащи елбасвир или гразопревир, може да доведе до повишени плазмени концентрации на симвастатин и повишен риск от миопатия (вж. точки 4.2 и 4.4).</w:t>
      </w:r>
    </w:p>
    <w:p w14:paraId="4B44A468" w14:textId="77777777" w:rsidR="0025330E" w:rsidRPr="0025330E" w:rsidRDefault="0025330E" w:rsidP="0025330E">
      <w:pPr>
        <w:spacing w:line="240" w:lineRule="auto"/>
        <w:rPr>
          <w:rFonts w:eastAsia="Times New Roman" w:cs="Arial"/>
          <w:i/>
          <w:iCs/>
          <w:color w:val="000000"/>
          <w:lang w:eastAsia="bg-BG"/>
        </w:rPr>
      </w:pPr>
    </w:p>
    <w:p w14:paraId="75ACC511" w14:textId="51DAA04E"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Ниацин (никотинова киселина)</w:t>
      </w:r>
    </w:p>
    <w:p w14:paraId="4FD1B216" w14:textId="77777777" w:rsidR="0025330E" w:rsidRPr="0025330E" w:rsidRDefault="0025330E" w:rsidP="0025330E">
      <w:pPr>
        <w:spacing w:line="240" w:lineRule="auto"/>
        <w:rPr>
          <w:rFonts w:eastAsia="Times New Roman" w:cs="Arial"/>
          <w:color w:val="000000"/>
          <w:lang w:eastAsia="bg-BG"/>
        </w:rPr>
      </w:pPr>
    </w:p>
    <w:p w14:paraId="0011149E" w14:textId="2364099E"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 xml:space="preserve">Редки случаи на миопатия/рабдомиолиза са били асоциирани с едновременното прилагане на симвастатин и липидомодифициращи дози (≥ 1 </w:t>
      </w:r>
      <w:r w:rsidRPr="0025330E">
        <w:rPr>
          <w:rFonts w:eastAsia="Times New Roman" w:cs="Arial"/>
          <w:color w:val="000000"/>
          <w:lang w:val="en-US"/>
        </w:rPr>
        <w:t>g</w:t>
      </w:r>
      <w:r w:rsidRPr="0025330E">
        <w:rPr>
          <w:rFonts w:eastAsia="Times New Roman" w:cs="Arial"/>
          <w:color w:val="000000"/>
          <w:lang w:eastAsia="bg-BG"/>
        </w:rPr>
        <w:t xml:space="preserve">/дневно) ниацин (никотинова киселина). Във фармакокинетично проучване, едновременното приложение на единична доза никотинова киселина 2 </w:t>
      </w:r>
      <w:r w:rsidRPr="0025330E">
        <w:rPr>
          <w:rFonts w:eastAsia="Times New Roman" w:cs="Arial"/>
          <w:color w:val="000000"/>
          <w:lang w:val="en-US"/>
        </w:rPr>
        <w:t xml:space="preserve">g </w:t>
      </w:r>
      <w:r w:rsidRPr="0025330E">
        <w:rPr>
          <w:rFonts w:eastAsia="Times New Roman" w:cs="Arial"/>
          <w:color w:val="000000"/>
          <w:lang w:eastAsia="bg-BG"/>
        </w:rPr>
        <w:t xml:space="preserve">с удължено освобождаване с 20 </w:t>
      </w:r>
      <w:r w:rsidRPr="0025330E">
        <w:rPr>
          <w:rFonts w:eastAsia="Times New Roman" w:cs="Arial"/>
          <w:color w:val="000000"/>
          <w:lang w:val="en-US"/>
        </w:rPr>
        <w:t xml:space="preserve">mg </w:t>
      </w:r>
      <w:r w:rsidRPr="0025330E">
        <w:rPr>
          <w:rFonts w:eastAsia="Times New Roman" w:cs="Arial"/>
          <w:color w:val="000000"/>
          <w:lang w:eastAsia="bg-BG"/>
        </w:rPr>
        <w:t xml:space="preserve">симвастатин, е довело до умерено увеличаване на площта под кривата доза-ефект </w:t>
      </w:r>
      <w:r w:rsidRPr="0025330E">
        <w:rPr>
          <w:rFonts w:eastAsia="Times New Roman" w:cs="Arial"/>
          <w:color w:val="000000"/>
          <w:lang w:val="en-US"/>
        </w:rPr>
        <w:t xml:space="preserve">(AUC) </w:t>
      </w:r>
      <w:r w:rsidRPr="0025330E">
        <w:rPr>
          <w:rFonts w:eastAsia="Times New Roman" w:cs="Arial"/>
          <w:color w:val="000000"/>
          <w:lang w:eastAsia="bg-BG"/>
        </w:rPr>
        <w:t>на симвастатин и симвастатинова киселина и на С</w:t>
      </w:r>
      <w:r w:rsidRPr="0025330E">
        <w:rPr>
          <w:rFonts w:eastAsia="Times New Roman" w:cs="Arial"/>
          <w:color w:val="000000"/>
          <w:lang w:val="en-US"/>
        </w:rPr>
        <w:t>m</w:t>
      </w:r>
      <w:r w:rsidRPr="0025330E">
        <w:rPr>
          <w:rFonts w:eastAsia="Times New Roman" w:cs="Arial"/>
          <w:color w:val="000000"/>
          <w:lang w:eastAsia="bg-BG"/>
        </w:rPr>
        <w:t>ах на плазмените концентрации на симвастатинова киселина.</w:t>
      </w:r>
    </w:p>
    <w:p w14:paraId="26E7B64F" w14:textId="77777777" w:rsidR="0025330E" w:rsidRPr="0025330E" w:rsidRDefault="0025330E" w:rsidP="0025330E">
      <w:pPr>
        <w:spacing w:line="240" w:lineRule="auto"/>
        <w:rPr>
          <w:rFonts w:eastAsia="Times New Roman" w:cs="Arial"/>
          <w:i/>
          <w:iCs/>
          <w:color w:val="000000"/>
          <w:lang w:eastAsia="bg-BG"/>
        </w:rPr>
      </w:pPr>
    </w:p>
    <w:p w14:paraId="2A509331" w14:textId="508F5CCB"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Сок от грейпфрут</w:t>
      </w:r>
    </w:p>
    <w:p w14:paraId="0018C8C3" w14:textId="77777777" w:rsidR="0025330E" w:rsidRPr="0025330E" w:rsidRDefault="0025330E" w:rsidP="0025330E">
      <w:pPr>
        <w:spacing w:line="240" w:lineRule="auto"/>
        <w:rPr>
          <w:rFonts w:eastAsia="Times New Roman" w:cs="Arial"/>
          <w:color w:val="000000"/>
          <w:lang w:eastAsia="bg-BG"/>
        </w:rPr>
      </w:pPr>
    </w:p>
    <w:p w14:paraId="702B9591" w14:textId="2249B105"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 xml:space="preserve">Сокът от грейпфрут инхибира цитохром Р450 ЗА4. Едновременният прием на големи количества сок от грейпфрут (над 1 литър дневно) и симвастатин води до 7-кратно увеличение на експозицията на симвастатинова киселина. Приемът на 240 </w:t>
      </w:r>
      <w:r w:rsidRPr="0025330E">
        <w:rPr>
          <w:rFonts w:eastAsia="Times New Roman" w:cs="Arial"/>
          <w:color w:val="000000"/>
          <w:lang w:val="en-US"/>
        </w:rPr>
        <w:t xml:space="preserve">ml </w:t>
      </w:r>
      <w:r w:rsidRPr="0025330E">
        <w:rPr>
          <w:rFonts w:eastAsia="Times New Roman" w:cs="Arial"/>
          <w:color w:val="000000"/>
          <w:lang w:eastAsia="bg-BG"/>
        </w:rPr>
        <w:t>сок от грейпфрут сутрин и симвастатин вечер също води до 1,9-кратно увеличение. Затова приемът на сок от грейпфрут по време на лечение със симвастатин трябва да се избягва.</w:t>
      </w:r>
    </w:p>
    <w:p w14:paraId="23E95638" w14:textId="77777777" w:rsidR="0025330E" w:rsidRPr="0025330E" w:rsidRDefault="0025330E" w:rsidP="0025330E">
      <w:pPr>
        <w:spacing w:line="240" w:lineRule="auto"/>
        <w:rPr>
          <w:rFonts w:eastAsia="Times New Roman" w:cs="Arial"/>
          <w:i/>
          <w:iCs/>
          <w:color w:val="000000"/>
          <w:lang w:eastAsia="bg-BG"/>
        </w:rPr>
      </w:pPr>
    </w:p>
    <w:p w14:paraId="5315D030" w14:textId="4988E5EB"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Колхицин</w:t>
      </w:r>
    </w:p>
    <w:p w14:paraId="3595D815" w14:textId="77777777" w:rsidR="0025330E" w:rsidRPr="0025330E" w:rsidRDefault="0025330E" w:rsidP="0025330E">
      <w:pPr>
        <w:spacing w:line="240" w:lineRule="auto"/>
        <w:rPr>
          <w:rFonts w:eastAsia="Times New Roman" w:cs="Arial"/>
          <w:color w:val="000000"/>
          <w:lang w:eastAsia="bg-BG"/>
        </w:rPr>
      </w:pPr>
    </w:p>
    <w:p w14:paraId="04631426" w14:textId="77777777"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lastRenderedPageBreak/>
        <w:t>Има съобщения за миопатия и рабдомиолиза при едновременното приложение на колхицин и симвастатин при пациенти с бъбречно нарушение. Препоръчва се внимателно клинично наблюдение на пациентите, приемащи тази комбинация.</w:t>
      </w:r>
    </w:p>
    <w:p w14:paraId="2EF1453A" w14:textId="77777777" w:rsidR="0025330E" w:rsidRPr="0025330E" w:rsidRDefault="0025330E" w:rsidP="0025330E">
      <w:pPr>
        <w:spacing w:line="240" w:lineRule="auto"/>
        <w:rPr>
          <w:rFonts w:eastAsia="Times New Roman" w:cs="Arial"/>
          <w:lang w:eastAsia="bg-BG"/>
        </w:rPr>
      </w:pPr>
    </w:p>
    <w:p w14:paraId="744CA675" w14:textId="6808A6BB"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Даптомицин</w:t>
      </w:r>
    </w:p>
    <w:p w14:paraId="156F5744" w14:textId="77777777" w:rsidR="0025330E" w:rsidRPr="0025330E" w:rsidRDefault="0025330E" w:rsidP="0025330E">
      <w:pPr>
        <w:spacing w:line="240" w:lineRule="auto"/>
        <w:rPr>
          <w:rFonts w:eastAsia="Times New Roman" w:cs="Arial"/>
          <w:color w:val="000000"/>
          <w:lang w:eastAsia="bg-BG"/>
        </w:rPr>
      </w:pPr>
    </w:p>
    <w:p w14:paraId="3B9AD941" w14:textId="4B3D9AFA"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 xml:space="preserve">Рискът от миопатия и/или рабдомиолиза може да бъде повишен при едновременно прилагане на </w:t>
      </w:r>
      <w:r w:rsidRPr="0025330E">
        <w:rPr>
          <w:rFonts w:eastAsia="Times New Roman" w:cs="Arial"/>
          <w:color w:val="000000"/>
          <w:lang w:val="en-US"/>
        </w:rPr>
        <w:t xml:space="preserve">HMG- </w:t>
      </w:r>
      <w:r w:rsidRPr="0025330E">
        <w:rPr>
          <w:rFonts w:eastAsia="Times New Roman" w:cs="Arial"/>
          <w:color w:val="000000"/>
          <w:lang w:eastAsia="bg-BG"/>
        </w:rPr>
        <w:t>СоА редукгазни инхибитори (напр. симвастатин) и даптомицин (вж. точка 4.4).</w:t>
      </w:r>
    </w:p>
    <w:p w14:paraId="402F5957" w14:textId="77777777" w:rsidR="0025330E" w:rsidRPr="0025330E" w:rsidRDefault="0025330E" w:rsidP="0025330E">
      <w:pPr>
        <w:spacing w:line="240" w:lineRule="auto"/>
        <w:rPr>
          <w:rFonts w:eastAsia="Times New Roman" w:cs="Arial"/>
          <w:i/>
          <w:iCs/>
          <w:color w:val="000000"/>
          <w:lang w:eastAsia="bg-BG"/>
        </w:rPr>
      </w:pPr>
    </w:p>
    <w:p w14:paraId="3E8D6B1B" w14:textId="2A880B89"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Рифампицин</w:t>
      </w:r>
    </w:p>
    <w:p w14:paraId="0D1073F8" w14:textId="77777777" w:rsidR="0025330E" w:rsidRPr="0025330E" w:rsidRDefault="0025330E" w:rsidP="0025330E">
      <w:pPr>
        <w:rPr>
          <w:rFonts w:eastAsia="Times New Roman" w:cs="Arial"/>
          <w:color w:val="000000"/>
          <w:lang w:eastAsia="bg-BG"/>
        </w:rPr>
      </w:pPr>
    </w:p>
    <w:p w14:paraId="0D721947" w14:textId="77777777" w:rsidR="0025330E" w:rsidRPr="0025330E" w:rsidRDefault="0025330E" w:rsidP="0025330E">
      <w:pPr>
        <w:rPr>
          <w:rFonts w:eastAsia="Times New Roman" w:cs="Arial"/>
          <w:lang w:eastAsia="bg-BG"/>
        </w:rPr>
      </w:pPr>
      <w:r w:rsidRPr="0025330E">
        <w:rPr>
          <w:rFonts w:eastAsia="Times New Roman" w:cs="Arial"/>
          <w:color w:val="000000"/>
          <w:lang w:eastAsia="bg-BG"/>
        </w:rPr>
        <w:t xml:space="preserve">Тъй като рифампицин е мощен индуктор на </w:t>
      </w:r>
      <w:r w:rsidRPr="0025330E">
        <w:rPr>
          <w:rFonts w:eastAsia="Times New Roman" w:cs="Arial"/>
          <w:color w:val="000000"/>
          <w:lang w:val="en-US"/>
        </w:rPr>
        <w:t xml:space="preserve">CYP3A4, </w:t>
      </w:r>
      <w:r w:rsidRPr="0025330E">
        <w:rPr>
          <w:rFonts w:eastAsia="Times New Roman" w:cs="Arial"/>
          <w:color w:val="000000"/>
          <w:lang w:eastAsia="bg-BG"/>
        </w:rPr>
        <w:t>при пациенти на</w:t>
      </w:r>
      <w:r w:rsidRPr="0025330E">
        <w:rPr>
          <w:rFonts w:eastAsia="Times New Roman" w:cs="Arial"/>
          <w:color w:val="000000"/>
          <w:lang w:val="en-US"/>
        </w:rPr>
        <w:t xml:space="preserve"> </w:t>
      </w:r>
      <w:r w:rsidRPr="0025330E">
        <w:rPr>
          <w:rFonts w:eastAsia="Times New Roman" w:cs="Arial"/>
          <w:color w:val="000000"/>
          <w:lang w:eastAsia="bg-BG"/>
        </w:rPr>
        <w:t xml:space="preserve">дългосрочна терапия с рифампицин (напр. лечение на туберколоза) може да се наблюдава загуба на ефикаснотта на симвастатин. Във фармакокинетично проучване при нормални доброволци, площта под кривата доза-ефект </w:t>
      </w:r>
      <w:r w:rsidRPr="0025330E">
        <w:rPr>
          <w:rFonts w:eastAsia="Times New Roman" w:cs="Arial"/>
          <w:color w:val="000000"/>
          <w:lang w:val="en-US"/>
        </w:rPr>
        <w:t xml:space="preserve">(AUC) </w:t>
      </w:r>
      <w:r w:rsidRPr="0025330E">
        <w:rPr>
          <w:rFonts w:eastAsia="Times New Roman" w:cs="Arial"/>
          <w:color w:val="000000"/>
          <w:lang w:eastAsia="bg-BG"/>
        </w:rPr>
        <w:t>за симвастатинова киселина се е понижила с 93% при едновременното приложение на рифампицин.</w:t>
      </w:r>
    </w:p>
    <w:p w14:paraId="76E8D269" w14:textId="77777777" w:rsidR="0025330E" w:rsidRPr="0025330E" w:rsidRDefault="0025330E" w:rsidP="0025330E">
      <w:pPr>
        <w:spacing w:line="240" w:lineRule="auto"/>
        <w:rPr>
          <w:rFonts w:eastAsia="Times New Roman" w:cs="Arial"/>
          <w:i/>
          <w:iCs/>
          <w:color w:val="000000"/>
          <w:lang w:eastAsia="bg-BG"/>
        </w:rPr>
      </w:pPr>
    </w:p>
    <w:p w14:paraId="6D4073FC" w14:textId="11DA1874"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Ефекти на симвастатин върху фармакокинетиката на други лекарствени продукти</w:t>
      </w:r>
    </w:p>
    <w:p w14:paraId="22E81D15" w14:textId="77777777" w:rsidR="0025330E" w:rsidRPr="0025330E" w:rsidRDefault="0025330E" w:rsidP="0025330E">
      <w:pPr>
        <w:spacing w:line="240" w:lineRule="auto"/>
        <w:rPr>
          <w:rFonts w:eastAsia="Times New Roman" w:cs="Arial"/>
          <w:color w:val="000000"/>
          <w:lang w:eastAsia="bg-BG"/>
        </w:rPr>
      </w:pPr>
    </w:p>
    <w:p w14:paraId="5CAE776B" w14:textId="5CDCEFCB"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Симвастатин не притежава инхибиращ ефект върху цитохром Р450 ЗА4. Следователно не се очаква, че симвастатин би повлиял плазмените концентрации на веществата, които се метаболизират чрез цитохром Р450 ЗА4.</w:t>
      </w:r>
    </w:p>
    <w:p w14:paraId="36A16A17" w14:textId="77777777" w:rsidR="0025330E" w:rsidRPr="0025330E" w:rsidRDefault="0025330E" w:rsidP="0025330E">
      <w:pPr>
        <w:spacing w:line="240" w:lineRule="auto"/>
        <w:rPr>
          <w:rFonts w:eastAsia="Times New Roman" w:cs="Arial"/>
          <w:i/>
          <w:iCs/>
          <w:color w:val="000000"/>
          <w:lang w:eastAsia="bg-BG"/>
        </w:rPr>
      </w:pPr>
    </w:p>
    <w:p w14:paraId="2C281ADD" w14:textId="3DB07C68"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Перорални антикоагуланти</w:t>
      </w:r>
    </w:p>
    <w:p w14:paraId="7D27354C" w14:textId="77777777" w:rsidR="0025330E" w:rsidRPr="0025330E" w:rsidRDefault="0025330E" w:rsidP="0025330E">
      <w:pPr>
        <w:spacing w:line="240" w:lineRule="auto"/>
        <w:rPr>
          <w:rFonts w:eastAsia="Times New Roman" w:cs="Arial"/>
          <w:color w:val="000000"/>
          <w:lang w:eastAsia="bg-BG"/>
        </w:rPr>
      </w:pPr>
    </w:p>
    <w:p w14:paraId="199B65B5" w14:textId="696FB2B2"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 xml:space="preserve">В две клинични проучвания, едното при здрави доброволци, а другото при болни с хиперхолестеролемия е установено, че симвастатин в дози 20-40 </w:t>
      </w:r>
      <w:r w:rsidRPr="0025330E">
        <w:rPr>
          <w:rFonts w:eastAsia="Times New Roman" w:cs="Arial"/>
          <w:color w:val="000000"/>
          <w:lang w:val="en-US"/>
        </w:rPr>
        <w:t>mg</w:t>
      </w:r>
      <w:r w:rsidRPr="0025330E">
        <w:rPr>
          <w:rFonts w:eastAsia="Times New Roman" w:cs="Arial"/>
          <w:color w:val="000000"/>
          <w:lang w:eastAsia="bg-BG"/>
        </w:rPr>
        <w:t xml:space="preserve">/дневно умерено потенцира ефекта на кумариновите антикоагуланти: протромбиновото време, отчитано като </w:t>
      </w:r>
      <w:r w:rsidRPr="0025330E">
        <w:rPr>
          <w:rFonts w:eastAsia="Times New Roman" w:cs="Arial"/>
          <w:i/>
          <w:iCs/>
          <w:color w:val="000000"/>
          <w:lang w:val="en-US"/>
        </w:rPr>
        <w:t>International Normalized Ratio</w:t>
      </w:r>
      <w:r w:rsidRPr="0025330E">
        <w:rPr>
          <w:rFonts w:eastAsia="Times New Roman" w:cs="Arial"/>
          <w:color w:val="000000"/>
          <w:lang w:val="en-US"/>
        </w:rPr>
        <w:t xml:space="preserve"> (INR), </w:t>
      </w:r>
      <w:r w:rsidRPr="0025330E">
        <w:rPr>
          <w:rFonts w:eastAsia="Times New Roman" w:cs="Arial"/>
          <w:color w:val="000000"/>
          <w:lang w:eastAsia="bg-BG"/>
        </w:rPr>
        <w:t xml:space="preserve">е нарастяло от изходни стойности от 1,7 до 1,8 и от 2,6 до 3,4 респективно при доброволците и при болните. Съобщенията за случаи на повишено </w:t>
      </w:r>
      <w:r w:rsidRPr="0025330E">
        <w:rPr>
          <w:rFonts w:eastAsia="Times New Roman" w:cs="Arial"/>
          <w:color w:val="000000"/>
          <w:lang w:val="en-US"/>
        </w:rPr>
        <w:t xml:space="preserve">INR </w:t>
      </w:r>
      <w:r w:rsidRPr="0025330E">
        <w:rPr>
          <w:rFonts w:eastAsia="Times New Roman" w:cs="Arial"/>
          <w:color w:val="000000"/>
          <w:lang w:eastAsia="bg-BG"/>
        </w:rPr>
        <w:t>са много редки. При пациенти, приемащи кумаринови антикоагуланти протромбиновото време трябва да се определя преди започване на лечението със симвастатин и достатъчно често в ранния етап от лечението, за да се гарантира липсата на значителни промени на този показател. Веднъж след документиране на стабилно състояние на протромбиновото време, то може да се мониторира на обичайните интервали при пациенти, приемащи кумаринови антикоагуланти.</w:t>
      </w:r>
    </w:p>
    <w:p w14:paraId="4F425850" w14:textId="77777777" w:rsidR="0025330E" w:rsidRPr="0025330E" w:rsidRDefault="0025330E" w:rsidP="0025330E">
      <w:pPr>
        <w:rPr>
          <w:rFonts w:eastAsia="Times New Roman" w:cs="Arial"/>
          <w:color w:val="000000"/>
          <w:lang w:eastAsia="bg-BG"/>
        </w:rPr>
      </w:pPr>
    </w:p>
    <w:p w14:paraId="0D2D2D2D" w14:textId="64348E42" w:rsidR="0025330E" w:rsidRPr="0025330E" w:rsidRDefault="0025330E" w:rsidP="0025330E">
      <w:pPr>
        <w:rPr>
          <w:rFonts w:cs="Arial"/>
        </w:rPr>
      </w:pPr>
      <w:r w:rsidRPr="0025330E">
        <w:rPr>
          <w:rFonts w:eastAsia="Times New Roman" w:cs="Arial"/>
          <w:color w:val="000000"/>
          <w:lang w:eastAsia="bg-BG"/>
        </w:rPr>
        <w:t>В случай, че дозата на симвастатин се промени или приемът се прекрати, трябва да се повтори същата процедура. Лечението със симвастатин не се свързва с повишен риск от кървене или с промени в протромбиновото време при пациенти, които не приемат антикоагуланти.</w:t>
      </w:r>
    </w:p>
    <w:p w14:paraId="4C77F413" w14:textId="30DB5817" w:rsidR="001E796D" w:rsidRPr="0091385D" w:rsidRDefault="001E796D"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52620EB1" w14:textId="77777777" w:rsidR="0025330E" w:rsidRPr="00A00566" w:rsidRDefault="0025330E" w:rsidP="00A00566">
      <w:pPr>
        <w:pStyle w:val="Heading3"/>
        <w:rPr>
          <w:rFonts w:eastAsia="Times New Roman"/>
          <w:u w:val="single"/>
          <w:lang w:eastAsia="bg-BG"/>
        </w:rPr>
      </w:pPr>
      <w:r w:rsidRPr="00A00566">
        <w:rPr>
          <w:rFonts w:eastAsia="Times New Roman"/>
          <w:u w:val="single"/>
          <w:lang w:eastAsia="bg-BG"/>
        </w:rPr>
        <w:t>Бременност</w:t>
      </w:r>
    </w:p>
    <w:p w14:paraId="6A1D4747" w14:textId="77777777" w:rsidR="0025330E" w:rsidRPr="0025330E" w:rsidRDefault="0025330E" w:rsidP="0025330E">
      <w:pPr>
        <w:spacing w:line="240" w:lineRule="auto"/>
        <w:rPr>
          <w:rFonts w:eastAsia="Times New Roman" w:cs="Arial"/>
          <w:color w:val="000000"/>
          <w:lang w:eastAsia="bg-BG"/>
        </w:rPr>
      </w:pPr>
    </w:p>
    <w:p w14:paraId="16DA794A" w14:textId="2AFA9470"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Симвастатин е противопоказан по време на бременност (вж. точка 4.3).</w:t>
      </w:r>
    </w:p>
    <w:p w14:paraId="5CA23B76" w14:textId="77777777" w:rsidR="0025330E" w:rsidRPr="0025330E" w:rsidRDefault="0025330E" w:rsidP="0025330E">
      <w:pPr>
        <w:spacing w:line="240" w:lineRule="auto"/>
        <w:rPr>
          <w:rFonts w:eastAsia="Times New Roman" w:cs="Arial"/>
          <w:color w:val="000000"/>
          <w:lang w:eastAsia="bg-BG"/>
        </w:rPr>
      </w:pPr>
    </w:p>
    <w:p w14:paraId="566BCF51" w14:textId="004470A6"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lastRenderedPageBreak/>
        <w:t xml:space="preserve">Безопасността при бременни жени не е установена. Не са провеждани контролирани клинични проучвания със симвастатин при бременни жени. Получени са редки съобщения за вродени аномалии след интраутеринна експозиция на </w:t>
      </w:r>
      <w:r w:rsidRPr="0025330E">
        <w:rPr>
          <w:rFonts w:eastAsia="Times New Roman" w:cs="Arial"/>
          <w:color w:val="000000"/>
          <w:lang w:val="en-US"/>
        </w:rPr>
        <w:t xml:space="preserve">HMG-CoA </w:t>
      </w:r>
      <w:r w:rsidRPr="0025330E">
        <w:rPr>
          <w:rFonts w:eastAsia="Times New Roman" w:cs="Arial"/>
          <w:color w:val="000000"/>
          <w:lang w:eastAsia="bg-BG"/>
        </w:rPr>
        <w:t xml:space="preserve">редуктазни инхибитори. При анализ на приблизително 200 проследени бременности, които са били изложени през първия триместьр на симвастатин или друг близък </w:t>
      </w:r>
      <w:r w:rsidRPr="0025330E">
        <w:rPr>
          <w:rFonts w:eastAsia="Times New Roman" w:cs="Arial"/>
          <w:color w:val="000000"/>
          <w:lang w:val="en-US"/>
        </w:rPr>
        <w:t xml:space="preserve">HMG-CoA </w:t>
      </w:r>
      <w:r w:rsidRPr="0025330E">
        <w:rPr>
          <w:rFonts w:eastAsia="Times New Roman" w:cs="Arial"/>
          <w:color w:val="000000"/>
          <w:lang w:eastAsia="bg-BG"/>
        </w:rPr>
        <w:t>редуктазен инхибигор, е установено че честотата на вродените аномалии е сравнима с тази при общата популация. Броят на бременностите е статистически достатъчен, за да се изключи 2,5-кратно или по-голямо увеличение на вродените аномалии спрямо общия им брой.</w:t>
      </w:r>
    </w:p>
    <w:p w14:paraId="459CC9E8" w14:textId="77777777" w:rsidR="0025330E" w:rsidRPr="0025330E" w:rsidRDefault="0025330E" w:rsidP="0025330E">
      <w:pPr>
        <w:spacing w:line="240" w:lineRule="auto"/>
        <w:rPr>
          <w:rFonts w:eastAsia="Times New Roman" w:cs="Arial"/>
          <w:color w:val="000000"/>
          <w:lang w:eastAsia="bg-BG"/>
        </w:rPr>
      </w:pPr>
    </w:p>
    <w:p w14:paraId="00FD428D" w14:textId="7B1A9396"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Въпреки че няма доказателства, че честотата на вродените аномалии в потомството на пациентки, приемащи симвастатин или други близки </w:t>
      </w:r>
      <w:r w:rsidRPr="0025330E">
        <w:rPr>
          <w:rFonts w:eastAsia="Times New Roman" w:cs="Arial"/>
          <w:color w:val="000000"/>
          <w:lang w:val="en-US"/>
        </w:rPr>
        <w:t xml:space="preserve">HMG-CoA </w:t>
      </w:r>
      <w:r w:rsidRPr="0025330E">
        <w:rPr>
          <w:rFonts w:eastAsia="Times New Roman" w:cs="Arial"/>
          <w:color w:val="000000"/>
          <w:lang w:eastAsia="bg-BG"/>
        </w:rPr>
        <w:t>редуктазни инхибитори се различава от наблюдаваната при общата популация, лечението на майки със симвастатин може да доведе до намаляване във фетуса на нивата на мевалонат, който е прекурсор на биосинтеза на холестерол.</w:t>
      </w:r>
    </w:p>
    <w:p w14:paraId="06F6916E" w14:textId="77777777" w:rsidR="0025330E" w:rsidRPr="0025330E" w:rsidRDefault="0025330E" w:rsidP="0025330E">
      <w:pPr>
        <w:rPr>
          <w:rFonts w:eastAsia="Times New Roman" w:cs="Arial"/>
          <w:color w:val="000000"/>
          <w:lang w:eastAsia="bg-BG"/>
        </w:rPr>
      </w:pPr>
    </w:p>
    <w:p w14:paraId="776662C5" w14:textId="3830B97A" w:rsidR="0091385D" w:rsidRDefault="0025330E" w:rsidP="0025330E">
      <w:pPr>
        <w:rPr>
          <w:rFonts w:eastAsia="Times New Roman" w:cs="Arial"/>
          <w:color w:val="000000"/>
          <w:lang w:eastAsia="bg-BG"/>
        </w:rPr>
      </w:pPr>
      <w:r w:rsidRPr="0025330E">
        <w:rPr>
          <w:rFonts w:eastAsia="Times New Roman" w:cs="Arial"/>
          <w:color w:val="000000"/>
          <w:lang w:eastAsia="bg-BG"/>
        </w:rPr>
        <w:t>Атеросклерозата е хроничен процес и обикновено прекъсването на липидо-понижаващите лекарствени продукти по време на бременността би имало много малко влияние върху дългосрочния риск, свързан с първичната хиперхолестеролемия. Поради тези причини симвастатин не трябва да се използва от бременни жени или такива, които се опитват да забременеят или подозират, че са бременни. Лечението със симвастатин трябва да бъде преустановено през периода на бременността или докато не се установи, че жената не е бременна. (Вж. точки 4.3 и 5.3).</w:t>
      </w:r>
    </w:p>
    <w:p w14:paraId="40485C8E" w14:textId="33138842" w:rsidR="0025330E" w:rsidRDefault="0025330E" w:rsidP="0025330E">
      <w:pPr>
        <w:rPr>
          <w:rFonts w:eastAsia="Times New Roman" w:cs="Arial"/>
          <w:color w:val="000000"/>
          <w:lang w:eastAsia="bg-BG"/>
        </w:rPr>
      </w:pPr>
    </w:p>
    <w:p w14:paraId="564B47DA" w14:textId="77777777" w:rsidR="0025330E" w:rsidRPr="00A00566" w:rsidRDefault="0025330E" w:rsidP="00A00566">
      <w:pPr>
        <w:pStyle w:val="Heading3"/>
        <w:rPr>
          <w:rFonts w:eastAsia="Times New Roman"/>
          <w:u w:val="single"/>
          <w:lang w:eastAsia="bg-BG"/>
        </w:rPr>
      </w:pPr>
      <w:r w:rsidRPr="00A00566">
        <w:rPr>
          <w:rFonts w:eastAsia="Times New Roman"/>
          <w:u w:val="single"/>
          <w:lang w:eastAsia="bg-BG"/>
        </w:rPr>
        <w:t>Кърмене</w:t>
      </w:r>
    </w:p>
    <w:p w14:paraId="43900410" w14:textId="77777777" w:rsidR="0025330E" w:rsidRPr="0025330E" w:rsidRDefault="0025330E" w:rsidP="0025330E">
      <w:pPr>
        <w:spacing w:line="240" w:lineRule="auto"/>
        <w:rPr>
          <w:rFonts w:eastAsia="Times New Roman" w:cs="Arial"/>
          <w:color w:val="000000"/>
          <w:lang w:eastAsia="bg-BG"/>
        </w:rPr>
      </w:pPr>
    </w:p>
    <w:p w14:paraId="21104F36" w14:textId="7929618B"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Не е известно дали симвастин или неговите метаболити се екскретират в майчиното мляко. Тъй като много лекарствени продукти се екскретират в кърмата и поради възможност от възникване на тежки нежелани лекарствени реакции, жените, които приемат симвастатин не трябва да кърмят (вж. точка 43).</w:t>
      </w:r>
    </w:p>
    <w:p w14:paraId="0C843131" w14:textId="77777777" w:rsidR="0025330E" w:rsidRPr="0025330E" w:rsidRDefault="0025330E" w:rsidP="0025330E">
      <w:pPr>
        <w:spacing w:line="240" w:lineRule="auto"/>
        <w:rPr>
          <w:rFonts w:eastAsia="Times New Roman" w:cs="Arial"/>
          <w:color w:val="000000"/>
          <w:u w:val="single"/>
          <w:lang w:eastAsia="bg-BG"/>
        </w:rPr>
      </w:pPr>
    </w:p>
    <w:p w14:paraId="09BB9C5E" w14:textId="06F8A951" w:rsidR="0025330E" w:rsidRPr="00A00566" w:rsidRDefault="0025330E" w:rsidP="00A00566">
      <w:pPr>
        <w:pStyle w:val="Heading3"/>
        <w:rPr>
          <w:rFonts w:eastAsia="Times New Roman"/>
          <w:u w:val="single"/>
          <w:lang w:eastAsia="bg-BG"/>
        </w:rPr>
      </w:pPr>
      <w:r w:rsidRPr="00A00566">
        <w:rPr>
          <w:rFonts w:eastAsia="Times New Roman"/>
          <w:u w:val="single"/>
          <w:lang w:eastAsia="bg-BG"/>
        </w:rPr>
        <w:t>Фертилитет</w:t>
      </w:r>
    </w:p>
    <w:p w14:paraId="64E4F9E1" w14:textId="77777777" w:rsidR="0025330E" w:rsidRPr="0025330E" w:rsidRDefault="0025330E" w:rsidP="0025330E">
      <w:pPr>
        <w:rPr>
          <w:rFonts w:eastAsia="Times New Roman" w:cs="Arial"/>
          <w:color w:val="000000"/>
          <w:lang w:eastAsia="bg-BG"/>
        </w:rPr>
      </w:pPr>
    </w:p>
    <w:p w14:paraId="0F5F0932" w14:textId="465FD115" w:rsidR="0025330E" w:rsidRPr="0025330E" w:rsidRDefault="0025330E" w:rsidP="0025330E">
      <w:pPr>
        <w:rPr>
          <w:rFonts w:cs="Arial"/>
        </w:rPr>
      </w:pPr>
      <w:r w:rsidRPr="0025330E">
        <w:rPr>
          <w:rFonts w:eastAsia="Times New Roman" w:cs="Arial"/>
          <w:color w:val="000000"/>
          <w:lang w:eastAsia="bg-BG"/>
        </w:rPr>
        <w:t>Липсват клинични данни относно ефектите на симвастатин върху фертилитета при хора. Симвастатин не е имал ефект върху фертилитета при мъжки и женски плъхове (вижте точка 5.3).</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4AAEC584" w:rsidR="0091385D" w:rsidRDefault="0025330E" w:rsidP="0091385D">
      <w:r>
        <w:t>Симвастатин няма или има незначително въздействие върху способността за шофиране и работа с машини. Въпреки това, при шофиране или работа с машини, трябва да се има предвид, че има редки съобщения за световъртеж в постмаркетингови проучвания.</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77432CE3" w14:textId="77777777"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 xml:space="preserve">Честотите на нежеланите лекарствени реакции, които са съобщени по време на клинични проучвания и/или постмаркетингови наблюдения се категоризират на базата на оценка на тяхната честота в обширни, дългосрочни, плацебо-контролирани клинични проучвания, </w:t>
      </w:r>
      <w:r w:rsidRPr="0025330E">
        <w:rPr>
          <w:rFonts w:eastAsia="Times New Roman" w:cs="Arial"/>
          <w:color w:val="000000"/>
          <w:lang w:eastAsia="bg-BG"/>
        </w:rPr>
        <w:lastRenderedPageBreak/>
        <w:t xml:space="preserve">включително </w:t>
      </w:r>
      <w:r w:rsidRPr="0025330E">
        <w:rPr>
          <w:rFonts w:eastAsia="Times New Roman" w:cs="Arial"/>
          <w:color w:val="000000"/>
          <w:lang w:val="en-US"/>
        </w:rPr>
        <w:t xml:space="preserve">HPS </w:t>
      </w:r>
      <w:r w:rsidRPr="0025330E">
        <w:rPr>
          <w:rFonts w:eastAsia="Times New Roman" w:cs="Arial"/>
          <w:color w:val="000000"/>
          <w:lang w:eastAsia="bg-BG"/>
        </w:rPr>
        <w:t xml:space="preserve">и </w:t>
      </w:r>
      <w:r w:rsidRPr="0025330E">
        <w:rPr>
          <w:rFonts w:eastAsia="Times New Roman" w:cs="Arial"/>
          <w:color w:val="000000"/>
          <w:lang w:val="en-US"/>
        </w:rPr>
        <w:t xml:space="preserve">4S, </w:t>
      </w:r>
      <w:r w:rsidRPr="0025330E">
        <w:rPr>
          <w:rFonts w:eastAsia="Times New Roman" w:cs="Arial"/>
          <w:color w:val="000000"/>
          <w:lang w:eastAsia="bg-BG"/>
        </w:rPr>
        <w:t xml:space="preserve">респективно с 20 536 и 4 444 пациенти (вж. точка 5.1). При </w:t>
      </w:r>
      <w:r w:rsidRPr="0025330E">
        <w:rPr>
          <w:rFonts w:eastAsia="Times New Roman" w:cs="Arial"/>
          <w:color w:val="000000"/>
          <w:lang w:val="en-US"/>
        </w:rPr>
        <w:t xml:space="preserve">HPS </w:t>
      </w:r>
      <w:r w:rsidRPr="0025330E">
        <w:rPr>
          <w:rFonts w:eastAsia="Times New Roman" w:cs="Arial"/>
          <w:color w:val="000000"/>
          <w:lang w:eastAsia="bg-BG"/>
        </w:rPr>
        <w:t xml:space="preserve">са записани само тежките нежелани лекарствени реакции като миалгия, увеличение на серумните трансаминази и СК. При </w:t>
      </w:r>
      <w:r w:rsidRPr="0025330E">
        <w:rPr>
          <w:rFonts w:eastAsia="Times New Roman" w:cs="Arial"/>
          <w:color w:val="000000"/>
          <w:lang w:val="en-US"/>
        </w:rPr>
        <w:t xml:space="preserve">4S </w:t>
      </w:r>
      <w:r w:rsidRPr="0025330E">
        <w:rPr>
          <w:rFonts w:eastAsia="Times New Roman" w:cs="Arial"/>
          <w:color w:val="000000"/>
          <w:lang w:eastAsia="bg-BG"/>
        </w:rPr>
        <w:t>всички описани по-долу нежелани лекарствени реакции са записвани. В случаите когато честотата на нежеланите лекарствени реакции е по-ниска до или подобна на плацебо в тези проучвания и е била налице сходна причинно-следствена връзка при спонтанните съобщения, тези нежелани реакции са категоризирани като „редки”.</w:t>
      </w:r>
    </w:p>
    <w:p w14:paraId="78397303" w14:textId="77777777" w:rsidR="0025330E" w:rsidRPr="0025330E" w:rsidRDefault="0025330E" w:rsidP="0025330E">
      <w:pPr>
        <w:spacing w:line="240" w:lineRule="auto"/>
        <w:rPr>
          <w:rFonts w:eastAsia="Times New Roman" w:cs="Arial"/>
          <w:color w:val="000000"/>
          <w:lang w:eastAsia="bg-BG"/>
        </w:rPr>
      </w:pPr>
    </w:p>
    <w:p w14:paraId="671DE5D7" w14:textId="48B58EF0"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 xml:space="preserve">При </w:t>
      </w:r>
      <w:r w:rsidRPr="0025330E">
        <w:rPr>
          <w:rFonts w:eastAsia="Times New Roman" w:cs="Arial"/>
          <w:color w:val="000000"/>
          <w:lang w:val="en-US"/>
        </w:rPr>
        <w:t xml:space="preserve">HPS </w:t>
      </w:r>
      <w:r w:rsidRPr="0025330E">
        <w:rPr>
          <w:rFonts w:eastAsia="Times New Roman" w:cs="Arial"/>
          <w:color w:val="000000"/>
          <w:lang w:eastAsia="bg-BG"/>
        </w:rPr>
        <w:t xml:space="preserve">(вж. точка 5.1) включващо 20 536 пациенти, лекувани с 40 </w:t>
      </w:r>
      <w:r w:rsidRPr="0025330E">
        <w:rPr>
          <w:rFonts w:eastAsia="Times New Roman" w:cs="Arial"/>
          <w:color w:val="000000"/>
          <w:lang w:val="en-US"/>
        </w:rPr>
        <w:t>mg</w:t>
      </w:r>
      <w:r w:rsidRPr="0025330E">
        <w:rPr>
          <w:rFonts w:eastAsia="Times New Roman" w:cs="Arial"/>
          <w:color w:val="000000"/>
          <w:lang w:eastAsia="bg-BG"/>
        </w:rPr>
        <w:t>/дневно симвастатин (</w:t>
      </w:r>
      <w:r w:rsidRPr="0025330E">
        <w:rPr>
          <w:rFonts w:eastAsia="Times New Roman" w:cs="Arial"/>
          <w:color w:val="000000"/>
          <w:lang w:val="en-US"/>
        </w:rPr>
        <w:t>n</w:t>
      </w:r>
      <w:r w:rsidRPr="0025330E">
        <w:rPr>
          <w:rFonts w:eastAsia="Times New Roman" w:cs="Arial"/>
          <w:color w:val="000000"/>
          <w:lang w:eastAsia="bg-BG"/>
        </w:rPr>
        <w:t>= 10 269) или плацебо (</w:t>
      </w:r>
      <w:r w:rsidRPr="0025330E">
        <w:rPr>
          <w:rFonts w:eastAsia="Times New Roman" w:cs="Arial"/>
          <w:color w:val="000000"/>
          <w:lang w:val="en-US"/>
        </w:rPr>
        <w:t>n</w:t>
      </w:r>
      <w:r w:rsidRPr="0025330E">
        <w:rPr>
          <w:rFonts w:eastAsia="Times New Roman" w:cs="Arial"/>
          <w:color w:val="000000"/>
          <w:lang w:eastAsia="bg-BG"/>
        </w:rPr>
        <w:t xml:space="preserve">=10 267), профилите на безопасност между пациентите, лекувани със симвастатин 40 </w:t>
      </w:r>
      <w:r w:rsidRPr="0025330E">
        <w:rPr>
          <w:rFonts w:eastAsia="Times New Roman" w:cs="Arial"/>
          <w:color w:val="000000"/>
          <w:lang w:val="en-US"/>
        </w:rPr>
        <w:t xml:space="preserve">mg </w:t>
      </w:r>
      <w:r w:rsidRPr="0025330E">
        <w:rPr>
          <w:rFonts w:eastAsia="Times New Roman" w:cs="Arial"/>
          <w:color w:val="000000"/>
          <w:lang w:eastAsia="bg-BG"/>
        </w:rPr>
        <w:t xml:space="preserve">и пациенти, приемали плацебо са сравними след средно над 5 години от проучването. Степента на прекъсване на лечението поради нежелани лекарствени реакции е била сравними при двете групи пациенти (4,8 % при пациентите, лекувани със симвастатин 40 </w:t>
      </w:r>
      <w:r w:rsidRPr="0025330E">
        <w:rPr>
          <w:rFonts w:eastAsia="Times New Roman" w:cs="Arial"/>
          <w:color w:val="000000"/>
          <w:lang w:val="en-US"/>
        </w:rPr>
        <w:t xml:space="preserve">mg, </w:t>
      </w:r>
      <w:r w:rsidRPr="0025330E">
        <w:rPr>
          <w:rFonts w:eastAsia="Times New Roman" w:cs="Arial"/>
          <w:color w:val="000000"/>
          <w:lang w:eastAsia="bg-BG"/>
        </w:rPr>
        <w:t xml:space="preserve">в сравнение с 5,1 % при пациенти, приемащи плацебо). Честотата на миопатия е била &lt; 0,1 % при пациентите, лекувани със симвастатин 40 </w:t>
      </w:r>
      <w:r w:rsidRPr="0025330E">
        <w:rPr>
          <w:rFonts w:eastAsia="Times New Roman" w:cs="Arial"/>
          <w:color w:val="000000"/>
          <w:lang w:val="en-US"/>
        </w:rPr>
        <w:t xml:space="preserve">mg. </w:t>
      </w:r>
      <w:r w:rsidRPr="0025330E">
        <w:rPr>
          <w:rFonts w:eastAsia="Times New Roman" w:cs="Arial"/>
          <w:color w:val="000000"/>
          <w:lang w:eastAsia="bg-BG"/>
        </w:rPr>
        <w:t xml:space="preserve">Повишени трансаминази (&gt; 3 х </w:t>
      </w:r>
      <w:r w:rsidRPr="0025330E">
        <w:rPr>
          <w:rFonts w:eastAsia="Times New Roman" w:cs="Arial"/>
          <w:color w:val="000000"/>
          <w:lang w:val="en-US"/>
        </w:rPr>
        <w:t xml:space="preserve">ULN </w:t>
      </w:r>
      <w:r w:rsidRPr="0025330E">
        <w:rPr>
          <w:rFonts w:eastAsia="Times New Roman" w:cs="Arial"/>
          <w:color w:val="000000"/>
          <w:lang w:eastAsia="bg-BG"/>
        </w:rPr>
        <w:t xml:space="preserve">потвърден от повторен тест) се наблюдава при 0.21% (п-21) от пациентите, лекувани със симвастатин 40 </w:t>
      </w:r>
      <w:r w:rsidRPr="0025330E">
        <w:rPr>
          <w:rFonts w:eastAsia="Times New Roman" w:cs="Arial"/>
          <w:color w:val="000000"/>
          <w:lang w:val="en-US"/>
        </w:rPr>
        <w:t xml:space="preserve">mg, </w:t>
      </w:r>
      <w:r w:rsidRPr="0025330E">
        <w:rPr>
          <w:rFonts w:eastAsia="Times New Roman" w:cs="Arial"/>
          <w:color w:val="000000"/>
          <w:lang w:eastAsia="bg-BG"/>
        </w:rPr>
        <w:t>в сравнение с 0,09% (</w:t>
      </w:r>
      <w:r w:rsidRPr="0025330E">
        <w:rPr>
          <w:rFonts w:eastAsia="Times New Roman" w:cs="Arial"/>
          <w:color w:val="000000"/>
          <w:lang w:val="en-US"/>
        </w:rPr>
        <w:t>n</w:t>
      </w:r>
      <w:r w:rsidRPr="0025330E">
        <w:rPr>
          <w:rFonts w:eastAsia="Times New Roman" w:cs="Arial"/>
          <w:color w:val="000000"/>
          <w:lang w:eastAsia="bg-BG"/>
        </w:rPr>
        <w:t>=9) от пациентите, лекувани с плацебо.</w:t>
      </w:r>
    </w:p>
    <w:p w14:paraId="0FD7110B" w14:textId="77777777" w:rsidR="0025330E" w:rsidRPr="0025330E" w:rsidRDefault="0025330E" w:rsidP="0025330E">
      <w:pPr>
        <w:spacing w:line="240" w:lineRule="auto"/>
        <w:rPr>
          <w:rFonts w:eastAsia="Times New Roman" w:cs="Arial"/>
          <w:color w:val="000000"/>
          <w:lang w:eastAsia="bg-BG"/>
        </w:rPr>
      </w:pPr>
    </w:p>
    <w:p w14:paraId="0107602C" w14:textId="625FCA0C"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Честотата на нежеланите лекарствени реакции е определена по следния начин: Много чести (≥ 1/10), Чести (≥ 1/100 &lt;1/10), Нечести (≥ 1/1 000 &lt;1/100), Редки (≥ 1/10 000 &lt;1/1 000), Много редки (&lt;1/10 000), с неизвестна честота (от наличните данни не може да бъде направена оценка).</w:t>
      </w:r>
    </w:p>
    <w:p w14:paraId="641A6DFF" w14:textId="77777777" w:rsidR="0025330E" w:rsidRPr="0025330E" w:rsidRDefault="0025330E" w:rsidP="0025330E">
      <w:pPr>
        <w:spacing w:line="240" w:lineRule="auto"/>
        <w:rPr>
          <w:rFonts w:eastAsia="Times New Roman" w:cs="Arial"/>
          <w:color w:val="000000"/>
          <w:u w:val="single"/>
          <w:lang w:eastAsia="bg-BG"/>
        </w:rPr>
      </w:pPr>
    </w:p>
    <w:p w14:paraId="13011D27" w14:textId="4F1141E9"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Нарушения на кръвта и лимфната система:</w:t>
      </w:r>
    </w:p>
    <w:p w14:paraId="2CC8183E"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Редки:</w:t>
      </w:r>
      <w:r w:rsidRPr="0025330E">
        <w:rPr>
          <w:rFonts w:eastAsia="Times New Roman" w:cs="Arial"/>
          <w:color w:val="000000"/>
          <w:lang w:eastAsia="bg-BG"/>
        </w:rPr>
        <w:t xml:space="preserve"> анемия</w:t>
      </w:r>
    </w:p>
    <w:p w14:paraId="7FF6B6F8" w14:textId="77777777" w:rsidR="0025330E" w:rsidRPr="0025330E" w:rsidRDefault="0025330E" w:rsidP="0025330E">
      <w:pPr>
        <w:spacing w:line="240" w:lineRule="auto"/>
        <w:rPr>
          <w:rFonts w:eastAsia="Times New Roman" w:cs="Arial"/>
          <w:color w:val="000000"/>
          <w:u w:val="single"/>
          <w:lang w:eastAsia="bg-BG"/>
        </w:rPr>
      </w:pPr>
    </w:p>
    <w:p w14:paraId="1356D4E9" w14:textId="64FAAE1F"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Нарушения на имунната система</w:t>
      </w:r>
    </w:p>
    <w:p w14:paraId="0532AA54"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Много редки:</w:t>
      </w:r>
      <w:r w:rsidRPr="0025330E">
        <w:rPr>
          <w:rFonts w:eastAsia="Times New Roman" w:cs="Arial"/>
          <w:color w:val="000000"/>
          <w:lang w:eastAsia="bg-BG"/>
        </w:rPr>
        <w:t xml:space="preserve"> анафилаксия</w:t>
      </w:r>
    </w:p>
    <w:p w14:paraId="578347A1" w14:textId="77777777" w:rsidR="0025330E" w:rsidRPr="0025330E" w:rsidRDefault="0025330E" w:rsidP="0025330E">
      <w:pPr>
        <w:spacing w:line="240" w:lineRule="auto"/>
        <w:rPr>
          <w:rFonts w:eastAsia="Times New Roman" w:cs="Arial"/>
          <w:color w:val="000000"/>
          <w:u w:val="single"/>
          <w:lang w:eastAsia="bg-BG"/>
        </w:rPr>
      </w:pPr>
    </w:p>
    <w:p w14:paraId="03BD12C7" w14:textId="36D654E3"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Психични нарушения:</w:t>
      </w:r>
    </w:p>
    <w:p w14:paraId="0786053F"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Много редки:</w:t>
      </w:r>
      <w:r w:rsidRPr="0025330E">
        <w:rPr>
          <w:rFonts w:eastAsia="Times New Roman" w:cs="Arial"/>
          <w:color w:val="000000"/>
          <w:lang w:eastAsia="bg-BG"/>
        </w:rPr>
        <w:t xml:space="preserve"> безсъние</w:t>
      </w:r>
    </w:p>
    <w:p w14:paraId="570508C4" w14:textId="4EFE3486" w:rsidR="0091385D" w:rsidRPr="0025330E" w:rsidRDefault="0025330E" w:rsidP="0025330E">
      <w:pPr>
        <w:rPr>
          <w:rFonts w:eastAsia="Times New Roman" w:cs="Arial"/>
          <w:color w:val="000000"/>
          <w:lang w:eastAsia="bg-BG"/>
        </w:rPr>
      </w:pPr>
      <w:r w:rsidRPr="0025330E">
        <w:rPr>
          <w:rFonts w:eastAsia="Times New Roman" w:cs="Arial"/>
          <w:i/>
          <w:iCs/>
          <w:color w:val="000000"/>
          <w:lang w:eastAsia="bg-BG"/>
        </w:rPr>
        <w:t>С неизвестна честота:</w:t>
      </w:r>
      <w:r w:rsidRPr="0025330E">
        <w:rPr>
          <w:rFonts w:eastAsia="Times New Roman" w:cs="Arial"/>
          <w:color w:val="000000"/>
          <w:lang w:eastAsia="bg-BG"/>
        </w:rPr>
        <w:t xml:space="preserve"> депресия</w:t>
      </w:r>
    </w:p>
    <w:p w14:paraId="0931CB08" w14:textId="564696EB" w:rsidR="0025330E" w:rsidRPr="0025330E" w:rsidRDefault="0025330E" w:rsidP="0025330E">
      <w:pPr>
        <w:rPr>
          <w:rFonts w:eastAsia="Times New Roman" w:cs="Arial"/>
          <w:color w:val="000000"/>
          <w:lang w:eastAsia="bg-BG"/>
        </w:rPr>
      </w:pPr>
    </w:p>
    <w:p w14:paraId="5BA46FD4" w14:textId="77777777"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Нарушения на нервната система:</w:t>
      </w:r>
    </w:p>
    <w:p w14:paraId="4E6311D9"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Редки:</w:t>
      </w:r>
      <w:r w:rsidRPr="0025330E">
        <w:rPr>
          <w:rFonts w:eastAsia="Times New Roman" w:cs="Arial"/>
          <w:color w:val="000000"/>
          <w:lang w:eastAsia="bg-BG"/>
        </w:rPr>
        <w:t xml:space="preserve"> главоболие, парестезия, световъртеж, периферна невропатия</w:t>
      </w:r>
    </w:p>
    <w:p w14:paraId="49B09902"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Много редки:</w:t>
      </w:r>
      <w:r w:rsidRPr="0025330E">
        <w:rPr>
          <w:rFonts w:eastAsia="Times New Roman" w:cs="Arial"/>
          <w:color w:val="000000"/>
          <w:lang w:eastAsia="bg-BG"/>
        </w:rPr>
        <w:t xml:space="preserve"> нарушение на паметта</w:t>
      </w:r>
    </w:p>
    <w:p w14:paraId="5E564794" w14:textId="77777777" w:rsidR="0025330E" w:rsidRPr="0025330E" w:rsidRDefault="0025330E" w:rsidP="0025330E">
      <w:pPr>
        <w:spacing w:line="240" w:lineRule="auto"/>
        <w:rPr>
          <w:rFonts w:eastAsia="Times New Roman" w:cs="Arial"/>
          <w:color w:val="000000"/>
          <w:u w:val="single"/>
          <w:lang w:eastAsia="bg-BG"/>
        </w:rPr>
      </w:pPr>
    </w:p>
    <w:p w14:paraId="16EAC024" w14:textId="71DA4A03"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Нарушения на очите:</w:t>
      </w:r>
    </w:p>
    <w:p w14:paraId="46D9D375"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Редки:</w:t>
      </w:r>
      <w:r w:rsidRPr="0025330E">
        <w:rPr>
          <w:rFonts w:eastAsia="Times New Roman" w:cs="Arial"/>
          <w:color w:val="000000"/>
          <w:lang w:eastAsia="bg-BG"/>
        </w:rPr>
        <w:t xml:space="preserve"> замъглено зрение, нарушено зрение</w:t>
      </w:r>
    </w:p>
    <w:p w14:paraId="5F4B9685" w14:textId="77777777" w:rsidR="0025330E" w:rsidRPr="0025330E" w:rsidRDefault="0025330E" w:rsidP="0025330E">
      <w:pPr>
        <w:spacing w:line="240" w:lineRule="auto"/>
        <w:rPr>
          <w:rFonts w:eastAsia="Times New Roman" w:cs="Arial"/>
          <w:color w:val="000000"/>
          <w:u w:val="single"/>
          <w:lang w:eastAsia="bg-BG"/>
        </w:rPr>
      </w:pPr>
    </w:p>
    <w:p w14:paraId="2D921A0E" w14:textId="2E005F0F"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Респираторни, гръдни и медиастинални нарушения:</w:t>
      </w:r>
    </w:p>
    <w:p w14:paraId="58FE49CD"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С неизвестна честота:</w:t>
      </w:r>
      <w:r w:rsidRPr="0025330E">
        <w:rPr>
          <w:rFonts w:eastAsia="Times New Roman" w:cs="Arial"/>
          <w:color w:val="000000"/>
          <w:lang w:eastAsia="bg-BG"/>
        </w:rPr>
        <w:t xml:space="preserve"> интерстициално белодробно заболяване (вж. точка 4.4)</w:t>
      </w:r>
    </w:p>
    <w:p w14:paraId="0085F478" w14:textId="77777777" w:rsidR="0025330E" w:rsidRPr="0025330E" w:rsidRDefault="0025330E" w:rsidP="0025330E">
      <w:pPr>
        <w:spacing w:line="240" w:lineRule="auto"/>
        <w:rPr>
          <w:rFonts w:eastAsia="Times New Roman" w:cs="Arial"/>
          <w:color w:val="000000"/>
          <w:u w:val="single"/>
          <w:lang w:eastAsia="bg-BG"/>
        </w:rPr>
      </w:pPr>
    </w:p>
    <w:p w14:paraId="2E621896" w14:textId="6294C63D"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Стомашно-чревни нарушения:</w:t>
      </w:r>
    </w:p>
    <w:p w14:paraId="0456078A"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Редки:</w:t>
      </w:r>
      <w:r w:rsidRPr="0025330E">
        <w:rPr>
          <w:rFonts w:eastAsia="Times New Roman" w:cs="Arial"/>
          <w:color w:val="000000"/>
          <w:lang w:eastAsia="bg-BG"/>
        </w:rPr>
        <w:t xml:space="preserve"> констипация, коремни болки, флатуленция, диспепсия, диария, гадене, повръщане, панкреатит</w:t>
      </w:r>
    </w:p>
    <w:p w14:paraId="222E3ADC" w14:textId="77777777" w:rsidR="0025330E" w:rsidRPr="0025330E" w:rsidRDefault="0025330E" w:rsidP="0025330E">
      <w:pPr>
        <w:spacing w:line="240" w:lineRule="auto"/>
        <w:rPr>
          <w:rFonts w:eastAsia="Times New Roman" w:cs="Arial"/>
          <w:color w:val="000000"/>
          <w:u w:val="single"/>
          <w:lang w:eastAsia="bg-BG"/>
        </w:rPr>
      </w:pPr>
    </w:p>
    <w:p w14:paraId="736BF2D3" w14:textId="6266F0BC"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Хепатобилиарни нарушения:</w:t>
      </w:r>
    </w:p>
    <w:p w14:paraId="0F4F839D"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Редки:</w:t>
      </w:r>
      <w:r w:rsidRPr="0025330E">
        <w:rPr>
          <w:rFonts w:eastAsia="Times New Roman" w:cs="Arial"/>
          <w:color w:val="000000"/>
          <w:lang w:eastAsia="bg-BG"/>
        </w:rPr>
        <w:t xml:space="preserve"> хепатит/жълтеница</w:t>
      </w:r>
    </w:p>
    <w:p w14:paraId="7878D45B"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Много редки:</w:t>
      </w:r>
      <w:r w:rsidRPr="0025330E">
        <w:rPr>
          <w:rFonts w:eastAsia="Times New Roman" w:cs="Arial"/>
          <w:color w:val="000000"/>
          <w:lang w:eastAsia="bg-BG"/>
        </w:rPr>
        <w:t xml:space="preserve"> фатална и нефатална чернодробна недостатъчност</w:t>
      </w:r>
    </w:p>
    <w:p w14:paraId="0D6E7ABA" w14:textId="77777777" w:rsidR="0025330E" w:rsidRPr="0025330E" w:rsidRDefault="0025330E" w:rsidP="0025330E">
      <w:pPr>
        <w:spacing w:line="240" w:lineRule="auto"/>
        <w:rPr>
          <w:rFonts w:eastAsia="Times New Roman" w:cs="Arial"/>
          <w:color w:val="000000"/>
          <w:u w:val="single"/>
          <w:lang w:eastAsia="bg-BG"/>
        </w:rPr>
      </w:pPr>
    </w:p>
    <w:p w14:paraId="4E779B59" w14:textId="525E79AB"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Нарушения на кожата и подкожната тъкан:</w:t>
      </w:r>
    </w:p>
    <w:p w14:paraId="5D8F7B93"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Редки:</w:t>
      </w:r>
      <w:r w:rsidRPr="0025330E">
        <w:rPr>
          <w:rFonts w:eastAsia="Times New Roman" w:cs="Arial"/>
          <w:color w:val="000000"/>
          <w:lang w:eastAsia="bg-BG"/>
        </w:rPr>
        <w:t xml:space="preserve"> обрив, пруритус, алопеция</w:t>
      </w:r>
    </w:p>
    <w:p w14:paraId="648492DD"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Много редки:</w:t>
      </w:r>
      <w:r w:rsidRPr="0025330E">
        <w:rPr>
          <w:rFonts w:eastAsia="Times New Roman" w:cs="Arial"/>
          <w:color w:val="000000"/>
          <w:lang w:eastAsia="bg-BG"/>
        </w:rPr>
        <w:t xml:space="preserve"> лихеноидни лекарствени ерупции</w:t>
      </w:r>
    </w:p>
    <w:p w14:paraId="27005235" w14:textId="77777777" w:rsidR="0025330E" w:rsidRPr="0025330E" w:rsidRDefault="0025330E" w:rsidP="0025330E">
      <w:pPr>
        <w:spacing w:line="240" w:lineRule="auto"/>
        <w:rPr>
          <w:rFonts w:eastAsia="Times New Roman" w:cs="Arial"/>
          <w:color w:val="000000"/>
          <w:u w:val="single"/>
          <w:lang w:eastAsia="bg-BG"/>
        </w:rPr>
      </w:pPr>
    </w:p>
    <w:p w14:paraId="4D0307AB" w14:textId="166E780D"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Нарушения на мускулно-скелетната система и съединителната тъкан:</w:t>
      </w:r>
    </w:p>
    <w:p w14:paraId="084A0DBB"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Редки:</w:t>
      </w:r>
      <w:r w:rsidRPr="0025330E">
        <w:rPr>
          <w:rFonts w:eastAsia="Times New Roman" w:cs="Arial"/>
          <w:color w:val="000000"/>
          <w:lang w:eastAsia="bg-BG"/>
        </w:rPr>
        <w:t xml:space="preserve"> миопатия* (включително миозит), рабдомиолиза с или без остра бъбречна недостатъчност (вж. точка 4.4), миалгия, мускулни крампи</w:t>
      </w:r>
    </w:p>
    <w:p w14:paraId="1BFD73E9" w14:textId="15C328F6" w:rsidR="0025330E" w:rsidRPr="0025330E" w:rsidRDefault="0025330E" w:rsidP="0025330E">
      <w:pPr>
        <w:spacing w:line="240" w:lineRule="auto"/>
        <w:rPr>
          <w:rFonts w:eastAsia="Times New Roman" w:cs="Arial"/>
          <w:color w:val="000000"/>
          <w:lang w:eastAsia="bg-BG"/>
        </w:rPr>
      </w:pPr>
      <w:r w:rsidRPr="0025330E">
        <w:rPr>
          <w:rFonts w:eastAsia="Times New Roman" w:cs="Arial"/>
          <w:color w:val="000000"/>
          <w:lang w:val="en-US" w:eastAsia="bg-BG"/>
        </w:rPr>
        <w:t>*</w:t>
      </w:r>
      <w:r w:rsidRPr="0025330E">
        <w:rPr>
          <w:rFonts w:eastAsia="Times New Roman" w:cs="Arial"/>
          <w:color w:val="000000"/>
          <w:lang w:eastAsia="bg-BG"/>
        </w:rPr>
        <w:t xml:space="preserve">В клинично проучване, миопатия се е появявала често при пациенти, лекувани със симвастатин 80 </w:t>
      </w:r>
      <w:r w:rsidRPr="0025330E">
        <w:rPr>
          <w:rFonts w:eastAsia="Times New Roman" w:cs="Arial"/>
          <w:color w:val="000000"/>
          <w:lang w:val="en-US"/>
        </w:rPr>
        <w:t>mg</w:t>
      </w:r>
      <w:r w:rsidRPr="0025330E">
        <w:rPr>
          <w:rFonts w:eastAsia="Times New Roman" w:cs="Arial"/>
          <w:color w:val="000000"/>
          <w:lang w:eastAsia="bg-BG"/>
        </w:rPr>
        <w:t xml:space="preserve">/ден, в сравнение с пациентите, лекувани с 20 </w:t>
      </w:r>
      <w:r w:rsidRPr="0025330E">
        <w:rPr>
          <w:rFonts w:eastAsia="Times New Roman" w:cs="Arial"/>
          <w:color w:val="000000"/>
          <w:lang w:val="en-US"/>
        </w:rPr>
        <w:t>mg</w:t>
      </w:r>
      <w:r w:rsidRPr="0025330E">
        <w:rPr>
          <w:rFonts w:eastAsia="Times New Roman" w:cs="Arial"/>
          <w:color w:val="000000"/>
          <w:lang w:eastAsia="bg-BG"/>
        </w:rPr>
        <w:t>/ден (съответно 1,0% срещу 0,02%,) (вж. точки 4.4 и 4.5).</w:t>
      </w:r>
    </w:p>
    <w:p w14:paraId="6554753A" w14:textId="2F04E796" w:rsidR="0025330E" w:rsidRPr="0025330E" w:rsidRDefault="0025330E" w:rsidP="0025330E">
      <w:pPr>
        <w:spacing w:line="240" w:lineRule="auto"/>
        <w:rPr>
          <w:rFonts w:eastAsia="Times New Roman" w:cs="Arial"/>
          <w:color w:val="000000"/>
          <w:lang w:eastAsia="bg-BG"/>
        </w:rPr>
      </w:pPr>
      <w:r w:rsidRPr="0025330E">
        <w:rPr>
          <w:rFonts w:eastAsia="Times New Roman" w:cs="Arial"/>
          <w:i/>
          <w:iCs/>
          <w:color w:val="000000"/>
          <w:lang w:eastAsia="bg-BG"/>
        </w:rPr>
        <w:t>Много редки:</w:t>
      </w:r>
      <w:r w:rsidRPr="0025330E">
        <w:rPr>
          <w:rFonts w:eastAsia="Times New Roman" w:cs="Arial"/>
          <w:color w:val="000000"/>
          <w:lang w:eastAsia="bg-BG"/>
        </w:rPr>
        <w:t xml:space="preserve"> мускулна руптура</w:t>
      </w:r>
    </w:p>
    <w:p w14:paraId="6A3531C4" w14:textId="77777777" w:rsidR="0025330E" w:rsidRPr="0025330E" w:rsidRDefault="0025330E" w:rsidP="0025330E">
      <w:pPr>
        <w:spacing w:line="240" w:lineRule="auto"/>
        <w:rPr>
          <w:rFonts w:eastAsia="Times New Roman" w:cs="Arial"/>
          <w:lang w:eastAsia="bg-BG"/>
        </w:rPr>
      </w:pPr>
    </w:p>
    <w:p w14:paraId="74222C20"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С неизвестна честота:</w:t>
      </w:r>
      <w:r w:rsidRPr="0025330E">
        <w:rPr>
          <w:rFonts w:eastAsia="Times New Roman" w:cs="Arial"/>
          <w:color w:val="000000"/>
          <w:lang w:eastAsia="bg-BG"/>
        </w:rPr>
        <w:t xml:space="preserve"> тендинопатия, понякога усложнена от руптура, имуномедиирана некротизираща миопатия (ИМНМ)**</w:t>
      </w:r>
    </w:p>
    <w:p w14:paraId="5E03C3B4" w14:textId="7B072966" w:rsidR="0025330E" w:rsidRPr="0025330E" w:rsidRDefault="0025330E" w:rsidP="0025330E">
      <w:pPr>
        <w:spacing w:line="240" w:lineRule="auto"/>
        <w:rPr>
          <w:rFonts w:eastAsia="Times New Roman" w:cs="Arial"/>
          <w:color w:val="000000"/>
          <w:lang w:eastAsia="bg-BG"/>
        </w:rPr>
      </w:pPr>
      <w:r w:rsidRPr="0025330E">
        <w:rPr>
          <w:rFonts w:eastAsia="Times New Roman" w:cs="Arial"/>
          <w:color w:val="000000"/>
          <w:lang w:val="en-US" w:eastAsia="bg-BG"/>
        </w:rPr>
        <w:t>*</w:t>
      </w:r>
      <w:r w:rsidRPr="0025330E">
        <w:rPr>
          <w:rFonts w:eastAsia="Times New Roman" w:cs="Arial"/>
          <w:color w:val="000000"/>
          <w:lang w:eastAsia="bg-BG"/>
        </w:rPr>
        <w:t>* Много рядко са съобщавани случаи на имуномедиирана некротизираща миопатия (ИМНМ), автоимунна миопатия, по време на или след лечение с някои статини. Клинично ИМНМ се характеризира с: персистираща проксимална мускулна слабост и повишени серумни нива на креатинкиназата, които персистират, въпреки прекратяването на лечението със статии; мускулна биопсия, показваща некротизираща миопатия без значимо възпаление; подобрение с имуносупресивни средства (вж. точка 4.4).</w:t>
      </w:r>
    </w:p>
    <w:p w14:paraId="43CDFD7A" w14:textId="77777777" w:rsidR="0025330E" w:rsidRPr="0025330E" w:rsidRDefault="0025330E" w:rsidP="0025330E">
      <w:pPr>
        <w:spacing w:line="240" w:lineRule="auto"/>
        <w:rPr>
          <w:rFonts w:eastAsia="Times New Roman" w:cs="Arial"/>
          <w:color w:val="000000"/>
          <w:u w:val="single"/>
          <w:lang w:eastAsia="bg-BG"/>
        </w:rPr>
      </w:pPr>
    </w:p>
    <w:p w14:paraId="5177C8CD" w14:textId="11E61C07"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Нарушения на възпроизводителната система и гърдата:</w:t>
      </w:r>
    </w:p>
    <w:p w14:paraId="7B5F3656"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Много редки:</w:t>
      </w:r>
      <w:r w:rsidRPr="0025330E">
        <w:rPr>
          <w:rFonts w:eastAsia="Times New Roman" w:cs="Arial"/>
          <w:color w:val="000000"/>
          <w:lang w:eastAsia="bg-BG"/>
        </w:rPr>
        <w:t xml:space="preserve"> гинекомастия</w:t>
      </w:r>
    </w:p>
    <w:p w14:paraId="0EB48798" w14:textId="77777777"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 xml:space="preserve">С </w:t>
      </w:r>
      <w:r w:rsidRPr="0025330E">
        <w:rPr>
          <w:rFonts w:eastAsia="Times New Roman" w:cs="Arial"/>
          <w:i/>
          <w:iCs/>
          <w:color w:val="000000"/>
          <w:lang w:eastAsia="bg-BG"/>
        </w:rPr>
        <w:t>неизвестна честота:</w:t>
      </w:r>
      <w:r w:rsidRPr="0025330E">
        <w:rPr>
          <w:rFonts w:eastAsia="Times New Roman" w:cs="Arial"/>
          <w:color w:val="000000"/>
          <w:lang w:eastAsia="bg-BG"/>
        </w:rPr>
        <w:t xml:space="preserve"> еректилна дисфункция</w:t>
      </w:r>
    </w:p>
    <w:p w14:paraId="2893EE53" w14:textId="77777777" w:rsidR="0025330E" w:rsidRPr="0025330E" w:rsidRDefault="0025330E" w:rsidP="0025330E">
      <w:pPr>
        <w:spacing w:line="240" w:lineRule="auto"/>
        <w:rPr>
          <w:rFonts w:eastAsia="Times New Roman" w:cs="Arial"/>
          <w:color w:val="000000"/>
          <w:u w:val="single"/>
          <w:lang w:eastAsia="bg-BG"/>
        </w:rPr>
      </w:pPr>
    </w:p>
    <w:p w14:paraId="3EC2798E" w14:textId="50820F5B"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Обши нарушения и ефекти на мястото на приложение:</w:t>
      </w:r>
    </w:p>
    <w:p w14:paraId="45BE2449"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Редки:</w:t>
      </w:r>
      <w:r w:rsidRPr="0025330E">
        <w:rPr>
          <w:rFonts w:eastAsia="Times New Roman" w:cs="Arial"/>
          <w:color w:val="000000"/>
          <w:lang w:eastAsia="bg-BG"/>
        </w:rPr>
        <w:t xml:space="preserve"> астения</w:t>
      </w:r>
    </w:p>
    <w:p w14:paraId="3B2F08B9" w14:textId="77777777" w:rsidR="0025330E" w:rsidRPr="0025330E" w:rsidRDefault="0025330E" w:rsidP="0025330E">
      <w:pPr>
        <w:spacing w:line="240" w:lineRule="auto"/>
        <w:rPr>
          <w:rFonts w:eastAsia="Times New Roman" w:cs="Arial"/>
          <w:color w:val="000000"/>
          <w:lang w:eastAsia="bg-BG"/>
        </w:rPr>
      </w:pPr>
    </w:p>
    <w:p w14:paraId="2A82ED59" w14:textId="71CC06D5"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Рядко се съобщава за изразен синдром на свръхчувствителност, включващ някои от следните прояви: ангиоедема, лупус-подобен синдром, ревматична полимиалгия, дерматомиозит, васкулит, тромбоцитопения, еозинофилия, ускорена СУЕ, артрит и артралгия, уртикария, фоточувствителност, треска, зачервяване, дисплея и физическо неразположени</w:t>
      </w:r>
      <w:r w:rsidRPr="0025330E">
        <w:rPr>
          <w:rFonts w:eastAsia="Times New Roman" w:cs="Arial"/>
          <w:color w:val="000000"/>
          <w:lang w:val="en-US"/>
        </w:rPr>
        <w:t>e=</w:t>
      </w:r>
    </w:p>
    <w:p w14:paraId="58EC06C1" w14:textId="77777777" w:rsidR="0025330E" w:rsidRPr="0025330E" w:rsidRDefault="0025330E" w:rsidP="0025330E">
      <w:pPr>
        <w:spacing w:line="240" w:lineRule="auto"/>
        <w:rPr>
          <w:rFonts w:eastAsia="Times New Roman" w:cs="Arial"/>
          <w:color w:val="000000"/>
          <w:u w:val="single"/>
          <w:lang w:eastAsia="bg-BG"/>
        </w:rPr>
      </w:pPr>
    </w:p>
    <w:p w14:paraId="7BD8273A" w14:textId="4E2ABEF1"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Изследвания:</w:t>
      </w:r>
    </w:p>
    <w:p w14:paraId="6D18AB3B" w14:textId="27123F96" w:rsidR="0025330E" w:rsidRPr="0025330E" w:rsidRDefault="0025330E" w:rsidP="0025330E">
      <w:pPr>
        <w:rPr>
          <w:rFonts w:cs="Arial"/>
          <w:lang w:val="en-US"/>
        </w:rPr>
      </w:pPr>
      <w:r w:rsidRPr="0025330E">
        <w:rPr>
          <w:rFonts w:eastAsia="Times New Roman" w:cs="Arial"/>
          <w:i/>
          <w:iCs/>
          <w:color w:val="000000"/>
          <w:lang w:eastAsia="bg-BG"/>
        </w:rPr>
        <w:t>Редки:</w:t>
      </w:r>
      <w:r w:rsidRPr="0025330E">
        <w:rPr>
          <w:rFonts w:eastAsia="Times New Roman" w:cs="Arial"/>
          <w:color w:val="000000"/>
          <w:lang w:eastAsia="bg-BG"/>
        </w:rPr>
        <w:t xml:space="preserve"> повишения в серумните трансаминази (аланин-аминотрансферазата, аспартат аминотрансфераза, γ-глутамил транспептидаза) (вж. точка 4.4 "Чернодробни ефекти")</w:t>
      </w:r>
      <w:r w:rsidRPr="0025330E">
        <w:rPr>
          <w:rFonts w:eastAsia="Times New Roman" w:cs="Arial"/>
          <w:color w:val="000000"/>
          <w:lang w:val="en-US"/>
        </w:rPr>
        <w:t xml:space="preserve"> </w:t>
      </w:r>
      <w:r w:rsidRPr="0025330E">
        <w:rPr>
          <w:rFonts w:eastAsia="Times New Roman" w:cs="Arial"/>
          <w:color w:val="000000"/>
          <w:lang w:eastAsia="bg-BG"/>
        </w:rPr>
        <w:t>повишена</w:t>
      </w:r>
      <w:r w:rsidRPr="0025330E">
        <w:rPr>
          <w:rFonts w:eastAsia="Times New Roman" w:cs="Arial"/>
          <w:i/>
          <w:iCs/>
          <w:color w:val="000000"/>
          <w:lang w:eastAsia="bg-BG"/>
        </w:rPr>
        <w:t xml:space="preserve"> </w:t>
      </w:r>
      <w:r w:rsidRPr="0025330E">
        <w:rPr>
          <w:rFonts w:eastAsia="Times New Roman" w:cs="Arial"/>
          <w:color w:val="000000"/>
          <w:lang w:eastAsia="bg-BG"/>
        </w:rPr>
        <w:t>алкални фосфатаза, повишение в серумните нива на СК (вж. точка 4.4)</w:t>
      </w:r>
      <w:r>
        <w:rPr>
          <w:rFonts w:eastAsia="Times New Roman" w:cs="Arial"/>
          <w:color w:val="000000"/>
          <w:lang w:val="en-US" w:eastAsia="bg-BG"/>
        </w:rPr>
        <w:t>.</w:t>
      </w:r>
    </w:p>
    <w:p w14:paraId="43E3C48F" w14:textId="021E322B" w:rsidR="0091385D" w:rsidRDefault="0091385D" w:rsidP="0091385D"/>
    <w:p w14:paraId="1E7C8FE6" w14:textId="77777777"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 xml:space="preserve">Съобщавани са увеличения на </w:t>
      </w:r>
      <w:proofErr w:type="spellStart"/>
      <w:r w:rsidRPr="0025330E">
        <w:rPr>
          <w:rFonts w:eastAsia="Times New Roman" w:cs="Arial"/>
          <w:color w:val="000000"/>
          <w:lang w:val="en-US"/>
        </w:rPr>
        <w:t>HbAlc</w:t>
      </w:r>
      <w:proofErr w:type="spellEnd"/>
      <w:r w:rsidRPr="0025330E">
        <w:rPr>
          <w:rFonts w:eastAsia="Times New Roman" w:cs="Arial"/>
          <w:color w:val="000000"/>
          <w:lang w:val="en-US"/>
        </w:rPr>
        <w:t xml:space="preserve">, </w:t>
      </w:r>
      <w:r w:rsidRPr="0025330E">
        <w:rPr>
          <w:rFonts w:eastAsia="Times New Roman" w:cs="Arial"/>
          <w:color w:val="000000"/>
          <w:lang w:eastAsia="bg-BG"/>
        </w:rPr>
        <w:t>и серумните нива на глюкозата на гладно са със статини, включително симвастатин.</w:t>
      </w:r>
    </w:p>
    <w:p w14:paraId="1EFAC5DA" w14:textId="77777777" w:rsidR="0025330E" w:rsidRPr="0025330E" w:rsidRDefault="0025330E" w:rsidP="0025330E">
      <w:pPr>
        <w:spacing w:line="240" w:lineRule="auto"/>
        <w:rPr>
          <w:rFonts w:eastAsia="Times New Roman" w:cs="Arial"/>
          <w:color w:val="000000"/>
          <w:lang w:eastAsia="bg-BG"/>
        </w:rPr>
      </w:pPr>
    </w:p>
    <w:p w14:paraId="2BA92526" w14:textId="2CA3B245"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Има редки пост-маркетингови съобщения за когнитивни нарушения (например загуба на памет, забравяне, амнезия, амнезия, обърканост), свързани с употребата на статини, включително симвастатин. Докладваните съобщения в общия случай не са сериозни и са обратими при прекратяване употребата на статина, с различен период до появата на симптомите (от 1 ден до години) и с различна продължителност на симптомите (средно 3 седмици).</w:t>
      </w:r>
    </w:p>
    <w:p w14:paraId="2C3579C1" w14:textId="77777777" w:rsidR="0025330E" w:rsidRPr="0025330E" w:rsidRDefault="0025330E" w:rsidP="0025330E">
      <w:pPr>
        <w:spacing w:line="240" w:lineRule="auto"/>
        <w:rPr>
          <w:rFonts w:eastAsia="Times New Roman" w:cs="Arial"/>
          <w:color w:val="000000"/>
          <w:lang w:eastAsia="bg-BG"/>
        </w:rPr>
      </w:pPr>
    </w:p>
    <w:p w14:paraId="1302FE4C" w14:textId="15850C4C"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lastRenderedPageBreak/>
        <w:t>При някои статини са били докладвани следните допълнителни нежелани реакции:</w:t>
      </w:r>
    </w:p>
    <w:p w14:paraId="58ED8D38" w14:textId="77777777" w:rsidR="0025330E" w:rsidRPr="0025330E" w:rsidRDefault="0025330E" w:rsidP="0025330E">
      <w:pPr>
        <w:pStyle w:val="ListParagraph"/>
        <w:numPr>
          <w:ilvl w:val="0"/>
          <w:numId w:val="37"/>
        </w:numPr>
        <w:spacing w:line="240" w:lineRule="auto"/>
        <w:rPr>
          <w:rFonts w:eastAsia="Times New Roman" w:cs="Arial"/>
          <w:color w:val="000000"/>
          <w:lang w:eastAsia="bg-BG"/>
        </w:rPr>
      </w:pPr>
      <w:r w:rsidRPr="0025330E">
        <w:rPr>
          <w:rFonts w:eastAsia="Times New Roman" w:cs="Arial"/>
          <w:color w:val="000000"/>
          <w:lang w:eastAsia="bg-BG"/>
        </w:rPr>
        <w:t>Нарушения на съня, включително кошмари;</w:t>
      </w:r>
    </w:p>
    <w:p w14:paraId="0BC56875" w14:textId="77777777" w:rsidR="0025330E" w:rsidRPr="0025330E" w:rsidRDefault="0025330E" w:rsidP="0025330E">
      <w:pPr>
        <w:pStyle w:val="ListParagraph"/>
        <w:numPr>
          <w:ilvl w:val="0"/>
          <w:numId w:val="37"/>
        </w:numPr>
        <w:spacing w:line="240" w:lineRule="auto"/>
        <w:rPr>
          <w:rFonts w:eastAsia="Times New Roman" w:cs="Arial"/>
          <w:color w:val="000000"/>
          <w:lang w:eastAsia="bg-BG"/>
        </w:rPr>
      </w:pPr>
      <w:r w:rsidRPr="0025330E">
        <w:rPr>
          <w:rFonts w:eastAsia="Times New Roman" w:cs="Arial"/>
          <w:color w:val="000000"/>
          <w:lang w:eastAsia="bg-BG"/>
        </w:rPr>
        <w:t>Сексуална дисфункция;</w:t>
      </w:r>
    </w:p>
    <w:p w14:paraId="4B2AF75C" w14:textId="2131BA51" w:rsidR="0025330E" w:rsidRPr="0025330E" w:rsidRDefault="0025330E" w:rsidP="0025330E">
      <w:pPr>
        <w:pStyle w:val="ListParagraph"/>
        <w:numPr>
          <w:ilvl w:val="0"/>
          <w:numId w:val="37"/>
        </w:numPr>
        <w:spacing w:line="240" w:lineRule="auto"/>
        <w:rPr>
          <w:rFonts w:eastAsia="Times New Roman" w:cs="Arial"/>
          <w:color w:val="000000"/>
          <w:lang w:eastAsia="bg-BG"/>
        </w:rPr>
      </w:pPr>
      <w:r w:rsidRPr="0025330E">
        <w:rPr>
          <w:rFonts w:eastAsia="Times New Roman" w:cs="Arial"/>
          <w:color w:val="000000"/>
          <w:lang w:eastAsia="bg-BG"/>
        </w:rPr>
        <w:t xml:space="preserve">Захарен диабет: честотата ще зависи от наличието или липсата на рискови фактори (кръвна захар на гладно ≥ 5,6 </w:t>
      </w:r>
      <w:proofErr w:type="spellStart"/>
      <w:r w:rsidRPr="0025330E">
        <w:rPr>
          <w:rFonts w:eastAsia="Times New Roman" w:cs="Arial"/>
          <w:color w:val="000000"/>
          <w:lang w:val="en-US"/>
        </w:rPr>
        <w:t>mmol</w:t>
      </w:r>
      <w:proofErr w:type="spellEnd"/>
      <w:r w:rsidRPr="0025330E">
        <w:rPr>
          <w:rFonts w:eastAsia="Times New Roman" w:cs="Arial"/>
          <w:color w:val="000000"/>
          <w:lang w:val="en-US"/>
        </w:rPr>
        <w:t xml:space="preserve">/L, </w:t>
      </w:r>
      <w:r w:rsidRPr="0025330E">
        <w:rPr>
          <w:rFonts w:eastAsia="Times New Roman" w:cs="Arial"/>
          <w:color w:val="000000"/>
          <w:lang w:eastAsia="bg-BG"/>
        </w:rPr>
        <w:t xml:space="preserve">ИТМ&gt; </w:t>
      </w:r>
      <w:r w:rsidRPr="0025330E">
        <w:rPr>
          <w:rFonts w:eastAsia="Times New Roman" w:cs="Arial"/>
          <w:color w:val="000000"/>
          <w:lang w:val="en-US"/>
        </w:rPr>
        <w:t>30kg/m</w:t>
      </w:r>
      <w:r w:rsidRPr="0025330E">
        <w:rPr>
          <w:rFonts w:eastAsia="Times New Roman" w:cs="Arial"/>
          <w:color w:val="000000"/>
          <w:vertAlign w:val="superscript"/>
          <w:lang w:val="en-US"/>
        </w:rPr>
        <w:t>2</w:t>
      </w:r>
      <w:r w:rsidRPr="0025330E">
        <w:rPr>
          <w:rFonts w:eastAsia="Times New Roman" w:cs="Arial"/>
          <w:color w:val="000000"/>
          <w:lang w:val="en-US"/>
        </w:rPr>
        <w:t xml:space="preserve">, </w:t>
      </w:r>
      <w:r w:rsidRPr="0025330E">
        <w:rPr>
          <w:rFonts w:eastAsia="Times New Roman" w:cs="Arial"/>
          <w:color w:val="000000"/>
          <w:lang w:eastAsia="bg-BG"/>
        </w:rPr>
        <w:t>повишени триглицериди, анамнеза за хипертония).</w:t>
      </w:r>
    </w:p>
    <w:p w14:paraId="45A100B0" w14:textId="77777777" w:rsidR="0025330E" w:rsidRPr="0025330E" w:rsidRDefault="0025330E" w:rsidP="0025330E">
      <w:pPr>
        <w:spacing w:line="240" w:lineRule="auto"/>
        <w:rPr>
          <w:rFonts w:eastAsia="Times New Roman" w:cs="Arial"/>
          <w:color w:val="000000"/>
          <w:u w:val="single"/>
          <w:lang w:eastAsia="bg-BG"/>
        </w:rPr>
      </w:pPr>
    </w:p>
    <w:p w14:paraId="4A605665" w14:textId="0638A1BA"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Педиатрична популация</w:t>
      </w:r>
    </w:p>
    <w:p w14:paraId="6CDF2F97" w14:textId="77777777"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 xml:space="preserve">В 48-седмично проучване на деца и юноши (момчета II стадий или повече по </w:t>
      </w:r>
      <w:r w:rsidRPr="0025330E">
        <w:rPr>
          <w:rFonts w:eastAsia="Times New Roman" w:cs="Arial"/>
          <w:color w:val="000000"/>
          <w:lang w:val="en-US"/>
        </w:rPr>
        <w:t xml:space="preserve">Tanner </w:t>
      </w:r>
      <w:r w:rsidRPr="0025330E">
        <w:rPr>
          <w:rFonts w:eastAsia="Times New Roman" w:cs="Arial"/>
          <w:color w:val="000000"/>
          <w:lang w:eastAsia="bg-BG"/>
        </w:rPr>
        <w:t>и момичета поне една година след първия менструален цикъл), на възраст между 10 и 17 години с хетерозиготна фамилна хиперхолестеролемия (</w:t>
      </w:r>
      <w:r w:rsidRPr="0025330E">
        <w:rPr>
          <w:rFonts w:eastAsia="Times New Roman" w:cs="Arial"/>
          <w:color w:val="000000"/>
          <w:lang w:val="en-US"/>
        </w:rPr>
        <w:t>n=</w:t>
      </w:r>
      <w:r w:rsidRPr="0025330E">
        <w:rPr>
          <w:rFonts w:eastAsia="Times New Roman" w:cs="Arial"/>
          <w:color w:val="000000"/>
          <w:lang w:eastAsia="bg-BG"/>
        </w:rPr>
        <w:t>175), профилът на безопасност и поносимост при групата, лекувана със симвастатин е бил като цяло подобен на този при групата, лекувана с плацебо. Дългосрочните ефекти върху физическото, интелектуалното и половото съзряване не са известни. Понастоящем няма достатъчно данни след първата година от лечението (вж. точки 4.2, 4.4 и 5.1).</w:t>
      </w:r>
    </w:p>
    <w:p w14:paraId="205C0BAD" w14:textId="77777777" w:rsidR="0025330E" w:rsidRPr="0025330E" w:rsidRDefault="0025330E" w:rsidP="0025330E">
      <w:pPr>
        <w:spacing w:line="240" w:lineRule="auto"/>
        <w:rPr>
          <w:rFonts w:eastAsia="Times New Roman" w:cs="Arial"/>
          <w:color w:val="000000"/>
          <w:u w:val="single"/>
          <w:lang w:eastAsia="bg-BG"/>
        </w:rPr>
      </w:pPr>
    </w:p>
    <w:p w14:paraId="493197F6" w14:textId="2C1E4579"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Съобщаване на подозирани нежелани реакции</w:t>
      </w:r>
    </w:p>
    <w:p w14:paraId="0E9F859F" w14:textId="77777777"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w:t>
      </w:r>
    </w:p>
    <w:p w14:paraId="50B436B6" w14:textId="77777777" w:rsidR="0025330E" w:rsidRPr="0025330E" w:rsidRDefault="0025330E" w:rsidP="0025330E">
      <w:pPr>
        <w:spacing w:line="240" w:lineRule="auto"/>
        <w:rPr>
          <w:rFonts w:eastAsia="Times New Roman" w:cs="Arial"/>
          <w:color w:val="000000"/>
          <w:lang w:eastAsia="bg-BG"/>
        </w:rPr>
      </w:pPr>
    </w:p>
    <w:p w14:paraId="18D5E2A8" w14:textId="4CA4288B"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Изпълнителна агенция по лекарствата</w:t>
      </w:r>
    </w:p>
    <w:p w14:paraId="6064FBDB" w14:textId="77777777"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ул. „Дамян Груев” № 8</w:t>
      </w:r>
    </w:p>
    <w:p w14:paraId="1D1EDC93" w14:textId="77777777"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1303 София</w:t>
      </w:r>
    </w:p>
    <w:p w14:paraId="4400A8FA" w14:textId="77777777"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тел.: +35 928903417</w:t>
      </w:r>
    </w:p>
    <w:p w14:paraId="5B77497A" w14:textId="685F53C9" w:rsidR="0025330E" w:rsidRPr="0025330E" w:rsidRDefault="0025330E" w:rsidP="0025330E">
      <w:pPr>
        <w:rPr>
          <w:rFonts w:cs="Arial"/>
        </w:rPr>
      </w:pPr>
      <w:r w:rsidRPr="0025330E">
        <w:rPr>
          <w:rFonts w:eastAsia="Times New Roman" w:cs="Arial"/>
          <w:color w:val="000000"/>
          <w:lang w:eastAsia="bg-BG"/>
        </w:rPr>
        <w:t xml:space="preserve">уебсайт: </w:t>
      </w:r>
      <w:hyperlink r:id="rId5" w:history="1">
        <w:r w:rsidRPr="0025330E">
          <w:rPr>
            <w:rFonts w:eastAsia="Times New Roman" w:cs="Arial"/>
            <w:color w:val="000000"/>
            <w:lang w:val="en-US"/>
          </w:rPr>
          <w:t>www.bda.bg</w:t>
        </w:r>
      </w:hyperlink>
    </w:p>
    <w:p w14:paraId="6DED2DB4" w14:textId="77777777" w:rsidR="0025330E" w:rsidRPr="0091385D" w:rsidRDefault="0025330E"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75EEC639" w14:textId="77777777"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Досега има няколко случая на съобщено предозиране. Максималната приета доза е била 3.6 </w:t>
      </w:r>
      <w:r w:rsidRPr="0025330E">
        <w:rPr>
          <w:rFonts w:eastAsia="Times New Roman" w:cs="Arial"/>
          <w:color w:val="000000"/>
          <w:lang w:val="en-US"/>
        </w:rPr>
        <w:t xml:space="preserve">g. </w:t>
      </w:r>
      <w:r w:rsidRPr="0025330E">
        <w:rPr>
          <w:rFonts w:eastAsia="Times New Roman" w:cs="Arial"/>
          <w:color w:val="000000"/>
          <w:lang w:eastAsia="bg-BG"/>
        </w:rPr>
        <w:t>Всички пациенти са се възстановили напълно. Няма специфично лечение в случай на предозиране.</w:t>
      </w:r>
    </w:p>
    <w:p w14:paraId="0F0079CB" w14:textId="643780B3" w:rsidR="0091385D" w:rsidRPr="0025330E" w:rsidRDefault="0025330E" w:rsidP="0025330E">
      <w:pPr>
        <w:rPr>
          <w:rFonts w:cs="Arial"/>
        </w:rPr>
      </w:pPr>
      <w:r w:rsidRPr="0025330E">
        <w:rPr>
          <w:rFonts w:eastAsia="Times New Roman" w:cs="Arial"/>
          <w:color w:val="000000"/>
          <w:lang w:eastAsia="bg-BG"/>
        </w:rPr>
        <w:t>В такива случаи трябва да се предприемат поддържащи мерки и да се прилагат симптоматични средства.</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43E6F627" w14:textId="77777777"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Фармакотерапевтична група: </w:t>
      </w:r>
      <w:r w:rsidRPr="0025330E">
        <w:rPr>
          <w:rFonts w:eastAsia="Times New Roman" w:cs="Arial"/>
          <w:color w:val="000000"/>
          <w:lang w:val="en-US"/>
        </w:rPr>
        <w:t>HMG</w:t>
      </w:r>
      <w:r w:rsidRPr="0025330E">
        <w:rPr>
          <w:rFonts w:eastAsia="Times New Roman" w:cs="Arial"/>
          <w:color w:val="000000"/>
          <w:lang w:eastAsia="bg-BG"/>
        </w:rPr>
        <w:t>-СоА-редуктазни инхибитори</w:t>
      </w:r>
    </w:p>
    <w:p w14:paraId="22A99EEC" w14:textId="77777777" w:rsidR="0025330E" w:rsidRPr="0025330E" w:rsidRDefault="0025330E" w:rsidP="0025330E">
      <w:pPr>
        <w:spacing w:line="240" w:lineRule="auto"/>
        <w:rPr>
          <w:rFonts w:eastAsia="Times New Roman" w:cs="Arial"/>
          <w:b/>
          <w:bCs/>
          <w:color w:val="000000"/>
          <w:lang w:eastAsia="bg-BG"/>
        </w:rPr>
      </w:pPr>
    </w:p>
    <w:p w14:paraId="0E7E1D0C" w14:textId="37FA916C" w:rsidR="0025330E" w:rsidRPr="0025330E" w:rsidRDefault="0025330E" w:rsidP="0025330E">
      <w:pPr>
        <w:spacing w:line="240" w:lineRule="auto"/>
        <w:rPr>
          <w:rFonts w:eastAsia="Times New Roman" w:cs="Arial"/>
          <w:sz w:val="24"/>
          <w:szCs w:val="24"/>
          <w:lang w:eastAsia="bg-BG"/>
        </w:rPr>
      </w:pPr>
      <w:r w:rsidRPr="0025330E">
        <w:rPr>
          <w:rFonts w:eastAsia="Times New Roman" w:cs="Arial"/>
          <w:b/>
          <w:bCs/>
          <w:color w:val="000000"/>
          <w:lang w:eastAsia="bg-BG"/>
        </w:rPr>
        <w:t>АТС код: С10А А01</w:t>
      </w:r>
    </w:p>
    <w:p w14:paraId="74AFB893" w14:textId="77777777" w:rsidR="0025330E" w:rsidRPr="0025330E" w:rsidRDefault="0025330E" w:rsidP="0025330E">
      <w:pPr>
        <w:rPr>
          <w:rFonts w:eastAsia="Times New Roman" w:cs="Arial"/>
          <w:color w:val="000000"/>
          <w:u w:val="single"/>
          <w:lang w:eastAsia="bg-BG"/>
        </w:rPr>
      </w:pPr>
    </w:p>
    <w:p w14:paraId="28252AA0" w14:textId="60429089" w:rsidR="0091385D" w:rsidRPr="0025330E" w:rsidRDefault="0025330E" w:rsidP="0025330E">
      <w:pPr>
        <w:rPr>
          <w:rFonts w:cs="Arial"/>
        </w:rPr>
      </w:pPr>
      <w:r w:rsidRPr="0025330E">
        <w:rPr>
          <w:rFonts w:eastAsia="Times New Roman" w:cs="Arial"/>
          <w:color w:val="000000"/>
          <w:u w:val="single"/>
          <w:lang w:eastAsia="bg-BG"/>
        </w:rPr>
        <w:t>Механизъм на действие</w:t>
      </w:r>
    </w:p>
    <w:p w14:paraId="36152471" w14:textId="46AD9660" w:rsidR="0091385D" w:rsidRPr="0025330E" w:rsidRDefault="0091385D" w:rsidP="0091385D">
      <w:pPr>
        <w:rPr>
          <w:rFonts w:cs="Arial"/>
        </w:rPr>
      </w:pPr>
    </w:p>
    <w:p w14:paraId="61B46920" w14:textId="77777777"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lastRenderedPageBreak/>
        <w:t xml:space="preserve">След перорален прием, симвастатин, който е неактивен лактон, се хидролизира в черния дроб до кореспондираща бета-хидроксикисела форма, която е много активна в инхибирането на </w:t>
      </w:r>
      <w:r w:rsidRPr="0025330E">
        <w:rPr>
          <w:rFonts w:eastAsia="Times New Roman" w:cs="Arial"/>
          <w:color w:val="000000"/>
          <w:lang w:val="en-US"/>
        </w:rPr>
        <w:t xml:space="preserve">HMG-CoA </w:t>
      </w:r>
      <w:r w:rsidRPr="0025330E">
        <w:rPr>
          <w:rFonts w:eastAsia="Times New Roman" w:cs="Arial"/>
          <w:color w:val="000000"/>
          <w:lang w:eastAsia="bg-BG"/>
        </w:rPr>
        <w:t xml:space="preserve">редуктазата (3 хидрокси - 3 металглутарил-СоА-редуктаза). Този ензим катализира превръщането на </w:t>
      </w:r>
      <w:r w:rsidRPr="0025330E">
        <w:rPr>
          <w:rFonts w:eastAsia="Times New Roman" w:cs="Arial"/>
          <w:color w:val="000000"/>
          <w:lang w:val="en-US"/>
        </w:rPr>
        <w:t xml:space="preserve">HMG-CoA </w:t>
      </w:r>
      <w:r w:rsidRPr="0025330E">
        <w:rPr>
          <w:rFonts w:eastAsia="Times New Roman" w:cs="Arial"/>
          <w:color w:val="000000"/>
          <w:lang w:eastAsia="bg-BG"/>
        </w:rPr>
        <w:t>редуктазата до мевалонат, ранен скорост-лимитиращ етап в биосинтеза на холестерол.</w:t>
      </w:r>
    </w:p>
    <w:p w14:paraId="73DC2B5E" w14:textId="77777777" w:rsidR="0025330E" w:rsidRPr="0025330E" w:rsidRDefault="0025330E" w:rsidP="0025330E">
      <w:pPr>
        <w:spacing w:line="240" w:lineRule="auto"/>
        <w:rPr>
          <w:rFonts w:eastAsia="Times New Roman" w:cs="Arial"/>
          <w:color w:val="000000"/>
          <w:lang w:eastAsia="bg-BG"/>
        </w:rPr>
      </w:pPr>
    </w:p>
    <w:p w14:paraId="6131D447" w14:textId="480E9E50"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Установено е, че симвастатин намалява еднакво нормалните и повишените нива на концентрациите на липопротеините с ниска плътност </w:t>
      </w:r>
      <w:r w:rsidRPr="0025330E">
        <w:rPr>
          <w:rFonts w:eastAsia="Times New Roman" w:cs="Arial"/>
          <w:color w:val="000000"/>
          <w:lang w:val="en-US"/>
        </w:rPr>
        <w:t xml:space="preserve">(LDL-C). LDL </w:t>
      </w:r>
      <w:r w:rsidRPr="0025330E">
        <w:rPr>
          <w:rFonts w:eastAsia="Times New Roman" w:cs="Arial"/>
          <w:color w:val="000000"/>
          <w:lang w:eastAsia="bg-BG"/>
        </w:rPr>
        <w:t xml:space="preserve">се образува от протеин с много ниска плътност </w:t>
      </w:r>
      <w:r w:rsidRPr="0025330E">
        <w:rPr>
          <w:rFonts w:eastAsia="Times New Roman" w:cs="Arial"/>
          <w:color w:val="000000"/>
          <w:lang w:val="en-US"/>
        </w:rPr>
        <w:t xml:space="preserve">(VLDL) </w:t>
      </w:r>
      <w:r w:rsidRPr="0025330E">
        <w:rPr>
          <w:rFonts w:eastAsia="Times New Roman" w:cs="Arial"/>
          <w:color w:val="000000"/>
          <w:lang w:eastAsia="bg-BG"/>
        </w:rPr>
        <w:t xml:space="preserve">и се катаболизира главно от </w:t>
      </w:r>
      <w:r w:rsidRPr="0025330E">
        <w:rPr>
          <w:rFonts w:eastAsia="Times New Roman" w:cs="Arial"/>
          <w:color w:val="000000"/>
          <w:lang w:val="en-US"/>
        </w:rPr>
        <w:t xml:space="preserve">LDL </w:t>
      </w:r>
      <w:r w:rsidRPr="0025330E">
        <w:rPr>
          <w:rFonts w:eastAsia="Times New Roman" w:cs="Arial"/>
          <w:color w:val="000000"/>
          <w:lang w:eastAsia="bg-BG"/>
        </w:rPr>
        <w:t xml:space="preserve">рецептори с висок афинитет. Механизмът на </w:t>
      </w:r>
      <w:r w:rsidRPr="0025330E">
        <w:rPr>
          <w:rFonts w:eastAsia="Times New Roman" w:cs="Arial"/>
          <w:color w:val="000000"/>
          <w:lang w:val="en-US"/>
        </w:rPr>
        <w:t>LDL</w:t>
      </w:r>
      <w:r w:rsidRPr="0025330E">
        <w:rPr>
          <w:rFonts w:eastAsia="Times New Roman" w:cs="Arial"/>
          <w:color w:val="000000"/>
          <w:lang w:eastAsia="bg-BG"/>
        </w:rPr>
        <w:t xml:space="preserve">-понижаващото действие на симвастатин може да включва както намаляване на концентрацията на </w:t>
      </w:r>
      <w:r w:rsidRPr="0025330E">
        <w:rPr>
          <w:rFonts w:eastAsia="Times New Roman" w:cs="Arial"/>
          <w:color w:val="000000"/>
          <w:lang w:val="en-US"/>
        </w:rPr>
        <w:t>VLDL</w:t>
      </w:r>
      <w:r w:rsidRPr="0025330E">
        <w:rPr>
          <w:rFonts w:eastAsia="Times New Roman" w:cs="Arial"/>
          <w:color w:val="000000"/>
          <w:lang w:eastAsia="bg-BG"/>
        </w:rPr>
        <w:t xml:space="preserve">-холестерола </w:t>
      </w:r>
      <w:r w:rsidRPr="0025330E">
        <w:rPr>
          <w:rFonts w:eastAsia="Times New Roman" w:cs="Arial"/>
          <w:color w:val="000000"/>
          <w:lang w:val="en-US"/>
        </w:rPr>
        <w:t>(VLDL</w:t>
      </w:r>
      <w:r w:rsidRPr="0025330E">
        <w:rPr>
          <w:rFonts w:eastAsia="Times New Roman" w:cs="Arial"/>
          <w:color w:val="000000"/>
          <w:lang w:eastAsia="bg-BG"/>
        </w:rPr>
        <w:t xml:space="preserve">-С) и индукция на </w:t>
      </w:r>
      <w:r w:rsidRPr="0025330E">
        <w:rPr>
          <w:rFonts w:eastAsia="Times New Roman" w:cs="Arial"/>
          <w:color w:val="000000"/>
          <w:lang w:val="en-US"/>
        </w:rPr>
        <w:t xml:space="preserve">LDL </w:t>
      </w:r>
      <w:r w:rsidRPr="0025330E">
        <w:rPr>
          <w:rFonts w:eastAsia="Times New Roman" w:cs="Arial"/>
          <w:color w:val="000000"/>
          <w:lang w:eastAsia="bg-BG"/>
        </w:rPr>
        <w:t xml:space="preserve">рецептора, което води до намаляване на производството и стимулиране катаболизма на </w:t>
      </w:r>
      <w:r w:rsidRPr="0025330E">
        <w:rPr>
          <w:rFonts w:eastAsia="Times New Roman" w:cs="Arial"/>
          <w:color w:val="000000"/>
          <w:lang w:val="en-US"/>
        </w:rPr>
        <w:t>LDL</w:t>
      </w:r>
      <w:r w:rsidRPr="0025330E">
        <w:rPr>
          <w:rFonts w:eastAsia="Times New Roman" w:cs="Arial"/>
          <w:color w:val="000000"/>
          <w:lang w:eastAsia="bg-BG"/>
        </w:rPr>
        <w:t xml:space="preserve">-С. Аполипопротеин В също намалява съществено по време на лечението със симвастатин. Освен това симвастатин умерено повишава концентрацията на </w:t>
      </w:r>
      <w:r w:rsidRPr="0025330E">
        <w:rPr>
          <w:rFonts w:eastAsia="Times New Roman" w:cs="Arial"/>
          <w:color w:val="000000"/>
          <w:lang w:val="en-US"/>
        </w:rPr>
        <w:t xml:space="preserve">HDL-C </w:t>
      </w:r>
      <w:r w:rsidRPr="0025330E">
        <w:rPr>
          <w:rFonts w:eastAsia="Times New Roman" w:cs="Arial"/>
          <w:color w:val="000000"/>
          <w:lang w:eastAsia="bg-BG"/>
        </w:rPr>
        <w:t xml:space="preserve">и намалява плазмените триглицериди. В резултат на тези промени съотношението на общия и </w:t>
      </w:r>
      <w:r w:rsidRPr="0025330E">
        <w:rPr>
          <w:rFonts w:eastAsia="Times New Roman" w:cs="Arial"/>
          <w:color w:val="000000"/>
          <w:lang w:val="en-US"/>
        </w:rPr>
        <w:t xml:space="preserve">HDL </w:t>
      </w:r>
      <w:r w:rsidRPr="0025330E">
        <w:rPr>
          <w:rFonts w:eastAsia="Times New Roman" w:cs="Arial"/>
          <w:color w:val="000000"/>
          <w:lang w:eastAsia="bg-BG"/>
        </w:rPr>
        <w:t xml:space="preserve">холестерола и </w:t>
      </w:r>
      <w:r w:rsidRPr="0025330E">
        <w:rPr>
          <w:rFonts w:eastAsia="Times New Roman" w:cs="Arial"/>
          <w:color w:val="000000"/>
          <w:lang w:val="en-US"/>
        </w:rPr>
        <w:t xml:space="preserve">LDL </w:t>
      </w:r>
      <w:r w:rsidRPr="0025330E">
        <w:rPr>
          <w:rFonts w:eastAsia="Times New Roman" w:cs="Arial"/>
          <w:color w:val="000000"/>
          <w:lang w:eastAsia="bg-BG"/>
        </w:rPr>
        <w:t xml:space="preserve">към </w:t>
      </w:r>
      <w:r w:rsidRPr="0025330E">
        <w:rPr>
          <w:rFonts w:eastAsia="Times New Roman" w:cs="Arial"/>
          <w:color w:val="000000"/>
          <w:lang w:val="en-US"/>
        </w:rPr>
        <w:t xml:space="preserve">HDL </w:t>
      </w:r>
      <w:r w:rsidRPr="0025330E">
        <w:rPr>
          <w:rFonts w:eastAsia="Times New Roman" w:cs="Arial"/>
          <w:color w:val="000000"/>
          <w:lang w:eastAsia="bg-BG"/>
        </w:rPr>
        <w:t>холестерола намалява.</w:t>
      </w:r>
    </w:p>
    <w:p w14:paraId="6405FF18" w14:textId="77777777" w:rsidR="0025330E" w:rsidRPr="0025330E" w:rsidRDefault="0025330E" w:rsidP="0025330E">
      <w:pPr>
        <w:spacing w:line="240" w:lineRule="auto"/>
        <w:rPr>
          <w:rFonts w:eastAsia="Times New Roman" w:cs="Arial"/>
          <w:b/>
          <w:bCs/>
          <w:color w:val="000000"/>
          <w:u w:val="single"/>
          <w:lang w:eastAsia="bg-BG"/>
        </w:rPr>
      </w:pPr>
    </w:p>
    <w:p w14:paraId="4FA997F6" w14:textId="1DA1D21A" w:rsidR="0025330E" w:rsidRPr="0025330E" w:rsidRDefault="0025330E" w:rsidP="0025330E">
      <w:pPr>
        <w:spacing w:line="240" w:lineRule="auto"/>
        <w:rPr>
          <w:rFonts w:eastAsia="Times New Roman" w:cs="Arial"/>
          <w:sz w:val="24"/>
          <w:szCs w:val="24"/>
          <w:lang w:eastAsia="bg-BG"/>
        </w:rPr>
      </w:pPr>
      <w:r w:rsidRPr="0025330E">
        <w:rPr>
          <w:rFonts w:eastAsia="Times New Roman" w:cs="Arial"/>
          <w:b/>
          <w:bCs/>
          <w:color w:val="000000"/>
          <w:u w:val="single"/>
          <w:lang w:eastAsia="bg-BG"/>
        </w:rPr>
        <w:t>Клинична ефикасност и безопасност</w:t>
      </w:r>
    </w:p>
    <w:p w14:paraId="187B7B10" w14:textId="77777777" w:rsidR="0025330E" w:rsidRPr="0025330E" w:rsidRDefault="0025330E" w:rsidP="0025330E">
      <w:pPr>
        <w:spacing w:line="240" w:lineRule="auto"/>
        <w:rPr>
          <w:rFonts w:eastAsia="Times New Roman" w:cs="Arial"/>
          <w:color w:val="000000"/>
          <w:u w:val="single"/>
          <w:lang w:eastAsia="bg-BG"/>
        </w:rPr>
      </w:pPr>
    </w:p>
    <w:p w14:paraId="38378EFC" w14:textId="551818C7"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u w:val="single"/>
          <w:lang w:eastAsia="bg-BG"/>
        </w:rPr>
        <w:t xml:space="preserve">Висок риск от коронарно сърдечно заболяване </w:t>
      </w:r>
      <w:r w:rsidRPr="0025330E">
        <w:rPr>
          <w:rFonts w:eastAsia="Times New Roman" w:cs="Arial"/>
          <w:color w:val="000000"/>
          <w:u w:val="single"/>
          <w:lang w:val="en-US"/>
        </w:rPr>
        <w:t xml:space="preserve">(CHD) </w:t>
      </w:r>
      <w:r w:rsidRPr="0025330E">
        <w:rPr>
          <w:rFonts w:eastAsia="Times New Roman" w:cs="Arial"/>
          <w:color w:val="000000"/>
          <w:u w:val="single"/>
          <w:lang w:eastAsia="bg-BG"/>
        </w:rPr>
        <w:t>или съществуващо коронарно сърдечно заболяване</w:t>
      </w:r>
    </w:p>
    <w:p w14:paraId="0DB31ED5" w14:textId="77777777" w:rsidR="0025330E" w:rsidRPr="0025330E" w:rsidRDefault="0025330E" w:rsidP="0025330E">
      <w:pPr>
        <w:spacing w:line="240" w:lineRule="auto"/>
        <w:rPr>
          <w:rFonts w:eastAsia="Times New Roman" w:cs="Arial"/>
          <w:color w:val="000000"/>
          <w:lang w:eastAsia="bg-BG"/>
        </w:rPr>
      </w:pPr>
    </w:p>
    <w:p w14:paraId="4675327D" w14:textId="607899DA"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В </w:t>
      </w:r>
      <w:r w:rsidRPr="0025330E">
        <w:rPr>
          <w:rFonts w:eastAsia="Times New Roman" w:cs="Arial"/>
          <w:i/>
          <w:iCs/>
          <w:color w:val="000000"/>
          <w:lang w:val="en-US"/>
        </w:rPr>
        <w:t>Heart Protection Study</w:t>
      </w:r>
      <w:r w:rsidRPr="0025330E">
        <w:rPr>
          <w:rFonts w:eastAsia="Times New Roman" w:cs="Arial"/>
          <w:color w:val="000000"/>
          <w:lang w:val="en-US"/>
        </w:rPr>
        <w:t xml:space="preserve"> (HPS), </w:t>
      </w:r>
      <w:r w:rsidRPr="0025330E">
        <w:rPr>
          <w:rFonts w:eastAsia="Times New Roman" w:cs="Arial"/>
          <w:color w:val="000000"/>
          <w:lang w:eastAsia="bg-BG"/>
        </w:rPr>
        <w:t xml:space="preserve">ефектът от лечението със симвастатин е оценен при 20 536 пациенти (на възраст 40-80 години), със или без хиперлипидемия и коронарно сърдечно заболяване, друга оклузивна артериална болест или захарен диабет. В това проучване 10 269 пациенти са лекувани със симвастатин 40 </w:t>
      </w:r>
      <w:r w:rsidRPr="0025330E">
        <w:rPr>
          <w:rFonts w:eastAsia="Times New Roman" w:cs="Arial"/>
          <w:color w:val="000000"/>
          <w:lang w:val="en-US"/>
        </w:rPr>
        <w:t xml:space="preserve">mg </w:t>
      </w:r>
      <w:r w:rsidRPr="0025330E">
        <w:rPr>
          <w:rFonts w:eastAsia="Times New Roman" w:cs="Arial"/>
          <w:color w:val="000000"/>
          <w:lang w:eastAsia="bg-BG"/>
        </w:rPr>
        <w:t xml:space="preserve">дневно и 10 267 пациенти, които са приемали плацебо със средна продължителност от 5 години. В началото на проучването 6 793 пациенти (33 %) са били с нива на </w:t>
      </w:r>
      <w:r w:rsidRPr="0025330E">
        <w:rPr>
          <w:rFonts w:eastAsia="Times New Roman" w:cs="Arial"/>
          <w:color w:val="000000"/>
          <w:lang w:val="en-US"/>
        </w:rPr>
        <w:t xml:space="preserve">LDL </w:t>
      </w:r>
      <w:r w:rsidRPr="0025330E">
        <w:rPr>
          <w:rFonts w:eastAsia="Times New Roman" w:cs="Arial"/>
          <w:color w:val="000000"/>
          <w:lang w:eastAsia="bg-BG"/>
        </w:rPr>
        <w:t xml:space="preserve">холестерола под 116 </w:t>
      </w:r>
      <w:r w:rsidRPr="0025330E">
        <w:rPr>
          <w:rFonts w:eastAsia="Times New Roman" w:cs="Arial"/>
          <w:color w:val="000000"/>
          <w:lang w:val="en-US"/>
        </w:rPr>
        <w:t>mg/</w:t>
      </w:r>
      <w:proofErr w:type="spellStart"/>
      <w:r w:rsidRPr="0025330E">
        <w:rPr>
          <w:rFonts w:eastAsia="Times New Roman" w:cs="Arial"/>
          <w:color w:val="000000"/>
          <w:lang w:val="en-US"/>
        </w:rPr>
        <w:t>dL</w:t>
      </w:r>
      <w:proofErr w:type="spellEnd"/>
      <w:r w:rsidRPr="0025330E">
        <w:rPr>
          <w:rFonts w:eastAsia="Times New Roman" w:cs="Arial"/>
          <w:color w:val="000000"/>
          <w:lang w:val="en-US"/>
        </w:rPr>
        <w:t xml:space="preserve">; </w:t>
      </w:r>
      <w:r w:rsidRPr="0025330E">
        <w:rPr>
          <w:rFonts w:eastAsia="Times New Roman" w:cs="Arial"/>
          <w:color w:val="000000"/>
          <w:lang w:eastAsia="bg-BG"/>
        </w:rPr>
        <w:t xml:space="preserve">5 063 пациенти (25 %) са били с нива между 116 </w:t>
      </w:r>
      <w:r w:rsidRPr="0025330E">
        <w:rPr>
          <w:rFonts w:eastAsia="Times New Roman" w:cs="Arial"/>
          <w:color w:val="000000"/>
          <w:lang w:val="en-US"/>
        </w:rPr>
        <w:t>mg/</w:t>
      </w:r>
      <w:proofErr w:type="spellStart"/>
      <w:r w:rsidRPr="0025330E">
        <w:rPr>
          <w:rFonts w:eastAsia="Times New Roman" w:cs="Arial"/>
          <w:color w:val="000000"/>
          <w:lang w:val="en-US"/>
        </w:rPr>
        <w:t>dL</w:t>
      </w:r>
      <w:proofErr w:type="spellEnd"/>
      <w:r w:rsidRPr="0025330E">
        <w:rPr>
          <w:rFonts w:eastAsia="Times New Roman" w:cs="Arial"/>
          <w:color w:val="000000"/>
          <w:lang w:val="en-US"/>
        </w:rPr>
        <w:t xml:space="preserve"> </w:t>
      </w:r>
      <w:r w:rsidRPr="0025330E">
        <w:rPr>
          <w:rFonts w:eastAsia="Times New Roman" w:cs="Arial"/>
          <w:color w:val="000000"/>
          <w:lang w:eastAsia="bg-BG"/>
        </w:rPr>
        <w:t xml:space="preserve">и 135 </w:t>
      </w:r>
      <w:r w:rsidRPr="0025330E">
        <w:rPr>
          <w:rFonts w:eastAsia="Times New Roman" w:cs="Arial"/>
          <w:color w:val="000000"/>
          <w:lang w:val="en-US"/>
        </w:rPr>
        <w:t>mg/</w:t>
      </w:r>
      <w:proofErr w:type="spellStart"/>
      <w:r w:rsidRPr="0025330E">
        <w:rPr>
          <w:rFonts w:eastAsia="Times New Roman" w:cs="Arial"/>
          <w:color w:val="000000"/>
          <w:lang w:val="en-US"/>
        </w:rPr>
        <w:t>dL</w:t>
      </w:r>
      <w:proofErr w:type="spellEnd"/>
      <w:r w:rsidRPr="0025330E">
        <w:rPr>
          <w:rFonts w:eastAsia="Times New Roman" w:cs="Arial"/>
          <w:color w:val="000000"/>
          <w:lang w:val="en-US"/>
        </w:rPr>
        <w:t xml:space="preserve">; </w:t>
      </w:r>
      <w:r w:rsidRPr="0025330E">
        <w:rPr>
          <w:rFonts w:eastAsia="Times New Roman" w:cs="Arial"/>
          <w:color w:val="000000"/>
          <w:lang w:eastAsia="bg-BG"/>
        </w:rPr>
        <w:t xml:space="preserve">8 680 пациенти (42 %) са били с нива по-високи от 135 </w:t>
      </w:r>
      <w:r w:rsidRPr="0025330E">
        <w:rPr>
          <w:rFonts w:eastAsia="Times New Roman" w:cs="Arial"/>
          <w:color w:val="000000"/>
          <w:lang w:val="en-US"/>
        </w:rPr>
        <w:t>mg/</w:t>
      </w:r>
      <w:proofErr w:type="spellStart"/>
      <w:r w:rsidRPr="0025330E">
        <w:rPr>
          <w:rFonts w:eastAsia="Times New Roman" w:cs="Arial"/>
          <w:color w:val="000000"/>
          <w:lang w:val="en-US"/>
        </w:rPr>
        <w:t>dL</w:t>
      </w:r>
      <w:proofErr w:type="spellEnd"/>
      <w:r w:rsidRPr="0025330E">
        <w:rPr>
          <w:rFonts w:eastAsia="Times New Roman" w:cs="Arial"/>
          <w:color w:val="000000"/>
          <w:lang w:val="en-US"/>
        </w:rPr>
        <w:t>.</w:t>
      </w:r>
    </w:p>
    <w:p w14:paraId="191EB031" w14:textId="77777777"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Лечението със симвастатин 40 </w:t>
      </w:r>
      <w:r w:rsidRPr="0025330E">
        <w:rPr>
          <w:rFonts w:eastAsia="Times New Roman" w:cs="Arial"/>
          <w:color w:val="000000"/>
          <w:lang w:val="en-US"/>
        </w:rPr>
        <w:t xml:space="preserve">mg </w:t>
      </w:r>
      <w:r w:rsidRPr="0025330E">
        <w:rPr>
          <w:rFonts w:eastAsia="Times New Roman" w:cs="Arial"/>
          <w:color w:val="000000"/>
          <w:lang w:eastAsia="bg-BG"/>
        </w:rPr>
        <w:t xml:space="preserve">дневно, сравнено с прием на плацебо значително понижава риска от смъртност (1328 [12,9 %] при пациентите, приемали симвастатин срещу 1507 [14,7 %] пациенти, приемали плацебо; р = 0,0003), дължащо се на 18 % намаляване на смъртността при коронарни инцидента (587 [5,7 %] срещу 707 [6,9 %]; р = 0,0005; намаляване на абсолютния риск с 1,2%). Намаляването на смъртността от извънсъдови причини не достига статистическа значимост. Симвастатин също така намалява риска от тежки коронарни инциденти (съставна крайна точка, състояща се от нефатален инфаркт на миокарда или смърт от коронарно сърдечно заболяване) с 27 % (р &lt; 0,0001). Симвастатин намалява необходимостта от процедури за коронарна реваскуларизация (включително коронарен байпас или перкутанна транслуминална коронарна ангиопластика), както и периферни и други некоронарни реваскуларизиращи процедури с 30 % (р &lt; 0,0001) и респективно с 16 % (р = 0,006). Симвастатин намалява риска от мозъчен удар с 25 % (р &lt; 0,0001), което би могло да се обясни с 30 % редуциране на исхемичните инсулта (р &lt; 0,0001). В допълнение към това, в подгрупата на пациента с диабет, симвастатин намалява риска от развиване на макроваскуларни усложнения, включително периферна реваскуларизиращи процедури (оперативни интервенции или ангиопластика), намалява честотата на ампутация на крайници или улцерации на подбедриците с 21 % (р = 0,0293). Пропорционалното намаление на честотата на събитията беше подобно при всички проучвани подгрупи пациенти, включително такива без коронарно заболяване но с цереброваскуларно или периферно артериално заболяване, мъже и жени, такива на възраст под или над 70 години по време </w:t>
      </w:r>
      <w:r w:rsidRPr="0025330E">
        <w:rPr>
          <w:rFonts w:eastAsia="Times New Roman" w:cs="Arial"/>
          <w:color w:val="000000"/>
          <w:lang w:eastAsia="bg-BG"/>
        </w:rPr>
        <w:lastRenderedPageBreak/>
        <w:t xml:space="preserve">на включване в проучването, наличие или отсъствие на хипертония, и особено тези с нива на </w:t>
      </w:r>
      <w:r w:rsidRPr="0025330E">
        <w:rPr>
          <w:rFonts w:eastAsia="Times New Roman" w:cs="Arial"/>
          <w:color w:val="000000"/>
          <w:lang w:val="en-US"/>
        </w:rPr>
        <w:t xml:space="preserve">LDL </w:t>
      </w:r>
      <w:r w:rsidRPr="0025330E">
        <w:rPr>
          <w:rFonts w:eastAsia="Times New Roman" w:cs="Arial"/>
          <w:color w:val="000000"/>
          <w:lang w:eastAsia="bg-BG"/>
        </w:rPr>
        <w:t xml:space="preserve">холестерол под 3,0 </w:t>
      </w:r>
      <w:proofErr w:type="spellStart"/>
      <w:r w:rsidRPr="0025330E">
        <w:rPr>
          <w:rFonts w:eastAsia="Times New Roman" w:cs="Arial"/>
          <w:color w:val="000000"/>
          <w:lang w:val="en-US"/>
        </w:rPr>
        <w:t>mmol</w:t>
      </w:r>
      <w:proofErr w:type="spellEnd"/>
      <w:r w:rsidRPr="0025330E">
        <w:rPr>
          <w:rFonts w:eastAsia="Times New Roman" w:cs="Arial"/>
          <w:color w:val="000000"/>
          <w:lang w:val="en-US"/>
        </w:rPr>
        <w:t xml:space="preserve">/l </w:t>
      </w:r>
      <w:r w:rsidRPr="0025330E">
        <w:rPr>
          <w:rFonts w:eastAsia="Times New Roman" w:cs="Arial"/>
          <w:color w:val="000000"/>
          <w:lang w:eastAsia="bg-BG"/>
        </w:rPr>
        <w:t>при включването.</w:t>
      </w:r>
    </w:p>
    <w:p w14:paraId="572BD81C" w14:textId="77777777" w:rsidR="0025330E" w:rsidRPr="0025330E" w:rsidRDefault="0025330E" w:rsidP="0025330E">
      <w:pPr>
        <w:rPr>
          <w:rFonts w:eastAsia="Times New Roman" w:cs="Arial"/>
          <w:color w:val="000000"/>
          <w:lang w:eastAsia="bg-BG"/>
        </w:rPr>
      </w:pPr>
    </w:p>
    <w:p w14:paraId="548F4D12" w14:textId="77777777" w:rsidR="0025330E" w:rsidRPr="0025330E" w:rsidRDefault="0025330E" w:rsidP="0025330E">
      <w:pPr>
        <w:rPr>
          <w:rFonts w:eastAsia="Times New Roman" w:cs="Arial"/>
          <w:sz w:val="24"/>
          <w:szCs w:val="24"/>
          <w:lang w:eastAsia="bg-BG"/>
        </w:rPr>
      </w:pPr>
      <w:r w:rsidRPr="0025330E">
        <w:rPr>
          <w:rFonts w:eastAsia="Times New Roman" w:cs="Arial"/>
          <w:color w:val="000000"/>
          <w:lang w:eastAsia="bg-BG"/>
        </w:rPr>
        <w:t xml:space="preserve">В </w:t>
      </w:r>
      <w:r w:rsidRPr="0025330E">
        <w:rPr>
          <w:rFonts w:eastAsia="Times New Roman" w:cs="Arial"/>
          <w:i/>
          <w:iCs/>
          <w:color w:val="000000"/>
          <w:lang w:val="en-US"/>
        </w:rPr>
        <w:t>Scandinavian Simvastatin Survival Study</w:t>
      </w:r>
      <w:r w:rsidRPr="0025330E">
        <w:rPr>
          <w:rFonts w:eastAsia="Times New Roman" w:cs="Arial"/>
          <w:color w:val="000000"/>
          <w:lang w:val="en-US"/>
        </w:rPr>
        <w:t xml:space="preserve"> (4S), </w:t>
      </w:r>
      <w:r w:rsidRPr="0025330E">
        <w:rPr>
          <w:rFonts w:eastAsia="Times New Roman" w:cs="Arial"/>
          <w:color w:val="000000"/>
          <w:lang w:eastAsia="bg-BG"/>
        </w:rPr>
        <w:t xml:space="preserve">ефектът от лечението със симвастатин върху общата смъртност е бил оценен при 4 444 пациенти с коронарно сърдечно заболяване и изходни стойности на общия холестерол между 212-309 </w:t>
      </w:r>
      <w:r w:rsidRPr="0025330E">
        <w:rPr>
          <w:rFonts w:eastAsia="Times New Roman" w:cs="Arial"/>
          <w:color w:val="000000"/>
          <w:lang w:val="en-US"/>
        </w:rPr>
        <w:t>mg/</w:t>
      </w:r>
      <w:proofErr w:type="spellStart"/>
      <w:r w:rsidRPr="0025330E">
        <w:rPr>
          <w:rFonts w:eastAsia="Times New Roman" w:cs="Arial"/>
          <w:color w:val="000000"/>
          <w:lang w:val="en-US"/>
        </w:rPr>
        <w:t>dL</w:t>
      </w:r>
      <w:proofErr w:type="spellEnd"/>
      <w:r w:rsidRPr="0025330E">
        <w:rPr>
          <w:rFonts w:eastAsia="Times New Roman" w:cs="Arial"/>
          <w:color w:val="000000"/>
          <w:lang w:val="en-US"/>
        </w:rPr>
        <w:t xml:space="preserve"> </w:t>
      </w:r>
      <w:r w:rsidRPr="0025330E">
        <w:rPr>
          <w:rFonts w:eastAsia="Times New Roman" w:cs="Arial"/>
          <w:color w:val="000000"/>
          <w:lang w:eastAsia="bg-BG"/>
        </w:rPr>
        <w:t xml:space="preserve">(5,5-8,0 </w:t>
      </w:r>
      <w:proofErr w:type="spellStart"/>
      <w:r w:rsidRPr="0025330E">
        <w:rPr>
          <w:rFonts w:eastAsia="Times New Roman" w:cs="Arial"/>
          <w:color w:val="000000"/>
          <w:lang w:val="en-US"/>
        </w:rPr>
        <w:t>mmol</w:t>
      </w:r>
      <w:proofErr w:type="spellEnd"/>
      <w:r w:rsidRPr="0025330E">
        <w:rPr>
          <w:rFonts w:eastAsia="Times New Roman" w:cs="Arial"/>
          <w:color w:val="000000"/>
          <w:lang w:val="en-US"/>
        </w:rPr>
        <w:t xml:space="preserve">/L). </w:t>
      </w:r>
      <w:r w:rsidRPr="0025330E">
        <w:rPr>
          <w:rFonts w:eastAsia="Times New Roman" w:cs="Arial"/>
          <w:color w:val="000000"/>
          <w:lang w:eastAsia="bg-BG"/>
        </w:rPr>
        <w:t>В това мултицентрово рандомизирано, двойно-сляпо, плацебо-контролирано проучване, пациентите с ангина или с</w:t>
      </w:r>
      <w:r>
        <w:rPr>
          <w:rFonts w:eastAsia="Times New Roman" w:cs="Arial"/>
          <w:color w:val="000000"/>
          <w:lang w:val="en-US" w:eastAsia="bg-BG"/>
        </w:rPr>
        <w:t xml:space="preserve"> </w:t>
      </w:r>
      <w:r w:rsidRPr="0025330E">
        <w:rPr>
          <w:rFonts w:eastAsia="Times New Roman" w:cs="Arial"/>
          <w:color w:val="000000"/>
          <w:lang w:eastAsia="bg-BG"/>
        </w:rPr>
        <w:t xml:space="preserve">прекаран инфаркт на миокарда </w:t>
      </w:r>
      <w:r w:rsidRPr="0025330E">
        <w:rPr>
          <w:rFonts w:eastAsia="Times New Roman" w:cs="Arial"/>
          <w:color w:val="000000"/>
          <w:lang w:val="en-US"/>
        </w:rPr>
        <w:t xml:space="preserve">(MI) </w:t>
      </w:r>
      <w:r w:rsidRPr="0025330E">
        <w:rPr>
          <w:rFonts w:eastAsia="Times New Roman" w:cs="Arial"/>
          <w:color w:val="000000"/>
          <w:lang w:eastAsia="bg-BG"/>
        </w:rPr>
        <w:t xml:space="preserve">са лекувани с диета, стандартни грижи, и или със симвастатин 20-40 </w:t>
      </w:r>
      <w:r w:rsidRPr="0025330E">
        <w:rPr>
          <w:rFonts w:eastAsia="Times New Roman" w:cs="Arial"/>
          <w:color w:val="000000"/>
          <w:lang w:val="en-US"/>
        </w:rPr>
        <w:t xml:space="preserve">mg </w:t>
      </w:r>
      <w:r w:rsidRPr="0025330E">
        <w:rPr>
          <w:rFonts w:eastAsia="Times New Roman" w:cs="Arial"/>
          <w:color w:val="000000"/>
          <w:lang w:eastAsia="bg-BG"/>
        </w:rPr>
        <w:t>дневно (</w:t>
      </w:r>
      <w:r w:rsidRPr="0025330E">
        <w:rPr>
          <w:rFonts w:eastAsia="Times New Roman" w:cs="Arial"/>
          <w:color w:val="000000"/>
          <w:lang w:val="en-US"/>
        </w:rPr>
        <w:t>n</w:t>
      </w:r>
      <w:r w:rsidRPr="0025330E">
        <w:rPr>
          <w:rFonts w:eastAsia="Times New Roman" w:cs="Arial"/>
          <w:color w:val="000000"/>
          <w:lang w:eastAsia="bg-BG"/>
        </w:rPr>
        <w:t xml:space="preserve"> = 2,221) или плацебо (</w:t>
      </w:r>
      <w:r w:rsidRPr="0025330E">
        <w:rPr>
          <w:rFonts w:eastAsia="Times New Roman" w:cs="Arial"/>
          <w:color w:val="000000"/>
          <w:lang w:val="en-US"/>
        </w:rPr>
        <w:t>n</w:t>
      </w:r>
      <w:r w:rsidRPr="0025330E">
        <w:rPr>
          <w:rFonts w:eastAsia="Times New Roman" w:cs="Arial"/>
          <w:color w:val="000000"/>
          <w:lang w:eastAsia="bg-BG"/>
        </w:rPr>
        <w:t xml:space="preserve"> = 2,223) за средна продължителност от 5,4 години. Симвастатин намалява риска от смърт с 30 % (абсолютно намаление на риска с 3,3 %). Рискът от смърт, като следствие на коронарно заболяване, е бил редуциран с 42 % (абсолютно намаление на риска с 3.5 %). Симвастатин също намалява риска от тежки коронарни инциденти (смърт от коронарно заболяване заедно с потвърден в болница ‘тих’ нефатален инфаркт на миокарда) с 34 %. Освен това Симвастатин значително намалява риска от фатални и нефатални цереброваскуларни инциденти (мозъчен инсулт и преходни исхемични атаки) с 28 %. По отношение на смъртност от несърдечносъдов характер, не е била установена статистически значима разлика между групите.</w:t>
      </w:r>
    </w:p>
    <w:p w14:paraId="66ADB66D" w14:textId="77777777" w:rsidR="0025330E" w:rsidRPr="0025330E" w:rsidRDefault="0025330E" w:rsidP="0025330E">
      <w:pPr>
        <w:spacing w:line="240" w:lineRule="auto"/>
        <w:rPr>
          <w:rFonts w:eastAsia="Times New Roman" w:cs="Arial"/>
          <w:color w:val="000000"/>
          <w:lang w:eastAsia="bg-BG"/>
        </w:rPr>
      </w:pPr>
    </w:p>
    <w:p w14:paraId="188C8694" w14:textId="46A297FE"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Проучването за ефективността на допълнителни понижения на холестерола и хомоцистеина </w:t>
      </w:r>
      <w:r w:rsidRPr="0025330E">
        <w:rPr>
          <w:rFonts w:eastAsia="Times New Roman" w:cs="Arial"/>
          <w:i/>
          <w:iCs/>
          <w:color w:val="000000"/>
          <w:lang w:val="en-US"/>
        </w:rPr>
        <w:t>(Study of the Effectiveness of Additional Reductions in Cholesterol and Homocysteine,</w:t>
      </w:r>
      <w:r w:rsidRPr="0025330E">
        <w:rPr>
          <w:rFonts w:eastAsia="Times New Roman" w:cs="Arial"/>
          <w:color w:val="000000"/>
          <w:lang w:val="en-US"/>
        </w:rPr>
        <w:t xml:space="preserve"> SEARCH) </w:t>
      </w:r>
      <w:r w:rsidRPr="0025330E">
        <w:rPr>
          <w:rFonts w:eastAsia="Times New Roman" w:cs="Arial"/>
          <w:color w:val="000000"/>
          <w:lang w:eastAsia="bg-BG"/>
        </w:rPr>
        <w:t xml:space="preserve">е оценило ефекта от лечение със симвастатин 80 </w:t>
      </w:r>
      <w:r w:rsidRPr="0025330E">
        <w:rPr>
          <w:rFonts w:eastAsia="Times New Roman" w:cs="Arial"/>
          <w:color w:val="000000"/>
          <w:lang w:val="en-US"/>
        </w:rPr>
        <w:t xml:space="preserve">mg </w:t>
      </w:r>
      <w:r w:rsidRPr="0025330E">
        <w:rPr>
          <w:rFonts w:eastAsia="Times New Roman" w:cs="Arial"/>
          <w:color w:val="000000"/>
          <w:lang w:eastAsia="bg-BG"/>
        </w:rPr>
        <w:t xml:space="preserve">спрямо 20 </w:t>
      </w:r>
      <w:r w:rsidRPr="0025330E">
        <w:rPr>
          <w:rFonts w:eastAsia="Times New Roman" w:cs="Arial"/>
          <w:color w:val="000000"/>
          <w:lang w:val="en-US"/>
        </w:rPr>
        <w:t xml:space="preserve">mg </w:t>
      </w:r>
      <w:r w:rsidRPr="0025330E">
        <w:rPr>
          <w:rFonts w:eastAsia="Times New Roman" w:cs="Arial"/>
          <w:color w:val="000000"/>
          <w:lang w:eastAsia="bg-BG"/>
        </w:rPr>
        <w:t xml:space="preserve">(среден период на проследяване 6,7 години) при големи съдови инциденти </w:t>
      </w:r>
      <w:r w:rsidRPr="0025330E">
        <w:rPr>
          <w:rFonts w:eastAsia="Times New Roman" w:cs="Arial"/>
          <w:color w:val="000000"/>
          <w:lang w:val="en-US"/>
        </w:rPr>
        <w:t xml:space="preserve">(MVEs, </w:t>
      </w:r>
      <w:r w:rsidRPr="0025330E">
        <w:rPr>
          <w:rFonts w:eastAsia="Times New Roman" w:cs="Arial"/>
          <w:color w:val="000000"/>
          <w:lang w:eastAsia="bg-BG"/>
        </w:rPr>
        <w:t xml:space="preserve">определени като фатални </w:t>
      </w:r>
      <w:r w:rsidRPr="0025330E">
        <w:rPr>
          <w:rFonts w:eastAsia="Times New Roman" w:cs="Arial"/>
          <w:color w:val="000000"/>
          <w:lang w:val="en-US"/>
        </w:rPr>
        <w:t xml:space="preserve">CHD, </w:t>
      </w:r>
      <w:r w:rsidRPr="0025330E">
        <w:rPr>
          <w:rFonts w:eastAsia="Times New Roman" w:cs="Arial"/>
          <w:color w:val="000000"/>
          <w:lang w:eastAsia="bg-BG"/>
        </w:rPr>
        <w:t xml:space="preserve">нефатални </w:t>
      </w:r>
      <w:r w:rsidRPr="0025330E">
        <w:rPr>
          <w:rFonts w:eastAsia="Times New Roman" w:cs="Arial"/>
          <w:color w:val="000000"/>
          <w:lang w:val="en-US"/>
        </w:rPr>
        <w:t xml:space="preserve">MMI, </w:t>
      </w:r>
      <w:r w:rsidRPr="0025330E">
        <w:rPr>
          <w:rFonts w:eastAsia="Times New Roman" w:cs="Arial"/>
          <w:color w:val="000000"/>
          <w:lang w:eastAsia="bg-BG"/>
        </w:rPr>
        <w:t xml:space="preserve">процедура по коронарна реваскуларизация, нефатален или фатален инфаркт, или процедура по периферна реваскуларизация) при 12 064 пациенти с анамнеза на инфаркт на миокарда. Нямало е значителна разлика в появата на </w:t>
      </w:r>
      <w:r w:rsidRPr="0025330E">
        <w:rPr>
          <w:rFonts w:eastAsia="Times New Roman" w:cs="Arial"/>
          <w:color w:val="000000"/>
          <w:lang w:val="en-US"/>
        </w:rPr>
        <w:t xml:space="preserve">MVE </w:t>
      </w:r>
      <w:r w:rsidRPr="0025330E">
        <w:rPr>
          <w:rFonts w:eastAsia="Times New Roman" w:cs="Arial"/>
          <w:color w:val="000000"/>
          <w:lang w:eastAsia="bg-BG"/>
        </w:rPr>
        <w:t xml:space="preserve">между двете групи; симвастатин 20 </w:t>
      </w:r>
      <w:r w:rsidRPr="0025330E">
        <w:rPr>
          <w:rFonts w:eastAsia="Times New Roman" w:cs="Arial"/>
          <w:color w:val="000000"/>
          <w:lang w:val="en-US"/>
        </w:rPr>
        <w:t xml:space="preserve">mg </w:t>
      </w:r>
      <w:r w:rsidRPr="0025330E">
        <w:rPr>
          <w:rFonts w:eastAsia="Times New Roman" w:cs="Arial"/>
          <w:color w:val="000000"/>
          <w:lang w:eastAsia="bg-BG"/>
        </w:rPr>
        <w:t>(</w:t>
      </w:r>
      <w:r w:rsidRPr="0025330E">
        <w:rPr>
          <w:rFonts w:eastAsia="Times New Roman" w:cs="Arial"/>
          <w:color w:val="000000"/>
          <w:lang w:val="en-US"/>
        </w:rPr>
        <w:t>n</w:t>
      </w:r>
      <w:r w:rsidRPr="0025330E">
        <w:rPr>
          <w:rFonts w:eastAsia="Times New Roman" w:cs="Arial"/>
          <w:color w:val="000000"/>
          <w:lang w:eastAsia="bg-BG"/>
        </w:rPr>
        <w:t xml:space="preserve"> = 1553; 25,7 %) спрямо симвастатин 80 </w:t>
      </w:r>
      <w:r w:rsidRPr="0025330E">
        <w:rPr>
          <w:rFonts w:eastAsia="Times New Roman" w:cs="Arial"/>
          <w:color w:val="000000"/>
          <w:lang w:val="en-US"/>
        </w:rPr>
        <w:t xml:space="preserve">mg </w:t>
      </w:r>
      <w:r w:rsidRPr="0025330E">
        <w:rPr>
          <w:rFonts w:eastAsia="Times New Roman" w:cs="Arial"/>
          <w:color w:val="000000"/>
          <w:lang w:eastAsia="bg-BG"/>
        </w:rPr>
        <w:t>(</w:t>
      </w:r>
      <w:r w:rsidRPr="0025330E">
        <w:rPr>
          <w:rFonts w:eastAsia="Times New Roman" w:cs="Arial"/>
          <w:color w:val="000000"/>
          <w:lang w:val="en-US"/>
        </w:rPr>
        <w:t>n</w:t>
      </w:r>
      <w:r w:rsidRPr="0025330E">
        <w:rPr>
          <w:rFonts w:eastAsia="Times New Roman" w:cs="Arial"/>
          <w:color w:val="000000"/>
          <w:lang w:eastAsia="bg-BG"/>
        </w:rPr>
        <w:t xml:space="preserve"> = 1477; 24,5 %); </w:t>
      </w:r>
      <w:r w:rsidRPr="0025330E">
        <w:rPr>
          <w:rFonts w:eastAsia="Times New Roman" w:cs="Arial"/>
          <w:color w:val="000000"/>
          <w:lang w:val="en-US"/>
        </w:rPr>
        <w:t xml:space="preserve">RR </w:t>
      </w:r>
      <w:r w:rsidRPr="0025330E">
        <w:rPr>
          <w:rFonts w:eastAsia="Times New Roman" w:cs="Arial"/>
          <w:color w:val="000000"/>
          <w:lang w:eastAsia="bg-BG"/>
        </w:rPr>
        <w:t xml:space="preserve">0,94,95 % СГ. 0,88 до 1,01. Абсолютната разлика в </w:t>
      </w:r>
      <w:r w:rsidRPr="0025330E">
        <w:rPr>
          <w:rFonts w:eastAsia="Times New Roman" w:cs="Arial"/>
          <w:color w:val="000000"/>
          <w:lang w:val="en-US"/>
        </w:rPr>
        <w:t xml:space="preserve">LDL-C </w:t>
      </w:r>
      <w:r w:rsidRPr="0025330E">
        <w:rPr>
          <w:rFonts w:eastAsia="Times New Roman" w:cs="Arial"/>
          <w:color w:val="000000"/>
          <w:lang w:eastAsia="bg-BG"/>
        </w:rPr>
        <w:t xml:space="preserve">между двете групи по време на проучването е била 0,35 ± 0,01 </w:t>
      </w:r>
      <w:proofErr w:type="spellStart"/>
      <w:r w:rsidRPr="0025330E">
        <w:rPr>
          <w:rFonts w:eastAsia="Times New Roman" w:cs="Arial"/>
          <w:color w:val="000000"/>
          <w:lang w:val="en-US"/>
        </w:rPr>
        <w:t>mmol</w:t>
      </w:r>
      <w:proofErr w:type="spellEnd"/>
      <w:r w:rsidRPr="0025330E">
        <w:rPr>
          <w:rFonts w:eastAsia="Times New Roman" w:cs="Arial"/>
          <w:color w:val="000000"/>
          <w:lang w:val="en-US"/>
        </w:rPr>
        <w:t xml:space="preserve">/L. </w:t>
      </w:r>
      <w:r w:rsidRPr="0025330E">
        <w:rPr>
          <w:rFonts w:eastAsia="Times New Roman" w:cs="Arial"/>
          <w:color w:val="000000"/>
          <w:lang w:eastAsia="bg-BG"/>
        </w:rPr>
        <w:t xml:space="preserve">Профилите на безопасност били подобни между двете групи на лечение, освен че появата на миопатия е била приблизително 1,0% за пациенти на симвастатин 80 </w:t>
      </w:r>
      <w:r w:rsidRPr="0025330E">
        <w:rPr>
          <w:rFonts w:eastAsia="Times New Roman" w:cs="Arial"/>
          <w:color w:val="000000"/>
          <w:lang w:val="en-US"/>
        </w:rPr>
        <w:t xml:space="preserve">mg, </w:t>
      </w:r>
      <w:r w:rsidRPr="0025330E">
        <w:rPr>
          <w:rFonts w:eastAsia="Times New Roman" w:cs="Arial"/>
          <w:color w:val="000000"/>
          <w:lang w:eastAsia="bg-BG"/>
        </w:rPr>
        <w:t xml:space="preserve">в сравнение с 0,02 % за пациенти на 20 </w:t>
      </w:r>
      <w:r w:rsidRPr="0025330E">
        <w:rPr>
          <w:rFonts w:eastAsia="Times New Roman" w:cs="Arial"/>
          <w:color w:val="000000"/>
          <w:lang w:val="en-US"/>
        </w:rPr>
        <w:t xml:space="preserve">mg. </w:t>
      </w:r>
      <w:r w:rsidRPr="0025330E">
        <w:rPr>
          <w:rFonts w:eastAsia="Times New Roman" w:cs="Arial"/>
          <w:color w:val="000000"/>
          <w:lang w:eastAsia="bg-BG"/>
        </w:rPr>
        <w:t>Приблизително половината от тези случаи на миопатия са се появили през първата година от лечението. Появата на миопатия по време на всяка следваща година от лечението е била приблизително 0,1 %</w:t>
      </w:r>
    </w:p>
    <w:p w14:paraId="4CAEA2B8" w14:textId="77777777" w:rsidR="0025330E" w:rsidRPr="0025330E" w:rsidRDefault="0025330E" w:rsidP="0025330E">
      <w:pPr>
        <w:spacing w:line="240" w:lineRule="auto"/>
        <w:rPr>
          <w:rFonts w:eastAsia="Times New Roman" w:cs="Arial"/>
          <w:color w:val="000000"/>
          <w:u w:val="single"/>
          <w:lang w:eastAsia="bg-BG"/>
        </w:rPr>
      </w:pPr>
    </w:p>
    <w:p w14:paraId="6213A9D7" w14:textId="3494D4A6"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u w:val="single"/>
          <w:lang w:eastAsia="bg-BG"/>
        </w:rPr>
        <w:t>Първична хиперхолестеролемия и комбинирана хиперлипидемия</w:t>
      </w:r>
    </w:p>
    <w:p w14:paraId="7B58C4F0" w14:textId="77777777" w:rsidR="0025330E" w:rsidRPr="0025330E" w:rsidRDefault="0025330E" w:rsidP="0025330E">
      <w:pPr>
        <w:spacing w:line="240" w:lineRule="auto"/>
        <w:rPr>
          <w:rFonts w:eastAsia="Times New Roman" w:cs="Arial"/>
          <w:color w:val="000000"/>
          <w:lang w:eastAsia="bg-BG"/>
        </w:rPr>
      </w:pPr>
    </w:p>
    <w:p w14:paraId="27678149" w14:textId="62A55272"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В проучвания, сравняващи ефикасността и безопасността на симвастатин 10, 20, 40 и 80 </w:t>
      </w:r>
      <w:r w:rsidRPr="0025330E">
        <w:rPr>
          <w:rFonts w:eastAsia="Times New Roman" w:cs="Arial"/>
          <w:color w:val="000000"/>
          <w:lang w:val="en-US"/>
        </w:rPr>
        <w:t xml:space="preserve">mg </w:t>
      </w:r>
      <w:r w:rsidRPr="0025330E">
        <w:rPr>
          <w:rFonts w:eastAsia="Times New Roman" w:cs="Arial"/>
          <w:color w:val="000000"/>
          <w:lang w:eastAsia="bg-BG"/>
        </w:rPr>
        <w:t xml:space="preserve">дневно при пациенти с хиперхолестеролемия, средното намаление на </w:t>
      </w:r>
      <w:r w:rsidRPr="0025330E">
        <w:rPr>
          <w:rFonts w:eastAsia="Times New Roman" w:cs="Arial"/>
          <w:color w:val="000000"/>
          <w:lang w:val="en-US"/>
        </w:rPr>
        <w:t xml:space="preserve">LDL </w:t>
      </w:r>
      <w:r w:rsidRPr="0025330E">
        <w:rPr>
          <w:rFonts w:eastAsia="Times New Roman" w:cs="Arial"/>
          <w:color w:val="000000"/>
          <w:lang w:eastAsia="bg-BG"/>
        </w:rPr>
        <w:t xml:space="preserve">холестерола е било съответно 30, 38, 41 и 47 %. В проучвания с пациенти с комбинирана (смесена) хиперлипидемия на лечение със симвастатин 40 </w:t>
      </w:r>
      <w:r w:rsidRPr="0025330E">
        <w:rPr>
          <w:rFonts w:eastAsia="Times New Roman" w:cs="Arial"/>
          <w:color w:val="000000"/>
          <w:lang w:val="en-US"/>
        </w:rPr>
        <w:t xml:space="preserve">mg </w:t>
      </w:r>
      <w:r w:rsidRPr="0025330E">
        <w:rPr>
          <w:rFonts w:eastAsia="Times New Roman" w:cs="Arial"/>
          <w:color w:val="000000"/>
          <w:lang w:eastAsia="bg-BG"/>
        </w:rPr>
        <w:t xml:space="preserve">и 80 </w:t>
      </w:r>
      <w:r w:rsidRPr="0025330E">
        <w:rPr>
          <w:rFonts w:eastAsia="Times New Roman" w:cs="Arial"/>
          <w:color w:val="000000"/>
          <w:lang w:val="en-US"/>
        </w:rPr>
        <w:t xml:space="preserve">mg, </w:t>
      </w:r>
      <w:r w:rsidRPr="0025330E">
        <w:rPr>
          <w:rFonts w:eastAsia="Times New Roman" w:cs="Arial"/>
          <w:color w:val="000000"/>
          <w:lang w:eastAsia="bg-BG"/>
        </w:rPr>
        <w:t xml:space="preserve">средното понижение на триглицеридите е било съответно 28 и 33 % (плацебо: 2 %), а средното повишение на </w:t>
      </w:r>
      <w:r w:rsidRPr="0025330E">
        <w:rPr>
          <w:rFonts w:eastAsia="Times New Roman" w:cs="Arial"/>
          <w:color w:val="000000"/>
          <w:lang w:val="en-US"/>
        </w:rPr>
        <w:t xml:space="preserve">HDL </w:t>
      </w:r>
      <w:r w:rsidRPr="0025330E">
        <w:rPr>
          <w:rFonts w:eastAsia="Times New Roman" w:cs="Arial"/>
          <w:color w:val="000000"/>
          <w:lang w:eastAsia="bg-BG"/>
        </w:rPr>
        <w:t>холестерола е било съответно 13 и 16 % (плацебо: 3 %).</w:t>
      </w:r>
    </w:p>
    <w:p w14:paraId="5EAA8500" w14:textId="77777777" w:rsidR="0025330E" w:rsidRPr="0025330E" w:rsidRDefault="0025330E" w:rsidP="0025330E">
      <w:pPr>
        <w:spacing w:line="240" w:lineRule="auto"/>
        <w:rPr>
          <w:rFonts w:eastAsia="Times New Roman" w:cs="Arial"/>
          <w:i/>
          <w:iCs/>
          <w:color w:val="000000"/>
          <w:lang w:eastAsia="bg-BG"/>
        </w:rPr>
      </w:pPr>
    </w:p>
    <w:p w14:paraId="48D7A1BD" w14:textId="1788301D" w:rsidR="0025330E" w:rsidRPr="0025330E" w:rsidRDefault="0025330E" w:rsidP="0025330E">
      <w:pPr>
        <w:spacing w:line="240" w:lineRule="auto"/>
        <w:rPr>
          <w:rFonts w:eastAsia="Times New Roman" w:cs="Arial"/>
          <w:sz w:val="24"/>
          <w:szCs w:val="24"/>
          <w:lang w:eastAsia="bg-BG"/>
        </w:rPr>
      </w:pPr>
      <w:r w:rsidRPr="0025330E">
        <w:rPr>
          <w:rFonts w:eastAsia="Times New Roman" w:cs="Arial"/>
          <w:i/>
          <w:iCs/>
          <w:color w:val="000000"/>
          <w:lang w:eastAsia="bg-BG"/>
        </w:rPr>
        <w:t>Педиатрична популация</w:t>
      </w:r>
    </w:p>
    <w:p w14:paraId="4D7CC51C" w14:textId="77777777" w:rsidR="0025330E" w:rsidRPr="0025330E" w:rsidRDefault="0025330E" w:rsidP="0025330E">
      <w:pPr>
        <w:spacing w:line="240" w:lineRule="auto"/>
        <w:rPr>
          <w:rFonts w:eastAsia="Times New Roman" w:cs="Arial"/>
          <w:color w:val="000000"/>
          <w:lang w:eastAsia="bg-BG"/>
        </w:rPr>
      </w:pPr>
    </w:p>
    <w:p w14:paraId="1364AFCC" w14:textId="4EBD413E"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В двойно-сляпо, плацебо-контролирано проучване, 175 пациенти (99 момчета II стадий или повече по </w:t>
      </w:r>
      <w:r w:rsidRPr="0025330E">
        <w:rPr>
          <w:rFonts w:eastAsia="Times New Roman" w:cs="Arial"/>
          <w:color w:val="000000"/>
          <w:lang w:val="en-US"/>
        </w:rPr>
        <w:t xml:space="preserve">Tanner </w:t>
      </w:r>
      <w:r w:rsidRPr="0025330E">
        <w:rPr>
          <w:rFonts w:eastAsia="Times New Roman" w:cs="Arial"/>
          <w:color w:val="000000"/>
          <w:lang w:eastAsia="bg-BG"/>
        </w:rPr>
        <w:t xml:space="preserve">и 76 момичета поне една година след първия менструален цикъл) на възраст между 10 и 17 години (средна възраст 14,1 години) с хетерозиготна фамилна хиперхолестеролемия </w:t>
      </w:r>
      <w:r w:rsidRPr="0025330E">
        <w:rPr>
          <w:rFonts w:eastAsia="Times New Roman" w:cs="Arial"/>
          <w:color w:val="000000"/>
          <w:lang w:val="en-US"/>
        </w:rPr>
        <w:t>(</w:t>
      </w:r>
      <w:proofErr w:type="spellStart"/>
      <w:r w:rsidRPr="0025330E">
        <w:rPr>
          <w:rFonts w:eastAsia="Times New Roman" w:cs="Arial"/>
          <w:color w:val="000000"/>
          <w:lang w:val="en-US"/>
        </w:rPr>
        <w:t>heFH</w:t>
      </w:r>
      <w:proofErr w:type="spellEnd"/>
      <w:r w:rsidRPr="0025330E">
        <w:rPr>
          <w:rFonts w:eastAsia="Times New Roman" w:cs="Arial"/>
          <w:color w:val="000000"/>
          <w:lang w:val="en-US"/>
        </w:rPr>
        <w:t xml:space="preserve">) </w:t>
      </w:r>
      <w:r w:rsidRPr="0025330E">
        <w:rPr>
          <w:rFonts w:eastAsia="Times New Roman" w:cs="Arial"/>
          <w:color w:val="000000"/>
          <w:lang w:eastAsia="bg-BG"/>
        </w:rPr>
        <w:t xml:space="preserve">са били рандомизирани със симвастатин или плацебо за </w:t>
      </w:r>
      <w:r w:rsidRPr="0025330E">
        <w:rPr>
          <w:rFonts w:eastAsia="Times New Roman" w:cs="Arial"/>
          <w:color w:val="000000"/>
          <w:lang w:eastAsia="bg-BG"/>
        </w:rPr>
        <w:lastRenderedPageBreak/>
        <w:t xml:space="preserve">период от 24 седмици (базово изпитване). Включването в изпитването е изисквало базово ниво на </w:t>
      </w:r>
      <w:r w:rsidRPr="0025330E">
        <w:rPr>
          <w:rFonts w:eastAsia="Times New Roman" w:cs="Arial"/>
          <w:color w:val="000000"/>
          <w:lang w:val="en-US"/>
        </w:rPr>
        <w:t>LDL</w:t>
      </w:r>
      <w:r w:rsidRPr="0025330E">
        <w:rPr>
          <w:rFonts w:eastAsia="Times New Roman" w:cs="Arial"/>
          <w:color w:val="000000"/>
          <w:lang w:eastAsia="bg-BG"/>
        </w:rPr>
        <w:t xml:space="preserve">-С между 160 и 400 </w:t>
      </w:r>
      <w:r w:rsidRPr="0025330E">
        <w:rPr>
          <w:rFonts w:eastAsia="Times New Roman" w:cs="Arial"/>
          <w:color w:val="000000"/>
          <w:lang w:val="en-US"/>
        </w:rPr>
        <w:t>mg/</w:t>
      </w:r>
      <w:proofErr w:type="spellStart"/>
      <w:r w:rsidRPr="0025330E">
        <w:rPr>
          <w:rFonts w:eastAsia="Times New Roman" w:cs="Arial"/>
          <w:color w:val="000000"/>
          <w:lang w:val="en-US"/>
        </w:rPr>
        <w:t>dL</w:t>
      </w:r>
      <w:proofErr w:type="spellEnd"/>
      <w:r w:rsidRPr="0025330E">
        <w:rPr>
          <w:rFonts w:eastAsia="Times New Roman" w:cs="Arial"/>
          <w:color w:val="000000"/>
          <w:lang w:val="en-US"/>
        </w:rPr>
        <w:t xml:space="preserve"> </w:t>
      </w:r>
      <w:r w:rsidRPr="0025330E">
        <w:rPr>
          <w:rFonts w:eastAsia="Times New Roman" w:cs="Arial"/>
          <w:color w:val="000000"/>
          <w:lang w:eastAsia="bg-BG"/>
        </w:rPr>
        <w:t xml:space="preserve">и поне един родител с </w:t>
      </w:r>
      <w:r w:rsidRPr="0025330E">
        <w:rPr>
          <w:rFonts w:eastAsia="Times New Roman" w:cs="Arial"/>
          <w:color w:val="000000"/>
          <w:lang w:val="en-US"/>
        </w:rPr>
        <w:t>LDL</w:t>
      </w:r>
      <w:r w:rsidRPr="0025330E">
        <w:rPr>
          <w:rFonts w:eastAsia="Times New Roman" w:cs="Arial"/>
          <w:color w:val="000000"/>
          <w:lang w:eastAsia="bg-BG"/>
        </w:rPr>
        <w:t xml:space="preserve">-С ниво &gt;189 </w:t>
      </w:r>
      <w:r w:rsidRPr="0025330E">
        <w:rPr>
          <w:rFonts w:eastAsia="Times New Roman" w:cs="Arial"/>
          <w:color w:val="000000"/>
          <w:lang w:val="en-US"/>
        </w:rPr>
        <w:t>mg/</w:t>
      </w:r>
      <w:proofErr w:type="spellStart"/>
      <w:r w:rsidRPr="0025330E">
        <w:rPr>
          <w:rFonts w:eastAsia="Times New Roman" w:cs="Arial"/>
          <w:color w:val="000000"/>
          <w:lang w:val="en-US"/>
        </w:rPr>
        <w:t>dL</w:t>
      </w:r>
      <w:proofErr w:type="spellEnd"/>
      <w:r w:rsidRPr="0025330E">
        <w:rPr>
          <w:rFonts w:eastAsia="Times New Roman" w:cs="Arial"/>
          <w:color w:val="000000"/>
          <w:lang w:val="en-US"/>
        </w:rPr>
        <w:t xml:space="preserve">. </w:t>
      </w:r>
      <w:r w:rsidRPr="0025330E">
        <w:rPr>
          <w:rFonts w:eastAsia="Times New Roman" w:cs="Arial"/>
          <w:color w:val="000000"/>
          <w:lang w:eastAsia="bg-BG"/>
        </w:rPr>
        <w:t xml:space="preserve">Дозата симвастатин (веднъж дневно вечерта) е била 10 </w:t>
      </w:r>
      <w:r w:rsidRPr="0025330E">
        <w:rPr>
          <w:rFonts w:eastAsia="Times New Roman" w:cs="Arial"/>
          <w:color w:val="000000"/>
          <w:lang w:val="en-US"/>
        </w:rPr>
        <w:t xml:space="preserve">mg </w:t>
      </w:r>
      <w:r w:rsidRPr="0025330E">
        <w:rPr>
          <w:rFonts w:eastAsia="Times New Roman" w:cs="Arial"/>
          <w:color w:val="000000"/>
          <w:lang w:eastAsia="bg-BG"/>
        </w:rPr>
        <w:t xml:space="preserve">за първите 8 седмици, 20 </w:t>
      </w:r>
      <w:r w:rsidRPr="0025330E">
        <w:rPr>
          <w:rFonts w:eastAsia="Times New Roman" w:cs="Arial"/>
          <w:color w:val="000000"/>
          <w:lang w:val="en-US"/>
        </w:rPr>
        <w:t xml:space="preserve">mg </w:t>
      </w:r>
      <w:r w:rsidRPr="0025330E">
        <w:rPr>
          <w:rFonts w:eastAsia="Times New Roman" w:cs="Arial"/>
          <w:color w:val="000000"/>
          <w:lang w:eastAsia="bg-BG"/>
        </w:rPr>
        <w:t xml:space="preserve">за вторите 8 седмици и 40 </w:t>
      </w:r>
      <w:r w:rsidRPr="0025330E">
        <w:rPr>
          <w:rFonts w:eastAsia="Times New Roman" w:cs="Arial"/>
          <w:color w:val="000000"/>
          <w:lang w:val="en-US"/>
        </w:rPr>
        <w:t xml:space="preserve">mg </w:t>
      </w:r>
      <w:r w:rsidRPr="0025330E">
        <w:rPr>
          <w:rFonts w:eastAsia="Times New Roman" w:cs="Arial"/>
          <w:color w:val="000000"/>
          <w:lang w:eastAsia="bg-BG"/>
        </w:rPr>
        <w:t xml:space="preserve">след това. При 24-седмично удължаване, 144 пациенти са избрали да продължат лечението и са приемали симвастатин 40 </w:t>
      </w:r>
      <w:r w:rsidRPr="0025330E">
        <w:rPr>
          <w:rFonts w:eastAsia="Times New Roman" w:cs="Arial"/>
          <w:color w:val="000000"/>
          <w:lang w:val="en-US"/>
        </w:rPr>
        <w:t xml:space="preserve">mg </w:t>
      </w:r>
      <w:r w:rsidRPr="0025330E">
        <w:rPr>
          <w:rFonts w:eastAsia="Times New Roman" w:cs="Arial"/>
          <w:color w:val="000000"/>
          <w:lang w:eastAsia="bg-BG"/>
        </w:rPr>
        <w:t>или плацебо.</w:t>
      </w:r>
    </w:p>
    <w:p w14:paraId="7284A712" w14:textId="77777777" w:rsidR="0025330E" w:rsidRPr="0025330E" w:rsidRDefault="0025330E" w:rsidP="0025330E">
      <w:pPr>
        <w:spacing w:line="240" w:lineRule="auto"/>
        <w:rPr>
          <w:rFonts w:eastAsia="Times New Roman" w:cs="Arial"/>
          <w:color w:val="000000"/>
          <w:lang w:eastAsia="bg-BG"/>
        </w:rPr>
      </w:pPr>
    </w:p>
    <w:p w14:paraId="069BE132" w14:textId="7DB26934"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Симвастатин значително е намалил плазмените нива на </w:t>
      </w:r>
      <w:r w:rsidRPr="0025330E">
        <w:rPr>
          <w:rFonts w:eastAsia="Times New Roman" w:cs="Arial"/>
          <w:color w:val="000000"/>
          <w:lang w:val="en-US"/>
        </w:rPr>
        <w:t xml:space="preserve">LDL-C, TG </w:t>
      </w:r>
      <w:r w:rsidRPr="0025330E">
        <w:rPr>
          <w:rFonts w:eastAsia="Times New Roman" w:cs="Arial"/>
          <w:color w:val="000000"/>
          <w:lang w:eastAsia="bg-BG"/>
        </w:rPr>
        <w:t xml:space="preserve">и Аро В. Резултатите от удължаването на 48 седмици са били сравними с тези, наблюдавани в основното проучване. След 24 седмици лечение, средната достигната </w:t>
      </w:r>
      <w:r w:rsidRPr="0025330E">
        <w:rPr>
          <w:rFonts w:eastAsia="Times New Roman" w:cs="Arial"/>
          <w:color w:val="000000"/>
          <w:lang w:val="en-US"/>
        </w:rPr>
        <w:t xml:space="preserve">LDL-C </w:t>
      </w:r>
      <w:r w:rsidRPr="0025330E">
        <w:rPr>
          <w:rFonts w:eastAsia="Times New Roman" w:cs="Arial"/>
          <w:color w:val="000000"/>
          <w:lang w:eastAsia="bg-BG"/>
        </w:rPr>
        <w:t xml:space="preserve">стойност беше 124,9 </w:t>
      </w:r>
      <w:r w:rsidRPr="0025330E">
        <w:rPr>
          <w:rFonts w:eastAsia="Times New Roman" w:cs="Arial"/>
          <w:color w:val="000000"/>
          <w:lang w:val="en-US"/>
        </w:rPr>
        <w:t>mg/</w:t>
      </w:r>
      <w:proofErr w:type="spellStart"/>
      <w:r w:rsidRPr="0025330E">
        <w:rPr>
          <w:rFonts w:eastAsia="Times New Roman" w:cs="Arial"/>
          <w:color w:val="000000"/>
          <w:lang w:val="en-US"/>
        </w:rPr>
        <w:t>dL</w:t>
      </w:r>
      <w:proofErr w:type="spellEnd"/>
      <w:r w:rsidRPr="0025330E">
        <w:rPr>
          <w:rFonts w:eastAsia="Times New Roman" w:cs="Arial"/>
          <w:color w:val="000000"/>
          <w:lang w:val="en-US"/>
        </w:rPr>
        <w:t xml:space="preserve"> </w:t>
      </w:r>
      <w:r w:rsidRPr="0025330E">
        <w:rPr>
          <w:rFonts w:eastAsia="Times New Roman" w:cs="Arial"/>
          <w:color w:val="000000"/>
          <w:lang w:eastAsia="bg-BG"/>
        </w:rPr>
        <w:t>(обхват:</w:t>
      </w:r>
      <w:r w:rsidRPr="0025330E">
        <w:rPr>
          <w:rFonts w:eastAsia="Times New Roman" w:cs="Arial"/>
          <w:color w:val="000000"/>
          <w:lang w:val="en-US"/>
        </w:rPr>
        <w:t xml:space="preserve"> 64,0 -289,0 mg/</w:t>
      </w:r>
      <w:proofErr w:type="spellStart"/>
      <w:r w:rsidRPr="0025330E">
        <w:rPr>
          <w:rFonts w:eastAsia="Times New Roman" w:cs="Arial"/>
          <w:color w:val="000000"/>
          <w:lang w:val="en-US"/>
        </w:rPr>
        <w:t>dL</w:t>
      </w:r>
      <w:proofErr w:type="spellEnd"/>
      <w:r w:rsidRPr="0025330E">
        <w:rPr>
          <w:rFonts w:eastAsia="Times New Roman" w:cs="Arial"/>
          <w:color w:val="000000"/>
          <w:lang w:val="en-US"/>
        </w:rPr>
        <w:t xml:space="preserve">) </w:t>
      </w:r>
      <w:r w:rsidRPr="0025330E">
        <w:rPr>
          <w:rFonts w:eastAsia="Times New Roman" w:cs="Arial"/>
          <w:color w:val="000000"/>
          <w:lang w:eastAsia="bg-BG"/>
        </w:rPr>
        <w:t xml:space="preserve">в групата на симвастатин 40 </w:t>
      </w:r>
      <w:r w:rsidRPr="0025330E">
        <w:rPr>
          <w:rFonts w:eastAsia="Times New Roman" w:cs="Arial"/>
          <w:color w:val="000000"/>
          <w:lang w:val="en-US"/>
        </w:rPr>
        <w:t xml:space="preserve">mg </w:t>
      </w:r>
      <w:r w:rsidRPr="0025330E">
        <w:rPr>
          <w:rFonts w:eastAsia="Times New Roman" w:cs="Arial"/>
          <w:color w:val="000000"/>
          <w:lang w:eastAsia="bg-BG"/>
        </w:rPr>
        <w:t xml:space="preserve">в сравнение с 207,8 </w:t>
      </w:r>
      <w:r w:rsidRPr="0025330E">
        <w:rPr>
          <w:rFonts w:eastAsia="Times New Roman" w:cs="Arial"/>
          <w:color w:val="000000"/>
          <w:lang w:val="en-US"/>
        </w:rPr>
        <w:t>mg/</w:t>
      </w:r>
      <w:proofErr w:type="spellStart"/>
      <w:r w:rsidRPr="0025330E">
        <w:rPr>
          <w:rFonts w:eastAsia="Times New Roman" w:cs="Arial"/>
          <w:color w:val="000000"/>
          <w:lang w:val="en-US"/>
        </w:rPr>
        <w:t>dL</w:t>
      </w:r>
      <w:proofErr w:type="spellEnd"/>
      <w:r w:rsidRPr="0025330E">
        <w:rPr>
          <w:rFonts w:eastAsia="Times New Roman" w:cs="Arial"/>
          <w:color w:val="000000"/>
          <w:lang w:val="en-US"/>
        </w:rPr>
        <w:t xml:space="preserve"> </w:t>
      </w:r>
      <w:r w:rsidRPr="0025330E">
        <w:rPr>
          <w:rFonts w:eastAsia="Times New Roman" w:cs="Arial"/>
          <w:color w:val="000000"/>
          <w:lang w:eastAsia="bg-BG"/>
        </w:rPr>
        <w:t>(обхват:</w:t>
      </w:r>
      <w:r w:rsidRPr="0025330E">
        <w:rPr>
          <w:rFonts w:eastAsia="Times New Roman" w:cs="Arial"/>
          <w:color w:val="000000"/>
          <w:lang w:val="en-US"/>
        </w:rPr>
        <w:t xml:space="preserve"> 128,0</w:t>
      </w:r>
      <w:r w:rsidRPr="0025330E">
        <w:rPr>
          <w:rFonts w:eastAsia="Times New Roman" w:cs="Arial"/>
          <w:color w:val="000000"/>
          <w:lang w:eastAsia="bg-BG"/>
        </w:rPr>
        <w:t xml:space="preserve"> - 334,0 </w:t>
      </w:r>
      <w:r w:rsidRPr="0025330E">
        <w:rPr>
          <w:rFonts w:eastAsia="Times New Roman" w:cs="Arial"/>
          <w:color w:val="000000"/>
          <w:lang w:val="en-US"/>
        </w:rPr>
        <w:t>mg/</w:t>
      </w:r>
      <w:proofErr w:type="spellStart"/>
      <w:r w:rsidRPr="0025330E">
        <w:rPr>
          <w:rFonts w:eastAsia="Times New Roman" w:cs="Arial"/>
          <w:color w:val="000000"/>
          <w:lang w:val="en-US"/>
        </w:rPr>
        <w:t>dL</w:t>
      </w:r>
      <w:proofErr w:type="spellEnd"/>
      <w:r w:rsidRPr="0025330E">
        <w:rPr>
          <w:rFonts w:eastAsia="Times New Roman" w:cs="Arial"/>
          <w:color w:val="000000"/>
          <w:lang w:val="en-US"/>
        </w:rPr>
        <w:t xml:space="preserve">) </w:t>
      </w:r>
      <w:r w:rsidRPr="0025330E">
        <w:rPr>
          <w:rFonts w:eastAsia="Times New Roman" w:cs="Arial"/>
          <w:color w:val="000000"/>
          <w:lang w:eastAsia="bg-BG"/>
        </w:rPr>
        <w:t>в</w:t>
      </w:r>
      <w:r w:rsidR="00A00566">
        <w:rPr>
          <w:rFonts w:eastAsia="Times New Roman" w:cs="Arial"/>
          <w:sz w:val="24"/>
          <w:szCs w:val="24"/>
          <w:lang w:val="en-US" w:eastAsia="bg-BG"/>
        </w:rPr>
        <w:t xml:space="preserve"> </w:t>
      </w:r>
      <w:r w:rsidRPr="0025330E">
        <w:rPr>
          <w:rFonts w:eastAsia="Times New Roman" w:cs="Arial"/>
          <w:color w:val="000000"/>
          <w:lang w:eastAsia="bg-BG"/>
        </w:rPr>
        <w:t>групата на плацебо.</w:t>
      </w:r>
    </w:p>
    <w:p w14:paraId="357C020D" w14:textId="77777777" w:rsidR="0025330E" w:rsidRPr="0025330E" w:rsidRDefault="0025330E" w:rsidP="0025330E">
      <w:pPr>
        <w:spacing w:line="240" w:lineRule="auto"/>
        <w:rPr>
          <w:rFonts w:eastAsia="Times New Roman" w:cs="Arial"/>
          <w:color w:val="000000"/>
          <w:lang w:eastAsia="bg-BG"/>
        </w:rPr>
      </w:pPr>
    </w:p>
    <w:p w14:paraId="1605953B" w14:textId="23BAD4CB"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След 24 седмици лечение със симвастатин (с дози, които се увеличават от 10, 20 и до 40 </w:t>
      </w:r>
      <w:r w:rsidRPr="0025330E">
        <w:rPr>
          <w:rFonts w:eastAsia="Times New Roman" w:cs="Arial"/>
          <w:color w:val="000000"/>
          <w:lang w:val="en-US"/>
        </w:rPr>
        <w:t>mg</w:t>
      </w:r>
      <w:r>
        <w:rPr>
          <w:rFonts w:eastAsia="Times New Roman" w:cs="Arial"/>
          <w:sz w:val="24"/>
          <w:szCs w:val="24"/>
          <w:lang w:val="en-US" w:eastAsia="bg-BG"/>
        </w:rPr>
        <w:t xml:space="preserve"> </w:t>
      </w:r>
      <w:r w:rsidRPr="0025330E">
        <w:rPr>
          <w:rFonts w:eastAsia="Times New Roman" w:cs="Arial"/>
          <w:color w:val="000000"/>
          <w:lang w:eastAsia="bg-BG"/>
        </w:rPr>
        <w:t>дневно на 8-седмични интервали), симвастатин е намалил средната</w:t>
      </w:r>
      <w:r w:rsidRPr="0025330E">
        <w:rPr>
          <w:rFonts w:eastAsia="Times New Roman" w:cs="Arial"/>
          <w:color w:val="000000"/>
          <w:lang w:val="en-US"/>
        </w:rPr>
        <w:t xml:space="preserve"> LDL-C </w:t>
      </w:r>
      <w:r w:rsidRPr="0025330E">
        <w:rPr>
          <w:rFonts w:eastAsia="Times New Roman" w:cs="Arial"/>
          <w:color w:val="000000"/>
          <w:lang w:eastAsia="bg-BG"/>
        </w:rPr>
        <w:t>със 36,8%</w:t>
      </w:r>
      <w:r w:rsidRPr="0025330E">
        <w:rPr>
          <w:rFonts w:eastAsia="Times New Roman" w:cs="Arial"/>
          <w:color w:val="000000"/>
          <w:lang w:val="en-US"/>
        </w:rPr>
        <w:t xml:space="preserve"> (</w:t>
      </w:r>
      <w:r w:rsidRPr="0025330E">
        <w:rPr>
          <w:rFonts w:eastAsia="Times New Roman" w:cs="Arial"/>
          <w:color w:val="000000"/>
          <w:lang w:eastAsia="bg-BG"/>
        </w:rPr>
        <w:t>плацебо:</w:t>
      </w:r>
      <w:r w:rsidRPr="0025330E">
        <w:rPr>
          <w:rFonts w:eastAsia="Times New Roman" w:cs="Arial"/>
          <w:color w:val="000000"/>
          <w:lang w:val="en-US" w:eastAsia="bg-BG"/>
        </w:rPr>
        <w:t xml:space="preserve"> </w:t>
      </w:r>
      <w:r w:rsidRPr="0025330E">
        <w:rPr>
          <w:rFonts w:eastAsia="Times New Roman" w:cs="Arial"/>
          <w:color w:val="000000"/>
          <w:lang w:eastAsia="bg-BG"/>
        </w:rPr>
        <w:t xml:space="preserve">1,1% увеличаване от изходното ниво), Аро В с 32,4 % (плацебо: 0,5 %) и междинни </w:t>
      </w:r>
      <w:r w:rsidRPr="0025330E">
        <w:rPr>
          <w:rFonts w:eastAsia="Times New Roman" w:cs="Arial"/>
          <w:color w:val="000000"/>
          <w:lang w:val="en-US"/>
        </w:rPr>
        <w:t xml:space="preserve">TG </w:t>
      </w:r>
      <w:r w:rsidRPr="0025330E">
        <w:rPr>
          <w:rFonts w:eastAsia="Times New Roman" w:cs="Arial"/>
          <w:color w:val="000000"/>
          <w:lang w:eastAsia="bg-BG"/>
        </w:rPr>
        <w:t xml:space="preserve">нива с 7,9 % (плацебо: 3,2 %) и повишени средни </w:t>
      </w:r>
      <w:r w:rsidRPr="0025330E">
        <w:rPr>
          <w:rFonts w:eastAsia="Times New Roman" w:cs="Arial"/>
          <w:color w:val="000000"/>
          <w:lang w:val="en-US"/>
        </w:rPr>
        <w:t xml:space="preserve">HDL-C </w:t>
      </w:r>
      <w:r w:rsidRPr="0025330E">
        <w:rPr>
          <w:rFonts w:eastAsia="Times New Roman" w:cs="Arial"/>
          <w:color w:val="000000"/>
          <w:lang w:eastAsia="bg-BG"/>
        </w:rPr>
        <w:t xml:space="preserve">нива с 8,3 % (плацебо: 3,6 %). Дългосрочните ползи на симвастатин върху сърдечносъдовите инциденти при деца с </w:t>
      </w:r>
      <w:proofErr w:type="spellStart"/>
      <w:r w:rsidRPr="0025330E">
        <w:rPr>
          <w:rFonts w:eastAsia="Times New Roman" w:cs="Arial"/>
          <w:color w:val="000000"/>
          <w:lang w:val="en-US"/>
        </w:rPr>
        <w:t>heFH</w:t>
      </w:r>
      <w:proofErr w:type="spellEnd"/>
      <w:r w:rsidRPr="0025330E">
        <w:rPr>
          <w:rFonts w:eastAsia="Times New Roman" w:cs="Arial"/>
          <w:color w:val="000000"/>
          <w:lang w:val="en-US"/>
        </w:rPr>
        <w:t xml:space="preserve"> </w:t>
      </w:r>
      <w:r w:rsidRPr="0025330E">
        <w:rPr>
          <w:rFonts w:eastAsia="Times New Roman" w:cs="Arial"/>
          <w:color w:val="000000"/>
          <w:lang w:eastAsia="bg-BG"/>
        </w:rPr>
        <w:t>са неизвестни.</w:t>
      </w:r>
    </w:p>
    <w:p w14:paraId="6E60098A" w14:textId="77777777" w:rsidR="0025330E" w:rsidRPr="0025330E" w:rsidRDefault="0025330E" w:rsidP="0025330E">
      <w:pPr>
        <w:rPr>
          <w:rFonts w:eastAsia="Times New Roman" w:cs="Arial"/>
          <w:color w:val="000000"/>
          <w:lang w:eastAsia="bg-BG"/>
        </w:rPr>
      </w:pPr>
    </w:p>
    <w:p w14:paraId="0C6EBA45" w14:textId="3D3D2923" w:rsidR="0025330E" w:rsidRPr="0025330E" w:rsidRDefault="0025330E" w:rsidP="0025330E">
      <w:pPr>
        <w:rPr>
          <w:rFonts w:cs="Arial"/>
          <w:lang w:val="en-US"/>
        </w:rPr>
      </w:pPr>
      <w:r w:rsidRPr="0025330E">
        <w:rPr>
          <w:rFonts w:eastAsia="Times New Roman" w:cs="Arial"/>
          <w:color w:val="000000"/>
          <w:lang w:eastAsia="bg-BG"/>
        </w:rPr>
        <w:t xml:space="preserve">Безопасността и ефикасността на дози над 40 </w:t>
      </w:r>
      <w:r w:rsidRPr="0025330E">
        <w:rPr>
          <w:rFonts w:eastAsia="Times New Roman" w:cs="Arial"/>
          <w:color w:val="000000"/>
          <w:lang w:val="en-US"/>
        </w:rPr>
        <w:t xml:space="preserve">mg </w:t>
      </w:r>
      <w:r w:rsidRPr="0025330E">
        <w:rPr>
          <w:rFonts w:eastAsia="Times New Roman" w:cs="Arial"/>
          <w:color w:val="000000"/>
          <w:lang w:eastAsia="bg-BG"/>
        </w:rPr>
        <w:t>дневно не са били проучвани при деца с хетерозиготна фамилна хиперхолестеролемия. Дългосрочната ефикасност на терапията със симвастатин в детска възраст за понижаване на заболеваемостта и смъртността в зряла възраст не е установена.</w:t>
      </w:r>
    </w:p>
    <w:p w14:paraId="48DFA444" w14:textId="77777777" w:rsidR="0025330E" w:rsidRPr="0091385D" w:rsidRDefault="0025330E"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64AA283D" w14:textId="77777777"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Симвастатин е неактивен лактон, който незабавно се хидролизира </w:t>
      </w:r>
      <w:r w:rsidRPr="0025330E">
        <w:rPr>
          <w:rFonts w:eastAsia="Times New Roman" w:cs="Arial"/>
          <w:i/>
          <w:iCs/>
          <w:color w:val="000000"/>
          <w:lang w:val="en-US"/>
        </w:rPr>
        <w:t>in vivo</w:t>
      </w:r>
      <w:r w:rsidRPr="0025330E">
        <w:rPr>
          <w:rFonts w:eastAsia="Times New Roman" w:cs="Arial"/>
          <w:color w:val="000000"/>
          <w:lang w:val="en-US"/>
        </w:rPr>
        <w:t xml:space="preserve"> </w:t>
      </w:r>
      <w:r w:rsidRPr="0025330E">
        <w:rPr>
          <w:rFonts w:eastAsia="Times New Roman" w:cs="Arial"/>
          <w:color w:val="000000"/>
          <w:lang w:eastAsia="bg-BG"/>
        </w:rPr>
        <w:t xml:space="preserve">до съответната бета- хидроксикиселина, мощен инхибитор на </w:t>
      </w:r>
      <w:r w:rsidRPr="0025330E">
        <w:rPr>
          <w:rFonts w:eastAsia="Times New Roman" w:cs="Arial"/>
          <w:color w:val="000000"/>
          <w:lang w:val="en-US"/>
        </w:rPr>
        <w:t xml:space="preserve">HMG-CoA </w:t>
      </w:r>
      <w:r w:rsidRPr="0025330E">
        <w:rPr>
          <w:rFonts w:eastAsia="Times New Roman" w:cs="Arial"/>
          <w:color w:val="000000"/>
          <w:lang w:eastAsia="bg-BG"/>
        </w:rPr>
        <w:t>редуктазата. Хидролизата протича главно в черния дроб; скоростта на хидролиза в човешката плазма е много ниска.</w:t>
      </w:r>
    </w:p>
    <w:p w14:paraId="4983EBF7" w14:textId="77777777" w:rsidR="0025330E" w:rsidRPr="0025330E" w:rsidRDefault="0025330E" w:rsidP="0025330E">
      <w:pPr>
        <w:spacing w:line="240" w:lineRule="auto"/>
        <w:rPr>
          <w:rFonts w:eastAsia="Times New Roman" w:cs="Arial"/>
          <w:color w:val="000000"/>
          <w:lang w:eastAsia="bg-BG"/>
        </w:rPr>
      </w:pPr>
    </w:p>
    <w:p w14:paraId="6ED69043" w14:textId="60FF9F02"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Фармакокинетичните свойства са били оценени при възрастни. Няма налични фармакокинетнчни данни при деца и възрастни.</w:t>
      </w:r>
    </w:p>
    <w:p w14:paraId="14A17CD9" w14:textId="77777777" w:rsidR="0025330E" w:rsidRPr="0025330E" w:rsidRDefault="0025330E" w:rsidP="0025330E">
      <w:pPr>
        <w:spacing w:line="240" w:lineRule="auto"/>
        <w:rPr>
          <w:rFonts w:eastAsia="Times New Roman" w:cs="Arial"/>
          <w:color w:val="000000"/>
          <w:u w:val="single"/>
          <w:lang w:eastAsia="bg-BG"/>
        </w:rPr>
      </w:pPr>
    </w:p>
    <w:p w14:paraId="38694DF4" w14:textId="4E0E4608" w:rsidR="0025330E" w:rsidRPr="00A00566" w:rsidRDefault="0025330E" w:rsidP="00A00566">
      <w:pPr>
        <w:pStyle w:val="Heading3"/>
        <w:rPr>
          <w:rFonts w:eastAsia="Times New Roman"/>
          <w:u w:val="single"/>
          <w:lang w:eastAsia="bg-BG"/>
        </w:rPr>
      </w:pPr>
      <w:r w:rsidRPr="00A00566">
        <w:rPr>
          <w:rFonts w:eastAsia="Times New Roman"/>
          <w:u w:val="single"/>
          <w:lang w:eastAsia="bg-BG"/>
        </w:rPr>
        <w:t>Абсорбция</w:t>
      </w:r>
    </w:p>
    <w:p w14:paraId="1F7184C8" w14:textId="77777777" w:rsidR="0025330E" w:rsidRPr="0025330E" w:rsidRDefault="0025330E" w:rsidP="0025330E">
      <w:pPr>
        <w:spacing w:line="240" w:lineRule="auto"/>
        <w:rPr>
          <w:rFonts w:eastAsia="Times New Roman" w:cs="Arial"/>
          <w:color w:val="000000"/>
          <w:lang w:eastAsia="bg-BG"/>
        </w:rPr>
      </w:pPr>
    </w:p>
    <w:p w14:paraId="3AE06DF8" w14:textId="123F3F71"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При хора симвастатин се абсорбира много добре и преминава широка </w:t>
      </w:r>
      <w:r w:rsidRPr="0025330E">
        <w:rPr>
          <w:rFonts w:eastAsia="Times New Roman" w:cs="Arial"/>
          <w:i/>
          <w:iCs/>
          <w:color w:val="000000"/>
          <w:lang w:val="en-US"/>
        </w:rPr>
        <w:t>first-pass</w:t>
      </w:r>
      <w:r w:rsidRPr="0025330E">
        <w:rPr>
          <w:rFonts w:eastAsia="Times New Roman" w:cs="Arial"/>
          <w:color w:val="000000"/>
          <w:lang w:val="en-US"/>
        </w:rPr>
        <w:t xml:space="preserve"> </w:t>
      </w:r>
      <w:r w:rsidRPr="0025330E">
        <w:rPr>
          <w:rFonts w:eastAsia="Times New Roman" w:cs="Arial"/>
          <w:color w:val="000000"/>
          <w:lang w:eastAsia="bg-BG"/>
        </w:rPr>
        <w:t>чернодробна екстракция. Този процес в черния дроб е зависим от чернодробния кръвоток. Черният дроб е главното място на действие на активната форма. Установено е, че наличността на бета- хидроксикиселината в системното кръвообращение след перорален прием на симвастатин е по- малко от 5% дозата. Максималната плазмена концентрация на активните инхибитори се достига приблизително 1-2 часа след приемането на симвастатин. Едновременното приемане на храна не повлиява степента на абсорбция.</w:t>
      </w:r>
    </w:p>
    <w:p w14:paraId="4EE7A540" w14:textId="77777777"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Фармакокинетиката на еднократна и на многократни дози симвастатин показва, че след многократен прием на лекарствения продукт не се наблюдава ефект на натрупване.</w:t>
      </w:r>
    </w:p>
    <w:p w14:paraId="3A0B511C" w14:textId="77777777" w:rsidR="0025330E" w:rsidRPr="0025330E" w:rsidRDefault="0025330E" w:rsidP="0025330E">
      <w:pPr>
        <w:spacing w:line="240" w:lineRule="auto"/>
        <w:rPr>
          <w:rFonts w:eastAsia="Times New Roman" w:cs="Arial"/>
          <w:color w:val="000000"/>
          <w:u w:val="single"/>
          <w:lang w:eastAsia="bg-BG"/>
        </w:rPr>
      </w:pPr>
    </w:p>
    <w:p w14:paraId="27BB6025" w14:textId="19C51D8C" w:rsidR="0025330E" w:rsidRPr="00A00566" w:rsidRDefault="0025330E" w:rsidP="00A00566">
      <w:pPr>
        <w:pStyle w:val="Heading3"/>
        <w:rPr>
          <w:rFonts w:eastAsia="Times New Roman"/>
          <w:u w:val="single"/>
          <w:lang w:eastAsia="bg-BG"/>
        </w:rPr>
      </w:pPr>
      <w:r w:rsidRPr="00A00566">
        <w:rPr>
          <w:rFonts w:eastAsia="Times New Roman"/>
          <w:u w:val="single"/>
          <w:lang w:eastAsia="bg-BG"/>
        </w:rPr>
        <w:t>Разпределение</w:t>
      </w:r>
    </w:p>
    <w:p w14:paraId="52D33939" w14:textId="77777777" w:rsidR="0025330E" w:rsidRPr="0025330E" w:rsidRDefault="0025330E" w:rsidP="0025330E">
      <w:pPr>
        <w:spacing w:line="240" w:lineRule="auto"/>
        <w:rPr>
          <w:rFonts w:eastAsia="Times New Roman" w:cs="Arial"/>
          <w:color w:val="000000"/>
          <w:lang w:eastAsia="bg-BG"/>
        </w:rPr>
      </w:pPr>
    </w:p>
    <w:p w14:paraId="5A642163" w14:textId="65002D35"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Симвастатин и активният му метаболит се свързват с плазмените протеини в &gt; 95%.</w:t>
      </w:r>
    </w:p>
    <w:p w14:paraId="6A58093F" w14:textId="77777777" w:rsidR="0025330E" w:rsidRPr="0025330E" w:rsidRDefault="0025330E" w:rsidP="0025330E">
      <w:pPr>
        <w:spacing w:line="240" w:lineRule="auto"/>
        <w:rPr>
          <w:rFonts w:eastAsia="Times New Roman" w:cs="Arial"/>
          <w:color w:val="000000"/>
          <w:u w:val="single"/>
          <w:lang w:eastAsia="bg-BG"/>
        </w:rPr>
      </w:pPr>
    </w:p>
    <w:p w14:paraId="4E61CAC6" w14:textId="1EBA40E3" w:rsidR="0025330E" w:rsidRPr="00A00566" w:rsidRDefault="0025330E" w:rsidP="00A00566">
      <w:pPr>
        <w:pStyle w:val="Heading3"/>
        <w:rPr>
          <w:rFonts w:eastAsia="Times New Roman"/>
          <w:u w:val="single"/>
          <w:lang w:eastAsia="bg-BG"/>
        </w:rPr>
      </w:pPr>
      <w:r w:rsidRPr="00A00566">
        <w:rPr>
          <w:rFonts w:eastAsia="Times New Roman"/>
          <w:u w:val="single"/>
          <w:lang w:eastAsia="bg-BG"/>
        </w:rPr>
        <w:t>Елимиране</w:t>
      </w:r>
    </w:p>
    <w:p w14:paraId="7A4BB2D6" w14:textId="77777777" w:rsidR="0025330E" w:rsidRPr="0025330E" w:rsidRDefault="0025330E" w:rsidP="0025330E">
      <w:pPr>
        <w:spacing w:line="240" w:lineRule="auto"/>
        <w:rPr>
          <w:rFonts w:eastAsia="Times New Roman" w:cs="Arial"/>
          <w:color w:val="000000"/>
          <w:lang w:eastAsia="bg-BG"/>
        </w:rPr>
      </w:pPr>
    </w:p>
    <w:p w14:paraId="18ACF8C8" w14:textId="4E67AC59"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Симвастатин е субстрат на </w:t>
      </w:r>
      <w:r w:rsidRPr="0025330E">
        <w:rPr>
          <w:rFonts w:eastAsia="Times New Roman" w:cs="Arial"/>
          <w:color w:val="000000"/>
          <w:lang w:val="en-US"/>
        </w:rPr>
        <w:t xml:space="preserve">CYP3A4 </w:t>
      </w:r>
      <w:r w:rsidRPr="0025330E">
        <w:rPr>
          <w:rFonts w:eastAsia="Times New Roman" w:cs="Arial"/>
          <w:color w:val="000000"/>
          <w:lang w:eastAsia="bg-BG"/>
        </w:rPr>
        <w:t>(вж. точки 4.3 и 4.5). Най-важните метаболити на Симвастатин, налични в плазмата, са бета-хидроксикиселина и още четири активни метаболита. След перорална доза радиоактивен симвастатин, приета от мъж, 13% от радиоактивността се излъчва с урината и 60% с фецеса в рамките на 96 часа. Намиращите се във фецеса количества представляват абсорбирани еквиваленти на лекарствения продукт, излъчени в жлъчния сок, както и неабсорбиран лекарствен продукт. След интравенозно приложение на бета-хидроксикиселина, времето на полуживот е средно 1,9 часа. Средно само около 0,3% от интравенозна доза се излъчва с урината като инхибитори.</w:t>
      </w:r>
    </w:p>
    <w:p w14:paraId="6212DC59" w14:textId="77777777" w:rsidR="0025330E" w:rsidRPr="0025330E" w:rsidRDefault="0025330E" w:rsidP="0025330E">
      <w:pPr>
        <w:spacing w:line="240" w:lineRule="auto"/>
        <w:rPr>
          <w:rFonts w:eastAsia="Times New Roman" w:cs="Arial"/>
          <w:color w:val="000000"/>
          <w:lang w:eastAsia="bg-BG"/>
        </w:rPr>
      </w:pPr>
    </w:p>
    <w:p w14:paraId="6CD11D87" w14:textId="77777777" w:rsidR="0025330E" w:rsidRPr="0025330E" w:rsidRDefault="0025330E" w:rsidP="0025330E">
      <w:pPr>
        <w:spacing w:line="240" w:lineRule="auto"/>
        <w:rPr>
          <w:rFonts w:eastAsia="Times New Roman" w:cs="Arial"/>
          <w:color w:val="000000"/>
          <w:lang w:eastAsia="bg-BG"/>
        </w:rPr>
      </w:pPr>
      <w:r w:rsidRPr="0025330E">
        <w:rPr>
          <w:rFonts w:eastAsia="Times New Roman" w:cs="Arial"/>
          <w:color w:val="000000"/>
          <w:lang w:eastAsia="bg-BG"/>
        </w:rPr>
        <w:t xml:space="preserve">Симвастатиновата киселина се поема активно от хепатоцитите чрез траспортера ОАТР1В1. </w:t>
      </w:r>
    </w:p>
    <w:p w14:paraId="3ED0C4E2" w14:textId="6F4D00A2"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Симвастатин е субстрат на ефлуксния транспортер </w:t>
      </w:r>
      <w:r w:rsidRPr="0025330E">
        <w:rPr>
          <w:rFonts w:eastAsia="Times New Roman" w:cs="Arial"/>
          <w:color w:val="000000"/>
          <w:lang w:val="en-US"/>
        </w:rPr>
        <w:t>BCRP.</w:t>
      </w:r>
    </w:p>
    <w:p w14:paraId="60AA07C3" w14:textId="77777777" w:rsidR="0025330E" w:rsidRPr="0025330E" w:rsidRDefault="0025330E" w:rsidP="0025330E">
      <w:pPr>
        <w:spacing w:line="240" w:lineRule="auto"/>
        <w:rPr>
          <w:rFonts w:eastAsia="Times New Roman" w:cs="Arial"/>
          <w:color w:val="000000"/>
          <w:lang w:eastAsia="bg-BG"/>
        </w:rPr>
      </w:pPr>
    </w:p>
    <w:p w14:paraId="6A1DDCBA" w14:textId="4518BA25"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Специални популации</w:t>
      </w:r>
    </w:p>
    <w:p w14:paraId="394B9BDB" w14:textId="77777777" w:rsidR="0025330E" w:rsidRPr="0025330E" w:rsidRDefault="0025330E" w:rsidP="0025330E">
      <w:pPr>
        <w:spacing w:line="240" w:lineRule="auto"/>
        <w:rPr>
          <w:rFonts w:eastAsia="Times New Roman" w:cs="Arial"/>
          <w:color w:val="000000"/>
          <w:lang w:val="en-US"/>
        </w:rPr>
      </w:pPr>
    </w:p>
    <w:p w14:paraId="16A9C87B" w14:textId="781E3106"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val="en-US"/>
        </w:rPr>
        <w:t>SLOC</w:t>
      </w:r>
      <w:r w:rsidRPr="0025330E">
        <w:rPr>
          <w:rFonts w:eastAsia="Times New Roman" w:cs="Arial"/>
          <w:color w:val="000000"/>
          <w:lang w:eastAsia="bg-BG"/>
        </w:rPr>
        <w:t>1В1 полиморфизъм</w:t>
      </w:r>
    </w:p>
    <w:p w14:paraId="148BA3FC" w14:textId="17874161" w:rsidR="0091385D" w:rsidRPr="0025330E" w:rsidRDefault="0025330E" w:rsidP="0025330E">
      <w:pPr>
        <w:spacing w:line="240" w:lineRule="auto"/>
        <w:rPr>
          <w:rFonts w:eastAsia="Times New Roman" w:cs="Arial"/>
          <w:sz w:val="24"/>
          <w:szCs w:val="24"/>
          <w:lang w:val="en-US" w:eastAsia="bg-BG"/>
        </w:rPr>
      </w:pPr>
      <w:r w:rsidRPr="0025330E">
        <w:rPr>
          <w:rFonts w:eastAsia="Times New Roman" w:cs="Arial"/>
          <w:color w:val="000000"/>
          <w:lang w:eastAsia="bg-BG"/>
        </w:rPr>
        <w:t xml:space="preserve">Носителите на гена </w:t>
      </w:r>
      <w:r w:rsidRPr="0025330E">
        <w:rPr>
          <w:rFonts w:eastAsia="Times New Roman" w:cs="Arial"/>
          <w:color w:val="000000"/>
          <w:lang w:val="en-US"/>
        </w:rPr>
        <w:t xml:space="preserve">SLCO1B1 </w:t>
      </w:r>
      <w:r w:rsidRPr="0025330E">
        <w:rPr>
          <w:rFonts w:eastAsia="Times New Roman" w:cs="Arial"/>
          <w:color w:val="000000"/>
          <w:lang w:eastAsia="bg-BG"/>
        </w:rPr>
        <w:t>с с.521Т&gt;С алея имат по-ниска ОАТР1В1</w:t>
      </w:r>
      <w:r w:rsidRPr="0025330E">
        <w:rPr>
          <w:rFonts w:eastAsia="Times New Roman" w:cs="Arial"/>
          <w:color w:val="000000"/>
          <w:lang w:val="en-US"/>
        </w:rPr>
        <w:t xml:space="preserve"> </w:t>
      </w:r>
      <w:r w:rsidRPr="0025330E">
        <w:rPr>
          <w:rFonts w:eastAsia="Times New Roman" w:cs="Arial"/>
          <w:color w:val="000000"/>
          <w:lang w:eastAsia="bg-BG"/>
        </w:rPr>
        <w:t>активност. Средната</w:t>
      </w:r>
      <w:r>
        <w:rPr>
          <w:rFonts w:eastAsia="Times New Roman" w:cs="Arial"/>
          <w:sz w:val="24"/>
          <w:szCs w:val="24"/>
          <w:lang w:val="en-US" w:eastAsia="bg-BG"/>
        </w:rPr>
        <w:t xml:space="preserve"> </w:t>
      </w:r>
      <w:r w:rsidRPr="0025330E">
        <w:rPr>
          <w:rFonts w:eastAsia="Times New Roman" w:cs="Arial"/>
          <w:color w:val="000000"/>
          <w:lang w:eastAsia="bg-BG"/>
        </w:rPr>
        <w:t xml:space="preserve">експозиция </w:t>
      </w:r>
      <w:r w:rsidRPr="0025330E">
        <w:rPr>
          <w:rFonts w:eastAsia="Times New Roman" w:cs="Arial"/>
          <w:color w:val="000000"/>
          <w:lang w:val="en-US"/>
        </w:rPr>
        <w:t xml:space="preserve">(AUC) </w:t>
      </w:r>
      <w:r w:rsidRPr="0025330E">
        <w:rPr>
          <w:rFonts w:eastAsia="Times New Roman" w:cs="Arial"/>
          <w:color w:val="000000"/>
          <w:lang w:eastAsia="bg-BG"/>
        </w:rPr>
        <w:t>на основния активен метаболит симвастатинова киселина е 120%</w:t>
      </w:r>
      <w:r w:rsidRPr="0025330E">
        <w:rPr>
          <w:rFonts w:eastAsia="Times New Roman" w:cs="Arial"/>
          <w:color w:val="000000"/>
          <w:lang w:val="en-US"/>
        </w:rPr>
        <w:t xml:space="preserve"> </w:t>
      </w:r>
      <w:r w:rsidRPr="0025330E">
        <w:rPr>
          <w:rFonts w:eastAsia="Times New Roman" w:cs="Arial"/>
          <w:color w:val="000000"/>
          <w:lang w:eastAsia="bg-BG"/>
        </w:rPr>
        <w:t>при хетерозиготните носители (СТ) на С апела и 221% при хомозиготните (СС) носители, съотнесена  към тази на пациентите с най-често срещания генотип (ТТ). Алелът С е с честота 18%</w:t>
      </w:r>
      <w:r w:rsidRPr="0025330E">
        <w:rPr>
          <w:rFonts w:eastAsia="Times New Roman" w:cs="Arial"/>
          <w:color w:val="000000"/>
          <w:lang w:val="en-US"/>
        </w:rPr>
        <w:t xml:space="preserve"> </w:t>
      </w:r>
      <w:r w:rsidRPr="0025330E">
        <w:rPr>
          <w:rFonts w:eastAsia="Times New Roman" w:cs="Arial"/>
          <w:color w:val="000000"/>
          <w:lang w:eastAsia="bg-BG"/>
        </w:rPr>
        <w:t>в</w:t>
      </w:r>
      <w:r>
        <w:rPr>
          <w:rFonts w:eastAsia="Times New Roman" w:cs="Arial"/>
          <w:color w:val="000000"/>
          <w:lang w:val="en-US" w:eastAsia="bg-BG"/>
        </w:rPr>
        <w:t xml:space="preserve"> </w:t>
      </w:r>
      <w:r>
        <w:t xml:space="preserve">европейската популация. При пациенти с </w:t>
      </w:r>
      <w:r>
        <w:rPr>
          <w:lang w:val="en-US"/>
        </w:rPr>
        <w:t xml:space="preserve">SLCO1B1 </w:t>
      </w:r>
      <w:r>
        <w:t>полиморфизъм има риск от повишена експозиция на симвастатинова киселина, който може да доведе до повишен риск от рабдомиолиза (вж. точка 4.4).</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52E4D01A" w14:textId="3E8FB971" w:rsidR="0091385D" w:rsidRDefault="0025330E" w:rsidP="0091385D">
      <w:r>
        <w:t>На база на конвенционалните изпитвания върху животни по отношение на фармакодинамиката, токсичност при многократно приложение, генотоксичност и канцерогенност не се установяват рискове за пациентите, които да се дължат на фармакологични механизми. При максимално поносими дози при плъхове, както и при зайци, симвастатин не води до фетални малформации, и няма ефект върху фертилността, репродуктивните функции или неонаталното развитие.</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4A7A3F59" w14:textId="77777777" w:rsidR="0025330E" w:rsidRPr="00A00566" w:rsidRDefault="0025330E" w:rsidP="0025330E">
      <w:pPr>
        <w:spacing w:line="240" w:lineRule="auto"/>
        <w:rPr>
          <w:rFonts w:eastAsia="Times New Roman" w:cs="Arial"/>
          <w:sz w:val="24"/>
          <w:szCs w:val="24"/>
          <w:lang w:val="en-US" w:eastAsia="bg-BG"/>
        </w:rPr>
      </w:pPr>
      <w:r w:rsidRPr="00A00566">
        <w:rPr>
          <w:rFonts w:eastAsia="Times New Roman" w:cs="Arial"/>
          <w:color w:val="000000"/>
          <w:lang w:val="en-US"/>
        </w:rPr>
        <w:t xml:space="preserve">Accord Healthcare </w:t>
      </w:r>
      <w:proofErr w:type="spellStart"/>
      <w:r w:rsidRPr="00A00566">
        <w:rPr>
          <w:rFonts w:eastAsia="Times New Roman" w:cs="Arial"/>
          <w:color w:val="000000"/>
          <w:lang w:val="en-US"/>
        </w:rPr>
        <w:t>Polska</w:t>
      </w:r>
      <w:proofErr w:type="spellEnd"/>
      <w:r w:rsidRPr="00A00566">
        <w:rPr>
          <w:rFonts w:eastAsia="Times New Roman" w:cs="Arial"/>
          <w:color w:val="000000"/>
          <w:lang w:val="en-US"/>
        </w:rPr>
        <w:t xml:space="preserve"> Sp. z </w:t>
      </w:r>
      <w:proofErr w:type="spellStart"/>
      <w:r w:rsidRPr="00A00566">
        <w:rPr>
          <w:rFonts w:eastAsia="Times New Roman" w:cs="Arial"/>
          <w:color w:val="000000"/>
          <w:lang w:val="en-US"/>
        </w:rPr>
        <w:t>o.o</w:t>
      </w:r>
      <w:proofErr w:type="spellEnd"/>
      <w:proofErr w:type="gramStart"/>
      <w:r w:rsidRPr="00A00566">
        <w:rPr>
          <w:rFonts w:eastAsia="Times New Roman" w:cs="Arial"/>
          <w:color w:val="000000"/>
          <w:lang w:val="en-US"/>
        </w:rPr>
        <w:t>.,</w:t>
      </w:r>
      <w:proofErr w:type="gramEnd"/>
    </w:p>
    <w:p w14:paraId="4EDD1FE9" w14:textId="77777777" w:rsidR="0025330E" w:rsidRPr="00A00566" w:rsidRDefault="0025330E" w:rsidP="0025330E">
      <w:pPr>
        <w:spacing w:line="240" w:lineRule="auto"/>
        <w:rPr>
          <w:rFonts w:eastAsia="Times New Roman" w:cs="Arial"/>
          <w:sz w:val="24"/>
          <w:szCs w:val="24"/>
          <w:lang w:val="en-US" w:eastAsia="bg-BG"/>
        </w:rPr>
      </w:pPr>
      <w:proofErr w:type="spellStart"/>
      <w:proofErr w:type="gramStart"/>
      <w:r w:rsidRPr="00A00566">
        <w:rPr>
          <w:rFonts w:eastAsia="Times New Roman" w:cs="Arial"/>
          <w:color w:val="000000"/>
          <w:lang w:val="en-US"/>
        </w:rPr>
        <w:t>ul</w:t>
      </w:r>
      <w:proofErr w:type="spellEnd"/>
      <w:proofErr w:type="gramEnd"/>
      <w:r w:rsidRPr="00A00566">
        <w:rPr>
          <w:rFonts w:eastAsia="Times New Roman" w:cs="Arial"/>
          <w:color w:val="000000"/>
          <w:lang w:val="en-US"/>
        </w:rPr>
        <w:t xml:space="preserve">. </w:t>
      </w:r>
      <w:proofErr w:type="spellStart"/>
      <w:r w:rsidRPr="00A00566">
        <w:rPr>
          <w:rFonts w:eastAsia="Times New Roman" w:cs="Arial"/>
          <w:color w:val="000000"/>
          <w:lang w:val="en-US"/>
        </w:rPr>
        <w:t>Tasmowa</w:t>
      </w:r>
      <w:proofErr w:type="spellEnd"/>
      <w:r w:rsidRPr="00A00566">
        <w:rPr>
          <w:rFonts w:eastAsia="Times New Roman" w:cs="Arial"/>
          <w:color w:val="000000"/>
          <w:lang w:val="en-US"/>
        </w:rPr>
        <w:t xml:space="preserve"> 7,</w:t>
      </w:r>
    </w:p>
    <w:p w14:paraId="256A3DEF" w14:textId="77777777" w:rsidR="0025330E" w:rsidRPr="00A00566" w:rsidRDefault="0025330E" w:rsidP="0025330E">
      <w:pPr>
        <w:rPr>
          <w:rFonts w:eastAsia="Times New Roman" w:cs="Arial"/>
          <w:color w:val="000000"/>
          <w:lang w:val="en-US"/>
        </w:rPr>
      </w:pPr>
      <w:r w:rsidRPr="00A00566">
        <w:rPr>
          <w:rFonts w:eastAsia="Times New Roman" w:cs="Arial"/>
          <w:color w:val="000000"/>
          <w:lang w:val="en-US"/>
        </w:rPr>
        <w:t xml:space="preserve">02-677, Warszawa, </w:t>
      </w:r>
      <w:proofErr w:type="spellStart"/>
      <w:r w:rsidRPr="00A00566">
        <w:rPr>
          <w:rFonts w:eastAsia="Times New Roman" w:cs="Arial"/>
          <w:color w:val="000000"/>
          <w:lang w:val="en-US"/>
        </w:rPr>
        <w:t>Mazowieckie</w:t>
      </w:r>
      <w:proofErr w:type="spellEnd"/>
      <w:r w:rsidRPr="00A00566">
        <w:rPr>
          <w:rFonts w:eastAsia="Times New Roman" w:cs="Arial"/>
          <w:color w:val="000000"/>
          <w:lang w:val="en-US"/>
        </w:rPr>
        <w:t>,</w:t>
      </w:r>
    </w:p>
    <w:p w14:paraId="3FD825DB" w14:textId="01EB72D7" w:rsidR="0091385D" w:rsidRPr="00A00566" w:rsidRDefault="0025330E" w:rsidP="0025330E">
      <w:pPr>
        <w:rPr>
          <w:rFonts w:cs="Arial"/>
        </w:rPr>
      </w:pPr>
      <w:r w:rsidRPr="00A00566">
        <w:rPr>
          <w:rFonts w:eastAsia="Times New Roman" w:cs="Arial"/>
          <w:color w:val="000000"/>
          <w:lang w:eastAsia="bg-BG"/>
        </w:rPr>
        <w:t>Полша</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5E82EE51" w14:textId="77777777" w:rsidR="00A00566" w:rsidRPr="00A00566" w:rsidRDefault="00A00566" w:rsidP="00A00566">
      <w:pPr>
        <w:spacing w:line="240" w:lineRule="auto"/>
        <w:rPr>
          <w:rFonts w:eastAsia="Times New Roman" w:cs="Arial"/>
          <w:sz w:val="24"/>
          <w:szCs w:val="24"/>
          <w:lang w:eastAsia="bg-BG"/>
        </w:rPr>
      </w:pPr>
      <w:r w:rsidRPr="00A00566">
        <w:rPr>
          <w:rFonts w:eastAsia="Times New Roman" w:cs="Arial"/>
          <w:color w:val="000000"/>
          <w:lang w:eastAsia="bg-BG"/>
        </w:rPr>
        <w:lastRenderedPageBreak/>
        <w:t xml:space="preserve">Симвастатин Акорд 10 </w:t>
      </w:r>
      <w:r w:rsidRPr="00A00566">
        <w:rPr>
          <w:rFonts w:eastAsia="Times New Roman" w:cs="Arial"/>
          <w:color w:val="000000"/>
          <w:lang w:val="en-US"/>
        </w:rPr>
        <w:t xml:space="preserve">mg </w:t>
      </w:r>
      <w:r w:rsidRPr="00A00566">
        <w:rPr>
          <w:rFonts w:eastAsia="Times New Roman" w:cs="Arial"/>
          <w:color w:val="000000"/>
          <w:lang w:eastAsia="bg-BG"/>
        </w:rPr>
        <w:t>филмирани таблетки Рег.№ 200902231</w:t>
      </w:r>
    </w:p>
    <w:p w14:paraId="5FFD743D" w14:textId="77777777" w:rsidR="00A00566" w:rsidRPr="00A00566" w:rsidRDefault="00A00566" w:rsidP="00A00566">
      <w:pPr>
        <w:spacing w:line="240" w:lineRule="auto"/>
        <w:rPr>
          <w:rFonts w:eastAsia="Times New Roman" w:cs="Arial"/>
          <w:sz w:val="24"/>
          <w:szCs w:val="24"/>
          <w:lang w:eastAsia="bg-BG"/>
        </w:rPr>
      </w:pPr>
      <w:r w:rsidRPr="00A00566">
        <w:rPr>
          <w:rFonts w:eastAsia="Times New Roman" w:cs="Arial"/>
          <w:color w:val="000000"/>
          <w:lang w:eastAsia="bg-BG"/>
        </w:rPr>
        <w:t xml:space="preserve">Симвастатин Акорд 20 </w:t>
      </w:r>
      <w:r w:rsidRPr="00A00566">
        <w:rPr>
          <w:rFonts w:eastAsia="Times New Roman" w:cs="Arial"/>
          <w:color w:val="000000"/>
          <w:lang w:val="en-US"/>
        </w:rPr>
        <w:t xml:space="preserve">mg </w:t>
      </w:r>
      <w:r w:rsidRPr="00A00566">
        <w:rPr>
          <w:rFonts w:eastAsia="Times New Roman" w:cs="Arial"/>
          <w:color w:val="000000"/>
          <w:lang w:eastAsia="bg-BG"/>
        </w:rPr>
        <w:t>филмирани таблетки Рег.№ 200902233</w:t>
      </w:r>
    </w:p>
    <w:p w14:paraId="6E892CE5" w14:textId="196127B2" w:rsidR="0091385D" w:rsidRPr="00A00566" w:rsidRDefault="00A00566" w:rsidP="00A00566">
      <w:pPr>
        <w:rPr>
          <w:rFonts w:cs="Arial"/>
        </w:rPr>
      </w:pPr>
      <w:r w:rsidRPr="00A00566">
        <w:rPr>
          <w:rFonts w:eastAsia="Times New Roman" w:cs="Arial"/>
          <w:color w:val="000000"/>
          <w:lang w:eastAsia="bg-BG"/>
        </w:rPr>
        <w:t xml:space="preserve">Симвастатин Акорд 40 </w:t>
      </w:r>
      <w:r w:rsidRPr="00A00566">
        <w:rPr>
          <w:rFonts w:eastAsia="Times New Roman" w:cs="Arial"/>
          <w:color w:val="000000"/>
          <w:lang w:val="en-US"/>
        </w:rPr>
        <w:t xml:space="preserve">mg </w:t>
      </w:r>
      <w:r w:rsidRPr="00A00566">
        <w:rPr>
          <w:rFonts w:eastAsia="Times New Roman" w:cs="Arial"/>
          <w:color w:val="000000"/>
          <w:lang w:eastAsia="bg-BG"/>
        </w:rPr>
        <w:t>филмирани таблетки Рег.№ 200902234</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4C1B5DA2" w14:textId="77777777" w:rsidR="00A00566" w:rsidRPr="00A00566" w:rsidRDefault="00A00566" w:rsidP="00A00566">
      <w:pPr>
        <w:spacing w:line="240" w:lineRule="auto"/>
        <w:rPr>
          <w:rFonts w:eastAsia="Times New Roman" w:cs="Arial"/>
          <w:sz w:val="24"/>
          <w:szCs w:val="24"/>
          <w:lang w:eastAsia="bg-BG"/>
        </w:rPr>
      </w:pPr>
      <w:r w:rsidRPr="00A00566">
        <w:rPr>
          <w:rFonts w:eastAsia="Times New Roman" w:cs="Arial"/>
          <w:color w:val="000000"/>
          <w:lang w:eastAsia="bg-BG"/>
        </w:rPr>
        <w:t>Дата на първо разрешаване: 21.05.2009 г.</w:t>
      </w:r>
    </w:p>
    <w:p w14:paraId="497007FA" w14:textId="50E3E5DE" w:rsidR="0091385D" w:rsidRPr="00A00566" w:rsidRDefault="00A00566" w:rsidP="00A00566">
      <w:pPr>
        <w:rPr>
          <w:rFonts w:cs="Arial"/>
        </w:rPr>
      </w:pPr>
      <w:r w:rsidRPr="00A00566">
        <w:rPr>
          <w:rFonts w:eastAsia="Times New Roman" w:cs="Arial"/>
          <w:color w:val="000000"/>
          <w:lang w:eastAsia="bg-BG"/>
        </w:rPr>
        <w:t>Дата на последно подновяване: 08.10.2012 г.</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48F80536" w:rsidR="0091385D" w:rsidRPr="00A00566" w:rsidRDefault="00A00566" w:rsidP="0091385D">
      <w:pPr>
        <w:rPr>
          <w:rFonts w:cs="Arial"/>
        </w:rPr>
      </w:pPr>
      <w:r w:rsidRPr="00A00566">
        <w:rPr>
          <w:rFonts w:cs="Arial"/>
        </w:rPr>
        <w:t>11.02.2021 г.</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0D173C1"/>
    <w:multiLevelType w:val="hybridMultilevel"/>
    <w:tmpl w:val="2C865B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8F255C5"/>
    <w:multiLevelType w:val="hybridMultilevel"/>
    <w:tmpl w:val="47F4D8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C23A7"/>
    <w:multiLevelType w:val="hybridMultilevel"/>
    <w:tmpl w:val="FB9409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5"/>
  </w:num>
  <w:num w:numId="4">
    <w:abstractNumId w:val="3"/>
  </w:num>
  <w:num w:numId="5">
    <w:abstractNumId w:val="1"/>
  </w:num>
  <w:num w:numId="6">
    <w:abstractNumId w:val="18"/>
  </w:num>
  <w:num w:numId="7">
    <w:abstractNumId w:val="13"/>
  </w:num>
  <w:num w:numId="8">
    <w:abstractNumId w:val="17"/>
  </w:num>
  <w:num w:numId="9">
    <w:abstractNumId w:val="2"/>
  </w:num>
  <w:num w:numId="10">
    <w:abstractNumId w:val="5"/>
  </w:num>
  <w:num w:numId="11">
    <w:abstractNumId w:val="32"/>
  </w:num>
  <w:num w:numId="12">
    <w:abstractNumId w:val="16"/>
  </w:num>
  <w:num w:numId="13">
    <w:abstractNumId w:val="21"/>
  </w:num>
  <w:num w:numId="14">
    <w:abstractNumId w:val="14"/>
  </w:num>
  <w:num w:numId="15">
    <w:abstractNumId w:val="31"/>
  </w:num>
  <w:num w:numId="16">
    <w:abstractNumId w:val="12"/>
  </w:num>
  <w:num w:numId="17">
    <w:abstractNumId w:val="26"/>
  </w:num>
  <w:num w:numId="18">
    <w:abstractNumId w:val="9"/>
  </w:num>
  <w:num w:numId="19">
    <w:abstractNumId w:val="28"/>
  </w:num>
  <w:num w:numId="20">
    <w:abstractNumId w:val="25"/>
  </w:num>
  <w:num w:numId="21">
    <w:abstractNumId w:val="19"/>
  </w:num>
  <w:num w:numId="22">
    <w:abstractNumId w:val="27"/>
  </w:num>
  <w:num w:numId="23">
    <w:abstractNumId w:val="20"/>
  </w:num>
  <w:num w:numId="24">
    <w:abstractNumId w:val="11"/>
  </w:num>
  <w:num w:numId="25">
    <w:abstractNumId w:val="24"/>
  </w:num>
  <w:num w:numId="26">
    <w:abstractNumId w:val="23"/>
  </w:num>
  <w:num w:numId="27">
    <w:abstractNumId w:val="33"/>
  </w:num>
  <w:num w:numId="28">
    <w:abstractNumId w:val="8"/>
  </w:num>
  <w:num w:numId="29">
    <w:abstractNumId w:val="22"/>
  </w:num>
  <w:num w:numId="30">
    <w:abstractNumId w:val="36"/>
  </w:num>
  <w:num w:numId="31">
    <w:abstractNumId w:val="7"/>
  </w:num>
  <w:num w:numId="32">
    <w:abstractNumId w:val="35"/>
  </w:num>
  <w:num w:numId="33">
    <w:abstractNumId w:val="30"/>
  </w:num>
  <w:num w:numId="34">
    <w:abstractNumId w:val="34"/>
  </w:num>
  <w:num w:numId="35">
    <w:abstractNumId w:val="4"/>
  </w:num>
  <w:num w:numId="36">
    <w:abstractNumId w:val="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1E796D"/>
    <w:rsid w:val="0025330E"/>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8F1AF3"/>
    <w:rsid w:val="0091385D"/>
    <w:rsid w:val="009773E4"/>
    <w:rsid w:val="009B171C"/>
    <w:rsid w:val="009F1313"/>
    <w:rsid w:val="00A00566"/>
    <w:rsid w:val="00A20351"/>
    <w:rsid w:val="00A65A81"/>
    <w:rsid w:val="00A73575"/>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96FCF"/>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9203</Words>
  <Characters>52463</Characters>
  <Application>Microsoft Office Word</Application>
  <DocSecurity>0</DocSecurity>
  <Lines>437</Lines>
  <Paragraphs>123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2022-11-02T01:31:00Z</dcterms:created>
  <dcterms:modified xsi:type="dcterms:W3CDTF">2022-11-02T01:31:00Z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