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Pr="004D000B" w:rsidRDefault="0091385D" w:rsidP="0091385D">
      <w:pPr>
        <w:rPr>
          <w:rFonts w:cs="Arial"/>
          <w:sz w:val="24"/>
        </w:rPr>
      </w:pPr>
    </w:p>
    <w:p w14:paraId="02B27141" w14:textId="05556428"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AL</w:t>
      </w:r>
      <w:r w:rsidR="00784926">
        <w:rPr>
          <w:rFonts w:eastAsia="Times New Roman" w:cs="Arial"/>
          <w:b/>
          <w:bCs/>
          <w:color w:val="000000"/>
          <w:szCs w:val="20"/>
          <w:lang w:val="en-US"/>
        </w:rPr>
        <w:t xml:space="preserve"> </w:t>
      </w:r>
      <w:bookmarkStart w:id="1" w:name="_GoBack"/>
      <w:bookmarkEnd w:id="1"/>
      <w:r w:rsidRPr="004D000B">
        <w:rPr>
          <w:rFonts w:eastAsia="Times New Roman" w:cs="Arial"/>
          <w:b/>
          <w:bCs/>
          <w:color w:val="000000"/>
          <w:szCs w:val="20"/>
          <w:lang w:eastAsia="bg-BG"/>
        </w:rPr>
        <w:t xml:space="preserve">10 </w:t>
      </w:r>
      <w:r w:rsidRPr="004D000B">
        <w:rPr>
          <w:rFonts w:eastAsia="Times New Roman" w:cs="Arial"/>
          <w:b/>
          <w:bCs/>
          <w:color w:val="000000"/>
          <w:szCs w:val="20"/>
          <w:lang w:val="en-US"/>
        </w:rPr>
        <w:t xml:space="preserve">mg </w:t>
      </w:r>
      <w:r w:rsidRPr="004D000B">
        <w:rPr>
          <w:rFonts w:eastAsia="Times New Roman" w:cs="Arial"/>
          <w:b/>
          <w:bCs/>
          <w:color w:val="000000"/>
          <w:szCs w:val="20"/>
          <w:lang w:eastAsia="bg-BG"/>
        </w:rPr>
        <w:t>филмирани таблетки</w:t>
      </w:r>
    </w:p>
    <w:p w14:paraId="12AF807D" w14:textId="77777777"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val="en-US"/>
        </w:rPr>
        <w:t xml:space="preserve">Simvastatin AL </w:t>
      </w:r>
      <w:r w:rsidRPr="004D000B">
        <w:rPr>
          <w:rFonts w:eastAsia="Times New Roman" w:cs="Arial"/>
          <w:b/>
          <w:bCs/>
          <w:color w:val="000000"/>
          <w:szCs w:val="20"/>
          <w:lang w:eastAsia="bg-BG"/>
        </w:rPr>
        <w:t xml:space="preserve">10 </w:t>
      </w:r>
      <w:r w:rsidRPr="004D000B">
        <w:rPr>
          <w:rFonts w:eastAsia="Times New Roman" w:cs="Arial"/>
          <w:b/>
          <w:bCs/>
          <w:color w:val="000000"/>
          <w:szCs w:val="20"/>
          <w:lang w:val="en-US"/>
        </w:rPr>
        <w:t>mg film-coated tablets</w:t>
      </w:r>
    </w:p>
    <w:p w14:paraId="40D653B7" w14:textId="77777777" w:rsidR="004D000B" w:rsidRPr="004D000B" w:rsidRDefault="004D000B" w:rsidP="004D000B">
      <w:pPr>
        <w:spacing w:line="240" w:lineRule="auto"/>
        <w:rPr>
          <w:rFonts w:eastAsia="Times New Roman" w:cs="Arial"/>
          <w:b/>
          <w:bCs/>
          <w:color w:val="000000"/>
          <w:szCs w:val="20"/>
          <w:lang w:eastAsia="bg-BG"/>
        </w:rPr>
      </w:pPr>
    </w:p>
    <w:p w14:paraId="71E105E3" w14:textId="165B1F8E"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 xml:space="preserve">AL 20 mg </w:t>
      </w:r>
      <w:r w:rsidRPr="004D000B">
        <w:rPr>
          <w:rFonts w:eastAsia="Times New Roman" w:cs="Arial"/>
          <w:b/>
          <w:bCs/>
          <w:color w:val="000000"/>
          <w:szCs w:val="20"/>
          <w:lang w:eastAsia="bg-BG"/>
        </w:rPr>
        <w:t>филмирани таблетки</w:t>
      </w:r>
    </w:p>
    <w:p w14:paraId="60ABDB6F" w14:textId="77777777"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val="en-US"/>
        </w:rPr>
        <w:t>Simvastatin AL 20 mg film-coated tablets</w:t>
      </w:r>
    </w:p>
    <w:p w14:paraId="054AA1D8" w14:textId="77777777" w:rsidR="004D000B" w:rsidRPr="004D000B" w:rsidRDefault="004D000B" w:rsidP="004D000B">
      <w:pPr>
        <w:spacing w:line="240" w:lineRule="auto"/>
        <w:rPr>
          <w:rFonts w:eastAsia="Times New Roman" w:cs="Arial"/>
          <w:b/>
          <w:bCs/>
          <w:color w:val="000000"/>
          <w:szCs w:val="20"/>
          <w:lang w:eastAsia="bg-BG"/>
        </w:rPr>
      </w:pPr>
    </w:p>
    <w:p w14:paraId="3C0E28D6" w14:textId="7956781B"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 xml:space="preserve">AL 40 mg </w:t>
      </w:r>
      <w:r w:rsidRPr="004D000B">
        <w:rPr>
          <w:rFonts w:eastAsia="Times New Roman" w:cs="Arial"/>
          <w:b/>
          <w:bCs/>
          <w:color w:val="000000"/>
          <w:szCs w:val="20"/>
          <w:lang w:eastAsia="bg-BG"/>
        </w:rPr>
        <w:t>филмирани таблетки</w:t>
      </w:r>
    </w:p>
    <w:p w14:paraId="5015A1FD" w14:textId="064168B8" w:rsidR="00A73575" w:rsidRPr="004D000B" w:rsidRDefault="004D000B" w:rsidP="004D000B">
      <w:pPr>
        <w:rPr>
          <w:rFonts w:cs="Arial"/>
          <w:sz w:val="24"/>
        </w:rPr>
      </w:pPr>
      <w:r w:rsidRPr="004D000B">
        <w:rPr>
          <w:rFonts w:eastAsia="Times New Roman" w:cs="Arial"/>
          <w:b/>
          <w:bCs/>
          <w:color w:val="000000"/>
          <w:szCs w:val="20"/>
          <w:lang w:val="en-US"/>
        </w:rPr>
        <w:t>Simvastatin AL 40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FD5E500" w14:textId="77777777" w:rsidR="004D000B" w:rsidRPr="004D000B" w:rsidRDefault="004D000B" w:rsidP="004D000B">
      <w:pPr>
        <w:spacing w:line="240" w:lineRule="auto"/>
        <w:rPr>
          <w:rFonts w:eastAsia="Times New Roman" w:cs="Arial"/>
          <w:sz w:val="28"/>
          <w:szCs w:val="24"/>
          <w:lang w:eastAsia="bg-BG"/>
        </w:rPr>
      </w:pPr>
      <w:bookmarkStart w:id="2" w:name="bookmark0"/>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10</w:t>
      </w:r>
      <w:bookmarkEnd w:id="2"/>
    </w:p>
    <w:p w14:paraId="1BBEF8A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филмирана таблетка съдържа: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w:t>
      </w:r>
    </w:p>
    <w:p w14:paraId="5BED8424" w14:textId="77777777" w:rsidR="004D000B" w:rsidRPr="004D000B" w:rsidRDefault="004D000B" w:rsidP="004D000B">
      <w:pPr>
        <w:spacing w:line="240" w:lineRule="auto"/>
        <w:rPr>
          <w:rFonts w:eastAsia="Times New Roman" w:cs="Arial"/>
          <w:color w:val="000000"/>
          <w:szCs w:val="20"/>
          <w:lang w:eastAsia="bg-BG"/>
        </w:rPr>
      </w:pPr>
    </w:p>
    <w:p w14:paraId="08552B35" w14:textId="78BBE92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Помощно вещество с известно действие:</w:t>
      </w:r>
    </w:p>
    <w:p w14:paraId="4667474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таблетка съдържа 74,5 </w:t>
      </w:r>
      <w:r w:rsidRPr="004D000B">
        <w:rPr>
          <w:rFonts w:eastAsia="Times New Roman" w:cs="Arial"/>
          <w:color w:val="000000"/>
          <w:szCs w:val="20"/>
          <w:lang w:val="en-US"/>
        </w:rPr>
        <w:t xml:space="preserve">mg </w:t>
      </w:r>
      <w:r w:rsidRPr="004D000B">
        <w:rPr>
          <w:rFonts w:eastAsia="Times New Roman" w:cs="Arial"/>
          <w:color w:val="000000"/>
          <w:szCs w:val="20"/>
          <w:lang w:eastAsia="bg-BG"/>
        </w:rPr>
        <w:t>безводна лактоза.</w:t>
      </w:r>
    </w:p>
    <w:p w14:paraId="2E957DC3" w14:textId="77777777" w:rsidR="004D000B" w:rsidRPr="004D000B" w:rsidRDefault="004D000B" w:rsidP="004D000B">
      <w:pPr>
        <w:spacing w:line="240" w:lineRule="auto"/>
        <w:rPr>
          <w:rFonts w:eastAsia="Times New Roman" w:cs="Arial"/>
          <w:b/>
          <w:bCs/>
          <w:color w:val="000000"/>
          <w:szCs w:val="20"/>
          <w:lang w:eastAsia="bg-BG"/>
        </w:rPr>
      </w:pPr>
      <w:bookmarkStart w:id="3" w:name="bookmark2"/>
    </w:p>
    <w:p w14:paraId="03254888" w14:textId="41F351CA"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20</w:t>
      </w:r>
      <w:bookmarkEnd w:id="3"/>
    </w:p>
    <w:p w14:paraId="485C3A8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филмирана таблетка съдържа: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w:t>
      </w:r>
    </w:p>
    <w:p w14:paraId="153F5FCA"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Помощно вещество с известно действие:</w:t>
      </w:r>
    </w:p>
    <w:p w14:paraId="3B4A78B6"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таблетка съдържа 149,00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безводна лактоза.</w:t>
      </w:r>
    </w:p>
    <w:p w14:paraId="6A36E5BA" w14:textId="77777777" w:rsidR="004D000B" w:rsidRPr="004D000B" w:rsidRDefault="004D000B" w:rsidP="004D000B">
      <w:pPr>
        <w:spacing w:line="240" w:lineRule="auto"/>
        <w:rPr>
          <w:rFonts w:eastAsia="Times New Roman" w:cs="Arial"/>
          <w:b/>
          <w:bCs/>
          <w:color w:val="000000"/>
          <w:szCs w:val="20"/>
          <w:lang w:eastAsia="bg-BG"/>
        </w:rPr>
      </w:pPr>
      <w:bookmarkStart w:id="4" w:name="bookmark4"/>
    </w:p>
    <w:p w14:paraId="3305BE07" w14:textId="38067157"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40</w:t>
      </w:r>
      <w:bookmarkEnd w:id="4"/>
    </w:p>
    <w:p w14:paraId="7E57D93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филмирана таблетка съдържа: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w:t>
      </w:r>
    </w:p>
    <w:p w14:paraId="0B345E6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Помощно вещество с известно действие:</w:t>
      </w:r>
    </w:p>
    <w:p w14:paraId="73159BF5"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таблетка съдържа 298,00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безводна лактоза.</w:t>
      </w:r>
    </w:p>
    <w:p w14:paraId="03110A50" w14:textId="1F0CF55A" w:rsidR="0091385D" w:rsidRPr="004D000B" w:rsidRDefault="004D000B" w:rsidP="004D000B">
      <w:pPr>
        <w:rPr>
          <w:rFonts w:cs="Arial"/>
          <w:sz w:val="24"/>
        </w:rPr>
      </w:pPr>
      <w:r w:rsidRPr="004D000B">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4969D65" w14:textId="77777777" w:rsidR="004D000B" w:rsidRDefault="004D000B" w:rsidP="004D000B">
      <w:pPr>
        <w:spacing w:line="240" w:lineRule="auto"/>
        <w:rPr>
          <w:rFonts w:ascii="Times New Roman" w:eastAsia="Times New Roman" w:hAnsi="Times New Roman" w:cs="Times New Roman"/>
          <w:color w:val="000000"/>
          <w:sz w:val="20"/>
          <w:szCs w:val="20"/>
          <w:lang w:eastAsia="bg-BG"/>
        </w:rPr>
      </w:pPr>
    </w:p>
    <w:p w14:paraId="54F174A8" w14:textId="4931BFC4"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Филмирана таблетка</w:t>
      </w:r>
    </w:p>
    <w:p w14:paraId="0C1673D1" w14:textId="77777777" w:rsidR="004D000B" w:rsidRPr="004D000B" w:rsidRDefault="004D000B" w:rsidP="004D000B">
      <w:pPr>
        <w:spacing w:line="240" w:lineRule="auto"/>
        <w:rPr>
          <w:rFonts w:eastAsia="Times New Roman" w:cs="Arial"/>
          <w:b/>
          <w:bCs/>
          <w:color w:val="000000"/>
          <w:szCs w:val="20"/>
          <w:lang w:eastAsia="bg-BG"/>
        </w:rPr>
      </w:pPr>
    </w:p>
    <w:p w14:paraId="4E1529E5" w14:textId="5142D5F2"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10</w:t>
      </w:r>
    </w:p>
    <w:p w14:paraId="1CF5205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Бели, продълговати, двойно изпъкнали филмирани таблетки, с делителна черта от едната страна и изпъкнало релефно означение </w:t>
      </w:r>
      <w:r w:rsidRPr="004D000B">
        <w:rPr>
          <w:rFonts w:eastAsia="Times New Roman" w:cs="Arial"/>
          <w:color w:val="000000"/>
          <w:szCs w:val="20"/>
          <w:lang w:val="en-US"/>
        </w:rPr>
        <w:t xml:space="preserve">,,SVT‘ </w:t>
      </w:r>
      <w:r w:rsidRPr="004D000B">
        <w:rPr>
          <w:rFonts w:eastAsia="Times New Roman" w:cs="Arial"/>
          <w:color w:val="000000"/>
          <w:szCs w:val="20"/>
          <w:lang w:eastAsia="bg-BG"/>
        </w:rPr>
        <w:t xml:space="preserve">и „10“, с размери дължина 8,5 -8,9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широчина 4,2-4,6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височина 2,55-2,85 </w:t>
      </w:r>
      <w:r w:rsidRPr="004D000B">
        <w:rPr>
          <w:rFonts w:eastAsia="Times New Roman" w:cs="Arial"/>
          <w:color w:val="000000"/>
          <w:szCs w:val="20"/>
          <w:lang w:val="en-US"/>
        </w:rPr>
        <w:t>mm.</w:t>
      </w:r>
    </w:p>
    <w:p w14:paraId="61E92B5F" w14:textId="77777777" w:rsidR="004D000B" w:rsidRPr="004D000B" w:rsidRDefault="004D000B" w:rsidP="004D000B">
      <w:pPr>
        <w:spacing w:line="240" w:lineRule="auto"/>
        <w:rPr>
          <w:rFonts w:eastAsia="Times New Roman" w:cs="Arial"/>
          <w:b/>
          <w:bCs/>
          <w:color w:val="000000"/>
          <w:szCs w:val="20"/>
          <w:lang w:eastAsia="bg-BG"/>
        </w:rPr>
      </w:pPr>
    </w:p>
    <w:p w14:paraId="02E77864" w14:textId="5465D6AA"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20</w:t>
      </w:r>
    </w:p>
    <w:p w14:paraId="05023753"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lastRenderedPageBreak/>
        <w:t xml:space="preserve">Бели, продълговати, двойно изпъкнали филмирани таблетки, с делителна черга от едната страна и изпъкнало релефно означение </w:t>
      </w:r>
      <w:r w:rsidRPr="004D000B">
        <w:rPr>
          <w:rFonts w:eastAsia="Times New Roman" w:cs="Arial"/>
          <w:color w:val="000000"/>
          <w:szCs w:val="20"/>
          <w:lang w:val="en-US"/>
        </w:rPr>
        <w:t xml:space="preserve">„SVT“ </w:t>
      </w:r>
      <w:r w:rsidRPr="004D000B">
        <w:rPr>
          <w:rFonts w:eastAsia="Times New Roman" w:cs="Arial"/>
          <w:color w:val="000000"/>
          <w:szCs w:val="20"/>
          <w:lang w:eastAsia="bg-BG"/>
        </w:rPr>
        <w:t xml:space="preserve">и „20“, с размери дължина 10.80 - 11.20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широчина 5.30 - 5.70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височина 3.80 - 4.05 </w:t>
      </w:r>
      <w:r w:rsidRPr="004D000B">
        <w:rPr>
          <w:rFonts w:eastAsia="Times New Roman" w:cs="Arial"/>
          <w:color w:val="000000"/>
          <w:szCs w:val="20"/>
          <w:lang w:val="en-US"/>
        </w:rPr>
        <w:t>mm.</w:t>
      </w:r>
    </w:p>
    <w:p w14:paraId="1571A28C" w14:textId="77777777" w:rsidR="004D000B" w:rsidRPr="004D000B" w:rsidRDefault="004D000B" w:rsidP="004D000B">
      <w:pPr>
        <w:spacing w:line="240" w:lineRule="auto"/>
        <w:rPr>
          <w:rFonts w:eastAsia="Times New Roman" w:cs="Arial"/>
          <w:b/>
          <w:bCs/>
          <w:color w:val="000000"/>
          <w:szCs w:val="20"/>
          <w:lang w:eastAsia="bg-BG"/>
        </w:rPr>
      </w:pPr>
    </w:p>
    <w:p w14:paraId="411117F6" w14:textId="7120E156"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40</w:t>
      </w:r>
    </w:p>
    <w:p w14:paraId="1004E96C" w14:textId="1D1C0AC3" w:rsidR="0091385D" w:rsidRPr="00784926" w:rsidRDefault="004D000B" w:rsidP="00784926">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Бели, продълговати, двойно изпъкнали филмирани таблетки, с делителна черта от едната страна и изпъкнало релефно означение </w:t>
      </w:r>
      <w:r w:rsidRPr="004D000B">
        <w:rPr>
          <w:rFonts w:eastAsia="Times New Roman" w:cs="Arial"/>
          <w:color w:val="000000"/>
          <w:szCs w:val="20"/>
          <w:lang w:val="en-US"/>
        </w:rPr>
        <w:t xml:space="preserve">„SVT“ </w:t>
      </w:r>
      <w:r w:rsidRPr="004D000B">
        <w:rPr>
          <w:rFonts w:eastAsia="Times New Roman" w:cs="Arial"/>
          <w:color w:val="000000"/>
          <w:szCs w:val="20"/>
          <w:lang w:eastAsia="bg-BG"/>
        </w:rPr>
        <w:t xml:space="preserve">и „40“, с размери дължина 13.60 - 14.20 </w:t>
      </w:r>
      <w:r w:rsidRPr="004D000B">
        <w:rPr>
          <w:rFonts w:eastAsia="Times New Roman" w:cs="Arial"/>
          <w:color w:val="000000"/>
          <w:szCs w:val="20"/>
          <w:lang w:val="en-US"/>
        </w:rPr>
        <w:t>mm,</w:t>
      </w:r>
      <w:r w:rsidRPr="004D000B">
        <w:rPr>
          <w:rFonts w:eastAsia="Times New Roman" w:cs="Arial"/>
          <w:color w:val="000000"/>
          <w:szCs w:val="20"/>
          <w:lang w:eastAsia="bg-BG"/>
        </w:rPr>
        <w:t xml:space="preserve"> широчина 6.70</w:t>
      </w:r>
      <w:r w:rsidR="00784926">
        <w:rPr>
          <w:rFonts w:eastAsia="Times New Roman" w:cs="Arial"/>
          <w:sz w:val="28"/>
          <w:szCs w:val="24"/>
          <w:lang w:val="en-US" w:eastAsia="bg-BG"/>
        </w:rPr>
        <w:t xml:space="preserve"> </w:t>
      </w:r>
      <w:r w:rsidRPr="004D000B">
        <w:rPr>
          <w:rFonts w:eastAsia="Times New Roman" w:cs="Arial"/>
          <w:color w:val="000000"/>
          <w:szCs w:val="20"/>
          <w:lang w:eastAsia="bg-BG"/>
        </w:rPr>
        <w:t xml:space="preserve">- 7.10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височина 4.65 - 4.95 </w:t>
      </w:r>
      <w:r w:rsidRPr="004D000B">
        <w:rPr>
          <w:rFonts w:eastAsia="Times New Roman" w:cs="Arial"/>
          <w:color w:val="000000"/>
          <w:szCs w:val="20"/>
          <w:lang w:val="en-US"/>
        </w:rPr>
        <w:t>mm.</w:t>
      </w:r>
    </w:p>
    <w:p w14:paraId="7D287A22" w14:textId="1AB242DA"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158AA449" w14:textId="45671BB8"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Хиперхолестеролемия</w:t>
      </w:r>
    </w:p>
    <w:p w14:paraId="02CD3D5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Симвастатин е показан за лечение на първична хиперхолестеролемия или комбинирана дислипидемия в комбинация с диетични мерки, когато повлияването от спазване на диета или други нефармакологични мерки (напр. физическо натоварване или намаляване на теглото) е недостатъчно.</w:t>
      </w:r>
    </w:p>
    <w:p w14:paraId="03C8B226" w14:textId="77777777" w:rsidR="004D000B" w:rsidRPr="004D000B" w:rsidRDefault="004D000B" w:rsidP="004D000B">
      <w:pPr>
        <w:spacing w:line="240" w:lineRule="auto"/>
        <w:rPr>
          <w:rFonts w:eastAsia="Times New Roman" w:cs="Arial"/>
          <w:color w:val="000000"/>
          <w:szCs w:val="20"/>
          <w:lang w:eastAsia="bg-BG"/>
        </w:rPr>
      </w:pPr>
    </w:p>
    <w:p w14:paraId="16B61A21" w14:textId="121D295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Симвастатин е показан за лечение на хомозиготна фамилна хиперхолестеролемия (ХоФХ) като допълнение към диета и друго липидо-понижаващо лечение (напр. </w:t>
      </w:r>
      <w:r w:rsidRPr="004D000B">
        <w:rPr>
          <w:rFonts w:eastAsia="Times New Roman" w:cs="Arial"/>
          <w:color w:val="000000"/>
          <w:szCs w:val="20"/>
          <w:lang w:val="en-US"/>
        </w:rPr>
        <w:t xml:space="preserve">LDL- </w:t>
      </w:r>
      <w:r w:rsidRPr="004D000B">
        <w:rPr>
          <w:rFonts w:eastAsia="Times New Roman" w:cs="Arial"/>
          <w:color w:val="000000"/>
          <w:szCs w:val="20"/>
          <w:lang w:eastAsia="bg-BG"/>
        </w:rPr>
        <w:t>афереза) или ако такова лечение не е подходящо.</w:t>
      </w:r>
    </w:p>
    <w:p w14:paraId="4B979ADF" w14:textId="77777777" w:rsidR="004D000B" w:rsidRPr="004D000B" w:rsidRDefault="004D000B" w:rsidP="004D000B">
      <w:pPr>
        <w:spacing w:line="240" w:lineRule="auto"/>
        <w:rPr>
          <w:rFonts w:eastAsia="Times New Roman" w:cs="Arial"/>
          <w:color w:val="000000"/>
          <w:szCs w:val="20"/>
          <w:u w:val="single"/>
          <w:lang w:eastAsia="bg-BG"/>
        </w:rPr>
      </w:pPr>
    </w:p>
    <w:p w14:paraId="63152554" w14:textId="3CD4D26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Профилактика на сърдечно-съдови заболявания</w:t>
      </w:r>
    </w:p>
    <w:p w14:paraId="04B2E99C" w14:textId="3D45E0FB" w:rsidR="0091385D" w:rsidRPr="004D000B" w:rsidRDefault="004D000B" w:rsidP="004D000B">
      <w:pPr>
        <w:rPr>
          <w:rFonts w:cs="Arial"/>
          <w:sz w:val="24"/>
        </w:rPr>
      </w:pPr>
      <w:r w:rsidRPr="004D000B">
        <w:rPr>
          <w:rFonts w:eastAsia="Times New Roman" w:cs="Arial"/>
          <w:color w:val="000000"/>
          <w:szCs w:val="20"/>
          <w:lang w:eastAsia="bg-BG"/>
        </w:rPr>
        <w:t>Намаляване на сърдечно-съдовата заболеваемост и смъртност при пациенти с изявено атеросклеротично сърдечно-съдово заболяване или захарен диабет с нормални или повишени нива на холестерол, като допълнение към корекциятае на други рискови фактори и друга кардиопротективна терапия (вж. т.5.1.).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B95A16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Препоръчителна схема на дозиране</w:t>
      </w:r>
    </w:p>
    <w:p w14:paraId="465ECCA8"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Дозировката може да варира от 5- 80 </w:t>
      </w:r>
      <w:r w:rsidRPr="004D000B">
        <w:rPr>
          <w:rFonts w:eastAsia="Times New Roman" w:cs="Arial"/>
          <w:color w:val="000000"/>
          <w:szCs w:val="20"/>
          <w:lang w:val="en-US"/>
        </w:rPr>
        <w:t>mg</w:t>
      </w:r>
      <w:r w:rsidRPr="004D000B">
        <w:rPr>
          <w:rFonts w:eastAsia="Times New Roman" w:cs="Arial"/>
          <w:color w:val="000000"/>
          <w:szCs w:val="20"/>
          <w:lang w:eastAsia="bg-BG"/>
        </w:rPr>
        <w:t xml:space="preserve">/дневно симвастатин, приемани пероралнодсато еднократна доза вечер. Ако е необходимо адаптиране на дозата то трябва да се извършва на интервали не по-малки от 4 седмици до достигането на максималната еднократна доза от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приемана еднократно вечер. Дозата от </w:t>
      </w:r>
      <w:r w:rsidRPr="004D000B">
        <w:rPr>
          <w:rFonts w:eastAsia="Times New Roman" w:cs="Arial"/>
          <w:color w:val="000000"/>
          <w:szCs w:val="20"/>
          <w:lang w:val="en-US"/>
        </w:rPr>
        <w:t xml:space="preserve">80mg </w:t>
      </w:r>
      <w:r w:rsidRPr="004D000B">
        <w:rPr>
          <w:rFonts w:eastAsia="Times New Roman" w:cs="Arial"/>
          <w:color w:val="000000"/>
          <w:szCs w:val="20"/>
          <w:lang w:eastAsia="bg-BG"/>
        </w:rPr>
        <w:t>симвастатин се препоръчва само при пациенти с тежка хиперхолестеролемия и с висок риск от сърдечно-съдови усложнения, които не са постигнали резултат пр лечение с по-ниска доза и очакваните ползи от прилагане на по-високи дози надвишават потенциалните рискове (вижте точка 4.4 и 5.1).</w:t>
      </w:r>
    </w:p>
    <w:p w14:paraId="4939339A" w14:textId="77777777" w:rsidR="004D000B" w:rsidRPr="004D000B" w:rsidRDefault="004D000B" w:rsidP="004D000B">
      <w:pPr>
        <w:spacing w:line="240" w:lineRule="auto"/>
        <w:rPr>
          <w:rFonts w:eastAsia="Times New Roman" w:cs="Arial"/>
          <w:color w:val="000000"/>
          <w:szCs w:val="20"/>
          <w:u w:val="single"/>
          <w:lang w:eastAsia="bg-BG"/>
        </w:rPr>
      </w:pPr>
    </w:p>
    <w:p w14:paraId="3DDE1EC0" w14:textId="61E5D56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Хиперхолестеролемия</w:t>
      </w:r>
    </w:p>
    <w:p w14:paraId="0D4E7DC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Пациентът трябва да бъде поставен на стандартна холестерол-понижаваща диета, преди прилагането на симвастатин, и спазването на тази диета трябва да продължи и по време на лечението със Симвастатин. Обичайната начална доза е 10-20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която се приема като еднократна доза вечер. При пациенти, при които е необходимо голямо намаляване на </w:t>
      </w:r>
      <w:r w:rsidRPr="004D000B">
        <w:rPr>
          <w:rFonts w:eastAsia="Times New Roman" w:cs="Arial"/>
          <w:color w:val="000000"/>
          <w:szCs w:val="20"/>
          <w:lang w:val="en-US"/>
        </w:rPr>
        <w:t xml:space="preserve">LDL- </w:t>
      </w:r>
      <w:r w:rsidRPr="004D000B">
        <w:rPr>
          <w:rFonts w:eastAsia="Times New Roman" w:cs="Arial"/>
          <w:color w:val="000000"/>
          <w:szCs w:val="20"/>
          <w:lang w:eastAsia="bg-BG"/>
        </w:rPr>
        <w:t xml:space="preserve">холестерола (повече от 45 %) може да се започне с доза 20-40 </w:t>
      </w:r>
      <w:r w:rsidRPr="004D000B">
        <w:rPr>
          <w:rFonts w:eastAsia="Times New Roman" w:cs="Arial"/>
          <w:color w:val="000000"/>
          <w:szCs w:val="20"/>
          <w:lang w:val="en-US"/>
        </w:rPr>
        <w:t xml:space="preserve">mg </w:t>
      </w:r>
      <w:r w:rsidRPr="004D000B">
        <w:rPr>
          <w:rFonts w:eastAsia="Times New Roman" w:cs="Arial"/>
          <w:color w:val="000000"/>
          <w:szCs w:val="20"/>
          <w:lang w:eastAsia="bg-BG"/>
        </w:rPr>
        <w:lastRenderedPageBreak/>
        <w:t>дневно, която се приема като еднократна доза вечер. Ако се налагат корекции на дозата, трябва да се направят както е посочено по-горе.</w:t>
      </w:r>
    </w:p>
    <w:p w14:paraId="28BC7BCB" w14:textId="77777777" w:rsidR="004D000B" w:rsidRPr="004D000B" w:rsidRDefault="004D000B" w:rsidP="004D000B">
      <w:pPr>
        <w:spacing w:line="240" w:lineRule="auto"/>
        <w:rPr>
          <w:rFonts w:eastAsia="Times New Roman" w:cs="Arial"/>
          <w:color w:val="000000"/>
          <w:szCs w:val="20"/>
          <w:u w:val="single"/>
          <w:lang w:eastAsia="bg-BG"/>
        </w:rPr>
      </w:pPr>
    </w:p>
    <w:p w14:paraId="173CD0FB" w14:textId="000DB3EF"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Хомозиготна фамилна хиперхолестеролемия</w:t>
      </w:r>
    </w:p>
    <w:p w14:paraId="1329E6CE" w14:textId="6A70EB5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На базата на резултати от контролирано клинично проучване, препоръчителната начална доза при пациенти с хомозиготна фамилна хиперхолестеролемия е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вечер. Симвастатин трябва да се използва като допълнение към други липидопонижаващи терапии (напр. </w:t>
      </w:r>
      <w:r w:rsidRPr="004D000B">
        <w:rPr>
          <w:rFonts w:eastAsia="Times New Roman" w:cs="Arial"/>
          <w:color w:val="000000"/>
          <w:szCs w:val="20"/>
          <w:lang w:val="en-US"/>
        </w:rPr>
        <w:t xml:space="preserve">LDL </w:t>
      </w:r>
      <w:r w:rsidRPr="004D000B">
        <w:rPr>
          <w:rFonts w:eastAsia="Times New Roman" w:cs="Arial"/>
          <w:color w:val="000000"/>
          <w:szCs w:val="20"/>
          <w:lang w:eastAsia="bg-BG"/>
        </w:rPr>
        <w:t>афереза) при тези пациенти или ако такива терапии не са налични.</w:t>
      </w:r>
    </w:p>
    <w:p w14:paraId="106F2648" w14:textId="77777777" w:rsidR="004D000B" w:rsidRPr="004D000B" w:rsidRDefault="004D000B" w:rsidP="004D000B">
      <w:pPr>
        <w:spacing w:line="240" w:lineRule="auto"/>
        <w:rPr>
          <w:rFonts w:eastAsia="Times New Roman" w:cs="Arial"/>
          <w:color w:val="000000"/>
          <w:szCs w:val="20"/>
          <w:u w:val="single"/>
          <w:lang w:eastAsia="bg-BG"/>
        </w:rPr>
      </w:pPr>
    </w:p>
    <w:p w14:paraId="49883A76" w14:textId="327D6A98"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 xml:space="preserve">При пациенти, приемащи домитания едновременно със симвастатин. дозата на симвастатин не трябва да превишава 40 </w:t>
      </w:r>
      <w:r w:rsidRPr="004D000B">
        <w:rPr>
          <w:rFonts w:eastAsia="Times New Roman" w:cs="Arial"/>
          <w:color w:val="000000"/>
          <w:szCs w:val="20"/>
          <w:u w:val="single"/>
          <w:lang w:val="en-US"/>
        </w:rPr>
        <w:t xml:space="preserve">mg </w:t>
      </w:r>
      <w:r w:rsidRPr="004D000B">
        <w:rPr>
          <w:rFonts w:eastAsia="Times New Roman" w:cs="Arial"/>
          <w:color w:val="000000"/>
          <w:szCs w:val="20"/>
          <w:u w:val="single"/>
          <w:lang w:eastAsia="bg-BG"/>
        </w:rPr>
        <w:t>дневно (вж. точки 4.3,4.4 и 4.5).</w:t>
      </w:r>
    </w:p>
    <w:p w14:paraId="308F23D0" w14:textId="77777777" w:rsidR="004D000B" w:rsidRPr="004D000B" w:rsidRDefault="004D000B" w:rsidP="004D000B">
      <w:pPr>
        <w:spacing w:line="240" w:lineRule="auto"/>
        <w:rPr>
          <w:rFonts w:eastAsia="Times New Roman" w:cs="Arial"/>
          <w:color w:val="000000"/>
          <w:szCs w:val="20"/>
          <w:u w:val="single"/>
          <w:lang w:eastAsia="bg-BG"/>
        </w:rPr>
      </w:pPr>
    </w:p>
    <w:p w14:paraId="0A37A19A" w14:textId="22EB1B9D"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Профилактика на сърдечно-съдови заболявания</w:t>
      </w:r>
    </w:p>
    <w:p w14:paraId="42FDEFF3" w14:textId="77777777" w:rsidR="004D000B" w:rsidRPr="004D000B" w:rsidRDefault="004D000B" w:rsidP="004D000B">
      <w:pPr>
        <w:rPr>
          <w:rFonts w:eastAsia="Times New Roman" w:cs="Arial"/>
          <w:color w:val="000000"/>
          <w:szCs w:val="20"/>
          <w:lang w:eastAsia="bg-BG"/>
        </w:rPr>
      </w:pPr>
    </w:p>
    <w:p w14:paraId="475300EC" w14:textId="131C6290" w:rsidR="0091385D" w:rsidRPr="004D000B" w:rsidRDefault="004D000B" w:rsidP="004D000B">
      <w:pPr>
        <w:rPr>
          <w:rFonts w:cs="Arial"/>
          <w:sz w:val="24"/>
        </w:rPr>
      </w:pPr>
      <w:r w:rsidRPr="004D000B">
        <w:rPr>
          <w:rFonts w:eastAsia="Times New Roman" w:cs="Arial"/>
          <w:color w:val="000000"/>
          <w:szCs w:val="20"/>
          <w:lang w:eastAsia="bg-BG"/>
        </w:rPr>
        <w:t xml:space="preserve">Обичайната начална доза е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до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която се приема еднократно, вечер при пациенти с висок риск от коронарно сърдечно заболяване (КСЗ, с или без хиперлипидемия). Лекарствената терапия може да бъде започната едновременно с липидо-понижаваща диета и</w:t>
      </w:r>
      <w:r w:rsidRPr="004D000B">
        <w:rPr>
          <w:rFonts w:eastAsia="Times New Roman" w:cs="Arial"/>
          <w:i/>
          <w:iCs/>
          <w:color w:val="000000"/>
          <w:sz w:val="32"/>
          <w:szCs w:val="28"/>
          <w:lang w:eastAsia="bg-BG"/>
        </w:rPr>
        <w:t xml:space="preserve"> </w:t>
      </w:r>
      <w:r w:rsidRPr="004D000B">
        <w:rPr>
          <w:rFonts w:eastAsia="Times New Roman" w:cs="Arial"/>
          <w:color w:val="000000"/>
          <w:szCs w:val="20"/>
          <w:lang w:eastAsia="bg-BG"/>
        </w:rPr>
        <w:t>немедикаментозни мерки (напр. физически натоварвания). Ако е необходимо адаптиране на дозата то трябва да се извършва по описания по-горе начин.</w:t>
      </w:r>
    </w:p>
    <w:p w14:paraId="6ACAF645" w14:textId="0901BA55" w:rsidR="0091385D" w:rsidRPr="004D000B" w:rsidRDefault="0091385D" w:rsidP="0091385D">
      <w:pPr>
        <w:rPr>
          <w:rFonts w:cs="Arial"/>
          <w:sz w:val="24"/>
        </w:rPr>
      </w:pPr>
    </w:p>
    <w:p w14:paraId="34119C7B"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Придружаващо лечение</w:t>
      </w:r>
    </w:p>
    <w:p w14:paraId="22ACEEFB"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Симвастатин е ефективен самостоятелно или в комбинация със секвестранти на жлъчните киселини (колестирамин, колестипол) При едновременното лечение с холестерол-понижаващи медикаменти като колестирамин и колестипол, симвастатин трябва да се приема най-малко два часа преди или четири часа след приемането на тези лекарства, за да се избегне намаляване на абсорбцията на симвастатин.</w:t>
      </w:r>
    </w:p>
    <w:p w14:paraId="15B8810F" w14:textId="77777777" w:rsidR="004D000B" w:rsidRPr="004D000B" w:rsidRDefault="004D000B" w:rsidP="004D000B">
      <w:pPr>
        <w:spacing w:line="240" w:lineRule="auto"/>
        <w:rPr>
          <w:rFonts w:eastAsia="Times New Roman" w:cs="Arial"/>
          <w:color w:val="000000"/>
          <w:szCs w:val="20"/>
          <w:lang w:eastAsia="bg-BG"/>
        </w:rPr>
      </w:pPr>
    </w:p>
    <w:p w14:paraId="5F58D3EC" w14:textId="7F41ADE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При пациенти, приемащи циклоспорин, даназол, други фибрати (с изключение на гемфиброзил (вижте точка 4.3) или фенофибрат, едновременно със симвастатин, максималната препоръчвана доза е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 дневно.</w:t>
      </w:r>
    </w:p>
    <w:p w14:paraId="6DC6DC2C" w14:textId="4A677D60"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При пациенти приемащи едновременно амиодарон или верапамил или дилтиазем или продукти, съдържащи елбасвир или гразопревир, дозата на симвастатин не трябва да превишава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(виж т. 4.4. и 4.5.).</w:t>
      </w:r>
    </w:p>
    <w:p w14:paraId="0928DCC1" w14:textId="77777777" w:rsidR="004D000B" w:rsidRPr="004D000B" w:rsidRDefault="004D000B" w:rsidP="004D000B">
      <w:pPr>
        <w:spacing w:line="240" w:lineRule="auto"/>
        <w:rPr>
          <w:rFonts w:eastAsia="Times New Roman" w:cs="Arial"/>
          <w:color w:val="000000"/>
          <w:szCs w:val="20"/>
          <w:u w:val="single"/>
          <w:lang w:eastAsia="bg-BG"/>
        </w:rPr>
      </w:pPr>
    </w:p>
    <w:p w14:paraId="00F98338" w14:textId="4AD28443"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Бъбречно увреждане</w:t>
      </w:r>
    </w:p>
    <w:p w14:paraId="7F2B98F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Не е необходимо адаптиране на дозата при пациенти с умерено бъбречно увреждане. При пациенти с тежко бъбречно увреждане (креатининов клирънс по-нисък от 30 </w:t>
      </w:r>
      <w:r w:rsidRPr="004D000B">
        <w:rPr>
          <w:rFonts w:eastAsia="Times New Roman" w:cs="Arial"/>
          <w:color w:val="000000"/>
          <w:szCs w:val="20"/>
          <w:lang w:val="en-US"/>
        </w:rPr>
        <w:t xml:space="preserve">ml/min) </w:t>
      </w:r>
      <w:r w:rsidRPr="004D000B">
        <w:rPr>
          <w:rFonts w:eastAsia="Times New Roman" w:cs="Arial"/>
          <w:color w:val="000000"/>
          <w:szCs w:val="20"/>
          <w:lang w:eastAsia="bg-BG"/>
        </w:rPr>
        <w:t xml:space="preserve">дози, превишаващи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трябва внимателно да бъдат обсъдени и ако се приеме, че са необходими, да бъдат прилагани с голямо внимание.</w:t>
      </w:r>
    </w:p>
    <w:p w14:paraId="0311540F" w14:textId="77777777" w:rsidR="004D000B" w:rsidRPr="004D000B" w:rsidRDefault="004D000B" w:rsidP="004D000B">
      <w:pPr>
        <w:spacing w:line="240" w:lineRule="auto"/>
        <w:rPr>
          <w:rFonts w:eastAsia="Times New Roman" w:cs="Arial"/>
          <w:color w:val="000000"/>
          <w:szCs w:val="20"/>
          <w:u w:val="single"/>
          <w:lang w:eastAsia="bg-BG"/>
        </w:rPr>
      </w:pPr>
    </w:p>
    <w:p w14:paraId="469725BA" w14:textId="71FC9C9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Старческа възраст</w:t>
      </w:r>
    </w:p>
    <w:p w14:paraId="2F8F1D39"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Не е необходимо адаптиране на дозата.</w:t>
      </w:r>
    </w:p>
    <w:p w14:paraId="07200215" w14:textId="77777777" w:rsidR="004D000B" w:rsidRPr="004D000B" w:rsidRDefault="004D000B" w:rsidP="004D000B">
      <w:pPr>
        <w:spacing w:line="240" w:lineRule="auto"/>
        <w:rPr>
          <w:rFonts w:eastAsia="Times New Roman" w:cs="Arial"/>
          <w:color w:val="000000"/>
          <w:szCs w:val="20"/>
          <w:u w:val="single"/>
          <w:lang w:eastAsia="bg-BG"/>
        </w:rPr>
      </w:pPr>
    </w:p>
    <w:p w14:paraId="2060E694" w14:textId="075947B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Педиатрична популация</w:t>
      </w:r>
    </w:p>
    <w:p w14:paraId="407A918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При деца юноши (момчета - II и по-горен стадий по скалата на Танер, момичета - една година поне след настъпване на менструален цикъл, възраст между 10-17 години) с хетерозиготна фамилна хиперхолестеролемия, препоръчваната дневна доза е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веднъж дневно, приемана вечер.</w:t>
      </w:r>
    </w:p>
    <w:p w14:paraId="392EF3F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lastRenderedPageBreak/>
        <w:t>Децата и юношите трябва да бъдат подложени на стандартна, бедна на холестерол диета преди започване на лечението със симвастатин и тази диета да бъде спазване по време на лечението със симвастатин.</w:t>
      </w:r>
    </w:p>
    <w:p w14:paraId="59521C7A"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Препоръчителна доза е 10-40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максимална доза - 40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Дозата се определя индивидуално, за всеки пациент, в зависимост от целта на лечението и съгласно препоръките за лечение на педиатрични пациенти със симвастатин (вижте точка 4.4 и т.5.1).</w:t>
      </w:r>
    </w:p>
    <w:p w14:paraId="3E1B54A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Промяната на дозировката може да става на интервали от 4 седмици или по-дълги.</w:t>
      </w:r>
    </w:p>
    <w:p w14:paraId="398C6151"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Опитът със симвастатин при деца (под 10 години) е ограничен.</w:t>
      </w:r>
    </w:p>
    <w:p w14:paraId="0DA829D3" w14:textId="77777777" w:rsidR="004D000B" w:rsidRPr="004D000B" w:rsidRDefault="004D000B" w:rsidP="004D000B">
      <w:pPr>
        <w:spacing w:line="240" w:lineRule="auto"/>
        <w:rPr>
          <w:rFonts w:eastAsia="Times New Roman" w:cs="Arial"/>
          <w:color w:val="000000"/>
          <w:szCs w:val="20"/>
          <w:u w:val="single"/>
          <w:lang w:eastAsia="bg-BG"/>
        </w:rPr>
      </w:pPr>
    </w:p>
    <w:p w14:paraId="597E2C8D" w14:textId="435ACE46" w:rsidR="004D000B" w:rsidRPr="004D000B" w:rsidRDefault="004D000B" w:rsidP="004D000B">
      <w:pPr>
        <w:pStyle w:val="Heading3"/>
        <w:rPr>
          <w:rFonts w:eastAsia="Times New Roman"/>
          <w:sz w:val="28"/>
          <w:u w:val="single"/>
          <w:lang w:eastAsia="bg-BG"/>
        </w:rPr>
      </w:pPr>
      <w:r w:rsidRPr="004D000B">
        <w:rPr>
          <w:rFonts w:eastAsia="Times New Roman"/>
          <w:u w:val="single"/>
          <w:lang w:eastAsia="bg-BG"/>
        </w:rPr>
        <w:t>Начин на приложение</w:t>
      </w:r>
    </w:p>
    <w:p w14:paraId="2256122B" w14:textId="58800C0A" w:rsidR="004D000B" w:rsidRPr="004D000B" w:rsidRDefault="004D000B" w:rsidP="004D000B">
      <w:pPr>
        <w:rPr>
          <w:rFonts w:cs="Arial"/>
          <w:sz w:val="24"/>
        </w:rPr>
      </w:pPr>
      <w:r w:rsidRPr="004D000B">
        <w:rPr>
          <w:rFonts w:eastAsia="Times New Roman" w:cs="Arial"/>
          <w:color w:val="000000"/>
          <w:szCs w:val="20"/>
          <w:lang w:eastAsia="bg-BG"/>
        </w:rPr>
        <w:t>Перорално приложение</w:t>
      </w:r>
    </w:p>
    <w:p w14:paraId="3807DC41" w14:textId="77777777" w:rsidR="004D000B" w:rsidRPr="0091385D" w:rsidRDefault="004D000B"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74DDFB24"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682DA2F8"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Активно чернодробно заболяване или неизяснено персистиращо повишение на серумните трансаминази;</w:t>
      </w:r>
    </w:p>
    <w:p w14:paraId="2C88A558"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Бременност и кърмене (виж т. 4.6. Бременност и кърмене);</w:t>
      </w:r>
    </w:p>
    <w:p w14:paraId="64FFC52C"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 xml:space="preserve">Едновременна употреба на силни </w:t>
      </w:r>
      <w:r w:rsidRPr="004D000B">
        <w:rPr>
          <w:rFonts w:eastAsia="Times New Roman" w:cs="Arial"/>
          <w:color w:val="000000"/>
          <w:szCs w:val="20"/>
          <w:lang w:val="en-US"/>
        </w:rPr>
        <w:t xml:space="preserve">CYP3A4 </w:t>
      </w:r>
      <w:r w:rsidRPr="004D000B">
        <w:rPr>
          <w:rFonts w:eastAsia="Times New Roman" w:cs="Arial"/>
          <w:color w:val="000000"/>
          <w:szCs w:val="20"/>
          <w:lang w:eastAsia="bg-BG"/>
        </w:rPr>
        <w:t xml:space="preserve">инхибитори (лекарствени продукти, които повишават </w:t>
      </w:r>
      <w:r w:rsidRPr="004D000B">
        <w:rPr>
          <w:rFonts w:eastAsia="Times New Roman" w:cs="Arial"/>
          <w:color w:val="000000"/>
          <w:szCs w:val="20"/>
          <w:lang w:val="en-US"/>
        </w:rPr>
        <w:t xml:space="preserve">AUC </w:t>
      </w:r>
      <w:r w:rsidRPr="004D000B">
        <w:rPr>
          <w:rFonts w:eastAsia="Times New Roman" w:cs="Arial"/>
          <w:color w:val="000000"/>
          <w:szCs w:val="20"/>
          <w:lang w:eastAsia="bg-BG"/>
        </w:rPr>
        <w:t xml:space="preserve">приблизително 5 пъти или повече) (напр. итраконазол, кетоконазол, посаконазол, вориконазол, </w:t>
      </w:r>
      <w:r w:rsidRPr="004D000B">
        <w:rPr>
          <w:rFonts w:eastAsia="Times New Roman" w:cs="Arial"/>
          <w:color w:val="000000"/>
          <w:szCs w:val="20"/>
          <w:lang w:val="en-US"/>
        </w:rPr>
        <w:t>HIV-</w:t>
      </w:r>
      <w:r w:rsidRPr="004D000B">
        <w:rPr>
          <w:rFonts w:eastAsia="Times New Roman" w:cs="Arial"/>
          <w:color w:val="000000"/>
          <w:szCs w:val="20"/>
          <w:lang w:eastAsia="bg-BG"/>
        </w:rPr>
        <w:t>протеазни инхибитори (напр. нелфинавир),</w:t>
      </w:r>
      <w:r w:rsidRPr="004D000B">
        <w:rPr>
          <w:rFonts w:eastAsia="Times New Roman" w:cs="Arial"/>
          <w:color w:val="000000"/>
          <w:szCs w:val="20"/>
          <w:lang w:val="en-US"/>
        </w:rPr>
        <w:t xml:space="preserve"> </w:t>
      </w:r>
      <w:r w:rsidRPr="004D000B">
        <w:rPr>
          <w:rFonts w:eastAsia="Times New Roman" w:cs="Arial"/>
          <w:color w:val="000000"/>
          <w:szCs w:val="20"/>
          <w:lang w:eastAsia="bg-BG"/>
        </w:rPr>
        <w:t>боцепревир, телапревир, еритромицин,кларитромицин, телитромицин и нефазодон и лекарствени продукти, съдържащи кобицистат) (вижте т.4.4 и 4.5);</w:t>
      </w:r>
    </w:p>
    <w:p w14:paraId="793631AE"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Едновременно приложение на гемфиброзил, циклоспорин или даназол (вж. точки 4.4 и</w:t>
      </w:r>
      <w:r>
        <w:rPr>
          <w:rFonts w:eastAsia="Times New Roman" w:cs="Arial"/>
          <w:color w:val="000000"/>
          <w:szCs w:val="20"/>
          <w:lang w:eastAsia="bg-BG"/>
        </w:rPr>
        <w:t xml:space="preserve"> </w:t>
      </w:r>
      <w:r w:rsidRPr="004D000B">
        <w:rPr>
          <w:rFonts w:eastAsia="Times New Roman" w:cs="Arial"/>
          <w:color w:val="000000"/>
          <w:szCs w:val="20"/>
          <w:lang w:eastAsia="bg-BG"/>
        </w:rPr>
        <w:t>4.5)</w:t>
      </w:r>
    </w:p>
    <w:p w14:paraId="2309EAB0" w14:textId="39C7C520" w:rsidR="0091385D" w:rsidRP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 xml:space="preserve">Едновременно приложение на ломитапис със симвастатин в дози &gt;40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при пациенти с</w:t>
      </w:r>
      <w:r>
        <w:rPr>
          <w:rFonts w:eastAsia="Times New Roman" w:cs="Arial"/>
          <w:color w:val="000000"/>
          <w:szCs w:val="20"/>
          <w:lang w:eastAsia="bg-BG"/>
        </w:rPr>
        <w:t xml:space="preserve"> </w:t>
      </w:r>
      <w:r w:rsidRPr="004D000B">
        <w:rPr>
          <w:rFonts w:eastAsia="Times New Roman" w:cs="Arial"/>
          <w:color w:val="000000"/>
          <w:szCs w:val="20"/>
          <w:lang w:eastAsia="bg-BG"/>
        </w:rPr>
        <w:t>ХоФХ (вж. точки 4.2,4.4 и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4D500B5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Миопоатия/Рабдомиолиза</w:t>
      </w:r>
    </w:p>
    <w:p w14:paraId="12CEEC4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Симвастатин, подобно на други инхибитори на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 xml:space="preserve">редуктазата понякога причинява миопатия проявяваща се с мускулна болка, болезненост или слабост, свързани с повишаване нивата на креатин фосфокиназата повече от 10 пъти над горната допустима граница на нормата. Миопатията понякога се превръща в рабдомиолиза с или без остра бъбречна недостатъчност водеща до миоглобинурия и много рядко до фатален изход. Рискът от възникване на миопатия нараства с увеличаване на нивата на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редуктазна инхибиторна активност в плазмата (като повишени плазмени нива на симвастатин и симвастатинова киселина), които може да се дължат отчасти на взаимодействащи лекарствени продукти, които повлияват метаболизма и/или транспортните пътища на симвастатин (вж. точка 4.5).</w:t>
      </w:r>
    </w:p>
    <w:p w14:paraId="1B02C09E" w14:textId="77777777" w:rsidR="004D000B" w:rsidRPr="004D000B" w:rsidRDefault="004D000B" w:rsidP="004D000B">
      <w:pPr>
        <w:spacing w:line="240" w:lineRule="auto"/>
        <w:rPr>
          <w:rFonts w:eastAsia="Times New Roman" w:cs="Arial"/>
          <w:color w:val="000000"/>
          <w:szCs w:val="20"/>
          <w:lang w:eastAsia="bg-BG"/>
        </w:rPr>
      </w:pPr>
    </w:p>
    <w:p w14:paraId="274C49EC" w14:textId="1169984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Както и при други инхибитори на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 xml:space="preserve">редуктазата, рискът от миопатия/рабдомиолиза показва зависимост от дозата. В база данни от клинично изпитване, в което 41413 пациенти са лекувани със симвастатин, 24 747 (приблизително 60 %) от тях са включени в проучвания с медиана на проследяването от поне 4 години, </w:t>
      </w:r>
      <w:r w:rsidRPr="004D000B">
        <w:rPr>
          <w:rFonts w:eastAsia="Times New Roman" w:cs="Arial"/>
          <w:color w:val="000000"/>
          <w:szCs w:val="20"/>
          <w:lang w:eastAsia="bg-BG"/>
        </w:rPr>
        <w:lastRenderedPageBreak/>
        <w:t xml:space="preserve">честотата на миопатия е приблизително 0,03 %, 0,08 % и 0,61 % за дозите от 20,40 и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съответно. В тези клинични изпитвания пациентите са внимателно проследявани и някои лекарствени продукти, участващи в лекарствени взаимодействия, са изключени.</w:t>
      </w:r>
    </w:p>
    <w:p w14:paraId="209FB09D" w14:textId="77777777" w:rsidR="004D000B" w:rsidRPr="004D000B" w:rsidRDefault="004D000B" w:rsidP="004D000B">
      <w:pPr>
        <w:spacing w:line="240" w:lineRule="auto"/>
        <w:rPr>
          <w:rFonts w:eastAsia="Times New Roman" w:cs="Arial"/>
          <w:color w:val="000000"/>
          <w:szCs w:val="20"/>
          <w:lang w:eastAsia="bg-BG"/>
        </w:rPr>
      </w:pPr>
    </w:p>
    <w:p w14:paraId="34BCB78E" w14:textId="1D56A90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 клинично изпитване, в което пациенти с анамнеза за инфаркт на миокарда са лекувани със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(медиана на проследяването 6,7 години), честотата на миопатия е приблизително 1,0 %, сравнено с 0,02 % при пациентите на лечение с доза от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Приблизително половината от тези случаи на миопатия са настъпили през първата година от лечението. Честотата на развитие на миопатия през всяка следваща година от лечението е приблизително 0,1% (вж. точки 4.8 и 5.1).При пациенти на лечение със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рискът от миопатия е по-висок, отколкото при пациенти на лечение с други статини със сходна ефикасност по отношение на понижаването на </w:t>
      </w:r>
      <w:r w:rsidRPr="004D000B">
        <w:rPr>
          <w:rFonts w:eastAsia="Times New Roman" w:cs="Arial"/>
          <w:color w:val="000000"/>
          <w:szCs w:val="20"/>
          <w:lang w:val="en-US"/>
        </w:rPr>
        <w:t xml:space="preserve">LDL-C. </w:t>
      </w:r>
      <w:r w:rsidRPr="004D000B">
        <w:rPr>
          <w:rFonts w:eastAsia="Times New Roman" w:cs="Arial"/>
          <w:color w:val="000000"/>
          <w:szCs w:val="20"/>
          <w:lang w:eastAsia="bg-BG"/>
        </w:rPr>
        <w:t xml:space="preserve">Следователно дозата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трябва да се използва само при пациенти с висок риск от сърдечно-съдови усложнения, при които с по-ниски дози не са постигнати терапевтичните цели и в случай, че очакваната полза надвишава потенциалните рискове. При пациенти, приемащи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при които се налага прием и на лекарствен продукт, участващ в лекарствени взаимодействия, трябва да се използва по-ниска доза на симвастатин или алтернативно лечение с друг статин, който е с по-нисък потенциал за лекарствени взаимодействия (вж. по-долу: точки 4.2,4.3 и 4.5).</w:t>
      </w:r>
    </w:p>
    <w:p w14:paraId="5F482C99" w14:textId="77777777" w:rsidR="004D000B" w:rsidRPr="004D000B" w:rsidRDefault="004D000B" w:rsidP="004D000B">
      <w:pPr>
        <w:spacing w:line="240" w:lineRule="auto"/>
        <w:rPr>
          <w:rFonts w:eastAsia="Times New Roman" w:cs="Arial"/>
          <w:color w:val="000000"/>
          <w:szCs w:val="20"/>
          <w:lang w:eastAsia="bg-BG"/>
        </w:rPr>
      </w:pPr>
    </w:p>
    <w:p w14:paraId="46DA8DBD" w14:textId="53A4406B"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3730C557" w14:textId="77777777" w:rsidR="004D000B" w:rsidRPr="004D000B" w:rsidRDefault="004D000B" w:rsidP="004D000B">
      <w:pPr>
        <w:spacing w:line="240" w:lineRule="auto"/>
        <w:rPr>
          <w:rFonts w:eastAsia="Times New Roman" w:cs="Arial"/>
          <w:color w:val="000000"/>
          <w:szCs w:val="20"/>
          <w:lang w:eastAsia="bg-BG"/>
        </w:rPr>
      </w:pPr>
    </w:p>
    <w:p w14:paraId="497C6C9E" w14:textId="6EE3E0B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 клинично изпитване, при което пациенти с висок риск от сърдечно-съдово заболяване са лекувани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(медиана на проследяването 3,9 години), честотата на миопатия е приблизително 0,05% при некитайци (</w:t>
      </w:r>
      <w:r w:rsidRPr="004D000B">
        <w:rPr>
          <w:rFonts w:eastAsia="Times New Roman" w:cs="Arial"/>
          <w:color w:val="000000"/>
          <w:szCs w:val="20"/>
          <w:lang w:val="en-US"/>
        </w:rPr>
        <w:t>n</w:t>
      </w:r>
      <w:r w:rsidRPr="004D000B">
        <w:rPr>
          <w:rFonts w:eastAsia="Times New Roman" w:cs="Arial"/>
          <w:color w:val="000000"/>
          <w:szCs w:val="20"/>
          <w:lang w:eastAsia="bg-BG"/>
        </w:rPr>
        <w:t>=7 367), сравнено с 0,24% при китайци (</w:t>
      </w:r>
      <w:r w:rsidRPr="004D000B">
        <w:rPr>
          <w:rFonts w:eastAsia="Times New Roman" w:cs="Arial"/>
          <w:color w:val="000000"/>
          <w:szCs w:val="20"/>
          <w:lang w:val="en-US"/>
        </w:rPr>
        <w:t>n</w:t>
      </w:r>
      <w:r w:rsidRPr="004D000B">
        <w:rPr>
          <w:rFonts w:eastAsia="Times New Roman" w:cs="Arial"/>
          <w:color w:val="000000"/>
          <w:szCs w:val="20"/>
          <w:lang w:eastAsia="bg-BG"/>
        </w:rPr>
        <w:t>=5 468). Тъй като в това клинично изпитване от азиатското население са оценени само китайци, при предписване на симвастатин на пациенти от Азия трябва да се подхожда с повишено внимание и да се употребява най-ниската доза, ако е необходимо.</w:t>
      </w:r>
    </w:p>
    <w:p w14:paraId="1CE1CBDD" w14:textId="77777777" w:rsidR="004D000B" w:rsidRPr="004D000B" w:rsidRDefault="004D000B" w:rsidP="004D000B">
      <w:pPr>
        <w:spacing w:line="240" w:lineRule="auto"/>
        <w:rPr>
          <w:rFonts w:eastAsia="Times New Roman" w:cs="Arial"/>
          <w:color w:val="000000"/>
          <w:szCs w:val="20"/>
          <w:u w:val="single"/>
          <w:lang w:eastAsia="bg-BG"/>
        </w:rPr>
      </w:pPr>
    </w:p>
    <w:p w14:paraId="455FC4E3" w14:textId="650F73F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Понижена функция на транспортните белтъци</w:t>
      </w:r>
    </w:p>
    <w:p w14:paraId="0B3BEE35" w14:textId="42FBF8A1" w:rsidR="0091385D"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Понижена функция на чернодробните транспортни протеини като</w:t>
      </w:r>
      <w:r w:rsidRPr="004D000B">
        <w:rPr>
          <w:rFonts w:eastAsia="Times New Roman" w:cs="Arial"/>
          <w:color w:val="000000"/>
          <w:szCs w:val="20"/>
          <w:lang w:val="en-US"/>
        </w:rPr>
        <w:t xml:space="preserve"> </w:t>
      </w:r>
      <w:r w:rsidRPr="004D000B">
        <w:rPr>
          <w:rFonts w:eastAsia="Times New Roman" w:cs="Arial"/>
          <w:color w:val="000000"/>
          <w:szCs w:val="20"/>
          <w:lang w:eastAsia="bg-BG"/>
        </w:rPr>
        <w:t xml:space="preserve">органичния анйонен транспортиращ полипептид </w:t>
      </w:r>
      <w:r w:rsidRPr="004D000B">
        <w:rPr>
          <w:rFonts w:eastAsia="Times New Roman" w:cs="Arial"/>
          <w:color w:val="000000"/>
          <w:szCs w:val="20"/>
          <w:lang w:val="en-US"/>
        </w:rPr>
        <w:t xml:space="preserve">(OATPs) </w:t>
      </w:r>
      <w:r w:rsidRPr="004D000B">
        <w:rPr>
          <w:rFonts w:eastAsia="Times New Roman" w:cs="Arial"/>
          <w:color w:val="000000"/>
          <w:szCs w:val="20"/>
          <w:lang w:eastAsia="bg-BG"/>
        </w:rPr>
        <w:t>може да повиши системната експозиция на симвастатин и</w:t>
      </w:r>
      <w:r>
        <w:rPr>
          <w:rFonts w:eastAsia="Times New Roman" w:cs="Arial"/>
          <w:sz w:val="28"/>
          <w:szCs w:val="24"/>
          <w:lang w:eastAsia="bg-BG"/>
        </w:rPr>
        <w:t xml:space="preserve"> </w:t>
      </w:r>
      <w:r w:rsidRPr="004D000B">
        <w:rPr>
          <w:rFonts w:eastAsia="Times New Roman" w:cs="Arial"/>
          <w:color w:val="000000"/>
          <w:szCs w:val="20"/>
          <w:lang w:eastAsia="bg-BG"/>
        </w:rPr>
        <w:t>увеличи риска от миопатия и рабдомиолиза. Намалената функция на симвастатин може да настъпи в резултат на инхибиране от взаимодействащи лекарства (например циклоспорин)</w:t>
      </w:r>
      <w:r w:rsidRPr="004D000B">
        <w:rPr>
          <w:rFonts w:eastAsia="Times New Roman" w:cs="Arial"/>
          <w:color w:val="000000"/>
          <w:szCs w:val="20"/>
          <w:lang w:val="en-US"/>
        </w:rPr>
        <w:t xml:space="preserve"> </w:t>
      </w:r>
      <w:r w:rsidRPr="004D000B">
        <w:rPr>
          <w:rFonts w:eastAsia="Times New Roman" w:cs="Arial"/>
          <w:color w:val="000000"/>
          <w:szCs w:val="20"/>
          <w:lang w:eastAsia="bg-BG"/>
        </w:rPr>
        <w:t xml:space="preserve">или при пациенти, които са носители на генотип </w:t>
      </w:r>
      <w:r w:rsidRPr="004D000B">
        <w:rPr>
          <w:rFonts w:eastAsia="Times New Roman" w:cs="Arial"/>
          <w:color w:val="000000"/>
          <w:szCs w:val="20"/>
          <w:lang w:val="en-US"/>
        </w:rPr>
        <w:t>SLCO1</w:t>
      </w:r>
      <w:r w:rsidRPr="004D000B">
        <w:rPr>
          <w:rFonts w:eastAsia="Times New Roman" w:cs="Arial"/>
          <w:color w:val="000000"/>
          <w:szCs w:val="20"/>
          <w:lang w:eastAsia="bg-BG"/>
        </w:rPr>
        <w:t>В1 с..521Т &gt; С.</w:t>
      </w:r>
    </w:p>
    <w:p w14:paraId="24E3E82F" w14:textId="2947318E" w:rsidR="0091385D" w:rsidRPr="004D000B" w:rsidRDefault="0091385D" w:rsidP="0091385D">
      <w:pPr>
        <w:rPr>
          <w:rFonts w:cs="Arial"/>
          <w:sz w:val="24"/>
        </w:rPr>
      </w:pPr>
    </w:p>
    <w:p w14:paraId="66F5403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Пациентите, носещи </w:t>
      </w:r>
      <w:r w:rsidRPr="004D000B">
        <w:rPr>
          <w:rFonts w:eastAsia="Times New Roman" w:cs="Arial"/>
          <w:color w:val="000000"/>
          <w:szCs w:val="20"/>
          <w:lang w:val="en-US"/>
        </w:rPr>
        <w:t xml:space="preserve">SLCO1B1 </w:t>
      </w:r>
      <w:r w:rsidRPr="004D000B">
        <w:rPr>
          <w:rFonts w:eastAsia="Times New Roman" w:cs="Arial"/>
          <w:color w:val="000000"/>
          <w:szCs w:val="20"/>
          <w:lang w:eastAsia="bg-BG"/>
        </w:rPr>
        <w:t xml:space="preserve">алел (с.521Т&gt; С), кодиращ по-слабо активния протеин ОАТР1В1 имат повишена системна експозиция на симвастатин и повишен риск от миопатия. Рискът от висока доза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симвастатин и свързана с това миопатия е около 1% като цяло, без генетични тестове. Въз основа на резултатите от проучването </w:t>
      </w:r>
      <w:r w:rsidRPr="004D000B">
        <w:rPr>
          <w:rFonts w:eastAsia="Times New Roman" w:cs="Arial"/>
          <w:color w:val="000000"/>
          <w:szCs w:val="20"/>
          <w:lang w:val="en-US"/>
        </w:rPr>
        <w:t xml:space="preserve">SEARCH, </w:t>
      </w:r>
      <w:r w:rsidRPr="004D000B">
        <w:rPr>
          <w:rFonts w:eastAsia="Times New Roman" w:cs="Arial"/>
          <w:color w:val="000000"/>
          <w:szCs w:val="20"/>
          <w:lang w:eastAsia="bg-BG"/>
        </w:rPr>
        <w:t xml:space="preserve">хомозиготни носители на С алел (наричан също СС), лекувани с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имат риск 15% от развитие на миопатия в рамките на една година, а рискът при хетерозиготни носители на С алел </w:t>
      </w:r>
      <w:r w:rsidRPr="004D000B">
        <w:rPr>
          <w:rFonts w:eastAsia="Times New Roman" w:cs="Arial"/>
          <w:color w:val="000000"/>
          <w:szCs w:val="20"/>
          <w:lang w:val="en-US"/>
        </w:rPr>
        <w:t xml:space="preserve">(CT) </w:t>
      </w:r>
      <w:r w:rsidRPr="004D000B">
        <w:rPr>
          <w:rFonts w:eastAsia="Times New Roman" w:cs="Arial"/>
          <w:color w:val="000000"/>
          <w:szCs w:val="20"/>
          <w:lang w:eastAsia="bg-BG"/>
        </w:rPr>
        <w:t xml:space="preserve">е 1.5%. Съответното рискът е 0.3% при пациенти, които имат най-честия генотип (ТТ) (виж точка 5.2). Където е възможно, генотипа за наличие на алел С трябва да се разглежда като част от оценката на съотношението полза-риск преди </w:t>
      </w:r>
      <w:r w:rsidRPr="004D000B">
        <w:rPr>
          <w:rFonts w:eastAsia="Times New Roman" w:cs="Arial"/>
          <w:color w:val="000000"/>
          <w:szCs w:val="20"/>
          <w:lang w:eastAsia="bg-BG"/>
        </w:rPr>
        <w:lastRenderedPageBreak/>
        <w:t xml:space="preserve">предписване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 за отделните пациенти и високи дози се избягват при тези, при които е налице СС генотип. Въпреки това, липсата на този ген при генотнпизиране не изключва миопатия.</w:t>
      </w:r>
    </w:p>
    <w:p w14:paraId="4CAFE4E9" w14:textId="77777777" w:rsidR="004D000B" w:rsidRPr="004D000B" w:rsidRDefault="004D000B" w:rsidP="004D000B">
      <w:pPr>
        <w:spacing w:line="240" w:lineRule="auto"/>
        <w:rPr>
          <w:rFonts w:eastAsia="Times New Roman" w:cs="Arial"/>
          <w:color w:val="000000"/>
          <w:szCs w:val="20"/>
          <w:u w:val="single"/>
          <w:lang w:eastAsia="bg-BG"/>
        </w:rPr>
      </w:pPr>
    </w:p>
    <w:p w14:paraId="69AE84A8" w14:textId="2DE531AF"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Измерване на креатинкиназа</w:t>
      </w:r>
    </w:p>
    <w:p w14:paraId="6723FDB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Измерването на ензима креатинкиназа не трябва да се извършва непосредствено след тежки физически натоварвания или при наличие на други причини, повишаващи нивата на креатинкиназата, т.к. това ще затрудни правилното интерпретиране на получените стойности. Ако изходните стойности на СК са значително повишени (&gt; 5 пъти ГТН), определянето на стойностите следва да бъде повторено в рамките на 5 до 7 дни по-късно за потвърждение на получените резултати.</w:t>
      </w:r>
    </w:p>
    <w:p w14:paraId="7A15B59D" w14:textId="77777777" w:rsidR="004D000B" w:rsidRPr="004D000B" w:rsidRDefault="004D000B" w:rsidP="004D000B">
      <w:pPr>
        <w:spacing w:line="240" w:lineRule="auto"/>
        <w:rPr>
          <w:rFonts w:eastAsia="Times New Roman" w:cs="Arial"/>
          <w:i/>
          <w:iCs/>
          <w:color w:val="000000"/>
          <w:szCs w:val="20"/>
          <w:u w:val="single"/>
          <w:lang w:eastAsia="bg-BG"/>
        </w:rPr>
      </w:pPr>
    </w:p>
    <w:p w14:paraId="6AC949C4" w14:textId="68A76D37" w:rsidR="004D000B" w:rsidRPr="004D000B" w:rsidRDefault="004D000B" w:rsidP="004D000B">
      <w:pPr>
        <w:spacing w:line="240" w:lineRule="auto"/>
        <w:rPr>
          <w:rFonts w:eastAsia="Times New Roman" w:cs="Arial"/>
          <w:sz w:val="28"/>
          <w:szCs w:val="24"/>
          <w:lang w:eastAsia="bg-BG"/>
        </w:rPr>
      </w:pPr>
      <w:r w:rsidRPr="004D000B">
        <w:rPr>
          <w:rFonts w:eastAsia="Times New Roman" w:cs="Arial"/>
          <w:i/>
          <w:iCs/>
          <w:color w:val="000000"/>
          <w:szCs w:val="20"/>
          <w:u w:val="single"/>
          <w:lang w:eastAsia="bg-BG"/>
        </w:rPr>
        <w:t>Преди началото на лечението</w:t>
      </w:r>
    </w:p>
    <w:p w14:paraId="471FE0C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Всички пациенти започващи лечение със симвастатин, или пациенти, при които се повишава дозата на симвастатин, трябва да бъдат предупреждавани за риска от миопатия и съветвани да информират веднага лекуващия лекар в случай на необяснима мускулна чувствителност, болезненост или слабост.</w:t>
      </w:r>
    </w:p>
    <w:p w14:paraId="2D0041B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Особено внимание трябва да се обърне на пациентите с предразполагащи фактори за рабдомиолиза. С оглед установяване на референтната базисна стойност на креатинкиназата, стойностите й трябва да се измерват преди началото на лечението при следните случаи:</w:t>
      </w:r>
    </w:p>
    <w:p w14:paraId="7CD4658E"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пациенти в старческа възраст (&gt; 65 години)</w:t>
      </w:r>
    </w:p>
    <w:p w14:paraId="7F04F6C3"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жени</w:t>
      </w:r>
    </w:p>
    <w:p w14:paraId="3ECE2A37"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бъбречна недостатъчност</w:t>
      </w:r>
    </w:p>
    <w:p w14:paraId="0FBD5C66"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неконтролиран хипотиреоидизъм</w:t>
      </w:r>
    </w:p>
    <w:p w14:paraId="412730D1"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лична или фамилна анамнеза за наследствени мускулни заболявания</w:t>
      </w:r>
    </w:p>
    <w:p w14:paraId="7EEF10D5"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проявявана в миналото мускулна токсичност към статини или фибрата</w:t>
      </w:r>
    </w:p>
    <w:p w14:paraId="523E97D3" w14:textId="02D34AF3"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злоупотреба с алкохол</w:t>
      </w:r>
    </w:p>
    <w:p w14:paraId="46536D5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При такива ситуации трябва да се прецени съотношението очаквана полза/възможен риск, като се препоръчва клинично наблюдение.</w:t>
      </w:r>
    </w:p>
    <w:p w14:paraId="09968DD5"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При пациенти имали вече мускулни смущения по време на лечение с фибрат или статини, лечението с друго лекарство от същия клас трябва да се започва с особено внимание.</w:t>
      </w:r>
    </w:p>
    <w:p w14:paraId="6FCBD514"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Ако стойностите на креатинкиназата са увеличени значително (&gt; </w:t>
      </w:r>
      <w:r w:rsidRPr="004D000B">
        <w:rPr>
          <w:rFonts w:eastAsia="Times New Roman" w:cs="Arial"/>
          <w:color w:val="000000"/>
          <w:szCs w:val="20"/>
          <w:lang w:val="en-US"/>
        </w:rPr>
        <w:t xml:space="preserve">5xULN) </w:t>
      </w:r>
      <w:r w:rsidRPr="004D000B">
        <w:rPr>
          <w:rFonts w:eastAsia="Times New Roman" w:cs="Arial"/>
          <w:color w:val="000000"/>
          <w:szCs w:val="20"/>
          <w:lang w:eastAsia="bg-BG"/>
        </w:rPr>
        <w:t>над базовите стойности, лечението не трябва да се започва.</w:t>
      </w:r>
    </w:p>
    <w:p w14:paraId="20E0BC60" w14:textId="77777777" w:rsidR="004D000B" w:rsidRPr="004D000B" w:rsidRDefault="004D000B" w:rsidP="004D000B">
      <w:pPr>
        <w:spacing w:line="240" w:lineRule="auto"/>
        <w:rPr>
          <w:rFonts w:eastAsia="Times New Roman" w:cs="Arial"/>
          <w:i/>
          <w:iCs/>
          <w:color w:val="000000"/>
          <w:szCs w:val="20"/>
          <w:u w:val="single"/>
          <w:lang w:eastAsia="bg-BG"/>
        </w:rPr>
      </w:pPr>
    </w:p>
    <w:p w14:paraId="79BA6303" w14:textId="137C4145" w:rsidR="004D000B" w:rsidRPr="004D000B" w:rsidRDefault="004D000B" w:rsidP="004D000B">
      <w:pPr>
        <w:spacing w:line="240" w:lineRule="auto"/>
        <w:rPr>
          <w:rFonts w:eastAsia="Times New Roman" w:cs="Arial"/>
          <w:sz w:val="28"/>
          <w:szCs w:val="24"/>
          <w:lang w:eastAsia="bg-BG"/>
        </w:rPr>
      </w:pPr>
      <w:r w:rsidRPr="004D000B">
        <w:rPr>
          <w:rFonts w:eastAsia="Times New Roman" w:cs="Arial"/>
          <w:i/>
          <w:iCs/>
          <w:color w:val="000000"/>
          <w:szCs w:val="20"/>
          <w:u w:val="single"/>
          <w:lang w:eastAsia="bg-BG"/>
        </w:rPr>
        <w:t>По време на лечението</w:t>
      </w:r>
    </w:p>
    <w:p w14:paraId="7E7568F1"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Ако по време на лечението се появят мускулни болки, мускулна слабост или спазми, трябва да се измерят стойностите на креатинин киназата. Ако стойностите са значително увеличени в отсъствието на тежки физически натоварвания </w:t>
      </w:r>
      <w:r w:rsidRPr="004D000B">
        <w:rPr>
          <w:rFonts w:eastAsia="Times New Roman" w:cs="Arial"/>
          <w:color w:val="000000"/>
          <w:szCs w:val="20"/>
          <w:lang w:val="en-US"/>
        </w:rPr>
        <w:t xml:space="preserve">(&gt;5xULN), </w:t>
      </w:r>
      <w:r w:rsidRPr="004D000B">
        <w:rPr>
          <w:rFonts w:eastAsia="Times New Roman" w:cs="Arial"/>
          <w:color w:val="000000"/>
          <w:szCs w:val="20"/>
          <w:lang w:eastAsia="bg-BG"/>
        </w:rPr>
        <w:t>лечението трябва да се преустанови .Ако се подозира по някаква причина миопатия, лечението трябва да се прекрати.</w:t>
      </w:r>
    </w:p>
    <w:p w14:paraId="551B4D95" w14:textId="77777777" w:rsidR="004D000B" w:rsidRPr="004D000B" w:rsidRDefault="004D000B" w:rsidP="004D000B">
      <w:pPr>
        <w:spacing w:line="240" w:lineRule="auto"/>
        <w:rPr>
          <w:rFonts w:eastAsia="Times New Roman" w:cs="Arial"/>
          <w:color w:val="000000"/>
          <w:szCs w:val="20"/>
          <w:lang w:eastAsia="bg-BG"/>
        </w:rPr>
      </w:pPr>
    </w:p>
    <w:p w14:paraId="2B44E91B" w14:textId="1F837F20"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Има много редки доклади за имуномедиирана некротизираща миопатия (ИМНМ), която клинично се характеризира с персистираща проксимална-мускулна слабост и повишена креатинкиназа по време на лечението или след спиране на статаните, включително симвастатин. Клинично ИМНМ</w:t>
      </w:r>
      <w:r>
        <w:rPr>
          <w:rFonts w:eastAsia="Times New Roman" w:cs="Arial"/>
          <w:sz w:val="28"/>
          <w:szCs w:val="24"/>
          <w:lang w:eastAsia="bg-BG"/>
        </w:rPr>
        <w:t xml:space="preserve"> </w:t>
      </w:r>
      <w:r w:rsidRPr="004D000B">
        <w:rPr>
          <w:rFonts w:eastAsia="Times New Roman" w:cs="Arial"/>
          <w:color w:val="000000"/>
          <w:szCs w:val="20"/>
          <w:lang w:eastAsia="bg-BG"/>
        </w:rPr>
        <w:t>се характеризира с персистираща проксимална мускулна слабост и повишени серумни нива на</w:t>
      </w:r>
      <w:r>
        <w:rPr>
          <w:rFonts w:eastAsia="Times New Roman" w:cs="Arial"/>
          <w:sz w:val="28"/>
          <w:szCs w:val="24"/>
          <w:lang w:eastAsia="bg-BG"/>
        </w:rPr>
        <w:t xml:space="preserve"> </w:t>
      </w:r>
      <w:r w:rsidRPr="004D000B">
        <w:rPr>
          <w:rFonts w:eastAsia="Times New Roman" w:cs="Arial"/>
          <w:color w:val="000000"/>
          <w:szCs w:val="20"/>
          <w:lang w:eastAsia="bg-BG"/>
        </w:rPr>
        <w:t>креатин киназата, които персистират въпреки прекратяването на лечението със статин (вж. точка 4.8).</w:t>
      </w:r>
    </w:p>
    <w:p w14:paraId="21C5DB39" w14:textId="12B0B2E3" w:rsidR="004D000B" w:rsidRDefault="004D000B" w:rsidP="0091385D"/>
    <w:p w14:paraId="3BDD5153" w14:textId="77777777" w:rsidR="004D000B" w:rsidRPr="004D000B" w:rsidRDefault="004D000B" w:rsidP="004D000B">
      <w:pPr>
        <w:rPr>
          <w:rFonts w:cs="Arial"/>
          <w:sz w:val="24"/>
        </w:rPr>
      </w:pPr>
      <w:r w:rsidRPr="004D000B">
        <w:rPr>
          <w:rFonts w:cs="Arial"/>
          <w:szCs w:val="20"/>
        </w:rPr>
        <w:lastRenderedPageBreak/>
        <w:t>Ако симптомите отшумят и нивата на СК се възстановят до нормалните, възможно е да се обсъди повторно лечение с този или алтернативен статин при най-ниска доза и строго мониториране.</w:t>
      </w:r>
    </w:p>
    <w:p w14:paraId="383CE2D6" w14:textId="77777777" w:rsidR="004D000B" w:rsidRPr="004D000B" w:rsidRDefault="004D000B" w:rsidP="004D000B">
      <w:pPr>
        <w:rPr>
          <w:rFonts w:cs="Arial"/>
          <w:szCs w:val="20"/>
        </w:rPr>
      </w:pPr>
    </w:p>
    <w:p w14:paraId="3485B412" w14:textId="22307673" w:rsidR="004D000B" w:rsidRPr="004D000B" w:rsidRDefault="004D000B" w:rsidP="004D000B">
      <w:pPr>
        <w:rPr>
          <w:rFonts w:cs="Arial"/>
          <w:sz w:val="24"/>
        </w:rPr>
      </w:pPr>
      <w:r w:rsidRPr="004D000B">
        <w:rPr>
          <w:rFonts w:cs="Arial"/>
          <w:szCs w:val="20"/>
        </w:rPr>
        <w:t xml:space="preserve">Ако мускулните симптоми са тежки и причиняват ежедневен дискомфорт, дори и ако стойностите на креатинкиназата са под </w:t>
      </w:r>
      <w:r w:rsidRPr="004D000B">
        <w:rPr>
          <w:rFonts w:cs="Arial"/>
          <w:szCs w:val="20"/>
          <w:lang w:val="en-US"/>
        </w:rPr>
        <w:t xml:space="preserve">5xULN, </w:t>
      </w:r>
      <w:r w:rsidRPr="004D000B">
        <w:rPr>
          <w:rFonts w:cs="Arial"/>
          <w:szCs w:val="20"/>
        </w:rPr>
        <w:t>може да се вземе решение за преустановяване на лечението. Ако се подозира или диагностицира наличието на миопатия лечението със симвастатин трябва да се преустанови. Ако симптомите изчезнат и стойностите на креатинкиназата се върнат до нормалните, лечението със симвастатин или алтернативен статин може да се поднови с най- ниската доза и при щателен контрол.</w:t>
      </w:r>
    </w:p>
    <w:p w14:paraId="0859E4FE" w14:textId="77777777" w:rsidR="004D000B" w:rsidRPr="004D000B" w:rsidRDefault="004D000B" w:rsidP="004D000B">
      <w:pPr>
        <w:rPr>
          <w:rFonts w:cs="Arial"/>
          <w:sz w:val="24"/>
        </w:rPr>
      </w:pPr>
      <w:r w:rsidRPr="004D000B">
        <w:rPr>
          <w:rFonts w:cs="Arial"/>
          <w:szCs w:val="20"/>
        </w:rPr>
        <w:t>Лечението със симвастатин, трябва да бъде временно спряно няколко дни преди големи планови операции и при настъпване на някакво съществено остро хирургично или друго медицинско състояние.</w:t>
      </w:r>
    </w:p>
    <w:p w14:paraId="008C51F3" w14:textId="77777777" w:rsidR="004D000B" w:rsidRPr="004D000B" w:rsidRDefault="004D000B" w:rsidP="004D000B">
      <w:pPr>
        <w:rPr>
          <w:rFonts w:cs="Arial"/>
          <w:szCs w:val="20"/>
          <w:u w:val="single"/>
        </w:rPr>
      </w:pPr>
    </w:p>
    <w:p w14:paraId="7BB29E90" w14:textId="3DDDC99D" w:rsidR="004D000B" w:rsidRPr="004D000B" w:rsidRDefault="004D000B" w:rsidP="004D000B">
      <w:pPr>
        <w:rPr>
          <w:rFonts w:cs="Arial"/>
          <w:sz w:val="24"/>
        </w:rPr>
      </w:pPr>
      <w:r w:rsidRPr="004D000B">
        <w:rPr>
          <w:rFonts w:cs="Arial"/>
          <w:szCs w:val="20"/>
          <w:u w:val="single"/>
        </w:rPr>
        <w:t>Мерки за намаляване рискът от миопатия причинен от лекарствени взаимодействия (вж. също т.4.5)</w:t>
      </w:r>
    </w:p>
    <w:p w14:paraId="0E7A06A8" w14:textId="77777777" w:rsidR="004D000B" w:rsidRPr="004D000B" w:rsidRDefault="004D000B" w:rsidP="004D000B">
      <w:pPr>
        <w:rPr>
          <w:rFonts w:cs="Arial"/>
          <w:sz w:val="24"/>
        </w:rPr>
      </w:pPr>
      <w:r w:rsidRPr="004D000B">
        <w:rPr>
          <w:rFonts w:cs="Arial"/>
          <w:szCs w:val="20"/>
        </w:rPr>
        <w:t xml:space="preserve">Рискът от миопатия и рабдомиолиза е значително повишен, когато симвастатин се прилага едновременно с мощни инхибитори на </w:t>
      </w:r>
      <w:r w:rsidRPr="004D000B">
        <w:rPr>
          <w:rFonts w:cs="Arial"/>
          <w:szCs w:val="20"/>
          <w:lang w:val="en-US"/>
        </w:rPr>
        <w:t xml:space="preserve">CYP3A4 </w:t>
      </w:r>
      <w:r w:rsidRPr="004D000B">
        <w:rPr>
          <w:rFonts w:cs="Arial"/>
          <w:szCs w:val="20"/>
        </w:rPr>
        <w:t xml:space="preserve">(като итраконазол, кетоконазол, позаконазол, вориконазол, еритромицин, кларитромицин, телитромицин, </w:t>
      </w:r>
      <w:r w:rsidRPr="004D000B">
        <w:rPr>
          <w:rFonts w:cs="Arial"/>
          <w:szCs w:val="20"/>
          <w:lang w:val="en-US"/>
        </w:rPr>
        <w:t>HIV</w:t>
      </w:r>
      <w:r w:rsidRPr="004D000B">
        <w:rPr>
          <w:rFonts w:cs="Arial"/>
          <w:szCs w:val="20"/>
        </w:rPr>
        <w:t>-протеазни инхибитори (напр. нелфинавир), боцепревир, телапревир, нефазодон, лекарствени продукти, съдържащи кобицистат), какго и гемфиброзил, циклоспорин и даназол. Употребата на тези лекарствени продукти е противопоказана (вж. точка 4.3).</w:t>
      </w:r>
    </w:p>
    <w:p w14:paraId="7A5E16BF" w14:textId="593E3437" w:rsidR="004D000B" w:rsidRPr="004D000B" w:rsidRDefault="004D000B" w:rsidP="004D000B">
      <w:pPr>
        <w:rPr>
          <w:rFonts w:cs="Arial"/>
          <w:szCs w:val="20"/>
        </w:rPr>
      </w:pPr>
      <w:r w:rsidRPr="004D000B">
        <w:rPr>
          <w:rFonts w:cs="Arial"/>
          <w:szCs w:val="20"/>
        </w:rPr>
        <w:t>Рискът от миопатия и рабдомиолиза също нараства при едновременна употреба на амиодарон, амлодипин, вераламил или дилтиазем с определени дози симвастатин (вж. точки 4.2 и 4.5). Рискът от миопатия, включително рабдомиолиза, може да се увеличи при едновременно лечение с фузидова киселина и статини (вж. точка 4.5). При пациенти с ХоФХ, рискът може да се повиши при едновременната употреба на ломитапид със симвастатин.</w:t>
      </w:r>
    </w:p>
    <w:p w14:paraId="5CAB8245" w14:textId="77777777" w:rsidR="004D000B" w:rsidRPr="004D000B" w:rsidRDefault="004D000B" w:rsidP="004D000B">
      <w:pPr>
        <w:rPr>
          <w:rFonts w:cs="Arial"/>
          <w:szCs w:val="20"/>
        </w:rPr>
      </w:pPr>
    </w:p>
    <w:p w14:paraId="069B94AD" w14:textId="4265F66D" w:rsidR="004D000B" w:rsidRPr="004D000B" w:rsidRDefault="004D000B" w:rsidP="004D000B">
      <w:pPr>
        <w:rPr>
          <w:rFonts w:cs="Arial"/>
          <w:sz w:val="24"/>
        </w:rPr>
      </w:pPr>
      <w:r w:rsidRPr="004D000B">
        <w:rPr>
          <w:rFonts w:cs="Arial"/>
          <w:szCs w:val="20"/>
        </w:rPr>
        <w:t xml:space="preserve">Следователно относно </w:t>
      </w:r>
      <w:r w:rsidRPr="004D000B">
        <w:rPr>
          <w:rFonts w:cs="Arial"/>
          <w:szCs w:val="20"/>
          <w:lang w:val="en-US"/>
        </w:rPr>
        <w:t>CYP3</w:t>
      </w:r>
      <w:r w:rsidRPr="004D000B">
        <w:rPr>
          <w:rFonts w:cs="Arial"/>
          <w:szCs w:val="20"/>
        </w:rPr>
        <w:t xml:space="preserve">А4 инхибиторите, употребата на симвастатин едновременно с итраконазол, кетоконазол, позаконазол, вориконазол, </w:t>
      </w:r>
      <w:r w:rsidRPr="004D000B">
        <w:rPr>
          <w:rFonts w:cs="Arial"/>
          <w:szCs w:val="20"/>
          <w:lang w:val="en-US"/>
        </w:rPr>
        <w:t>HIV</w:t>
      </w:r>
      <w:r w:rsidRPr="004D000B">
        <w:rPr>
          <w:rFonts w:cs="Arial"/>
          <w:szCs w:val="20"/>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противопоказана (вж. точки 4.3 и 4.5). Ако лечението с мощни </w:t>
      </w:r>
      <w:r w:rsidRPr="004D000B">
        <w:rPr>
          <w:rFonts w:cs="Arial"/>
          <w:szCs w:val="20"/>
          <w:lang w:val="en-US"/>
        </w:rPr>
        <w:t xml:space="preserve">CYP3A4 </w:t>
      </w:r>
      <w:r w:rsidRPr="004D000B">
        <w:rPr>
          <w:rFonts w:cs="Arial"/>
          <w:szCs w:val="20"/>
        </w:rPr>
        <w:t xml:space="preserve">инхибитори (средства, които повишават площта под кривата </w:t>
      </w:r>
      <w:r w:rsidRPr="004D000B">
        <w:rPr>
          <w:rFonts w:cs="Arial"/>
          <w:szCs w:val="20"/>
          <w:lang w:val="en-US"/>
        </w:rPr>
        <w:t xml:space="preserve">(AUC) </w:t>
      </w:r>
      <w:r w:rsidRPr="004D000B">
        <w:rPr>
          <w:rFonts w:cs="Arial"/>
          <w:szCs w:val="20"/>
        </w:rPr>
        <w:t xml:space="preserve">приблизително 5 пъти или повече) не може да се избегне, лечението със симвастатин трябва да се спре (и да се обмисли употребата на алтернативен статии), докато продължава приемът на тези лекарствени продукти. Освен това трябва да се внимава, когато се комбинира симвастатин с други, не толкова мощни инхибитори на </w:t>
      </w:r>
      <w:r w:rsidRPr="004D000B">
        <w:rPr>
          <w:rFonts w:cs="Arial"/>
          <w:szCs w:val="20"/>
          <w:lang w:val="en-US"/>
        </w:rPr>
        <w:t>CYP3</w:t>
      </w:r>
      <w:r w:rsidRPr="004D000B">
        <w:rPr>
          <w:rFonts w:cs="Arial"/>
          <w:szCs w:val="20"/>
        </w:rPr>
        <w:t>А4 като флуконазол, вераламил, дилтиазем (вж. точки 4.2 и 4.5). Едновременният прием на симвастатин и сок от грейпфрут трябва да се избягва.</w:t>
      </w:r>
    </w:p>
    <w:p w14:paraId="4786A81A" w14:textId="77777777" w:rsidR="004D000B" w:rsidRPr="004D000B" w:rsidRDefault="004D000B" w:rsidP="004D000B">
      <w:pPr>
        <w:rPr>
          <w:rFonts w:cs="Arial"/>
          <w:szCs w:val="20"/>
        </w:rPr>
      </w:pPr>
    </w:p>
    <w:p w14:paraId="19A36AEB" w14:textId="3AB186A1" w:rsidR="004D000B" w:rsidRPr="004D000B" w:rsidRDefault="004D000B" w:rsidP="004D000B">
      <w:pPr>
        <w:rPr>
          <w:rFonts w:cs="Arial"/>
          <w:sz w:val="24"/>
        </w:rPr>
      </w:pPr>
      <w:r w:rsidRPr="004D000B">
        <w:rPr>
          <w:rFonts w:cs="Arial"/>
          <w:szCs w:val="20"/>
        </w:rPr>
        <w:t>Едновременното приложение на симвастатин с гемфиброзил трябва да се избягва, освен ако се очаква ползата да превишава риска от комбинираната употреба на тези лекарства.</w:t>
      </w:r>
    </w:p>
    <w:p w14:paraId="2D498A72" w14:textId="77777777" w:rsidR="004D000B" w:rsidRPr="004D000B" w:rsidRDefault="004D000B" w:rsidP="004D000B">
      <w:pPr>
        <w:rPr>
          <w:rFonts w:cs="Arial"/>
          <w:sz w:val="24"/>
        </w:rPr>
      </w:pPr>
      <w:r w:rsidRPr="004D000B">
        <w:rPr>
          <w:rFonts w:cs="Arial"/>
          <w:szCs w:val="20"/>
        </w:rPr>
        <w:t xml:space="preserve">Ползата от комбинираното прилагане на симвастатин 10 </w:t>
      </w:r>
      <w:r w:rsidRPr="004D000B">
        <w:rPr>
          <w:rFonts w:cs="Arial"/>
          <w:szCs w:val="20"/>
          <w:lang w:val="en-US"/>
        </w:rPr>
        <w:t>mg</w:t>
      </w:r>
      <w:r w:rsidRPr="004D000B">
        <w:rPr>
          <w:rFonts w:cs="Arial"/>
          <w:szCs w:val="20"/>
        </w:rPr>
        <w:t>/дневно с други фибрати (с изключение на фенофибрат), ниацин или циклоспорин трябва да бъде внимателно преценена по отношение на потенциалния риск от използването на тези комбинации (вж. т. 4.2. и т. 4.5.).</w:t>
      </w:r>
    </w:p>
    <w:p w14:paraId="7950FF6B" w14:textId="77777777" w:rsidR="004D000B" w:rsidRPr="004D000B" w:rsidRDefault="004D000B" w:rsidP="004D000B">
      <w:pPr>
        <w:rPr>
          <w:rFonts w:cs="Arial"/>
          <w:sz w:val="24"/>
        </w:rPr>
      </w:pPr>
      <w:r w:rsidRPr="004D000B">
        <w:rPr>
          <w:rFonts w:cs="Arial"/>
          <w:szCs w:val="20"/>
        </w:rPr>
        <w:lastRenderedPageBreak/>
        <w:t>Трябва да се обърне внимание при предписване на фенофибрат едновременно със симвастатин, т.к всеки от двата лекарствени продукта може да доведе до миопатия и при самостоятелното им приложение.</w:t>
      </w:r>
    </w:p>
    <w:p w14:paraId="58AD7D27" w14:textId="77777777" w:rsidR="004D000B" w:rsidRPr="004D000B" w:rsidRDefault="004D000B" w:rsidP="004D000B">
      <w:pPr>
        <w:rPr>
          <w:rFonts w:cs="Arial"/>
          <w:szCs w:val="20"/>
        </w:rPr>
      </w:pPr>
    </w:p>
    <w:p w14:paraId="4C4D9687" w14:textId="77777777" w:rsidR="004D000B" w:rsidRPr="004D000B" w:rsidRDefault="004D000B" w:rsidP="004D000B">
      <w:pPr>
        <w:rPr>
          <w:rFonts w:eastAsia="Times New Roman" w:cs="Arial"/>
          <w:sz w:val="28"/>
          <w:szCs w:val="24"/>
          <w:lang w:eastAsia="bg-BG"/>
        </w:rPr>
      </w:pPr>
      <w:r w:rsidRPr="004D000B">
        <w:rPr>
          <w:rFonts w:cs="Arial"/>
          <w:szCs w:val="20"/>
        </w:rPr>
        <w:t>Симвастатин не трябва да се приема едновременно с фузидова киселина за системна употреба или в рамките на 7 дни от прекратяване на лечението с фузидова киселина. При пациенти, при които системната употреба на фузидова киселина е считана за крайно необходима, лечението със статин трябва да бъде преустановено по време на лечението с фузидова киселина. Налице са съобщения</w:t>
      </w:r>
      <w:r w:rsidRPr="004D000B">
        <w:rPr>
          <w:rFonts w:cs="Arial"/>
          <w:sz w:val="24"/>
        </w:rPr>
        <w:t xml:space="preserve"> </w:t>
      </w:r>
      <w:r w:rsidRPr="004D000B">
        <w:rPr>
          <w:rFonts w:cs="Arial"/>
          <w:szCs w:val="20"/>
        </w:rPr>
        <w:t xml:space="preserve">за рабдомиолиза (включително и смъртни случаи) при пациенти, приемащи фузидова киселина и  статини в комбинация (вж. точка 4.5).Пациентите трябва да бъдат предупредени да потърсят незабавно лекарска помощ ако получат симптоми на мускулна слабост, болка или чувствителност </w:t>
      </w:r>
      <w:r w:rsidRPr="004D000B">
        <w:rPr>
          <w:rFonts w:eastAsia="Times New Roman" w:cs="Arial"/>
          <w:color w:val="000000"/>
          <w:szCs w:val="20"/>
          <w:lang w:eastAsia="bg-BG"/>
        </w:rPr>
        <w:t>на мускулите. Лечението със статини може да бъде отново възстановено седем дни след последната приложена доза фузидова киселина.При изключителни обстоятелства, където се налага продължителна системна употреба на фузидова киселина, напр. при лечение на тежки инфекции, необходимостта от едновременната употреба на симвастатин и фузидова киселина трябва да бъде обмислена на индивидуална основа и само под внимателен лекарски контрол.</w:t>
      </w:r>
    </w:p>
    <w:p w14:paraId="65846D83" w14:textId="77777777" w:rsidR="004D000B" w:rsidRPr="004D000B" w:rsidRDefault="004D000B" w:rsidP="004D000B">
      <w:pPr>
        <w:spacing w:line="240" w:lineRule="auto"/>
        <w:rPr>
          <w:rFonts w:eastAsia="Times New Roman" w:cs="Arial"/>
          <w:color w:val="000000"/>
          <w:szCs w:val="20"/>
          <w:lang w:eastAsia="bg-BG"/>
        </w:rPr>
      </w:pPr>
    </w:p>
    <w:p w14:paraId="57948E29" w14:textId="7666EC4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Трябва да се избягва приемът на симвастатин в дози по-високи от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с амиодарон, амлодипин,вераламил, или дилтиазем (вижте точка 4.2 и 4.5). </w:t>
      </w:r>
      <w:r w:rsidRPr="004D000B">
        <w:rPr>
          <w:rFonts w:eastAsia="Times New Roman" w:cs="Arial"/>
          <w:color w:val="000000"/>
          <w:szCs w:val="20"/>
          <w:u w:val="single"/>
          <w:lang w:eastAsia="bg-BG"/>
        </w:rPr>
        <w:t xml:space="preserve">При пациенти, приемащи ломитапид едновременно със симвастатин. дозата на симвастатин не трябва да превишава 40 </w:t>
      </w:r>
      <w:r w:rsidRPr="004D000B">
        <w:rPr>
          <w:rFonts w:eastAsia="Times New Roman" w:cs="Arial"/>
          <w:color w:val="000000"/>
          <w:szCs w:val="20"/>
          <w:u w:val="single"/>
          <w:lang w:val="en-US"/>
        </w:rPr>
        <w:t xml:space="preserve">mg </w:t>
      </w:r>
      <w:r w:rsidRPr="004D000B">
        <w:rPr>
          <w:rFonts w:eastAsia="Times New Roman" w:cs="Arial"/>
          <w:color w:val="000000"/>
          <w:szCs w:val="20"/>
          <w:u w:val="single"/>
          <w:lang w:eastAsia="bg-BG"/>
        </w:rPr>
        <w:t>дневно (вж, точки 4.2.43 и 4,5).</w:t>
      </w:r>
    </w:p>
    <w:p w14:paraId="157907CF" w14:textId="77777777" w:rsidR="004D000B" w:rsidRPr="004D000B" w:rsidRDefault="004D000B" w:rsidP="004D000B">
      <w:pPr>
        <w:spacing w:line="240" w:lineRule="auto"/>
        <w:rPr>
          <w:rFonts w:eastAsia="Times New Roman" w:cs="Arial"/>
          <w:color w:val="000000"/>
          <w:szCs w:val="20"/>
          <w:lang w:eastAsia="bg-BG"/>
        </w:rPr>
      </w:pPr>
    </w:p>
    <w:p w14:paraId="791EA1EB" w14:textId="246A1A20"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Пациентите, приемащи едновременно със симвастатин други лекарствени продукти, определяни като умерено мощни инхибитори на </w:t>
      </w:r>
      <w:r w:rsidRPr="004D000B">
        <w:rPr>
          <w:rFonts w:eastAsia="Times New Roman" w:cs="Arial"/>
          <w:color w:val="000000"/>
          <w:szCs w:val="20"/>
          <w:lang w:val="en-US"/>
        </w:rPr>
        <w:t xml:space="preserve">CYP3A4, </w:t>
      </w:r>
      <w:r w:rsidRPr="004D000B">
        <w:rPr>
          <w:rFonts w:eastAsia="Times New Roman" w:cs="Arial"/>
          <w:color w:val="000000"/>
          <w:szCs w:val="20"/>
          <w:lang w:eastAsia="bg-BG"/>
        </w:rPr>
        <w:t xml:space="preserve">особено във високи дози симвастатин, може да са с повишен риск от миопатия. Може да се наложи коригиране на дозата на симвастатин при едновременно приложение на симвастатин с умерено мощни инхибитори на </w:t>
      </w:r>
      <w:r w:rsidRPr="004D000B">
        <w:rPr>
          <w:rFonts w:eastAsia="Times New Roman" w:cs="Arial"/>
          <w:color w:val="000000"/>
          <w:szCs w:val="20"/>
          <w:lang w:val="en-US"/>
        </w:rPr>
        <w:t xml:space="preserve">CYP3A4 </w:t>
      </w:r>
      <w:r w:rsidRPr="004D000B">
        <w:rPr>
          <w:rFonts w:eastAsia="Times New Roman" w:cs="Arial"/>
          <w:color w:val="000000"/>
          <w:szCs w:val="20"/>
          <w:lang w:eastAsia="bg-BG"/>
        </w:rPr>
        <w:t xml:space="preserve">(агенти, увеличаващи </w:t>
      </w:r>
      <w:r w:rsidRPr="004D000B">
        <w:rPr>
          <w:rFonts w:eastAsia="Times New Roman" w:cs="Arial"/>
          <w:color w:val="000000"/>
          <w:szCs w:val="20"/>
          <w:lang w:val="en-US"/>
        </w:rPr>
        <w:t xml:space="preserve">AUC </w:t>
      </w:r>
      <w:r w:rsidRPr="004D000B">
        <w:rPr>
          <w:rFonts w:eastAsia="Times New Roman" w:cs="Arial"/>
          <w:color w:val="000000"/>
          <w:szCs w:val="20"/>
          <w:lang w:eastAsia="bg-BG"/>
        </w:rPr>
        <w:t xml:space="preserve">приблизително 2-5 пъти). За някои определени умерени инхибитори на </w:t>
      </w:r>
      <w:r w:rsidRPr="004D000B">
        <w:rPr>
          <w:rFonts w:eastAsia="Times New Roman" w:cs="Arial"/>
          <w:color w:val="000000"/>
          <w:szCs w:val="20"/>
          <w:lang w:val="en-US"/>
        </w:rPr>
        <w:t>CYP3</w:t>
      </w:r>
      <w:r w:rsidRPr="004D000B">
        <w:rPr>
          <w:rFonts w:eastAsia="Times New Roman" w:cs="Arial"/>
          <w:color w:val="000000"/>
          <w:szCs w:val="20"/>
          <w:lang w:eastAsia="bg-BG"/>
        </w:rPr>
        <w:t xml:space="preserve">А4 като дилтиазем, максималната препоръчителна доза на симвастатин е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(вж. точка 4.2).</w:t>
      </w:r>
    </w:p>
    <w:p w14:paraId="65876128" w14:textId="77777777" w:rsidR="004D000B" w:rsidRPr="004D000B" w:rsidRDefault="004D000B" w:rsidP="004D000B">
      <w:pPr>
        <w:spacing w:line="240" w:lineRule="auto"/>
        <w:rPr>
          <w:rFonts w:eastAsia="Times New Roman" w:cs="Arial"/>
          <w:color w:val="000000"/>
          <w:szCs w:val="20"/>
          <w:lang w:eastAsia="bg-BG"/>
        </w:rPr>
      </w:pPr>
    </w:p>
    <w:p w14:paraId="2736AB36" w14:textId="5F2D3CE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Симвастатин е субстрат на ефлуксния транспортер на протеина на резистентност на рака на гърдата </w:t>
      </w:r>
      <w:r w:rsidRPr="004D000B">
        <w:rPr>
          <w:rFonts w:eastAsia="Times New Roman" w:cs="Arial"/>
          <w:color w:val="000000"/>
          <w:szCs w:val="20"/>
          <w:lang w:val="en-US"/>
        </w:rPr>
        <w:t xml:space="preserve">(Breast Cancer Resistant Protein, BCRP). </w:t>
      </w:r>
      <w:r w:rsidRPr="004D000B">
        <w:rPr>
          <w:rFonts w:eastAsia="Times New Roman" w:cs="Arial"/>
          <w:color w:val="000000"/>
          <w:szCs w:val="20"/>
          <w:lang w:eastAsia="bg-BG"/>
        </w:rPr>
        <w:t xml:space="preserve">Едновременно приложение на продукти, които са инхибитори на </w:t>
      </w:r>
      <w:r w:rsidRPr="004D000B">
        <w:rPr>
          <w:rFonts w:eastAsia="Times New Roman" w:cs="Arial"/>
          <w:color w:val="000000"/>
          <w:szCs w:val="20"/>
          <w:lang w:val="en-US"/>
        </w:rPr>
        <w:t xml:space="preserve">BCRP </w:t>
      </w:r>
      <w:r w:rsidRPr="004D000B">
        <w:rPr>
          <w:rFonts w:eastAsia="Times New Roman" w:cs="Arial"/>
          <w:color w:val="000000"/>
          <w:szCs w:val="20"/>
          <w:lang w:eastAsia="bg-BG"/>
        </w:rPr>
        <w:t xml:space="preserve">(напр. елбасвир и гразопревир), може да доведе до повишени плазмени концентрации на симвастатин и повишен риск от миопатия; следователно трябва да се обмисли коригиране на дозата симвастатин в зависимост от предписаната доза. Едновременното приложение на елбасвир и гразопревир със симвастатин не е проучено; все пак дозата на </w:t>
      </w:r>
      <w:r w:rsidRPr="004D000B">
        <w:rPr>
          <w:rFonts w:eastAsia="Times New Roman" w:cs="Arial"/>
          <w:b/>
          <w:bCs/>
          <w:color w:val="000000"/>
          <w:szCs w:val="20"/>
          <w:lang w:eastAsia="bg-BG"/>
        </w:rPr>
        <w:t xml:space="preserve">симвастатин не трябва да надвишава 20 </w:t>
      </w:r>
      <w:r w:rsidRPr="004D000B">
        <w:rPr>
          <w:rFonts w:eastAsia="Times New Roman" w:cs="Arial"/>
          <w:b/>
          <w:bCs/>
          <w:color w:val="000000"/>
          <w:szCs w:val="20"/>
          <w:lang w:val="en-US"/>
        </w:rPr>
        <w:t xml:space="preserve">mg </w:t>
      </w:r>
      <w:r w:rsidRPr="004D000B">
        <w:rPr>
          <w:rFonts w:eastAsia="Times New Roman" w:cs="Arial"/>
          <w:b/>
          <w:bCs/>
          <w:color w:val="000000"/>
          <w:szCs w:val="20"/>
          <w:lang w:eastAsia="bg-BG"/>
        </w:rPr>
        <w:t xml:space="preserve">дневно при пациенти, получаващи съпътстващо лечение с продукти, съдържащи елбасвир или гразопревир </w:t>
      </w:r>
      <w:r w:rsidRPr="004D000B">
        <w:rPr>
          <w:rFonts w:eastAsia="Times New Roman" w:cs="Arial"/>
          <w:color w:val="000000"/>
          <w:szCs w:val="20"/>
          <w:lang w:eastAsia="bg-BG"/>
        </w:rPr>
        <w:t>(вж. точка 4.5).</w:t>
      </w:r>
    </w:p>
    <w:p w14:paraId="49B183BB" w14:textId="77777777" w:rsidR="004D000B" w:rsidRPr="004D000B" w:rsidRDefault="004D000B" w:rsidP="004D000B">
      <w:pPr>
        <w:spacing w:line="240" w:lineRule="auto"/>
        <w:rPr>
          <w:rFonts w:eastAsia="Times New Roman" w:cs="Arial"/>
          <w:color w:val="000000"/>
          <w:szCs w:val="20"/>
          <w:lang w:eastAsia="bg-BG"/>
        </w:rPr>
      </w:pPr>
    </w:p>
    <w:p w14:paraId="7752ED63" w14:textId="15A72E8D"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Рядко случаи на миопатия/рабдомиолиза са свързвани с едновременното приложение на </w:t>
      </w:r>
      <w:r w:rsidRPr="004D000B">
        <w:rPr>
          <w:rFonts w:eastAsia="Times New Roman" w:cs="Arial"/>
          <w:color w:val="000000"/>
          <w:szCs w:val="20"/>
          <w:lang w:val="en-US"/>
        </w:rPr>
        <w:t xml:space="preserve">HMG- CoA </w:t>
      </w:r>
      <w:r w:rsidRPr="004D000B">
        <w:rPr>
          <w:rFonts w:eastAsia="Times New Roman" w:cs="Arial"/>
          <w:color w:val="000000"/>
          <w:szCs w:val="20"/>
          <w:lang w:eastAsia="bg-BG"/>
        </w:rPr>
        <w:t xml:space="preserve">редуктазни инхибитори и ниацин (никотинова киселина) в липидомодифициращи дози (&gt; 1 </w:t>
      </w:r>
      <w:r w:rsidRPr="004D000B">
        <w:rPr>
          <w:rFonts w:eastAsia="Times New Roman" w:cs="Arial"/>
          <w:color w:val="000000"/>
          <w:szCs w:val="20"/>
          <w:lang w:val="en-US"/>
        </w:rPr>
        <w:t xml:space="preserve">g </w:t>
      </w:r>
      <w:r w:rsidRPr="004D000B">
        <w:rPr>
          <w:rFonts w:eastAsia="Times New Roman" w:cs="Arial"/>
          <w:color w:val="000000"/>
          <w:szCs w:val="20"/>
          <w:lang w:eastAsia="bg-BG"/>
        </w:rPr>
        <w:t>дневно), всеки един от които може да причини миопатия в случай че се прилага самостоятелно.</w:t>
      </w:r>
    </w:p>
    <w:p w14:paraId="30992296" w14:textId="77777777" w:rsidR="004D000B" w:rsidRPr="004D000B" w:rsidRDefault="004D000B" w:rsidP="004D000B">
      <w:pPr>
        <w:spacing w:line="240" w:lineRule="auto"/>
        <w:rPr>
          <w:rFonts w:eastAsia="Times New Roman" w:cs="Arial"/>
          <w:color w:val="000000"/>
          <w:szCs w:val="20"/>
          <w:lang w:eastAsia="bg-BG"/>
        </w:rPr>
      </w:pPr>
    </w:p>
    <w:p w14:paraId="50C4450E" w14:textId="7182BC9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 клинично изпитване (медиана на проследяването 3,9 години), включващо пациенти с висок риск за сърдечно-съдово заболяване и с добре контролирани нива на </w:t>
      </w:r>
      <w:r w:rsidRPr="004D000B">
        <w:rPr>
          <w:rFonts w:eastAsia="Times New Roman" w:cs="Arial"/>
          <w:color w:val="000000"/>
          <w:szCs w:val="20"/>
          <w:lang w:val="en-US"/>
        </w:rPr>
        <w:t xml:space="preserve">LDL-C, </w:t>
      </w:r>
      <w:r w:rsidRPr="004D000B">
        <w:rPr>
          <w:rFonts w:eastAsia="Times New Roman" w:cs="Arial"/>
          <w:color w:val="000000"/>
          <w:szCs w:val="20"/>
          <w:lang w:eastAsia="bg-BG"/>
        </w:rPr>
        <w:t xml:space="preserve">лекувани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със или без езетимиб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не е имало </w:t>
      </w:r>
      <w:r w:rsidRPr="004D000B">
        <w:rPr>
          <w:rFonts w:eastAsia="Times New Roman" w:cs="Arial"/>
          <w:color w:val="000000"/>
          <w:szCs w:val="20"/>
          <w:lang w:eastAsia="bg-BG"/>
        </w:rPr>
        <w:lastRenderedPageBreak/>
        <w:t>допълнителна полза върху сърдечно</w:t>
      </w:r>
      <w:r w:rsidRPr="004D000B">
        <w:rPr>
          <w:rFonts w:eastAsia="Times New Roman" w:cs="Arial"/>
          <w:color w:val="000000"/>
          <w:szCs w:val="20"/>
          <w:lang w:eastAsia="bg-BG"/>
        </w:rPr>
        <w:softHyphen/>
        <w:t xml:space="preserve">съдовите резултати при добавянето на ниацин (никотинова киселина) в липидомодифициращи дози (&gt; 1 </w:t>
      </w:r>
      <w:r w:rsidRPr="004D000B">
        <w:rPr>
          <w:rFonts w:eastAsia="Times New Roman" w:cs="Arial"/>
          <w:color w:val="000000"/>
          <w:szCs w:val="20"/>
          <w:lang w:val="en-US"/>
        </w:rPr>
        <w:t xml:space="preserve">g </w:t>
      </w:r>
      <w:r w:rsidRPr="004D000B">
        <w:rPr>
          <w:rFonts w:eastAsia="Times New Roman" w:cs="Arial"/>
          <w:color w:val="000000"/>
          <w:szCs w:val="20"/>
          <w:lang w:eastAsia="bg-BG"/>
        </w:rPr>
        <w:t xml:space="preserve">дневно). Следователно, лекарите обмислящи комбинирано лечение със симвастатин и ниацин (никотинова киселина) в липидомодифициращи дози (&gt; 1 </w:t>
      </w:r>
      <w:r w:rsidRPr="004D000B">
        <w:rPr>
          <w:rFonts w:eastAsia="Times New Roman" w:cs="Arial"/>
          <w:color w:val="000000"/>
          <w:szCs w:val="20"/>
          <w:lang w:val="en-US"/>
        </w:rPr>
        <w:t xml:space="preserve">g </w:t>
      </w:r>
      <w:r w:rsidRPr="004D000B">
        <w:rPr>
          <w:rFonts w:eastAsia="Times New Roman" w:cs="Arial"/>
          <w:color w:val="000000"/>
          <w:szCs w:val="20"/>
          <w:lang w:eastAsia="bg-BG"/>
        </w:rPr>
        <w:t xml:space="preserve">дневно), или продукти, съдържащи ниацин, трябва внимателно да оценят потенциалните ползи и рискове и трябва внимателно да проследяват пациентите за признаци и симптоми на мускулна болка, болезненост или слабост, особено по време на първите месеци от лечението и когато дозата на някои от тези продукти се увеличава. Освен това, честотата на миопатия в това изпитване е приблизително 0,24 % при китайци, лекувани или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или с езетимиб/симвастатин 10 </w:t>
      </w:r>
      <w:r w:rsidRPr="004D000B">
        <w:rPr>
          <w:rFonts w:eastAsia="Times New Roman" w:cs="Arial"/>
          <w:color w:val="000000"/>
          <w:szCs w:val="20"/>
          <w:lang w:val="en-US"/>
        </w:rPr>
        <w:t xml:space="preserve">mg/40 mg, </w:t>
      </w:r>
      <w:r w:rsidRPr="004D000B">
        <w:rPr>
          <w:rFonts w:eastAsia="Times New Roman" w:cs="Arial"/>
          <w:color w:val="000000"/>
          <w:szCs w:val="20"/>
          <w:lang w:eastAsia="bg-BG"/>
        </w:rPr>
        <w:t xml:space="preserve">сравнено с 1,24 % при китайци, лекувани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или с езетимиб/симвастатин 10 </w:t>
      </w:r>
      <w:r w:rsidRPr="004D000B">
        <w:rPr>
          <w:rFonts w:eastAsia="Times New Roman" w:cs="Arial"/>
          <w:color w:val="000000"/>
          <w:szCs w:val="20"/>
          <w:lang w:val="en-US"/>
        </w:rPr>
        <w:t xml:space="preserve">mg/40 mg, </w:t>
      </w:r>
      <w:r w:rsidRPr="004D000B">
        <w:rPr>
          <w:rFonts w:eastAsia="Times New Roman" w:cs="Arial"/>
          <w:color w:val="000000"/>
          <w:szCs w:val="20"/>
          <w:lang w:eastAsia="bg-BG"/>
        </w:rPr>
        <w:t xml:space="preserve">на които е приложено едновременно никотинова киселина/ларопипрант 2 000 </w:t>
      </w:r>
      <w:r w:rsidRPr="004D000B">
        <w:rPr>
          <w:rFonts w:eastAsia="Times New Roman" w:cs="Arial"/>
          <w:color w:val="000000"/>
          <w:szCs w:val="20"/>
          <w:lang w:val="en-US"/>
        </w:rPr>
        <w:t xml:space="preserve">mg/40 mg </w:t>
      </w:r>
      <w:r w:rsidRPr="004D000B">
        <w:rPr>
          <w:rFonts w:eastAsia="Times New Roman" w:cs="Arial"/>
          <w:color w:val="000000"/>
          <w:szCs w:val="20"/>
          <w:lang w:eastAsia="bg-BG"/>
        </w:rPr>
        <w:t>с удължено освобождаване. Въпреки че в това клинично изпитване са оценени само китайци от азиатското население, тъй като честотата на миопатия е по-висока при китайци, отколкото при некитайци, едновременното приложение на симвастатин с ниацин (никотинова киселина) в</w:t>
      </w:r>
      <w:r>
        <w:rPr>
          <w:rFonts w:eastAsia="Times New Roman" w:cs="Arial"/>
          <w:sz w:val="28"/>
          <w:szCs w:val="24"/>
          <w:lang w:eastAsia="bg-BG"/>
        </w:rPr>
        <w:t xml:space="preserve"> </w:t>
      </w:r>
      <w:r w:rsidRPr="004D000B">
        <w:rPr>
          <w:rFonts w:eastAsia="Times New Roman" w:cs="Arial"/>
          <w:color w:val="000000"/>
          <w:szCs w:val="20"/>
          <w:lang w:eastAsia="bg-BG"/>
        </w:rPr>
        <w:t xml:space="preserve">липидомодифициращи дози </w:t>
      </w:r>
      <w:r w:rsidRPr="004D000B">
        <w:rPr>
          <w:rFonts w:eastAsia="Times New Roman" w:cs="Arial"/>
          <w:color w:val="000000"/>
          <w:szCs w:val="20"/>
          <w:lang w:val="en-US"/>
        </w:rPr>
        <w:t>(1</w:t>
      </w:r>
      <w:r w:rsidRPr="004D000B">
        <w:rPr>
          <w:rFonts w:eastAsia="Times New Roman" w:cs="Arial"/>
          <w:color w:val="000000"/>
          <w:szCs w:val="20"/>
          <w:lang w:eastAsia="bg-BG"/>
        </w:rPr>
        <w:t xml:space="preserve"> </w:t>
      </w:r>
      <w:r w:rsidRPr="004D000B">
        <w:rPr>
          <w:rFonts w:eastAsia="Times New Roman" w:cs="Arial"/>
          <w:color w:val="000000"/>
          <w:szCs w:val="20"/>
          <w:lang w:val="en-US"/>
        </w:rPr>
        <w:t xml:space="preserve">g </w:t>
      </w:r>
      <w:r w:rsidRPr="004D000B">
        <w:rPr>
          <w:rFonts w:eastAsia="Times New Roman" w:cs="Arial"/>
          <w:color w:val="000000"/>
          <w:szCs w:val="20"/>
          <w:lang w:eastAsia="bg-BG"/>
        </w:rPr>
        <w:t>дневно) не се препоръчва при азиатци.</w:t>
      </w:r>
    </w:p>
    <w:p w14:paraId="1FCB7427" w14:textId="3F8A477F" w:rsidR="004D000B" w:rsidRDefault="004D000B" w:rsidP="004D000B">
      <w:pPr>
        <w:rPr>
          <w:rFonts w:eastAsia="Times New Roman" w:cs="Arial"/>
          <w:color w:val="000000"/>
          <w:szCs w:val="20"/>
          <w:lang w:eastAsia="bg-BG"/>
        </w:rPr>
      </w:pPr>
      <w:r w:rsidRPr="004D000B">
        <w:rPr>
          <w:rFonts w:eastAsia="Times New Roman" w:cs="Arial"/>
          <w:color w:val="000000"/>
          <w:szCs w:val="20"/>
          <w:lang w:eastAsia="bg-BG"/>
        </w:rPr>
        <w:t>Аципимокс е структурно свързан с ниацин. Въпреки, че аципимокс не е проучван, рискът от мускулна токсичност може да е сходен с този при ниацин.</w:t>
      </w:r>
    </w:p>
    <w:p w14:paraId="36E5AE2D" w14:textId="2457C26D" w:rsidR="004D000B" w:rsidRDefault="004D000B" w:rsidP="004D000B">
      <w:pPr>
        <w:rPr>
          <w:rFonts w:eastAsia="Times New Roman" w:cs="Arial"/>
          <w:color w:val="000000"/>
          <w:szCs w:val="20"/>
          <w:lang w:eastAsia="bg-BG"/>
        </w:rPr>
      </w:pPr>
    </w:p>
    <w:p w14:paraId="46C41AB4"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Даптомицин</w:t>
      </w:r>
    </w:p>
    <w:p w14:paraId="6C4140C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Съобщавани са случаи на миопатия и/или рабдомиолиза при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Симвастатин АЛ при пациенти, приемащи даптомицин, освен ако ползите от едновременното приложение не надхвърлят риска.</w:t>
      </w:r>
    </w:p>
    <w:p w14:paraId="1E6021B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Консултирайте се с информацията за предписване на даптомицин, за да получите допълнителна информация за това потенциално взаимодействие с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редуктазни инхибитори (напр. симвастатин) и за допълнителни указания, свързани с мониторирането.</w:t>
      </w:r>
    </w:p>
    <w:p w14:paraId="69341048" w14:textId="77777777" w:rsidR="004D000B" w:rsidRPr="004D000B" w:rsidRDefault="004D000B" w:rsidP="004D000B">
      <w:pPr>
        <w:spacing w:line="240" w:lineRule="auto"/>
        <w:rPr>
          <w:rFonts w:eastAsia="Times New Roman" w:cs="Arial"/>
          <w:b/>
          <w:bCs/>
          <w:color w:val="000000"/>
          <w:szCs w:val="20"/>
          <w:u w:val="single"/>
          <w:lang w:eastAsia="bg-BG"/>
        </w:rPr>
      </w:pPr>
    </w:p>
    <w:p w14:paraId="68FB0FB9" w14:textId="14D27736"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u w:val="single"/>
          <w:lang w:eastAsia="bg-BG"/>
        </w:rPr>
        <w:t>Чернодробни ефекти</w:t>
      </w:r>
    </w:p>
    <w:p w14:paraId="029711AA"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При клинични проучвания са наблюдавани персистиращи покачвания (до &gt; 3 пъти ГТН) на нивата на серумните трансаминази при малък брой възрастни пациенти, които са получавали симвастатин. Когато терапията е била прекъсвана или спирана при тези пациенти, нивата на трансаминазите са спадали постепенно до предтерапевтичните.</w:t>
      </w:r>
    </w:p>
    <w:p w14:paraId="717D4ED8" w14:textId="77777777" w:rsidR="004D000B" w:rsidRPr="004D000B" w:rsidRDefault="004D000B" w:rsidP="004D000B">
      <w:pPr>
        <w:spacing w:line="240" w:lineRule="auto"/>
        <w:rPr>
          <w:rFonts w:eastAsia="Times New Roman" w:cs="Arial"/>
          <w:color w:val="000000"/>
          <w:szCs w:val="20"/>
          <w:lang w:eastAsia="bg-BG"/>
        </w:rPr>
      </w:pPr>
    </w:p>
    <w:p w14:paraId="788D57FC" w14:textId="0D6186C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Препоръчително е провеждането на функционални чернодробни изследвания преди започване на лечението и след това, когато е клинично показано. При пациентите, при които дозата е увеличена до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трябва да се направи допълнително изследване преди увеличението, 3 месеца след увеличението до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и след това периодично по време на лечението (напр. на 6 месеца) през първата година на лечението. Специално внимание трябва да се обърне на пациенти, при които се наблюдава покачване на серумните нива на трансаминазите, и при такива пациенти, изследването би трябвало да се повтори своевременно и след това да се извършва по-често. Ако нивата на трансаминазите показват тенденция за повишаване, особено ако те се повишават до 3 пъти над горната граница на нормата и персистират, прилагането на симвастатин трябва да се прекрати. Трябва да се има предвид, че АЛАТ може да произхожда от мускулите, ето защо повишаването на АЛАТ и СК може да означава наличие на миопатия.</w:t>
      </w:r>
    </w:p>
    <w:p w14:paraId="61754559"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lastRenderedPageBreak/>
        <w:t>По време на постмаркетинговия опит рядко са съобщавани случаи на фатална и не фатална чернодробна недостатъчност при пациенти, приемащи статини, включително симвастатин. Ако се появи тежко чернодробно увреждане с клинични симптоми и/или хипербилирубинемия или жълтеница по време на лечение със симвастатин, незабавно прекратете лечението. Ако не бъде открита друга етиология, не започвайте отново лечението със симвастатин.</w:t>
      </w:r>
    </w:p>
    <w:p w14:paraId="06B35A7B" w14:textId="77777777" w:rsidR="004D000B" w:rsidRPr="004D000B" w:rsidRDefault="004D000B" w:rsidP="004D000B">
      <w:pPr>
        <w:spacing w:line="240" w:lineRule="auto"/>
        <w:rPr>
          <w:rFonts w:eastAsia="Times New Roman" w:cs="Arial"/>
          <w:color w:val="000000"/>
          <w:szCs w:val="20"/>
          <w:lang w:eastAsia="bg-BG"/>
        </w:rPr>
      </w:pPr>
    </w:p>
    <w:p w14:paraId="6AF26057" w14:textId="6F46B5A4"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Лекарството трябва да се използва внимателно при пациенти, които употребяват значителни количества алкохол.</w:t>
      </w:r>
    </w:p>
    <w:p w14:paraId="645C1577" w14:textId="77777777" w:rsidR="004D000B" w:rsidRPr="004D000B" w:rsidRDefault="004D000B" w:rsidP="004D000B">
      <w:pPr>
        <w:spacing w:line="240" w:lineRule="auto"/>
        <w:rPr>
          <w:rFonts w:eastAsia="Times New Roman" w:cs="Arial"/>
          <w:color w:val="000000"/>
          <w:szCs w:val="20"/>
          <w:lang w:eastAsia="bg-BG"/>
        </w:rPr>
      </w:pPr>
    </w:p>
    <w:p w14:paraId="6F66D0DB" w14:textId="29A2C493"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Както и при други липидопонижаващи продукти, се съобщава за умерени (&lt; 3 пъти ГТН) покачвания на серумните трансаминази след терапия със симвастатин. Тези промени настъпват скоро след началото на терапията със симвастатин, често са преходни, не са придружени от други симптоми и не налагат прекъсване на лечението.</w:t>
      </w:r>
    </w:p>
    <w:p w14:paraId="77E53E39" w14:textId="77777777" w:rsidR="004D000B" w:rsidRPr="004D000B" w:rsidRDefault="004D000B" w:rsidP="004D000B">
      <w:pPr>
        <w:spacing w:line="240" w:lineRule="auto"/>
        <w:rPr>
          <w:rFonts w:eastAsia="Times New Roman" w:cs="Arial"/>
          <w:b/>
          <w:bCs/>
          <w:i/>
          <w:iCs/>
          <w:color w:val="000000"/>
          <w:szCs w:val="20"/>
          <w:u w:val="single"/>
          <w:lang w:eastAsia="bg-BG"/>
        </w:rPr>
      </w:pPr>
    </w:p>
    <w:p w14:paraId="56674716" w14:textId="3BB05CCF"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i/>
          <w:iCs/>
          <w:color w:val="000000"/>
          <w:szCs w:val="20"/>
          <w:u w:val="single"/>
          <w:lang w:eastAsia="bg-BG"/>
        </w:rPr>
        <w:t>Захарен диабет</w:t>
      </w:r>
    </w:p>
    <w:p w14:paraId="531EF5A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Някои данни предполагат, че статините, като клас, повишават кръвната захар и при някои пациенти, с висок риск от развитие на диабет, могат да създадат ниво на хипергликемия, при което е показана грижа за диабета. Този риск обаче се компенсира чрез понижаване на съдовия риск със статини и следователно не трябва да бъде причина за преустановяване на лечението със статин. Пациентите с риск (глюкоза на гладно 5,6 до 6,9 </w:t>
      </w:r>
      <w:proofErr w:type="spellStart"/>
      <w:r w:rsidRPr="004D000B">
        <w:rPr>
          <w:rFonts w:eastAsia="Times New Roman" w:cs="Arial"/>
          <w:color w:val="000000"/>
          <w:szCs w:val="20"/>
          <w:lang w:val="en-US"/>
        </w:rPr>
        <w:t>mmol</w:t>
      </w:r>
      <w:proofErr w:type="spellEnd"/>
      <w:r w:rsidRPr="004D000B">
        <w:rPr>
          <w:rFonts w:eastAsia="Times New Roman" w:cs="Arial"/>
          <w:color w:val="000000"/>
          <w:szCs w:val="20"/>
          <w:lang w:val="en-US"/>
        </w:rPr>
        <w:t>/l</w:t>
      </w:r>
      <w:r w:rsidRPr="004D000B">
        <w:rPr>
          <w:rFonts w:eastAsia="Times New Roman" w:cs="Arial"/>
          <w:color w:val="000000"/>
          <w:szCs w:val="20"/>
          <w:lang w:eastAsia="bg-BG"/>
        </w:rPr>
        <w:t xml:space="preserve">, индекс на телесна маса </w:t>
      </w:r>
      <w:r w:rsidRPr="004D000B">
        <w:rPr>
          <w:rFonts w:eastAsia="Times New Roman" w:cs="Arial"/>
          <w:color w:val="000000"/>
          <w:szCs w:val="20"/>
          <w:lang w:val="en-US"/>
        </w:rPr>
        <w:t>(BMI) &gt; 30 kg/m</w:t>
      </w:r>
      <w:r w:rsidRPr="004D000B">
        <w:rPr>
          <w:rFonts w:eastAsia="Times New Roman" w:cs="Arial"/>
          <w:color w:val="000000"/>
          <w:szCs w:val="20"/>
          <w:vertAlign w:val="superscript"/>
          <w:lang w:val="en-US"/>
        </w:rPr>
        <w:t>2</w:t>
      </w:r>
      <w:r w:rsidRPr="004D000B">
        <w:rPr>
          <w:rFonts w:eastAsia="Times New Roman" w:cs="Arial"/>
          <w:color w:val="000000"/>
          <w:szCs w:val="20"/>
          <w:lang w:val="en-US"/>
        </w:rPr>
        <w:t xml:space="preserve">, </w:t>
      </w:r>
      <w:r w:rsidRPr="004D000B">
        <w:rPr>
          <w:rFonts w:eastAsia="Times New Roman" w:cs="Arial"/>
          <w:color w:val="000000"/>
          <w:szCs w:val="20"/>
          <w:lang w:eastAsia="bg-BG"/>
        </w:rPr>
        <w:t>повишени триглицериди, хипертония) трябва да бъдат мониторирани клинично и биохимично съгласно националните препоръки.</w:t>
      </w:r>
    </w:p>
    <w:p w14:paraId="65C1E4C6" w14:textId="77777777" w:rsidR="004D000B" w:rsidRPr="004D000B" w:rsidRDefault="004D000B" w:rsidP="004D000B">
      <w:pPr>
        <w:spacing w:line="240" w:lineRule="auto"/>
        <w:rPr>
          <w:rFonts w:eastAsia="Times New Roman" w:cs="Arial"/>
          <w:sz w:val="28"/>
          <w:szCs w:val="24"/>
          <w:lang w:eastAsia="bg-BG"/>
        </w:rPr>
      </w:pPr>
    </w:p>
    <w:p w14:paraId="5A725E1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i/>
          <w:iCs/>
          <w:color w:val="000000"/>
          <w:szCs w:val="20"/>
          <w:u w:val="single"/>
          <w:lang w:eastAsia="bg-BG"/>
        </w:rPr>
        <w:t>Интерстиииално белодробно заболяване</w:t>
      </w:r>
    </w:p>
    <w:p w14:paraId="29AEEE07" w14:textId="77777777" w:rsidR="004D000B" w:rsidRPr="004D000B" w:rsidRDefault="004D000B" w:rsidP="004D000B">
      <w:pPr>
        <w:rPr>
          <w:rFonts w:eastAsia="Times New Roman" w:cs="Arial"/>
          <w:sz w:val="28"/>
          <w:szCs w:val="24"/>
          <w:lang w:eastAsia="bg-BG"/>
        </w:rPr>
      </w:pPr>
      <w:r w:rsidRPr="004D000B">
        <w:rPr>
          <w:rFonts w:eastAsia="Times New Roman" w:cs="Arial"/>
          <w:color w:val="000000"/>
          <w:szCs w:val="20"/>
          <w:lang w:eastAsia="bg-BG"/>
        </w:rPr>
        <w:t>Има съобщения за интерстициално белодробно заболяване при употреба на някои статини, особено при продължително лечение (вж. точка 4.8). Симптомите могат да включват диспнея,</w:t>
      </w:r>
      <w:r>
        <w:rPr>
          <w:rFonts w:eastAsia="Times New Roman" w:cs="Arial"/>
          <w:color w:val="000000"/>
          <w:szCs w:val="20"/>
          <w:lang w:eastAsia="bg-BG"/>
        </w:rPr>
        <w:t xml:space="preserve"> </w:t>
      </w:r>
      <w:r w:rsidRPr="004D000B">
        <w:rPr>
          <w:rFonts w:eastAsia="Times New Roman" w:cs="Arial"/>
          <w:color w:val="000000"/>
          <w:szCs w:val="20"/>
          <w:lang w:eastAsia="bg-BG"/>
        </w:rPr>
        <w:t>непродуктивна кашлица и влошаване на общото състояние (умора, загуба на тегло, треска). При подозрение за интерстициално белодробно заболяване, терапията със статин трябва да се спре.</w:t>
      </w:r>
    </w:p>
    <w:p w14:paraId="29FCC575" w14:textId="77777777" w:rsidR="004D000B" w:rsidRPr="004D000B" w:rsidRDefault="004D000B" w:rsidP="004D000B">
      <w:pPr>
        <w:spacing w:line="240" w:lineRule="auto"/>
        <w:rPr>
          <w:rFonts w:eastAsia="Times New Roman" w:cs="Arial"/>
          <w:b/>
          <w:bCs/>
          <w:color w:val="000000"/>
          <w:szCs w:val="20"/>
          <w:lang w:eastAsia="bg-BG"/>
        </w:rPr>
      </w:pPr>
    </w:p>
    <w:p w14:paraId="36EE4528" w14:textId="5BDF8BA3"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Педиатрична популация</w:t>
      </w:r>
    </w:p>
    <w:p w14:paraId="6DDFD55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Безопасността и ефикасността на симвастатин при пациенти от 10 до 17 годишна възраст, с хетерозиготна фамилна хиперхолестеролемия, е била оценена в едно контролирано клинично проучване при младежи II степен по Танер и нагоре и девойки поне една година след първата им менструация. Пациентите, лекувани със симвастатин са имали профил на безопасност подобен на този при пациентите лекувани с плацебо. Дози по-високи от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не са били изследвани при тази популация. В това ограничено, контролирано проучване не е установен забележим ефект върху растежа или сексуалното узряване на младежите или девойките или какъвто и да било ефект върху продължителността на менструалния цикъл при момичетата (вж. точки 4.2; 4.8 и 5.1) По време на лечението със симвастатин, на девойките трябва да бъдат предложени подходящи методи за контрацепция (вж. точки 4.3 и 4.6), Ефикасността и безопасността не са били изследвани при пациенти на възраст &lt;18 години за период на лечение с продължителност &gt; 48 седмици и не е известен дългосрочния ефект върху физическото, интелектуално и сексуално развитие.</w:t>
      </w:r>
    </w:p>
    <w:p w14:paraId="3F0935B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Симвастатин не е бил проучван при пациенти под 10 годишна възраст, както и при деца преди пубертета и момичета, които не са имали менструация.</w:t>
      </w:r>
    </w:p>
    <w:p w14:paraId="6EA570A6" w14:textId="77777777" w:rsidR="004D000B" w:rsidRPr="004D000B" w:rsidRDefault="004D000B" w:rsidP="004D000B">
      <w:pPr>
        <w:spacing w:line="240" w:lineRule="auto"/>
        <w:rPr>
          <w:rFonts w:eastAsia="Times New Roman" w:cs="Arial"/>
          <w:b/>
          <w:bCs/>
          <w:color w:val="000000"/>
          <w:szCs w:val="20"/>
          <w:lang w:eastAsia="bg-BG"/>
        </w:rPr>
      </w:pPr>
    </w:p>
    <w:p w14:paraId="5F5E7ABB" w14:textId="433F4E23"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lastRenderedPageBreak/>
        <w:t>Помощни вещества</w:t>
      </w:r>
    </w:p>
    <w:p w14:paraId="46973C3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Този лекарствен продукт съдържа лактоза.</w:t>
      </w:r>
    </w:p>
    <w:p w14:paraId="55CA8D6A" w14:textId="2796A0EF" w:rsidR="004D000B" w:rsidRPr="004D000B" w:rsidRDefault="004D000B" w:rsidP="004D000B">
      <w:pPr>
        <w:rPr>
          <w:rFonts w:cs="Arial"/>
          <w:sz w:val="32"/>
        </w:rPr>
      </w:pPr>
      <w:r w:rsidRPr="004D000B">
        <w:rPr>
          <w:rFonts w:eastAsia="Times New Roman" w:cs="Arial"/>
          <w:color w:val="000000"/>
          <w:szCs w:val="2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r w:rsidR="00225B0F">
        <w:rPr>
          <w:rFonts w:eastAsia="Times New Roman" w:cs="Arial"/>
          <w:color w:val="000000"/>
          <w:szCs w:val="20"/>
          <w:lang w:eastAsia="bg-BG"/>
        </w:rPr>
        <w:t>.</w:t>
      </w:r>
    </w:p>
    <w:p w14:paraId="6878E387" w14:textId="77777777" w:rsidR="004D000B" w:rsidRPr="0091385D" w:rsidRDefault="004D000B"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71172D3"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Множество механизми могат да допринесат за потенциални взаимодействия с </w:t>
      </w:r>
      <w:r w:rsidRPr="00225B0F">
        <w:rPr>
          <w:rFonts w:eastAsia="Times New Roman" w:cs="Arial"/>
          <w:color w:val="000000"/>
          <w:szCs w:val="20"/>
          <w:lang w:val="en-US"/>
        </w:rPr>
        <w:t xml:space="preserve">HMG-CoA </w:t>
      </w:r>
      <w:r w:rsidRPr="00225B0F">
        <w:rPr>
          <w:rFonts w:eastAsia="Times New Roman" w:cs="Arial"/>
          <w:color w:val="000000"/>
          <w:szCs w:val="20"/>
          <w:lang w:eastAsia="bg-BG"/>
        </w:rPr>
        <w:t xml:space="preserve">редуктазни инхибитори. Лекарствени или растителни продукти, които инхибират метаболитните пътища на определени ензими (напр. </w:t>
      </w:r>
      <w:r w:rsidRPr="00225B0F">
        <w:rPr>
          <w:rFonts w:eastAsia="Times New Roman" w:cs="Arial"/>
          <w:color w:val="000000"/>
          <w:szCs w:val="20"/>
          <w:lang w:val="en-US"/>
        </w:rPr>
        <w:t xml:space="preserve">CYP3A4) </w:t>
      </w:r>
      <w:r w:rsidRPr="00225B0F">
        <w:rPr>
          <w:rFonts w:eastAsia="Times New Roman" w:cs="Arial"/>
          <w:color w:val="000000"/>
          <w:szCs w:val="20"/>
          <w:lang w:eastAsia="bg-BG"/>
        </w:rPr>
        <w:t>и/или транспортери (напр. ОАТР1В), могат да повишат плазмените концентрации на симвастатин и симвастатинова киселина и могат да доведат до повишен риск от миопатия/рабдомиолиза.</w:t>
      </w:r>
    </w:p>
    <w:p w14:paraId="3DCA2B85" w14:textId="77777777" w:rsidR="00225B0F" w:rsidRPr="00225B0F" w:rsidRDefault="00225B0F" w:rsidP="00225B0F">
      <w:pPr>
        <w:spacing w:line="240" w:lineRule="auto"/>
        <w:rPr>
          <w:rFonts w:eastAsia="Times New Roman" w:cs="Arial"/>
          <w:b/>
          <w:bCs/>
          <w:color w:val="000000"/>
          <w:szCs w:val="20"/>
          <w:lang w:eastAsia="bg-BG"/>
        </w:rPr>
      </w:pPr>
    </w:p>
    <w:p w14:paraId="636ECC16" w14:textId="7D338D8C" w:rsidR="00225B0F" w:rsidRPr="00225B0F" w:rsidRDefault="00225B0F" w:rsidP="00225B0F">
      <w:pPr>
        <w:spacing w:line="240" w:lineRule="auto"/>
        <w:rPr>
          <w:rFonts w:eastAsia="Times New Roman" w:cs="Arial"/>
          <w:sz w:val="28"/>
          <w:szCs w:val="24"/>
          <w:lang w:eastAsia="bg-BG"/>
        </w:rPr>
      </w:pPr>
      <w:r w:rsidRPr="00225B0F">
        <w:rPr>
          <w:rFonts w:eastAsia="Times New Roman" w:cs="Arial"/>
          <w:b/>
          <w:bCs/>
          <w:color w:val="000000"/>
          <w:szCs w:val="20"/>
          <w:lang w:eastAsia="bg-BG"/>
        </w:rPr>
        <w:t>Консултирайте се с информацията за предписване на всички едновременно приемани лекарства, за да получите допълнителна информация за техните потенциални взаимодействия със симвастатин н/илн потенциала за промени на ензима или транспортера, и за възможно коригиране на дозата или схемата на прилагане.</w:t>
      </w:r>
    </w:p>
    <w:p w14:paraId="2E9EF5C6" w14:textId="77777777" w:rsidR="00225B0F" w:rsidRPr="00225B0F" w:rsidRDefault="00225B0F" w:rsidP="00225B0F">
      <w:pPr>
        <w:spacing w:line="240" w:lineRule="auto"/>
        <w:rPr>
          <w:rFonts w:eastAsia="Times New Roman" w:cs="Arial"/>
          <w:color w:val="000000"/>
          <w:szCs w:val="20"/>
          <w:lang w:eastAsia="bg-BG"/>
        </w:rPr>
      </w:pPr>
    </w:p>
    <w:p w14:paraId="2C98541D" w14:textId="0FF46A4E"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Проучвания за взаимодействията са провеждани само при възрастни.</w:t>
      </w:r>
    </w:p>
    <w:p w14:paraId="1D526684" w14:textId="77777777" w:rsidR="00225B0F" w:rsidRPr="00225B0F" w:rsidRDefault="00225B0F" w:rsidP="00225B0F">
      <w:pPr>
        <w:spacing w:line="240" w:lineRule="auto"/>
        <w:rPr>
          <w:rFonts w:eastAsia="Times New Roman" w:cs="Arial"/>
          <w:color w:val="000000"/>
          <w:szCs w:val="20"/>
          <w:u w:val="single"/>
          <w:lang w:eastAsia="bg-BG"/>
        </w:rPr>
      </w:pPr>
    </w:p>
    <w:p w14:paraId="6ADFBA7E" w14:textId="250A75B5"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Фармакодинамични взаимодействия</w:t>
      </w:r>
    </w:p>
    <w:p w14:paraId="24026B7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Взаимодействия с липидо - понижаващи лекарствени продукти, които могат да предизвикат миопатия при самостоятелното им приложение.</w:t>
      </w:r>
    </w:p>
    <w:p w14:paraId="0BE05E5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Рискът от миопатия, вкл. рабдомиолиза нараства по време на едновременното приложение с фибрати). В допълнение съществува фармакокинетично взаимодействие с гемфиброзил водещо до увеличаване на плазмените нива на симвастатин (вж. по-долу Фармакокинетични взаимодействия и т. 4.2. и т.4.4).</w:t>
      </w:r>
    </w:p>
    <w:p w14:paraId="398EE68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Когато симвастатин и фенофибрат се прилагат едновременно няма доказателства, че рискът от поява на миопатия превишава сумата от индивидуалните рискове при приложение на всеки от лекарствените продукти самостоятелно.</w:t>
      </w:r>
    </w:p>
    <w:p w14:paraId="3A2D8242" w14:textId="4BC0F3DA"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Редки случаи на миопатия /рабдомиолиза са свързани с едновременното приложение на симвастатин и липидо-понижаващи дози (≥ 1 </w:t>
      </w:r>
      <w:r w:rsidRPr="00225B0F">
        <w:rPr>
          <w:rFonts w:eastAsia="Times New Roman" w:cs="Arial"/>
          <w:color w:val="000000"/>
          <w:szCs w:val="20"/>
          <w:lang w:val="en-US"/>
        </w:rPr>
        <w:t>g</w:t>
      </w:r>
      <w:r w:rsidRPr="00225B0F">
        <w:rPr>
          <w:rFonts w:eastAsia="Times New Roman" w:cs="Arial"/>
          <w:color w:val="000000"/>
          <w:szCs w:val="20"/>
          <w:lang w:eastAsia="bg-BG"/>
        </w:rPr>
        <w:t>/дневно) ниацин (вижте точка 4.4). Съответни фармакокинетични данни и данни за лекарствената безопасност не са налични за другите фибрати.</w:t>
      </w:r>
    </w:p>
    <w:p w14:paraId="7EEAFBEF" w14:textId="77777777" w:rsidR="00225B0F" w:rsidRPr="00225B0F" w:rsidRDefault="00225B0F" w:rsidP="00225B0F">
      <w:pPr>
        <w:spacing w:line="240" w:lineRule="auto"/>
        <w:rPr>
          <w:rFonts w:eastAsia="Times New Roman" w:cs="Arial"/>
          <w:sz w:val="28"/>
          <w:szCs w:val="24"/>
          <w:lang w:eastAsia="bg-BG"/>
        </w:rPr>
      </w:pPr>
    </w:p>
    <w:p w14:paraId="17CFF77D"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Фармакокинетични взаимодействия</w:t>
      </w:r>
    </w:p>
    <w:p w14:paraId="172AE819" w14:textId="20562D09" w:rsidR="0091385D" w:rsidRPr="00225B0F" w:rsidRDefault="00225B0F" w:rsidP="00225B0F">
      <w:pPr>
        <w:rPr>
          <w:rFonts w:cs="Arial"/>
          <w:sz w:val="24"/>
        </w:rPr>
      </w:pPr>
      <w:r w:rsidRPr="00225B0F">
        <w:rPr>
          <w:rFonts w:eastAsia="Times New Roman" w:cs="Arial"/>
          <w:i/>
          <w:iCs/>
          <w:color w:val="000000"/>
          <w:szCs w:val="20"/>
          <w:lang w:eastAsia="bg-BG"/>
        </w:rPr>
        <w:t>Ефект на други лекарствени продукти върху симвастатин</w:t>
      </w:r>
    </w:p>
    <w:p w14:paraId="61645A75" w14:textId="2EA28CDF" w:rsidR="00225B0F" w:rsidRPr="00225B0F" w:rsidRDefault="00225B0F" w:rsidP="0091385D">
      <w:pPr>
        <w:rPr>
          <w:rFonts w:cs="Arial"/>
          <w:sz w:val="24"/>
        </w:rPr>
      </w:pPr>
    </w:p>
    <w:p w14:paraId="2D0320B4" w14:textId="4F4EF29E" w:rsidR="00225B0F" w:rsidRPr="00225B0F" w:rsidRDefault="00225B0F" w:rsidP="0091385D">
      <w:pPr>
        <w:rPr>
          <w:rFonts w:cs="Arial"/>
          <w:sz w:val="24"/>
        </w:rPr>
      </w:pPr>
      <w:r w:rsidRPr="00225B0F">
        <w:rPr>
          <w:rFonts w:cs="Arial"/>
          <w:szCs w:val="20"/>
          <w:u w:val="single"/>
        </w:rPr>
        <w:t>Взаимодействия, свързани с висок риск от миопатия /рабдомиолиза</w:t>
      </w:r>
    </w:p>
    <w:tbl>
      <w:tblPr>
        <w:tblStyle w:val="TableGrid"/>
        <w:tblW w:w="0" w:type="auto"/>
        <w:tblLook w:val="04A0" w:firstRow="1" w:lastRow="0" w:firstColumn="1" w:lastColumn="0" w:noHBand="0" w:noVBand="1"/>
      </w:tblPr>
      <w:tblGrid>
        <w:gridCol w:w="4678"/>
        <w:gridCol w:w="4672"/>
      </w:tblGrid>
      <w:tr w:rsidR="00225B0F" w:rsidRPr="00225B0F" w14:paraId="4D90ED76" w14:textId="77777777" w:rsidTr="00225B0F">
        <w:tc>
          <w:tcPr>
            <w:tcW w:w="4750" w:type="dxa"/>
          </w:tcPr>
          <w:p w14:paraId="0BDE24C0" w14:textId="445C89C4" w:rsidR="00225B0F" w:rsidRPr="00225B0F" w:rsidRDefault="00225B0F" w:rsidP="00225B0F">
            <w:pPr>
              <w:rPr>
                <w:rFonts w:cs="Arial"/>
              </w:rPr>
            </w:pPr>
            <w:r w:rsidRPr="00225B0F">
              <w:rPr>
                <w:rFonts w:cs="Arial"/>
                <w:i/>
                <w:iCs/>
              </w:rPr>
              <w:t>Лекарствени продукти</w:t>
            </w:r>
          </w:p>
        </w:tc>
        <w:tc>
          <w:tcPr>
            <w:tcW w:w="4750" w:type="dxa"/>
          </w:tcPr>
          <w:p w14:paraId="643482F5" w14:textId="2D1DFA72" w:rsidR="00225B0F" w:rsidRPr="00225B0F" w:rsidRDefault="00225B0F" w:rsidP="00225B0F">
            <w:pPr>
              <w:rPr>
                <w:rFonts w:cs="Arial"/>
              </w:rPr>
            </w:pPr>
            <w:r w:rsidRPr="00225B0F">
              <w:rPr>
                <w:rFonts w:cs="Arial"/>
              </w:rPr>
              <w:t>Препоръки за предписване</w:t>
            </w:r>
          </w:p>
        </w:tc>
      </w:tr>
      <w:tr w:rsidR="00225B0F" w:rsidRPr="00225B0F" w14:paraId="3C3AAF7F" w14:textId="77777777" w:rsidTr="00225B0F">
        <w:tc>
          <w:tcPr>
            <w:tcW w:w="4750" w:type="dxa"/>
          </w:tcPr>
          <w:p w14:paraId="721DC3DF" w14:textId="77777777" w:rsidR="00225B0F" w:rsidRPr="00225B0F" w:rsidRDefault="00225B0F" w:rsidP="00225B0F">
            <w:pPr>
              <w:rPr>
                <w:rFonts w:cs="Arial"/>
              </w:rPr>
            </w:pPr>
            <w:r w:rsidRPr="00225B0F">
              <w:rPr>
                <w:rFonts w:cs="Arial"/>
              </w:rPr>
              <w:t>Мощни инхибитори на цитохром Р450 ЗА4, например итраконазол кетоконазол позаконазол вориконазол еритромицин кларитромицин телитромицин</w:t>
            </w:r>
          </w:p>
          <w:p w14:paraId="4BF29664" w14:textId="7AF047C1" w:rsidR="00225B0F" w:rsidRPr="00225B0F" w:rsidRDefault="00225B0F" w:rsidP="00225B0F">
            <w:pPr>
              <w:rPr>
                <w:rFonts w:cs="Arial"/>
              </w:rPr>
            </w:pPr>
            <w:r w:rsidRPr="00225B0F">
              <w:rPr>
                <w:rFonts w:cs="Arial"/>
                <w:lang w:val="en-US"/>
              </w:rPr>
              <w:lastRenderedPageBreak/>
              <w:t>HIV</w:t>
            </w:r>
            <w:r w:rsidRPr="00225B0F">
              <w:rPr>
                <w:rFonts w:cs="Arial"/>
              </w:rPr>
              <w:t>-протеазни инхибитори, боцепревир Телапревир Нефазодон Циклоспорин Даназол Гемфиброзил</w:t>
            </w:r>
          </w:p>
        </w:tc>
        <w:tc>
          <w:tcPr>
            <w:tcW w:w="4750" w:type="dxa"/>
          </w:tcPr>
          <w:p w14:paraId="348061F4" w14:textId="6EFDC028" w:rsidR="00225B0F" w:rsidRPr="00225B0F" w:rsidRDefault="00225B0F" w:rsidP="00225B0F">
            <w:pPr>
              <w:rPr>
                <w:rFonts w:cs="Arial"/>
              </w:rPr>
            </w:pPr>
            <w:r w:rsidRPr="00225B0F">
              <w:rPr>
                <w:rFonts w:cs="Arial"/>
              </w:rPr>
              <w:lastRenderedPageBreak/>
              <w:t>Противопоказана е едновременното им приложение със симвастатин</w:t>
            </w:r>
          </w:p>
        </w:tc>
      </w:tr>
      <w:tr w:rsidR="00225B0F" w:rsidRPr="00225B0F" w14:paraId="05711EB4" w14:textId="77777777" w:rsidTr="00225B0F">
        <w:tc>
          <w:tcPr>
            <w:tcW w:w="4750" w:type="dxa"/>
          </w:tcPr>
          <w:p w14:paraId="326B7D85" w14:textId="17C1A0EA" w:rsidR="00225B0F" w:rsidRPr="00225B0F" w:rsidRDefault="00225B0F" w:rsidP="00225B0F">
            <w:pPr>
              <w:rPr>
                <w:rFonts w:cs="Arial"/>
              </w:rPr>
            </w:pPr>
            <w:r w:rsidRPr="00225B0F">
              <w:rPr>
                <w:rFonts w:cs="Arial"/>
              </w:rPr>
              <w:t>Други фибрата (с изключение на фенофибрат)</w:t>
            </w:r>
          </w:p>
        </w:tc>
        <w:tc>
          <w:tcPr>
            <w:tcW w:w="4750" w:type="dxa"/>
          </w:tcPr>
          <w:p w14:paraId="60BB1DBF" w14:textId="7A46F783" w:rsidR="00225B0F" w:rsidRPr="00225B0F" w:rsidRDefault="00225B0F" w:rsidP="00225B0F">
            <w:pPr>
              <w:rPr>
                <w:rFonts w:cs="Arial"/>
              </w:rPr>
            </w:pPr>
            <w:r w:rsidRPr="00225B0F">
              <w:rPr>
                <w:rFonts w:cs="Arial"/>
              </w:rPr>
              <w:t xml:space="preserve">дозата на симвастатин не трябва да превишава 10 </w:t>
            </w:r>
            <w:r w:rsidRPr="00225B0F">
              <w:rPr>
                <w:rFonts w:cs="Arial"/>
                <w:lang w:val="en-US"/>
              </w:rPr>
              <w:t>mg</w:t>
            </w:r>
            <w:r w:rsidRPr="00225B0F">
              <w:rPr>
                <w:rFonts w:cs="Arial"/>
              </w:rPr>
              <w:t>/дневно</w:t>
            </w:r>
          </w:p>
        </w:tc>
      </w:tr>
      <w:tr w:rsidR="00225B0F" w:rsidRPr="00225B0F" w14:paraId="2E34A3C9" w14:textId="77777777" w:rsidTr="00225B0F">
        <w:tc>
          <w:tcPr>
            <w:tcW w:w="4750" w:type="dxa"/>
          </w:tcPr>
          <w:p w14:paraId="5FB38B99" w14:textId="0F9259E0" w:rsidR="00225B0F" w:rsidRPr="00225B0F" w:rsidRDefault="00225B0F" w:rsidP="00225B0F">
            <w:pPr>
              <w:rPr>
                <w:rFonts w:cs="Arial"/>
              </w:rPr>
            </w:pPr>
            <w:r w:rsidRPr="00225B0F">
              <w:rPr>
                <w:rFonts w:cs="Arial"/>
              </w:rPr>
              <w:t>Фузидова киселина</w:t>
            </w:r>
          </w:p>
        </w:tc>
        <w:tc>
          <w:tcPr>
            <w:tcW w:w="4750" w:type="dxa"/>
          </w:tcPr>
          <w:p w14:paraId="05FF4CDE" w14:textId="7C8E8E75" w:rsidR="00225B0F" w:rsidRPr="00225B0F" w:rsidRDefault="00225B0F" w:rsidP="00225B0F">
            <w:pPr>
              <w:rPr>
                <w:rFonts w:cs="Arial"/>
              </w:rPr>
            </w:pPr>
            <w:r w:rsidRPr="00225B0F">
              <w:rPr>
                <w:rFonts w:cs="Arial"/>
              </w:rPr>
              <w:t>Не се препоръчва едновременното приложение със симвастатин</w:t>
            </w:r>
          </w:p>
        </w:tc>
      </w:tr>
      <w:tr w:rsidR="00225B0F" w:rsidRPr="00225B0F" w14:paraId="189A9A9B" w14:textId="77777777" w:rsidTr="00225B0F">
        <w:tc>
          <w:tcPr>
            <w:tcW w:w="4750" w:type="dxa"/>
          </w:tcPr>
          <w:p w14:paraId="347C2645" w14:textId="03FC2587" w:rsidR="00225B0F" w:rsidRPr="00225B0F" w:rsidRDefault="00225B0F" w:rsidP="00225B0F">
            <w:pPr>
              <w:rPr>
                <w:rFonts w:cs="Arial"/>
              </w:rPr>
            </w:pPr>
            <w:r w:rsidRPr="00225B0F">
              <w:rPr>
                <w:rFonts w:cs="Arial"/>
              </w:rPr>
              <w:t xml:space="preserve">ниацин(никотинова киселина) (&gt; 1 </w:t>
            </w:r>
            <w:r w:rsidRPr="00225B0F">
              <w:rPr>
                <w:rFonts w:cs="Arial"/>
                <w:lang w:val="en-US"/>
              </w:rPr>
              <w:t xml:space="preserve">g </w:t>
            </w:r>
            <w:r w:rsidRPr="00225B0F">
              <w:rPr>
                <w:rFonts w:cs="Arial"/>
              </w:rPr>
              <w:t>дневно)</w:t>
            </w:r>
          </w:p>
        </w:tc>
        <w:tc>
          <w:tcPr>
            <w:tcW w:w="4750" w:type="dxa"/>
          </w:tcPr>
          <w:p w14:paraId="19D4ED26" w14:textId="7B386BCE" w:rsidR="00225B0F" w:rsidRPr="00225B0F" w:rsidRDefault="00225B0F" w:rsidP="00225B0F">
            <w:pPr>
              <w:rPr>
                <w:rFonts w:cs="Arial"/>
              </w:rPr>
            </w:pPr>
            <w:r w:rsidRPr="00225B0F">
              <w:rPr>
                <w:rFonts w:cs="Arial"/>
              </w:rPr>
              <w:t>Не се препоръчва със симвастатин при азиатци</w:t>
            </w:r>
          </w:p>
        </w:tc>
      </w:tr>
      <w:tr w:rsidR="00225B0F" w:rsidRPr="00225B0F" w14:paraId="57E05FBA" w14:textId="77777777" w:rsidTr="00225B0F">
        <w:tc>
          <w:tcPr>
            <w:tcW w:w="4750" w:type="dxa"/>
          </w:tcPr>
          <w:p w14:paraId="7E29F0F0" w14:textId="2CE599D4" w:rsidR="00225B0F" w:rsidRPr="00225B0F" w:rsidRDefault="00225B0F" w:rsidP="00225B0F">
            <w:pPr>
              <w:rPr>
                <w:rFonts w:cs="Arial"/>
              </w:rPr>
            </w:pPr>
            <w:r w:rsidRPr="00225B0F">
              <w:rPr>
                <w:rFonts w:cs="Arial"/>
              </w:rPr>
              <w:t>Амиодарон Амлодипин Вераламил Дилтиазем Елбасвир Гразопревир</w:t>
            </w:r>
          </w:p>
        </w:tc>
        <w:tc>
          <w:tcPr>
            <w:tcW w:w="4750" w:type="dxa"/>
          </w:tcPr>
          <w:p w14:paraId="2A0D3614" w14:textId="7F4B2F5B" w:rsidR="00225B0F" w:rsidRPr="00225B0F" w:rsidRDefault="00225B0F" w:rsidP="00225B0F">
            <w:pPr>
              <w:rPr>
                <w:rFonts w:cs="Arial"/>
              </w:rPr>
            </w:pPr>
            <w:r w:rsidRPr="00225B0F">
              <w:rPr>
                <w:rFonts w:cs="Arial"/>
              </w:rPr>
              <w:t xml:space="preserve">дозата на симвастатин не трябва да превишава 20 </w:t>
            </w:r>
            <w:r w:rsidRPr="00225B0F">
              <w:rPr>
                <w:rFonts w:cs="Arial"/>
                <w:lang w:val="en-US"/>
              </w:rPr>
              <w:t>mg</w:t>
            </w:r>
            <w:r w:rsidRPr="00225B0F">
              <w:rPr>
                <w:rFonts w:cs="Arial"/>
              </w:rPr>
              <w:t>/дневно</w:t>
            </w:r>
          </w:p>
        </w:tc>
      </w:tr>
      <w:tr w:rsidR="00225B0F" w:rsidRPr="00225B0F" w14:paraId="54DBE7DD" w14:textId="77777777" w:rsidTr="00225B0F">
        <w:tc>
          <w:tcPr>
            <w:tcW w:w="4750" w:type="dxa"/>
          </w:tcPr>
          <w:p w14:paraId="55C540D4" w14:textId="0264B1FE" w:rsidR="00225B0F" w:rsidRPr="00225B0F" w:rsidRDefault="00225B0F" w:rsidP="00225B0F">
            <w:pPr>
              <w:rPr>
                <w:rFonts w:cs="Arial"/>
              </w:rPr>
            </w:pPr>
            <w:r w:rsidRPr="00225B0F">
              <w:rPr>
                <w:rFonts w:cs="Arial"/>
              </w:rPr>
              <w:t>Ломитапид</w:t>
            </w:r>
          </w:p>
        </w:tc>
        <w:tc>
          <w:tcPr>
            <w:tcW w:w="4750" w:type="dxa"/>
          </w:tcPr>
          <w:p w14:paraId="0B54F231" w14:textId="6C0D2188" w:rsidR="00225B0F" w:rsidRPr="00225B0F" w:rsidRDefault="00225B0F" w:rsidP="00225B0F">
            <w:pPr>
              <w:rPr>
                <w:rFonts w:cs="Arial"/>
              </w:rPr>
            </w:pPr>
            <w:r w:rsidRPr="00225B0F">
              <w:rPr>
                <w:rFonts w:cs="Arial"/>
              </w:rPr>
              <w:t xml:space="preserve">Да не се превишава дозата от 40 </w:t>
            </w:r>
            <w:r w:rsidRPr="00225B0F">
              <w:rPr>
                <w:rFonts w:cs="Arial"/>
                <w:lang w:val="en-US"/>
              </w:rPr>
              <w:t xml:space="preserve">mg </w:t>
            </w:r>
            <w:r w:rsidRPr="00225B0F">
              <w:rPr>
                <w:rFonts w:cs="Arial"/>
              </w:rPr>
              <w:t>симвастатин дневно при пациенти с ХоФХ</w:t>
            </w:r>
          </w:p>
        </w:tc>
      </w:tr>
      <w:tr w:rsidR="00225B0F" w:rsidRPr="00225B0F" w14:paraId="054169B2" w14:textId="77777777" w:rsidTr="00225B0F">
        <w:tc>
          <w:tcPr>
            <w:tcW w:w="4750" w:type="dxa"/>
          </w:tcPr>
          <w:p w14:paraId="135AED9E" w14:textId="4ECC4A74" w:rsidR="00225B0F" w:rsidRPr="00225B0F" w:rsidRDefault="00225B0F" w:rsidP="00225B0F">
            <w:pPr>
              <w:rPr>
                <w:rFonts w:cs="Arial"/>
              </w:rPr>
            </w:pPr>
            <w:r w:rsidRPr="00225B0F">
              <w:rPr>
                <w:rFonts w:cs="Arial"/>
              </w:rPr>
              <w:t>Даптомицин</w:t>
            </w:r>
          </w:p>
        </w:tc>
        <w:tc>
          <w:tcPr>
            <w:tcW w:w="4750" w:type="dxa"/>
          </w:tcPr>
          <w:p w14:paraId="225A8231" w14:textId="0E513237" w:rsidR="00225B0F" w:rsidRPr="00225B0F" w:rsidRDefault="00225B0F" w:rsidP="00225B0F">
            <w:pPr>
              <w:rPr>
                <w:rFonts w:cs="Arial"/>
              </w:rPr>
            </w:pPr>
            <w:r w:rsidRPr="00225B0F">
              <w:rPr>
                <w:rFonts w:cs="Arial"/>
              </w:rPr>
              <w:t>Трябва да се обмисли временно спиране на симвастатин при пациенти, приемащи даптомицин, освен ако ползите от едновременното приложение не надхвърлят риска (вж. точка 4.4).</w:t>
            </w:r>
          </w:p>
        </w:tc>
      </w:tr>
      <w:tr w:rsidR="00225B0F" w:rsidRPr="00225B0F" w14:paraId="1EF85089" w14:textId="77777777" w:rsidTr="00225B0F">
        <w:tc>
          <w:tcPr>
            <w:tcW w:w="4750" w:type="dxa"/>
          </w:tcPr>
          <w:p w14:paraId="3980879D" w14:textId="5C0014F0" w:rsidR="00225B0F" w:rsidRPr="00225B0F" w:rsidRDefault="00225B0F" w:rsidP="00225B0F">
            <w:pPr>
              <w:rPr>
                <w:rFonts w:cs="Arial"/>
              </w:rPr>
            </w:pPr>
            <w:r w:rsidRPr="00225B0F">
              <w:rPr>
                <w:rFonts w:cs="Arial"/>
              </w:rPr>
              <w:t>Сок от гейпфрут</w:t>
            </w:r>
          </w:p>
        </w:tc>
        <w:tc>
          <w:tcPr>
            <w:tcW w:w="4750" w:type="dxa"/>
          </w:tcPr>
          <w:p w14:paraId="12DF637C" w14:textId="0A30146E" w:rsidR="00225B0F" w:rsidRPr="00225B0F" w:rsidRDefault="00225B0F" w:rsidP="00225B0F">
            <w:pPr>
              <w:rPr>
                <w:rFonts w:cs="Arial"/>
              </w:rPr>
            </w:pPr>
            <w:r w:rsidRPr="00225B0F">
              <w:rPr>
                <w:rFonts w:cs="Arial"/>
              </w:rPr>
              <w:t>Трябва да се избягва сок от грейпфрут по време на лечение със симвастатин</w:t>
            </w:r>
          </w:p>
        </w:tc>
      </w:tr>
    </w:tbl>
    <w:p w14:paraId="2C81BEEB" w14:textId="718C803F" w:rsidR="00225B0F" w:rsidRPr="00225B0F" w:rsidRDefault="00225B0F" w:rsidP="0091385D">
      <w:pPr>
        <w:rPr>
          <w:rFonts w:cs="Arial"/>
        </w:rPr>
      </w:pPr>
    </w:p>
    <w:p w14:paraId="0A0EC1E8" w14:textId="77777777" w:rsidR="00225B0F" w:rsidRPr="00225B0F" w:rsidRDefault="00225B0F" w:rsidP="00225B0F">
      <w:pPr>
        <w:rPr>
          <w:rFonts w:cs="Arial"/>
        </w:rPr>
      </w:pPr>
      <w:r w:rsidRPr="00225B0F">
        <w:rPr>
          <w:rFonts w:cs="Arial"/>
          <w:u w:val="single"/>
        </w:rPr>
        <w:t xml:space="preserve">Взаимодействия включващи инхибитори на </w:t>
      </w:r>
      <w:r w:rsidRPr="00225B0F">
        <w:rPr>
          <w:rFonts w:cs="Arial"/>
          <w:u w:val="single"/>
          <w:lang w:val="en-US"/>
        </w:rPr>
        <w:t>CYP3A4</w:t>
      </w:r>
    </w:p>
    <w:p w14:paraId="73319701" w14:textId="77777777" w:rsidR="00225B0F" w:rsidRPr="00225B0F" w:rsidRDefault="00225B0F" w:rsidP="00225B0F">
      <w:pPr>
        <w:rPr>
          <w:rFonts w:cs="Arial"/>
        </w:rPr>
      </w:pPr>
      <w:r w:rsidRPr="00225B0F">
        <w:rPr>
          <w:rFonts w:cs="Arial"/>
        </w:rPr>
        <w:t xml:space="preserve">Симвастатин е субстрат на цитохром Р450 ЗА4. Силните инхибитори на цитохром Р450 ЗА4 увеличават риска от миопатия и рабдомиолиза чрез увеличаване на концентрацията на </w:t>
      </w:r>
      <w:r w:rsidRPr="00225B0F">
        <w:rPr>
          <w:rFonts w:cs="Arial"/>
          <w:lang w:val="en-US"/>
        </w:rPr>
        <w:t xml:space="preserve">HMG-CoA </w:t>
      </w:r>
      <w:r w:rsidRPr="00225B0F">
        <w:rPr>
          <w:rFonts w:cs="Arial"/>
        </w:rPr>
        <w:t xml:space="preserve">редуктазната инхибиторна активност в плазмата по време на терапията със симвастатин. Такива инхибитори са: итраконазол, кетоконазол, посаконазол, вориконазол, еритромицин, кларитромицин, телитромицин </w:t>
      </w:r>
      <w:r w:rsidRPr="00225B0F">
        <w:rPr>
          <w:rFonts w:cs="Arial"/>
          <w:lang w:val="en-US"/>
        </w:rPr>
        <w:t>HIV</w:t>
      </w:r>
      <w:r w:rsidRPr="00225B0F">
        <w:rPr>
          <w:rFonts w:cs="Arial"/>
        </w:rPr>
        <w:t>-протеазни инхибитори (например нелфинавир), боцепревир, телапревир, нефазодон). Едновременното прилагане на итраконазол води до повече от 10-кратно увеличаване на плазмените нива на симвастатинова киселина (активният метаболит бета- хидроксикиселина). Телитромицин предизвиква 11-кратно увеличаване на плазмените нива на симвастатинова киселина.</w:t>
      </w:r>
    </w:p>
    <w:p w14:paraId="25B484F4" w14:textId="60E67CFA" w:rsidR="00225B0F" w:rsidRPr="00784926" w:rsidRDefault="00225B0F" w:rsidP="00225B0F">
      <w:pPr>
        <w:rPr>
          <w:rFonts w:cs="Arial"/>
        </w:rPr>
      </w:pPr>
      <w:r w:rsidRPr="00225B0F">
        <w:rPr>
          <w:rFonts w:cs="Arial"/>
        </w:rPr>
        <w:t xml:space="preserve">Комбинирането с итраконазол, кетоконазол, позаконазол, вориконазол, </w:t>
      </w:r>
      <w:r w:rsidRPr="00225B0F">
        <w:rPr>
          <w:rFonts w:cs="Arial"/>
          <w:lang w:val="en-US"/>
        </w:rPr>
        <w:t>HIV-</w:t>
      </w:r>
      <w:r w:rsidRPr="00225B0F">
        <w:rPr>
          <w:rFonts w:cs="Arial"/>
        </w:rPr>
        <w:t>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противопоказано, както и с гемфиброзил, циклоспорин и даназол (вж. точка 4.3).</w:t>
      </w:r>
      <w:r w:rsidR="00784926">
        <w:rPr>
          <w:rFonts w:cs="Arial"/>
        </w:rPr>
        <w:t xml:space="preserve"> В случаите, когато лечението с</w:t>
      </w:r>
      <w:r w:rsidR="00784926">
        <w:rPr>
          <w:rFonts w:cs="Arial"/>
          <w:lang w:val="en-US"/>
        </w:rPr>
        <w:t xml:space="preserve"> </w:t>
      </w:r>
      <w:r w:rsidRPr="00225B0F">
        <w:rPr>
          <w:rFonts w:cs="Arial"/>
        </w:rPr>
        <w:t xml:space="preserve">мощни инхибитори на </w:t>
      </w:r>
      <w:r w:rsidRPr="00225B0F">
        <w:rPr>
          <w:rFonts w:cs="Arial"/>
          <w:lang w:val="en-US"/>
        </w:rPr>
        <w:t xml:space="preserve">CYP3A4 </w:t>
      </w:r>
      <w:r w:rsidRPr="00225B0F">
        <w:rPr>
          <w:rFonts w:cs="Arial"/>
        </w:rPr>
        <w:t xml:space="preserve">(средства, които повишават </w:t>
      </w:r>
      <w:r w:rsidRPr="00225B0F">
        <w:rPr>
          <w:rFonts w:cs="Arial"/>
          <w:lang w:val="en-US"/>
        </w:rPr>
        <w:t xml:space="preserve">AUC </w:t>
      </w:r>
      <w:r w:rsidR="00784926">
        <w:rPr>
          <w:rFonts w:cs="Arial"/>
        </w:rPr>
        <w:t>приблизително 5 пъти или</w:t>
      </w:r>
      <w:r w:rsidR="00784926">
        <w:rPr>
          <w:rFonts w:cs="Arial"/>
          <w:lang w:val="en-US"/>
        </w:rPr>
        <w:t xml:space="preserve"> </w:t>
      </w:r>
      <w:r w:rsidRPr="00225B0F">
        <w:rPr>
          <w:rFonts w:cs="Arial"/>
        </w:rPr>
        <w:t xml:space="preserve">повече) не може да се избегне» терапията със симвастатин трябва да се прекрати по време на терапевтичния курс (и да се обмисли употребата на алтернативен статии). Трябва да се подхожда </w:t>
      </w:r>
      <w:r w:rsidRPr="00225B0F">
        <w:rPr>
          <w:rFonts w:eastAsia="Times New Roman" w:cs="Arial"/>
          <w:color w:val="000000"/>
          <w:lang w:eastAsia="bg-BG"/>
        </w:rPr>
        <w:t xml:space="preserve">внимателно и при комбинирането на симвастатин с други, по-слаби инхибитори на </w:t>
      </w:r>
      <w:r w:rsidRPr="00225B0F">
        <w:rPr>
          <w:rFonts w:eastAsia="Times New Roman" w:cs="Arial"/>
          <w:color w:val="000000"/>
          <w:lang w:val="en-US"/>
        </w:rPr>
        <w:t xml:space="preserve">CYP3A4: </w:t>
      </w:r>
      <w:r w:rsidRPr="00225B0F">
        <w:rPr>
          <w:rFonts w:eastAsia="Times New Roman" w:cs="Arial"/>
          <w:color w:val="000000"/>
          <w:lang w:eastAsia="bg-BG"/>
        </w:rPr>
        <w:t>флуконазол, верапамил или дилтиазем (вж. точки 4.2 и 4.4).</w:t>
      </w:r>
    </w:p>
    <w:p w14:paraId="28FBA9CE" w14:textId="77777777" w:rsidR="00225B0F" w:rsidRPr="00225B0F" w:rsidRDefault="00225B0F" w:rsidP="00225B0F">
      <w:pPr>
        <w:spacing w:line="240" w:lineRule="auto"/>
        <w:rPr>
          <w:rFonts w:eastAsia="Times New Roman" w:cs="Arial"/>
          <w:color w:val="000000"/>
          <w:u w:val="single"/>
          <w:lang w:eastAsia="bg-BG"/>
        </w:rPr>
      </w:pPr>
    </w:p>
    <w:p w14:paraId="195D5112" w14:textId="2DE4436E"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Флуконазол</w:t>
      </w:r>
    </w:p>
    <w:p w14:paraId="2BFBDD82"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случаи на рабдомиолиза, свързани с едновременното приложение на симвастатин и фликоназол са докладвани (вижте точка 4.4).</w:t>
      </w:r>
    </w:p>
    <w:p w14:paraId="7500770E" w14:textId="77777777" w:rsidR="00225B0F" w:rsidRPr="00225B0F" w:rsidRDefault="00225B0F" w:rsidP="00225B0F">
      <w:pPr>
        <w:spacing w:line="240" w:lineRule="auto"/>
        <w:rPr>
          <w:rFonts w:eastAsia="Times New Roman" w:cs="Arial"/>
          <w:color w:val="000000"/>
          <w:u w:val="single"/>
          <w:lang w:eastAsia="bg-BG"/>
        </w:rPr>
      </w:pPr>
    </w:p>
    <w:p w14:paraId="786D8004" w14:textId="4C15A24E"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Циклоспорин</w:t>
      </w:r>
    </w:p>
    <w:p w14:paraId="1BD517B6"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lastRenderedPageBreak/>
        <w:t xml:space="preserve">Рискът от миопатия/рабдомиолиза се увеличава при едновременното приложение на циклоспорин особено с високи дози на симвастатин (вж. т. 4.3. и т.4.4.). Поради това дозата на симвастатин не трябва да превишава 10 </w:t>
      </w:r>
      <w:r w:rsidRPr="00225B0F">
        <w:rPr>
          <w:rFonts w:eastAsia="Times New Roman" w:cs="Arial"/>
          <w:color w:val="000000"/>
          <w:lang w:val="en-US"/>
        </w:rPr>
        <w:t xml:space="preserve">mg </w:t>
      </w:r>
      <w:r w:rsidRPr="00225B0F">
        <w:rPr>
          <w:rFonts w:eastAsia="Times New Roman" w:cs="Arial"/>
          <w:color w:val="000000"/>
          <w:lang w:eastAsia="bg-BG"/>
        </w:rPr>
        <w:t>дневно при пациенти получаващи съпътстваща терапия с циклоспорин.</w:t>
      </w:r>
    </w:p>
    <w:p w14:paraId="58FB572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Въпреки, че механизмът не е напълно ясен, циклоспорин повишава </w:t>
      </w:r>
      <w:r w:rsidRPr="00225B0F">
        <w:rPr>
          <w:rFonts w:eastAsia="Times New Roman" w:cs="Arial"/>
          <w:color w:val="000000"/>
          <w:lang w:val="en-US"/>
        </w:rPr>
        <w:t xml:space="preserve">AUC </w:t>
      </w:r>
      <w:r w:rsidRPr="00225B0F">
        <w:rPr>
          <w:rFonts w:eastAsia="Times New Roman" w:cs="Arial"/>
          <w:color w:val="000000"/>
          <w:lang w:eastAsia="bg-BG"/>
        </w:rPr>
        <w:t xml:space="preserve">на симвастатиновата киселина вероятно чрез инхибиране на </w:t>
      </w:r>
      <w:r w:rsidRPr="00225B0F">
        <w:rPr>
          <w:rFonts w:eastAsia="Times New Roman" w:cs="Arial"/>
          <w:color w:val="000000"/>
          <w:lang w:val="en-US"/>
        </w:rPr>
        <w:t xml:space="preserve">CYP3A4 </w:t>
      </w:r>
      <w:r w:rsidRPr="00225B0F">
        <w:rPr>
          <w:rFonts w:eastAsia="Times New Roman" w:cs="Arial"/>
          <w:color w:val="000000"/>
          <w:lang w:eastAsia="bg-BG"/>
        </w:rPr>
        <w:t>и/или ОАТР1В1.</w:t>
      </w:r>
    </w:p>
    <w:p w14:paraId="04F50735" w14:textId="77777777" w:rsidR="00225B0F" w:rsidRPr="00225B0F" w:rsidRDefault="00225B0F" w:rsidP="00225B0F">
      <w:pPr>
        <w:spacing w:line="240" w:lineRule="auto"/>
        <w:rPr>
          <w:rFonts w:eastAsia="Times New Roman" w:cs="Arial"/>
          <w:color w:val="000000"/>
          <w:u w:val="single"/>
          <w:lang w:eastAsia="bg-BG"/>
        </w:rPr>
      </w:pPr>
    </w:p>
    <w:p w14:paraId="3D4AD87E" w14:textId="59AE0B51"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Даназол</w:t>
      </w:r>
    </w:p>
    <w:p w14:paraId="7B60407F"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Рискът от миопатия/рабдомиолиза се увеличава при едновременното приложение на даназол с високи дози на симвастатин (вж. т.4.3. и т.4.4.).</w:t>
      </w:r>
    </w:p>
    <w:p w14:paraId="5E3255E2" w14:textId="77777777" w:rsidR="00225B0F" w:rsidRPr="00225B0F" w:rsidRDefault="00225B0F" w:rsidP="00225B0F">
      <w:pPr>
        <w:spacing w:line="240" w:lineRule="auto"/>
        <w:rPr>
          <w:rFonts w:eastAsia="Times New Roman" w:cs="Arial"/>
          <w:color w:val="000000"/>
          <w:u w:val="single"/>
          <w:lang w:eastAsia="bg-BG"/>
        </w:rPr>
      </w:pPr>
    </w:p>
    <w:p w14:paraId="36974977" w14:textId="59F66FF8"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Гемфиброзил</w:t>
      </w:r>
    </w:p>
    <w:p w14:paraId="64EA217C"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Гемфиброзил повишава </w:t>
      </w:r>
      <w:r w:rsidRPr="00225B0F">
        <w:rPr>
          <w:rFonts w:eastAsia="Times New Roman" w:cs="Arial"/>
          <w:color w:val="000000"/>
          <w:lang w:val="en-US"/>
        </w:rPr>
        <w:t xml:space="preserve">AUC </w:t>
      </w:r>
      <w:r w:rsidRPr="00225B0F">
        <w:rPr>
          <w:rFonts w:eastAsia="Times New Roman" w:cs="Arial"/>
          <w:color w:val="000000"/>
          <w:lang w:eastAsia="bg-BG"/>
        </w:rPr>
        <w:t xml:space="preserve">на симвастатиновата киселина 1,9 пъти, вероятно поради инхибиране на пътя на глюкоронидиране (вж. т.4.3. и т.4.4.). Едновременното приложение на симвастатин и гемфиброзил и/или </w:t>
      </w:r>
      <w:r w:rsidRPr="00225B0F">
        <w:rPr>
          <w:rFonts w:eastAsia="Times New Roman" w:cs="Arial"/>
          <w:color w:val="000000"/>
          <w:lang w:val="en-US"/>
        </w:rPr>
        <w:t xml:space="preserve">OATP1Bl </w:t>
      </w:r>
      <w:r w:rsidRPr="00225B0F">
        <w:rPr>
          <w:rFonts w:eastAsia="Times New Roman" w:cs="Arial"/>
          <w:color w:val="000000"/>
          <w:lang w:eastAsia="bg-BG"/>
        </w:rPr>
        <w:t>е противопаказано.</w:t>
      </w:r>
    </w:p>
    <w:p w14:paraId="0EB89345" w14:textId="77777777" w:rsidR="00225B0F" w:rsidRPr="00225B0F" w:rsidRDefault="00225B0F" w:rsidP="00225B0F">
      <w:pPr>
        <w:spacing w:line="240" w:lineRule="auto"/>
        <w:rPr>
          <w:rFonts w:eastAsia="Times New Roman" w:cs="Arial"/>
          <w:b/>
          <w:bCs/>
          <w:color w:val="000000"/>
          <w:u w:val="single"/>
          <w:lang w:eastAsia="bg-BG"/>
        </w:rPr>
      </w:pPr>
    </w:p>
    <w:p w14:paraId="0513884A" w14:textId="58A36077" w:rsidR="00225B0F" w:rsidRPr="00225B0F" w:rsidRDefault="00225B0F" w:rsidP="00225B0F">
      <w:pPr>
        <w:spacing w:line="240" w:lineRule="auto"/>
        <w:rPr>
          <w:rFonts w:eastAsia="Times New Roman" w:cs="Arial"/>
          <w:lang w:eastAsia="bg-BG"/>
        </w:rPr>
      </w:pPr>
      <w:r w:rsidRPr="00225B0F">
        <w:rPr>
          <w:rFonts w:eastAsia="Times New Roman" w:cs="Arial"/>
          <w:b/>
          <w:bCs/>
          <w:color w:val="000000"/>
          <w:u w:val="single"/>
          <w:lang w:eastAsia="bg-BG"/>
        </w:rPr>
        <w:t>Фузидова киселина:</w:t>
      </w:r>
    </w:p>
    <w:p w14:paraId="5960241F"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При пациенти, приемащи едновременно фузидова киселина и статини може да има повишен риск от миопатия/рабдомиолиза. Едновременното им приложение може да доведе до повишени плазмени концентрации и на двата продукта. Механизмът на това взаимодействие (дали е фармакодинамично или фармакокинетично,или и двете) е неизвестен. Има доклади за рабдомиолиза (включително и редки фатално събития) при пациенти, прилагали тази комбинация. Ако лечението с фузидова киселина се счита за крайно необходимо, лечението със симвастатин трябва да бъде прекъснато, докато свърши лечението с фузидова киселина (вижте точка 4.4).</w:t>
      </w:r>
    </w:p>
    <w:p w14:paraId="799B5F49" w14:textId="77777777" w:rsidR="00225B0F" w:rsidRPr="00225B0F" w:rsidRDefault="00225B0F" w:rsidP="00225B0F">
      <w:pPr>
        <w:spacing w:line="240" w:lineRule="auto"/>
        <w:rPr>
          <w:rFonts w:eastAsia="Times New Roman" w:cs="Arial"/>
          <w:color w:val="000000"/>
          <w:u w:val="single"/>
          <w:lang w:eastAsia="bg-BG"/>
        </w:rPr>
      </w:pPr>
    </w:p>
    <w:p w14:paraId="58569DAA" w14:textId="466DB3E6"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Амиодарон</w:t>
      </w:r>
    </w:p>
    <w:p w14:paraId="0DEB6BE3"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Рискът от миопатия/рабдомиолиза се увеличава при едновременното приложение на амиодарон При клинично проучване, миопатия е била докладвана при 6</w:t>
      </w:r>
      <w:r w:rsidRPr="00225B0F">
        <w:rPr>
          <w:rFonts w:eastAsia="Times New Roman" w:cs="Arial"/>
          <w:i/>
          <w:iCs/>
          <w:color w:val="000000"/>
          <w:lang w:eastAsia="bg-BG"/>
        </w:rPr>
        <w:t>% от</w:t>
      </w:r>
      <w:r w:rsidRPr="00225B0F">
        <w:rPr>
          <w:rFonts w:eastAsia="Times New Roman" w:cs="Arial"/>
          <w:color w:val="000000"/>
          <w:lang w:eastAsia="bg-BG"/>
        </w:rPr>
        <w:t xml:space="preserve"> пациентите приемали симвастатин 80 </w:t>
      </w:r>
      <w:r w:rsidRPr="00225B0F">
        <w:rPr>
          <w:rFonts w:eastAsia="Times New Roman" w:cs="Arial"/>
          <w:color w:val="000000"/>
          <w:lang w:val="en-US"/>
        </w:rPr>
        <w:t xml:space="preserve">mg </w:t>
      </w:r>
      <w:r w:rsidRPr="00225B0F">
        <w:rPr>
          <w:rFonts w:eastAsia="Times New Roman" w:cs="Arial"/>
          <w:color w:val="000000"/>
          <w:lang w:eastAsia="bg-BG"/>
        </w:rPr>
        <w:t>и амиодарон.</w:t>
      </w:r>
    </w:p>
    <w:p w14:paraId="1B9690E0"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Поради това, дозата на симвастатин не трябва да превишава 20 </w:t>
      </w:r>
      <w:r w:rsidRPr="00225B0F">
        <w:rPr>
          <w:rFonts w:eastAsia="Times New Roman" w:cs="Arial"/>
          <w:color w:val="000000"/>
          <w:lang w:val="en-US"/>
        </w:rPr>
        <w:t>mg</w:t>
      </w:r>
      <w:r w:rsidRPr="00225B0F">
        <w:rPr>
          <w:rFonts w:eastAsia="Times New Roman" w:cs="Arial"/>
          <w:color w:val="000000"/>
          <w:lang w:eastAsia="bg-BG"/>
        </w:rPr>
        <w:t>/дневно при пациенти получаващи съпътстващо лечение с амиодарон.</w:t>
      </w:r>
    </w:p>
    <w:p w14:paraId="110676EB" w14:textId="77777777" w:rsidR="00225B0F" w:rsidRPr="00225B0F" w:rsidRDefault="00225B0F" w:rsidP="00225B0F">
      <w:pPr>
        <w:spacing w:line="240" w:lineRule="auto"/>
        <w:rPr>
          <w:rFonts w:eastAsia="Times New Roman" w:cs="Arial"/>
          <w:color w:val="000000"/>
          <w:u w:val="single"/>
          <w:lang w:eastAsia="bg-BG"/>
        </w:rPr>
      </w:pPr>
    </w:p>
    <w:p w14:paraId="7A4097B2" w14:textId="577A7C7C"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Блокери на калциевите канали</w:t>
      </w:r>
    </w:p>
    <w:p w14:paraId="1B087BF5" w14:textId="400CCEFE"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Верапамил</w:t>
      </w:r>
    </w:p>
    <w:p w14:paraId="2F8815E2"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Рискът от миопатия/рабдомиолиза се увеличава при едновременното приложение на верапамил и симвастатин в дози 40 </w:t>
      </w:r>
      <w:r w:rsidRPr="00225B0F">
        <w:rPr>
          <w:rFonts w:eastAsia="Times New Roman" w:cs="Arial"/>
          <w:color w:val="000000"/>
          <w:lang w:val="en-US"/>
        </w:rPr>
        <w:t xml:space="preserve">mg </w:t>
      </w:r>
      <w:r w:rsidRPr="00225B0F">
        <w:rPr>
          <w:rFonts w:eastAsia="Times New Roman" w:cs="Arial"/>
          <w:color w:val="000000"/>
          <w:lang w:eastAsia="bg-BG"/>
        </w:rPr>
        <w:t xml:space="preserve">и 80 </w:t>
      </w:r>
      <w:r w:rsidRPr="00225B0F">
        <w:rPr>
          <w:rFonts w:eastAsia="Times New Roman" w:cs="Arial"/>
          <w:color w:val="000000"/>
          <w:lang w:val="en-US"/>
        </w:rPr>
        <w:t xml:space="preserve">mg </w:t>
      </w:r>
      <w:r w:rsidRPr="00225B0F">
        <w:rPr>
          <w:rFonts w:eastAsia="Times New Roman" w:cs="Arial"/>
          <w:color w:val="000000"/>
          <w:lang w:eastAsia="bg-BG"/>
        </w:rPr>
        <w:t xml:space="preserve">(вижте точка 4.4). При фармакокинетично проучване, едновременното приемане на симвастатин и вераламил води до 2,3 кратно увеличение на експозицията на симвастатинова киселина, вероятно поради инхибиране на </w:t>
      </w:r>
      <w:r w:rsidRPr="00225B0F">
        <w:rPr>
          <w:rFonts w:eastAsia="Times New Roman" w:cs="Arial"/>
          <w:color w:val="000000"/>
          <w:lang w:val="en-US"/>
        </w:rPr>
        <w:t xml:space="preserve">CYP3A4. </w:t>
      </w:r>
      <w:r w:rsidRPr="00225B0F">
        <w:rPr>
          <w:rFonts w:eastAsia="Times New Roman" w:cs="Arial"/>
          <w:color w:val="000000"/>
          <w:lang w:eastAsia="bg-BG"/>
        </w:rPr>
        <w:t xml:space="preserve">Затова дозата на симвастатин не трябва да надвишава 20 </w:t>
      </w:r>
      <w:r w:rsidRPr="00225B0F">
        <w:rPr>
          <w:rFonts w:eastAsia="Times New Roman" w:cs="Arial"/>
          <w:color w:val="000000"/>
          <w:lang w:val="en-US"/>
        </w:rPr>
        <w:t xml:space="preserve">mg </w:t>
      </w:r>
      <w:r w:rsidRPr="00225B0F">
        <w:rPr>
          <w:rFonts w:eastAsia="Times New Roman" w:cs="Arial"/>
          <w:color w:val="000000"/>
          <w:lang w:eastAsia="bg-BG"/>
        </w:rPr>
        <w:t>дневно при пациенти, които едновременно приемат вераламил.</w:t>
      </w:r>
    </w:p>
    <w:p w14:paraId="4A7F545E" w14:textId="77777777" w:rsidR="00225B0F" w:rsidRPr="00225B0F" w:rsidRDefault="00225B0F" w:rsidP="00225B0F">
      <w:pPr>
        <w:spacing w:line="240" w:lineRule="auto"/>
        <w:rPr>
          <w:rFonts w:eastAsia="Times New Roman" w:cs="Arial"/>
          <w:color w:val="000000"/>
          <w:u w:val="single"/>
          <w:lang w:eastAsia="bg-BG"/>
        </w:rPr>
      </w:pPr>
    </w:p>
    <w:p w14:paraId="12BC5B91" w14:textId="67693767"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Дилтиазем</w:t>
      </w:r>
    </w:p>
    <w:p w14:paraId="5F1182B2"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Анализ на наличните клинични изследвания сочи 1% инциденти при пациенти, приемали симвастатин 80 </w:t>
      </w:r>
      <w:r w:rsidRPr="00225B0F">
        <w:rPr>
          <w:rFonts w:eastAsia="Times New Roman" w:cs="Arial"/>
          <w:color w:val="000000"/>
          <w:lang w:val="en-US"/>
        </w:rPr>
        <w:t xml:space="preserve">mg </w:t>
      </w:r>
      <w:r w:rsidRPr="00225B0F">
        <w:rPr>
          <w:rFonts w:eastAsia="Times New Roman" w:cs="Arial"/>
          <w:color w:val="000000"/>
          <w:lang w:eastAsia="bg-BG"/>
        </w:rPr>
        <w:t xml:space="preserve">и дилтиазем. Рискът от миопатия при пациенти приемащи симвастатин 40 </w:t>
      </w:r>
      <w:r w:rsidRPr="00225B0F">
        <w:rPr>
          <w:rFonts w:eastAsia="Times New Roman" w:cs="Arial"/>
          <w:color w:val="000000"/>
          <w:lang w:val="en-US"/>
        </w:rPr>
        <w:t>mg</w:t>
      </w:r>
      <w:r w:rsidRPr="00225B0F">
        <w:rPr>
          <w:rFonts w:eastAsia="Times New Roman" w:cs="Arial"/>
          <w:color w:val="000000"/>
          <w:lang w:eastAsia="bg-BG"/>
        </w:rPr>
        <w:t xml:space="preserve"> не е бил увеличен при едновременно прилагане на дилтиазем (вж. т.4.4.).</w:t>
      </w:r>
    </w:p>
    <w:p w14:paraId="38A7A0CC" w14:textId="77777777" w:rsidR="00225B0F" w:rsidRPr="00225B0F" w:rsidRDefault="00225B0F" w:rsidP="00225B0F">
      <w:pPr>
        <w:rPr>
          <w:rFonts w:eastAsia="Times New Roman" w:cs="Arial"/>
          <w:sz w:val="28"/>
          <w:szCs w:val="24"/>
          <w:lang w:eastAsia="bg-BG"/>
        </w:rPr>
      </w:pPr>
      <w:r w:rsidRPr="00225B0F">
        <w:rPr>
          <w:rFonts w:eastAsia="Times New Roman" w:cs="Arial"/>
          <w:color w:val="000000"/>
          <w:lang w:eastAsia="bg-BG"/>
        </w:rPr>
        <w:t>При проведено фармакокинетично изследване, едновременното приложение на дилтиазем води до 2,7-кратно увеличаване на плазмените нива на симвастатинова киселина вероятно чрез</w:t>
      </w:r>
      <w:r w:rsidRPr="00225B0F">
        <w:rPr>
          <w:rFonts w:eastAsia="Times New Roman" w:cs="Arial"/>
          <w:color w:val="000000"/>
          <w:vertAlign w:val="superscript"/>
          <w:lang w:eastAsia="bg-BG"/>
        </w:rPr>
        <w:t xml:space="preserve"> </w:t>
      </w:r>
      <w:r w:rsidRPr="00225B0F">
        <w:rPr>
          <w:rFonts w:eastAsia="Times New Roman" w:cs="Arial"/>
          <w:color w:val="000000"/>
          <w:lang w:eastAsia="bg-BG"/>
        </w:rPr>
        <w:t xml:space="preserve">инхибиране на </w:t>
      </w:r>
      <w:r w:rsidRPr="00225B0F">
        <w:rPr>
          <w:rFonts w:eastAsia="Times New Roman" w:cs="Arial"/>
          <w:color w:val="000000"/>
          <w:lang w:val="en-US"/>
        </w:rPr>
        <w:t xml:space="preserve">CYP3 </w:t>
      </w:r>
      <w:r w:rsidRPr="00225B0F">
        <w:rPr>
          <w:rFonts w:eastAsia="Times New Roman" w:cs="Arial"/>
          <w:color w:val="000000"/>
          <w:lang w:eastAsia="bg-BG"/>
        </w:rPr>
        <w:t xml:space="preserve">А4. Поради това, дозата на симвастатин не трябва да превишава 20 </w:t>
      </w:r>
      <w:r w:rsidRPr="00225B0F">
        <w:rPr>
          <w:rFonts w:eastAsia="Times New Roman" w:cs="Arial"/>
          <w:color w:val="000000"/>
          <w:lang w:val="en-US"/>
        </w:rPr>
        <w:t>mg/</w:t>
      </w:r>
      <w:r w:rsidRPr="00225B0F">
        <w:rPr>
          <w:rFonts w:eastAsia="Times New Roman" w:cs="Arial"/>
          <w:color w:val="000000"/>
          <w:lang w:eastAsia="bg-BG"/>
        </w:rPr>
        <w:t>дневно</w:t>
      </w:r>
      <w:r>
        <w:rPr>
          <w:rFonts w:eastAsia="Times New Roman" w:cs="Arial"/>
          <w:color w:val="000000"/>
          <w:lang w:eastAsia="bg-BG"/>
        </w:rPr>
        <w:t xml:space="preserve"> </w:t>
      </w:r>
      <w:r w:rsidRPr="00225B0F">
        <w:rPr>
          <w:rFonts w:eastAsia="Times New Roman" w:cs="Arial"/>
          <w:color w:val="000000"/>
          <w:szCs w:val="20"/>
          <w:lang w:eastAsia="bg-BG"/>
        </w:rPr>
        <w:t xml:space="preserve">при пациенти получаващи съпътстващо лечение с </w:t>
      </w:r>
      <w:r w:rsidRPr="00225B0F">
        <w:rPr>
          <w:rFonts w:eastAsia="Times New Roman" w:cs="Arial"/>
          <w:color w:val="000000"/>
          <w:szCs w:val="20"/>
          <w:lang w:eastAsia="bg-BG"/>
        </w:rPr>
        <w:lastRenderedPageBreak/>
        <w:t>дилтиазем, освен, ако очакваната клинична полза превишава увеличения риск от миопатия и рабдомиолиза.</w:t>
      </w:r>
    </w:p>
    <w:p w14:paraId="01823164" w14:textId="77777777" w:rsidR="00225B0F" w:rsidRPr="00225B0F" w:rsidRDefault="00225B0F" w:rsidP="00225B0F">
      <w:pPr>
        <w:spacing w:line="240" w:lineRule="auto"/>
        <w:rPr>
          <w:rFonts w:eastAsia="Times New Roman" w:cs="Arial"/>
          <w:color w:val="000000"/>
          <w:szCs w:val="20"/>
          <w:u w:val="single"/>
          <w:lang w:eastAsia="bg-BG"/>
        </w:rPr>
      </w:pPr>
    </w:p>
    <w:p w14:paraId="11D078C5" w14:textId="48B276BE"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Амлодипин</w:t>
      </w:r>
    </w:p>
    <w:p w14:paraId="05B5DC0F"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При пациенти на лечение с амлодипин, лекувани едновременно със симвастатин има по-голям риск от развитие на миопатия. Във фармакокинетично проучване, едновременното лечение с амлодипин увеличава с 1,6 пъти експозицията на симвастатинова киселина.Поради това, дозата на симвастатин не трябва да превишава 20 </w:t>
      </w:r>
      <w:r w:rsidRPr="00225B0F">
        <w:rPr>
          <w:rFonts w:eastAsia="Times New Roman" w:cs="Arial"/>
          <w:color w:val="000000"/>
          <w:szCs w:val="20"/>
          <w:lang w:val="en-US"/>
        </w:rPr>
        <w:t>mg</w:t>
      </w:r>
      <w:r w:rsidRPr="00225B0F">
        <w:rPr>
          <w:rFonts w:eastAsia="Times New Roman" w:cs="Arial"/>
          <w:color w:val="000000"/>
          <w:szCs w:val="20"/>
          <w:lang w:eastAsia="bg-BG"/>
        </w:rPr>
        <w:t>/дневно при пациенти получаващи съпътстващо лечение с амлодипин (вижте точка 4.4).</w:t>
      </w:r>
    </w:p>
    <w:p w14:paraId="62FAC05C" w14:textId="77777777" w:rsidR="00225B0F" w:rsidRPr="00225B0F" w:rsidRDefault="00225B0F" w:rsidP="00225B0F">
      <w:pPr>
        <w:spacing w:line="240" w:lineRule="auto"/>
        <w:rPr>
          <w:rFonts w:eastAsia="Times New Roman" w:cs="Arial"/>
          <w:i/>
          <w:iCs/>
          <w:color w:val="000000"/>
          <w:szCs w:val="20"/>
          <w:lang w:eastAsia="bg-BG"/>
        </w:rPr>
      </w:pPr>
    </w:p>
    <w:p w14:paraId="2CC7F1A9" w14:textId="2007B6C1"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Ломитапид</w:t>
      </w:r>
    </w:p>
    <w:p w14:paraId="0D8E9B71"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При едновременно приложение на ломитапид със симвастатин, рискът от миопатия и рабдомиолиза може да се повиши (вж. точки 4.3 и 4.4). Следователно, при пациенти с ХоФХ, дозата на симвастатин не трябва да надвишава 40 </w:t>
      </w:r>
      <w:r w:rsidRPr="00225B0F">
        <w:rPr>
          <w:rFonts w:eastAsia="Times New Roman" w:cs="Arial"/>
          <w:color w:val="000000"/>
          <w:szCs w:val="20"/>
          <w:lang w:val="en-US"/>
        </w:rPr>
        <w:t xml:space="preserve">mg </w:t>
      </w:r>
      <w:r w:rsidRPr="00225B0F">
        <w:rPr>
          <w:rFonts w:eastAsia="Times New Roman" w:cs="Arial"/>
          <w:color w:val="000000"/>
          <w:szCs w:val="20"/>
          <w:lang w:eastAsia="bg-BG"/>
        </w:rPr>
        <w:t>дневно при съпътстваща терапия с ломитапид.</w:t>
      </w:r>
    </w:p>
    <w:p w14:paraId="167EF849" w14:textId="77777777" w:rsidR="00225B0F" w:rsidRPr="00225B0F" w:rsidRDefault="00225B0F" w:rsidP="00225B0F">
      <w:pPr>
        <w:spacing w:line="240" w:lineRule="auto"/>
        <w:rPr>
          <w:rFonts w:eastAsia="Times New Roman" w:cs="Arial"/>
          <w:color w:val="000000"/>
          <w:szCs w:val="20"/>
          <w:u w:val="single"/>
          <w:lang w:eastAsia="bg-BG"/>
        </w:rPr>
      </w:pPr>
    </w:p>
    <w:p w14:paraId="32EDF69F" w14:textId="6833638D"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 xml:space="preserve">Умерено мощни инхибитори на </w:t>
      </w:r>
      <w:r w:rsidRPr="00225B0F">
        <w:rPr>
          <w:rFonts w:eastAsia="Times New Roman" w:cs="Arial"/>
          <w:color w:val="000000"/>
          <w:szCs w:val="20"/>
          <w:u w:val="single"/>
          <w:lang w:val="en-US"/>
        </w:rPr>
        <w:t xml:space="preserve">CYP3 </w:t>
      </w:r>
      <w:r w:rsidRPr="00225B0F">
        <w:rPr>
          <w:rFonts w:eastAsia="Times New Roman" w:cs="Arial"/>
          <w:color w:val="000000"/>
          <w:szCs w:val="20"/>
          <w:u w:val="single"/>
          <w:lang w:eastAsia="bg-BG"/>
        </w:rPr>
        <w:t>А4</w:t>
      </w:r>
    </w:p>
    <w:p w14:paraId="6E1B10EB"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Пациентите, приемащи едновременно със симвастатин други лекарствени продукти, определяни като умерено мощни инхибитори на </w:t>
      </w:r>
      <w:r w:rsidRPr="00225B0F">
        <w:rPr>
          <w:rFonts w:eastAsia="Times New Roman" w:cs="Arial"/>
          <w:color w:val="000000"/>
          <w:szCs w:val="20"/>
          <w:lang w:val="en-US"/>
        </w:rPr>
        <w:t xml:space="preserve">CYP3A4, </w:t>
      </w:r>
      <w:r w:rsidRPr="00225B0F">
        <w:rPr>
          <w:rFonts w:eastAsia="Times New Roman" w:cs="Arial"/>
          <w:color w:val="000000"/>
          <w:szCs w:val="20"/>
          <w:lang w:eastAsia="bg-BG"/>
        </w:rPr>
        <w:t>особено ако са на висока доза симвастатин, може да са с повишен риск от миопатия (вж. точка 4.4).</w:t>
      </w:r>
    </w:p>
    <w:p w14:paraId="052E9C6B" w14:textId="77777777" w:rsidR="00225B0F" w:rsidRPr="00225B0F" w:rsidRDefault="00225B0F" w:rsidP="00225B0F">
      <w:pPr>
        <w:spacing w:line="240" w:lineRule="auto"/>
        <w:rPr>
          <w:rFonts w:eastAsia="Times New Roman" w:cs="Arial"/>
          <w:i/>
          <w:iCs/>
          <w:color w:val="000000"/>
          <w:szCs w:val="20"/>
          <w:lang w:eastAsia="bg-BG"/>
        </w:rPr>
      </w:pPr>
    </w:p>
    <w:p w14:paraId="1F64FB70" w14:textId="6EB086C1"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Инхибитори на транспортния протеин ОАТР1В1</w:t>
      </w:r>
    </w:p>
    <w:p w14:paraId="000EB91B"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повишаване на плазмените концентрации на симвастатинова киселина и повишен риск от миопатия (вж. точки 4.3 и 4.4).</w:t>
      </w:r>
    </w:p>
    <w:p w14:paraId="54E84BCB" w14:textId="77777777" w:rsidR="00225B0F" w:rsidRPr="00225B0F" w:rsidRDefault="00225B0F" w:rsidP="00225B0F">
      <w:pPr>
        <w:spacing w:line="240" w:lineRule="auto"/>
        <w:rPr>
          <w:rFonts w:eastAsia="Times New Roman" w:cs="Arial"/>
          <w:i/>
          <w:iCs/>
          <w:color w:val="000000"/>
          <w:szCs w:val="20"/>
          <w:lang w:eastAsia="bg-BG"/>
        </w:rPr>
      </w:pPr>
    </w:p>
    <w:p w14:paraId="4FDFE3E0" w14:textId="08739358"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 xml:space="preserve">Инхибитори на протеина на резистентност на рака на гърдата </w:t>
      </w:r>
      <w:r w:rsidRPr="00225B0F">
        <w:rPr>
          <w:rFonts w:eastAsia="Times New Roman" w:cs="Arial"/>
          <w:i/>
          <w:iCs/>
          <w:color w:val="000000"/>
          <w:szCs w:val="20"/>
          <w:lang w:val="en-US"/>
        </w:rPr>
        <w:t>(BCRP)</w:t>
      </w:r>
    </w:p>
    <w:p w14:paraId="5B35E284"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Едновременно приложение на лекарствени продукти, които са инхибитори на </w:t>
      </w:r>
      <w:r w:rsidRPr="00225B0F">
        <w:rPr>
          <w:rFonts w:eastAsia="Times New Roman" w:cs="Arial"/>
          <w:color w:val="000000"/>
          <w:szCs w:val="20"/>
          <w:lang w:val="en-US"/>
        </w:rPr>
        <w:t xml:space="preserve">BCRP, </w:t>
      </w:r>
      <w:r w:rsidRPr="00225B0F">
        <w:rPr>
          <w:rFonts w:eastAsia="Times New Roman" w:cs="Arial"/>
          <w:color w:val="000000"/>
          <w:szCs w:val="20"/>
          <w:lang w:eastAsia="bg-BG"/>
        </w:rPr>
        <w:t>включително продукта съдържащи елбасвир или гразопревир може да доведе до повишени плазмени концентрации на симвастатин и повишен риск от миопатия (вж. точки 4.2 и 4.4).</w:t>
      </w:r>
    </w:p>
    <w:p w14:paraId="5CC18E0E" w14:textId="77777777" w:rsidR="00225B0F" w:rsidRPr="00225B0F" w:rsidRDefault="00225B0F" w:rsidP="00225B0F">
      <w:pPr>
        <w:spacing w:line="240" w:lineRule="auto"/>
        <w:rPr>
          <w:rFonts w:eastAsia="Times New Roman" w:cs="Arial"/>
          <w:i/>
          <w:iCs/>
          <w:color w:val="000000"/>
          <w:szCs w:val="20"/>
          <w:lang w:eastAsia="bg-BG"/>
        </w:rPr>
      </w:pPr>
    </w:p>
    <w:p w14:paraId="3D3FB6C6" w14:textId="2B7C5B26"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Ниацин (никотинова киселина)</w:t>
      </w:r>
    </w:p>
    <w:p w14:paraId="50539515"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Рядко са съобщавани случаи на миопатия/рабдомиолиза, свързани с едновременното приложение на симвастатин с липидомодифициращи дози 1 </w:t>
      </w:r>
      <w:r w:rsidRPr="00225B0F">
        <w:rPr>
          <w:rFonts w:eastAsia="Times New Roman" w:cs="Arial"/>
          <w:color w:val="000000"/>
          <w:szCs w:val="20"/>
          <w:lang w:val="en-US"/>
        </w:rPr>
        <w:t xml:space="preserve">g </w:t>
      </w:r>
      <w:r w:rsidRPr="00225B0F">
        <w:rPr>
          <w:rFonts w:eastAsia="Times New Roman" w:cs="Arial"/>
          <w:color w:val="000000"/>
          <w:szCs w:val="20"/>
          <w:lang w:eastAsia="bg-BG"/>
        </w:rPr>
        <w:t xml:space="preserve">дневно) на ниацин (никотинова киселина). В едно фармакокинетично проучване едновременното приложение на еднократна доза от 2 </w:t>
      </w:r>
      <w:r w:rsidRPr="00225B0F">
        <w:rPr>
          <w:rFonts w:eastAsia="Times New Roman" w:cs="Arial"/>
          <w:color w:val="000000"/>
          <w:szCs w:val="20"/>
          <w:lang w:val="en-US"/>
        </w:rPr>
        <w:t xml:space="preserve">g </w:t>
      </w:r>
      <w:r w:rsidRPr="00225B0F">
        <w:rPr>
          <w:rFonts w:eastAsia="Times New Roman" w:cs="Arial"/>
          <w:color w:val="000000"/>
          <w:szCs w:val="20"/>
          <w:lang w:eastAsia="bg-BG"/>
        </w:rPr>
        <w:t xml:space="preserve">никотинова киселина с удължено освобождаване със симвастатин 20 </w:t>
      </w:r>
      <w:r w:rsidRPr="00225B0F">
        <w:rPr>
          <w:rFonts w:eastAsia="Times New Roman" w:cs="Arial"/>
          <w:color w:val="000000"/>
          <w:szCs w:val="20"/>
          <w:lang w:val="en-US"/>
        </w:rPr>
        <w:t xml:space="preserve">mg </w:t>
      </w:r>
      <w:r w:rsidRPr="00225B0F">
        <w:rPr>
          <w:rFonts w:eastAsia="Times New Roman" w:cs="Arial"/>
          <w:color w:val="000000"/>
          <w:szCs w:val="20"/>
          <w:lang w:eastAsia="bg-BG"/>
        </w:rPr>
        <w:t xml:space="preserve">е довело до умерено увеличение на </w:t>
      </w:r>
      <w:r w:rsidRPr="00225B0F">
        <w:rPr>
          <w:rFonts w:eastAsia="Times New Roman" w:cs="Arial"/>
          <w:color w:val="000000"/>
          <w:szCs w:val="20"/>
          <w:lang w:val="en-US"/>
        </w:rPr>
        <w:t xml:space="preserve">AUC </w:t>
      </w:r>
      <w:r w:rsidRPr="00225B0F">
        <w:rPr>
          <w:rFonts w:eastAsia="Times New Roman" w:cs="Arial"/>
          <w:color w:val="000000"/>
          <w:szCs w:val="20"/>
          <w:lang w:eastAsia="bg-BG"/>
        </w:rPr>
        <w:t xml:space="preserve">на симвастатин и симвастатинова киселина и в </w:t>
      </w:r>
      <w:r w:rsidRPr="00225B0F">
        <w:rPr>
          <w:rFonts w:eastAsia="Times New Roman" w:cs="Arial"/>
          <w:i/>
          <w:iCs/>
          <w:color w:val="000000"/>
          <w:szCs w:val="20"/>
          <w:lang w:eastAsia="bg-BG"/>
        </w:rPr>
        <w:t>С</w:t>
      </w:r>
      <w:r w:rsidRPr="00225B0F">
        <w:rPr>
          <w:rFonts w:eastAsia="Times New Roman" w:cs="Arial"/>
          <w:i/>
          <w:iCs/>
          <w:color w:val="000000"/>
          <w:szCs w:val="20"/>
          <w:vertAlign w:val="subscript"/>
          <w:lang w:eastAsia="bg-BG"/>
        </w:rPr>
        <w:t>ж</w:t>
      </w:r>
      <w:r w:rsidRPr="00225B0F">
        <w:rPr>
          <w:rFonts w:eastAsia="Times New Roman" w:cs="Arial"/>
          <w:color w:val="000000"/>
          <w:szCs w:val="20"/>
          <w:lang w:eastAsia="bg-BG"/>
        </w:rPr>
        <w:t xml:space="preserve"> на плазмените концентрации на симвастатинова киселина.</w:t>
      </w:r>
    </w:p>
    <w:p w14:paraId="261C6C88" w14:textId="77777777" w:rsidR="00225B0F" w:rsidRPr="00225B0F" w:rsidRDefault="00225B0F" w:rsidP="00225B0F">
      <w:pPr>
        <w:spacing w:line="240" w:lineRule="auto"/>
        <w:rPr>
          <w:rFonts w:eastAsia="Times New Roman" w:cs="Arial"/>
          <w:i/>
          <w:iCs/>
          <w:color w:val="000000"/>
          <w:szCs w:val="20"/>
          <w:lang w:eastAsia="bg-BG"/>
        </w:rPr>
      </w:pPr>
    </w:p>
    <w:p w14:paraId="318B2796" w14:textId="4E86D815"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Сок от грейпфрут</w:t>
      </w:r>
    </w:p>
    <w:p w14:paraId="427A80FB"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Сокът от грейпфрут инхибира цитохром Р4503А4. Едновременният прием на големи количества (над 1 литър дневно) сок от грейпфрут и симвастатин води до 7-кратно повишение на експозицията към симвастатинова киселина. Приемът на 240 </w:t>
      </w:r>
      <w:r w:rsidRPr="00225B0F">
        <w:rPr>
          <w:rFonts w:eastAsia="Times New Roman" w:cs="Arial"/>
          <w:color w:val="000000"/>
          <w:szCs w:val="20"/>
          <w:lang w:val="en-US"/>
        </w:rPr>
        <w:t xml:space="preserve">ml </w:t>
      </w:r>
      <w:r w:rsidRPr="00225B0F">
        <w:rPr>
          <w:rFonts w:eastAsia="Times New Roman" w:cs="Arial"/>
          <w:color w:val="000000"/>
          <w:szCs w:val="20"/>
          <w:lang w:eastAsia="bg-BG"/>
        </w:rPr>
        <w:t>сок от грейпфрут сутрин и приемът на симвастатин вечер също са предизвикали 1,9-кратно увеличение. Трябва да се избягва прием на сок от грейпфрут по време на лечение със симвастатин.</w:t>
      </w:r>
    </w:p>
    <w:p w14:paraId="6CEFF8A0" w14:textId="4D2214E0" w:rsidR="00225B0F" w:rsidRPr="00225B0F" w:rsidRDefault="00225B0F" w:rsidP="00225B0F">
      <w:pPr>
        <w:spacing w:line="240" w:lineRule="auto"/>
        <w:rPr>
          <w:rFonts w:eastAsia="Times New Roman" w:cs="Arial"/>
          <w:color w:val="000000"/>
          <w:szCs w:val="20"/>
          <w:lang w:eastAsia="bg-BG"/>
        </w:rPr>
      </w:pPr>
    </w:p>
    <w:p w14:paraId="2F87ADDE" w14:textId="2FB70E5A" w:rsidR="00225B0F" w:rsidRPr="00225B0F" w:rsidRDefault="00225B0F" w:rsidP="00225B0F">
      <w:pPr>
        <w:spacing w:line="240" w:lineRule="auto"/>
        <w:rPr>
          <w:rFonts w:eastAsia="Times New Roman" w:cs="Arial"/>
          <w:i/>
          <w:color w:val="000000"/>
          <w:szCs w:val="20"/>
          <w:lang w:eastAsia="bg-BG"/>
        </w:rPr>
      </w:pPr>
      <w:r w:rsidRPr="00225B0F">
        <w:rPr>
          <w:rFonts w:eastAsia="Times New Roman" w:cs="Arial"/>
          <w:i/>
          <w:color w:val="000000"/>
          <w:szCs w:val="20"/>
          <w:lang w:eastAsia="bg-BG"/>
        </w:rPr>
        <w:lastRenderedPageBreak/>
        <w:t>Колхицин</w:t>
      </w:r>
    </w:p>
    <w:p w14:paraId="70B2EEB4" w14:textId="7AAD7F0C"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При пациенти с бъбречно увреждане, приемащи едновременно колхицин и симвастатин има съобщения за миопатия и рабдомиолиза. При пациента, приемащи тази комбинация, се препоръчва стриктно клинично проследяване.</w:t>
      </w:r>
    </w:p>
    <w:p w14:paraId="1B7C6136" w14:textId="77777777" w:rsidR="00225B0F" w:rsidRPr="00225B0F" w:rsidRDefault="00225B0F" w:rsidP="00225B0F">
      <w:pPr>
        <w:spacing w:line="240" w:lineRule="auto"/>
        <w:rPr>
          <w:rFonts w:eastAsia="Times New Roman" w:cs="Arial"/>
          <w:sz w:val="28"/>
          <w:szCs w:val="24"/>
          <w:lang w:eastAsia="bg-BG"/>
        </w:rPr>
      </w:pPr>
    </w:p>
    <w:p w14:paraId="3620EB3F" w14:textId="0DAA04CD" w:rsidR="00225B0F" w:rsidRPr="00225B0F" w:rsidRDefault="00225B0F" w:rsidP="00225B0F">
      <w:pPr>
        <w:rPr>
          <w:rFonts w:cs="Arial"/>
          <w:sz w:val="24"/>
        </w:rPr>
      </w:pPr>
      <w:r w:rsidRPr="00225B0F">
        <w:rPr>
          <w:rFonts w:eastAsia="Times New Roman" w:cs="Arial"/>
          <w:color w:val="000000"/>
          <w:szCs w:val="20"/>
          <w:lang w:eastAsia="bg-BG"/>
        </w:rPr>
        <w:t>Даптомицин</w:t>
      </w:r>
    </w:p>
    <w:p w14:paraId="05CD8521"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Рискът от миопатия и/или рабдомиолиза може да бъде повишен при едновременно прилагане на </w:t>
      </w:r>
      <w:r w:rsidRPr="00225B0F">
        <w:rPr>
          <w:rFonts w:eastAsia="Times New Roman" w:cs="Arial"/>
          <w:color w:val="000000"/>
          <w:szCs w:val="20"/>
          <w:lang w:val="en-US"/>
        </w:rPr>
        <w:t xml:space="preserve">HMG-CoA </w:t>
      </w:r>
      <w:r w:rsidRPr="00225B0F">
        <w:rPr>
          <w:rFonts w:eastAsia="Times New Roman" w:cs="Arial"/>
          <w:color w:val="000000"/>
          <w:szCs w:val="20"/>
          <w:lang w:eastAsia="bg-BG"/>
        </w:rPr>
        <w:t>редуктазни инхибитори (например симвастатин) и даптомицин (вж. точка 4.4).</w:t>
      </w:r>
    </w:p>
    <w:p w14:paraId="1E264116" w14:textId="77777777" w:rsidR="00225B0F" w:rsidRPr="00225B0F" w:rsidRDefault="00225B0F" w:rsidP="00225B0F">
      <w:pPr>
        <w:spacing w:line="240" w:lineRule="auto"/>
        <w:rPr>
          <w:rFonts w:eastAsia="Times New Roman" w:cs="Arial"/>
          <w:i/>
          <w:iCs/>
          <w:color w:val="000000"/>
          <w:szCs w:val="20"/>
          <w:lang w:eastAsia="bg-BG"/>
        </w:rPr>
      </w:pPr>
    </w:p>
    <w:p w14:paraId="3879072C" w14:textId="659B9EC1"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Рифампщин</w:t>
      </w:r>
    </w:p>
    <w:p w14:paraId="16150811"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Тъй като рифампицин е мощен индуктор на </w:t>
      </w:r>
      <w:r w:rsidRPr="00225B0F">
        <w:rPr>
          <w:rFonts w:eastAsia="Times New Roman" w:cs="Arial"/>
          <w:color w:val="000000"/>
          <w:szCs w:val="20"/>
          <w:lang w:val="en-US"/>
        </w:rPr>
        <w:t>CYP3</w:t>
      </w:r>
      <w:r w:rsidRPr="00225B0F">
        <w:rPr>
          <w:rFonts w:eastAsia="Times New Roman" w:cs="Arial"/>
          <w:color w:val="000000"/>
          <w:szCs w:val="20"/>
          <w:lang w:eastAsia="bg-BG"/>
        </w:rPr>
        <w:t xml:space="preserve">А4, ефикасността на симвастатин може да се загуби при пациенти на продължително лечение с рифампицин (напр. лечение на туберкулоза). Във фармакокинетично проучване при здрави доброволци, площта под кривата на плазмената концентрация </w:t>
      </w:r>
      <w:r w:rsidRPr="00225B0F">
        <w:rPr>
          <w:rFonts w:eastAsia="Times New Roman" w:cs="Arial"/>
          <w:color w:val="000000"/>
          <w:szCs w:val="20"/>
          <w:lang w:val="en-US"/>
        </w:rPr>
        <w:t xml:space="preserve">(AUC) </w:t>
      </w:r>
      <w:r w:rsidRPr="00225B0F">
        <w:rPr>
          <w:rFonts w:eastAsia="Times New Roman" w:cs="Arial"/>
          <w:color w:val="000000"/>
          <w:szCs w:val="20"/>
          <w:lang w:eastAsia="bg-BG"/>
        </w:rPr>
        <w:t>на симвастатинова киселина е понижена с 93 % при едновременното приложение на рифампицин.</w:t>
      </w:r>
    </w:p>
    <w:p w14:paraId="3F5972F3" w14:textId="77777777" w:rsidR="00225B0F" w:rsidRPr="00225B0F" w:rsidRDefault="00225B0F" w:rsidP="00225B0F">
      <w:pPr>
        <w:spacing w:line="240" w:lineRule="auto"/>
        <w:rPr>
          <w:rFonts w:eastAsia="Times New Roman" w:cs="Arial"/>
          <w:color w:val="000000"/>
          <w:szCs w:val="20"/>
          <w:u w:val="single"/>
          <w:lang w:eastAsia="bg-BG"/>
        </w:rPr>
      </w:pPr>
    </w:p>
    <w:p w14:paraId="3FE328ED" w14:textId="535D5A2E"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Ефекти на симвастатин върху фармакокинетиката на други лекарствени продукти</w:t>
      </w:r>
    </w:p>
    <w:p w14:paraId="08A5E125"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Симвастатин няма инхибиращ ефект върху цитохром Р450 ЗА4. Ето защо не се очаква симвастатин да повлиява плазмената концентрация на лекарства, метаболизиращи се чрез цитохром Р450 ЗА4.</w:t>
      </w:r>
    </w:p>
    <w:p w14:paraId="7D12C004" w14:textId="77777777" w:rsidR="00225B0F" w:rsidRPr="00225B0F" w:rsidRDefault="00225B0F" w:rsidP="00225B0F">
      <w:pPr>
        <w:spacing w:line="240" w:lineRule="auto"/>
        <w:rPr>
          <w:rFonts w:eastAsia="Times New Roman" w:cs="Arial"/>
          <w:color w:val="000000"/>
          <w:szCs w:val="20"/>
          <w:u w:val="single"/>
          <w:lang w:eastAsia="bg-BG"/>
        </w:rPr>
      </w:pPr>
    </w:p>
    <w:p w14:paraId="5EBB0222" w14:textId="0ECA2C50"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Перорални антикоагуланти</w:t>
      </w:r>
    </w:p>
    <w:p w14:paraId="721F6C5F" w14:textId="474DCD4F" w:rsidR="00225B0F" w:rsidRPr="00225B0F" w:rsidRDefault="00225B0F" w:rsidP="00225B0F">
      <w:pPr>
        <w:rPr>
          <w:rFonts w:cs="Arial"/>
          <w:sz w:val="24"/>
        </w:rPr>
      </w:pPr>
      <w:r w:rsidRPr="00225B0F">
        <w:rPr>
          <w:rFonts w:eastAsia="Times New Roman" w:cs="Arial"/>
          <w:color w:val="000000"/>
          <w:szCs w:val="20"/>
          <w:lang w:eastAsia="bg-BG"/>
        </w:rPr>
        <w:t xml:space="preserve">В две клинични проучвания, едното при здрави доброволци, а другото при пациенти с хиперхолестеролемия, приложението на симвастатин 20-40 </w:t>
      </w:r>
      <w:r w:rsidRPr="00225B0F">
        <w:rPr>
          <w:rFonts w:eastAsia="Times New Roman" w:cs="Arial"/>
          <w:color w:val="000000"/>
          <w:szCs w:val="20"/>
          <w:lang w:val="en-US"/>
        </w:rPr>
        <w:t xml:space="preserve">mg </w:t>
      </w:r>
      <w:r w:rsidRPr="00225B0F">
        <w:rPr>
          <w:rFonts w:eastAsia="Times New Roman" w:cs="Arial"/>
          <w:color w:val="000000"/>
          <w:szCs w:val="20"/>
          <w:lang w:eastAsia="bg-BG"/>
        </w:rPr>
        <w:t xml:space="preserve">дневно е потенцирало в умерена степен ефекта на кумариновите антикоагуланти: протромбиновото време, оценено посредством международното нормализирано отношение </w:t>
      </w:r>
      <w:r w:rsidRPr="00225B0F">
        <w:rPr>
          <w:rFonts w:eastAsia="Times New Roman" w:cs="Arial"/>
          <w:color w:val="000000"/>
          <w:szCs w:val="20"/>
          <w:lang w:val="en-US"/>
        </w:rPr>
        <w:t xml:space="preserve">(INR), </w:t>
      </w:r>
      <w:r w:rsidRPr="00225B0F">
        <w:rPr>
          <w:rFonts w:eastAsia="Times New Roman" w:cs="Arial"/>
          <w:color w:val="000000"/>
          <w:szCs w:val="20"/>
          <w:lang w:eastAsia="bg-BG"/>
        </w:rPr>
        <w:t xml:space="preserve">е нараснало спрямо изходното от 1,7 до 1,8 и от 2,6 до 3,4 съответно в групата на доброволците и групата на пациентите. В много редки случаи са били докладвани повишени стойности на </w:t>
      </w:r>
      <w:r w:rsidRPr="00225B0F">
        <w:rPr>
          <w:rFonts w:eastAsia="Times New Roman" w:cs="Arial"/>
          <w:color w:val="000000"/>
          <w:szCs w:val="20"/>
          <w:lang w:val="en-US"/>
        </w:rPr>
        <w:t xml:space="preserve">INR, </w:t>
      </w:r>
      <w:r w:rsidRPr="00225B0F">
        <w:rPr>
          <w:rFonts w:eastAsia="Times New Roman" w:cs="Arial"/>
          <w:color w:val="000000"/>
          <w:szCs w:val="20"/>
          <w:lang w:eastAsia="bg-BG"/>
        </w:rPr>
        <w:t>При пациенти, които приемат кумаринови антикоагуланти, протромбиновото време трябва да се определя преди да се започне приема на симвастатин и достатъчно често след това в началото на лечението, за да е сигурно, че няма значителни промени в протромбиновото време. След стабилизиране на протромбиновото време, интервалите за проследяване на протромбиновото време могат да бъдат обичайните, които се препоръчват при пациенти на лечение с кумаринови антикоагуланти. Същата процедура се повтаря, в случай че дозата на симвастатин се промени или лечението бъде прекратено. Лечението със симвастатин не се асоциира с кървене или с промени в протромбиновото време при пациентите, които не взимат антикоагуланти.</w:t>
      </w:r>
    </w:p>
    <w:p w14:paraId="0D5742AB" w14:textId="77777777" w:rsidR="00225B0F" w:rsidRPr="0091385D" w:rsidRDefault="00225B0F"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1139F818" w14:textId="77777777" w:rsidR="00225B0F" w:rsidRPr="00225B0F" w:rsidRDefault="00225B0F" w:rsidP="00225B0F">
      <w:pPr>
        <w:pStyle w:val="Heading3"/>
        <w:rPr>
          <w:rFonts w:eastAsia="Times New Roman"/>
          <w:sz w:val="28"/>
          <w:u w:val="single"/>
          <w:lang w:eastAsia="bg-BG"/>
        </w:rPr>
      </w:pPr>
      <w:r w:rsidRPr="00225B0F">
        <w:rPr>
          <w:rFonts w:eastAsia="Times New Roman"/>
          <w:u w:val="single"/>
          <w:lang w:eastAsia="bg-BG"/>
        </w:rPr>
        <w:t>Бременност</w:t>
      </w:r>
    </w:p>
    <w:p w14:paraId="77EF65D7"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Симвастатин е противопоказан по време на бременност (вж т.4.3.).</w:t>
      </w:r>
    </w:p>
    <w:p w14:paraId="3622E0FE"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Безопасността при бременни жени не е установена. Няма данни за проведени контролирани клинични проучвания със симвастатин при бременни жени.</w:t>
      </w:r>
    </w:p>
    <w:p w14:paraId="731E3BB9"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Има редки съобщения за вродени аномалии последвали вътрематочно увеличаване на плазмените нива на </w:t>
      </w:r>
      <w:r w:rsidRPr="00225B0F">
        <w:rPr>
          <w:rFonts w:eastAsia="Times New Roman" w:cs="Arial"/>
          <w:color w:val="000000"/>
          <w:szCs w:val="20"/>
          <w:lang w:val="en-US"/>
        </w:rPr>
        <w:t>HMG-CoA</w:t>
      </w:r>
      <w:r w:rsidRPr="00225B0F">
        <w:rPr>
          <w:rFonts w:eastAsia="Times New Roman" w:cs="Arial"/>
          <w:color w:val="000000"/>
          <w:szCs w:val="20"/>
          <w:lang w:eastAsia="bg-BG"/>
        </w:rPr>
        <w:t xml:space="preserve">-редуктазни инхибитори. При направен анализ на приблизително 200 бременни жени изложени по време на първия триместър от </w:t>
      </w:r>
      <w:r w:rsidRPr="00225B0F">
        <w:rPr>
          <w:rFonts w:eastAsia="Times New Roman" w:cs="Arial"/>
          <w:color w:val="000000"/>
          <w:szCs w:val="20"/>
          <w:lang w:eastAsia="bg-BG"/>
        </w:rPr>
        <w:lastRenderedPageBreak/>
        <w:t xml:space="preserve">бременността на симвастатин или друг сходен </w:t>
      </w:r>
      <w:r w:rsidRPr="00225B0F">
        <w:rPr>
          <w:rFonts w:eastAsia="Times New Roman" w:cs="Arial"/>
          <w:color w:val="000000"/>
          <w:szCs w:val="20"/>
          <w:lang w:val="en-US"/>
        </w:rPr>
        <w:t>HMG</w:t>
      </w:r>
      <w:r w:rsidRPr="00225B0F">
        <w:rPr>
          <w:rFonts w:eastAsia="Times New Roman" w:cs="Arial"/>
          <w:color w:val="000000"/>
          <w:szCs w:val="20"/>
          <w:lang w:eastAsia="bg-BG"/>
        </w:rPr>
        <w:t>-СоА-редуктазен инхибитор разпространението на вродени аномалии са били сравними на тези срещащи се в общата популация.</w:t>
      </w:r>
    </w:p>
    <w:p w14:paraId="69E62509"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Броят на проследените бременности е бил статистически значим, за да се изключат 2,5 пъти или по-голямо нарастване на вродени аномалии над фоновото разпространение.</w:t>
      </w:r>
    </w:p>
    <w:p w14:paraId="3D27BBC9"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Все пак, няма доказателства, че разпространението на вродените аномалии в потомството на пациенти приемали симвастатин или друг сходен </w:t>
      </w:r>
      <w:r w:rsidRPr="00225B0F">
        <w:rPr>
          <w:rFonts w:eastAsia="Times New Roman" w:cs="Arial"/>
          <w:color w:val="000000"/>
          <w:szCs w:val="20"/>
          <w:lang w:val="en-US"/>
        </w:rPr>
        <w:t>HMG</w:t>
      </w:r>
      <w:r w:rsidRPr="00225B0F">
        <w:rPr>
          <w:rFonts w:eastAsia="Times New Roman" w:cs="Arial"/>
          <w:color w:val="000000"/>
          <w:szCs w:val="20"/>
          <w:lang w:eastAsia="bg-BG"/>
        </w:rPr>
        <w:t>-СоА-редуктазен инхибитор се различава от това наблюдавано при нормалната популация. Лечението на майката със симвастатин може да доведе до редуциране на нивата на мевалонат, който е прекурсор на холестероловата биосинтеза при зародиша.</w:t>
      </w:r>
    </w:p>
    <w:p w14:paraId="385BEEFA"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Атеросклерозата е хроничен процес и прекъсването на лечението с понижаващи липидите лекарствени продукти по време на бременност има малко влияние върху дълговременния риск, свързан с първичната хиперхолестеролемия.</w:t>
      </w:r>
    </w:p>
    <w:p w14:paraId="39EBC84F"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Поради тази причина симвастатин не трябва да се използва при жени, които са бременни, опитват  да забременеят или подозират бременност. Лечението със симвастатин трябва да се преустанови по време на бременността или докато се потвърди, че жената не е бременна (вж. т. 4.3 и т. 5.3.).</w:t>
      </w:r>
    </w:p>
    <w:p w14:paraId="1CD6095D" w14:textId="77777777" w:rsidR="00225B0F" w:rsidRPr="00225B0F" w:rsidRDefault="00225B0F" w:rsidP="00225B0F">
      <w:pPr>
        <w:rPr>
          <w:rFonts w:eastAsia="Times New Roman" w:cs="Arial"/>
          <w:color w:val="000000"/>
          <w:szCs w:val="20"/>
          <w:u w:val="single"/>
          <w:lang w:eastAsia="bg-BG"/>
        </w:rPr>
      </w:pPr>
    </w:p>
    <w:p w14:paraId="776662C5" w14:textId="60C26628" w:rsidR="0091385D" w:rsidRPr="00225B0F" w:rsidRDefault="00225B0F" w:rsidP="00225B0F">
      <w:pPr>
        <w:pStyle w:val="Heading3"/>
        <w:rPr>
          <w:u w:val="single"/>
        </w:rPr>
      </w:pPr>
      <w:r w:rsidRPr="00225B0F">
        <w:rPr>
          <w:rFonts w:eastAsia="Times New Roman"/>
          <w:u w:val="single"/>
          <w:lang w:eastAsia="bg-BG"/>
        </w:rPr>
        <w:t>Кърмене</w:t>
      </w:r>
    </w:p>
    <w:p w14:paraId="66E6AFC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Не е известно дали симвастатин или неговите метаболити се екскретират в майчиното мляко. Тъй като много лекарства се екскретират в майчиното мляко и поради потенциалния риск от тежки нежелани лекарствени реакции върху децата, жените приемащи симвастатин не трябва да кърмят своите деца (вж. т. 4.3.).</w:t>
      </w:r>
    </w:p>
    <w:p w14:paraId="21552B80" w14:textId="77777777" w:rsidR="00225B0F" w:rsidRPr="00225B0F" w:rsidRDefault="00225B0F" w:rsidP="00225B0F">
      <w:pPr>
        <w:spacing w:line="240" w:lineRule="auto"/>
        <w:rPr>
          <w:rFonts w:eastAsia="Times New Roman" w:cs="Arial"/>
          <w:color w:val="000000"/>
          <w:szCs w:val="20"/>
          <w:u w:val="single"/>
          <w:lang w:eastAsia="bg-BG"/>
        </w:rPr>
      </w:pPr>
    </w:p>
    <w:p w14:paraId="3AF15009" w14:textId="4F9EFCCD" w:rsidR="00225B0F" w:rsidRPr="00225B0F" w:rsidRDefault="00225B0F" w:rsidP="00225B0F">
      <w:pPr>
        <w:pStyle w:val="Heading3"/>
        <w:rPr>
          <w:rFonts w:eastAsia="Times New Roman"/>
          <w:sz w:val="28"/>
          <w:u w:val="single"/>
          <w:lang w:eastAsia="bg-BG"/>
        </w:rPr>
      </w:pPr>
      <w:r w:rsidRPr="00225B0F">
        <w:rPr>
          <w:rFonts w:eastAsia="Times New Roman"/>
          <w:u w:val="single"/>
          <w:lang w:eastAsia="bg-BG"/>
        </w:rPr>
        <w:t>Фертилет</w:t>
      </w:r>
    </w:p>
    <w:p w14:paraId="57233671" w14:textId="77777777" w:rsidR="00225B0F" w:rsidRPr="00225B0F" w:rsidRDefault="00225B0F" w:rsidP="00225B0F">
      <w:pPr>
        <w:rPr>
          <w:rFonts w:eastAsia="Times New Roman" w:cs="Arial"/>
          <w:color w:val="000000"/>
          <w:szCs w:val="20"/>
          <w:lang w:eastAsia="bg-BG"/>
        </w:rPr>
      </w:pPr>
    </w:p>
    <w:p w14:paraId="3E8789C3" w14:textId="5B729DF9" w:rsidR="0091385D" w:rsidRPr="00225B0F" w:rsidRDefault="00225B0F" w:rsidP="00225B0F">
      <w:pPr>
        <w:rPr>
          <w:rFonts w:cs="Arial"/>
          <w:sz w:val="24"/>
        </w:rPr>
      </w:pPr>
      <w:r w:rsidRPr="00225B0F">
        <w:rPr>
          <w:rFonts w:eastAsia="Times New Roman" w:cs="Arial"/>
          <w:color w:val="000000"/>
          <w:szCs w:val="20"/>
          <w:lang w:eastAsia="bg-BG"/>
        </w:rPr>
        <w:t>Липсват клинични данни относно ефектите на симвастатин върху фертилитета при хора. Симвастатин не е имал ефект върху фертилитета при мъжки и женски плъхове (вж. точка 5.3).</w:t>
      </w:r>
    </w:p>
    <w:p w14:paraId="4B2EBB67" w14:textId="77777777" w:rsidR="00225B0F" w:rsidRPr="0091385D" w:rsidRDefault="00225B0F"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74E80CF1" w:rsidR="0091385D" w:rsidRPr="00225B0F" w:rsidRDefault="00225B0F" w:rsidP="0091385D">
      <w:pPr>
        <w:rPr>
          <w:rFonts w:cs="Arial"/>
        </w:rPr>
      </w:pPr>
      <w:r w:rsidRPr="00225B0F">
        <w:rPr>
          <w:rFonts w:cs="Arial"/>
        </w:rPr>
        <w:t>Симвастатин няма или има незначително влияние върху способността за шофиране или работа с машини. Все пак при шофиране или работа с машини трябва да се има предвид, че при постмаркетинговите наблюдения при лечение със симвастатин в редки случаи е съобщавано за замаяност.</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348C4170"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Честотата на нежеланите лекарствени реакции, които са били докладвани по време на клинични изпитвания и /или постмаркетингови наблюдения, са категоризирани на базата на оценка на тяхната степен на разпространение при големи, дългосрочни, плацебо контролирани клинични проучвания включващи </w:t>
      </w:r>
      <w:r w:rsidRPr="00225B0F">
        <w:rPr>
          <w:rFonts w:eastAsia="Times New Roman" w:cs="Arial"/>
          <w:color w:val="000000"/>
          <w:lang w:val="en-US"/>
        </w:rPr>
        <w:t xml:space="preserve">HPS (Heart protection study) </w:t>
      </w:r>
      <w:r w:rsidRPr="00225B0F">
        <w:rPr>
          <w:rFonts w:eastAsia="Times New Roman" w:cs="Arial"/>
          <w:color w:val="000000"/>
          <w:lang w:eastAsia="bg-BG"/>
        </w:rPr>
        <w:t xml:space="preserve">и </w:t>
      </w:r>
      <w:r w:rsidRPr="00225B0F">
        <w:rPr>
          <w:rFonts w:eastAsia="Times New Roman" w:cs="Arial"/>
          <w:color w:val="000000"/>
          <w:lang w:val="en-US"/>
        </w:rPr>
        <w:t xml:space="preserve">4S (Scandinavian Simvastatin Survival Study) c 20,536 </w:t>
      </w:r>
      <w:r w:rsidRPr="00225B0F">
        <w:rPr>
          <w:rFonts w:eastAsia="Times New Roman" w:cs="Arial"/>
          <w:color w:val="000000"/>
          <w:lang w:eastAsia="bg-BG"/>
        </w:rPr>
        <w:t xml:space="preserve">и </w:t>
      </w:r>
      <w:r w:rsidRPr="00225B0F">
        <w:rPr>
          <w:rFonts w:eastAsia="Times New Roman" w:cs="Arial"/>
          <w:color w:val="000000"/>
          <w:lang w:val="en-US"/>
        </w:rPr>
        <w:t xml:space="preserve">4,444 </w:t>
      </w:r>
      <w:r w:rsidRPr="00225B0F">
        <w:rPr>
          <w:rFonts w:eastAsia="Times New Roman" w:cs="Arial"/>
          <w:color w:val="000000"/>
          <w:lang w:eastAsia="bg-BG"/>
        </w:rPr>
        <w:t xml:space="preserve">пациенти (вж. т. 5.1). При </w:t>
      </w:r>
      <w:r w:rsidRPr="00225B0F">
        <w:rPr>
          <w:rFonts w:eastAsia="Times New Roman" w:cs="Arial"/>
          <w:color w:val="000000"/>
          <w:lang w:val="en-US"/>
        </w:rPr>
        <w:t xml:space="preserve">HPS </w:t>
      </w:r>
      <w:r w:rsidRPr="00225B0F">
        <w:rPr>
          <w:rFonts w:eastAsia="Times New Roman" w:cs="Arial"/>
          <w:color w:val="000000"/>
          <w:lang w:eastAsia="bg-BG"/>
        </w:rPr>
        <w:t xml:space="preserve">са били регистрирани само сериозни нежелани лекарствени реакции, като миалгия, повишени нива на серумните трансаминази и креатинкиназата. За </w:t>
      </w:r>
      <w:r w:rsidRPr="00225B0F">
        <w:rPr>
          <w:rFonts w:eastAsia="Times New Roman" w:cs="Arial"/>
          <w:color w:val="000000"/>
          <w:lang w:val="en-US"/>
        </w:rPr>
        <w:t xml:space="preserve">4S </w:t>
      </w:r>
      <w:r w:rsidRPr="00225B0F">
        <w:rPr>
          <w:rFonts w:eastAsia="Times New Roman" w:cs="Arial"/>
          <w:color w:val="000000"/>
          <w:lang w:eastAsia="bg-BG"/>
        </w:rPr>
        <w:t xml:space="preserve">всички нежелани лекарствени реакции изброени по-долу са били записвани. Ако при тези изследвания степента на разпространение при симвастатин е по-малка или подобна на плацебо и са </w:t>
      </w:r>
      <w:r w:rsidRPr="00225B0F">
        <w:rPr>
          <w:rFonts w:eastAsia="Times New Roman" w:cs="Arial"/>
          <w:color w:val="000000"/>
          <w:lang w:eastAsia="bg-BG"/>
        </w:rPr>
        <w:lastRenderedPageBreak/>
        <w:t>били налице подобни сравнително причинно свързани спонтанни съобщения, тези странични реакции се категоризират като „редки”.</w:t>
      </w:r>
    </w:p>
    <w:p w14:paraId="03B7316F"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При </w:t>
      </w:r>
      <w:r w:rsidRPr="00225B0F">
        <w:rPr>
          <w:rFonts w:eastAsia="Times New Roman" w:cs="Arial"/>
          <w:color w:val="000000"/>
          <w:lang w:val="en-US"/>
        </w:rPr>
        <w:t xml:space="preserve">HPS </w:t>
      </w:r>
      <w:r w:rsidRPr="00225B0F">
        <w:rPr>
          <w:rFonts w:eastAsia="Times New Roman" w:cs="Arial"/>
          <w:color w:val="000000"/>
          <w:lang w:eastAsia="bg-BG"/>
        </w:rPr>
        <w:t xml:space="preserve">(вж. т.5.1.) включващо 20,536 пациенти лекувани с 40 </w:t>
      </w:r>
      <w:r w:rsidRPr="00225B0F">
        <w:rPr>
          <w:rFonts w:eastAsia="Times New Roman" w:cs="Arial"/>
          <w:color w:val="000000"/>
          <w:lang w:val="en-US"/>
        </w:rPr>
        <w:t>mg</w:t>
      </w:r>
      <w:r w:rsidRPr="00225B0F">
        <w:rPr>
          <w:rFonts w:eastAsia="Times New Roman" w:cs="Arial"/>
          <w:color w:val="000000"/>
          <w:lang w:eastAsia="bg-BG"/>
        </w:rPr>
        <w:t>/дневно симвастатин (</w:t>
      </w:r>
      <w:r w:rsidRPr="00225B0F">
        <w:rPr>
          <w:rFonts w:eastAsia="Times New Roman" w:cs="Arial"/>
          <w:color w:val="000000"/>
          <w:lang w:val="en-US"/>
        </w:rPr>
        <w:t>n</w:t>
      </w:r>
      <w:r w:rsidRPr="00225B0F">
        <w:rPr>
          <w:rFonts w:eastAsia="Times New Roman" w:cs="Arial"/>
          <w:color w:val="000000"/>
          <w:lang w:eastAsia="bg-BG"/>
        </w:rPr>
        <w:t>= 10,269) или плацебо (</w:t>
      </w:r>
      <w:r w:rsidRPr="00225B0F">
        <w:rPr>
          <w:rFonts w:eastAsia="Times New Roman" w:cs="Arial"/>
          <w:color w:val="000000"/>
          <w:lang w:val="en-US"/>
        </w:rPr>
        <w:t>n</w:t>
      </w:r>
      <w:r w:rsidRPr="00225B0F">
        <w:rPr>
          <w:rFonts w:eastAsia="Times New Roman" w:cs="Arial"/>
          <w:color w:val="000000"/>
          <w:lang w:eastAsia="bg-BG"/>
        </w:rPr>
        <w:t xml:space="preserve">= 10,267) профилите на безопасност са сравними между пациенти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 xml:space="preserve">и пациенти лекувани с плацебо в продължение на 5 годишното изследване. Процентите на преустановяване на лечението в резултат на странични ефекти са сравними (4,8% при пациенти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 xml:space="preserve">сравнени с 5,1 % пациенти лекувани с плацебо). Разпространението на миопатията е било &lt;0,1% при пациенти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 xml:space="preserve">Увеличените трансаминази (&gt;3 </w:t>
      </w:r>
      <w:r w:rsidRPr="00225B0F">
        <w:rPr>
          <w:rFonts w:eastAsia="Times New Roman" w:cs="Arial"/>
          <w:color w:val="000000"/>
          <w:lang w:val="en-US"/>
        </w:rPr>
        <w:t xml:space="preserve">ULN </w:t>
      </w:r>
      <w:r w:rsidRPr="00225B0F">
        <w:rPr>
          <w:rFonts w:eastAsia="Times New Roman" w:cs="Arial"/>
          <w:color w:val="000000"/>
          <w:lang w:eastAsia="bg-BG"/>
        </w:rPr>
        <w:t>потвърдени с повторен тест) се срещат при 0,21% (</w:t>
      </w:r>
      <w:r w:rsidRPr="00225B0F">
        <w:rPr>
          <w:rFonts w:eastAsia="Times New Roman" w:cs="Arial"/>
          <w:color w:val="000000"/>
          <w:lang w:val="en-US"/>
        </w:rPr>
        <w:t>n</w:t>
      </w:r>
      <w:r w:rsidRPr="00225B0F">
        <w:rPr>
          <w:rFonts w:eastAsia="Times New Roman" w:cs="Arial"/>
          <w:color w:val="000000"/>
          <w:lang w:eastAsia="bg-BG"/>
        </w:rPr>
        <w:t xml:space="preserve">=21) от пациентите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сравнени с 0,09% (</w:t>
      </w:r>
      <w:r w:rsidRPr="00225B0F">
        <w:rPr>
          <w:rFonts w:eastAsia="Times New Roman" w:cs="Arial"/>
          <w:color w:val="000000"/>
          <w:lang w:val="en-US"/>
        </w:rPr>
        <w:t>n</w:t>
      </w:r>
      <w:r w:rsidRPr="00225B0F">
        <w:rPr>
          <w:rFonts w:eastAsia="Times New Roman" w:cs="Arial"/>
          <w:color w:val="000000"/>
          <w:lang w:eastAsia="bg-BG"/>
        </w:rPr>
        <w:t>=9) при пациенти лекувани с плацебо.</w:t>
      </w:r>
    </w:p>
    <w:p w14:paraId="3EE34172" w14:textId="77777777" w:rsidR="00225B0F" w:rsidRPr="00225B0F" w:rsidRDefault="00225B0F" w:rsidP="00225B0F">
      <w:pPr>
        <w:spacing w:line="240" w:lineRule="auto"/>
        <w:rPr>
          <w:rFonts w:eastAsia="Times New Roman" w:cs="Arial"/>
          <w:color w:val="000000"/>
          <w:lang w:eastAsia="bg-BG"/>
        </w:rPr>
      </w:pPr>
    </w:p>
    <w:p w14:paraId="25F02C0E" w14:textId="0DE5AB24"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Честотата на нежеланите лекарствени реакции е класифицирана както следва: Много чести (&gt;1/10);Чести (≥/100, &lt;1/10); Нечести (≥ 1/1000, &lt;1/100); Редки (≥ 1/10000, &lt;1/1000); Много редки, (&lt;1/10000); вкл. изолирани случаи</w:t>
      </w:r>
    </w:p>
    <w:p w14:paraId="77393325" w14:textId="77777777" w:rsidR="00225B0F" w:rsidRPr="00225B0F" w:rsidRDefault="00225B0F" w:rsidP="00225B0F">
      <w:pPr>
        <w:spacing w:line="240" w:lineRule="auto"/>
        <w:rPr>
          <w:rFonts w:eastAsia="Times New Roman" w:cs="Arial"/>
          <w:i/>
          <w:iCs/>
          <w:color w:val="000000"/>
          <w:u w:val="single"/>
          <w:lang w:eastAsia="bg-BG"/>
        </w:rPr>
      </w:pPr>
    </w:p>
    <w:p w14:paraId="09D6E42D" w14:textId="6575E759"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Нарушения на кръвта и лимфната система</w:t>
      </w:r>
    </w:p>
    <w:p w14:paraId="13FC4E55"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анемия</w:t>
      </w:r>
    </w:p>
    <w:p w14:paraId="30FC3B7B" w14:textId="77777777" w:rsidR="00225B0F" w:rsidRPr="00225B0F" w:rsidRDefault="00225B0F" w:rsidP="00225B0F">
      <w:pPr>
        <w:spacing w:line="240" w:lineRule="auto"/>
        <w:rPr>
          <w:rFonts w:eastAsia="Times New Roman" w:cs="Arial"/>
          <w:i/>
          <w:iCs/>
          <w:color w:val="000000"/>
          <w:lang w:eastAsia="bg-BG"/>
        </w:rPr>
      </w:pPr>
    </w:p>
    <w:p w14:paraId="5155C2A5" w14:textId="5C332416" w:rsidR="00225B0F" w:rsidRPr="00225B0F" w:rsidRDefault="00225B0F" w:rsidP="00225B0F">
      <w:pPr>
        <w:spacing w:line="240" w:lineRule="auto"/>
        <w:rPr>
          <w:rFonts w:eastAsia="Times New Roman" w:cs="Arial"/>
          <w:lang w:eastAsia="bg-BG"/>
        </w:rPr>
      </w:pPr>
      <w:r w:rsidRPr="00225B0F">
        <w:rPr>
          <w:rFonts w:eastAsia="Times New Roman" w:cs="Arial"/>
          <w:i/>
          <w:iCs/>
          <w:color w:val="000000"/>
          <w:lang w:eastAsia="bg-BG"/>
        </w:rPr>
        <w:t>Нарушения на имунната система</w:t>
      </w:r>
    </w:p>
    <w:p w14:paraId="62191921"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Много редки: анафилаксия</w:t>
      </w:r>
    </w:p>
    <w:p w14:paraId="1492BB96" w14:textId="77777777" w:rsidR="00225B0F" w:rsidRPr="00225B0F" w:rsidRDefault="00225B0F" w:rsidP="00225B0F">
      <w:pPr>
        <w:spacing w:line="240" w:lineRule="auto"/>
        <w:rPr>
          <w:rFonts w:eastAsia="Times New Roman" w:cs="Arial"/>
          <w:i/>
          <w:iCs/>
          <w:color w:val="000000"/>
          <w:u w:val="single"/>
          <w:lang w:eastAsia="bg-BG"/>
        </w:rPr>
      </w:pPr>
    </w:p>
    <w:p w14:paraId="77E5FFC5" w14:textId="686C0F45"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Психични нарушения</w:t>
      </w:r>
    </w:p>
    <w:p w14:paraId="4D922146"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Много редки: безсъние</w:t>
      </w:r>
    </w:p>
    <w:p w14:paraId="7A136C3E"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С неизвестна честота: депресия</w:t>
      </w:r>
    </w:p>
    <w:p w14:paraId="4B884FB5" w14:textId="77777777" w:rsidR="00225B0F" w:rsidRPr="00225B0F" w:rsidRDefault="00225B0F" w:rsidP="00225B0F">
      <w:pPr>
        <w:spacing w:line="240" w:lineRule="auto"/>
        <w:rPr>
          <w:rFonts w:eastAsia="Times New Roman" w:cs="Arial"/>
          <w:i/>
          <w:iCs/>
          <w:color w:val="000000"/>
          <w:lang w:eastAsia="bg-BG"/>
        </w:rPr>
      </w:pPr>
    </w:p>
    <w:p w14:paraId="562C835A" w14:textId="5782AF34" w:rsidR="00225B0F" w:rsidRPr="00225B0F" w:rsidRDefault="00225B0F" w:rsidP="00225B0F">
      <w:pPr>
        <w:spacing w:line="240" w:lineRule="auto"/>
        <w:rPr>
          <w:rFonts w:eastAsia="Times New Roman" w:cs="Arial"/>
          <w:lang w:eastAsia="bg-BG"/>
        </w:rPr>
      </w:pPr>
      <w:r w:rsidRPr="00225B0F">
        <w:rPr>
          <w:rFonts w:eastAsia="Times New Roman" w:cs="Arial"/>
          <w:i/>
          <w:iCs/>
          <w:color w:val="000000"/>
          <w:lang w:eastAsia="bg-BG"/>
        </w:rPr>
        <w:t>Нарушения на нервната система</w:t>
      </w:r>
    </w:p>
    <w:p w14:paraId="04B80537"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главоболие; парестезия; замаяност; периферна невропатия</w:t>
      </w:r>
      <w:r w:rsidRPr="00225B0F">
        <w:rPr>
          <w:rFonts w:eastAsia="Times New Roman" w:cs="Arial"/>
          <w:color w:val="000000"/>
          <w:lang w:eastAsia="bg-BG"/>
        </w:rPr>
        <w:tab/>
      </w:r>
    </w:p>
    <w:p w14:paraId="22ACC99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Много редки: нарушения на паметта</w:t>
      </w:r>
    </w:p>
    <w:p w14:paraId="4876BAB6" w14:textId="77777777" w:rsidR="00225B0F" w:rsidRPr="00225B0F" w:rsidRDefault="00225B0F" w:rsidP="00225B0F">
      <w:pPr>
        <w:rPr>
          <w:rFonts w:eastAsia="Times New Roman" w:cs="Arial"/>
          <w:i/>
          <w:iCs/>
          <w:color w:val="000000"/>
          <w:u w:val="single"/>
          <w:lang w:eastAsia="bg-BG"/>
        </w:rPr>
      </w:pPr>
    </w:p>
    <w:p w14:paraId="570508C4" w14:textId="4766A939" w:rsidR="0091385D" w:rsidRPr="00225B0F" w:rsidRDefault="00225B0F" w:rsidP="00225B0F">
      <w:pPr>
        <w:rPr>
          <w:rFonts w:cs="Arial"/>
        </w:rPr>
      </w:pPr>
      <w:r w:rsidRPr="00225B0F">
        <w:rPr>
          <w:rFonts w:eastAsia="Times New Roman" w:cs="Arial"/>
          <w:i/>
          <w:iCs/>
          <w:color w:val="000000"/>
          <w:u w:val="single"/>
          <w:lang w:eastAsia="bg-BG"/>
        </w:rPr>
        <w:t>Стомашно-чревни нарушения</w:t>
      </w:r>
    </w:p>
    <w:p w14:paraId="1B9F07FE"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констипация; коремна болка; метеоризъм, гадене; диария; гадене; повръщане; панкреатити</w:t>
      </w:r>
    </w:p>
    <w:p w14:paraId="4BB6883E" w14:textId="77777777" w:rsidR="00225B0F" w:rsidRPr="00225B0F" w:rsidRDefault="00225B0F" w:rsidP="00225B0F">
      <w:pPr>
        <w:spacing w:line="240" w:lineRule="auto"/>
        <w:rPr>
          <w:rFonts w:eastAsia="Times New Roman" w:cs="Arial"/>
          <w:i/>
          <w:iCs/>
          <w:color w:val="000000"/>
          <w:u w:val="single"/>
          <w:lang w:eastAsia="bg-BG"/>
        </w:rPr>
      </w:pPr>
    </w:p>
    <w:p w14:paraId="3F024FB9" w14:textId="10FCC24C"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Хепато-билиарни нарушения</w:t>
      </w:r>
    </w:p>
    <w:p w14:paraId="56B94BBD"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хепатит/жълтеница</w:t>
      </w:r>
    </w:p>
    <w:p w14:paraId="1D9B823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Много редки: фатална и нефатална чернодробна недостатъчност</w:t>
      </w:r>
    </w:p>
    <w:p w14:paraId="27C0229E" w14:textId="77777777" w:rsidR="00225B0F" w:rsidRPr="00225B0F" w:rsidRDefault="00225B0F" w:rsidP="00225B0F">
      <w:pPr>
        <w:spacing w:line="240" w:lineRule="auto"/>
        <w:rPr>
          <w:rFonts w:eastAsia="Times New Roman" w:cs="Arial"/>
          <w:i/>
          <w:iCs/>
          <w:color w:val="000000"/>
          <w:u w:val="single"/>
          <w:lang w:eastAsia="bg-BG"/>
        </w:rPr>
      </w:pPr>
    </w:p>
    <w:p w14:paraId="71DED7FC" w14:textId="278155AA"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Нарушения на кожата и подкожната тъкан</w:t>
      </w:r>
    </w:p>
    <w:p w14:paraId="0D10C940"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обрив; пруритус; алопеция</w:t>
      </w:r>
    </w:p>
    <w:p w14:paraId="395C5DA5" w14:textId="77777777" w:rsidR="00225B0F" w:rsidRPr="00225B0F" w:rsidRDefault="00225B0F" w:rsidP="00225B0F">
      <w:pPr>
        <w:spacing w:line="240" w:lineRule="auto"/>
        <w:rPr>
          <w:rFonts w:eastAsia="Times New Roman" w:cs="Arial"/>
          <w:i/>
          <w:iCs/>
          <w:color w:val="000000"/>
          <w:u w:val="single"/>
          <w:lang w:eastAsia="bg-BG"/>
        </w:rPr>
      </w:pPr>
    </w:p>
    <w:p w14:paraId="5805428A" w14:textId="353B2738"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Нарушения на мускулно- скелетната система и съединителната тъкан</w:t>
      </w:r>
    </w:p>
    <w:p w14:paraId="5CD67B01"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миопатия *(включително и миозит); рабдомиолиза с или без остра бъбречна недостатъчност (вж. т.4.4.); миалгия; мускулни крампи</w:t>
      </w:r>
    </w:p>
    <w:p w14:paraId="2B39AB28"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*В клинични проучвания миопатия се появява често при пациенти, лекувани със симвастатин 80 </w:t>
      </w:r>
      <w:r w:rsidRPr="00225B0F">
        <w:rPr>
          <w:rFonts w:eastAsia="Times New Roman" w:cs="Arial"/>
          <w:color w:val="000000"/>
          <w:lang w:val="en-US"/>
        </w:rPr>
        <w:t>mg</w:t>
      </w:r>
      <w:r w:rsidRPr="00225B0F">
        <w:rPr>
          <w:rFonts w:eastAsia="Times New Roman" w:cs="Arial"/>
          <w:color w:val="000000"/>
          <w:lang w:eastAsia="bg-BG"/>
        </w:rPr>
        <w:t xml:space="preserve">/дневно, в сравнение с пациенти лекувани с 20 </w:t>
      </w:r>
      <w:r w:rsidRPr="00225B0F">
        <w:rPr>
          <w:rFonts w:eastAsia="Times New Roman" w:cs="Arial"/>
          <w:color w:val="000000"/>
          <w:lang w:val="en-US"/>
        </w:rPr>
        <w:t>mg</w:t>
      </w:r>
      <w:r w:rsidRPr="00225B0F">
        <w:rPr>
          <w:rFonts w:eastAsia="Times New Roman" w:cs="Arial"/>
          <w:color w:val="000000"/>
          <w:lang w:eastAsia="bg-BG"/>
        </w:rPr>
        <w:t xml:space="preserve">/дневно (1,0% </w:t>
      </w:r>
      <w:r w:rsidRPr="00225B0F">
        <w:rPr>
          <w:rFonts w:eastAsia="Times New Roman" w:cs="Arial"/>
          <w:color w:val="000000"/>
          <w:lang w:val="en-US"/>
        </w:rPr>
        <w:t xml:space="preserve">vs. </w:t>
      </w:r>
      <w:r w:rsidRPr="00225B0F">
        <w:rPr>
          <w:rFonts w:eastAsia="Times New Roman" w:cs="Arial"/>
          <w:color w:val="000000"/>
          <w:lang w:eastAsia="bg-BG"/>
        </w:rPr>
        <w:t>0,02%)(вижте т.4.4. и 4.5). С неизвестна честота: тендинопатия, усложнена понякога с руптура. Имуномедиирана некротизираща миопатия** (вж. точка 4.4)</w:t>
      </w:r>
    </w:p>
    <w:p w14:paraId="5E67F68B"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**Много рядко са съобщавани случаи на имуномедиирана некротизираща миопатия (ИМНМ), автоимунна миопатия, по време на или след лечение с някои статини. Клинично ИМНМ се характеризира с: персистираща проксимална мускулна слабост и повишени </w:t>
      </w:r>
      <w:r w:rsidRPr="00225B0F">
        <w:rPr>
          <w:rFonts w:eastAsia="Times New Roman" w:cs="Arial"/>
          <w:color w:val="000000"/>
          <w:lang w:eastAsia="bg-BG"/>
        </w:rPr>
        <w:lastRenderedPageBreak/>
        <w:t>серумни нива на креатин киназата, които персистират, въпреки прекратяването на лечението със статии; мускулна биопсия, показваща некротизираща миопатия без значимо възпаление; подобрение с имуносупресивни средства (вж. точка 4.4).</w:t>
      </w:r>
    </w:p>
    <w:p w14:paraId="4DFE70D3" w14:textId="77777777" w:rsidR="00225B0F" w:rsidRPr="00225B0F" w:rsidRDefault="00225B0F" w:rsidP="00225B0F">
      <w:pPr>
        <w:spacing w:line="240" w:lineRule="auto"/>
        <w:rPr>
          <w:rFonts w:eastAsia="Times New Roman" w:cs="Arial"/>
          <w:i/>
          <w:iCs/>
          <w:color w:val="000000"/>
          <w:lang w:eastAsia="bg-BG"/>
        </w:rPr>
      </w:pPr>
    </w:p>
    <w:p w14:paraId="556A2A9B" w14:textId="5B1BA10E" w:rsidR="00225B0F" w:rsidRPr="00225B0F" w:rsidRDefault="00225B0F" w:rsidP="00225B0F">
      <w:pPr>
        <w:spacing w:line="240" w:lineRule="auto"/>
        <w:rPr>
          <w:rFonts w:eastAsia="Times New Roman" w:cs="Arial"/>
          <w:lang w:eastAsia="bg-BG"/>
        </w:rPr>
      </w:pPr>
      <w:r w:rsidRPr="00225B0F">
        <w:rPr>
          <w:rFonts w:eastAsia="Times New Roman" w:cs="Arial"/>
          <w:i/>
          <w:iCs/>
          <w:color w:val="000000"/>
          <w:lang w:eastAsia="bg-BG"/>
        </w:rPr>
        <w:t>Нарушения на възпроизводителната система и гърдата</w:t>
      </w:r>
    </w:p>
    <w:p w14:paraId="64F15CAA"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еректилна дисфункция</w:t>
      </w:r>
    </w:p>
    <w:p w14:paraId="1B490398" w14:textId="77777777" w:rsidR="00225B0F" w:rsidRPr="00225B0F" w:rsidRDefault="00225B0F" w:rsidP="00225B0F">
      <w:pPr>
        <w:spacing w:line="240" w:lineRule="auto"/>
        <w:rPr>
          <w:rFonts w:eastAsia="Times New Roman" w:cs="Arial"/>
          <w:i/>
          <w:iCs/>
          <w:color w:val="000000"/>
          <w:u w:val="single"/>
          <w:lang w:eastAsia="bg-BG"/>
        </w:rPr>
      </w:pPr>
    </w:p>
    <w:p w14:paraId="1A7CD63A" w14:textId="3CD039DF"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Обши нарушения и ефекти на мястото на приложение</w:t>
      </w:r>
    </w:p>
    <w:p w14:paraId="42333B33"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Астения</w:t>
      </w:r>
    </w:p>
    <w:p w14:paraId="4D11BEC4" w14:textId="77777777" w:rsidR="00225B0F" w:rsidRPr="00225B0F" w:rsidRDefault="00225B0F" w:rsidP="00225B0F">
      <w:pPr>
        <w:spacing w:line="240" w:lineRule="auto"/>
        <w:rPr>
          <w:rFonts w:eastAsia="Times New Roman" w:cs="Arial"/>
          <w:color w:val="000000"/>
          <w:lang w:eastAsia="bg-BG"/>
        </w:rPr>
      </w:pPr>
    </w:p>
    <w:p w14:paraId="4272DBFC" w14:textId="222A5529"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Предполагаем синдром на свръхчувствителност е бил докладван рядко и включва някои от следните признаци: ангиоедем; лупус - подобен синдром, полимиалгия ревматика, дерматомиозит, васкулит; тромбоцитопения, еозинофилия, увеличен повишени нива на С-реактивен протеин, артрит и артралгия, уртикария, фоточувствителност, треска, зачервяване, диспнея, физическо неразположение.</w:t>
      </w:r>
    </w:p>
    <w:p w14:paraId="44844A7C" w14:textId="77777777" w:rsidR="00225B0F" w:rsidRPr="00225B0F" w:rsidRDefault="00225B0F" w:rsidP="00225B0F">
      <w:pPr>
        <w:spacing w:line="240" w:lineRule="auto"/>
        <w:rPr>
          <w:rFonts w:eastAsia="Times New Roman" w:cs="Arial"/>
          <w:i/>
          <w:iCs/>
          <w:color w:val="000000"/>
          <w:u w:val="single"/>
          <w:lang w:eastAsia="bg-BG"/>
        </w:rPr>
      </w:pPr>
    </w:p>
    <w:p w14:paraId="4B6E1ED3" w14:textId="18C479E0"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Изследвания</w:t>
      </w:r>
    </w:p>
    <w:p w14:paraId="5AA15B0B"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увеличени серумни трансаминази (аланин аминотрансфераза; аспартат аминотрансфераза;  гама- глутамил транспептидаза) (вж. т. 4.4. Чернодробни ефекти); увеличена алкална фосфатаза; увеличение в серумните нива на креатинкиназата (вж. т. 4.4.);</w:t>
      </w:r>
    </w:p>
    <w:p w14:paraId="7B2E9F6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Повишаване на Н</w:t>
      </w:r>
      <w:r w:rsidRPr="00225B0F">
        <w:rPr>
          <w:rFonts w:eastAsia="Times New Roman" w:cs="Arial"/>
          <w:color w:val="000000"/>
          <w:lang w:val="en-US"/>
        </w:rPr>
        <w:t>b</w:t>
      </w:r>
      <w:r w:rsidRPr="00225B0F">
        <w:rPr>
          <w:rFonts w:eastAsia="Times New Roman" w:cs="Arial"/>
          <w:color w:val="000000"/>
          <w:lang w:eastAsia="bg-BG"/>
        </w:rPr>
        <w:t>А1 с и серумните нива на глюкоза на гладно са съобщавани при статини, включително симвастатин.</w:t>
      </w:r>
    </w:p>
    <w:p w14:paraId="145D561F" w14:textId="77777777" w:rsidR="00225B0F" w:rsidRPr="00225B0F" w:rsidRDefault="00225B0F" w:rsidP="00225B0F">
      <w:pPr>
        <w:spacing w:line="240" w:lineRule="auto"/>
        <w:rPr>
          <w:rFonts w:eastAsia="Times New Roman" w:cs="Arial"/>
          <w:color w:val="000000"/>
          <w:lang w:eastAsia="bg-BG"/>
        </w:rPr>
      </w:pPr>
    </w:p>
    <w:p w14:paraId="46A5BCD5" w14:textId="0A0C491B"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Постмаркетингов опит</w:t>
      </w:r>
    </w:p>
    <w:p w14:paraId="6A3EE60C" w14:textId="77777777" w:rsidR="00225B0F" w:rsidRPr="00225B0F" w:rsidRDefault="00225B0F" w:rsidP="00225B0F">
      <w:pPr>
        <w:spacing w:line="240" w:lineRule="auto"/>
        <w:rPr>
          <w:rFonts w:eastAsia="Times New Roman" w:cs="Arial"/>
          <w:color w:val="000000"/>
          <w:lang w:eastAsia="bg-BG"/>
        </w:rPr>
      </w:pPr>
    </w:p>
    <w:p w14:paraId="5F4A1ACF" w14:textId="349599ED"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Следните допълнителни нежелани реакции са съобщени при постмаркетингова употреба на симвастатин или по време на клинични проучвания, или при постмаркетингова употреба, съставка.</w:t>
      </w:r>
    </w:p>
    <w:p w14:paraId="1366812C" w14:textId="77777777" w:rsidR="00225B0F" w:rsidRPr="00225B0F" w:rsidRDefault="00225B0F" w:rsidP="00225B0F">
      <w:pPr>
        <w:spacing w:line="240" w:lineRule="auto"/>
        <w:rPr>
          <w:rFonts w:eastAsia="Times New Roman" w:cs="Arial"/>
          <w:color w:val="000000"/>
          <w:lang w:eastAsia="bg-BG"/>
        </w:rPr>
      </w:pPr>
    </w:p>
    <w:p w14:paraId="38F35276" w14:textId="5BBD9769"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При постмаркегинговия опит рядко са съобщавани случаи на когнигивно увреждане (напр. загуба на паметта, разсеяност, амнезия, увреждане на паметта, объркване), свързани с употребата на статини включително симвастатин. Съобщенията обикновено не са сериозни и са обратими при прекъсване на лечението със статин, с различно време на поява на симптомите (1 ден до години) и отзвучаване на симптомите (медиана 3 седмици).</w:t>
      </w:r>
    </w:p>
    <w:p w14:paraId="69AF5BD8" w14:textId="7789FC51" w:rsidR="00225B0F" w:rsidRPr="00225B0F" w:rsidRDefault="00225B0F" w:rsidP="00225B0F">
      <w:pPr>
        <w:spacing w:line="240" w:lineRule="auto"/>
        <w:rPr>
          <w:rFonts w:eastAsia="Times New Roman" w:cs="Arial"/>
          <w:lang w:eastAsia="bg-BG"/>
        </w:rPr>
      </w:pPr>
    </w:p>
    <w:p w14:paraId="07636BA7"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Нарушения на очите:</w:t>
      </w:r>
    </w:p>
    <w:p w14:paraId="43E3C48F" w14:textId="0C2594A7" w:rsidR="0091385D" w:rsidRPr="00225B0F" w:rsidRDefault="00225B0F" w:rsidP="00225B0F">
      <w:pPr>
        <w:rPr>
          <w:rFonts w:cs="Arial"/>
        </w:rPr>
      </w:pPr>
      <w:r w:rsidRPr="00225B0F">
        <w:rPr>
          <w:rFonts w:eastAsia="Times New Roman" w:cs="Arial"/>
          <w:color w:val="000000"/>
          <w:lang w:eastAsia="bg-BG"/>
        </w:rPr>
        <w:t>Редки: замъглено зрение, нарушено зрение</w:t>
      </w:r>
    </w:p>
    <w:p w14:paraId="0B7F9AF0" w14:textId="76BBE985" w:rsidR="00225B0F" w:rsidRDefault="00225B0F" w:rsidP="0091385D"/>
    <w:p w14:paraId="5373E0EE" w14:textId="0060908E" w:rsidR="00225B0F" w:rsidRPr="00784926" w:rsidRDefault="00784926" w:rsidP="00225B0F">
      <w:pPr>
        <w:spacing w:line="240" w:lineRule="auto"/>
        <w:rPr>
          <w:rFonts w:eastAsia="Times New Roman" w:cs="Arial"/>
          <w:lang w:eastAsia="bg-BG"/>
        </w:rPr>
      </w:pPr>
      <w:r w:rsidRPr="00784926">
        <w:rPr>
          <w:rFonts w:eastAsia="Times New Roman" w:cs="Arial"/>
          <w:i/>
          <w:iCs/>
          <w:color w:val="000000"/>
          <w:lang w:eastAsia="bg-BG"/>
        </w:rPr>
        <w:t>Н</w:t>
      </w:r>
      <w:r w:rsidR="00225B0F" w:rsidRPr="00784926">
        <w:rPr>
          <w:rFonts w:eastAsia="Times New Roman" w:cs="Arial"/>
          <w:i/>
          <w:iCs/>
          <w:color w:val="000000"/>
          <w:lang w:eastAsia="bg-BG"/>
        </w:rPr>
        <w:t>арушения на кожата и подкожната тъкан:</w:t>
      </w:r>
    </w:p>
    <w:p w14:paraId="1F88ED25"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Много редки: лихеноидни лекарствени ерупции</w:t>
      </w:r>
    </w:p>
    <w:p w14:paraId="0685A51A" w14:textId="77777777" w:rsidR="00784926" w:rsidRPr="00784926" w:rsidRDefault="00784926" w:rsidP="00225B0F">
      <w:pPr>
        <w:spacing w:line="240" w:lineRule="auto"/>
        <w:rPr>
          <w:rFonts w:eastAsia="Times New Roman" w:cs="Arial"/>
          <w:i/>
          <w:iCs/>
          <w:color w:val="000000"/>
          <w:lang w:eastAsia="bg-BG"/>
        </w:rPr>
      </w:pPr>
    </w:p>
    <w:p w14:paraId="62FE6062" w14:textId="13964299" w:rsidR="00225B0F" w:rsidRPr="00784926" w:rsidRDefault="00225B0F" w:rsidP="00225B0F">
      <w:pPr>
        <w:spacing w:line="240" w:lineRule="auto"/>
        <w:rPr>
          <w:rFonts w:eastAsia="Times New Roman" w:cs="Arial"/>
          <w:lang w:eastAsia="bg-BG"/>
        </w:rPr>
      </w:pPr>
      <w:r w:rsidRPr="00784926">
        <w:rPr>
          <w:rFonts w:eastAsia="Times New Roman" w:cs="Arial"/>
          <w:i/>
          <w:iCs/>
          <w:color w:val="000000"/>
          <w:lang w:eastAsia="bg-BG"/>
        </w:rPr>
        <w:t xml:space="preserve">Нарушения на мускулно-скелетната система и съединителната тъкан: </w:t>
      </w:r>
      <w:r w:rsidRPr="00784926">
        <w:rPr>
          <w:rFonts w:eastAsia="Times New Roman" w:cs="Arial"/>
          <w:color w:val="000000"/>
          <w:lang w:eastAsia="bg-BG"/>
        </w:rPr>
        <w:t>много редки: мускулна ругпура</w:t>
      </w:r>
    </w:p>
    <w:p w14:paraId="4E68FB34" w14:textId="77777777" w:rsidR="00784926" w:rsidRPr="00784926" w:rsidRDefault="00784926" w:rsidP="00225B0F">
      <w:pPr>
        <w:spacing w:line="240" w:lineRule="auto"/>
        <w:rPr>
          <w:rFonts w:eastAsia="Times New Roman" w:cs="Arial"/>
          <w:i/>
          <w:iCs/>
          <w:color w:val="000000"/>
          <w:lang w:eastAsia="bg-BG"/>
        </w:rPr>
      </w:pPr>
    </w:p>
    <w:p w14:paraId="53C4756E" w14:textId="501B9D29" w:rsidR="00225B0F" w:rsidRPr="00784926" w:rsidRDefault="00225B0F" w:rsidP="00225B0F">
      <w:pPr>
        <w:spacing w:line="240" w:lineRule="auto"/>
        <w:rPr>
          <w:rFonts w:eastAsia="Times New Roman" w:cs="Arial"/>
          <w:lang w:eastAsia="bg-BG"/>
        </w:rPr>
      </w:pPr>
      <w:r w:rsidRPr="00784926">
        <w:rPr>
          <w:rFonts w:eastAsia="Times New Roman" w:cs="Arial"/>
          <w:i/>
          <w:iCs/>
          <w:color w:val="000000"/>
          <w:lang w:eastAsia="bg-BG"/>
        </w:rPr>
        <w:t xml:space="preserve">Нарушения на възпроизводителната система и гърдата: </w:t>
      </w:r>
      <w:r w:rsidRPr="00784926">
        <w:rPr>
          <w:rFonts w:eastAsia="Times New Roman" w:cs="Arial"/>
          <w:color w:val="000000"/>
          <w:lang w:eastAsia="bg-BG"/>
        </w:rPr>
        <w:t xml:space="preserve">много редки: </w:t>
      </w:r>
      <w:r w:rsidRPr="00784926">
        <w:rPr>
          <w:rFonts w:eastAsia="Times New Roman" w:cs="Arial"/>
          <w:b/>
          <w:bCs/>
          <w:color w:val="000000"/>
          <w:lang w:eastAsia="bg-BG"/>
        </w:rPr>
        <w:t>гннекомастия</w:t>
      </w:r>
    </w:p>
    <w:p w14:paraId="56C5753D" w14:textId="77777777" w:rsidR="00784926" w:rsidRPr="00784926" w:rsidRDefault="00784926" w:rsidP="00225B0F">
      <w:pPr>
        <w:spacing w:line="240" w:lineRule="auto"/>
        <w:rPr>
          <w:rFonts w:eastAsia="Times New Roman" w:cs="Arial"/>
          <w:i/>
          <w:iCs/>
          <w:color w:val="000000"/>
          <w:u w:val="single"/>
          <w:lang w:eastAsia="bg-BG"/>
        </w:rPr>
      </w:pPr>
    </w:p>
    <w:p w14:paraId="32D9D108" w14:textId="2C79C69E" w:rsidR="00225B0F" w:rsidRPr="00784926" w:rsidRDefault="00225B0F" w:rsidP="00225B0F">
      <w:pPr>
        <w:spacing w:line="240" w:lineRule="auto"/>
        <w:rPr>
          <w:rFonts w:eastAsia="Times New Roman" w:cs="Arial"/>
          <w:lang w:eastAsia="bg-BG"/>
        </w:rPr>
      </w:pPr>
      <w:r w:rsidRPr="00784926">
        <w:rPr>
          <w:rFonts w:eastAsia="Times New Roman" w:cs="Arial"/>
          <w:i/>
          <w:iCs/>
          <w:color w:val="000000"/>
          <w:u w:val="single"/>
          <w:lang w:eastAsia="bg-BG"/>
        </w:rPr>
        <w:t>Следните нежелани реакции са съобщени при някои статини:</w:t>
      </w:r>
    </w:p>
    <w:p w14:paraId="6934F21A"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Нарушения на съня, включително кошмари</w:t>
      </w:r>
    </w:p>
    <w:p w14:paraId="67EEA2C4" w14:textId="77777777" w:rsidR="00784926" w:rsidRPr="00784926" w:rsidRDefault="00784926" w:rsidP="00225B0F">
      <w:pPr>
        <w:spacing w:line="240" w:lineRule="auto"/>
        <w:rPr>
          <w:rFonts w:eastAsia="Times New Roman" w:cs="Arial"/>
          <w:color w:val="000000"/>
          <w:lang w:eastAsia="bg-BG"/>
        </w:rPr>
      </w:pPr>
    </w:p>
    <w:p w14:paraId="2F38B340" w14:textId="702F76D4"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lastRenderedPageBreak/>
        <w:t>Сексуална дисфункция</w:t>
      </w:r>
    </w:p>
    <w:p w14:paraId="67D7705E" w14:textId="77777777" w:rsidR="00784926" w:rsidRPr="00784926" w:rsidRDefault="00784926" w:rsidP="00225B0F">
      <w:pPr>
        <w:spacing w:line="240" w:lineRule="auto"/>
        <w:rPr>
          <w:rFonts w:eastAsia="Times New Roman" w:cs="Arial"/>
          <w:color w:val="000000"/>
          <w:lang w:eastAsia="bg-BG"/>
        </w:rPr>
      </w:pPr>
    </w:p>
    <w:p w14:paraId="2D4175FE" w14:textId="48E72DDE"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 xml:space="preserve">Захарен диабет: Честотата ще зависи от наличието или отсъствието на рискови фактори (глюкоза вкръвта на гладно ≥ 5,6 </w:t>
      </w:r>
      <w:proofErr w:type="spellStart"/>
      <w:r w:rsidRPr="00784926">
        <w:rPr>
          <w:rFonts w:eastAsia="Times New Roman" w:cs="Arial"/>
          <w:color w:val="000000"/>
          <w:lang w:val="en-US"/>
        </w:rPr>
        <w:t>mmol</w:t>
      </w:r>
      <w:proofErr w:type="spellEnd"/>
      <w:r w:rsidRPr="00784926">
        <w:rPr>
          <w:rFonts w:eastAsia="Times New Roman" w:cs="Arial"/>
          <w:color w:val="000000"/>
          <w:lang w:val="en-US"/>
        </w:rPr>
        <w:t xml:space="preserve">/l, </w:t>
      </w:r>
      <w:r w:rsidRPr="00784926">
        <w:rPr>
          <w:rFonts w:eastAsia="Times New Roman" w:cs="Arial"/>
          <w:color w:val="000000"/>
          <w:lang w:eastAsia="bg-BG"/>
        </w:rPr>
        <w:t xml:space="preserve">ВМ1 &gt; 30 </w:t>
      </w:r>
      <w:r w:rsidRPr="00784926">
        <w:rPr>
          <w:rFonts w:eastAsia="Times New Roman" w:cs="Arial"/>
          <w:color w:val="000000"/>
          <w:lang w:val="en-US"/>
        </w:rPr>
        <w:t>kg/m</w:t>
      </w:r>
      <w:r w:rsidRPr="00784926">
        <w:rPr>
          <w:rFonts w:eastAsia="Times New Roman" w:cs="Arial"/>
          <w:color w:val="000000"/>
          <w:vertAlign w:val="superscript"/>
          <w:lang w:val="en-US"/>
        </w:rPr>
        <w:t>2</w:t>
      </w:r>
      <w:r w:rsidRPr="00784926">
        <w:rPr>
          <w:rFonts w:eastAsia="Times New Roman" w:cs="Arial"/>
          <w:color w:val="000000"/>
          <w:lang w:val="en-US"/>
        </w:rPr>
        <w:t xml:space="preserve">, </w:t>
      </w:r>
      <w:r w:rsidRPr="00784926">
        <w:rPr>
          <w:rFonts w:eastAsia="Times New Roman" w:cs="Arial"/>
          <w:color w:val="000000"/>
          <w:lang w:eastAsia="bg-BG"/>
        </w:rPr>
        <w:t>повишени триглицериди, анамнеза за хипертония).</w:t>
      </w:r>
    </w:p>
    <w:p w14:paraId="1C5A5B68" w14:textId="77777777" w:rsidR="00784926" w:rsidRPr="00784926" w:rsidRDefault="00784926" w:rsidP="00225B0F">
      <w:pPr>
        <w:spacing w:line="240" w:lineRule="auto"/>
        <w:rPr>
          <w:rFonts w:eastAsia="Times New Roman" w:cs="Arial"/>
          <w:b/>
          <w:bCs/>
          <w:color w:val="000000"/>
          <w:lang w:eastAsia="bg-BG"/>
        </w:rPr>
      </w:pPr>
    </w:p>
    <w:p w14:paraId="43585FA6" w14:textId="4EFEB45E" w:rsidR="00225B0F" w:rsidRPr="00784926" w:rsidRDefault="00225B0F" w:rsidP="00225B0F">
      <w:pPr>
        <w:spacing w:line="240" w:lineRule="auto"/>
        <w:rPr>
          <w:rFonts w:eastAsia="Times New Roman" w:cs="Arial"/>
          <w:lang w:eastAsia="bg-BG"/>
        </w:rPr>
      </w:pPr>
      <w:r w:rsidRPr="00784926">
        <w:rPr>
          <w:rFonts w:eastAsia="Times New Roman" w:cs="Arial"/>
          <w:b/>
          <w:bCs/>
          <w:color w:val="000000"/>
          <w:lang w:eastAsia="bg-BG"/>
        </w:rPr>
        <w:t>Педиатрична популация</w:t>
      </w:r>
    </w:p>
    <w:p w14:paraId="305A3CFF"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В 48 седмично проучване, включващо деца и юноши (младежи II степен по Танер и нагоре и девойки, които са поне една година след първата им менструация) от 10 до 17 годишна възраст, с хетерозиготна фамилна хиперхолестеролемия (</w:t>
      </w:r>
      <w:r w:rsidRPr="00784926">
        <w:rPr>
          <w:rFonts w:eastAsia="Times New Roman" w:cs="Arial"/>
          <w:color w:val="000000"/>
          <w:lang w:val="en-US"/>
        </w:rPr>
        <w:t>n</w:t>
      </w:r>
      <w:r w:rsidRPr="00784926">
        <w:rPr>
          <w:rFonts w:eastAsia="Times New Roman" w:cs="Arial"/>
          <w:color w:val="000000"/>
          <w:lang w:eastAsia="bg-BG"/>
        </w:rPr>
        <w:t>= 175), профилът на безопасност и поносимост на групата лекувана със симвастатин е бил подобен на този при групата лекувана с плацебо. В дългосрочен план ефектът върху физическото, интелектуално и сексуално развитие не е известен. В момента няма достатъчно налични данни след една година на лечение (вж. точки 4.2, 4.4 и 5.1).</w:t>
      </w:r>
    </w:p>
    <w:p w14:paraId="08C03AB3" w14:textId="77777777" w:rsidR="00784926" w:rsidRPr="00784926" w:rsidRDefault="00784926" w:rsidP="00225B0F">
      <w:pPr>
        <w:spacing w:line="240" w:lineRule="auto"/>
        <w:rPr>
          <w:rFonts w:eastAsia="Times New Roman" w:cs="Arial"/>
          <w:b/>
          <w:bCs/>
          <w:color w:val="000000"/>
          <w:u w:val="single"/>
          <w:lang w:eastAsia="bg-BG"/>
        </w:rPr>
      </w:pPr>
    </w:p>
    <w:p w14:paraId="10E2C660" w14:textId="517175C7" w:rsidR="00225B0F" w:rsidRPr="00784926" w:rsidRDefault="00225B0F" w:rsidP="00225B0F">
      <w:pPr>
        <w:spacing w:line="240" w:lineRule="auto"/>
        <w:rPr>
          <w:rFonts w:eastAsia="Times New Roman" w:cs="Arial"/>
          <w:lang w:eastAsia="bg-BG"/>
        </w:rPr>
      </w:pPr>
      <w:r w:rsidRPr="00784926">
        <w:rPr>
          <w:rFonts w:eastAsia="Times New Roman" w:cs="Arial"/>
          <w:b/>
          <w:bCs/>
          <w:color w:val="000000"/>
          <w:u w:val="single"/>
          <w:lang w:eastAsia="bg-BG"/>
        </w:rPr>
        <w:t>Съобщаване на подозирани нежелани реакции</w:t>
      </w:r>
    </w:p>
    <w:p w14:paraId="66E10C24"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1FA850F" w14:textId="51988B9D" w:rsidR="00225B0F" w:rsidRPr="00784926" w:rsidRDefault="00225B0F" w:rsidP="00225B0F">
      <w:pPr>
        <w:rPr>
          <w:rFonts w:eastAsia="Times New Roman" w:cs="Arial"/>
          <w:color w:val="000000"/>
          <w:lang w:val="en-US"/>
        </w:rPr>
      </w:pPr>
      <w:r w:rsidRPr="00784926">
        <w:rPr>
          <w:rFonts w:eastAsia="Times New Roman" w:cs="Arial"/>
          <w:color w:val="000000"/>
          <w:lang w:eastAsia="bg-BG"/>
        </w:rPr>
        <w:t xml:space="preserve">Изпълнителна агенция по лекарствата, ул.,Дамян Груев" № 8, 1303 София, Тел.: +35928903417, уебсайт: </w:t>
      </w:r>
      <w:r w:rsidRPr="00784926">
        <w:rPr>
          <w:rFonts w:eastAsia="Times New Roman" w:cs="Arial"/>
          <w:lang w:eastAsia="bg-BG"/>
        </w:rPr>
        <w:fldChar w:fldCharType="begin"/>
      </w:r>
      <w:r w:rsidRPr="00784926">
        <w:rPr>
          <w:rFonts w:eastAsia="Times New Roman" w:cs="Arial"/>
          <w:lang w:eastAsia="bg-BG"/>
        </w:rPr>
        <w:instrText xml:space="preserve"> HYPERLINK "http://www.bda.bg" </w:instrText>
      </w:r>
      <w:r w:rsidRPr="00784926">
        <w:rPr>
          <w:rFonts w:eastAsia="Times New Roman" w:cs="Arial"/>
          <w:lang w:eastAsia="bg-BG"/>
        </w:rPr>
      </w:r>
      <w:r w:rsidRPr="00784926">
        <w:rPr>
          <w:rFonts w:eastAsia="Times New Roman" w:cs="Arial"/>
          <w:lang w:eastAsia="bg-BG"/>
        </w:rPr>
        <w:fldChar w:fldCharType="separate"/>
      </w:r>
      <w:r w:rsidRPr="00784926">
        <w:rPr>
          <w:rFonts w:eastAsia="Times New Roman" w:cs="Arial"/>
          <w:color w:val="000000"/>
          <w:u w:val="single"/>
          <w:lang w:val="en-US"/>
        </w:rPr>
        <w:t>www.bda.bg</w:t>
      </w:r>
      <w:r w:rsidRPr="00784926">
        <w:rPr>
          <w:rFonts w:eastAsia="Times New Roman" w:cs="Arial"/>
          <w:lang w:eastAsia="bg-BG"/>
        </w:rPr>
        <w:fldChar w:fldCharType="end"/>
      </w:r>
      <w:r w:rsidRPr="00784926">
        <w:rPr>
          <w:rFonts w:eastAsia="Times New Roman" w:cs="Arial"/>
          <w:color w:val="000000"/>
          <w:lang w:val="en-US"/>
        </w:rPr>
        <w:t>.</w:t>
      </w:r>
    </w:p>
    <w:p w14:paraId="6430F4C7" w14:textId="77777777" w:rsidR="00784926" w:rsidRPr="0091385D" w:rsidRDefault="00784926" w:rsidP="00225B0F"/>
    <w:p w14:paraId="0A023CE0" w14:textId="13F87CFD" w:rsidR="00CF77F7" w:rsidRDefault="002C50EE" w:rsidP="004A448E">
      <w:pPr>
        <w:pStyle w:val="Heading2"/>
      </w:pPr>
      <w:r>
        <w:t>4.9. Предозиране</w:t>
      </w:r>
    </w:p>
    <w:p w14:paraId="3EDFC3FC" w14:textId="296E7EBA" w:rsidR="0091385D" w:rsidRDefault="0091385D" w:rsidP="0091385D"/>
    <w:p w14:paraId="0F0079CB" w14:textId="0E5265CA" w:rsidR="0091385D" w:rsidRPr="00784926" w:rsidRDefault="00784926" w:rsidP="0091385D">
      <w:pPr>
        <w:rPr>
          <w:rFonts w:cs="Arial"/>
        </w:rPr>
      </w:pPr>
      <w:r w:rsidRPr="00784926">
        <w:rPr>
          <w:rFonts w:cs="Arial"/>
        </w:rPr>
        <w:t xml:space="preserve">Има докладвани няколко случаи на предозиране; максималната приета доза е била 3,6 </w:t>
      </w:r>
      <w:r w:rsidRPr="00784926">
        <w:rPr>
          <w:rFonts w:cs="Arial"/>
          <w:lang w:val="en-US"/>
        </w:rPr>
        <w:t xml:space="preserve">g. </w:t>
      </w:r>
      <w:r w:rsidRPr="00784926">
        <w:rPr>
          <w:rFonts w:cs="Arial"/>
        </w:rPr>
        <w:t>Всички пациенти са се възстановили без последствия. Не е налично специфично лечение в случай на предозиране. В такъв случай се прилагат симптоматични и поддържащи мерки, които трябва да бъдат адаптирани към състоянието на пациента.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05BB81E9"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Фармакотерапевтична група: </w:t>
      </w:r>
      <w:r w:rsidRPr="00784926">
        <w:rPr>
          <w:rFonts w:eastAsia="Times New Roman" w:cs="Arial"/>
          <w:color w:val="000000"/>
          <w:szCs w:val="20"/>
          <w:lang w:val="en-US"/>
        </w:rPr>
        <w:t xml:space="preserve">HMG </w:t>
      </w:r>
      <w:r w:rsidRPr="00784926">
        <w:rPr>
          <w:rFonts w:eastAsia="Times New Roman" w:cs="Arial"/>
          <w:color w:val="000000"/>
          <w:szCs w:val="20"/>
          <w:lang w:eastAsia="bg-BG"/>
        </w:rPr>
        <w:t>СоА редуктазни инхибитори.</w:t>
      </w:r>
    </w:p>
    <w:p w14:paraId="0573743B"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val="en-US"/>
        </w:rPr>
        <w:t xml:space="preserve">ATC-Code: </w:t>
      </w:r>
      <w:r w:rsidRPr="00784926">
        <w:rPr>
          <w:rFonts w:eastAsia="Times New Roman" w:cs="Arial"/>
          <w:color w:val="000000"/>
          <w:szCs w:val="20"/>
          <w:lang w:eastAsia="bg-BG"/>
        </w:rPr>
        <w:t>С10АА01</w:t>
      </w:r>
    </w:p>
    <w:p w14:paraId="77C9300F" w14:textId="77777777" w:rsidR="00784926" w:rsidRPr="00784926" w:rsidRDefault="00784926" w:rsidP="00784926">
      <w:pPr>
        <w:spacing w:line="240" w:lineRule="auto"/>
        <w:rPr>
          <w:rFonts w:eastAsia="Times New Roman" w:cs="Arial"/>
          <w:color w:val="000000"/>
          <w:szCs w:val="20"/>
          <w:lang w:eastAsia="bg-BG"/>
        </w:rPr>
      </w:pPr>
    </w:p>
    <w:p w14:paraId="393EB1D5" w14:textId="4101A950"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Механизъм на действие</w:t>
      </w:r>
    </w:p>
    <w:p w14:paraId="35390D4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След перорален прием, симвастатин, който е неактивен лактон, се хидролизира в черния дроб до съответната активна форма - бета-хидрокси киселина, която притежава силна активност при инхибиране на </w:t>
      </w:r>
      <w:r w:rsidRPr="00784926">
        <w:rPr>
          <w:rFonts w:eastAsia="Times New Roman" w:cs="Arial"/>
          <w:color w:val="000000"/>
          <w:szCs w:val="20"/>
          <w:lang w:val="en-US"/>
        </w:rPr>
        <w:t xml:space="preserve">HMG-CoA </w:t>
      </w:r>
      <w:r w:rsidRPr="00784926">
        <w:rPr>
          <w:rFonts w:eastAsia="Times New Roman" w:cs="Arial"/>
          <w:color w:val="000000"/>
          <w:szCs w:val="20"/>
          <w:lang w:eastAsia="bg-BG"/>
        </w:rPr>
        <w:t>редуктазата (3-хидрокси-3 метил глутарил СоА редуктаза).</w:t>
      </w:r>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Този ензим катализира превръщането на </w:t>
      </w:r>
      <w:r w:rsidRPr="00784926">
        <w:rPr>
          <w:rFonts w:eastAsia="Times New Roman" w:cs="Arial"/>
          <w:color w:val="000000"/>
          <w:szCs w:val="20"/>
          <w:lang w:val="en-US"/>
        </w:rPr>
        <w:t xml:space="preserve">HMG </w:t>
      </w:r>
      <w:r w:rsidRPr="00784926">
        <w:rPr>
          <w:rFonts w:eastAsia="Times New Roman" w:cs="Arial"/>
          <w:color w:val="000000"/>
          <w:szCs w:val="20"/>
          <w:lang w:eastAsia="bg-BG"/>
        </w:rPr>
        <w:t>СоА в мевалонат, ранен и скоростолимитиращ стадий в</w:t>
      </w:r>
    </w:p>
    <w:p w14:paraId="68BF088D"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биосинтезата на холестерол.</w:t>
      </w:r>
    </w:p>
    <w:p w14:paraId="15955BD5" w14:textId="77777777" w:rsidR="00784926" w:rsidRPr="00784926" w:rsidRDefault="00784926" w:rsidP="00784926">
      <w:pPr>
        <w:rPr>
          <w:rFonts w:eastAsia="Times New Roman" w:cs="Arial"/>
          <w:sz w:val="28"/>
          <w:szCs w:val="24"/>
          <w:lang w:eastAsia="bg-BG"/>
        </w:rPr>
      </w:pPr>
      <w:r w:rsidRPr="00784926">
        <w:rPr>
          <w:rFonts w:eastAsia="Times New Roman" w:cs="Arial"/>
          <w:color w:val="000000"/>
          <w:szCs w:val="20"/>
          <w:lang w:eastAsia="bg-BG"/>
        </w:rPr>
        <w:t xml:space="preserve">Симвастатин понижава нормалните и повишени </w:t>
      </w:r>
      <w:r w:rsidRPr="00784926">
        <w:rPr>
          <w:rFonts w:eastAsia="Times New Roman" w:cs="Arial"/>
          <w:color w:val="000000"/>
          <w:szCs w:val="20"/>
          <w:lang w:val="en-US"/>
        </w:rPr>
        <w:t xml:space="preserve">LDL-C </w:t>
      </w:r>
      <w:r w:rsidRPr="00784926">
        <w:rPr>
          <w:rFonts w:eastAsia="Times New Roman" w:cs="Arial"/>
          <w:color w:val="000000"/>
          <w:szCs w:val="20"/>
          <w:lang w:eastAsia="bg-BG"/>
        </w:rPr>
        <w:t xml:space="preserve">концентрации. </w:t>
      </w:r>
      <w:r w:rsidRPr="00784926">
        <w:rPr>
          <w:rFonts w:eastAsia="Times New Roman" w:cs="Arial"/>
          <w:color w:val="000000"/>
          <w:szCs w:val="20"/>
          <w:lang w:val="en-US"/>
        </w:rPr>
        <w:t xml:space="preserve">LDL </w:t>
      </w:r>
      <w:r w:rsidRPr="00784926">
        <w:rPr>
          <w:rFonts w:eastAsia="Times New Roman" w:cs="Arial"/>
          <w:color w:val="000000"/>
          <w:szCs w:val="20"/>
          <w:lang w:eastAsia="bg-BG"/>
        </w:rPr>
        <w:t>се образува от</w:t>
      </w:r>
      <w:r w:rsidRPr="00784926">
        <w:rPr>
          <w:rFonts w:eastAsia="Times New Roman" w:cs="Arial"/>
          <w:i/>
          <w:iCs/>
          <w:color w:val="000000"/>
          <w:sz w:val="32"/>
          <w:szCs w:val="28"/>
          <w:lang w:eastAsia="bg-BG"/>
        </w:rPr>
        <w:t xml:space="preserve"> </w:t>
      </w:r>
      <w:r w:rsidRPr="00784926">
        <w:rPr>
          <w:rFonts w:eastAsia="Times New Roman" w:cs="Arial"/>
          <w:color w:val="000000"/>
          <w:szCs w:val="20"/>
          <w:lang w:eastAsia="bg-BG"/>
        </w:rPr>
        <w:t xml:space="preserve">протеин с много ниска плътност </w:t>
      </w:r>
      <w:r w:rsidRPr="00784926">
        <w:rPr>
          <w:rFonts w:eastAsia="Times New Roman" w:cs="Arial"/>
          <w:color w:val="000000"/>
          <w:szCs w:val="20"/>
          <w:lang w:val="en-US"/>
        </w:rPr>
        <w:t xml:space="preserve">(VLDL) </w:t>
      </w:r>
      <w:r w:rsidRPr="00784926">
        <w:rPr>
          <w:rFonts w:eastAsia="Times New Roman" w:cs="Arial"/>
          <w:color w:val="000000"/>
          <w:szCs w:val="20"/>
          <w:lang w:eastAsia="bg-BG"/>
        </w:rPr>
        <w:t xml:space="preserve">и се катаболизира основно от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рецептор, притежаващ висок афинитет. Механизмът на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понижаващия ефект на симвастатин </w:t>
      </w:r>
      <w:r w:rsidRPr="00784926">
        <w:rPr>
          <w:rFonts w:eastAsia="Times New Roman" w:cs="Arial"/>
          <w:color w:val="000000"/>
          <w:szCs w:val="20"/>
          <w:lang w:eastAsia="bg-BG"/>
        </w:rPr>
        <w:lastRenderedPageBreak/>
        <w:t xml:space="preserve">може да включва както намаление на </w:t>
      </w:r>
      <w:r w:rsidRPr="00784926">
        <w:rPr>
          <w:rFonts w:eastAsia="Times New Roman" w:cs="Arial"/>
          <w:color w:val="000000"/>
          <w:szCs w:val="20"/>
          <w:lang w:val="en-US"/>
        </w:rPr>
        <w:t xml:space="preserve">VLDL </w:t>
      </w:r>
      <w:r w:rsidRPr="00784926">
        <w:rPr>
          <w:rFonts w:eastAsia="Times New Roman" w:cs="Arial"/>
          <w:color w:val="000000"/>
          <w:szCs w:val="20"/>
          <w:lang w:eastAsia="bg-BG"/>
        </w:rPr>
        <w:t xml:space="preserve">- холестероловата </w:t>
      </w:r>
      <w:r w:rsidRPr="00784926">
        <w:rPr>
          <w:rFonts w:eastAsia="Times New Roman" w:cs="Arial"/>
          <w:color w:val="000000"/>
          <w:szCs w:val="20"/>
          <w:lang w:val="en-US"/>
        </w:rPr>
        <w:t xml:space="preserve">(VLDL-C) </w:t>
      </w:r>
      <w:r w:rsidRPr="00784926">
        <w:rPr>
          <w:rFonts w:eastAsia="Times New Roman" w:cs="Arial"/>
          <w:color w:val="000000"/>
          <w:szCs w:val="20"/>
          <w:lang w:eastAsia="bg-BG"/>
        </w:rPr>
        <w:t xml:space="preserve">концентрация така и индукция на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рецептора, водещо до понижено производство и повишен катаболизъм на </w:t>
      </w:r>
      <w:r w:rsidRPr="00784926">
        <w:rPr>
          <w:rFonts w:eastAsia="Times New Roman" w:cs="Arial"/>
          <w:color w:val="000000"/>
          <w:szCs w:val="20"/>
          <w:lang w:val="en-US"/>
        </w:rPr>
        <w:t>LDL-C.</w:t>
      </w:r>
    </w:p>
    <w:p w14:paraId="1DF0C7C8"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Аполипопротеин В също понижава значително своите стойности по време на лечението със симвастатин. В добавка симвастатин умерено увеличава </w:t>
      </w:r>
      <w:r w:rsidRPr="00784926">
        <w:rPr>
          <w:rFonts w:eastAsia="Times New Roman" w:cs="Arial"/>
          <w:i/>
          <w:iCs/>
          <w:color w:val="000000"/>
          <w:szCs w:val="20"/>
          <w:lang w:val="en-US"/>
        </w:rPr>
        <w:t xml:space="preserve">HDL-C </w:t>
      </w:r>
      <w:r w:rsidRPr="00784926">
        <w:rPr>
          <w:rFonts w:eastAsia="Times New Roman" w:cs="Arial"/>
          <w:i/>
          <w:iCs/>
          <w:color w:val="000000"/>
          <w:szCs w:val="20"/>
          <w:lang w:eastAsia="bg-BG"/>
        </w:rPr>
        <w:t xml:space="preserve">и понижава плазмените </w:t>
      </w:r>
      <w:r w:rsidRPr="00784926">
        <w:rPr>
          <w:rFonts w:eastAsia="Times New Roman" w:cs="Arial"/>
          <w:i/>
          <w:iCs/>
          <w:color w:val="000000"/>
          <w:szCs w:val="20"/>
          <w:lang w:val="en-US"/>
        </w:rPr>
        <w:t xml:space="preserve">TG. </w:t>
      </w:r>
      <w:r w:rsidRPr="00784926">
        <w:rPr>
          <w:rFonts w:eastAsia="Times New Roman" w:cs="Arial"/>
          <w:i/>
          <w:iCs/>
          <w:color w:val="000000"/>
          <w:szCs w:val="20"/>
          <w:lang w:eastAsia="bg-BG"/>
        </w:rPr>
        <w:t xml:space="preserve">В </w:t>
      </w:r>
      <w:r w:rsidRPr="00784926">
        <w:rPr>
          <w:rFonts w:eastAsia="Times New Roman" w:cs="Arial"/>
          <w:color w:val="000000"/>
          <w:szCs w:val="20"/>
          <w:lang w:eastAsia="bg-BG"/>
        </w:rPr>
        <w:t xml:space="preserve">резултат на тези промени съотношенията на общия холестерол към </w:t>
      </w:r>
      <w:r w:rsidRPr="00784926">
        <w:rPr>
          <w:rFonts w:eastAsia="Times New Roman" w:cs="Arial"/>
          <w:color w:val="000000"/>
          <w:szCs w:val="20"/>
          <w:lang w:val="en-US"/>
        </w:rPr>
        <w:t xml:space="preserve">HDL-C </w:t>
      </w:r>
      <w:r w:rsidRPr="00784926">
        <w:rPr>
          <w:rFonts w:eastAsia="Times New Roman" w:cs="Arial"/>
          <w:color w:val="000000"/>
          <w:szCs w:val="20"/>
          <w:lang w:eastAsia="bg-BG"/>
        </w:rPr>
        <w:t xml:space="preserve">и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към </w:t>
      </w:r>
      <w:r w:rsidRPr="00784926">
        <w:rPr>
          <w:rFonts w:eastAsia="Times New Roman" w:cs="Arial"/>
          <w:color w:val="000000"/>
          <w:szCs w:val="20"/>
          <w:lang w:val="en-US"/>
        </w:rPr>
        <w:t xml:space="preserve">HDL-C </w:t>
      </w:r>
      <w:r w:rsidRPr="00784926">
        <w:rPr>
          <w:rFonts w:eastAsia="Times New Roman" w:cs="Arial"/>
          <w:color w:val="000000"/>
          <w:szCs w:val="20"/>
          <w:lang w:eastAsia="bg-BG"/>
        </w:rPr>
        <w:t>са понижени.</w:t>
      </w:r>
    </w:p>
    <w:p w14:paraId="49DA446C" w14:textId="77777777" w:rsidR="00784926" w:rsidRPr="00784926" w:rsidRDefault="00784926" w:rsidP="00784926">
      <w:pPr>
        <w:spacing w:line="240" w:lineRule="auto"/>
        <w:rPr>
          <w:rFonts w:eastAsia="Times New Roman" w:cs="Arial"/>
          <w:color w:val="000000"/>
          <w:szCs w:val="20"/>
          <w:lang w:eastAsia="bg-BG"/>
        </w:rPr>
      </w:pPr>
    </w:p>
    <w:p w14:paraId="392D0F7C" w14:textId="0523CF74"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Клинична ефикасност и безопасност</w:t>
      </w:r>
    </w:p>
    <w:p w14:paraId="10B7DAFF"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Клинична ефикасност и безопасност</w:t>
      </w:r>
    </w:p>
    <w:p w14:paraId="78591F08"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u w:val="single"/>
          <w:lang w:eastAsia="bg-BG"/>
        </w:rPr>
        <w:t>Висок риск от исхемична болест на сърцето (ИБС) или доказана ИБС</w:t>
      </w:r>
    </w:p>
    <w:p w14:paraId="0E08712B"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По време на </w:t>
      </w:r>
      <w:r w:rsidRPr="00784926">
        <w:rPr>
          <w:rFonts w:eastAsia="Times New Roman" w:cs="Arial"/>
          <w:color w:val="000000"/>
          <w:szCs w:val="20"/>
          <w:lang w:val="en-US"/>
        </w:rPr>
        <w:t xml:space="preserve">Heart protection study (HPS), </w:t>
      </w:r>
      <w:r w:rsidRPr="00784926">
        <w:rPr>
          <w:rFonts w:eastAsia="Times New Roman" w:cs="Arial"/>
          <w:color w:val="000000"/>
          <w:szCs w:val="20"/>
          <w:lang w:eastAsia="bg-BG"/>
        </w:rPr>
        <w:t xml:space="preserve">ефектите на терапията със симвастатин са били оценени при 20,356 пациенти (на възраст от 40 до 80 години), с или без хиперлипидемия с коронарно сърдечно заболяване, друго оклузивно артериално заболяване или захарен диабет. При това изследване 10,269 пациенти са били лекувани със симвастатин 40 </w:t>
      </w:r>
      <w:r w:rsidRPr="00784926">
        <w:rPr>
          <w:rFonts w:eastAsia="Times New Roman" w:cs="Arial"/>
          <w:color w:val="000000"/>
          <w:szCs w:val="20"/>
          <w:lang w:val="en-US"/>
        </w:rPr>
        <w:t>mg</w:t>
      </w:r>
      <w:r w:rsidRPr="00784926">
        <w:rPr>
          <w:rFonts w:eastAsia="Times New Roman" w:cs="Arial"/>
          <w:color w:val="000000"/>
          <w:szCs w:val="20"/>
          <w:lang w:eastAsia="bg-BG"/>
        </w:rPr>
        <w:t>/дневно и 10,267 са приемали плацебо при средна продължителност 5 години.</w:t>
      </w:r>
    </w:p>
    <w:p w14:paraId="74EA2A74"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На базовата линия 6,793 пациенти (33%) имат </w:t>
      </w:r>
      <w:r w:rsidRPr="00784926">
        <w:rPr>
          <w:rFonts w:eastAsia="Times New Roman" w:cs="Arial"/>
          <w:color w:val="000000"/>
          <w:szCs w:val="20"/>
          <w:lang w:val="en-US"/>
        </w:rPr>
        <w:t>LDL</w:t>
      </w:r>
      <w:r w:rsidRPr="00784926">
        <w:rPr>
          <w:rFonts w:eastAsia="Times New Roman" w:cs="Arial"/>
          <w:color w:val="000000"/>
          <w:szCs w:val="20"/>
          <w:lang w:eastAsia="bg-BG"/>
        </w:rPr>
        <w:t xml:space="preserve">-С нива под 116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5,063 пациенти (25%) имат нива между 116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и 135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и 8,680 пациенти (42%) имат нива по-високи от 135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w:t>
      </w:r>
      <w:r w:rsidRPr="00784926">
        <w:rPr>
          <w:rFonts w:eastAsia="Times New Roman" w:cs="Arial"/>
          <w:color w:val="000000"/>
          <w:szCs w:val="20"/>
          <w:lang w:eastAsia="bg-BG"/>
        </w:rPr>
        <w:t xml:space="preserve">Лечението със симвастатин 40 </w:t>
      </w:r>
      <w:r w:rsidRPr="00784926">
        <w:rPr>
          <w:rFonts w:eastAsia="Times New Roman" w:cs="Arial"/>
          <w:color w:val="000000"/>
          <w:szCs w:val="20"/>
          <w:lang w:val="en-US"/>
        </w:rPr>
        <w:t>mg</w:t>
      </w:r>
      <w:r w:rsidRPr="00784926">
        <w:rPr>
          <w:rFonts w:eastAsia="Times New Roman" w:cs="Arial"/>
          <w:color w:val="000000"/>
          <w:szCs w:val="20"/>
          <w:lang w:eastAsia="bg-BG"/>
        </w:rPr>
        <w:t>/дневно сравнено с плацебо значително понижава риска от обща смъртност (1328 [12,9%] за пациенти лекувани със симвастатин срещу 1507 [14,7%] за пациенти приемали плацебо; р=0.0003), води до 18% понижаване при коронарната смъртност (587 [5,7%] срещу 707 [6,9%]; р=0.0005; понижаване на абсолютния риск с 1,2%). Понижаването на не- кардиоваскуларната смъртност не достига статистическа значимост. Симвастатин понижава също риска от поява на големи коронарни инциденти ИБС смъртност и нефатален миокарден инфаркт) с 27% (р&lt;0,0001).</w:t>
      </w:r>
    </w:p>
    <w:p w14:paraId="566B87F2"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Освен това симвастатин намалява риска от коронарни реваскуларизационни процедури (аортно- коронарен артериален байпас или перкутантна транслуменална коронарна ангиопластика) и периферни и други не - реваскуларизационни процедури с 30% (р &lt; 0.0001) и 16% (р= 0.006), респективно. Симвастатин понижава риска от инсулт с 25% (р= 0,0001), обясняващо 30% понижение в честотата на исхемичния инсулт (р&lt;0,0001).</w:t>
      </w:r>
    </w:p>
    <w:p w14:paraId="764B26A7"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В добавка при подгрупата на пациенти страдащи от захарен диабет, симвастатин понижава риска от развитие на макроваскуларни усложнения, вкл. периферни реваскуларизационни процедури (хирургия или ангиопластика), ампутация на долните крайници, или язви на краката с 21% (р- 0.0293).</w:t>
      </w:r>
    </w:p>
    <w:p w14:paraId="3C16C968"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Пропорционалното намаляване на честотата на инцидентите е подобна при всяка изследвана подгрупа пациенти, вкл. тези без коронарно заболяване но страдащи от цереброваскуларно или периферно артериално заболяване, мъже и жени на възраст под и над 70 години, независимо от това дали при включването в изследването са страдали или не са страдали от хипертония и забележимо при тези пациенти със стойности на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холестерол под 3,0 </w:t>
      </w:r>
      <w:proofErr w:type="spellStart"/>
      <w:r w:rsidRPr="00784926">
        <w:rPr>
          <w:rFonts w:eastAsia="Times New Roman" w:cs="Arial"/>
          <w:color w:val="000000"/>
          <w:szCs w:val="20"/>
          <w:lang w:val="en-US"/>
        </w:rPr>
        <w:t>mmol</w:t>
      </w:r>
      <w:proofErr w:type="spellEnd"/>
      <w:r w:rsidRPr="00784926">
        <w:rPr>
          <w:rFonts w:eastAsia="Times New Roman" w:cs="Arial"/>
          <w:color w:val="000000"/>
          <w:szCs w:val="20"/>
          <w:lang w:val="en-US"/>
        </w:rPr>
        <w:t xml:space="preserve">/l </w:t>
      </w:r>
      <w:r w:rsidRPr="00784926">
        <w:rPr>
          <w:rFonts w:eastAsia="Times New Roman" w:cs="Arial"/>
          <w:color w:val="000000"/>
          <w:szCs w:val="20"/>
          <w:lang w:eastAsia="bg-BG"/>
        </w:rPr>
        <w:t>при включване в изследването.</w:t>
      </w:r>
    </w:p>
    <w:p w14:paraId="5139749F"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В клинично проучване </w:t>
      </w:r>
      <w:r w:rsidRPr="00784926">
        <w:rPr>
          <w:rFonts w:eastAsia="Times New Roman" w:cs="Arial"/>
          <w:color w:val="000000"/>
          <w:szCs w:val="20"/>
          <w:lang w:val="en-US"/>
        </w:rPr>
        <w:t xml:space="preserve">Scandinavian Simvastatin Survival Study (4S), </w:t>
      </w:r>
      <w:r w:rsidRPr="00784926">
        <w:rPr>
          <w:rFonts w:eastAsia="Times New Roman" w:cs="Arial"/>
          <w:color w:val="000000"/>
          <w:szCs w:val="20"/>
          <w:lang w:eastAsia="bg-BG"/>
        </w:rPr>
        <w:t xml:space="preserve">ефектът от лечението със симвастатин върху общата смъртност е оценен при 4 444 пациента с КСЗ и изходен общ холестерол 212 до 309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(5,</w:t>
      </w:r>
      <w:r w:rsidRPr="00784926">
        <w:rPr>
          <w:rFonts w:eastAsia="Times New Roman" w:cs="Arial"/>
          <w:color w:val="000000"/>
          <w:szCs w:val="20"/>
          <w:lang w:eastAsia="bg-BG"/>
        </w:rPr>
        <w:t xml:space="preserve">5-8,0 </w:t>
      </w:r>
      <w:proofErr w:type="spellStart"/>
      <w:r w:rsidRPr="00784926">
        <w:rPr>
          <w:rFonts w:eastAsia="Times New Roman" w:cs="Arial"/>
          <w:color w:val="000000"/>
          <w:szCs w:val="20"/>
          <w:lang w:val="en-US"/>
        </w:rPr>
        <w:t>mmol</w:t>
      </w:r>
      <w:proofErr w:type="spellEnd"/>
      <w:r w:rsidRPr="00784926">
        <w:rPr>
          <w:rFonts w:eastAsia="Times New Roman" w:cs="Arial"/>
          <w:color w:val="000000"/>
          <w:szCs w:val="20"/>
          <w:lang w:val="en-US"/>
        </w:rPr>
        <w:t xml:space="preserve">/l). </w:t>
      </w:r>
      <w:r w:rsidRPr="00784926">
        <w:rPr>
          <w:rFonts w:eastAsia="Times New Roman" w:cs="Arial"/>
          <w:color w:val="000000"/>
          <w:szCs w:val="20"/>
          <w:lang w:eastAsia="bg-BG"/>
        </w:rPr>
        <w:t xml:space="preserve">При това мултицентрово рандомизирано, двойно- сляпо, плацебо-контролирано проучване пациенти с ИБС или доказан клинично предишен миокарден инфаркт са били лекувани с диета, стандартно лечение и лечение със симвастатин 20- 40 </w:t>
      </w:r>
      <w:r w:rsidRPr="00784926">
        <w:rPr>
          <w:rFonts w:eastAsia="Times New Roman" w:cs="Arial"/>
          <w:color w:val="000000"/>
          <w:szCs w:val="20"/>
          <w:lang w:val="en-US"/>
        </w:rPr>
        <w:t>mg</w:t>
      </w:r>
      <w:r w:rsidRPr="00784926">
        <w:rPr>
          <w:rFonts w:eastAsia="Times New Roman" w:cs="Arial"/>
          <w:color w:val="000000"/>
          <w:szCs w:val="20"/>
          <w:lang w:eastAsia="bg-BG"/>
        </w:rPr>
        <w:t>/дневно (</w:t>
      </w:r>
      <w:r w:rsidRPr="00784926">
        <w:rPr>
          <w:rFonts w:eastAsia="Times New Roman" w:cs="Arial"/>
          <w:color w:val="000000"/>
          <w:szCs w:val="20"/>
          <w:lang w:val="en-US"/>
        </w:rPr>
        <w:t>n</w:t>
      </w:r>
      <w:r w:rsidRPr="00784926">
        <w:rPr>
          <w:rFonts w:eastAsia="Times New Roman" w:cs="Arial"/>
          <w:color w:val="000000"/>
          <w:szCs w:val="20"/>
          <w:lang w:eastAsia="bg-BG"/>
        </w:rPr>
        <w:t>=2221) или плацебо (</w:t>
      </w:r>
      <w:r w:rsidRPr="00784926">
        <w:rPr>
          <w:rFonts w:eastAsia="Times New Roman" w:cs="Arial"/>
          <w:color w:val="000000"/>
          <w:szCs w:val="20"/>
          <w:lang w:val="en-US"/>
        </w:rPr>
        <w:t>n</w:t>
      </w:r>
      <w:r w:rsidRPr="00784926">
        <w:rPr>
          <w:rFonts w:eastAsia="Times New Roman" w:cs="Arial"/>
          <w:color w:val="000000"/>
          <w:szCs w:val="20"/>
          <w:lang w:eastAsia="bg-BG"/>
        </w:rPr>
        <w:t>=2223) със средна продължителност на лечението 5,4 години.</w:t>
      </w:r>
    </w:p>
    <w:p w14:paraId="243BC970"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е понижил риска от смърт с 30% (намаляване на абсолютния риск с 3,3%). Рискът от КСЗ е бил понижен с 42% (намаляване на абсолютния риск с 3,5%). </w:t>
      </w:r>
      <w:r w:rsidRPr="00784926">
        <w:rPr>
          <w:rFonts w:eastAsia="Times New Roman" w:cs="Arial"/>
          <w:color w:val="000000"/>
          <w:szCs w:val="20"/>
          <w:lang w:eastAsia="bg-BG"/>
        </w:rPr>
        <w:lastRenderedPageBreak/>
        <w:t>Симвастатин понижава също и риска от поява на големи коронарни инциденти (смърт от КСЗ плюс клинично доказан и нефатален миокарден инфаркт) с 34%.</w:t>
      </w:r>
    </w:p>
    <w:p w14:paraId="24AB80B7"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Освен това симвастатин значително намалява риска от фатални и нефатални цереброваскуларни инциденти (инсулт и преходни исхемични атаки) с 28%. Не е налице статистическа значима разлика при групите по отношение на не-кардиоваскуларната смъртност. </w:t>
      </w:r>
      <w:r w:rsidRPr="00784926">
        <w:rPr>
          <w:rFonts w:eastAsia="Times New Roman" w:cs="Arial"/>
          <w:i/>
          <w:iCs/>
          <w:color w:val="000000"/>
          <w:szCs w:val="20"/>
          <w:lang w:eastAsia="bg-BG"/>
        </w:rPr>
        <w:tab/>
      </w:r>
    </w:p>
    <w:p w14:paraId="13CB9BC7" w14:textId="59B48B54" w:rsidR="00784926" w:rsidRPr="00784926" w:rsidRDefault="00784926" w:rsidP="00784926">
      <w:pPr>
        <w:rPr>
          <w:rFonts w:eastAsia="Times New Roman" w:cs="Arial"/>
          <w:color w:val="000000"/>
          <w:szCs w:val="20"/>
          <w:lang w:eastAsia="bg-BG"/>
        </w:rPr>
      </w:pPr>
    </w:p>
    <w:p w14:paraId="4331CBDF" w14:textId="70F2F6BE" w:rsidR="00784926" w:rsidRPr="00784926" w:rsidRDefault="00784926" w:rsidP="00784926">
      <w:pPr>
        <w:rPr>
          <w:rFonts w:eastAsia="Times New Roman" w:cs="Arial"/>
          <w:sz w:val="28"/>
          <w:szCs w:val="24"/>
          <w:lang w:eastAsia="bg-BG"/>
        </w:rPr>
      </w:pPr>
      <w:r w:rsidRPr="00784926">
        <w:rPr>
          <w:rFonts w:eastAsia="Times New Roman" w:cs="Arial"/>
          <w:color w:val="000000"/>
          <w:szCs w:val="20"/>
          <w:lang w:eastAsia="bg-BG"/>
        </w:rPr>
        <w:t>Проучването на ефективността от допълнително понижаване на холестерола и хомоцистеина (</w:t>
      </w:r>
      <w:r w:rsidRPr="00784926">
        <w:rPr>
          <w:rFonts w:eastAsia="Times New Roman" w:cs="Arial"/>
          <w:color w:val="000000"/>
          <w:szCs w:val="20"/>
          <w:lang w:val="en-US"/>
        </w:rPr>
        <w:t>The Study of the Effectiveness of Additional Reductions in Cholesterol and Homocysteine, SEARCH)</w:t>
      </w:r>
      <w:r>
        <w:rPr>
          <w:rFonts w:eastAsia="Times New Roman" w:cs="Arial"/>
          <w:color w:val="000000"/>
          <w:szCs w:val="20"/>
        </w:rPr>
        <w:t xml:space="preserve"> </w:t>
      </w:r>
      <w:r w:rsidRPr="00784926">
        <w:rPr>
          <w:rFonts w:eastAsia="Times New Roman" w:cs="Arial"/>
          <w:color w:val="000000"/>
          <w:szCs w:val="20"/>
          <w:lang w:eastAsia="bg-BG"/>
        </w:rPr>
        <w:t xml:space="preserve">оценява ефекта на лечението със симвастатин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спрямо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(медиана на проследяването 6,7 години) върху големи съдови събития </w:t>
      </w:r>
      <w:r w:rsidRPr="00784926">
        <w:rPr>
          <w:rFonts w:eastAsia="Times New Roman" w:cs="Arial"/>
          <w:color w:val="000000"/>
          <w:szCs w:val="20"/>
          <w:lang w:val="en-US"/>
        </w:rPr>
        <w:t xml:space="preserve">(MVE; </w:t>
      </w:r>
      <w:r w:rsidRPr="00784926">
        <w:rPr>
          <w:rFonts w:eastAsia="Times New Roman" w:cs="Arial"/>
          <w:color w:val="000000"/>
          <w:szCs w:val="20"/>
          <w:lang w:eastAsia="bg-BG"/>
        </w:rPr>
        <w:t xml:space="preserve">дефинирани като ИБС, нефатален инфаркт на миокарда (МИ), коронарна реваскуларизационна процедура, нефатален и фатален мозъчен инсулт или периферна реваскуларизационна процедура) при 12 064 пациенти с анамнеза за инфаркт на миокарда. Няма значима разлика в честотата на </w:t>
      </w:r>
      <w:r w:rsidRPr="00784926">
        <w:rPr>
          <w:rFonts w:eastAsia="Times New Roman" w:cs="Arial"/>
          <w:color w:val="000000"/>
          <w:szCs w:val="20"/>
          <w:lang w:val="en-US"/>
        </w:rPr>
        <w:t xml:space="preserve">MVE </w:t>
      </w:r>
      <w:r w:rsidRPr="00784926">
        <w:rPr>
          <w:rFonts w:eastAsia="Times New Roman" w:cs="Arial"/>
          <w:color w:val="000000"/>
          <w:szCs w:val="20"/>
          <w:lang w:eastAsia="bg-BG"/>
        </w:rPr>
        <w:t xml:space="preserve">между двете групи; симвастатин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w:t>
      </w:r>
      <w:r w:rsidRPr="00784926">
        <w:rPr>
          <w:rFonts w:eastAsia="Times New Roman" w:cs="Arial"/>
          <w:color w:val="000000"/>
          <w:szCs w:val="20"/>
          <w:lang w:val="en-US"/>
        </w:rPr>
        <w:t>n</w:t>
      </w:r>
      <w:r w:rsidRPr="00784926">
        <w:rPr>
          <w:rFonts w:eastAsia="Times New Roman" w:cs="Arial"/>
          <w:color w:val="000000"/>
          <w:szCs w:val="20"/>
          <w:lang w:eastAsia="bg-BG"/>
        </w:rPr>
        <w:t xml:space="preserve"> = 1 553; 25,7 %) спрямо симвастатин 80 </w:t>
      </w:r>
      <w:r w:rsidRPr="00784926">
        <w:rPr>
          <w:rFonts w:eastAsia="Times New Roman" w:cs="Arial"/>
          <w:color w:val="000000"/>
          <w:szCs w:val="20"/>
          <w:lang w:val="en-US"/>
        </w:rPr>
        <w:t xml:space="preserve">mg (n </w:t>
      </w:r>
      <w:r w:rsidRPr="00784926">
        <w:rPr>
          <w:rFonts w:eastAsia="Times New Roman" w:cs="Arial"/>
          <w:color w:val="000000"/>
          <w:szCs w:val="20"/>
          <w:lang w:eastAsia="bg-BG"/>
        </w:rPr>
        <w:t xml:space="preserve">= 1 477; 24,5 %); относителен риск 0,94, 95 % доверителен интервал: 0,88 до 1,01. Абсолютната разлика в </w:t>
      </w:r>
      <w:r w:rsidRPr="00784926">
        <w:rPr>
          <w:rFonts w:eastAsia="Times New Roman" w:cs="Arial"/>
          <w:color w:val="000000"/>
          <w:szCs w:val="20"/>
          <w:lang w:val="en-US"/>
        </w:rPr>
        <w:t>LDL</w:t>
      </w:r>
      <w:r w:rsidRPr="00784926">
        <w:rPr>
          <w:rFonts w:eastAsia="Times New Roman" w:cs="Arial"/>
          <w:color w:val="000000"/>
          <w:szCs w:val="20"/>
          <w:lang w:eastAsia="bg-BG"/>
        </w:rPr>
        <w:t xml:space="preserve">-холестерола между двете групи по време на курса на проучването е 0,35 ± 0,01 </w:t>
      </w:r>
      <w:proofErr w:type="spellStart"/>
      <w:r w:rsidRPr="00784926">
        <w:rPr>
          <w:rFonts w:eastAsia="Times New Roman" w:cs="Arial"/>
          <w:color w:val="000000"/>
          <w:szCs w:val="20"/>
          <w:lang w:val="en-US"/>
        </w:rPr>
        <w:t>mmol</w:t>
      </w:r>
      <w:proofErr w:type="spellEnd"/>
      <w:r w:rsidRPr="00784926">
        <w:rPr>
          <w:rFonts w:eastAsia="Times New Roman" w:cs="Arial"/>
          <w:color w:val="000000"/>
          <w:szCs w:val="20"/>
          <w:lang w:val="en-US"/>
        </w:rPr>
        <w:t>/l.</w:t>
      </w:r>
    </w:p>
    <w:p w14:paraId="686702BA"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Профилът на безопасност е сходен в двете групи на лечение с изключение на честотата на миопатия, която е приблизително 1,0 % при пациенти на лечение със симвастатин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спрямо 0,02 % при пациенти на лечение със симвастатин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Приблизително половината от тези случаи на миопатия се срещат по време на първата година от лечението. Честотата на миопатия през всяка следваща година на лечението е приблизително 0,1 %.</w:t>
      </w:r>
    </w:p>
    <w:p w14:paraId="25A8A272" w14:textId="77777777" w:rsidR="00784926" w:rsidRPr="00784926" w:rsidRDefault="00784926" w:rsidP="00784926">
      <w:pPr>
        <w:spacing w:line="240" w:lineRule="auto"/>
        <w:rPr>
          <w:rFonts w:eastAsia="Times New Roman" w:cs="Arial"/>
          <w:color w:val="000000"/>
          <w:szCs w:val="20"/>
          <w:u w:val="single"/>
          <w:lang w:eastAsia="bg-BG"/>
        </w:rPr>
      </w:pPr>
    </w:p>
    <w:p w14:paraId="52E075CE" w14:textId="130E4639"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u w:val="single"/>
          <w:lang w:eastAsia="bg-BG"/>
        </w:rPr>
        <w:t>Първична хиперхолестеролемия и комбинирана хиперлипидемия</w:t>
      </w:r>
    </w:p>
    <w:p w14:paraId="081450AF"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При изследвания сравняващи ефикасността и безопасността на симвастатин 10,20,40 и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дневно при пациенти с хиперхолестеролемия средното понижаване на </w:t>
      </w:r>
      <w:r w:rsidRPr="00784926">
        <w:rPr>
          <w:rFonts w:eastAsia="Times New Roman" w:cs="Arial"/>
          <w:color w:val="000000"/>
          <w:szCs w:val="20"/>
          <w:lang w:val="en-US"/>
        </w:rPr>
        <w:t>LDL</w:t>
      </w:r>
      <w:r w:rsidRPr="00784926">
        <w:rPr>
          <w:rFonts w:eastAsia="Times New Roman" w:cs="Arial"/>
          <w:color w:val="000000"/>
          <w:szCs w:val="20"/>
          <w:lang w:eastAsia="bg-BG"/>
        </w:rPr>
        <w:t xml:space="preserve">-С е било 30,38,41 и 47%, респективно. При изследвания на пациенти с комбинирана (смесена) хиперлипидемия със симвастатин 40 и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средното понижаване на триглицеридите е било съответно 28 и 33% (плацебо 2%), а средното нарастване на </w:t>
      </w:r>
      <w:r w:rsidRPr="00784926">
        <w:rPr>
          <w:rFonts w:eastAsia="Times New Roman" w:cs="Arial"/>
          <w:color w:val="000000"/>
          <w:szCs w:val="20"/>
          <w:lang w:val="en-US"/>
        </w:rPr>
        <w:t xml:space="preserve">HDL-C </w:t>
      </w:r>
      <w:r w:rsidRPr="00784926">
        <w:rPr>
          <w:rFonts w:eastAsia="Times New Roman" w:cs="Arial"/>
          <w:color w:val="000000"/>
          <w:szCs w:val="20"/>
          <w:lang w:eastAsia="bg-BG"/>
        </w:rPr>
        <w:t>е било съответно 13 и 16% (плацебо 3%).</w:t>
      </w:r>
    </w:p>
    <w:p w14:paraId="50B1AAFD" w14:textId="77777777" w:rsidR="00784926" w:rsidRPr="00784926" w:rsidRDefault="00784926" w:rsidP="00784926">
      <w:pPr>
        <w:spacing w:line="240" w:lineRule="auto"/>
        <w:rPr>
          <w:rFonts w:eastAsia="Times New Roman" w:cs="Arial"/>
          <w:i/>
          <w:iCs/>
          <w:color w:val="000000"/>
          <w:szCs w:val="20"/>
          <w:lang w:eastAsia="bg-BG"/>
        </w:rPr>
      </w:pPr>
    </w:p>
    <w:p w14:paraId="0E67EBD2" w14:textId="516CA98F" w:rsidR="00784926" w:rsidRPr="00784926" w:rsidRDefault="00784926" w:rsidP="00784926">
      <w:pPr>
        <w:spacing w:line="240" w:lineRule="auto"/>
        <w:rPr>
          <w:rFonts w:eastAsia="Times New Roman" w:cs="Arial"/>
          <w:sz w:val="28"/>
          <w:szCs w:val="24"/>
          <w:lang w:eastAsia="bg-BG"/>
        </w:rPr>
      </w:pPr>
      <w:r w:rsidRPr="00784926">
        <w:rPr>
          <w:rFonts w:eastAsia="Times New Roman" w:cs="Arial"/>
          <w:i/>
          <w:iCs/>
          <w:color w:val="000000"/>
          <w:szCs w:val="20"/>
          <w:lang w:eastAsia="bg-BG"/>
        </w:rPr>
        <w:t>Педиатрична популация</w:t>
      </w:r>
    </w:p>
    <w:p w14:paraId="43CE8B24"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В едно двойно-сляпо, плацебо-контролирано проучване, 175 пациенти (99 младежи II степен по Танер и нагоре и 76 девойки, които са поне една година след първата им менструация) на възраст от 10 до 17 години (средна възраст 14,1 години), с хетерозиготна фамилна хиперхолестеролемия (ХеФХ), са рандомизирани да получават симвастатин или плацебо в продължение на 24 седмици (основно проучване). За включване в проучването се изисква </w:t>
      </w:r>
      <w:r w:rsidRPr="00784926">
        <w:rPr>
          <w:rFonts w:eastAsia="Times New Roman" w:cs="Arial"/>
          <w:color w:val="000000"/>
          <w:szCs w:val="20"/>
          <w:lang w:val="en-US"/>
        </w:rPr>
        <w:t>LDL</w:t>
      </w:r>
      <w:r w:rsidRPr="00784926">
        <w:rPr>
          <w:rFonts w:eastAsia="Times New Roman" w:cs="Arial"/>
          <w:color w:val="000000"/>
          <w:szCs w:val="20"/>
          <w:lang w:eastAsia="bg-BG"/>
        </w:rPr>
        <w:t xml:space="preserve">-С между 160 и 400 </w:t>
      </w:r>
      <w:r w:rsidRPr="00784926">
        <w:rPr>
          <w:rFonts w:eastAsia="Times New Roman" w:cs="Arial"/>
          <w:color w:val="000000"/>
          <w:szCs w:val="20"/>
          <w:lang w:val="en-US"/>
        </w:rPr>
        <w:t xml:space="preserve">mg/dl </w:t>
      </w:r>
      <w:r w:rsidRPr="00784926">
        <w:rPr>
          <w:rFonts w:eastAsia="Times New Roman" w:cs="Arial"/>
          <w:color w:val="000000"/>
          <w:szCs w:val="20"/>
          <w:lang w:eastAsia="bg-BG"/>
        </w:rPr>
        <w:t xml:space="preserve">на изходното ниво и поне един родител с ниво на </w:t>
      </w:r>
      <w:r w:rsidRPr="00784926">
        <w:rPr>
          <w:rFonts w:eastAsia="Times New Roman" w:cs="Arial"/>
          <w:color w:val="000000"/>
          <w:szCs w:val="20"/>
          <w:lang w:val="en-US"/>
        </w:rPr>
        <w:t xml:space="preserve">LDL-C </w:t>
      </w:r>
      <w:r w:rsidRPr="00784926">
        <w:rPr>
          <w:rFonts w:eastAsia="Times New Roman" w:cs="Arial"/>
          <w:color w:val="000000"/>
          <w:szCs w:val="20"/>
          <w:lang w:eastAsia="bg-BG"/>
        </w:rPr>
        <w:t xml:space="preserve">&gt;189 </w:t>
      </w:r>
      <w:r w:rsidRPr="00784926">
        <w:rPr>
          <w:rFonts w:eastAsia="Times New Roman" w:cs="Arial"/>
          <w:color w:val="000000"/>
          <w:szCs w:val="20"/>
          <w:lang w:val="en-US"/>
        </w:rPr>
        <w:t>mg/dl.</w:t>
      </w:r>
    </w:p>
    <w:p w14:paraId="28252AA0" w14:textId="65BCB23A" w:rsidR="0091385D" w:rsidRPr="00784926" w:rsidRDefault="00784926" w:rsidP="00784926">
      <w:pPr>
        <w:rPr>
          <w:rFonts w:cs="Arial"/>
          <w:sz w:val="28"/>
        </w:rPr>
      </w:pPr>
      <w:r w:rsidRPr="00784926">
        <w:rPr>
          <w:rFonts w:eastAsia="Times New Roman" w:cs="Arial"/>
          <w:color w:val="000000"/>
          <w:szCs w:val="20"/>
          <w:lang w:eastAsia="bg-BG"/>
        </w:rPr>
        <w:t xml:space="preserve">Дозировката на симвастатин (веднъж дневно, вечер) е 10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през първите 8 седмици,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през вторите 8 седмици, и 40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след това. В разширението от 24 седмици, 144 пациенти са предпочели да продължат терапията и са получавали 40 </w:t>
      </w:r>
      <w:r w:rsidRPr="00784926">
        <w:rPr>
          <w:rFonts w:eastAsia="Times New Roman" w:cs="Arial"/>
          <w:color w:val="000000"/>
          <w:szCs w:val="20"/>
          <w:lang w:val="en-US"/>
        </w:rPr>
        <w:t xml:space="preserve">mg </w:t>
      </w:r>
      <w:r w:rsidRPr="00784926">
        <w:rPr>
          <w:rFonts w:eastAsia="Times New Roman" w:cs="Arial"/>
          <w:color w:val="000000"/>
          <w:szCs w:val="20"/>
          <w:lang w:eastAsia="bg-BG"/>
        </w:rPr>
        <w:t>симвастатин или плацебо.</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5983E014"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lastRenderedPageBreak/>
        <w:t xml:space="preserve">Симвастатин е неактивен лактон, който бързо се хидролизира </w:t>
      </w:r>
      <w:r w:rsidRPr="00784926">
        <w:rPr>
          <w:rFonts w:eastAsia="Times New Roman" w:cs="Arial"/>
          <w:color w:val="000000"/>
          <w:szCs w:val="20"/>
          <w:lang w:val="en-US"/>
        </w:rPr>
        <w:t xml:space="preserve">in vivo </w:t>
      </w:r>
      <w:r w:rsidRPr="00784926">
        <w:rPr>
          <w:rFonts w:eastAsia="Times New Roman" w:cs="Arial"/>
          <w:color w:val="000000"/>
          <w:szCs w:val="20"/>
          <w:lang w:eastAsia="bg-BG"/>
        </w:rPr>
        <w:t xml:space="preserve">до бета-хидрокси киселина, която е мощен инхибитор на </w:t>
      </w:r>
      <w:r w:rsidRPr="00784926">
        <w:rPr>
          <w:rFonts w:eastAsia="Times New Roman" w:cs="Arial"/>
          <w:color w:val="000000"/>
          <w:szCs w:val="20"/>
          <w:lang w:val="en-US"/>
        </w:rPr>
        <w:t>HMG</w:t>
      </w:r>
      <w:r w:rsidRPr="00784926">
        <w:rPr>
          <w:rFonts w:eastAsia="Times New Roman" w:cs="Arial"/>
          <w:color w:val="000000"/>
          <w:szCs w:val="20"/>
          <w:lang w:eastAsia="bg-BG"/>
        </w:rPr>
        <w:t>-СоА-редуктаза. Хидролизата протича главно в черния дроб; скоростта на хидролиза в човешката плазма е много ниска.</w:t>
      </w:r>
    </w:p>
    <w:p w14:paraId="7B112FCF" w14:textId="77777777" w:rsidR="00784926" w:rsidRPr="00784926" w:rsidRDefault="00784926" w:rsidP="00784926">
      <w:pPr>
        <w:spacing w:line="240" w:lineRule="auto"/>
        <w:rPr>
          <w:rFonts w:eastAsia="Times New Roman" w:cs="Arial"/>
          <w:color w:val="000000"/>
          <w:szCs w:val="20"/>
          <w:u w:val="single"/>
          <w:lang w:eastAsia="bg-BG"/>
        </w:rPr>
      </w:pPr>
    </w:p>
    <w:p w14:paraId="33383270" w14:textId="1049D230" w:rsidR="00784926" w:rsidRPr="00784926" w:rsidRDefault="00784926" w:rsidP="00784926">
      <w:pPr>
        <w:pStyle w:val="Heading3"/>
        <w:rPr>
          <w:rFonts w:eastAsia="Times New Roman"/>
          <w:sz w:val="28"/>
          <w:u w:val="single"/>
          <w:lang w:eastAsia="bg-BG"/>
        </w:rPr>
      </w:pPr>
      <w:r w:rsidRPr="00784926">
        <w:rPr>
          <w:rFonts w:eastAsia="Times New Roman"/>
          <w:u w:val="single"/>
          <w:lang w:eastAsia="bg-BG"/>
        </w:rPr>
        <w:t>Абсорбция</w:t>
      </w:r>
    </w:p>
    <w:p w14:paraId="0DF3BDFE"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При хора симвастатин се абсорбира добре и претърпява екстензивен </w:t>
      </w:r>
      <w:r w:rsidRPr="00784926">
        <w:rPr>
          <w:rFonts w:eastAsia="Times New Roman" w:cs="Arial"/>
          <w:color w:val="000000"/>
          <w:szCs w:val="20"/>
          <w:lang w:val="en-US"/>
        </w:rPr>
        <w:t xml:space="preserve">first-pass </w:t>
      </w:r>
      <w:r w:rsidRPr="00784926">
        <w:rPr>
          <w:rFonts w:eastAsia="Times New Roman" w:cs="Arial"/>
          <w:color w:val="000000"/>
          <w:szCs w:val="20"/>
          <w:lang w:eastAsia="bg-BG"/>
        </w:rPr>
        <w:t>метаболизъм. Метаболизмът в черния дроб зависи от чернодробния кръвен ток. Черният дроб е първото място на действие на активната форма. Бионаличността на бета - хидроксикиселината в системното кръвообращение след перорален прием на симвастатин е по-малко от 5% от приетата доза. Максималната плазмена концентрация на активния инхибитор се достига приблизително 1-2 часа след прилагането. Едновременното приемане на храна не повлиява абсорбцията.</w:t>
      </w:r>
    </w:p>
    <w:p w14:paraId="5ACC81CD"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Фармакокинетиката на еднократно и многократно дозиране на симвастатин показва, че няма акумулиране на лекарствения продукт явяващо се след многократно дозиране.</w:t>
      </w:r>
    </w:p>
    <w:p w14:paraId="7B94A34E" w14:textId="77777777" w:rsidR="00784926" w:rsidRPr="00784926" w:rsidRDefault="00784926" w:rsidP="00784926">
      <w:pPr>
        <w:spacing w:line="240" w:lineRule="auto"/>
        <w:rPr>
          <w:rFonts w:eastAsia="Times New Roman" w:cs="Arial"/>
          <w:color w:val="000000"/>
          <w:szCs w:val="20"/>
          <w:u w:val="single"/>
          <w:lang w:eastAsia="bg-BG"/>
        </w:rPr>
      </w:pPr>
    </w:p>
    <w:p w14:paraId="729C8F14" w14:textId="6882C38B" w:rsidR="00784926" w:rsidRPr="00784926" w:rsidRDefault="00784926" w:rsidP="00784926">
      <w:pPr>
        <w:pStyle w:val="Heading3"/>
        <w:rPr>
          <w:rFonts w:eastAsia="Times New Roman"/>
          <w:sz w:val="28"/>
          <w:u w:val="single"/>
          <w:lang w:eastAsia="bg-BG"/>
        </w:rPr>
      </w:pPr>
      <w:r w:rsidRPr="00784926">
        <w:rPr>
          <w:rFonts w:eastAsia="Times New Roman"/>
          <w:u w:val="single"/>
          <w:lang w:eastAsia="bg-BG"/>
        </w:rPr>
        <w:t>Разпределение</w:t>
      </w:r>
    </w:p>
    <w:p w14:paraId="7B29EAE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Свързването с плазмените протеини на симвастатин и неговия активен метаболит е над 95%.</w:t>
      </w:r>
    </w:p>
    <w:p w14:paraId="7707277C" w14:textId="77777777" w:rsidR="00784926" w:rsidRPr="00784926" w:rsidRDefault="00784926" w:rsidP="00784926">
      <w:pPr>
        <w:spacing w:line="240" w:lineRule="auto"/>
        <w:rPr>
          <w:rFonts w:eastAsia="Times New Roman" w:cs="Arial"/>
          <w:color w:val="000000"/>
          <w:szCs w:val="20"/>
          <w:u w:val="single"/>
          <w:lang w:eastAsia="bg-BG"/>
        </w:rPr>
      </w:pPr>
    </w:p>
    <w:p w14:paraId="1225647B" w14:textId="308B9CB2" w:rsidR="00784926" w:rsidRPr="00784926" w:rsidRDefault="00784926" w:rsidP="00784926">
      <w:pPr>
        <w:pStyle w:val="Heading3"/>
        <w:rPr>
          <w:rFonts w:eastAsia="Times New Roman"/>
          <w:sz w:val="28"/>
          <w:u w:val="single"/>
          <w:lang w:eastAsia="bg-BG"/>
        </w:rPr>
      </w:pPr>
      <w:r w:rsidRPr="00784926">
        <w:rPr>
          <w:rFonts w:eastAsia="Times New Roman"/>
          <w:u w:val="single"/>
          <w:lang w:eastAsia="bg-BG"/>
        </w:rPr>
        <w:t>Елиминиране</w:t>
      </w:r>
    </w:p>
    <w:p w14:paraId="25CEA3CB" w14:textId="77777777" w:rsidR="00784926" w:rsidRPr="00784926" w:rsidRDefault="00784926" w:rsidP="00784926">
      <w:pPr>
        <w:rPr>
          <w:rFonts w:eastAsia="Times New Roman" w:cs="Arial"/>
          <w:sz w:val="28"/>
          <w:szCs w:val="24"/>
          <w:lang w:eastAsia="bg-BG"/>
        </w:rPr>
      </w:pPr>
      <w:r w:rsidRPr="00784926">
        <w:rPr>
          <w:rFonts w:eastAsia="Times New Roman" w:cs="Arial"/>
          <w:color w:val="000000"/>
          <w:szCs w:val="20"/>
          <w:lang w:eastAsia="bg-BG"/>
        </w:rPr>
        <w:t xml:space="preserve">Симвастатин е субстрат на </w:t>
      </w:r>
      <w:r w:rsidRPr="00784926">
        <w:rPr>
          <w:rFonts w:eastAsia="Times New Roman" w:cs="Arial"/>
          <w:color w:val="000000"/>
          <w:szCs w:val="20"/>
          <w:lang w:val="en-US"/>
        </w:rPr>
        <w:t xml:space="preserve">CYP3A4 </w:t>
      </w:r>
      <w:r w:rsidRPr="00784926">
        <w:rPr>
          <w:rFonts w:eastAsia="Times New Roman" w:cs="Arial"/>
          <w:color w:val="000000"/>
          <w:szCs w:val="20"/>
          <w:lang w:eastAsia="bg-BG"/>
        </w:rPr>
        <w:t>(вж. т.4.3. и т.4.5.). Главните метаболити на симвастатин в човешката плазма са симвастатин бета-хидроксикиселина и четири други по-малко активни</w:t>
      </w:r>
      <w:r>
        <w:rPr>
          <w:rFonts w:eastAsia="Times New Roman" w:cs="Arial"/>
          <w:sz w:val="28"/>
          <w:szCs w:val="24"/>
          <w:lang w:val="en-US" w:eastAsia="bg-BG"/>
        </w:rPr>
        <w:t xml:space="preserve"> </w:t>
      </w:r>
      <w:r w:rsidRPr="00784926">
        <w:rPr>
          <w:rFonts w:eastAsia="Times New Roman" w:cs="Arial"/>
          <w:color w:val="000000"/>
          <w:szCs w:val="20"/>
          <w:lang w:eastAsia="bg-BG"/>
        </w:rPr>
        <w:t>метаболити. След перорален прием на радиоактивен симвастатин 13% се екскретират в урината и 60% във фекалиите за 96 часа след прилагането. Радиоактивните съединения, открити във фекалиите се състоят главно от жлъчно екскретирани метаболити и непроменен лекарствен</w:t>
      </w:r>
      <w:r>
        <w:rPr>
          <w:rFonts w:eastAsia="Times New Roman" w:cs="Arial"/>
          <w:color w:val="000000"/>
          <w:szCs w:val="20"/>
          <w:lang w:val="en-US" w:eastAsia="bg-BG"/>
        </w:rPr>
        <w:t xml:space="preserve"> </w:t>
      </w:r>
      <w:r w:rsidRPr="00784926">
        <w:rPr>
          <w:rFonts w:eastAsia="Times New Roman" w:cs="Arial"/>
          <w:color w:val="000000"/>
          <w:szCs w:val="20"/>
          <w:lang w:eastAsia="bg-BG"/>
        </w:rPr>
        <w:t>продукт, както и от неабсорбиран лекарствен продукт. След интравенозно прилагане на бета - хидроксикиселиният метаболит, неговото време на полуживот е приблизително 1,9 часа. Само около 0,3% от приложената интравенозно доза се екскретира с урината под формата на инхибитори.</w:t>
      </w:r>
    </w:p>
    <w:p w14:paraId="036E6B0E"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Симвастатиновата киселина се поема активно в хепатоцитите чрез ОАТР1В1 транспортера.</w:t>
      </w:r>
    </w:p>
    <w:p w14:paraId="5D650998" w14:textId="77777777" w:rsidR="00784926" w:rsidRPr="00784926" w:rsidRDefault="00784926" w:rsidP="00784926">
      <w:pPr>
        <w:spacing w:line="240" w:lineRule="auto"/>
        <w:rPr>
          <w:rFonts w:eastAsia="Times New Roman" w:cs="Arial"/>
          <w:color w:val="000000"/>
          <w:szCs w:val="20"/>
          <w:lang w:eastAsia="bg-BG"/>
        </w:rPr>
      </w:pPr>
    </w:p>
    <w:p w14:paraId="3E0DB66D" w14:textId="07D04EA0"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е субстрат на ефлуксния транспортер </w:t>
      </w:r>
      <w:r w:rsidRPr="00784926">
        <w:rPr>
          <w:rFonts w:eastAsia="Times New Roman" w:cs="Arial"/>
          <w:color w:val="000000"/>
          <w:szCs w:val="20"/>
          <w:lang w:val="en-US"/>
        </w:rPr>
        <w:t>BCRP.</w:t>
      </w:r>
    </w:p>
    <w:p w14:paraId="449E4BD7" w14:textId="77777777" w:rsidR="00784926" w:rsidRPr="00784926" w:rsidRDefault="00784926" w:rsidP="00784926">
      <w:pPr>
        <w:spacing w:line="240" w:lineRule="auto"/>
        <w:rPr>
          <w:rFonts w:eastAsia="Times New Roman" w:cs="Arial"/>
          <w:i/>
          <w:iCs/>
          <w:color w:val="000000"/>
          <w:szCs w:val="20"/>
          <w:lang w:eastAsia="bg-BG"/>
        </w:rPr>
      </w:pPr>
    </w:p>
    <w:p w14:paraId="2F1C523C" w14:textId="406382D0" w:rsidR="00784926" w:rsidRPr="00784926" w:rsidRDefault="00784926" w:rsidP="00784926">
      <w:pPr>
        <w:spacing w:line="240" w:lineRule="auto"/>
        <w:rPr>
          <w:rFonts w:eastAsia="Times New Roman" w:cs="Arial"/>
          <w:sz w:val="28"/>
          <w:szCs w:val="24"/>
          <w:lang w:eastAsia="bg-BG"/>
        </w:rPr>
      </w:pPr>
      <w:r w:rsidRPr="00784926">
        <w:rPr>
          <w:rFonts w:eastAsia="Times New Roman" w:cs="Arial"/>
          <w:i/>
          <w:iCs/>
          <w:color w:val="000000"/>
          <w:szCs w:val="20"/>
          <w:lang w:eastAsia="bg-BG"/>
        </w:rPr>
        <w:t xml:space="preserve">Специални популации </w:t>
      </w:r>
      <w:r w:rsidRPr="00784926">
        <w:rPr>
          <w:rFonts w:eastAsia="Times New Roman" w:cs="Arial"/>
          <w:i/>
          <w:iCs/>
          <w:color w:val="000000"/>
          <w:szCs w:val="20"/>
          <w:lang w:val="en-US"/>
        </w:rPr>
        <w:t xml:space="preserve">SLCOIBI </w:t>
      </w:r>
      <w:r w:rsidRPr="00784926">
        <w:rPr>
          <w:rFonts w:eastAsia="Times New Roman" w:cs="Arial"/>
          <w:i/>
          <w:iCs/>
          <w:color w:val="000000"/>
          <w:szCs w:val="20"/>
          <w:lang w:eastAsia="bg-BG"/>
        </w:rPr>
        <w:t>полиморфизъм</w:t>
      </w:r>
    </w:p>
    <w:p w14:paraId="148BA3FC" w14:textId="6C8B8B15" w:rsidR="0091385D" w:rsidRPr="00784926" w:rsidRDefault="00784926" w:rsidP="00784926">
      <w:pPr>
        <w:spacing w:line="240" w:lineRule="auto"/>
        <w:rPr>
          <w:rFonts w:eastAsia="Times New Roman" w:cs="Arial"/>
          <w:sz w:val="32"/>
          <w:szCs w:val="24"/>
          <w:lang w:val="en-US" w:eastAsia="bg-BG"/>
        </w:rPr>
      </w:pPr>
      <w:r w:rsidRPr="00784926">
        <w:rPr>
          <w:rFonts w:eastAsia="Times New Roman" w:cs="Arial"/>
          <w:color w:val="000000"/>
          <w:szCs w:val="20"/>
          <w:lang w:eastAsia="bg-BG"/>
        </w:rPr>
        <w:t xml:space="preserve">Носители на </w:t>
      </w:r>
      <w:r w:rsidRPr="00784926">
        <w:rPr>
          <w:rFonts w:eastAsia="Times New Roman" w:cs="Arial"/>
          <w:color w:val="000000"/>
          <w:szCs w:val="20"/>
          <w:lang w:val="en-US"/>
        </w:rPr>
        <w:t xml:space="preserve">SLCOIBI </w:t>
      </w:r>
      <w:r w:rsidRPr="00784926">
        <w:rPr>
          <w:rFonts w:eastAsia="Times New Roman" w:cs="Arial"/>
          <w:color w:val="000000"/>
          <w:szCs w:val="20"/>
          <w:lang w:eastAsia="bg-BG"/>
        </w:rPr>
        <w:t xml:space="preserve">ген С.521Т &gt; С алел имат по-ниска ОАТР1В1 активност. Средната експозиция </w:t>
      </w:r>
      <w:r w:rsidRPr="00784926">
        <w:rPr>
          <w:rFonts w:eastAsia="Times New Roman" w:cs="Arial"/>
          <w:color w:val="000000"/>
          <w:szCs w:val="20"/>
          <w:lang w:val="en-US"/>
        </w:rPr>
        <w:t xml:space="preserve">(AUC) </w:t>
      </w:r>
      <w:r w:rsidRPr="00784926">
        <w:rPr>
          <w:rFonts w:eastAsia="Times New Roman" w:cs="Arial"/>
          <w:color w:val="000000"/>
          <w:szCs w:val="20"/>
          <w:lang w:eastAsia="bg-BG"/>
        </w:rPr>
        <w:t xml:space="preserve">на главния активен метаболит симвастатиновата киселина е 120 % в хетерозиготни носители (СТ) на алел С и 221% в хомозиготни (СС) носители в сравнение с тази на пациенти, които имат най-често срещания генотип (ТТ). Алелът С има честота от 18 % сред населението на Европа. При пациенти с </w:t>
      </w:r>
      <w:r w:rsidRPr="00784926">
        <w:rPr>
          <w:rFonts w:eastAsia="Times New Roman" w:cs="Arial"/>
          <w:color w:val="000000"/>
          <w:szCs w:val="20"/>
          <w:lang w:val="en-US"/>
        </w:rPr>
        <w:t xml:space="preserve">SLCOIBI </w:t>
      </w:r>
      <w:r w:rsidRPr="00784926">
        <w:rPr>
          <w:rFonts w:eastAsia="Times New Roman" w:cs="Arial"/>
          <w:color w:val="000000"/>
          <w:szCs w:val="20"/>
          <w:lang w:eastAsia="bg-BG"/>
        </w:rPr>
        <w:t>полиморфизъм има риск от повишена експозиция на симвастатинова киселина, което може да доведе до повишен риск от рабдомиолиза (вж. точка 4.4).</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296F83FC"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Предклинични данни от конвенционални проучвания върху животни относно фармакодинамика, дългосрочна токсичност, генотоксичност, карциногенност сочат, че няма други рискове за пациента, които трябва да се очакват и вземат предвид фармакологичния механизъм.</w:t>
      </w:r>
    </w:p>
    <w:p w14:paraId="52E4D01A" w14:textId="362719A3" w:rsidR="0091385D" w:rsidRPr="00784926" w:rsidRDefault="00784926" w:rsidP="00784926">
      <w:pPr>
        <w:rPr>
          <w:rFonts w:cs="Arial"/>
          <w:sz w:val="24"/>
        </w:rPr>
      </w:pPr>
      <w:r w:rsidRPr="00784926">
        <w:rPr>
          <w:rFonts w:eastAsia="Times New Roman" w:cs="Arial"/>
          <w:color w:val="000000"/>
          <w:szCs w:val="20"/>
          <w:lang w:eastAsia="bg-BG"/>
        </w:rPr>
        <w:lastRenderedPageBreak/>
        <w:t>Приложен в максимално допустими дози при плъхове и зайци симвастатин не е предизвикал малформации на зародиша и не е имал ефект върху фертилността, репродуктивната функция или неонаталното развитие.</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4E0230A"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b/>
          <w:bCs/>
          <w:color w:val="000000"/>
          <w:szCs w:val="20"/>
          <w:lang w:val="en-US"/>
        </w:rPr>
        <w:t>ALIUD® PHARMA GmbH</w:t>
      </w:r>
    </w:p>
    <w:p w14:paraId="15AD175E"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color w:val="000000"/>
          <w:szCs w:val="20"/>
          <w:lang w:val="en-US"/>
        </w:rPr>
        <w:t>Gottlieb-Daimler-Str. 19</w:t>
      </w:r>
    </w:p>
    <w:p w14:paraId="2C6637BB"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color w:val="000000"/>
          <w:szCs w:val="20"/>
          <w:lang w:val="en-US"/>
        </w:rPr>
        <w:t xml:space="preserve">D-89150 </w:t>
      </w:r>
      <w:proofErr w:type="spellStart"/>
      <w:r w:rsidRPr="00784926">
        <w:rPr>
          <w:rFonts w:eastAsia="Times New Roman" w:cs="Arial"/>
          <w:color w:val="000000"/>
          <w:szCs w:val="20"/>
          <w:lang w:val="en-US"/>
        </w:rPr>
        <w:t>Laichingen</w:t>
      </w:r>
      <w:proofErr w:type="spellEnd"/>
    </w:p>
    <w:p w14:paraId="6874DED1"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color w:val="000000"/>
          <w:szCs w:val="20"/>
          <w:lang w:eastAsia="bg-BG"/>
        </w:rPr>
        <w:t>Германия</w:t>
      </w:r>
    </w:p>
    <w:p w14:paraId="3FD825DB" w14:textId="6694E89E" w:rsidR="0091385D" w:rsidRPr="00784926" w:rsidRDefault="00784926" w:rsidP="00784926">
      <w:pPr>
        <w:rPr>
          <w:rFonts w:cs="Arial"/>
          <w:sz w:val="24"/>
        </w:rPr>
      </w:pPr>
      <w:r w:rsidRPr="00784926">
        <w:rPr>
          <w:rFonts w:eastAsia="Times New Roman" w:cs="Arial"/>
          <w:color w:val="000000"/>
          <w:szCs w:val="20"/>
          <w:lang w:val="en-US"/>
        </w:rPr>
        <w:t>Tel. 0049-7333-96510</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726D4BA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w:t>
      </w:r>
      <w:r w:rsidRPr="00784926">
        <w:rPr>
          <w:rFonts w:eastAsia="Times New Roman" w:cs="Arial"/>
          <w:color w:val="000000"/>
          <w:szCs w:val="20"/>
          <w:lang w:val="en-US"/>
        </w:rPr>
        <w:t xml:space="preserve">AL </w:t>
      </w:r>
      <w:r w:rsidRPr="00784926">
        <w:rPr>
          <w:rFonts w:eastAsia="Times New Roman" w:cs="Arial"/>
          <w:color w:val="000000"/>
          <w:szCs w:val="20"/>
          <w:lang w:eastAsia="bg-BG"/>
        </w:rPr>
        <w:t>10: 20040689</w:t>
      </w:r>
    </w:p>
    <w:p w14:paraId="65FC09A0"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w:t>
      </w:r>
      <w:r w:rsidRPr="00784926">
        <w:rPr>
          <w:rFonts w:eastAsia="Times New Roman" w:cs="Arial"/>
          <w:color w:val="000000"/>
          <w:szCs w:val="20"/>
          <w:lang w:val="en-US"/>
        </w:rPr>
        <w:t xml:space="preserve">AL </w:t>
      </w:r>
      <w:r w:rsidRPr="00784926">
        <w:rPr>
          <w:rFonts w:eastAsia="Times New Roman" w:cs="Arial"/>
          <w:color w:val="000000"/>
          <w:szCs w:val="20"/>
          <w:lang w:eastAsia="bg-BG"/>
        </w:rPr>
        <w:t>20: 20040690</w:t>
      </w:r>
    </w:p>
    <w:p w14:paraId="6E892CE5" w14:textId="110A35BD" w:rsidR="0091385D" w:rsidRPr="00784926" w:rsidRDefault="00784926" w:rsidP="00784926">
      <w:pPr>
        <w:rPr>
          <w:rFonts w:cs="Arial"/>
          <w:sz w:val="24"/>
        </w:rPr>
      </w:pPr>
      <w:r w:rsidRPr="00784926">
        <w:rPr>
          <w:rFonts w:eastAsia="Times New Roman" w:cs="Arial"/>
          <w:color w:val="000000"/>
          <w:szCs w:val="20"/>
          <w:lang w:eastAsia="bg-BG"/>
        </w:rPr>
        <w:t xml:space="preserve">Симвастатин </w:t>
      </w:r>
      <w:r w:rsidRPr="00784926">
        <w:rPr>
          <w:rFonts w:eastAsia="Times New Roman" w:cs="Arial"/>
          <w:color w:val="000000"/>
          <w:szCs w:val="20"/>
          <w:lang w:val="en-US"/>
        </w:rPr>
        <w:t xml:space="preserve">AL </w:t>
      </w:r>
      <w:r w:rsidRPr="00784926">
        <w:rPr>
          <w:rFonts w:eastAsia="Times New Roman" w:cs="Arial"/>
          <w:color w:val="000000"/>
          <w:szCs w:val="20"/>
          <w:lang w:eastAsia="bg-BG"/>
        </w:rPr>
        <w:t>40: 20040691</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540A116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Дата на първо разрешаване: 22.12.2004</w:t>
      </w:r>
    </w:p>
    <w:p w14:paraId="497007FA" w14:textId="214A6553" w:rsidR="0091385D" w:rsidRPr="00784926" w:rsidRDefault="00784926" w:rsidP="00784926">
      <w:pPr>
        <w:rPr>
          <w:rFonts w:cs="Arial"/>
          <w:sz w:val="24"/>
        </w:rPr>
      </w:pPr>
      <w:r w:rsidRPr="00784926">
        <w:rPr>
          <w:rFonts w:eastAsia="Times New Roman" w:cs="Arial"/>
          <w:color w:val="000000"/>
          <w:szCs w:val="20"/>
          <w:lang w:eastAsia="bg-BG"/>
        </w:rPr>
        <w:t>Дата на последно подновяване: 25.02.2010</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600CCBC2" w:rsidR="0091385D" w:rsidRPr="00784926" w:rsidRDefault="00784926" w:rsidP="0091385D">
      <w:pPr>
        <w:rPr>
          <w:rFonts w:cs="Arial"/>
        </w:rPr>
      </w:pPr>
      <w:r w:rsidRPr="00784926">
        <w:rPr>
          <w:rFonts w:cs="Arial"/>
          <w:szCs w:val="20"/>
        </w:rPr>
        <w:t>07/2021</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75289"/>
    <w:multiLevelType w:val="hybridMultilevel"/>
    <w:tmpl w:val="35CAFB3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2ED3E30"/>
    <w:multiLevelType w:val="hybridMultilevel"/>
    <w:tmpl w:val="E45E7E4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9"/>
  </w:num>
  <w:num w:numId="19">
    <w:abstractNumId w:val="27"/>
  </w:num>
  <w:num w:numId="20">
    <w:abstractNumId w:val="24"/>
  </w:num>
  <w:num w:numId="21">
    <w:abstractNumId w:val="18"/>
  </w:num>
  <w:num w:numId="22">
    <w:abstractNumId w:val="26"/>
  </w:num>
  <w:num w:numId="23">
    <w:abstractNumId w:val="19"/>
  </w:num>
  <w:num w:numId="24">
    <w:abstractNumId w:val="10"/>
  </w:num>
  <w:num w:numId="25">
    <w:abstractNumId w:val="23"/>
  </w:num>
  <w:num w:numId="26">
    <w:abstractNumId w:val="22"/>
  </w:num>
  <w:num w:numId="27">
    <w:abstractNumId w:val="32"/>
  </w:num>
  <w:num w:numId="28">
    <w:abstractNumId w:val="7"/>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25B0F"/>
    <w:rsid w:val="002B3C38"/>
    <w:rsid w:val="002B4DBB"/>
    <w:rsid w:val="002C50EE"/>
    <w:rsid w:val="00340A0A"/>
    <w:rsid w:val="003765DC"/>
    <w:rsid w:val="00395555"/>
    <w:rsid w:val="003E3126"/>
    <w:rsid w:val="00426E5F"/>
    <w:rsid w:val="004A448E"/>
    <w:rsid w:val="004D000B"/>
    <w:rsid w:val="004D4D6B"/>
    <w:rsid w:val="004F1CE7"/>
    <w:rsid w:val="004F498A"/>
    <w:rsid w:val="00517A5B"/>
    <w:rsid w:val="00552BC0"/>
    <w:rsid w:val="00593A00"/>
    <w:rsid w:val="005A66D9"/>
    <w:rsid w:val="00605BCA"/>
    <w:rsid w:val="006158A1"/>
    <w:rsid w:val="00617B1F"/>
    <w:rsid w:val="00672487"/>
    <w:rsid w:val="00672600"/>
    <w:rsid w:val="00681D4A"/>
    <w:rsid w:val="00685882"/>
    <w:rsid w:val="0075649D"/>
    <w:rsid w:val="00784926"/>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9126</Words>
  <Characters>52024</Characters>
  <Application>Microsoft Office Word</Application>
  <DocSecurity>0</DocSecurity>
  <Lines>433</Lines>
  <Paragraphs>122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2022-11-01T18:07:00Z</dcterms:created>
  <dcterms:modified xsi:type="dcterms:W3CDTF">2022-11-01T18:07:00Z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